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D5C1F" w14:textId="2F0B914B" w:rsidR="00E73007" w:rsidRPr="00D750C3" w:rsidRDefault="00876DA2" w:rsidP="00FE0452">
      <w:pPr>
        <w:rPr>
          <w:rFonts w:ascii="Century Gothic" w:hAnsi="Century Gothic"/>
          <w:sz w:val="24"/>
          <w:szCs w:val="24"/>
        </w:rPr>
      </w:pPr>
      <w:r>
        <w:rPr>
          <w:noProof/>
          <w:lang w:eastAsia="en-GB"/>
        </w:rPr>
        <w:drawing>
          <wp:anchor distT="0" distB="0" distL="114300" distR="114300" simplePos="0" relativeHeight="251658240" behindDoc="0" locked="0" layoutInCell="1" allowOverlap="1" wp14:anchorId="69D1BFAA" wp14:editId="2EB2B94C">
            <wp:simplePos x="0" y="0"/>
            <wp:positionH relativeFrom="column">
              <wp:posOffset>0</wp:posOffset>
            </wp:positionH>
            <wp:positionV relativeFrom="paragraph">
              <wp:posOffset>0</wp:posOffset>
            </wp:positionV>
            <wp:extent cx="1925955" cy="8623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S_LSBU Crest_simple Colour text_Horizon_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5955" cy="862330"/>
                    </a:xfrm>
                    <a:prstGeom prst="rect">
                      <a:avLst/>
                    </a:prstGeom>
                  </pic:spPr>
                </pic:pic>
              </a:graphicData>
            </a:graphic>
            <wp14:sizeRelH relativeFrom="page">
              <wp14:pctWidth>0</wp14:pctWidth>
            </wp14:sizeRelH>
            <wp14:sizeRelV relativeFrom="page">
              <wp14:pctHeight>0</wp14:pctHeight>
            </wp14:sizeRelV>
          </wp:anchor>
        </w:drawing>
      </w:r>
    </w:p>
    <w:p w14:paraId="7163E7BA" w14:textId="77777777" w:rsidR="00E73007" w:rsidRPr="00D750C3" w:rsidRDefault="00E73007" w:rsidP="00BC42FC">
      <w:pPr>
        <w:spacing w:line="480" w:lineRule="auto"/>
        <w:rPr>
          <w:rFonts w:ascii="Century Gothic" w:hAnsi="Century Gothic"/>
          <w:sz w:val="24"/>
          <w:szCs w:val="24"/>
        </w:rPr>
      </w:pPr>
    </w:p>
    <w:p w14:paraId="20BDBBF0" w14:textId="77777777" w:rsidR="00E73007" w:rsidRPr="0092104B" w:rsidRDefault="00E73007" w:rsidP="0099584D">
      <w:pPr>
        <w:spacing w:line="360" w:lineRule="auto"/>
        <w:rPr>
          <w:rFonts w:asciiTheme="majorHAnsi" w:hAnsiTheme="majorHAnsi"/>
        </w:rPr>
      </w:pPr>
    </w:p>
    <w:p w14:paraId="29DFB949" w14:textId="77777777" w:rsidR="00E73007" w:rsidRPr="0092104B" w:rsidRDefault="00E73007" w:rsidP="0099584D">
      <w:pPr>
        <w:spacing w:line="360" w:lineRule="auto"/>
        <w:rPr>
          <w:rFonts w:asciiTheme="majorHAnsi" w:hAnsiTheme="majorHAnsi"/>
        </w:rPr>
      </w:pPr>
    </w:p>
    <w:p w14:paraId="06D3E9DC" w14:textId="77777777" w:rsidR="00E73007" w:rsidRPr="0092104B" w:rsidRDefault="00E73007" w:rsidP="0099584D">
      <w:pPr>
        <w:spacing w:line="360" w:lineRule="auto"/>
        <w:rPr>
          <w:rFonts w:asciiTheme="majorHAnsi" w:hAnsiTheme="majorHAnsi"/>
        </w:rPr>
      </w:pPr>
    </w:p>
    <w:p w14:paraId="475F91EB" w14:textId="7095C3C0" w:rsidR="00466749" w:rsidRPr="00734AB6" w:rsidRDefault="003D5A18" w:rsidP="0099584D">
      <w:pPr>
        <w:spacing w:after="0" w:line="360" w:lineRule="auto"/>
        <w:jc w:val="center"/>
        <w:rPr>
          <w:rFonts w:asciiTheme="majorHAnsi" w:hAnsiTheme="majorHAnsi"/>
          <w:b/>
          <w:sz w:val="48"/>
          <w:szCs w:val="48"/>
        </w:rPr>
      </w:pPr>
      <w:r w:rsidRPr="00734AB6">
        <w:rPr>
          <w:rFonts w:asciiTheme="majorHAnsi" w:hAnsiTheme="majorHAnsi"/>
          <w:b/>
          <w:sz w:val="48"/>
          <w:szCs w:val="48"/>
        </w:rPr>
        <w:t xml:space="preserve">The off-prescription use of modafinil and methylphenidate: </w:t>
      </w:r>
    </w:p>
    <w:p w14:paraId="0ABF4337" w14:textId="504B5977" w:rsidR="00E73007" w:rsidRPr="00734AB6" w:rsidRDefault="003D5A18" w:rsidP="0099584D">
      <w:pPr>
        <w:spacing w:after="0" w:line="360" w:lineRule="auto"/>
        <w:jc w:val="center"/>
        <w:rPr>
          <w:rFonts w:asciiTheme="majorHAnsi" w:hAnsiTheme="majorHAnsi"/>
          <w:b/>
          <w:sz w:val="48"/>
          <w:szCs w:val="48"/>
        </w:rPr>
      </w:pPr>
      <w:r w:rsidRPr="00734AB6">
        <w:rPr>
          <w:rFonts w:asciiTheme="majorHAnsi" w:hAnsiTheme="majorHAnsi"/>
          <w:b/>
          <w:sz w:val="48"/>
          <w:szCs w:val="48"/>
        </w:rPr>
        <w:t xml:space="preserve">Perceived risks, </w:t>
      </w:r>
      <w:r w:rsidR="0056021B" w:rsidRPr="00734AB6">
        <w:rPr>
          <w:rFonts w:asciiTheme="majorHAnsi" w:hAnsiTheme="majorHAnsi"/>
          <w:b/>
          <w:sz w:val="48"/>
          <w:szCs w:val="48"/>
        </w:rPr>
        <w:t>benefits,</w:t>
      </w:r>
      <w:r w:rsidRPr="00734AB6">
        <w:rPr>
          <w:rFonts w:asciiTheme="majorHAnsi" w:hAnsiTheme="majorHAnsi"/>
          <w:b/>
          <w:sz w:val="48"/>
          <w:szCs w:val="48"/>
        </w:rPr>
        <w:t xml:space="preserve"> and impact on cognitive function.</w:t>
      </w:r>
    </w:p>
    <w:p w14:paraId="20F77917" w14:textId="78A6CE89" w:rsidR="003D5A18" w:rsidRPr="00734AB6" w:rsidRDefault="003D5A18" w:rsidP="0099584D">
      <w:pPr>
        <w:spacing w:after="0" w:line="360" w:lineRule="auto"/>
        <w:jc w:val="center"/>
        <w:rPr>
          <w:rFonts w:asciiTheme="majorHAnsi" w:hAnsiTheme="majorHAnsi"/>
          <w:b/>
          <w:sz w:val="48"/>
          <w:szCs w:val="48"/>
        </w:rPr>
      </w:pPr>
    </w:p>
    <w:p w14:paraId="324E567B" w14:textId="02587824" w:rsidR="0056021B" w:rsidRPr="00734AB6" w:rsidRDefault="0056021B" w:rsidP="0099584D">
      <w:pPr>
        <w:spacing w:after="0" w:line="360" w:lineRule="auto"/>
        <w:jc w:val="center"/>
        <w:rPr>
          <w:rFonts w:asciiTheme="majorHAnsi" w:hAnsiTheme="majorHAnsi"/>
          <w:b/>
          <w:sz w:val="48"/>
          <w:szCs w:val="48"/>
        </w:rPr>
      </w:pPr>
    </w:p>
    <w:p w14:paraId="1705AD2F" w14:textId="56EAE274" w:rsidR="0056021B" w:rsidRPr="00734AB6" w:rsidRDefault="0056021B" w:rsidP="0099584D">
      <w:pPr>
        <w:spacing w:after="0" w:line="360" w:lineRule="auto"/>
        <w:jc w:val="center"/>
        <w:rPr>
          <w:rFonts w:asciiTheme="majorHAnsi" w:hAnsiTheme="majorHAnsi"/>
          <w:b/>
          <w:sz w:val="48"/>
          <w:szCs w:val="48"/>
        </w:rPr>
      </w:pPr>
      <w:r w:rsidRPr="00734AB6">
        <w:rPr>
          <w:rFonts w:asciiTheme="majorHAnsi" w:hAnsiTheme="majorHAnsi"/>
          <w:b/>
          <w:sz w:val="48"/>
          <w:szCs w:val="48"/>
        </w:rPr>
        <w:t>DOCTOR OF PHILOSOPHY (PhD)</w:t>
      </w:r>
    </w:p>
    <w:p w14:paraId="3A367C4A" w14:textId="0BFE5E13" w:rsidR="0056021B" w:rsidRPr="00734AB6" w:rsidRDefault="0056021B" w:rsidP="0099584D">
      <w:pPr>
        <w:spacing w:after="0" w:line="360" w:lineRule="auto"/>
        <w:jc w:val="center"/>
        <w:rPr>
          <w:rFonts w:asciiTheme="majorHAnsi" w:hAnsiTheme="majorHAnsi"/>
          <w:b/>
          <w:sz w:val="48"/>
          <w:szCs w:val="48"/>
        </w:rPr>
      </w:pPr>
    </w:p>
    <w:p w14:paraId="386BC1E4" w14:textId="77777777" w:rsidR="0056021B" w:rsidRPr="00734AB6" w:rsidRDefault="0056021B" w:rsidP="0099584D">
      <w:pPr>
        <w:spacing w:after="0" w:line="360" w:lineRule="auto"/>
        <w:jc w:val="center"/>
        <w:rPr>
          <w:rFonts w:asciiTheme="majorHAnsi" w:hAnsiTheme="majorHAnsi"/>
          <w:b/>
          <w:sz w:val="48"/>
          <w:szCs w:val="48"/>
        </w:rPr>
      </w:pPr>
    </w:p>
    <w:p w14:paraId="63CDFECE" w14:textId="36614A11" w:rsidR="00466749" w:rsidRPr="00734AB6" w:rsidRDefault="003D5A18" w:rsidP="0099584D">
      <w:pPr>
        <w:spacing w:after="0" w:line="360" w:lineRule="auto"/>
        <w:jc w:val="center"/>
        <w:rPr>
          <w:rFonts w:asciiTheme="majorHAnsi" w:hAnsiTheme="majorHAnsi"/>
          <w:sz w:val="48"/>
          <w:szCs w:val="48"/>
        </w:rPr>
      </w:pPr>
      <w:r w:rsidRPr="00734AB6">
        <w:rPr>
          <w:rFonts w:asciiTheme="majorHAnsi" w:hAnsiTheme="majorHAnsi"/>
          <w:sz w:val="48"/>
          <w:szCs w:val="48"/>
        </w:rPr>
        <w:t>Rachel Teodorini</w:t>
      </w:r>
    </w:p>
    <w:p w14:paraId="70B52064" w14:textId="53EEC5BA" w:rsidR="00466749" w:rsidRPr="00734AB6" w:rsidRDefault="00754FB3" w:rsidP="0099584D">
      <w:pPr>
        <w:spacing w:after="0" w:line="360" w:lineRule="auto"/>
        <w:jc w:val="center"/>
        <w:rPr>
          <w:rFonts w:asciiTheme="majorHAnsi" w:hAnsiTheme="majorHAnsi"/>
          <w:b/>
          <w:sz w:val="24"/>
          <w:szCs w:val="48"/>
        </w:rPr>
      </w:pPr>
      <w:hyperlink r:id="rId12" w:history="1">
        <w:r w:rsidR="008E7579" w:rsidRPr="00734AB6">
          <w:rPr>
            <w:rStyle w:val="Hyperlink"/>
            <w:rFonts w:asciiTheme="majorHAnsi" w:hAnsiTheme="majorHAnsi"/>
            <w:b/>
            <w:sz w:val="24"/>
            <w:szCs w:val="48"/>
          </w:rPr>
          <w:t>https://orcid.org/0000-0002-9983-7008</w:t>
        </w:r>
      </w:hyperlink>
    </w:p>
    <w:p w14:paraId="3AD18196" w14:textId="77777777" w:rsidR="000254B2" w:rsidRPr="00734AB6" w:rsidRDefault="000254B2" w:rsidP="0099584D">
      <w:pPr>
        <w:spacing w:after="0" w:line="360" w:lineRule="auto"/>
        <w:jc w:val="center"/>
        <w:rPr>
          <w:rFonts w:asciiTheme="majorHAnsi" w:hAnsiTheme="majorHAnsi"/>
          <w:b/>
          <w:sz w:val="24"/>
          <w:szCs w:val="48"/>
        </w:rPr>
      </w:pPr>
    </w:p>
    <w:p w14:paraId="285C0D5E" w14:textId="1B504F54" w:rsidR="008E7579" w:rsidRPr="00734AB6" w:rsidRDefault="008E7579" w:rsidP="0099584D">
      <w:pPr>
        <w:spacing w:after="0" w:line="360" w:lineRule="auto"/>
        <w:jc w:val="center"/>
        <w:rPr>
          <w:rFonts w:asciiTheme="majorHAnsi" w:hAnsiTheme="majorHAnsi"/>
          <w:sz w:val="24"/>
          <w:szCs w:val="48"/>
        </w:rPr>
      </w:pPr>
      <w:r w:rsidRPr="00734AB6">
        <w:rPr>
          <w:rFonts w:asciiTheme="majorHAnsi" w:hAnsiTheme="majorHAnsi"/>
          <w:sz w:val="24"/>
          <w:szCs w:val="48"/>
        </w:rPr>
        <w:t xml:space="preserve"> A thesis submitted in partial fulfilment of the requirements of London South Bank University for the degree of Doctor of Philosophy</w:t>
      </w:r>
    </w:p>
    <w:p w14:paraId="1265293E" w14:textId="77777777" w:rsidR="000254B2" w:rsidRPr="00734AB6" w:rsidRDefault="000254B2" w:rsidP="0099584D">
      <w:pPr>
        <w:spacing w:after="0" w:line="360" w:lineRule="auto"/>
        <w:jc w:val="center"/>
        <w:rPr>
          <w:rFonts w:asciiTheme="majorHAnsi" w:hAnsiTheme="majorHAnsi"/>
          <w:sz w:val="24"/>
          <w:szCs w:val="48"/>
        </w:rPr>
      </w:pPr>
    </w:p>
    <w:p w14:paraId="5539892C" w14:textId="73000408" w:rsidR="008E7579" w:rsidRPr="00734AB6" w:rsidRDefault="008E7579" w:rsidP="0099584D">
      <w:pPr>
        <w:spacing w:after="0" w:line="360" w:lineRule="auto"/>
        <w:jc w:val="center"/>
        <w:rPr>
          <w:rFonts w:asciiTheme="majorHAnsi" w:hAnsiTheme="majorHAnsi"/>
          <w:sz w:val="24"/>
          <w:szCs w:val="48"/>
        </w:rPr>
      </w:pPr>
      <w:r w:rsidRPr="00734AB6">
        <w:rPr>
          <w:rFonts w:asciiTheme="majorHAnsi" w:hAnsiTheme="majorHAnsi"/>
          <w:sz w:val="24"/>
          <w:szCs w:val="48"/>
        </w:rPr>
        <w:t>August 2020</w:t>
      </w:r>
    </w:p>
    <w:p w14:paraId="2E172E34" w14:textId="77777777" w:rsidR="00E73007" w:rsidRPr="00734AB6" w:rsidRDefault="00E73007" w:rsidP="0099584D">
      <w:pPr>
        <w:spacing w:after="0" w:line="360" w:lineRule="auto"/>
        <w:rPr>
          <w:rFonts w:asciiTheme="majorHAnsi" w:eastAsiaTheme="majorEastAsia" w:hAnsiTheme="majorHAnsi" w:cstheme="majorBidi"/>
          <w:color w:val="2E74B5" w:themeColor="accent1" w:themeShade="BF"/>
          <w:lang w:val="en-US"/>
        </w:rPr>
      </w:pPr>
    </w:p>
    <w:p w14:paraId="43A406C6" w14:textId="77777777" w:rsidR="00926D5F" w:rsidRPr="00734AB6" w:rsidRDefault="000254B2" w:rsidP="00926D5F">
      <w:pPr>
        <w:spacing w:line="360" w:lineRule="auto"/>
        <w:jc w:val="center"/>
        <w:rPr>
          <w:b/>
        </w:rPr>
      </w:pPr>
      <w:r w:rsidRPr="00734AB6">
        <w:br w:type="page"/>
      </w:r>
      <w:r w:rsidR="00926D5F" w:rsidRPr="00734AB6">
        <w:rPr>
          <w:b/>
        </w:rPr>
        <w:lastRenderedPageBreak/>
        <w:t>ACKNOWLEDGEMENTS</w:t>
      </w:r>
    </w:p>
    <w:p w14:paraId="2E592F51" w14:textId="77777777" w:rsidR="00B068FF" w:rsidRPr="00734AB6" w:rsidRDefault="00B068FF" w:rsidP="00926D5F">
      <w:pPr>
        <w:spacing w:line="360" w:lineRule="auto"/>
        <w:jc w:val="center"/>
        <w:rPr>
          <w:b/>
        </w:rPr>
      </w:pPr>
    </w:p>
    <w:p w14:paraId="72C19906" w14:textId="0ADDFFFF" w:rsidR="00B068FF" w:rsidRPr="00734AB6" w:rsidRDefault="00B068FF" w:rsidP="00B068FF">
      <w:pPr>
        <w:spacing w:line="360" w:lineRule="auto"/>
        <w:rPr>
          <w:rFonts w:asciiTheme="majorHAnsi" w:hAnsiTheme="majorHAnsi"/>
        </w:rPr>
      </w:pPr>
      <w:r w:rsidRPr="00734AB6">
        <w:rPr>
          <w:rFonts w:asciiTheme="majorHAnsi" w:hAnsiTheme="majorHAnsi"/>
        </w:rPr>
        <w:t xml:space="preserve">I would like to express my deepest gratitude and appreciation to my supervisors, Dr Nicky Rycroft and Dr James Smith-Spark for their unending support, wise guidance, encouragement and constructive feedback throughout this journey. This has been a hugely transformational process for me </w:t>
      </w:r>
      <w:r w:rsidR="00AB66A9" w:rsidRPr="00734AB6">
        <w:rPr>
          <w:rFonts w:asciiTheme="majorHAnsi" w:hAnsiTheme="majorHAnsi"/>
        </w:rPr>
        <w:t xml:space="preserve">both personally and </w:t>
      </w:r>
      <w:r w:rsidRPr="00734AB6">
        <w:rPr>
          <w:rFonts w:asciiTheme="majorHAnsi" w:hAnsiTheme="majorHAnsi"/>
        </w:rPr>
        <w:t>in my professional growth</w:t>
      </w:r>
      <w:r w:rsidR="00AB66A9" w:rsidRPr="00734AB6">
        <w:rPr>
          <w:rFonts w:asciiTheme="majorHAnsi" w:hAnsiTheme="majorHAnsi"/>
        </w:rPr>
        <w:t xml:space="preserve"> </w:t>
      </w:r>
      <w:r w:rsidRPr="00734AB6">
        <w:rPr>
          <w:rFonts w:asciiTheme="majorHAnsi" w:hAnsiTheme="majorHAnsi"/>
        </w:rPr>
        <w:t xml:space="preserve">and it has been entirely down to the combined expertise of my supervisors. Throughout, Nicky has always managed to say exactly what I needed to hear, whether it was a thought-provoking suggestion, expert guidance or words of support, and her ability to convey with simple clarity complex concepts has helped me at times when I was feeling lost and confused. Her expertise </w:t>
      </w:r>
      <w:r w:rsidR="00AB66A9" w:rsidRPr="00734AB6">
        <w:rPr>
          <w:rFonts w:asciiTheme="majorHAnsi" w:hAnsiTheme="majorHAnsi"/>
        </w:rPr>
        <w:t xml:space="preserve">particularly </w:t>
      </w:r>
      <w:r w:rsidRPr="00734AB6">
        <w:rPr>
          <w:rFonts w:asciiTheme="majorHAnsi" w:hAnsiTheme="majorHAnsi"/>
        </w:rPr>
        <w:t xml:space="preserve">in psychopharmacology and Jamie’s expertise </w:t>
      </w:r>
      <w:r w:rsidR="00AB66A9" w:rsidRPr="00734AB6">
        <w:rPr>
          <w:rFonts w:asciiTheme="majorHAnsi" w:hAnsiTheme="majorHAnsi"/>
        </w:rPr>
        <w:t xml:space="preserve">particularly </w:t>
      </w:r>
      <w:r w:rsidRPr="00734AB6">
        <w:rPr>
          <w:rFonts w:asciiTheme="majorHAnsi" w:hAnsiTheme="majorHAnsi"/>
        </w:rPr>
        <w:t>in statistics provided the perfect balance and I feel extremely privileged and fortunate to have had their supervision.</w:t>
      </w:r>
      <w:r w:rsidR="00AB66A9" w:rsidRPr="00734AB6">
        <w:rPr>
          <w:rFonts w:asciiTheme="majorHAnsi" w:hAnsiTheme="majorHAnsi"/>
        </w:rPr>
        <w:t xml:space="preserve"> I would like to thank my fellow PhD students who have been a great support to me, </w:t>
      </w:r>
      <w:r w:rsidR="00B51618" w:rsidRPr="00734AB6">
        <w:rPr>
          <w:rFonts w:asciiTheme="majorHAnsi" w:hAnsiTheme="majorHAnsi"/>
        </w:rPr>
        <w:t>especially Dr Janette Jacobs.</w:t>
      </w:r>
      <w:r w:rsidRPr="00734AB6">
        <w:rPr>
          <w:rFonts w:asciiTheme="majorHAnsi" w:hAnsiTheme="majorHAnsi"/>
        </w:rPr>
        <w:t xml:space="preserve"> I would also like to thank the Centre for Addictive Behaviours Research for funding my research. Finally, I would like to give special thanks to my mother, Micheline, </w:t>
      </w:r>
      <w:r w:rsidR="00E00ECF" w:rsidRPr="00734AB6">
        <w:rPr>
          <w:rFonts w:asciiTheme="majorHAnsi" w:hAnsiTheme="majorHAnsi"/>
        </w:rPr>
        <w:t>my sister, Melissa, my brother-i</w:t>
      </w:r>
      <w:r w:rsidRPr="00734AB6">
        <w:rPr>
          <w:rFonts w:asciiTheme="majorHAnsi" w:hAnsiTheme="majorHAnsi"/>
        </w:rPr>
        <w:t>n-law, David and my husband, Robert for their support and encouragement throughout this journey.</w:t>
      </w:r>
    </w:p>
    <w:p w14:paraId="08187BFC" w14:textId="77777777" w:rsidR="00B068FF" w:rsidRPr="00734AB6" w:rsidRDefault="00B068FF" w:rsidP="00B068FF">
      <w:pPr>
        <w:spacing w:line="360" w:lineRule="auto"/>
        <w:rPr>
          <w:rFonts w:asciiTheme="majorHAnsi" w:hAnsiTheme="majorHAnsi"/>
        </w:rPr>
      </w:pPr>
    </w:p>
    <w:p w14:paraId="63BCF951" w14:textId="77777777" w:rsidR="00926D5F" w:rsidRPr="00734AB6" w:rsidRDefault="00926D5F" w:rsidP="00926D5F">
      <w:pPr>
        <w:spacing w:line="360" w:lineRule="auto"/>
      </w:pPr>
    </w:p>
    <w:p w14:paraId="06A4C468" w14:textId="77777777" w:rsidR="00926D5F" w:rsidRPr="00734AB6" w:rsidRDefault="00926D5F" w:rsidP="00926D5F">
      <w:pPr>
        <w:spacing w:line="360" w:lineRule="auto"/>
      </w:pPr>
      <w:r w:rsidRPr="00734AB6">
        <w:br w:type="page"/>
      </w:r>
    </w:p>
    <w:p w14:paraId="6B7046FF" w14:textId="77777777" w:rsidR="000254B2" w:rsidRPr="00734AB6" w:rsidRDefault="000254B2" w:rsidP="0099584D">
      <w:pPr>
        <w:spacing w:after="0" w:line="360" w:lineRule="auto"/>
        <w:rPr>
          <w:rFonts w:asciiTheme="majorHAnsi" w:eastAsiaTheme="majorEastAsia" w:hAnsiTheme="majorHAnsi" w:cstheme="majorBidi"/>
          <w:color w:val="2E74B5" w:themeColor="accent1" w:themeShade="BF"/>
          <w:lang w:val="en-US"/>
        </w:rPr>
      </w:pPr>
    </w:p>
    <w:sdt>
      <w:sdtPr>
        <w:rPr>
          <w:rFonts w:asciiTheme="minorHAnsi" w:eastAsiaTheme="minorHAnsi" w:hAnsiTheme="minorHAnsi" w:cstheme="minorBidi"/>
          <w:color w:val="auto"/>
          <w:sz w:val="22"/>
          <w:szCs w:val="22"/>
          <w:lang w:val="en-GB"/>
        </w:rPr>
        <w:id w:val="-1984304369"/>
        <w:docPartObj>
          <w:docPartGallery w:val="Table of Contents"/>
          <w:docPartUnique/>
        </w:docPartObj>
      </w:sdtPr>
      <w:sdtEndPr>
        <w:rPr>
          <w:b/>
          <w:bCs/>
          <w:noProof/>
        </w:rPr>
      </w:sdtEndPr>
      <w:sdtContent>
        <w:p w14:paraId="6A3E9023" w14:textId="72CC9EBD" w:rsidR="00AC46E6" w:rsidRPr="00734AB6" w:rsidRDefault="00926D5F" w:rsidP="00AD0909">
          <w:pPr>
            <w:pStyle w:val="TOCHeading"/>
            <w:spacing w:after="240" w:line="360" w:lineRule="auto"/>
            <w:ind w:right="283"/>
            <w:rPr>
              <w:b/>
              <w:color w:val="auto"/>
              <w:sz w:val="22"/>
              <w:szCs w:val="22"/>
            </w:rPr>
          </w:pPr>
          <w:r w:rsidRPr="00734AB6">
            <w:rPr>
              <w:b/>
              <w:color w:val="auto"/>
              <w:sz w:val="22"/>
              <w:szCs w:val="22"/>
            </w:rPr>
            <w:t>TABLE OF CONTENTS</w:t>
          </w:r>
        </w:p>
        <w:p w14:paraId="5967F169" w14:textId="1542FB43" w:rsidR="00125CE0" w:rsidRPr="00734AB6" w:rsidRDefault="00AC46E6">
          <w:pPr>
            <w:pStyle w:val="TOC1"/>
            <w:rPr>
              <w:rFonts w:cstheme="minorBidi"/>
              <w:noProof/>
              <w:lang w:val="en-GB" w:eastAsia="en-GB"/>
            </w:rPr>
          </w:pPr>
          <w:r w:rsidRPr="00734AB6">
            <w:rPr>
              <w:rFonts w:asciiTheme="majorHAnsi" w:hAnsiTheme="majorHAnsi"/>
              <w:b/>
              <w:bCs/>
              <w:noProof/>
            </w:rPr>
            <w:fldChar w:fldCharType="begin"/>
          </w:r>
          <w:r w:rsidRPr="00734AB6">
            <w:rPr>
              <w:rFonts w:asciiTheme="majorHAnsi" w:hAnsiTheme="majorHAnsi"/>
              <w:b/>
              <w:bCs/>
              <w:noProof/>
            </w:rPr>
            <w:instrText xml:space="preserve"> TOC \o "1-3" \h \z \u </w:instrText>
          </w:r>
          <w:r w:rsidRPr="00734AB6">
            <w:rPr>
              <w:rFonts w:asciiTheme="majorHAnsi" w:hAnsiTheme="majorHAnsi"/>
              <w:b/>
              <w:bCs/>
              <w:noProof/>
            </w:rPr>
            <w:fldChar w:fldCharType="separate"/>
          </w:r>
          <w:hyperlink w:anchor="_Toc48136314" w:history="1">
            <w:r w:rsidR="00125CE0" w:rsidRPr="00734AB6">
              <w:rPr>
                <w:rStyle w:val="Hyperlink"/>
                <w:b/>
                <w:noProof/>
              </w:rPr>
              <w:t>DISSEMINATION OF FINDINGS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_Toc48136314 \h </w:instrText>
            </w:r>
            <w:r w:rsidR="00125CE0" w:rsidRPr="00734AB6">
              <w:rPr>
                <w:noProof/>
                <w:webHidden/>
              </w:rPr>
            </w:r>
            <w:r w:rsidR="00125CE0" w:rsidRPr="00734AB6">
              <w:rPr>
                <w:noProof/>
                <w:webHidden/>
              </w:rPr>
              <w:fldChar w:fldCharType="separate"/>
            </w:r>
            <w:r w:rsidR="005A21BB" w:rsidRPr="00734AB6">
              <w:rPr>
                <w:noProof/>
                <w:webHidden/>
              </w:rPr>
              <w:t>12</w:t>
            </w:r>
            <w:r w:rsidR="00125CE0" w:rsidRPr="00734AB6">
              <w:rPr>
                <w:noProof/>
                <w:webHidden/>
              </w:rPr>
              <w:fldChar w:fldCharType="end"/>
            </w:r>
          </w:hyperlink>
        </w:p>
        <w:p w14:paraId="03A53CFD" w14:textId="7B223D2C" w:rsidR="00125CE0" w:rsidRPr="00734AB6" w:rsidRDefault="00754FB3">
          <w:pPr>
            <w:pStyle w:val="TOC1"/>
            <w:rPr>
              <w:rFonts w:cstheme="minorBidi"/>
              <w:noProof/>
              <w:lang w:val="en-GB" w:eastAsia="en-GB"/>
            </w:rPr>
          </w:pPr>
          <w:hyperlink w:anchor="_Toc48136315" w:history="1">
            <w:r w:rsidR="00125CE0" w:rsidRPr="00734AB6">
              <w:rPr>
                <w:rStyle w:val="Hyperlink"/>
                <w:b/>
                <w:noProof/>
              </w:rPr>
              <w:t>ABSTRACT</w:t>
            </w:r>
            <w:r w:rsidR="00916297" w:rsidRPr="00734AB6">
              <w:rPr>
                <w:noProof/>
                <w:webHidden/>
              </w:rPr>
              <w:t xml:space="preserve">…………………………………………………………………………………………………………………………… </w:t>
            </w:r>
            <w:r w:rsidR="00125CE0" w:rsidRPr="00734AB6">
              <w:rPr>
                <w:noProof/>
                <w:webHidden/>
              </w:rPr>
              <w:fldChar w:fldCharType="begin"/>
            </w:r>
            <w:r w:rsidR="00125CE0" w:rsidRPr="00734AB6">
              <w:rPr>
                <w:noProof/>
                <w:webHidden/>
              </w:rPr>
              <w:instrText xml:space="preserve"> PAGEREF _Toc48136315 \h </w:instrText>
            </w:r>
            <w:r w:rsidR="00125CE0" w:rsidRPr="00734AB6">
              <w:rPr>
                <w:noProof/>
                <w:webHidden/>
              </w:rPr>
            </w:r>
            <w:r w:rsidR="00125CE0" w:rsidRPr="00734AB6">
              <w:rPr>
                <w:noProof/>
                <w:webHidden/>
              </w:rPr>
              <w:fldChar w:fldCharType="separate"/>
            </w:r>
            <w:r w:rsidR="005A21BB" w:rsidRPr="00734AB6">
              <w:rPr>
                <w:noProof/>
                <w:webHidden/>
              </w:rPr>
              <w:t>13</w:t>
            </w:r>
            <w:r w:rsidR="00125CE0" w:rsidRPr="00734AB6">
              <w:rPr>
                <w:noProof/>
                <w:webHidden/>
              </w:rPr>
              <w:fldChar w:fldCharType="end"/>
            </w:r>
          </w:hyperlink>
        </w:p>
        <w:p w14:paraId="75216DCE" w14:textId="03F5AE79" w:rsidR="00125CE0" w:rsidRPr="00734AB6" w:rsidRDefault="00754FB3">
          <w:pPr>
            <w:pStyle w:val="TOC1"/>
            <w:rPr>
              <w:rFonts w:cstheme="minorBidi"/>
              <w:noProof/>
              <w:lang w:val="en-GB" w:eastAsia="en-GB"/>
            </w:rPr>
          </w:pPr>
          <w:hyperlink w:anchor="_Toc48136316" w:history="1">
            <w:r w:rsidR="00125CE0" w:rsidRPr="00734AB6">
              <w:rPr>
                <w:rStyle w:val="Hyperlink"/>
                <w:b/>
                <w:noProof/>
              </w:rPr>
              <w:t>1</w:t>
            </w:r>
            <w:r w:rsidR="00125CE0" w:rsidRPr="00734AB6">
              <w:rPr>
                <w:rFonts w:cstheme="minorBidi"/>
                <w:noProof/>
                <w:lang w:val="en-GB" w:eastAsia="en-GB"/>
              </w:rPr>
              <w:tab/>
            </w:r>
            <w:r w:rsidR="00125CE0" w:rsidRPr="00734AB6">
              <w:rPr>
                <w:rStyle w:val="Hyperlink"/>
                <w:b/>
                <w:noProof/>
              </w:rPr>
              <w:t>CHAPTER ONE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_Toc48136316 \h </w:instrText>
            </w:r>
            <w:r w:rsidR="00125CE0" w:rsidRPr="00734AB6">
              <w:rPr>
                <w:noProof/>
                <w:webHidden/>
              </w:rPr>
            </w:r>
            <w:r w:rsidR="00125CE0" w:rsidRPr="00734AB6">
              <w:rPr>
                <w:noProof/>
                <w:webHidden/>
              </w:rPr>
              <w:fldChar w:fldCharType="separate"/>
            </w:r>
            <w:r w:rsidR="005A21BB" w:rsidRPr="00734AB6">
              <w:rPr>
                <w:noProof/>
                <w:webHidden/>
              </w:rPr>
              <w:t>14</w:t>
            </w:r>
            <w:r w:rsidR="00125CE0" w:rsidRPr="00734AB6">
              <w:rPr>
                <w:noProof/>
                <w:webHidden/>
              </w:rPr>
              <w:fldChar w:fldCharType="end"/>
            </w:r>
          </w:hyperlink>
        </w:p>
        <w:p w14:paraId="1E7E6502" w14:textId="21D553AA" w:rsidR="00125CE0" w:rsidRPr="00734AB6" w:rsidRDefault="00754FB3">
          <w:pPr>
            <w:pStyle w:val="TOC2"/>
            <w:rPr>
              <w:rFonts w:cstheme="minorBidi"/>
              <w:noProof/>
              <w:lang w:val="en-GB" w:eastAsia="en-GB"/>
            </w:rPr>
          </w:pPr>
          <w:hyperlink w:anchor="_Toc48136317" w:history="1">
            <w:r w:rsidR="00125CE0" w:rsidRPr="00734AB6">
              <w:rPr>
                <w:rStyle w:val="Hyperlink"/>
                <w:b/>
                <w:noProof/>
              </w:rPr>
              <w:t>1.1</w:t>
            </w:r>
            <w:r w:rsidR="00125CE0" w:rsidRPr="00734AB6">
              <w:rPr>
                <w:rFonts w:cstheme="minorBidi"/>
                <w:noProof/>
                <w:lang w:val="en-GB" w:eastAsia="en-GB"/>
              </w:rPr>
              <w:tab/>
            </w:r>
            <w:r w:rsidR="00125CE0" w:rsidRPr="00734AB6">
              <w:rPr>
                <w:rStyle w:val="Hyperlink"/>
                <w:b/>
                <w:noProof/>
              </w:rPr>
              <w:t>Introduction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_Toc48136317 \h </w:instrText>
            </w:r>
            <w:r w:rsidR="00125CE0" w:rsidRPr="00734AB6">
              <w:rPr>
                <w:noProof/>
                <w:webHidden/>
              </w:rPr>
            </w:r>
            <w:r w:rsidR="00125CE0" w:rsidRPr="00734AB6">
              <w:rPr>
                <w:noProof/>
                <w:webHidden/>
              </w:rPr>
              <w:fldChar w:fldCharType="separate"/>
            </w:r>
            <w:r w:rsidR="005A21BB" w:rsidRPr="00734AB6">
              <w:rPr>
                <w:noProof/>
                <w:webHidden/>
              </w:rPr>
              <w:t>14</w:t>
            </w:r>
            <w:r w:rsidR="00125CE0" w:rsidRPr="00734AB6">
              <w:rPr>
                <w:noProof/>
                <w:webHidden/>
              </w:rPr>
              <w:fldChar w:fldCharType="end"/>
            </w:r>
          </w:hyperlink>
        </w:p>
        <w:p w14:paraId="71F5CA3A" w14:textId="11C6AB95" w:rsidR="00125CE0" w:rsidRPr="00734AB6" w:rsidRDefault="00754FB3">
          <w:pPr>
            <w:pStyle w:val="TOC2"/>
            <w:rPr>
              <w:rFonts w:cstheme="minorBidi"/>
              <w:noProof/>
              <w:lang w:val="en-GB" w:eastAsia="en-GB"/>
            </w:rPr>
          </w:pPr>
          <w:hyperlink w:anchor="_Toc48136318" w:history="1">
            <w:r w:rsidR="00125CE0" w:rsidRPr="00734AB6">
              <w:rPr>
                <w:rStyle w:val="Hyperlink"/>
                <w:b/>
                <w:noProof/>
              </w:rPr>
              <w:t>1.2</w:t>
            </w:r>
            <w:r w:rsidR="00125CE0" w:rsidRPr="00734AB6">
              <w:rPr>
                <w:rFonts w:cstheme="minorBidi"/>
                <w:noProof/>
                <w:lang w:val="en-GB" w:eastAsia="en-GB"/>
              </w:rPr>
              <w:tab/>
            </w:r>
            <w:r w:rsidR="00125CE0" w:rsidRPr="00734AB6">
              <w:rPr>
                <w:rStyle w:val="Hyperlink"/>
                <w:b/>
                <w:noProof/>
              </w:rPr>
              <w:t>The rise of psychoactive pharmaceutical drugs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_Toc48136318 \h </w:instrText>
            </w:r>
            <w:r w:rsidR="00125CE0" w:rsidRPr="00734AB6">
              <w:rPr>
                <w:noProof/>
                <w:webHidden/>
              </w:rPr>
            </w:r>
            <w:r w:rsidR="00125CE0" w:rsidRPr="00734AB6">
              <w:rPr>
                <w:noProof/>
                <w:webHidden/>
              </w:rPr>
              <w:fldChar w:fldCharType="separate"/>
            </w:r>
            <w:r w:rsidR="005A21BB" w:rsidRPr="00734AB6">
              <w:rPr>
                <w:noProof/>
                <w:webHidden/>
              </w:rPr>
              <w:t>18</w:t>
            </w:r>
            <w:r w:rsidR="00125CE0" w:rsidRPr="00734AB6">
              <w:rPr>
                <w:noProof/>
                <w:webHidden/>
              </w:rPr>
              <w:fldChar w:fldCharType="end"/>
            </w:r>
          </w:hyperlink>
        </w:p>
        <w:p w14:paraId="7D5BFE5D" w14:textId="241F7C6C" w:rsidR="00125CE0" w:rsidRPr="00734AB6" w:rsidRDefault="00754FB3">
          <w:pPr>
            <w:pStyle w:val="TOC2"/>
            <w:rPr>
              <w:rFonts w:cstheme="minorBidi"/>
              <w:noProof/>
              <w:lang w:val="en-GB" w:eastAsia="en-GB"/>
            </w:rPr>
          </w:pPr>
          <w:hyperlink w:anchor="_Toc48136319" w:history="1">
            <w:r w:rsidR="00125CE0" w:rsidRPr="00734AB6">
              <w:rPr>
                <w:rStyle w:val="Hyperlink"/>
                <w:b/>
                <w:noProof/>
              </w:rPr>
              <w:t>1.3</w:t>
            </w:r>
            <w:r w:rsidR="00125CE0" w:rsidRPr="00734AB6">
              <w:rPr>
                <w:rFonts w:cstheme="minorBidi"/>
                <w:noProof/>
                <w:lang w:val="en-GB" w:eastAsia="en-GB"/>
              </w:rPr>
              <w:tab/>
            </w:r>
            <w:r w:rsidR="00125CE0" w:rsidRPr="00734AB6">
              <w:rPr>
                <w:rStyle w:val="Hyperlink"/>
                <w:b/>
                <w:noProof/>
              </w:rPr>
              <w:t>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_Toc48136319 \h </w:instrText>
            </w:r>
            <w:r w:rsidR="00125CE0" w:rsidRPr="00734AB6">
              <w:rPr>
                <w:noProof/>
                <w:webHidden/>
              </w:rPr>
            </w:r>
            <w:r w:rsidR="00125CE0" w:rsidRPr="00734AB6">
              <w:rPr>
                <w:noProof/>
                <w:webHidden/>
              </w:rPr>
              <w:fldChar w:fldCharType="separate"/>
            </w:r>
            <w:r w:rsidR="005A21BB" w:rsidRPr="00734AB6">
              <w:rPr>
                <w:noProof/>
                <w:webHidden/>
              </w:rPr>
              <w:t>19</w:t>
            </w:r>
            <w:r w:rsidR="00125CE0" w:rsidRPr="00734AB6">
              <w:rPr>
                <w:noProof/>
                <w:webHidden/>
              </w:rPr>
              <w:fldChar w:fldCharType="end"/>
            </w:r>
          </w:hyperlink>
        </w:p>
        <w:p w14:paraId="4D3A3A2F" w14:textId="13CF2EF6" w:rsidR="00125CE0" w:rsidRPr="00734AB6" w:rsidRDefault="00754FB3">
          <w:pPr>
            <w:pStyle w:val="TOC3"/>
            <w:rPr>
              <w:rFonts w:cstheme="minorBidi"/>
              <w:noProof/>
              <w:lang w:val="en-GB" w:eastAsia="en-GB"/>
            </w:rPr>
          </w:pPr>
          <w:hyperlink w:anchor="_Toc48136320" w:history="1">
            <w:r w:rsidR="00125CE0" w:rsidRPr="00734AB6">
              <w:rPr>
                <w:rStyle w:val="Hyperlink"/>
                <w:b/>
                <w:noProof/>
              </w:rPr>
              <w:t>1.3.1</w:t>
            </w:r>
            <w:r w:rsidR="00125CE0" w:rsidRPr="00734AB6">
              <w:rPr>
                <w:rFonts w:cstheme="minorBidi"/>
                <w:noProof/>
                <w:lang w:val="en-GB" w:eastAsia="en-GB"/>
              </w:rPr>
              <w:tab/>
            </w:r>
            <w:r w:rsidR="00125CE0" w:rsidRPr="00734AB6">
              <w:rPr>
                <w:rStyle w:val="Hyperlink"/>
                <w:b/>
                <w:noProof/>
              </w:rPr>
              <w:t>Laboratory -based studies of 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_Toc48136320 \h </w:instrText>
            </w:r>
            <w:r w:rsidR="00125CE0" w:rsidRPr="00734AB6">
              <w:rPr>
                <w:noProof/>
                <w:webHidden/>
              </w:rPr>
            </w:r>
            <w:r w:rsidR="00125CE0" w:rsidRPr="00734AB6">
              <w:rPr>
                <w:noProof/>
                <w:webHidden/>
              </w:rPr>
              <w:fldChar w:fldCharType="separate"/>
            </w:r>
            <w:r w:rsidR="005A21BB" w:rsidRPr="00734AB6">
              <w:rPr>
                <w:noProof/>
                <w:webHidden/>
              </w:rPr>
              <w:t>20</w:t>
            </w:r>
            <w:r w:rsidR="00125CE0" w:rsidRPr="00734AB6">
              <w:rPr>
                <w:noProof/>
                <w:webHidden/>
              </w:rPr>
              <w:fldChar w:fldCharType="end"/>
            </w:r>
          </w:hyperlink>
        </w:p>
        <w:p w14:paraId="4DD6F56A" w14:textId="68ED6348" w:rsidR="00125CE0" w:rsidRPr="00734AB6" w:rsidRDefault="00754FB3">
          <w:pPr>
            <w:pStyle w:val="TOC2"/>
            <w:rPr>
              <w:rFonts w:cstheme="minorBidi"/>
              <w:noProof/>
              <w:lang w:val="en-GB" w:eastAsia="en-GB"/>
            </w:rPr>
          </w:pPr>
          <w:hyperlink w:anchor="_Toc48136321" w:history="1">
            <w:r w:rsidR="00125CE0" w:rsidRPr="00734AB6">
              <w:rPr>
                <w:rStyle w:val="Hyperlink"/>
                <w:b/>
                <w:noProof/>
              </w:rPr>
              <w:t>1.4</w:t>
            </w:r>
            <w:r w:rsidR="00125CE0" w:rsidRPr="00734AB6">
              <w:rPr>
                <w:rFonts w:cstheme="minorBidi"/>
                <w:noProof/>
                <w:lang w:val="en-GB" w:eastAsia="en-GB"/>
              </w:rPr>
              <w:tab/>
            </w:r>
            <w:r w:rsidR="00125CE0" w:rsidRPr="00734AB6">
              <w:rPr>
                <w:rStyle w:val="Hyperlink"/>
                <w:b/>
                <w:noProof/>
              </w:rPr>
              <w:t>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_Toc48136321 \h </w:instrText>
            </w:r>
            <w:r w:rsidR="00125CE0" w:rsidRPr="00734AB6">
              <w:rPr>
                <w:noProof/>
                <w:webHidden/>
              </w:rPr>
            </w:r>
            <w:r w:rsidR="00125CE0" w:rsidRPr="00734AB6">
              <w:rPr>
                <w:noProof/>
                <w:webHidden/>
              </w:rPr>
              <w:fldChar w:fldCharType="separate"/>
            </w:r>
            <w:r w:rsidR="005A21BB" w:rsidRPr="00734AB6">
              <w:rPr>
                <w:noProof/>
                <w:webHidden/>
              </w:rPr>
              <w:t>24</w:t>
            </w:r>
            <w:r w:rsidR="00125CE0" w:rsidRPr="00734AB6">
              <w:rPr>
                <w:noProof/>
                <w:webHidden/>
              </w:rPr>
              <w:fldChar w:fldCharType="end"/>
            </w:r>
          </w:hyperlink>
        </w:p>
        <w:p w14:paraId="4A91C344" w14:textId="27971F31" w:rsidR="00125CE0" w:rsidRPr="00734AB6" w:rsidRDefault="00754FB3">
          <w:pPr>
            <w:pStyle w:val="TOC3"/>
            <w:rPr>
              <w:rFonts w:cstheme="minorBidi"/>
              <w:noProof/>
              <w:lang w:val="en-GB" w:eastAsia="en-GB"/>
            </w:rPr>
          </w:pPr>
          <w:hyperlink w:anchor="_Toc48136322" w:history="1">
            <w:r w:rsidR="00125CE0" w:rsidRPr="00734AB6">
              <w:rPr>
                <w:rStyle w:val="Hyperlink"/>
                <w:b/>
                <w:noProof/>
              </w:rPr>
              <w:t xml:space="preserve">1.4.1 Laboratory-based studies of </w:t>
            </w:r>
            <w:r w:rsidR="00125CE0" w:rsidRPr="00734AB6">
              <w:rPr>
                <w:rStyle w:val="Hyperlink"/>
                <w:rFonts w:cs="Calibri"/>
                <w:b/>
                <w:noProof/>
              </w:rPr>
              <w:t>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_Toc48136322 \h </w:instrText>
            </w:r>
            <w:r w:rsidR="00125CE0" w:rsidRPr="00734AB6">
              <w:rPr>
                <w:noProof/>
                <w:webHidden/>
              </w:rPr>
            </w:r>
            <w:r w:rsidR="00125CE0" w:rsidRPr="00734AB6">
              <w:rPr>
                <w:noProof/>
                <w:webHidden/>
              </w:rPr>
              <w:fldChar w:fldCharType="separate"/>
            </w:r>
            <w:r w:rsidR="005A21BB" w:rsidRPr="00734AB6">
              <w:rPr>
                <w:noProof/>
                <w:webHidden/>
              </w:rPr>
              <w:t>25</w:t>
            </w:r>
            <w:r w:rsidR="00125CE0" w:rsidRPr="00734AB6">
              <w:rPr>
                <w:noProof/>
                <w:webHidden/>
              </w:rPr>
              <w:fldChar w:fldCharType="end"/>
            </w:r>
          </w:hyperlink>
        </w:p>
        <w:p w14:paraId="54FCE6C9" w14:textId="770CB387" w:rsidR="00125CE0" w:rsidRPr="00734AB6" w:rsidRDefault="00754FB3">
          <w:pPr>
            <w:pStyle w:val="TOC2"/>
            <w:rPr>
              <w:rFonts w:cstheme="minorBidi"/>
              <w:noProof/>
              <w:lang w:val="en-GB" w:eastAsia="en-GB"/>
            </w:rPr>
          </w:pPr>
          <w:hyperlink w:anchor="_Toc48136323" w:history="1">
            <w:r w:rsidR="00125CE0" w:rsidRPr="00734AB6">
              <w:rPr>
                <w:rStyle w:val="Hyperlink"/>
                <w:b/>
                <w:noProof/>
              </w:rPr>
              <w:t>1.5</w:t>
            </w:r>
            <w:r w:rsidR="00125CE0" w:rsidRPr="00734AB6">
              <w:rPr>
                <w:rFonts w:cstheme="minorBidi"/>
                <w:noProof/>
                <w:lang w:val="en-GB" w:eastAsia="en-GB"/>
              </w:rPr>
              <w:tab/>
            </w:r>
            <w:r w:rsidR="00125CE0" w:rsidRPr="00734AB6">
              <w:rPr>
                <w:rStyle w:val="Hyperlink"/>
                <w:b/>
                <w:noProof/>
              </w:rPr>
              <w:t>Individual differences and the effects of methylphenidate and 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_Toc48136323 \h </w:instrText>
            </w:r>
            <w:r w:rsidR="00125CE0" w:rsidRPr="00734AB6">
              <w:rPr>
                <w:noProof/>
                <w:webHidden/>
              </w:rPr>
            </w:r>
            <w:r w:rsidR="00125CE0" w:rsidRPr="00734AB6">
              <w:rPr>
                <w:noProof/>
                <w:webHidden/>
              </w:rPr>
              <w:fldChar w:fldCharType="separate"/>
            </w:r>
            <w:r w:rsidR="005A21BB" w:rsidRPr="00734AB6">
              <w:rPr>
                <w:noProof/>
                <w:webHidden/>
              </w:rPr>
              <w:t>31</w:t>
            </w:r>
            <w:r w:rsidR="00125CE0" w:rsidRPr="00734AB6">
              <w:rPr>
                <w:noProof/>
                <w:webHidden/>
              </w:rPr>
              <w:fldChar w:fldCharType="end"/>
            </w:r>
          </w:hyperlink>
        </w:p>
        <w:p w14:paraId="052E9A1E" w14:textId="00E3AA6F" w:rsidR="00125CE0" w:rsidRPr="00734AB6" w:rsidRDefault="00754FB3">
          <w:pPr>
            <w:pStyle w:val="TOC2"/>
            <w:rPr>
              <w:rFonts w:cstheme="minorBidi"/>
              <w:noProof/>
              <w:lang w:val="en-GB" w:eastAsia="en-GB"/>
            </w:rPr>
          </w:pPr>
          <w:hyperlink w:anchor="_Toc48136324" w:history="1">
            <w:r w:rsidR="00125CE0" w:rsidRPr="00734AB6">
              <w:rPr>
                <w:rStyle w:val="Hyperlink"/>
                <w:b/>
                <w:noProof/>
              </w:rPr>
              <w:t>1.6</w:t>
            </w:r>
            <w:r w:rsidR="00125CE0" w:rsidRPr="00734AB6">
              <w:rPr>
                <w:rFonts w:cstheme="minorBidi"/>
                <w:noProof/>
                <w:lang w:val="en-GB" w:eastAsia="en-GB"/>
              </w:rPr>
              <w:tab/>
            </w:r>
            <w:r w:rsidR="00125CE0" w:rsidRPr="00734AB6">
              <w:rPr>
                <w:rStyle w:val="Hyperlink"/>
                <w:b/>
                <w:noProof/>
              </w:rPr>
              <w:t>Risks and potential addiction associated with off-prescription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_Toc48136324 \h </w:instrText>
            </w:r>
            <w:r w:rsidR="00125CE0" w:rsidRPr="00734AB6">
              <w:rPr>
                <w:noProof/>
                <w:webHidden/>
              </w:rPr>
            </w:r>
            <w:r w:rsidR="00125CE0" w:rsidRPr="00734AB6">
              <w:rPr>
                <w:noProof/>
                <w:webHidden/>
              </w:rPr>
              <w:fldChar w:fldCharType="separate"/>
            </w:r>
            <w:r w:rsidR="005A21BB" w:rsidRPr="00734AB6">
              <w:rPr>
                <w:noProof/>
                <w:webHidden/>
              </w:rPr>
              <w:t>35</w:t>
            </w:r>
            <w:r w:rsidR="00125CE0" w:rsidRPr="00734AB6">
              <w:rPr>
                <w:noProof/>
                <w:webHidden/>
              </w:rPr>
              <w:fldChar w:fldCharType="end"/>
            </w:r>
          </w:hyperlink>
        </w:p>
        <w:p w14:paraId="67DB365B" w14:textId="628D9111" w:rsidR="00125CE0" w:rsidRPr="00734AB6" w:rsidRDefault="00754FB3">
          <w:pPr>
            <w:pStyle w:val="TOC3"/>
            <w:rPr>
              <w:rFonts w:cstheme="minorBidi"/>
              <w:noProof/>
              <w:lang w:val="en-GB" w:eastAsia="en-GB"/>
            </w:rPr>
          </w:pPr>
          <w:hyperlink w:anchor="_Toc48136325" w:history="1">
            <w:r w:rsidR="00125CE0" w:rsidRPr="00734AB6">
              <w:rPr>
                <w:rStyle w:val="Hyperlink"/>
                <w:b/>
                <w:noProof/>
              </w:rPr>
              <w:t>1.6.1</w:t>
            </w:r>
            <w:r w:rsidR="00125CE0" w:rsidRPr="00734AB6">
              <w:rPr>
                <w:rFonts w:cstheme="minorBidi"/>
                <w:noProof/>
                <w:lang w:val="en-GB" w:eastAsia="en-GB"/>
              </w:rPr>
              <w:tab/>
            </w:r>
            <w:r w:rsidR="00125CE0" w:rsidRPr="00734AB6">
              <w:rPr>
                <w:rStyle w:val="Hyperlink"/>
                <w:b/>
                <w:noProof/>
              </w:rPr>
              <w:t>Risks and potential addiction: 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_Toc48136325 \h </w:instrText>
            </w:r>
            <w:r w:rsidR="00125CE0" w:rsidRPr="00734AB6">
              <w:rPr>
                <w:noProof/>
                <w:webHidden/>
              </w:rPr>
            </w:r>
            <w:r w:rsidR="00125CE0" w:rsidRPr="00734AB6">
              <w:rPr>
                <w:noProof/>
                <w:webHidden/>
              </w:rPr>
              <w:fldChar w:fldCharType="separate"/>
            </w:r>
            <w:r w:rsidR="005A21BB" w:rsidRPr="00734AB6">
              <w:rPr>
                <w:noProof/>
                <w:webHidden/>
              </w:rPr>
              <w:t>35</w:t>
            </w:r>
            <w:r w:rsidR="00125CE0" w:rsidRPr="00734AB6">
              <w:rPr>
                <w:noProof/>
                <w:webHidden/>
              </w:rPr>
              <w:fldChar w:fldCharType="end"/>
            </w:r>
          </w:hyperlink>
        </w:p>
        <w:p w14:paraId="5FC12982" w14:textId="665E16BA" w:rsidR="00125CE0" w:rsidRPr="00734AB6" w:rsidRDefault="00754FB3">
          <w:pPr>
            <w:pStyle w:val="TOC3"/>
            <w:rPr>
              <w:rFonts w:cstheme="minorBidi"/>
              <w:noProof/>
              <w:lang w:val="en-GB" w:eastAsia="en-GB"/>
            </w:rPr>
          </w:pPr>
          <w:hyperlink w:anchor="_Toc48136326" w:history="1">
            <w:r w:rsidR="00125CE0" w:rsidRPr="00734AB6">
              <w:rPr>
                <w:rStyle w:val="Hyperlink"/>
                <w:b/>
                <w:noProof/>
              </w:rPr>
              <w:t>1.6.2</w:t>
            </w:r>
            <w:r w:rsidR="00125CE0" w:rsidRPr="00734AB6">
              <w:rPr>
                <w:rFonts w:cstheme="minorBidi"/>
                <w:noProof/>
                <w:lang w:val="en-GB" w:eastAsia="en-GB"/>
              </w:rPr>
              <w:tab/>
            </w:r>
            <w:r w:rsidR="00125CE0" w:rsidRPr="00734AB6">
              <w:rPr>
                <w:rStyle w:val="Hyperlink"/>
                <w:b/>
                <w:noProof/>
              </w:rPr>
              <w:t>Risks and potential addiction: 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_Toc48136326 \h </w:instrText>
            </w:r>
            <w:r w:rsidR="00125CE0" w:rsidRPr="00734AB6">
              <w:rPr>
                <w:noProof/>
                <w:webHidden/>
              </w:rPr>
            </w:r>
            <w:r w:rsidR="00125CE0" w:rsidRPr="00734AB6">
              <w:rPr>
                <w:noProof/>
                <w:webHidden/>
              </w:rPr>
              <w:fldChar w:fldCharType="separate"/>
            </w:r>
            <w:r w:rsidR="005A21BB" w:rsidRPr="00734AB6">
              <w:rPr>
                <w:noProof/>
                <w:webHidden/>
              </w:rPr>
              <w:t>38</w:t>
            </w:r>
            <w:r w:rsidR="00125CE0" w:rsidRPr="00734AB6">
              <w:rPr>
                <w:noProof/>
                <w:webHidden/>
              </w:rPr>
              <w:fldChar w:fldCharType="end"/>
            </w:r>
          </w:hyperlink>
        </w:p>
        <w:p w14:paraId="10624203" w14:textId="37152BBD" w:rsidR="00125CE0" w:rsidRPr="00734AB6" w:rsidRDefault="00754FB3">
          <w:pPr>
            <w:pStyle w:val="TOC3"/>
            <w:rPr>
              <w:rFonts w:cstheme="minorBidi"/>
              <w:noProof/>
              <w:lang w:val="en-GB" w:eastAsia="en-GB"/>
            </w:rPr>
          </w:pPr>
          <w:hyperlink w:anchor="_Toc48136327" w:history="1">
            <w:r w:rsidR="00125CE0" w:rsidRPr="00734AB6">
              <w:rPr>
                <w:rStyle w:val="Hyperlink"/>
                <w:b/>
                <w:noProof/>
              </w:rPr>
              <w:t>1.6.3</w:t>
            </w:r>
            <w:r w:rsidR="00125CE0" w:rsidRPr="00734AB6">
              <w:rPr>
                <w:rFonts w:cstheme="minorBidi"/>
                <w:noProof/>
                <w:lang w:val="en-GB" w:eastAsia="en-GB"/>
              </w:rPr>
              <w:tab/>
            </w:r>
            <w:r w:rsidR="00125CE0" w:rsidRPr="00734AB6">
              <w:rPr>
                <w:rStyle w:val="Hyperlink"/>
                <w:b/>
                <w:noProof/>
              </w:rPr>
              <w:t>Illicit drug use with modafinil and 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_Toc48136327 \h </w:instrText>
            </w:r>
            <w:r w:rsidR="00125CE0" w:rsidRPr="00734AB6">
              <w:rPr>
                <w:noProof/>
                <w:webHidden/>
              </w:rPr>
            </w:r>
            <w:r w:rsidR="00125CE0" w:rsidRPr="00734AB6">
              <w:rPr>
                <w:noProof/>
                <w:webHidden/>
              </w:rPr>
              <w:fldChar w:fldCharType="separate"/>
            </w:r>
            <w:r w:rsidR="005A21BB" w:rsidRPr="00734AB6">
              <w:rPr>
                <w:noProof/>
                <w:webHidden/>
              </w:rPr>
              <w:t>40</w:t>
            </w:r>
            <w:r w:rsidR="00125CE0" w:rsidRPr="00734AB6">
              <w:rPr>
                <w:noProof/>
                <w:webHidden/>
              </w:rPr>
              <w:fldChar w:fldCharType="end"/>
            </w:r>
          </w:hyperlink>
        </w:p>
        <w:p w14:paraId="248B2224" w14:textId="64063170" w:rsidR="00125CE0" w:rsidRPr="00734AB6" w:rsidRDefault="00754FB3">
          <w:pPr>
            <w:pStyle w:val="TOC2"/>
            <w:rPr>
              <w:rFonts w:cstheme="minorBidi"/>
              <w:noProof/>
              <w:lang w:val="en-GB" w:eastAsia="en-GB"/>
            </w:rPr>
          </w:pPr>
          <w:hyperlink w:anchor="_Toc48136328" w:history="1">
            <w:r w:rsidR="00125CE0" w:rsidRPr="00734AB6">
              <w:rPr>
                <w:rStyle w:val="Hyperlink"/>
                <w:b/>
                <w:noProof/>
              </w:rPr>
              <w:t>1.7</w:t>
            </w:r>
            <w:r w:rsidR="00125CE0" w:rsidRPr="00734AB6">
              <w:rPr>
                <w:rFonts w:cstheme="minorBidi"/>
                <w:noProof/>
                <w:lang w:val="en-GB" w:eastAsia="en-GB"/>
              </w:rPr>
              <w:tab/>
            </w:r>
            <w:r w:rsidR="00125CE0" w:rsidRPr="00734AB6">
              <w:rPr>
                <w:rStyle w:val="Hyperlink"/>
                <w:b/>
                <w:noProof/>
              </w:rPr>
              <w:t>Aims and scope of the thesis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_Toc48136328 \h </w:instrText>
            </w:r>
            <w:r w:rsidR="00125CE0" w:rsidRPr="00734AB6">
              <w:rPr>
                <w:noProof/>
                <w:webHidden/>
              </w:rPr>
            </w:r>
            <w:r w:rsidR="00125CE0" w:rsidRPr="00734AB6">
              <w:rPr>
                <w:noProof/>
                <w:webHidden/>
              </w:rPr>
              <w:fldChar w:fldCharType="separate"/>
            </w:r>
            <w:r w:rsidR="005A21BB" w:rsidRPr="00734AB6">
              <w:rPr>
                <w:noProof/>
                <w:webHidden/>
              </w:rPr>
              <w:t>41</w:t>
            </w:r>
            <w:r w:rsidR="00125CE0" w:rsidRPr="00734AB6">
              <w:rPr>
                <w:noProof/>
                <w:webHidden/>
              </w:rPr>
              <w:fldChar w:fldCharType="end"/>
            </w:r>
          </w:hyperlink>
        </w:p>
        <w:p w14:paraId="08A989A3" w14:textId="311B7D26" w:rsidR="00125CE0" w:rsidRPr="00734AB6" w:rsidRDefault="00754FB3">
          <w:pPr>
            <w:pStyle w:val="TOC1"/>
            <w:rPr>
              <w:rFonts w:cstheme="minorBidi"/>
              <w:noProof/>
              <w:lang w:val="en-GB" w:eastAsia="en-GB"/>
            </w:rPr>
          </w:pPr>
          <w:hyperlink w:anchor="_Toc48136329" w:history="1">
            <w:r w:rsidR="00125CE0" w:rsidRPr="00734AB6">
              <w:rPr>
                <w:rStyle w:val="Hyperlink"/>
                <w:b/>
                <w:noProof/>
              </w:rPr>
              <w:t>2</w:t>
            </w:r>
            <w:r w:rsidR="00125CE0" w:rsidRPr="00734AB6">
              <w:rPr>
                <w:rFonts w:cstheme="minorBidi"/>
                <w:noProof/>
                <w:lang w:val="en-GB" w:eastAsia="en-GB"/>
              </w:rPr>
              <w:tab/>
            </w:r>
            <w:r w:rsidR="00125CE0" w:rsidRPr="00734AB6">
              <w:rPr>
                <w:rStyle w:val="Hyperlink"/>
                <w:b/>
                <w:noProof/>
              </w:rPr>
              <w:t>CHAPTER TWO</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_Toc48136329 \h </w:instrText>
            </w:r>
            <w:r w:rsidR="00125CE0" w:rsidRPr="00734AB6">
              <w:rPr>
                <w:noProof/>
                <w:webHidden/>
              </w:rPr>
            </w:r>
            <w:r w:rsidR="00125CE0" w:rsidRPr="00734AB6">
              <w:rPr>
                <w:noProof/>
                <w:webHidden/>
              </w:rPr>
              <w:fldChar w:fldCharType="separate"/>
            </w:r>
            <w:r w:rsidR="005A21BB" w:rsidRPr="00734AB6">
              <w:rPr>
                <w:noProof/>
                <w:webHidden/>
              </w:rPr>
              <w:t>43</w:t>
            </w:r>
            <w:r w:rsidR="00125CE0" w:rsidRPr="00734AB6">
              <w:rPr>
                <w:noProof/>
                <w:webHidden/>
              </w:rPr>
              <w:fldChar w:fldCharType="end"/>
            </w:r>
          </w:hyperlink>
        </w:p>
        <w:p w14:paraId="6B11DB6C" w14:textId="4D2383B5" w:rsidR="00125CE0" w:rsidRPr="00734AB6" w:rsidRDefault="00754FB3">
          <w:pPr>
            <w:pStyle w:val="TOC2"/>
            <w:rPr>
              <w:rFonts w:cstheme="minorBidi"/>
              <w:noProof/>
              <w:lang w:val="en-GB" w:eastAsia="en-GB"/>
            </w:rPr>
          </w:pPr>
          <w:hyperlink w:anchor="_Toc48136330" w:history="1">
            <w:r w:rsidR="00125CE0" w:rsidRPr="00734AB6">
              <w:rPr>
                <w:rStyle w:val="Hyperlink"/>
                <w:b/>
                <w:noProof/>
              </w:rPr>
              <w:t>2.1</w:t>
            </w:r>
            <w:r w:rsidR="00125CE0" w:rsidRPr="00734AB6">
              <w:rPr>
                <w:rFonts w:cstheme="minorBidi"/>
                <w:noProof/>
                <w:lang w:val="en-GB" w:eastAsia="en-GB"/>
              </w:rPr>
              <w:tab/>
            </w:r>
            <w:r w:rsidR="00125CE0" w:rsidRPr="00734AB6">
              <w:rPr>
                <w:rStyle w:val="Hyperlink"/>
                <w:b/>
                <w:noProof/>
              </w:rPr>
              <w:t>Introduction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_Toc48136330 \h </w:instrText>
            </w:r>
            <w:r w:rsidR="00125CE0" w:rsidRPr="00734AB6">
              <w:rPr>
                <w:noProof/>
                <w:webHidden/>
              </w:rPr>
            </w:r>
            <w:r w:rsidR="00125CE0" w:rsidRPr="00734AB6">
              <w:rPr>
                <w:noProof/>
                <w:webHidden/>
              </w:rPr>
              <w:fldChar w:fldCharType="separate"/>
            </w:r>
            <w:r w:rsidR="005A21BB" w:rsidRPr="00734AB6">
              <w:rPr>
                <w:noProof/>
                <w:webHidden/>
              </w:rPr>
              <w:t>43</w:t>
            </w:r>
            <w:r w:rsidR="00125CE0" w:rsidRPr="00734AB6">
              <w:rPr>
                <w:noProof/>
                <w:webHidden/>
              </w:rPr>
              <w:fldChar w:fldCharType="end"/>
            </w:r>
          </w:hyperlink>
        </w:p>
        <w:p w14:paraId="271BBAB1" w14:textId="0B0E8095" w:rsidR="00125CE0" w:rsidRPr="00734AB6" w:rsidRDefault="00754FB3">
          <w:pPr>
            <w:pStyle w:val="TOC3"/>
            <w:rPr>
              <w:rFonts w:cstheme="minorBidi"/>
              <w:noProof/>
              <w:lang w:val="en-GB" w:eastAsia="en-GB"/>
            </w:rPr>
          </w:pPr>
          <w:hyperlink w:anchor="_Toc48136331" w:history="1">
            <w:r w:rsidR="00125CE0" w:rsidRPr="00734AB6">
              <w:rPr>
                <w:rStyle w:val="Hyperlink"/>
                <w:b/>
                <w:noProof/>
              </w:rPr>
              <w:t>2.1.1</w:t>
            </w:r>
            <w:r w:rsidR="00125CE0" w:rsidRPr="00734AB6">
              <w:rPr>
                <w:rFonts w:cstheme="minorBidi"/>
                <w:noProof/>
                <w:lang w:val="en-GB" w:eastAsia="en-GB"/>
              </w:rPr>
              <w:tab/>
            </w:r>
            <w:r w:rsidR="00125CE0" w:rsidRPr="00734AB6">
              <w:rPr>
                <w:rStyle w:val="Hyperlink"/>
                <w:b/>
                <w:noProof/>
              </w:rPr>
              <w:t>Surveys investigating off-prescription use of cognitive enhancing drugs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_Toc48136331 \h </w:instrText>
            </w:r>
            <w:r w:rsidR="00125CE0" w:rsidRPr="00734AB6">
              <w:rPr>
                <w:noProof/>
                <w:webHidden/>
              </w:rPr>
            </w:r>
            <w:r w:rsidR="00125CE0" w:rsidRPr="00734AB6">
              <w:rPr>
                <w:noProof/>
                <w:webHidden/>
              </w:rPr>
              <w:fldChar w:fldCharType="separate"/>
            </w:r>
            <w:r w:rsidR="005A21BB" w:rsidRPr="00734AB6">
              <w:rPr>
                <w:noProof/>
                <w:webHidden/>
              </w:rPr>
              <w:t>44</w:t>
            </w:r>
            <w:r w:rsidR="00125CE0" w:rsidRPr="00734AB6">
              <w:rPr>
                <w:noProof/>
                <w:webHidden/>
              </w:rPr>
              <w:fldChar w:fldCharType="end"/>
            </w:r>
          </w:hyperlink>
        </w:p>
        <w:p w14:paraId="2C2E0C74" w14:textId="4667819C" w:rsidR="00916297" w:rsidRPr="00734AB6" w:rsidRDefault="00125CE0" w:rsidP="00916297">
          <w:pPr>
            <w:pStyle w:val="TOC3"/>
            <w:rPr>
              <w:rFonts w:cstheme="minorBidi"/>
              <w:noProof/>
              <w:lang w:val="en-GB" w:eastAsia="en-GB"/>
            </w:rPr>
          </w:pPr>
          <w:r w:rsidRPr="00734AB6">
            <w:rPr>
              <w:rStyle w:val="Hyperlink"/>
              <w:noProof/>
            </w:rPr>
            <w:fldChar w:fldCharType="begin"/>
          </w:r>
          <w:r w:rsidRPr="00734AB6">
            <w:rPr>
              <w:rStyle w:val="Hyperlink"/>
              <w:noProof/>
            </w:rPr>
            <w:instrText xml:space="preserve"> </w:instrText>
          </w:r>
          <w:r w:rsidRPr="00734AB6">
            <w:rPr>
              <w:noProof/>
            </w:rPr>
            <w:instrText>HYPERLINK \l "_Toc48136332"</w:instrText>
          </w:r>
          <w:r w:rsidRPr="00734AB6">
            <w:rPr>
              <w:rStyle w:val="Hyperlink"/>
              <w:noProof/>
            </w:rPr>
            <w:instrText xml:space="preserve"> </w:instrText>
          </w:r>
          <w:r w:rsidRPr="00734AB6">
            <w:rPr>
              <w:rStyle w:val="Hyperlink"/>
              <w:noProof/>
            </w:rPr>
            <w:fldChar w:fldCharType="separate"/>
          </w:r>
          <w:r w:rsidRPr="00734AB6">
            <w:rPr>
              <w:rStyle w:val="Hyperlink"/>
              <w:b/>
              <w:noProof/>
            </w:rPr>
            <w:t>2.1.2</w:t>
          </w:r>
          <w:r w:rsidRPr="00734AB6">
            <w:rPr>
              <w:rFonts w:cstheme="minorBidi"/>
              <w:noProof/>
              <w:lang w:val="en-GB" w:eastAsia="en-GB"/>
            </w:rPr>
            <w:tab/>
          </w:r>
          <w:r w:rsidRPr="00734AB6">
            <w:rPr>
              <w:rStyle w:val="Hyperlink"/>
              <w:b/>
              <w:noProof/>
            </w:rPr>
            <w:t xml:space="preserve">Surveys investigating off-prescription use of methylphenidate and </w:t>
          </w:r>
        </w:p>
        <w:p w14:paraId="6DD5E6E6" w14:textId="49DF5D52" w:rsidR="00125CE0" w:rsidRPr="00734AB6" w:rsidRDefault="00916297">
          <w:pPr>
            <w:pStyle w:val="TOC3"/>
            <w:rPr>
              <w:rFonts w:cstheme="minorBidi"/>
              <w:noProof/>
              <w:lang w:val="en-GB" w:eastAsia="en-GB"/>
            </w:rPr>
          </w:pPr>
          <w:r w:rsidRPr="00734AB6">
            <w:rPr>
              <w:rStyle w:val="Hyperlink"/>
              <w:b/>
              <w:noProof/>
            </w:rPr>
            <w:tab/>
          </w:r>
          <w:r w:rsidR="00125CE0" w:rsidRPr="00734AB6">
            <w:rPr>
              <w:rStyle w:val="Hyperlink"/>
              <w:b/>
              <w:noProof/>
            </w:rPr>
            <w:t>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_Toc48136332 \h </w:instrText>
          </w:r>
          <w:r w:rsidR="00125CE0" w:rsidRPr="00734AB6">
            <w:rPr>
              <w:noProof/>
              <w:webHidden/>
            </w:rPr>
          </w:r>
          <w:r w:rsidR="00125CE0" w:rsidRPr="00734AB6">
            <w:rPr>
              <w:noProof/>
              <w:webHidden/>
            </w:rPr>
            <w:fldChar w:fldCharType="separate"/>
          </w:r>
          <w:r w:rsidR="005A21BB" w:rsidRPr="00734AB6">
            <w:rPr>
              <w:noProof/>
              <w:webHidden/>
            </w:rPr>
            <w:t>46</w:t>
          </w:r>
          <w:r w:rsidR="00125CE0" w:rsidRPr="00734AB6">
            <w:rPr>
              <w:noProof/>
              <w:webHidden/>
            </w:rPr>
            <w:fldChar w:fldCharType="end"/>
          </w:r>
          <w:r w:rsidR="00125CE0" w:rsidRPr="00734AB6">
            <w:rPr>
              <w:rStyle w:val="Hyperlink"/>
              <w:noProof/>
            </w:rPr>
            <w:fldChar w:fldCharType="end"/>
          </w:r>
        </w:p>
        <w:p w14:paraId="4207F426" w14:textId="792F6AFB" w:rsidR="00125CE0" w:rsidRPr="00734AB6" w:rsidRDefault="00754FB3">
          <w:pPr>
            <w:pStyle w:val="TOC3"/>
            <w:rPr>
              <w:rFonts w:cstheme="minorBidi"/>
              <w:noProof/>
              <w:lang w:val="en-GB" w:eastAsia="en-GB"/>
            </w:rPr>
          </w:pPr>
          <w:hyperlink w:anchor="_Toc48136333" w:history="1">
            <w:r w:rsidR="00125CE0" w:rsidRPr="00734AB6">
              <w:rPr>
                <w:rStyle w:val="Hyperlink"/>
                <w:b/>
                <w:noProof/>
              </w:rPr>
              <w:t>2.1.3</w:t>
            </w:r>
            <w:r w:rsidR="00125CE0" w:rsidRPr="00734AB6">
              <w:rPr>
                <w:rFonts w:cstheme="minorBidi"/>
                <w:noProof/>
                <w:lang w:val="en-GB" w:eastAsia="en-GB"/>
              </w:rPr>
              <w:tab/>
            </w:r>
            <w:r w:rsidR="00125CE0" w:rsidRPr="00734AB6">
              <w:rPr>
                <w:rStyle w:val="Hyperlink"/>
                <w:b/>
                <w:noProof/>
              </w:rPr>
              <w:t>Ethical concerns and risks and harms associated with off-prescription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_Toc48136333 \h </w:instrText>
            </w:r>
            <w:r w:rsidR="00125CE0" w:rsidRPr="00734AB6">
              <w:rPr>
                <w:noProof/>
                <w:webHidden/>
              </w:rPr>
            </w:r>
            <w:r w:rsidR="00125CE0" w:rsidRPr="00734AB6">
              <w:rPr>
                <w:noProof/>
                <w:webHidden/>
              </w:rPr>
              <w:fldChar w:fldCharType="separate"/>
            </w:r>
            <w:r w:rsidR="005A21BB" w:rsidRPr="00734AB6">
              <w:rPr>
                <w:noProof/>
                <w:webHidden/>
              </w:rPr>
              <w:t>48</w:t>
            </w:r>
            <w:r w:rsidR="00125CE0" w:rsidRPr="00734AB6">
              <w:rPr>
                <w:noProof/>
                <w:webHidden/>
              </w:rPr>
              <w:fldChar w:fldCharType="end"/>
            </w:r>
          </w:hyperlink>
        </w:p>
        <w:p w14:paraId="462E338A" w14:textId="38FCB8BB" w:rsidR="00125CE0" w:rsidRPr="00734AB6" w:rsidRDefault="00754FB3">
          <w:pPr>
            <w:pStyle w:val="TOC2"/>
            <w:rPr>
              <w:rFonts w:cstheme="minorBidi"/>
              <w:noProof/>
              <w:lang w:val="en-GB" w:eastAsia="en-GB"/>
            </w:rPr>
          </w:pPr>
          <w:hyperlink w:anchor="_Toc48136334" w:history="1">
            <w:r w:rsidR="00125CE0" w:rsidRPr="00734AB6">
              <w:rPr>
                <w:rStyle w:val="Hyperlink"/>
                <w:b/>
                <w:noProof/>
              </w:rPr>
              <w:t>2.2</w:t>
            </w:r>
            <w:r w:rsidR="00125CE0" w:rsidRPr="00734AB6">
              <w:rPr>
                <w:rFonts w:cstheme="minorBidi"/>
                <w:noProof/>
                <w:lang w:val="en-GB" w:eastAsia="en-GB"/>
              </w:rPr>
              <w:tab/>
            </w:r>
            <w:r w:rsidR="00125CE0" w:rsidRPr="00734AB6">
              <w:rPr>
                <w:rStyle w:val="Hyperlink"/>
                <w:b/>
                <w:noProof/>
              </w:rPr>
              <w:t>Online forum survey, Study 1a</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_Toc48136334 \h </w:instrText>
            </w:r>
            <w:r w:rsidR="00125CE0" w:rsidRPr="00734AB6">
              <w:rPr>
                <w:noProof/>
                <w:webHidden/>
              </w:rPr>
            </w:r>
            <w:r w:rsidR="00125CE0" w:rsidRPr="00734AB6">
              <w:rPr>
                <w:noProof/>
                <w:webHidden/>
              </w:rPr>
              <w:fldChar w:fldCharType="separate"/>
            </w:r>
            <w:r w:rsidR="005A21BB" w:rsidRPr="00734AB6">
              <w:rPr>
                <w:noProof/>
                <w:webHidden/>
              </w:rPr>
              <w:t>50</w:t>
            </w:r>
            <w:r w:rsidR="00125CE0" w:rsidRPr="00734AB6">
              <w:rPr>
                <w:noProof/>
                <w:webHidden/>
              </w:rPr>
              <w:fldChar w:fldCharType="end"/>
            </w:r>
          </w:hyperlink>
        </w:p>
        <w:p w14:paraId="757C17E3" w14:textId="00FE318F" w:rsidR="00125CE0" w:rsidRPr="00734AB6" w:rsidRDefault="00754FB3">
          <w:pPr>
            <w:pStyle w:val="TOC3"/>
            <w:rPr>
              <w:rFonts w:cstheme="minorBidi"/>
              <w:noProof/>
              <w:lang w:val="en-GB" w:eastAsia="en-GB"/>
            </w:rPr>
          </w:pPr>
          <w:hyperlink w:anchor="_Toc48136335" w:history="1">
            <w:r w:rsidR="00125CE0" w:rsidRPr="00734AB6">
              <w:rPr>
                <w:rStyle w:val="Hyperlink"/>
                <w:b/>
                <w:noProof/>
              </w:rPr>
              <w:t>2.2.1</w:t>
            </w:r>
            <w:r w:rsidR="00125CE0" w:rsidRPr="00734AB6">
              <w:rPr>
                <w:rFonts w:cstheme="minorBidi"/>
                <w:noProof/>
                <w:lang w:val="en-GB" w:eastAsia="en-GB"/>
              </w:rPr>
              <w:tab/>
            </w:r>
            <w:r w:rsidR="00125CE0" w:rsidRPr="00734AB6">
              <w:rPr>
                <w:rStyle w:val="Hyperlink"/>
                <w:b/>
                <w:noProof/>
              </w:rPr>
              <w:t>Aims and objectives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_Toc48136335 \h </w:instrText>
            </w:r>
            <w:r w:rsidR="00125CE0" w:rsidRPr="00734AB6">
              <w:rPr>
                <w:noProof/>
                <w:webHidden/>
              </w:rPr>
            </w:r>
            <w:r w:rsidR="00125CE0" w:rsidRPr="00734AB6">
              <w:rPr>
                <w:noProof/>
                <w:webHidden/>
              </w:rPr>
              <w:fldChar w:fldCharType="separate"/>
            </w:r>
            <w:r w:rsidR="005A21BB" w:rsidRPr="00734AB6">
              <w:rPr>
                <w:noProof/>
                <w:webHidden/>
              </w:rPr>
              <w:t>50</w:t>
            </w:r>
            <w:r w:rsidR="00125CE0" w:rsidRPr="00734AB6">
              <w:rPr>
                <w:noProof/>
                <w:webHidden/>
              </w:rPr>
              <w:fldChar w:fldCharType="end"/>
            </w:r>
          </w:hyperlink>
        </w:p>
        <w:p w14:paraId="34AD48BD" w14:textId="527E04FF" w:rsidR="00125CE0" w:rsidRPr="00734AB6" w:rsidRDefault="00754FB3">
          <w:pPr>
            <w:pStyle w:val="TOC3"/>
            <w:rPr>
              <w:rFonts w:cstheme="minorBidi"/>
              <w:noProof/>
              <w:lang w:val="en-GB" w:eastAsia="en-GB"/>
            </w:rPr>
          </w:pPr>
          <w:hyperlink w:anchor="_Toc48136336" w:history="1">
            <w:r w:rsidR="00125CE0" w:rsidRPr="00734AB6">
              <w:rPr>
                <w:rStyle w:val="Hyperlink"/>
                <w:b/>
                <w:noProof/>
              </w:rPr>
              <w:t>2.2.2</w:t>
            </w:r>
            <w:r w:rsidR="00125CE0" w:rsidRPr="00734AB6">
              <w:rPr>
                <w:rFonts w:cstheme="minorBidi"/>
                <w:noProof/>
                <w:lang w:val="en-GB" w:eastAsia="en-GB"/>
              </w:rPr>
              <w:tab/>
            </w:r>
            <w:r w:rsidR="00125CE0" w:rsidRPr="00734AB6">
              <w:rPr>
                <w:rStyle w:val="Hyperlink"/>
                <w:b/>
                <w:noProof/>
              </w:rPr>
              <w:t>Methods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_Toc48136336 \h </w:instrText>
            </w:r>
            <w:r w:rsidR="00125CE0" w:rsidRPr="00734AB6">
              <w:rPr>
                <w:noProof/>
                <w:webHidden/>
              </w:rPr>
            </w:r>
            <w:r w:rsidR="00125CE0" w:rsidRPr="00734AB6">
              <w:rPr>
                <w:noProof/>
                <w:webHidden/>
              </w:rPr>
              <w:fldChar w:fldCharType="separate"/>
            </w:r>
            <w:r w:rsidR="005A21BB" w:rsidRPr="00734AB6">
              <w:rPr>
                <w:noProof/>
                <w:webHidden/>
              </w:rPr>
              <w:t>51</w:t>
            </w:r>
            <w:r w:rsidR="00125CE0" w:rsidRPr="00734AB6">
              <w:rPr>
                <w:noProof/>
                <w:webHidden/>
              </w:rPr>
              <w:fldChar w:fldCharType="end"/>
            </w:r>
          </w:hyperlink>
        </w:p>
        <w:p w14:paraId="76CC5C70" w14:textId="1794236A" w:rsidR="00125CE0" w:rsidRPr="00734AB6" w:rsidRDefault="00754FB3">
          <w:pPr>
            <w:pStyle w:val="TOC3"/>
            <w:rPr>
              <w:rFonts w:cstheme="minorBidi"/>
              <w:noProof/>
              <w:lang w:val="en-GB" w:eastAsia="en-GB"/>
            </w:rPr>
          </w:pPr>
          <w:hyperlink w:anchor="_Toc48136337" w:history="1">
            <w:r w:rsidR="00125CE0" w:rsidRPr="00734AB6">
              <w:rPr>
                <w:rStyle w:val="Hyperlink"/>
                <w:b/>
                <w:noProof/>
              </w:rPr>
              <w:t>2.2.3</w:t>
            </w:r>
            <w:r w:rsidR="00125CE0" w:rsidRPr="00734AB6">
              <w:rPr>
                <w:rFonts w:cstheme="minorBidi"/>
                <w:noProof/>
                <w:lang w:val="en-GB" w:eastAsia="en-GB"/>
              </w:rPr>
              <w:tab/>
            </w:r>
            <w:r w:rsidR="00125CE0" w:rsidRPr="00734AB6">
              <w:rPr>
                <w:rStyle w:val="Hyperlink"/>
                <w:b/>
                <w:noProof/>
              </w:rPr>
              <w:t>Results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_Toc48136337 \h </w:instrText>
            </w:r>
            <w:r w:rsidR="00125CE0" w:rsidRPr="00734AB6">
              <w:rPr>
                <w:noProof/>
                <w:webHidden/>
              </w:rPr>
            </w:r>
            <w:r w:rsidR="00125CE0" w:rsidRPr="00734AB6">
              <w:rPr>
                <w:noProof/>
                <w:webHidden/>
              </w:rPr>
              <w:fldChar w:fldCharType="separate"/>
            </w:r>
            <w:r w:rsidR="005A21BB" w:rsidRPr="00734AB6">
              <w:rPr>
                <w:noProof/>
                <w:webHidden/>
              </w:rPr>
              <w:t>55</w:t>
            </w:r>
            <w:r w:rsidR="00125CE0" w:rsidRPr="00734AB6">
              <w:rPr>
                <w:noProof/>
                <w:webHidden/>
              </w:rPr>
              <w:fldChar w:fldCharType="end"/>
            </w:r>
          </w:hyperlink>
        </w:p>
        <w:p w14:paraId="19033677" w14:textId="7D3235B9" w:rsidR="00125CE0" w:rsidRPr="00734AB6" w:rsidRDefault="00754FB3">
          <w:pPr>
            <w:pStyle w:val="TOC3"/>
            <w:rPr>
              <w:rFonts w:cstheme="minorBidi"/>
              <w:noProof/>
              <w:lang w:val="en-GB" w:eastAsia="en-GB"/>
            </w:rPr>
          </w:pPr>
          <w:hyperlink w:anchor="_Toc48136338" w:history="1">
            <w:r w:rsidR="00125CE0" w:rsidRPr="00734AB6">
              <w:rPr>
                <w:rStyle w:val="Hyperlink"/>
                <w:b/>
                <w:noProof/>
              </w:rPr>
              <w:t>2.2.4</w:t>
            </w:r>
            <w:r w:rsidR="00125CE0" w:rsidRPr="00734AB6">
              <w:rPr>
                <w:rFonts w:cstheme="minorBidi"/>
                <w:noProof/>
                <w:lang w:val="en-GB" w:eastAsia="en-GB"/>
              </w:rPr>
              <w:tab/>
            </w:r>
            <w:r w:rsidR="00125CE0" w:rsidRPr="00734AB6">
              <w:rPr>
                <w:rStyle w:val="Hyperlink"/>
                <w:b/>
                <w:noProof/>
              </w:rPr>
              <w:t>Discussion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_Toc48136338 \h </w:instrText>
            </w:r>
            <w:r w:rsidR="00125CE0" w:rsidRPr="00734AB6">
              <w:rPr>
                <w:noProof/>
                <w:webHidden/>
              </w:rPr>
            </w:r>
            <w:r w:rsidR="00125CE0" w:rsidRPr="00734AB6">
              <w:rPr>
                <w:noProof/>
                <w:webHidden/>
              </w:rPr>
              <w:fldChar w:fldCharType="separate"/>
            </w:r>
            <w:r w:rsidR="005A21BB" w:rsidRPr="00734AB6">
              <w:rPr>
                <w:noProof/>
                <w:webHidden/>
              </w:rPr>
              <w:t>70</w:t>
            </w:r>
            <w:r w:rsidR="00125CE0" w:rsidRPr="00734AB6">
              <w:rPr>
                <w:noProof/>
                <w:webHidden/>
              </w:rPr>
              <w:fldChar w:fldCharType="end"/>
            </w:r>
          </w:hyperlink>
        </w:p>
        <w:p w14:paraId="2B4D3DC9" w14:textId="15D4B811" w:rsidR="00125CE0" w:rsidRPr="00734AB6" w:rsidRDefault="00754FB3">
          <w:pPr>
            <w:pStyle w:val="TOC2"/>
            <w:rPr>
              <w:rFonts w:cstheme="minorBidi"/>
              <w:noProof/>
              <w:lang w:val="en-GB" w:eastAsia="en-GB"/>
            </w:rPr>
          </w:pPr>
          <w:hyperlink w:anchor="_Toc48136339" w:history="1">
            <w:r w:rsidR="00125CE0" w:rsidRPr="00734AB6">
              <w:rPr>
                <w:rStyle w:val="Hyperlink"/>
                <w:b/>
                <w:noProof/>
              </w:rPr>
              <w:t>2.3</w:t>
            </w:r>
            <w:r w:rsidR="00125CE0" w:rsidRPr="00734AB6">
              <w:rPr>
                <w:rFonts w:cstheme="minorBidi"/>
                <w:noProof/>
                <w:lang w:val="en-GB" w:eastAsia="en-GB"/>
              </w:rPr>
              <w:tab/>
            </w:r>
            <w:r w:rsidR="00125CE0" w:rsidRPr="00734AB6">
              <w:rPr>
                <w:rStyle w:val="Hyperlink"/>
                <w:b/>
                <w:noProof/>
              </w:rPr>
              <w:t>Study 1b: Survey of London South Bank University students and staff.</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_Toc48136339 \h </w:instrText>
            </w:r>
            <w:r w:rsidR="00125CE0" w:rsidRPr="00734AB6">
              <w:rPr>
                <w:noProof/>
                <w:webHidden/>
              </w:rPr>
            </w:r>
            <w:r w:rsidR="00125CE0" w:rsidRPr="00734AB6">
              <w:rPr>
                <w:noProof/>
                <w:webHidden/>
              </w:rPr>
              <w:fldChar w:fldCharType="separate"/>
            </w:r>
            <w:r w:rsidR="005A21BB" w:rsidRPr="00734AB6">
              <w:rPr>
                <w:noProof/>
                <w:webHidden/>
              </w:rPr>
              <w:t>77</w:t>
            </w:r>
            <w:r w:rsidR="00125CE0" w:rsidRPr="00734AB6">
              <w:rPr>
                <w:noProof/>
                <w:webHidden/>
              </w:rPr>
              <w:fldChar w:fldCharType="end"/>
            </w:r>
          </w:hyperlink>
        </w:p>
        <w:p w14:paraId="4D481798" w14:textId="601A321F" w:rsidR="00125CE0" w:rsidRPr="00734AB6" w:rsidRDefault="00754FB3">
          <w:pPr>
            <w:pStyle w:val="TOC3"/>
            <w:rPr>
              <w:rFonts w:cstheme="minorBidi"/>
              <w:noProof/>
              <w:lang w:val="en-GB" w:eastAsia="en-GB"/>
            </w:rPr>
          </w:pPr>
          <w:hyperlink w:anchor="_Toc48136340" w:history="1">
            <w:r w:rsidR="00125CE0" w:rsidRPr="00734AB6">
              <w:rPr>
                <w:rStyle w:val="Hyperlink"/>
                <w:b/>
                <w:noProof/>
              </w:rPr>
              <w:t>2.3.1</w:t>
            </w:r>
            <w:r w:rsidR="00125CE0" w:rsidRPr="00734AB6">
              <w:rPr>
                <w:rFonts w:cstheme="minorBidi"/>
                <w:noProof/>
                <w:lang w:val="en-GB" w:eastAsia="en-GB"/>
              </w:rPr>
              <w:tab/>
            </w:r>
            <w:r w:rsidR="00125CE0" w:rsidRPr="00734AB6">
              <w:rPr>
                <w:rStyle w:val="Hyperlink"/>
                <w:b/>
                <w:noProof/>
              </w:rPr>
              <w:t>Introduction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_Toc48136340 \h </w:instrText>
            </w:r>
            <w:r w:rsidR="00125CE0" w:rsidRPr="00734AB6">
              <w:rPr>
                <w:noProof/>
                <w:webHidden/>
              </w:rPr>
            </w:r>
            <w:r w:rsidR="00125CE0" w:rsidRPr="00734AB6">
              <w:rPr>
                <w:noProof/>
                <w:webHidden/>
              </w:rPr>
              <w:fldChar w:fldCharType="separate"/>
            </w:r>
            <w:r w:rsidR="005A21BB" w:rsidRPr="00734AB6">
              <w:rPr>
                <w:noProof/>
                <w:webHidden/>
              </w:rPr>
              <w:t>77</w:t>
            </w:r>
            <w:r w:rsidR="00125CE0" w:rsidRPr="00734AB6">
              <w:rPr>
                <w:noProof/>
                <w:webHidden/>
              </w:rPr>
              <w:fldChar w:fldCharType="end"/>
            </w:r>
          </w:hyperlink>
        </w:p>
        <w:p w14:paraId="61BDF84F" w14:textId="33C34FE0" w:rsidR="00125CE0" w:rsidRPr="00734AB6" w:rsidRDefault="00754FB3">
          <w:pPr>
            <w:pStyle w:val="TOC3"/>
            <w:rPr>
              <w:rFonts w:cstheme="minorBidi"/>
              <w:noProof/>
              <w:lang w:val="en-GB" w:eastAsia="en-GB"/>
            </w:rPr>
          </w:pPr>
          <w:hyperlink w:anchor="_Toc48136341" w:history="1">
            <w:r w:rsidR="00125CE0" w:rsidRPr="00734AB6">
              <w:rPr>
                <w:rStyle w:val="Hyperlink"/>
                <w:b/>
                <w:noProof/>
              </w:rPr>
              <w:t>2.3.2</w:t>
            </w:r>
            <w:r w:rsidR="00125CE0" w:rsidRPr="00734AB6">
              <w:rPr>
                <w:rFonts w:cstheme="minorBidi"/>
                <w:noProof/>
                <w:lang w:val="en-GB" w:eastAsia="en-GB"/>
              </w:rPr>
              <w:tab/>
            </w:r>
            <w:r w:rsidR="00125CE0" w:rsidRPr="00734AB6">
              <w:rPr>
                <w:rStyle w:val="Hyperlink"/>
                <w:b/>
                <w:noProof/>
              </w:rPr>
              <w:t>Method</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_Toc48136341 \h </w:instrText>
            </w:r>
            <w:r w:rsidR="00125CE0" w:rsidRPr="00734AB6">
              <w:rPr>
                <w:noProof/>
                <w:webHidden/>
              </w:rPr>
            </w:r>
            <w:r w:rsidR="00125CE0" w:rsidRPr="00734AB6">
              <w:rPr>
                <w:noProof/>
                <w:webHidden/>
              </w:rPr>
              <w:fldChar w:fldCharType="separate"/>
            </w:r>
            <w:r w:rsidR="005A21BB" w:rsidRPr="00734AB6">
              <w:rPr>
                <w:noProof/>
                <w:webHidden/>
              </w:rPr>
              <w:t>77</w:t>
            </w:r>
            <w:r w:rsidR="00125CE0" w:rsidRPr="00734AB6">
              <w:rPr>
                <w:noProof/>
                <w:webHidden/>
              </w:rPr>
              <w:fldChar w:fldCharType="end"/>
            </w:r>
          </w:hyperlink>
        </w:p>
        <w:p w14:paraId="4FEBE396" w14:textId="62A42DE5" w:rsidR="00125CE0" w:rsidRPr="00734AB6" w:rsidRDefault="00754FB3">
          <w:pPr>
            <w:pStyle w:val="TOC3"/>
            <w:rPr>
              <w:rFonts w:cstheme="minorBidi"/>
              <w:noProof/>
              <w:lang w:val="en-GB" w:eastAsia="en-GB"/>
            </w:rPr>
          </w:pPr>
          <w:hyperlink w:anchor="_Toc48136342" w:history="1">
            <w:r w:rsidR="00125CE0" w:rsidRPr="00734AB6">
              <w:rPr>
                <w:rStyle w:val="Hyperlink"/>
                <w:b/>
                <w:noProof/>
              </w:rPr>
              <w:t>2.3.3</w:t>
            </w:r>
            <w:r w:rsidR="00125CE0" w:rsidRPr="00734AB6">
              <w:rPr>
                <w:rFonts w:cstheme="minorBidi"/>
                <w:noProof/>
                <w:lang w:val="en-GB" w:eastAsia="en-GB"/>
              </w:rPr>
              <w:tab/>
            </w:r>
            <w:r w:rsidR="00125CE0" w:rsidRPr="00734AB6">
              <w:rPr>
                <w:rStyle w:val="Hyperlink"/>
                <w:b/>
                <w:noProof/>
              </w:rPr>
              <w:t>Results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_Toc48136342 \h </w:instrText>
            </w:r>
            <w:r w:rsidR="00125CE0" w:rsidRPr="00734AB6">
              <w:rPr>
                <w:noProof/>
                <w:webHidden/>
              </w:rPr>
            </w:r>
            <w:r w:rsidR="00125CE0" w:rsidRPr="00734AB6">
              <w:rPr>
                <w:noProof/>
                <w:webHidden/>
              </w:rPr>
              <w:fldChar w:fldCharType="separate"/>
            </w:r>
            <w:r w:rsidR="005A21BB" w:rsidRPr="00734AB6">
              <w:rPr>
                <w:noProof/>
                <w:webHidden/>
              </w:rPr>
              <w:t>78</w:t>
            </w:r>
            <w:r w:rsidR="00125CE0" w:rsidRPr="00734AB6">
              <w:rPr>
                <w:noProof/>
                <w:webHidden/>
              </w:rPr>
              <w:fldChar w:fldCharType="end"/>
            </w:r>
          </w:hyperlink>
        </w:p>
        <w:p w14:paraId="2786D91F" w14:textId="30321255" w:rsidR="00125CE0" w:rsidRPr="00734AB6" w:rsidRDefault="00754FB3">
          <w:pPr>
            <w:pStyle w:val="TOC3"/>
            <w:rPr>
              <w:rFonts w:cstheme="minorBidi"/>
              <w:noProof/>
              <w:lang w:val="en-GB" w:eastAsia="en-GB"/>
            </w:rPr>
          </w:pPr>
          <w:hyperlink w:anchor="_Toc48136343" w:history="1">
            <w:r w:rsidR="00125CE0" w:rsidRPr="00734AB6">
              <w:rPr>
                <w:rStyle w:val="Hyperlink"/>
                <w:b/>
                <w:noProof/>
              </w:rPr>
              <w:t>2.3.4</w:t>
            </w:r>
            <w:r w:rsidR="00125CE0" w:rsidRPr="00734AB6">
              <w:rPr>
                <w:rFonts w:cstheme="minorBidi"/>
                <w:noProof/>
                <w:lang w:val="en-GB" w:eastAsia="en-GB"/>
              </w:rPr>
              <w:tab/>
            </w:r>
            <w:r w:rsidR="00125CE0" w:rsidRPr="00734AB6">
              <w:rPr>
                <w:rStyle w:val="Hyperlink"/>
                <w:b/>
                <w:noProof/>
              </w:rPr>
              <w:t>Discussion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_Toc48136343 \h </w:instrText>
            </w:r>
            <w:r w:rsidR="00125CE0" w:rsidRPr="00734AB6">
              <w:rPr>
                <w:noProof/>
                <w:webHidden/>
              </w:rPr>
            </w:r>
            <w:r w:rsidR="00125CE0" w:rsidRPr="00734AB6">
              <w:rPr>
                <w:noProof/>
                <w:webHidden/>
              </w:rPr>
              <w:fldChar w:fldCharType="separate"/>
            </w:r>
            <w:r w:rsidR="005A21BB" w:rsidRPr="00734AB6">
              <w:rPr>
                <w:noProof/>
                <w:webHidden/>
              </w:rPr>
              <w:t>82</w:t>
            </w:r>
            <w:r w:rsidR="00125CE0" w:rsidRPr="00734AB6">
              <w:rPr>
                <w:noProof/>
                <w:webHidden/>
              </w:rPr>
              <w:fldChar w:fldCharType="end"/>
            </w:r>
          </w:hyperlink>
        </w:p>
        <w:p w14:paraId="7B4435C0" w14:textId="5A34F026" w:rsidR="00125CE0" w:rsidRPr="00734AB6" w:rsidRDefault="00754FB3">
          <w:pPr>
            <w:pStyle w:val="TOC1"/>
            <w:rPr>
              <w:rFonts w:cstheme="minorBidi"/>
              <w:noProof/>
              <w:lang w:val="en-GB" w:eastAsia="en-GB"/>
            </w:rPr>
          </w:pPr>
          <w:hyperlink w:anchor="_Toc48136344" w:history="1">
            <w:r w:rsidR="00125CE0" w:rsidRPr="00734AB6">
              <w:rPr>
                <w:rStyle w:val="Hyperlink"/>
                <w:b/>
                <w:noProof/>
              </w:rPr>
              <w:t>3</w:t>
            </w:r>
            <w:r w:rsidR="00125CE0" w:rsidRPr="00734AB6">
              <w:rPr>
                <w:rFonts w:cstheme="minorBidi"/>
                <w:noProof/>
                <w:lang w:val="en-GB" w:eastAsia="en-GB"/>
              </w:rPr>
              <w:tab/>
            </w:r>
            <w:r w:rsidR="00125CE0" w:rsidRPr="00734AB6">
              <w:rPr>
                <w:rStyle w:val="Hyperlink"/>
                <w:b/>
                <w:noProof/>
              </w:rPr>
              <w:t>CHAPTER THREE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_Toc48136344 \h </w:instrText>
            </w:r>
            <w:r w:rsidR="00125CE0" w:rsidRPr="00734AB6">
              <w:rPr>
                <w:noProof/>
                <w:webHidden/>
              </w:rPr>
            </w:r>
            <w:r w:rsidR="00125CE0" w:rsidRPr="00734AB6">
              <w:rPr>
                <w:noProof/>
                <w:webHidden/>
              </w:rPr>
              <w:fldChar w:fldCharType="separate"/>
            </w:r>
            <w:r w:rsidR="005A21BB" w:rsidRPr="00734AB6">
              <w:rPr>
                <w:noProof/>
                <w:webHidden/>
              </w:rPr>
              <w:t>85</w:t>
            </w:r>
            <w:r w:rsidR="00125CE0" w:rsidRPr="00734AB6">
              <w:rPr>
                <w:noProof/>
                <w:webHidden/>
              </w:rPr>
              <w:fldChar w:fldCharType="end"/>
            </w:r>
          </w:hyperlink>
        </w:p>
        <w:p w14:paraId="02CF0F80" w14:textId="6EE0D554" w:rsidR="00125CE0" w:rsidRPr="00734AB6" w:rsidRDefault="00754FB3">
          <w:pPr>
            <w:pStyle w:val="TOC2"/>
            <w:rPr>
              <w:rFonts w:cstheme="minorBidi"/>
              <w:noProof/>
              <w:lang w:val="en-GB" w:eastAsia="en-GB"/>
            </w:rPr>
          </w:pPr>
          <w:hyperlink w:anchor="_Toc48136345" w:history="1">
            <w:r w:rsidR="00125CE0" w:rsidRPr="00734AB6">
              <w:rPr>
                <w:rStyle w:val="Hyperlink"/>
                <w:b/>
                <w:noProof/>
              </w:rPr>
              <w:t>3.1</w:t>
            </w:r>
            <w:r w:rsidR="00125CE0" w:rsidRPr="00734AB6">
              <w:rPr>
                <w:rFonts w:cstheme="minorBidi"/>
                <w:noProof/>
                <w:lang w:val="en-GB" w:eastAsia="en-GB"/>
              </w:rPr>
              <w:tab/>
            </w:r>
            <w:r w:rsidR="00125CE0" w:rsidRPr="00734AB6">
              <w:rPr>
                <w:rStyle w:val="Hyperlink"/>
                <w:b/>
                <w:noProof/>
              </w:rPr>
              <w:t>Introduction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_Toc48136345 \h </w:instrText>
            </w:r>
            <w:r w:rsidR="00125CE0" w:rsidRPr="00734AB6">
              <w:rPr>
                <w:noProof/>
                <w:webHidden/>
              </w:rPr>
            </w:r>
            <w:r w:rsidR="00125CE0" w:rsidRPr="00734AB6">
              <w:rPr>
                <w:noProof/>
                <w:webHidden/>
              </w:rPr>
              <w:fldChar w:fldCharType="separate"/>
            </w:r>
            <w:r w:rsidR="005A21BB" w:rsidRPr="00734AB6">
              <w:rPr>
                <w:noProof/>
                <w:webHidden/>
              </w:rPr>
              <w:t>85</w:t>
            </w:r>
            <w:r w:rsidR="00125CE0" w:rsidRPr="00734AB6">
              <w:rPr>
                <w:noProof/>
                <w:webHidden/>
              </w:rPr>
              <w:fldChar w:fldCharType="end"/>
            </w:r>
          </w:hyperlink>
        </w:p>
        <w:p w14:paraId="5C9241A5" w14:textId="316A3591" w:rsidR="00125CE0" w:rsidRPr="00734AB6" w:rsidRDefault="00754FB3">
          <w:pPr>
            <w:pStyle w:val="TOC2"/>
            <w:rPr>
              <w:rFonts w:cstheme="minorBidi"/>
              <w:noProof/>
              <w:lang w:val="en-GB" w:eastAsia="en-GB"/>
            </w:rPr>
          </w:pPr>
          <w:hyperlink w:anchor="_Toc48136346" w:history="1">
            <w:r w:rsidR="00125CE0" w:rsidRPr="00734AB6">
              <w:rPr>
                <w:rStyle w:val="Hyperlink"/>
                <w:b/>
                <w:noProof/>
              </w:rPr>
              <w:t>3.2</w:t>
            </w:r>
            <w:r w:rsidR="00125CE0" w:rsidRPr="00734AB6">
              <w:rPr>
                <w:rFonts w:cstheme="minorBidi"/>
                <w:noProof/>
                <w:lang w:val="en-GB" w:eastAsia="en-GB"/>
              </w:rPr>
              <w:tab/>
            </w:r>
            <w:r w:rsidR="00125CE0" w:rsidRPr="00734AB6">
              <w:rPr>
                <w:rStyle w:val="Hyperlink"/>
                <w:b/>
                <w:noProof/>
              </w:rPr>
              <w:t>Methods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_Toc48136346 \h </w:instrText>
            </w:r>
            <w:r w:rsidR="00125CE0" w:rsidRPr="00734AB6">
              <w:rPr>
                <w:noProof/>
                <w:webHidden/>
              </w:rPr>
            </w:r>
            <w:r w:rsidR="00125CE0" w:rsidRPr="00734AB6">
              <w:rPr>
                <w:noProof/>
                <w:webHidden/>
              </w:rPr>
              <w:fldChar w:fldCharType="separate"/>
            </w:r>
            <w:r w:rsidR="005A21BB" w:rsidRPr="00734AB6">
              <w:rPr>
                <w:noProof/>
                <w:webHidden/>
              </w:rPr>
              <w:t>89</w:t>
            </w:r>
            <w:r w:rsidR="00125CE0" w:rsidRPr="00734AB6">
              <w:rPr>
                <w:noProof/>
                <w:webHidden/>
              </w:rPr>
              <w:fldChar w:fldCharType="end"/>
            </w:r>
          </w:hyperlink>
        </w:p>
        <w:p w14:paraId="71ED2DDC" w14:textId="6D20A7E8" w:rsidR="00125CE0" w:rsidRPr="00734AB6" w:rsidRDefault="00754FB3">
          <w:pPr>
            <w:pStyle w:val="TOC3"/>
            <w:rPr>
              <w:rFonts w:cstheme="minorBidi"/>
              <w:noProof/>
              <w:lang w:val="en-GB" w:eastAsia="en-GB"/>
            </w:rPr>
          </w:pPr>
          <w:hyperlink w:anchor="_Toc48136347" w:history="1">
            <w:r w:rsidR="00125CE0" w:rsidRPr="00734AB6">
              <w:rPr>
                <w:rStyle w:val="Hyperlink"/>
                <w:b/>
                <w:noProof/>
              </w:rPr>
              <w:t>3.2.1</w:t>
            </w:r>
            <w:r w:rsidR="00125CE0" w:rsidRPr="00734AB6">
              <w:rPr>
                <w:rFonts w:cstheme="minorBidi"/>
                <w:noProof/>
                <w:lang w:val="en-GB" w:eastAsia="en-GB"/>
              </w:rPr>
              <w:tab/>
            </w:r>
            <w:r w:rsidR="00125CE0" w:rsidRPr="00734AB6">
              <w:rPr>
                <w:rStyle w:val="Hyperlink"/>
                <w:b/>
                <w:noProof/>
              </w:rPr>
              <w:t>Respondents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_Toc48136347 \h </w:instrText>
            </w:r>
            <w:r w:rsidR="00125CE0" w:rsidRPr="00734AB6">
              <w:rPr>
                <w:noProof/>
                <w:webHidden/>
              </w:rPr>
            </w:r>
            <w:r w:rsidR="00125CE0" w:rsidRPr="00734AB6">
              <w:rPr>
                <w:noProof/>
                <w:webHidden/>
              </w:rPr>
              <w:fldChar w:fldCharType="separate"/>
            </w:r>
            <w:r w:rsidR="005A21BB" w:rsidRPr="00734AB6">
              <w:rPr>
                <w:noProof/>
                <w:webHidden/>
              </w:rPr>
              <w:t>89</w:t>
            </w:r>
            <w:r w:rsidR="00125CE0" w:rsidRPr="00734AB6">
              <w:rPr>
                <w:noProof/>
                <w:webHidden/>
              </w:rPr>
              <w:fldChar w:fldCharType="end"/>
            </w:r>
          </w:hyperlink>
        </w:p>
        <w:p w14:paraId="33053660" w14:textId="5F90A7F5" w:rsidR="00125CE0" w:rsidRPr="00734AB6" w:rsidRDefault="00754FB3">
          <w:pPr>
            <w:pStyle w:val="TOC3"/>
            <w:rPr>
              <w:rFonts w:cstheme="minorBidi"/>
              <w:noProof/>
              <w:lang w:val="en-GB" w:eastAsia="en-GB"/>
            </w:rPr>
          </w:pPr>
          <w:hyperlink w:anchor="_Toc48136348" w:history="1">
            <w:r w:rsidR="00125CE0" w:rsidRPr="00734AB6">
              <w:rPr>
                <w:rStyle w:val="Hyperlink"/>
                <w:b/>
                <w:noProof/>
              </w:rPr>
              <w:t>3.2.2</w:t>
            </w:r>
            <w:r w:rsidR="00125CE0" w:rsidRPr="00734AB6">
              <w:rPr>
                <w:rFonts w:cstheme="minorBidi"/>
                <w:noProof/>
                <w:lang w:val="en-GB" w:eastAsia="en-GB"/>
              </w:rPr>
              <w:tab/>
            </w:r>
            <w:r w:rsidR="00125CE0" w:rsidRPr="00734AB6">
              <w:rPr>
                <w:rStyle w:val="Hyperlink"/>
                <w:b/>
                <w:noProof/>
              </w:rPr>
              <w:t>Materials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_Toc48136348 \h </w:instrText>
            </w:r>
            <w:r w:rsidR="00125CE0" w:rsidRPr="00734AB6">
              <w:rPr>
                <w:noProof/>
                <w:webHidden/>
              </w:rPr>
            </w:r>
            <w:r w:rsidR="00125CE0" w:rsidRPr="00734AB6">
              <w:rPr>
                <w:noProof/>
                <w:webHidden/>
              </w:rPr>
              <w:fldChar w:fldCharType="separate"/>
            </w:r>
            <w:r w:rsidR="005A21BB" w:rsidRPr="00734AB6">
              <w:rPr>
                <w:noProof/>
                <w:webHidden/>
              </w:rPr>
              <w:t>90</w:t>
            </w:r>
            <w:r w:rsidR="00125CE0" w:rsidRPr="00734AB6">
              <w:rPr>
                <w:noProof/>
                <w:webHidden/>
              </w:rPr>
              <w:fldChar w:fldCharType="end"/>
            </w:r>
          </w:hyperlink>
        </w:p>
        <w:p w14:paraId="6A03D89D" w14:textId="763E6329" w:rsidR="00125CE0" w:rsidRPr="00734AB6" w:rsidRDefault="00754FB3">
          <w:pPr>
            <w:pStyle w:val="TOC3"/>
            <w:rPr>
              <w:rFonts w:cstheme="minorBidi"/>
              <w:noProof/>
              <w:lang w:val="en-GB" w:eastAsia="en-GB"/>
            </w:rPr>
          </w:pPr>
          <w:hyperlink w:anchor="_Toc48136349" w:history="1">
            <w:r w:rsidR="00125CE0" w:rsidRPr="00734AB6">
              <w:rPr>
                <w:rStyle w:val="Hyperlink"/>
                <w:b/>
                <w:noProof/>
              </w:rPr>
              <w:t>3.2.3</w:t>
            </w:r>
            <w:r w:rsidR="00125CE0" w:rsidRPr="00734AB6">
              <w:rPr>
                <w:rFonts w:cstheme="minorBidi"/>
                <w:noProof/>
                <w:lang w:val="en-GB" w:eastAsia="en-GB"/>
              </w:rPr>
              <w:tab/>
            </w:r>
            <w:r w:rsidR="00125CE0" w:rsidRPr="00734AB6">
              <w:rPr>
                <w:rStyle w:val="Hyperlink"/>
                <w:b/>
                <w:noProof/>
              </w:rPr>
              <w:t>Demographics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_Toc48136349 \h </w:instrText>
            </w:r>
            <w:r w:rsidR="00125CE0" w:rsidRPr="00734AB6">
              <w:rPr>
                <w:noProof/>
                <w:webHidden/>
              </w:rPr>
            </w:r>
            <w:r w:rsidR="00125CE0" w:rsidRPr="00734AB6">
              <w:rPr>
                <w:noProof/>
                <w:webHidden/>
              </w:rPr>
              <w:fldChar w:fldCharType="separate"/>
            </w:r>
            <w:r w:rsidR="005A21BB" w:rsidRPr="00734AB6">
              <w:rPr>
                <w:noProof/>
                <w:webHidden/>
              </w:rPr>
              <w:t>91</w:t>
            </w:r>
            <w:r w:rsidR="00125CE0" w:rsidRPr="00734AB6">
              <w:rPr>
                <w:noProof/>
                <w:webHidden/>
              </w:rPr>
              <w:fldChar w:fldCharType="end"/>
            </w:r>
          </w:hyperlink>
        </w:p>
        <w:p w14:paraId="3099F3C6" w14:textId="0CBB4CE4" w:rsidR="00125CE0" w:rsidRPr="00734AB6" w:rsidRDefault="00754FB3">
          <w:pPr>
            <w:pStyle w:val="TOC3"/>
            <w:rPr>
              <w:rFonts w:cstheme="minorBidi"/>
              <w:noProof/>
              <w:lang w:val="en-GB" w:eastAsia="en-GB"/>
            </w:rPr>
          </w:pPr>
          <w:hyperlink w:anchor="_Toc48136350" w:history="1">
            <w:r w:rsidR="00125CE0" w:rsidRPr="00734AB6">
              <w:rPr>
                <w:rStyle w:val="Hyperlink"/>
                <w:b/>
                <w:noProof/>
              </w:rPr>
              <w:t>3.2.4</w:t>
            </w:r>
            <w:r w:rsidR="00125CE0" w:rsidRPr="00734AB6">
              <w:rPr>
                <w:rFonts w:cstheme="minorBidi"/>
                <w:noProof/>
                <w:lang w:val="en-GB" w:eastAsia="en-GB"/>
              </w:rPr>
              <w:tab/>
            </w:r>
            <w:r w:rsidR="00125CE0" w:rsidRPr="00734AB6">
              <w:rPr>
                <w:rStyle w:val="Hyperlink"/>
                <w:b/>
                <w:noProof/>
              </w:rPr>
              <w:t>Psychiatric health</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_Toc48136350 \h </w:instrText>
            </w:r>
            <w:r w:rsidR="00125CE0" w:rsidRPr="00734AB6">
              <w:rPr>
                <w:noProof/>
                <w:webHidden/>
              </w:rPr>
            </w:r>
            <w:r w:rsidR="00125CE0" w:rsidRPr="00734AB6">
              <w:rPr>
                <w:noProof/>
                <w:webHidden/>
              </w:rPr>
              <w:fldChar w:fldCharType="separate"/>
            </w:r>
            <w:r w:rsidR="005A21BB" w:rsidRPr="00734AB6">
              <w:rPr>
                <w:noProof/>
                <w:webHidden/>
              </w:rPr>
              <w:t>91</w:t>
            </w:r>
            <w:r w:rsidR="00125CE0" w:rsidRPr="00734AB6">
              <w:rPr>
                <w:noProof/>
                <w:webHidden/>
              </w:rPr>
              <w:fldChar w:fldCharType="end"/>
            </w:r>
          </w:hyperlink>
        </w:p>
        <w:p w14:paraId="1D29CC9F" w14:textId="4155C606" w:rsidR="00125CE0" w:rsidRPr="00734AB6" w:rsidRDefault="00754FB3">
          <w:pPr>
            <w:pStyle w:val="TOC3"/>
            <w:rPr>
              <w:rFonts w:cstheme="minorBidi"/>
              <w:noProof/>
              <w:lang w:val="en-GB" w:eastAsia="en-GB"/>
            </w:rPr>
          </w:pPr>
          <w:hyperlink w:anchor="_Toc48136351" w:history="1">
            <w:r w:rsidR="00125CE0" w:rsidRPr="00734AB6">
              <w:rPr>
                <w:rStyle w:val="Hyperlink"/>
                <w:b/>
                <w:noProof/>
              </w:rPr>
              <w:t>3.2.5</w:t>
            </w:r>
            <w:r w:rsidR="00125CE0" w:rsidRPr="00734AB6">
              <w:rPr>
                <w:rFonts w:cstheme="minorBidi"/>
                <w:noProof/>
                <w:lang w:val="en-GB" w:eastAsia="en-GB"/>
              </w:rPr>
              <w:tab/>
            </w:r>
            <w:r w:rsidR="00125CE0" w:rsidRPr="00734AB6">
              <w:rPr>
                <w:rStyle w:val="Hyperlink"/>
                <w:b/>
                <w:noProof/>
              </w:rPr>
              <w:t>Cannabis, Nicotine and Alcohol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_Toc48136351 \h </w:instrText>
            </w:r>
            <w:r w:rsidR="00125CE0" w:rsidRPr="00734AB6">
              <w:rPr>
                <w:noProof/>
                <w:webHidden/>
              </w:rPr>
            </w:r>
            <w:r w:rsidR="00125CE0" w:rsidRPr="00734AB6">
              <w:rPr>
                <w:noProof/>
                <w:webHidden/>
              </w:rPr>
              <w:fldChar w:fldCharType="separate"/>
            </w:r>
            <w:r w:rsidR="005A21BB" w:rsidRPr="00734AB6">
              <w:rPr>
                <w:noProof/>
                <w:webHidden/>
              </w:rPr>
              <w:t>91</w:t>
            </w:r>
            <w:r w:rsidR="00125CE0" w:rsidRPr="00734AB6">
              <w:rPr>
                <w:noProof/>
                <w:webHidden/>
              </w:rPr>
              <w:fldChar w:fldCharType="end"/>
            </w:r>
          </w:hyperlink>
        </w:p>
        <w:p w14:paraId="679BB37F" w14:textId="1DE5382F" w:rsidR="00125CE0" w:rsidRPr="00734AB6" w:rsidRDefault="00754FB3">
          <w:pPr>
            <w:pStyle w:val="TOC3"/>
            <w:rPr>
              <w:rFonts w:cstheme="minorBidi"/>
              <w:noProof/>
              <w:lang w:val="en-GB" w:eastAsia="en-GB"/>
            </w:rPr>
          </w:pPr>
          <w:hyperlink w:anchor="_Toc48136352" w:history="1">
            <w:r w:rsidR="00125CE0" w:rsidRPr="00734AB6">
              <w:rPr>
                <w:rStyle w:val="Hyperlink"/>
                <w:b/>
                <w:noProof/>
              </w:rPr>
              <w:t>3.2.6</w:t>
            </w:r>
            <w:r w:rsidR="00125CE0" w:rsidRPr="00734AB6">
              <w:rPr>
                <w:rFonts w:cstheme="minorBidi"/>
                <w:noProof/>
                <w:lang w:val="en-GB" w:eastAsia="en-GB"/>
              </w:rPr>
              <w:tab/>
            </w:r>
            <w:r w:rsidR="00125CE0" w:rsidRPr="00734AB6">
              <w:rPr>
                <w:rStyle w:val="Hyperlink"/>
                <w:b/>
                <w:noProof/>
              </w:rPr>
              <w:t>Usage of other Recreational Drugs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_Toc48136352 \h </w:instrText>
            </w:r>
            <w:r w:rsidR="00125CE0" w:rsidRPr="00734AB6">
              <w:rPr>
                <w:noProof/>
                <w:webHidden/>
              </w:rPr>
            </w:r>
            <w:r w:rsidR="00125CE0" w:rsidRPr="00734AB6">
              <w:rPr>
                <w:noProof/>
                <w:webHidden/>
              </w:rPr>
              <w:fldChar w:fldCharType="separate"/>
            </w:r>
            <w:r w:rsidR="005A21BB" w:rsidRPr="00734AB6">
              <w:rPr>
                <w:noProof/>
                <w:webHidden/>
              </w:rPr>
              <w:t>91</w:t>
            </w:r>
            <w:r w:rsidR="00125CE0" w:rsidRPr="00734AB6">
              <w:rPr>
                <w:noProof/>
                <w:webHidden/>
              </w:rPr>
              <w:fldChar w:fldCharType="end"/>
            </w:r>
          </w:hyperlink>
        </w:p>
        <w:p w14:paraId="5B41F0C4" w14:textId="51092F80" w:rsidR="00125CE0" w:rsidRPr="00734AB6" w:rsidRDefault="00754FB3">
          <w:pPr>
            <w:pStyle w:val="TOC3"/>
            <w:rPr>
              <w:rFonts w:cstheme="minorBidi"/>
              <w:noProof/>
              <w:lang w:val="en-GB" w:eastAsia="en-GB"/>
            </w:rPr>
          </w:pPr>
          <w:hyperlink w:anchor="_Toc48136353" w:history="1">
            <w:r w:rsidR="00125CE0" w:rsidRPr="00734AB6">
              <w:rPr>
                <w:rStyle w:val="Hyperlink"/>
                <w:b/>
                <w:noProof/>
              </w:rPr>
              <w:t>3.2.7</w:t>
            </w:r>
            <w:r w:rsidR="00125CE0" w:rsidRPr="00734AB6">
              <w:rPr>
                <w:rFonts w:cstheme="minorBidi"/>
                <w:noProof/>
                <w:lang w:val="en-GB" w:eastAsia="en-GB"/>
              </w:rPr>
              <w:tab/>
            </w:r>
            <w:r w:rsidR="00125CE0" w:rsidRPr="00734AB6">
              <w:rPr>
                <w:rStyle w:val="Hyperlink"/>
                <w:b/>
                <w:noProof/>
              </w:rPr>
              <w:t>Modafinil and Methylphenidate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_Toc48136353 \h </w:instrText>
            </w:r>
            <w:r w:rsidR="00125CE0" w:rsidRPr="00734AB6">
              <w:rPr>
                <w:noProof/>
                <w:webHidden/>
              </w:rPr>
            </w:r>
            <w:r w:rsidR="00125CE0" w:rsidRPr="00734AB6">
              <w:rPr>
                <w:noProof/>
                <w:webHidden/>
              </w:rPr>
              <w:fldChar w:fldCharType="separate"/>
            </w:r>
            <w:r w:rsidR="005A21BB" w:rsidRPr="00734AB6">
              <w:rPr>
                <w:noProof/>
                <w:webHidden/>
              </w:rPr>
              <w:t>92</w:t>
            </w:r>
            <w:r w:rsidR="00125CE0" w:rsidRPr="00734AB6">
              <w:rPr>
                <w:noProof/>
                <w:webHidden/>
              </w:rPr>
              <w:fldChar w:fldCharType="end"/>
            </w:r>
          </w:hyperlink>
        </w:p>
        <w:p w14:paraId="0BBE830C" w14:textId="5091A21A" w:rsidR="00125CE0" w:rsidRPr="00734AB6" w:rsidRDefault="00754FB3">
          <w:pPr>
            <w:pStyle w:val="TOC3"/>
            <w:rPr>
              <w:rFonts w:cstheme="minorBidi"/>
              <w:noProof/>
              <w:lang w:val="en-GB" w:eastAsia="en-GB"/>
            </w:rPr>
          </w:pPr>
          <w:hyperlink w:anchor="_Toc48136354" w:history="1">
            <w:r w:rsidR="00125CE0" w:rsidRPr="00734AB6">
              <w:rPr>
                <w:rStyle w:val="Hyperlink"/>
                <w:b/>
                <w:noProof/>
              </w:rPr>
              <w:t>3.2.8</w:t>
            </w:r>
            <w:r w:rsidR="00125CE0" w:rsidRPr="00734AB6">
              <w:rPr>
                <w:rFonts w:cstheme="minorBidi"/>
                <w:noProof/>
                <w:lang w:val="en-GB" w:eastAsia="en-GB"/>
              </w:rPr>
              <w:tab/>
            </w:r>
            <w:r w:rsidR="00125CE0" w:rsidRPr="00734AB6">
              <w:rPr>
                <w:rStyle w:val="Hyperlink"/>
                <w:b/>
                <w:noProof/>
              </w:rPr>
              <w:t>Adult ADHD Self Report Scale (ASRS-V1.1)</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_Toc48136354 \h </w:instrText>
            </w:r>
            <w:r w:rsidR="00125CE0" w:rsidRPr="00734AB6">
              <w:rPr>
                <w:noProof/>
                <w:webHidden/>
              </w:rPr>
            </w:r>
            <w:r w:rsidR="00125CE0" w:rsidRPr="00734AB6">
              <w:rPr>
                <w:noProof/>
                <w:webHidden/>
              </w:rPr>
              <w:fldChar w:fldCharType="separate"/>
            </w:r>
            <w:r w:rsidR="005A21BB" w:rsidRPr="00734AB6">
              <w:rPr>
                <w:noProof/>
                <w:webHidden/>
              </w:rPr>
              <w:t>92</w:t>
            </w:r>
            <w:r w:rsidR="00125CE0" w:rsidRPr="00734AB6">
              <w:rPr>
                <w:noProof/>
                <w:webHidden/>
              </w:rPr>
              <w:fldChar w:fldCharType="end"/>
            </w:r>
          </w:hyperlink>
        </w:p>
        <w:p w14:paraId="26B60FCB" w14:textId="536165E8" w:rsidR="00125CE0" w:rsidRPr="00734AB6" w:rsidRDefault="00754FB3">
          <w:pPr>
            <w:pStyle w:val="TOC3"/>
            <w:rPr>
              <w:rFonts w:cstheme="minorBidi"/>
              <w:noProof/>
              <w:lang w:val="en-GB" w:eastAsia="en-GB"/>
            </w:rPr>
          </w:pPr>
          <w:hyperlink w:anchor="_Toc48136355" w:history="1">
            <w:r w:rsidR="00125CE0" w:rsidRPr="00734AB6">
              <w:rPr>
                <w:rStyle w:val="Hyperlink"/>
                <w:b/>
                <w:noProof/>
              </w:rPr>
              <w:t>3.2.9</w:t>
            </w:r>
            <w:r w:rsidR="00125CE0" w:rsidRPr="00734AB6">
              <w:rPr>
                <w:rFonts w:cstheme="minorBidi"/>
                <w:noProof/>
                <w:lang w:val="en-GB" w:eastAsia="en-GB"/>
              </w:rPr>
              <w:tab/>
            </w:r>
            <w:r w:rsidR="00125CE0" w:rsidRPr="00734AB6">
              <w:rPr>
                <w:rStyle w:val="Hyperlink"/>
                <w:b/>
                <w:noProof/>
              </w:rPr>
              <w:t>Cognitive Failures Questionnaire (CFQ)</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_Toc48136355 \h </w:instrText>
            </w:r>
            <w:r w:rsidR="00125CE0" w:rsidRPr="00734AB6">
              <w:rPr>
                <w:noProof/>
                <w:webHidden/>
              </w:rPr>
            </w:r>
            <w:r w:rsidR="00125CE0" w:rsidRPr="00734AB6">
              <w:rPr>
                <w:noProof/>
                <w:webHidden/>
              </w:rPr>
              <w:fldChar w:fldCharType="separate"/>
            </w:r>
            <w:r w:rsidR="005A21BB" w:rsidRPr="00734AB6">
              <w:rPr>
                <w:noProof/>
                <w:webHidden/>
              </w:rPr>
              <w:t>93</w:t>
            </w:r>
            <w:r w:rsidR="00125CE0" w:rsidRPr="00734AB6">
              <w:rPr>
                <w:noProof/>
                <w:webHidden/>
              </w:rPr>
              <w:fldChar w:fldCharType="end"/>
            </w:r>
          </w:hyperlink>
        </w:p>
        <w:p w14:paraId="3188AD92" w14:textId="7C2099A4" w:rsidR="00125CE0" w:rsidRPr="00734AB6" w:rsidRDefault="00754FB3">
          <w:pPr>
            <w:pStyle w:val="TOC3"/>
            <w:rPr>
              <w:rFonts w:cstheme="minorBidi"/>
              <w:noProof/>
              <w:lang w:val="en-GB" w:eastAsia="en-GB"/>
            </w:rPr>
          </w:pPr>
          <w:hyperlink w:anchor="_Toc48136356" w:history="1">
            <w:r w:rsidR="00125CE0" w:rsidRPr="00734AB6">
              <w:rPr>
                <w:rStyle w:val="Hyperlink"/>
                <w:b/>
                <w:noProof/>
              </w:rPr>
              <w:t>3.2.10</w:t>
            </w:r>
            <w:r w:rsidR="00125CE0" w:rsidRPr="00734AB6">
              <w:rPr>
                <w:rFonts w:cstheme="minorBidi"/>
                <w:noProof/>
                <w:lang w:val="en-GB" w:eastAsia="en-GB"/>
              </w:rPr>
              <w:tab/>
            </w:r>
            <w:r w:rsidR="00125CE0" w:rsidRPr="00734AB6">
              <w:rPr>
                <w:rStyle w:val="Hyperlink"/>
                <w:b/>
                <w:noProof/>
              </w:rPr>
              <w:t>General Procrastination Scale (GPS)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_Toc48136356 \h </w:instrText>
            </w:r>
            <w:r w:rsidR="00125CE0" w:rsidRPr="00734AB6">
              <w:rPr>
                <w:noProof/>
                <w:webHidden/>
              </w:rPr>
            </w:r>
            <w:r w:rsidR="00125CE0" w:rsidRPr="00734AB6">
              <w:rPr>
                <w:noProof/>
                <w:webHidden/>
              </w:rPr>
              <w:fldChar w:fldCharType="separate"/>
            </w:r>
            <w:r w:rsidR="005A21BB" w:rsidRPr="00734AB6">
              <w:rPr>
                <w:noProof/>
                <w:webHidden/>
              </w:rPr>
              <w:t>93</w:t>
            </w:r>
            <w:r w:rsidR="00125CE0" w:rsidRPr="00734AB6">
              <w:rPr>
                <w:noProof/>
                <w:webHidden/>
              </w:rPr>
              <w:fldChar w:fldCharType="end"/>
            </w:r>
          </w:hyperlink>
        </w:p>
        <w:p w14:paraId="6377972C" w14:textId="37B8A0D4" w:rsidR="00125CE0" w:rsidRPr="00734AB6" w:rsidRDefault="00754FB3">
          <w:pPr>
            <w:pStyle w:val="TOC3"/>
            <w:rPr>
              <w:rFonts w:cstheme="minorBidi"/>
              <w:noProof/>
              <w:lang w:val="en-GB" w:eastAsia="en-GB"/>
            </w:rPr>
          </w:pPr>
          <w:hyperlink w:anchor="_Toc48136357" w:history="1">
            <w:r w:rsidR="00125CE0" w:rsidRPr="00734AB6">
              <w:rPr>
                <w:rStyle w:val="Hyperlink"/>
                <w:b/>
                <w:noProof/>
              </w:rPr>
              <w:t>3.2.11</w:t>
            </w:r>
            <w:r w:rsidR="00125CE0" w:rsidRPr="00734AB6">
              <w:rPr>
                <w:rFonts w:cstheme="minorBidi"/>
                <w:noProof/>
                <w:lang w:val="en-GB" w:eastAsia="en-GB"/>
              </w:rPr>
              <w:tab/>
            </w:r>
            <w:r w:rsidR="00125CE0" w:rsidRPr="00734AB6">
              <w:rPr>
                <w:rStyle w:val="Hyperlink"/>
                <w:b/>
                <w:noProof/>
              </w:rPr>
              <w:t>Questionnaire responses on modafinil and 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_Toc48136357 \h </w:instrText>
            </w:r>
            <w:r w:rsidR="00125CE0" w:rsidRPr="00734AB6">
              <w:rPr>
                <w:noProof/>
                <w:webHidden/>
              </w:rPr>
            </w:r>
            <w:r w:rsidR="00125CE0" w:rsidRPr="00734AB6">
              <w:rPr>
                <w:noProof/>
                <w:webHidden/>
              </w:rPr>
              <w:fldChar w:fldCharType="separate"/>
            </w:r>
            <w:r w:rsidR="005A21BB" w:rsidRPr="00734AB6">
              <w:rPr>
                <w:noProof/>
                <w:webHidden/>
              </w:rPr>
              <w:t>93</w:t>
            </w:r>
            <w:r w:rsidR="00125CE0" w:rsidRPr="00734AB6">
              <w:rPr>
                <w:noProof/>
                <w:webHidden/>
              </w:rPr>
              <w:fldChar w:fldCharType="end"/>
            </w:r>
          </w:hyperlink>
        </w:p>
        <w:p w14:paraId="7DEF6AB7" w14:textId="1F4A341A" w:rsidR="00125CE0" w:rsidRPr="00734AB6" w:rsidRDefault="00754FB3">
          <w:pPr>
            <w:pStyle w:val="TOC3"/>
            <w:rPr>
              <w:rFonts w:cstheme="minorBidi"/>
              <w:noProof/>
              <w:lang w:val="en-GB" w:eastAsia="en-GB"/>
            </w:rPr>
          </w:pPr>
          <w:hyperlink w:anchor="_Toc48136358" w:history="1">
            <w:r w:rsidR="00125CE0" w:rsidRPr="00734AB6">
              <w:rPr>
                <w:rStyle w:val="Hyperlink"/>
                <w:b/>
                <w:noProof/>
              </w:rPr>
              <w:t>3.2.12</w:t>
            </w:r>
            <w:r w:rsidR="00125CE0" w:rsidRPr="00734AB6">
              <w:rPr>
                <w:rFonts w:cstheme="minorBidi"/>
                <w:noProof/>
                <w:lang w:val="en-GB" w:eastAsia="en-GB"/>
              </w:rPr>
              <w:tab/>
            </w:r>
            <w:r w:rsidR="00125CE0" w:rsidRPr="00734AB6">
              <w:rPr>
                <w:rStyle w:val="Hyperlink"/>
                <w:b/>
                <w:noProof/>
              </w:rPr>
              <w:t>Design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_Toc48136358 \h </w:instrText>
            </w:r>
            <w:r w:rsidR="00125CE0" w:rsidRPr="00734AB6">
              <w:rPr>
                <w:noProof/>
                <w:webHidden/>
              </w:rPr>
            </w:r>
            <w:r w:rsidR="00125CE0" w:rsidRPr="00734AB6">
              <w:rPr>
                <w:noProof/>
                <w:webHidden/>
              </w:rPr>
              <w:fldChar w:fldCharType="separate"/>
            </w:r>
            <w:r w:rsidR="005A21BB" w:rsidRPr="00734AB6">
              <w:rPr>
                <w:noProof/>
                <w:webHidden/>
              </w:rPr>
              <w:t>94</w:t>
            </w:r>
            <w:r w:rsidR="00125CE0" w:rsidRPr="00734AB6">
              <w:rPr>
                <w:noProof/>
                <w:webHidden/>
              </w:rPr>
              <w:fldChar w:fldCharType="end"/>
            </w:r>
          </w:hyperlink>
        </w:p>
        <w:p w14:paraId="64DDF8B9" w14:textId="5BA8E89E" w:rsidR="00125CE0" w:rsidRPr="00734AB6" w:rsidRDefault="00754FB3">
          <w:pPr>
            <w:pStyle w:val="TOC3"/>
            <w:rPr>
              <w:rFonts w:cstheme="minorBidi"/>
              <w:noProof/>
              <w:lang w:val="en-GB" w:eastAsia="en-GB"/>
            </w:rPr>
          </w:pPr>
          <w:hyperlink w:anchor="_Toc48136359" w:history="1">
            <w:r w:rsidR="00125CE0" w:rsidRPr="00734AB6">
              <w:rPr>
                <w:rStyle w:val="Hyperlink"/>
                <w:b/>
                <w:noProof/>
              </w:rPr>
              <w:t>3.2.13</w:t>
            </w:r>
            <w:r w:rsidR="00125CE0" w:rsidRPr="00734AB6">
              <w:rPr>
                <w:rFonts w:cstheme="minorBidi"/>
                <w:noProof/>
                <w:lang w:val="en-GB" w:eastAsia="en-GB"/>
              </w:rPr>
              <w:tab/>
            </w:r>
            <w:r w:rsidR="00125CE0" w:rsidRPr="00734AB6">
              <w:rPr>
                <w:rStyle w:val="Hyperlink"/>
                <w:b/>
                <w:noProof/>
              </w:rPr>
              <w:t>Procedure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_Toc48136359 \h </w:instrText>
            </w:r>
            <w:r w:rsidR="00125CE0" w:rsidRPr="00734AB6">
              <w:rPr>
                <w:noProof/>
                <w:webHidden/>
              </w:rPr>
            </w:r>
            <w:r w:rsidR="00125CE0" w:rsidRPr="00734AB6">
              <w:rPr>
                <w:noProof/>
                <w:webHidden/>
              </w:rPr>
              <w:fldChar w:fldCharType="separate"/>
            </w:r>
            <w:r w:rsidR="005A21BB" w:rsidRPr="00734AB6">
              <w:rPr>
                <w:noProof/>
                <w:webHidden/>
              </w:rPr>
              <w:t>94</w:t>
            </w:r>
            <w:r w:rsidR="00125CE0" w:rsidRPr="00734AB6">
              <w:rPr>
                <w:noProof/>
                <w:webHidden/>
              </w:rPr>
              <w:fldChar w:fldCharType="end"/>
            </w:r>
          </w:hyperlink>
        </w:p>
        <w:p w14:paraId="329BAFFE" w14:textId="2F9C8370" w:rsidR="00125CE0" w:rsidRPr="00734AB6" w:rsidRDefault="00754FB3">
          <w:pPr>
            <w:pStyle w:val="TOC2"/>
            <w:rPr>
              <w:rFonts w:cstheme="minorBidi"/>
              <w:noProof/>
              <w:lang w:val="en-GB" w:eastAsia="en-GB"/>
            </w:rPr>
          </w:pPr>
          <w:hyperlink w:anchor="_Toc48136360" w:history="1">
            <w:r w:rsidR="00125CE0" w:rsidRPr="00734AB6">
              <w:rPr>
                <w:rStyle w:val="Hyperlink"/>
                <w:b/>
                <w:noProof/>
              </w:rPr>
              <w:t>3.3</w:t>
            </w:r>
            <w:r w:rsidR="00125CE0" w:rsidRPr="00734AB6">
              <w:rPr>
                <w:rFonts w:cstheme="minorBidi"/>
                <w:noProof/>
                <w:lang w:val="en-GB" w:eastAsia="en-GB"/>
              </w:rPr>
              <w:tab/>
            </w:r>
            <w:r w:rsidR="00125CE0" w:rsidRPr="00734AB6">
              <w:rPr>
                <w:rStyle w:val="Hyperlink"/>
                <w:b/>
                <w:noProof/>
              </w:rPr>
              <w:t>Results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_Toc48136360 \h </w:instrText>
            </w:r>
            <w:r w:rsidR="00125CE0" w:rsidRPr="00734AB6">
              <w:rPr>
                <w:noProof/>
                <w:webHidden/>
              </w:rPr>
            </w:r>
            <w:r w:rsidR="00125CE0" w:rsidRPr="00734AB6">
              <w:rPr>
                <w:noProof/>
                <w:webHidden/>
              </w:rPr>
              <w:fldChar w:fldCharType="separate"/>
            </w:r>
            <w:r w:rsidR="005A21BB" w:rsidRPr="00734AB6">
              <w:rPr>
                <w:noProof/>
                <w:webHidden/>
              </w:rPr>
              <w:t>95</w:t>
            </w:r>
            <w:r w:rsidR="00125CE0" w:rsidRPr="00734AB6">
              <w:rPr>
                <w:noProof/>
                <w:webHidden/>
              </w:rPr>
              <w:fldChar w:fldCharType="end"/>
            </w:r>
          </w:hyperlink>
        </w:p>
        <w:p w14:paraId="19BB7480" w14:textId="3BD4AE8A" w:rsidR="00125CE0" w:rsidRPr="00734AB6" w:rsidRDefault="00754FB3">
          <w:pPr>
            <w:pStyle w:val="TOC3"/>
            <w:rPr>
              <w:rFonts w:cstheme="minorBidi"/>
              <w:noProof/>
              <w:lang w:val="en-GB" w:eastAsia="en-GB"/>
            </w:rPr>
          </w:pPr>
          <w:hyperlink w:anchor="_Toc48136361" w:history="1">
            <w:r w:rsidR="00125CE0" w:rsidRPr="00734AB6">
              <w:rPr>
                <w:rStyle w:val="Hyperlink"/>
                <w:b/>
                <w:noProof/>
              </w:rPr>
              <w:t>3.3.1</w:t>
            </w:r>
            <w:r w:rsidR="00125CE0" w:rsidRPr="00734AB6">
              <w:rPr>
                <w:rFonts w:cstheme="minorBidi"/>
                <w:noProof/>
                <w:lang w:val="en-GB" w:eastAsia="en-GB"/>
              </w:rPr>
              <w:tab/>
            </w:r>
            <w:r w:rsidR="00125CE0" w:rsidRPr="00734AB6">
              <w:rPr>
                <w:rStyle w:val="Hyperlink"/>
                <w:b/>
                <w:noProof/>
              </w:rPr>
              <w:t>Participant characteristics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_Toc48136361 \h </w:instrText>
            </w:r>
            <w:r w:rsidR="00125CE0" w:rsidRPr="00734AB6">
              <w:rPr>
                <w:noProof/>
                <w:webHidden/>
              </w:rPr>
            </w:r>
            <w:r w:rsidR="00125CE0" w:rsidRPr="00734AB6">
              <w:rPr>
                <w:noProof/>
                <w:webHidden/>
              </w:rPr>
              <w:fldChar w:fldCharType="separate"/>
            </w:r>
            <w:r w:rsidR="005A21BB" w:rsidRPr="00734AB6">
              <w:rPr>
                <w:noProof/>
                <w:webHidden/>
              </w:rPr>
              <w:t>95</w:t>
            </w:r>
            <w:r w:rsidR="00125CE0" w:rsidRPr="00734AB6">
              <w:rPr>
                <w:noProof/>
                <w:webHidden/>
              </w:rPr>
              <w:fldChar w:fldCharType="end"/>
            </w:r>
          </w:hyperlink>
        </w:p>
        <w:p w14:paraId="47710214" w14:textId="7FB2AFAD" w:rsidR="00125CE0" w:rsidRPr="00734AB6" w:rsidRDefault="00754FB3">
          <w:pPr>
            <w:pStyle w:val="TOC3"/>
            <w:rPr>
              <w:rFonts w:cstheme="minorBidi"/>
              <w:noProof/>
              <w:lang w:val="en-GB" w:eastAsia="en-GB"/>
            </w:rPr>
          </w:pPr>
          <w:hyperlink w:anchor="_Toc48136362" w:history="1">
            <w:r w:rsidR="00125CE0" w:rsidRPr="00734AB6">
              <w:rPr>
                <w:rStyle w:val="Hyperlink"/>
                <w:b/>
                <w:noProof/>
              </w:rPr>
              <w:t>3.3.2</w:t>
            </w:r>
            <w:r w:rsidR="00125CE0" w:rsidRPr="00734AB6">
              <w:rPr>
                <w:rFonts w:cstheme="minorBidi"/>
                <w:noProof/>
                <w:lang w:val="en-GB" w:eastAsia="en-GB"/>
              </w:rPr>
              <w:tab/>
            </w:r>
            <w:r w:rsidR="00125CE0" w:rsidRPr="00734AB6">
              <w:rPr>
                <w:rStyle w:val="Hyperlink"/>
                <w:b/>
                <w:noProof/>
              </w:rPr>
              <w:t>Self-reports of cognition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_Toc48136362 \h </w:instrText>
            </w:r>
            <w:r w:rsidR="00125CE0" w:rsidRPr="00734AB6">
              <w:rPr>
                <w:noProof/>
                <w:webHidden/>
              </w:rPr>
            </w:r>
            <w:r w:rsidR="00125CE0" w:rsidRPr="00734AB6">
              <w:rPr>
                <w:noProof/>
                <w:webHidden/>
              </w:rPr>
              <w:fldChar w:fldCharType="separate"/>
            </w:r>
            <w:r w:rsidR="005A21BB" w:rsidRPr="00734AB6">
              <w:rPr>
                <w:noProof/>
                <w:webHidden/>
              </w:rPr>
              <w:t>105</w:t>
            </w:r>
            <w:r w:rsidR="00125CE0" w:rsidRPr="00734AB6">
              <w:rPr>
                <w:noProof/>
                <w:webHidden/>
              </w:rPr>
              <w:fldChar w:fldCharType="end"/>
            </w:r>
          </w:hyperlink>
        </w:p>
        <w:p w14:paraId="5569A037" w14:textId="7F96A598" w:rsidR="00125CE0" w:rsidRPr="00734AB6" w:rsidRDefault="00754FB3">
          <w:pPr>
            <w:pStyle w:val="TOC2"/>
            <w:rPr>
              <w:rFonts w:cstheme="minorBidi"/>
              <w:noProof/>
              <w:lang w:val="en-GB" w:eastAsia="en-GB"/>
            </w:rPr>
          </w:pPr>
          <w:hyperlink w:anchor="_Toc48136363" w:history="1">
            <w:r w:rsidR="00125CE0" w:rsidRPr="00734AB6">
              <w:rPr>
                <w:rStyle w:val="Hyperlink"/>
                <w:b/>
                <w:noProof/>
              </w:rPr>
              <w:t>3.4</w:t>
            </w:r>
            <w:r w:rsidR="00125CE0" w:rsidRPr="00734AB6">
              <w:rPr>
                <w:rFonts w:cstheme="minorBidi"/>
                <w:noProof/>
                <w:lang w:val="en-GB" w:eastAsia="en-GB"/>
              </w:rPr>
              <w:tab/>
            </w:r>
            <w:r w:rsidR="00125CE0" w:rsidRPr="00734AB6">
              <w:rPr>
                <w:rStyle w:val="Hyperlink"/>
                <w:b/>
                <w:noProof/>
              </w:rPr>
              <w:t>Discussion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_Toc48136363 \h </w:instrText>
            </w:r>
            <w:r w:rsidR="00125CE0" w:rsidRPr="00734AB6">
              <w:rPr>
                <w:noProof/>
                <w:webHidden/>
              </w:rPr>
            </w:r>
            <w:r w:rsidR="00125CE0" w:rsidRPr="00734AB6">
              <w:rPr>
                <w:noProof/>
                <w:webHidden/>
              </w:rPr>
              <w:fldChar w:fldCharType="separate"/>
            </w:r>
            <w:r w:rsidR="005A21BB" w:rsidRPr="00734AB6">
              <w:rPr>
                <w:noProof/>
                <w:webHidden/>
              </w:rPr>
              <w:t>112</w:t>
            </w:r>
            <w:r w:rsidR="00125CE0" w:rsidRPr="00734AB6">
              <w:rPr>
                <w:noProof/>
                <w:webHidden/>
              </w:rPr>
              <w:fldChar w:fldCharType="end"/>
            </w:r>
          </w:hyperlink>
        </w:p>
        <w:p w14:paraId="50344DD9" w14:textId="08E477DC" w:rsidR="00125CE0" w:rsidRPr="00734AB6" w:rsidRDefault="00754FB3">
          <w:pPr>
            <w:pStyle w:val="TOC1"/>
            <w:rPr>
              <w:rFonts w:cstheme="minorBidi"/>
              <w:noProof/>
              <w:lang w:val="en-GB" w:eastAsia="en-GB"/>
            </w:rPr>
          </w:pPr>
          <w:hyperlink w:anchor="_Toc48136364" w:history="1">
            <w:r w:rsidR="00125CE0" w:rsidRPr="00734AB6">
              <w:rPr>
                <w:rStyle w:val="Hyperlink"/>
                <w:b/>
                <w:noProof/>
              </w:rPr>
              <w:t>4</w:t>
            </w:r>
            <w:r w:rsidR="00125CE0" w:rsidRPr="00734AB6">
              <w:rPr>
                <w:rFonts w:cstheme="minorBidi"/>
                <w:noProof/>
                <w:lang w:val="en-GB" w:eastAsia="en-GB"/>
              </w:rPr>
              <w:tab/>
            </w:r>
            <w:r w:rsidR="00125CE0" w:rsidRPr="00734AB6">
              <w:rPr>
                <w:rStyle w:val="Hyperlink"/>
                <w:b/>
                <w:noProof/>
              </w:rPr>
              <w:t>CHAPTER 4</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_Toc48136364 \h </w:instrText>
            </w:r>
            <w:r w:rsidR="00125CE0" w:rsidRPr="00734AB6">
              <w:rPr>
                <w:noProof/>
                <w:webHidden/>
              </w:rPr>
            </w:r>
            <w:r w:rsidR="00125CE0" w:rsidRPr="00734AB6">
              <w:rPr>
                <w:noProof/>
                <w:webHidden/>
              </w:rPr>
              <w:fldChar w:fldCharType="separate"/>
            </w:r>
            <w:r w:rsidR="005A21BB" w:rsidRPr="00734AB6">
              <w:rPr>
                <w:noProof/>
                <w:webHidden/>
              </w:rPr>
              <w:t>121</w:t>
            </w:r>
            <w:r w:rsidR="00125CE0" w:rsidRPr="00734AB6">
              <w:rPr>
                <w:noProof/>
                <w:webHidden/>
              </w:rPr>
              <w:fldChar w:fldCharType="end"/>
            </w:r>
          </w:hyperlink>
        </w:p>
        <w:p w14:paraId="019B5EF1" w14:textId="0B836F7F" w:rsidR="00125CE0" w:rsidRPr="00734AB6" w:rsidRDefault="00754FB3">
          <w:pPr>
            <w:pStyle w:val="TOC2"/>
            <w:rPr>
              <w:rFonts w:cstheme="minorBidi"/>
              <w:noProof/>
              <w:lang w:val="en-GB" w:eastAsia="en-GB"/>
            </w:rPr>
          </w:pPr>
          <w:hyperlink w:anchor="_Toc48136365" w:history="1">
            <w:r w:rsidR="00125CE0" w:rsidRPr="00734AB6">
              <w:rPr>
                <w:rStyle w:val="Hyperlink"/>
                <w:b/>
                <w:noProof/>
              </w:rPr>
              <w:t>4.1</w:t>
            </w:r>
            <w:r w:rsidR="00125CE0" w:rsidRPr="00734AB6">
              <w:rPr>
                <w:rFonts w:cstheme="minorBidi"/>
                <w:noProof/>
                <w:lang w:val="en-GB" w:eastAsia="en-GB"/>
              </w:rPr>
              <w:tab/>
            </w:r>
            <w:r w:rsidR="00125CE0" w:rsidRPr="00734AB6">
              <w:rPr>
                <w:rStyle w:val="Hyperlink"/>
                <w:b/>
                <w:noProof/>
              </w:rPr>
              <w:t>Introduction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_Toc48136365 \h </w:instrText>
            </w:r>
            <w:r w:rsidR="00125CE0" w:rsidRPr="00734AB6">
              <w:rPr>
                <w:noProof/>
                <w:webHidden/>
              </w:rPr>
            </w:r>
            <w:r w:rsidR="00125CE0" w:rsidRPr="00734AB6">
              <w:rPr>
                <w:noProof/>
                <w:webHidden/>
              </w:rPr>
              <w:fldChar w:fldCharType="separate"/>
            </w:r>
            <w:r w:rsidR="005A21BB" w:rsidRPr="00734AB6">
              <w:rPr>
                <w:noProof/>
                <w:webHidden/>
              </w:rPr>
              <w:t>121</w:t>
            </w:r>
            <w:r w:rsidR="00125CE0" w:rsidRPr="00734AB6">
              <w:rPr>
                <w:noProof/>
                <w:webHidden/>
              </w:rPr>
              <w:fldChar w:fldCharType="end"/>
            </w:r>
          </w:hyperlink>
        </w:p>
        <w:p w14:paraId="4096069D" w14:textId="6BCF3AC1" w:rsidR="00125CE0" w:rsidRPr="00734AB6" w:rsidRDefault="00754FB3">
          <w:pPr>
            <w:pStyle w:val="TOC2"/>
            <w:rPr>
              <w:rFonts w:cstheme="minorBidi"/>
              <w:noProof/>
              <w:lang w:val="en-GB" w:eastAsia="en-GB"/>
            </w:rPr>
          </w:pPr>
          <w:hyperlink w:anchor="_Toc48136366" w:history="1">
            <w:r w:rsidR="00125CE0" w:rsidRPr="00734AB6">
              <w:rPr>
                <w:rStyle w:val="Hyperlink"/>
                <w:b/>
                <w:noProof/>
              </w:rPr>
              <w:t>4.2</w:t>
            </w:r>
            <w:r w:rsidR="00125CE0" w:rsidRPr="00734AB6">
              <w:rPr>
                <w:rFonts w:cstheme="minorBidi"/>
                <w:noProof/>
                <w:lang w:val="en-GB" w:eastAsia="en-GB"/>
              </w:rPr>
              <w:tab/>
            </w:r>
            <w:r w:rsidR="00125CE0" w:rsidRPr="00734AB6">
              <w:rPr>
                <w:rStyle w:val="Hyperlink"/>
                <w:b/>
                <w:noProof/>
              </w:rPr>
              <w:t>Methods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_Toc48136366 \h </w:instrText>
            </w:r>
            <w:r w:rsidR="00125CE0" w:rsidRPr="00734AB6">
              <w:rPr>
                <w:noProof/>
                <w:webHidden/>
              </w:rPr>
            </w:r>
            <w:r w:rsidR="00125CE0" w:rsidRPr="00734AB6">
              <w:rPr>
                <w:noProof/>
                <w:webHidden/>
              </w:rPr>
              <w:fldChar w:fldCharType="separate"/>
            </w:r>
            <w:r w:rsidR="005A21BB" w:rsidRPr="00734AB6">
              <w:rPr>
                <w:noProof/>
                <w:webHidden/>
              </w:rPr>
              <w:t>126</w:t>
            </w:r>
            <w:r w:rsidR="00125CE0" w:rsidRPr="00734AB6">
              <w:rPr>
                <w:noProof/>
                <w:webHidden/>
              </w:rPr>
              <w:fldChar w:fldCharType="end"/>
            </w:r>
          </w:hyperlink>
        </w:p>
        <w:p w14:paraId="56887E51" w14:textId="1C357C56" w:rsidR="00125CE0" w:rsidRPr="00734AB6" w:rsidRDefault="00754FB3">
          <w:pPr>
            <w:pStyle w:val="TOC3"/>
            <w:rPr>
              <w:rFonts w:cstheme="minorBidi"/>
              <w:noProof/>
              <w:lang w:val="en-GB" w:eastAsia="en-GB"/>
            </w:rPr>
          </w:pPr>
          <w:hyperlink w:anchor="_Toc48136367" w:history="1">
            <w:r w:rsidR="00125CE0" w:rsidRPr="00734AB6">
              <w:rPr>
                <w:rStyle w:val="Hyperlink"/>
                <w:b/>
                <w:noProof/>
              </w:rPr>
              <w:t>4.2.1</w:t>
            </w:r>
            <w:r w:rsidR="00125CE0" w:rsidRPr="00734AB6">
              <w:rPr>
                <w:rFonts w:cstheme="minorBidi"/>
                <w:noProof/>
                <w:lang w:val="en-GB" w:eastAsia="en-GB"/>
              </w:rPr>
              <w:tab/>
            </w:r>
            <w:r w:rsidR="00125CE0" w:rsidRPr="00734AB6">
              <w:rPr>
                <w:rStyle w:val="Hyperlink"/>
                <w:b/>
                <w:noProof/>
              </w:rPr>
              <w:t>Participants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_Toc48136367 \h </w:instrText>
            </w:r>
            <w:r w:rsidR="00125CE0" w:rsidRPr="00734AB6">
              <w:rPr>
                <w:noProof/>
                <w:webHidden/>
              </w:rPr>
            </w:r>
            <w:r w:rsidR="00125CE0" w:rsidRPr="00734AB6">
              <w:rPr>
                <w:noProof/>
                <w:webHidden/>
              </w:rPr>
              <w:fldChar w:fldCharType="separate"/>
            </w:r>
            <w:r w:rsidR="005A21BB" w:rsidRPr="00734AB6">
              <w:rPr>
                <w:noProof/>
                <w:webHidden/>
              </w:rPr>
              <w:t>126</w:t>
            </w:r>
            <w:r w:rsidR="00125CE0" w:rsidRPr="00734AB6">
              <w:rPr>
                <w:noProof/>
                <w:webHidden/>
              </w:rPr>
              <w:fldChar w:fldCharType="end"/>
            </w:r>
          </w:hyperlink>
        </w:p>
        <w:p w14:paraId="4D62C117" w14:textId="3F108B53" w:rsidR="00125CE0" w:rsidRPr="00734AB6" w:rsidRDefault="00754FB3">
          <w:pPr>
            <w:pStyle w:val="TOC3"/>
            <w:rPr>
              <w:rFonts w:cstheme="minorBidi"/>
              <w:noProof/>
              <w:lang w:val="en-GB" w:eastAsia="en-GB"/>
            </w:rPr>
          </w:pPr>
          <w:hyperlink w:anchor="_Toc48136368" w:history="1">
            <w:r w:rsidR="00125CE0" w:rsidRPr="00734AB6">
              <w:rPr>
                <w:rStyle w:val="Hyperlink"/>
                <w:b/>
                <w:noProof/>
              </w:rPr>
              <w:t>4.2.2</w:t>
            </w:r>
            <w:r w:rsidR="00125CE0" w:rsidRPr="00734AB6">
              <w:rPr>
                <w:rFonts w:cstheme="minorBidi"/>
                <w:noProof/>
                <w:lang w:val="en-GB" w:eastAsia="en-GB"/>
              </w:rPr>
              <w:tab/>
            </w:r>
            <w:r w:rsidR="00125CE0" w:rsidRPr="00734AB6">
              <w:rPr>
                <w:rStyle w:val="Hyperlink"/>
                <w:b/>
                <w:noProof/>
              </w:rPr>
              <w:t>Materials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_Toc48136368 \h </w:instrText>
            </w:r>
            <w:r w:rsidR="00125CE0" w:rsidRPr="00734AB6">
              <w:rPr>
                <w:noProof/>
                <w:webHidden/>
              </w:rPr>
            </w:r>
            <w:r w:rsidR="00125CE0" w:rsidRPr="00734AB6">
              <w:rPr>
                <w:noProof/>
                <w:webHidden/>
              </w:rPr>
              <w:fldChar w:fldCharType="separate"/>
            </w:r>
            <w:r w:rsidR="005A21BB" w:rsidRPr="00734AB6">
              <w:rPr>
                <w:noProof/>
                <w:webHidden/>
              </w:rPr>
              <w:t>127</w:t>
            </w:r>
            <w:r w:rsidR="00125CE0" w:rsidRPr="00734AB6">
              <w:rPr>
                <w:noProof/>
                <w:webHidden/>
              </w:rPr>
              <w:fldChar w:fldCharType="end"/>
            </w:r>
          </w:hyperlink>
        </w:p>
        <w:p w14:paraId="60967D20" w14:textId="0BF8612F" w:rsidR="00125CE0" w:rsidRPr="00734AB6" w:rsidRDefault="00754FB3">
          <w:pPr>
            <w:pStyle w:val="TOC3"/>
            <w:rPr>
              <w:rFonts w:cstheme="minorBidi"/>
              <w:noProof/>
              <w:lang w:val="en-GB" w:eastAsia="en-GB"/>
            </w:rPr>
          </w:pPr>
          <w:hyperlink w:anchor="_Toc48136369" w:history="1">
            <w:r w:rsidR="00125CE0" w:rsidRPr="00734AB6">
              <w:rPr>
                <w:rStyle w:val="Hyperlink"/>
                <w:b/>
                <w:noProof/>
              </w:rPr>
              <w:t>4.2.3</w:t>
            </w:r>
            <w:r w:rsidR="00125CE0" w:rsidRPr="00734AB6">
              <w:rPr>
                <w:rFonts w:cstheme="minorBidi"/>
                <w:noProof/>
                <w:lang w:val="en-GB" w:eastAsia="en-GB"/>
              </w:rPr>
              <w:tab/>
            </w:r>
            <w:r w:rsidR="00125CE0" w:rsidRPr="00734AB6">
              <w:rPr>
                <w:rStyle w:val="Hyperlink"/>
                <w:b/>
                <w:noProof/>
              </w:rPr>
              <w:t>Demographics, psychiatric health and drug use questionnaire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_Toc48136369 \h </w:instrText>
            </w:r>
            <w:r w:rsidR="00125CE0" w:rsidRPr="00734AB6">
              <w:rPr>
                <w:noProof/>
                <w:webHidden/>
              </w:rPr>
            </w:r>
            <w:r w:rsidR="00125CE0" w:rsidRPr="00734AB6">
              <w:rPr>
                <w:noProof/>
                <w:webHidden/>
              </w:rPr>
              <w:fldChar w:fldCharType="separate"/>
            </w:r>
            <w:r w:rsidR="005A21BB" w:rsidRPr="00734AB6">
              <w:rPr>
                <w:noProof/>
                <w:webHidden/>
              </w:rPr>
              <w:t>127</w:t>
            </w:r>
            <w:r w:rsidR="00125CE0" w:rsidRPr="00734AB6">
              <w:rPr>
                <w:noProof/>
                <w:webHidden/>
              </w:rPr>
              <w:fldChar w:fldCharType="end"/>
            </w:r>
          </w:hyperlink>
        </w:p>
        <w:p w14:paraId="084B1270" w14:textId="72203459" w:rsidR="00125CE0" w:rsidRPr="00734AB6" w:rsidRDefault="00754FB3">
          <w:pPr>
            <w:pStyle w:val="TOC3"/>
            <w:rPr>
              <w:rFonts w:cstheme="minorBidi"/>
              <w:noProof/>
              <w:lang w:val="en-GB" w:eastAsia="en-GB"/>
            </w:rPr>
          </w:pPr>
          <w:hyperlink w:anchor="_Toc48136370" w:history="1">
            <w:r w:rsidR="00125CE0" w:rsidRPr="00734AB6">
              <w:rPr>
                <w:rStyle w:val="Hyperlink"/>
                <w:b/>
                <w:noProof/>
              </w:rPr>
              <w:t>4.2.4</w:t>
            </w:r>
            <w:r w:rsidR="00125CE0" w:rsidRPr="00734AB6">
              <w:rPr>
                <w:rFonts w:cstheme="minorBidi"/>
                <w:noProof/>
                <w:lang w:val="en-GB" w:eastAsia="en-GB"/>
              </w:rPr>
              <w:tab/>
            </w:r>
            <w:r w:rsidR="00125CE0" w:rsidRPr="00734AB6">
              <w:rPr>
                <w:rStyle w:val="Hyperlink"/>
                <w:b/>
                <w:noProof/>
              </w:rPr>
              <w:t>Antisaccade task</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_Toc48136370 \h </w:instrText>
            </w:r>
            <w:r w:rsidR="00125CE0" w:rsidRPr="00734AB6">
              <w:rPr>
                <w:noProof/>
                <w:webHidden/>
              </w:rPr>
            </w:r>
            <w:r w:rsidR="00125CE0" w:rsidRPr="00734AB6">
              <w:rPr>
                <w:noProof/>
                <w:webHidden/>
              </w:rPr>
              <w:fldChar w:fldCharType="separate"/>
            </w:r>
            <w:r w:rsidR="005A21BB" w:rsidRPr="00734AB6">
              <w:rPr>
                <w:noProof/>
                <w:webHidden/>
              </w:rPr>
              <w:t>127</w:t>
            </w:r>
            <w:r w:rsidR="00125CE0" w:rsidRPr="00734AB6">
              <w:rPr>
                <w:noProof/>
                <w:webHidden/>
              </w:rPr>
              <w:fldChar w:fldCharType="end"/>
            </w:r>
          </w:hyperlink>
        </w:p>
        <w:p w14:paraId="430F160C" w14:textId="56D2E217" w:rsidR="00125CE0" w:rsidRPr="00734AB6" w:rsidRDefault="00754FB3">
          <w:pPr>
            <w:pStyle w:val="TOC3"/>
            <w:rPr>
              <w:rFonts w:cstheme="minorBidi"/>
              <w:noProof/>
              <w:lang w:val="en-GB" w:eastAsia="en-GB"/>
            </w:rPr>
          </w:pPr>
          <w:hyperlink w:anchor="_Toc48136371" w:history="1">
            <w:r w:rsidR="00125CE0" w:rsidRPr="00734AB6">
              <w:rPr>
                <w:rStyle w:val="Hyperlink"/>
                <w:b/>
                <w:noProof/>
              </w:rPr>
              <w:t>4.2.5</w:t>
            </w:r>
            <w:r w:rsidR="00125CE0" w:rsidRPr="00734AB6">
              <w:rPr>
                <w:rFonts w:cstheme="minorBidi"/>
                <w:noProof/>
                <w:lang w:val="en-GB" w:eastAsia="en-GB"/>
              </w:rPr>
              <w:tab/>
            </w:r>
            <w:r w:rsidR="00125CE0" w:rsidRPr="00734AB6">
              <w:rPr>
                <w:rStyle w:val="Hyperlink"/>
                <w:b/>
                <w:noProof/>
              </w:rPr>
              <w:t>Arrow Flanker task</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_Toc48136371 \h </w:instrText>
            </w:r>
            <w:r w:rsidR="00125CE0" w:rsidRPr="00734AB6">
              <w:rPr>
                <w:noProof/>
                <w:webHidden/>
              </w:rPr>
            </w:r>
            <w:r w:rsidR="00125CE0" w:rsidRPr="00734AB6">
              <w:rPr>
                <w:noProof/>
                <w:webHidden/>
              </w:rPr>
              <w:fldChar w:fldCharType="separate"/>
            </w:r>
            <w:r w:rsidR="005A21BB" w:rsidRPr="00734AB6">
              <w:rPr>
                <w:noProof/>
                <w:webHidden/>
              </w:rPr>
              <w:t>128</w:t>
            </w:r>
            <w:r w:rsidR="00125CE0" w:rsidRPr="00734AB6">
              <w:rPr>
                <w:noProof/>
                <w:webHidden/>
              </w:rPr>
              <w:fldChar w:fldCharType="end"/>
            </w:r>
          </w:hyperlink>
        </w:p>
        <w:p w14:paraId="34CDAF83" w14:textId="37AA6528" w:rsidR="00125CE0" w:rsidRPr="00734AB6" w:rsidRDefault="00754FB3">
          <w:pPr>
            <w:pStyle w:val="TOC3"/>
            <w:rPr>
              <w:rFonts w:cstheme="minorBidi"/>
              <w:noProof/>
              <w:lang w:val="en-GB" w:eastAsia="en-GB"/>
            </w:rPr>
          </w:pPr>
          <w:hyperlink w:anchor="_Toc48136372" w:history="1">
            <w:r w:rsidR="00125CE0" w:rsidRPr="00734AB6">
              <w:rPr>
                <w:rStyle w:val="Hyperlink"/>
                <w:b/>
                <w:noProof/>
              </w:rPr>
              <w:t>4.2.6</w:t>
            </w:r>
            <w:r w:rsidR="00125CE0" w:rsidRPr="00734AB6">
              <w:rPr>
                <w:rFonts w:cstheme="minorBidi"/>
                <w:noProof/>
                <w:lang w:val="en-GB" w:eastAsia="en-GB"/>
              </w:rPr>
              <w:tab/>
            </w:r>
            <w:r w:rsidR="00125CE0" w:rsidRPr="00734AB6">
              <w:rPr>
                <w:rStyle w:val="Hyperlink"/>
                <w:rFonts w:eastAsia="Calibri"/>
                <w:b/>
                <w:noProof/>
              </w:rPr>
              <w:t>Behaviour Rating Inventory of Executive Function – Adult Version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_Toc48136372 \h </w:instrText>
            </w:r>
            <w:r w:rsidR="00125CE0" w:rsidRPr="00734AB6">
              <w:rPr>
                <w:noProof/>
                <w:webHidden/>
              </w:rPr>
            </w:r>
            <w:r w:rsidR="00125CE0" w:rsidRPr="00734AB6">
              <w:rPr>
                <w:noProof/>
                <w:webHidden/>
              </w:rPr>
              <w:fldChar w:fldCharType="separate"/>
            </w:r>
            <w:r w:rsidR="005A21BB" w:rsidRPr="00734AB6">
              <w:rPr>
                <w:noProof/>
                <w:webHidden/>
              </w:rPr>
              <w:t>128</w:t>
            </w:r>
            <w:r w:rsidR="00125CE0" w:rsidRPr="00734AB6">
              <w:rPr>
                <w:noProof/>
                <w:webHidden/>
              </w:rPr>
              <w:fldChar w:fldCharType="end"/>
            </w:r>
          </w:hyperlink>
        </w:p>
        <w:p w14:paraId="51D316AC" w14:textId="5F01D272" w:rsidR="00125CE0" w:rsidRPr="00734AB6" w:rsidRDefault="00754FB3">
          <w:pPr>
            <w:pStyle w:val="TOC3"/>
            <w:rPr>
              <w:rFonts w:cstheme="minorBidi"/>
              <w:noProof/>
              <w:lang w:val="en-GB" w:eastAsia="en-GB"/>
            </w:rPr>
          </w:pPr>
          <w:hyperlink w:anchor="_Toc48136373" w:history="1">
            <w:r w:rsidR="00125CE0" w:rsidRPr="00734AB6">
              <w:rPr>
                <w:rStyle w:val="Hyperlink"/>
                <w:b/>
                <w:noProof/>
              </w:rPr>
              <w:t>4.2.7</w:t>
            </w:r>
            <w:r w:rsidR="00125CE0" w:rsidRPr="00734AB6">
              <w:rPr>
                <w:rFonts w:cstheme="minorBidi"/>
                <w:noProof/>
                <w:lang w:val="en-GB" w:eastAsia="en-GB"/>
              </w:rPr>
              <w:tab/>
            </w:r>
            <w:r w:rsidR="00125CE0" w:rsidRPr="00734AB6">
              <w:rPr>
                <w:rStyle w:val="Hyperlink"/>
                <w:b/>
                <w:noProof/>
              </w:rPr>
              <w:t>Design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_Toc48136373 \h </w:instrText>
            </w:r>
            <w:r w:rsidR="00125CE0" w:rsidRPr="00734AB6">
              <w:rPr>
                <w:noProof/>
                <w:webHidden/>
              </w:rPr>
            </w:r>
            <w:r w:rsidR="00125CE0" w:rsidRPr="00734AB6">
              <w:rPr>
                <w:noProof/>
                <w:webHidden/>
              </w:rPr>
              <w:fldChar w:fldCharType="separate"/>
            </w:r>
            <w:r w:rsidR="005A21BB" w:rsidRPr="00734AB6">
              <w:rPr>
                <w:noProof/>
                <w:webHidden/>
              </w:rPr>
              <w:t>129</w:t>
            </w:r>
            <w:r w:rsidR="00125CE0" w:rsidRPr="00734AB6">
              <w:rPr>
                <w:noProof/>
                <w:webHidden/>
              </w:rPr>
              <w:fldChar w:fldCharType="end"/>
            </w:r>
          </w:hyperlink>
        </w:p>
        <w:p w14:paraId="2A199569" w14:textId="43618BCC" w:rsidR="00125CE0" w:rsidRPr="00734AB6" w:rsidRDefault="00754FB3">
          <w:pPr>
            <w:pStyle w:val="TOC3"/>
            <w:rPr>
              <w:rFonts w:cstheme="minorBidi"/>
              <w:noProof/>
              <w:lang w:val="en-GB" w:eastAsia="en-GB"/>
            </w:rPr>
          </w:pPr>
          <w:hyperlink w:anchor="_Toc48136374" w:history="1">
            <w:r w:rsidR="00125CE0" w:rsidRPr="00734AB6">
              <w:rPr>
                <w:rStyle w:val="Hyperlink"/>
                <w:b/>
                <w:noProof/>
              </w:rPr>
              <w:t>4.2.8</w:t>
            </w:r>
            <w:r w:rsidR="00125CE0" w:rsidRPr="00734AB6">
              <w:rPr>
                <w:rFonts w:cstheme="minorBidi"/>
                <w:noProof/>
                <w:lang w:val="en-GB" w:eastAsia="en-GB"/>
              </w:rPr>
              <w:tab/>
            </w:r>
            <w:r w:rsidR="00125CE0" w:rsidRPr="00734AB6">
              <w:rPr>
                <w:rStyle w:val="Hyperlink"/>
                <w:b/>
                <w:noProof/>
              </w:rPr>
              <w:t>Procedure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_Toc48136374 \h </w:instrText>
            </w:r>
            <w:r w:rsidR="00125CE0" w:rsidRPr="00734AB6">
              <w:rPr>
                <w:noProof/>
                <w:webHidden/>
              </w:rPr>
            </w:r>
            <w:r w:rsidR="00125CE0" w:rsidRPr="00734AB6">
              <w:rPr>
                <w:noProof/>
                <w:webHidden/>
              </w:rPr>
              <w:fldChar w:fldCharType="separate"/>
            </w:r>
            <w:r w:rsidR="005A21BB" w:rsidRPr="00734AB6">
              <w:rPr>
                <w:noProof/>
                <w:webHidden/>
              </w:rPr>
              <w:t>129</w:t>
            </w:r>
            <w:r w:rsidR="00125CE0" w:rsidRPr="00734AB6">
              <w:rPr>
                <w:noProof/>
                <w:webHidden/>
              </w:rPr>
              <w:fldChar w:fldCharType="end"/>
            </w:r>
          </w:hyperlink>
        </w:p>
        <w:p w14:paraId="32859737" w14:textId="2B633CFE" w:rsidR="00125CE0" w:rsidRPr="00734AB6" w:rsidRDefault="00754FB3">
          <w:pPr>
            <w:pStyle w:val="TOC2"/>
            <w:rPr>
              <w:rFonts w:cstheme="minorBidi"/>
              <w:noProof/>
              <w:lang w:val="en-GB" w:eastAsia="en-GB"/>
            </w:rPr>
          </w:pPr>
          <w:hyperlink w:anchor="_Toc48136375" w:history="1">
            <w:r w:rsidR="00125CE0" w:rsidRPr="00734AB6">
              <w:rPr>
                <w:rStyle w:val="Hyperlink"/>
                <w:b/>
                <w:noProof/>
              </w:rPr>
              <w:t>4.3</w:t>
            </w:r>
            <w:r w:rsidR="00125CE0" w:rsidRPr="00734AB6">
              <w:rPr>
                <w:rFonts w:cstheme="minorBidi"/>
                <w:noProof/>
                <w:lang w:val="en-GB" w:eastAsia="en-GB"/>
              </w:rPr>
              <w:tab/>
            </w:r>
            <w:r w:rsidR="00125CE0" w:rsidRPr="00734AB6">
              <w:rPr>
                <w:rStyle w:val="Hyperlink"/>
                <w:b/>
                <w:noProof/>
              </w:rPr>
              <w:t>Results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_Toc48136375 \h </w:instrText>
            </w:r>
            <w:r w:rsidR="00125CE0" w:rsidRPr="00734AB6">
              <w:rPr>
                <w:noProof/>
                <w:webHidden/>
              </w:rPr>
            </w:r>
            <w:r w:rsidR="00125CE0" w:rsidRPr="00734AB6">
              <w:rPr>
                <w:noProof/>
                <w:webHidden/>
              </w:rPr>
              <w:fldChar w:fldCharType="separate"/>
            </w:r>
            <w:r w:rsidR="005A21BB" w:rsidRPr="00734AB6">
              <w:rPr>
                <w:noProof/>
                <w:webHidden/>
              </w:rPr>
              <w:t>130</w:t>
            </w:r>
            <w:r w:rsidR="00125CE0" w:rsidRPr="00734AB6">
              <w:rPr>
                <w:noProof/>
                <w:webHidden/>
              </w:rPr>
              <w:fldChar w:fldCharType="end"/>
            </w:r>
          </w:hyperlink>
        </w:p>
        <w:p w14:paraId="4A06EA0D" w14:textId="7A21AF39" w:rsidR="00125CE0" w:rsidRPr="00734AB6" w:rsidRDefault="00754FB3">
          <w:pPr>
            <w:pStyle w:val="TOC3"/>
            <w:rPr>
              <w:rFonts w:cstheme="minorBidi"/>
              <w:noProof/>
              <w:lang w:val="en-GB" w:eastAsia="en-GB"/>
            </w:rPr>
          </w:pPr>
          <w:hyperlink w:anchor="_Toc48136376" w:history="1">
            <w:r w:rsidR="00125CE0" w:rsidRPr="00734AB6">
              <w:rPr>
                <w:rStyle w:val="Hyperlink"/>
                <w:b/>
                <w:noProof/>
              </w:rPr>
              <w:t>4.3.1</w:t>
            </w:r>
            <w:r w:rsidR="00125CE0" w:rsidRPr="00734AB6">
              <w:rPr>
                <w:rFonts w:cstheme="minorBidi"/>
                <w:noProof/>
                <w:lang w:val="en-GB" w:eastAsia="en-GB"/>
              </w:rPr>
              <w:tab/>
            </w:r>
            <w:r w:rsidR="00125CE0" w:rsidRPr="00734AB6">
              <w:rPr>
                <w:rStyle w:val="Hyperlink"/>
                <w:b/>
                <w:noProof/>
              </w:rPr>
              <w:t>Level of education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_Toc48136376 \h </w:instrText>
            </w:r>
            <w:r w:rsidR="00125CE0" w:rsidRPr="00734AB6">
              <w:rPr>
                <w:noProof/>
                <w:webHidden/>
              </w:rPr>
            </w:r>
            <w:r w:rsidR="00125CE0" w:rsidRPr="00734AB6">
              <w:rPr>
                <w:noProof/>
                <w:webHidden/>
              </w:rPr>
              <w:fldChar w:fldCharType="separate"/>
            </w:r>
            <w:r w:rsidR="005A21BB" w:rsidRPr="00734AB6">
              <w:rPr>
                <w:noProof/>
                <w:webHidden/>
              </w:rPr>
              <w:t>130</w:t>
            </w:r>
            <w:r w:rsidR="00125CE0" w:rsidRPr="00734AB6">
              <w:rPr>
                <w:noProof/>
                <w:webHidden/>
              </w:rPr>
              <w:fldChar w:fldCharType="end"/>
            </w:r>
          </w:hyperlink>
        </w:p>
        <w:p w14:paraId="064DE319" w14:textId="2E8EB78D" w:rsidR="00125CE0" w:rsidRPr="00734AB6" w:rsidRDefault="00754FB3">
          <w:pPr>
            <w:pStyle w:val="TOC3"/>
            <w:rPr>
              <w:rFonts w:cstheme="minorBidi"/>
              <w:noProof/>
              <w:lang w:val="en-GB" w:eastAsia="en-GB"/>
            </w:rPr>
          </w:pPr>
          <w:hyperlink w:anchor="_Toc48136377" w:history="1">
            <w:r w:rsidR="00125CE0" w:rsidRPr="00734AB6">
              <w:rPr>
                <w:rStyle w:val="Hyperlink"/>
                <w:b/>
                <w:noProof/>
              </w:rPr>
              <w:t>4.3.2</w:t>
            </w:r>
            <w:r w:rsidR="00125CE0" w:rsidRPr="00734AB6">
              <w:rPr>
                <w:rFonts w:cstheme="minorBidi"/>
                <w:noProof/>
                <w:lang w:val="en-GB" w:eastAsia="en-GB"/>
              </w:rPr>
              <w:tab/>
            </w:r>
            <w:r w:rsidR="00125CE0" w:rsidRPr="00734AB6">
              <w:rPr>
                <w:rStyle w:val="Hyperlink"/>
                <w:b/>
                <w:noProof/>
              </w:rPr>
              <w:t>Current studies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_Toc48136377 \h </w:instrText>
            </w:r>
            <w:r w:rsidR="00125CE0" w:rsidRPr="00734AB6">
              <w:rPr>
                <w:noProof/>
                <w:webHidden/>
              </w:rPr>
            </w:r>
            <w:r w:rsidR="00125CE0" w:rsidRPr="00734AB6">
              <w:rPr>
                <w:noProof/>
                <w:webHidden/>
              </w:rPr>
              <w:fldChar w:fldCharType="separate"/>
            </w:r>
            <w:r w:rsidR="005A21BB" w:rsidRPr="00734AB6">
              <w:rPr>
                <w:noProof/>
                <w:webHidden/>
              </w:rPr>
              <w:t>130</w:t>
            </w:r>
            <w:r w:rsidR="00125CE0" w:rsidRPr="00734AB6">
              <w:rPr>
                <w:noProof/>
                <w:webHidden/>
              </w:rPr>
              <w:fldChar w:fldCharType="end"/>
            </w:r>
          </w:hyperlink>
        </w:p>
        <w:p w14:paraId="750DD88C" w14:textId="3772ADBE" w:rsidR="00125CE0" w:rsidRPr="00734AB6" w:rsidRDefault="00754FB3">
          <w:pPr>
            <w:pStyle w:val="TOC3"/>
            <w:rPr>
              <w:rFonts w:cstheme="minorBidi"/>
              <w:noProof/>
              <w:lang w:val="en-GB" w:eastAsia="en-GB"/>
            </w:rPr>
          </w:pPr>
          <w:hyperlink w:anchor="_Toc48136378" w:history="1">
            <w:r w:rsidR="00125CE0" w:rsidRPr="00734AB6">
              <w:rPr>
                <w:rStyle w:val="Hyperlink"/>
                <w:b/>
                <w:noProof/>
              </w:rPr>
              <w:t>4.3.4</w:t>
            </w:r>
            <w:r w:rsidR="00125CE0" w:rsidRPr="00734AB6">
              <w:rPr>
                <w:rFonts w:cstheme="minorBidi"/>
                <w:noProof/>
                <w:lang w:val="en-GB" w:eastAsia="en-GB"/>
              </w:rPr>
              <w:tab/>
            </w:r>
            <w:r w:rsidR="00125CE0" w:rsidRPr="00734AB6">
              <w:rPr>
                <w:rStyle w:val="Hyperlink"/>
                <w:b/>
                <w:noProof/>
              </w:rPr>
              <w:t>Employment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_Toc48136378 \h </w:instrText>
            </w:r>
            <w:r w:rsidR="00125CE0" w:rsidRPr="00734AB6">
              <w:rPr>
                <w:noProof/>
                <w:webHidden/>
              </w:rPr>
            </w:r>
            <w:r w:rsidR="00125CE0" w:rsidRPr="00734AB6">
              <w:rPr>
                <w:noProof/>
                <w:webHidden/>
              </w:rPr>
              <w:fldChar w:fldCharType="separate"/>
            </w:r>
            <w:r w:rsidR="005A21BB" w:rsidRPr="00734AB6">
              <w:rPr>
                <w:noProof/>
                <w:webHidden/>
              </w:rPr>
              <w:t>131</w:t>
            </w:r>
            <w:r w:rsidR="00125CE0" w:rsidRPr="00734AB6">
              <w:rPr>
                <w:noProof/>
                <w:webHidden/>
              </w:rPr>
              <w:fldChar w:fldCharType="end"/>
            </w:r>
          </w:hyperlink>
        </w:p>
        <w:p w14:paraId="2F3961FB" w14:textId="757A1ACA" w:rsidR="00125CE0" w:rsidRPr="00734AB6" w:rsidRDefault="00754FB3">
          <w:pPr>
            <w:pStyle w:val="TOC3"/>
            <w:rPr>
              <w:rFonts w:cstheme="minorBidi"/>
              <w:noProof/>
              <w:lang w:val="en-GB" w:eastAsia="en-GB"/>
            </w:rPr>
          </w:pPr>
          <w:hyperlink w:anchor="_Toc48136379" w:history="1">
            <w:r w:rsidR="00125CE0" w:rsidRPr="00734AB6">
              <w:rPr>
                <w:rStyle w:val="Hyperlink"/>
                <w:b/>
                <w:noProof/>
              </w:rPr>
              <w:t>4.3.5</w:t>
            </w:r>
            <w:r w:rsidR="00125CE0" w:rsidRPr="00734AB6">
              <w:rPr>
                <w:rFonts w:cstheme="minorBidi"/>
                <w:noProof/>
                <w:lang w:val="en-GB" w:eastAsia="en-GB"/>
              </w:rPr>
              <w:tab/>
            </w:r>
            <w:r w:rsidR="00125CE0" w:rsidRPr="00734AB6">
              <w:rPr>
                <w:rStyle w:val="Hyperlink"/>
                <w:b/>
                <w:noProof/>
              </w:rPr>
              <w:t>Mental Health</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_Toc48136379 \h </w:instrText>
            </w:r>
            <w:r w:rsidR="00125CE0" w:rsidRPr="00734AB6">
              <w:rPr>
                <w:noProof/>
                <w:webHidden/>
              </w:rPr>
            </w:r>
            <w:r w:rsidR="00125CE0" w:rsidRPr="00734AB6">
              <w:rPr>
                <w:noProof/>
                <w:webHidden/>
              </w:rPr>
              <w:fldChar w:fldCharType="separate"/>
            </w:r>
            <w:r w:rsidR="005A21BB" w:rsidRPr="00734AB6">
              <w:rPr>
                <w:noProof/>
                <w:webHidden/>
              </w:rPr>
              <w:t>131</w:t>
            </w:r>
            <w:r w:rsidR="00125CE0" w:rsidRPr="00734AB6">
              <w:rPr>
                <w:noProof/>
                <w:webHidden/>
              </w:rPr>
              <w:fldChar w:fldCharType="end"/>
            </w:r>
          </w:hyperlink>
        </w:p>
        <w:p w14:paraId="47709C0C" w14:textId="568B6860" w:rsidR="00125CE0" w:rsidRPr="00734AB6" w:rsidRDefault="00754FB3">
          <w:pPr>
            <w:pStyle w:val="TOC3"/>
            <w:rPr>
              <w:rFonts w:cstheme="minorBidi"/>
              <w:noProof/>
              <w:lang w:val="en-GB" w:eastAsia="en-GB"/>
            </w:rPr>
          </w:pPr>
          <w:hyperlink w:anchor="_Toc48136380" w:history="1">
            <w:r w:rsidR="00125CE0" w:rsidRPr="00734AB6">
              <w:rPr>
                <w:rStyle w:val="Hyperlink"/>
                <w:b/>
                <w:noProof/>
              </w:rPr>
              <w:t>4.3.6</w:t>
            </w:r>
            <w:r w:rsidR="00125CE0" w:rsidRPr="00734AB6">
              <w:rPr>
                <w:rFonts w:cstheme="minorBidi"/>
                <w:noProof/>
                <w:lang w:val="en-GB" w:eastAsia="en-GB"/>
              </w:rPr>
              <w:tab/>
            </w:r>
            <w:r w:rsidR="00125CE0" w:rsidRPr="00734AB6">
              <w:rPr>
                <w:rStyle w:val="Hyperlink"/>
                <w:b/>
                <w:noProof/>
              </w:rPr>
              <w:t>Cannabis, modafinil and 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_Toc48136380 \h </w:instrText>
            </w:r>
            <w:r w:rsidR="00125CE0" w:rsidRPr="00734AB6">
              <w:rPr>
                <w:noProof/>
                <w:webHidden/>
              </w:rPr>
            </w:r>
            <w:r w:rsidR="00125CE0" w:rsidRPr="00734AB6">
              <w:rPr>
                <w:noProof/>
                <w:webHidden/>
              </w:rPr>
              <w:fldChar w:fldCharType="separate"/>
            </w:r>
            <w:r w:rsidR="005A21BB" w:rsidRPr="00734AB6">
              <w:rPr>
                <w:noProof/>
                <w:webHidden/>
              </w:rPr>
              <w:t>131</w:t>
            </w:r>
            <w:r w:rsidR="00125CE0" w:rsidRPr="00734AB6">
              <w:rPr>
                <w:noProof/>
                <w:webHidden/>
              </w:rPr>
              <w:fldChar w:fldCharType="end"/>
            </w:r>
          </w:hyperlink>
        </w:p>
        <w:p w14:paraId="461F453C" w14:textId="1250DB7B" w:rsidR="00125CE0" w:rsidRPr="00734AB6" w:rsidRDefault="00754FB3">
          <w:pPr>
            <w:pStyle w:val="TOC3"/>
            <w:rPr>
              <w:rFonts w:cstheme="minorBidi"/>
              <w:noProof/>
              <w:lang w:val="en-GB" w:eastAsia="en-GB"/>
            </w:rPr>
          </w:pPr>
          <w:hyperlink w:anchor="_Toc48136381" w:history="1">
            <w:r w:rsidR="00125CE0" w:rsidRPr="00734AB6">
              <w:rPr>
                <w:rStyle w:val="Hyperlink"/>
                <w:b/>
                <w:noProof/>
              </w:rPr>
              <w:t>4.3.7</w:t>
            </w:r>
            <w:r w:rsidR="00125CE0" w:rsidRPr="00734AB6">
              <w:rPr>
                <w:rFonts w:cstheme="minorBidi"/>
                <w:noProof/>
                <w:lang w:val="en-GB" w:eastAsia="en-GB"/>
              </w:rPr>
              <w:tab/>
            </w:r>
            <w:r w:rsidR="00125CE0" w:rsidRPr="00734AB6">
              <w:rPr>
                <w:rStyle w:val="Hyperlink"/>
                <w:b/>
                <w:noProof/>
              </w:rPr>
              <w:t>Alcohol and nicotine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_Toc48136381 \h </w:instrText>
            </w:r>
            <w:r w:rsidR="00125CE0" w:rsidRPr="00734AB6">
              <w:rPr>
                <w:noProof/>
                <w:webHidden/>
              </w:rPr>
            </w:r>
            <w:r w:rsidR="00125CE0" w:rsidRPr="00734AB6">
              <w:rPr>
                <w:noProof/>
                <w:webHidden/>
              </w:rPr>
              <w:fldChar w:fldCharType="separate"/>
            </w:r>
            <w:r w:rsidR="005A21BB" w:rsidRPr="00734AB6">
              <w:rPr>
                <w:noProof/>
                <w:webHidden/>
              </w:rPr>
              <w:t>132</w:t>
            </w:r>
            <w:r w:rsidR="00125CE0" w:rsidRPr="00734AB6">
              <w:rPr>
                <w:noProof/>
                <w:webHidden/>
              </w:rPr>
              <w:fldChar w:fldCharType="end"/>
            </w:r>
          </w:hyperlink>
        </w:p>
        <w:p w14:paraId="38AFF693" w14:textId="33C15F71" w:rsidR="00125CE0" w:rsidRPr="00734AB6" w:rsidRDefault="00754FB3">
          <w:pPr>
            <w:pStyle w:val="TOC3"/>
            <w:rPr>
              <w:rFonts w:cstheme="minorBidi"/>
              <w:noProof/>
              <w:lang w:val="en-GB" w:eastAsia="en-GB"/>
            </w:rPr>
          </w:pPr>
          <w:hyperlink w:anchor="_Toc48136382" w:history="1">
            <w:r w:rsidR="00125CE0" w:rsidRPr="00734AB6">
              <w:rPr>
                <w:rStyle w:val="Hyperlink"/>
                <w:b/>
                <w:noProof/>
              </w:rPr>
              <w:t>4.3.8</w:t>
            </w:r>
            <w:r w:rsidR="00125CE0" w:rsidRPr="00734AB6">
              <w:rPr>
                <w:rFonts w:cstheme="minorBidi"/>
                <w:noProof/>
                <w:lang w:val="en-GB" w:eastAsia="en-GB"/>
              </w:rPr>
              <w:tab/>
            </w:r>
            <w:r w:rsidR="00125CE0" w:rsidRPr="00734AB6">
              <w:rPr>
                <w:rStyle w:val="Hyperlink"/>
                <w:b/>
                <w:noProof/>
              </w:rPr>
              <w:t>Other recreational drugs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_Toc48136382 \h </w:instrText>
            </w:r>
            <w:r w:rsidR="00125CE0" w:rsidRPr="00734AB6">
              <w:rPr>
                <w:noProof/>
                <w:webHidden/>
              </w:rPr>
            </w:r>
            <w:r w:rsidR="00125CE0" w:rsidRPr="00734AB6">
              <w:rPr>
                <w:noProof/>
                <w:webHidden/>
              </w:rPr>
              <w:fldChar w:fldCharType="separate"/>
            </w:r>
            <w:r w:rsidR="005A21BB" w:rsidRPr="00734AB6">
              <w:rPr>
                <w:noProof/>
                <w:webHidden/>
              </w:rPr>
              <w:t>132</w:t>
            </w:r>
            <w:r w:rsidR="00125CE0" w:rsidRPr="00734AB6">
              <w:rPr>
                <w:noProof/>
                <w:webHidden/>
              </w:rPr>
              <w:fldChar w:fldCharType="end"/>
            </w:r>
          </w:hyperlink>
        </w:p>
        <w:p w14:paraId="51932ED5" w14:textId="69FD9FB4" w:rsidR="00125CE0" w:rsidRPr="00734AB6" w:rsidRDefault="00754FB3">
          <w:pPr>
            <w:pStyle w:val="TOC3"/>
            <w:rPr>
              <w:rFonts w:cstheme="minorBidi"/>
              <w:noProof/>
              <w:lang w:val="en-GB" w:eastAsia="en-GB"/>
            </w:rPr>
          </w:pPr>
          <w:hyperlink w:anchor="_Toc48136383" w:history="1">
            <w:r w:rsidR="00125CE0" w:rsidRPr="00734AB6">
              <w:rPr>
                <w:rStyle w:val="Hyperlink"/>
                <w:b/>
                <w:noProof/>
              </w:rPr>
              <w:t>4.3.9</w:t>
            </w:r>
            <w:r w:rsidR="00125CE0" w:rsidRPr="00734AB6">
              <w:rPr>
                <w:rFonts w:cstheme="minorBidi"/>
                <w:noProof/>
                <w:lang w:val="en-GB" w:eastAsia="en-GB"/>
              </w:rPr>
              <w:tab/>
            </w:r>
            <w:r w:rsidR="00125CE0" w:rsidRPr="00734AB6">
              <w:rPr>
                <w:rStyle w:val="Hyperlink"/>
                <w:b/>
                <w:noProof/>
              </w:rPr>
              <w:t>Antisaccade task</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_Toc48136383 \h </w:instrText>
            </w:r>
            <w:r w:rsidR="00125CE0" w:rsidRPr="00734AB6">
              <w:rPr>
                <w:noProof/>
                <w:webHidden/>
              </w:rPr>
            </w:r>
            <w:r w:rsidR="00125CE0" w:rsidRPr="00734AB6">
              <w:rPr>
                <w:noProof/>
                <w:webHidden/>
              </w:rPr>
              <w:fldChar w:fldCharType="separate"/>
            </w:r>
            <w:r w:rsidR="005A21BB" w:rsidRPr="00734AB6">
              <w:rPr>
                <w:noProof/>
                <w:webHidden/>
              </w:rPr>
              <w:t>133</w:t>
            </w:r>
            <w:r w:rsidR="00125CE0" w:rsidRPr="00734AB6">
              <w:rPr>
                <w:noProof/>
                <w:webHidden/>
              </w:rPr>
              <w:fldChar w:fldCharType="end"/>
            </w:r>
          </w:hyperlink>
        </w:p>
        <w:p w14:paraId="16787B85" w14:textId="66B1DF4B" w:rsidR="00125CE0" w:rsidRPr="00734AB6" w:rsidRDefault="00754FB3">
          <w:pPr>
            <w:pStyle w:val="TOC3"/>
            <w:rPr>
              <w:rFonts w:cstheme="minorBidi"/>
              <w:noProof/>
              <w:lang w:val="en-GB" w:eastAsia="en-GB"/>
            </w:rPr>
          </w:pPr>
          <w:hyperlink w:anchor="_Toc48136384" w:history="1">
            <w:r w:rsidR="00125CE0" w:rsidRPr="00734AB6">
              <w:rPr>
                <w:rStyle w:val="Hyperlink"/>
                <w:b/>
                <w:noProof/>
              </w:rPr>
              <w:t>4.3.10</w:t>
            </w:r>
            <w:r w:rsidR="00125CE0" w:rsidRPr="00734AB6">
              <w:rPr>
                <w:rFonts w:cstheme="minorBidi"/>
                <w:noProof/>
                <w:lang w:val="en-GB" w:eastAsia="en-GB"/>
              </w:rPr>
              <w:tab/>
            </w:r>
            <w:r w:rsidR="00125CE0" w:rsidRPr="00734AB6">
              <w:rPr>
                <w:rStyle w:val="Hyperlink"/>
                <w:b/>
                <w:noProof/>
              </w:rPr>
              <w:t>Arrow Flanker task</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_Toc48136384 \h </w:instrText>
            </w:r>
            <w:r w:rsidR="00125CE0" w:rsidRPr="00734AB6">
              <w:rPr>
                <w:noProof/>
                <w:webHidden/>
              </w:rPr>
            </w:r>
            <w:r w:rsidR="00125CE0" w:rsidRPr="00734AB6">
              <w:rPr>
                <w:noProof/>
                <w:webHidden/>
              </w:rPr>
              <w:fldChar w:fldCharType="separate"/>
            </w:r>
            <w:r w:rsidR="005A21BB" w:rsidRPr="00734AB6">
              <w:rPr>
                <w:noProof/>
                <w:webHidden/>
              </w:rPr>
              <w:t>134</w:t>
            </w:r>
            <w:r w:rsidR="00125CE0" w:rsidRPr="00734AB6">
              <w:rPr>
                <w:noProof/>
                <w:webHidden/>
              </w:rPr>
              <w:fldChar w:fldCharType="end"/>
            </w:r>
          </w:hyperlink>
        </w:p>
        <w:p w14:paraId="27276480" w14:textId="20D19E7B" w:rsidR="00125CE0" w:rsidRPr="00734AB6" w:rsidRDefault="00754FB3">
          <w:pPr>
            <w:pStyle w:val="TOC3"/>
            <w:rPr>
              <w:rFonts w:cstheme="minorBidi"/>
              <w:noProof/>
              <w:lang w:val="en-GB" w:eastAsia="en-GB"/>
            </w:rPr>
          </w:pPr>
          <w:hyperlink w:anchor="_Toc48136385" w:history="1">
            <w:r w:rsidR="00125CE0" w:rsidRPr="00734AB6">
              <w:rPr>
                <w:rStyle w:val="Hyperlink"/>
                <w:b/>
                <w:noProof/>
              </w:rPr>
              <w:t>4.3.11</w:t>
            </w:r>
            <w:r w:rsidR="00125CE0" w:rsidRPr="00734AB6">
              <w:rPr>
                <w:rFonts w:cstheme="minorBidi"/>
                <w:noProof/>
                <w:lang w:val="en-GB" w:eastAsia="en-GB"/>
              </w:rPr>
              <w:tab/>
            </w:r>
            <w:r w:rsidR="00125CE0" w:rsidRPr="00734AB6">
              <w:rPr>
                <w:rStyle w:val="Hyperlink"/>
                <w:b/>
                <w:noProof/>
              </w:rPr>
              <w:t>BRIEF-A</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_Toc48136385 \h </w:instrText>
            </w:r>
            <w:r w:rsidR="00125CE0" w:rsidRPr="00734AB6">
              <w:rPr>
                <w:noProof/>
                <w:webHidden/>
              </w:rPr>
            </w:r>
            <w:r w:rsidR="00125CE0" w:rsidRPr="00734AB6">
              <w:rPr>
                <w:noProof/>
                <w:webHidden/>
              </w:rPr>
              <w:fldChar w:fldCharType="separate"/>
            </w:r>
            <w:r w:rsidR="005A21BB" w:rsidRPr="00734AB6">
              <w:rPr>
                <w:noProof/>
                <w:webHidden/>
              </w:rPr>
              <w:t>137</w:t>
            </w:r>
            <w:r w:rsidR="00125CE0" w:rsidRPr="00734AB6">
              <w:rPr>
                <w:noProof/>
                <w:webHidden/>
              </w:rPr>
              <w:fldChar w:fldCharType="end"/>
            </w:r>
          </w:hyperlink>
        </w:p>
        <w:p w14:paraId="2D474B68" w14:textId="204A3695" w:rsidR="00125CE0" w:rsidRPr="00734AB6" w:rsidRDefault="00754FB3">
          <w:pPr>
            <w:pStyle w:val="TOC2"/>
            <w:rPr>
              <w:rFonts w:cstheme="minorBidi"/>
              <w:noProof/>
              <w:lang w:val="en-GB" w:eastAsia="en-GB"/>
            </w:rPr>
          </w:pPr>
          <w:hyperlink w:anchor="_Toc48136386" w:history="1">
            <w:r w:rsidR="00125CE0" w:rsidRPr="00734AB6">
              <w:rPr>
                <w:rStyle w:val="Hyperlink"/>
                <w:b/>
                <w:noProof/>
              </w:rPr>
              <w:t>4.4</w:t>
            </w:r>
            <w:r w:rsidR="00125CE0" w:rsidRPr="00734AB6">
              <w:rPr>
                <w:rFonts w:cstheme="minorBidi"/>
                <w:noProof/>
                <w:lang w:val="en-GB" w:eastAsia="en-GB"/>
              </w:rPr>
              <w:tab/>
            </w:r>
            <w:r w:rsidR="00125CE0" w:rsidRPr="00734AB6">
              <w:rPr>
                <w:rStyle w:val="Hyperlink"/>
                <w:b/>
                <w:noProof/>
              </w:rPr>
              <w:t>Discussion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_Toc48136386 \h </w:instrText>
            </w:r>
            <w:r w:rsidR="00125CE0" w:rsidRPr="00734AB6">
              <w:rPr>
                <w:noProof/>
                <w:webHidden/>
              </w:rPr>
            </w:r>
            <w:r w:rsidR="00125CE0" w:rsidRPr="00734AB6">
              <w:rPr>
                <w:noProof/>
                <w:webHidden/>
              </w:rPr>
              <w:fldChar w:fldCharType="separate"/>
            </w:r>
            <w:r w:rsidR="005A21BB" w:rsidRPr="00734AB6">
              <w:rPr>
                <w:noProof/>
                <w:webHidden/>
              </w:rPr>
              <w:t>139</w:t>
            </w:r>
            <w:r w:rsidR="00125CE0" w:rsidRPr="00734AB6">
              <w:rPr>
                <w:noProof/>
                <w:webHidden/>
              </w:rPr>
              <w:fldChar w:fldCharType="end"/>
            </w:r>
          </w:hyperlink>
        </w:p>
        <w:p w14:paraId="2324A482" w14:textId="6D57EFE4" w:rsidR="00125CE0" w:rsidRPr="00734AB6" w:rsidRDefault="00754FB3">
          <w:pPr>
            <w:pStyle w:val="TOC1"/>
            <w:rPr>
              <w:rFonts w:cstheme="minorBidi"/>
              <w:noProof/>
              <w:lang w:val="en-GB" w:eastAsia="en-GB"/>
            </w:rPr>
          </w:pPr>
          <w:hyperlink w:anchor="_Toc48136387" w:history="1">
            <w:r w:rsidR="00125CE0" w:rsidRPr="00734AB6">
              <w:rPr>
                <w:rStyle w:val="Hyperlink"/>
                <w:b/>
                <w:noProof/>
              </w:rPr>
              <w:t>5</w:t>
            </w:r>
            <w:r w:rsidR="00125CE0" w:rsidRPr="00734AB6">
              <w:rPr>
                <w:rFonts w:cstheme="minorBidi"/>
                <w:noProof/>
                <w:lang w:val="en-GB" w:eastAsia="en-GB"/>
              </w:rPr>
              <w:tab/>
            </w:r>
            <w:r w:rsidR="00125CE0" w:rsidRPr="00734AB6">
              <w:rPr>
                <w:rStyle w:val="Hyperlink"/>
                <w:b/>
                <w:noProof/>
              </w:rPr>
              <w:t>CHAPTER FIVE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_Toc48136387 \h </w:instrText>
            </w:r>
            <w:r w:rsidR="00125CE0" w:rsidRPr="00734AB6">
              <w:rPr>
                <w:noProof/>
                <w:webHidden/>
              </w:rPr>
            </w:r>
            <w:r w:rsidR="00125CE0" w:rsidRPr="00734AB6">
              <w:rPr>
                <w:noProof/>
                <w:webHidden/>
              </w:rPr>
              <w:fldChar w:fldCharType="separate"/>
            </w:r>
            <w:r w:rsidR="005A21BB" w:rsidRPr="00734AB6">
              <w:rPr>
                <w:noProof/>
                <w:webHidden/>
              </w:rPr>
              <w:t>145</w:t>
            </w:r>
            <w:r w:rsidR="00125CE0" w:rsidRPr="00734AB6">
              <w:rPr>
                <w:noProof/>
                <w:webHidden/>
              </w:rPr>
              <w:fldChar w:fldCharType="end"/>
            </w:r>
          </w:hyperlink>
        </w:p>
        <w:p w14:paraId="4FC7CCE4" w14:textId="3F50DEAC" w:rsidR="00125CE0" w:rsidRPr="00734AB6" w:rsidRDefault="00754FB3">
          <w:pPr>
            <w:pStyle w:val="TOC2"/>
            <w:rPr>
              <w:rFonts w:cstheme="minorBidi"/>
              <w:noProof/>
              <w:lang w:val="en-GB" w:eastAsia="en-GB"/>
            </w:rPr>
          </w:pPr>
          <w:hyperlink w:anchor="_Toc48136388" w:history="1">
            <w:r w:rsidR="00125CE0" w:rsidRPr="00734AB6">
              <w:rPr>
                <w:rStyle w:val="Hyperlink"/>
                <w:b/>
                <w:noProof/>
              </w:rPr>
              <w:t>5.1</w:t>
            </w:r>
            <w:r w:rsidR="00125CE0" w:rsidRPr="00734AB6">
              <w:rPr>
                <w:rFonts w:cstheme="minorBidi"/>
                <w:noProof/>
                <w:lang w:val="en-GB" w:eastAsia="en-GB"/>
              </w:rPr>
              <w:tab/>
            </w:r>
            <w:r w:rsidR="00125CE0" w:rsidRPr="00734AB6">
              <w:rPr>
                <w:rStyle w:val="Hyperlink"/>
                <w:b/>
                <w:noProof/>
              </w:rPr>
              <w:t>Summary of the research aims of the thesis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_Toc48136388 \h </w:instrText>
            </w:r>
            <w:r w:rsidR="00125CE0" w:rsidRPr="00734AB6">
              <w:rPr>
                <w:noProof/>
                <w:webHidden/>
              </w:rPr>
            </w:r>
            <w:r w:rsidR="00125CE0" w:rsidRPr="00734AB6">
              <w:rPr>
                <w:noProof/>
                <w:webHidden/>
              </w:rPr>
              <w:fldChar w:fldCharType="separate"/>
            </w:r>
            <w:r w:rsidR="005A21BB" w:rsidRPr="00734AB6">
              <w:rPr>
                <w:noProof/>
                <w:webHidden/>
              </w:rPr>
              <w:t>145</w:t>
            </w:r>
            <w:r w:rsidR="00125CE0" w:rsidRPr="00734AB6">
              <w:rPr>
                <w:noProof/>
                <w:webHidden/>
              </w:rPr>
              <w:fldChar w:fldCharType="end"/>
            </w:r>
          </w:hyperlink>
        </w:p>
        <w:p w14:paraId="3F0C3379" w14:textId="5637B993" w:rsidR="00125CE0" w:rsidRPr="00734AB6" w:rsidRDefault="00754FB3">
          <w:pPr>
            <w:pStyle w:val="TOC2"/>
            <w:rPr>
              <w:rFonts w:cstheme="minorBidi"/>
              <w:noProof/>
              <w:lang w:val="en-GB" w:eastAsia="en-GB"/>
            </w:rPr>
          </w:pPr>
          <w:hyperlink w:anchor="_Toc48136389" w:history="1">
            <w:r w:rsidR="00125CE0" w:rsidRPr="00734AB6">
              <w:rPr>
                <w:rStyle w:val="Hyperlink"/>
                <w:b/>
                <w:noProof/>
              </w:rPr>
              <w:t>5.2</w:t>
            </w:r>
            <w:r w:rsidR="00125CE0" w:rsidRPr="00734AB6">
              <w:rPr>
                <w:rFonts w:cstheme="minorBidi"/>
                <w:noProof/>
                <w:lang w:val="en-GB" w:eastAsia="en-GB"/>
              </w:rPr>
              <w:tab/>
            </w:r>
            <w:r w:rsidR="00125CE0" w:rsidRPr="00734AB6">
              <w:rPr>
                <w:rStyle w:val="Hyperlink"/>
                <w:b/>
                <w:noProof/>
              </w:rPr>
              <w:t>Summary of the key findings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_Toc48136389 \h </w:instrText>
            </w:r>
            <w:r w:rsidR="00125CE0" w:rsidRPr="00734AB6">
              <w:rPr>
                <w:noProof/>
                <w:webHidden/>
              </w:rPr>
            </w:r>
            <w:r w:rsidR="00125CE0" w:rsidRPr="00734AB6">
              <w:rPr>
                <w:noProof/>
                <w:webHidden/>
              </w:rPr>
              <w:fldChar w:fldCharType="separate"/>
            </w:r>
            <w:r w:rsidR="005A21BB" w:rsidRPr="00734AB6">
              <w:rPr>
                <w:noProof/>
                <w:webHidden/>
              </w:rPr>
              <w:t>145</w:t>
            </w:r>
            <w:r w:rsidR="00125CE0" w:rsidRPr="00734AB6">
              <w:rPr>
                <w:noProof/>
                <w:webHidden/>
              </w:rPr>
              <w:fldChar w:fldCharType="end"/>
            </w:r>
          </w:hyperlink>
        </w:p>
        <w:p w14:paraId="521F9155" w14:textId="4684152B" w:rsidR="00125CE0" w:rsidRPr="00734AB6" w:rsidRDefault="00754FB3">
          <w:pPr>
            <w:pStyle w:val="TOC3"/>
            <w:rPr>
              <w:rFonts w:cstheme="minorBidi"/>
              <w:noProof/>
              <w:lang w:val="en-GB" w:eastAsia="en-GB"/>
            </w:rPr>
          </w:pPr>
          <w:hyperlink w:anchor="_Toc48136390" w:history="1">
            <w:r w:rsidR="00125CE0" w:rsidRPr="00734AB6">
              <w:rPr>
                <w:rStyle w:val="Hyperlink"/>
                <w:b/>
                <w:noProof/>
              </w:rPr>
              <w:t>5.2.1</w:t>
            </w:r>
            <w:r w:rsidR="00125CE0" w:rsidRPr="00734AB6">
              <w:rPr>
                <w:rFonts w:cstheme="minorBidi"/>
                <w:noProof/>
                <w:lang w:val="en-GB" w:eastAsia="en-GB"/>
              </w:rPr>
              <w:tab/>
            </w:r>
            <w:r w:rsidR="00125CE0" w:rsidRPr="00734AB6">
              <w:rPr>
                <w:rStyle w:val="Hyperlink"/>
                <w:b/>
                <w:noProof/>
              </w:rPr>
              <w:t>Study 1</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_Toc48136390 \h </w:instrText>
            </w:r>
            <w:r w:rsidR="00125CE0" w:rsidRPr="00734AB6">
              <w:rPr>
                <w:noProof/>
                <w:webHidden/>
              </w:rPr>
            </w:r>
            <w:r w:rsidR="00125CE0" w:rsidRPr="00734AB6">
              <w:rPr>
                <w:noProof/>
                <w:webHidden/>
              </w:rPr>
              <w:fldChar w:fldCharType="separate"/>
            </w:r>
            <w:r w:rsidR="005A21BB" w:rsidRPr="00734AB6">
              <w:rPr>
                <w:noProof/>
                <w:webHidden/>
              </w:rPr>
              <w:t>145</w:t>
            </w:r>
            <w:r w:rsidR="00125CE0" w:rsidRPr="00734AB6">
              <w:rPr>
                <w:noProof/>
                <w:webHidden/>
              </w:rPr>
              <w:fldChar w:fldCharType="end"/>
            </w:r>
          </w:hyperlink>
        </w:p>
        <w:p w14:paraId="201744B2" w14:textId="1E9FB4BB" w:rsidR="00125CE0" w:rsidRPr="00734AB6" w:rsidRDefault="00754FB3">
          <w:pPr>
            <w:pStyle w:val="TOC3"/>
            <w:rPr>
              <w:rFonts w:cstheme="minorBidi"/>
              <w:noProof/>
              <w:lang w:val="en-GB" w:eastAsia="en-GB"/>
            </w:rPr>
          </w:pPr>
          <w:hyperlink w:anchor="_Toc48136391" w:history="1">
            <w:r w:rsidR="00125CE0" w:rsidRPr="00734AB6">
              <w:rPr>
                <w:rStyle w:val="Hyperlink"/>
                <w:b/>
                <w:noProof/>
              </w:rPr>
              <w:t>5.2.2</w:t>
            </w:r>
            <w:r w:rsidR="00125CE0" w:rsidRPr="00734AB6">
              <w:rPr>
                <w:rFonts w:cstheme="minorBidi"/>
                <w:noProof/>
                <w:lang w:val="en-GB" w:eastAsia="en-GB"/>
              </w:rPr>
              <w:tab/>
            </w:r>
            <w:r w:rsidR="00125CE0" w:rsidRPr="00734AB6">
              <w:rPr>
                <w:rStyle w:val="Hyperlink"/>
                <w:b/>
                <w:noProof/>
              </w:rPr>
              <w:t>Study 2</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_Toc48136391 \h </w:instrText>
            </w:r>
            <w:r w:rsidR="00125CE0" w:rsidRPr="00734AB6">
              <w:rPr>
                <w:noProof/>
                <w:webHidden/>
              </w:rPr>
            </w:r>
            <w:r w:rsidR="00125CE0" w:rsidRPr="00734AB6">
              <w:rPr>
                <w:noProof/>
                <w:webHidden/>
              </w:rPr>
              <w:fldChar w:fldCharType="separate"/>
            </w:r>
            <w:r w:rsidR="005A21BB" w:rsidRPr="00734AB6">
              <w:rPr>
                <w:noProof/>
                <w:webHidden/>
              </w:rPr>
              <w:t>146</w:t>
            </w:r>
            <w:r w:rsidR="00125CE0" w:rsidRPr="00734AB6">
              <w:rPr>
                <w:noProof/>
                <w:webHidden/>
              </w:rPr>
              <w:fldChar w:fldCharType="end"/>
            </w:r>
          </w:hyperlink>
        </w:p>
        <w:p w14:paraId="37B319D6" w14:textId="203C0FAB" w:rsidR="00125CE0" w:rsidRPr="00734AB6" w:rsidRDefault="00754FB3">
          <w:pPr>
            <w:pStyle w:val="TOC3"/>
            <w:rPr>
              <w:rFonts w:cstheme="minorBidi"/>
              <w:noProof/>
              <w:lang w:val="en-GB" w:eastAsia="en-GB"/>
            </w:rPr>
          </w:pPr>
          <w:hyperlink w:anchor="_Toc48136392" w:history="1">
            <w:r w:rsidR="00125CE0" w:rsidRPr="00734AB6">
              <w:rPr>
                <w:rStyle w:val="Hyperlink"/>
                <w:b/>
                <w:noProof/>
              </w:rPr>
              <w:t>5.2.3</w:t>
            </w:r>
            <w:r w:rsidR="00125CE0" w:rsidRPr="00734AB6">
              <w:rPr>
                <w:rFonts w:cstheme="minorBidi"/>
                <w:noProof/>
                <w:lang w:val="en-GB" w:eastAsia="en-GB"/>
              </w:rPr>
              <w:tab/>
            </w:r>
            <w:r w:rsidR="00125CE0" w:rsidRPr="00734AB6">
              <w:rPr>
                <w:rStyle w:val="Hyperlink"/>
                <w:b/>
                <w:noProof/>
              </w:rPr>
              <w:t>Study 3</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_Toc48136392 \h </w:instrText>
            </w:r>
            <w:r w:rsidR="00125CE0" w:rsidRPr="00734AB6">
              <w:rPr>
                <w:noProof/>
                <w:webHidden/>
              </w:rPr>
            </w:r>
            <w:r w:rsidR="00125CE0" w:rsidRPr="00734AB6">
              <w:rPr>
                <w:noProof/>
                <w:webHidden/>
              </w:rPr>
              <w:fldChar w:fldCharType="separate"/>
            </w:r>
            <w:r w:rsidR="005A21BB" w:rsidRPr="00734AB6">
              <w:rPr>
                <w:noProof/>
                <w:webHidden/>
              </w:rPr>
              <w:t>147</w:t>
            </w:r>
            <w:r w:rsidR="00125CE0" w:rsidRPr="00734AB6">
              <w:rPr>
                <w:noProof/>
                <w:webHidden/>
              </w:rPr>
              <w:fldChar w:fldCharType="end"/>
            </w:r>
          </w:hyperlink>
        </w:p>
        <w:p w14:paraId="6CF2F0EB" w14:textId="5B870AB0" w:rsidR="00125CE0" w:rsidRPr="00734AB6" w:rsidRDefault="00754FB3">
          <w:pPr>
            <w:pStyle w:val="TOC2"/>
            <w:rPr>
              <w:rFonts w:cstheme="minorBidi"/>
              <w:noProof/>
              <w:lang w:val="en-GB" w:eastAsia="en-GB"/>
            </w:rPr>
          </w:pPr>
          <w:hyperlink w:anchor="_Toc48136393" w:history="1">
            <w:r w:rsidR="00125CE0" w:rsidRPr="00734AB6">
              <w:rPr>
                <w:rStyle w:val="Hyperlink"/>
                <w:b/>
                <w:noProof/>
              </w:rPr>
              <w:t>5.3</w:t>
            </w:r>
            <w:r w:rsidR="00125CE0" w:rsidRPr="00734AB6">
              <w:rPr>
                <w:rFonts w:cstheme="minorBidi"/>
                <w:noProof/>
                <w:lang w:val="en-GB" w:eastAsia="en-GB"/>
              </w:rPr>
              <w:tab/>
            </w:r>
            <w:r w:rsidR="00125CE0" w:rsidRPr="00734AB6">
              <w:rPr>
                <w:rStyle w:val="Hyperlink"/>
                <w:b/>
                <w:noProof/>
              </w:rPr>
              <w:t>The profile of the off-prescription modafinil and methylphenidate user</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_Toc48136393 \h </w:instrText>
            </w:r>
            <w:r w:rsidR="00125CE0" w:rsidRPr="00734AB6">
              <w:rPr>
                <w:noProof/>
                <w:webHidden/>
              </w:rPr>
            </w:r>
            <w:r w:rsidR="00125CE0" w:rsidRPr="00734AB6">
              <w:rPr>
                <w:noProof/>
                <w:webHidden/>
              </w:rPr>
              <w:fldChar w:fldCharType="separate"/>
            </w:r>
            <w:r w:rsidR="005A21BB" w:rsidRPr="00734AB6">
              <w:rPr>
                <w:noProof/>
                <w:webHidden/>
              </w:rPr>
              <w:t>149</w:t>
            </w:r>
            <w:r w:rsidR="00125CE0" w:rsidRPr="00734AB6">
              <w:rPr>
                <w:noProof/>
                <w:webHidden/>
              </w:rPr>
              <w:fldChar w:fldCharType="end"/>
            </w:r>
          </w:hyperlink>
        </w:p>
        <w:p w14:paraId="3F1160D5" w14:textId="69C00FB9" w:rsidR="00125CE0" w:rsidRPr="00734AB6" w:rsidRDefault="00754FB3">
          <w:pPr>
            <w:pStyle w:val="TOC3"/>
            <w:rPr>
              <w:rFonts w:cstheme="minorBidi"/>
              <w:noProof/>
              <w:lang w:val="en-GB" w:eastAsia="en-GB"/>
            </w:rPr>
          </w:pPr>
          <w:hyperlink w:anchor="_Toc48136394" w:history="1">
            <w:r w:rsidR="00125CE0" w:rsidRPr="00734AB6">
              <w:rPr>
                <w:rStyle w:val="Hyperlink"/>
                <w:b/>
                <w:noProof/>
              </w:rPr>
              <w:t>5.3.1</w:t>
            </w:r>
            <w:r w:rsidR="00125CE0" w:rsidRPr="00734AB6">
              <w:rPr>
                <w:rFonts w:cstheme="minorBidi"/>
                <w:noProof/>
                <w:lang w:val="en-GB" w:eastAsia="en-GB"/>
              </w:rPr>
              <w:tab/>
            </w:r>
            <w:r w:rsidR="00125CE0" w:rsidRPr="00734AB6">
              <w:rPr>
                <w:rStyle w:val="Hyperlink"/>
                <w:b/>
                <w:noProof/>
              </w:rPr>
              <w:t>Laboratory studies versus real world reports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_Toc48136394 \h </w:instrText>
            </w:r>
            <w:r w:rsidR="00125CE0" w:rsidRPr="00734AB6">
              <w:rPr>
                <w:noProof/>
                <w:webHidden/>
              </w:rPr>
            </w:r>
            <w:r w:rsidR="00125CE0" w:rsidRPr="00734AB6">
              <w:rPr>
                <w:noProof/>
                <w:webHidden/>
              </w:rPr>
              <w:fldChar w:fldCharType="separate"/>
            </w:r>
            <w:r w:rsidR="005A21BB" w:rsidRPr="00734AB6">
              <w:rPr>
                <w:noProof/>
                <w:webHidden/>
              </w:rPr>
              <w:t>152</w:t>
            </w:r>
            <w:r w:rsidR="00125CE0" w:rsidRPr="00734AB6">
              <w:rPr>
                <w:noProof/>
                <w:webHidden/>
              </w:rPr>
              <w:fldChar w:fldCharType="end"/>
            </w:r>
          </w:hyperlink>
        </w:p>
        <w:p w14:paraId="702C917A" w14:textId="08282B84" w:rsidR="00125CE0" w:rsidRPr="00734AB6" w:rsidRDefault="00125CE0" w:rsidP="00125CE0">
          <w:pPr>
            <w:pStyle w:val="TOC3"/>
            <w:rPr>
              <w:rFonts w:cstheme="minorBidi"/>
              <w:noProof/>
              <w:lang w:val="en-GB" w:eastAsia="en-GB"/>
            </w:rPr>
          </w:pPr>
          <w:r w:rsidRPr="00734AB6">
            <w:rPr>
              <w:rStyle w:val="Hyperlink"/>
              <w:noProof/>
            </w:rPr>
            <w:fldChar w:fldCharType="begin"/>
          </w:r>
          <w:r w:rsidRPr="00734AB6">
            <w:rPr>
              <w:rStyle w:val="Hyperlink"/>
              <w:noProof/>
            </w:rPr>
            <w:instrText xml:space="preserve"> </w:instrText>
          </w:r>
          <w:r w:rsidRPr="00734AB6">
            <w:rPr>
              <w:noProof/>
            </w:rPr>
            <w:instrText>HYPERLINK \l "_Toc48136395"</w:instrText>
          </w:r>
          <w:r w:rsidRPr="00734AB6">
            <w:rPr>
              <w:rStyle w:val="Hyperlink"/>
              <w:noProof/>
            </w:rPr>
            <w:instrText xml:space="preserve"> </w:instrText>
          </w:r>
          <w:r w:rsidRPr="00734AB6">
            <w:rPr>
              <w:rStyle w:val="Hyperlink"/>
              <w:noProof/>
            </w:rPr>
            <w:fldChar w:fldCharType="separate"/>
          </w:r>
          <w:r w:rsidRPr="00734AB6">
            <w:rPr>
              <w:rStyle w:val="Hyperlink"/>
              <w:b/>
              <w:noProof/>
            </w:rPr>
            <w:t>5.4</w:t>
          </w:r>
          <w:r w:rsidRPr="00734AB6">
            <w:rPr>
              <w:rFonts w:cstheme="minorBidi"/>
              <w:noProof/>
              <w:lang w:val="en-GB" w:eastAsia="en-GB"/>
            </w:rPr>
            <w:tab/>
          </w:r>
          <w:r w:rsidRPr="00734AB6">
            <w:rPr>
              <w:rStyle w:val="Hyperlink"/>
              <w:b/>
              <w:noProof/>
            </w:rPr>
            <w:t xml:space="preserve">Modafinil and methylphenidate off-prescription users are not one </w:t>
          </w:r>
        </w:p>
        <w:p w14:paraId="18BC8FCB" w14:textId="6A32F9A0" w:rsidR="00125CE0" w:rsidRPr="00734AB6" w:rsidRDefault="00125CE0">
          <w:pPr>
            <w:pStyle w:val="TOC2"/>
            <w:rPr>
              <w:rFonts w:cstheme="minorBidi"/>
              <w:noProof/>
              <w:lang w:val="en-GB" w:eastAsia="en-GB"/>
            </w:rPr>
          </w:pPr>
          <w:r w:rsidRPr="00734AB6">
            <w:rPr>
              <w:rStyle w:val="Hyperlink"/>
              <w:b/>
              <w:noProof/>
            </w:rPr>
            <w:tab/>
            <w:t>homogenous group</w:t>
          </w:r>
          <w:r w:rsidRPr="00734AB6">
            <w:rPr>
              <w:noProof/>
              <w:webHidden/>
            </w:rPr>
            <w:tab/>
          </w:r>
          <w:r w:rsidRPr="00734AB6">
            <w:rPr>
              <w:noProof/>
              <w:webHidden/>
            </w:rPr>
            <w:fldChar w:fldCharType="begin"/>
          </w:r>
          <w:r w:rsidRPr="00734AB6">
            <w:rPr>
              <w:noProof/>
              <w:webHidden/>
            </w:rPr>
            <w:instrText xml:space="preserve"> PAGEREF _Toc48136395 \h </w:instrText>
          </w:r>
          <w:r w:rsidRPr="00734AB6">
            <w:rPr>
              <w:noProof/>
              <w:webHidden/>
            </w:rPr>
          </w:r>
          <w:r w:rsidRPr="00734AB6">
            <w:rPr>
              <w:noProof/>
              <w:webHidden/>
            </w:rPr>
            <w:fldChar w:fldCharType="separate"/>
          </w:r>
          <w:r w:rsidR="005A21BB" w:rsidRPr="00734AB6">
            <w:rPr>
              <w:noProof/>
              <w:webHidden/>
            </w:rPr>
            <w:t>152</w:t>
          </w:r>
          <w:r w:rsidRPr="00734AB6">
            <w:rPr>
              <w:noProof/>
              <w:webHidden/>
            </w:rPr>
            <w:fldChar w:fldCharType="end"/>
          </w:r>
          <w:r w:rsidRPr="00734AB6">
            <w:rPr>
              <w:rStyle w:val="Hyperlink"/>
              <w:noProof/>
            </w:rPr>
            <w:fldChar w:fldCharType="end"/>
          </w:r>
        </w:p>
        <w:p w14:paraId="74BD0BC2" w14:textId="409F5F38" w:rsidR="00125CE0" w:rsidRPr="00734AB6" w:rsidRDefault="00125CE0" w:rsidP="00125CE0">
          <w:pPr>
            <w:pStyle w:val="TOC3"/>
            <w:rPr>
              <w:rFonts w:cstheme="minorBidi"/>
              <w:noProof/>
              <w:lang w:val="en-GB" w:eastAsia="en-GB"/>
            </w:rPr>
          </w:pPr>
          <w:r w:rsidRPr="00734AB6">
            <w:rPr>
              <w:rStyle w:val="Hyperlink"/>
              <w:noProof/>
            </w:rPr>
            <w:fldChar w:fldCharType="begin"/>
          </w:r>
          <w:r w:rsidRPr="00734AB6">
            <w:rPr>
              <w:rStyle w:val="Hyperlink"/>
              <w:noProof/>
            </w:rPr>
            <w:instrText xml:space="preserve"> </w:instrText>
          </w:r>
          <w:r w:rsidRPr="00734AB6">
            <w:rPr>
              <w:noProof/>
            </w:rPr>
            <w:instrText>HYPERLINK \l "_Toc48136396"</w:instrText>
          </w:r>
          <w:r w:rsidRPr="00734AB6">
            <w:rPr>
              <w:rStyle w:val="Hyperlink"/>
              <w:noProof/>
            </w:rPr>
            <w:instrText xml:space="preserve"> </w:instrText>
          </w:r>
          <w:r w:rsidRPr="00734AB6">
            <w:rPr>
              <w:rStyle w:val="Hyperlink"/>
              <w:noProof/>
            </w:rPr>
            <w:fldChar w:fldCharType="separate"/>
          </w:r>
          <w:r w:rsidRPr="00734AB6">
            <w:rPr>
              <w:rStyle w:val="Hyperlink"/>
              <w:b/>
              <w:noProof/>
            </w:rPr>
            <w:t>5.5</w:t>
          </w:r>
          <w:r w:rsidRPr="00734AB6">
            <w:rPr>
              <w:rFonts w:cstheme="minorBidi"/>
              <w:noProof/>
              <w:lang w:val="en-GB" w:eastAsia="en-GB"/>
            </w:rPr>
            <w:tab/>
          </w:r>
          <w:r w:rsidRPr="00734AB6">
            <w:rPr>
              <w:rStyle w:val="Hyperlink"/>
              <w:b/>
              <w:noProof/>
            </w:rPr>
            <w:t xml:space="preserve">Are modafinil and methylphenidate used for self-medication or </w:t>
          </w:r>
        </w:p>
        <w:p w14:paraId="14E50C01" w14:textId="5EBD0B55" w:rsidR="00125CE0" w:rsidRPr="00734AB6" w:rsidRDefault="00125CE0">
          <w:pPr>
            <w:pStyle w:val="TOC2"/>
            <w:rPr>
              <w:rFonts w:cstheme="minorBidi"/>
              <w:noProof/>
              <w:lang w:val="en-GB" w:eastAsia="en-GB"/>
            </w:rPr>
          </w:pPr>
          <w:r w:rsidRPr="00734AB6">
            <w:rPr>
              <w:rStyle w:val="Hyperlink"/>
              <w:b/>
              <w:noProof/>
            </w:rPr>
            <w:tab/>
            <w:t>enhancement?</w:t>
          </w:r>
          <w:r w:rsidRPr="00734AB6">
            <w:rPr>
              <w:noProof/>
              <w:webHidden/>
            </w:rPr>
            <w:tab/>
          </w:r>
          <w:r w:rsidRPr="00734AB6">
            <w:rPr>
              <w:noProof/>
              <w:webHidden/>
            </w:rPr>
            <w:fldChar w:fldCharType="begin"/>
          </w:r>
          <w:r w:rsidRPr="00734AB6">
            <w:rPr>
              <w:noProof/>
              <w:webHidden/>
            </w:rPr>
            <w:instrText xml:space="preserve"> PAGEREF _Toc48136396 \h </w:instrText>
          </w:r>
          <w:r w:rsidRPr="00734AB6">
            <w:rPr>
              <w:noProof/>
              <w:webHidden/>
            </w:rPr>
          </w:r>
          <w:r w:rsidRPr="00734AB6">
            <w:rPr>
              <w:noProof/>
              <w:webHidden/>
            </w:rPr>
            <w:fldChar w:fldCharType="separate"/>
          </w:r>
          <w:r w:rsidR="005A21BB" w:rsidRPr="00734AB6">
            <w:rPr>
              <w:noProof/>
              <w:webHidden/>
            </w:rPr>
            <w:t>153</w:t>
          </w:r>
          <w:r w:rsidRPr="00734AB6">
            <w:rPr>
              <w:noProof/>
              <w:webHidden/>
            </w:rPr>
            <w:fldChar w:fldCharType="end"/>
          </w:r>
          <w:r w:rsidRPr="00734AB6">
            <w:rPr>
              <w:rStyle w:val="Hyperlink"/>
              <w:noProof/>
            </w:rPr>
            <w:fldChar w:fldCharType="end"/>
          </w:r>
        </w:p>
        <w:p w14:paraId="320A511D" w14:textId="77ED84E2" w:rsidR="00125CE0" w:rsidRPr="00734AB6" w:rsidRDefault="00754FB3">
          <w:pPr>
            <w:pStyle w:val="TOC3"/>
            <w:rPr>
              <w:rFonts w:cstheme="minorBidi"/>
              <w:noProof/>
              <w:lang w:val="en-GB" w:eastAsia="en-GB"/>
            </w:rPr>
          </w:pPr>
          <w:hyperlink w:anchor="_Toc48136397" w:history="1">
            <w:r w:rsidR="00125CE0" w:rsidRPr="00734AB6">
              <w:rPr>
                <w:rStyle w:val="Hyperlink"/>
                <w:b/>
                <w:noProof/>
              </w:rPr>
              <w:t>5.5.1</w:t>
            </w:r>
            <w:r w:rsidR="00125CE0" w:rsidRPr="00734AB6">
              <w:rPr>
                <w:rFonts w:cstheme="minorBidi"/>
                <w:noProof/>
                <w:lang w:val="en-GB" w:eastAsia="en-GB"/>
              </w:rPr>
              <w:tab/>
            </w:r>
            <w:r w:rsidR="00125CE0" w:rsidRPr="00734AB6">
              <w:rPr>
                <w:rStyle w:val="Hyperlink"/>
                <w:b/>
                <w:noProof/>
              </w:rPr>
              <w:t>Modafinil and methylphenidate use as self-medication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_Toc48136397 \h </w:instrText>
            </w:r>
            <w:r w:rsidR="00125CE0" w:rsidRPr="00734AB6">
              <w:rPr>
                <w:noProof/>
                <w:webHidden/>
              </w:rPr>
            </w:r>
            <w:r w:rsidR="00125CE0" w:rsidRPr="00734AB6">
              <w:rPr>
                <w:noProof/>
                <w:webHidden/>
              </w:rPr>
              <w:fldChar w:fldCharType="separate"/>
            </w:r>
            <w:r w:rsidR="005A21BB" w:rsidRPr="00734AB6">
              <w:rPr>
                <w:noProof/>
                <w:webHidden/>
              </w:rPr>
              <w:t>154</w:t>
            </w:r>
            <w:r w:rsidR="00125CE0" w:rsidRPr="00734AB6">
              <w:rPr>
                <w:noProof/>
                <w:webHidden/>
              </w:rPr>
              <w:fldChar w:fldCharType="end"/>
            </w:r>
          </w:hyperlink>
        </w:p>
        <w:p w14:paraId="50D69BB4" w14:textId="70B6F38E" w:rsidR="00125CE0" w:rsidRPr="00734AB6" w:rsidRDefault="00754FB3">
          <w:pPr>
            <w:pStyle w:val="TOC3"/>
            <w:rPr>
              <w:rFonts w:cstheme="minorBidi"/>
              <w:noProof/>
              <w:lang w:val="en-GB" w:eastAsia="en-GB"/>
            </w:rPr>
          </w:pPr>
          <w:hyperlink w:anchor="_Toc48136398" w:history="1">
            <w:r w:rsidR="00125CE0" w:rsidRPr="00734AB6">
              <w:rPr>
                <w:rStyle w:val="Hyperlink"/>
                <w:b/>
                <w:noProof/>
              </w:rPr>
              <w:t>5.5.2</w:t>
            </w:r>
            <w:r w:rsidR="00125CE0" w:rsidRPr="00734AB6">
              <w:rPr>
                <w:rFonts w:cstheme="minorBidi"/>
                <w:noProof/>
                <w:lang w:val="en-GB" w:eastAsia="en-GB"/>
              </w:rPr>
              <w:tab/>
            </w:r>
            <w:r w:rsidR="00125CE0" w:rsidRPr="00734AB6">
              <w:rPr>
                <w:rStyle w:val="Hyperlink"/>
                <w:b/>
                <w:noProof/>
              </w:rPr>
              <w:t>Modafinil and methylphenidate use as cognitive enhancers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_Toc48136398 \h </w:instrText>
            </w:r>
            <w:r w:rsidR="00125CE0" w:rsidRPr="00734AB6">
              <w:rPr>
                <w:noProof/>
                <w:webHidden/>
              </w:rPr>
            </w:r>
            <w:r w:rsidR="00125CE0" w:rsidRPr="00734AB6">
              <w:rPr>
                <w:noProof/>
                <w:webHidden/>
              </w:rPr>
              <w:fldChar w:fldCharType="separate"/>
            </w:r>
            <w:r w:rsidR="005A21BB" w:rsidRPr="00734AB6">
              <w:rPr>
                <w:noProof/>
                <w:webHidden/>
              </w:rPr>
              <w:t>156</w:t>
            </w:r>
            <w:r w:rsidR="00125CE0" w:rsidRPr="00734AB6">
              <w:rPr>
                <w:noProof/>
                <w:webHidden/>
              </w:rPr>
              <w:fldChar w:fldCharType="end"/>
            </w:r>
          </w:hyperlink>
        </w:p>
        <w:p w14:paraId="54201DE2" w14:textId="57C38F84" w:rsidR="00125CE0" w:rsidRPr="00734AB6" w:rsidRDefault="00754FB3">
          <w:pPr>
            <w:pStyle w:val="TOC3"/>
            <w:rPr>
              <w:rFonts w:cstheme="minorBidi"/>
              <w:noProof/>
              <w:lang w:val="en-GB" w:eastAsia="en-GB"/>
            </w:rPr>
          </w:pPr>
          <w:hyperlink w:anchor="_Toc48136399" w:history="1">
            <w:r w:rsidR="00125CE0" w:rsidRPr="00734AB6">
              <w:rPr>
                <w:rStyle w:val="Hyperlink"/>
                <w:b/>
                <w:noProof/>
              </w:rPr>
              <w:t>5.5.3</w:t>
            </w:r>
            <w:r w:rsidR="00125CE0" w:rsidRPr="00734AB6">
              <w:rPr>
                <w:rFonts w:cstheme="minorBidi"/>
                <w:noProof/>
                <w:lang w:val="en-GB" w:eastAsia="en-GB"/>
              </w:rPr>
              <w:tab/>
            </w:r>
            <w:r w:rsidR="00125CE0" w:rsidRPr="00734AB6">
              <w:rPr>
                <w:rStyle w:val="Hyperlink"/>
                <w:b/>
                <w:noProof/>
              </w:rPr>
              <w:t>Dependency and addiction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_Toc48136399 \h </w:instrText>
            </w:r>
            <w:r w:rsidR="00125CE0" w:rsidRPr="00734AB6">
              <w:rPr>
                <w:noProof/>
                <w:webHidden/>
              </w:rPr>
            </w:r>
            <w:r w:rsidR="00125CE0" w:rsidRPr="00734AB6">
              <w:rPr>
                <w:noProof/>
                <w:webHidden/>
              </w:rPr>
              <w:fldChar w:fldCharType="separate"/>
            </w:r>
            <w:r w:rsidR="005A21BB" w:rsidRPr="00734AB6">
              <w:rPr>
                <w:noProof/>
                <w:webHidden/>
              </w:rPr>
              <w:t>157</w:t>
            </w:r>
            <w:r w:rsidR="00125CE0" w:rsidRPr="00734AB6">
              <w:rPr>
                <w:noProof/>
                <w:webHidden/>
              </w:rPr>
              <w:fldChar w:fldCharType="end"/>
            </w:r>
          </w:hyperlink>
        </w:p>
        <w:p w14:paraId="6F274A9B" w14:textId="69A9BF2D" w:rsidR="00125CE0" w:rsidRPr="00734AB6" w:rsidRDefault="00754FB3">
          <w:pPr>
            <w:pStyle w:val="TOC2"/>
            <w:rPr>
              <w:rFonts w:cstheme="minorBidi"/>
              <w:noProof/>
              <w:lang w:val="en-GB" w:eastAsia="en-GB"/>
            </w:rPr>
          </w:pPr>
          <w:hyperlink w:anchor="_Toc48136400" w:history="1">
            <w:r w:rsidR="00125CE0" w:rsidRPr="00734AB6">
              <w:rPr>
                <w:rStyle w:val="Hyperlink"/>
                <w:b/>
                <w:noProof/>
              </w:rPr>
              <w:t>5.6</w:t>
            </w:r>
            <w:r w:rsidR="00125CE0" w:rsidRPr="00734AB6">
              <w:rPr>
                <w:rFonts w:cstheme="minorBidi"/>
                <w:noProof/>
                <w:lang w:val="en-GB" w:eastAsia="en-GB"/>
              </w:rPr>
              <w:tab/>
            </w:r>
            <w:r w:rsidR="00125CE0" w:rsidRPr="00734AB6">
              <w:rPr>
                <w:rStyle w:val="Hyperlink"/>
                <w:b/>
                <w:noProof/>
              </w:rPr>
              <w:t>Relevance to informing policy makers and society</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_Toc48136400 \h </w:instrText>
            </w:r>
            <w:r w:rsidR="00125CE0" w:rsidRPr="00734AB6">
              <w:rPr>
                <w:noProof/>
                <w:webHidden/>
              </w:rPr>
            </w:r>
            <w:r w:rsidR="00125CE0" w:rsidRPr="00734AB6">
              <w:rPr>
                <w:noProof/>
                <w:webHidden/>
              </w:rPr>
              <w:fldChar w:fldCharType="separate"/>
            </w:r>
            <w:r w:rsidR="005A21BB" w:rsidRPr="00734AB6">
              <w:rPr>
                <w:noProof/>
                <w:webHidden/>
              </w:rPr>
              <w:t>158</w:t>
            </w:r>
            <w:r w:rsidR="00125CE0" w:rsidRPr="00734AB6">
              <w:rPr>
                <w:noProof/>
                <w:webHidden/>
              </w:rPr>
              <w:fldChar w:fldCharType="end"/>
            </w:r>
          </w:hyperlink>
        </w:p>
        <w:p w14:paraId="5165FE8A" w14:textId="09780811" w:rsidR="00125CE0" w:rsidRPr="00734AB6" w:rsidRDefault="00754FB3">
          <w:pPr>
            <w:pStyle w:val="TOC2"/>
            <w:rPr>
              <w:rFonts w:cstheme="minorBidi"/>
              <w:noProof/>
              <w:lang w:val="en-GB" w:eastAsia="en-GB"/>
            </w:rPr>
          </w:pPr>
          <w:hyperlink w:anchor="_Toc48136401" w:history="1">
            <w:r w:rsidR="00125CE0" w:rsidRPr="00734AB6">
              <w:rPr>
                <w:rStyle w:val="Hyperlink"/>
                <w:b/>
                <w:noProof/>
              </w:rPr>
              <w:t>5.7</w:t>
            </w:r>
            <w:r w:rsidR="00125CE0" w:rsidRPr="00734AB6">
              <w:rPr>
                <w:rFonts w:cstheme="minorBidi"/>
                <w:noProof/>
                <w:lang w:val="en-GB" w:eastAsia="en-GB"/>
              </w:rPr>
              <w:tab/>
            </w:r>
            <w:r w:rsidR="00125CE0" w:rsidRPr="00734AB6">
              <w:rPr>
                <w:rStyle w:val="Hyperlink"/>
                <w:b/>
                <w:noProof/>
              </w:rPr>
              <w:t>Limitations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_Toc48136401 \h </w:instrText>
            </w:r>
            <w:r w:rsidR="00125CE0" w:rsidRPr="00734AB6">
              <w:rPr>
                <w:noProof/>
                <w:webHidden/>
              </w:rPr>
            </w:r>
            <w:r w:rsidR="00125CE0" w:rsidRPr="00734AB6">
              <w:rPr>
                <w:noProof/>
                <w:webHidden/>
              </w:rPr>
              <w:fldChar w:fldCharType="separate"/>
            </w:r>
            <w:r w:rsidR="005A21BB" w:rsidRPr="00734AB6">
              <w:rPr>
                <w:noProof/>
                <w:webHidden/>
              </w:rPr>
              <w:t>159</w:t>
            </w:r>
            <w:r w:rsidR="00125CE0" w:rsidRPr="00734AB6">
              <w:rPr>
                <w:noProof/>
                <w:webHidden/>
              </w:rPr>
              <w:fldChar w:fldCharType="end"/>
            </w:r>
          </w:hyperlink>
        </w:p>
        <w:p w14:paraId="50E2D311" w14:textId="1ECBD961" w:rsidR="00125CE0" w:rsidRPr="00734AB6" w:rsidRDefault="00754FB3">
          <w:pPr>
            <w:pStyle w:val="TOC2"/>
            <w:rPr>
              <w:rFonts w:cstheme="minorBidi"/>
              <w:noProof/>
              <w:lang w:val="en-GB" w:eastAsia="en-GB"/>
            </w:rPr>
          </w:pPr>
          <w:hyperlink w:anchor="_Toc48136402" w:history="1">
            <w:r w:rsidR="00125CE0" w:rsidRPr="00734AB6">
              <w:rPr>
                <w:rStyle w:val="Hyperlink"/>
                <w:b/>
                <w:noProof/>
              </w:rPr>
              <w:t>5.8</w:t>
            </w:r>
            <w:r w:rsidR="00125CE0" w:rsidRPr="00734AB6">
              <w:rPr>
                <w:rFonts w:cstheme="minorBidi"/>
                <w:noProof/>
                <w:lang w:val="en-GB" w:eastAsia="en-GB"/>
              </w:rPr>
              <w:tab/>
            </w:r>
            <w:r w:rsidR="00125CE0" w:rsidRPr="00734AB6">
              <w:rPr>
                <w:rStyle w:val="Hyperlink"/>
                <w:b/>
                <w:noProof/>
              </w:rPr>
              <w:t>Future Directions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_Toc48136402 \h </w:instrText>
            </w:r>
            <w:r w:rsidR="00125CE0" w:rsidRPr="00734AB6">
              <w:rPr>
                <w:noProof/>
                <w:webHidden/>
              </w:rPr>
            </w:r>
            <w:r w:rsidR="00125CE0" w:rsidRPr="00734AB6">
              <w:rPr>
                <w:noProof/>
                <w:webHidden/>
              </w:rPr>
              <w:fldChar w:fldCharType="separate"/>
            </w:r>
            <w:r w:rsidR="005A21BB" w:rsidRPr="00734AB6">
              <w:rPr>
                <w:noProof/>
                <w:webHidden/>
              </w:rPr>
              <w:t>161</w:t>
            </w:r>
            <w:r w:rsidR="00125CE0" w:rsidRPr="00734AB6">
              <w:rPr>
                <w:noProof/>
                <w:webHidden/>
              </w:rPr>
              <w:fldChar w:fldCharType="end"/>
            </w:r>
          </w:hyperlink>
        </w:p>
        <w:p w14:paraId="28C81256" w14:textId="5FAB0863" w:rsidR="00125CE0" w:rsidRPr="00734AB6" w:rsidRDefault="00754FB3">
          <w:pPr>
            <w:pStyle w:val="TOC2"/>
            <w:rPr>
              <w:rFonts w:cstheme="minorBidi"/>
              <w:noProof/>
              <w:lang w:val="en-GB" w:eastAsia="en-GB"/>
            </w:rPr>
          </w:pPr>
          <w:hyperlink w:anchor="_Toc48136403" w:history="1">
            <w:r w:rsidR="00125CE0" w:rsidRPr="00734AB6">
              <w:rPr>
                <w:rStyle w:val="Hyperlink"/>
                <w:b/>
                <w:noProof/>
              </w:rPr>
              <w:t>5.9</w:t>
            </w:r>
            <w:r w:rsidR="00125CE0" w:rsidRPr="00734AB6">
              <w:rPr>
                <w:rFonts w:cstheme="minorBidi"/>
                <w:noProof/>
                <w:lang w:val="en-GB" w:eastAsia="en-GB"/>
              </w:rPr>
              <w:tab/>
            </w:r>
            <w:r w:rsidR="00125CE0" w:rsidRPr="00734AB6">
              <w:rPr>
                <w:rStyle w:val="Hyperlink"/>
                <w:b/>
                <w:noProof/>
              </w:rPr>
              <w:t>Conclusions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_Toc48136403 \h </w:instrText>
            </w:r>
            <w:r w:rsidR="00125CE0" w:rsidRPr="00734AB6">
              <w:rPr>
                <w:noProof/>
                <w:webHidden/>
              </w:rPr>
            </w:r>
            <w:r w:rsidR="00125CE0" w:rsidRPr="00734AB6">
              <w:rPr>
                <w:noProof/>
                <w:webHidden/>
              </w:rPr>
              <w:fldChar w:fldCharType="separate"/>
            </w:r>
            <w:r w:rsidR="005A21BB" w:rsidRPr="00734AB6">
              <w:rPr>
                <w:noProof/>
                <w:webHidden/>
              </w:rPr>
              <w:t>162</w:t>
            </w:r>
            <w:r w:rsidR="00125CE0" w:rsidRPr="00734AB6">
              <w:rPr>
                <w:noProof/>
                <w:webHidden/>
              </w:rPr>
              <w:fldChar w:fldCharType="end"/>
            </w:r>
          </w:hyperlink>
        </w:p>
        <w:p w14:paraId="1E743AF2" w14:textId="5DEA0DB8" w:rsidR="00125CE0" w:rsidRPr="00734AB6" w:rsidRDefault="00754FB3">
          <w:pPr>
            <w:pStyle w:val="TOC1"/>
            <w:rPr>
              <w:rFonts w:cstheme="minorBidi"/>
              <w:noProof/>
              <w:lang w:val="en-GB" w:eastAsia="en-GB"/>
            </w:rPr>
          </w:pPr>
          <w:hyperlink w:anchor="_Toc48136404" w:history="1">
            <w:r w:rsidR="00125CE0" w:rsidRPr="00734AB6">
              <w:rPr>
                <w:rStyle w:val="Hyperlink"/>
                <w:b/>
                <w:noProof/>
              </w:rPr>
              <w:t>REFERENCES</w:t>
            </w:r>
            <w:r w:rsidR="00A42C2E" w:rsidRPr="00734AB6">
              <w:rPr>
                <w:noProof/>
                <w:webHidden/>
              </w:rPr>
              <w:t xml:space="preserve">……………………………………………………………………………………………………………………… </w:t>
            </w:r>
            <w:r w:rsidR="00125CE0" w:rsidRPr="00734AB6">
              <w:rPr>
                <w:noProof/>
                <w:webHidden/>
              </w:rPr>
              <w:fldChar w:fldCharType="begin"/>
            </w:r>
            <w:r w:rsidR="00125CE0" w:rsidRPr="00734AB6">
              <w:rPr>
                <w:noProof/>
                <w:webHidden/>
              </w:rPr>
              <w:instrText xml:space="preserve"> PAGEREF _Toc48136404 \h </w:instrText>
            </w:r>
            <w:r w:rsidR="00125CE0" w:rsidRPr="00734AB6">
              <w:rPr>
                <w:noProof/>
                <w:webHidden/>
              </w:rPr>
            </w:r>
            <w:r w:rsidR="00125CE0" w:rsidRPr="00734AB6">
              <w:rPr>
                <w:noProof/>
                <w:webHidden/>
              </w:rPr>
              <w:fldChar w:fldCharType="separate"/>
            </w:r>
            <w:r w:rsidR="005A21BB" w:rsidRPr="00734AB6">
              <w:rPr>
                <w:noProof/>
                <w:webHidden/>
              </w:rPr>
              <w:t>164</w:t>
            </w:r>
            <w:r w:rsidR="00125CE0" w:rsidRPr="00734AB6">
              <w:rPr>
                <w:noProof/>
                <w:webHidden/>
              </w:rPr>
              <w:fldChar w:fldCharType="end"/>
            </w:r>
          </w:hyperlink>
        </w:p>
        <w:p w14:paraId="6C061740" w14:textId="276C35C1" w:rsidR="00125CE0" w:rsidRPr="00734AB6" w:rsidRDefault="00754FB3">
          <w:pPr>
            <w:pStyle w:val="TOC1"/>
            <w:rPr>
              <w:rFonts w:cstheme="minorBidi"/>
              <w:noProof/>
              <w:lang w:val="en-GB" w:eastAsia="en-GB"/>
            </w:rPr>
          </w:pPr>
          <w:hyperlink w:anchor="_Toc48136405" w:history="1">
            <w:r w:rsidR="00125CE0" w:rsidRPr="00734AB6">
              <w:rPr>
                <w:rStyle w:val="Hyperlink"/>
                <w:b/>
                <w:noProof/>
              </w:rPr>
              <w:t>Appendix A: Study One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_Toc48136405 \h </w:instrText>
            </w:r>
            <w:r w:rsidR="00125CE0" w:rsidRPr="00734AB6">
              <w:rPr>
                <w:noProof/>
                <w:webHidden/>
              </w:rPr>
            </w:r>
            <w:r w:rsidR="00125CE0" w:rsidRPr="00734AB6">
              <w:rPr>
                <w:noProof/>
                <w:webHidden/>
              </w:rPr>
              <w:fldChar w:fldCharType="separate"/>
            </w:r>
            <w:r w:rsidR="005A21BB" w:rsidRPr="00734AB6">
              <w:rPr>
                <w:noProof/>
                <w:webHidden/>
              </w:rPr>
              <w:t>194</w:t>
            </w:r>
            <w:r w:rsidR="00125CE0" w:rsidRPr="00734AB6">
              <w:rPr>
                <w:noProof/>
                <w:webHidden/>
              </w:rPr>
              <w:fldChar w:fldCharType="end"/>
            </w:r>
          </w:hyperlink>
        </w:p>
        <w:p w14:paraId="40B6DB13" w14:textId="522835B1" w:rsidR="00125CE0" w:rsidRPr="00734AB6" w:rsidRDefault="00754FB3">
          <w:pPr>
            <w:pStyle w:val="TOC2"/>
            <w:rPr>
              <w:rFonts w:cstheme="minorBidi"/>
              <w:noProof/>
              <w:lang w:val="en-GB" w:eastAsia="en-GB"/>
            </w:rPr>
          </w:pPr>
          <w:hyperlink w:anchor="_Toc48136406" w:history="1">
            <w:r w:rsidR="00125CE0" w:rsidRPr="00734AB6">
              <w:rPr>
                <w:rStyle w:val="Hyperlink"/>
                <w:b/>
                <w:noProof/>
              </w:rPr>
              <w:t>A(i)</w:t>
            </w:r>
            <w:r w:rsidR="00125CE0" w:rsidRPr="00734AB6">
              <w:rPr>
                <w:rFonts w:cstheme="minorBidi"/>
                <w:noProof/>
                <w:lang w:val="en-GB" w:eastAsia="en-GB"/>
              </w:rPr>
              <w:tab/>
            </w:r>
            <w:r w:rsidR="00125CE0" w:rsidRPr="00734AB6">
              <w:rPr>
                <w:rStyle w:val="Hyperlink"/>
                <w:b/>
                <w:noProof/>
              </w:rPr>
              <w:t>Questionnaire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_Toc48136406 \h </w:instrText>
            </w:r>
            <w:r w:rsidR="00125CE0" w:rsidRPr="00734AB6">
              <w:rPr>
                <w:noProof/>
                <w:webHidden/>
              </w:rPr>
            </w:r>
            <w:r w:rsidR="00125CE0" w:rsidRPr="00734AB6">
              <w:rPr>
                <w:noProof/>
                <w:webHidden/>
              </w:rPr>
              <w:fldChar w:fldCharType="separate"/>
            </w:r>
            <w:r w:rsidR="005A21BB" w:rsidRPr="00734AB6">
              <w:rPr>
                <w:noProof/>
                <w:webHidden/>
              </w:rPr>
              <w:t>194</w:t>
            </w:r>
            <w:r w:rsidR="00125CE0" w:rsidRPr="00734AB6">
              <w:rPr>
                <w:noProof/>
                <w:webHidden/>
              </w:rPr>
              <w:fldChar w:fldCharType="end"/>
            </w:r>
          </w:hyperlink>
        </w:p>
        <w:p w14:paraId="41FF463D" w14:textId="1A75DCDD" w:rsidR="00125CE0" w:rsidRPr="00734AB6" w:rsidRDefault="00754FB3">
          <w:pPr>
            <w:pStyle w:val="TOC2"/>
            <w:rPr>
              <w:rFonts w:cstheme="minorBidi"/>
              <w:noProof/>
              <w:lang w:val="en-GB" w:eastAsia="en-GB"/>
            </w:rPr>
          </w:pPr>
          <w:hyperlink w:anchor="_Toc48136407" w:history="1">
            <w:r w:rsidR="00125CE0" w:rsidRPr="00734AB6">
              <w:rPr>
                <w:rStyle w:val="Hyperlink"/>
                <w:b/>
                <w:noProof/>
              </w:rPr>
              <w:t>A(iii)</w:t>
            </w:r>
            <w:r w:rsidR="00125CE0" w:rsidRPr="00734AB6">
              <w:rPr>
                <w:rFonts w:cstheme="minorBidi"/>
                <w:noProof/>
                <w:lang w:val="en-GB" w:eastAsia="en-GB"/>
              </w:rPr>
              <w:tab/>
            </w:r>
            <w:r w:rsidR="00125CE0" w:rsidRPr="00734AB6">
              <w:rPr>
                <w:rStyle w:val="Hyperlink"/>
                <w:b/>
                <w:noProof/>
              </w:rPr>
              <w:t>Participant information sheet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_Toc48136407 \h </w:instrText>
            </w:r>
            <w:r w:rsidR="00125CE0" w:rsidRPr="00734AB6">
              <w:rPr>
                <w:noProof/>
                <w:webHidden/>
              </w:rPr>
            </w:r>
            <w:r w:rsidR="00125CE0" w:rsidRPr="00734AB6">
              <w:rPr>
                <w:noProof/>
                <w:webHidden/>
              </w:rPr>
              <w:fldChar w:fldCharType="separate"/>
            </w:r>
            <w:r w:rsidR="005A21BB" w:rsidRPr="00734AB6">
              <w:rPr>
                <w:noProof/>
                <w:webHidden/>
              </w:rPr>
              <w:t>200</w:t>
            </w:r>
            <w:r w:rsidR="00125CE0" w:rsidRPr="00734AB6">
              <w:rPr>
                <w:noProof/>
                <w:webHidden/>
              </w:rPr>
              <w:fldChar w:fldCharType="end"/>
            </w:r>
          </w:hyperlink>
        </w:p>
        <w:p w14:paraId="79365FEF" w14:textId="33E025FA" w:rsidR="00125CE0" w:rsidRPr="00734AB6" w:rsidRDefault="00754FB3">
          <w:pPr>
            <w:pStyle w:val="TOC2"/>
            <w:rPr>
              <w:rFonts w:cstheme="minorBidi"/>
              <w:noProof/>
              <w:lang w:val="en-GB" w:eastAsia="en-GB"/>
            </w:rPr>
          </w:pPr>
          <w:hyperlink w:anchor="_Toc48136408" w:history="1">
            <w:r w:rsidR="00125CE0" w:rsidRPr="00734AB6">
              <w:rPr>
                <w:rStyle w:val="Hyperlink"/>
                <w:b/>
                <w:noProof/>
              </w:rPr>
              <w:t>A(iv)</w:t>
            </w:r>
            <w:r w:rsidR="00125CE0" w:rsidRPr="00734AB6">
              <w:rPr>
                <w:rFonts w:cstheme="minorBidi"/>
                <w:noProof/>
                <w:lang w:val="en-GB" w:eastAsia="en-GB"/>
              </w:rPr>
              <w:tab/>
            </w:r>
            <w:r w:rsidR="00125CE0" w:rsidRPr="00734AB6">
              <w:rPr>
                <w:rStyle w:val="Hyperlink"/>
                <w:b/>
                <w:noProof/>
              </w:rPr>
              <w:t>Participant consent form</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_Toc48136408 \h </w:instrText>
            </w:r>
            <w:r w:rsidR="00125CE0" w:rsidRPr="00734AB6">
              <w:rPr>
                <w:noProof/>
                <w:webHidden/>
              </w:rPr>
            </w:r>
            <w:r w:rsidR="00125CE0" w:rsidRPr="00734AB6">
              <w:rPr>
                <w:noProof/>
                <w:webHidden/>
              </w:rPr>
              <w:fldChar w:fldCharType="separate"/>
            </w:r>
            <w:r w:rsidR="005A21BB" w:rsidRPr="00734AB6">
              <w:rPr>
                <w:noProof/>
                <w:webHidden/>
              </w:rPr>
              <w:t>202</w:t>
            </w:r>
            <w:r w:rsidR="00125CE0" w:rsidRPr="00734AB6">
              <w:rPr>
                <w:noProof/>
                <w:webHidden/>
              </w:rPr>
              <w:fldChar w:fldCharType="end"/>
            </w:r>
          </w:hyperlink>
        </w:p>
        <w:p w14:paraId="360B427F" w14:textId="5ADA1E6F" w:rsidR="00125CE0" w:rsidRPr="00734AB6" w:rsidRDefault="00754FB3">
          <w:pPr>
            <w:pStyle w:val="TOC2"/>
            <w:rPr>
              <w:rFonts w:cstheme="minorBidi"/>
              <w:noProof/>
              <w:lang w:val="en-GB" w:eastAsia="en-GB"/>
            </w:rPr>
          </w:pPr>
          <w:hyperlink w:anchor="_Toc48136409" w:history="1">
            <w:r w:rsidR="00125CE0" w:rsidRPr="00734AB6">
              <w:rPr>
                <w:rStyle w:val="Hyperlink"/>
                <w:b/>
                <w:noProof/>
              </w:rPr>
              <w:t>A(v)</w:t>
            </w:r>
            <w:r w:rsidR="00125CE0" w:rsidRPr="00734AB6">
              <w:rPr>
                <w:rFonts w:cstheme="minorBidi"/>
                <w:noProof/>
                <w:lang w:val="en-GB" w:eastAsia="en-GB"/>
              </w:rPr>
              <w:tab/>
            </w:r>
            <w:r w:rsidR="00125CE0" w:rsidRPr="00734AB6">
              <w:rPr>
                <w:rStyle w:val="Hyperlink"/>
                <w:b/>
                <w:noProof/>
              </w:rPr>
              <w:t>Participant debriefing information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_Toc48136409 \h </w:instrText>
            </w:r>
            <w:r w:rsidR="00125CE0" w:rsidRPr="00734AB6">
              <w:rPr>
                <w:noProof/>
                <w:webHidden/>
              </w:rPr>
            </w:r>
            <w:r w:rsidR="00125CE0" w:rsidRPr="00734AB6">
              <w:rPr>
                <w:noProof/>
                <w:webHidden/>
              </w:rPr>
              <w:fldChar w:fldCharType="separate"/>
            </w:r>
            <w:r w:rsidR="005A21BB" w:rsidRPr="00734AB6">
              <w:rPr>
                <w:noProof/>
                <w:webHidden/>
              </w:rPr>
              <w:t>204</w:t>
            </w:r>
            <w:r w:rsidR="00125CE0" w:rsidRPr="00734AB6">
              <w:rPr>
                <w:noProof/>
                <w:webHidden/>
              </w:rPr>
              <w:fldChar w:fldCharType="end"/>
            </w:r>
          </w:hyperlink>
        </w:p>
        <w:p w14:paraId="6902C08D" w14:textId="2BAACF43" w:rsidR="00125CE0" w:rsidRPr="00734AB6" w:rsidRDefault="00754FB3">
          <w:pPr>
            <w:pStyle w:val="TOC2"/>
            <w:rPr>
              <w:rFonts w:cstheme="minorBidi"/>
              <w:noProof/>
              <w:lang w:val="en-GB" w:eastAsia="en-GB"/>
            </w:rPr>
          </w:pPr>
          <w:hyperlink w:anchor="_Toc48136410" w:history="1">
            <w:r w:rsidR="00125CE0" w:rsidRPr="00734AB6">
              <w:rPr>
                <w:rStyle w:val="Hyperlink"/>
                <w:b/>
                <w:noProof/>
              </w:rPr>
              <w:t>A(vi)</w:t>
            </w:r>
            <w:r w:rsidR="00125CE0" w:rsidRPr="00734AB6">
              <w:rPr>
                <w:rFonts w:cstheme="minorBidi"/>
                <w:noProof/>
                <w:lang w:val="en-GB" w:eastAsia="en-GB"/>
              </w:rPr>
              <w:tab/>
            </w:r>
            <w:r w:rsidR="00125CE0" w:rsidRPr="00734AB6">
              <w:rPr>
                <w:rStyle w:val="Hyperlink"/>
                <w:b/>
                <w:noProof/>
              </w:rPr>
              <w:t>Mental Health</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_Toc48136410 \h </w:instrText>
            </w:r>
            <w:r w:rsidR="00125CE0" w:rsidRPr="00734AB6">
              <w:rPr>
                <w:noProof/>
                <w:webHidden/>
              </w:rPr>
            </w:r>
            <w:r w:rsidR="00125CE0" w:rsidRPr="00734AB6">
              <w:rPr>
                <w:noProof/>
                <w:webHidden/>
              </w:rPr>
              <w:fldChar w:fldCharType="separate"/>
            </w:r>
            <w:r w:rsidR="005A21BB" w:rsidRPr="00734AB6">
              <w:rPr>
                <w:noProof/>
                <w:webHidden/>
              </w:rPr>
              <w:t>206</w:t>
            </w:r>
            <w:r w:rsidR="00125CE0" w:rsidRPr="00734AB6">
              <w:rPr>
                <w:noProof/>
                <w:webHidden/>
              </w:rPr>
              <w:fldChar w:fldCharType="end"/>
            </w:r>
          </w:hyperlink>
        </w:p>
        <w:p w14:paraId="29A1C6D4" w14:textId="51DB6368" w:rsidR="00125CE0" w:rsidRPr="00734AB6" w:rsidRDefault="00754FB3">
          <w:pPr>
            <w:pStyle w:val="TOC2"/>
            <w:rPr>
              <w:rFonts w:cstheme="minorBidi"/>
              <w:noProof/>
              <w:lang w:val="en-GB" w:eastAsia="en-GB"/>
            </w:rPr>
          </w:pPr>
          <w:hyperlink w:anchor="_Toc48136411" w:history="1">
            <w:r w:rsidR="00125CE0" w:rsidRPr="00734AB6">
              <w:rPr>
                <w:rStyle w:val="Hyperlink"/>
                <w:b/>
                <w:noProof/>
              </w:rPr>
              <w:t>A(vii)</w:t>
            </w:r>
            <w:r w:rsidR="00125CE0" w:rsidRPr="00734AB6">
              <w:rPr>
                <w:rFonts w:cstheme="minorBidi"/>
                <w:noProof/>
                <w:lang w:val="en-GB" w:eastAsia="en-GB"/>
              </w:rPr>
              <w:tab/>
            </w:r>
            <w:r w:rsidR="00125CE0" w:rsidRPr="00734AB6">
              <w:rPr>
                <w:rStyle w:val="Hyperlink"/>
                <w:b/>
                <w:noProof/>
              </w:rPr>
              <w:t>Illicit drug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_Toc48136411 \h </w:instrText>
            </w:r>
            <w:r w:rsidR="00125CE0" w:rsidRPr="00734AB6">
              <w:rPr>
                <w:noProof/>
                <w:webHidden/>
              </w:rPr>
            </w:r>
            <w:r w:rsidR="00125CE0" w:rsidRPr="00734AB6">
              <w:rPr>
                <w:noProof/>
                <w:webHidden/>
              </w:rPr>
              <w:fldChar w:fldCharType="separate"/>
            </w:r>
            <w:r w:rsidR="005A21BB" w:rsidRPr="00734AB6">
              <w:rPr>
                <w:noProof/>
                <w:webHidden/>
              </w:rPr>
              <w:t>207</w:t>
            </w:r>
            <w:r w:rsidR="00125CE0" w:rsidRPr="00734AB6">
              <w:rPr>
                <w:noProof/>
                <w:webHidden/>
              </w:rPr>
              <w:fldChar w:fldCharType="end"/>
            </w:r>
          </w:hyperlink>
        </w:p>
        <w:p w14:paraId="3E55722E" w14:textId="3CEE58C8" w:rsidR="00125CE0" w:rsidRPr="00734AB6" w:rsidRDefault="00754FB3">
          <w:pPr>
            <w:pStyle w:val="TOC2"/>
            <w:rPr>
              <w:rFonts w:cstheme="minorBidi"/>
              <w:noProof/>
              <w:lang w:val="en-GB" w:eastAsia="en-GB"/>
            </w:rPr>
          </w:pPr>
          <w:hyperlink w:anchor="_Toc48136412" w:history="1">
            <w:r w:rsidR="00125CE0" w:rsidRPr="00734AB6">
              <w:rPr>
                <w:rStyle w:val="Hyperlink"/>
                <w:b/>
                <w:noProof/>
              </w:rPr>
              <w:t>A(vii)</w:t>
            </w:r>
            <w:r w:rsidR="00125CE0" w:rsidRPr="00734AB6">
              <w:rPr>
                <w:rFonts w:cstheme="minorBidi"/>
                <w:noProof/>
                <w:lang w:val="en-GB" w:eastAsia="en-GB"/>
              </w:rPr>
              <w:tab/>
            </w:r>
            <w:r w:rsidR="00125CE0" w:rsidRPr="00734AB6">
              <w:rPr>
                <w:rStyle w:val="Hyperlink"/>
                <w:b/>
                <w:noProof/>
              </w:rPr>
              <w:t>Other motivations for using modafinil and 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_Toc48136412 \h </w:instrText>
            </w:r>
            <w:r w:rsidR="00125CE0" w:rsidRPr="00734AB6">
              <w:rPr>
                <w:noProof/>
                <w:webHidden/>
              </w:rPr>
            </w:r>
            <w:r w:rsidR="00125CE0" w:rsidRPr="00734AB6">
              <w:rPr>
                <w:noProof/>
                <w:webHidden/>
              </w:rPr>
              <w:fldChar w:fldCharType="separate"/>
            </w:r>
            <w:r w:rsidR="005A21BB" w:rsidRPr="00734AB6">
              <w:rPr>
                <w:noProof/>
                <w:webHidden/>
              </w:rPr>
              <w:t>208</w:t>
            </w:r>
            <w:r w:rsidR="00125CE0" w:rsidRPr="00734AB6">
              <w:rPr>
                <w:noProof/>
                <w:webHidden/>
              </w:rPr>
              <w:fldChar w:fldCharType="end"/>
            </w:r>
          </w:hyperlink>
        </w:p>
        <w:p w14:paraId="6F0A2D45" w14:textId="251996DD" w:rsidR="00125CE0" w:rsidRPr="00734AB6" w:rsidRDefault="00754FB3">
          <w:pPr>
            <w:pStyle w:val="TOC2"/>
            <w:rPr>
              <w:rFonts w:cstheme="minorBidi"/>
              <w:noProof/>
              <w:lang w:val="en-GB" w:eastAsia="en-GB"/>
            </w:rPr>
          </w:pPr>
          <w:hyperlink w:anchor="_Toc48136413" w:history="1">
            <w:r w:rsidR="00125CE0" w:rsidRPr="00734AB6">
              <w:rPr>
                <w:rStyle w:val="Hyperlink"/>
                <w:b/>
                <w:noProof/>
              </w:rPr>
              <w:t>A(viii)</w:t>
            </w:r>
            <w:r w:rsidR="00125CE0" w:rsidRPr="00734AB6">
              <w:rPr>
                <w:rFonts w:cstheme="minorBidi"/>
                <w:noProof/>
                <w:lang w:val="en-GB" w:eastAsia="en-GB"/>
              </w:rPr>
              <w:tab/>
            </w:r>
            <w:r w:rsidR="00125CE0" w:rsidRPr="00734AB6">
              <w:rPr>
                <w:rStyle w:val="Hyperlink"/>
                <w:b/>
                <w:noProof/>
              </w:rPr>
              <w:t>Reported modafinil dosage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_Toc48136413 \h </w:instrText>
            </w:r>
            <w:r w:rsidR="00125CE0" w:rsidRPr="00734AB6">
              <w:rPr>
                <w:noProof/>
                <w:webHidden/>
              </w:rPr>
            </w:r>
            <w:r w:rsidR="00125CE0" w:rsidRPr="00734AB6">
              <w:rPr>
                <w:noProof/>
                <w:webHidden/>
              </w:rPr>
              <w:fldChar w:fldCharType="separate"/>
            </w:r>
            <w:r w:rsidR="005A21BB" w:rsidRPr="00734AB6">
              <w:rPr>
                <w:noProof/>
                <w:webHidden/>
              </w:rPr>
              <w:t>208</w:t>
            </w:r>
            <w:r w:rsidR="00125CE0" w:rsidRPr="00734AB6">
              <w:rPr>
                <w:noProof/>
                <w:webHidden/>
              </w:rPr>
              <w:fldChar w:fldCharType="end"/>
            </w:r>
          </w:hyperlink>
        </w:p>
        <w:p w14:paraId="747792BE" w14:textId="5FCCAD43" w:rsidR="00125CE0" w:rsidRPr="00734AB6" w:rsidRDefault="00754FB3">
          <w:pPr>
            <w:pStyle w:val="TOC2"/>
            <w:rPr>
              <w:rFonts w:cstheme="minorBidi"/>
              <w:noProof/>
              <w:lang w:val="en-GB" w:eastAsia="en-GB"/>
            </w:rPr>
          </w:pPr>
          <w:hyperlink w:anchor="_Toc48136414" w:history="1">
            <w:r w:rsidR="00125CE0" w:rsidRPr="00734AB6">
              <w:rPr>
                <w:rStyle w:val="Hyperlink"/>
                <w:b/>
                <w:noProof/>
              </w:rPr>
              <w:t>A(ix)</w:t>
            </w:r>
            <w:r w:rsidR="00125CE0" w:rsidRPr="00734AB6">
              <w:rPr>
                <w:rFonts w:cstheme="minorBidi"/>
                <w:noProof/>
                <w:lang w:val="en-GB" w:eastAsia="en-GB"/>
              </w:rPr>
              <w:tab/>
            </w:r>
            <w:r w:rsidR="00125CE0" w:rsidRPr="00734AB6">
              <w:rPr>
                <w:rStyle w:val="Hyperlink"/>
                <w:b/>
                <w:noProof/>
              </w:rPr>
              <w:t>Log-transformed analysis of Timeframe and frequency of use of 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_Toc48136414 \h </w:instrText>
            </w:r>
            <w:r w:rsidR="00125CE0" w:rsidRPr="00734AB6">
              <w:rPr>
                <w:noProof/>
                <w:webHidden/>
              </w:rPr>
            </w:r>
            <w:r w:rsidR="00125CE0" w:rsidRPr="00734AB6">
              <w:rPr>
                <w:noProof/>
                <w:webHidden/>
              </w:rPr>
              <w:fldChar w:fldCharType="separate"/>
            </w:r>
            <w:r w:rsidR="005A21BB" w:rsidRPr="00734AB6">
              <w:rPr>
                <w:noProof/>
                <w:webHidden/>
              </w:rPr>
              <w:t>209</w:t>
            </w:r>
            <w:r w:rsidR="00125CE0" w:rsidRPr="00734AB6">
              <w:rPr>
                <w:noProof/>
                <w:webHidden/>
              </w:rPr>
              <w:fldChar w:fldCharType="end"/>
            </w:r>
          </w:hyperlink>
        </w:p>
        <w:p w14:paraId="267338EA" w14:textId="4A1FD648" w:rsidR="00125CE0" w:rsidRPr="00734AB6" w:rsidRDefault="00125CE0" w:rsidP="00125CE0">
          <w:pPr>
            <w:pStyle w:val="TOC3"/>
            <w:rPr>
              <w:rFonts w:cstheme="minorBidi"/>
              <w:noProof/>
              <w:lang w:val="en-GB" w:eastAsia="en-GB"/>
            </w:rPr>
          </w:pPr>
          <w:r w:rsidRPr="00734AB6">
            <w:rPr>
              <w:rStyle w:val="Hyperlink"/>
              <w:noProof/>
            </w:rPr>
            <w:fldChar w:fldCharType="begin"/>
          </w:r>
          <w:r w:rsidRPr="00734AB6">
            <w:rPr>
              <w:rStyle w:val="Hyperlink"/>
              <w:noProof/>
            </w:rPr>
            <w:instrText xml:space="preserve"> </w:instrText>
          </w:r>
          <w:r w:rsidRPr="00734AB6">
            <w:rPr>
              <w:noProof/>
            </w:rPr>
            <w:instrText>HYPERLINK \l "_Toc48136415"</w:instrText>
          </w:r>
          <w:r w:rsidRPr="00734AB6">
            <w:rPr>
              <w:rStyle w:val="Hyperlink"/>
              <w:noProof/>
            </w:rPr>
            <w:instrText xml:space="preserve"> </w:instrText>
          </w:r>
          <w:r w:rsidRPr="00734AB6">
            <w:rPr>
              <w:rStyle w:val="Hyperlink"/>
              <w:noProof/>
            </w:rPr>
            <w:fldChar w:fldCharType="separate"/>
          </w:r>
          <w:r w:rsidRPr="00734AB6">
            <w:rPr>
              <w:rStyle w:val="Hyperlink"/>
              <w:b/>
              <w:noProof/>
            </w:rPr>
            <w:t>A(x)</w:t>
          </w:r>
          <w:r w:rsidRPr="00734AB6">
            <w:rPr>
              <w:rFonts w:cstheme="minorBidi"/>
              <w:noProof/>
              <w:lang w:val="en-GB" w:eastAsia="en-GB"/>
            </w:rPr>
            <w:tab/>
          </w:r>
          <w:r w:rsidRPr="00734AB6">
            <w:rPr>
              <w:rStyle w:val="Hyperlink"/>
              <w:b/>
              <w:noProof/>
            </w:rPr>
            <w:t xml:space="preserve">Immediate and longer-lasting risks and benefits of modafinil and </w:t>
          </w:r>
        </w:p>
        <w:p w14:paraId="2A458BC5" w14:textId="50E19D5D" w:rsidR="00125CE0" w:rsidRPr="00734AB6" w:rsidRDefault="00125CE0">
          <w:pPr>
            <w:pStyle w:val="TOC2"/>
            <w:rPr>
              <w:rFonts w:cstheme="minorBidi"/>
              <w:noProof/>
              <w:lang w:val="en-GB" w:eastAsia="en-GB"/>
            </w:rPr>
          </w:pPr>
          <w:r w:rsidRPr="00734AB6">
            <w:rPr>
              <w:rStyle w:val="Hyperlink"/>
              <w:b/>
              <w:noProof/>
            </w:rPr>
            <w:tab/>
            <w:t>methylphenidate</w:t>
          </w:r>
          <w:r w:rsidRPr="00734AB6">
            <w:rPr>
              <w:noProof/>
              <w:webHidden/>
            </w:rPr>
            <w:tab/>
          </w:r>
          <w:r w:rsidRPr="00734AB6">
            <w:rPr>
              <w:noProof/>
              <w:webHidden/>
            </w:rPr>
            <w:fldChar w:fldCharType="begin"/>
          </w:r>
          <w:r w:rsidRPr="00734AB6">
            <w:rPr>
              <w:noProof/>
              <w:webHidden/>
            </w:rPr>
            <w:instrText xml:space="preserve"> PAGEREF _Toc48136415 \h </w:instrText>
          </w:r>
          <w:r w:rsidRPr="00734AB6">
            <w:rPr>
              <w:noProof/>
              <w:webHidden/>
            </w:rPr>
          </w:r>
          <w:r w:rsidRPr="00734AB6">
            <w:rPr>
              <w:noProof/>
              <w:webHidden/>
            </w:rPr>
            <w:fldChar w:fldCharType="separate"/>
          </w:r>
          <w:r w:rsidR="005A21BB" w:rsidRPr="00734AB6">
            <w:rPr>
              <w:noProof/>
              <w:webHidden/>
            </w:rPr>
            <w:t>210</w:t>
          </w:r>
          <w:r w:rsidRPr="00734AB6">
            <w:rPr>
              <w:noProof/>
              <w:webHidden/>
            </w:rPr>
            <w:fldChar w:fldCharType="end"/>
          </w:r>
          <w:r w:rsidRPr="00734AB6">
            <w:rPr>
              <w:rStyle w:val="Hyperlink"/>
              <w:noProof/>
            </w:rPr>
            <w:fldChar w:fldCharType="end"/>
          </w:r>
        </w:p>
        <w:p w14:paraId="490FCB13" w14:textId="4CC16E66" w:rsidR="00125CE0" w:rsidRPr="00734AB6" w:rsidRDefault="00754FB3">
          <w:pPr>
            <w:pStyle w:val="TOC2"/>
            <w:rPr>
              <w:rFonts w:cstheme="minorBidi"/>
              <w:noProof/>
              <w:lang w:val="en-GB" w:eastAsia="en-GB"/>
            </w:rPr>
          </w:pPr>
          <w:hyperlink w:anchor="_Toc48136416" w:history="1">
            <w:r w:rsidR="00125CE0" w:rsidRPr="00734AB6">
              <w:rPr>
                <w:rStyle w:val="Hyperlink"/>
                <w:b/>
                <w:noProof/>
              </w:rPr>
              <w:t>A(xi)</w:t>
            </w:r>
            <w:r w:rsidR="00125CE0" w:rsidRPr="00734AB6">
              <w:rPr>
                <w:rFonts w:cstheme="minorBidi"/>
                <w:noProof/>
                <w:lang w:val="en-GB" w:eastAsia="en-GB"/>
              </w:rPr>
              <w:tab/>
            </w:r>
            <w:r w:rsidR="00125CE0" w:rsidRPr="00734AB6">
              <w:rPr>
                <w:rStyle w:val="Hyperlink"/>
                <w:b/>
                <w:noProof/>
              </w:rPr>
              <w:t>Reported methylphenidate dosage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_Toc48136416 \h </w:instrText>
            </w:r>
            <w:r w:rsidR="00125CE0" w:rsidRPr="00734AB6">
              <w:rPr>
                <w:noProof/>
                <w:webHidden/>
              </w:rPr>
            </w:r>
            <w:r w:rsidR="00125CE0" w:rsidRPr="00734AB6">
              <w:rPr>
                <w:noProof/>
                <w:webHidden/>
              </w:rPr>
              <w:fldChar w:fldCharType="separate"/>
            </w:r>
            <w:r w:rsidR="005A21BB" w:rsidRPr="00734AB6">
              <w:rPr>
                <w:noProof/>
                <w:webHidden/>
              </w:rPr>
              <w:t>211</w:t>
            </w:r>
            <w:r w:rsidR="00125CE0" w:rsidRPr="00734AB6">
              <w:rPr>
                <w:noProof/>
                <w:webHidden/>
              </w:rPr>
              <w:fldChar w:fldCharType="end"/>
            </w:r>
          </w:hyperlink>
        </w:p>
        <w:p w14:paraId="7DEE6ED1" w14:textId="12C6E509" w:rsidR="00125CE0" w:rsidRPr="00734AB6" w:rsidRDefault="00754FB3">
          <w:pPr>
            <w:pStyle w:val="TOC2"/>
            <w:rPr>
              <w:rFonts w:cstheme="minorBidi"/>
              <w:noProof/>
              <w:lang w:val="en-GB" w:eastAsia="en-GB"/>
            </w:rPr>
          </w:pPr>
          <w:hyperlink w:anchor="_Toc48136417" w:history="1">
            <w:r w:rsidR="00125CE0" w:rsidRPr="00734AB6">
              <w:rPr>
                <w:rStyle w:val="Hyperlink"/>
                <w:b/>
                <w:noProof/>
              </w:rPr>
              <w:t>A(xii)</w:t>
            </w:r>
            <w:r w:rsidR="00125CE0" w:rsidRPr="00734AB6">
              <w:rPr>
                <w:rFonts w:cstheme="minorBidi"/>
                <w:noProof/>
                <w:lang w:val="en-GB" w:eastAsia="en-GB"/>
              </w:rPr>
              <w:tab/>
            </w:r>
            <w:r w:rsidR="00125CE0" w:rsidRPr="00734AB6">
              <w:rPr>
                <w:rStyle w:val="Hyperlink"/>
                <w:b/>
                <w:noProof/>
              </w:rPr>
              <w:t>List of sub-Reddits selected for Study 1 and 2</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_Toc48136417 \h </w:instrText>
            </w:r>
            <w:r w:rsidR="00125CE0" w:rsidRPr="00734AB6">
              <w:rPr>
                <w:noProof/>
                <w:webHidden/>
              </w:rPr>
            </w:r>
            <w:r w:rsidR="00125CE0" w:rsidRPr="00734AB6">
              <w:rPr>
                <w:noProof/>
                <w:webHidden/>
              </w:rPr>
              <w:fldChar w:fldCharType="separate"/>
            </w:r>
            <w:r w:rsidR="005A21BB" w:rsidRPr="00734AB6">
              <w:rPr>
                <w:noProof/>
                <w:webHidden/>
              </w:rPr>
              <w:t>211</w:t>
            </w:r>
            <w:r w:rsidR="00125CE0" w:rsidRPr="00734AB6">
              <w:rPr>
                <w:noProof/>
                <w:webHidden/>
              </w:rPr>
              <w:fldChar w:fldCharType="end"/>
            </w:r>
          </w:hyperlink>
        </w:p>
        <w:p w14:paraId="3F1E3CBD" w14:textId="6F5F5EBE" w:rsidR="00125CE0" w:rsidRPr="00734AB6" w:rsidRDefault="00754FB3">
          <w:pPr>
            <w:pStyle w:val="TOC1"/>
            <w:rPr>
              <w:rFonts w:cstheme="minorBidi"/>
              <w:noProof/>
              <w:lang w:val="en-GB" w:eastAsia="en-GB"/>
            </w:rPr>
          </w:pPr>
          <w:hyperlink w:anchor="_Toc48136418" w:history="1">
            <w:r w:rsidR="00125CE0" w:rsidRPr="00734AB6">
              <w:rPr>
                <w:rStyle w:val="Hyperlink"/>
                <w:b/>
                <w:noProof/>
              </w:rPr>
              <w:t>Appendix B: Study Two</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_Toc48136418 \h </w:instrText>
            </w:r>
            <w:r w:rsidR="00125CE0" w:rsidRPr="00734AB6">
              <w:rPr>
                <w:noProof/>
                <w:webHidden/>
              </w:rPr>
            </w:r>
            <w:r w:rsidR="00125CE0" w:rsidRPr="00734AB6">
              <w:rPr>
                <w:noProof/>
                <w:webHidden/>
              </w:rPr>
              <w:fldChar w:fldCharType="separate"/>
            </w:r>
            <w:r w:rsidR="005A21BB" w:rsidRPr="00734AB6">
              <w:rPr>
                <w:noProof/>
                <w:webHidden/>
              </w:rPr>
              <w:t>212</w:t>
            </w:r>
            <w:r w:rsidR="00125CE0" w:rsidRPr="00734AB6">
              <w:rPr>
                <w:noProof/>
                <w:webHidden/>
              </w:rPr>
              <w:fldChar w:fldCharType="end"/>
            </w:r>
          </w:hyperlink>
        </w:p>
        <w:p w14:paraId="060CFF65" w14:textId="6DA79284" w:rsidR="00125CE0" w:rsidRPr="00734AB6" w:rsidRDefault="00754FB3">
          <w:pPr>
            <w:pStyle w:val="TOC2"/>
            <w:rPr>
              <w:rFonts w:cstheme="minorBidi"/>
              <w:noProof/>
              <w:lang w:val="en-GB" w:eastAsia="en-GB"/>
            </w:rPr>
          </w:pPr>
          <w:hyperlink w:anchor="_Toc48136419" w:history="1">
            <w:r w:rsidR="00125CE0" w:rsidRPr="00734AB6">
              <w:rPr>
                <w:rStyle w:val="Hyperlink"/>
                <w:b/>
                <w:noProof/>
              </w:rPr>
              <w:t>B(i)</w:t>
            </w:r>
            <w:r w:rsidR="00125CE0" w:rsidRPr="00734AB6">
              <w:rPr>
                <w:rFonts w:cstheme="minorBidi"/>
                <w:noProof/>
                <w:lang w:val="en-GB" w:eastAsia="en-GB"/>
              </w:rPr>
              <w:tab/>
            </w:r>
            <w:r w:rsidR="00125CE0" w:rsidRPr="00734AB6">
              <w:rPr>
                <w:rStyle w:val="Hyperlink"/>
                <w:b/>
                <w:noProof/>
              </w:rPr>
              <w:t>Questionnaire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_Toc48136419 \h </w:instrText>
            </w:r>
            <w:r w:rsidR="00125CE0" w:rsidRPr="00734AB6">
              <w:rPr>
                <w:noProof/>
                <w:webHidden/>
              </w:rPr>
            </w:r>
            <w:r w:rsidR="00125CE0" w:rsidRPr="00734AB6">
              <w:rPr>
                <w:noProof/>
                <w:webHidden/>
              </w:rPr>
              <w:fldChar w:fldCharType="separate"/>
            </w:r>
            <w:r w:rsidR="005A21BB" w:rsidRPr="00734AB6">
              <w:rPr>
                <w:noProof/>
                <w:webHidden/>
              </w:rPr>
              <w:t>212</w:t>
            </w:r>
            <w:r w:rsidR="00125CE0" w:rsidRPr="00734AB6">
              <w:rPr>
                <w:noProof/>
                <w:webHidden/>
              </w:rPr>
              <w:fldChar w:fldCharType="end"/>
            </w:r>
          </w:hyperlink>
        </w:p>
        <w:p w14:paraId="3BAE8C46" w14:textId="23F6C55C" w:rsidR="00125CE0" w:rsidRPr="00734AB6" w:rsidRDefault="00754FB3">
          <w:pPr>
            <w:pStyle w:val="TOC2"/>
            <w:rPr>
              <w:rFonts w:cstheme="minorBidi"/>
              <w:noProof/>
              <w:lang w:val="en-GB" w:eastAsia="en-GB"/>
            </w:rPr>
          </w:pPr>
          <w:hyperlink w:anchor="_Toc48136420" w:history="1">
            <w:r w:rsidR="00125CE0" w:rsidRPr="00734AB6">
              <w:rPr>
                <w:rStyle w:val="Hyperlink"/>
                <w:b/>
                <w:noProof/>
              </w:rPr>
              <w:t>B(ii)</w:t>
            </w:r>
            <w:r w:rsidR="00125CE0" w:rsidRPr="00734AB6">
              <w:rPr>
                <w:rFonts w:cstheme="minorBidi"/>
                <w:noProof/>
                <w:lang w:val="en-GB" w:eastAsia="en-GB"/>
              </w:rPr>
              <w:tab/>
            </w:r>
            <w:r w:rsidR="00125CE0" w:rsidRPr="00734AB6">
              <w:rPr>
                <w:rStyle w:val="Hyperlink"/>
                <w:b/>
                <w:noProof/>
              </w:rPr>
              <w:t>Advertisement to online forum sites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_Toc48136420 \h </w:instrText>
            </w:r>
            <w:r w:rsidR="00125CE0" w:rsidRPr="00734AB6">
              <w:rPr>
                <w:noProof/>
                <w:webHidden/>
              </w:rPr>
            </w:r>
            <w:r w:rsidR="00125CE0" w:rsidRPr="00734AB6">
              <w:rPr>
                <w:noProof/>
                <w:webHidden/>
              </w:rPr>
              <w:fldChar w:fldCharType="separate"/>
            </w:r>
            <w:r w:rsidR="005A21BB" w:rsidRPr="00734AB6">
              <w:rPr>
                <w:noProof/>
                <w:webHidden/>
              </w:rPr>
              <w:t>219</w:t>
            </w:r>
            <w:r w:rsidR="00125CE0" w:rsidRPr="00734AB6">
              <w:rPr>
                <w:noProof/>
                <w:webHidden/>
              </w:rPr>
              <w:fldChar w:fldCharType="end"/>
            </w:r>
          </w:hyperlink>
        </w:p>
        <w:p w14:paraId="32483751" w14:textId="6CE09387" w:rsidR="00125CE0" w:rsidRPr="00734AB6" w:rsidRDefault="00754FB3">
          <w:pPr>
            <w:pStyle w:val="TOC2"/>
            <w:rPr>
              <w:rFonts w:cstheme="minorBidi"/>
              <w:noProof/>
              <w:lang w:val="en-GB" w:eastAsia="en-GB"/>
            </w:rPr>
          </w:pPr>
          <w:hyperlink w:anchor="_Toc48136421" w:history="1">
            <w:r w:rsidR="00125CE0" w:rsidRPr="00734AB6">
              <w:rPr>
                <w:rStyle w:val="Hyperlink"/>
                <w:b/>
                <w:noProof/>
              </w:rPr>
              <w:t>B(iii)</w:t>
            </w:r>
            <w:r w:rsidR="00125CE0" w:rsidRPr="00734AB6">
              <w:rPr>
                <w:rFonts w:cstheme="minorBidi"/>
                <w:noProof/>
                <w:lang w:val="en-GB" w:eastAsia="en-GB"/>
              </w:rPr>
              <w:tab/>
            </w:r>
            <w:r w:rsidR="00125CE0" w:rsidRPr="00734AB6">
              <w:rPr>
                <w:rStyle w:val="Hyperlink"/>
                <w:b/>
                <w:noProof/>
              </w:rPr>
              <w:t>Advertisement for controls to online forum sites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_Toc48136421 \h </w:instrText>
            </w:r>
            <w:r w:rsidR="00125CE0" w:rsidRPr="00734AB6">
              <w:rPr>
                <w:noProof/>
                <w:webHidden/>
              </w:rPr>
            </w:r>
            <w:r w:rsidR="00125CE0" w:rsidRPr="00734AB6">
              <w:rPr>
                <w:noProof/>
                <w:webHidden/>
              </w:rPr>
              <w:fldChar w:fldCharType="separate"/>
            </w:r>
            <w:r w:rsidR="005A21BB" w:rsidRPr="00734AB6">
              <w:rPr>
                <w:noProof/>
                <w:webHidden/>
              </w:rPr>
              <w:t>220</w:t>
            </w:r>
            <w:r w:rsidR="00125CE0" w:rsidRPr="00734AB6">
              <w:rPr>
                <w:noProof/>
                <w:webHidden/>
              </w:rPr>
              <w:fldChar w:fldCharType="end"/>
            </w:r>
          </w:hyperlink>
        </w:p>
        <w:p w14:paraId="177EE8C2" w14:textId="0A2B51AE" w:rsidR="00125CE0" w:rsidRPr="00734AB6" w:rsidRDefault="00754FB3">
          <w:pPr>
            <w:pStyle w:val="TOC2"/>
            <w:rPr>
              <w:rFonts w:cstheme="minorBidi"/>
              <w:noProof/>
              <w:lang w:val="en-GB" w:eastAsia="en-GB"/>
            </w:rPr>
          </w:pPr>
          <w:hyperlink w:anchor="_Toc48136422" w:history="1">
            <w:r w:rsidR="00125CE0" w:rsidRPr="00734AB6">
              <w:rPr>
                <w:rStyle w:val="Hyperlink"/>
                <w:b/>
                <w:noProof/>
              </w:rPr>
              <w:t>B(iv)</w:t>
            </w:r>
            <w:r w:rsidR="00125CE0" w:rsidRPr="00734AB6">
              <w:rPr>
                <w:rFonts w:cstheme="minorBidi"/>
                <w:noProof/>
                <w:lang w:val="en-GB" w:eastAsia="en-GB"/>
              </w:rPr>
              <w:tab/>
            </w:r>
            <w:r w:rsidR="00125CE0" w:rsidRPr="00734AB6">
              <w:rPr>
                <w:rStyle w:val="Hyperlink"/>
                <w:b/>
                <w:noProof/>
              </w:rPr>
              <w:t>Participant information sheet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_Toc48136422 \h </w:instrText>
            </w:r>
            <w:r w:rsidR="00125CE0" w:rsidRPr="00734AB6">
              <w:rPr>
                <w:noProof/>
                <w:webHidden/>
              </w:rPr>
            </w:r>
            <w:r w:rsidR="00125CE0" w:rsidRPr="00734AB6">
              <w:rPr>
                <w:noProof/>
                <w:webHidden/>
              </w:rPr>
              <w:fldChar w:fldCharType="separate"/>
            </w:r>
            <w:r w:rsidR="005A21BB" w:rsidRPr="00734AB6">
              <w:rPr>
                <w:noProof/>
                <w:webHidden/>
              </w:rPr>
              <w:t>221</w:t>
            </w:r>
            <w:r w:rsidR="00125CE0" w:rsidRPr="00734AB6">
              <w:rPr>
                <w:noProof/>
                <w:webHidden/>
              </w:rPr>
              <w:fldChar w:fldCharType="end"/>
            </w:r>
          </w:hyperlink>
        </w:p>
        <w:p w14:paraId="7AB41524" w14:textId="1A8A8C2F" w:rsidR="00125CE0" w:rsidRPr="00734AB6" w:rsidRDefault="00754FB3">
          <w:pPr>
            <w:pStyle w:val="TOC2"/>
            <w:rPr>
              <w:rFonts w:cstheme="minorBidi"/>
              <w:noProof/>
              <w:lang w:val="en-GB" w:eastAsia="en-GB"/>
            </w:rPr>
          </w:pPr>
          <w:hyperlink w:anchor="_Toc48136423" w:history="1">
            <w:r w:rsidR="00125CE0" w:rsidRPr="00734AB6">
              <w:rPr>
                <w:rStyle w:val="Hyperlink"/>
                <w:b/>
                <w:noProof/>
              </w:rPr>
              <w:t>B(v)</w:t>
            </w:r>
            <w:r w:rsidR="00125CE0" w:rsidRPr="00734AB6">
              <w:rPr>
                <w:rFonts w:cstheme="minorBidi"/>
                <w:noProof/>
                <w:lang w:val="en-GB" w:eastAsia="en-GB"/>
              </w:rPr>
              <w:tab/>
            </w:r>
            <w:r w:rsidR="00125CE0" w:rsidRPr="00734AB6">
              <w:rPr>
                <w:rStyle w:val="Hyperlink"/>
                <w:b/>
                <w:noProof/>
              </w:rPr>
              <w:t>Participant consent form</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_Toc48136423 \h </w:instrText>
            </w:r>
            <w:r w:rsidR="00125CE0" w:rsidRPr="00734AB6">
              <w:rPr>
                <w:noProof/>
                <w:webHidden/>
              </w:rPr>
            </w:r>
            <w:r w:rsidR="00125CE0" w:rsidRPr="00734AB6">
              <w:rPr>
                <w:noProof/>
                <w:webHidden/>
              </w:rPr>
              <w:fldChar w:fldCharType="separate"/>
            </w:r>
            <w:r w:rsidR="005A21BB" w:rsidRPr="00734AB6">
              <w:rPr>
                <w:noProof/>
                <w:webHidden/>
              </w:rPr>
              <w:t>222</w:t>
            </w:r>
            <w:r w:rsidR="00125CE0" w:rsidRPr="00734AB6">
              <w:rPr>
                <w:noProof/>
                <w:webHidden/>
              </w:rPr>
              <w:fldChar w:fldCharType="end"/>
            </w:r>
          </w:hyperlink>
        </w:p>
        <w:p w14:paraId="699C0EE5" w14:textId="18B2B416" w:rsidR="00125CE0" w:rsidRPr="00734AB6" w:rsidRDefault="00754FB3">
          <w:pPr>
            <w:pStyle w:val="TOC2"/>
            <w:rPr>
              <w:rFonts w:cstheme="minorBidi"/>
              <w:noProof/>
              <w:lang w:val="en-GB" w:eastAsia="en-GB"/>
            </w:rPr>
          </w:pPr>
          <w:hyperlink w:anchor="_Toc48136424" w:history="1">
            <w:r w:rsidR="00125CE0" w:rsidRPr="00734AB6">
              <w:rPr>
                <w:rStyle w:val="Hyperlink"/>
                <w:b/>
                <w:noProof/>
              </w:rPr>
              <w:t>B(vi)</w:t>
            </w:r>
            <w:r w:rsidR="00125CE0" w:rsidRPr="00734AB6">
              <w:rPr>
                <w:rFonts w:cstheme="minorBidi"/>
                <w:noProof/>
                <w:lang w:val="en-GB" w:eastAsia="en-GB"/>
              </w:rPr>
              <w:tab/>
            </w:r>
            <w:r w:rsidR="00125CE0" w:rsidRPr="00734AB6">
              <w:rPr>
                <w:rStyle w:val="Hyperlink"/>
                <w:b/>
                <w:noProof/>
              </w:rPr>
              <w:t>Participant debriefing information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_Toc48136424 \h </w:instrText>
            </w:r>
            <w:r w:rsidR="00125CE0" w:rsidRPr="00734AB6">
              <w:rPr>
                <w:noProof/>
                <w:webHidden/>
              </w:rPr>
            </w:r>
            <w:r w:rsidR="00125CE0" w:rsidRPr="00734AB6">
              <w:rPr>
                <w:noProof/>
                <w:webHidden/>
              </w:rPr>
              <w:fldChar w:fldCharType="separate"/>
            </w:r>
            <w:r w:rsidR="005A21BB" w:rsidRPr="00734AB6">
              <w:rPr>
                <w:noProof/>
                <w:webHidden/>
              </w:rPr>
              <w:t>224</w:t>
            </w:r>
            <w:r w:rsidR="00125CE0" w:rsidRPr="00734AB6">
              <w:rPr>
                <w:noProof/>
                <w:webHidden/>
              </w:rPr>
              <w:fldChar w:fldCharType="end"/>
            </w:r>
          </w:hyperlink>
        </w:p>
        <w:p w14:paraId="22F45B1C" w14:textId="39501673" w:rsidR="00125CE0" w:rsidRPr="00734AB6" w:rsidRDefault="00754FB3">
          <w:pPr>
            <w:pStyle w:val="TOC2"/>
            <w:rPr>
              <w:rFonts w:cstheme="minorBidi"/>
              <w:noProof/>
              <w:lang w:val="en-GB" w:eastAsia="en-GB"/>
            </w:rPr>
          </w:pPr>
          <w:hyperlink w:anchor="_Toc48136425" w:history="1">
            <w:r w:rsidR="00125CE0" w:rsidRPr="00734AB6">
              <w:rPr>
                <w:rStyle w:val="Hyperlink"/>
                <w:b/>
                <w:noProof/>
              </w:rPr>
              <w:t>B(vii)</w:t>
            </w:r>
            <w:r w:rsidR="00125CE0" w:rsidRPr="00734AB6">
              <w:rPr>
                <w:rFonts w:cstheme="minorBidi"/>
                <w:noProof/>
                <w:lang w:val="en-GB" w:eastAsia="en-GB"/>
              </w:rPr>
              <w:tab/>
            </w:r>
            <w:r w:rsidR="00125CE0" w:rsidRPr="00734AB6">
              <w:rPr>
                <w:rStyle w:val="Hyperlink"/>
                <w:b/>
                <w:noProof/>
              </w:rPr>
              <w:t>ASRS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_Toc48136425 \h </w:instrText>
            </w:r>
            <w:r w:rsidR="00125CE0" w:rsidRPr="00734AB6">
              <w:rPr>
                <w:noProof/>
                <w:webHidden/>
              </w:rPr>
            </w:r>
            <w:r w:rsidR="00125CE0" w:rsidRPr="00734AB6">
              <w:rPr>
                <w:noProof/>
                <w:webHidden/>
              </w:rPr>
              <w:fldChar w:fldCharType="separate"/>
            </w:r>
            <w:r w:rsidR="005A21BB" w:rsidRPr="00734AB6">
              <w:rPr>
                <w:noProof/>
                <w:webHidden/>
              </w:rPr>
              <w:t>226</w:t>
            </w:r>
            <w:r w:rsidR="00125CE0" w:rsidRPr="00734AB6">
              <w:rPr>
                <w:noProof/>
                <w:webHidden/>
              </w:rPr>
              <w:fldChar w:fldCharType="end"/>
            </w:r>
          </w:hyperlink>
        </w:p>
        <w:p w14:paraId="1357F493" w14:textId="068AC87E" w:rsidR="00125CE0" w:rsidRPr="00734AB6" w:rsidRDefault="00754FB3">
          <w:pPr>
            <w:pStyle w:val="TOC2"/>
            <w:rPr>
              <w:rFonts w:cstheme="minorBidi"/>
              <w:noProof/>
              <w:lang w:val="en-GB" w:eastAsia="en-GB"/>
            </w:rPr>
          </w:pPr>
          <w:hyperlink w:anchor="_Toc48136426" w:history="1">
            <w:r w:rsidR="00125CE0" w:rsidRPr="00734AB6">
              <w:rPr>
                <w:rStyle w:val="Hyperlink"/>
                <w:b/>
                <w:noProof/>
              </w:rPr>
              <w:t>B(viii)</w:t>
            </w:r>
            <w:r w:rsidR="00125CE0" w:rsidRPr="00734AB6">
              <w:rPr>
                <w:rFonts w:cstheme="minorBidi"/>
                <w:noProof/>
                <w:lang w:val="en-GB" w:eastAsia="en-GB"/>
              </w:rPr>
              <w:tab/>
            </w:r>
            <w:r w:rsidR="00125CE0" w:rsidRPr="00734AB6">
              <w:rPr>
                <w:rStyle w:val="Hyperlink"/>
                <w:b/>
                <w:noProof/>
              </w:rPr>
              <w:t>Mental Health</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_Toc48136426 \h </w:instrText>
            </w:r>
            <w:r w:rsidR="00125CE0" w:rsidRPr="00734AB6">
              <w:rPr>
                <w:noProof/>
                <w:webHidden/>
              </w:rPr>
            </w:r>
            <w:r w:rsidR="00125CE0" w:rsidRPr="00734AB6">
              <w:rPr>
                <w:noProof/>
                <w:webHidden/>
              </w:rPr>
              <w:fldChar w:fldCharType="separate"/>
            </w:r>
            <w:r w:rsidR="005A21BB" w:rsidRPr="00734AB6">
              <w:rPr>
                <w:noProof/>
                <w:webHidden/>
              </w:rPr>
              <w:t>227</w:t>
            </w:r>
            <w:r w:rsidR="00125CE0" w:rsidRPr="00734AB6">
              <w:rPr>
                <w:noProof/>
                <w:webHidden/>
              </w:rPr>
              <w:fldChar w:fldCharType="end"/>
            </w:r>
          </w:hyperlink>
        </w:p>
        <w:p w14:paraId="304E761B" w14:textId="6E7AE1C8" w:rsidR="00125CE0" w:rsidRPr="00734AB6" w:rsidRDefault="00754FB3">
          <w:pPr>
            <w:pStyle w:val="TOC2"/>
            <w:rPr>
              <w:rFonts w:cstheme="minorBidi"/>
              <w:noProof/>
              <w:lang w:val="en-GB" w:eastAsia="en-GB"/>
            </w:rPr>
          </w:pPr>
          <w:hyperlink w:anchor="_Toc48136427" w:history="1">
            <w:r w:rsidR="00125CE0" w:rsidRPr="00734AB6">
              <w:rPr>
                <w:rStyle w:val="Hyperlink"/>
                <w:b/>
                <w:noProof/>
              </w:rPr>
              <w:t>B(ix)</w:t>
            </w:r>
            <w:r w:rsidR="00125CE0" w:rsidRPr="00734AB6">
              <w:rPr>
                <w:rFonts w:cstheme="minorBidi"/>
                <w:noProof/>
                <w:lang w:val="en-GB" w:eastAsia="en-GB"/>
              </w:rPr>
              <w:tab/>
            </w:r>
            <w:r w:rsidR="00125CE0" w:rsidRPr="00734AB6">
              <w:rPr>
                <w:rStyle w:val="Hyperlink"/>
                <w:b/>
                <w:noProof/>
              </w:rPr>
              <w:t>Type of cannabis used</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_Toc48136427 \h </w:instrText>
            </w:r>
            <w:r w:rsidR="00125CE0" w:rsidRPr="00734AB6">
              <w:rPr>
                <w:noProof/>
                <w:webHidden/>
              </w:rPr>
            </w:r>
            <w:r w:rsidR="00125CE0" w:rsidRPr="00734AB6">
              <w:rPr>
                <w:noProof/>
                <w:webHidden/>
              </w:rPr>
              <w:fldChar w:fldCharType="separate"/>
            </w:r>
            <w:r w:rsidR="005A21BB" w:rsidRPr="00734AB6">
              <w:rPr>
                <w:noProof/>
                <w:webHidden/>
              </w:rPr>
              <w:t>228</w:t>
            </w:r>
            <w:r w:rsidR="00125CE0" w:rsidRPr="00734AB6">
              <w:rPr>
                <w:noProof/>
                <w:webHidden/>
              </w:rPr>
              <w:fldChar w:fldCharType="end"/>
            </w:r>
          </w:hyperlink>
        </w:p>
        <w:p w14:paraId="4D15C752" w14:textId="00361BAB" w:rsidR="00125CE0" w:rsidRPr="00734AB6" w:rsidRDefault="00754FB3">
          <w:pPr>
            <w:pStyle w:val="TOC2"/>
            <w:rPr>
              <w:rFonts w:cstheme="minorBidi"/>
              <w:noProof/>
              <w:lang w:val="en-GB" w:eastAsia="en-GB"/>
            </w:rPr>
          </w:pPr>
          <w:hyperlink w:anchor="_Toc48136428" w:history="1">
            <w:r w:rsidR="00125CE0" w:rsidRPr="00734AB6">
              <w:rPr>
                <w:rStyle w:val="Hyperlink"/>
                <w:b/>
                <w:noProof/>
              </w:rPr>
              <w:t>B(x)</w:t>
            </w:r>
            <w:r w:rsidR="00125CE0" w:rsidRPr="00734AB6">
              <w:rPr>
                <w:rFonts w:cstheme="minorBidi"/>
                <w:noProof/>
                <w:lang w:val="en-GB" w:eastAsia="en-GB"/>
              </w:rPr>
              <w:tab/>
            </w:r>
            <w:r w:rsidR="00125CE0" w:rsidRPr="00734AB6">
              <w:rPr>
                <w:rStyle w:val="Hyperlink"/>
                <w:b/>
                <w:noProof/>
              </w:rPr>
              <w:t>Route of administration of cannabis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_Toc48136428 \h </w:instrText>
            </w:r>
            <w:r w:rsidR="00125CE0" w:rsidRPr="00734AB6">
              <w:rPr>
                <w:noProof/>
                <w:webHidden/>
              </w:rPr>
            </w:r>
            <w:r w:rsidR="00125CE0" w:rsidRPr="00734AB6">
              <w:rPr>
                <w:noProof/>
                <w:webHidden/>
              </w:rPr>
              <w:fldChar w:fldCharType="separate"/>
            </w:r>
            <w:r w:rsidR="005A21BB" w:rsidRPr="00734AB6">
              <w:rPr>
                <w:noProof/>
                <w:webHidden/>
              </w:rPr>
              <w:t>228</w:t>
            </w:r>
            <w:r w:rsidR="00125CE0" w:rsidRPr="00734AB6">
              <w:rPr>
                <w:noProof/>
                <w:webHidden/>
              </w:rPr>
              <w:fldChar w:fldCharType="end"/>
            </w:r>
          </w:hyperlink>
        </w:p>
        <w:p w14:paraId="578C62A3" w14:textId="4DF8D2D0" w:rsidR="00125CE0" w:rsidRPr="00734AB6" w:rsidRDefault="00754FB3">
          <w:pPr>
            <w:pStyle w:val="TOC2"/>
            <w:rPr>
              <w:rFonts w:cstheme="minorBidi"/>
              <w:noProof/>
              <w:lang w:val="en-GB" w:eastAsia="en-GB"/>
            </w:rPr>
          </w:pPr>
          <w:hyperlink w:anchor="_Toc48136429" w:history="1">
            <w:r w:rsidR="00125CE0" w:rsidRPr="00734AB6">
              <w:rPr>
                <w:rStyle w:val="Hyperlink"/>
                <w:b/>
                <w:noProof/>
              </w:rPr>
              <w:t>B(xi)</w:t>
            </w:r>
            <w:r w:rsidR="00125CE0" w:rsidRPr="00734AB6">
              <w:rPr>
                <w:rFonts w:cstheme="minorBidi"/>
                <w:noProof/>
                <w:lang w:val="en-GB" w:eastAsia="en-GB"/>
              </w:rPr>
              <w:tab/>
            </w:r>
            <w:r w:rsidR="00125CE0" w:rsidRPr="00734AB6">
              <w:rPr>
                <w:rStyle w:val="Hyperlink"/>
                <w:b/>
                <w:noProof/>
              </w:rPr>
              <w:t>Frequency of nicotine use by product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_Toc48136429 \h </w:instrText>
            </w:r>
            <w:r w:rsidR="00125CE0" w:rsidRPr="00734AB6">
              <w:rPr>
                <w:noProof/>
                <w:webHidden/>
              </w:rPr>
            </w:r>
            <w:r w:rsidR="00125CE0" w:rsidRPr="00734AB6">
              <w:rPr>
                <w:noProof/>
                <w:webHidden/>
              </w:rPr>
              <w:fldChar w:fldCharType="separate"/>
            </w:r>
            <w:r w:rsidR="005A21BB" w:rsidRPr="00734AB6">
              <w:rPr>
                <w:noProof/>
                <w:webHidden/>
              </w:rPr>
              <w:t>229</w:t>
            </w:r>
            <w:r w:rsidR="00125CE0" w:rsidRPr="00734AB6">
              <w:rPr>
                <w:noProof/>
                <w:webHidden/>
              </w:rPr>
              <w:fldChar w:fldCharType="end"/>
            </w:r>
          </w:hyperlink>
        </w:p>
        <w:p w14:paraId="3FB0FCDA" w14:textId="380DD3CF" w:rsidR="00125CE0" w:rsidRPr="00734AB6" w:rsidRDefault="00754FB3">
          <w:pPr>
            <w:pStyle w:val="TOC2"/>
            <w:rPr>
              <w:rFonts w:cstheme="minorBidi"/>
              <w:noProof/>
              <w:lang w:val="en-GB" w:eastAsia="en-GB"/>
            </w:rPr>
          </w:pPr>
          <w:hyperlink w:anchor="_Toc48136430" w:history="1">
            <w:r w:rsidR="00125CE0" w:rsidRPr="00734AB6">
              <w:rPr>
                <w:rStyle w:val="Hyperlink"/>
                <w:b/>
                <w:noProof/>
              </w:rPr>
              <w:t>B(xii)</w:t>
            </w:r>
            <w:r w:rsidR="00125CE0" w:rsidRPr="00734AB6">
              <w:rPr>
                <w:rFonts w:cstheme="minorBidi"/>
                <w:noProof/>
                <w:lang w:val="en-GB" w:eastAsia="en-GB"/>
              </w:rPr>
              <w:tab/>
            </w:r>
            <w:r w:rsidR="00125CE0" w:rsidRPr="00734AB6">
              <w:rPr>
                <w:rStyle w:val="Hyperlink"/>
                <w:b/>
                <w:noProof/>
              </w:rPr>
              <w:t>Recreational drug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_Toc48136430 \h </w:instrText>
            </w:r>
            <w:r w:rsidR="00125CE0" w:rsidRPr="00734AB6">
              <w:rPr>
                <w:noProof/>
                <w:webHidden/>
              </w:rPr>
            </w:r>
            <w:r w:rsidR="00125CE0" w:rsidRPr="00734AB6">
              <w:rPr>
                <w:noProof/>
                <w:webHidden/>
              </w:rPr>
              <w:fldChar w:fldCharType="separate"/>
            </w:r>
            <w:r w:rsidR="005A21BB" w:rsidRPr="00734AB6">
              <w:rPr>
                <w:noProof/>
                <w:webHidden/>
              </w:rPr>
              <w:t>230</w:t>
            </w:r>
            <w:r w:rsidR="00125CE0" w:rsidRPr="00734AB6">
              <w:rPr>
                <w:noProof/>
                <w:webHidden/>
              </w:rPr>
              <w:fldChar w:fldCharType="end"/>
            </w:r>
          </w:hyperlink>
        </w:p>
        <w:p w14:paraId="03E117C8" w14:textId="3C6483FE" w:rsidR="00125CE0" w:rsidRPr="00734AB6" w:rsidRDefault="00754FB3">
          <w:pPr>
            <w:pStyle w:val="TOC2"/>
            <w:rPr>
              <w:rFonts w:cstheme="minorBidi"/>
              <w:noProof/>
              <w:lang w:val="en-GB" w:eastAsia="en-GB"/>
            </w:rPr>
          </w:pPr>
          <w:hyperlink w:anchor="_Toc48136431" w:history="1">
            <w:r w:rsidR="00125CE0" w:rsidRPr="00734AB6">
              <w:rPr>
                <w:rStyle w:val="Hyperlink"/>
                <w:b/>
                <w:noProof/>
              </w:rPr>
              <w:t>B(xiii)</w:t>
            </w:r>
            <w:r w:rsidR="00125CE0" w:rsidRPr="00734AB6">
              <w:rPr>
                <w:rFonts w:cstheme="minorBidi"/>
                <w:noProof/>
                <w:lang w:val="en-GB" w:eastAsia="en-GB"/>
              </w:rPr>
              <w:tab/>
            </w:r>
            <w:r w:rsidR="00125CE0" w:rsidRPr="00734AB6">
              <w:rPr>
                <w:rStyle w:val="Hyperlink"/>
                <w:b/>
                <w:noProof/>
              </w:rPr>
              <w:t>Modafinil dosage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_Toc48136431 \h </w:instrText>
            </w:r>
            <w:r w:rsidR="00125CE0" w:rsidRPr="00734AB6">
              <w:rPr>
                <w:noProof/>
                <w:webHidden/>
              </w:rPr>
            </w:r>
            <w:r w:rsidR="00125CE0" w:rsidRPr="00734AB6">
              <w:rPr>
                <w:noProof/>
                <w:webHidden/>
              </w:rPr>
              <w:fldChar w:fldCharType="separate"/>
            </w:r>
            <w:r w:rsidR="005A21BB" w:rsidRPr="00734AB6">
              <w:rPr>
                <w:noProof/>
                <w:webHidden/>
              </w:rPr>
              <w:t>242</w:t>
            </w:r>
            <w:r w:rsidR="00125CE0" w:rsidRPr="00734AB6">
              <w:rPr>
                <w:noProof/>
                <w:webHidden/>
              </w:rPr>
              <w:fldChar w:fldCharType="end"/>
            </w:r>
          </w:hyperlink>
        </w:p>
        <w:p w14:paraId="6D5A0C4D" w14:textId="4556ECEC" w:rsidR="00125CE0" w:rsidRPr="00734AB6" w:rsidRDefault="00754FB3">
          <w:pPr>
            <w:pStyle w:val="TOC2"/>
            <w:rPr>
              <w:rFonts w:cstheme="minorBidi"/>
              <w:noProof/>
              <w:lang w:val="en-GB" w:eastAsia="en-GB"/>
            </w:rPr>
          </w:pPr>
          <w:hyperlink w:anchor="_Toc48136432" w:history="1">
            <w:r w:rsidR="00125CE0" w:rsidRPr="00734AB6">
              <w:rPr>
                <w:rStyle w:val="Hyperlink"/>
                <w:b/>
                <w:noProof/>
              </w:rPr>
              <w:t>B(xiv)</w:t>
            </w:r>
            <w:r w:rsidR="00125CE0" w:rsidRPr="00734AB6">
              <w:rPr>
                <w:rFonts w:cstheme="minorBidi"/>
                <w:noProof/>
                <w:lang w:val="en-GB" w:eastAsia="en-GB"/>
              </w:rPr>
              <w:tab/>
            </w:r>
            <w:r w:rsidR="00125CE0" w:rsidRPr="00734AB6">
              <w:rPr>
                <w:rStyle w:val="Hyperlink"/>
                <w:b/>
                <w:noProof/>
              </w:rPr>
              <w:t>Methylphenidate dosage, formula and brand</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_Toc48136432 \h </w:instrText>
            </w:r>
            <w:r w:rsidR="00125CE0" w:rsidRPr="00734AB6">
              <w:rPr>
                <w:noProof/>
                <w:webHidden/>
              </w:rPr>
            </w:r>
            <w:r w:rsidR="00125CE0" w:rsidRPr="00734AB6">
              <w:rPr>
                <w:noProof/>
                <w:webHidden/>
              </w:rPr>
              <w:fldChar w:fldCharType="separate"/>
            </w:r>
            <w:r w:rsidR="005A21BB" w:rsidRPr="00734AB6">
              <w:rPr>
                <w:noProof/>
                <w:webHidden/>
              </w:rPr>
              <w:t>243</w:t>
            </w:r>
            <w:r w:rsidR="00125CE0" w:rsidRPr="00734AB6">
              <w:rPr>
                <w:noProof/>
                <w:webHidden/>
              </w:rPr>
              <w:fldChar w:fldCharType="end"/>
            </w:r>
          </w:hyperlink>
        </w:p>
        <w:p w14:paraId="3296CC1A" w14:textId="0F66F1AA" w:rsidR="00125CE0" w:rsidRPr="00734AB6" w:rsidRDefault="00754FB3">
          <w:pPr>
            <w:pStyle w:val="TOC2"/>
            <w:rPr>
              <w:rFonts w:cstheme="minorBidi"/>
              <w:noProof/>
              <w:lang w:val="en-GB" w:eastAsia="en-GB"/>
            </w:rPr>
          </w:pPr>
          <w:hyperlink w:anchor="_Toc48136433" w:history="1">
            <w:r w:rsidR="00125CE0" w:rsidRPr="00734AB6">
              <w:rPr>
                <w:rStyle w:val="Hyperlink"/>
                <w:b/>
                <w:noProof/>
              </w:rPr>
              <w:t>B(xv)</w:t>
            </w:r>
            <w:r w:rsidR="00125CE0" w:rsidRPr="00734AB6">
              <w:rPr>
                <w:rFonts w:cstheme="minorBidi"/>
                <w:noProof/>
                <w:lang w:val="en-GB" w:eastAsia="en-GB"/>
              </w:rPr>
              <w:tab/>
            </w:r>
            <w:r w:rsidR="00125CE0" w:rsidRPr="00734AB6">
              <w:rPr>
                <w:rStyle w:val="Hyperlink"/>
                <w:b/>
                <w:noProof/>
              </w:rPr>
              <w:t>Factor analysis and scree plot of CFQ control group responses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_Toc48136433 \h </w:instrText>
            </w:r>
            <w:r w:rsidR="00125CE0" w:rsidRPr="00734AB6">
              <w:rPr>
                <w:noProof/>
                <w:webHidden/>
              </w:rPr>
            </w:r>
            <w:r w:rsidR="00125CE0" w:rsidRPr="00734AB6">
              <w:rPr>
                <w:noProof/>
                <w:webHidden/>
              </w:rPr>
              <w:fldChar w:fldCharType="separate"/>
            </w:r>
            <w:r w:rsidR="005A21BB" w:rsidRPr="00734AB6">
              <w:rPr>
                <w:noProof/>
                <w:webHidden/>
              </w:rPr>
              <w:t>245</w:t>
            </w:r>
            <w:r w:rsidR="00125CE0" w:rsidRPr="00734AB6">
              <w:rPr>
                <w:noProof/>
                <w:webHidden/>
              </w:rPr>
              <w:fldChar w:fldCharType="end"/>
            </w:r>
          </w:hyperlink>
        </w:p>
        <w:p w14:paraId="5E20CB19" w14:textId="16A681E1" w:rsidR="00125CE0" w:rsidRPr="00734AB6" w:rsidRDefault="00754FB3">
          <w:pPr>
            <w:pStyle w:val="TOC1"/>
            <w:rPr>
              <w:rFonts w:cstheme="minorBidi"/>
              <w:noProof/>
              <w:lang w:val="en-GB" w:eastAsia="en-GB"/>
            </w:rPr>
          </w:pPr>
          <w:hyperlink w:anchor="_Toc48136434" w:history="1">
            <w:r w:rsidR="00125CE0" w:rsidRPr="00734AB6">
              <w:rPr>
                <w:rStyle w:val="Hyperlink"/>
                <w:b/>
                <w:noProof/>
              </w:rPr>
              <w:t>Appendix C: Study Three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_Toc48136434 \h </w:instrText>
            </w:r>
            <w:r w:rsidR="00125CE0" w:rsidRPr="00734AB6">
              <w:rPr>
                <w:noProof/>
                <w:webHidden/>
              </w:rPr>
            </w:r>
            <w:r w:rsidR="00125CE0" w:rsidRPr="00734AB6">
              <w:rPr>
                <w:noProof/>
                <w:webHidden/>
              </w:rPr>
              <w:fldChar w:fldCharType="separate"/>
            </w:r>
            <w:r w:rsidR="005A21BB" w:rsidRPr="00734AB6">
              <w:rPr>
                <w:noProof/>
                <w:webHidden/>
              </w:rPr>
              <w:t>247</w:t>
            </w:r>
            <w:r w:rsidR="00125CE0" w:rsidRPr="00734AB6">
              <w:rPr>
                <w:noProof/>
                <w:webHidden/>
              </w:rPr>
              <w:fldChar w:fldCharType="end"/>
            </w:r>
          </w:hyperlink>
        </w:p>
        <w:p w14:paraId="2B1C6D21" w14:textId="2AA46C6E" w:rsidR="00125CE0" w:rsidRPr="00734AB6" w:rsidRDefault="00754FB3">
          <w:pPr>
            <w:pStyle w:val="TOC2"/>
            <w:rPr>
              <w:rFonts w:cstheme="minorBidi"/>
              <w:noProof/>
              <w:lang w:val="en-GB" w:eastAsia="en-GB"/>
            </w:rPr>
          </w:pPr>
          <w:hyperlink w:anchor="_Toc48136435" w:history="1">
            <w:r w:rsidR="00125CE0" w:rsidRPr="00734AB6">
              <w:rPr>
                <w:rStyle w:val="Hyperlink"/>
                <w:b/>
                <w:noProof/>
              </w:rPr>
              <w:t>C(i)</w:t>
            </w:r>
            <w:r w:rsidR="00125CE0" w:rsidRPr="00734AB6">
              <w:rPr>
                <w:rFonts w:cstheme="minorBidi"/>
                <w:noProof/>
                <w:lang w:val="en-GB" w:eastAsia="en-GB"/>
              </w:rPr>
              <w:tab/>
            </w:r>
            <w:r w:rsidR="00125CE0" w:rsidRPr="00734AB6">
              <w:rPr>
                <w:rStyle w:val="Hyperlink"/>
                <w:b/>
                <w:noProof/>
              </w:rPr>
              <w:t>Online forum advertisement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_Toc48136435 \h </w:instrText>
            </w:r>
            <w:r w:rsidR="00125CE0" w:rsidRPr="00734AB6">
              <w:rPr>
                <w:noProof/>
                <w:webHidden/>
              </w:rPr>
            </w:r>
            <w:r w:rsidR="00125CE0" w:rsidRPr="00734AB6">
              <w:rPr>
                <w:noProof/>
                <w:webHidden/>
              </w:rPr>
              <w:fldChar w:fldCharType="separate"/>
            </w:r>
            <w:r w:rsidR="005A21BB" w:rsidRPr="00734AB6">
              <w:rPr>
                <w:noProof/>
                <w:webHidden/>
              </w:rPr>
              <w:t>247</w:t>
            </w:r>
            <w:r w:rsidR="00125CE0" w:rsidRPr="00734AB6">
              <w:rPr>
                <w:noProof/>
                <w:webHidden/>
              </w:rPr>
              <w:fldChar w:fldCharType="end"/>
            </w:r>
          </w:hyperlink>
        </w:p>
        <w:p w14:paraId="7C9345CE" w14:textId="3657C195" w:rsidR="00125CE0" w:rsidRPr="00734AB6" w:rsidRDefault="00754FB3">
          <w:pPr>
            <w:pStyle w:val="TOC2"/>
            <w:rPr>
              <w:rFonts w:cstheme="minorBidi"/>
              <w:noProof/>
              <w:lang w:val="en-GB" w:eastAsia="en-GB"/>
            </w:rPr>
          </w:pPr>
          <w:hyperlink w:anchor="_Toc48136436" w:history="1">
            <w:r w:rsidR="00125CE0" w:rsidRPr="00734AB6">
              <w:rPr>
                <w:rStyle w:val="Hyperlink"/>
                <w:b/>
                <w:noProof/>
              </w:rPr>
              <w:t>C(iv)</w:t>
            </w:r>
            <w:r w:rsidR="00125CE0" w:rsidRPr="00734AB6">
              <w:rPr>
                <w:rFonts w:cstheme="minorBidi"/>
                <w:noProof/>
                <w:lang w:val="en-GB" w:eastAsia="en-GB"/>
              </w:rPr>
              <w:tab/>
            </w:r>
            <w:r w:rsidR="00125CE0" w:rsidRPr="00734AB6">
              <w:rPr>
                <w:rStyle w:val="Hyperlink"/>
                <w:b/>
                <w:noProof/>
              </w:rPr>
              <w:t>SART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_Toc48136436 \h </w:instrText>
            </w:r>
            <w:r w:rsidR="00125CE0" w:rsidRPr="00734AB6">
              <w:rPr>
                <w:noProof/>
                <w:webHidden/>
              </w:rPr>
            </w:r>
            <w:r w:rsidR="00125CE0" w:rsidRPr="00734AB6">
              <w:rPr>
                <w:noProof/>
                <w:webHidden/>
              </w:rPr>
              <w:fldChar w:fldCharType="separate"/>
            </w:r>
            <w:r w:rsidR="005A21BB" w:rsidRPr="00734AB6">
              <w:rPr>
                <w:noProof/>
                <w:webHidden/>
              </w:rPr>
              <w:t>252</w:t>
            </w:r>
            <w:r w:rsidR="00125CE0" w:rsidRPr="00734AB6">
              <w:rPr>
                <w:noProof/>
                <w:webHidden/>
              </w:rPr>
              <w:fldChar w:fldCharType="end"/>
            </w:r>
          </w:hyperlink>
        </w:p>
        <w:p w14:paraId="38E9E03B" w14:textId="205C968F" w:rsidR="00125CE0" w:rsidRPr="00734AB6" w:rsidRDefault="00754FB3">
          <w:pPr>
            <w:pStyle w:val="TOC2"/>
            <w:rPr>
              <w:rFonts w:cstheme="minorBidi"/>
              <w:noProof/>
              <w:lang w:val="en-GB" w:eastAsia="en-GB"/>
            </w:rPr>
          </w:pPr>
          <w:hyperlink w:anchor="_Toc48136437" w:history="1">
            <w:r w:rsidR="00125CE0" w:rsidRPr="00734AB6">
              <w:rPr>
                <w:rStyle w:val="Hyperlink"/>
                <w:b/>
                <w:noProof/>
              </w:rPr>
              <w:t>C(v)</w:t>
            </w:r>
            <w:r w:rsidR="00125CE0" w:rsidRPr="00734AB6">
              <w:rPr>
                <w:rFonts w:cstheme="minorBidi"/>
                <w:noProof/>
                <w:lang w:val="en-GB" w:eastAsia="en-GB"/>
              </w:rPr>
              <w:tab/>
            </w:r>
            <w:r w:rsidR="00125CE0" w:rsidRPr="00734AB6">
              <w:rPr>
                <w:rStyle w:val="Hyperlink"/>
                <w:b/>
                <w:noProof/>
              </w:rPr>
              <w:t>Education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_Toc48136437 \h </w:instrText>
            </w:r>
            <w:r w:rsidR="00125CE0" w:rsidRPr="00734AB6">
              <w:rPr>
                <w:noProof/>
                <w:webHidden/>
              </w:rPr>
            </w:r>
            <w:r w:rsidR="00125CE0" w:rsidRPr="00734AB6">
              <w:rPr>
                <w:noProof/>
                <w:webHidden/>
              </w:rPr>
              <w:fldChar w:fldCharType="separate"/>
            </w:r>
            <w:r w:rsidR="005A21BB" w:rsidRPr="00734AB6">
              <w:rPr>
                <w:noProof/>
                <w:webHidden/>
              </w:rPr>
              <w:t>254</w:t>
            </w:r>
            <w:r w:rsidR="00125CE0" w:rsidRPr="00734AB6">
              <w:rPr>
                <w:noProof/>
                <w:webHidden/>
              </w:rPr>
              <w:fldChar w:fldCharType="end"/>
            </w:r>
          </w:hyperlink>
        </w:p>
        <w:p w14:paraId="7F4BFC97" w14:textId="38E00E45" w:rsidR="00125CE0" w:rsidRPr="00734AB6" w:rsidRDefault="00754FB3">
          <w:pPr>
            <w:pStyle w:val="TOC2"/>
            <w:rPr>
              <w:rFonts w:cstheme="minorBidi"/>
              <w:noProof/>
              <w:lang w:val="en-GB" w:eastAsia="en-GB"/>
            </w:rPr>
          </w:pPr>
          <w:hyperlink w:anchor="_Toc48136438" w:history="1">
            <w:r w:rsidR="00125CE0" w:rsidRPr="00734AB6">
              <w:rPr>
                <w:rStyle w:val="Hyperlink"/>
                <w:b/>
                <w:noProof/>
              </w:rPr>
              <w:t>C(vi)</w:t>
            </w:r>
            <w:r w:rsidR="00125CE0" w:rsidRPr="00734AB6">
              <w:rPr>
                <w:rFonts w:cstheme="minorBidi"/>
                <w:noProof/>
                <w:lang w:val="en-GB" w:eastAsia="en-GB"/>
              </w:rPr>
              <w:tab/>
            </w:r>
            <w:r w:rsidR="00125CE0" w:rsidRPr="00734AB6">
              <w:rPr>
                <w:rStyle w:val="Hyperlink"/>
                <w:b/>
                <w:noProof/>
              </w:rPr>
              <w:t>Current studies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_Toc48136438 \h </w:instrText>
            </w:r>
            <w:r w:rsidR="00125CE0" w:rsidRPr="00734AB6">
              <w:rPr>
                <w:noProof/>
                <w:webHidden/>
              </w:rPr>
            </w:r>
            <w:r w:rsidR="00125CE0" w:rsidRPr="00734AB6">
              <w:rPr>
                <w:noProof/>
                <w:webHidden/>
              </w:rPr>
              <w:fldChar w:fldCharType="separate"/>
            </w:r>
            <w:r w:rsidR="005A21BB" w:rsidRPr="00734AB6">
              <w:rPr>
                <w:noProof/>
                <w:webHidden/>
              </w:rPr>
              <w:t>254</w:t>
            </w:r>
            <w:r w:rsidR="00125CE0" w:rsidRPr="00734AB6">
              <w:rPr>
                <w:noProof/>
                <w:webHidden/>
              </w:rPr>
              <w:fldChar w:fldCharType="end"/>
            </w:r>
          </w:hyperlink>
        </w:p>
        <w:p w14:paraId="21261FCC" w14:textId="11DB8EF9" w:rsidR="00125CE0" w:rsidRPr="00734AB6" w:rsidRDefault="00754FB3">
          <w:pPr>
            <w:pStyle w:val="TOC2"/>
            <w:rPr>
              <w:rFonts w:cstheme="minorBidi"/>
              <w:noProof/>
              <w:lang w:val="en-GB" w:eastAsia="en-GB"/>
            </w:rPr>
          </w:pPr>
          <w:hyperlink w:anchor="_Toc48136439" w:history="1">
            <w:r w:rsidR="00125CE0" w:rsidRPr="00734AB6">
              <w:rPr>
                <w:rStyle w:val="Hyperlink"/>
                <w:b/>
                <w:noProof/>
              </w:rPr>
              <w:t>C(vii)</w:t>
            </w:r>
            <w:r w:rsidR="00125CE0" w:rsidRPr="00734AB6">
              <w:rPr>
                <w:rFonts w:cstheme="minorBidi"/>
                <w:noProof/>
                <w:lang w:val="en-GB" w:eastAsia="en-GB"/>
              </w:rPr>
              <w:tab/>
            </w:r>
            <w:r w:rsidR="00125CE0" w:rsidRPr="00734AB6">
              <w:rPr>
                <w:rStyle w:val="Hyperlink"/>
                <w:b/>
                <w:noProof/>
              </w:rPr>
              <w:t>Employment</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_Toc48136439 \h </w:instrText>
            </w:r>
            <w:r w:rsidR="00125CE0" w:rsidRPr="00734AB6">
              <w:rPr>
                <w:noProof/>
                <w:webHidden/>
              </w:rPr>
            </w:r>
            <w:r w:rsidR="00125CE0" w:rsidRPr="00734AB6">
              <w:rPr>
                <w:noProof/>
                <w:webHidden/>
              </w:rPr>
              <w:fldChar w:fldCharType="separate"/>
            </w:r>
            <w:r w:rsidR="005A21BB" w:rsidRPr="00734AB6">
              <w:rPr>
                <w:noProof/>
                <w:webHidden/>
              </w:rPr>
              <w:t>255</w:t>
            </w:r>
            <w:r w:rsidR="00125CE0" w:rsidRPr="00734AB6">
              <w:rPr>
                <w:noProof/>
                <w:webHidden/>
              </w:rPr>
              <w:fldChar w:fldCharType="end"/>
            </w:r>
          </w:hyperlink>
        </w:p>
        <w:p w14:paraId="4E9EA129" w14:textId="0370052F" w:rsidR="00125CE0" w:rsidRPr="00734AB6" w:rsidRDefault="00754FB3">
          <w:pPr>
            <w:pStyle w:val="TOC2"/>
            <w:rPr>
              <w:rFonts w:cstheme="minorBidi"/>
              <w:noProof/>
              <w:lang w:val="en-GB" w:eastAsia="en-GB"/>
            </w:rPr>
          </w:pPr>
          <w:hyperlink w:anchor="_Toc48136440" w:history="1">
            <w:r w:rsidR="00125CE0" w:rsidRPr="00734AB6">
              <w:rPr>
                <w:rStyle w:val="Hyperlink"/>
                <w:b/>
                <w:noProof/>
              </w:rPr>
              <w:t>C(viii)</w:t>
            </w:r>
            <w:r w:rsidR="00125CE0" w:rsidRPr="00734AB6">
              <w:rPr>
                <w:rFonts w:cstheme="minorBidi"/>
                <w:noProof/>
                <w:lang w:val="en-GB" w:eastAsia="en-GB"/>
              </w:rPr>
              <w:tab/>
            </w:r>
            <w:r w:rsidR="00125CE0" w:rsidRPr="00734AB6">
              <w:rPr>
                <w:rStyle w:val="Hyperlink"/>
                <w:b/>
                <w:noProof/>
              </w:rPr>
              <w:t>Outliers for the antisaccade, arrow flanker and BRIEF-A</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_Toc48136440 \h </w:instrText>
            </w:r>
            <w:r w:rsidR="00125CE0" w:rsidRPr="00734AB6">
              <w:rPr>
                <w:noProof/>
                <w:webHidden/>
              </w:rPr>
            </w:r>
            <w:r w:rsidR="00125CE0" w:rsidRPr="00734AB6">
              <w:rPr>
                <w:noProof/>
                <w:webHidden/>
              </w:rPr>
              <w:fldChar w:fldCharType="separate"/>
            </w:r>
            <w:r w:rsidR="005A21BB" w:rsidRPr="00734AB6">
              <w:rPr>
                <w:noProof/>
                <w:webHidden/>
              </w:rPr>
              <w:t>256</w:t>
            </w:r>
            <w:r w:rsidR="00125CE0" w:rsidRPr="00734AB6">
              <w:rPr>
                <w:noProof/>
                <w:webHidden/>
              </w:rPr>
              <w:fldChar w:fldCharType="end"/>
            </w:r>
          </w:hyperlink>
        </w:p>
        <w:p w14:paraId="369989BF" w14:textId="273285AA" w:rsidR="00125CE0" w:rsidRPr="00734AB6" w:rsidRDefault="00754FB3">
          <w:pPr>
            <w:pStyle w:val="TOC2"/>
            <w:rPr>
              <w:rFonts w:cstheme="minorBidi"/>
              <w:noProof/>
              <w:lang w:val="en-GB" w:eastAsia="en-GB"/>
            </w:rPr>
          </w:pPr>
          <w:hyperlink w:anchor="_Toc48136441" w:history="1">
            <w:r w:rsidR="00125CE0" w:rsidRPr="00734AB6">
              <w:rPr>
                <w:rStyle w:val="Hyperlink"/>
                <w:b/>
                <w:noProof/>
              </w:rPr>
              <w:t>C(x)</w:t>
            </w:r>
            <w:r w:rsidR="00125CE0" w:rsidRPr="00734AB6">
              <w:rPr>
                <w:rFonts w:cstheme="minorBidi"/>
                <w:noProof/>
                <w:lang w:val="en-GB" w:eastAsia="en-GB"/>
              </w:rPr>
              <w:tab/>
            </w:r>
            <w:r w:rsidR="00125CE0" w:rsidRPr="00734AB6">
              <w:rPr>
                <w:rStyle w:val="Hyperlink"/>
                <w:b/>
                <w:noProof/>
              </w:rPr>
              <w:t>Participant consent form</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_Toc48136441 \h </w:instrText>
            </w:r>
            <w:r w:rsidR="00125CE0" w:rsidRPr="00734AB6">
              <w:rPr>
                <w:noProof/>
                <w:webHidden/>
              </w:rPr>
            </w:r>
            <w:r w:rsidR="00125CE0" w:rsidRPr="00734AB6">
              <w:rPr>
                <w:noProof/>
                <w:webHidden/>
              </w:rPr>
              <w:fldChar w:fldCharType="separate"/>
            </w:r>
            <w:r w:rsidR="005A21BB" w:rsidRPr="00734AB6">
              <w:rPr>
                <w:noProof/>
                <w:webHidden/>
              </w:rPr>
              <w:t>263</w:t>
            </w:r>
            <w:r w:rsidR="00125CE0" w:rsidRPr="00734AB6">
              <w:rPr>
                <w:noProof/>
                <w:webHidden/>
              </w:rPr>
              <w:fldChar w:fldCharType="end"/>
            </w:r>
          </w:hyperlink>
        </w:p>
        <w:p w14:paraId="3B4634C9" w14:textId="45C5942E" w:rsidR="00125CE0" w:rsidRPr="00734AB6" w:rsidRDefault="00754FB3">
          <w:pPr>
            <w:pStyle w:val="TOC2"/>
            <w:rPr>
              <w:rFonts w:cstheme="minorBidi"/>
              <w:noProof/>
              <w:lang w:val="en-GB" w:eastAsia="en-GB"/>
            </w:rPr>
          </w:pPr>
          <w:hyperlink w:anchor="_Toc48136442" w:history="1">
            <w:r w:rsidR="00125CE0" w:rsidRPr="00734AB6">
              <w:rPr>
                <w:rStyle w:val="Hyperlink"/>
                <w:b/>
                <w:noProof/>
              </w:rPr>
              <w:t>C(xi)</w:t>
            </w:r>
            <w:r w:rsidR="00125CE0" w:rsidRPr="00734AB6">
              <w:rPr>
                <w:rFonts w:cstheme="minorBidi"/>
                <w:noProof/>
                <w:lang w:val="en-GB" w:eastAsia="en-GB"/>
              </w:rPr>
              <w:tab/>
            </w:r>
            <w:r w:rsidR="00125CE0" w:rsidRPr="00734AB6">
              <w:rPr>
                <w:rStyle w:val="Hyperlink"/>
                <w:b/>
                <w:noProof/>
              </w:rPr>
              <w:t>Participant debriefing information</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_Toc48136442 \h </w:instrText>
            </w:r>
            <w:r w:rsidR="00125CE0" w:rsidRPr="00734AB6">
              <w:rPr>
                <w:noProof/>
                <w:webHidden/>
              </w:rPr>
            </w:r>
            <w:r w:rsidR="00125CE0" w:rsidRPr="00734AB6">
              <w:rPr>
                <w:noProof/>
                <w:webHidden/>
              </w:rPr>
              <w:fldChar w:fldCharType="separate"/>
            </w:r>
            <w:r w:rsidR="005A21BB" w:rsidRPr="00734AB6">
              <w:rPr>
                <w:noProof/>
                <w:webHidden/>
              </w:rPr>
              <w:t>264</w:t>
            </w:r>
            <w:r w:rsidR="00125CE0" w:rsidRPr="00734AB6">
              <w:rPr>
                <w:noProof/>
                <w:webHidden/>
              </w:rPr>
              <w:fldChar w:fldCharType="end"/>
            </w:r>
          </w:hyperlink>
        </w:p>
        <w:p w14:paraId="0F63D90A" w14:textId="293EFA5D" w:rsidR="00125CE0" w:rsidRPr="00734AB6" w:rsidRDefault="00754FB3">
          <w:pPr>
            <w:pStyle w:val="TOC2"/>
            <w:rPr>
              <w:rFonts w:cstheme="minorBidi"/>
              <w:noProof/>
              <w:lang w:val="en-GB" w:eastAsia="en-GB"/>
            </w:rPr>
          </w:pPr>
          <w:hyperlink w:anchor="_Toc48136443" w:history="1">
            <w:r w:rsidR="00125CE0" w:rsidRPr="00734AB6">
              <w:rPr>
                <w:rStyle w:val="Hyperlink"/>
                <w:b/>
                <w:noProof/>
              </w:rPr>
              <w:t>C(xii)</w:t>
            </w:r>
            <w:r w:rsidR="00125CE0" w:rsidRPr="00734AB6">
              <w:rPr>
                <w:rFonts w:cstheme="minorBidi"/>
                <w:noProof/>
                <w:lang w:val="en-GB" w:eastAsia="en-GB"/>
              </w:rPr>
              <w:tab/>
            </w:r>
            <w:r w:rsidR="00125CE0" w:rsidRPr="00734AB6">
              <w:rPr>
                <w:rStyle w:val="Hyperlink"/>
                <w:b/>
                <w:noProof/>
              </w:rPr>
              <w:t>Mental Health</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_Toc48136443 \h </w:instrText>
            </w:r>
            <w:r w:rsidR="00125CE0" w:rsidRPr="00734AB6">
              <w:rPr>
                <w:noProof/>
                <w:webHidden/>
              </w:rPr>
            </w:r>
            <w:r w:rsidR="00125CE0" w:rsidRPr="00734AB6">
              <w:rPr>
                <w:noProof/>
                <w:webHidden/>
              </w:rPr>
              <w:fldChar w:fldCharType="separate"/>
            </w:r>
            <w:r w:rsidR="005A21BB" w:rsidRPr="00734AB6">
              <w:rPr>
                <w:noProof/>
                <w:webHidden/>
              </w:rPr>
              <w:t>265</w:t>
            </w:r>
            <w:r w:rsidR="00125CE0" w:rsidRPr="00734AB6">
              <w:rPr>
                <w:noProof/>
                <w:webHidden/>
              </w:rPr>
              <w:fldChar w:fldCharType="end"/>
            </w:r>
          </w:hyperlink>
        </w:p>
        <w:p w14:paraId="048A1C31" w14:textId="7B074D64" w:rsidR="00125CE0" w:rsidRPr="00734AB6" w:rsidRDefault="00754FB3">
          <w:pPr>
            <w:pStyle w:val="TOC2"/>
            <w:rPr>
              <w:rFonts w:cstheme="minorBidi"/>
              <w:noProof/>
              <w:lang w:val="en-GB" w:eastAsia="en-GB"/>
            </w:rPr>
          </w:pPr>
          <w:hyperlink w:anchor="_Toc48136444" w:history="1">
            <w:r w:rsidR="00125CE0" w:rsidRPr="00734AB6">
              <w:rPr>
                <w:rStyle w:val="Hyperlink"/>
                <w:b/>
                <w:noProof/>
              </w:rPr>
              <w:t>C(xiii)</w:t>
            </w:r>
            <w:r w:rsidR="00125CE0" w:rsidRPr="00734AB6">
              <w:rPr>
                <w:rFonts w:cstheme="minorBidi"/>
                <w:noProof/>
                <w:lang w:val="en-GB" w:eastAsia="en-GB"/>
              </w:rPr>
              <w:tab/>
            </w:r>
            <w:r w:rsidR="00125CE0" w:rsidRPr="00734AB6">
              <w:rPr>
                <w:rStyle w:val="Hyperlink"/>
                <w:b/>
                <w:noProof/>
              </w:rPr>
              <w:t>Cannabis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_Toc48136444 \h </w:instrText>
            </w:r>
            <w:r w:rsidR="00125CE0" w:rsidRPr="00734AB6">
              <w:rPr>
                <w:noProof/>
                <w:webHidden/>
              </w:rPr>
            </w:r>
            <w:r w:rsidR="00125CE0" w:rsidRPr="00734AB6">
              <w:rPr>
                <w:noProof/>
                <w:webHidden/>
              </w:rPr>
              <w:fldChar w:fldCharType="separate"/>
            </w:r>
            <w:r w:rsidR="005A21BB" w:rsidRPr="00734AB6">
              <w:rPr>
                <w:noProof/>
                <w:webHidden/>
              </w:rPr>
              <w:t>266</w:t>
            </w:r>
            <w:r w:rsidR="00125CE0" w:rsidRPr="00734AB6">
              <w:rPr>
                <w:noProof/>
                <w:webHidden/>
              </w:rPr>
              <w:fldChar w:fldCharType="end"/>
            </w:r>
          </w:hyperlink>
        </w:p>
        <w:p w14:paraId="4168492F" w14:textId="2D5945C0" w:rsidR="00125CE0" w:rsidRPr="00734AB6" w:rsidRDefault="00754FB3">
          <w:pPr>
            <w:pStyle w:val="TOC2"/>
            <w:rPr>
              <w:rFonts w:cstheme="minorBidi"/>
              <w:noProof/>
              <w:lang w:val="en-GB" w:eastAsia="en-GB"/>
            </w:rPr>
          </w:pPr>
          <w:hyperlink w:anchor="_Toc48136445" w:history="1">
            <w:r w:rsidR="00125CE0" w:rsidRPr="00734AB6">
              <w:rPr>
                <w:rStyle w:val="Hyperlink"/>
                <w:b/>
                <w:noProof/>
              </w:rPr>
              <w:t>C(xiv)</w:t>
            </w:r>
            <w:r w:rsidR="00125CE0" w:rsidRPr="00734AB6">
              <w:rPr>
                <w:rFonts w:cstheme="minorBidi"/>
                <w:noProof/>
                <w:lang w:val="en-GB" w:eastAsia="en-GB"/>
              </w:rPr>
              <w:tab/>
            </w:r>
            <w:r w:rsidR="00125CE0" w:rsidRPr="00734AB6">
              <w:rPr>
                <w:rStyle w:val="Hyperlink"/>
                <w:b/>
                <w:noProof/>
              </w:rPr>
              <w:t>Modafinil*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_Toc48136445 \h </w:instrText>
            </w:r>
            <w:r w:rsidR="00125CE0" w:rsidRPr="00734AB6">
              <w:rPr>
                <w:noProof/>
                <w:webHidden/>
              </w:rPr>
            </w:r>
            <w:r w:rsidR="00125CE0" w:rsidRPr="00734AB6">
              <w:rPr>
                <w:noProof/>
                <w:webHidden/>
              </w:rPr>
              <w:fldChar w:fldCharType="separate"/>
            </w:r>
            <w:r w:rsidR="005A21BB" w:rsidRPr="00734AB6">
              <w:rPr>
                <w:noProof/>
                <w:webHidden/>
              </w:rPr>
              <w:t>267</w:t>
            </w:r>
            <w:r w:rsidR="00125CE0" w:rsidRPr="00734AB6">
              <w:rPr>
                <w:noProof/>
                <w:webHidden/>
              </w:rPr>
              <w:fldChar w:fldCharType="end"/>
            </w:r>
          </w:hyperlink>
        </w:p>
        <w:p w14:paraId="58CC718E" w14:textId="21FC9036" w:rsidR="00125CE0" w:rsidRPr="00734AB6" w:rsidRDefault="00754FB3">
          <w:pPr>
            <w:pStyle w:val="TOC2"/>
            <w:rPr>
              <w:rFonts w:cstheme="minorBidi"/>
              <w:noProof/>
              <w:lang w:val="en-GB" w:eastAsia="en-GB"/>
            </w:rPr>
          </w:pPr>
          <w:hyperlink w:anchor="_Toc48136446" w:history="1">
            <w:r w:rsidR="00125CE0" w:rsidRPr="00734AB6">
              <w:rPr>
                <w:rStyle w:val="Hyperlink"/>
                <w:b/>
                <w:noProof/>
              </w:rPr>
              <w:t>C(xv)</w:t>
            </w:r>
            <w:r w:rsidR="00125CE0" w:rsidRPr="00734AB6">
              <w:rPr>
                <w:rFonts w:cstheme="minorBidi"/>
                <w:noProof/>
                <w:lang w:val="en-GB" w:eastAsia="en-GB"/>
              </w:rPr>
              <w:tab/>
            </w:r>
            <w:r w:rsidR="00125CE0" w:rsidRPr="00734AB6">
              <w:rPr>
                <w:rStyle w:val="Hyperlink"/>
                <w:b/>
                <w:noProof/>
              </w:rPr>
              <w:t>Methylphenidate*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_Toc48136446 \h </w:instrText>
            </w:r>
            <w:r w:rsidR="00125CE0" w:rsidRPr="00734AB6">
              <w:rPr>
                <w:noProof/>
                <w:webHidden/>
              </w:rPr>
            </w:r>
            <w:r w:rsidR="00125CE0" w:rsidRPr="00734AB6">
              <w:rPr>
                <w:noProof/>
                <w:webHidden/>
              </w:rPr>
              <w:fldChar w:fldCharType="separate"/>
            </w:r>
            <w:r w:rsidR="005A21BB" w:rsidRPr="00734AB6">
              <w:rPr>
                <w:noProof/>
                <w:webHidden/>
              </w:rPr>
              <w:t>269</w:t>
            </w:r>
            <w:r w:rsidR="00125CE0" w:rsidRPr="00734AB6">
              <w:rPr>
                <w:noProof/>
                <w:webHidden/>
              </w:rPr>
              <w:fldChar w:fldCharType="end"/>
            </w:r>
          </w:hyperlink>
        </w:p>
        <w:p w14:paraId="362D3A7D" w14:textId="102C66AA" w:rsidR="00125CE0" w:rsidRPr="00734AB6" w:rsidRDefault="00754FB3">
          <w:pPr>
            <w:pStyle w:val="TOC2"/>
            <w:rPr>
              <w:rFonts w:cstheme="minorBidi"/>
              <w:noProof/>
              <w:lang w:val="en-GB" w:eastAsia="en-GB"/>
            </w:rPr>
          </w:pPr>
          <w:hyperlink w:anchor="_Toc48136447" w:history="1">
            <w:r w:rsidR="00125CE0" w:rsidRPr="00734AB6">
              <w:rPr>
                <w:rStyle w:val="Hyperlink"/>
                <w:b/>
                <w:noProof/>
              </w:rPr>
              <w:t>C(xvi)</w:t>
            </w:r>
            <w:r w:rsidR="00125CE0" w:rsidRPr="00734AB6">
              <w:rPr>
                <w:rFonts w:cstheme="minorBidi"/>
                <w:noProof/>
                <w:lang w:val="en-GB" w:eastAsia="en-GB"/>
              </w:rPr>
              <w:tab/>
            </w:r>
            <w:r w:rsidR="00125CE0" w:rsidRPr="00734AB6">
              <w:rPr>
                <w:rStyle w:val="Hyperlink"/>
                <w:b/>
                <w:noProof/>
              </w:rPr>
              <w:t>Alcohol</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_Toc48136447 \h </w:instrText>
            </w:r>
            <w:r w:rsidR="00125CE0" w:rsidRPr="00734AB6">
              <w:rPr>
                <w:noProof/>
                <w:webHidden/>
              </w:rPr>
            </w:r>
            <w:r w:rsidR="00125CE0" w:rsidRPr="00734AB6">
              <w:rPr>
                <w:noProof/>
                <w:webHidden/>
              </w:rPr>
              <w:fldChar w:fldCharType="separate"/>
            </w:r>
            <w:r w:rsidR="005A21BB" w:rsidRPr="00734AB6">
              <w:rPr>
                <w:noProof/>
                <w:webHidden/>
              </w:rPr>
              <w:t>271</w:t>
            </w:r>
            <w:r w:rsidR="00125CE0" w:rsidRPr="00734AB6">
              <w:rPr>
                <w:noProof/>
                <w:webHidden/>
              </w:rPr>
              <w:fldChar w:fldCharType="end"/>
            </w:r>
          </w:hyperlink>
        </w:p>
        <w:p w14:paraId="0029A874" w14:textId="48807111" w:rsidR="00125CE0" w:rsidRPr="00734AB6" w:rsidRDefault="00754FB3">
          <w:pPr>
            <w:pStyle w:val="TOC2"/>
            <w:rPr>
              <w:rFonts w:cstheme="minorBidi"/>
              <w:noProof/>
              <w:lang w:val="en-GB" w:eastAsia="en-GB"/>
            </w:rPr>
          </w:pPr>
          <w:hyperlink w:anchor="_Toc48136448" w:history="1">
            <w:r w:rsidR="00125CE0" w:rsidRPr="00734AB6">
              <w:rPr>
                <w:rStyle w:val="Hyperlink"/>
                <w:b/>
                <w:noProof/>
              </w:rPr>
              <w:t>C(xvii)</w:t>
            </w:r>
            <w:r w:rsidR="00125CE0" w:rsidRPr="00734AB6">
              <w:rPr>
                <w:rFonts w:cstheme="minorBidi"/>
                <w:noProof/>
                <w:lang w:val="en-GB" w:eastAsia="en-GB"/>
              </w:rPr>
              <w:tab/>
            </w:r>
            <w:r w:rsidR="00125CE0" w:rsidRPr="00734AB6">
              <w:rPr>
                <w:rStyle w:val="Hyperlink"/>
                <w:b/>
                <w:noProof/>
              </w:rPr>
              <w:t>Nicotine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_Toc48136448 \h </w:instrText>
            </w:r>
            <w:r w:rsidR="00125CE0" w:rsidRPr="00734AB6">
              <w:rPr>
                <w:noProof/>
                <w:webHidden/>
              </w:rPr>
            </w:r>
            <w:r w:rsidR="00125CE0" w:rsidRPr="00734AB6">
              <w:rPr>
                <w:noProof/>
                <w:webHidden/>
              </w:rPr>
              <w:fldChar w:fldCharType="separate"/>
            </w:r>
            <w:r w:rsidR="005A21BB" w:rsidRPr="00734AB6">
              <w:rPr>
                <w:noProof/>
                <w:webHidden/>
              </w:rPr>
              <w:t>272</w:t>
            </w:r>
            <w:r w:rsidR="00125CE0" w:rsidRPr="00734AB6">
              <w:rPr>
                <w:noProof/>
                <w:webHidden/>
              </w:rPr>
              <w:fldChar w:fldCharType="end"/>
            </w:r>
          </w:hyperlink>
        </w:p>
        <w:p w14:paraId="593011DA" w14:textId="7C74585A" w:rsidR="00125CE0" w:rsidRPr="00734AB6" w:rsidRDefault="00754FB3">
          <w:pPr>
            <w:pStyle w:val="TOC2"/>
            <w:rPr>
              <w:rFonts w:cstheme="minorBidi"/>
              <w:noProof/>
              <w:lang w:val="en-GB" w:eastAsia="en-GB"/>
            </w:rPr>
          </w:pPr>
          <w:hyperlink w:anchor="_Toc48136449" w:history="1">
            <w:r w:rsidR="00125CE0" w:rsidRPr="00734AB6">
              <w:rPr>
                <w:rStyle w:val="Hyperlink"/>
                <w:b/>
                <w:noProof/>
              </w:rPr>
              <w:t>C(xviii)</w:t>
            </w:r>
            <w:r w:rsidR="00125CE0" w:rsidRPr="00734AB6">
              <w:rPr>
                <w:rFonts w:cstheme="minorBidi"/>
                <w:noProof/>
                <w:lang w:val="en-GB" w:eastAsia="en-GB"/>
              </w:rPr>
              <w:tab/>
            </w:r>
            <w:r w:rsidR="00125CE0" w:rsidRPr="00734AB6">
              <w:rPr>
                <w:rStyle w:val="Hyperlink"/>
                <w:b/>
                <w:noProof/>
              </w:rPr>
              <w:t>Recreational drug use</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_Toc48136449 \h </w:instrText>
            </w:r>
            <w:r w:rsidR="00125CE0" w:rsidRPr="00734AB6">
              <w:rPr>
                <w:noProof/>
                <w:webHidden/>
              </w:rPr>
            </w:r>
            <w:r w:rsidR="00125CE0" w:rsidRPr="00734AB6">
              <w:rPr>
                <w:noProof/>
                <w:webHidden/>
              </w:rPr>
              <w:fldChar w:fldCharType="separate"/>
            </w:r>
            <w:r w:rsidR="005A21BB" w:rsidRPr="00734AB6">
              <w:rPr>
                <w:noProof/>
                <w:webHidden/>
              </w:rPr>
              <w:t>272</w:t>
            </w:r>
            <w:r w:rsidR="00125CE0" w:rsidRPr="00734AB6">
              <w:rPr>
                <w:noProof/>
                <w:webHidden/>
              </w:rPr>
              <w:fldChar w:fldCharType="end"/>
            </w:r>
          </w:hyperlink>
        </w:p>
        <w:p w14:paraId="2429BC61" w14:textId="7753596C" w:rsidR="00125CE0" w:rsidRPr="00734AB6" w:rsidRDefault="00754FB3">
          <w:pPr>
            <w:pStyle w:val="TOC1"/>
            <w:rPr>
              <w:rFonts w:cstheme="minorBidi"/>
              <w:noProof/>
              <w:lang w:val="en-GB" w:eastAsia="en-GB"/>
            </w:rPr>
          </w:pPr>
          <w:hyperlink w:anchor="_Toc48136450" w:history="1">
            <w:r w:rsidR="00125CE0" w:rsidRPr="00734AB6">
              <w:rPr>
                <w:rStyle w:val="Hyperlink"/>
                <w:b/>
                <w:noProof/>
              </w:rPr>
              <w:t xml:space="preserve">Appendix D: </w:t>
            </w:r>
            <w:r w:rsidR="00125CE0" w:rsidRPr="00734AB6">
              <w:rPr>
                <w:rFonts w:cstheme="minorBidi"/>
                <w:noProof/>
                <w:lang w:val="en-GB" w:eastAsia="en-GB"/>
              </w:rPr>
              <w:tab/>
            </w:r>
            <w:r w:rsidR="00125CE0" w:rsidRPr="00734AB6">
              <w:rPr>
                <w:rStyle w:val="Hyperlink"/>
                <w:b/>
                <w:noProof/>
              </w:rPr>
              <w:t>Abbreviations and Accronyms</w:t>
            </w:r>
            <w:r w:rsidR="00125CE0" w:rsidRPr="00734AB6">
              <w:rPr>
                <w:noProof/>
                <w:webHidden/>
              </w:rPr>
              <w:tab/>
            </w:r>
            <w:r w:rsidR="00125CE0" w:rsidRPr="00734AB6">
              <w:rPr>
                <w:noProof/>
                <w:webHidden/>
              </w:rPr>
              <w:fldChar w:fldCharType="begin"/>
            </w:r>
            <w:r w:rsidR="00125CE0" w:rsidRPr="00734AB6">
              <w:rPr>
                <w:noProof/>
                <w:webHidden/>
              </w:rPr>
              <w:instrText xml:space="preserve"> PAGEREF _Toc48136450 \h </w:instrText>
            </w:r>
            <w:r w:rsidR="00125CE0" w:rsidRPr="00734AB6">
              <w:rPr>
                <w:noProof/>
                <w:webHidden/>
              </w:rPr>
            </w:r>
            <w:r w:rsidR="00125CE0" w:rsidRPr="00734AB6">
              <w:rPr>
                <w:noProof/>
                <w:webHidden/>
              </w:rPr>
              <w:fldChar w:fldCharType="separate"/>
            </w:r>
            <w:r w:rsidR="005A21BB" w:rsidRPr="00734AB6">
              <w:rPr>
                <w:noProof/>
                <w:webHidden/>
              </w:rPr>
              <w:t>278</w:t>
            </w:r>
            <w:r w:rsidR="00125CE0" w:rsidRPr="00734AB6">
              <w:rPr>
                <w:noProof/>
                <w:webHidden/>
              </w:rPr>
              <w:fldChar w:fldCharType="end"/>
            </w:r>
          </w:hyperlink>
        </w:p>
        <w:p w14:paraId="7D2C821A" w14:textId="0326118E" w:rsidR="00AC46E6" w:rsidRPr="00734AB6" w:rsidRDefault="00AC46E6" w:rsidP="00AD0909">
          <w:pPr>
            <w:spacing w:line="360" w:lineRule="auto"/>
            <w:ind w:right="283"/>
            <w:rPr>
              <w:rFonts w:asciiTheme="majorHAnsi" w:hAnsiTheme="majorHAnsi"/>
            </w:rPr>
          </w:pPr>
          <w:r w:rsidRPr="00734AB6">
            <w:rPr>
              <w:rFonts w:asciiTheme="majorHAnsi" w:hAnsiTheme="majorHAnsi"/>
              <w:b/>
              <w:bCs/>
              <w:noProof/>
            </w:rPr>
            <w:fldChar w:fldCharType="end"/>
          </w:r>
        </w:p>
      </w:sdtContent>
    </w:sdt>
    <w:p w14:paraId="594174D3" w14:textId="77777777" w:rsidR="00075997" w:rsidRPr="00734AB6" w:rsidRDefault="00075997" w:rsidP="0099584D">
      <w:pPr>
        <w:tabs>
          <w:tab w:val="left" w:pos="1134"/>
        </w:tabs>
        <w:spacing w:line="360" w:lineRule="auto"/>
        <w:ind w:left="1134" w:hanging="1134"/>
        <w:rPr>
          <w:rFonts w:asciiTheme="majorHAnsi" w:hAnsiTheme="majorHAnsi"/>
          <w:b/>
        </w:rPr>
      </w:pPr>
    </w:p>
    <w:p w14:paraId="09B1A1D5" w14:textId="77777777" w:rsidR="00075997" w:rsidRPr="00734AB6" w:rsidRDefault="00075997">
      <w:pPr>
        <w:rPr>
          <w:rFonts w:asciiTheme="majorHAnsi" w:hAnsiTheme="majorHAnsi"/>
          <w:b/>
        </w:rPr>
      </w:pPr>
      <w:r w:rsidRPr="00734AB6">
        <w:rPr>
          <w:rFonts w:asciiTheme="majorHAnsi" w:hAnsiTheme="majorHAnsi"/>
          <w:b/>
        </w:rPr>
        <w:br w:type="page"/>
      </w:r>
    </w:p>
    <w:p w14:paraId="0B2735AB" w14:textId="3F2BADA6" w:rsidR="00422A22" w:rsidRPr="00734AB6" w:rsidRDefault="00422A22" w:rsidP="0099584D">
      <w:pPr>
        <w:tabs>
          <w:tab w:val="left" w:pos="1134"/>
        </w:tabs>
        <w:spacing w:line="360" w:lineRule="auto"/>
        <w:ind w:left="1134" w:hanging="1134"/>
        <w:rPr>
          <w:rFonts w:asciiTheme="majorHAnsi" w:hAnsiTheme="majorHAnsi"/>
          <w:b/>
        </w:rPr>
      </w:pPr>
      <w:r w:rsidRPr="00734AB6">
        <w:rPr>
          <w:rFonts w:asciiTheme="majorHAnsi" w:hAnsiTheme="majorHAnsi"/>
          <w:b/>
        </w:rPr>
        <w:lastRenderedPageBreak/>
        <w:t>LIST OF TABLES</w:t>
      </w:r>
    </w:p>
    <w:p w14:paraId="7A4293D8" w14:textId="77777777" w:rsidR="00422A22" w:rsidRPr="00734AB6" w:rsidRDefault="00422A22" w:rsidP="0099584D">
      <w:pPr>
        <w:widowControl w:val="0"/>
        <w:tabs>
          <w:tab w:val="left" w:pos="1134"/>
        </w:tabs>
        <w:autoSpaceDE w:val="0"/>
        <w:autoSpaceDN w:val="0"/>
        <w:adjustRightInd w:val="0"/>
        <w:spacing w:after="240" w:line="360" w:lineRule="auto"/>
        <w:ind w:left="1134" w:hanging="1134"/>
        <w:rPr>
          <w:rFonts w:asciiTheme="majorHAnsi" w:hAnsiTheme="majorHAnsi" w:cs="Calibri"/>
          <w:b/>
        </w:rPr>
      </w:pPr>
      <w:r w:rsidRPr="00734AB6">
        <w:rPr>
          <w:rFonts w:asciiTheme="majorHAnsi" w:hAnsiTheme="majorHAnsi" w:cs="Calibri"/>
          <w:b/>
        </w:rPr>
        <w:t>Chapter One</w:t>
      </w:r>
    </w:p>
    <w:p w14:paraId="672EC48C" w14:textId="100AE6F5" w:rsidR="00422A22" w:rsidRPr="00734AB6" w:rsidRDefault="00422A22" w:rsidP="0099584D">
      <w:pPr>
        <w:widowControl w:val="0"/>
        <w:tabs>
          <w:tab w:val="left" w:pos="1134"/>
        </w:tabs>
        <w:autoSpaceDE w:val="0"/>
        <w:autoSpaceDN w:val="0"/>
        <w:adjustRightInd w:val="0"/>
        <w:spacing w:after="240" w:line="360" w:lineRule="auto"/>
        <w:ind w:left="1134" w:hanging="1134"/>
        <w:rPr>
          <w:rFonts w:asciiTheme="majorHAnsi" w:hAnsiTheme="majorHAnsi" w:cs="Calibri"/>
        </w:rPr>
      </w:pPr>
      <w:r w:rsidRPr="00734AB6">
        <w:rPr>
          <w:rFonts w:asciiTheme="majorHAnsi" w:hAnsiTheme="majorHAnsi" w:cs="Calibri"/>
        </w:rPr>
        <w:t>1.</w:t>
      </w:r>
      <w:r w:rsidR="005A21BB" w:rsidRPr="00734AB6">
        <w:rPr>
          <w:rFonts w:asciiTheme="majorHAnsi" w:hAnsiTheme="majorHAnsi" w:cs="Calibri"/>
        </w:rPr>
        <w:t>5</w:t>
      </w:r>
      <w:r w:rsidRPr="00734AB6">
        <w:rPr>
          <w:rFonts w:asciiTheme="majorHAnsi" w:hAnsiTheme="majorHAnsi" w:cs="Calibri"/>
        </w:rPr>
        <w:tab/>
        <w:t>Profiles and effects of modafinil and methylphenidate</w:t>
      </w:r>
      <w:r w:rsidR="001F37A6" w:rsidRPr="00734AB6">
        <w:rPr>
          <w:rFonts w:asciiTheme="majorHAnsi" w:hAnsiTheme="majorHAnsi" w:cs="Calibri"/>
        </w:rPr>
        <w:t>……………………………………………3</w:t>
      </w:r>
      <w:r w:rsidR="005A21BB" w:rsidRPr="00734AB6">
        <w:rPr>
          <w:rFonts w:asciiTheme="majorHAnsi" w:hAnsiTheme="majorHAnsi" w:cs="Calibri"/>
        </w:rPr>
        <w:t>4</w:t>
      </w:r>
    </w:p>
    <w:p w14:paraId="7319BA2B" w14:textId="3D07F85C" w:rsidR="00422A22" w:rsidRPr="00734AB6" w:rsidRDefault="00422A22" w:rsidP="0099584D">
      <w:pPr>
        <w:widowControl w:val="0"/>
        <w:tabs>
          <w:tab w:val="left" w:pos="1134"/>
        </w:tabs>
        <w:autoSpaceDE w:val="0"/>
        <w:autoSpaceDN w:val="0"/>
        <w:adjustRightInd w:val="0"/>
        <w:spacing w:after="240" w:line="360" w:lineRule="auto"/>
        <w:ind w:left="1134" w:hanging="1134"/>
        <w:rPr>
          <w:rFonts w:asciiTheme="majorHAnsi" w:hAnsiTheme="majorHAnsi" w:cs="Calibri"/>
          <w:b/>
        </w:rPr>
      </w:pPr>
      <w:r w:rsidRPr="00734AB6">
        <w:rPr>
          <w:rFonts w:asciiTheme="majorHAnsi" w:hAnsiTheme="majorHAnsi" w:cs="Calibri"/>
          <w:b/>
        </w:rPr>
        <w:t>Chapter Two</w:t>
      </w:r>
    </w:p>
    <w:p w14:paraId="08370B1A" w14:textId="2F635673" w:rsidR="00422A22" w:rsidRPr="00734AB6" w:rsidRDefault="00422A22" w:rsidP="0099584D">
      <w:pPr>
        <w:widowControl w:val="0"/>
        <w:tabs>
          <w:tab w:val="left" w:pos="1134"/>
        </w:tabs>
        <w:autoSpaceDE w:val="0"/>
        <w:autoSpaceDN w:val="0"/>
        <w:adjustRightInd w:val="0"/>
        <w:spacing w:after="0" w:line="360" w:lineRule="auto"/>
        <w:ind w:left="1134" w:hanging="1134"/>
        <w:rPr>
          <w:rFonts w:asciiTheme="majorHAnsi" w:hAnsiTheme="majorHAnsi" w:cs="Calibri"/>
        </w:rPr>
      </w:pPr>
      <w:r w:rsidRPr="00734AB6">
        <w:rPr>
          <w:rFonts w:asciiTheme="majorHAnsi" w:hAnsiTheme="majorHAnsi" w:cs="Calibri"/>
        </w:rPr>
        <w:t>2.1.1</w:t>
      </w:r>
      <w:r w:rsidRPr="00734AB6">
        <w:rPr>
          <w:rFonts w:asciiTheme="majorHAnsi" w:hAnsiTheme="majorHAnsi" w:cs="Calibri"/>
        </w:rPr>
        <w:tab/>
        <w:t xml:space="preserve"> Surveys reporting the prevalence of CED use</w:t>
      </w:r>
      <w:r w:rsidR="0033228E" w:rsidRPr="00734AB6">
        <w:rPr>
          <w:rFonts w:asciiTheme="majorHAnsi" w:hAnsiTheme="majorHAnsi" w:cs="Calibri"/>
        </w:rPr>
        <w:t>…………………………………………………………4</w:t>
      </w:r>
      <w:r w:rsidR="005A21BB" w:rsidRPr="00734AB6">
        <w:rPr>
          <w:rFonts w:asciiTheme="majorHAnsi" w:hAnsiTheme="majorHAnsi" w:cs="Calibri"/>
        </w:rPr>
        <w:t>5</w:t>
      </w:r>
    </w:p>
    <w:p w14:paraId="42B18890" w14:textId="1F3CE223" w:rsidR="00422A22" w:rsidRPr="00734AB6" w:rsidRDefault="00422A22" w:rsidP="0099584D">
      <w:pPr>
        <w:widowControl w:val="0"/>
        <w:tabs>
          <w:tab w:val="left" w:pos="1134"/>
        </w:tabs>
        <w:autoSpaceDE w:val="0"/>
        <w:autoSpaceDN w:val="0"/>
        <w:adjustRightInd w:val="0"/>
        <w:spacing w:after="0" w:line="360" w:lineRule="auto"/>
        <w:ind w:left="1134" w:hanging="1134"/>
        <w:rPr>
          <w:rFonts w:asciiTheme="majorHAnsi" w:hAnsiTheme="majorHAnsi" w:cs="Calibri"/>
        </w:rPr>
      </w:pPr>
      <w:r w:rsidRPr="00734AB6">
        <w:rPr>
          <w:rFonts w:asciiTheme="majorHAnsi" w:hAnsiTheme="majorHAnsi" w:cs="Calibri"/>
        </w:rPr>
        <w:t>2.2.3.4.1</w:t>
      </w:r>
      <w:r w:rsidRPr="00734AB6">
        <w:rPr>
          <w:rFonts w:asciiTheme="majorHAnsi" w:hAnsiTheme="majorHAnsi" w:cs="Calibri"/>
        </w:rPr>
        <w:tab/>
      </w:r>
      <w:r w:rsidRPr="00734AB6">
        <w:rPr>
          <w:rFonts w:asciiTheme="majorHAnsi" w:eastAsia="Calibri" w:hAnsiTheme="majorHAnsi" w:cs="Calibri"/>
        </w:rPr>
        <w:t>Sources of access to modafinil and methylphenidate</w:t>
      </w:r>
      <w:r w:rsidR="0099584D" w:rsidRPr="00734AB6">
        <w:rPr>
          <w:rFonts w:asciiTheme="majorHAnsi" w:eastAsia="Calibri" w:hAnsiTheme="majorHAnsi" w:cs="Calibri"/>
        </w:rPr>
        <w:t>………</w:t>
      </w:r>
      <w:r w:rsidR="00524B5F" w:rsidRPr="00734AB6">
        <w:rPr>
          <w:rFonts w:asciiTheme="majorHAnsi" w:eastAsia="Calibri" w:hAnsiTheme="majorHAnsi" w:cs="Calibri"/>
        </w:rPr>
        <w:t>………………………………….....5</w:t>
      </w:r>
      <w:r w:rsidR="005A21BB" w:rsidRPr="00734AB6">
        <w:rPr>
          <w:rFonts w:asciiTheme="majorHAnsi" w:eastAsia="Calibri" w:hAnsiTheme="majorHAnsi" w:cs="Calibri"/>
        </w:rPr>
        <w:t>7</w:t>
      </w:r>
    </w:p>
    <w:p w14:paraId="2FD0C4EB" w14:textId="33E451B0" w:rsidR="00422A22" w:rsidRPr="00734AB6" w:rsidRDefault="00422A22" w:rsidP="0099584D">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2.2.3.4.2</w:t>
      </w:r>
      <w:r w:rsidRPr="00734AB6">
        <w:rPr>
          <w:rFonts w:asciiTheme="majorHAnsi" w:hAnsiTheme="majorHAnsi"/>
        </w:rPr>
        <w:tab/>
      </w:r>
      <w:r w:rsidRPr="00734AB6">
        <w:rPr>
          <w:rFonts w:asciiTheme="majorHAnsi" w:eastAsia="Calibri" w:hAnsiTheme="majorHAnsi" w:cs="Calibri"/>
        </w:rPr>
        <w:t>Motivations for use of modafinil and methylphenidate</w:t>
      </w:r>
      <w:r w:rsidR="0033228E" w:rsidRPr="00734AB6">
        <w:rPr>
          <w:rFonts w:asciiTheme="majorHAnsi" w:eastAsia="Calibri" w:hAnsiTheme="majorHAnsi" w:cs="Calibri"/>
        </w:rPr>
        <w:t>……………………………………..……</w:t>
      </w:r>
      <w:r w:rsidR="00524B5F" w:rsidRPr="00734AB6">
        <w:rPr>
          <w:rFonts w:asciiTheme="majorHAnsi" w:eastAsia="Calibri" w:hAnsiTheme="majorHAnsi" w:cs="Calibri"/>
        </w:rPr>
        <w:t>5</w:t>
      </w:r>
      <w:r w:rsidR="005A21BB" w:rsidRPr="00734AB6">
        <w:rPr>
          <w:rFonts w:asciiTheme="majorHAnsi" w:eastAsia="Calibri" w:hAnsiTheme="majorHAnsi" w:cs="Calibri"/>
        </w:rPr>
        <w:t>8</w:t>
      </w:r>
    </w:p>
    <w:p w14:paraId="771F4595" w14:textId="05618F74" w:rsidR="00422A22" w:rsidRPr="00734AB6" w:rsidRDefault="00422A22" w:rsidP="0099584D">
      <w:pPr>
        <w:tabs>
          <w:tab w:val="left" w:pos="1134"/>
        </w:tabs>
        <w:spacing w:line="360" w:lineRule="auto"/>
        <w:ind w:left="1134" w:hanging="1134"/>
        <w:rPr>
          <w:rFonts w:asciiTheme="majorHAnsi" w:eastAsia="Calibri" w:hAnsiTheme="majorHAnsi" w:cs="Calibri"/>
        </w:rPr>
      </w:pPr>
      <w:r w:rsidRPr="00734AB6">
        <w:rPr>
          <w:rFonts w:asciiTheme="majorHAnsi" w:eastAsia="Calibri" w:hAnsiTheme="majorHAnsi" w:cs="Calibri"/>
        </w:rPr>
        <w:t>2.2.3.4.3.2</w:t>
      </w:r>
      <w:r w:rsidRPr="00734AB6">
        <w:rPr>
          <w:rFonts w:asciiTheme="majorHAnsi" w:eastAsia="Calibri" w:hAnsiTheme="majorHAnsi" w:cs="Calibri"/>
        </w:rPr>
        <w:tab/>
        <w:t>Means for p</w:t>
      </w:r>
      <w:r w:rsidR="00107B09" w:rsidRPr="00734AB6">
        <w:rPr>
          <w:rFonts w:asciiTheme="majorHAnsi" w:eastAsia="Calibri" w:hAnsiTheme="majorHAnsi" w:cs="Calibri"/>
        </w:rPr>
        <w:t>erceived effects of modafinil…………………..</w:t>
      </w:r>
      <w:r w:rsidR="0099584D" w:rsidRPr="00734AB6">
        <w:rPr>
          <w:rFonts w:asciiTheme="majorHAnsi" w:eastAsia="Calibri" w:hAnsiTheme="majorHAnsi" w:cs="Calibri"/>
        </w:rPr>
        <w:t>……………………………………</w:t>
      </w:r>
      <w:r w:rsidR="0033228E" w:rsidRPr="00734AB6">
        <w:rPr>
          <w:rFonts w:asciiTheme="majorHAnsi" w:eastAsia="Calibri" w:hAnsiTheme="majorHAnsi" w:cs="Calibri"/>
        </w:rPr>
        <w:t>………</w:t>
      </w:r>
      <w:r w:rsidR="00524B5F" w:rsidRPr="00734AB6">
        <w:rPr>
          <w:rFonts w:asciiTheme="majorHAnsi" w:eastAsia="Calibri" w:hAnsiTheme="majorHAnsi" w:cs="Calibri"/>
        </w:rPr>
        <w:t>5</w:t>
      </w:r>
      <w:r w:rsidR="005A21BB" w:rsidRPr="00734AB6">
        <w:rPr>
          <w:rFonts w:asciiTheme="majorHAnsi" w:eastAsia="Calibri" w:hAnsiTheme="majorHAnsi" w:cs="Calibri"/>
        </w:rPr>
        <w:t>9</w:t>
      </w:r>
    </w:p>
    <w:p w14:paraId="562E91E8" w14:textId="77777777" w:rsidR="00107B09" w:rsidRPr="00734AB6" w:rsidRDefault="00422A22" w:rsidP="0099584D">
      <w:pPr>
        <w:tabs>
          <w:tab w:val="left" w:pos="1134"/>
        </w:tabs>
        <w:spacing w:line="360" w:lineRule="auto"/>
        <w:ind w:left="1134" w:hanging="1134"/>
        <w:rPr>
          <w:rFonts w:asciiTheme="majorHAnsi" w:hAnsiTheme="majorHAnsi"/>
        </w:rPr>
      </w:pPr>
      <w:r w:rsidRPr="00734AB6">
        <w:rPr>
          <w:rFonts w:asciiTheme="majorHAnsi" w:hAnsiTheme="majorHAnsi"/>
        </w:rPr>
        <w:t>2.2.3.4.3.3</w:t>
      </w:r>
      <w:r w:rsidRPr="00734AB6">
        <w:rPr>
          <w:rFonts w:asciiTheme="majorHAnsi" w:hAnsiTheme="majorHAnsi"/>
        </w:rPr>
        <w:tab/>
        <w:t xml:space="preserve">Cohen’s </w:t>
      </w:r>
      <w:r w:rsidRPr="00734AB6">
        <w:rPr>
          <w:rFonts w:asciiTheme="majorHAnsi" w:hAnsiTheme="majorHAnsi"/>
          <w:i/>
        </w:rPr>
        <w:t>d</w:t>
      </w:r>
      <w:r w:rsidRPr="00734AB6">
        <w:rPr>
          <w:rFonts w:asciiTheme="majorHAnsi" w:hAnsiTheme="majorHAnsi"/>
        </w:rPr>
        <w:t>’s for difference between immediate and longer-lasting ef</w:t>
      </w:r>
      <w:r w:rsidR="00107B09" w:rsidRPr="00734AB6">
        <w:rPr>
          <w:rFonts w:asciiTheme="majorHAnsi" w:hAnsiTheme="majorHAnsi"/>
        </w:rPr>
        <w:t>fects by</w:t>
      </w:r>
    </w:p>
    <w:p w14:paraId="05BD59A5" w14:textId="4864E891" w:rsidR="00422A22" w:rsidRPr="00734AB6" w:rsidRDefault="00107B09" w:rsidP="0099584D">
      <w:pPr>
        <w:tabs>
          <w:tab w:val="left" w:pos="1134"/>
        </w:tabs>
        <w:spacing w:line="360" w:lineRule="auto"/>
        <w:ind w:left="1134" w:hanging="1134"/>
        <w:rPr>
          <w:rFonts w:asciiTheme="majorHAnsi" w:hAnsiTheme="majorHAnsi"/>
        </w:rPr>
      </w:pPr>
      <w:r w:rsidRPr="00734AB6">
        <w:rPr>
          <w:rFonts w:asciiTheme="majorHAnsi" w:hAnsiTheme="majorHAnsi"/>
        </w:rPr>
        <w:tab/>
        <w:t xml:space="preserve">frequency of modafinil </w:t>
      </w:r>
      <w:r w:rsidR="00422A22" w:rsidRPr="00734AB6">
        <w:rPr>
          <w:rFonts w:asciiTheme="majorHAnsi" w:hAnsiTheme="majorHAnsi"/>
        </w:rPr>
        <w:t>use</w:t>
      </w:r>
      <w:r w:rsidR="0033228E" w:rsidRPr="00734AB6">
        <w:rPr>
          <w:rFonts w:asciiTheme="majorHAnsi" w:hAnsiTheme="majorHAnsi"/>
        </w:rPr>
        <w:t>……………………………………………………………………………</w:t>
      </w:r>
      <w:r w:rsidRPr="00734AB6">
        <w:rPr>
          <w:rFonts w:asciiTheme="majorHAnsi" w:hAnsiTheme="majorHAnsi"/>
        </w:rPr>
        <w:t>…….</w:t>
      </w:r>
      <w:r w:rsidR="0033228E" w:rsidRPr="00734AB6">
        <w:rPr>
          <w:rFonts w:asciiTheme="majorHAnsi" w:hAnsiTheme="majorHAnsi"/>
        </w:rPr>
        <w:t>….</w:t>
      </w:r>
      <w:r w:rsidR="005A21BB" w:rsidRPr="00734AB6">
        <w:rPr>
          <w:rFonts w:asciiTheme="majorHAnsi" w:hAnsiTheme="majorHAnsi"/>
        </w:rPr>
        <w:t>60</w:t>
      </w:r>
    </w:p>
    <w:p w14:paraId="4C24D3CD" w14:textId="0426CF74" w:rsidR="00422A22" w:rsidRPr="00734AB6" w:rsidRDefault="00422A22" w:rsidP="0099584D">
      <w:pPr>
        <w:tabs>
          <w:tab w:val="left" w:pos="1134"/>
        </w:tabs>
        <w:spacing w:line="360" w:lineRule="auto"/>
        <w:ind w:left="1134" w:hanging="1134"/>
        <w:rPr>
          <w:rFonts w:asciiTheme="majorHAnsi" w:hAnsiTheme="majorHAnsi"/>
        </w:rPr>
      </w:pPr>
      <w:r w:rsidRPr="00734AB6">
        <w:rPr>
          <w:rFonts w:asciiTheme="majorHAnsi" w:hAnsiTheme="majorHAnsi"/>
        </w:rPr>
        <w:t>2.2.3.4.3.4</w:t>
      </w:r>
      <w:r w:rsidRPr="00734AB6">
        <w:rPr>
          <w:rFonts w:asciiTheme="majorHAnsi" w:hAnsiTheme="majorHAnsi"/>
        </w:rPr>
        <w:tab/>
        <w:t xml:space="preserve">Cohen’s </w:t>
      </w:r>
      <w:r w:rsidRPr="00734AB6">
        <w:rPr>
          <w:rFonts w:asciiTheme="majorHAnsi" w:hAnsiTheme="majorHAnsi"/>
          <w:i/>
        </w:rPr>
        <w:t>d</w:t>
      </w:r>
      <w:r w:rsidRPr="00734AB6">
        <w:rPr>
          <w:rFonts w:asciiTheme="majorHAnsi" w:hAnsiTheme="majorHAnsi"/>
        </w:rPr>
        <w:t>’s for frequency of use of modafinil</w:t>
      </w:r>
      <w:r w:rsidR="00107B09" w:rsidRPr="00734AB6">
        <w:rPr>
          <w:rFonts w:asciiTheme="majorHAnsi" w:hAnsiTheme="majorHAnsi"/>
        </w:rPr>
        <w:t>…………………………………………………………</w:t>
      </w:r>
      <w:r w:rsidR="005A21BB" w:rsidRPr="00734AB6">
        <w:rPr>
          <w:rFonts w:asciiTheme="majorHAnsi" w:hAnsiTheme="majorHAnsi"/>
        </w:rPr>
        <w:t>62</w:t>
      </w:r>
    </w:p>
    <w:p w14:paraId="3BDE368A" w14:textId="47E5D6C6" w:rsidR="00422A22" w:rsidRPr="00734AB6" w:rsidRDefault="00422A22" w:rsidP="00075997">
      <w:pPr>
        <w:widowControl w:val="0"/>
        <w:tabs>
          <w:tab w:val="left" w:pos="1134"/>
        </w:tabs>
        <w:autoSpaceDE w:val="0"/>
        <w:autoSpaceDN w:val="0"/>
        <w:adjustRightInd w:val="0"/>
        <w:spacing w:line="360" w:lineRule="auto"/>
        <w:ind w:left="1134" w:hanging="1134"/>
        <w:rPr>
          <w:rFonts w:asciiTheme="majorHAnsi" w:eastAsia="Calibri" w:hAnsiTheme="majorHAnsi" w:cs="Calibri"/>
        </w:rPr>
      </w:pPr>
      <w:r w:rsidRPr="00734AB6">
        <w:rPr>
          <w:rFonts w:asciiTheme="majorHAnsi" w:hAnsiTheme="majorHAnsi"/>
        </w:rPr>
        <w:t>2.2.3.4.4.2</w:t>
      </w:r>
      <w:r w:rsidRPr="00734AB6">
        <w:rPr>
          <w:rFonts w:asciiTheme="majorHAnsi" w:hAnsiTheme="majorHAnsi"/>
        </w:rPr>
        <w:tab/>
      </w:r>
      <w:r w:rsidRPr="00734AB6">
        <w:rPr>
          <w:rFonts w:asciiTheme="majorHAnsi" w:eastAsia="Calibri" w:hAnsiTheme="majorHAnsi" w:cs="Calibri"/>
        </w:rPr>
        <w:t>Frequency of Methylphenidate Use Means (SD)</w:t>
      </w:r>
      <w:r w:rsidR="00075997" w:rsidRPr="00734AB6">
        <w:rPr>
          <w:rFonts w:asciiTheme="majorHAnsi" w:eastAsia="Calibri" w:hAnsiTheme="majorHAnsi" w:cs="Calibri"/>
        </w:rPr>
        <w:t>……………………………………………………..</w:t>
      </w:r>
      <w:r w:rsidR="008B263B" w:rsidRPr="00734AB6">
        <w:rPr>
          <w:rFonts w:asciiTheme="majorHAnsi" w:eastAsia="Calibri" w:hAnsiTheme="majorHAnsi" w:cs="Calibri"/>
        </w:rPr>
        <w:t>6</w:t>
      </w:r>
      <w:r w:rsidR="005A21BB" w:rsidRPr="00734AB6">
        <w:rPr>
          <w:rFonts w:asciiTheme="majorHAnsi" w:eastAsia="Calibri" w:hAnsiTheme="majorHAnsi" w:cs="Calibri"/>
        </w:rPr>
        <w:t>4</w:t>
      </w:r>
    </w:p>
    <w:p w14:paraId="4A224EBB" w14:textId="1868903D" w:rsidR="00422A22" w:rsidRPr="00734AB6" w:rsidRDefault="00422A22" w:rsidP="0099584D">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2.2.3.5.1</w:t>
      </w:r>
      <w:r w:rsidRPr="00734AB6">
        <w:rPr>
          <w:rFonts w:asciiTheme="majorHAnsi" w:hAnsiTheme="majorHAnsi"/>
        </w:rPr>
        <w:tab/>
      </w:r>
      <w:r w:rsidRPr="00734AB6">
        <w:rPr>
          <w:rFonts w:asciiTheme="majorHAnsi" w:eastAsia="Calibri" w:hAnsiTheme="majorHAnsi" w:cs="Calibri"/>
        </w:rPr>
        <w:t>Perceived safe dosage for modafinil</w:t>
      </w:r>
      <w:r w:rsidR="00075997" w:rsidRPr="00734AB6">
        <w:rPr>
          <w:rFonts w:asciiTheme="majorHAnsi" w:eastAsia="Calibri" w:hAnsiTheme="majorHAnsi" w:cs="Calibri"/>
        </w:rPr>
        <w:t>………………………………………………………………</w:t>
      </w:r>
      <w:r w:rsidR="008B263B" w:rsidRPr="00734AB6">
        <w:rPr>
          <w:rFonts w:asciiTheme="majorHAnsi" w:eastAsia="Calibri" w:hAnsiTheme="majorHAnsi" w:cs="Calibri"/>
        </w:rPr>
        <w:t>.</w:t>
      </w:r>
      <w:r w:rsidR="00075997" w:rsidRPr="00734AB6">
        <w:rPr>
          <w:rFonts w:asciiTheme="majorHAnsi" w:eastAsia="Calibri" w:hAnsiTheme="majorHAnsi" w:cs="Calibri"/>
        </w:rPr>
        <w:t>……….</w:t>
      </w:r>
      <w:r w:rsidR="008B263B" w:rsidRPr="00734AB6">
        <w:rPr>
          <w:rFonts w:asciiTheme="majorHAnsi" w:eastAsia="Calibri" w:hAnsiTheme="majorHAnsi" w:cs="Calibri"/>
        </w:rPr>
        <w:t>6</w:t>
      </w:r>
      <w:r w:rsidR="005A21BB" w:rsidRPr="00734AB6">
        <w:rPr>
          <w:rFonts w:asciiTheme="majorHAnsi" w:eastAsia="Calibri" w:hAnsiTheme="majorHAnsi" w:cs="Calibri"/>
        </w:rPr>
        <w:t>6</w:t>
      </w:r>
    </w:p>
    <w:p w14:paraId="213342AA" w14:textId="7CC9257C" w:rsidR="00422A22" w:rsidRPr="00734AB6" w:rsidRDefault="00422A22" w:rsidP="0099584D">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2.2.3.5.1</w:t>
      </w:r>
      <w:r w:rsidRPr="00734AB6">
        <w:rPr>
          <w:rFonts w:asciiTheme="majorHAnsi" w:hAnsiTheme="majorHAnsi"/>
        </w:rPr>
        <w:tab/>
      </w:r>
      <w:r w:rsidRPr="00734AB6">
        <w:rPr>
          <w:rFonts w:asciiTheme="majorHAnsi" w:eastAsia="Calibri" w:hAnsiTheme="majorHAnsi" w:cs="Calibri"/>
        </w:rPr>
        <w:t>Perceived safe dosage for methylphenidate</w:t>
      </w:r>
      <w:r w:rsidR="00075997" w:rsidRPr="00734AB6">
        <w:rPr>
          <w:rFonts w:asciiTheme="majorHAnsi" w:eastAsia="Calibri" w:hAnsiTheme="majorHAnsi" w:cs="Calibri"/>
        </w:rPr>
        <w:t>……………………………………………………</w:t>
      </w:r>
      <w:r w:rsidR="008B263B" w:rsidRPr="00734AB6">
        <w:rPr>
          <w:rFonts w:asciiTheme="majorHAnsi" w:eastAsia="Calibri" w:hAnsiTheme="majorHAnsi" w:cs="Calibri"/>
        </w:rPr>
        <w:t>..</w:t>
      </w:r>
      <w:r w:rsidR="00075997" w:rsidRPr="00734AB6">
        <w:rPr>
          <w:rFonts w:asciiTheme="majorHAnsi" w:eastAsia="Calibri" w:hAnsiTheme="majorHAnsi" w:cs="Calibri"/>
        </w:rPr>
        <w:t>…….</w:t>
      </w:r>
      <w:r w:rsidR="008B263B" w:rsidRPr="00734AB6">
        <w:rPr>
          <w:rFonts w:asciiTheme="majorHAnsi" w:eastAsia="Calibri" w:hAnsiTheme="majorHAnsi" w:cs="Calibri"/>
        </w:rPr>
        <w:t>6</w:t>
      </w:r>
      <w:r w:rsidR="005A21BB" w:rsidRPr="00734AB6">
        <w:rPr>
          <w:rFonts w:asciiTheme="majorHAnsi" w:eastAsia="Calibri" w:hAnsiTheme="majorHAnsi" w:cs="Calibri"/>
        </w:rPr>
        <w:t>6</w:t>
      </w:r>
    </w:p>
    <w:p w14:paraId="4691285B" w14:textId="3CDB00C1" w:rsidR="00422A22" w:rsidRPr="00734AB6" w:rsidRDefault="00422A22" w:rsidP="0099584D">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2.2.3.5.1</w:t>
      </w:r>
      <w:r w:rsidRPr="00734AB6">
        <w:rPr>
          <w:rFonts w:asciiTheme="majorHAnsi" w:hAnsiTheme="majorHAnsi"/>
        </w:rPr>
        <w:tab/>
      </w:r>
      <w:r w:rsidRPr="00734AB6">
        <w:rPr>
          <w:rFonts w:asciiTheme="majorHAnsi" w:eastAsia="Calibri" w:hAnsiTheme="majorHAnsi" w:cs="Calibri"/>
        </w:rPr>
        <w:t>Responses to the question asking whether respondents felt they would be putting themselves in danger by taking modafinil/ methylphenidate at different levels of frequency</w:t>
      </w:r>
      <w:r w:rsidR="00075997" w:rsidRPr="00734AB6">
        <w:rPr>
          <w:rFonts w:asciiTheme="majorHAnsi" w:eastAsia="Calibri" w:hAnsiTheme="majorHAnsi" w:cs="Calibri"/>
        </w:rPr>
        <w:t>……</w:t>
      </w:r>
      <w:r w:rsidR="008B263B" w:rsidRPr="00734AB6">
        <w:rPr>
          <w:rFonts w:asciiTheme="majorHAnsi" w:eastAsia="Calibri" w:hAnsiTheme="majorHAnsi" w:cs="Calibri"/>
        </w:rPr>
        <w:t>…………………………………………………………………………………</w:t>
      </w:r>
      <w:r w:rsidR="00075997" w:rsidRPr="00734AB6">
        <w:rPr>
          <w:rFonts w:asciiTheme="majorHAnsi" w:eastAsia="Calibri" w:hAnsiTheme="majorHAnsi" w:cs="Calibri"/>
        </w:rPr>
        <w:t>………………………..</w:t>
      </w:r>
      <w:r w:rsidR="008B263B" w:rsidRPr="00734AB6">
        <w:rPr>
          <w:rFonts w:asciiTheme="majorHAnsi" w:eastAsia="Calibri" w:hAnsiTheme="majorHAnsi" w:cs="Calibri"/>
        </w:rPr>
        <w:t>6</w:t>
      </w:r>
      <w:r w:rsidR="005A21BB" w:rsidRPr="00734AB6">
        <w:rPr>
          <w:rFonts w:asciiTheme="majorHAnsi" w:eastAsia="Calibri" w:hAnsiTheme="majorHAnsi" w:cs="Calibri"/>
        </w:rPr>
        <w:t>7</w:t>
      </w:r>
    </w:p>
    <w:p w14:paraId="49C61887" w14:textId="21CBA79E" w:rsidR="00422A22" w:rsidRPr="00734AB6" w:rsidRDefault="00422A22" w:rsidP="0099584D">
      <w:pPr>
        <w:tabs>
          <w:tab w:val="left" w:pos="1134"/>
        </w:tabs>
        <w:spacing w:line="360" w:lineRule="auto"/>
        <w:ind w:left="1134" w:hanging="1134"/>
        <w:rPr>
          <w:rFonts w:asciiTheme="majorHAnsi" w:hAnsiTheme="majorHAnsi"/>
        </w:rPr>
      </w:pPr>
      <w:r w:rsidRPr="00734AB6">
        <w:rPr>
          <w:rFonts w:asciiTheme="majorHAnsi" w:hAnsiTheme="majorHAnsi"/>
        </w:rPr>
        <w:t>2.2.3.5</w:t>
      </w:r>
      <w:r w:rsidRPr="00734AB6">
        <w:rPr>
          <w:rFonts w:asciiTheme="majorHAnsi" w:hAnsiTheme="majorHAnsi"/>
        </w:rPr>
        <w:tab/>
        <w:t>Effects of mental health diagnosis on perceived effects of modafinil</w:t>
      </w:r>
      <w:r w:rsidR="00075997" w:rsidRPr="00734AB6">
        <w:rPr>
          <w:rFonts w:asciiTheme="majorHAnsi" w:hAnsiTheme="majorHAnsi"/>
        </w:rPr>
        <w:t>………………………</w:t>
      </w:r>
      <w:r w:rsidR="008B263B" w:rsidRPr="00734AB6">
        <w:rPr>
          <w:rFonts w:asciiTheme="majorHAnsi" w:hAnsiTheme="majorHAnsi"/>
        </w:rPr>
        <w:t>6</w:t>
      </w:r>
      <w:r w:rsidR="005A21BB" w:rsidRPr="00734AB6">
        <w:rPr>
          <w:rFonts w:asciiTheme="majorHAnsi" w:hAnsiTheme="majorHAnsi"/>
        </w:rPr>
        <w:t>9</w:t>
      </w:r>
    </w:p>
    <w:p w14:paraId="4FA7DB58" w14:textId="2AEB5F96" w:rsidR="00422A22" w:rsidRPr="00734AB6" w:rsidRDefault="00422A22" w:rsidP="0099584D">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2.2.3.6</w:t>
      </w:r>
      <w:r w:rsidRPr="00734AB6">
        <w:rPr>
          <w:rFonts w:asciiTheme="majorHAnsi" w:hAnsiTheme="majorHAnsi"/>
        </w:rPr>
        <w:tab/>
      </w:r>
      <w:r w:rsidRPr="00734AB6">
        <w:rPr>
          <w:rFonts w:asciiTheme="majorHAnsi" w:eastAsia="Calibri" w:hAnsiTheme="majorHAnsi" w:cs="Calibri"/>
        </w:rPr>
        <w:t>PRMQ Means and SDs for modafinil and methylphenidate and normative data</w:t>
      </w:r>
      <w:r w:rsidR="00075997" w:rsidRPr="00734AB6">
        <w:rPr>
          <w:rFonts w:asciiTheme="majorHAnsi" w:eastAsia="Calibri" w:hAnsiTheme="majorHAnsi" w:cs="Calibri"/>
        </w:rPr>
        <w:t>……</w:t>
      </w:r>
      <w:r w:rsidR="008B263B" w:rsidRPr="00734AB6">
        <w:rPr>
          <w:rFonts w:asciiTheme="majorHAnsi" w:eastAsia="Calibri" w:hAnsiTheme="majorHAnsi" w:cs="Calibri"/>
        </w:rPr>
        <w:t>..</w:t>
      </w:r>
      <w:r w:rsidR="005A21BB" w:rsidRPr="00734AB6">
        <w:rPr>
          <w:rFonts w:asciiTheme="majorHAnsi" w:eastAsia="Calibri" w:hAnsiTheme="majorHAnsi" w:cs="Calibri"/>
        </w:rPr>
        <w:t>70</w:t>
      </w:r>
    </w:p>
    <w:p w14:paraId="759692D0" w14:textId="0B91A97F" w:rsidR="00422A22" w:rsidRPr="00734AB6" w:rsidRDefault="00422A22" w:rsidP="0099584D">
      <w:pPr>
        <w:tabs>
          <w:tab w:val="left" w:pos="1134"/>
        </w:tabs>
        <w:spacing w:line="360" w:lineRule="auto"/>
        <w:ind w:left="1134" w:hanging="1134"/>
        <w:rPr>
          <w:rFonts w:asciiTheme="majorHAnsi" w:hAnsiTheme="majorHAnsi"/>
        </w:rPr>
      </w:pPr>
      <w:r w:rsidRPr="00734AB6">
        <w:rPr>
          <w:rFonts w:asciiTheme="majorHAnsi" w:hAnsiTheme="majorHAnsi"/>
        </w:rPr>
        <w:t>2.3.3</w:t>
      </w:r>
      <w:r w:rsidRPr="00734AB6">
        <w:rPr>
          <w:rFonts w:asciiTheme="majorHAnsi" w:hAnsiTheme="majorHAnsi"/>
        </w:rPr>
        <w:tab/>
        <w:t>Comparisons of statements of opinions of the off-prescription use of modafinil between Study 1a and Study 1b</w:t>
      </w:r>
      <w:r w:rsidR="00075997" w:rsidRPr="00734AB6">
        <w:rPr>
          <w:rFonts w:asciiTheme="majorHAnsi" w:hAnsiTheme="majorHAnsi"/>
        </w:rPr>
        <w:t>…………………………………………………………………</w:t>
      </w:r>
      <w:r w:rsidR="009112E0" w:rsidRPr="00734AB6">
        <w:rPr>
          <w:rFonts w:asciiTheme="majorHAnsi" w:hAnsiTheme="majorHAnsi"/>
        </w:rPr>
        <w:t>…</w:t>
      </w:r>
      <w:r w:rsidR="00075997" w:rsidRPr="00734AB6">
        <w:rPr>
          <w:rFonts w:asciiTheme="majorHAnsi" w:hAnsiTheme="majorHAnsi"/>
        </w:rPr>
        <w:t>…………</w:t>
      </w:r>
      <w:r w:rsidR="009112E0" w:rsidRPr="00734AB6">
        <w:rPr>
          <w:rFonts w:asciiTheme="majorHAnsi" w:hAnsiTheme="majorHAnsi"/>
        </w:rPr>
        <w:t>7</w:t>
      </w:r>
      <w:r w:rsidR="005A21BB" w:rsidRPr="00734AB6">
        <w:rPr>
          <w:rFonts w:asciiTheme="majorHAnsi" w:hAnsiTheme="majorHAnsi"/>
        </w:rPr>
        <w:t>9</w:t>
      </w:r>
    </w:p>
    <w:p w14:paraId="2C8B1938" w14:textId="51E2EABC" w:rsidR="00422A22" w:rsidRPr="00734AB6" w:rsidRDefault="00422A22" w:rsidP="0099584D">
      <w:pPr>
        <w:tabs>
          <w:tab w:val="left" w:pos="1134"/>
        </w:tabs>
        <w:spacing w:line="360" w:lineRule="auto"/>
        <w:ind w:left="1134" w:hanging="1134"/>
        <w:rPr>
          <w:rFonts w:asciiTheme="majorHAnsi" w:hAnsiTheme="majorHAnsi"/>
        </w:rPr>
      </w:pPr>
      <w:r w:rsidRPr="00734AB6">
        <w:rPr>
          <w:rFonts w:asciiTheme="majorHAnsi" w:hAnsiTheme="majorHAnsi"/>
        </w:rPr>
        <w:t>2.3.3</w:t>
      </w:r>
      <w:r w:rsidRPr="00734AB6">
        <w:rPr>
          <w:rFonts w:asciiTheme="majorHAnsi" w:hAnsiTheme="majorHAnsi"/>
        </w:rPr>
        <w:tab/>
        <w:t>Comparisons of statements of opinions of the off-prescription use of methylphenidate between Study 1a and Study 1b</w:t>
      </w:r>
      <w:r w:rsidR="00075997" w:rsidRPr="00734AB6">
        <w:rPr>
          <w:rFonts w:asciiTheme="majorHAnsi" w:hAnsiTheme="majorHAnsi"/>
        </w:rPr>
        <w:t>……………………………………………</w:t>
      </w:r>
      <w:r w:rsidR="009112E0" w:rsidRPr="00734AB6">
        <w:rPr>
          <w:rFonts w:asciiTheme="majorHAnsi" w:hAnsiTheme="majorHAnsi"/>
        </w:rPr>
        <w:t>…….</w:t>
      </w:r>
      <w:r w:rsidR="005A21BB" w:rsidRPr="00734AB6">
        <w:rPr>
          <w:rFonts w:asciiTheme="majorHAnsi" w:hAnsiTheme="majorHAnsi"/>
        </w:rPr>
        <w:t>81</w:t>
      </w:r>
    </w:p>
    <w:p w14:paraId="75CFBB42" w14:textId="3D4FCB03" w:rsidR="00422A22" w:rsidRPr="00734AB6" w:rsidRDefault="00422A22" w:rsidP="0099584D">
      <w:pPr>
        <w:tabs>
          <w:tab w:val="left" w:pos="1134"/>
        </w:tabs>
        <w:spacing w:line="360" w:lineRule="auto"/>
        <w:ind w:left="1134" w:hanging="1134"/>
        <w:rPr>
          <w:rFonts w:asciiTheme="majorHAnsi" w:hAnsiTheme="majorHAnsi"/>
          <w:b/>
        </w:rPr>
      </w:pPr>
      <w:r w:rsidRPr="00734AB6">
        <w:rPr>
          <w:rFonts w:asciiTheme="majorHAnsi" w:hAnsiTheme="majorHAnsi"/>
          <w:b/>
        </w:rPr>
        <w:t>Chapter Three</w:t>
      </w:r>
    </w:p>
    <w:p w14:paraId="68499F29" w14:textId="7841B2F4" w:rsidR="00422A22" w:rsidRPr="00734AB6" w:rsidRDefault="00422A22" w:rsidP="0099584D">
      <w:pPr>
        <w:tabs>
          <w:tab w:val="left" w:pos="1134"/>
        </w:tabs>
        <w:spacing w:line="360" w:lineRule="auto"/>
        <w:ind w:left="1134" w:hanging="1134"/>
        <w:rPr>
          <w:rFonts w:asciiTheme="majorHAnsi" w:hAnsiTheme="majorHAnsi"/>
        </w:rPr>
      </w:pPr>
      <w:r w:rsidRPr="00734AB6">
        <w:rPr>
          <w:rFonts w:asciiTheme="majorHAnsi" w:hAnsiTheme="majorHAnsi"/>
        </w:rPr>
        <w:t>3.3.1.1.1.</w:t>
      </w:r>
      <w:r w:rsidRPr="00734AB6">
        <w:rPr>
          <w:rFonts w:asciiTheme="majorHAnsi" w:hAnsiTheme="majorHAnsi"/>
        </w:rPr>
        <w:tab/>
      </w:r>
      <w:r w:rsidR="00BC6247" w:rsidRPr="00734AB6">
        <w:rPr>
          <w:rFonts w:asciiTheme="majorHAnsi" w:hAnsiTheme="majorHAnsi"/>
        </w:rPr>
        <w:t xml:space="preserve">Sex differences </w:t>
      </w:r>
      <w:r w:rsidRPr="00734AB6">
        <w:rPr>
          <w:rFonts w:asciiTheme="majorHAnsi" w:hAnsiTheme="majorHAnsi"/>
        </w:rPr>
        <w:t>by group</w:t>
      </w:r>
      <w:r w:rsidR="00075997" w:rsidRPr="00734AB6">
        <w:rPr>
          <w:rFonts w:asciiTheme="majorHAnsi" w:hAnsiTheme="majorHAnsi"/>
        </w:rPr>
        <w:t>………</w:t>
      </w:r>
      <w:r w:rsidR="00BC6247" w:rsidRPr="00734AB6">
        <w:rPr>
          <w:rFonts w:asciiTheme="majorHAnsi" w:hAnsiTheme="majorHAnsi"/>
        </w:rPr>
        <w:t>.</w:t>
      </w:r>
      <w:r w:rsidR="00075997" w:rsidRPr="00734AB6">
        <w:rPr>
          <w:rFonts w:asciiTheme="majorHAnsi" w:hAnsiTheme="majorHAnsi"/>
        </w:rPr>
        <w:t>………………………………………………………………………</w:t>
      </w:r>
      <w:r w:rsidR="009112E0" w:rsidRPr="00734AB6">
        <w:rPr>
          <w:rFonts w:asciiTheme="majorHAnsi" w:hAnsiTheme="majorHAnsi"/>
        </w:rPr>
        <w:t>………..9</w:t>
      </w:r>
      <w:r w:rsidR="005A21BB" w:rsidRPr="00734AB6">
        <w:rPr>
          <w:rFonts w:asciiTheme="majorHAnsi" w:hAnsiTheme="majorHAnsi"/>
        </w:rPr>
        <w:t>5</w:t>
      </w:r>
    </w:p>
    <w:p w14:paraId="6B6BDF1A" w14:textId="0E8AE4E1" w:rsidR="00422A22" w:rsidRPr="00734AB6" w:rsidRDefault="00422A22" w:rsidP="0099584D">
      <w:pPr>
        <w:tabs>
          <w:tab w:val="left" w:pos="1134"/>
        </w:tabs>
        <w:spacing w:line="360" w:lineRule="auto"/>
        <w:rPr>
          <w:rFonts w:asciiTheme="majorHAnsi" w:hAnsiTheme="majorHAnsi"/>
        </w:rPr>
      </w:pPr>
      <w:r w:rsidRPr="00734AB6">
        <w:rPr>
          <w:rFonts w:asciiTheme="majorHAnsi" w:hAnsiTheme="majorHAnsi"/>
        </w:rPr>
        <w:t>3.3.1.1.1.</w:t>
      </w:r>
      <w:r w:rsidRPr="00734AB6">
        <w:rPr>
          <w:rFonts w:asciiTheme="majorHAnsi" w:hAnsiTheme="majorHAnsi"/>
        </w:rPr>
        <w:tab/>
        <w:t>Nationalities by group</w:t>
      </w:r>
      <w:r w:rsidR="00075997" w:rsidRPr="00734AB6">
        <w:rPr>
          <w:rFonts w:asciiTheme="majorHAnsi" w:hAnsiTheme="majorHAnsi"/>
        </w:rPr>
        <w:t>…………………………………………………………………………………</w:t>
      </w:r>
      <w:r w:rsidR="009112E0" w:rsidRPr="00734AB6">
        <w:rPr>
          <w:rFonts w:asciiTheme="majorHAnsi" w:hAnsiTheme="majorHAnsi"/>
        </w:rPr>
        <w:t>…………..9</w:t>
      </w:r>
      <w:r w:rsidR="005A21BB" w:rsidRPr="00734AB6">
        <w:rPr>
          <w:rFonts w:asciiTheme="majorHAnsi" w:hAnsiTheme="majorHAnsi"/>
        </w:rPr>
        <w:t>6</w:t>
      </w:r>
    </w:p>
    <w:p w14:paraId="245AE846" w14:textId="6FF8955E" w:rsidR="00422A22" w:rsidRPr="00734AB6" w:rsidRDefault="00422A22" w:rsidP="0099584D">
      <w:pPr>
        <w:tabs>
          <w:tab w:val="left" w:pos="1134"/>
        </w:tabs>
        <w:spacing w:line="360" w:lineRule="auto"/>
        <w:rPr>
          <w:rFonts w:asciiTheme="majorHAnsi" w:hAnsiTheme="majorHAnsi"/>
        </w:rPr>
      </w:pPr>
      <w:r w:rsidRPr="00734AB6">
        <w:rPr>
          <w:rFonts w:asciiTheme="majorHAnsi" w:hAnsiTheme="majorHAnsi"/>
        </w:rPr>
        <w:t>3.3.1.1.3.</w:t>
      </w:r>
      <w:r w:rsidRPr="00734AB6">
        <w:rPr>
          <w:rFonts w:asciiTheme="majorHAnsi" w:hAnsiTheme="majorHAnsi"/>
        </w:rPr>
        <w:tab/>
        <w:t>Currently studying for a qualification</w:t>
      </w:r>
      <w:r w:rsidR="00075997" w:rsidRPr="00734AB6">
        <w:rPr>
          <w:rFonts w:asciiTheme="majorHAnsi" w:hAnsiTheme="majorHAnsi"/>
        </w:rPr>
        <w:t>………………………………………………………………</w:t>
      </w:r>
      <w:r w:rsidR="009112E0" w:rsidRPr="00734AB6">
        <w:rPr>
          <w:rFonts w:asciiTheme="majorHAnsi" w:hAnsiTheme="majorHAnsi"/>
        </w:rPr>
        <w:t>………9</w:t>
      </w:r>
      <w:r w:rsidR="005A21BB" w:rsidRPr="00734AB6">
        <w:rPr>
          <w:rFonts w:asciiTheme="majorHAnsi" w:hAnsiTheme="majorHAnsi"/>
        </w:rPr>
        <w:t>8</w:t>
      </w:r>
    </w:p>
    <w:p w14:paraId="4E8D9AC6" w14:textId="0DE5C357" w:rsidR="00422A22" w:rsidRPr="00734AB6" w:rsidRDefault="00422A22" w:rsidP="0099584D">
      <w:pPr>
        <w:tabs>
          <w:tab w:val="left" w:pos="1134"/>
        </w:tabs>
        <w:spacing w:line="360" w:lineRule="auto"/>
        <w:rPr>
          <w:rFonts w:asciiTheme="majorHAnsi" w:hAnsiTheme="majorHAnsi"/>
        </w:rPr>
      </w:pPr>
      <w:r w:rsidRPr="00734AB6">
        <w:rPr>
          <w:rFonts w:asciiTheme="majorHAnsi" w:hAnsiTheme="majorHAnsi"/>
        </w:rPr>
        <w:lastRenderedPageBreak/>
        <w:t>3.3.1.3.1.</w:t>
      </w:r>
      <w:r w:rsidRPr="00734AB6">
        <w:rPr>
          <w:rFonts w:asciiTheme="majorHAnsi" w:hAnsiTheme="majorHAnsi"/>
        </w:rPr>
        <w:tab/>
        <w:t>Frequency of use of cannabis within the last six months</w:t>
      </w:r>
      <w:r w:rsidR="00075997" w:rsidRPr="00734AB6">
        <w:rPr>
          <w:rFonts w:asciiTheme="majorHAnsi" w:hAnsiTheme="majorHAnsi"/>
        </w:rPr>
        <w:t>…………………………………</w:t>
      </w:r>
      <w:r w:rsidR="009112E0" w:rsidRPr="00734AB6">
        <w:rPr>
          <w:rFonts w:asciiTheme="majorHAnsi" w:hAnsiTheme="majorHAnsi"/>
        </w:rPr>
        <w:t>……</w:t>
      </w:r>
      <w:r w:rsidR="005A21BB" w:rsidRPr="00734AB6">
        <w:rPr>
          <w:rFonts w:asciiTheme="majorHAnsi" w:hAnsiTheme="majorHAnsi"/>
        </w:rPr>
        <w:t>101</w:t>
      </w:r>
    </w:p>
    <w:p w14:paraId="29777380" w14:textId="4E6CE8F0" w:rsidR="00422A22" w:rsidRPr="00734AB6" w:rsidRDefault="00422A22" w:rsidP="0099584D">
      <w:pPr>
        <w:tabs>
          <w:tab w:val="left" w:pos="1134"/>
        </w:tabs>
        <w:spacing w:line="360" w:lineRule="auto"/>
        <w:rPr>
          <w:rFonts w:asciiTheme="majorHAnsi" w:hAnsiTheme="majorHAnsi"/>
        </w:rPr>
      </w:pPr>
      <w:r w:rsidRPr="00734AB6">
        <w:rPr>
          <w:rFonts w:asciiTheme="majorHAnsi" w:hAnsiTheme="majorHAnsi"/>
        </w:rPr>
        <w:t>3.3.1.5.1.</w:t>
      </w:r>
      <w:r w:rsidRPr="00734AB6">
        <w:rPr>
          <w:rFonts w:asciiTheme="majorHAnsi" w:hAnsiTheme="majorHAnsi"/>
        </w:rPr>
        <w:tab/>
        <w:t>Dosage levels of reported modafinil use</w:t>
      </w:r>
      <w:r w:rsidR="00075997" w:rsidRPr="00734AB6">
        <w:rPr>
          <w:rFonts w:asciiTheme="majorHAnsi" w:hAnsiTheme="majorHAnsi"/>
        </w:rPr>
        <w:t>………………………………………………………</w:t>
      </w:r>
      <w:r w:rsidR="0054382F" w:rsidRPr="00734AB6">
        <w:rPr>
          <w:rFonts w:asciiTheme="majorHAnsi" w:hAnsiTheme="majorHAnsi"/>
        </w:rPr>
        <w:t>……….10</w:t>
      </w:r>
      <w:r w:rsidR="005A21BB" w:rsidRPr="00734AB6">
        <w:rPr>
          <w:rFonts w:asciiTheme="majorHAnsi" w:hAnsiTheme="majorHAnsi"/>
        </w:rPr>
        <w:t>4</w:t>
      </w:r>
    </w:p>
    <w:p w14:paraId="6696B99C" w14:textId="4C1304CD" w:rsidR="00422A22" w:rsidRPr="00734AB6" w:rsidRDefault="00422A22" w:rsidP="0099584D">
      <w:pPr>
        <w:tabs>
          <w:tab w:val="left" w:pos="1134"/>
        </w:tabs>
        <w:spacing w:line="360" w:lineRule="auto"/>
        <w:rPr>
          <w:rFonts w:asciiTheme="majorHAnsi" w:hAnsiTheme="majorHAnsi"/>
        </w:rPr>
      </w:pPr>
      <w:r w:rsidRPr="00734AB6">
        <w:rPr>
          <w:rFonts w:asciiTheme="majorHAnsi" w:hAnsiTheme="majorHAnsi"/>
        </w:rPr>
        <w:t>3.3.1.5.2.</w:t>
      </w:r>
      <w:r w:rsidRPr="00734AB6">
        <w:rPr>
          <w:rFonts w:asciiTheme="majorHAnsi" w:hAnsiTheme="majorHAnsi"/>
        </w:rPr>
        <w:tab/>
        <w:t>Dosage levels of reported methylphenidate use</w:t>
      </w:r>
      <w:r w:rsidR="00075997" w:rsidRPr="00734AB6">
        <w:rPr>
          <w:rFonts w:asciiTheme="majorHAnsi" w:hAnsiTheme="majorHAnsi"/>
        </w:rPr>
        <w:t>……………………………………………</w:t>
      </w:r>
      <w:r w:rsidR="0054382F" w:rsidRPr="00734AB6">
        <w:rPr>
          <w:rFonts w:asciiTheme="majorHAnsi" w:hAnsiTheme="majorHAnsi"/>
        </w:rPr>
        <w:t>………10</w:t>
      </w:r>
      <w:r w:rsidR="005A21BB" w:rsidRPr="00734AB6">
        <w:rPr>
          <w:rFonts w:asciiTheme="majorHAnsi" w:hAnsiTheme="majorHAnsi"/>
        </w:rPr>
        <w:t>5</w:t>
      </w:r>
    </w:p>
    <w:p w14:paraId="3F5B73C8" w14:textId="35EA9529"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3.3.2.1.</w:t>
      </w:r>
      <w:r w:rsidRPr="00734AB6">
        <w:rPr>
          <w:rFonts w:asciiTheme="majorHAnsi" w:hAnsiTheme="majorHAnsi"/>
        </w:rPr>
        <w:tab/>
        <w:t>Effects of group type (methylphenidate and controls) on ASRS scores</w:t>
      </w:r>
      <w:r w:rsidR="0054382F" w:rsidRPr="00734AB6">
        <w:rPr>
          <w:rFonts w:asciiTheme="majorHAnsi" w:hAnsiTheme="majorHAnsi"/>
        </w:rPr>
        <w:t>……………</w:t>
      </w:r>
      <w:r w:rsidR="00075997" w:rsidRPr="00734AB6">
        <w:rPr>
          <w:rFonts w:asciiTheme="majorHAnsi" w:hAnsiTheme="majorHAnsi"/>
        </w:rPr>
        <w:t>…</w:t>
      </w:r>
      <w:r w:rsidR="00016FB2" w:rsidRPr="00734AB6">
        <w:rPr>
          <w:rFonts w:asciiTheme="majorHAnsi" w:hAnsiTheme="majorHAnsi"/>
        </w:rPr>
        <w:t>…</w:t>
      </w:r>
      <w:r w:rsidR="00075997" w:rsidRPr="00734AB6">
        <w:rPr>
          <w:rFonts w:asciiTheme="majorHAnsi" w:hAnsiTheme="majorHAnsi"/>
        </w:rPr>
        <w:t>.</w:t>
      </w:r>
      <w:r w:rsidR="0054382F" w:rsidRPr="00734AB6">
        <w:rPr>
          <w:rFonts w:asciiTheme="majorHAnsi" w:hAnsiTheme="majorHAnsi"/>
        </w:rPr>
        <w:t>10</w:t>
      </w:r>
      <w:r w:rsidR="005A21BB" w:rsidRPr="00734AB6">
        <w:rPr>
          <w:rFonts w:asciiTheme="majorHAnsi" w:hAnsiTheme="majorHAnsi"/>
        </w:rPr>
        <w:t>6</w:t>
      </w:r>
    </w:p>
    <w:p w14:paraId="32759EE4" w14:textId="739FB935"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3.3.2.1.</w:t>
      </w:r>
      <w:r w:rsidRPr="00734AB6">
        <w:rPr>
          <w:rFonts w:asciiTheme="majorHAnsi" w:hAnsiTheme="majorHAnsi"/>
        </w:rPr>
        <w:tab/>
        <w:t>Effects of group type (modafinil-only and controls) on ASRS scores</w:t>
      </w:r>
      <w:r w:rsidR="00075997" w:rsidRPr="00734AB6">
        <w:rPr>
          <w:rFonts w:asciiTheme="majorHAnsi" w:hAnsiTheme="majorHAnsi"/>
        </w:rPr>
        <w:t>……………………</w:t>
      </w:r>
      <w:r w:rsidR="00016FB2" w:rsidRPr="00734AB6">
        <w:rPr>
          <w:rFonts w:asciiTheme="majorHAnsi" w:hAnsiTheme="majorHAnsi"/>
        </w:rPr>
        <w:t>…10</w:t>
      </w:r>
      <w:r w:rsidR="005A21BB" w:rsidRPr="00734AB6">
        <w:rPr>
          <w:rFonts w:asciiTheme="majorHAnsi" w:hAnsiTheme="majorHAnsi"/>
        </w:rPr>
        <w:t>6</w:t>
      </w:r>
    </w:p>
    <w:p w14:paraId="655D657F" w14:textId="45DC8683"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3.3.2.1</w:t>
      </w:r>
      <w:r w:rsidRPr="00734AB6">
        <w:rPr>
          <w:rFonts w:asciiTheme="majorHAnsi" w:hAnsiTheme="majorHAnsi"/>
        </w:rPr>
        <w:tab/>
        <w:t>Effects of group type (modafinil-only and methylphenidate) on ASRS scores</w:t>
      </w:r>
      <w:r w:rsidR="00CD6C78" w:rsidRPr="00734AB6">
        <w:rPr>
          <w:rFonts w:asciiTheme="majorHAnsi" w:hAnsiTheme="majorHAnsi"/>
        </w:rPr>
        <w:t>…….…10</w:t>
      </w:r>
      <w:r w:rsidR="005A21BB" w:rsidRPr="00734AB6">
        <w:rPr>
          <w:rFonts w:asciiTheme="majorHAnsi" w:hAnsiTheme="majorHAnsi"/>
        </w:rPr>
        <w:t>7</w:t>
      </w:r>
    </w:p>
    <w:p w14:paraId="4B0B9CB7" w14:textId="6D027E54"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3.3.2.1</w:t>
      </w:r>
      <w:r w:rsidRPr="00734AB6">
        <w:rPr>
          <w:rFonts w:asciiTheme="majorHAnsi" w:hAnsiTheme="majorHAnsi"/>
        </w:rPr>
        <w:tab/>
        <w:t>Effects of the methylphenidate and control groups on ASRS inattentive scores</w:t>
      </w:r>
      <w:r w:rsidR="00CD6C78" w:rsidRPr="00734AB6">
        <w:rPr>
          <w:rFonts w:asciiTheme="majorHAnsi" w:hAnsiTheme="majorHAnsi"/>
        </w:rPr>
        <w:t>……10</w:t>
      </w:r>
      <w:r w:rsidR="005A21BB" w:rsidRPr="00734AB6">
        <w:rPr>
          <w:rFonts w:asciiTheme="majorHAnsi" w:hAnsiTheme="majorHAnsi"/>
        </w:rPr>
        <w:t>8</w:t>
      </w:r>
    </w:p>
    <w:p w14:paraId="178801AF" w14:textId="2AA82ABC"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3.3.2.1.</w:t>
      </w:r>
      <w:r w:rsidRPr="00734AB6">
        <w:rPr>
          <w:rFonts w:asciiTheme="majorHAnsi" w:hAnsiTheme="majorHAnsi"/>
        </w:rPr>
        <w:tab/>
        <w:t>Effects of the modafinil-only and control groups on ASRS inattentive scores</w:t>
      </w:r>
      <w:r w:rsidR="00075997" w:rsidRPr="00734AB6">
        <w:rPr>
          <w:rFonts w:asciiTheme="majorHAnsi" w:hAnsiTheme="majorHAnsi"/>
        </w:rPr>
        <w:t>……….</w:t>
      </w:r>
      <w:r w:rsidR="00CD6C78" w:rsidRPr="00734AB6">
        <w:rPr>
          <w:rFonts w:asciiTheme="majorHAnsi" w:hAnsiTheme="majorHAnsi"/>
        </w:rPr>
        <w:t>.10</w:t>
      </w:r>
      <w:r w:rsidR="005A21BB" w:rsidRPr="00734AB6">
        <w:rPr>
          <w:rFonts w:asciiTheme="majorHAnsi" w:hAnsiTheme="majorHAnsi"/>
        </w:rPr>
        <w:t>8</w:t>
      </w:r>
    </w:p>
    <w:p w14:paraId="4F7AA087" w14:textId="77777777" w:rsidR="00D82A4F"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3.3.2.2.</w:t>
      </w:r>
      <w:r w:rsidRPr="00734AB6">
        <w:rPr>
          <w:rFonts w:asciiTheme="majorHAnsi" w:hAnsiTheme="majorHAnsi"/>
        </w:rPr>
        <w:tab/>
        <w:t xml:space="preserve">Post hoc Mann-Whitney U test on methylphenidate and control group </w:t>
      </w:r>
    </w:p>
    <w:p w14:paraId="57B54AF3" w14:textId="0883F3F0" w:rsidR="00422A22" w:rsidRPr="00734AB6" w:rsidRDefault="00D82A4F" w:rsidP="0099584D">
      <w:pPr>
        <w:tabs>
          <w:tab w:val="left" w:pos="1134"/>
          <w:tab w:val="left" w:pos="1418"/>
        </w:tabs>
        <w:spacing w:line="360" w:lineRule="auto"/>
        <w:rPr>
          <w:rFonts w:asciiTheme="majorHAnsi" w:hAnsiTheme="majorHAnsi"/>
        </w:rPr>
      </w:pPr>
      <w:r w:rsidRPr="00734AB6">
        <w:rPr>
          <w:rFonts w:asciiTheme="majorHAnsi" w:hAnsiTheme="majorHAnsi"/>
        </w:rPr>
        <w:tab/>
      </w:r>
      <w:r w:rsidR="00422A22" w:rsidRPr="00734AB6">
        <w:rPr>
          <w:rFonts w:asciiTheme="majorHAnsi" w:hAnsiTheme="majorHAnsi"/>
        </w:rPr>
        <w:t>CFQ scores</w:t>
      </w:r>
      <w:r w:rsidRPr="00734AB6">
        <w:rPr>
          <w:rFonts w:asciiTheme="majorHAnsi" w:hAnsiTheme="majorHAnsi"/>
        </w:rPr>
        <w:t>………………………………………………………………………………………………………</w:t>
      </w:r>
      <w:r w:rsidR="00CD6C78" w:rsidRPr="00734AB6">
        <w:rPr>
          <w:rFonts w:asciiTheme="majorHAnsi" w:hAnsiTheme="majorHAnsi"/>
        </w:rPr>
        <w:t>…….10</w:t>
      </w:r>
      <w:r w:rsidR="005A21BB" w:rsidRPr="00734AB6">
        <w:rPr>
          <w:rFonts w:asciiTheme="majorHAnsi" w:hAnsiTheme="majorHAnsi"/>
        </w:rPr>
        <w:t>9</w:t>
      </w:r>
    </w:p>
    <w:p w14:paraId="610924D7" w14:textId="1B504119"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3.3.2.2.</w:t>
      </w:r>
      <w:r w:rsidRPr="00734AB6">
        <w:rPr>
          <w:rFonts w:asciiTheme="majorHAnsi" w:hAnsiTheme="majorHAnsi"/>
        </w:rPr>
        <w:tab/>
        <w:t>Post hoc Mann-Whitney U test on modafinil and control group CFQ scores</w:t>
      </w:r>
      <w:r w:rsidR="00CD6C78" w:rsidRPr="00734AB6">
        <w:rPr>
          <w:rFonts w:asciiTheme="majorHAnsi" w:hAnsiTheme="majorHAnsi"/>
        </w:rPr>
        <w:t>…………10</w:t>
      </w:r>
      <w:r w:rsidR="005A21BB" w:rsidRPr="00734AB6">
        <w:rPr>
          <w:rFonts w:asciiTheme="majorHAnsi" w:hAnsiTheme="majorHAnsi"/>
        </w:rPr>
        <w:t>9</w:t>
      </w:r>
    </w:p>
    <w:p w14:paraId="4030FA3C" w14:textId="77777777" w:rsidR="00D82A4F"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3.3.2.3.</w:t>
      </w:r>
      <w:r w:rsidRPr="00734AB6">
        <w:rPr>
          <w:rFonts w:asciiTheme="majorHAnsi" w:hAnsiTheme="majorHAnsi"/>
        </w:rPr>
        <w:tab/>
        <w:t xml:space="preserve">Post hoc Mann-Whitney U test on methylphenidate and control group </w:t>
      </w:r>
    </w:p>
    <w:p w14:paraId="36D740C5" w14:textId="46DCE487" w:rsidR="00422A22" w:rsidRPr="00734AB6" w:rsidRDefault="00D82A4F" w:rsidP="0099584D">
      <w:pPr>
        <w:tabs>
          <w:tab w:val="left" w:pos="1134"/>
          <w:tab w:val="left" w:pos="1418"/>
        </w:tabs>
        <w:spacing w:line="360" w:lineRule="auto"/>
        <w:rPr>
          <w:rFonts w:asciiTheme="majorHAnsi" w:hAnsiTheme="majorHAnsi"/>
        </w:rPr>
      </w:pPr>
      <w:r w:rsidRPr="00734AB6">
        <w:rPr>
          <w:rFonts w:asciiTheme="majorHAnsi" w:hAnsiTheme="majorHAnsi"/>
        </w:rPr>
        <w:tab/>
      </w:r>
      <w:r w:rsidR="00422A22" w:rsidRPr="00734AB6">
        <w:rPr>
          <w:rFonts w:asciiTheme="majorHAnsi" w:hAnsiTheme="majorHAnsi"/>
        </w:rPr>
        <w:t>GPS scores</w:t>
      </w:r>
      <w:r w:rsidRPr="00734AB6">
        <w:rPr>
          <w:rFonts w:asciiTheme="majorHAnsi" w:hAnsiTheme="majorHAnsi"/>
        </w:rPr>
        <w:t>…………………………………………………………………………………………………………</w:t>
      </w:r>
      <w:r w:rsidR="009D57D4" w:rsidRPr="00734AB6">
        <w:rPr>
          <w:rFonts w:asciiTheme="majorHAnsi" w:hAnsiTheme="majorHAnsi"/>
        </w:rPr>
        <w:t>….1</w:t>
      </w:r>
      <w:r w:rsidR="005A21BB" w:rsidRPr="00734AB6">
        <w:rPr>
          <w:rFonts w:asciiTheme="majorHAnsi" w:hAnsiTheme="majorHAnsi"/>
        </w:rPr>
        <w:t>10</w:t>
      </w:r>
    </w:p>
    <w:p w14:paraId="7ADC9849" w14:textId="74AC03BC"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3.3.2.3.</w:t>
      </w:r>
      <w:r w:rsidRPr="00734AB6">
        <w:rPr>
          <w:rFonts w:asciiTheme="majorHAnsi" w:hAnsiTheme="majorHAnsi"/>
        </w:rPr>
        <w:tab/>
        <w:t>Post hoc Mann-Whitney U test on modafinil-only and control group GPS scores</w:t>
      </w:r>
      <w:r w:rsidR="009D57D4" w:rsidRPr="00734AB6">
        <w:rPr>
          <w:rFonts w:asciiTheme="majorHAnsi" w:hAnsiTheme="majorHAnsi"/>
        </w:rPr>
        <w:t>….1</w:t>
      </w:r>
      <w:r w:rsidR="005A21BB" w:rsidRPr="00734AB6">
        <w:rPr>
          <w:rFonts w:asciiTheme="majorHAnsi" w:hAnsiTheme="majorHAnsi"/>
        </w:rPr>
        <w:t>10</w:t>
      </w:r>
    </w:p>
    <w:p w14:paraId="7BCB16BC" w14:textId="3D8AE3AD"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3.3.2.4.</w:t>
      </w:r>
      <w:r w:rsidRPr="00734AB6">
        <w:rPr>
          <w:rFonts w:asciiTheme="majorHAnsi" w:hAnsiTheme="majorHAnsi"/>
        </w:rPr>
        <w:tab/>
        <w:t>Questionnaire type on modafinil and methylphenidate</w:t>
      </w:r>
      <w:r w:rsidR="009D57D4" w:rsidRPr="00734AB6">
        <w:rPr>
          <w:rFonts w:asciiTheme="majorHAnsi" w:hAnsiTheme="majorHAnsi"/>
        </w:rPr>
        <w:t>…………………………</w:t>
      </w:r>
      <w:r w:rsidR="00734C54" w:rsidRPr="00734AB6">
        <w:rPr>
          <w:rFonts w:asciiTheme="majorHAnsi" w:hAnsiTheme="majorHAnsi"/>
        </w:rPr>
        <w:t>..</w:t>
      </w:r>
      <w:r w:rsidR="009D57D4" w:rsidRPr="00734AB6">
        <w:rPr>
          <w:rFonts w:asciiTheme="majorHAnsi" w:hAnsiTheme="majorHAnsi"/>
        </w:rPr>
        <w:t>……………1</w:t>
      </w:r>
      <w:r w:rsidR="005A21BB" w:rsidRPr="00734AB6">
        <w:rPr>
          <w:rFonts w:asciiTheme="majorHAnsi" w:hAnsiTheme="majorHAnsi"/>
        </w:rPr>
        <w:t>11</w:t>
      </w:r>
    </w:p>
    <w:p w14:paraId="70C2878F" w14:textId="7304B6D7" w:rsidR="00720212" w:rsidRPr="00734AB6" w:rsidRDefault="00720212" w:rsidP="0099584D">
      <w:pPr>
        <w:tabs>
          <w:tab w:val="left" w:pos="1134"/>
          <w:tab w:val="left" w:pos="1418"/>
        </w:tabs>
        <w:spacing w:line="360" w:lineRule="auto"/>
        <w:rPr>
          <w:rFonts w:asciiTheme="majorHAnsi" w:hAnsiTheme="majorHAnsi"/>
          <w:b/>
        </w:rPr>
      </w:pPr>
      <w:r w:rsidRPr="00734AB6">
        <w:rPr>
          <w:rFonts w:asciiTheme="majorHAnsi" w:hAnsiTheme="majorHAnsi"/>
          <w:b/>
        </w:rPr>
        <w:t>Chapter 4</w:t>
      </w:r>
    </w:p>
    <w:p w14:paraId="71D77DDF" w14:textId="7937CD2D" w:rsidR="00720212" w:rsidRPr="00734AB6" w:rsidRDefault="00720212" w:rsidP="0099584D">
      <w:pPr>
        <w:tabs>
          <w:tab w:val="left" w:pos="1134"/>
          <w:tab w:val="left" w:pos="1418"/>
        </w:tabs>
        <w:spacing w:line="360" w:lineRule="auto"/>
        <w:rPr>
          <w:rFonts w:asciiTheme="majorHAnsi" w:hAnsiTheme="majorHAnsi"/>
        </w:rPr>
      </w:pPr>
      <w:r w:rsidRPr="00734AB6">
        <w:rPr>
          <w:rFonts w:asciiTheme="majorHAnsi" w:hAnsiTheme="majorHAnsi"/>
        </w:rPr>
        <w:t>4.3.1.1.</w:t>
      </w:r>
      <w:r w:rsidRPr="00734AB6">
        <w:rPr>
          <w:rFonts w:asciiTheme="majorHAnsi" w:hAnsiTheme="majorHAnsi"/>
        </w:rPr>
        <w:tab/>
      </w:r>
      <w:r w:rsidR="008439D3" w:rsidRPr="00734AB6">
        <w:rPr>
          <w:rFonts w:asciiTheme="majorHAnsi" w:hAnsiTheme="majorHAnsi"/>
        </w:rPr>
        <w:t>Means and SEs for prosaccade measures</w:t>
      </w:r>
      <w:r w:rsidR="00D82A4F" w:rsidRPr="00734AB6">
        <w:rPr>
          <w:rFonts w:asciiTheme="majorHAnsi" w:hAnsiTheme="majorHAnsi"/>
        </w:rPr>
        <w:t>…………………………………………………………</w:t>
      </w:r>
      <w:r w:rsidR="009D57D4" w:rsidRPr="00734AB6">
        <w:rPr>
          <w:rFonts w:asciiTheme="majorHAnsi" w:hAnsiTheme="majorHAnsi"/>
        </w:rPr>
        <w:t>…..1</w:t>
      </w:r>
      <w:r w:rsidR="005A21BB" w:rsidRPr="00734AB6">
        <w:rPr>
          <w:rFonts w:asciiTheme="majorHAnsi" w:hAnsiTheme="majorHAnsi"/>
        </w:rPr>
        <w:t>33</w:t>
      </w:r>
    </w:p>
    <w:p w14:paraId="2201FFC9" w14:textId="7A2D6EA5" w:rsidR="008439D3" w:rsidRPr="00734AB6" w:rsidRDefault="008439D3" w:rsidP="0099584D">
      <w:pPr>
        <w:tabs>
          <w:tab w:val="left" w:pos="1134"/>
          <w:tab w:val="left" w:pos="1418"/>
        </w:tabs>
        <w:spacing w:line="360" w:lineRule="auto"/>
        <w:rPr>
          <w:rFonts w:asciiTheme="majorHAnsi" w:eastAsia="Calibri" w:hAnsiTheme="majorHAnsi"/>
        </w:rPr>
      </w:pPr>
      <w:r w:rsidRPr="00734AB6">
        <w:rPr>
          <w:rFonts w:asciiTheme="majorHAnsi" w:hAnsiTheme="majorHAnsi"/>
        </w:rPr>
        <w:t>4.3.1.</w:t>
      </w:r>
      <w:r w:rsidRPr="00734AB6">
        <w:rPr>
          <w:rFonts w:asciiTheme="majorHAnsi" w:hAnsiTheme="majorHAnsi"/>
        </w:rPr>
        <w:tab/>
      </w:r>
      <w:r w:rsidRPr="00734AB6">
        <w:rPr>
          <w:rFonts w:asciiTheme="majorHAnsi" w:eastAsia="Calibri" w:hAnsiTheme="majorHAnsi"/>
        </w:rPr>
        <w:t xml:space="preserve">Means and SEs for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measures</w:t>
      </w:r>
      <w:r w:rsidR="00D82A4F" w:rsidRPr="00734AB6">
        <w:rPr>
          <w:rFonts w:asciiTheme="majorHAnsi" w:eastAsia="Calibri" w:hAnsiTheme="majorHAnsi"/>
        </w:rPr>
        <w:t>……………………………………………………</w:t>
      </w:r>
      <w:r w:rsidR="009D57D4" w:rsidRPr="00734AB6">
        <w:rPr>
          <w:rFonts w:asciiTheme="majorHAnsi" w:eastAsia="Calibri" w:hAnsiTheme="majorHAnsi"/>
        </w:rPr>
        <w:t>………..1</w:t>
      </w:r>
      <w:r w:rsidR="005A21BB" w:rsidRPr="00734AB6">
        <w:rPr>
          <w:rFonts w:asciiTheme="majorHAnsi" w:eastAsia="Calibri" w:hAnsiTheme="majorHAnsi"/>
        </w:rPr>
        <w:t>33</w:t>
      </w:r>
    </w:p>
    <w:p w14:paraId="1FE7412E" w14:textId="18C06A29" w:rsidR="008439D3" w:rsidRPr="00734AB6" w:rsidRDefault="008439D3" w:rsidP="0099584D">
      <w:pPr>
        <w:tabs>
          <w:tab w:val="left" w:pos="1134"/>
          <w:tab w:val="left" w:pos="1418"/>
        </w:tabs>
        <w:spacing w:line="360" w:lineRule="auto"/>
        <w:rPr>
          <w:rFonts w:asciiTheme="majorHAnsi" w:hAnsiTheme="majorHAnsi"/>
        </w:rPr>
      </w:pPr>
      <w:r w:rsidRPr="00734AB6">
        <w:rPr>
          <w:rFonts w:asciiTheme="majorHAnsi" w:hAnsiTheme="majorHAnsi"/>
        </w:rPr>
        <w:t>4.3.3.</w:t>
      </w:r>
      <w:r w:rsidRPr="00734AB6">
        <w:rPr>
          <w:rFonts w:asciiTheme="majorHAnsi" w:hAnsiTheme="majorHAnsi"/>
        </w:rPr>
        <w:tab/>
        <w:t>Means and SEs for BRIEF-A scores</w:t>
      </w:r>
      <w:r w:rsidR="00D82A4F" w:rsidRPr="00734AB6">
        <w:rPr>
          <w:rFonts w:asciiTheme="majorHAnsi" w:hAnsiTheme="majorHAnsi"/>
        </w:rPr>
        <w:t>…………………………………………………………………</w:t>
      </w:r>
      <w:r w:rsidR="009D57D4" w:rsidRPr="00734AB6">
        <w:rPr>
          <w:rFonts w:asciiTheme="majorHAnsi" w:hAnsiTheme="majorHAnsi"/>
        </w:rPr>
        <w:t>………13</w:t>
      </w:r>
      <w:r w:rsidR="005A21BB" w:rsidRPr="00734AB6">
        <w:rPr>
          <w:rFonts w:asciiTheme="majorHAnsi" w:hAnsiTheme="majorHAnsi"/>
        </w:rPr>
        <w:t>7</w:t>
      </w:r>
    </w:p>
    <w:p w14:paraId="392C0BA1" w14:textId="69C6FBA6" w:rsidR="00422A22" w:rsidRPr="00734AB6" w:rsidRDefault="00422A22" w:rsidP="0099584D">
      <w:pPr>
        <w:tabs>
          <w:tab w:val="left" w:pos="1134"/>
          <w:tab w:val="left" w:pos="1418"/>
        </w:tabs>
        <w:spacing w:line="360" w:lineRule="auto"/>
        <w:rPr>
          <w:rFonts w:asciiTheme="majorHAnsi" w:hAnsiTheme="majorHAnsi"/>
          <w:b/>
        </w:rPr>
      </w:pPr>
      <w:r w:rsidRPr="00734AB6">
        <w:rPr>
          <w:rFonts w:asciiTheme="majorHAnsi" w:hAnsiTheme="majorHAnsi"/>
          <w:b/>
        </w:rPr>
        <w:t>Appendix A</w:t>
      </w:r>
    </w:p>
    <w:p w14:paraId="393431FE" w14:textId="51AED0CB" w:rsidR="00422A22" w:rsidRPr="00734AB6" w:rsidRDefault="00422A22" w:rsidP="0099584D">
      <w:pPr>
        <w:tabs>
          <w:tab w:val="left" w:pos="1134"/>
          <w:tab w:val="left" w:pos="1418"/>
        </w:tabs>
        <w:spacing w:line="360" w:lineRule="auto"/>
        <w:rPr>
          <w:rFonts w:asciiTheme="majorHAnsi" w:hAnsiTheme="majorHAnsi"/>
          <w:color w:val="000000" w:themeColor="text1"/>
        </w:rPr>
      </w:pPr>
      <w:r w:rsidRPr="00734AB6">
        <w:rPr>
          <w:rFonts w:asciiTheme="majorHAnsi" w:hAnsiTheme="majorHAnsi"/>
        </w:rPr>
        <w:t>A(vi)</w:t>
      </w:r>
      <w:r w:rsidRPr="00734AB6">
        <w:rPr>
          <w:rFonts w:asciiTheme="majorHAnsi" w:hAnsiTheme="majorHAnsi"/>
        </w:rPr>
        <w:tab/>
      </w:r>
      <w:r w:rsidRPr="00734AB6">
        <w:rPr>
          <w:rFonts w:asciiTheme="majorHAnsi" w:hAnsiTheme="majorHAnsi"/>
          <w:color w:val="000000" w:themeColor="text1"/>
        </w:rPr>
        <w:t>Illicit drug use</w:t>
      </w:r>
      <w:r w:rsidR="00D82A4F" w:rsidRPr="00734AB6">
        <w:rPr>
          <w:rFonts w:asciiTheme="majorHAnsi" w:hAnsiTheme="majorHAnsi"/>
          <w:color w:val="000000" w:themeColor="text1"/>
        </w:rPr>
        <w:t>………………………………………………………………………………………………</w:t>
      </w:r>
      <w:r w:rsidR="007C5935" w:rsidRPr="00734AB6">
        <w:rPr>
          <w:rFonts w:asciiTheme="majorHAnsi" w:hAnsiTheme="majorHAnsi"/>
          <w:color w:val="000000" w:themeColor="text1"/>
        </w:rPr>
        <w:t>…….....20</w:t>
      </w:r>
      <w:r w:rsidR="005A21BB" w:rsidRPr="00734AB6">
        <w:rPr>
          <w:rFonts w:asciiTheme="majorHAnsi" w:hAnsiTheme="majorHAnsi"/>
          <w:color w:val="000000" w:themeColor="text1"/>
        </w:rPr>
        <w:t>5</w:t>
      </w:r>
    </w:p>
    <w:p w14:paraId="226EB551" w14:textId="49187F96"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A(vii)</w:t>
      </w:r>
      <w:r w:rsidRPr="00734AB6">
        <w:rPr>
          <w:rFonts w:asciiTheme="majorHAnsi" w:hAnsiTheme="majorHAnsi"/>
        </w:rPr>
        <w:tab/>
        <w:t>Additional motivations for using modafinil and methylphenidate</w:t>
      </w:r>
      <w:r w:rsidR="007C5935" w:rsidRPr="00734AB6">
        <w:rPr>
          <w:rFonts w:asciiTheme="majorHAnsi" w:hAnsiTheme="majorHAnsi"/>
        </w:rPr>
        <w:t>…………………………20</w:t>
      </w:r>
      <w:r w:rsidR="005A21BB" w:rsidRPr="00734AB6">
        <w:rPr>
          <w:rFonts w:asciiTheme="majorHAnsi" w:hAnsiTheme="majorHAnsi"/>
        </w:rPr>
        <w:t>6</w:t>
      </w:r>
    </w:p>
    <w:p w14:paraId="0C2EA850" w14:textId="6EB97CD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A(viii)</w:t>
      </w:r>
      <w:r w:rsidRPr="00734AB6">
        <w:rPr>
          <w:rFonts w:asciiTheme="majorHAnsi" w:hAnsiTheme="majorHAnsi"/>
        </w:rPr>
        <w:tab/>
        <w:t>Reported modafinil dosage</w:t>
      </w:r>
      <w:r w:rsidR="00D82A4F" w:rsidRPr="00734AB6">
        <w:rPr>
          <w:rFonts w:asciiTheme="majorHAnsi" w:hAnsiTheme="majorHAnsi"/>
        </w:rPr>
        <w:t>………………………………………………………………………………</w:t>
      </w:r>
      <w:r w:rsidR="007C5935" w:rsidRPr="00734AB6">
        <w:rPr>
          <w:rFonts w:asciiTheme="majorHAnsi" w:hAnsiTheme="majorHAnsi"/>
        </w:rPr>
        <w:t>……20</w:t>
      </w:r>
      <w:r w:rsidR="005A21BB" w:rsidRPr="00734AB6">
        <w:rPr>
          <w:rFonts w:asciiTheme="majorHAnsi" w:hAnsiTheme="majorHAnsi"/>
        </w:rPr>
        <w:t>6</w:t>
      </w:r>
    </w:p>
    <w:p w14:paraId="74FBCE44" w14:textId="727D4A0C" w:rsidR="00422A22" w:rsidRPr="00734AB6" w:rsidRDefault="00422A22" w:rsidP="0099584D">
      <w:pPr>
        <w:tabs>
          <w:tab w:val="left" w:pos="1134"/>
          <w:tab w:val="left" w:pos="1418"/>
        </w:tabs>
        <w:spacing w:line="360" w:lineRule="auto"/>
        <w:rPr>
          <w:rFonts w:asciiTheme="majorHAnsi" w:eastAsia="Calibri" w:hAnsiTheme="majorHAnsi" w:cs="Calibri"/>
        </w:rPr>
      </w:pPr>
      <w:r w:rsidRPr="00734AB6">
        <w:rPr>
          <w:rFonts w:asciiTheme="majorHAnsi" w:hAnsiTheme="majorHAnsi"/>
        </w:rPr>
        <w:t>A(ix)</w:t>
      </w:r>
      <w:r w:rsidRPr="00734AB6">
        <w:rPr>
          <w:rFonts w:asciiTheme="majorHAnsi" w:hAnsiTheme="majorHAnsi"/>
        </w:rPr>
        <w:tab/>
      </w:r>
      <w:r w:rsidR="0027637D" w:rsidRPr="00734AB6">
        <w:rPr>
          <w:rFonts w:asciiTheme="majorHAnsi" w:eastAsia="Calibri" w:hAnsiTheme="majorHAnsi" w:cs="Calibri"/>
        </w:rPr>
        <w:t xml:space="preserve">Post-hoc within –subjects </w:t>
      </w:r>
      <w:r w:rsidR="0027637D" w:rsidRPr="00734AB6">
        <w:rPr>
          <w:rFonts w:asciiTheme="majorHAnsi" w:eastAsia="Calibri" w:hAnsiTheme="majorHAnsi" w:cs="Calibri"/>
          <w:i/>
        </w:rPr>
        <w:t>t</w:t>
      </w:r>
      <w:r w:rsidR="0027637D" w:rsidRPr="00734AB6">
        <w:rPr>
          <w:rFonts w:asciiTheme="majorHAnsi" w:eastAsia="Calibri" w:hAnsiTheme="majorHAnsi" w:cs="Calibri"/>
        </w:rPr>
        <w:t>-tests.</w:t>
      </w:r>
      <w:r w:rsidR="00D82A4F" w:rsidRPr="00734AB6">
        <w:rPr>
          <w:rFonts w:asciiTheme="majorHAnsi" w:eastAsia="Calibri" w:hAnsiTheme="majorHAnsi" w:cs="Calibri"/>
        </w:rPr>
        <w:t>……………………………………………………………………</w:t>
      </w:r>
      <w:r w:rsidR="0027637D" w:rsidRPr="00734AB6">
        <w:rPr>
          <w:rFonts w:asciiTheme="majorHAnsi" w:eastAsia="Calibri" w:hAnsiTheme="majorHAnsi" w:cs="Calibri"/>
        </w:rPr>
        <w:t>…....20</w:t>
      </w:r>
      <w:r w:rsidR="005A21BB" w:rsidRPr="00734AB6">
        <w:rPr>
          <w:rFonts w:asciiTheme="majorHAnsi" w:eastAsia="Calibri" w:hAnsiTheme="majorHAnsi" w:cs="Calibri"/>
        </w:rPr>
        <w:t>8</w:t>
      </w:r>
    </w:p>
    <w:p w14:paraId="65896481" w14:textId="77777777" w:rsidR="00D82A4F"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A(x)</w:t>
      </w:r>
      <w:r w:rsidRPr="00734AB6">
        <w:rPr>
          <w:rFonts w:asciiTheme="majorHAnsi" w:hAnsiTheme="majorHAnsi"/>
        </w:rPr>
        <w:tab/>
        <w:t xml:space="preserve">Immediate and longer-lasting risks and benefits of methylphenidate </w:t>
      </w:r>
    </w:p>
    <w:p w14:paraId="7B24F24C" w14:textId="37D4E9C9" w:rsidR="00422A22" w:rsidRPr="00734AB6" w:rsidRDefault="00D82A4F" w:rsidP="0099584D">
      <w:pPr>
        <w:tabs>
          <w:tab w:val="left" w:pos="1134"/>
          <w:tab w:val="left" w:pos="1418"/>
        </w:tabs>
        <w:spacing w:line="360" w:lineRule="auto"/>
        <w:rPr>
          <w:rFonts w:asciiTheme="majorHAnsi" w:hAnsiTheme="majorHAnsi"/>
        </w:rPr>
      </w:pPr>
      <w:r w:rsidRPr="00734AB6">
        <w:rPr>
          <w:rFonts w:asciiTheme="majorHAnsi" w:hAnsiTheme="majorHAnsi"/>
        </w:rPr>
        <w:tab/>
      </w:r>
      <w:r w:rsidR="00422A22" w:rsidRPr="00734AB6">
        <w:rPr>
          <w:rFonts w:asciiTheme="majorHAnsi" w:hAnsiTheme="majorHAnsi"/>
        </w:rPr>
        <w:t>and modafinil</w:t>
      </w:r>
      <w:r w:rsidRPr="00734AB6">
        <w:rPr>
          <w:rFonts w:asciiTheme="majorHAnsi" w:hAnsiTheme="majorHAnsi"/>
        </w:rPr>
        <w:t>…………………………………………………………………………………………………</w:t>
      </w:r>
      <w:r w:rsidR="0027637D" w:rsidRPr="00734AB6">
        <w:rPr>
          <w:rFonts w:asciiTheme="majorHAnsi" w:hAnsiTheme="majorHAnsi"/>
        </w:rPr>
        <w:t>……..20</w:t>
      </w:r>
      <w:r w:rsidR="005A21BB" w:rsidRPr="00734AB6">
        <w:rPr>
          <w:rFonts w:asciiTheme="majorHAnsi" w:hAnsiTheme="majorHAnsi"/>
        </w:rPr>
        <w:t>8</w:t>
      </w:r>
    </w:p>
    <w:p w14:paraId="53704784" w14:textId="3959609E"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lastRenderedPageBreak/>
        <w:t>A(xi)</w:t>
      </w:r>
      <w:r w:rsidRPr="00734AB6">
        <w:rPr>
          <w:rFonts w:asciiTheme="majorHAnsi" w:hAnsiTheme="majorHAnsi"/>
        </w:rPr>
        <w:tab/>
        <w:t>Reported methylphenidate dosage</w:t>
      </w:r>
      <w:r w:rsidR="00D82A4F" w:rsidRPr="00734AB6">
        <w:rPr>
          <w:rFonts w:asciiTheme="majorHAnsi" w:hAnsiTheme="majorHAnsi"/>
        </w:rPr>
        <w:t>…………………………………………………………………</w:t>
      </w:r>
      <w:r w:rsidR="0027637D" w:rsidRPr="00734AB6">
        <w:rPr>
          <w:rFonts w:asciiTheme="majorHAnsi" w:hAnsiTheme="majorHAnsi"/>
        </w:rPr>
        <w:t>…….20</w:t>
      </w:r>
      <w:r w:rsidR="005A21BB" w:rsidRPr="00734AB6">
        <w:rPr>
          <w:rFonts w:asciiTheme="majorHAnsi" w:hAnsiTheme="majorHAnsi"/>
        </w:rPr>
        <w:t>9</w:t>
      </w:r>
    </w:p>
    <w:p w14:paraId="11B0F92E" w14:textId="4D542670" w:rsidR="00422A22" w:rsidRPr="00734AB6" w:rsidRDefault="00422A22" w:rsidP="0099584D">
      <w:pPr>
        <w:tabs>
          <w:tab w:val="left" w:pos="1134"/>
          <w:tab w:val="left" w:pos="1418"/>
        </w:tabs>
        <w:spacing w:line="360" w:lineRule="auto"/>
        <w:rPr>
          <w:rFonts w:asciiTheme="majorHAnsi" w:hAnsiTheme="majorHAnsi"/>
          <w:b/>
        </w:rPr>
      </w:pPr>
      <w:r w:rsidRPr="00734AB6">
        <w:rPr>
          <w:rFonts w:asciiTheme="majorHAnsi" w:hAnsiTheme="majorHAnsi"/>
          <w:b/>
        </w:rPr>
        <w:t>Appendix B</w:t>
      </w:r>
    </w:p>
    <w:p w14:paraId="1574812D" w14:textId="06C79CF5"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B(vii)</w:t>
      </w:r>
      <w:r w:rsidRPr="00734AB6">
        <w:rPr>
          <w:rFonts w:asciiTheme="majorHAnsi" w:hAnsiTheme="majorHAnsi"/>
        </w:rPr>
        <w:tab/>
        <w:t>Shaded grid for the ASRS</w:t>
      </w:r>
      <w:r w:rsidR="00D82A4F" w:rsidRPr="00734AB6">
        <w:rPr>
          <w:rFonts w:asciiTheme="majorHAnsi" w:hAnsiTheme="majorHAnsi"/>
        </w:rPr>
        <w:t>……………………………………………………………………………………</w:t>
      </w:r>
      <w:r w:rsidR="0027637D" w:rsidRPr="00734AB6">
        <w:rPr>
          <w:rFonts w:asciiTheme="majorHAnsi" w:hAnsiTheme="majorHAnsi"/>
        </w:rPr>
        <w:t>….22</w:t>
      </w:r>
      <w:r w:rsidR="005A21BB" w:rsidRPr="00734AB6">
        <w:rPr>
          <w:rFonts w:asciiTheme="majorHAnsi" w:hAnsiTheme="majorHAnsi"/>
        </w:rPr>
        <w:t>4</w:t>
      </w:r>
    </w:p>
    <w:p w14:paraId="318C563E" w14:textId="655B4DDF"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B(viii)</w:t>
      </w:r>
      <w:r w:rsidRPr="00734AB6">
        <w:rPr>
          <w:rFonts w:asciiTheme="majorHAnsi" w:hAnsiTheme="majorHAnsi"/>
        </w:rPr>
        <w:tab/>
        <w:t>Psychiatric diagnosis and medication</w:t>
      </w:r>
      <w:r w:rsidR="00F005F7" w:rsidRPr="00734AB6">
        <w:rPr>
          <w:rFonts w:asciiTheme="majorHAnsi" w:hAnsiTheme="majorHAnsi"/>
        </w:rPr>
        <w:t>……………………………………………………………………</w:t>
      </w:r>
      <w:r w:rsidR="007B3463" w:rsidRPr="00734AB6">
        <w:rPr>
          <w:rFonts w:asciiTheme="majorHAnsi" w:hAnsiTheme="majorHAnsi"/>
        </w:rPr>
        <w:t>.</w:t>
      </w:r>
      <w:r w:rsidR="00F005F7" w:rsidRPr="00734AB6">
        <w:rPr>
          <w:rFonts w:asciiTheme="majorHAnsi" w:hAnsiTheme="majorHAnsi"/>
        </w:rPr>
        <w:t>22</w:t>
      </w:r>
      <w:r w:rsidR="005A21BB" w:rsidRPr="00734AB6">
        <w:rPr>
          <w:rFonts w:asciiTheme="majorHAnsi" w:hAnsiTheme="majorHAnsi"/>
        </w:rPr>
        <w:t>5</w:t>
      </w:r>
    </w:p>
    <w:p w14:paraId="6FD55985" w14:textId="4DAA2BAC"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B(ix)</w:t>
      </w:r>
      <w:r w:rsidRPr="00734AB6">
        <w:rPr>
          <w:rFonts w:asciiTheme="majorHAnsi" w:hAnsiTheme="majorHAnsi"/>
        </w:rPr>
        <w:tab/>
        <w:t>Type of cannabis used by group</w:t>
      </w:r>
      <w:r w:rsidR="00D82A4F" w:rsidRPr="00734AB6">
        <w:rPr>
          <w:rFonts w:asciiTheme="majorHAnsi" w:hAnsiTheme="majorHAnsi"/>
        </w:rPr>
        <w:t>…………………………………………………………………………</w:t>
      </w:r>
      <w:r w:rsidR="007B3463" w:rsidRPr="00734AB6">
        <w:rPr>
          <w:rFonts w:asciiTheme="majorHAnsi" w:hAnsiTheme="majorHAnsi"/>
        </w:rPr>
        <w:t>….22</w:t>
      </w:r>
      <w:r w:rsidR="005A21BB" w:rsidRPr="00734AB6">
        <w:rPr>
          <w:rFonts w:asciiTheme="majorHAnsi" w:hAnsiTheme="majorHAnsi"/>
        </w:rPr>
        <w:t>6</w:t>
      </w:r>
    </w:p>
    <w:p w14:paraId="66D82AB7" w14:textId="6336BC1A"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w:t>
      </w:r>
      <w:r w:rsidRPr="00734AB6">
        <w:rPr>
          <w:rFonts w:asciiTheme="majorHAnsi" w:hAnsiTheme="majorHAnsi"/>
        </w:rPr>
        <w:tab/>
        <w:t>Method of administration of cannabis by group</w:t>
      </w:r>
      <w:r w:rsidR="00D82A4F" w:rsidRPr="00734AB6">
        <w:rPr>
          <w:rFonts w:asciiTheme="majorHAnsi" w:hAnsiTheme="majorHAnsi"/>
        </w:rPr>
        <w:t>………………………………………………</w:t>
      </w:r>
      <w:r w:rsidR="00A3289A" w:rsidRPr="00734AB6">
        <w:rPr>
          <w:rFonts w:asciiTheme="majorHAnsi" w:hAnsiTheme="majorHAnsi"/>
        </w:rPr>
        <w:t>……22</w:t>
      </w:r>
      <w:r w:rsidR="005A21BB" w:rsidRPr="00734AB6">
        <w:rPr>
          <w:rFonts w:asciiTheme="majorHAnsi" w:hAnsiTheme="majorHAnsi"/>
        </w:rPr>
        <w:t>6</w:t>
      </w:r>
    </w:p>
    <w:p w14:paraId="0DEBA1CC" w14:textId="0129EBBA"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w:t>
      </w:r>
      <w:r w:rsidRPr="00734AB6">
        <w:rPr>
          <w:rFonts w:asciiTheme="majorHAnsi" w:hAnsiTheme="majorHAnsi"/>
        </w:rPr>
        <w:tab/>
        <w:t>Frequency of nicotine use by type of product</w:t>
      </w:r>
      <w:r w:rsidR="00D82A4F" w:rsidRPr="00734AB6">
        <w:rPr>
          <w:rFonts w:asciiTheme="majorHAnsi" w:hAnsiTheme="majorHAnsi"/>
        </w:rPr>
        <w:t>…………………………………………………</w:t>
      </w:r>
      <w:r w:rsidR="00A3289A" w:rsidRPr="00734AB6">
        <w:rPr>
          <w:rFonts w:asciiTheme="majorHAnsi" w:hAnsiTheme="majorHAnsi"/>
        </w:rPr>
        <w:t>…….22</w:t>
      </w:r>
      <w:r w:rsidR="005A21BB" w:rsidRPr="00734AB6">
        <w:rPr>
          <w:rFonts w:asciiTheme="majorHAnsi" w:hAnsiTheme="majorHAnsi"/>
        </w:rPr>
        <w:t>7</w:t>
      </w:r>
    </w:p>
    <w:p w14:paraId="23AAD77E" w14:textId="30EC7DB0"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w:t>
      </w:r>
      <w:r w:rsidRPr="00734AB6">
        <w:rPr>
          <w:rFonts w:asciiTheme="majorHAnsi" w:hAnsiTheme="majorHAnsi"/>
        </w:rPr>
        <w:tab/>
        <w:t>Frequency of recreational Drug use for control group</w:t>
      </w:r>
      <w:r w:rsidR="00D82A4F" w:rsidRPr="00734AB6">
        <w:rPr>
          <w:rFonts w:asciiTheme="majorHAnsi" w:hAnsiTheme="majorHAnsi"/>
        </w:rPr>
        <w:t>……………………………………</w:t>
      </w:r>
      <w:r w:rsidR="00A3289A" w:rsidRPr="00734AB6">
        <w:rPr>
          <w:rFonts w:asciiTheme="majorHAnsi" w:hAnsiTheme="majorHAnsi"/>
        </w:rPr>
        <w:t>…..</w:t>
      </w:r>
      <w:r w:rsidR="00D82A4F" w:rsidRPr="00734AB6">
        <w:rPr>
          <w:rFonts w:asciiTheme="majorHAnsi" w:hAnsiTheme="majorHAnsi"/>
        </w:rPr>
        <w:t>…</w:t>
      </w:r>
      <w:r w:rsidR="00A3289A" w:rsidRPr="00734AB6">
        <w:rPr>
          <w:rFonts w:asciiTheme="majorHAnsi" w:hAnsiTheme="majorHAnsi"/>
        </w:rPr>
        <w:t>22</w:t>
      </w:r>
      <w:r w:rsidR="005A21BB" w:rsidRPr="00734AB6">
        <w:rPr>
          <w:rFonts w:asciiTheme="majorHAnsi" w:hAnsiTheme="majorHAnsi"/>
        </w:rPr>
        <w:t>8</w:t>
      </w:r>
    </w:p>
    <w:p w14:paraId="6C19C214" w14:textId="27AC9186"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w:t>
      </w:r>
      <w:r w:rsidRPr="00734AB6">
        <w:rPr>
          <w:rFonts w:asciiTheme="majorHAnsi" w:hAnsiTheme="majorHAnsi"/>
        </w:rPr>
        <w:tab/>
        <w:t>Length of time since last use of recreational drugs by control group</w:t>
      </w:r>
      <w:r w:rsidR="00D82A4F" w:rsidRPr="00734AB6">
        <w:rPr>
          <w:rFonts w:asciiTheme="majorHAnsi" w:hAnsiTheme="majorHAnsi"/>
        </w:rPr>
        <w:t>……………………</w:t>
      </w:r>
      <w:r w:rsidR="00A3289A" w:rsidRPr="00734AB6">
        <w:rPr>
          <w:rFonts w:asciiTheme="majorHAnsi" w:hAnsiTheme="majorHAnsi"/>
        </w:rPr>
        <w:t>.2</w:t>
      </w:r>
      <w:r w:rsidR="005A21BB" w:rsidRPr="00734AB6">
        <w:rPr>
          <w:rFonts w:asciiTheme="majorHAnsi" w:hAnsiTheme="majorHAnsi"/>
        </w:rPr>
        <w:t>30</w:t>
      </w:r>
    </w:p>
    <w:p w14:paraId="33377A25" w14:textId="747826B5"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w:t>
      </w:r>
      <w:r w:rsidRPr="00734AB6">
        <w:rPr>
          <w:rFonts w:asciiTheme="majorHAnsi" w:hAnsiTheme="majorHAnsi"/>
        </w:rPr>
        <w:tab/>
        <w:t>Frequency of use of recreational drugs by modafinil group</w:t>
      </w:r>
      <w:r w:rsidR="00D82A4F" w:rsidRPr="00734AB6">
        <w:rPr>
          <w:rFonts w:asciiTheme="majorHAnsi" w:hAnsiTheme="majorHAnsi"/>
        </w:rPr>
        <w:t>………………………………</w:t>
      </w:r>
      <w:r w:rsidR="00A3289A" w:rsidRPr="00734AB6">
        <w:rPr>
          <w:rFonts w:asciiTheme="majorHAnsi" w:hAnsiTheme="majorHAnsi"/>
        </w:rPr>
        <w:t>…..2</w:t>
      </w:r>
      <w:r w:rsidR="005A21BB" w:rsidRPr="00734AB6">
        <w:rPr>
          <w:rFonts w:asciiTheme="majorHAnsi" w:hAnsiTheme="majorHAnsi"/>
        </w:rPr>
        <w:t>32</w:t>
      </w:r>
    </w:p>
    <w:p w14:paraId="7255A119" w14:textId="6B4A3E33"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w:t>
      </w:r>
      <w:r w:rsidRPr="00734AB6">
        <w:rPr>
          <w:rFonts w:asciiTheme="majorHAnsi" w:hAnsiTheme="majorHAnsi"/>
        </w:rPr>
        <w:tab/>
        <w:t>Length of time since last use of recreational drugs by modafinil group</w:t>
      </w:r>
      <w:r w:rsidR="00A3289A" w:rsidRPr="00734AB6">
        <w:rPr>
          <w:rFonts w:asciiTheme="majorHAnsi" w:hAnsiTheme="majorHAnsi"/>
        </w:rPr>
        <w:t>…………………23</w:t>
      </w:r>
      <w:r w:rsidR="005A21BB" w:rsidRPr="00734AB6">
        <w:rPr>
          <w:rFonts w:asciiTheme="majorHAnsi" w:hAnsiTheme="majorHAnsi"/>
        </w:rPr>
        <w:t>4</w:t>
      </w:r>
    </w:p>
    <w:p w14:paraId="5A123D1B" w14:textId="4FEEC6D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w:t>
      </w:r>
      <w:r w:rsidRPr="00734AB6">
        <w:rPr>
          <w:rFonts w:asciiTheme="majorHAnsi" w:hAnsiTheme="majorHAnsi"/>
        </w:rPr>
        <w:tab/>
        <w:t>Frequency of recreational drug use by methylphenidate group</w:t>
      </w:r>
      <w:r w:rsidR="00A3289A" w:rsidRPr="00734AB6">
        <w:rPr>
          <w:rFonts w:asciiTheme="majorHAnsi" w:hAnsiTheme="majorHAnsi"/>
        </w:rPr>
        <w:t>……………………………23</w:t>
      </w:r>
      <w:r w:rsidR="005A21BB" w:rsidRPr="00734AB6">
        <w:rPr>
          <w:rFonts w:asciiTheme="majorHAnsi" w:hAnsiTheme="majorHAnsi"/>
        </w:rPr>
        <w:t>6</w:t>
      </w:r>
    </w:p>
    <w:p w14:paraId="08BF2CEC" w14:textId="4E67588E"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w:t>
      </w:r>
      <w:r w:rsidRPr="00734AB6">
        <w:rPr>
          <w:rFonts w:asciiTheme="majorHAnsi" w:hAnsiTheme="majorHAnsi"/>
        </w:rPr>
        <w:tab/>
        <w:t>Length of time since last use of recreational drugs by methylphenidate group</w:t>
      </w:r>
      <w:r w:rsidR="00A3289A" w:rsidRPr="00734AB6">
        <w:rPr>
          <w:rFonts w:asciiTheme="majorHAnsi" w:hAnsiTheme="majorHAnsi"/>
        </w:rPr>
        <w:t>…….23</w:t>
      </w:r>
      <w:r w:rsidR="005A21BB" w:rsidRPr="00734AB6">
        <w:rPr>
          <w:rFonts w:asciiTheme="majorHAnsi" w:hAnsiTheme="majorHAnsi"/>
        </w:rPr>
        <w:t>8</w:t>
      </w:r>
    </w:p>
    <w:p w14:paraId="292B13BB" w14:textId="46F58AB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B(xiii)</w:t>
      </w:r>
      <w:r w:rsidRPr="00734AB6">
        <w:rPr>
          <w:rFonts w:asciiTheme="majorHAnsi" w:hAnsiTheme="majorHAnsi"/>
        </w:rPr>
        <w:tab/>
        <w:t>Maximum and minimum reported dose of modafinil taken</w:t>
      </w:r>
      <w:r w:rsidR="00D82A4F" w:rsidRPr="00734AB6">
        <w:rPr>
          <w:rFonts w:asciiTheme="majorHAnsi" w:hAnsiTheme="majorHAnsi"/>
        </w:rPr>
        <w:t>………………………………</w:t>
      </w:r>
      <w:r w:rsidR="00A3289A" w:rsidRPr="00734AB6">
        <w:rPr>
          <w:rFonts w:asciiTheme="majorHAnsi" w:hAnsiTheme="majorHAnsi"/>
        </w:rPr>
        <w:t>….2</w:t>
      </w:r>
      <w:r w:rsidR="005A21BB" w:rsidRPr="00734AB6">
        <w:rPr>
          <w:rFonts w:asciiTheme="majorHAnsi" w:hAnsiTheme="majorHAnsi"/>
        </w:rPr>
        <w:t>40</w:t>
      </w:r>
    </w:p>
    <w:p w14:paraId="74A0B709" w14:textId="39CED14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B(xiv)</w:t>
      </w:r>
      <w:r w:rsidRPr="00734AB6">
        <w:rPr>
          <w:rFonts w:asciiTheme="majorHAnsi" w:hAnsiTheme="majorHAnsi"/>
        </w:rPr>
        <w:tab/>
        <w:t>Maximum and minimum reported dose of methylphenidate use</w:t>
      </w:r>
      <w:r w:rsidR="00A3289A" w:rsidRPr="00734AB6">
        <w:rPr>
          <w:rFonts w:asciiTheme="majorHAnsi" w:hAnsiTheme="majorHAnsi"/>
        </w:rPr>
        <w:t>………………………….2</w:t>
      </w:r>
      <w:r w:rsidR="005A21BB" w:rsidRPr="00734AB6">
        <w:rPr>
          <w:rFonts w:asciiTheme="majorHAnsi" w:hAnsiTheme="majorHAnsi"/>
        </w:rPr>
        <w:t>41</w:t>
      </w:r>
    </w:p>
    <w:p w14:paraId="549AC6C2" w14:textId="2D007035"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B(xiv)</w:t>
      </w:r>
      <w:r w:rsidRPr="00734AB6">
        <w:rPr>
          <w:rFonts w:asciiTheme="majorHAnsi" w:hAnsiTheme="majorHAnsi"/>
        </w:rPr>
        <w:tab/>
        <w:t>Methylphenidate formulations</w:t>
      </w:r>
      <w:r w:rsidR="00A3289A" w:rsidRPr="00734AB6">
        <w:rPr>
          <w:rFonts w:asciiTheme="majorHAnsi" w:hAnsiTheme="majorHAnsi"/>
        </w:rPr>
        <w:t>……………………………………………………………………………..2</w:t>
      </w:r>
      <w:r w:rsidR="005A21BB" w:rsidRPr="00734AB6">
        <w:rPr>
          <w:rFonts w:asciiTheme="majorHAnsi" w:hAnsiTheme="majorHAnsi"/>
        </w:rPr>
        <w:t>41</w:t>
      </w:r>
    </w:p>
    <w:p w14:paraId="50C7EF4B" w14:textId="50FF33F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B(xiv)</w:t>
      </w:r>
      <w:r w:rsidRPr="00734AB6">
        <w:rPr>
          <w:rFonts w:asciiTheme="majorHAnsi" w:hAnsiTheme="majorHAnsi"/>
        </w:rPr>
        <w:tab/>
        <w:t>Methylphenidate brands</w:t>
      </w:r>
      <w:r w:rsidR="00D82A4F" w:rsidRPr="00734AB6">
        <w:rPr>
          <w:rFonts w:asciiTheme="majorHAnsi" w:hAnsiTheme="majorHAnsi"/>
        </w:rPr>
        <w:t>…………………………………………</w:t>
      </w:r>
      <w:r w:rsidR="00A3289A" w:rsidRPr="00734AB6">
        <w:rPr>
          <w:rFonts w:asciiTheme="majorHAnsi" w:hAnsiTheme="majorHAnsi"/>
        </w:rPr>
        <w:t>…………………………………………….2</w:t>
      </w:r>
      <w:r w:rsidR="005A21BB" w:rsidRPr="00734AB6">
        <w:rPr>
          <w:rFonts w:asciiTheme="majorHAnsi" w:hAnsiTheme="majorHAnsi"/>
        </w:rPr>
        <w:t>42</w:t>
      </w:r>
    </w:p>
    <w:p w14:paraId="213402E3" w14:textId="734EBCD7" w:rsidR="00422A22" w:rsidRPr="00734AB6" w:rsidRDefault="00422A22" w:rsidP="0099584D">
      <w:pPr>
        <w:tabs>
          <w:tab w:val="left" w:pos="1134"/>
          <w:tab w:val="left" w:pos="1418"/>
        </w:tabs>
        <w:spacing w:line="360" w:lineRule="auto"/>
        <w:rPr>
          <w:rFonts w:asciiTheme="majorHAnsi" w:hAnsiTheme="majorHAnsi"/>
          <w:bCs/>
        </w:rPr>
      </w:pPr>
      <w:r w:rsidRPr="00734AB6">
        <w:rPr>
          <w:rFonts w:asciiTheme="majorHAnsi" w:hAnsiTheme="majorHAnsi"/>
        </w:rPr>
        <w:t>B(xv)</w:t>
      </w:r>
      <w:r w:rsidRPr="00734AB6">
        <w:rPr>
          <w:rFonts w:asciiTheme="majorHAnsi" w:hAnsiTheme="majorHAnsi"/>
        </w:rPr>
        <w:tab/>
      </w:r>
      <w:r w:rsidRPr="00734AB6">
        <w:rPr>
          <w:rFonts w:asciiTheme="majorHAnsi" w:hAnsiTheme="majorHAnsi"/>
          <w:bCs/>
        </w:rPr>
        <w:t>Factor loading of control group CFQ responses</w:t>
      </w:r>
      <w:r w:rsidR="00246AD8" w:rsidRPr="00734AB6">
        <w:rPr>
          <w:rFonts w:asciiTheme="majorHAnsi" w:hAnsiTheme="majorHAnsi"/>
          <w:bCs/>
        </w:rPr>
        <w:t>…………………………………………………….2</w:t>
      </w:r>
      <w:r w:rsidR="005A21BB" w:rsidRPr="00734AB6">
        <w:rPr>
          <w:rFonts w:asciiTheme="majorHAnsi" w:hAnsiTheme="majorHAnsi"/>
          <w:bCs/>
        </w:rPr>
        <w:t>43</w:t>
      </w:r>
    </w:p>
    <w:p w14:paraId="30537087" w14:textId="0C10BCB8" w:rsidR="00422A22" w:rsidRPr="00734AB6" w:rsidRDefault="00422A22" w:rsidP="0099584D">
      <w:pPr>
        <w:tabs>
          <w:tab w:val="left" w:pos="1134"/>
          <w:tab w:val="left" w:pos="1418"/>
        </w:tabs>
        <w:spacing w:line="360" w:lineRule="auto"/>
        <w:rPr>
          <w:rFonts w:asciiTheme="majorHAnsi" w:hAnsiTheme="majorHAnsi"/>
          <w:b/>
          <w:bCs/>
        </w:rPr>
      </w:pPr>
      <w:r w:rsidRPr="00734AB6">
        <w:rPr>
          <w:rFonts w:asciiTheme="majorHAnsi" w:hAnsiTheme="majorHAnsi"/>
          <w:b/>
          <w:bCs/>
        </w:rPr>
        <w:t>Appendix C</w:t>
      </w:r>
    </w:p>
    <w:p w14:paraId="635F94DB" w14:textId="1DF52224"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C(ii)</w:t>
      </w:r>
      <w:r w:rsidRPr="00734AB6">
        <w:rPr>
          <w:rFonts w:asciiTheme="majorHAnsi" w:hAnsiTheme="majorHAnsi"/>
        </w:rPr>
        <w:tab/>
        <w:t>Nationalities by group</w:t>
      </w:r>
      <w:r w:rsidR="00D82A4F" w:rsidRPr="00734AB6">
        <w:rPr>
          <w:rFonts w:asciiTheme="majorHAnsi" w:hAnsiTheme="majorHAnsi"/>
        </w:rPr>
        <w:t>………………………………………………………………………</w:t>
      </w:r>
      <w:r w:rsidR="00246AD8" w:rsidRPr="00734AB6">
        <w:rPr>
          <w:rFonts w:asciiTheme="majorHAnsi" w:hAnsiTheme="majorHAnsi"/>
        </w:rPr>
        <w:t>……………………24</w:t>
      </w:r>
      <w:r w:rsidR="005A21BB" w:rsidRPr="00734AB6">
        <w:rPr>
          <w:rFonts w:asciiTheme="majorHAnsi" w:hAnsiTheme="majorHAnsi"/>
        </w:rPr>
        <w:t>5</w:t>
      </w:r>
    </w:p>
    <w:p w14:paraId="64DE7FF4" w14:textId="0CC2CDA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C(vi)</w:t>
      </w:r>
      <w:r w:rsidRPr="00734AB6">
        <w:rPr>
          <w:rFonts w:asciiTheme="majorHAnsi" w:hAnsiTheme="majorHAnsi"/>
        </w:rPr>
        <w:tab/>
        <w:t>Currently studying for a qualification</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51</w:t>
      </w:r>
    </w:p>
    <w:p w14:paraId="46DFB125" w14:textId="209B9822"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C(vii)</w:t>
      </w:r>
      <w:r w:rsidRPr="00734AB6">
        <w:rPr>
          <w:rFonts w:asciiTheme="majorHAnsi" w:hAnsiTheme="majorHAnsi"/>
        </w:rPr>
        <w:tab/>
        <w:t>Employment status</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52</w:t>
      </w:r>
    </w:p>
    <w:p w14:paraId="0E9BBBCD" w14:textId="68F6F60F"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C(viii)</w:t>
      </w:r>
      <w:r w:rsidRPr="00734AB6">
        <w:rPr>
          <w:rFonts w:asciiTheme="majorHAnsi" w:hAnsiTheme="majorHAnsi"/>
        </w:rPr>
        <w:tab/>
        <w:t>Outliers</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53</w:t>
      </w:r>
    </w:p>
    <w:p w14:paraId="07805568" w14:textId="6F739AA8"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C(xii)</w:t>
      </w:r>
      <w:r w:rsidRPr="00734AB6">
        <w:rPr>
          <w:rFonts w:asciiTheme="majorHAnsi" w:hAnsiTheme="majorHAnsi"/>
        </w:rPr>
        <w:tab/>
        <w:t>Psychiatric diagnosis</w:t>
      </w:r>
      <w:r w:rsidR="00D82A4F" w:rsidRPr="00734AB6">
        <w:rPr>
          <w:rFonts w:asciiTheme="majorHAnsi" w:hAnsiTheme="majorHAnsi"/>
        </w:rPr>
        <w:t>……………</w:t>
      </w:r>
      <w:r w:rsidR="009675CA"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62</w:t>
      </w:r>
    </w:p>
    <w:p w14:paraId="61593785" w14:textId="5DF60AC2"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C(xiii)</w:t>
      </w:r>
      <w:r w:rsidRPr="00734AB6">
        <w:rPr>
          <w:rFonts w:asciiTheme="majorHAnsi" w:hAnsiTheme="majorHAnsi"/>
        </w:rPr>
        <w:tab/>
        <w:t>Reported Cannabis use</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63</w:t>
      </w:r>
    </w:p>
    <w:p w14:paraId="36B3C0C2" w14:textId="18581825"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C(xiv)</w:t>
      </w:r>
      <w:r w:rsidRPr="00734AB6">
        <w:rPr>
          <w:rFonts w:asciiTheme="majorHAnsi" w:hAnsiTheme="majorHAnsi"/>
        </w:rPr>
        <w:tab/>
        <w:t>Lifetime use of modafinil</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4</w:t>
      </w:r>
    </w:p>
    <w:p w14:paraId="28F6AB58" w14:textId="38B8BB13"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lastRenderedPageBreak/>
        <w:t>C(xiv)</w:t>
      </w:r>
      <w:r w:rsidRPr="00734AB6">
        <w:rPr>
          <w:rFonts w:asciiTheme="majorHAnsi" w:hAnsiTheme="majorHAnsi"/>
        </w:rPr>
        <w:tab/>
        <w:t>Dosage levels of reported modafinil use</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4</w:t>
      </w:r>
    </w:p>
    <w:p w14:paraId="1A1812C8" w14:textId="78D29D89"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C(xiv)</w:t>
      </w:r>
      <w:r w:rsidRPr="00734AB6">
        <w:rPr>
          <w:rFonts w:asciiTheme="majorHAnsi" w:hAnsiTheme="majorHAnsi"/>
        </w:rPr>
        <w:tab/>
        <w:t>Maximum and minimum dose of modafinil</w:t>
      </w:r>
      <w:r w:rsidR="00246AD8" w:rsidRPr="00734AB6">
        <w:rPr>
          <w:rFonts w:asciiTheme="majorHAnsi" w:hAnsiTheme="majorHAnsi"/>
        </w:rPr>
        <w:t>…………………………………………………………..26</w:t>
      </w:r>
      <w:r w:rsidR="005A21BB" w:rsidRPr="00734AB6">
        <w:rPr>
          <w:rFonts w:asciiTheme="majorHAnsi" w:hAnsiTheme="majorHAnsi"/>
        </w:rPr>
        <w:t>5</w:t>
      </w:r>
    </w:p>
    <w:p w14:paraId="0180CE8D" w14:textId="6D90FF22"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C(xiv)</w:t>
      </w:r>
      <w:r w:rsidRPr="00734AB6">
        <w:rPr>
          <w:rFonts w:asciiTheme="majorHAnsi" w:hAnsiTheme="majorHAnsi"/>
        </w:rPr>
        <w:tab/>
        <w:t>Routes of administration of modafinil</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5</w:t>
      </w:r>
    </w:p>
    <w:p w14:paraId="4580A408" w14:textId="73DEAE39"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w:t>
      </w:r>
      <w:r w:rsidRPr="00734AB6">
        <w:rPr>
          <w:rFonts w:asciiTheme="majorHAnsi" w:hAnsiTheme="majorHAnsi"/>
        </w:rPr>
        <w:tab/>
        <w:t>Lifetime use of methylphenidate</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6</w:t>
      </w:r>
    </w:p>
    <w:p w14:paraId="73219235" w14:textId="57DF6FFA"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w:t>
      </w:r>
      <w:r w:rsidRPr="00734AB6">
        <w:rPr>
          <w:rFonts w:asciiTheme="majorHAnsi" w:hAnsiTheme="majorHAnsi"/>
        </w:rPr>
        <w:tab/>
        <w:t>Dosage levels of reported methylphenidate use</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6</w:t>
      </w:r>
    </w:p>
    <w:p w14:paraId="69F2F59C" w14:textId="37DC8582"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w:t>
      </w:r>
      <w:r w:rsidRPr="00734AB6">
        <w:rPr>
          <w:rFonts w:asciiTheme="majorHAnsi" w:hAnsiTheme="majorHAnsi"/>
        </w:rPr>
        <w:tab/>
        <w:t>Maximum and minimum dose of methylphenidate</w:t>
      </w:r>
      <w:r w:rsidR="00246AD8" w:rsidRPr="00734AB6">
        <w:rPr>
          <w:rFonts w:asciiTheme="majorHAnsi" w:hAnsiTheme="majorHAnsi"/>
        </w:rPr>
        <w:t>………………………………………………26</w:t>
      </w:r>
      <w:r w:rsidR="005A21BB" w:rsidRPr="00734AB6">
        <w:rPr>
          <w:rFonts w:asciiTheme="majorHAnsi" w:hAnsiTheme="majorHAnsi"/>
        </w:rPr>
        <w:t>7</w:t>
      </w:r>
    </w:p>
    <w:p w14:paraId="28C55357" w14:textId="26C7971A"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w:t>
      </w:r>
      <w:r w:rsidRPr="00734AB6">
        <w:rPr>
          <w:rFonts w:asciiTheme="majorHAnsi" w:hAnsiTheme="majorHAnsi"/>
        </w:rPr>
        <w:tab/>
        <w:t>Frequency of methylphenidate use</w:t>
      </w:r>
      <w:r w:rsidR="00D82A4F" w:rsidRPr="00734AB6">
        <w:rPr>
          <w:rFonts w:asciiTheme="majorHAnsi" w:hAnsiTheme="majorHAnsi"/>
        </w:rPr>
        <w:t>…………………………………………………………</w:t>
      </w:r>
      <w:r w:rsidR="005B1B70" w:rsidRPr="00734AB6">
        <w:rPr>
          <w:rFonts w:asciiTheme="majorHAnsi" w:hAnsiTheme="majorHAnsi"/>
        </w:rPr>
        <w:t>………</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7</w:t>
      </w:r>
    </w:p>
    <w:p w14:paraId="351AF923" w14:textId="5EE3804A"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w:t>
      </w:r>
      <w:r w:rsidRPr="00734AB6">
        <w:rPr>
          <w:rFonts w:asciiTheme="majorHAnsi" w:hAnsiTheme="majorHAnsi"/>
        </w:rPr>
        <w:tab/>
        <w:t>Routes of administration of methylphenidate</w:t>
      </w:r>
      <w:r w:rsidR="00D82A4F" w:rsidRPr="00734AB6">
        <w:rPr>
          <w:rFonts w:asciiTheme="majorHAnsi" w:hAnsiTheme="majorHAnsi"/>
        </w:rPr>
        <w:t>…………………………………………</w:t>
      </w:r>
      <w:r w:rsidR="005B1B70" w:rsidRPr="00734AB6">
        <w:rPr>
          <w:rFonts w:asciiTheme="majorHAnsi" w:hAnsiTheme="majorHAnsi"/>
        </w:rPr>
        <w:t>….</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7</w:t>
      </w:r>
    </w:p>
    <w:p w14:paraId="66D486F5" w14:textId="7A2971E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w:t>
      </w:r>
      <w:r w:rsidRPr="00734AB6">
        <w:rPr>
          <w:rFonts w:asciiTheme="majorHAnsi" w:hAnsiTheme="majorHAnsi"/>
        </w:rPr>
        <w:tab/>
        <w:t>Frequency of alcohol use and length of time since last use</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8</w:t>
      </w:r>
    </w:p>
    <w:p w14:paraId="024A5DA4" w14:textId="3BEB47A4"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w:t>
      </w:r>
      <w:r w:rsidRPr="00734AB6">
        <w:rPr>
          <w:rFonts w:asciiTheme="majorHAnsi" w:hAnsiTheme="majorHAnsi"/>
        </w:rPr>
        <w:tab/>
        <w:t>Frequency use and length of time since last use of nicotine</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9</w:t>
      </w:r>
    </w:p>
    <w:p w14:paraId="79F720FC" w14:textId="146E52F2"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C(xviii)</w:t>
      </w:r>
      <w:r w:rsidRPr="00734AB6">
        <w:rPr>
          <w:rFonts w:asciiTheme="majorHAnsi" w:hAnsiTheme="majorHAnsi"/>
        </w:rPr>
        <w:tab/>
        <w:t>Previous diagnosis of a drug/alcohol problem</w:t>
      </w:r>
      <w:r w:rsidR="00D82A4F" w:rsidRPr="00734AB6">
        <w:rPr>
          <w:rFonts w:asciiTheme="majorHAnsi" w:hAnsiTheme="majorHAnsi"/>
        </w:rPr>
        <w:t>………………………………………..………</w:t>
      </w:r>
      <w:r w:rsidR="00246AD8" w:rsidRPr="00734AB6">
        <w:rPr>
          <w:rFonts w:asciiTheme="majorHAnsi" w:hAnsiTheme="majorHAnsi"/>
        </w:rPr>
        <w:t>…….26</w:t>
      </w:r>
      <w:r w:rsidR="005A21BB" w:rsidRPr="00734AB6">
        <w:rPr>
          <w:rFonts w:asciiTheme="majorHAnsi" w:hAnsiTheme="majorHAnsi"/>
        </w:rPr>
        <w:t>9</w:t>
      </w:r>
    </w:p>
    <w:p w14:paraId="18B95D89" w14:textId="50E70642"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C(xviii)</w:t>
      </w:r>
      <w:r w:rsidRPr="00734AB6">
        <w:rPr>
          <w:rFonts w:asciiTheme="majorHAnsi" w:hAnsiTheme="majorHAnsi"/>
        </w:rPr>
        <w:tab/>
        <w:t>Stimulants</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70</w:t>
      </w:r>
    </w:p>
    <w:p w14:paraId="1A46103D" w14:textId="1C7B2601"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C(xviii)</w:t>
      </w:r>
      <w:r w:rsidRPr="00734AB6">
        <w:rPr>
          <w:rFonts w:asciiTheme="majorHAnsi" w:hAnsiTheme="majorHAnsi"/>
        </w:rPr>
        <w:tab/>
        <w:t>Depressants/anxiolytics/sedatives</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71</w:t>
      </w:r>
    </w:p>
    <w:p w14:paraId="0CE9A1DF" w14:textId="1546B2B6"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C(xviii)</w:t>
      </w:r>
      <w:r w:rsidRPr="00734AB6">
        <w:rPr>
          <w:rFonts w:asciiTheme="majorHAnsi" w:hAnsiTheme="majorHAnsi"/>
        </w:rPr>
        <w:tab/>
        <w:t>Hallucinogens</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72</w:t>
      </w:r>
    </w:p>
    <w:p w14:paraId="79F393D7" w14:textId="5A9DA30B"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C(xviii)</w:t>
      </w:r>
      <w:r w:rsidRPr="00734AB6">
        <w:rPr>
          <w:rFonts w:asciiTheme="majorHAnsi" w:hAnsiTheme="majorHAnsi"/>
        </w:rPr>
        <w:tab/>
        <w:t>Opioid pain killers</w:t>
      </w:r>
      <w:r w:rsidR="00D82A4F" w:rsidRPr="00734AB6">
        <w:rPr>
          <w:rFonts w:asciiTheme="majorHAnsi" w:hAnsiTheme="majorHAnsi"/>
        </w:rPr>
        <w:t>…………………………………………………………………….…………</w:t>
      </w:r>
      <w:r w:rsidR="00246AD8" w:rsidRPr="00734AB6">
        <w:rPr>
          <w:rFonts w:asciiTheme="majorHAnsi" w:hAnsiTheme="majorHAnsi"/>
        </w:rPr>
        <w:t>…………………2</w:t>
      </w:r>
      <w:r w:rsidR="005A21BB" w:rsidRPr="00734AB6">
        <w:rPr>
          <w:rFonts w:asciiTheme="majorHAnsi" w:hAnsiTheme="majorHAnsi"/>
        </w:rPr>
        <w:t>73</w:t>
      </w:r>
    </w:p>
    <w:p w14:paraId="107BA947" w14:textId="3B4A1733" w:rsidR="00422A22" w:rsidRPr="00734AB6" w:rsidRDefault="00422A22" w:rsidP="0099584D">
      <w:pPr>
        <w:tabs>
          <w:tab w:val="left" w:pos="1134"/>
          <w:tab w:val="left" w:pos="1418"/>
        </w:tabs>
        <w:spacing w:line="360" w:lineRule="auto"/>
        <w:rPr>
          <w:rFonts w:asciiTheme="majorHAnsi" w:hAnsiTheme="majorHAnsi"/>
        </w:rPr>
      </w:pPr>
      <w:r w:rsidRPr="00734AB6">
        <w:rPr>
          <w:rFonts w:asciiTheme="majorHAnsi" w:hAnsiTheme="majorHAnsi"/>
        </w:rPr>
        <w:t>C(xviii)</w:t>
      </w:r>
      <w:r w:rsidRPr="00734AB6">
        <w:rPr>
          <w:rFonts w:asciiTheme="majorHAnsi" w:hAnsiTheme="majorHAnsi"/>
        </w:rPr>
        <w:tab/>
        <w:t>Nootropics/ Cognitive enhancers</w:t>
      </w:r>
      <w:r w:rsidR="00D82A4F" w:rsidRPr="00734AB6">
        <w:rPr>
          <w:rFonts w:asciiTheme="majorHAnsi" w:hAnsiTheme="majorHAnsi"/>
        </w:rPr>
        <w:t>…………………………………………………………………</w:t>
      </w:r>
      <w:r w:rsidR="00246AD8" w:rsidRPr="00734AB6">
        <w:rPr>
          <w:rFonts w:asciiTheme="majorHAnsi" w:hAnsiTheme="majorHAnsi"/>
        </w:rPr>
        <w:t>……….27</w:t>
      </w:r>
      <w:r w:rsidR="005A21BB" w:rsidRPr="00734AB6">
        <w:rPr>
          <w:rFonts w:asciiTheme="majorHAnsi" w:hAnsiTheme="majorHAnsi"/>
        </w:rPr>
        <w:t>4</w:t>
      </w:r>
    </w:p>
    <w:p w14:paraId="4A7244AE" w14:textId="77777777" w:rsidR="008542FE" w:rsidRPr="00734AB6" w:rsidRDefault="008542FE" w:rsidP="0099584D">
      <w:pPr>
        <w:pBdr>
          <w:bottom w:val="double" w:sz="4" w:space="1" w:color="auto"/>
        </w:pBdr>
        <w:spacing w:line="360" w:lineRule="auto"/>
        <w:rPr>
          <w:rFonts w:asciiTheme="majorHAnsi" w:hAnsiTheme="majorHAnsi"/>
        </w:rPr>
      </w:pPr>
    </w:p>
    <w:p w14:paraId="51BE188E" w14:textId="3FC88983" w:rsidR="008542FE" w:rsidRPr="00734AB6" w:rsidRDefault="008542FE" w:rsidP="0099584D">
      <w:pPr>
        <w:spacing w:line="360" w:lineRule="auto"/>
        <w:rPr>
          <w:rFonts w:asciiTheme="majorHAnsi" w:hAnsiTheme="majorHAnsi"/>
          <w:b/>
        </w:rPr>
      </w:pPr>
      <w:r w:rsidRPr="00734AB6">
        <w:rPr>
          <w:rFonts w:asciiTheme="majorHAnsi" w:hAnsiTheme="majorHAnsi"/>
          <w:b/>
        </w:rPr>
        <w:t>LIST OF FIGURES</w:t>
      </w:r>
    </w:p>
    <w:p w14:paraId="6E3444F4" w14:textId="664648E3" w:rsidR="00076662" w:rsidRPr="00734AB6" w:rsidRDefault="00076662" w:rsidP="00076662">
      <w:pPr>
        <w:tabs>
          <w:tab w:val="left" w:pos="1134"/>
        </w:tabs>
        <w:spacing w:line="360" w:lineRule="auto"/>
        <w:ind w:left="1134" w:hanging="1134"/>
        <w:rPr>
          <w:rFonts w:asciiTheme="majorHAnsi" w:hAnsiTheme="majorHAnsi"/>
          <w:b/>
        </w:rPr>
      </w:pPr>
      <w:r w:rsidRPr="00734AB6">
        <w:rPr>
          <w:rFonts w:asciiTheme="majorHAnsi" w:hAnsiTheme="majorHAnsi"/>
          <w:b/>
        </w:rPr>
        <w:t>Chapter Two</w:t>
      </w:r>
    </w:p>
    <w:p w14:paraId="6EC782A5" w14:textId="77777777" w:rsidR="00D82A4F" w:rsidRPr="00734AB6" w:rsidRDefault="00076662" w:rsidP="00076662">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2.2.3.4.3.3.</w:t>
      </w:r>
      <w:r w:rsidRPr="00734AB6">
        <w:rPr>
          <w:rFonts w:asciiTheme="majorHAnsi" w:hAnsiTheme="majorHAnsi"/>
        </w:rPr>
        <w:tab/>
      </w:r>
      <w:r w:rsidRPr="00734AB6">
        <w:rPr>
          <w:rFonts w:asciiTheme="majorHAnsi" w:eastAsia="Calibri" w:hAnsiTheme="majorHAnsi" w:cs="Calibri"/>
        </w:rPr>
        <w:t xml:space="preserve">The interaction between the reported immediate and longer-lasting effects </w:t>
      </w:r>
    </w:p>
    <w:p w14:paraId="7F4D39DC" w14:textId="7BA9120D" w:rsidR="00076662" w:rsidRPr="00734AB6" w:rsidRDefault="00D82A4F" w:rsidP="00076662">
      <w:pPr>
        <w:tabs>
          <w:tab w:val="left" w:pos="1134"/>
        </w:tabs>
        <w:spacing w:line="360" w:lineRule="auto"/>
        <w:ind w:left="1134" w:hanging="1134"/>
        <w:rPr>
          <w:rFonts w:asciiTheme="majorHAnsi" w:eastAsia="Calibri" w:hAnsiTheme="majorHAnsi" w:cs="Calibri"/>
        </w:rPr>
      </w:pPr>
      <w:r w:rsidRPr="00734AB6">
        <w:rPr>
          <w:rFonts w:asciiTheme="majorHAnsi" w:eastAsia="Calibri" w:hAnsiTheme="majorHAnsi" w:cs="Calibri"/>
        </w:rPr>
        <w:tab/>
      </w:r>
      <w:r w:rsidR="00076662" w:rsidRPr="00734AB6">
        <w:rPr>
          <w:rFonts w:asciiTheme="majorHAnsi" w:eastAsia="Calibri" w:hAnsiTheme="majorHAnsi" w:cs="Calibri"/>
        </w:rPr>
        <w:t>and the reported frequency of use of modafinil</w:t>
      </w:r>
      <w:r w:rsidRPr="00734AB6">
        <w:rPr>
          <w:rFonts w:asciiTheme="majorHAnsi" w:eastAsia="Calibri" w:hAnsiTheme="majorHAnsi" w:cs="Calibri"/>
        </w:rPr>
        <w:t>…………………………………………………</w:t>
      </w:r>
      <w:r w:rsidR="00290BD7" w:rsidRPr="00734AB6">
        <w:rPr>
          <w:rFonts w:asciiTheme="majorHAnsi" w:eastAsia="Calibri" w:hAnsiTheme="majorHAnsi" w:cs="Calibri"/>
        </w:rPr>
        <w:t>…..</w:t>
      </w:r>
      <w:r w:rsidR="00E540CC" w:rsidRPr="00734AB6">
        <w:rPr>
          <w:rFonts w:asciiTheme="majorHAnsi" w:eastAsia="Calibri" w:hAnsiTheme="majorHAnsi" w:cs="Calibri"/>
        </w:rPr>
        <w:t>61</w:t>
      </w:r>
    </w:p>
    <w:p w14:paraId="76A4BE0C" w14:textId="77777777" w:rsidR="00D82A4F" w:rsidRPr="00734AB6" w:rsidRDefault="00076662" w:rsidP="00076662">
      <w:pPr>
        <w:tabs>
          <w:tab w:val="left" w:pos="1134"/>
        </w:tabs>
        <w:spacing w:line="360" w:lineRule="auto"/>
        <w:ind w:left="1134" w:hanging="1134"/>
        <w:rPr>
          <w:rFonts w:asciiTheme="majorHAnsi" w:eastAsia="Calibri" w:hAnsiTheme="majorHAnsi"/>
        </w:rPr>
      </w:pPr>
      <w:r w:rsidRPr="00734AB6">
        <w:rPr>
          <w:rFonts w:asciiTheme="majorHAnsi" w:hAnsiTheme="majorHAnsi"/>
        </w:rPr>
        <w:t>2.2.3.4.3.4.</w:t>
      </w:r>
      <w:r w:rsidRPr="00734AB6">
        <w:rPr>
          <w:rFonts w:asciiTheme="majorHAnsi" w:hAnsiTheme="majorHAnsi"/>
        </w:rPr>
        <w:tab/>
      </w:r>
      <w:r w:rsidRPr="00734AB6">
        <w:rPr>
          <w:rFonts w:asciiTheme="majorHAnsi" w:eastAsia="Calibri" w:hAnsiTheme="majorHAnsi"/>
        </w:rPr>
        <w:t xml:space="preserve">Interaction between the numbers of benefits and risks identified by </w:t>
      </w:r>
    </w:p>
    <w:p w14:paraId="50B1AE19" w14:textId="7519ED3C" w:rsidR="00076662" w:rsidRPr="00734AB6" w:rsidRDefault="00D82A4F" w:rsidP="00076662">
      <w:pPr>
        <w:tabs>
          <w:tab w:val="left" w:pos="1134"/>
        </w:tabs>
        <w:spacing w:line="360" w:lineRule="auto"/>
        <w:ind w:left="1134" w:hanging="1134"/>
        <w:rPr>
          <w:rFonts w:asciiTheme="majorHAnsi" w:eastAsia="Calibri" w:hAnsiTheme="majorHAnsi"/>
        </w:rPr>
      </w:pPr>
      <w:r w:rsidRPr="00734AB6">
        <w:rPr>
          <w:rFonts w:asciiTheme="majorHAnsi" w:eastAsia="Calibri" w:hAnsiTheme="majorHAnsi"/>
        </w:rPr>
        <w:tab/>
      </w:r>
      <w:r w:rsidR="00076662" w:rsidRPr="00734AB6">
        <w:rPr>
          <w:rFonts w:asciiTheme="majorHAnsi" w:eastAsia="Calibri" w:hAnsiTheme="majorHAnsi"/>
        </w:rPr>
        <w:t>respondents and the frequency of reported use of modafinil</w:t>
      </w:r>
      <w:r w:rsidR="00290BD7" w:rsidRPr="00734AB6">
        <w:rPr>
          <w:rFonts w:asciiTheme="majorHAnsi" w:eastAsia="Calibri" w:hAnsiTheme="majorHAnsi"/>
        </w:rPr>
        <w:t>…………………………………</w:t>
      </w:r>
      <w:r w:rsidR="00E540CC" w:rsidRPr="00734AB6">
        <w:rPr>
          <w:rFonts w:asciiTheme="majorHAnsi" w:eastAsia="Calibri" w:hAnsiTheme="majorHAnsi"/>
        </w:rPr>
        <w:t>62</w:t>
      </w:r>
    </w:p>
    <w:p w14:paraId="4B70D49D" w14:textId="0CE6F4DB" w:rsidR="00076662" w:rsidRPr="00734AB6" w:rsidRDefault="00076662" w:rsidP="00076662">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2.2.3.4.3.5.</w:t>
      </w:r>
      <w:r w:rsidRPr="00734AB6">
        <w:rPr>
          <w:rFonts w:asciiTheme="majorHAnsi" w:hAnsiTheme="majorHAnsi"/>
        </w:rPr>
        <w:tab/>
      </w:r>
      <w:r w:rsidRPr="00734AB6">
        <w:rPr>
          <w:rFonts w:asciiTheme="majorHAnsi" w:eastAsia="Calibri" w:hAnsiTheme="majorHAnsi" w:cs="Calibri"/>
        </w:rPr>
        <w:t>The interaction between the numbers of perceived benefits and risks and the immediate and longer-lasting effects for modafinil</w:t>
      </w:r>
      <w:r w:rsidR="00D82A4F" w:rsidRPr="00734AB6">
        <w:rPr>
          <w:rFonts w:asciiTheme="majorHAnsi" w:eastAsia="Calibri" w:hAnsiTheme="majorHAnsi" w:cs="Calibri"/>
        </w:rPr>
        <w:t>………………………………………………</w:t>
      </w:r>
      <w:r w:rsidR="00290BD7" w:rsidRPr="00734AB6">
        <w:rPr>
          <w:rFonts w:asciiTheme="majorHAnsi" w:eastAsia="Calibri" w:hAnsiTheme="majorHAnsi" w:cs="Calibri"/>
        </w:rPr>
        <w:t>…</w:t>
      </w:r>
      <w:r w:rsidR="00E540CC" w:rsidRPr="00734AB6">
        <w:rPr>
          <w:rFonts w:asciiTheme="majorHAnsi" w:eastAsia="Calibri" w:hAnsiTheme="majorHAnsi" w:cs="Calibri"/>
        </w:rPr>
        <w:t>63</w:t>
      </w:r>
    </w:p>
    <w:p w14:paraId="5B3BFD6B" w14:textId="77777777" w:rsidR="00D82A4F" w:rsidRPr="00734AB6" w:rsidRDefault="00076662" w:rsidP="00076662">
      <w:pPr>
        <w:tabs>
          <w:tab w:val="left" w:pos="1134"/>
        </w:tabs>
        <w:spacing w:line="360" w:lineRule="auto"/>
        <w:ind w:left="1134" w:hanging="1134"/>
        <w:rPr>
          <w:rFonts w:asciiTheme="majorHAnsi" w:eastAsia="Calibri" w:hAnsiTheme="majorHAnsi" w:cs="Calibri"/>
        </w:rPr>
      </w:pPr>
      <w:r w:rsidRPr="00734AB6">
        <w:rPr>
          <w:rFonts w:asciiTheme="majorHAnsi" w:hAnsiTheme="majorHAnsi"/>
        </w:rPr>
        <w:t>2.2.3.4.4.3.</w:t>
      </w:r>
      <w:r w:rsidRPr="00734AB6">
        <w:rPr>
          <w:rFonts w:asciiTheme="majorHAnsi" w:hAnsiTheme="majorHAnsi"/>
        </w:rPr>
        <w:tab/>
      </w:r>
      <w:r w:rsidRPr="00734AB6">
        <w:rPr>
          <w:rFonts w:asciiTheme="majorHAnsi" w:eastAsia="Calibri" w:hAnsiTheme="majorHAnsi" w:cs="Calibri"/>
        </w:rPr>
        <w:t xml:space="preserve">The interaction between the immediate and longer-lasting effects and </w:t>
      </w:r>
    </w:p>
    <w:p w14:paraId="42997B94" w14:textId="6AFA5982" w:rsidR="00076662" w:rsidRPr="00734AB6" w:rsidRDefault="00D82A4F" w:rsidP="00076662">
      <w:pPr>
        <w:tabs>
          <w:tab w:val="left" w:pos="1134"/>
        </w:tabs>
        <w:spacing w:line="360" w:lineRule="auto"/>
        <w:ind w:left="1134" w:hanging="1134"/>
        <w:rPr>
          <w:rFonts w:asciiTheme="majorHAnsi" w:eastAsia="Calibri" w:hAnsiTheme="majorHAnsi" w:cs="Calibri"/>
        </w:rPr>
      </w:pPr>
      <w:r w:rsidRPr="00734AB6">
        <w:rPr>
          <w:rFonts w:asciiTheme="majorHAnsi" w:eastAsia="Calibri" w:hAnsiTheme="majorHAnsi" w:cs="Calibri"/>
        </w:rPr>
        <w:lastRenderedPageBreak/>
        <w:tab/>
      </w:r>
      <w:r w:rsidR="00076662" w:rsidRPr="00734AB6">
        <w:rPr>
          <w:rFonts w:asciiTheme="majorHAnsi" w:eastAsia="Calibri" w:hAnsiTheme="majorHAnsi" w:cs="Calibri"/>
        </w:rPr>
        <w:t>the reported numbers of benefits and risks for methylphenidate</w:t>
      </w:r>
      <w:r w:rsidRPr="00734AB6">
        <w:rPr>
          <w:rFonts w:asciiTheme="majorHAnsi" w:eastAsia="Calibri" w:hAnsiTheme="majorHAnsi" w:cs="Calibri"/>
        </w:rPr>
        <w:t>…………………………..</w:t>
      </w:r>
      <w:r w:rsidR="00290BD7" w:rsidRPr="00734AB6">
        <w:rPr>
          <w:rFonts w:asciiTheme="majorHAnsi" w:eastAsia="Calibri" w:hAnsiTheme="majorHAnsi" w:cs="Calibri"/>
        </w:rPr>
        <w:t>6</w:t>
      </w:r>
      <w:r w:rsidR="00E540CC" w:rsidRPr="00734AB6">
        <w:rPr>
          <w:rFonts w:asciiTheme="majorHAnsi" w:eastAsia="Calibri" w:hAnsiTheme="majorHAnsi" w:cs="Calibri"/>
        </w:rPr>
        <w:t>4</w:t>
      </w:r>
    </w:p>
    <w:p w14:paraId="31671D3C" w14:textId="5BD9486F" w:rsidR="00076662" w:rsidRPr="00734AB6" w:rsidRDefault="00076662" w:rsidP="00076662">
      <w:pPr>
        <w:tabs>
          <w:tab w:val="left" w:pos="1134"/>
        </w:tabs>
        <w:spacing w:line="360" w:lineRule="auto"/>
        <w:ind w:left="1134" w:hanging="1134"/>
        <w:rPr>
          <w:rFonts w:asciiTheme="majorHAnsi" w:hAnsiTheme="majorHAnsi"/>
          <w:b/>
        </w:rPr>
      </w:pPr>
      <w:r w:rsidRPr="00734AB6">
        <w:rPr>
          <w:rFonts w:asciiTheme="majorHAnsi" w:hAnsiTheme="majorHAnsi"/>
          <w:b/>
        </w:rPr>
        <w:t>Chapter Three</w:t>
      </w:r>
    </w:p>
    <w:p w14:paraId="1526AFDD" w14:textId="0114E1DA" w:rsidR="00076662" w:rsidRPr="00734AB6" w:rsidRDefault="00076662" w:rsidP="00076662">
      <w:pPr>
        <w:tabs>
          <w:tab w:val="left" w:pos="1134"/>
        </w:tabs>
        <w:spacing w:line="360" w:lineRule="auto"/>
        <w:ind w:left="1134" w:hanging="1134"/>
        <w:rPr>
          <w:rFonts w:asciiTheme="majorHAnsi" w:hAnsiTheme="majorHAnsi"/>
        </w:rPr>
      </w:pPr>
      <w:r w:rsidRPr="00734AB6">
        <w:rPr>
          <w:rFonts w:asciiTheme="majorHAnsi" w:hAnsiTheme="majorHAnsi"/>
        </w:rPr>
        <w:t>3.3.1.1.2.</w:t>
      </w:r>
      <w:r w:rsidRPr="00734AB6">
        <w:rPr>
          <w:rFonts w:asciiTheme="majorHAnsi" w:hAnsiTheme="majorHAnsi"/>
        </w:rPr>
        <w:tab/>
        <w:t>Education level by group</w:t>
      </w:r>
      <w:r w:rsidR="00D82A4F" w:rsidRPr="00734AB6">
        <w:rPr>
          <w:rFonts w:asciiTheme="majorHAnsi" w:hAnsiTheme="majorHAnsi"/>
        </w:rPr>
        <w:t>………………………………………………………………………………</w:t>
      </w:r>
      <w:r w:rsidR="00290BD7" w:rsidRPr="00734AB6">
        <w:rPr>
          <w:rFonts w:asciiTheme="majorHAnsi" w:hAnsiTheme="majorHAnsi"/>
        </w:rPr>
        <w:t>………...9</w:t>
      </w:r>
      <w:r w:rsidR="00E540CC" w:rsidRPr="00734AB6">
        <w:rPr>
          <w:rFonts w:asciiTheme="majorHAnsi" w:hAnsiTheme="majorHAnsi"/>
        </w:rPr>
        <w:t>7</w:t>
      </w:r>
    </w:p>
    <w:p w14:paraId="083575A0" w14:textId="56D5A127" w:rsidR="00076662" w:rsidRPr="00734AB6" w:rsidRDefault="00076662" w:rsidP="00076662">
      <w:pPr>
        <w:tabs>
          <w:tab w:val="left" w:pos="1134"/>
        </w:tabs>
        <w:spacing w:line="360" w:lineRule="auto"/>
        <w:ind w:left="1134" w:hanging="1134"/>
        <w:rPr>
          <w:rFonts w:asciiTheme="majorHAnsi" w:hAnsiTheme="majorHAnsi"/>
          <w:noProof/>
        </w:rPr>
      </w:pPr>
      <w:r w:rsidRPr="00734AB6">
        <w:rPr>
          <w:rFonts w:asciiTheme="majorHAnsi" w:hAnsiTheme="majorHAnsi"/>
        </w:rPr>
        <w:t>3.3.1.1.4.</w:t>
      </w:r>
      <w:r w:rsidRPr="00734AB6">
        <w:rPr>
          <w:rFonts w:asciiTheme="majorHAnsi" w:hAnsiTheme="majorHAnsi"/>
        </w:rPr>
        <w:tab/>
      </w:r>
      <w:r w:rsidRPr="00734AB6">
        <w:rPr>
          <w:rFonts w:asciiTheme="majorHAnsi" w:hAnsiTheme="majorHAnsi"/>
          <w:noProof/>
        </w:rPr>
        <w:t>Study status of unemployed respondents</w:t>
      </w:r>
      <w:r w:rsidR="00D82A4F" w:rsidRPr="00734AB6">
        <w:rPr>
          <w:rFonts w:asciiTheme="majorHAnsi" w:hAnsiTheme="majorHAnsi"/>
          <w:noProof/>
        </w:rPr>
        <w:t>……………………………………………………</w:t>
      </w:r>
      <w:r w:rsidR="00290BD7" w:rsidRPr="00734AB6">
        <w:rPr>
          <w:rFonts w:asciiTheme="majorHAnsi" w:hAnsiTheme="majorHAnsi"/>
          <w:noProof/>
        </w:rPr>
        <w:t>………….9</w:t>
      </w:r>
      <w:r w:rsidR="00E540CC" w:rsidRPr="00734AB6">
        <w:rPr>
          <w:rFonts w:asciiTheme="majorHAnsi" w:hAnsiTheme="majorHAnsi"/>
          <w:noProof/>
        </w:rPr>
        <w:t>9</w:t>
      </w:r>
    </w:p>
    <w:p w14:paraId="39BCA8A9" w14:textId="159F292C" w:rsidR="00076662" w:rsidRPr="00734AB6" w:rsidRDefault="00076662" w:rsidP="00076662">
      <w:pPr>
        <w:tabs>
          <w:tab w:val="left" w:pos="1134"/>
        </w:tabs>
        <w:spacing w:line="360" w:lineRule="auto"/>
        <w:ind w:left="1134" w:hanging="1134"/>
        <w:rPr>
          <w:rFonts w:asciiTheme="majorHAnsi" w:hAnsiTheme="majorHAnsi"/>
          <w:b/>
        </w:rPr>
      </w:pPr>
      <w:r w:rsidRPr="00734AB6">
        <w:rPr>
          <w:rFonts w:asciiTheme="majorHAnsi" w:hAnsiTheme="majorHAnsi"/>
          <w:b/>
        </w:rPr>
        <w:t>Chapter Four</w:t>
      </w:r>
    </w:p>
    <w:p w14:paraId="17103758" w14:textId="263D1BCC" w:rsidR="00D82A4F" w:rsidRPr="00734AB6" w:rsidRDefault="00D4306C" w:rsidP="00076662">
      <w:pPr>
        <w:tabs>
          <w:tab w:val="left" w:pos="1134"/>
        </w:tabs>
        <w:spacing w:line="360" w:lineRule="auto"/>
        <w:ind w:left="1134" w:hanging="1134"/>
        <w:rPr>
          <w:rFonts w:asciiTheme="majorHAnsi" w:eastAsia="Calibri" w:hAnsiTheme="majorHAnsi"/>
        </w:rPr>
      </w:pPr>
      <w:r w:rsidRPr="00734AB6">
        <w:rPr>
          <w:rFonts w:asciiTheme="majorHAnsi" w:hAnsiTheme="majorHAnsi"/>
        </w:rPr>
        <w:t>4.3.10</w:t>
      </w:r>
      <w:r w:rsidR="00076662" w:rsidRPr="00734AB6">
        <w:rPr>
          <w:rFonts w:asciiTheme="majorHAnsi" w:hAnsiTheme="majorHAnsi"/>
        </w:rPr>
        <w:tab/>
      </w:r>
      <w:r w:rsidR="00076662" w:rsidRPr="00734AB6">
        <w:rPr>
          <w:rFonts w:asciiTheme="majorHAnsi" w:eastAsia="Calibri" w:hAnsiTheme="majorHAnsi"/>
        </w:rPr>
        <w:t xml:space="preserve">Interaction between the CED-user and control group latencies for </w:t>
      </w:r>
    </w:p>
    <w:p w14:paraId="05EE216B" w14:textId="3B2B6951" w:rsidR="00076662" w:rsidRPr="00734AB6" w:rsidRDefault="00D82A4F" w:rsidP="00076662">
      <w:pPr>
        <w:tabs>
          <w:tab w:val="left" w:pos="1134"/>
        </w:tabs>
        <w:spacing w:line="360" w:lineRule="auto"/>
        <w:ind w:left="1134" w:hanging="1134"/>
        <w:rPr>
          <w:rFonts w:asciiTheme="majorHAnsi" w:eastAsia="Calibri" w:hAnsiTheme="majorHAnsi"/>
        </w:rPr>
      </w:pPr>
      <w:r w:rsidRPr="00734AB6">
        <w:rPr>
          <w:rFonts w:asciiTheme="majorHAnsi" w:eastAsia="Calibri" w:hAnsiTheme="majorHAnsi"/>
        </w:rPr>
        <w:tab/>
      </w:r>
      <w:r w:rsidR="00076662" w:rsidRPr="00734AB6">
        <w:rPr>
          <w:rFonts w:asciiTheme="majorHAnsi" w:eastAsia="Calibri" w:hAnsiTheme="majorHAnsi"/>
        </w:rPr>
        <w:t>correct trials</w:t>
      </w:r>
      <w:r w:rsidRPr="00734AB6">
        <w:rPr>
          <w:rFonts w:asciiTheme="majorHAnsi" w:eastAsia="Calibri" w:hAnsiTheme="majorHAnsi"/>
        </w:rPr>
        <w:t>…………………………………………………………………………………………………</w:t>
      </w:r>
      <w:r w:rsidR="00D4306C" w:rsidRPr="00734AB6">
        <w:rPr>
          <w:rFonts w:asciiTheme="majorHAnsi" w:eastAsia="Calibri" w:hAnsiTheme="majorHAnsi"/>
        </w:rPr>
        <w:t>……….13</w:t>
      </w:r>
      <w:r w:rsidR="00E540CC" w:rsidRPr="00734AB6">
        <w:rPr>
          <w:rFonts w:asciiTheme="majorHAnsi" w:eastAsia="Calibri" w:hAnsiTheme="majorHAnsi"/>
        </w:rPr>
        <w:t>5</w:t>
      </w:r>
    </w:p>
    <w:p w14:paraId="6E1D67B1" w14:textId="3C171362" w:rsidR="00D82A4F" w:rsidRPr="00734AB6" w:rsidRDefault="00D4306C" w:rsidP="00076662">
      <w:pPr>
        <w:tabs>
          <w:tab w:val="left" w:pos="1134"/>
        </w:tabs>
        <w:spacing w:line="360" w:lineRule="auto"/>
        <w:ind w:left="1134" w:hanging="1134"/>
        <w:rPr>
          <w:rFonts w:asciiTheme="majorHAnsi" w:eastAsia="Calibri" w:hAnsiTheme="majorHAnsi"/>
        </w:rPr>
      </w:pPr>
      <w:r w:rsidRPr="00734AB6">
        <w:rPr>
          <w:rFonts w:asciiTheme="majorHAnsi" w:hAnsiTheme="majorHAnsi"/>
        </w:rPr>
        <w:t>4.3.10</w:t>
      </w:r>
      <w:r w:rsidR="00076662" w:rsidRPr="00734AB6">
        <w:rPr>
          <w:rFonts w:asciiTheme="majorHAnsi" w:hAnsiTheme="majorHAnsi"/>
        </w:rPr>
        <w:tab/>
      </w:r>
      <w:r w:rsidR="00076662" w:rsidRPr="00734AB6">
        <w:rPr>
          <w:rFonts w:asciiTheme="majorHAnsi" w:eastAsia="Calibri" w:hAnsiTheme="majorHAnsi"/>
        </w:rPr>
        <w:t xml:space="preserve">Interaction between Group type (CED-users and controls) and trial type </w:t>
      </w:r>
    </w:p>
    <w:p w14:paraId="1B84B262" w14:textId="7E793D38" w:rsidR="00076662" w:rsidRPr="00734AB6" w:rsidRDefault="00D82A4F" w:rsidP="00076662">
      <w:pPr>
        <w:tabs>
          <w:tab w:val="left" w:pos="1134"/>
        </w:tabs>
        <w:spacing w:line="360" w:lineRule="auto"/>
        <w:ind w:left="1134" w:hanging="1134"/>
        <w:rPr>
          <w:rFonts w:asciiTheme="majorHAnsi" w:eastAsia="Calibri" w:hAnsiTheme="majorHAnsi"/>
        </w:rPr>
      </w:pPr>
      <w:r w:rsidRPr="00734AB6">
        <w:rPr>
          <w:rFonts w:asciiTheme="majorHAnsi" w:eastAsia="Calibri" w:hAnsiTheme="majorHAnsi"/>
        </w:rPr>
        <w:tab/>
      </w:r>
      <w:r w:rsidR="00076662" w:rsidRPr="00734AB6">
        <w:rPr>
          <w:rFonts w:asciiTheme="majorHAnsi" w:eastAsia="Calibri" w:hAnsiTheme="majorHAnsi"/>
        </w:rPr>
        <w:t>(congruent, incongruent and neutral) for the numbers of correct trials</w:t>
      </w:r>
      <w:r w:rsidR="00D4306C" w:rsidRPr="00734AB6">
        <w:rPr>
          <w:rFonts w:asciiTheme="majorHAnsi" w:eastAsia="Calibri" w:hAnsiTheme="majorHAnsi"/>
        </w:rPr>
        <w:t>……………</w:t>
      </w:r>
      <w:r w:rsidR="00E54558" w:rsidRPr="00734AB6">
        <w:rPr>
          <w:rFonts w:asciiTheme="majorHAnsi" w:eastAsia="Calibri" w:hAnsiTheme="majorHAnsi"/>
        </w:rPr>
        <w:t>.</w:t>
      </w:r>
      <w:r w:rsidR="00D4306C" w:rsidRPr="00734AB6">
        <w:rPr>
          <w:rFonts w:asciiTheme="majorHAnsi" w:eastAsia="Calibri" w:hAnsiTheme="majorHAnsi"/>
        </w:rPr>
        <w:t>…13</w:t>
      </w:r>
      <w:r w:rsidR="00E540CC" w:rsidRPr="00734AB6">
        <w:rPr>
          <w:rFonts w:asciiTheme="majorHAnsi" w:eastAsia="Calibri" w:hAnsiTheme="majorHAnsi"/>
        </w:rPr>
        <w:t>6</w:t>
      </w:r>
    </w:p>
    <w:p w14:paraId="4D0E7C6F" w14:textId="71D04CA0" w:rsidR="008542FE" w:rsidRPr="00734AB6" w:rsidRDefault="009D2794" w:rsidP="00076662">
      <w:pPr>
        <w:tabs>
          <w:tab w:val="left" w:pos="1134"/>
        </w:tabs>
        <w:spacing w:line="360" w:lineRule="auto"/>
        <w:ind w:left="1134" w:hanging="1134"/>
        <w:rPr>
          <w:rFonts w:asciiTheme="majorHAnsi" w:hAnsiTheme="majorHAnsi"/>
          <w:b/>
        </w:rPr>
      </w:pPr>
      <w:r w:rsidRPr="00734AB6">
        <w:rPr>
          <w:rFonts w:asciiTheme="majorHAnsi" w:hAnsiTheme="majorHAnsi"/>
          <w:b/>
        </w:rPr>
        <w:t>Appendix A</w:t>
      </w:r>
    </w:p>
    <w:p w14:paraId="38D02D73" w14:textId="77777777" w:rsidR="00D82A4F" w:rsidRPr="00734AB6" w:rsidRDefault="009D2794" w:rsidP="009D2794">
      <w:pPr>
        <w:tabs>
          <w:tab w:val="left" w:pos="1134"/>
        </w:tabs>
        <w:spacing w:line="360" w:lineRule="auto"/>
        <w:ind w:left="1134" w:hanging="1134"/>
        <w:rPr>
          <w:rFonts w:asciiTheme="majorHAnsi" w:hAnsiTheme="majorHAnsi"/>
        </w:rPr>
      </w:pPr>
      <w:r w:rsidRPr="00734AB6">
        <w:rPr>
          <w:rFonts w:asciiTheme="majorHAnsi" w:hAnsiTheme="majorHAnsi"/>
        </w:rPr>
        <w:t>A(ix)</w:t>
      </w:r>
      <w:r w:rsidRPr="00734AB6">
        <w:rPr>
          <w:rFonts w:asciiTheme="majorHAnsi" w:hAnsiTheme="majorHAnsi"/>
        </w:rPr>
        <w:tab/>
        <w:t xml:space="preserve">The interaction between the reported immediate and longer-lasting effects </w:t>
      </w:r>
    </w:p>
    <w:p w14:paraId="05FD3901" w14:textId="728B737F" w:rsidR="009D2794" w:rsidRPr="00734AB6" w:rsidRDefault="00D82A4F" w:rsidP="009D2794">
      <w:pPr>
        <w:tabs>
          <w:tab w:val="left" w:pos="1134"/>
        </w:tabs>
        <w:spacing w:line="360" w:lineRule="auto"/>
        <w:ind w:left="1134" w:hanging="1134"/>
        <w:rPr>
          <w:rFonts w:asciiTheme="majorHAnsi" w:hAnsiTheme="majorHAnsi"/>
        </w:rPr>
      </w:pPr>
      <w:r w:rsidRPr="00734AB6">
        <w:rPr>
          <w:rFonts w:asciiTheme="majorHAnsi" w:hAnsiTheme="majorHAnsi"/>
        </w:rPr>
        <w:tab/>
      </w:r>
      <w:r w:rsidR="009D2794" w:rsidRPr="00734AB6">
        <w:rPr>
          <w:rFonts w:asciiTheme="majorHAnsi" w:hAnsiTheme="majorHAnsi"/>
        </w:rPr>
        <w:t>and the reported frequency of use of modafinil</w:t>
      </w:r>
      <w:r w:rsidRPr="00734AB6">
        <w:rPr>
          <w:rFonts w:asciiTheme="majorHAnsi" w:hAnsiTheme="majorHAnsi"/>
        </w:rPr>
        <w:t>……………………………………………………</w:t>
      </w:r>
      <w:r w:rsidR="00E54558" w:rsidRPr="00734AB6">
        <w:rPr>
          <w:rFonts w:asciiTheme="majorHAnsi" w:hAnsiTheme="majorHAnsi"/>
        </w:rPr>
        <w:t>20</w:t>
      </w:r>
      <w:r w:rsidR="00E540CC" w:rsidRPr="00734AB6">
        <w:rPr>
          <w:rFonts w:asciiTheme="majorHAnsi" w:hAnsiTheme="majorHAnsi"/>
        </w:rPr>
        <w:t>7</w:t>
      </w:r>
    </w:p>
    <w:p w14:paraId="62920E0C" w14:textId="1831D7C6" w:rsidR="009D2794" w:rsidRPr="00734AB6" w:rsidRDefault="009D2794" w:rsidP="009D2794">
      <w:pPr>
        <w:tabs>
          <w:tab w:val="left" w:pos="1134"/>
        </w:tabs>
        <w:spacing w:line="360" w:lineRule="auto"/>
        <w:ind w:left="1134" w:hanging="1134"/>
        <w:rPr>
          <w:rFonts w:asciiTheme="majorHAnsi" w:hAnsiTheme="majorHAnsi"/>
          <w:b/>
        </w:rPr>
      </w:pPr>
      <w:r w:rsidRPr="00734AB6">
        <w:rPr>
          <w:rFonts w:asciiTheme="majorHAnsi" w:hAnsiTheme="majorHAnsi"/>
          <w:b/>
        </w:rPr>
        <w:t>Appendix B</w:t>
      </w:r>
    </w:p>
    <w:p w14:paraId="5E809E59" w14:textId="6811A5C3" w:rsidR="009D2794" w:rsidRPr="00734AB6" w:rsidRDefault="009D2794" w:rsidP="009D2794">
      <w:pPr>
        <w:tabs>
          <w:tab w:val="left" w:pos="1134"/>
        </w:tabs>
        <w:spacing w:line="360" w:lineRule="auto"/>
        <w:ind w:left="1134" w:hanging="1134"/>
        <w:rPr>
          <w:rFonts w:asciiTheme="majorHAnsi" w:hAnsiTheme="majorHAnsi"/>
        </w:rPr>
      </w:pPr>
      <w:r w:rsidRPr="00734AB6">
        <w:rPr>
          <w:rFonts w:asciiTheme="majorHAnsi" w:hAnsiTheme="majorHAnsi"/>
        </w:rPr>
        <w:t>B(xv)</w:t>
      </w:r>
      <w:r w:rsidRPr="00734AB6">
        <w:rPr>
          <w:rFonts w:asciiTheme="majorHAnsi" w:hAnsiTheme="majorHAnsi"/>
        </w:rPr>
        <w:tab/>
        <w:t>Scree plot of eigenvalues for CFQ factors</w:t>
      </w:r>
      <w:r w:rsidR="00246AD8" w:rsidRPr="00734AB6">
        <w:rPr>
          <w:rFonts w:asciiTheme="majorHAnsi" w:hAnsiTheme="majorHAnsi"/>
        </w:rPr>
        <w:t>………………………………………………………………24</w:t>
      </w:r>
      <w:r w:rsidR="00E540CC" w:rsidRPr="00734AB6">
        <w:rPr>
          <w:rFonts w:asciiTheme="majorHAnsi" w:hAnsiTheme="majorHAnsi"/>
        </w:rPr>
        <w:t>4</w:t>
      </w:r>
    </w:p>
    <w:p w14:paraId="4B2F929B" w14:textId="69EA0B36" w:rsidR="009D2794" w:rsidRPr="00734AB6" w:rsidRDefault="009D2794" w:rsidP="009D2794">
      <w:pPr>
        <w:tabs>
          <w:tab w:val="left" w:pos="1134"/>
        </w:tabs>
        <w:spacing w:line="360" w:lineRule="auto"/>
        <w:ind w:left="1134" w:hanging="1134"/>
        <w:rPr>
          <w:rFonts w:asciiTheme="majorHAnsi" w:hAnsiTheme="majorHAnsi"/>
          <w:b/>
        </w:rPr>
      </w:pPr>
      <w:r w:rsidRPr="00734AB6">
        <w:rPr>
          <w:rFonts w:asciiTheme="majorHAnsi" w:hAnsiTheme="majorHAnsi"/>
          <w:b/>
        </w:rPr>
        <w:t>Appendix C</w:t>
      </w:r>
    </w:p>
    <w:p w14:paraId="54C70324" w14:textId="01A54E39" w:rsidR="009D2794" w:rsidRPr="00734AB6" w:rsidRDefault="009D2794" w:rsidP="009D2794">
      <w:pPr>
        <w:tabs>
          <w:tab w:val="left" w:pos="1134"/>
        </w:tabs>
        <w:spacing w:line="360" w:lineRule="auto"/>
        <w:ind w:left="1134" w:hanging="1134"/>
        <w:rPr>
          <w:rFonts w:asciiTheme="majorHAnsi" w:hAnsiTheme="majorHAnsi"/>
        </w:rPr>
      </w:pPr>
      <w:r w:rsidRPr="00734AB6">
        <w:rPr>
          <w:rFonts w:asciiTheme="majorHAnsi" w:hAnsiTheme="majorHAnsi"/>
        </w:rPr>
        <w:t>C(v)</w:t>
      </w:r>
      <w:r w:rsidRPr="00734AB6">
        <w:rPr>
          <w:rFonts w:asciiTheme="majorHAnsi" w:hAnsiTheme="majorHAnsi"/>
        </w:rPr>
        <w:tab/>
        <w:t>Education level by group</w:t>
      </w:r>
      <w:r w:rsidR="00D82A4F" w:rsidRPr="00734AB6">
        <w:rPr>
          <w:rFonts w:asciiTheme="majorHAnsi" w:hAnsiTheme="majorHAnsi"/>
        </w:rPr>
        <w:t>………</w:t>
      </w:r>
      <w:r w:rsidR="00E54558" w:rsidRPr="00734AB6">
        <w:rPr>
          <w:rFonts w:asciiTheme="majorHAnsi" w:hAnsiTheme="majorHAnsi"/>
        </w:rPr>
        <w:t>…</w:t>
      </w:r>
      <w:r w:rsidR="00246AD8" w:rsidRPr="00734AB6">
        <w:rPr>
          <w:rFonts w:asciiTheme="majorHAnsi" w:hAnsiTheme="majorHAnsi"/>
        </w:rPr>
        <w:t>……………………………………………………………………………2</w:t>
      </w:r>
      <w:r w:rsidR="00E540CC" w:rsidRPr="00734AB6">
        <w:rPr>
          <w:rFonts w:asciiTheme="majorHAnsi" w:hAnsiTheme="majorHAnsi"/>
        </w:rPr>
        <w:t>51</w:t>
      </w:r>
    </w:p>
    <w:p w14:paraId="42E43AC9" w14:textId="77777777" w:rsidR="00926D5F" w:rsidRPr="00734AB6" w:rsidRDefault="00926D5F" w:rsidP="0099584D">
      <w:pPr>
        <w:pBdr>
          <w:top w:val="double" w:sz="4" w:space="1" w:color="auto"/>
        </w:pBdr>
        <w:spacing w:line="360" w:lineRule="auto"/>
        <w:rPr>
          <w:rFonts w:asciiTheme="majorHAnsi" w:hAnsiTheme="majorHAnsi"/>
        </w:rPr>
      </w:pPr>
    </w:p>
    <w:p w14:paraId="550A92CF" w14:textId="77777777" w:rsidR="00996ADD" w:rsidRPr="00734AB6" w:rsidRDefault="00996ADD" w:rsidP="0099584D">
      <w:pPr>
        <w:pBdr>
          <w:top w:val="double" w:sz="4" w:space="1" w:color="auto"/>
        </w:pBdr>
        <w:spacing w:line="360" w:lineRule="auto"/>
        <w:rPr>
          <w:rFonts w:asciiTheme="majorHAnsi" w:hAnsiTheme="majorHAnsi"/>
        </w:rPr>
      </w:pPr>
      <w:r w:rsidRPr="00734AB6">
        <w:rPr>
          <w:rFonts w:asciiTheme="majorHAnsi" w:hAnsiTheme="majorHAnsi"/>
        </w:rPr>
        <w:br w:type="page"/>
      </w:r>
    </w:p>
    <w:p w14:paraId="11AEE598" w14:textId="77777777" w:rsidR="00996ADD" w:rsidRPr="00734AB6" w:rsidRDefault="00996ADD" w:rsidP="0099584D">
      <w:pPr>
        <w:spacing w:line="360" w:lineRule="auto"/>
        <w:rPr>
          <w:rFonts w:asciiTheme="majorHAnsi" w:hAnsiTheme="majorHAnsi"/>
        </w:rPr>
      </w:pPr>
    </w:p>
    <w:p w14:paraId="5146864A" w14:textId="3F902FA2" w:rsidR="00BC42FC" w:rsidRPr="00734AB6" w:rsidRDefault="00876DA2" w:rsidP="0099584D">
      <w:pPr>
        <w:pStyle w:val="Heading1"/>
        <w:spacing w:line="360" w:lineRule="auto"/>
        <w:jc w:val="center"/>
        <w:rPr>
          <w:b/>
          <w:color w:val="000000" w:themeColor="text1"/>
          <w:sz w:val="22"/>
          <w:szCs w:val="22"/>
        </w:rPr>
      </w:pPr>
      <w:bookmarkStart w:id="0" w:name="_Toc48136314"/>
      <w:r w:rsidRPr="00734AB6">
        <w:rPr>
          <w:b/>
          <w:color w:val="000000" w:themeColor="text1"/>
          <w:sz w:val="22"/>
          <w:szCs w:val="22"/>
        </w:rPr>
        <w:t>DISSEMINATION OF FINDINGS</w:t>
      </w:r>
      <w:bookmarkEnd w:id="0"/>
    </w:p>
    <w:p w14:paraId="2C5DBDE6" w14:textId="77777777" w:rsidR="00257BCD" w:rsidRPr="00734AB6" w:rsidRDefault="00257BCD" w:rsidP="0099584D">
      <w:pPr>
        <w:spacing w:line="360" w:lineRule="auto"/>
        <w:rPr>
          <w:rFonts w:asciiTheme="majorHAnsi" w:hAnsiTheme="majorHAnsi"/>
          <w:b/>
        </w:rPr>
      </w:pPr>
    </w:p>
    <w:p w14:paraId="49A7D187" w14:textId="77777777" w:rsidR="00BC42FC" w:rsidRPr="00734AB6" w:rsidRDefault="00BC42FC" w:rsidP="0099584D">
      <w:pPr>
        <w:spacing w:line="360" w:lineRule="auto"/>
        <w:rPr>
          <w:rFonts w:asciiTheme="majorHAnsi" w:hAnsiTheme="majorHAnsi"/>
        </w:rPr>
      </w:pPr>
      <w:r w:rsidRPr="00734AB6">
        <w:rPr>
          <w:rFonts w:asciiTheme="majorHAnsi" w:hAnsiTheme="majorHAnsi"/>
          <w:b/>
        </w:rPr>
        <w:t>Publications</w:t>
      </w:r>
    </w:p>
    <w:p w14:paraId="6E9FBC0F" w14:textId="77777777" w:rsidR="00BC42FC" w:rsidRPr="00734AB6" w:rsidRDefault="00BC42FC" w:rsidP="0099584D">
      <w:pPr>
        <w:spacing w:line="360" w:lineRule="auto"/>
        <w:ind w:left="993" w:hanging="993"/>
        <w:rPr>
          <w:rFonts w:asciiTheme="majorHAnsi" w:hAnsiTheme="majorHAnsi"/>
        </w:rPr>
      </w:pPr>
      <w:r w:rsidRPr="00734AB6">
        <w:rPr>
          <w:rFonts w:asciiTheme="majorHAnsi" w:hAnsiTheme="majorHAnsi"/>
        </w:rPr>
        <w:t>Teodorini, R. D., Rycroft, N., &amp; Smith-Spark, J. H. (2020). The off-prescription use of modafinil: An online survey of perceived risks and benefits. </w:t>
      </w:r>
      <w:proofErr w:type="spellStart"/>
      <w:r w:rsidRPr="00734AB6">
        <w:rPr>
          <w:rFonts w:asciiTheme="majorHAnsi" w:hAnsiTheme="majorHAnsi"/>
          <w:i/>
          <w:iCs/>
        </w:rPr>
        <w:t>PloS</w:t>
      </w:r>
      <w:proofErr w:type="spellEnd"/>
      <w:r w:rsidRPr="00734AB6">
        <w:rPr>
          <w:rFonts w:asciiTheme="majorHAnsi" w:hAnsiTheme="majorHAnsi"/>
          <w:i/>
          <w:iCs/>
        </w:rPr>
        <w:t xml:space="preserve"> one</w:t>
      </w:r>
      <w:r w:rsidRPr="00734AB6">
        <w:rPr>
          <w:rFonts w:asciiTheme="majorHAnsi" w:hAnsiTheme="majorHAnsi"/>
        </w:rPr>
        <w:t>, </w:t>
      </w:r>
      <w:r w:rsidRPr="00734AB6">
        <w:rPr>
          <w:rFonts w:asciiTheme="majorHAnsi" w:hAnsiTheme="majorHAnsi"/>
          <w:i/>
          <w:iCs/>
        </w:rPr>
        <w:t>15</w:t>
      </w:r>
      <w:r w:rsidRPr="00734AB6">
        <w:rPr>
          <w:rFonts w:asciiTheme="majorHAnsi" w:hAnsiTheme="majorHAnsi"/>
        </w:rPr>
        <w:t>(2), e0227818.</w:t>
      </w:r>
    </w:p>
    <w:p w14:paraId="405FF611" w14:textId="77777777" w:rsidR="00BC42FC" w:rsidRPr="00734AB6" w:rsidRDefault="00BC42FC" w:rsidP="0099584D">
      <w:pPr>
        <w:spacing w:line="360" w:lineRule="auto"/>
        <w:ind w:left="993" w:hanging="993"/>
        <w:rPr>
          <w:rFonts w:asciiTheme="majorHAnsi" w:hAnsiTheme="majorHAnsi"/>
        </w:rPr>
      </w:pPr>
    </w:p>
    <w:p w14:paraId="030CDC97" w14:textId="77777777" w:rsidR="00BC42FC" w:rsidRPr="00734AB6" w:rsidRDefault="00BC42FC" w:rsidP="0099584D">
      <w:pPr>
        <w:spacing w:line="360" w:lineRule="auto"/>
        <w:ind w:left="993" w:hanging="993"/>
        <w:rPr>
          <w:rFonts w:asciiTheme="majorHAnsi" w:hAnsiTheme="majorHAnsi"/>
        </w:rPr>
      </w:pPr>
      <w:r w:rsidRPr="00734AB6">
        <w:rPr>
          <w:rFonts w:asciiTheme="majorHAnsi" w:hAnsiTheme="majorHAnsi"/>
          <w:b/>
        </w:rPr>
        <w:t>Conference presentations</w:t>
      </w:r>
    </w:p>
    <w:p w14:paraId="785856ED" w14:textId="5821E5A3" w:rsidR="00A548CF" w:rsidRPr="00734AB6" w:rsidRDefault="00C33797" w:rsidP="0099584D">
      <w:pPr>
        <w:spacing w:line="360" w:lineRule="auto"/>
        <w:ind w:left="993" w:hanging="993"/>
        <w:rPr>
          <w:rFonts w:asciiTheme="majorHAnsi" w:hAnsiTheme="majorHAnsi"/>
        </w:rPr>
      </w:pPr>
      <w:r w:rsidRPr="00734AB6">
        <w:rPr>
          <w:rFonts w:asciiTheme="majorHAnsi" w:hAnsiTheme="majorHAnsi"/>
        </w:rPr>
        <w:t>Teodorini, R. D. (2019</w:t>
      </w:r>
      <w:r w:rsidR="00F75787" w:rsidRPr="00734AB6">
        <w:rPr>
          <w:rFonts w:asciiTheme="majorHAnsi" w:hAnsiTheme="majorHAnsi"/>
        </w:rPr>
        <w:t>, October</w:t>
      </w:r>
      <w:r w:rsidR="00797389" w:rsidRPr="00734AB6">
        <w:rPr>
          <w:rFonts w:asciiTheme="majorHAnsi" w:hAnsiTheme="majorHAnsi"/>
        </w:rPr>
        <w:t>, 23-25</w:t>
      </w:r>
      <w:r w:rsidRPr="00734AB6">
        <w:rPr>
          <w:rFonts w:asciiTheme="majorHAnsi" w:hAnsiTheme="majorHAnsi"/>
        </w:rPr>
        <w:t xml:space="preserve">). </w:t>
      </w:r>
      <w:r w:rsidRPr="00734AB6">
        <w:rPr>
          <w:rFonts w:asciiTheme="majorHAnsi" w:hAnsiTheme="majorHAnsi"/>
          <w:i/>
        </w:rPr>
        <w:t>The Off-prescription use of modafinil: an online survey of perceived risks and benefits</w:t>
      </w:r>
      <w:r w:rsidR="00797389" w:rsidRPr="00734AB6">
        <w:rPr>
          <w:rFonts w:asciiTheme="majorHAnsi" w:hAnsiTheme="majorHAnsi"/>
          <w:i/>
        </w:rPr>
        <w:t xml:space="preserve"> </w:t>
      </w:r>
      <w:r w:rsidR="00797389" w:rsidRPr="00734AB6">
        <w:rPr>
          <w:rFonts w:asciiTheme="majorHAnsi" w:hAnsiTheme="majorHAnsi"/>
        </w:rPr>
        <w:t>[Conference presentation]</w:t>
      </w:r>
      <w:r w:rsidRPr="00734AB6">
        <w:rPr>
          <w:rFonts w:asciiTheme="majorHAnsi" w:hAnsiTheme="majorHAnsi"/>
        </w:rPr>
        <w:t>. Lisbon Addictions</w:t>
      </w:r>
      <w:r w:rsidR="00035F3D" w:rsidRPr="00734AB6">
        <w:rPr>
          <w:rFonts w:asciiTheme="majorHAnsi" w:hAnsiTheme="majorHAnsi"/>
        </w:rPr>
        <w:t>,</w:t>
      </w:r>
      <w:r w:rsidRPr="00734AB6">
        <w:rPr>
          <w:rFonts w:asciiTheme="majorHAnsi" w:hAnsiTheme="majorHAnsi"/>
        </w:rPr>
        <w:t xml:space="preserve"> </w:t>
      </w:r>
      <w:r w:rsidR="00401696" w:rsidRPr="00734AB6">
        <w:rPr>
          <w:rFonts w:asciiTheme="majorHAnsi" w:hAnsiTheme="majorHAnsi"/>
        </w:rPr>
        <w:t xml:space="preserve">Lisbon, </w:t>
      </w:r>
      <w:proofErr w:type="spellStart"/>
      <w:r w:rsidR="00401696" w:rsidRPr="00734AB6">
        <w:rPr>
          <w:rFonts w:asciiTheme="majorHAnsi" w:hAnsiTheme="majorHAnsi"/>
        </w:rPr>
        <w:t>Potugal</w:t>
      </w:r>
      <w:proofErr w:type="spellEnd"/>
      <w:r w:rsidR="00F75787" w:rsidRPr="00734AB6">
        <w:rPr>
          <w:rFonts w:asciiTheme="majorHAnsi" w:hAnsiTheme="majorHAnsi"/>
        </w:rPr>
        <w:t>.</w:t>
      </w:r>
    </w:p>
    <w:p w14:paraId="7D285E25" w14:textId="6EDCF8DD" w:rsidR="000D7533" w:rsidRPr="00734AB6" w:rsidRDefault="00A548CF" w:rsidP="0099584D">
      <w:pPr>
        <w:spacing w:line="360" w:lineRule="auto"/>
        <w:ind w:left="993" w:hanging="993"/>
        <w:rPr>
          <w:rFonts w:asciiTheme="majorHAnsi" w:hAnsiTheme="majorHAnsi"/>
        </w:rPr>
      </w:pPr>
      <w:r w:rsidRPr="00734AB6">
        <w:rPr>
          <w:rFonts w:asciiTheme="majorHAnsi" w:hAnsiTheme="majorHAnsi"/>
        </w:rPr>
        <w:t>Teodorini, R. D. (2018</w:t>
      </w:r>
      <w:r w:rsidR="00F75787" w:rsidRPr="00734AB6">
        <w:rPr>
          <w:rFonts w:asciiTheme="majorHAnsi" w:hAnsiTheme="majorHAnsi"/>
        </w:rPr>
        <w:t>, July</w:t>
      </w:r>
      <w:r w:rsidR="00035F3D" w:rsidRPr="00734AB6">
        <w:rPr>
          <w:rFonts w:asciiTheme="majorHAnsi" w:hAnsiTheme="majorHAnsi"/>
        </w:rPr>
        <w:t>, 22-25</w:t>
      </w:r>
      <w:r w:rsidRPr="00734AB6">
        <w:rPr>
          <w:rFonts w:asciiTheme="majorHAnsi" w:hAnsiTheme="majorHAnsi"/>
        </w:rPr>
        <w:t xml:space="preserve">). </w:t>
      </w:r>
      <w:r w:rsidRPr="00734AB6">
        <w:rPr>
          <w:rFonts w:asciiTheme="majorHAnsi" w:hAnsiTheme="majorHAnsi"/>
          <w:i/>
        </w:rPr>
        <w:t>The Off-prescription use of modafinil: perceived risks and bene</w:t>
      </w:r>
      <w:r w:rsidR="00035F3D" w:rsidRPr="00734AB6">
        <w:rPr>
          <w:rFonts w:asciiTheme="majorHAnsi" w:hAnsiTheme="majorHAnsi"/>
          <w:i/>
        </w:rPr>
        <w:t xml:space="preserve">fits </w:t>
      </w:r>
      <w:r w:rsidR="00035F3D" w:rsidRPr="00734AB6">
        <w:rPr>
          <w:rFonts w:asciiTheme="majorHAnsi" w:hAnsiTheme="majorHAnsi"/>
        </w:rPr>
        <w:t>[Po</w:t>
      </w:r>
      <w:r w:rsidR="00F75787" w:rsidRPr="00734AB6">
        <w:rPr>
          <w:rFonts w:asciiTheme="majorHAnsi" w:hAnsiTheme="majorHAnsi"/>
        </w:rPr>
        <w:t xml:space="preserve">ster </w:t>
      </w:r>
      <w:r w:rsidR="00035F3D" w:rsidRPr="00734AB6">
        <w:rPr>
          <w:rFonts w:asciiTheme="majorHAnsi" w:hAnsiTheme="majorHAnsi"/>
        </w:rPr>
        <w:t>session].</w:t>
      </w:r>
      <w:r w:rsidRPr="00734AB6">
        <w:rPr>
          <w:rFonts w:asciiTheme="majorHAnsi" w:hAnsiTheme="majorHAnsi"/>
        </w:rPr>
        <w:t xml:space="preserve"> British Association for Psy</w:t>
      </w:r>
      <w:r w:rsidR="00F75787" w:rsidRPr="00734AB6">
        <w:rPr>
          <w:rFonts w:asciiTheme="majorHAnsi" w:hAnsiTheme="majorHAnsi"/>
        </w:rPr>
        <w:t>chopharmacology</w:t>
      </w:r>
      <w:r w:rsidR="00035F3D" w:rsidRPr="00734AB6">
        <w:rPr>
          <w:rFonts w:asciiTheme="majorHAnsi" w:hAnsiTheme="majorHAnsi"/>
        </w:rPr>
        <w:t xml:space="preserve"> Summer Meeting</w:t>
      </w:r>
      <w:r w:rsidR="00401696" w:rsidRPr="00734AB6">
        <w:rPr>
          <w:rFonts w:asciiTheme="majorHAnsi" w:hAnsiTheme="majorHAnsi"/>
        </w:rPr>
        <w:t>, London, UK</w:t>
      </w:r>
      <w:r w:rsidRPr="00734AB6">
        <w:rPr>
          <w:rFonts w:asciiTheme="majorHAnsi" w:hAnsiTheme="majorHAnsi"/>
        </w:rPr>
        <w:t>.</w:t>
      </w:r>
    </w:p>
    <w:p w14:paraId="677EC2F6" w14:textId="77777777" w:rsidR="000D7533" w:rsidRPr="00734AB6" w:rsidRDefault="000D7533" w:rsidP="0099584D">
      <w:pPr>
        <w:spacing w:line="360" w:lineRule="auto"/>
        <w:ind w:left="993" w:hanging="993"/>
        <w:rPr>
          <w:rFonts w:asciiTheme="majorHAnsi" w:hAnsiTheme="majorHAnsi"/>
        </w:rPr>
      </w:pPr>
    </w:p>
    <w:p w14:paraId="73C3A7C6" w14:textId="77777777" w:rsidR="000D7533" w:rsidRPr="00734AB6" w:rsidRDefault="000D7533" w:rsidP="0099584D">
      <w:pPr>
        <w:spacing w:line="360" w:lineRule="auto"/>
        <w:rPr>
          <w:rFonts w:asciiTheme="majorHAnsi" w:hAnsiTheme="majorHAnsi"/>
        </w:rPr>
      </w:pPr>
      <w:r w:rsidRPr="00734AB6">
        <w:rPr>
          <w:rFonts w:asciiTheme="majorHAnsi" w:hAnsiTheme="majorHAnsi"/>
        </w:rPr>
        <w:br w:type="page"/>
      </w:r>
    </w:p>
    <w:p w14:paraId="5AA76FB4" w14:textId="6848A814" w:rsidR="000D7533" w:rsidRPr="00734AB6" w:rsidRDefault="00876DA2" w:rsidP="0099584D">
      <w:pPr>
        <w:pStyle w:val="Heading1"/>
        <w:spacing w:line="360" w:lineRule="auto"/>
        <w:jc w:val="center"/>
        <w:rPr>
          <w:b/>
          <w:color w:val="000000" w:themeColor="text1"/>
          <w:sz w:val="22"/>
          <w:szCs w:val="22"/>
        </w:rPr>
      </w:pPr>
      <w:bookmarkStart w:id="1" w:name="_Toc48136315"/>
      <w:r w:rsidRPr="00734AB6">
        <w:rPr>
          <w:b/>
          <w:color w:val="000000" w:themeColor="text1"/>
          <w:sz w:val="22"/>
          <w:szCs w:val="22"/>
        </w:rPr>
        <w:lastRenderedPageBreak/>
        <w:t>ABSTRACT</w:t>
      </w:r>
      <w:bookmarkEnd w:id="1"/>
    </w:p>
    <w:p w14:paraId="2D11106D" w14:textId="77777777" w:rsidR="00344A5F" w:rsidRPr="00734AB6" w:rsidRDefault="00344A5F" w:rsidP="00344A5F">
      <w:pPr>
        <w:rPr>
          <w:rFonts w:asciiTheme="majorHAnsi" w:hAnsiTheme="majorHAnsi"/>
        </w:rPr>
      </w:pPr>
    </w:p>
    <w:p w14:paraId="3A11D8B1" w14:textId="4FC712A5" w:rsidR="00ED48F8" w:rsidRPr="00734AB6" w:rsidRDefault="00344A5F" w:rsidP="0099584D">
      <w:pPr>
        <w:spacing w:line="360" w:lineRule="auto"/>
        <w:rPr>
          <w:rFonts w:asciiTheme="majorHAnsi" w:hAnsiTheme="majorHAnsi"/>
        </w:rPr>
      </w:pPr>
      <w:r w:rsidRPr="00734AB6">
        <w:rPr>
          <w:rFonts w:asciiTheme="majorHAnsi" w:hAnsiTheme="majorHAnsi"/>
        </w:rPr>
        <w:t xml:space="preserve">Many psychoactive pharmaceuticals, in addition to their intended clinical benefits, </w:t>
      </w:r>
      <w:r w:rsidR="00FE68E3" w:rsidRPr="00734AB6">
        <w:rPr>
          <w:rFonts w:asciiTheme="majorHAnsi" w:hAnsiTheme="majorHAnsi"/>
        </w:rPr>
        <w:t xml:space="preserve">can </w:t>
      </w:r>
      <w:r w:rsidRPr="00734AB6">
        <w:rPr>
          <w:rFonts w:asciiTheme="majorHAnsi" w:hAnsiTheme="majorHAnsi"/>
        </w:rPr>
        <w:t>also enhance cognitive functions</w:t>
      </w:r>
      <w:r w:rsidR="00FE68E3" w:rsidRPr="00734AB6">
        <w:rPr>
          <w:rFonts w:asciiTheme="majorHAnsi" w:hAnsiTheme="majorHAnsi"/>
        </w:rPr>
        <w:t xml:space="preserve"> in healthy populations</w:t>
      </w:r>
      <w:r w:rsidR="00BA2F9F" w:rsidRPr="00734AB6">
        <w:rPr>
          <w:rFonts w:asciiTheme="majorHAnsi" w:hAnsiTheme="majorHAnsi"/>
        </w:rPr>
        <w:t xml:space="preserve">. </w:t>
      </w:r>
      <w:r w:rsidRPr="00734AB6">
        <w:rPr>
          <w:rFonts w:asciiTheme="majorHAnsi" w:hAnsiTheme="majorHAnsi"/>
        </w:rPr>
        <w:t>Popularity in cognitive enhancing drug (CED) use has raised concerns about its possible risks and harms.  Modafinil and methylphenidate are, perhaps, the most consumed CEDs.  This thesis sought to understand more about the modafinil and methyl</w:t>
      </w:r>
      <w:r w:rsidR="003044CE" w:rsidRPr="00734AB6">
        <w:rPr>
          <w:rFonts w:asciiTheme="majorHAnsi" w:hAnsiTheme="majorHAnsi"/>
        </w:rPr>
        <w:t>phenidate off-prescription user and whether they are self-medicating for poor cognitive performance or enhancing</w:t>
      </w:r>
      <w:r w:rsidRPr="00734AB6">
        <w:rPr>
          <w:rFonts w:asciiTheme="majorHAnsi" w:hAnsiTheme="majorHAnsi"/>
        </w:rPr>
        <w:t>.  Study 1</w:t>
      </w:r>
      <w:r w:rsidR="001D078A" w:rsidRPr="00734AB6">
        <w:rPr>
          <w:rFonts w:asciiTheme="majorHAnsi" w:hAnsiTheme="majorHAnsi"/>
        </w:rPr>
        <w:t>,</w:t>
      </w:r>
      <w:r w:rsidRPr="00734AB6">
        <w:rPr>
          <w:rFonts w:asciiTheme="majorHAnsi" w:hAnsiTheme="majorHAnsi"/>
        </w:rPr>
        <w:t xml:space="preserve"> an online survey advertised on forum sites to reach the CED-using and student populations, reveal</w:t>
      </w:r>
      <w:r w:rsidR="001D078A" w:rsidRPr="00734AB6">
        <w:rPr>
          <w:rFonts w:asciiTheme="majorHAnsi" w:hAnsiTheme="majorHAnsi"/>
        </w:rPr>
        <w:t>ed</w:t>
      </w:r>
      <w:r w:rsidRPr="00734AB6">
        <w:rPr>
          <w:rFonts w:asciiTheme="majorHAnsi" w:hAnsiTheme="majorHAnsi"/>
        </w:rPr>
        <w:t xml:space="preserve"> that CED users are mostly male, </w:t>
      </w:r>
      <w:r w:rsidR="00BC6247" w:rsidRPr="00734AB6">
        <w:rPr>
          <w:rFonts w:asciiTheme="majorHAnsi" w:hAnsiTheme="majorHAnsi"/>
        </w:rPr>
        <w:t>North American</w:t>
      </w:r>
      <w:r w:rsidRPr="00734AB6">
        <w:rPr>
          <w:rFonts w:asciiTheme="majorHAnsi" w:hAnsiTheme="majorHAnsi"/>
        </w:rPr>
        <w:t xml:space="preserve"> or British, educated, employed and in their mid-20s.  Use of CEDs was associated with recreational drug use and psychiatric disorders. Daily use of modafinil was reported as providing the most benefits and that </w:t>
      </w:r>
      <w:r w:rsidR="001D078A" w:rsidRPr="00734AB6">
        <w:rPr>
          <w:rFonts w:asciiTheme="majorHAnsi" w:hAnsiTheme="majorHAnsi"/>
        </w:rPr>
        <w:t xml:space="preserve">benefits </w:t>
      </w:r>
      <w:r w:rsidRPr="00734AB6">
        <w:rPr>
          <w:rFonts w:asciiTheme="majorHAnsi" w:hAnsiTheme="majorHAnsi"/>
        </w:rPr>
        <w:t xml:space="preserve">increased with more frequent use. Modafinil was perceived as safe, whereas methylphenidate was perceived as more dangerous.  </w:t>
      </w:r>
      <w:r w:rsidR="00882F6E" w:rsidRPr="00734AB6">
        <w:rPr>
          <w:rFonts w:asciiTheme="majorHAnsi" w:hAnsiTheme="majorHAnsi"/>
        </w:rPr>
        <w:t xml:space="preserve">Study 1 could not </w:t>
      </w:r>
      <w:r w:rsidR="006972A1" w:rsidRPr="00734AB6">
        <w:rPr>
          <w:rFonts w:asciiTheme="majorHAnsi" w:hAnsiTheme="majorHAnsi"/>
        </w:rPr>
        <w:t>assess whether CED-using respondents were self-medicating</w:t>
      </w:r>
      <w:r w:rsidR="0022008B" w:rsidRPr="00734AB6">
        <w:rPr>
          <w:rFonts w:asciiTheme="majorHAnsi" w:hAnsiTheme="majorHAnsi"/>
        </w:rPr>
        <w:t xml:space="preserve"> </w:t>
      </w:r>
      <w:r w:rsidR="00FD704C" w:rsidRPr="00734AB6">
        <w:rPr>
          <w:rFonts w:asciiTheme="majorHAnsi" w:hAnsiTheme="majorHAnsi"/>
        </w:rPr>
        <w:t>or enhancing</w:t>
      </w:r>
      <w:r w:rsidR="0022008B" w:rsidRPr="00734AB6">
        <w:rPr>
          <w:rFonts w:asciiTheme="majorHAnsi" w:hAnsiTheme="majorHAnsi"/>
        </w:rPr>
        <w:t>, therefore</w:t>
      </w:r>
      <w:r w:rsidR="00FD704C" w:rsidRPr="00734AB6">
        <w:rPr>
          <w:rFonts w:asciiTheme="majorHAnsi" w:hAnsiTheme="majorHAnsi"/>
        </w:rPr>
        <w:t>,</w:t>
      </w:r>
      <w:r w:rsidR="006972A1" w:rsidRPr="00734AB6">
        <w:rPr>
          <w:rFonts w:asciiTheme="majorHAnsi" w:hAnsiTheme="majorHAnsi"/>
        </w:rPr>
        <w:t xml:space="preserve"> </w:t>
      </w:r>
      <w:r w:rsidRPr="00734AB6">
        <w:rPr>
          <w:rFonts w:asciiTheme="majorHAnsi" w:hAnsiTheme="majorHAnsi"/>
        </w:rPr>
        <w:t>Study 2</w:t>
      </w:r>
      <w:r w:rsidR="0022008B" w:rsidRPr="00734AB6">
        <w:rPr>
          <w:rFonts w:asciiTheme="majorHAnsi" w:hAnsiTheme="majorHAnsi"/>
        </w:rPr>
        <w:t>, an online survey,</w:t>
      </w:r>
      <w:r w:rsidRPr="00734AB6">
        <w:rPr>
          <w:rFonts w:asciiTheme="majorHAnsi" w:hAnsiTheme="majorHAnsi"/>
        </w:rPr>
        <w:t xml:space="preserve"> </w:t>
      </w:r>
      <w:r w:rsidR="006972A1" w:rsidRPr="00734AB6">
        <w:rPr>
          <w:rFonts w:asciiTheme="majorHAnsi" w:hAnsiTheme="majorHAnsi"/>
        </w:rPr>
        <w:t>address</w:t>
      </w:r>
      <w:r w:rsidR="0022008B" w:rsidRPr="00734AB6">
        <w:rPr>
          <w:rFonts w:asciiTheme="majorHAnsi" w:hAnsiTheme="majorHAnsi"/>
        </w:rPr>
        <w:t>ed</w:t>
      </w:r>
      <w:r w:rsidR="006972A1" w:rsidRPr="00734AB6">
        <w:rPr>
          <w:rFonts w:asciiTheme="majorHAnsi" w:hAnsiTheme="majorHAnsi"/>
        </w:rPr>
        <w:t xml:space="preserve"> this</w:t>
      </w:r>
      <w:r w:rsidRPr="00734AB6">
        <w:rPr>
          <w:rFonts w:asciiTheme="majorHAnsi" w:hAnsiTheme="majorHAnsi"/>
        </w:rPr>
        <w:t xml:space="preserve"> via the Cognitive Failures Questionnaire (Broadbent, Cooper, Fitzgerald &amp; Parks, 1982), the General Procrastination Questionnaire (Lay, 1986), and the Adult ADHD Self-Report Scale</w:t>
      </w:r>
      <w:r w:rsidR="00D74AF1" w:rsidRPr="00734AB6">
        <w:rPr>
          <w:rFonts w:asciiTheme="majorHAnsi" w:hAnsiTheme="majorHAnsi"/>
        </w:rPr>
        <w:t>,</w:t>
      </w:r>
      <w:r w:rsidR="006972A1" w:rsidRPr="00734AB6">
        <w:rPr>
          <w:rFonts w:asciiTheme="majorHAnsi" w:hAnsiTheme="majorHAnsi"/>
        </w:rPr>
        <w:t xml:space="preserve"> in addition to questions on CED and recreational drug use</w:t>
      </w:r>
      <w:r w:rsidRPr="00734AB6">
        <w:rPr>
          <w:rFonts w:asciiTheme="majorHAnsi" w:hAnsiTheme="majorHAnsi"/>
        </w:rPr>
        <w:t xml:space="preserve">. </w:t>
      </w:r>
      <w:r w:rsidR="00D74AF1" w:rsidRPr="00734AB6">
        <w:rPr>
          <w:rFonts w:asciiTheme="majorHAnsi" w:hAnsiTheme="majorHAnsi"/>
        </w:rPr>
        <w:t xml:space="preserve">The results </w:t>
      </w:r>
      <w:r w:rsidR="00D10EFF" w:rsidRPr="00734AB6">
        <w:rPr>
          <w:rFonts w:asciiTheme="majorHAnsi" w:hAnsiTheme="majorHAnsi"/>
        </w:rPr>
        <w:t>revealed</w:t>
      </w:r>
      <w:r w:rsidR="00D74AF1" w:rsidRPr="00734AB6">
        <w:rPr>
          <w:rFonts w:asciiTheme="majorHAnsi" w:hAnsiTheme="majorHAnsi"/>
        </w:rPr>
        <w:t xml:space="preserve"> that the CED-user groups </w:t>
      </w:r>
      <w:r w:rsidR="00FD704C" w:rsidRPr="00734AB6">
        <w:rPr>
          <w:rFonts w:asciiTheme="majorHAnsi" w:hAnsiTheme="majorHAnsi"/>
        </w:rPr>
        <w:t>reported</w:t>
      </w:r>
      <w:r w:rsidR="00CB2EE3" w:rsidRPr="00734AB6">
        <w:rPr>
          <w:rFonts w:asciiTheme="majorHAnsi" w:hAnsiTheme="majorHAnsi"/>
        </w:rPr>
        <w:t xml:space="preserve"> having problems with inattentio</w:t>
      </w:r>
      <w:r w:rsidR="00D10EFF" w:rsidRPr="00734AB6">
        <w:rPr>
          <w:rFonts w:asciiTheme="majorHAnsi" w:hAnsiTheme="majorHAnsi"/>
        </w:rPr>
        <w:t>n and procrastination compared with</w:t>
      </w:r>
      <w:r w:rsidR="00CB2EE3" w:rsidRPr="00734AB6">
        <w:rPr>
          <w:rFonts w:asciiTheme="majorHAnsi" w:hAnsiTheme="majorHAnsi"/>
        </w:rPr>
        <w:t xml:space="preserve"> controls.</w:t>
      </w:r>
      <w:r w:rsidR="00D74AF1" w:rsidRPr="00734AB6">
        <w:rPr>
          <w:rFonts w:asciiTheme="majorHAnsi" w:hAnsiTheme="majorHAnsi"/>
        </w:rPr>
        <w:t xml:space="preserve"> </w:t>
      </w:r>
      <w:r w:rsidRPr="00734AB6">
        <w:rPr>
          <w:rFonts w:asciiTheme="majorHAnsi" w:hAnsiTheme="majorHAnsi"/>
        </w:rPr>
        <w:t xml:space="preserve"> </w:t>
      </w:r>
      <w:r w:rsidR="00D10EFF" w:rsidRPr="00734AB6">
        <w:rPr>
          <w:rFonts w:asciiTheme="majorHAnsi" w:hAnsiTheme="majorHAnsi"/>
        </w:rPr>
        <w:t>Study 3, an experimental study, sought to verify this objectively</w:t>
      </w:r>
      <w:r w:rsidR="008904B0" w:rsidRPr="00734AB6">
        <w:rPr>
          <w:rFonts w:asciiTheme="majorHAnsi" w:hAnsiTheme="majorHAnsi"/>
        </w:rPr>
        <w:t>.</w:t>
      </w:r>
      <w:r w:rsidR="00D10EFF" w:rsidRPr="00734AB6">
        <w:rPr>
          <w:rFonts w:asciiTheme="majorHAnsi" w:hAnsiTheme="majorHAnsi"/>
        </w:rPr>
        <w:t xml:space="preserve"> </w:t>
      </w:r>
      <w:r w:rsidR="008904B0" w:rsidRPr="00734AB6">
        <w:rPr>
          <w:rFonts w:asciiTheme="majorHAnsi" w:hAnsiTheme="majorHAnsi"/>
        </w:rPr>
        <w:t>T</w:t>
      </w:r>
      <w:r w:rsidRPr="00734AB6">
        <w:rPr>
          <w:rFonts w:asciiTheme="majorHAnsi" w:hAnsiTheme="majorHAnsi"/>
        </w:rPr>
        <w:t xml:space="preserve">he cognitive performance of </w:t>
      </w:r>
      <w:r w:rsidR="008904B0" w:rsidRPr="00734AB6">
        <w:rPr>
          <w:rFonts w:asciiTheme="majorHAnsi" w:hAnsiTheme="majorHAnsi"/>
        </w:rPr>
        <w:t xml:space="preserve">43 </w:t>
      </w:r>
      <w:r w:rsidRPr="00734AB6">
        <w:rPr>
          <w:rFonts w:asciiTheme="majorHAnsi" w:hAnsiTheme="majorHAnsi"/>
        </w:rPr>
        <w:t>reported off-prescription users of modafinil and methylphenidate</w:t>
      </w:r>
      <w:r w:rsidR="008904B0" w:rsidRPr="00734AB6">
        <w:rPr>
          <w:rFonts w:asciiTheme="majorHAnsi" w:hAnsiTheme="majorHAnsi"/>
        </w:rPr>
        <w:t xml:space="preserve"> and 47 controls was tested using t</w:t>
      </w:r>
      <w:r w:rsidRPr="00734AB6">
        <w:rPr>
          <w:rFonts w:asciiTheme="majorHAnsi" w:hAnsiTheme="majorHAnsi"/>
        </w:rPr>
        <w:t>he Arrow Flanker Task (</w:t>
      </w:r>
      <w:proofErr w:type="spellStart"/>
      <w:r w:rsidRPr="00734AB6">
        <w:rPr>
          <w:rFonts w:asciiTheme="majorHAnsi" w:hAnsiTheme="majorHAnsi"/>
        </w:rPr>
        <w:t>Ridderinkhof</w:t>
      </w:r>
      <w:proofErr w:type="spellEnd"/>
      <w:r w:rsidRPr="00734AB6">
        <w:rPr>
          <w:rFonts w:asciiTheme="majorHAnsi" w:hAnsiTheme="majorHAnsi"/>
        </w:rPr>
        <w:t xml:space="preserve">, van der </w:t>
      </w:r>
      <w:proofErr w:type="spellStart"/>
      <w:r w:rsidRPr="00734AB6">
        <w:rPr>
          <w:rFonts w:asciiTheme="majorHAnsi" w:hAnsiTheme="majorHAnsi"/>
        </w:rPr>
        <w:t>Molen</w:t>
      </w:r>
      <w:proofErr w:type="spellEnd"/>
      <w:r w:rsidRPr="00734AB6">
        <w:rPr>
          <w:rFonts w:asciiTheme="majorHAnsi" w:hAnsiTheme="majorHAnsi"/>
        </w:rPr>
        <w:t xml:space="preserve">, Band &amp; </w:t>
      </w:r>
      <w:proofErr w:type="spellStart"/>
      <w:r w:rsidRPr="00734AB6">
        <w:rPr>
          <w:rFonts w:asciiTheme="majorHAnsi" w:hAnsiTheme="majorHAnsi"/>
        </w:rPr>
        <w:t>Bashore</w:t>
      </w:r>
      <w:proofErr w:type="spellEnd"/>
      <w:r w:rsidRPr="00734AB6">
        <w:rPr>
          <w:rFonts w:asciiTheme="majorHAnsi" w:hAnsiTheme="majorHAnsi"/>
        </w:rPr>
        <w:t xml:space="preserve">, 1997) and the </w:t>
      </w:r>
      <w:proofErr w:type="spellStart"/>
      <w:r w:rsidRPr="00734AB6">
        <w:rPr>
          <w:rFonts w:asciiTheme="majorHAnsi" w:hAnsiTheme="majorHAnsi"/>
        </w:rPr>
        <w:t>Antisaccade</w:t>
      </w:r>
      <w:proofErr w:type="spellEnd"/>
      <w:r w:rsidRPr="00734AB6">
        <w:rPr>
          <w:rFonts w:asciiTheme="majorHAnsi" w:hAnsiTheme="majorHAnsi"/>
        </w:rPr>
        <w:t xml:space="preserve"> task (Hallett, 1978), together with the self-report Behaviour Rating Inventory of Executive Function - Adults questionnaire (</w:t>
      </w:r>
      <w:proofErr w:type="spellStart"/>
      <w:r w:rsidRPr="00734AB6">
        <w:rPr>
          <w:rFonts w:asciiTheme="majorHAnsi" w:hAnsiTheme="majorHAnsi"/>
        </w:rPr>
        <w:t>Gioia</w:t>
      </w:r>
      <w:proofErr w:type="spellEnd"/>
      <w:r w:rsidRPr="00734AB6">
        <w:rPr>
          <w:rFonts w:asciiTheme="majorHAnsi" w:hAnsiTheme="majorHAnsi"/>
        </w:rPr>
        <w:t xml:space="preserve">, </w:t>
      </w:r>
      <w:proofErr w:type="spellStart"/>
      <w:r w:rsidRPr="00734AB6">
        <w:rPr>
          <w:rFonts w:asciiTheme="majorHAnsi" w:hAnsiTheme="majorHAnsi"/>
        </w:rPr>
        <w:t>Isquith</w:t>
      </w:r>
      <w:proofErr w:type="spellEnd"/>
      <w:r w:rsidRPr="00734AB6">
        <w:rPr>
          <w:rFonts w:asciiTheme="majorHAnsi" w:hAnsiTheme="majorHAnsi"/>
        </w:rPr>
        <w:t xml:space="preserve">, Guy &amp; Kenworthy, 2000). </w:t>
      </w:r>
      <w:r w:rsidR="00CB2EE3" w:rsidRPr="00734AB6">
        <w:rPr>
          <w:rFonts w:asciiTheme="majorHAnsi" w:hAnsiTheme="majorHAnsi"/>
        </w:rPr>
        <w:t xml:space="preserve">The results indicated that the CED-user </w:t>
      </w:r>
      <w:r w:rsidR="00745823" w:rsidRPr="00734AB6">
        <w:rPr>
          <w:rFonts w:asciiTheme="majorHAnsi" w:hAnsiTheme="majorHAnsi"/>
        </w:rPr>
        <w:t xml:space="preserve">group </w:t>
      </w:r>
      <w:r w:rsidR="00C02B10" w:rsidRPr="00734AB6">
        <w:rPr>
          <w:rFonts w:asciiTheme="majorHAnsi" w:hAnsiTheme="majorHAnsi"/>
        </w:rPr>
        <w:t>demonstrated good</w:t>
      </w:r>
      <w:r w:rsidR="00745823" w:rsidRPr="00734AB6">
        <w:rPr>
          <w:rFonts w:asciiTheme="majorHAnsi" w:hAnsiTheme="majorHAnsi"/>
        </w:rPr>
        <w:t xml:space="preserve"> cognitive </w:t>
      </w:r>
      <w:r w:rsidR="006031E5" w:rsidRPr="00734AB6">
        <w:rPr>
          <w:rFonts w:asciiTheme="majorHAnsi" w:hAnsiTheme="majorHAnsi"/>
        </w:rPr>
        <w:t>performance</w:t>
      </w:r>
      <w:r w:rsidR="00745823" w:rsidRPr="00734AB6">
        <w:rPr>
          <w:rFonts w:asciiTheme="majorHAnsi" w:hAnsiTheme="majorHAnsi"/>
        </w:rPr>
        <w:t xml:space="preserve"> and therefore were likely to be enhancing rather than self-medicating.</w:t>
      </w:r>
      <w:r w:rsidR="00C02B10" w:rsidRPr="00734AB6">
        <w:rPr>
          <w:rFonts w:asciiTheme="majorHAnsi" w:hAnsiTheme="majorHAnsi"/>
        </w:rPr>
        <w:t xml:space="preserve"> The </w:t>
      </w:r>
      <w:r w:rsidR="00ED48F8" w:rsidRPr="00734AB6">
        <w:rPr>
          <w:rFonts w:asciiTheme="majorHAnsi" w:hAnsiTheme="majorHAnsi"/>
        </w:rPr>
        <w:t>implications of these</w:t>
      </w:r>
      <w:r w:rsidR="00A0528A" w:rsidRPr="00734AB6">
        <w:rPr>
          <w:rFonts w:asciiTheme="majorHAnsi" w:hAnsiTheme="majorHAnsi"/>
        </w:rPr>
        <w:t xml:space="preserve"> findings </w:t>
      </w:r>
      <w:r w:rsidR="00ED48F8" w:rsidRPr="00734AB6">
        <w:rPr>
          <w:rFonts w:asciiTheme="majorHAnsi" w:hAnsiTheme="majorHAnsi"/>
        </w:rPr>
        <w:t xml:space="preserve">are discussed in relation </w:t>
      </w:r>
      <w:r w:rsidR="00BA2F9F" w:rsidRPr="00734AB6">
        <w:rPr>
          <w:rFonts w:asciiTheme="majorHAnsi" w:hAnsiTheme="majorHAnsi"/>
        </w:rPr>
        <w:t xml:space="preserve">to future research, ethical </w:t>
      </w:r>
      <w:r w:rsidR="00C6630D" w:rsidRPr="00734AB6">
        <w:rPr>
          <w:rFonts w:asciiTheme="majorHAnsi" w:hAnsiTheme="majorHAnsi"/>
        </w:rPr>
        <w:t>debates,</w:t>
      </w:r>
      <w:r w:rsidR="00BA2F9F" w:rsidRPr="00734AB6">
        <w:rPr>
          <w:rFonts w:asciiTheme="majorHAnsi" w:hAnsiTheme="majorHAnsi"/>
        </w:rPr>
        <w:t xml:space="preserve"> and government policy.</w:t>
      </w:r>
    </w:p>
    <w:p w14:paraId="25AEF3C2" w14:textId="77777777" w:rsidR="00F248D5" w:rsidRPr="00734AB6" w:rsidRDefault="00F248D5" w:rsidP="0099584D">
      <w:pPr>
        <w:spacing w:line="360" w:lineRule="auto"/>
        <w:rPr>
          <w:rFonts w:asciiTheme="majorHAnsi" w:hAnsiTheme="majorHAnsi"/>
        </w:rPr>
      </w:pPr>
    </w:p>
    <w:p w14:paraId="3835B491" w14:textId="794BDC9E" w:rsidR="003D5A18" w:rsidRPr="00734AB6" w:rsidRDefault="003D5A18" w:rsidP="0099584D">
      <w:pPr>
        <w:spacing w:line="360" w:lineRule="auto"/>
        <w:rPr>
          <w:rFonts w:asciiTheme="majorHAnsi" w:hAnsiTheme="majorHAnsi"/>
        </w:rPr>
      </w:pPr>
      <w:r w:rsidRPr="00734AB6">
        <w:rPr>
          <w:rFonts w:asciiTheme="majorHAnsi" w:hAnsiTheme="majorHAnsi"/>
        </w:rPr>
        <w:br w:type="page"/>
      </w:r>
    </w:p>
    <w:p w14:paraId="566E25A8" w14:textId="77777777" w:rsidR="000D7533" w:rsidRPr="00734AB6" w:rsidRDefault="000D7533" w:rsidP="0099584D">
      <w:pPr>
        <w:spacing w:line="360" w:lineRule="auto"/>
        <w:rPr>
          <w:rFonts w:asciiTheme="majorHAnsi" w:hAnsiTheme="majorHAnsi"/>
        </w:rPr>
      </w:pPr>
    </w:p>
    <w:p w14:paraId="152E5688" w14:textId="6FC6475A" w:rsidR="00D9490A" w:rsidRPr="00734AB6" w:rsidRDefault="00D9490A" w:rsidP="00D9490A">
      <w:pPr>
        <w:pStyle w:val="Heading1"/>
        <w:numPr>
          <w:ilvl w:val="0"/>
          <w:numId w:val="14"/>
        </w:numPr>
        <w:spacing w:after="240" w:line="360" w:lineRule="auto"/>
        <w:rPr>
          <w:b/>
          <w:color w:val="auto"/>
          <w:sz w:val="22"/>
          <w:szCs w:val="22"/>
        </w:rPr>
      </w:pPr>
      <w:bookmarkStart w:id="2" w:name="_Toc48136316"/>
      <w:r w:rsidRPr="00734AB6">
        <w:rPr>
          <w:b/>
          <w:color w:val="auto"/>
          <w:sz w:val="22"/>
          <w:szCs w:val="22"/>
        </w:rPr>
        <w:t>CHAPTER ONE</w:t>
      </w:r>
      <w:bookmarkEnd w:id="2"/>
      <w:r w:rsidR="00654EC2" w:rsidRPr="00734AB6">
        <w:rPr>
          <w:b/>
          <w:color w:val="auto"/>
          <w:sz w:val="22"/>
          <w:szCs w:val="22"/>
        </w:rPr>
        <w:tab/>
      </w:r>
    </w:p>
    <w:p w14:paraId="7DAABC40" w14:textId="090A2080" w:rsidR="00637A50" w:rsidRPr="00734AB6" w:rsidRDefault="00D9490A" w:rsidP="00D9490A">
      <w:pPr>
        <w:pStyle w:val="Heading2"/>
        <w:spacing w:after="240" w:line="360" w:lineRule="auto"/>
        <w:rPr>
          <w:b/>
          <w:color w:val="auto"/>
          <w:sz w:val="22"/>
        </w:rPr>
      </w:pPr>
      <w:bookmarkStart w:id="3" w:name="_Toc48136317"/>
      <w:r w:rsidRPr="00734AB6">
        <w:rPr>
          <w:b/>
          <w:color w:val="auto"/>
          <w:sz w:val="22"/>
        </w:rPr>
        <w:t>1.1</w:t>
      </w:r>
      <w:r w:rsidRPr="00734AB6">
        <w:rPr>
          <w:b/>
          <w:color w:val="auto"/>
          <w:sz w:val="22"/>
        </w:rPr>
        <w:tab/>
      </w:r>
      <w:r w:rsidR="00650528" w:rsidRPr="00734AB6">
        <w:rPr>
          <w:b/>
          <w:color w:val="auto"/>
          <w:sz w:val="22"/>
        </w:rPr>
        <w:t>I</w:t>
      </w:r>
      <w:r w:rsidR="0033077A" w:rsidRPr="00734AB6">
        <w:rPr>
          <w:b/>
          <w:color w:val="auto"/>
          <w:sz w:val="22"/>
        </w:rPr>
        <w:t>ntroduction</w:t>
      </w:r>
      <w:bookmarkEnd w:id="3"/>
    </w:p>
    <w:p w14:paraId="7C89E457" w14:textId="3D368523" w:rsidR="0037584F" w:rsidRPr="00734AB6" w:rsidRDefault="0016602F" w:rsidP="0099584D">
      <w:pPr>
        <w:spacing w:after="240" w:line="360" w:lineRule="auto"/>
        <w:ind w:firstLine="851"/>
        <w:rPr>
          <w:rFonts w:asciiTheme="majorHAnsi" w:hAnsiTheme="majorHAnsi"/>
        </w:rPr>
      </w:pPr>
      <w:r w:rsidRPr="00734AB6">
        <w:rPr>
          <w:rFonts w:asciiTheme="majorHAnsi" w:hAnsiTheme="majorHAnsi" w:cs="Arial"/>
        </w:rPr>
        <w:t>The Information Age makes increasing demands on individuals, with the pressure to develop new and existing skills calling upon ever</w:t>
      </w:r>
      <w:r w:rsidR="00A22922" w:rsidRPr="00734AB6">
        <w:rPr>
          <w:rFonts w:asciiTheme="majorHAnsi" w:hAnsiTheme="majorHAnsi" w:cs="Arial"/>
        </w:rPr>
        <w:t>-increasing cognitive abilities</w:t>
      </w:r>
      <w:r w:rsidR="00E80694" w:rsidRPr="00734AB6">
        <w:rPr>
          <w:rFonts w:asciiTheme="majorHAnsi" w:hAnsiTheme="majorHAnsi" w:cs="Arial"/>
        </w:rPr>
        <w:t xml:space="preserve">. Economic recessions may also result in greater competition for jobs and, </w:t>
      </w:r>
      <w:r w:rsidR="00285045" w:rsidRPr="00734AB6">
        <w:rPr>
          <w:rFonts w:asciiTheme="majorHAnsi" w:hAnsiTheme="majorHAnsi" w:cs="Arial"/>
        </w:rPr>
        <w:t>perhaps</w:t>
      </w:r>
      <w:r w:rsidR="00E80694" w:rsidRPr="00734AB6">
        <w:rPr>
          <w:rFonts w:asciiTheme="majorHAnsi" w:hAnsiTheme="majorHAnsi" w:cs="Arial"/>
        </w:rPr>
        <w:t xml:space="preserve">, greater demands on individuals than they feel that they can meet in order to gain employment and succeed in life. In addition to this, individual differences in cognitive abilities and </w:t>
      </w:r>
      <w:r w:rsidR="00071001" w:rsidRPr="00734AB6">
        <w:rPr>
          <w:rFonts w:asciiTheme="majorHAnsi" w:hAnsiTheme="majorHAnsi" w:cs="Arial"/>
        </w:rPr>
        <w:t xml:space="preserve">group differences in cognition </w:t>
      </w:r>
      <w:r w:rsidR="00E80694" w:rsidRPr="00734AB6">
        <w:rPr>
          <w:rFonts w:asciiTheme="majorHAnsi" w:hAnsiTheme="majorHAnsi" w:cs="Arial"/>
        </w:rPr>
        <w:t xml:space="preserve">result in variations in the speed and ability with which individuals acquire skills and information, and this may impact upon the possible opportunities and directions their lives may take. Challenges such as these have led individuals to seek, and find, a broad range of interventions allowing them to push beyond their natural cognitive abilities. </w:t>
      </w:r>
      <w:r w:rsidR="00E80694" w:rsidRPr="00734AB6">
        <w:rPr>
          <w:rFonts w:asciiTheme="majorHAnsi" w:hAnsiTheme="majorHAnsi"/>
        </w:rPr>
        <w:t xml:space="preserve">Cognition involves the processes of </w:t>
      </w:r>
      <w:r w:rsidR="00BE2FCF" w:rsidRPr="00734AB6">
        <w:rPr>
          <w:rFonts w:asciiTheme="majorHAnsi" w:hAnsiTheme="majorHAnsi"/>
        </w:rPr>
        <w:t xml:space="preserve">perception, </w:t>
      </w:r>
      <w:r w:rsidR="00E80694" w:rsidRPr="00734AB6">
        <w:rPr>
          <w:rFonts w:asciiTheme="majorHAnsi" w:hAnsiTheme="majorHAnsi"/>
        </w:rPr>
        <w:t>information</w:t>
      </w:r>
      <w:r w:rsidR="00A22922" w:rsidRPr="00734AB6">
        <w:rPr>
          <w:rFonts w:asciiTheme="majorHAnsi" w:hAnsiTheme="majorHAnsi"/>
        </w:rPr>
        <w:t xml:space="preserve"> processing</w:t>
      </w:r>
      <w:r w:rsidR="00E80694" w:rsidRPr="00734AB6">
        <w:rPr>
          <w:rFonts w:asciiTheme="majorHAnsi" w:hAnsiTheme="majorHAnsi"/>
        </w:rPr>
        <w:t xml:space="preserve">, selecting information via attention, manipulating that information (if needed) through working memory and retaining it in memory </w:t>
      </w:r>
      <w:r w:rsidR="00071001" w:rsidRPr="00734AB6">
        <w:rPr>
          <w:rFonts w:asciiTheme="majorHAnsi" w:hAnsiTheme="majorHAnsi"/>
        </w:rPr>
        <w:t>to</w:t>
      </w:r>
      <w:r w:rsidR="00E80694" w:rsidRPr="00734AB6">
        <w:rPr>
          <w:rFonts w:asciiTheme="majorHAnsi" w:hAnsiTheme="majorHAnsi"/>
        </w:rPr>
        <w:t xml:space="preserve"> be later retrieved to guide decisions, </w:t>
      </w:r>
      <w:r w:rsidR="00437C0B" w:rsidRPr="00734AB6">
        <w:rPr>
          <w:rFonts w:asciiTheme="majorHAnsi" w:hAnsiTheme="majorHAnsi"/>
        </w:rPr>
        <w:t>reasoning,</w:t>
      </w:r>
      <w:r w:rsidR="00E80694" w:rsidRPr="00734AB6">
        <w:rPr>
          <w:rFonts w:asciiTheme="majorHAnsi" w:hAnsiTheme="majorHAnsi"/>
        </w:rPr>
        <w:t xml:space="preserve"> and behaviour (Bostrom &amp; Sandberg, 2009). </w:t>
      </w:r>
      <w:r w:rsidR="00106C33" w:rsidRPr="00734AB6">
        <w:rPr>
          <w:rFonts w:asciiTheme="majorHAnsi" w:hAnsiTheme="majorHAnsi"/>
        </w:rPr>
        <w:t xml:space="preserve">Of the many aspects of attention that have been identified in the literature, focused, sustained attention has been the aspect most implicated in learning throughout life (Fisher &amp; </w:t>
      </w:r>
      <w:proofErr w:type="spellStart"/>
      <w:r w:rsidR="00106C33" w:rsidRPr="00734AB6">
        <w:rPr>
          <w:rFonts w:asciiTheme="majorHAnsi" w:hAnsiTheme="majorHAnsi"/>
        </w:rPr>
        <w:t>Kloos</w:t>
      </w:r>
      <w:proofErr w:type="spellEnd"/>
      <w:r w:rsidR="00106C33" w:rsidRPr="00734AB6">
        <w:rPr>
          <w:rFonts w:asciiTheme="majorHAnsi" w:hAnsiTheme="majorHAnsi"/>
        </w:rPr>
        <w:t>, 2016). Focused, sustained attention refers to the ability to maintain undivided conscious processing of a task or stimulus for a given period of time (Unsworth &amp; Robison, 2019). Working memory refers to the ability to maintain information in the mind whilst performing complex mental tasks (Baddeley, 2010).</w:t>
      </w:r>
      <w:r w:rsidR="00437C0B" w:rsidRPr="00734AB6">
        <w:rPr>
          <w:rFonts w:asciiTheme="majorHAnsi" w:hAnsiTheme="majorHAnsi"/>
        </w:rPr>
        <w:t xml:space="preserve"> </w:t>
      </w:r>
      <w:bookmarkStart w:id="4" w:name="_Hlk60738012"/>
      <w:r w:rsidR="00437C0B" w:rsidRPr="00734AB6">
        <w:rPr>
          <w:rFonts w:asciiTheme="majorHAnsi" w:hAnsiTheme="majorHAnsi"/>
        </w:rPr>
        <w:t>These processes of cognition</w:t>
      </w:r>
      <w:r w:rsidR="00032F71" w:rsidRPr="00734AB6">
        <w:rPr>
          <w:rFonts w:asciiTheme="majorHAnsi" w:hAnsiTheme="majorHAnsi"/>
        </w:rPr>
        <w:t xml:space="preserve">, specifically attention and working memory, </w:t>
      </w:r>
      <w:r w:rsidR="00437C0B" w:rsidRPr="00734AB6">
        <w:rPr>
          <w:rFonts w:asciiTheme="majorHAnsi" w:hAnsiTheme="majorHAnsi"/>
        </w:rPr>
        <w:t>are considered to be elements of executive function (</w:t>
      </w:r>
      <w:r w:rsidR="00032F71" w:rsidRPr="00734AB6">
        <w:rPr>
          <w:rFonts w:asciiTheme="majorHAnsi" w:hAnsiTheme="majorHAnsi"/>
        </w:rPr>
        <w:t>Logue &amp; Gould, 2013</w:t>
      </w:r>
      <w:r w:rsidR="00437C0B" w:rsidRPr="00734AB6">
        <w:rPr>
          <w:rFonts w:asciiTheme="majorHAnsi" w:hAnsiTheme="majorHAnsi"/>
        </w:rPr>
        <w:t xml:space="preserve">). </w:t>
      </w:r>
      <w:r w:rsidR="00846B23" w:rsidRPr="00734AB6">
        <w:rPr>
          <w:rFonts w:asciiTheme="majorHAnsi" w:hAnsiTheme="majorHAnsi"/>
        </w:rPr>
        <w:t xml:space="preserve">Executive functions can be seen as top-down </w:t>
      </w:r>
      <w:r w:rsidR="0037584F" w:rsidRPr="00734AB6">
        <w:rPr>
          <w:rFonts w:asciiTheme="majorHAnsi" w:hAnsiTheme="majorHAnsi"/>
        </w:rPr>
        <w:t xml:space="preserve">cognitive </w:t>
      </w:r>
      <w:r w:rsidR="00846B23" w:rsidRPr="00734AB6">
        <w:rPr>
          <w:rFonts w:asciiTheme="majorHAnsi" w:hAnsiTheme="majorHAnsi"/>
        </w:rPr>
        <w:t xml:space="preserve">processes required for higher order </w:t>
      </w:r>
      <w:r w:rsidR="0037584F" w:rsidRPr="00734AB6">
        <w:rPr>
          <w:rFonts w:asciiTheme="majorHAnsi" w:hAnsiTheme="majorHAnsi"/>
        </w:rPr>
        <w:t>cognitive</w:t>
      </w:r>
      <w:r w:rsidR="00846B23" w:rsidRPr="00734AB6">
        <w:rPr>
          <w:rFonts w:asciiTheme="majorHAnsi" w:hAnsiTheme="majorHAnsi"/>
        </w:rPr>
        <w:t xml:space="preserve"> function (Diamond, 2013; Logue &amp; Gould, 2014). </w:t>
      </w:r>
      <w:r w:rsidR="0037584F" w:rsidRPr="00734AB6">
        <w:rPr>
          <w:rFonts w:asciiTheme="majorHAnsi" w:hAnsiTheme="majorHAnsi"/>
        </w:rPr>
        <w:t xml:space="preserve">Before exploring cognitive enhancement, it is first important to understand the executive functions for which enhancement is desired. </w:t>
      </w:r>
      <w:r w:rsidR="00594BB1" w:rsidRPr="00734AB6">
        <w:rPr>
          <w:rFonts w:asciiTheme="majorHAnsi" w:hAnsiTheme="majorHAnsi"/>
        </w:rPr>
        <w:t>T</w:t>
      </w:r>
      <w:r w:rsidR="0037584F" w:rsidRPr="00734AB6">
        <w:rPr>
          <w:rFonts w:asciiTheme="majorHAnsi" w:hAnsiTheme="majorHAnsi"/>
        </w:rPr>
        <w:t>he following section</w:t>
      </w:r>
      <w:r w:rsidR="00594BB1" w:rsidRPr="00734AB6">
        <w:rPr>
          <w:rFonts w:asciiTheme="majorHAnsi" w:hAnsiTheme="majorHAnsi"/>
        </w:rPr>
        <w:t xml:space="preserve"> discusses executive functions in detail</w:t>
      </w:r>
      <w:r w:rsidR="000671B9" w:rsidRPr="00734AB6">
        <w:rPr>
          <w:rFonts w:asciiTheme="majorHAnsi" w:hAnsiTheme="majorHAnsi"/>
        </w:rPr>
        <w:t>.</w:t>
      </w:r>
    </w:p>
    <w:p w14:paraId="6F9E6A73" w14:textId="77777777" w:rsidR="00D01073" w:rsidRPr="00734AB6" w:rsidRDefault="00D01073" w:rsidP="0099584D">
      <w:pPr>
        <w:spacing w:after="240" w:line="360" w:lineRule="auto"/>
        <w:ind w:firstLine="851"/>
        <w:rPr>
          <w:rFonts w:asciiTheme="majorHAnsi" w:hAnsiTheme="majorHAnsi"/>
        </w:rPr>
      </w:pPr>
    </w:p>
    <w:p w14:paraId="63BBCABE" w14:textId="4AB48AC9" w:rsidR="00C80AB0" w:rsidRPr="00734AB6" w:rsidRDefault="00C80AB0" w:rsidP="009C3A9A">
      <w:pPr>
        <w:pStyle w:val="Heading3"/>
        <w:spacing w:after="240"/>
        <w:rPr>
          <w:b/>
          <w:bCs/>
          <w:color w:val="auto"/>
          <w:sz w:val="22"/>
          <w:szCs w:val="22"/>
        </w:rPr>
      </w:pPr>
      <w:r w:rsidRPr="00734AB6">
        <w:rPr>
          <w:b/>
          <w:bCs/>
          <w:color w:val="auto"/>
          <w:sz w:val="22"/>
          <w:szCs w:val="22"/>
        </w:rPr>
        <w:t>1.1.1</w:t>
      </w:r>
      <w:r w:rsidRPr="00734AB6">
        <w:rPr>
          <w:b/>
          <w:bCs/>
          <w:color w:val="auto"/>
          <w:sz w:val="22"/>
          <w:szCs w:val="22"/>
        </w:rPr>
        <w:tab/>
        <w:t>Executive functions</w:t>
      </w:r>
    </w:p>
    <w:p w14:paraId="34BCADF8" w14:textId="7AB6DEFC" w:rsidR="00594BB1" w:rsidRPr="00734AB6" w:rsidRDefault="00594BB1" w:rsidP="00BB7A64">
      <w:pPr>
        <w:spacing w:after="240" w:line="360" w:lineRule="auto"/>
        <w:ind w:firstLine="851"/>
        <w:rPr>
          <w:rFonts w:asciiTheme="majorHAnsi" w:hAnsiTheme="majorHAnsi"/>
        </w:rPr>
      </w:pPr>
      <w:r w:rsidRPr="00734AB6">
        <w:rPr>
          <w:rFonts w:asciiTheme="majorHAnsi" w:hAnsiTheme="majorHAnsi"/>
        </w:rPr>
        <w:t xml:space="preserve">Barkley (2001) </w:t>
      </w:r>
      <w:r w:rsidR="007F5E4D" w:rsidRPr="00734AB6">
        <w:rPr>
          <w:rFonts w:asciiTheme="majorHAnsi" w:hAnsiTheme="majorHAnsi"/>
        </w:rPr>
        <w:t xml:space="preserve">proposed </w:t>
      </w:r>
      <w:r w:rsidRPr="00734AB6">
        <w:rPr>
          <w:rFonts w:asciiTheme="majorHAnsi" w:hAnsiTheme="majorHAnsi"/>
        </w:rPr>
        <w:t>that executive functions are self-directed actions used for self-regulation.</w:t>
      </w:r>
      <w:r w:rsidR="00BB7A64" w:rsidRPr="00734AB6">
        <w:rPr>
          <w:rFonts w:asciiTheme="majorHAnsi" w:hAnsiTheme="majorHAnsi"/>
        </w:rPr>
        <w:t xml:space="preserve"> He explain</w:t>
      </w:r>
      <w:r w:rsidR="007F5E4D" w:rsidRPr="00734AB6">
        <w:rPr>
          <w:rFonts w:asciiTheme="majorHAnsi" w:hAnsiTheme="majorHAnsi"/>
        </w:rPr>
        <w:t>ed</w:t>
      </w:r>
      <w:r w:rsidR="00BB7A64" w:rsidRPr="00734AB6">
        <w:rPr>
          <w:rFonts w:asciiTheme="majorHAnsi" w:hAnsiTheme="majorHAnsi"/>
        </w:rPr>
        <w:t xml:space="preserve"> that self-regulation is the ability to resist reactive behaviour, apply self-control and consider the value of modifying one’s behaviour for the purpose of altering one’s future outcomes. </w:t>
      </w:r>
      <w:r w:rsidR="00ED29C0" w:rsidRPr="00734AB6">
        <w:rPr>
          <w:rFonts w:asciiTheme="majorHAnsi" w:hAnsiTheme="majorHAnsi"/>
        </w:rPr>
        <w:t>Although there is some agreement in the identification of three executive functions, namely</w:t>
      </w:r>
      <w:r w:rsidR="0056323F" w:rsidRPr="00734AB6">
        <w:rPr>
          <w:rFonts w:asciiTheme="majorHAnsi" w:hAnsiTheme="majorHAnsi"/>
        </w:rPr>
        <w:t xml:space="preserve">, working memory, </w:t>
      </w:r>
      <w:r w:rsidR="00ED29C0" w:rsidRPr="00734AB6">
        <w:rPr>
          <w:rFonts w:asciiTheme="majorHAnsi" w:hAnsiTheme="majorHAnsi"/>
        </w:rPr>
        <w:t xml:space="preserve">behavioural </w:t>
      </w:r>
      <w:r w:rsidR="00D01073" w:rsidRPr="00734AB6">
        <w:rPr>
          <w:rFonts w:asciiTheme="majorHAnsi" w:hAnsiTheme="majorHAnsi"/>
        </w:rPr>
        <w:t xml:space="preserve">response </w:t>
      </w:r>
      <w:r w:rsidR="00ED29C0" w:rsidRPr="00734AB6">
        <w:rPr>
          <w:rFonts w:asciiTheme="majorHAnsi" w:hAnsiTheme="majorHAnsi"/>
        </w:rPr>
        <w:t xml:space="preserve">inhibition and cognitive flexibility </w:t>
      </w:r>
      <w:r w:rsidR="00ED29C0" w:rsidRPr="00734AB6">
        <w:rPr>
          <w:rFonts w:asciiTheme="majorHAnsi" w:hAnsiTheme="majorHAnsi"/>
        </w:rPr>
        <w:lastRenderedPageBreak/>
        <w:t xml:space="preserve">(Barkley, 2001; Diamond, 2013; </w:t>
      </w:r>
      <w:proofErr w:type="spellStart"/>
      <w:r w:rsidR="00ED29C0" w:rsidRPr="00734AB6">
        <w:rPr>
          <w:rFonts w:asciiTheme="majorHAnsi" w:hAnsiTheme="majorHAnsi"/>
        </w:rPr>
        <w:t>Lehto</w:t>
      </w:r>
      <w:proofErr w:type="spellEnd"/>
      <w:r w:rsidR="00ED29C0" w:rsidRPr="00734AB6">
        <w:rPr>
          <w:rFonts w:asciiTheme="majorHAnsi" w:hAnsiTheme="majorHAnsi"/>
        </w:rPr>
        <w:t xml:space="preserve"> et al., 2003; Miyake et al., 2000), Barkley (2001) proposed that working memory comprise</w:t>
      </w:r>
      <w:r w:rsidR="007F5E4D" w:rsidRPr="00734AB6">
        <w:rPr>
          <w:rFonts w:asciiTheme="majorHAnsi" w:hAnsiTheme="majorHAnsi"/>
        </w:rPr>
        <w:t>s</w:t>
      </w:r>
      <w:r w:rsidR="00ED29C0" w:rsidRPr="00734AB6">
        <w:rPr>
          <w:rFonts w:asciiTheme="majorHAnsi" w:hAnsiTheme="majorHAnsi"/>
        </w:rPr>
        <w:t xml:space="preserve"> of two executive functions, </w:t>
      </w:r>
      <w:r w:rsidR="00A33932" w:rsidRPr="00734AB6">
        <w:rPr>
          <w:rFonts w:asciiTheme="majorHAnsi" w:hAnsiTheme="majorHAnsi"/>
        </w:rPr>
        <w:t>verbal,</w:t>
      </w:r>
      <w:r w:rsidR="00ED29C0" w:rsidRPr="00734AB6">
        <w:rPr>
          <w:rFonts w:asciiTheme="majorHAnsi" w:hAnsiTheme="majorHAnsi"/>
        </w:rPr>
        <w:t xml:space="preserve"> and non-verbal working memory</w:t>
      </w:r>
      <w:r w:rsidR="007F5E4D" w:rsidRPr="00734AB6">
        <w:rPr>
          <w:rFonts w:asciiTheme="majorHAnsi" w:hAnsiTheme="majorHAnsi"/>
        </w:rPr>
        <w:t>,</w:t>
      </w:r>
      <w:r w:rsidR="00ED29C0" w:rsidRPr="00734AB6">
        <w:rPr>
          <w:rFonts w:asciiTheme="majorHAnsi" w:hAnsiTheme="majorHAnsi"/>
        </w:rPr>
        <w:t xml:space="preserve"> and he also </w:t>
      </w:r>
      <w:r w:rsidR="007F5E4D" w:rsidRPr="00734AB6">
        <w:rPr>
          <w:rFonts w:asciiTheme="majorHAnsi" w:hAnsiTheme="majorHAnsi"/>
        </w:rPr>
        <w:t>argued for</w:t>
      </w:r>
      <w:r w:rsidR="00ED29C0" w:rsidRPr="00734AB6">
        <w:rPr>
          <w:rFonts w:asciiTheme="majorHAnsi" w:hAnsiTheme="majorHAnsi"/>
        </w:rPr>
        <w:t xml:space="preserve"> an additional executive function</w:t>
      </w:r>
      <w:r w:rsidR="007F5E4D" w:rsidRPr="00734AB6">
        <w:rPr>
          <w:rFonts w:asciiTheme="majorHAnsi" w:hAnsiTheme="majorHAnsi"/>
        </w:rPr>
        <w:t>,</w:t>
      </w:r>
      <w:r w:rsidR="00ED29C0" w:rsidRPr="00734AB6">
        <w:rPr>
          <w:rFonts w:asciiTheme="majorHAnsi" w:hAnsiTheme="majorHAnsi"/>
        </w:rPr>
        <w:t xml:space="preserve"> which he termed self-regulation of affect/ motivation/arousal. </w:t>
      </w:r>
      <w:r w:rsidR="003A41F9" w:rsidRPr="00734AB6">
        <w:rPr>
          <w:rFonts w:asciiTheme="majorHAnsi" w:hAnsiTheme="majorHAnsi"/>
        </w:rPr>
        <w:t>He note</w:t>
      </w:r>
      <w:r w:rsidR="00A312AB" w:rsidRPr="00734AB6">
        <w:rPr>
          <w:rFonts w:asciiTheme="majorHAnsi" w:hAnsiTheme="majorHAnsi"/>
        </w:rPr>
        <w:t>d</w:t>
      </w:r>
      <w:r w:rsidR="003A41F9" w:rsidRPr="00734AB6">
        <w:rPr>
          <w:rFonts w:asciiTheme="majorHAnsi" w:hAnsiTheme="majorHAnsi"/>
        </w:rPr>
        <w:t xml:space="preserve"> that these executive functions </w:t>
      </w:r>
      <w:r w:rsidR="00A312AB" w:rsidRPr="00734AB6">
        <w:rPr>
          <w:rFonts w:asciiTheme="majorHAnsi" w:hAnsiTheme="majorHAnsi"/>
        </w:rPr>
        <w:t xml:space="preserve">have evolved from being overt, publicly observable behaviours to covert, internalised behaviour to the self for the purposes of self-regulation. </w:t>
      </w:r>
      <w:r w:rsidR="00AE496E" w:rsidRPr="00734AB6">
        <w:rPr>
          <w:rFonts w:asciiTheme="majorHAnsi" w:hAnsiTheme="majorHAnsi"/>
        </w:rPr>
        <w:t>Barkley (2001) argued that covert self-regulation</w:t>
      </w:r>
      <w:r w:rsidR="00A312AB" w:rsidRPr="00734AB6">
        <w:rPr>
          <w:rFonts w:asciiTheme="majorHAnsi" w:hAnsiTheme="majorHAnsi"/>
        </w:rPr>
        <w:t xml:space="preserve"> </w:t>
      </w:r>
      <w:r w:rsidR="00AE496E" w:rsidRPr="00734AB6">
        <w:rPr>
          <w:rFonts w:asciiTheme="majorHAnsi" w:hAnsiTheme="majorHAnsi"/>
        </w:rPr>
        <w:t>functions to achieve maximum individual benefit in longer-term over short-term goals which are largely social in nature.</w:t>
      </w:r>
      <w:r w:rsidR="003A41F9" w:rsidRPr="00734AB6">
        <w:rPr>
          <w:rFonts w:asciiTheme="majorHAnsi" w:hAnsiTheme="majorHAnsi"/>
        </w:rPr>
        <w:t xml:space="preserve"> </w:t>
      </w:r>
      <w:r w:rsidR="00ED29C0" w:rsidRPr="00734AB6">
        <w:rPr>
          <w:rFonts w:asciiTheme="majorHAnsi" w:hAnsiTheme="majorHAnsi"/>
        </w:rPr>
        <w:t xml:space="preserve">These five </w:t>
      </w:r>
      <w:r w:rsidR="00AE496E" w:rsidRPr="00734AB6">
        <w:rPr>
          <w:rFonts w:asciiTheme="majorHAnsi" w:hAnsiTheme="majorHAnsi"/>
        </w:rPr>
        <w:t xml:space="preserve">core </w:t>
      </w:r>
      <w:r w:rsidR="00ED29C0" w:rsidRPr="00734AB6">
        <w:rPr>
          <w:rFonts w:asciiTheme="majorHAnsi" w:hAnsiTheme="majorHAnsi"/>
        </w:rPr>
        <w:t>executive functions will be discussed in turn.</w:t>
      </w:r>
    </w:p>
    <w:p w14:paraId="7B606CB0" w14:textId="77777777" w:rsidR="00D01073" w:rsidRPr="00734AB6" w:rsidRDefault="00D01073" w:rsidP="00BB7A64">
      <w:pPr>
        <w:spacing w:after="240" w:line="360" w:lineRule="auto"/>
        <w:ind w:firstLine="851"/>
        <w:rPr>
          <w:rFonts w:asciiTheme="majorHAnsi" w:hAnsiTheme="majorHAnsi"/>
        </w:rPr>
      </w:pPr>
    </w:p>
    <w:p w14:paraId="588E7B34" w14:textId="658B5145" w:rsidR="00D01073" w:rsidRPr="00734AB6" w:rsidRDefault="00D01073" w:rsidP="00D01073">
      <w:pPr>
        <w:pStyle w:val="Heading4"/>
        <w:spacing w:after="240"/>
        <w:rPr>
          <w:b/>
          <w:bCs/>
          <w:i w:val="0"/>
          <w:iCs w:val="0"/>
          <w:color w:val="auto"/>
        </w:rPr>
      </w:pPr>
      <w:r w:rsidRPr="00734AB6">
        <w:rPr>
          <w:b/>
          <w:bCs/>
          <w:i w:val="0"/>
          <w:iCs w:val="0"/>
          <w:color w:val="auto"/>
        </w:rPr>
        <w:t>1.1.1.1</w:t>
      </w:r>
      <w:r w:rsidRPr="00734AB6">
        <w:rPr>
          <w:b/>
          <w:bCs/>
          <w:i w:val="0"/>
          <w:iCs w:val="0"/>
          <w:color w:val="auto"/>
        </w:rPr>
        <w:tab/>
        <w:t>Working memory</w:t>
      </w:r>
    </w:p>
    <w:p w14:paraId="454661E1" w14:textId="72FD1934" w:rsidR="00AB2FBF" w:rsidRPr="00734AB6" w:rsidRDefault="009F743C" w:rsidP="00233E3B">
      <w:pPr>
        <w:spacing w:after="240" w:line="360" w:lineRule="auto"/>
        <w:ind w:firstLine="851"/>
        <w:rPr>
          <w:rFonts w:asciiTheme="majorHAnsi" w:hAnsiTheme="majorHAnsi"/>
        </w:rPr>
      </w:pPr>
      <w:r w:rsidRPr="00734AB6">
        <w:rPr>
          <w:rFonts w:asciiTheme="majorHAnsi" w:hAnsiTheme="majorHAnsi"/>
        </w:rPr>
        <w:t>Working memory, both verbal and non-verbal, require</w:t>
      </w:r>
      <w:r w:rsidR="007F5E4D" w:rsidRPr="00734AB6">
        <w:rPr>
          <w:rFonts w:asciiTheme="majorHAnsi" w:hAnsiTheme="majorHAnsi"/>
        </w:rPr>
        <w:t>s</w:t>
      </w:r>
      <w:r w:rsidRPr="00734AB6">
        <w:rPr>
          <w:rFonts w:asciiTheme="majorHAnsi" w:hAnsiTheme="majorHAnsi"/>
        </w:rPr>
        <w:t xml:space="preserve"> the ability to hold information in mind and manipulate it, whereas short-term memory simply requires holding information in mind. </w:t>
      </w:r>
      <w:r w:rsidR="000B773F" w:rsidRPr="00734AB6">
        <w:rPr>
          <w:rFonts w:asciiTheme="majorHAnsi" w:hAnsiTheme="majorHAnsi"/>
        </w:rPr>
        <w:t xml:space="preserve">Non-verbal working memory may be likened to the visuo-spatial sketchpad as conceived by Baddeley (1986) </w:t>
      </w:r>
      <w:r w:rsidR="00107A41" w:rsidRPr="00734AB6">
        <w:rPr>
          <w:rFonts w:asciiTheme="majorHAnsi" w:hAnsiTheme="majorHAnsi"/>
        </w:rPr>
        <w:t xml:space="preserve">which may be likened to a virtual environment allowing simulation of object and spatial information </w:t>
      </w:r>
      <w:r w:rsidR="000B773F" w:rsidRPr="00734AB6">
        <w:rPr>
          <w:rFonts w:asciiTheme="majorHAnsi" w:hAnsiTheme="majorHAnsi"/>
        </w:rPr>
        <w:t xml:space="preserve">and </w:t>
      </w:r>
      <w:r w:rsidR="00107A41" w:rsidRPr="00734AB6">
        <w:rPr>
          <w:rFonts w:asciiTheme="majorHAnsi" w:hAnsiTheme="majorHAnsi"/>
        </w:rPr>
        <w:t xml:space="preserve">calculation. It was </w:t>
      </w:r>
      <w:r w:rsidR="000B773F" w:rsidRPr="00734AB6">
        <w:rPr>
          <w:rFonts w:asciiTheme="majorHAnsi" w:hAnsiTheme="majorHAnsi"/>
        </w:rPr>
        <w:t xml:space="preserve">referred to as “sensing to the self” by Barkley (2001, pg.7) which he </w:t>
      </w:r>
      <w:r w:rsidR="00107A41" w:rsidRPr="00734AB6">
        <w:rPr>
          <w:rFonts w:asciiTheme="majorHAnsi" w:hAnsiTheme="majorHAnsi"/>
        </w:rPr>
        <w:t>proposes</w:t>
      </w:r>
      <w:r w:rsidR="00754FB3">
        <w:rPr>
          <w:rFonts w:asciiTheme="majorHAnsi" w:hAnsiTheme="majorHAnsi"/>
        </w:rPr>
        <w:t xml:space="preserve"> </w:t>
      </w:r>
      <w:r w:rsidR="007F5E4D" w:rsidRPr="00734AB6">
        <w:rPr>
          <w:rFonts w:asciiTheme="majorHAnsi" w:hAnsiTheme="majorHAnsi"/>
        </w:rPr>
        <w:t>is the use of</w:t>
      </w:r>
      <w:r w:rsidR="000B773F" w:rsidRPr="00734AB6">
        <w:rPr>
          <w:rFonts w:asciiTheme="majorHAnsi" w:hAnsiTheme="majorHAnsi"/>
        </w:rPr>
        <w:t xml:space="preserve"> visual imagery and covert audition to sense a theoretical future from that which has been experienced</w:t>
      </w:r>
      <w:r w:rsidR="007F5E4D" w:rsidRPr="00734AB6">
        <w:rPr>
          <w:rFonts w:asciiTheme="majorHAnsi" w:hAnsiTheme="majorHAnsi"/>
        </w:rPr>
        <w:t xml:space="preserve"> in the past</w:t>
      </w:r>
      <w:r w:rsidR="000B773F" w:rsidRPr="00734AB6">
        <w:rPr>
          <w:rFonts w:asciiTheme="majorHAnsi" w:hAnsiTheme="majorHAnsi"/>
        </w:rPr>
        <w:t>.</w:t>
      </w:r>
      <w:r w:rsidR="001C60AC" w:rsidRPr="00734AB6">
        <w:rPr>
          <w:rFonts w:asciiTheme="majorHAnsi" w:hAnsiTheme="majorHAnsi"/>
        </w:rPr>
        <w:t xml:space="preserve"> For effective non-verbal working memory performance, Barkley (2001) </w:t>
      </w:r>
      <w:r w:rsidR="00BD784C" w:rsidRPr="00734AB6">
        <w:rPr>
          <w:rFonts w:asciiTheme="majorHAnsi" w:hAnsiTheme="majorHAnsi"/>
        </w:rPr>
        <w:t>suggested that interference control is required</w:t>
      </w:r>
      <w:r w:rsidR="00644D6A" w:rsidRPr="00734AB6">
        <w:rPr>
          <w:rFonts w:asciiTheme="majorHAnsi" w:hAnsiTheme="majorHAnsi"/>
        </w:rPr>
        <w:t xml:space="preserve">, Diamond (2013) explained this as inhibitory control of attention, </w:t>
      </w:r>
      <w:proofErr w:type="spellStart"/>
      <w:r w:rsidR="00644D6A" w:rsidRPr="00734AB6">
        <w:rPr>
          <w:rFonts w:asciiTheme="majorHAnsi" w:hAnsiTheme="majorHAnsi"/>
        </w:rPr>
        <w:t>fascilitating</w:t>
      </w:r>
      <w:proofErr w:type="spellEnd"/>
      <w:r w:rsidR="00644D6A" w:rsidRPr="00734AB6">
        <w:rPr>
          <w:rFonts w:asciiTheme="majorHAnsi" w:hAnsiTheme="majorHAnsi"/>
        </w:rPr>
        <w:t xml:space="preserve"> selective, focused attention and suppressing attention to irrelevant stimuli</w:t>
      </w:r>
      <w:r w:rsidR="00BD784C" w:rsidRPr="00734AB6">
        <w:rPr>
          <w:rFonts w:asciiTheme="majorHAnsi" w:hAnsiTheme="majorHAnsi"/>
        </w:rPr>
        <w:t>.</w:t>
      </w:r>
      <w:r w:rsidR="000B773F" w:rsidRPr="00734AB6">
        <w:rPr>
          <w:rFonts w:asciiTheme="majorHAnsi" w:hAnsiTheme="majorHAnsi"/>
        </w:rPr>
        <w:t xml:space="preserve"> </w:t>
      </w:r>
      <w:r w:rsidR="0091386B" w:rsidRPr="00734AB6">
        <w:rPr>
          <w:rFonts w:asciiTheme="majorHAnsi" w:hAnsiTheme="majorHAnsi"/>
        </w:rPr>
        <w:t>Diamond (2013) argued that non-verbal working memory</w:t>
      </w:r>
      <w:r w:rsidR="000B773F" w:rsidRPr="00734AB6">
        <w:rPr>
          <w:rFonts w:asciiTheme="majorHAnsi" w:hAnsiTheme="majorHAnsi"/>
        </w:rPr>
        <w:t xml:space="preserve"> </w:t>
      </w:r>
      <w:r w:rsidR="0091386B" w:rsidRPr="00734AB6">
        <w:rPr>
          <w:rFonts w:asciiTheme="majorHAnsi" w:hAnsiTheme="majorHAnsi"/>
        </w:rPr>
        <w:t>is</w:t>
      </w:r>
      <w:r w:rsidR="000B773F" w:rsidRPr="00734AB6">
        <w:rPr>
          <w:rFonts w:asciiTheme="majorHAnsi" w:hAnsiTheme="majorHAnsi"/>
        </w:rPr>
        <w:t xml:space="preserve"> essential for </w:t>
      </w:r>
      <w:r w:rsidR="0091386B" w:rsidRPr="00734AB6">
        <w:rPr>
          <w:rFonts w:asciiTheme="majorHAnsi" w:hAnsiTheme="majorHAnsi"/>
        </w:rPr>
        <w:t xml:space="preserve">reasoning and for grasping anything that occurs over time. She explained that it is required for comprehending written and spoken language, doing </w:t>
      </w:r>
      <w:r w:rsidR="007F5E4D" w:rsidRPr="00734AB6">
        <w:rPr>
          <w:rFonts w:asciiTheme="majorHAnsi" w:hAnsiTheme="majorHAnsi"/>
        </w:rPr>
        <w:t>mathematics,</w:t>
      </w:r>
      <w:r w:rsidR="0091386B" w:rsidRPr="00734AB6">
        <w:rPr>
          <w:rFonts w:asciiTheme="majorHAnsi" w:hAnsiTheme="majorHAnsi"/>
        </w:rPr>
        <w:t xml:space="preserve"> and </w:t>
      </w:r>
      <w:r w:rsidR="007F5E4D" w:rsidRPr="00734AB6">
        <w:rPr>
          <w:rFonts w:asciiTheme="majorHAnsi" w:hAnsiTheme="majorHAnsi"/>
        </w:rPr>
        <w:t xml:space="preserve">performing </w:t>
      </w:r>
      <w:r w:rsidR="0091386B" w:rsidRPr="00734AB6">
        <w:rPr>
          <w:rFonts w:asciiTheme="majorHAnsi" w:hAnsiTheme="majorHAnsi"/>
        </w:rPr>
        <w:t xml:space="preserve">mental reorganization of information such as planning. </w:t>
      </w:r>
      <w:r w:rsidR="00806EE1" w:rsidRPr="00734AB6">
        <w:rPr>
          <w:rFonts w:asciiTheme="majorHAnsi" w:hAnsiTheme="majorHAnsi"/>
        </w:rPr>
        <w:t>Thus, non-verbal working memory is a vital function for most cognitive task</w:t>
      </w:r>
      <w:r w:rsidR="007F5E4D" w:rsidRPr="00734AB6">
        <w:rPr>
          <w:rFonts w:asciiTheme="majorHAnsi" w:hAnsiTheme="majorHAnsi"/>
        </w:rPr>
        <w:t>s</w:t>
      </w:r>
      <w:r w:rsidR="00806EE1" w:rsidRPr="00734AB6">
        <w:rPr>
          <w:rFonts w:asciiTheme="majorHAnsi" w:hAnsiTheme="majorHAnsi"/>
        </w:rPr>
        <w:t>.</w:t>
      </w:r>
      <w:r w:rsidR="00233E3B" w:rsidRPr="00734AB6">
        <w:rPr>
          <w:rFonts w:asciiTheme="majorHAnsi" w:hAnsiTheme="majorHAnsi"/>
        </w:rPr>
        <w:t xml:space="preserve"> </w:t>
      </w:r>
      <w:r w:rsidR="00AB2FBF" w:rsidRPr="00734AB6">
        <w:rPr>
          <w:rFonts w:asciiTheme="majorHAnsi" w:hAnsiTheme="majorHAnsi"/>
        </w:rPr>
        <w:t>Verbal working memory</w:t>
      </w:r>
      <w:r w:rsidR="00782AA9" w:rsidRPr="00734AB6">
        <w:rPr>
          <w:rFonts w:asciiTheme="majorHAnsi" w:hAnsiTheme="majorHAnsi"/>
        </w:rPr>
        <w:t>, as proposed by Baddeley (1992)</w:t>
      </w:r>
      <w:r w:rsidR="007F5E4D" w:rsidRPr="00734AB6">
        <w:rPr>
          <w:rFonts w:asciiTheme="majorHAnsi" w:hAnsiTheme="majorHAnsi"/>
        </w:rPr>
        <w:t>,</w:t>
      </w:r>
      <w:r w:rsidR="00782AA9" w:rsidRPr="00734AB6">
        <w:rPr>
          <w:rFonts w:asciiTheme="majorHAnsi" w:hAnsiTheme="majorHAnsi"/>
        </w:rPr>
        <w:t xml:space="preserve"> involves two subsystems, a speech-based store capable of holding a memory trace for approximately two seconds and an articulatory control process which maintains the memory trace by a recycling process described as subvocal rehearsal. Together these subsystems form the phonological loop.</w:t>
      </w:r>
      <w:r w:rsidR="003F243E" w:rsidRPr="00734AB6">
        <w:rPr>
          <w:rFonts w:asciiTheme="majorHAnsi" w:hAnsiTheme="majorHAnsi"/>
        </w:rPr>
        <w:t xml:space="preserve"> Barkley (20</w:t>
      </w:r>
      <w:r w:rsidRPr="00734AB6">
        <w:rPr>
          <w:rFonts w:asciiTheme="majorHAnsi" w:hAnsiTheme="majorHAnsi"/>
        </w:rPr>
        <w:t>01</w:t>
      </w:r>
      <w:r w:rsidR="003F243E" w:rsidRPr="00734AB6">
        <w:rPr>
          <w:rFonts w:asciiTheme="majorHAnsi" w:hAnsiTheme="majorHAnsi"/>
        </w:rPr>
        <w:t>) proposed that verbal working memory originates in the development of internalization of speech which allows processes of reflection, problem-solving and self-directed speech such as self-questioning.</w:t>
      </w:r>
      <w:r w:rsidR="002C28EF" w:rsidRPr="00734AB6">
        <w:rPr>
          <w:rFonts w:asciiTheme="majorHAnsi" w:hAnsiTheme="majorHAnsi"/>
        </w:rPr>
        <w:t xml:space="preserve"> </w:t>
      </w:r>
      <w:r w:rsidR="00B9029A" w:rsidRPr="00734AB6">
        <w:rPr>
          <w:rFonts w:asciiTheme="majorHAnsi" w:hAnsiTheme="majorHAnsi"/>
        </w:rPr>
        <w:t>A further component of working memory</w:t>
      </w:r>
      <w:r w:rsidR="00644D6A" w:rsidRPr="00734AB6">
        <w:rPr>
          <w:rFonts w:asciiTheme="majorHAnsi" w:hAnsiTheme="majorHAnsi"/>
        </w:rPr>
        <w:t xml:space="preserve"> </w:t>
      </w:r>
      <w:r w:rsidR="00B9029A" w:rsidRPr="00734AB6">
        <w:rPr>
          <w:rFonts w:asciiTheme="majorHAnsi" w:hAnsiTheme="majorHAnsi"/>
        </w:rPr>
        <w:t xml:space="preserve">was proposed by Baddeley (1992) and referred to as the central executive. The central executive is argued to function in the distribution of resources between the visuo-spatial </w:t>
      </w:r>
      <w:proofErr w:type="spellStart"/>
      <w:r w:rsidR="00B9029A" w:rsidRPr="00734AB6">
        <w:rPr>
          <w:rFonts w:asciiTheme="majorHAnsi" w:hAnsiTheme="majorHAnsi"/>
        </w:rPr>
        <w:t>sketchad</w:t>
      </w:r>
      <w:proofErr w:type="spellEnd"/>
      <w:r w:rsidR="00B9029A" w:rsidRPr="00734AB6">
        <w:rPr>
          <w:rFonts w:asciiTheme="majorHAnsi" w:hAnsiTheme="majorHAnsi"/>
        </w:rPr>
        <w:t xml:space="preserve"> and the phonological loop. The neural </w:t>
      </w:r>
      <w:r w:rsidR="00477F51" w:rsidRPr="00734AB6">
        <w:rPr>
          <w:rFonts w:asciiTheme="majorHAnsi" w:hAnsiTheme="majorHAnsi"/>
        </w:rPr>
        <w:t>substrates</w:t>
      </w:r>
      <w:r w:rsidR="00B9029A" w:rsidRPr="00734AB6">
        <w:rPr>
          <w:rFonts w:asciiTheme="majorHAnsi" w:hAnsiTheme="majorHAnsi"/>
        </w:rPr>
        <w:t xml:space="preserve"> of the central executive have been </w:t>
      </w:r>
      <w:proofErr w:type="spellStart"/>
      <w:r w:rsidR="00B9029A" w:rsidRPr="00734AB6">
        <w:rPr>
          <w:rFonts w:asciiTheme="majorHAnsi" w:hAnsiTheme="majorHAnsi"/>
        </w:rPr>
        <w:t>idenfitied</w:t>
      </w:r>
      <w:proofErr w:type="spellEnd"/>
      <w:r w:rsidR="00B9029A" w:rsidRPr="00734AB6">
        <w:rPr>
          <w:rFonts w:asciiTheme="majorHAnsi" w:hAnsiTheme="majorHAnsi"/>
        </w:rPr>
        <w:t xml:space="preserve"> as the </w:t>
      </w:r>
      <w:r w:rsidR="00754FB3">
        <w:rPr>
          <w:rFonts w:asciiTheme="majorHAnsi" w:hAnsiTheme="majorHAnsi"/>
        </w:rPr>
        <w:t>prefrontal cortex (</w:t>
      </w:r>
      <w:r w:rsidR="00B9029A" w:rsidRPr="00734AB6">
        <w:rPr>
          <w:rFonts w:asciiTheme="majorHAnsi" w:hAnsiTheme="majorHAnsi"/>
        </w:rPr>
        <w:t>PFC</w:t>
      </w:r>
      <w:r w:rsidR="00754FB3">
        <w:rPr>
          <w:rFonts w:asciiTheme="majorHAnsi" w:hAnsiTheme="majorHAnsi"/>
        </w:rPr>
        <w:t>)</w:t>
      </w:r>
      <w:r w:rsidR="00B9029A" w:rsidRPr="00734AB6">
        <w:rPr>
          <w:rFonts w:asciiTheme="majorHAnsi" w:hAnsiTheme="majorHAnsi"/>
        </w:rPr>
        <w:t xml:space="preserve"> and </w:t>
      </w:r>
      <w:r w:rsidR="00A33932" w:rsidRPr="00734AB6">
        <w:rPr>
          <w:rFonts w:asciiTheme="majorHAnsi" w:hAnsiTheme="majorHAnsi"/>
        </w:rPr>
        <w:t>anterior cingulate cortex (ACC)</w:t>
      </w:r>
      <w:r w:rsidR="00DA4E40" w:rsidRPr="00734AB6">
        <w:rPr>
          <w:rFonts w:asciiTheme="majorHAnsi" w:hAnsiTheme="majorHAnsi"/>
        </w:rPr>
        <w:t>;</w:t>
      </w:r>
      <w:r w:rsidR="00477F51" w:rsidRPr="00734AB6">
        <w:rPr>
          <w:rFonts w:asciiTheme="majorHAnsi" w:hAnsiTheme="majorHAnsi"/>
        </w:rPr>
        <w:t xml:space="preserve"> the PFC functions in allocating attention to maintaining information, whilst the ACC supports attention management </w:t>
      </w:r>
      <w:r w:rsidR="00477F51" w:rsidRPr="00734AB6">
        <w:rPr>
          <w:rFonts w:asciiTheme="majorHAnsi" w:hAnsiTheme="majorHAnsi"/>
        </w:rPr>
        <w:lastRenderedPageBreak/>
        <w:t>function</w:t>
      </w:r>
      <w:r w:rsidR="00DA4E40" w:rsidRPr="00734AB6">
        <w:rPr>
          <w:rFonts w:asciiTheme="majorHAnsi" w:hAnsiTheme="majorHAnsi"/>
        </w:rPr>
        <w:t>s</w:t>
      </w:r>
      <w:r w:rsidR="00477F51" w:rsidRPr="00734AB6">
        <w:rPr>
          <w:rFonts w:asciiTheme="majorHAnsi" w:hAnsiTheme="majorHAnsi"/>
        </w:rPr>
        <w:t xml:space="preserve"> such as managing conflict between two tasks (Osaka et al., 2004).</w:t>
      </w:r>
      <w:r w:rsidR="004D40DC" w:rsidRPr="00734AB6">
        <w:rPr>
          <w:rFonts w:asciiTheme="majorHAnsi" w:hAnsiTheme="majorHAnsi"/>
        </w:rPr>
        <w:t xml:space="preserve"> </w:t>
      </w:r>
      <w:r w:rsidR="00A904F1" w:rsidRPr="00734AB6">
        <w:rPr>
          <w:rFonts w:asciiTheme="majorHAnsi" w:hAnsiTheme="majorHAnsi"/>
        </w:rPr>
        <w:t xml:space="preserve">Regulation of working memory is dependent on dopamine </w:t>
      </w:r>
      <w:r w:rsidR="007E69A2" w:rsidRPr="00734AB6">
        <w:rPr>
          <w:rFonts w:asciiTheme="majorHAnsi" w:hAnsiTheme="majorHAnsi"/>
        </w:rPr>
        <w:t xml:space="preserve">(DA) </w:t>
      </w:r>
      <w:r w:rsidR="00A904F1" w:rsidRPr="00734AB6">
        <w:rPr>
          <w:rFonts w:asciiTheme="majorHAnsi" w:hAnsiTheme="majorHAnsi"/>
        </w:rPr>
        <w:t xml:space="preserve">neurotransmission (Chamberlain et al., 2006). </w:t>
      </w:r>
      <w:r w:rsidR="00E15530" w:rsidRPr="00734AB6">
        <w:rPr>
          <w:rFonts w:asciiTheme="majorHAnsi" w:hAnsiTheme="majorHAnsi"/>
        </w:rPr>
        <w:t>P</w:t>
      </w:r>
      <w:r w:rsidR="00B57B75" w:rsidRPr="00734AB6">
        <w:rPr>
          <w:rFonts w:asciiTheme="majorHAnsi" w:hAnsiTheme="majorHAnsi"/>
        </w:rPr>
        <w:t>oor</w:t>
      </w:r>
      <w:r w:rsidR="004D40DC" w:rsidRPr="00734AB6">
        <w:rPr>
          <w:rFonts w:asciiTheme="majorHAnsi" w:hAnsiTheme="majorHAnsi"/>
        </w:rPr>
        <w:t xml:space="preserve"> working memory </w:t>
      </w:r>
      <w:r w:rsidR="00B57B75" w:rsidRPr="00734AB6">
        <w:rPr>
          <w:rFonts w:asciiTheme="majorHAnsi" w:hAnsiTheme="majorHAnsi"/>
        </w:rPr>
        <w:t>has been found to be a common feature of underachievement in education, particularly in reading performance and mathematics (Holmes &amp; Gathercole, 2014)</w:t>
      </w:r>
      <w:r w:rsidR="00F36F27" w:rsidRPr="00734AB6">
        <w:rPr>
          <w:rFonts w:asciiTheme="majorHAnsi" w:hAnsiTheme="majorHAnsi"/>
        </w:rPr>
        <w:t>.</w:t>
      </w:r>
    </w:p>
    <w:p w14:paraId="4B801B9E" w14:textId="77777777" w:rsidR="00D01073" w:rsidRPr="00734AB6" w:rsidRDefault="00D01073" w:rsidP="00233E3B">
      <w:pPr>
        <w:spacing w:after="240" w:line="360" w:lineRule="auto"/>
        <w:ind w:firstLine="851"/>
        <w:rPr>
          <w:rFonts w:asciiTheme="majorHAnsi" w:hAnsiTheme="majorHAnsi"/>
        </w:rPr>
      </w:pPr>
    </w:p>
    <w:p w14:paraId="1F623A35" w14:textId="2120142E" w:rsidR="00D01073" w:rsidRPr="00734AB6" w:rsidRDefault="00D01073" w:rsidP="00D01073">
      <w:pPr>
        <w:pStyle w:val="Heading4"/>
        <w:spacing w:after="240"/>
        <w:rPr>
          <w:b/>
          <w:bCs/>
          <w:i w:val="0"/>
          <w:iCs w:val="0"/>
          <w:color w:val="auto"/>
        </w:rPr>
      </w:pPr>
      <w:r w:rsidRPr="00734AB6">
        <w:rPr>
          <w:b/>
          <w:bCs/>
          <w:i w:val="0"/>
          <w:iCs w:val="0"/>
          <w:color w:val="auto"/>
        </w:rPr>
        <w:t>1.1.1.2</w:t>
      </w:r>
      <w:r w:rsidRPr="00734AB6">
        <w:rPr>
          <w:b/>
          <w:bCs/>
          <w:i w:val="0"/>
          <w:iCs w:val="0"/>
          <w:color w:val="auto"/>
        </w:rPr>
        <w:tab/>
        <w:t>Behavioural response inhibition</w:t>
      </w:r>
    </w:p>
    <w:p w14:paraId="668D35CA" w14:textId="72BCD886" w:rsidR="00AB2FBF" w:rsidRPr="00734AB6" w:rsidRDefault="00DC5381" w:rsidP="008E49DB">
      <w:pPr>
        <w:spacing w:after="240" w:line="360" w:lineRule="auto"/>
        <w:ind w:firstLine="851"/>
        <w:rPr>
          <w:rFonts w:asciiTheme="majorHAnsi" w:hAnsiTheme="majorHAnsi"/>
        </w:rPr>
      </w:pPr>
      <w:r w:rsidRPr="00734AB6">
        <w:rPr>
          <w:rFonts w:asciiTheme="majorHAnsi" w:hAnsiTheme="majorHAnsi" w:cstheme="majorHAnsi"/>
        </w:rPr>
        <w:t>As Diamond (2014) notes, inhibition allows control over habits, thoughts and actions which have become conditioned responses, thus providing the ability to choose how to act and behave.</w:t>
      </w:r>
      <w:r w:rsidR="00E668AC" w:rsidRPr="00734AB6">
        <w:rPr>
          <w:rFonts w:asciiTheme="majorHAnsi" w:hAnsiTheme="majorHAnsi" w:cstheme="majorHAnsi"/>
        </w:rPr>
        <w:t xml:space="preserve"> </w:t>
      </w:r>
      <w:r w:rsidR="00E15530" w:rsidRPr="00734AB6">
        <w:rPr>
          <w:rFonts w:asciiTheme="majorHAnsi" w:hAnsiTheme="majorHAnsi" w:cstheme="majorHAnsi"/>
        </w:rPr>
        <w:t xml:space="preserve">It is also essential in filtering out irrelevant external stimuli and without inhibition the conscious mind would be bombarded with a continuous flow of irrelevant information (Aron, 2007). </w:t>
      </w:r>
      <w:r w:rsidR="00C7615A" w:rsidRPr="00734AB6">
        <w:rPr>
          <w:rFonts w:asciiTheme="majorHAnsi" w:hAnsiTheme="majorHAnsi"/>
        </w:rPr>
        <w:t>Response inhibition is the ability to enforce inhibitory control of prepotent responses to suppress unwanted or inappropriate actions (Barkley, 2001; Chamberlain et al., 2006; Diamond, 2014). Prepotent responses are dominant responses which have been previously reinforced for automatization (</w:t>
      </w:r>
      <w:r w:rsidR="00581B9E" w:rsidRPr="00734AB6">
        <w:rPr>
          <w:rFonts w:asciiTheme="majorHAnsi" w:hAnsiTheme="majorHAnsi" w:cstheme="majorHAnsi"/>
        </w:rPr>
        <w:t xml:space="preserve">Jiménez-Figueroa et al., 2017). </w:t>
      </w:r>
      <w:r w:rsidR="00046189" w:rsidRPr="00734AB6">
        <w:rPr>
          <w:rFonts w:asciiTheme="majorHAnsi" w:hAnsiTheme="majorHAnsi"/>
        </w:rPr>
        <w:t>Response inhibition is believed to consist of three processes which are the inhibition of the prepotent response, the interruption of an ongoing</w:t>
      </w:r>
      <w:r w:rsidR="003B226F" w:rsidRPr="00734AB6">
        <w:rPr>
          <w:rFonts w:asciiTheme="majorHAnsi" w:hAnsiTheme="majorHAnsi"/>
        </w:rPr>
        <w:t xml:space="preserve"> ineffective</w:t>
      </w:r>
      <w:r w:rsidR="00046189" w:rsidRPr="00734AB6">
        <w:rPr>
          <w:rFonts w:asciiTheme="majorHAnsi" w:hAnsiTheme="majorHAnsi"/>
        </w:rPr>
        <w:t xml:space="preserve"> response</w:t>
      </w:r>
      <w:r w:rsidR="00EB2A13" w:rsidRPr="00734AB6">
        <w:rPr>
          <w:rFonts w:asciiTheme="majorHAnsi" w:hAnsiTheme="majorHAnsi"/>
        </w:rPr>
        <w:t>,</w:t>
      </w:r>
      <w:r w:rsidR="00046189" w:rsidRPr="00734AB6">
        <w:rPr>
          <w:rFonts w:asciiTheme="majorHAnsi" w:hAnsiTheme="majorHAnsi"/>
        </w:rPr>
        <w:t xml:space="preserve"> and the protection of the self-directed responses which is also referred to as interference control or resistance to distraction (Barkley, 2001).</w:t>
      </w:r>
      <w:r w:rsidR="003B226F" w:rsidRPr="00734AB6">
        <w:rPr>
          <w:rFonts w:asciiTheme="majorHAnsi" w:hAnsiTheme="majorHAnsi"/>
        </w:rPr>
        <w:t xml:space="preserve"> </w:t>
      </w:r>
      <w:r w:rsidR="00EB2A13" w:rsidRPr="00734AB6">
        <w:rPr>
          <w:rFonts w:asciiTheme="majorHAnsi" w:hAnsiTheme="majorHAnsi"/>
        </w:rPr>
        <w:t xml:space="preserve">Interference control </w:t>
      </w:r>
      <w:r w:rsidR="00272A25" w:rsidRPr="00734AB6">
        <w:rPr>
          <w:rFonts w:asciiTheme="majorHAnsi" w:hAnsiTheme="majorHAnsi"/>
        </w:rPr>
        <w:t xml:space="preserve">requires the inhibition of prepotent mental representations, also known as cognitive inhibition, which </w:t>
      </w:r>
      <w:r w:rsidR="00EB2A13" w:rsidRPr="00734AB6">
        <w:rPr>
          <w:rFonts w:asciiTheme="majorHAnsi" w:hAnsiTheme="majorHAnsi"/>
        </w:rPr>
        <w:t xml:space="preserve">permits selective </w:t>
      </w:r>
      <w:r w:rsidR="00272A25" w:rsidRPr="00734AB6">
        <w:rPr>
          <w:rFonts w:asciiTheme="majorHAnsi" w:hAnsiTheme="majorHAnsi"/>
        </w:rPr>
        <w:t xml:space="preserve">or focused </w:t>
      </w:r>
      <w:r w:rsidR="00EB2A13" w:rsidRPr="00734AB6">
        <w:rPr>
          <w:rFonts w:asciiTheme="majorHAnsi" w:hAnsiTheme="majorHAnsi"/>
        </w:rPr>
        <w:t xml:space="preserve">attention to occur, preventing external stimuli from drawing attention away (Diamond, 2014). Thus, response inhibition is essential for self-control and effective cognitive performance. </w:t>
      </w:r>
      <w:r w:rsidR="00A904F1" w:rsidRPr="00734AB6">
        <w:rPr>
          <w:rFonts w:asciiTheme="majorHAnsi" w:hAnsiTheme="majorHAnsi"/>
        </w:rPr>
        <w:t>The PFC has been implicated in response inhibition, particularly the right inferior frontal gyrus (Chamberlain et al., 2006; Hampshire et al., 2010)</w:t>
      </w:r>
      <w:r w:rsidR="00D01073" w:rsidRPr="00734AB6">
        <w:rPr>
          <w:rFonts w:asciiTheme="majorHAnsi" w:hAnsiTheme="majorHAnsi"/>
        </w:rPr>
        <w:t xml:space="preserve"> and regulation of response inhibition is dependent on noradrenalin</w:t>
      </w:r>
      <w:r w:rsidR="00754FB3">
        <w:rPr>
          <w:rFonts w:asciiTheme="majorHAnsi" w:hAnsiTheme="majorHAnsi"/>
        </w:rPr>
        <w:t>e</w:t>
      </w:r>
      <w:r w:rsidR="00D01073" w:rsidRPr="00734AB6">
        <w:rPr>
          <w:rFonts w:asciiTheme="majorHAnsi" w:hAnsiTheme="majorHAnsi"/>
        </w:rPr>
        <w:t xml:space="preserve"> (Chamberlain et al., 2006)</w:t>
      </w:r>
      <w:r w:rsidR="00A904F1" w:rsidRPr="00734AB6">
        <w:rPr>
          <w:rFonts w:asciiTheme="majorHAnsi" w:hAnsiTheme="majorHAnsi"/>
        </w:rPr>
        <w:t xml:space="preserve">. </w:t>
      </w:r>
      <w:r w:rsidRPr="00734AB6">
        <w:rPr>
          <w:rFonts w:asciiTheme="majorHAnsi" w:hAnsiTheme="majorHAnsi"/>
        </w:rPr>
        <w:t>Poor</w:t>
      </w:r>
      <w:r w:rsidR="00A33932" w:rsidRPr="00734AB6">
        <w:rPr>
          <w:rFonts w:asciiTheme="majorHAnsi" w:hAnsiTheme="majorHAnsi"/>
        </w:rPr>
        <w:t xml:space="preserve"> </w:t>
      </w:r>
      <w:r w:rsidR="000860B8" w:rsidRPr="00734AB6">
        <w:rPr>
          <w:rFonts w:asciiTheme="majorHAnsi" w:hAnsiTheme="majorHAnsi"/>
        </w:rPr>
        <w:t xml:space="preserve">response inhibition </w:t>
      </w:r>
      <w:r w:rsidR="00E15530" w:rsidRPr="00734AB6">
        <w:rPr>
          <w:rFonts w:asciiTheme="majorHAnsi" w:hAnsiTheme="majorHAnsi"/>
        </w:rPr>
        <w:t>is noted as a symptom of a number of psychiatric disorders including attention deficit hyperactivity disorder (ADHD), schizophrenia and depression, and it is also a symptom of learning difficulties.</w:t>
      </w:r>
    </w:p>
    <w:p w14:paraId="3910964F" w14:textId="77777777" w:rsidR="0056323F" w:rsidRPr="00734AB6" w:rsidRDefault="0056323F" w:rsidP="008E49DB">
      <w:pPr>
        <w:spacing w:after="240" w:line="360" w:lineRule="auto"/>
        <w:ind w:firstLine="851"/>
        <w:rPr>
          <w:rFonts w:asciiTheme="majorHAnsi" w:hAnsiTheme="majorHAnsi"/>
        </w:rPr>
      </w:pPr>
    </w:p>
    <w:p w14:paraId="46629333" w14:textId="0D9780B4" w:rsidR="00594BB1" w:rsidRPr="00734AB6" w:rsidRDefault="0056323F" w:rsidP="003A41F9">
      <w:pPr>
        <w:pStyle w:val="Heading4"/>
        <w:numPr>
          <w:ilvl w:val="3"/>
          <w:numId w:val="14"/>
        </w:numPr>
        <w:spacing w:after="240" w:line="360" w:lineRule="auto"/>
        <w:ind w:left="709"/>
        <w:rPr>
          <w:b/>
          <w:bCs/>
          <w:i w:val="0"/>
          <w:iCs w:val="0"/>
          <w:color w:val="auto"/>
        </w:rPr>
      </w:pPr>
      <w:r w:rsidRPr="00734AB6">
        <w:rPr>
          <w:b/>
          <w:bCs/>
          <w:i w:val="0"/>
          <w:iCs w:val="0"/>
          <w:color w:val="auto"/>
        </w:rPr>
        <w:t>Cognitive flexibility</w:t>
      </w:r>
    </w:p>
    <w:p w14:paraId="17C221CD" w14:textId="12B07A2D" w:rsidR="0056323F" w:rsidRPr="00734AB6" w:rsidRDefault="00073FFE" w:rsidP="003A41F9">
      <w:pPr>
        <w:spacing w:line="360" w:lineRule="auto"/>
        <w:ind w:firstLine="851"/>
        <w:rPr>
          <w:rFonts w:asciiTheme="majorHAnsi" w:hAnsiTheme="majorHAnsi" w:cstheme="majorHAnsi"/>
        </w:rPr>
      </w:pPr>
      <w:r w:rsidRPr="00734AB6">
        <w:rPr>
          <w:rFonts w:asciiTheme="majorHAnsi" w:hAnsiTheme="majorHAnsi" w:cstheme="majorHAnsi"/>
        </w:rPr>
        <w:t xml:space="preserve">The ability to mentally shift between different cognitive tasks or concepts and adapt to changes in the environment is </w:t>
      </w:r>
      <w:proofErr w:type="spellStart"/>
      <w:r w:rsidRPr="00734AB6">
        <w:rPr>
          <w:rFonts w:asciiTheme="majorHAnsi" w:hAnsiTheme="majorHAnsi" w:cstheme="majorHAnsi"/>
        </w:rPr>
        <w:t>know</w:t>
      </w:r>
      <w:proofErr w:type="spellEnd"/>
      <w:r w:rsidRPr="00734AB6">
        <w:rPr>
          <w:rFonts w:asciiTheme="majorHAnsi" w:hAnsiTheme="majorHAnsi" w:cstheme="majorHAnsi"/>
        </w:rPr>
        <w:t xml:space="preserve"> as cognitive flexibility (Cools, 2015</w:t>
      </w:r>
      <w:r w:rsidR="00565F1C" w:rsidRPr="00734AB6">
        <w:rPr>
          <w:rFonts w:asciiTheme="majorHAnsi" w:hAnsiTheme="majorHAnsi" w:cstheme="majorHAnsi"/>
        </w:rPr>
        <w:t xml:space="preserve">; </w:t>
      </w:r>
      <w:proofErr w:type="spellStart"/>
      <w:r w:rsidR="00565F1C" w:rsidRPr="00734AB6">
        <w:rPr>
          <w:rFonts w:asciiTheme="majorHAnsi" w:hAnsiTheme="majorHAnsi" w:cstheme="majorHAnsi"/>
        </w:rPr>
        <w:t>Dajani</w:t>
      </w:r>
      <w:proofErr w:type="spellEnd"/>
      <w:r w:rsidR="00565F1C" w:rsidRPr="00734AB6">
        <w:rPr>
          <w:rFonts w:asciiTheme="majorHAnsi" w:hAnsiTheme="majorHAnsi" w:cstheme="majorHAnsi"/>
        </w:rPr>
        <w:t xml:space="preserve"> &amp; Uddin, 2015)</w:t>
      </w:r>
      <w:r w:rsidRPr="00734AB6">
        <w:rPr>
          <w:rFonts w:asciiTheme="majorHAnsi" w:hAnsiTheme="majorHAnsi" w:cstheme="majorHAnsi"/>
        </w:rPr>
        <w:t xml:space="preserve">. </w:t>
      </w:r>
      <w:r w:rsidR="00565F1C" w:rsidRPr="00734AB6">
        <w:rPr>
          <w:rFonts w:asciiTheme="majorHAnsi" w:hAnsiTheme="majorHAnsi" w:cstheme="majorHAnsi"/>
        </w:rPr>
        <w:t xml:space="preserve">Cools (2015) proposed that, in order to adapt to constant changes in the environment, a balance between cognitive flexibility and cognitive stability is required. Environmental changes which are irrelevant and may be considered noise, require cognitive stability, whereas relevant changes require cognitive flexibility. </w:t>
      </w:r>
      <w:r w:rsidR="00B23B45" w:rsidRPr="00734AB6">
        <w:rPr>
          <w:rFonts w:asciiTheme="majorHAnsi" w:hAnsiTheme="majorHAnsi" w:cstheme="majorHAnsi"/>
        </w:rPr>
        <w:t xml:space="preserve">Different forms of </w:t>
      </w:r>
      <w:r w:rsidR="00790A28" w:rsidRPr="00734AB6">
        <w:rPr>
          <w:rFonts w:asciiTheme="majorHAnsi" w:hAnsiTheme="majorHAnsi" w:cstheme="majorHAnsi"/>
        </w:rPr>
        <w:t xml:space="preserve">cognitive flexibility </w:t>
      </w:r>
      <w:r w:rsidR="00B23B45" w:rsidRPr="00734AB6">
        <w:rPr>
          <w:rFonts w:asciiTheme="majorHAnsi" w:hAnsiTheme="majorHAnsi" w:cstheme="majorHAnsi"/>
        </w:rPr>
        <w:t>include</w:t>
      </w:r>
      <w:r w:rsidR="00790A28" w:rsidRPr="00734AB6">
        <w:rPr>
          <w:rFonts w:asciiTheme="majorHAnsi" w:hAnsiTheme="majorHAnsi" w:cstheme="majorHAnsi"/>
        </w:rPr>
        <w:t xml:space="preserve"> set-shifting</w:t>
      </w:r>
      <w:r w:rsidR="00A46F6E" w:rsidRPr="00734AB6">
        <w:rPr>
          <w:rFonts w:asciiTheme="majorHAnsi" w:hAnsiTheme="majorHAnsi" w:cstheme="majorHAnsi"/>
        </w:rPr>
        <w:t>,</w:t>
      </w:r>
      <w:r w:rsidR="00790A28" w:rsidRPr="00734AB6">
        <w:rPr>
          <w:rFonts w:asciiTheme="majorHAnsi" w:hAnsiTheme="majorHAnsi" w:cstheme="majorHAnsi"/>
        </w:rPr>
        <w:t xml:space="preserve"> task </w:t>
      </w:r>
      <w:r w:rsidR="00790A28" w:rsidRPr="00734AB6">
        <w:rPr>
          <w:rFonts w:asciiTheme="majorHAnsi" w:hAnsiTheme="majorHAnsi" w:cstheme="majorHAnsi"/>
        </w:rPr>
        <w:lastRenderedPageBreak/>
        <w:t>switching</w:t>
      </w:r>
      <w:r w:rsidR="00A46F6E" w:rsidRPr="00734AB6">
        <w:rPr>
          <w:rFonts w:asciiTheme="majorHAnsi" w:hAnsiTheme="majorHAnsi" w:cstheme="majorHAnsi"/>
        </w:rPr>
        <w:t xml:space="preserve"> and reversal learning</w:t>
      </w:r>
      <w:r w:rsidR="00790A28" w:rsidRPr="00734AB6">
        <w:rPr>
          <w:rFonts w:asciiTheme="majorHAnsi" w:hAnsiTheme="majorHAnsi" w:cstheme="majorHAnsi"/>
        </w:rPr>
        <w:t xml:space="preserve"> (Cools, 2015; </w:t>
      </w:r>
      <w:proofErr w:type="spellStart"/>
      <w:r w:rsidR="00790A28" w:rsidRPr="00734AB6">
        <w:rPr>
          <w:rFonts w:asciiTheme="majorHAnsi" w:hAnsiTheme="majorHAnsi" w:cstheme="majorHAnsi"/>
        </w:rPr>
        <w:t>Dajani</w:t>
      </w:r>
      <w:proofErr w:type="spellEnd"/>
      <w:r w:rsidR="00790A28" w:rsidRPr="00734AB6">
        <w:rPr>
          <w:rFonts w:asciiTheme="majorHAnsi" w:hAnsiTheme="majorHAnsi" w:cstheme="majorHAnsi"/>
        </w:rPr>
        <w:t xml:space="preserve"> &amp; Uddin, 2015). </w:t>
      </w:r>
      <w:r w:rsidR="00015294" w:rsidRPr="00734AB6">
        <w:rPr>
          <w:rFonts w:asciiTheme="majorHAnsi" w:hAnsiTheme="majorHAnsi" w:cstheme="majorHAnsi"/>
        </w:rPr>
        <w:t>Set-shifting requires an attentional shift between modalities of the stimuli such as distinguishing between lines and shapes, within a task (</w:t>
      </w:r>
      <w:proofErr w:type="spellStart"/>
      <w:r w:rsidR="00015294" w:rsidRPr="00734AB6">
        <w:rPr>
          <w:rFonts w:asciiTheme="majorHAnsi" w:hAnsiTheme="majorHAnsi" w:cstheme="majorHAnsi"/>
        </w:rPr>
        <w:t>Dajani</w:t>
      </w:r>
      <w:proofErr w:type="spellEnd"/>
      <w:r w:rsidR="00015294" w:rsidRPr="00734AB6">
        <w:rPr>
          <w:rFonts w:asciiTheme="majorHAnsi" w:hAnsiTheme="majorHAnsi" w:cstheme="majorHAnsi"/>
        </w:rPr>
        <w:t xml:space="preserve"> &amp; Uddin, 2015; </w:t>
      </w:r>
      <w:proofErr w:type="spellStart"/>
      <w:r w:rsidR="00015294" w:rsidRPr="00734AB6">
        <w:rPr>
          <w:rFonts w:asciiTheme="majorHAnsi" w:hAnsiTheme="majorHAnsi" w:cstheme="majorHAnsi"/>
        </w:rPr>
        <w:t>Kehagia</w:t>
      </w:r>
      <w:proofErr w:type="spellEnd"/>
      <w:r w:rsidR="00015294" w:rsidRPr="00734AB6">
        <w:rPr>
          <w:rFonts w:asciiTheme="majorHAnsi" w:hAnsiTheme="majorHAnsi" w:cstheme="majorHAnsi"/>
        </w:rPr>
        <w:t>, Murray &amp; Robbins, 2010). Task switching, on the other hand, requires a shift between tasks with different sets of instructions, and this is considered to be the most complex form of cognitive flexibility (</w:t>
      </w:r>
      <w:proofErr w:type="spellStart"/>
      <w:r w:rsidR="00DE4B1B" w:rsidRPr="00734AB6">
        <w:rPr>
          <w:rFonts w:asciiTheme="majorHAnsi" w:hAnsiTheme="majorHAnsi" w:cstheme="majorHAnsi"/>
        </w:rPr>
        <w:t>Dajani</w:t>
      </w:r>
      <w:proofErr w:type="spellEnd"/>
      <w:r w:rsidR="00DE4B1B" w:rsidRPr="00734AB6">
        <w:rPr>
          <w:rFonts w:asciiTheme="majorHAnsi" w:hAnsiTheme="majorHAnsi" w:cstheme="majorHAnsi"/>
        </w:rPr>
        <w:t xml:space="preserve"> &amp; Uddin, 2015</w:t>
      </w:r>
      <w:bookmarkStart w:id="5" w:name="_Hlk60665411"/>
      <w:r w:rsidR="00DE4B1B" w:rsidRPr="00734AB6">
        <w:rPr>
          <w:rFonts w:asciiTheme="majorHAnsi" w:hAnsiTheme="majorHAnsi" w:cstheme="majorHAnsi"/>
        </w:rPr>
        <w:t xml:space="preserve">). </w:t>
      </w:r>
      <w:bookmarkEnd w:id="5"/>
      <w:r w:rsidR="00A46F6E" w:rsidRPr="00734AB6">
        <w:rPr>
          <w:rFonts w:asciiTheme="majorHAnsi" w:hAnsiTheme="majorHAnsi" w:cstheme="majorHAnsi"/>
        </w:rPr>
        <w:t xml:space="preserve">Reversal learning is the ability to stop responding to a previously reinforced stimulus which is no longer rewarding and to respond to a stimulus which is currently rewarding but was previously not rewarding (Cools, 2015; </w:t>
      </w:r>
      <w:proofErr w:type="spellStart"/>
      <w:r w:rsidR="00A46F6E" w:rsidRPr="00734AB6">
        <w:rPr>
          <w:rFonts w:asciiTheme="majorHAnsi" w:hAnsiTheme="majorHAnsi" w:cstheme="majorHAnsi"/>
        </w:rPr>
        <w:t>Kehagia</w:t>
      </w:r>
      <w:proofErr w:type="spellEnd"/>
      <w:r w:rsidR="00A46F6E" w:rsidRPr="00734AB6">
        <w:rPr>
          <w:rFonts w:asciiTheme="majorHAnsi" w:hAnsiTheme="majorHAnsi" w:cstheme="majorHAnsi"/>
        </w:rPr>
        <w:t xml:space="preserve"> et al., 2010). </w:t>
      </w:r>
      <w:r w:rsidR="007D10C5" w:rsidRPr="00734AB6">
        <w:rPr>
          <w:rFonts w:asciiTheme="majorHAnsi" w:hAnsiTheme="majorHAnsi" w:cstheme="majorHAnsi"/>
        </w:rPr>
        <w:t xml:space="preserve">The neural correlates of cognitive flexibility have been identified as a frontoparietal network including high-level cortical association areas (ventrolateral prefrontal cortex (VLPFC), dorsolateral prefrontal cortex (DLPFC), anterior cingulate and right anterior insula), premotor cortex, inferior and superior parietal cortices, inferior temporal </w:t>
      </w:r>
      <w:proofErr w:type="spellStart"/>
      <w:r w:rsidR="007D10C5" w:rsidRPr="00734AB6">
        <w:rPr>
          <w:rFonts w:asciiTheme="majorHAnsi" w:hAnsiTheme="majorHAnsi" w:cstheme="majorHAnsi"/>
        </w:rPr>
        <w:t>cotex</w:t>
      </w:r>
      <w:proofErr w:type="spellEnd"/>
      <w:r w:rsidR="007D10C5" w:rsidRPr="00734AB6">
        <w:rPr>
          <w:rFonts w:asciiTheme="majorHAnsi" w:hAnsiTheme="majorHAnsi" w:cstheme="majorHAnsi"/>
        </w:rPr>
        <w:t>, occipital cortex and subcortical structures such as the caudate and thalamus (</w:t>
      </w:r>
      <w:proofErr w:type="spellStart"/>
      <w:r w:rsidR="007D10C5" w:rsidRPr="00734AB6">
        <w:rPr>
          <w:rFonts w:asciiTheme="majorHAnsi" w:hAnsiTheme="majorHAnsi" w:cstheme="majorHAnsi"/>
        </w:rPr>
        <w:t>Dajani</w:t>
      </w:r>
      <w:proofErr w:type="spellEnd"/>
      <w:r w:rsidR="007D10C5" w:rsidRPr="00734AB6">
        <w:rPr>
          <w:rFonts w:asciiTheme="majorHAnsi" w:hAnsiTheme="majorHAnsi" w:cstheme="majorHAnsi"/>
        </w:rPr>
        <w:t xml:space="preserve"> &amp; Uddin, 2015).</w:t>
      </w:r>
      <w:r w:rsidR="003D7077" w:rsidRPr="00734AB6">
        <w:rPr>
          <w:rFonts w:asciiTheme="majorHAnsi" w:hAnsiTheme="majorHAnsi" w:cstheme="majorHAnsi"/>
        </w:rPr>
        <w:t xml:space="preserve"> Cortico-striatal </w:t>
      </w:r>
      <w:r w:rsidR="007E69A2" w:rsidRPr="00734AB6">
        <w:rPr>
          <w:rFonts w:asciiTheme="majorHAnsi" w:hAnsiTheme="majorHAnsi" w:cstheme="majorHAnsi"/>
        </w:rPr>
        <w:t xml:space="preserve">DA </w:t>
      </w:r>
      <w:r w:rsidR="003D7077" w:rsidRPr="00734AB6">
        <w:rPr>
          <w:rFonts w:asciiTheme="majorHAnsi" w:hAnsiTheme="majorHAnsi" w:cstheme="majorHAnsi"/>
        </w:rPr>
        <w:t>and orbito-frontal serotonin have been reported as critical for reversal learning</w:t>
      </w:r>
      <w:r w:rsidR="007E69A2" w:rsidRPr="00734AB6">
        <w:rPr>
          <w:rFonts w:asciiTheme="majorHAnsi" w:hAnsiTheme="majorHAnsi" w:cstheme="majorHAnsi"/>
        </w:rPr>
        <w:t>, whereas set-shifting has been associated with noradrenaline (NE), particularly in the dorsal noradrenergic ascending bundle</w:t>
      </w:r>
      <w:r w:rsidR="00CD57E3" w:rsidRPr="00734AB6">
        <w:rPr>
          <w:rFonts w:asciiTheme="majorHAnsi" w:hAnsiTheme="majorHAnsi" w:cstheme="majorHAnsi"/>
        </w:rPr>
        <w:t xml:space="preserve"> and task switching has been associated with DA in the dorsal cortico-striatal circuits (</w:t>
      </w:r>
      <w:proofErr w:type="spellStart"/>
      <w:r w:rsidR="00CD57E3" w:rsidRPr="00734AB6">
        <w:rPr>
          <w:rFonts w:asciiTheme="majorHAnsi" w:hAnsiTheme="majorHAnsi" w:cstheme="majorHAnsi"/>
        </w:rPr>
        <w:t>Kehagia</w:t>
      </w:r>
      <w:proofErr w:type="spellEnd"/>
      <w:r w:rsidR="00CD57E3" w:rsidRPr="00734AB6">
        <w:rPr>
          <w:rFonts w:asciiTheme="majorHAnsi" w:hAnsiTheme="majorHAnsi" w:cstheme="majorHAnsi"/>
        </w:rPr>
        <w:t xml:space="preserve"> et al., 2010). </w:t>
      </w:r>
      <w:r w:rsidR="004D04A5" w:rsidRPr="00734AB6">
        <w:rPr>
          <w:rFonts w:asciiTheme="majorHAnsi" w:hAnsiTheme="majorHAnsi" w:cstheme="majorHAnsi"/>
        </w:rPr>
        <w:t>Diminished cognitive flexibility and working memory have been associated with academic deficits such as reading and in adults cognitive inflexibility is associated with clinical symptoms such as rumination (</w:t>
      </w:r>
      <w:proofErr w:type="spellStart"/>
      <w:r w:rsidR="004D04A5" w:rsidRPr="00734AB6">
        <w:rPr>
          <w:rFonts w:asciiTheme="majorHAnsi" w:hAnsiTheme="majorHAnsi" w:cstheme="majorHAnsi"/>
        </w:rPr>
        <w:t>Dajani</w:t>
      </w:r>
      <w:proofErr w:type="spellEnd"/>
      <w:r w:rsidR="004D04A5" w:rsidRPr="00734AB6">
        <w:rPr>
          <w:rFonts w:asciiTheme="majorHAnsi" w:hAnsiTheme="majorHAnsi" w:cstheme="majorHAnsi"/>
        </w:rPr>
        <w:t xml:space="preserve"> &amp; Uddin, 2015).</w:t>
      </w:r>
    </w:p>
    <w:p w14:paraId="174BC39A" w14:textId="509BA7B6" w:rsidR="00884A14" w:rsidRPr="00734AB6" w:rsidRDefault="00884A14" w:rsidP="00884A14">
      <w:pPr>
        <w:spacing w:line="360" w:lineRule="auto"/>
        <w:ind w:firstLine="851"/>
        <w:rPr>
          <w:rFonts w:asciiTheme="majorHAnsi" w:hAnsiTheme="majorHAnsi" w:cstheme="majorHAnsi"/>
        </w:rPr>
      </w:pPr>
    </w:p>
    <w:p w14:paraId="7E7DD6DE" w14:textId="577A07E0" w:rsidR="00884A14" w:rsidRPr="00734AB6" w:rsidRDefault="00884A14" w:rsidP="00884A14">
      <w:pPr>
        <w:pStyle w:val="Heading4"/>
        <w:numPr>
          <w:ilvl w:val="3"/>
          <w:numId w:val="14"/>
        </w:numPr>
        <w:spacing w:after="240" w:line="360" w:lineRule="auto"/>
        <w:rPr>
          <w:b/>
          <w:bCs/>
          <w:i w:val="0"/>
          <w:iCs w:val="0"/>
          <w:color w:val="auto"/>
        </w:rPr>
      </w:pPr>
      <w:r w:rsidRPr="00734AB6">
        <w:rPr>
          <w:b/>
          <w:bCs/>
          <w:i w:val="0"/>
          <w:iCs w:val="0"/>
          <w:color w:val="auto"/>
        </w:rPr>
        <w:t>Self-regulation of affect/motivation/arousal</w:t>
      </w:r>
    </w:p>
    <w:p w14:paraId="02CB975A" w14:textId="13B2B5FA" w:rsidR="00884A14" w:rsidRPr="00734AB6" w:rsidRDefault="00884A14" w:rsidP="00884A14">
      <w:pPr>
        <w:spacing w:line="360" w:lineRule="auto"/>
        <w:ind w:firstLine="851"/>
        <w:rPr>
          <w:rFonts w:asciiTheme="majorHAnsi" w:hAnsiTheme="majorHAnsi" w:cstheme="majorHAnsi"/>
        </w:rPr>
      </w:pPr>
      <w:r w:rsidRPr="00734AB6">
        <w:rPr>
          <w:rFonts w:asciiTheme="majorHAnsi" w:hAnsiTheme="majorHAnsi" w:cstheme="majorHAnsi"/>
        </w:rPr>
        <w:t>The final core executive function as identified by Bark</w:t>
      </w:r>
      <w:r w:rsidR="0080779F" w:rsidRPr="00734AB6">
        <w:rPr>
          <w:rFonts w:asciiTheme="majorHAnsi" w:hAnsiTheme="majorHAnsi" w:cstheme="majorHAnsi"/>
        </w:rPr>
        <w:t>le</w:t>
      </w:r>
      <w:r w:rsidRPr="00734AB6">
        <w:rPr>
          <w:rFonts w:asciiTheme="majorHAnsi" w:hAnsiTheme="majorHAnsi" w:cstheme="majorHAnsi"/>
        </w:rPr>
        <w:t>y (2001) is covert self-directed emotion or self-regulation of affect/motivation/arousal</w:t>
      </w:r>
      <w:r w:rsidR="00B11338" w:rsidRPr="00734AB6">
        <w:rPr>
          <w:rFonts w:asciiTheme="majorHAnsi" w:hAnsiTheme="majorHAnsi" w:cstheme="majorHAnsi"/>
        </w:rPr>
        <w:t xml:space="preserve"> and is also referred to as emotional regulation</w:t>
      </w:r>
      <w:r w:rsidRPr="00734AB6">
        <w:rPr>
          <w:rFonts w:asciiTheme="majorHAnsi" w:hAnsiTheme="majorHAnsi" w:cstheme="majorHAnsi"/>
        </w:rPr>
        <w:t xml:space="preserve">. </w:t>
      </w:r>
      <w:r w:rsidR="0080779F" w:rsidRPr="00734AB6">
        <w:rPr>
          <w:rFonts w:asciiTheme="majorHAnsi" w:hAnsiTheme="majorHAnsi" w:cstheme="majorHAnsi"/>
        </w:rPr>
        <w:t xml:space="preserve">Barkley (2001) proposed that, although affective and motivational valences may have been expressed overtly in emotional displays, eventually these become covert and kept private. Barkley (2001) argued that this executive function “forms the wellspring of intrinsic motivation (willpower) so necessary to support future-directed behaviour (p. 8). </w:t>
      </w:r>
      <w:r w:rsidR="00B32E9B" w:rsidRPr="00734AB6">
        <w:rPr>
          <w:rFonts w:asciiTheme="majorHAnsi" w:hAnsiTheme="majorHAnsi" w:cstheme="majorHAnsi"/>
        </w:rPr>
        <w:t xml:space="preserve">The neural correlates of emotional regulation have been identified as the ventral anterior cingulate, ventromedial PFC, lateral </w:t>
      </w:r>
      <w:r w:rsidR="00A30765" w:rsidRPr="00734AB6">
        <w:rPr>
          <w:rFonts w:asciiTheme="majorHAnsi" w:hAnsiTheme="majorHAnsi" w:cstheme="majorHAnsi"/>
        </w:rPr>
        <w:t>PFC,</w:t>
      </w:r>
      <w:r w:rsidR="00B32E9B" w:rsidRPr="00734AB6">
        <w:rPr>
          <w:rFonts w:asciiTheme="majorHAnsi" w:hAnsiTheme="majorHAnsi" w:cstheme="majorHAnsi"/>
        </w:rPr>
        <w:t xml:space="preserve"> and lateral parietal cortex (</w:t>
      </w:r>
      <w:proofErr w:type="spellStart"/>
      <w:r w:rsidR="00B32E9B" w:rsidRPr="00734AB6">
        <w:rPr>
          <w:rFonts w:asciiTheme="majorHAnsi" w:hAnsiTheme="majorHAnsi" w:cstheme="majorHAnsi"/>
        </w:rPr>
        <w:t>Etkin</w:t>
      </w:r>
      <w:proofErr w:type="spellEnd"/>
      <w:r w:rsidR="00B32E9B" w:rsidRPr="00734AB6">
        <w:rPr>
          <w:rFonts w:asciiTheme="majorHAnsi" w:hAnsiTheme="majorHAnsi" w:cstheme="majorHAnsi"/>
        </w:rPr>
        <w:t xml:space="preserve">, </w:t>
      </w:r>
      <w:proofErr w:type="spellStart"/>
      <w:r w:rsidR="00B32E9B" w:rsidRPr="00734AB6">
        <w:rPr>
          <w:rFonts w:asciiTheme="majorHAnsi" w:hAnsiTheme="majorHAnsi" w:cstheme="majorHAnsi"/>
        </w:rPr>
        <w:t>Büchel</w:t>
      </w:r>
      <w:proofErr w:type="spellEnd"/>
      <w:r w:rsidR="00B32E9B" w:rsidRPr="00734AB6">
        <w:rPr>
          <w:rFonts w:asciiTheme="majorHAnsi" w:hAnsiTheme="majorHAnsi" w:cstheme="majorHAnsi"/>
        </w:rPr>
        <w:t xml:space="preserve"> &amp; Gross, 2015)</w:t>
      </w:r>
      <w:r w:rsidR="0000720D" w:rsidRPr="00734AB6">
        <w:rPr>
          <w:rFonts w:asciiTheme="majorHAnsi" w:hAnsiTheme="majorHAnsi" w:cstheme="majorHAnsi"/>
        </w:rPr>
        <w:t xml:space="preserve"> Serotonin, and genetic variations in the serotonin transporter, have been identified as playing a key role in emotional regulation (Harari &amp; Holmes, 2006)</w:t>
      </w:r>
      <w:r w:rsidR="00B32E9B" w:rsidRPr="00734AB6">
        <w:rPr>
          <w:rFonts w:asciiTheme="majorHAnsi" w:hAnsiTheme="majorHAnsi" w:cstheme="majorHAnsi"/>
        </w:rPr>
        <w:t xml:space="preserve">. </w:t>
      </w:r>
      <w:r w:rsidR="0080779F" w:rsidRPr="00734AB6">
        <w:rPr>
          <w:rFonts w:asciiTheme="majorHAnsi" w:hAnsiTheme="majorHAnsi" w:cstheme="majorHAnsi"/>
        </w:rPr>
        <w:t>The link between self-regulation and motivation has been highlighted by Rakes and Dunn (2010)</w:t>
      </w:r>
      <w:r w:rsidR="00B11338" w:rsidRPr="00734AB6">
        <w:rPr>
          <w:rFonts w:asciiTheme="majorHAnsi" w:hAnsiTheme="majorHAnsi" w:cstheme="majorHAnsi"/>
        </w:rPr>
        <w:t xml:space="preserve"> who noted that students with greater self-regulatory skills tend to be more academically motivated and learn more than others. They investigated online students’ levels of motivation and self-regulation and found that, as levels of motivation and self-regulation decreased, levels of procrastination increased.</w:t>
      </w:r>
      <w:r w:rsidR="00996D9C" w:rsidRPr="00734AB6">
        <w:rPr>
          <w:rFonts w:asciiTheme="majorHAnsi" w:hAnsiTheme="majorHAnsi" w:cstheme="majorHAnsi"/>
        </w:rPr>
        <w:t xml:space="preserve"> Weaknesses in the executive functions </w:t>
      </w:r>
      <w:r w:rsidR="00996D9C" w:rsidRPr="00734AB6">
        <w:rPr>
          <w:rFonts w:asciiTheme="majorHAnsi" w:hAnsiTheme="majorHAnsi" w:cstheme="majorHAnsi"/>
        </w:rPr>
        <w:lastRenderedPageBreak/>
        <w:t>described here have implications in relation to poor cognitive performance as previously noted and it would therefore seem possible that enhancement of these executive functions may result in an improvement in healthy cognitive performance. The concept of cognitive enhancement will be considered in the following section.</w:t>
      </w:r>
    </w:p>
    <w:p w14:paraId="5BDFD0AB" w14:textId="77777777" w:rsidR="0056323F" w:rsidRPr="00734AB6" w:rsidRDefault="0056323F" w:rsidP="00884A14">
      <w:pPr>
        <w:spacing w:line="360" w:lineRule="auto"/>
        <w:ind w:firstLine="851"/>
      </w:pPr>
    </w:p>
    <w:bookmarkEnd w:id="4"/>
    <w:p w14:paraId="1D465943" w14:textId="21B836D8" w:rsidR="00594BB1" w:rsidRPr="00734AB6" w:rsidRDefault="00594BB1" w:rsidP="00594BB1">
      <w:pPr>
        <w:pStyle w:val="Heading3"/>
        <w:spacing w:after="240"/>
        <w:rPr>
          <w:b/>
          <w:bCs/>
          <w:color w:val="auto"/>
          <w:sz w:val="22"/>
          <w:szCs w:val="22"/>
        </w:rPr>
      </w:pPr>
      <w:r w:rsidRPr="00734AB6">
        <w:rPr>
          <w:b/>
          <w:bCs/>
          <w:color w:val="auto"/>
          <w:sz w:val="22"/>
          <w:szCs w:val="22"/>
        </w:rPr>
        <w:t>1.1.2</w:t>
      </w:r>
      <w:r w:rsidRPr="00734AB6">
        <w:rPr>
          <w:b/>
          <w:bCs/>
          <w:color w:val="auto"/>
          <w:sz w:val="22"/>
          <w:szCs w:val="22"/>
        </w:rPr>
        <w:tab/>
        <w:t>Cognitive enhancement</w:t>
      </w:r>
    </w:p>
    <w:p w14:paraId="11B6D348" w14:textId="353A6BCD" w:rsidR="00071001" w:rsidRPr="00734AB6" w:rsidRDefault="00336F44" w:rsidP="0099584D">
      <w:pPr>
        <w:spacing w:after="240" w:line="360" w:lineRule="auto"/>
        <w:ind w:firstLine="851"/>
        <w:rPr>
          <w:rFonts w:asciiTheme="majorHAnsi" w:eastAsia="Calibri" w:hAnsiTheme="majorHAnsi" w:cs="Arial"/>
        </w:rPr>
      </w:pPr>
      <w:r w:rsidRPr="00734AB6">
        <w:rPr>
          <w:rFonts w:asciiTheme="majorHAnsi" w:hAnsiTheme="majorHAnsi" w:cs="Arial"/>
        </w:rPr>
        <w:t>Cognitive enhancement can be seen broadly as any intervention in humans which aims to improve mental functioning beyond what is necessary fo</w:t>
      </w:r>
      <w:r w:rsidR="00AF2BEA" w:rsidRPr="00734AB6">
        <w:rPr>
          <w:rFonts w:asciiTheme="majorHAnsi" w:hAnsiTheme="majorHAnsi" w:cs="Arial"/>
        </w:rPr>
        <w:t>r good health (</w:t>
      </w:r>
      <w:proofErr w:type="spellStart"/>
      <w:r w:rsidR="00AF2BEA" w:rsidRPr="00734AB6">
        <w:rPr>
          <w:rFonts w:asciiTheme="majorHAnsi" w:hAnsiTheme="majorHAnsi" w:cs="Arial"/>
        </w:rPr>
        <w:t>Juengst</w:t>
      </w:r>
      <w:proofErr w:type="spellEnd"/>
      <w:r w:rsidR="00AF2BEA" w:rsidRPr="00734AB6">
        <w:rPr>
          <w:rFonts w:asciiTheme="majorHAnsi" w:hAnsiTheme="majorHAnsi" w:cs="Arial"/>
        </w:rPr>
        <w:t xml:space="preserve">, 1998). </w:t>
      </w:r>
      <w:r w:rsidR="00481F1E" w:rsidRPr="00734AB6">
        <w:rPr>
          <w:rFonts w:asciiTheme="majorHAnsi" w:hAnsiTheme="majorHAnsi"/>
        </w:rPr>
        <w:t>It</w:t>
      </w:r>
      <w:r w:rsidR="00C1484E" w:rsidRPr="00734AB6">
        <w:rPr>
          <w:rFonts w:asciiTheme="majorHAnsi" w:hAnsiTheme="majorHAnsi"/>
        </w:rPr>
        <w:t xml:space="preserve"> can involve improving any of these processes beyond their natural state in good health for greater mental performance. </w:t>
      </w:r>
      <w:r w:rsidR="00F41101" w:rsidRPr="00734AB6">
        <w:rPr>
          <w:rFonts w:asciiTheme="majorHAnsi" w:eastAsia="Calibri" w:hAnsiTheme="majorHAnsi" w:cs="Arial"/>
        </w:rPr>
        <w:t xml:space="preserve">Non-pharmaceutical interventions aimed at enhancing cognition range from behavioural approaches such as computer training, mnemonics, and meditation, to physical approaches such as transcranial direct current stimulation </w:t>
      </w:r>
      <w:r w:rsidR="00F27EEC" w:rsidRPr="00734AB6">
        <w:rPr>
          <w:rFonts w:asciiTheme="majorHAnsi" w:eastAsia="Calibri" w:hAnsiTheme="majorHAnsi" w:cs="Arial"/>
        </w:rPr>
        <w:t>and electroencephalogram</w:t>
      </w:r>
      <w:r w:rsidR="00F41101" w:rsidRPr="00734AB6">
        <w:rPr>
          <w:rFonts w:asciiTheme="majorHAnsi" w:eastAsia="Calibri" w:hAnsiTheme="majorHAnsi" w:cs="Arial"/>
        </w:rPr>
        <w:t xml:space="preserve"> neurofeedback, to biochemical approaches such as nutrition, natural </w:t>
      </w:r>
      <w:r w:rsidR="00437C0B" w:rsidRPr="00734AB6">
        <w:rPr>
          <w:rFonts w:asciiTheme="majorHAnsi" w:eastAsia="Calibri" w:hAnsiTheme="majorHAnsi" w:cs="Arial"/>
        </w:rPr>
        <w:t>remedies,</w:t>
      </w:r>
      <w:r w:rsidR="00F41101" w:rsidRPr="00734AB6">
        <w:rPr>
          <w:rFonts w:asciiTheme="majorHAnsi" w:eastAsia="Calibri" w:hAnsiTheme="majorHAnsi" w:cs="Arial"/>
        </w:rPr>
        <w:t xml:space="preserve"> and pharmaceuticals (</w:t>
      </w:r>
      <w:proofErr w:type="spellStart"/>
      <w:r w:rsidR="00F41101" w:rsidRPr="00734AB6">
        <w:rPr>
          <w:rFonts w:asciiTheme="majorHAnsi" w:eastAsia="Calibri" w:hAnsiTheme="majorHAnsi" w:cs="Arial"/>
        </w:rPr>
        <w:t>Dresler</w:t>
      </w:r>
      <w:proofErr w:type="spellEnd"/>
      <w:r w:rsidR="00F41101" w:rsidRPr="00734AB6">
        <w:rPr>
          <w:rFonts w:asciiTheme="majorHAnsi" w:eastAsia="Calibri" w:hAnsiTheme="majorHAnsi" w:cs="Arial"/>
        </w:rPr>
        <w:t xml:space="preserve"> et al., 2018).</w:t>
      </w:r>
      <w:r w:rsidR="006100EE" w:rsidRPr="00734AB6">
        <w:rPr>
          <w:rFonts w:asciiTheme="majorHAnsi" w:eastAsia="Calibri" w:hAnsiTheme="majorHAnsi" w:cs="Arial"/>
        </w:rPr>
        <w:t xml:space="preserve"> Whilst these many different interventions provide varying degrees of cognitive enhancement, </w:t>
      </w:r>
      <w:r w:rsidR="00E26AE5" w:rsidRPr="00734AB6">
        <w:rPr>
          <w:rFonts w:asciiTheme="majorHAnsi" w:eastAsia="Calibri" w:hAnsiTheme="majorHAnsi" w:cs="Arial"/>
        </w:rPr>
        <w:t xml:space="preserve">exploring this is beyond the scope </w:t>
      </w:r>
      <w:r w:rsidR="006100EE" w:rsidRPr="00734AB6">
        <w:rPr>
          <w:rFonts w:asciiTheme="majorHAnsi" w:eastAsia="Calibri" w:hAnsiTheme="majorHAnsi" w:cs="Arial"/>
        </w:rPr>
        <w:t xml:space="preserve">of this thesis </w:t>
      </w:r>
      <w:r w:rsidR="00E26AE5" w:rsidRPr="00734AB6">
        <w:rPr>
          <w:rFonts w:asciiTheme="majorHAnsi" w:eastAsia="Calibri" w:hAnsiTheme="majorHAnsi" w:cs="Arial"/>
        </w:rPr>
        <w:t>which is focused specifically on pharmaceutical cognitive enhancement.</w:t>
      </w:r>
      <w:r w:rsidR="00F41101" w:rsidRPr="00734AB6">
        <w:rPr>
          <w:rFonts w:asciiTheme="majorHAnsi" w:eastAsia="Calibri" w:hAnsiTheme="majorHAnsi" w:cs="Arial"/>
        </w:rPr>
        <w:t xml:space="preserve"> </w:t>
      </w:r>
    </w:p>
    <w:p w14:paraId="19C7074D" w14:textId="77777777" w:rsidR="00594BB1" w:rsidRPr="00734AB6" w:rsidRDefault="00594BB1" w:rsidP="0099584D">
      <w:pPr>
        <w:spacing w:after="240" w:line="360" w:lineRule="auto"/>
        <w:ind w:firstLine="851"/>
        <w:rPr>
          <w:rFonts w:asciiTheme="majorHAnsi" w:hAnsiTheme="majorHAnsi" w:cs="Arial"/>
        </w:rPr>
      </w:pPr>
    </w:p>
    <w:p w14:paraId="75FEAC31" w14:textId="46793072" w:rsidR="00594BB1" w:rsidRPr="00734AB6" w:rsidRDefault="00594BB1" w:rsidP="00594BB1">
      <w:pPr>
        <w:pStyle w:val="Heading3"/>
        <w:spacing w:after="240"/>
        <w:rPr>
          <w:b/>
          <w:bCs/>
          <w:color w:val="auto"/>
          <w:sz w:val="22"/>
          <w:szCs w:val="22"/>
        </w:rPr>
      </w:pPr>
      <w:r w:rsidRPr="00734AB6">
        <w:rPr>
          <w:b/>
          <w:bCs/>
          <w:color w:val="auto"/>
          <w:sz w:val="22"/>
          <w:szCs w:val="22"/>
        </w:rPr>
        <w:t>1.1.3</w:t>
      </w:r>
      <w:r w:rsidRPr="00734AB6">
        <w:rPr>
          <w:b/>
          <w:bCs/>
          <w:color w:val="auto"/>
          <w:sz w:val="22"/>
          <w:szCs w:val="22"/>
        </w:rPr>
        <w:tab/>
        <w:t>Thesis aims</w:t>
      </w:r>
    </w:p>
    <w:p w14:paraId="482F2F8B" w14:textId="036FE05B" w:rsidR="00E73007" w:rsidRPr="00734AB6" w:rsidRDefault="00E141A3" w:rsidP="0099584D">
      <w:pPr>
        <w:spacing w:after="240" w:line="360" w:lineRule="auto"/>
        <w:ind w:firstLine="851"/>
        <w:rPr>
          <w:rFonts w:asciiTheme="majorHAnsi" w:hAnsiTheme="majorHAnsi" w:cs="Arial"/>
        </w:rPr>
      </w:pPr>
      <w:r w:rsidRPr="00734AB6">
        <w:rPr>
          <w:rFonts w:asciiTheme="majorHAnsi" w:hAnsiTheme="majorHAnsi" w:cs="Arial"/>
        </w:rPr>
        <w:t xml:space="preserve">This thesis aims to understand the extent to which these </w:t>
      </w:r>
      <w:r w:rsidR="00E80694" w:rsidRPr="00734AB6">
        <w:rPr>
          <w:rFonts w:asciiTheme="majorHAnsi" w:hAnsiTheme="majorHAnsi" w:cs="Arial"/>
        </w:rPr>
        <w:t>different drivers</w:t>
      </w:r>
      <w:r w:rsidR="00EA0457" w:rsidRPr="00734AB6">
        <w:rPr>
          <w:rFonts w:asciiTheme="majorHAnsi" w:hAnsiTheme="majorHAnsi" w:cs="Arial"/>
        </w:rPr>
        <w:t xml:space="preserve"> </w:t>
      </w:r>
      <w:r w:rsidRPr="00734AB6">
        <w:rPr>
          <w:rFonts w:asciiTheme="majorHAnsi" w:hAnsiTheme="majorHAnsi" w:cs="Arial"/>
        </w:rPr>
        <w:t xml:space="preserve">motivate individuals to </w:t>
      </w:r>
      <w:r w:rsidR="00B96A59" w:rsidRPr="00734AB6">
        <w:rPr>
          <w:rFonts w:asciiTheme="majorHAnsi" w:hAnsiTheme="majorHAnsi" w:cs="Arial"/>
        </w:rPr>
        <w:t>enhance their cognitive functions</w:t>
      </w:r>
      <w:r w:rsidR="00184B33" w:rsidRPr="00734AB6">
        <w:rPr>
          <w:rFonts w:asciiTheme="majorHAnsi" w:hAnsiTheme="majorHAnsi" w:cs="Arial"/>
        </w:rPr>
        <w:t xml:space="preserve"> by pharmaceutical means</w:t>
      </w:r>
      <w:r w:rsidR="00B96A59" w:rsidRPr="00734AB6">
        <w:rPr>
          <w:rFonts w:asciiTheme="majorHAnsi" w:hAnsiTheme="majorHAnsi" w:cs="Arial"/>
        </w:rPr>
        <w:t>.</w:t>
      </w:r>
      <w:r w:rsidR="009C6D20" w:rsidRPr="00734AB6">
        <w:rPr>
          <w:rFonts w:asciiTheme="majorHAnsi" w:hAnsiTheme="majorHAnsi" w:cs="Arial"/>
        </w:rPr>
        <w:t xml:space="preserve"> Th</w:t>
      </w:r>
      <w:r w:rsidR="00071001" w:rsidRPr="00734AB6">
        <w:rPr>
          <w:rFonts w:asciiTheme="majorHAnsi" w:hAnsiTheme="majorHAnsi" w:cs="Arial"/>
        </w:rPr>
        <w:t>e current</w:t>
      </w:r>
      <w:r w:rsidR="009C6D20" w:rsidRPr="00734AB6">
        <w:rPr>
          <w:rFonts w:asciiTheme="majorHAnsi" w:hAnsiTheme="majorHAnsi" w:cs="Arial"/>
        </w:rPr>
        <w:t xml:space="preserve"> chapter</w:t>
      </w:r>
      <w:r w:rsidR="00400FE8" w:rsidRPr="00734AB6">
        <w:rPr>
          <w:rFonts w:asciiTheme="majorHAnsi" w:hAnsiTheme="majorHAnsi" w:cs="Arial"/>
        </w:rPr>
        <w:t xml:space="preserve"> will </w:t>
      </w:r>
      <w:r w:rsidR="00FC1AD7" w:rsidRPr="00734AB6">
        <w:rPr>
          <w:rFonts w:asciiTheme="majorHAnsi" w:hAnsiTheme="majorHAnsi" w:cs="Arial"/>
        </w:rPr>
        <w:t xml:space="preserve">first look </w:t>
      </w:r>
      <w:r w:rsidR="007C4603" w:rsidRPr="00734AB6">
        <w:rPr>
          <w:rFonts w:asciiTheme="majorHAnsi" w:hAnsiTheme="majorHAnsi" w:cs="Arial"/>
        </w:rPr>
        <w:t xml:space="preserve">broadly </w:t>
      </w:r>
      <w:r w:rsidR="00FC1AD7" w:rsidRPr="00734AB6">
        <w:rPr>
          <w:rFonts w:asciiTheme="majorHAnsi" w:hAnsiTheme="majorHAnsi" w:cs="Arial"/>
        </w:rPr>
        <w:t>at</w:t>
      </w:r>
      <w:r w:rsidR="00400FE8" w:rsidRPr="00734AB6">
        <w:rPr>
          <w:rFonts w:asciiTheme="majorHAnsi" w:hAnsiTheme="majorHAnsi" w:cs="Arial"/>
        </w:rPr>
        <w:t xml:space="preserve"> the development of cognitively enhancing drugs </w:t>
      </w:r>
      <w:r w:rsidR="007C4603" w:rsidRPr="00734AB6">
        <w:rPr>
          <w:rFonts w:asciiTheme="majorHAnsi" w:hAnsiTheme="majorHAnsi" w:cs="Arial"/>
        </w:rPr>
        <w:t>(CEDs)</w:t>
      </w:r>
      <w:r w:rsidR="00FC1AD7" w:rsidRPr="00734AB6">
        <w:rPr>
          <w:rFonts w:asciiTheme="majorHAnsi" w:hAnsiTheme="majorHAnsi" w:cs="Arial"/>
        </w:rPr>
        <w:t xml:space="preserve">, </w:t>
      </w:r>
      <w:r w:rsidR="00071001" w:rsidRPr="00734AB6">
        <w:rPr>
          <w:rFonts w:asciiTheme="majorHAnsi" w:hAnsiTheme="majorHAnsi" w:cs="Arial"/>
        </w:rPr>
        <w:t xml:space="preserve">before </w:t>
      </w:r>
      <w:r w:rsidR="00FC1AD7" w:rsidRPr="00734AB6">
        <w:rPr>
          <w:rFonts w:asciiTheme="majorHAnsi" w:hAnsiTheme="majorHAnsi" w:cs="Arial"/>
        </w:rPr>
        <w:t>focusing</w:t>
      </w:r>
      <w:r w:rsidR="00071001" w:rsidRPr="00734AB6">
        <w:rPr>
          <w:rFonts w:asciiTheme="majorHAnsi" w:hAnsiTheme="majorHAnsi" w:cs="Arial"/>
        </w:rPr>
        <w:t>, in turn,</w:t>
      </w:r>
      <w:r w:rsidR="00FC1AD7" w:rsidRPr="00734AB6">
        <w:rPr>
          <w:rFonts w:asciiTheme="majorHAnsi" w:hAnsiTheme="majorHAnsi" w:cs="Arial"/>
        </w:rPr>
        <w:t xml:space="preserve"> on two</w:t>
      </w:r>
      <w:r w:rsidR="00071001" w:rsidRPr="00734AB6">
        <w:rPr>
          <w:rFonts w:asciiTheme="majorHAnsi" w:hAnsiTheme="majorHAnsi" w:cs="Arial"/>
        </w:rPr>
        <w:t xml:space="preserve"> of the</w:t>
      </w:r>
      <w:r w:rsidR="00FC1AD7" w:rsidRPr="00734AB6">
        <w:rPr>
          <w:rFonts w:asciiTheme="majorHAnsi" w:hAnsiTheme="majorHAnsi" w:cs="Arial"/>
        </w:rPr>
        <w:t xml:space="preserve"> most commonly </w:t>
      </w:r>
      <w:r w:rsidR="00B13B72" w:rsidRPr="00734AB6">
        <w:rPr>
          <w:rFonts w:asciiTheme="majorHAnsi" w:hAnsiTheme="majorHAnsi" w:cs="Arial"/>
        </w:rPr>
        <w:t xml:space="preserve">discussed CEDs, methylphenidate and modafinil. </w:t>
      </w:r>
      <w:r w:rsidR="00071001" w:rsidRPr="00734AB6">
        <w:rPr>
          <w:rFonts w:asciiTheme="majorHAnsi" w:hAnsiTheme="majorHAnsi" w:cs="Arial"/>
        </w:rPr>
        <w:t>For both drugs,</w:t>
      </w:r>
      <w:r w:rsidR="00962CF6" w:rsidRPr="00734AB6">
        <w:rPr>
          <w:rFonts w:asciiTheme="majorHAnsi" w:hAnsiTheme="majorHAnsi" w:cs="Arial"/>
        </w:rPr>
        <w:t xml:space="preserve"> their pharmacological properties</w:t>
      </w:r>
      <w:r w:rsidR="000D645C" w:rsidRPr="00734AB6">
        <w:rPr>
          <w:rFonts w:asciiTheme="majorHAnsi" w:hAnsiTheme="majorHAnsi" w:cs="Arial"/>
        </w:rPr>
        <w:t xml:space="preserve"> and </w:t>
      </w:r>
      <w:r w:rsidR="00962CF6" w:rsidRPr="00734AB6">
        <w:rPr>
          <w:rFonts w:asciiTheme="majorHAnsi" w:hAnsiTheme="majorHAnsi" w:cs="Arial"/>
        </w:rPr>
        <w:t>medical uses</w:t>
      </w:r>
      <w:r w:rsidR="000D645C" w:rsidRPr="00734AB6">
        <w:rPr>
          <w:rFonts w:asciiTheme="majorHAnsi" w:hAnsiTheme="majorHAnsi" w:cs="Arial"/>
        </w:rPr>
        <w:t>,</w:t>
      </w:r>
      <w:r w:rsidR="00962CF6" w:rsidRPr="00734AB6">
        <w:rPr>
          <w:rFonts w:asciiTheme="majorHAnsi" w:hAnsiTheme="majorHAnsi" w:cs="Arial"/>
        </w:rPr>
        <w:t xml:space="preserve"> </w:t>
      </w:r>
      <w:r w:rsidR="000D645C" w:rsidRPr="00734AB6">
        <w:rPr>
          <w:rFonts w:asciiTheme="majorHAnsi" w:hAnsiTheme="majorHAnsi" w:cs="Arial"/>
        </w:rPr>
        <w:t>laboratory-based studies</w:t>
      </w:r>
      <w:r w:rsidR="00A6657D" w:rsidRPr="00734AB6">
        <w:rPr>
          <w:rFonts w:asciiTheme="majorHAnsi" w:hAnsiTheme="majorHAnsi" w:cs="Arial"/>
        </w:rPr>
        <w:t xml:space="preserve"> and the risks and harms associated with their off-prescription use</w:t>
      </w:r>
      <w:r w:rsidR="00071001" w:rsidRPr="00734AB6">
        <w:rPr>
          <w:rFonts w:asciiTheme="majorHAnsi" w:hAnsiTheme="majorHAnsi" w:cs="Arial"/>
        </w:rPr>
        <w:t xml:space="preserve"> will be discussed</w:t>
      </w:r>
      <w:r w:rsidR="000D645C" w:rsidRPr="00734AB6">
        <w:rPr>
          <w:rFonts w:asciiTheme="majorHAnsi" w:hAnsiTheme="majorHAnsi" w:cs="Arial"/>
        </w:rPr>
        <w:t>.</w:t>
      </w:r>
      <w:r w:rsidR="00A6657D" w:rsidRPr="00734AB6">
        <w:rPr>
          <w:rFonts w:asciiTheme="majorHAnsi" w:hAnsiTheme="majorHAnsi" w:cs="Arial"/>
        </w:rPr>
        <w:t xml:space="preserve"> Th</w:t>
      </w:r>
      <w:r w:rsidR="00071001" w:rsidRPr="00734AB6">
        <w:rPr>
          <w:rFonts w:asciiTheme="majorHAnsi" w:hAnsiTheme="majorHAnsi" w:cs="Arial"/>
        </w:rPr>
        <w:t>e</w:t>
      </w:r>
      <w:r w:rsidR="00A6657D" w:rsidRPr="00734AB6">
        <w:rPr>
          <w:rFonts w:asciiTheme="majorHAnsi" w:hAnsiTheme="majorHAnsi" w:cs="Arial"/>
        </w:rPr>
        <w:t xml:space="preserve"> chapter will then end by </w:t>
      </w:r>
      <w:r w:rsidR="00071001" w:rsidRPr="00734AB6">
        <w:rPr>
          <w:rFonts w:asciiTheme="majorHAnsi" w:hAnsiTheme="majorHAnsi" w:cs="Arial"/>
        </w:rPr>
        <w:t xml:space="preserve">setting out </w:t>
      </w:r>
      <w:r w:rsidR="00A6657D" w:rsidRPr="00734AB6">
        <w:rPr>
          <w:rFonts w:asciiTheme="majorHAnsi" w:hAnsiTheme="majorHAnsi" w:cs="Arial"/>
        </w:rPr>
        <w:t>the aims and scope of th</w:t>
      </w:r>
      <w:r w:rsidR="00835D8A" w:rsidRPr="00734AB6">
        <w:rPr>
          <w:rFonts w:asciiTheme="majorHAnsi" w:hAnsiTheme="majorHAnsi" w:cs="Arial"/>
        </w:rPr>
        <w:t>is</w:t>
      </w:r>
      <w:r w:rsidR="00A6657D" w:rsidRPr="00734AB6">
        <w:rPr>
          <w:rFonts w:asciiTheme="majorHAnsi" w:hAnsiTheme="majorHAnsi" w:cs="Arial"/>
        </w:rPr>
        <w:t xml:space="preserve"> thesis.</w:t>
      </w:r>
      <w:r w:rsidR="000D645C" w:rsidRPr="00734AB6">
        <w:rPr>
          <w:rFonts w:asciiTheme="majorHAnsi" w:hAnsiTheme="majorHAnsi" w:cs="Arial"/>
        </w:rPr>
        <w:t xml:space="preserve"> </w:t>
      </w:r>
      <w:r w:rsidR="00962CF6" w:rsidRPr="00734AB6">
        <w:rPr>
          <w:rFonts w:asciiTheme="majorHAnsi" w:hAnsiTheme="majorHAnsi" w:cs="Arial"/>
        </w:rPr>
        <w:t xml:space="preserve"> </w:t>
      </w:r>
    </w:p>
    <w:p w14:paraId="4AB03E2E" w14:textId="77777777" w:rsidR="00D134B1" w:rsidRPr="00734AB6" w:rsidRDefault="00D134B1" w:rsidP="0099584D">
      <w:pPr>
        <w:spacing w:after="240" w:line="360" w:lineRule="auto"/>
        <w:ind w:firstLine="851"/>
        <w:rPr>
          <w:rFonts w:asciiTheme="majorHAnsi" w:hAnsiTheme="majorHAnsi" w:cs="Arial"/>
        </w:rPr>
      </w:pPr>
    </w:p>
    <w:p w14:paraId="2F75B1BE" w14:textId="7F7D3DD0" w:rsidR="00125074" w:rsidRPr="00734AB6" w:rsidRDefault="00D9490A" w:rsidP="00DA16AF">
      <w:pPr>
        <w:pStyle w:val="Heading2"/>
        <w:spacing w:after="240" w:line="360" w:lineRule="auto"/>
        <w:rPr>
          <w:b/>
          <w:color w:val="auto"/>
          <w:sz w:val="22"/>
          <w:szCs w:val="22"/>
        </w:rPr>
      </w:pPr>
      <w:bookmarkStart w:id="6" w:name="_Toc48136318"/>
      <w:r w:rsidRPr="00734AB6">
        <w:rPr>
          <w:b/>
          <w:color w:val="auto"/>
          <w:sz w:val="22"/>
          <w:szCs w:val="22"/>
        </w:rPr>
        <w:t>1.2</w:t>
      </w:r>
      <w:r w:rsidR="00125074" w:rsidRPr="00734AB6">
        <w:rPr>
          <w:b/>
          <w:color w:val="auto"/>
          <w:sz w:val="22"/>
          <w:szCs w:val="22"/>
        </w:rPr>
        <w:tab/>
        <w:t>The rise of psychoactive pharmaceutical drugs</w:t>
      </w:r>
      <w:bookmarkEnd w:id="6"/>
      <w:r w:rsidR="00125074" w:rsidRPr="00734AB6">
        <w:rPr>
          <w:b/>
          <w:color w:val="auto"/>
          <w:sz w:val="22"/>
          <w:szCs w:val="22"/>
        </w:rPr>
        <w:t xml:space="preserve"> </w:t>
      </w:r>
    </w:p>
    <w:p w14:paraId="46414B67" w14:textId="224197F4" w:rsidR="00EA2197" w:rsidRPr="00734AB6" w:rsidRDefault="00E73007" w:rsidP="0099584D">
      <w:pPr>
        <w:spacing w:after="240" w:line="360" w:lineRule="auto"/>
        <w:ind w:firstLine="851"/>
        <w:rPr>
          <w:rFonts w:asciiTheme="majorHAnsi" w:hAnsiTheme="majorHAnsi" w:cs="Calibri"/>
        </w:rPr>
      </w:pPr>
      <w:r w:rsidRPr="00734AB6">
        <w:rPr>
          <w:rFonts w:asciiTheme="majorHAnsi" w:hAnsiTheme="majorHAnsi" w:cs="Calibri"/>
        </w:rPr>
        <w:t>A multitude of psychoactive pharmaceutical drugs have been developed since the mid-20</w:t>
      </w:r>
      <w:r w:rsidRPr="00734AB6">
        <w:rPr>
          <w:rFonts w:asciiTheme="majorHAnsi" w:hAnsiTheme="majorHAnsi" w:cs="Calibri"/>
          <w:vertAlign w:val="superscript"/>
        </w:rPr>
        <w:t>th</w:t>
      </w:r>
      <w:r w:rsidRPr="00734AB6">
        <w:rPr>
          <w:rFonts w:asciiTheme="majorHAnsi" w:hAnsiTheme="majorHAnsi" w:cs="Calibri"/>
        </w:rPr>
        <w:t xml:space="preserve"> Century which, in addition to their intended clinical benefits, have also been found t</w:t>
      </w:r>
      <w:r w:rsidR="008F01C9" w:rsidRPr="00734AB6">
        <w:rPr>
          <w:rFonts w:asciiTheme="majorHAnsi" w:hAnsiTheme="majorHAnsi" w:cs="Calibri"/>
        </w:rPr>
        <w:t xml:space="preserve">o enhance cognitive functions. </w:t>
      </w:r>
      <w:r w:rsidRPr="00734AB6">
        <w:rPr>
          <w:rFonts w:asciiTheme="majorHAnsi" w:hAnsiTheme="majorHAnsi" w:cs="Calibri"/>
        </w:rPr>
        <w:t xml:space="preserve">Referred to commonly as ‘smart drugs’, they are prescribed for conditions ranging from dementia to ADHD and narcolepsy (Partridge, Bell, </w:t>
      </w:r>
      <w:proofErr w:type="spellStart"/>
      <w:r w:rsidRPr="00734AB6">
        <w:rPr>
          <w:rFonts w:asciiTheme="majorHAnsi" w:hAnsiTheme="majorHAnsi" w:cs="Calibri"/>
        </w:rPr>
        <w:t>Lucke</w:t>
      </w:r>
      <w:proofErr w:type="spellEnd"/>
      <w:r w:rsidRPr="00734AB6">
        <w:rPr>
          <w:rFonts w:asciiTheme="majorHAnsi" w:hAnsiTheme="majorHAnsi" w:cs="Calibri"/>
        </w:rPr>
        <w:t xml:space="preserve">, </w:t>
      </w:r>
      <w:proofErr w:type="spellStart"/>
      <w:r w:rsidRPr="00734AB6">
        <w:rPr>
          <w:rFonts w:asciiTheme="majorHAnsi" w:hAnsiTheme="majorHAnsi" w:cs="Calibri"/>
        </w:rPr>
        <w:t>Yeates</w:t>
      </w:r>
      <w:proofErr w:type="spellEnd"/>
      <w:r w:rsidRPr="00734AB6">
        <w:rPr>
          <w:rFonts w:asciiTheme="majorHAnsi" w:hAnsiTheme="majorHAnsi" w:cs="Calibri"/>
        </w:rPr>
        <w:t xml:space="preserve"> &amp; Hall, 2011; Sahakian et al</w:t>
      </w:r>
      <w:r w:rsidR="001B71DF" w:rsidRPr="00734AB6">
        <w:rPr>
          <w:rFonts w:asciiTheme="majorHAnsi" w:hAnsiTheme="majorHAnsi" w:cs="Calibri"/>
        </w:rPr>
        <w:t>.</w:t>
      </w:r>
      <w:r w:rsidR="008F01C9" w:rsidRPr="00734AB6">
        <w:rPr>
          <w:rFonts w:asciiTheme="majorHAnsi" w:hAnsiTheme="majorHAnsi" w:cs="Calibri"/>
        </w:rPr>
        <w:t xml:space="preserve">, 2015). </w:t>
      </w:r>
      <w:r w:rsidR="003E6CD4" w:rsidRPr="00734AB6">
        <w:rPr>
          <w:rFonts w:asciiTheme="majorHAnsi" w:hAnsiTheme="majorHAnsi" w:cs="Calibri"/>
        </w:rPr>
        <w:t xml:space="preserve">The off-prescription use of these drugs is </w:t>
      </w:r>
      <w:r w:rsidR="0033563E" w:rsidRPr="00734AB6">
        <w:rPr>
          <w:rFonts w:asciiTheme="majorHAnsi" w:hAnsiTheme="majorHAnsi" w:cs="Calibri"/>
        </w:rPr>
        <w:t xml:space="preserve">illegal in the United </w:t>
      </w:r>
      <w:r w:rsidR="0033563E" w:rsidRPr="00734AB6">
        <w:rPr>
          <w:rFonts w:asciiTheme="majorHAnsi" w:hAnsiTheme="majorHAnsi" w:cs="Calibri"/>
        </w:rPr>
        <w:lastRenderedPageBreak/>
        <w:t>Kingdom</w:t>
      </w:r>
      <w:r w:rsidR="002B2E07" w:rsidRPr="00734AB6">
        <w:rPr>
          <w:rFonts w:asciiTheme="majorHAnsi" w:hAnsiTheme="majorHAnsi" w:cs="Calibri"/>
        </w:rPr>
        <w:t xml:space="preserve"> (UK)</w:t>
      </w:r>
      <w:r w:rsidR="0033563E" w:rsidRPr="00734AB6">
        <w:rPr>
          <w:rFonts w:asciiTheme="majorHAnsi" w:hAnsiTheme="majorHAnsi" w:cs="Calibri"/>
        </w:rPr>
        <w:t xml:space="preserve">. </w:t>
      </w:r>
      <w:r w:rsidR="0097313D" w:rsidRPr="00734AB6">
        <w:rPr>
          <w:rFonts w:asciiTheme="majorHAnsi" w:hAnsiTheme="majorHAnsi" w:cs="Calibri"/>
        </w:rPr>
        <w:t>Combinations of various cognitive enhancing drugs and supplements</w:t>
      </w:r>
      <w:r w:rsidR="00BC3EEF" w:rsidRPr="00734AB6">
        <w:rPr>
          <w:rFonts w:asciiTheme="majorHAnsi" w:hAnsiTheme="majorHAnsi" w:cs="Calibri"/>
        </w:rPr>
        <w:t>,</w:t>
      </w:r>
      <w:r w:rsidR="0097313D" w:rsidRPr="00734AB6">
        <w:rPr>
          <w:rFonts w:asciiTheme="majorHAnsi" w:hAnsiTheme="majorHAnsi" w:cs="Calibri"/>
        </w:rPr>
        <w:t xml:space="preserve"> known as stacks</w:t>
      </w:r>
      <w:r w:rsidR="00BC3EEF" w:rsidRPr="00734AB6">
        <w:rPr>
          <w:rFonts w:asciiTheme="majorHAnsi" w:hAnsiTheme="majorHAnsi" w:cs="Calibri"/>
        </w:rPr>
        <w:t>,</w:t>
      </w:r>
      <w:r w:rsidR="0097313D" w:rsidRPr="00734AB6">
        <w:rPr>
          <w:rFonts w:asciiTheme="majorHAnsi" w:hAnsiTheme="majorHAnsi" w:cs="Calibri"/>
        </w:rPr>
        <w:t xml:space="preserve"> </w:t>
      </w:r>
      <w:r w:rsidR="00BC3EEF" w:rsidRPr="00734AB6">
        <w:rPr>
          <w:rFonts w:asciiTheme="majorHAnsi" w:hAnsiTheme="majorHAnsi" w:cs="Calibri"/>
        </w:rPr>
        <w:t xml:space="preserve">are designed </w:t>
      </w:r>
      <w:r w:rsidR="0097313D" w:rsidRPr="00734AB6">
        <w:rPr>
          <w:rFonts w:asciiTheme="majorHAnsi" w:hAnsiTheme="majorHAnsi" w:cs="Calibri"/>
        </w:rPr>
        <w:t>to target enhancement of specific cognitive functions</w:t>
      </w:r>
      <w:r w:rsidR="00F27EEC" w:rsidRPr="00734AB6">
        <w:rPr>
          <w:rFonts w:asciiTheme="majorHAnsi" w:hAnsiTheme="majorHAnsi" w:cs="Calibri"/>
        </w:rPr>
        <w:t>, among</w:t>
      </w:r>
      <w:r w:rsidR="00C875BC" w:rsidRPr="00734AB6">
        <w:rPr>
          <w:rFonts w:asciiTheme="majorHAnsi" w:hAnsiTheme="majorHAnsi" w:cs="Calibri"/>
        </w:rPr>
        <w:t xml:space="preserve"> these are the racetam drugs such as Piracetam</w:t>
      </w:r>
      <w:r w:rsidR="00BC3EEF" w:rsidRPr="00734AB6">
        <w:rPr>
          <w:rFonts w:asciiTheme="majorHAnsi" w:hAnsiTheme="majorHAnsi" w:cs="Calibri"/>
        </w:rPr>
        <w:t xml:space="preserve"> (</w:t>
      </w:r>
      <w:r w:rsidR="00BF304E" w:rsidRPr="00734AB6">
        <w:rPr>
          <w:rFonts w:asciiTheme="majorHAnsi" w:hAnsiTheme="majorHAnsi" w:cs="Calibri"/>
        </w:rPr>
        <w:t>Kumar &amp; Sachdeva, 2015)</w:t>
      </w:r>
      <w:r w:rsidR="008F01C9" w:rsidRPr="00734AB6">
        <w:rPr>
          <w:rFonts w:asciiTheme="majorHAnsi" w:hAnsiTheme="majorHAnsi" w:cs="Calibri"/>
        </w:rPr>
        <w:t xml:space="preserve">. </w:t>
      </w:r>
      <w:r w:rsidR="00EA0457" w:rsidRPr="00734AB6">
        <w:rPr>
          <w:rFonts w:asciiTheme="majorHAnsi" w:hAnsiTheme="majorHAnsi" w:cs="Calibri"/>
        </w:rPr>
        <w:t>However, there is the risk of potential drug interactions associated with this practice.</w:t>
      </w:r>
      <w:r w:rsidR="00F93944" w:rsidRPr="00734AB6">
        <w:rPr>
          <w:rFonts w:asciiTheme="majorHAnsi" w:hAnsiTheme="majorHAnsi" w:cs="Calibri"/>
        </w:rPr>
        <w:t xml:space="preserve"> </w:t>
      </w:r>
      <w:r w:rsidR="00EA0457" w:rsidRPr="00734AB6">
        <w:rPr>
          <w:rFonts w:asciiTheme="majorHAnsi" w:hAnsiTheme="majorHAnsi" w:cs="Calibri"/>
        </w:rPr>
        <w:t xml:space="preserve">There are also side effects or adverse effects associated with these medications, for example, possible side effects of the CED, include vomiting, tic, insomnia, </w:t>
      </w:r>
      <w:r w:rsidR="00FF0B6A" w:rsidRPr="00734AB6">
        <w:rPr>
          <w:rFonts w:asciiTheme="majorHAnsi" w:hAnsiTheme="majorHAnsi" w:cs="Calibri"/>
        </w:rPr>
        <w:t>irritability,</w:t>
      </w:r>
      <w:r w:rsidR="00EA0457" w:rsidRPr="00734AB6">
        <w:rPr>
          <w:rFonts w:asciiTheme="majorHAnsi" w:hAnsiTheme="majorHAnsi" w:cs="Calibri"/>
        </w:rPr>
        <w:t xml:space="preserve"> and rash (Vyvanse, n.d.). The severity and number of these side effects determine whether the drug is well tolerated or not. That is to say, whether the individual taking the drug can ‘put up with’ the adverse effects to benefit from their positive effects (Aronson, 2014). There is also a</w:t>
      </w:r>
      <w:r w:rsidR="00F93944" w:rsidRPr="00734AB6">
        <w:rPr>
          <w:rFonts w:asciiTheme="majorHAnsi" w:hAnsiTheme="majorHAnsi" w:cs="Calibri"/>
        </w:rPr>
        <w:t xml:space="preserve"> novel method</w:t>
      </w:r>
      <w:r w:rsidR="00C875BC" w:rsidRPr="00734AB6">
        <w:rPr>
          <w:rFonts w:asciiTheme="majorHAnsi" w:hAnsiTheme="majorHAnsi" w:cs="Calibri"/>
        </w:rPr>
        <w:t xml:space="preserve"> of</w:t>
      </w:r>
      <w:r w:rsidR="00422586" w:rsidRPr="00734AB6">
        <w:rPr>
          <w:rFonts w:asciiTheme="majorHAnsi" w:hAnsiTheme="majorHAnsi" w:cs="Calibri"/>
        </w:rPr>
        <w:t xml:space="preserve"> consuming</w:t>
      </w:r>
      <w:r w:rsidR="00C875BC" w:rsidRPr="00734AB6">
        <w:rPr>
          <w:rFonts w:asciiTheme="majorHAnsi" w:hAnsiTheme="majorHAnsi" w:cs="Calibri"/>
        </w:rPr>
        <w:t xml:space="preserve"> </w:t>
      </w:r>
      <w:r w:rsidR="0022592D" w:rsidRPr="00734AB6">
        <w:rPr>
          <w:rFonts w:asciiTheme="majorHAnsi" w:hAnsiTheme="majorHAnsi" w:cs="Calibri"/>
        </w:rPr>
        <w:t>psychedelic</w:t>
      </w:r>
      <w:r w:rsidR="00C875BC" w:rsidRPr="00734AB6">
        <w:rPr>
          <w:rFonts w:asciiTheme="majorHAnsi" w:hAnsiTheme="majorHAnsi" w:cs="Calibri"/>
        </w:rPr>
        <w:t xml:space="preserve"> drug</w:t>
      </w:r>
      <w:r w:rsidR="00422586" w:rsidRPr="00734AB6">
        <w:rPr>
          <w:rFonts w:asciiTheme="majorHAnsi" w:hAnsiTheme="majorHAnsi" w:cs="Calibri"/>
        </w:rPr>
        <w:t>s,</w:t>
      </w:r>
      <w:r w:rsidR="00C875BC" w:rsidRPr="00734AB6">
        <w:rPr>
          <w:rFonts w:asciiTheme="majorHAnsi" w:hAnsiTheme="majorHAnsi" w:cs="Calibri"/>
        </w:rPr>
        <w:t xml:space="preserve"> </w:t>
      </w:r>
      <w:r w:rsidR="00F93944" w:rsidRPr="00734AB6">
        <w:rPr>
          <w:rFonts w:asciiTheme="majorHAnsi" w:hAnsiTheme="majorHAnsi" w:cs="Calibri"/>
        </w:rPr>
        <w:t xml:space="preserve">known as </w:t>
      </w:r>
      <w:proofErr w:type="spellStart"/>
      <w:r w:rsidR="00F93944" w:rsidRPr="00734AB6">
        <w:rPr>
          <w:rFonts w:asciiTheme="majorHAnsi" w:hAnsiTheme="majorHAnsi" w:cs="Calibri"/>
        </w:rPr>
        <w:t>microdosing</w:t>
      </w:r>
      <w:proofErr w:type="spellEnd"/>
      <w:r w:rsidR="00422586" w:rsidRPr="00734AB6">
        <w:rPr>
          <w:rFonts w:asciiTheme="majorHAnsi" w:hAnsiTheme="majorHAnsi" w:cs="Calibri"/>
        </w:rPr>
        <w:t>,</w:t>
      </w:r>
      <w:r w:rsidR="00F93944" w:rsidRPr="00734AB6">
        <w:rPr>
          <w:rFonts w:asciiTheme="majorHAnsi" w:hAnsiTheme="majorHAnsi" w:cs="Calibri"/>
        </w:rPr>
        <w:t xml:space="preserve"> </w:t>
      </w:r>
      <w:r w:rsidR="00EA0457" w:rsidRPr="00734AB6">
        <w:rPr>
          <w:rFonts w:asciiTheme="majorHAnsi" w:hAnsiTheme="majorHAnsi" w:cs="Calibri"/>
        </w:rPr>
        <w:t>which has</w:t>
      </w:r>
      <w:r w:rsidR="0022592D" w:rsidRPr="00734AB6">
        <w:rPr>
          <w:rFonts w:asciiTheme="majorHAnsi" w:hAnsiTheme="majorHAnsi" w:cs="Calibri"/>
        </w:rPr>
        <w:t xml:space="preserve"> been introduced</w:t>
      </w:r>
      <w:r w:rsidR="00F93944" w:rsidRPr="00734AB6">
        <w:rPr>
          <w:rFonts w:asciiTheme="majorHAnsi" w:hAnsiTheme="majorHAnsi" w:cs="Calibri"/>
        </w:rPr>
        <w:t xml:space="preserve"> for </w:t>
      </w:r>
      <w:r w:rsidR="0022592D" w:rsidRPr="00734AB6">
        <w:rPr>
          <w:rFonts w:asciiTheme="majorHAnsi" w:hAnsiTheme="majorHAnsi" w:cs="Calibri"/>
        </w:rPr>
        <w:t xml:space="preserve">the purposes of </w:t>
      </w:r>
      <w:r w:rsidR="00F93944" w:rsidRPr="00734AB6">
        <w:rPr>
          <w:rFonts w:asciiTheme="majorHAnsi" w:hAnsiTheme="majorHAnsi" w:cs="Calibri"/>
        </w:rPr>
        <w:t>cognitive enhancement</w:t>
      </w:r>
      <w:r w:rsidR="00C875BC" w:rsidRPr="00734AB6">
        <w:rPr>
          <w:rFonts w:asciiTheme="majorHAnsi" w:hAnsiTheme="majorHAnsi" w:cs="Calibri"/>
        </w:rPr>
        <w:t xml:space="preserve"> </w:t>
      </w:r>
      <w:r w:rsidR="00DD2235" w:rsidRPr="00734AB6">
        <w:rPr>
          <w:rFonts w:asciiTheme="majorHAnsi" w:hAnsiTheme="majorHAnsi" w:cs="Calibri"/>
        </w:rPr>
        <w:t>(</w:t>
      </w:r>
      <w:proofErr w:type="spellStart"/>
      <w:r w:rsidR="00DD2235" w:rsidRPr="00734AB6">
        <w:rPr>
          <w:rFonts w:asciiTheme="majorHAnsi" w:hAnsiTheme="majorHAnsi" w:cs="Calibri"/>
        </w:rPr>
        <w:t>Savulich</w:t>
      </w:r>
      <w:proofErr w:type="spellEnd"/>
      <w:r w:rsidR="00DD2235" w:rsidRPr="00734AB6">
        <w:rPr>
          <w:rFonts w:asciiTheme="majorHAnsi" w:hAnsiTheme="majorHAnsi" w:cs="Calibri"/>
        </w:rPr>
        <w:t xml:space="preserve"> et al.</w:t>
      </w:r>
      <w:r w:rsidR="00BF304E" w:rsidRPr="00734AB6">
        <w:rPr>
          <w:rFonts w:asciiTheme="majorHAnsi" w:hAnsiTheme="majorHAnsi" w:cs="Calibri"/>
        </w:rPr>
        <w:t>, 2016)</w:t>
      </w:r>
      <w:r w:rsidR="00DD2235" w:rsidRPr="00734AB6">
        <w:rPr>
          <w:rFonts w:asciiTheme="majorHAnsi" w:hAnsiTheme="majorHAnsi" w:cs="Calibri"/>
        </w:rPr>
        <w:t xml:space="preserve">. </w:t>
      </w:r>
      <w:r w:rsidR="004244F8" w:rsidRPr="00734AB6">
        <w:rPr>
          <w:rFonts w:asciiTheme="majorHAnsi" w:hAnsiTheme="majorHAnsi" w:cs="Calibri"/>
        </w:rPr>
        <w:t>N</w:t>
      </w:r>
      <w:r w:rsidRPr="00734AB6">
        <w:rPr>
          <w:rFonts w:asciiTheme="majorHAnsi" w:hAnsiTheme="majorHAnsi" w:cs="Calibri"/>
        </w:rPr>
        <w:t xml:space="preserve">ew drugs </w:t>
      </w:r>
      <w:r w:rsidR="004244F8" w:rsidRPr="00734AB6">
        <w:rPr>
          <w:rFonts w:asciiTheme="majorHAnsi" w:hAnsiTheme="majorHAnsi" w:cs="Calibri"/>
        </w:rPr>
        <w:t xml:space="preserve">are also </w:t>
      </w:r>
      <w:r w:rsidRPr="00734AB6">
        <w:rPr>
          <w:rFonts w:asciiTheme="majorHAnsi" w:hAnsiTheme="majorHAnsi" w:cs="Calibri"/>
        </w:rPr>
        <w:t>being developed and investigated</w:t>
      </w:r>
      <w:r w:rsidR="0039284D" w:rsidRPr="00734AB6">
        <w:rPr>
          <w:rFonts w:asciiTheme="majorHAnsi" w:hAnsiTheme="majorHAnsi" w:cs="Calibri"/>
        </w:rPr>
        <w:t xml:space="preserve"> for cognitive enhancement</w:t>
      </w:r>
      <w:r w:rsidRPr="00734AB6">
        <w:rPr>
          <w:rFonts w:asciiTheme="majorHAnsi" w:hAnsiTheme="majorHAnsi" w:cs="Calibri"/>
        </w:rPr>
        <w:t>, such as ampakines (Lad &amp; Harrison, 2012).</w:t>
      </w:r>
      <w:r w:rsidR="00166174" w:rsidRPr="00734AB6">
        <w:rPr>
          <w:rFonts w:asciiTheme="majorHAnsi" w:hAnsiTheme="majorHAnsi" w:cs="Calibri"/>
        </w:rPr>
        <w:t xml:space="preserve"> </w:t>
      </w:r>
    </w:p>
    <w:p w14:paraId="4FFC213D" w14:textId="53527CFC" w:rsidR="00E73007" w:rsidRPr="00734AB6" w:rsidRDefault="00E73007" w:rsidP="0099584D">
      <w:pPr>
        <w:spacing w:after="240" w:line="360" w:lineRule="auto"/>
        <w:ind w:firstLine="851"/>
        <w:rPr>
          <w:rFonts w:asciiTheme="majorHAnsi" w:hAnsiTheme="majorHAnsi" w:cs="Calibri"/>
        </w:rPr>
      </w:pPr>
      <w:r w:rsidRPr="00734AB6">
        <w:rPr>
          <w:rFonts w:asciiTheme="majorHAnsi" w:hAnsiTheme="majorHAnsi" w:cs="Calibri"/>
        </w:rPr>
        <w:t xml:space="preserve">Of the many CEDs available on the market, </w:t>
      </w:r>
      <w:r w:rsidR="00DC5B1D" w:rsidRPr="00734AB6">
        <w:rPr>
          <w:rFonts w:asciiTheme="majorHAnsi" w:hAnsiTheme="majorHAnsi" w:cs="Calibri"/>
        </w:rPr>
        <w:t xml:space="preserve">the two most commonly discussed in the literature and </w:t>
      </w:r>
      <w:r w:rsidR="00ED24C6" w:rsidRPr="00734AB6">
        <w:rPr>
          <w:rFonts w:asciiTheme="majorHAnsi" w:hAnsiTheme="majorHAnsi" w:cs="Calibri"/>
        </w:rPr>
        <w:t xml:space="preserve">most </w:t>
      </w:r>
      <w:r w:rsidR="00DC5B1D" w:rsidRPr="00734AB6">
        <w:rPr>
          <w:rFonts w:asciiTheme="majorHAnsi" w:hAnsiTheme="majorHAnsi" w:cs="Calibri"/>
        </w:rPr>
        <w:t>noted for the</w:t>
      </w:r>
      <w:r w:rsidR="008072E6" w:rsidRPr="00734AB6">
        <w:rPr>
          <w:rFonts w:asciiTheme="majorHAnsi" w:hAnsiTheme="majorHAnsi" w:cs="Calibri"/>
        </w:rPr>
        <w:t>ir</w:t>
      </w:r>
      <w:r w:rsidR="00DC5B1D" w:rsidRPr="00734AB6">
        <w:rPr>
          <w:rFonts w:asciiTheme="majorHAnsi" w:hAnsiTheme="majorHAnsi" w:cs="Calibri"/>
        </w:rPr>
        <w:t xml:space="preserve"> positive effects on cognition in </w:t>
      </w:r>
      <w:r w:rsidR="008072E6" w:rsidRPr="00734AB6">
        <w:rPr>
          <w:rFonts w:asciiTheme="majorHAnsi" w:hAnsiTheme="majorHAnsi" w:cs="Calibri"/>
        </w:rPr>
        <w:t>healthy adults, are</w:t>
      </w:r>
      <w:r w:rsidR="00DC5B1D" w:rsidRPr="00734AB6">
        <w:rPr>
          <w:rFonts w:asciiTheme="majorHAnsi" w:hAnsiTheme="majorHAnsi" w:cs="Calibri"/>
        </w:rPr>
        <w:t xml:space="preserve"> </w:t>
      </w:r>
      <w:r w:rsidR="00B55CB2" w:rsidRPr="00734AB6">
        <w:rPr>
          <w:rFonts w:asciiTheme="majorHAnsi" w:hAnsiTheme="majorHAnsi" w:cs="Calibri"/>
        </w:rPr>
        <w:t>methylphenidate</w:t>
      </w:r>
      <w:r w:rsidRPr="00734AB6">
        <w:rPr>
          <w:rFonts w:asciiTheme="majorHAnsi" w:hAnsiTheme="majorHAnsi" w:cs="Calibri"/>
        </w:rPr>
        <w:t xml:space="preserve"> and modafinil</w:t>
      </w:r>
      <w:r w:rsidR="008072E6" w:rsidRPr="00734AB6">
        <w:rPr>
          <w:rFonts w:asciiTheme="majorHAnsi" w:hAnsiTheme="majorHAnsi" w:cs="Calibri"/>
        </w:rPr>
        <w:t xml:space="preserve"> (</w:t>
      </w:r>
      <w:r w:rsidR="00EC550A" w:rsidRPr="00734AB6">
        <w:rPr>
          <w:rFonts w:asciiTheme="majorHAnsi" w:hAnsiTheme="majorHAnsi" w:cs="Calibri"/>
        </w:rPr>
        <w:t xml:space="preserve">for reviews, see </w:t>
      </w:r>
      <w:proofErr w:type="spellStart"/>
      <w:r w:rsidR="008072E6" w:rsidRPr="00734AB6">
        <w:rPr>
          <w:rFonts w:asciiTheme="majorHAnsi" w:hAnsiTheme="majorHAnsi" w:cs="Calibri"/>
        </w:rPr>
        <w:t>Dubljević</w:t>
      </w:r>
      <w:proofErr w:type="spellEnd"/>
      <w:r w:rsidR="008072E6" w:rsidRPr="00734AB6">
        <w:rPr>
          <w:rFonts w:asciiTheme="majorHAnsi" w:hAnsiTheme="majorHAnsi" w:cs="Calibri"/>
        </w:rPr>
        <w:t xml:space="preserve"> and Ryan, 2015; </w:t>
      </w:r>
      <w:proofErr w:type="spellStart"/>
      <w:r w:rsidR="008072E6" w:rsidRPr="00734AB6">
        <w:rPr>
          <w:rFonts w:asciiTheme="majorHAnsi" w:hAnsiTheme="majorHAnsi" w:cs="Calibri"/>
        </w:rPr>
        <w:t>Repantis</w:t>
      </w:r>
      <w:proofErr w:type="spellEnd"/>
      <w:r w:rsidR="008072E6" w:rsidRPr="00734AB6">
        <w:rPr>
          <w:rFonts w:asciiTheme="majorHAnsi" w:hAnsiTheme="majorHAnsi" w:cs="Calibri"/>
        </w:rPr>
        <w:t xml:space="preserve">, Schlattmann, </w:t>
      </w:r>
      <w:proofErr w:type="spellStart"/>
      <w:r w:rsidR="008072E6" w:rsidRPr="00734AB6">
        <w:rPr>
          <w:rFonts w:asciiTheme="majorHAnsi" w:hAnsiTheme="majorHAnsi" w:cs="Calibri"/>
        </w:rPr>
        <w:t>Laisney</w:t>
      </w:r>
      <w:proofErr w:type="spellEnd"/>
      <w:r w:rsidR="008072E6" w:rsidRPr="00734AB6">
        <w:rPr>
          <w:rFonts w:asciiTheme="majorHAnsi" w:hAnsiTheme="majorHAnsi" w:cs="Calibri"/>
        </w:rPr>
        <w:t xml:space="preserve"> &amp; Heuser, 2010)</w:t>
      </w:r>
      <w:r w:rsidRPr="00734AB6">
        <w:rPr>
          <w:rFonts w:asciiTheme="majorHAnsi" w:hAnsiTheme="majorHAnsi" w:cs="Calibri"/>
        </w:rPr>
        <w:t xml:space="preserve">. These </w:t>
      </w:r>
      <w:r w:rsidR="00ED24C6" w:rsidRPr="00734AB6">
        <w:rPr>
          <w:rFonts w:asciiTheme="majorHAnsi" w:hAnsiTheme="majorHAnsi" w:cs="Calibri"/>
        </w:rPr>
        <w:t xml:space="preserve">two CEDs </w:t>
      </w:r>
      <w:r w:rsidRPr="00734AB6">
        <w:rPr>
          <w:rFonts w:asciiTheme="majorHAnsi" w:hAnsiTheme="majorHAnsi" w:cs="Calibri"/>
        </w:rPr>
        <w:t>will be considered in turn in the following sections.</w:t>
      </w:r>
    </w:p>
    <w:p w14:paraId="664E4F1D" w14:textId="77777777" w:rsidR="00D134B1" w:rsidRPr="00734AB6" w:rsidRDefault="00D134B1" w:rsidP="0099584D">
      <w:pPr>
        <w:spacing w:after="240" w:line="360" w:lineRule="auto"/>
        <w:ind w:firstLine="851"/>
        <w:rPr>
          <w:rFonts w:asciiTheme="majorHAnsi" w:hAnsiTheme="majorHAnsi" w:cs="Calibri"/>
        </w:rPr>
      </w:pPr>
    </w:p>
    <w:p w14:paraId="49A8D74A" w14:textId="5EA0F249" w:rsidR="00E73007" w:rsidRPr="00734AB6" w:rsidRDefault="00480B44" w:rsidP="00DA16AF">
      <w:pPr>
        <w:pStyle w:val="Heading2"/>
        <w:spacing w:after="240" w:line="360" w:lineRule="auto"/>
        <w:rPr>
          <w:b/>
          <w:color w:val="auto"/>
          <w:sz w:val="22"/>
          <w:szCs w:val="22"/>
        </w:rPr>
      </w:pPr>
      <w:bookmarkStart w:id="7" w:name="_Toc48136319"/>
      <w:r w:rsidRPr="00734AB6">
        <w:rPr>
          <w:b/>
          <w:color w:val="auto"/>
          <w:sz w:val="22"/>
          <w:szCs w:val="22"/>
        </w:rPr>
        <w:t>1.</w:t>
      </w:r>
      <w:r w:rsidR="00D9490A" w:rsidRPr="00734AB6">
        <w:rPr>
          <w:b/>
          <w:color w:val="auto"/>
          <w:sz w:val="22"/>
          <w:szCs w:val="22"/>
        </w:rPr>
        <w:t>3</w:t>
      </w:r>
      <w:r w:rsidRPr="00734AB6">
        <w:rPr>
          <w:b/>
          <w:color w:val="auto"/>
          <w:sz w:val="22"/>
          <w:szCs w:val="22"/>
        </w:rPr>
        <w:tab/>
      </w:r>
      <w:r w:rsidR="00AF35B3" w:rsidRPr="00734AB6">
        <w:rPr>
          <w:b/>
          <w:color w:val="auto"/>
          <w:sz w:val="22"/>
          <w:szCs w:val="22"/>
        </w:rPr>
        <w:t>Methylphenidate</w:t>
      </w:r>
      <w:bookmarkEnd w:id="7"/>
    </w:p>
    <w:p w14:paraId="6D57FCE2" w14:textId="2B518A07"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Methylphenidate is a central nervous system stimulant similar in structure</w:t>
      </w:r>
      <w:r w:rsidR="00E658CE" w:rsidRPr="00734AB6">
        <w:rPr>
          <w:rFonts w:asciiTheme="majorHAnsi" w:hAnsiTheme="majorHAnsi" w:cs="Calibri"/>
        </w:rPr>
        <w:t xml:space="preserve"> and properties to amphetamine</w:t>
      </w:r>
      <w:r w:rsidR="00E55321" w:rsidRPr="00734AB6">
        <w:rPr>
          <w:rFonts w:asciiTheme="majorHAnsi" w:hAnsiTheme="majorHAnsi" w:cs="Calibri"/>
        </w:rPr>
        <w:t xml:space="preserve">. </w:t>
      </w:r>
      <w:r w:rsidRPr="00734AB6">
        <w:rPr>
          <w:rFonts w:asciiTheme="majorHAnsi" w:hAnsiTheme="majorHAnsi" w:cs="Calibri"/>
        </w:rPr>
        <w:t>Its mechanism of action is believed to be via the blocking of DA and NE transporters (Wood, Sage, Sh</w:t>
      </w:r>
      <w:r w:rsidR="00E55321" w:rsidRPr="00734AB6">
        <w:rPr>
          <w:rFonts w:asciiTheme="majorHAnsi" w:hAnsiTheme="majorHAnsi" w:cs="Calibri"/>
        </w:rPr>
        <w:t xml:space="preserve">uman &amp; </w:t>
      </w:r>
      <w:proofErr w:type="spellStart"/>
      <w:r w:rsidR="00E55321" w:rsidRPr="00734AB6">
        <w:rPr>
          <w:rFonts w:asciiTheme="majorHAnsi" w:hAnsiTheme="majorHAnsi" w:cs="Calibri"/>
        </w:rPr>
        <w:t>Anagnostaras</w:t>
      </w:r>
      <w:proofErr w:type="spellEnd"/>
      <w:r w:rsidR="00E55321" w:rsidRPr="00734AB6">
        <w:rPr>
          <w:rFonts w:asciiTheme="majorHAnsi" w:hAnsiTheme="majorHAnsi" w:cs="Calibri"/>
        </w:rPr>
        <w:t xml:space="preserve">, 2014). </w:t>
      </w:r>
      <w:r w:rsidRPr="00734AB6">
        <w:rPr>
          <w:rFonts w:asciiTheme="majorHAnsi" w:hAnsiTheme="majorHAnsi" w:cs="Calibri"/>
        </w:rPr>
        <w:t>This action results in increased extracellular concentrations of both neurotransmitters, specifically in the prefrontal cortex</w:t>
      </w:r>
      <w:r w:rsidR="00F27EEC" w:rsidRPr="00734AB6">
        <w:rPr>
          <w:rFonts w:asciiTheme="majorHAnsi" w:hAnsiTheme="majorHAnsi" w:cs="Calibri"/>
        </w:rPr>
        <w:t xml:space="preserve"> (PFC)</w:t>
      </w:r>
      <w:r w:rsidRPr="00734AB6">
        <w:rPr>
          <w:rFonts w:asciiTheme="majorHAnsi" w:hAnsiTheme="majorHAnsi" w:cs="Calibri"/>
        </w:rPr>
        <w:t xml:space="preserve"> and striatum, which are areas of the brain involved in cognitive processes such as memory and motivation (</w:t>
      </w:r>
      <w:proofErr w:type="spellStart"/>
      <w:r w:rsidRPr="00734AB6">
        <w:rPr>
          <w:rFonts w:asciiTheme="majorHAnsi" w:hAnsiTheme="majorHAnsi" w:cs="Calibri"/>
        </w:rPr>
        <w:t>Busard</w:t>
      </w:r>
      <w:r w:rsidR="00AB629D" w:rsidRPr="00734AB6">
        <w:rPr>
          <w:rFonts w:asciiTheme="majorHAnsi" w:eastAsia="Calibri" w:hAnsiTheme="majorHAnsi" w:cs="Calibri"/>
        </w:rPr>
        <w:t>ò</w:t>
      </w:r>
      <w:proofErr w:type="spellEnd"/>
      <w:r w:rsidRPr="00734AB6">
        <w:rPr>
          <w:rFonts w:asciiTheme="majorHAnsi" w:hAnsiTheme="majorHAnsi" w:cstheme="minorHAnsi"/>
          <w:color w:val="222222"/>
          <w:shd w:val="clear" w:color="auto" w:fill="FFFFFF"/>
        </w:rPr>
        <w:t xml:space="preserve">, </w:t>
      </w:r>
      <w:proofErr w:type="spellStart"/>
      <w:r w:rsidRPr="00734AB6">
        <w:rPr>
          <w:rFonts w:asciiTheme="majorHAnsi" w:hAnsiTheme="majorHAnsi" w:cstheme="minorHAnsi"/>
          <w:color w:val="222222"/>
          <w:shd w:val="clear" w:color="auto" w:fill="FFFFFF"/>
        </w:rPr>
        <w:t>Kyriakou</w:t>
      </w:r>
      <w:proofErr w:type="spellEnd"/>
      <w:r w:rsidRPr="00734AB6">
        <w:rPr>
          <w:rFonts w:asciiTheme="majorHAnsi" w:hAnsiTheme="majorHAnsi" w:cstheme="minorHAnsi"/>
          <w:color w:val="222222"/>
          <w:shd w:val="clear" w:color="auto" w:fill="FFFFFF"/>
        </w:rPr>
        <w:t xml:space="preserve">, </w:t>
      </w:r>
      <w:proofErr w:type="spellStart"/>
      <w:r w:rsidRPr="00734AB6">
        <w:rPr>
          <w:rFonts w:asciiTheme="majorHAnsi" w:hAnsiTheme="majorHAnsi" w:cstheme="minorHAnsi"/>
          <w:color w:val="222222"/>
          <w:shd w:val="clear" w:color="auto" w:fill="FFFFFF"/>
        </w:rPr>
        <w:t>Cipolloni</w:t>
      </w:r>
      <w:proofErr w:type="spellEnd"/>
      <w:r w:rsidRPr="00734AB6">
        <w:rPr>
          <w:rFonts w:asciiTheme="majorHAnsi" w:hAnsiTheme="majorHAnsi" w:cstheme="minorHAnsi"/>
          <w:color w:val="222222"/>
          <w:shd w:val="clear" w:color="auto" w:fill="FFFFFF"/>
        </w:rPr>
        <w:t xml:space="preserve">, </w:t>
      </w:r>
      <w:proofErr w:type="spellStart"/>
      <w:r w:rsidRPr="00734AB6">
        <w:rPr>
          <w:rFonts w:asciiTheme="majorHAnsi" w:hAnsiTheme="majorHAnsi" w:cstheme="minorHAnsi"/>
          <w:color w:val="222222"/>
          <w:shd w:val="clear" w:color="auto" w:fill="FFFFFF"/>
        </w:rPr>
        <w:t>Zaami</w:t>
      </w:r>
      <w:proofErr w:type="spellEnd"/>
      <w:r w:rsidRPr="00734AB6">
        <w:rPr>
          <w:rFonts w:asciiTheme="majorHAnsi" w:hAnsiTheme="majorHAnsi" w:cstheme="minorHAnsi"/>
          <w:color w:val="222222"/>
          <w:shd w:val="clear" w:color="auto" w:fill="FFFFFF"/>
        </w:rPr>
        <w:t xml:space="preserve"> &amp; </w:t>
      </w:r>
      <w:proofErr w:type="spellStart"/>
      <w:r w:rsidRPr="00734AB6">
        <w:rPr>
          <w:rFonts w:asciiTheme="majorHAnsi" w:hAnsiTheme="majorHAnsi" w:cstheme="minorHAnsi"/>
          <w:color w:val="222222"/>
          <w:shd w:val="clear" w:color="auto" w:fill="FFFFFF"/>
        </w:rPr>
        <w:t>Frati</w:t>
      </w:r>
      <w:proofErr w:type="spellEnd"/>
      <w:r w:rsidR="00E55321" w:rsidRPr="00734AB6">
        <w:rPr>
          <w:rFonts w:asciiTheme="majorHAnsi" w:hAnsiTheme="majorHAnsi" w:cs="Calibri"/>
        </w:rPr>
        <w:t xml:space="preserve">, 2016). </w:t>
      </w:r>
      <w:r w:rsidR="001B71DF" w:rsidRPr="00734AB6">
        <w:rPr>
          <w:rFonts w:asciiTheme="majorHAnsi" w:hAnsiTheme="majorHAnsi" w:cs="Calibri"/>
        </w:rPr>
        <w:t xml:space="preserve">Methylphenidate </w:t>
      </w:r>
      <w:r w:rsidRPr="00734AB6">
        <w:rPr>
          <w:rFonts w:asciiTheme="majorHAnsi" w:hAnsiTheme="majorHAnsi" w:cs="Calibri"/>
        </w:rPr>
        <w:t>has a short half-life (</w:t>
      </w:r>
      <w:r w:rsidR="001D1CA2" w:rsidRPr="00734AB6">
        <w:rPr>
          <w:rFonts w:asciiTheme="majorHAnsi" w:hAnsiTheme="majorHAnsi" w:cs="Calibri"/>
        </w:rPr>
        <w:t xml:space="preserve">of </w:t>
      </w:r>
      <w:r w:rsidRPr="00734AB6">
        <w:rPr>
          <w:rFonts w:asciiTheme="majorHAnsi" w:hAnsiTheme="majorHAnsi" w:cs="Calibri"/>
        </w:rPr>
        <w:t>between two and three hours), therefore</w:t>
      </w:r>
      <w:r w:rsidR="009418D2" w:rsidRPr="00734AB6">
        <w:rPr>
          <w:rFonts w:asciiTheme="majorHAnsi" w:hAnsiTheme="majorHAnsi" w:cs="Calibri"/>
        </w:rPr>
        <w:t>,</w:t>
      </w:r>
      <w:r w:rsidR="006017A0" w:rsidRPr="00734AB6">
        <w:rPr>
          <w:rFonts w:asciiTheme="majorHAnsi" w:hAnsiTheme="majorHAnsi" w:cs="Calibri"/>
        </w:rPr>
        <w:t xml:space="preserve"> therapeutically</w:t>
      </w:r>
      <w:r w:rsidR="009418D2" w:rsidRPr="00734AB6">
        <w:rPr>
          <w:rFonts w:asciiTheme="majorHAnsi" w:hAnsiTheme="majorHAnsi" w:cs="Calibri"/>
        </w:rPr>
        <w:t xml:space="preserve"> </w:t>
      </w:r>
      <w:r w:rsidRPr="00734AB6">
        <w:rPr>
          <w:rFonts w:asciiTheme="majorHAnsi" w:hAnsiTheme="majorHAnsi" w:cs="Calibri"/>
        </w:rPr>
        <w:t>it must be taken in multiple daily doses</w:t>
      </w:r>
      <w:r w:rsidR="006017A0" w:rsidRPr="00734AB6">
        <w:rPr>
          <w:rFonts w:asciiTheme="majorHAnsi" w:hAnsiTheme="majorHAnsi" w:cs="Calibri"/>
        </w:rPr>
        <w:t xml:space="preserve">. </w:t>
      </w:r>
      <w:r w:rsidR="005D1234" w:rsidRPr="00734AB6">
        <w:rPr>
          <w:rFonts w:asciiTheme="majorHAnsi" w:hAnsiTheme="majorHAnsi" w:cs="Calibri"/>
        </w:rPr>
        <w:t>F</w:t>
      </w:r>
      <w:r w:rsidR="007A66AF" w:rsidRPr="00734AB6">
        <w:rPr>
          <w:rFonts w:asciiTheme="majorHAnsi" w:hAnsiTheme="majorHAnsi" w:cs="Calibri"/>
        </w:rPr>
        <w:t xml:space="preserve">or </w:t>
      </w:r>
      <w:r w:rsidR="005D1234" w:rsidRPr="00734AB6">
        <w:rPr>
          <w:rFonts w:asciiTheme="majorHAnsi" w:hAnsiTheme="majorHAnsi" w:cs="Calibri"/>
        </w:rPr>
        <w:t>CED user</w:t>
      </w:r>
      <w:r w:rsidR="001D1CA2" w:rsidRPr="00734AB6">
        <w:rPr>
          <w:rFonts w:asciiTheme="majorHAnsi" w:hAnsiTheme="majorHAnsi" w:cs="Calibri"/>
        </w:rPr>
        <w:t>s</w:t>
      </w:r>
      <w:r w:rsidR="009B3393" w:rsidRPr="00734AB6">
        <w:rPr>
          <w:rFonts w:asciiTheme="majorHAnsi" w:hAnsiTheme="majorHAnsi" w:cs="Calibri"/>
        </w:rPr>
        <w:t>,</w:t>
      </w:r>
      <w:r w:rsidR="005D1234" w:rsidRPr="00734AB6">
        <w:rPr>
          <w:rFonts w:asciiTheme="majorHAnsi" w:hAnsiTheme="majorHAnsi" w:cs="Calibri"/>
        </w:rPr>
        <w:t xml:space="preserve"> </w:t>
      </w:r>
      <w:r w:rsidR="00C903D6" w:rsidRPr="00734AB6">
        <w:rPr>
          <w:rFonts w:asciiTheme="majorHAnsi" w:hAnsiTheme="majorHAnsi" w:cs="Calibri"/>
        </w:rPr>
        <w:t>this may be seen as an advantage</w:t>
      </w:r>
      <w:r w:rsidR="00080FF3" w:rsidRPr="00734AB6">
        <w:rPr>
          <w:rFonts w:asciiTheme="majorHAnsi" w:hAnsiTheme="majorHAnsi" w:cs="Calibri"/>
        </w:rPr>
        <w:t xml:space="preserve"> giving them flexibility to adjust the length of cognitive enhancement they receive in a day</w:t>
      </w:r>
      <w:r w:rsidR="00E55321" w:rsidRPr="00734AB6">
        <w:rPr>
          <w:rFonts w:asciiTheme="majorHAnsi" w:hAnsiTheme="majorHAnsi" w:cs="Calibri"/>
        </w:rPr>
        <w:t xml:space="preserve">. </w:t>
      </w:r>
      <w:r w:rsidR="00EB270D" w:rsidRPr="00734AB6">
        <w:rPr>
          <w:rFonts w:asciiTheme="majorHAnsi" w:hAnsiTheme="majorHAnsi" w:cs="Calibri"/>
        </w:rPr>
        <w:t>Th</w:t>
      </w:r>
      <w:r w:rsidRPr="00734AB6">
        <w:rPr>
          <w:rFonts w:asciiTheme="majorHAnsi" w:hAnsiTheme="majorHAnsi" w:cs="Calibri"/>
        </w:rPr>
        <w:t>e peak plasma drug concentration after oral administration is between one and three hours (</w:t>
      </w:r>
      <w:proofErr w:type="spellStart"/>
      <w:r w:rsidRPr="00734AB6">
        <w:rPr>
          <w:rFonts w:asciiTheme="majorHAnsi" w:hAnsiTheme="majorHAnsi" w:cs="Calibri"/>
        </w:rPr>
        <w:t>Kimko</w:t>
      </w:r>
      <w:proofErr w:type="spellEnd"/>
      <w:r w:rsidR="008B5D30" w:rsidRPr="00734AB6">
        <w:rPr>
          <w:rFonts w:asciiTheme="majorHAnsi" w:hAnsiTheme="majorHAnsi" w:cs="Calibri"/>
        </w:rPr>
        <w:t>,</w:t>
      </w:r>
      <w:r w:rsidRPr="00734AB6">
        <w:rPr>
          <w:rFonts w:asciiTheme="majorHAnsi" w:hAnsiTheme="majorHAnsi" w:cs="Calibri"/>
        </w:rPr>
        <w:t xml:space="preserve"> Cross &amp; Abernethy, 1999). </w:t>
      </w:r>
      <w:r w:rsidR="002A7CEA" w:rsidRPr="00734AB6">
        <w:rPr>
          <w:rFonts w:asciiTheme="majorHAnsi" w:hAnsiTheme="majorHAnsi" w:cs="Calibri"/>
        </w:rPr>
        <w:t>Methylphenidate is absorbed quickly and completely, with a high level of the drug</w:t>
      </w:r>
      <w:r w:rsidR="00B802ED" w:rsidRPr="00734AB6">
        <w:rPr>
          <w:rFonts w:asciiTheme="majorHAnsi" w:hAnsiTheme="majorHAnsi" w:cs="Calibri"/>
        </w:rPr>
        <w:t xml:space="preserve"> being</w:t>
      </w:r>
      <w:r w:rsidR="002A7CEA" w:rsidRPr="00734AB6">
        <w:rPr>
          <w:rFonts w:asciiTheme="majorHAnsi" w:hAnsiTheme="majorHAnsi" w:cs="Calibri"/>
        </w:rPr>
        <w:t xml:space="preserve"> available to penetrate the central nervous system, and regional uptake is seen in the striatum (</w:t>
      </w:r>
      <w:proofErr w:type="spellStart"/>
      <w:r w:rsidR="002A7CEA" w:rsidRPr="00734AB6">
        <w:rPr>
          <w:rFonts w:asciiTheme="majorHAnsi" w:hAnsiTheme="majorHAnsi" w:cs="Calibri"/>
        </w:rPr>
        <w:t>Kimko</w:t>
      </w:r>
      <w:proofErr w:type="spellEnd"/>
      <w:r w:rsidR="002A7CEA" w:rsidRPr="00734AB6">
        <w:rPr>
          <w:rFonts w:asciiTheme="majorHAnsi" w:hAnsiTheme="majorHAnsi" w:cs="Calibri"/>
        </w:rPr>
        <w:t xml:space="preserve"> et al.</w:t>
      </w:r>
      <w:r w:rsidR="00D57756" w:rsidRPr="00734AB6">
        <w:rPr>
          <w:rFonts w:asciiTheme="majorHAnsi" w:hAnsiTheme="majorHAnsi" w:cs="Calibri"/>
        </w:rPr>
        <w:t>, 1999</w:t>
      </w:r>
      <w:r w:rsidR="00E55321" w:rsidRPr="00734AB6">
        <w:rPr>
          <w:rFonts w:asciiTheme="majorHAnsi" w:hAnsiTheme="majorHAnsi" w:cs="Calibri"/>
        </w:rPr>
        <w:t xml:space="preserve">). </w:t>
      </w:r>
      <w:r w:rsidR="00080FF3" w:rsidRPr="00734AB6">
        <w:rPr>
          <w:rFonts w:asciiTheme="majorHAnsi" w:hAnsiTheme="majorHAnsi" w:cs="Calibri"/>
        </w:rPr>
        <w:t>T</w:t>
      </w:r>
      <w:r w:rsidRPr="00734AB6">
        <w:rPr>
          <w:rFonts w:asciiTheme="majorHAnsi" w:hAnsiTheme="majorHAnsi" w:cs="Calibri"/>
        </w:rPr>
        <w:t>here is also a sustained release formulation available on the market, but with slower onset of action (</w:t>
      </w:r>
      <w:proofErr w:type="spellStart"/>
      <w:r w:rsidRPr="00734AB6">
        <w:rPr>
          <w:rFonts w:asciiTheme="majorHAnsi" w:hAnsiTheme="majorHAnsi" w:cs="Calibri"/>
        </w:rPr>
        <w:t>Kimko</w:t>
      </w:r>
      <w:proofErr w:type="spellEnd"/>
      <w:r w:rsidRPr="00734AB6">
        <w:rPr>
          <w:rFonts w:asciiTheme="majorHAnsi" w:hAnsiTheme="majorHAnsi" w:cs="Calibri"/>
        </w:rPr>
        <w:t xml:space="preserve"> et al</w:t>
      </w:r>
      <w:r w:rsidR="001B71DF" w:rsidRPr="00734AB6">
        <w:rPr>
          <w:rFonts w:asciiTheme="majorHAnsi" w:hAnsiTheme="majorHAnsi" w:cs="Calibri"/>
        </w:rPr>
        <w:t>.</w:t>
      </w:r>
      <w:r w:rsidR="00D57756" w:rsidRPr="00734AB6">
        <w:rPr>
          <w:rFonts w:asciiTheme="majorHAnsi" w:hAnsiTheme="majorHAnsi" w:cs="Calibri"/>
        </w:rPr>
        <w:t>, 1999</w:t>
      </w:r>
      <w:r w:rsidRPr="00734AB6">
        <w:rPr>
          <w:rFonts w:asciiTheme="majorHAnsi" w:hAnsiTheme="majorHAnsi" w:cs="Calibri"/>
        </w:rPr>
        <w:t xml:space="preserve">). </w:t>
      </w:r>
      <w:r w:rsidR="00DD1797" w:rsidRPr="00734AB6">
        <w:rPr>
          <w:rFonts w:asciiTheme="majorHAnsi" w:hAnsiTheme="majorHAnsi" w:cs="Calibri"/>
        </w:rPr>
        <w:t>However, f</w:t>
      </w:r>
      <w:r w:rsidR="001D1CA2" w:rsidRPr="00734AB6">
        <w:rPr>
          <w:rFonts w:asciiTheme="majorHAnsi" w:hAnsiTheme="majorHAnsi" w:cs="Calibri"/>
        </w:rPr>
        <w:t>rom the current literature, i</w:t>
      </w:r>
      <w:r w:rsidR="00080FF3" w:rsidRPr="00734AB6">
        <w:rPr>
          <w:rFonts w:asciiTheme="majorHAnsi" w:hAnsiTheme="majorHAnsi" w:cs="Calibri"/>
        </w:rPr>
        <w:t xml:space="preserve">t is not clear </w:t>
      </w:r>
      <w:r w:rsidR="00DB072E" w:rsidRPr="00734AB6">
        <w:rPr>
          <w:rFonts w:asciiTheme="majorHAnsi" w:hAnsiTheme="majorHAnsi" w:cs="Calibri"/>
        </w:rPr>
        <w:t xml:space="preserve">whether and to what extent </w:t>
      </w:r>
      <w:r w:rsidR="007E2D39" w:rsidRPr="00734AB6">
        <w:rPr>
          <w:rFonts w:asciiTheme="majorHAnsi" w:hAnsiTheme="majorHAnsi" w:cs="Calibri"/>
        </w:rPr>
        <w:t xml:space="preserve">the sustained release </w:t>
      </w:r>
      <w:r w:rsidR="00E55321" w:rsidRPr="00734AB6">
        <w:rPr>
          <w:rFonts w:asciiTheme="majorHAnsi" w:hAnsiTheme="majorHAnsi" w:cs="Calibri"/>
        </w:rPr>
        <w:t xml:space="preserve">formulations are used as CEDs. </w:t>
      </w:r>
    </w:p>
    <w:p w14:paraId="422E6FC7" w14:textId="220A260F"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lastRenderedPageBreak/>
        <w:t>The recommended daily</w:t>
      </w:r>
      <w:r w:rsidR="00BA6D5A" w:rsidRPr="00734AB6">
        <w:rPr>
          <w:rFonts w:asciiTheme="majorHAnsi" w:hAnsiTheme="majorHAnsi" w:cs="Calibri"/>
        </w:rPr>
        <w:t xml:space="preserve"> dose</w:t>
      </w:r>
      <w:r w:rsidR="00685F6B" w:rsidRPr="00734AB6">
        <w:rPr>
          <w:rFonts w:asciiTheme="majorHAnsi" w:hAnsiTheme="majorHAnsi" w:cs="Calibri"/>
        </w:rPr>
        <w:t xml:space="preserve"> for methylphenidate</w:t>
      </w:r>
      <w:r w:rsidRPr="00734AB6">
        <w:rPr>
          <w:rFonts w:asciiTheme="majorHAnsi" w:hAnsiTheme="majorHAnsi" w:cs="Calibri"/>
        </w:rPr>
        <w:t xml:space="preserve"> ranges from 10mg to 60mg and</w:t>
      </w:r>
      <w:r w:rsidR="00685F6B" w:rsidRPr="00734AB6">
        <w:rPr>
          <w:rFonts w:asciiTheme="majorHAnsi" w:hAnsiTheme="majorHAnsi" w:cs="Calibri"/>
        </w:rPr>
        <w:t>,</w:t>
      </w:r>
      <w:r w:rsidRPr="00734AB6">
        <w:rPr>
          <w:rFonts w:asciiTheme="majorHAnsi" w:hAnsiTheme="majorHAnsi" w:cs="Calibri"/>
        </w:rPr>
        <w:t xml:space="preserve"> as drug response varies depending on the individual,</w:t>
      </w:r>
      <w:r w:rsidR="00AF11AC" w:rsidRPr="00734AB6">
        <w:rPr>
          <w:rFonts w:asciiTheme="majorHAnsi" w:hAnsiTheme="majorHAnsi" w:cs="Calibri"/>
        </w:rPr>
        <w:t xml:space="preserve"> therapeutic</w:t>
      </w:r>
      <w:r w:rsidRPr="00734AB6">
        <w:rPr>
          <w:rFonts w:asciiTheme="majorHAnsi" w:hAnsiTheme="majorHAnsi" w:cs="Calibri"/>
        </w:rPr>
        <w:t xml:space="preserve"> doses usually start at 5mg twice</w:t>
      </w:r>
      <w:r w:rsidR="00E55321" w:rsidRPr="00734AB6">
        <w:rPr>
          <w:rFonts w:asciiTheme="majorHAnsi" w:hAnsiTheme="majorHAnsi" w:cs="Calibri"/>
        </w:rPr>
        <w:t xml:space="preserve"> daily. </w:t>
      </w:r>
      <w:r w:rsidRPr="00734AB6">
        <w:rPr>
          <w:rFonts w:asciiTheme="majorHAnsi" w:hAnsiTheme="majorHAnsi" w:cs="Calibri"/>
        </w:rPr>
        <w:t xml:space="preserve">The most common adverse effects of </w:t>
      </w:r>
      <w:r w:rsidR="00E658CE" w:rsidRPr="00734AB6">
        <w:rPr>
          <w:rFonts w:asciiTheme="majorHAnsi" w:hAnsiTheme="majorHAnsi" w:cs="Calibri"/>
        </w:rPr>
        <w:t>methylphenidate</w:t>
      </w:r>
      <w:r w:rsidRPr="00734AB6">
        <w:rPr>
          <w:rFonts w:asciiTheme="majorHAnsi" w:hAnsiTheme="majorHAnsi" w:cs="Calibri"/>
        </w:rPr>
        <w:t xml:space="preserve"> are insomnia, decreased appetite, irritability, anxiety, </w:t>
      </w:r>
      <w:r w:rsidR="00FF0B6A" w:rsidRPr="00734AB6">
        <w:rPr>
          <w:rFonts w:asciiTheme="majorHAnsi" w:hAnsiTheme="majorHAnsi" w:cs="Calibri"/>
        </w:rPr>
        <w:t>headache,</w:t>
      </w:r>
      <w:r w:rsidRPr="00734AB6">
        <w:rPr>
          <w:rFonts w:asciiTheme="majorHAnsi" w:hAnsiTheme="majorHAnsi" w:cs="Calibri"/>
        </w:rPr>
        <w:t xml:space="preserve"> and weight loss (</w:t>
      </w:r>
      <w:proofErr w:type="spellStart"/>
      <w:r w:rsidRPr="00734AB6">
        <w:rPr>
          <w:rFonts w:asciiTheme="majorHAnsi" w:hAnsiTheme="majorHAnsi" w:cs="Calibri"/>
        </w:rPr>
        <w:t>Kimko</w:t>
      </w:r>
      <w:proofErr w:type="spellEnd"/>
      <w:r w:rsidRPr="00734AB6">
        <w:rPr>
          <w:rFonts w:asciiTheme="majorHAnsi" w:hAnsiTheme="majorHAnsi" w:cs="Calibri"/>
        </w:rPr>
        <w:t xml:space="preserve"> et al</w:t>
      </w:r>
      <w:r w:rsidR="001B71DF" w:rsidRPr="00734AB6">
        <w:rPr>
          <w:rFonts w:asciiTheme="majorHAnsi" w:hAnsiTheme="majorHAnsi" w:cs="Calibri"/>
        </w:rPr>
        <w:t>.</w:t>
      </w:r>
      <w:r w:rsidRPr="00734AB6">
        <w:rPr>
          <w:rFonts w:asciiTheme="majorHAnsi" w:hAnsiTheme="majorHAnsi" w:cs="Calibri"/>
        </w:rPr>
        <w:t xml:space="preserve">, 1999; </w:t>
      </w:r>
      <w:proofErr w:type="spellStart"/>
      <w:r w:rsidRPr="00734AB6">
        <w:rPr>
          <w:rFonts w:asciiTheme="majorHAnsi" w:hAnsiTheme="majorHAnsi" w:cstheme="minorHAnsi"/>
          <w:shd w:val="clear" w:color="auto" w:fill="FFFFFF"/>
        </w:rPr>
        <w:t>Storebø</w:t>
      </w:r>
      <w:proofErr w:type="spellEnd"/>
      <w:r w:rsidRPr="00734AB6">
        <w:rPr>
          <w:rFonts w:asciiTheme="majorHAnsi" w:hAnsiTheme="majorHAnsi" w:cstheme="minorHAnsi"/>
          <w:shd w:val="clear" w:color="auto" w:fill="FFFFFF"/>
        </w:rPr>
        <w:t xml:space="preserve"> et al</w:t>
      </w:r>
      <w:r w:rsidR="001B71DF" w:rsidRPr="00734AB6">
        <w:rPr>
          <w:rFonts w:asciiTheme="majorHAnsi" w:hAnsiTheme="majorHAnsi" w:cstheme="minorHAnsi"/>
          <w:shd w:val="clear" w:color="auto" w:fill="FFFFFF"/>
        </w:rPr>
        <w:t>.</w:t>
      </w:r>
      <w:r w:rsidRPr="00734AB6">
        <w:rPr>
          <w:rFonts w:asciiTheme="majorHAnsi" w:hAnsiTheme="majorHAnsi" w:cstheme="minorHAnsi"/>
          <w:shd w:val="clear" w:color="auto" w:fill="FFFFFF"/>
        </w:rPr>
        <w:t>, 2015)</w:t>
      </w:r>
      <w:r w:rsidR="00E55321" w:rsidRPr="00734AB6">
        <w:rPr>
          <w:rFonts w:asciiTheme="majorHAnsi" w:hAnsiTheme="majorHAnsi" w:cstheme="minorHAnsi"/>
          <w:shd w:val="clear" w:color="auto" w:fill="FFFFFF"/>
        </w:rPr>
        <w:t>.</w:t>
      </w:r>
      <w:r w:rsidRPr="00734AB6">
        <w:rPr>
          <w:rFonts w:asciiTheme="majorHAnsi" w:hAnsiTheme="majorHAnsi" w:cstheme="minorHAnsi"/>
          <w:shd w:val="clear" w:color="auto" w:fill="FFFFFF"/>
        </w:rPr>
        <w:t xml:space="preserve"> </w:t>
      </w:r>
      <w:r w:rsidR="00E55321" w:rsidRPr="00734AB6">
        <w:rPr>
          <w:rFonts w:asciiTheme="majorHAnsi" w:hAnsiTheme="majorHAnsi" w:cstheme="minorHAnsi"/>
          <w:shd w:val="clear" w:color="auto" w:fill="FFFFFF"/>
        </w:rPr>
        <w:t>M</w:t>
      </w:r>
      <w:r w:rsidR="00E658CE" w:rsidRPr="00734AB6">
        <w:rPr>
          <w:rFonts w:asciiTheme="majorHAnsi" w:hAnsiTheme="majorHAnsi" w:cs="Calibri"/>
        </w:rPr>
        <w:t>ethylphenidate</w:t>
      </w:r>
      <w:r w:rsidR="00E658CE" w:rsidRPr="00734AB6">
        <w:rPr>
          <w:rFonts w:asciiTheme="majorHAnsi" w:hAnsiTheme="majorHAnsi" w:cstheme="minorHAnsi"/>
          <w:shd w:val="clear" w:color="auto" w:fill="FFFFFF"/>
        </w:rPr>
        <w:t xml:space="preserve"> </w:t>
      </w:r>
      <w:r w:rsidRPr="00734AB6">
        <w:rPr>
          <w:rFonts w:asciiTheme="majorHAnsi" w:hAnsiTheme="majorHAnsi" w:cstheme="minorHAnsi"/>
          <w:shd w:val="clear" w:color="auto" w:fill="FFFFFF"/>
        </w:rPr>
        <w:t xml:space="preserve">has also been associated with the risk of priapism, </w:t>
      </w:r>
      <w:r w:rsidR="00F37AF2" w:rsidRPr="00734AB6">
        <w:rPr>
          <w:rFonts w:asciiTheme="majorHAnsi" w:hAnsiTheme="majorHAnsi" w:cstheme="minorHAnsi"/>
          <w:shd w:val="clear" w:color="auto" w:fill="FFFFFF"/>
        </w:rPr>
        <w:t xml:space="preserve">causing </w:t>
      </w:r>
      <w:r w:rsidRPr="00734AB6">
        <w:rPr>
          <w:rFonts w:asciiTheme="majorHAnsi" w:hAnsiTheme="majorHAnsi" w:cstheme="minorHAnsi"/>
          <w:shd w:val="clear" w:color="auto" w:fill="FFFFFF"/>
        </w:rPr>
        <w:t>persistent and often painful erections lasting for several hours (</w:t>
      </w:r>
      <w:proofErr w:type="spellStart"/>
      <w:r w:rsidRPr="00734AB6">
        <w:rPr>
          <w:rFonts w:asciiTheme="majorHAnsi" w:hAnsiTheme="majorHAnsi" w:cstheme="minorHAnsi"/>
          <w:shd w:val="clear" w:color="auto" w:fill="FFFFFF"/>
        </w:rPr>
        <w:t>Busard</w:t>
      </w:r>
      <w:r w:rsidR="00AB629D" w:rsidRPr="00734AB6">
        <w:rPr>
          <w:rFonts w:asciiTheme="majorHAnsi" w:eastAsia="Calibri" w:hAnsiTheme="majorHAnsi" w:cs="Calibri"/>
        </w:rPr>
        <w:t>ò</w:t>
      </w:r>
      <w:proofErr w:type="spellEnd"/>
      <w:r w:rsidRPr="00734AB6">
        <w:rPr>
          <w:rFonts w:asciiTheme="majorHAnsi" w:hAnsiTheme="majorHAnsi" w:cstheme="minorHAnsi"/>
          <w:shd w:val="clear" w:color="auto" w:fill="FFFFFF"/>
        </w:rPr>
        <w:t xml:space="preserve"> </w:t>
      </w:r>
      <w:r w:rsidRPr="00734AB6">
        <w:rPr>
          <w:rFonts w:asciiTheme="majorHAnsi" w:hAnsiTheme="majorHAnsi" w:cs="Calibri"/>
        </w:rPr>
        <w:t>et al</w:t>
      </w:r>
      <w:r w:rsidR="001B71DF" w:rsidRPr="00734AB6">
        <w:rPr>
          <w:rFonts w:asciiTheme="majorHAnsi" w:hAnsiTheme="majorHAnsi" w:cs="Calibri"/>
        </w:rPr>
        <w:t>.</w:t>
      </w:r>
      <w:r w:rsidRPr="00734AB6">
        <w:rPr>
          <w:rFonts w:asciiTheme="majorHAnsi" w:hAnsiTheme="majorHAnsi" w:cs="Calibri"/>
        </w:rPr>
        <w:t>,</w:t>
      </w:r>
      <w:r w:rsidRPr="00734AB6">
        <w:rPr>
          <w:rFonts w:asciiTheme="majorHAnsi" w:hAnsiTheme="majorHAnsi" w:cstheme="minorHAnsi"/>
          <w:shd w:val="clear" w:color="auto" w:fill="FFFFFF"/>
        </w:rPr>
        <w:t xml:space="preserve"> 2016)</w:t>
      </w:r>
      <w:r w:rsidR="00E55321" w:rsidRPr="00734AB6">
        <w:rPr>
          <w:rFonts w:asciiTheme="majorHAnsi" w:hAnsiTheme="majorHAnsi" w:cs="Calibri"/>
        </w:rPr>
        <w:t xml:space="preserve">. </w:t>
      </w:r>
      <w:r w:rsidRPr="00734AB6">
        <w:rPr>
          <w:rFonts w:asciiTheme="majorHAnsi" w:hAnsiTheme="majorHAnsi" w:cs="Calibri"/>
        </w:rPr>
        <w:t>Other adverse effects include aggression</w:t>
      </w:r>
      <w:r w:rsidRPr="00734AB6">
        <w:rPr>
          <w:rFonts w:asciiTheme="majorHAnsi" w:hAnsiTheme="majorHAnsi"/>
        </w:rPr>
        <w:t>, angina, sweating, visual disturbances, hepatic dysfunction and myocardial infarction</w:t>
      </w:r>
      <w:r w:rsidRPr="00734AB6">
        <w:rPr>
          <w:rFonts w:asciiTheme="majorHAnsi" w:hAnsiTheme="majorHAnsi" w:cs="Calibri"/>
        </w:rPr>
        <w:t xml:space="preserve"> (</w:t>
      </w:r>
      <w:r w:rsidRPr="00734AB6">
        <w:rPr>
          <w:rFonts w:asciiTheme="majorHAnsi" w:hAnsiTheme="majorHAnsi"/>
        </w:rPr>
        <w:t xml:space="preserve">Joint Formulary Committee, 2017; </w:t>
      </w:r>
      <w:r w:rsidRPr="00734AB6">
        <w:rPr>
          <w:rFonts w:asciiTheme="majorHAnsi" w:hAnsiTheme="majorHAnsi" w:cs="Calibri"/>
        </w:rPr>
        <w:t>Ritalin, n.d.). Drug interactions occur with antihypertensive drugs, drugs that increase blood pressure, clonidine, and dop</w:t>
      </w:r>
      <w:r w:rsidR="00330918" w:rsidRPr="00734AB6">
        <w:rPr>
          <w:rFonts w:asciiTheme="majorHAnsi" w:hAnsiTheme="majorHAnsi" w:cs="Calibri"/>
        </w:rPr>
        <w:t>a</w:t>
      </w:r>
      <w:r w:rsidR="00F7492D" w:rsidRPr="00734AB6">
        <w:rPr>
          <w:rFonts w:asciiTheme="majorHAnsi" w:hAnsiTheme="majorHAnsi" w:cs="Calibri"/>
        </w:rPr>
        <w:t>min</w:t>
      </w:r>
      <w:r w:rsidRPr="00734AB6">
        <w:rPr>
          <w:rFonts w:asciiTheme="majorHAnsi" w:hAnsiTheme="majorHAnsi" w:cs="Calibri"/>
        </w:rPr>
        <w:t>ergic and serot</w:t>
      </w:r>
      <w:r w:rsidR="00F7492D" w:rsidRPr="00734AB6">
        <w:rPr>
          <w:rFonts w:asciiTheme="majorHAnsi" w:hAnsiTheme="majorHAnsi" w:cs="Calibri"/>
        </w:rPr>
        <w:t>o</w:t>
      </w:r>
      <w:r w:rsidRPr="00734AB6">
        <w:rPr>
          <w:rFonts w:asciiTheme="majorHAnsi" w:hAnsiTheme="majorHAnsi" w:cs="Calibri"/>
        </w:rPr>
        <w:t>nergic drugs (</w:t>
      </w:r>
      <w:r w:rsidR="006D5DFD" w:rsidRPr="00734AB6">
        <w:rPr>
          <w:rFonts w:asciiTheme="majorHAnsi" w:hAnsiTheme="majorHAnsi"/>
        </w:rPr>
        <w:t>Joint Formulary Committee</w:t>
      </w:r>
      <w:r w:rsidR="00D57756" w:rsidRPr="00734AB6">
        <w:rPr>
          <w:rFonts w:asciiTheme="majorHAnsi" w:hAnsiTheme="majorHAnsi"/>
        </w:rPr>
        <w:t>, 2017</w:t>
      </w:r>
      <w:r w:rsidRPr="00734AB6">
        <w:rPr>
          <w:rFonts w:asciiTheme="majorHAnsi" w:hAnsiTheme="majorHAnsi"/>
        </w:rPr>
        <w:t xml:space="preserve">; </w:t>
      </w:r>
      <w:r w:rsidR="006D5DFD" w:rsidRPr="00734AB6">
        <w:rPr>
          <w:rFonts w:asciiTheme="majorHAnsi" w:hAnsiTheme="majorHAnsi" w:cs="Calibri"/>
        </w:rPr>
        <w:t>Ritalin</w:t>
      </w:r>
      <w:r w:rsidR="00D57756" w:rsidRPr="00734AB6">
        <w:rPr>
          <w:rFonts w:asciiTheme="majorHAnsi" w:hAnsiTheme="majorHAnsi" w:cs="Calibri"/>
        </w:rPr>
        <w:t>, n.d.</w:t>
      </w:r>
      <w:r w:rsidR="008F6EAA" w:rsidRPr="00734AB6">
        <w:rPr>
          <w:rFonts w:asciiTheme="majorHAnsi" w:hAnsiTheme="majorHAnsi" w:cs="Calibri"/>
        </w:rPr>
        <w:t xml:space="preserve">). </w:t>
      </w:r>
      <w:r w:rsidRPr="00734AB6">
        <w:rPr>
          <w:rFonts w:asciiTheme="majorHAnsi" w:hAnsiTheme="majorHAnsi" w:cs="Calibri"/>
        </w:rPr>
        <w:t xml:space="preserve">Although also prescribed for narcolepsy, </w:t>
      </w:r>
      <w:r w:rsidR="00E658CE" w:rsidRPr="00734AB6">
        <w:rPr>
          <w:rFonts w:asciiTheme="majorHAnsi" w:hAnsiTheme="majorHAnsi" w:cs="Calibri"/>
        </w:rPr>
        <w:t xml:space="preserve">methylphenidate </w:t>
      </w:r>
      <w:r w:rsidRPr="00734AB6">
        <w:rPr>
          <w:rFonts w:asciiTheme="majorHAnsi" w:hAnsiTheme="majorHAnsi" w:cs="Calibri"/>
        </w:rPr>
        <w:t>has been commonly prescribed for the treatment of ADHD</w:t>
      </w:r>
      <w:r w:rsidR="00DC450E" w:rsidRPr="00734AB6">
        <w:rPr>
          <w:rFonts w:asciiTheme="majorHAnsi" w:hAnsiTheme="majorHAnsi" w:cs="Calibri"/>
        </w:rPr>
        <w:t xml:space="preserve"> for the past 50 years (Ritalin;</w:t>
      </w:r>
      <w:r w:rsidRPr="00734AB6">
        <w:rPr>
          <w:rFonts w:asciiTheme="majorHAnsi" w:hAnsiTheme="majorHAnsi" w:cs="Calibri"/>
        </w:rPr>
        <w:t xml:space="preserve"> Wood </w:t>
      </w:r>
      <w:r w:rsidR="001B71DF" w:rsidRPr="00734AB6">
        <w:rPr>
          <w:rFonts w:asciiTheme="majorHAnsi" w:hAnsiTheme="majorHAnsi" w:cs="Calibri"/>
        </w:rPr>
        <w:t>et al.</w:t>
      </w:r>
      <w:r w:rsidR="00E55321" w:rsidRPr="00734AB6">
        <w:rPr>
          <w:rFonts w:asciiTheme="majorHAnsi" w:hAnsiTheme="majorHAnsi" w:cs="Calibri"/>
        </w:rPr>
        <w:t xml:space="preserve">, 2014). </w:t>
      </w:r>
      <w:r w:rsidRPr="00734AB6">
        <w:rPr>
          <w:rFonts w:asciiTheme="majorHAnsi" w:hAnsiTheme="majorHAnsi" w:cs="Calibri"/>
        </w:rPr>
        <w:t>The frequency with which the stimulant is prescribed has increased as the diagnosis of ADHD has become more widely accepted (</w:t>
      </w:r>
      <w:proofErr w:type="spellStart"/>
      <w:r w:rsidRPr="00734AB6">
        <w:rPr>
          <w:rFonts w:asciiTheme="majorHAnsi" w:hAnsiTheme="majorHAnsi" w:cs="Calibri"/>
        </w:rPr>
        <w:t>Busard</w:t>
      </w:r>
      <w:r w:rsidR="00AB629D" w:rsidRPr="00734AB6">
        <w:rPr>
          <w:rFonts w:asciiTheme="majorHAnsi" w:eastAsia="Calibri" w:hAnsiTheme="majorHAnsi" w:cs="Calibri"/>
        </w:rPr>
        <w:t>ò</w:t>
      </w:r>
      <w:proofErr w:type="spellEnd"/>
      <w:r w:rsidRPr="00734AB6">
        <w:rPr>
          <w:rFonts w:asciiTheme="majorHAnsi" w:hAnsiTheme="majorHAnsi" w:cs="Calibri"/>
        </w:rPr>
        <w:t xml:space="preserve"> </w:t>
      </w:r>
      <w:r w:rsidR="001B71DF" w:rsidRPr="00734AB6">
        <w:rPr>
          <w:rFonts w:asciiTheme="majorHAnsi" w:hAnsiTheme="majorHAnsi" w:cs="Calibri"/>
        </w:rPr>
        <w:t>et al.</w:t>
      </w:r>
      <w:r w:rsidR="00D57756" w:rsidRPr="00734AB6">
        <w:rPr>
          <w:rFonts w:asciiTheme="majorHAnsi" w:hAnsiTheme="majorHAnsi" w:cs="Calibri"/>
        </w:rPr>
        <w:t>, 2016</w:t>
      </w:r>
      <w:r w:rsidRPr="00734AB6">
        <w:rPr>
          <w:rFonts w:asciiTheme="majorHAnsi" w:hAnsiTheme="majorHAnsi" w:cs="Calibri"/>
        </w:rPr>
        <w:t xml:space="preserve">; Wood </w:t>
      </w:r>
      <w:r w:rsidR="001B71DF" w:rsidRPr="00734AB6">
        <w:rPr>
          <w:rFonts w:asciiTheme="majorHAnsi" w:hAnsiTheme="majorHAnsi" w:cs="Calibri"/>
        </w:rPr>
        <w:t>et al.</w:t>
      </w:r>
      <w:r w:rsidR="00D57756" w:rsidRPr="00734AB6">
        <w:rPr>
          <w:rFonts w:asciiTheme="majorHAnsi" w:hAnsiTheme="majorHAnsi" w:cs="Calibri"/>
        </w:rPr>
        <w:t>, 2014</w:t>
      </w:r>
      <w:r w:rsidR="00E55321" w:rsidRPr="00734AB6">
        <w:rPr>
          <w:rFonts w:asciiTheme="majorHAnsi" w:hAnsiTheme="majorHAnsi" w:cs="Calibri"/>
        </w:rPr>
        <w:t xml:space="preserve">). </w:t>
      </w:r>
      <w:r w:rsidRPr="00734AB6">
        <w:rPr>
          <w:rFonts w:asciiTheme="majorHAnsi" w:hAnsiTheme="majorHAnsi" w:cs="Calibri"/>
        </w:rPr>
        <w:t xml:space="preserve">Studies investigating the student use of </w:t>
      </w:r>
      <w:r w:rsidR="00E658CE" w:rsidRPr="00734AB6">
        <w:rPr>
          <w:rFonts w:asciiTheme="majorHAnsi" w:hAnsiTheme="majorHAnsi" w:cs="Calibri"/>
        </w:rPr>
        <w:t xml:space="preserve">methylphenidate </w:t>
      </w:r>
      <w:r w:rsidRPr="00734AB6">
        <w:rPr>
          <w:rFonts w:asciiTheme="majorHAnsi" w:hAnsiTheme="majorHAnsi" w:cs="Calibri"/>
        </w:rPr>
        <w:t xml:space="preserve">in the United States (where </w:t>
      </w:r>
      <w:r w:rsidR="00E658CE" w:rsidRPr="00734AB6">
        <w:rPr>
          <w:rFonts w:asciiTheme="majorHAnsi" w:hAnsiTheme="majorHAnsi" w:cs="Calibri"/>
        </w:rPr>
        <w:t xml:space="preserve">methylphenidate </w:t>
      </w:r>
      <w:r w:rsidRPr="00734AB6">
        <w:rPr>
          <w:rFonts w:asciiTheme="majorHAnsi" w:hAnsiTheme="majorHAnsi" w:cs="Calibri"/>
        </w:rPr>
        <w:t xml:space="preserve">is also controlled) have found widespread illegal use and misuse, primarily for gains in academic performance (McCabe, Knight, </w:t>
      </w:r>
      <w:proofErr w:type="spellStart"/>
      <w:r w:rsidRPr="00734AB6">
        <w:rPr>
          <w:rFonts w:asciiTheme="majorHAnsi" w:hAnsiTheme="majorHAnsi" w:cs="Calibri"/>
        </w:rPr>
        <w:t>Teter</w:t>
      </w:r>
      <w:proofErr w:type="spellEnd"/>
      <w:r w:rsidRPr="00734AB6">
        <w:rPr>
          <w:rFonts w:asciiTheme="majorHAnsi" w:hAnsiTheme="majorHAnsi" w:cs="Calibri"/>
        </w:rPr>
        <w:t xml:space="preserve"> &amp; Wechsler, 2005; </w:t>
      </w:r>
      <w:proofErr w:type="spellStart"/>
      <w:r w:rsidRPr="00734AB6">
        <w:rPr>
          <w:rFonts w:asciiTheme="majorHAnsi" w:hAnsiTheme="majorHAnsi" w:cs="Calibri"/>
        </w:rPr>
        <w:t>Teter</w:t>
      </w:r>
      <w:proofErr w:type="spellEnd"/>
      <w:r w:rsidRPr="00734AB6">
        <w:rPr>
          <w:rFonts w:asciiTheme="majorHAnsi" w:hAnsiTheme="majorHAnsi" w:cs="Calibri"/>
        </w:rPr>
        <w:t xml:space="preserve">, McCabe, LaGrange, Cranford &amp; Boyd, 2006). </w:t>
      </w:r>
    </w:p>
    <w:p w14:paraId="5D26BCAC" w14:textId="022F1937"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Currently </w:t>
      </w:r>
      <w:r w:rsidR="00E658CE" w:rsidRPr="00734AB6">
        <w:rPr>
          <w:rFonts w:asciiTheme="majorHAnsi" w:hAnsiTheme="majorHAnsi" w:cs="Calibri"/>
        </w:rPr>
        <w:t xml:space="preserve">methylphenidate </w:t>
      </w:r>
      <w:r w:rsidRPr="00734AB6">
        <w:rPr>
          <w:rFonts w:asciiTheme="majorHAnsi" w:hAnsiTheme="majorHAnsi" w:cs="Calibri"/>
        </w:rPr>
        <w:t xml:space="preserve">is restricted to prescription-only use in the UK. Under the Misuse of Drugs Act (1971), specific drugs are classified by their perceived harm (with Class A being the most harmful and Class C the least harmful controlled drug), with each holding </w:t>
      </w:r>
      <w:r w:rsidR="00BF304E" w:rsidRPr="00734AB6">
        <w:rPr>
          <w:rFonts w:asciiTheme="majorHAnsi" w:hAnsiTheme="majorHAnsi" w:cs="Calibri"/>
        </w:rPr>
        <w:t xml:space="preserve">legally enforceable </w:t>
      </w:r>
      <w:r w:rsidRPr="00734AB6">
        <w:rPr>
          <w:rFonts w:asciiTheme="majorHAnsi" w:hAnsiTheme="majorHAnsi" w:cs="Calibri"/>
        </w:rPr>
        <w:t>penalties for unauthorised possess</w:t>
      </w:r>
      <w:r w:rsidR="00E55321" w:rsidRPr="00734AB6">
        <w:rPr>
          <w:rFonts w:asciiTheme="majorHAnsi" w:hAnsiTheme="majorHAnsi" w:cs="Calibri"/>
        </w:rPr>
        <w:t>ion, sale and use (Nutt, 2009).</w:t>
      </w:r>
      <w:r w:rsidRPr="00734AB6">
        <w:rPr>
          <w:rFonts w:asciiTheme="majorHAnsi" w:hAnsiTheme="majorHAnsi" w:cs="Calibri"/>
        </w:rPr>
        <w:t xml:space="preserve"> Methylphenidate is a Class B drug</w:t>
      </w:r>
      <w:r w:rsidRPr="00734AB6">
        <w:rPr>
          <w:rStyle w:val="CommentReference"/>
          <w:rFonts w:asciiTheme="majorHAnsi" w:hAnsiTheme="majorHAnsi"/>
          <w:sz w:val="22"/>
          <w:szCs w:val="22"/>
        </w:rPr>
        <w:t xml:space="preserve">, </w:t>
      </w:r>
      <w:r w:rsidRPr="00734AB6">
        <w:rPr>
          <w:rFonts w:asciiTheme="majorHAnsi" w:hAnsiTheme="majorHAnsi" w:cs="Calibri"/>
        </w:rPr>
        <w:t>therefore possession without a prescription and unauthorised sale are both illegal (</w:t>
      </w:r>
      <w:r w:rsidR="00E32039" w:rsidRPr="00734AB6">
        <w:rPr>
          <w:rFonts w:asciiTheme="majorHAnsi" w:hAnsiTheme="majorHAnsi" w:cs="Calibri"/>
        </w:rPr>
        <w:t>Drugs p</w:t>
      </w:r>
      <w:r w:rsidR="003526D8" w:rsidRPr="00734AB6">
        <w:rPr>
          <w:rFonts w:asciiTheme="majorHAnsi" w:hAnsiTheme="majorHAnsi" w:cs="Calibri"/>
        </w:rPr>
        <w:t>enalties, n.d</w:t>
      </w:r>
      <w:r w:rsidRPr="00734AB6">
        <w:rPr>
          <w:rFonts w:asciiTheme="majorHAnsi" w:hAnsiTheme="majorHAnsi" w:cs="Calibri"/>
        </w:rPr>
        <w:t>.).</w:t>
      </w:r>
      <w:r w:rsidR="00E55321" w:rsidRPr="00734AB6">
        <w:rPr>
          <w:rFonts w:asciiTheme="majorHAnsi" w:hAnsiTheme="majorHAnsi" w:cs="Calibri"/>
        </w:rPr>
        <w:t xml:space="preserve"> </w:t>
      </w:r>
    </w:p>
    <w:p w14:paraId="6881E6F1"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3402DEBB" w14:textId="29A5E95E" w:rsidR="00E73007" w:rsidRPr="00734AB6" w:rsidRDefault="00677AA7" w:rsidP="00DA16AF">
      <w:pPr>
        <w:pStyle w:val="Heading3"/>
        <w:spacing w:after="240" w:line="360" w:lineRule="auto"/>
        <w:rPr>
          <w:b/>
          <w:color w:val="auto"/>
          <w:sz w:val="22"/>
          <w:szCs w:val="22"/>
        </w:rPr>
      </w:pPr>
      <w:bookmarkStart w:id="8" w:name="_Toc48136320"/>
      <w:r w:rsidRPr="00734AB6">
        <w:rPr>
          <w:b/>
          <w:color w:val="auto"/>
          <w:sz w:val="22"/>
          <w:szCs w:val="22"/>
        </w:rPr>
        <w:t>1.</w:t>
      </w:r>
      <w:r w:rsidR="00D9490A" w:rsidRPr="00734AB6">
        <w:rPr>
          <w:b/>
          <w:color w:val="auto"/>
          <w:sz w:val="22"/>
          <w:szCs w:val="22"/>
        </w:rPr>
        <w:t>3</w:t>
      </w:r>
      <w:r w:rsidR="00E37F7B" w:rsidRPr="00734AB6">
        <w:rPr>
          <w:b/>
          <w:color w:val="auto"/>
          <w:sz w:val="22"/>
          <w:szCs w:val="22"/>
        </w:rPr>
        <w:t>.1</w:t>
      </w:r>
      <w:r w:rsidR="00AF35B3" w:rsidRPr="00734AB6">
        <w:rPr>
          <w:b/>
          <w:color w:val="auto"/>
          <w:sz w:val="22"/>
          <w:szCs w:val="22"/>
        </w:rPr>
        <w:tab/>
      </w:r>
      <w:r w:rsidR="00E73007" w:rsidRPr="00734AB6">
        <w:rPr>
          <w:b/>
          <w:color w:val="auto"/>
          <w:sz w:val="22"/>
          <w:szCs w:val="22"/>
        </w:rPr>
        <w:t>Laboratory -based studies of methylphenidate</w:t>
      </w:r>
      <w:bookmarkEnd w:id="8"/>
    </w:p>
    <w:p w14:paraId="40E027BB" w14:textId="596ABB93" w:rsidR="00FC1389" w:rsidRPr="00734AB6" w:rsidRDefault="00AC0A70" w:rsidP="0099584D">
      <w:pPr>
        <w:spacing w:after="240" w:line="360" w:lineRule="auto"/>
        <w:ind w:firstLine="851"/>
        <w:rPr>
          <w:rFonts w:asciiTheme="majorHAnsi" w:hAnsiTheme="majorHAnsi" w:cs="Calibri"/>
        </w:rPr>
      </w:pPr>
      <w:r w:rsidRPr="00734AB6">
        <w:rPr>
          <w:rFonts w:asciiTheme="majorHAnsi" w:hAnsiTheme="majorHAnsi" w:cs="Calibri"/>
        </w:rPr>
        <w:t>M</w:t>
      </w:r>
      <w:r w:rsidR="00856AB0" w:rsidRPr="00734AB6">
        <w:rPr>
          <w:rFonts w:asciiTheme="majorHAnsi" w:hAnsiTheme="majorHAnsi" w:cs="Calibri"/>
        </w:rPr>
        <w:t xml:space="preserve">ethylphenidate has been widely prescribed </w:t>
      </w:r>
      <w:r w:rsidR="00A46471" w:rsidRPr="00734AB6">
        <w:rPr>
          <w:rFonts w:asciiTheme="majorHAnsi" w:hAnsiTheme="majorHAnsi" w:cs="Calibri"/>
        </w:rPr>
        <w:t xml:space="preserve">for ADHD </w:t>
      </w:r>
      <w:r w:rsidR="00856AB0" w:rsidRPr="00734AB6">
        <w:rPr>
          <w:rFonts w:asciiTheme="majorHAnsi" w:hAnsiTheme="majorHAnsi" w:cs="Calibri"/>
        </w:rPr>
        <w:t>since the 1960s in North America</w:t>
      </w:r>
      <w:r w:rsidRPr="00734AB6">
        <w:rPr>
          <w:rFonts w:asciiTheme="majorHAnsi" w:hAnsiTheme="majorHAnsi" w:cs="Calibri"/>
        </w:rPr>
        <w:t xml:space="preserve"> and</w:t>
      </w:r>
      <w:r w:rsidR="00856AB0" w:rsidRPr="00734AB6">
        <w:rPr>
          <w:rFonts w:asciiTheme="majorHAnsi" w:hAnsiTheme="majorHAnsi" w:cs="Calibri"/>
        </w:rPr>
        <w:t xml:space="preserve"> </w:t>
      </w:r>
      <w:r w:rsidR="00A46471" w:rsidRPr="00734AB6">
        <w:rPr>
          <w:rFonts w:asciiTheme="majorHAnsi" w:hAnsiTheme="majorHAnsi" w:cs="Calibri"/>
        </w:rPr>
        <w:t xml:space="preserve">research continues to investigate </w:t>
      </w:r>
      <w:r w:rsidR="00D578A8" w:rsidRPr="00734AB6">
        <w:rPr>
          <w:rFonts w:asciiTheme="majorHAnsi" w:hAnsiTheme="majorHAnsi" w:cs="Calibri"/>
        </w:rPr>
        <w:t xml:space="preserve">its </w:t>
      </w:r>
      <w:r w:rsidR="00116DB7" w:rsidRPr="00734AB6">
        <w:rPr>
          <w:rFonts w:asciiTheme="majorHAnsi" w:hAnsiTheme="majorHAnsi" w:cs="Calibri"/>
        </w:rPr>
        <w:t xml:space="preserve">effects </w:t>
      </w:r>
      <w:r w:rsidR="00D578A8" w:rsidRPr="00734AB6">
        <w:rPr>
          <w:rFonts w:asciiTheme="majorHAnsi" w:hAnsiTheme="majorHAnsi" w:cs="Calibri"/>
        </w:rPr>
        <w:t>in</w:t>
      </w:r>
      <w:r w:rsidR="00116DB7" w:rsidRPr="00734AB6">
        <w:rPr>
          <w:rFonts w:asciiTheme="majorHAnsi" w:hAnsiTheme="majorHAnsi" w:cs="Calibri"/>
        </w:rPr>
        <w:t xml:space="preserve"> both clinical groups and healthy adults.</w:t>
      </w:r>
      <w:r w:rsidR="00E55321" w:rsidRPr="00734AB6">
        <w:rPr>
          <w:rFonts w:asciiTheme="majorHAnsi" w:hAnsiTheme="majorHAnsi" w:cs="Calibri"/>
        </w:rPr>
        <w:t xml:space="preserve"> </w:t>
      </w:r>
      <w:r w:rsidR="00FC1389" w:rsidRPr="00734AB6">
        <w:rPr>
          <w:rFonts w:asciiTheme="majorHAnsi" w:hAnsiTheme="majorHAnsi" w:cs="Calibri"/>
        </w:rPr>
        <w:t xml:space="preserve">This section will consider the </w:t>
      </w:r>
      <w:r w:rsidR="00E74206" w:rsidRPr="00734AB6">
        <w:rPr>
          <w:rFonts w:asciiTheme="majorHAnsi" w:hAnsiTheme="majorHAnsi" w:cs="Calibri"/>
        </w:rPr>
        <w:t xml:space="preserve">more recent </w:t>
      </w:r>
      <w:r w:rsidR="00FC1389" w:rsidRPr="00734AB6">
        <w:rPr>
          <w:rFonts w:asciiTheme="majorHAnsi" w:hAnsiTheme="majorHAnsi" w:cs="Calibri"/>
        </w:rPr>
        <w:t xml:space="preserve">evidence arising from such </w:t>
      </w:r>
      <w:r w:rsidR="00983950" w:rsidRPr="00734AB6">
        <w:rPr>
          <w:rFonts w:asciiTheme="majorHAnsi" w:hAnsiTheme="majorHAnsi" w:cs="Calibri"/>
        </w:rPr>
        <w:t xml:space="preserve">laboratory-based </w:t>
      </w:r>
      <w:r w:rsidR="00FC1389" w:rsidRPr="00734AB6">
        <w:rPr>
          <w:rFonts w:asciiTheme="majorHAnsi" w:hAnsiTheme="majorHAnsi" w:cs="Calibri"/>
        </w:rPr>
        <w:t>studie</w:t>
      </w:r>
      <w:r w:rsidR="00983950" w:rsidRPr="00734AB6">
        <w:rPr>
          <w:rFonts w:asciiTheme="majorHAnsi" w:hAnsiTheme="majorHAnsi" w:cs="Calibri"/>
        </w:rPr>
        <w:t>s</w:t>
      </w:r>
      <w:r w:rsidR="00ED1039" w:rsidRPr="00734AB6">
        <w:rPr>
          <w:rFonts w:asciiTheme="majorHAnsi" w:hAnsiTheme="majorHAnsi" w:cs="Calibri"/>
        </w:rPr>
        <w:t xml:space="preserve"> in both clinical groups and healthy adults</w:t>
      </w:r>
      <w:r w:rsidR="00983950" w:rsidRPr="00734AB6">
        <w:rPr>
          <w:rFonts w:asciiTheme="majorHAnsi" w:hAnsiTheme="majorHAnsi" w:cs="Calibri"/>
        </w:rPr>
        <w:t xml:space="preserve">. </w:t>
      </w:r>
    </w:p>
    <w:p w14:paraId="62E07BDB" w14:textId="77777777" w:rsidR="00106C33" w:rsidRPr="00734AB6" w:rsidRDefault="00106C33" w:rsidP="00106C33">
      <w:pPr>
        <w:spacing w:after="240" w:line="360" w:lineRule="auto"/>
        <w:ind w:firstLine="851"/>
        <w:rPr>
          <w:rFonts w:asciiTheme="majorHAnsi" w:hAnsiTheme="majorHAnsi" w:cs="Calibri"/>
        </w:rPr>
      </w:pPr>
      <w:r w:rsidRPr="00734AB6">
        <w:rPr>
          <w:rFonts w:asciiTheme="majorHAnsi" w:hAnsiTheme="majorHAnsi" w:cs="Calibri"/>
        </w:rPr>
        <w:t>A review of 60 single dose studies of methylphenidate in healthy adults to assess its effects on cognition found that methylphenidate improves working memory and speed of processing the most, followed by verbal learning and memory, attention, reasoning, problem solving, and visual learning (</w:t>
      </w:r>
      <w:proofErr w:type="spellStart"/>
      <w:r w:rsidRPr="00734AB6">
        <w:rPr>
          <w:rFonts w:asciiTheme="majorHAnsi" w:hAnsiTheme="majorHAnsi" w:cs="Calibri"/>
        </w:rPr>
        <w:t>Linssen</w:t>
      </w:r>
      <w:proofErr w:type="spellEnd"/>
      <w:r w:rsidRPr="00734AB6">
        <w:rPr>
          <w:rFonts w:asciiTheme="majorHAnsi" w:hAnsiTheme="majorHAnsi" w:cs="Calibri"/>
        </w:rPr>
        <w:t xml:space="preserve">, </w:t>
      </w:r>
      <w:proofErr w:type="spellStart"/>
      <w:r w:rsidRPr="00734AB6">
        <w:rPr>
          <w:rFonts w:asciiTheme="majorHAnsi" w:hAnsiTheme="majorHAnsi" w:cs="Calibri"/>
        </w:rPr>
        <w:t>Sambeth</w:t>
      </w:r>
      <w:proofErr w:type="spellEnd"/>
      <w:r w:rsidRPr="00734AB6">
        <w:rPr>
          <w:rFonts w:asciiTheme="majorHAnsi" w:hAnsiTheme="majorHAnsi" w:cs="Calibri"/>
        </w:rPr>
        <w:t xml:space="preserve">, </w:t>
      </w:r>
      <w:proofErr w:type="spellStart"/>
      <w:r w:rsidRPr="00734AB6">
        <w:rPr>
          <w:rFonts w:asciiTheme="majorHAnsi" w:hAnsiTheme="majorHAnsi" w:cs="Calibri"/>
        </w:rPr>
        <w:t>Vuurman</w:t>
      </w:r>
      <w:proofErr w:type="spellEnd"/>
      <w:r w:rsidRPr="00734AB6">
        <w:rPr>
          <w:rFonts w:asciiTheme="majorHAnsi" w:hAnsiTheme="majorHAnsi" w:cs="Calibri"/>
        </w:rPr>
        <w:t xml:space="preserve"> &amp; Riedel, 2014). However, the authors of </w:t>
      </w:r>
      <w:r w:rsidRPr="00734AB6">
        <w:rPr>
          <w:rFonts w:asciiTheme="majorHAnsi" w:hAnsiTheme="majorHAnsi" w:cs="Calibri"/>
        </w:rPr>
        <w:lastRenderedPageBreak/>
        <w:t>the review argued that these effects were relatively weak. This may be due to individual differences in DA synthesis capacity. It is widely acknowledged that there is an inverted U-shaped relationship between DA receptor stimulation and cognitive performance (</w:t>
      </w:r>
      <w:proofErr w:type="spellStart"/>
      <w:r w:rsidRPr="00734AB6">
        <w:rPr>
          <w:rFonts w:asciiTheme="majorHAnsi" w:hAnsiTheme="majorHAnsi" w:cs="Calibri"/>
        </w:rPr>
        <w:t>Vijayraghavan</w:t>
      </w:r>
      <w:proofErr w:type="spellEnd"/>
      <w:r w:rsidRPr="00734AB6">
        <w:rPr>
          <w:rFonts w:asciiTheme="majorHAnsi" w:hAnsiTheme="majorHAnsi" w:cs="Calibri"/>
        </w:rPr>
        <w:t xml:space="preserve"> et al., 2007). It has also been found that individuals with low working memory spans have low DA synthesis capacity in the caudate nucleus compared with individuals with high working memory spans (Cools, Gibbs, Miyakawa, </w:t>
      </w:r>
      <w:proofErr w:type="spellStart"/>
      <w:r w:rsidRPr="00734AB6">
        <w:rPr>
          <w:rFonts w:asciiTheme="majorHAnsi" w:hAnsiTheme="majorHAnsi" w:cs="Calibri"/>
        </w:rPr>
        <w:t>Jagust</w:t>
      </w:r>
      <w:proofErr w:type="spellEnd"/>
      <w:r w:rsidRPr="00734AB6">
        <w:rPr>
          <w:rFonts w:asciiTheme="majorHAnsi" w:hAnsiTheme="majorHAnsi" w:cs="Calibri"/>
        </w:rPr>
        <w:t xml:space="preserve"> &amp; </w:t>
      </w:r>
      <w:proofErr w:type="spellStart"/>
      <w:r w:rsidRPr="00734AB6">
        <w:rPr>
          <w:rFonts w:asciiTheme="majorHAnsi" w:hAnsiTheme="majorHAnsi" w:cs="Calibri"/>
        </w:rPr>
        <w:t>D’Esposito</w:t>
      </w:r>
      <w:proofErr w:type="spellEnd"/>
      <w:r w:rsidRPr="00734AB6">
        <w:rPr>
          <w:rFonts w:asciiTheme="majorHAnsi" w:hAnsiTheme="majorHAnsi" w:cs="Calibri"/>
        </w:rPr>
        <w:t>, 2008). Therefore, individuals with low DA synthesis capacity will perform better on tests of working memory on methylphenidate and those with high DA synthesis capacity will not demonstrate any significant improvement on these tests.</w:t>
      </w:r>
    </w:p>
    <w:p w14:paraId="2DBEA511" w14:textId="1B8EED72" w:rsidR="00F7424B" w:rsidRPr="00734AB6" w:rsidRDefault="00154EA8" w:rsidP="0099584D">
      <w:pPr>
        <w:spacing w:after="240" w:line="360" w:lineRule="auto"/>
        <w:ind w:firstLine="851"/>
        <w:rPr>
          <w:rFonts w:asciiTheme="majorHAnsi" w:hAnsiTheme="majorHAnsi" w:cs="Calibri"/>
        </w:rPr>
      </w:pPr>
      <w:proofErr w:type="spellStart"/>
      <w:r w:rsidRPr="00734AB6">
        <w:rPr>
          <w:rFonts w:asciiTheme="majorHAnsi" w:hAnsiTheme="majorHAnsi" w:cs="Calibri"/>
        </w:rPr>
        <w:t>Agay</w:t>
      </w:r>
      <w:proofErr w:type="spellEnd"/>
      <w:r w:rsidRPr="00734AB6">
        <w:rPr>
          <w:rFonts w:asciiTheme="majorHAnsi" w:hAnsiTheme="majorHAnsi" w:cs="Calibri"/>
        </w:rPr>
        <w:t xml:space="preserve">, </w:t>
      </w:r>
      <w:proofErr w:type="spellStart"/>
      <w:r w:rsidRPr="00734AB6">
        <w:rPr>
          <w:rFonts w:asciiTheme="majorHAnsi" w:hAnsiTheme="majorHAnsi" w:cs="Calibri"/>
        </w:rPr>
        <w:t>Yechiam</w:t>
      </w:r>
      <w:proofErr w:type="spellEnd"/>
      <w:r w:rsidRPr="00734AB6">
        <w:rPr>
          <w:rFonts w:asciiTheme="majorHAnsi" w:hAnsiTheme="majorHAnsi" w:cs="Calibri"/>
        </w:rPr>
        <w:t xml:space="preserve">, Carmel and </w:t>
      </w:r>
      <w:proofErr w:type="spellStart"/>
      <w:r w:rsidR="00E32039" w:rsidRPr="00734AB6">
        <w:rPr>
          <w:rFonts w:asciiTheme="majorHAnsi" w:hAnsiTheme="majorHAnsi" w:cs="Calibri"/>
        </w:rPr>
        <w:t>Levkovitz</w:t>
      </w:r>
      <w:proofErr w:type="spellEnd"/>
      <w:r w:rsidRPr="00734AB6">
        <w:rPr>
          <w:rFonts w:asciiTheme="majorHAnsi" w:hAnsiTheme="majorHAnsi" w:cs="Calibri"/>
        </w:rPr>
        <w:t xml:space="preserve"> (2010)</w:t>
      </w:r>
      <w:r w:rsidR="00817551" w:rsidRPr="00734AB6">
        <w:rPr>
          <w:rFonts w:asciiTheme="majorHAnsi" w:hAnsiTheme="majorHAnsi" w:cs="Calibri"/>
        </w:rPr>
        <w:t xml:space="preserve"> </w:t>
      </w:r>
      <w:r w:rsidRPr="00734AB6">
        <w:rPr>
          <w:rFonts w:asciiTheme="majorHAnsi" w:hAnsiTheme="majorHAnsi" w:cs="Calibri"/>
        </w:rPr>
        <w:t>investigated</w:t>
      </w:r>
      <w:r w:rsidR="00817551" w:rsidRPr="00734AB6">
        <w:rPr>
          <w:rFonts w:asciiTheme="majorHAnsi" w:hAnsiTheme="majorHAnsi" w:cs="Calibri"/>
        </w:rPr>
        <w:t xml:space="preserve"> the effects of methylphenidate on cognitive performance and decision making in adults with ADHD and healthy controls</w:t>
      </w:r>
      <w:r w:rsidR="00E55321" w:rsidRPr="00734AB6">
        <w:rPr>
          <w:rFonts w:asciiTheme="majorHAnsi" w:hAnsiTheme="majorHAnsi" w:cs="Calibri"/>
        </w:rPr>
        <w:t xml:space="preserve">. </w:t>
      </w:r>
      <w:r w:rsidR="00AC0A70" w:rsidRPr="00734AB6">
        <w:rPr>
          <w:rFonts w:asciiTheme="majorHAnsi" w:hAnsiTheme="majorHAnsi" w:cs="Calibri"/>
        </w:rPr>
        <w:t>Using a</w:t>
      </w:r>
      <w:r w:rsidRPr="00734AB6">
        <w:rPr>
          <w:rFonts w:asciiTheme="majorHAnsi" w:hAnsiTheme="majorHAnsi" w:cs="Calibri"/>
        </w:rPr>
        <w:t xml:space="preserve"> randomized double-blind</w:t>
      </w:r>
      <w:r w:rsidR="00DC450E" w:rsidRPr="00734AB6">
        <w:rPr>
          <w:rFonts w:asciiTheme="majorHAnsi" w:hAnsiTheme="majorHAnsi" w:cs="Calibri"/>
        </w:rPr>
        <w:t>,</w:t>
      </w:r>
      <w:r w:rsidRPr="00734AB6">
        <w:rPr>
          <w:rFonts w:asciiTheme="majorHAnsi" w:hAnsiTheme="majorHAnsi" w:cs="Calibri"/>
        </w:rPr>
        <w:t xml:space="preserve"> placebo</w:t>
      </w:r>
      <w:r w:rsidR="00CC2F47" w:rsidRPr="00734AB6">
        <w:rPr>
          <w:rFonts w:asciiTheme="majorHAnsi" w:hAnsiTheme="majorHAnsi" w:cs="Calibri"/>
        </w:rPr>
        <w:t>-</w:t>
      </w:r>
      <w:r w:rsidR="000B51C7" w:rsidRPr="00734AB6">
        <w:rPr>
          <w:rFonts w:asciiTheme="majorHAnsi" w:hAnsiTheme="majorHAnsi" w:cs="Calibri"/>
        </w:rPr>
        <w:t xml:space="preserve">controlled </w:t>
      </w:r>
      <w:r w:rsidR="00AC0A70" w:rsidRPr="00734AB6">
        <w:rPr>
          <w:rFonts w:asciiTheme="majorHAnsi" w:hAnsiTheme="majorHAnsi" w:cs="Calibri"/>
        </w:rPr>
        <w:t>design,</w:t>
      </w:r>
      <w:r w:rsidR="008A28E9" w:rsidRPr="00734AB6">
        <w:rPr>
          <w:rFonts w:asciiTheme="majorHAnsi" w:hAnsiTheme="majorHAnsi" w:cs="Calibri"/>
        </w:rPr>
        <w:t xml:space="preserve"> ADHD-diagnosed adults and </w:t>
      </w:r>
      <w:r w:rsidR="00983950" w:rsidRPr="00734AB6">
        <w:rPr>
          <w:rFonts w:asciiTheme="majorHAnsi" w:hAnsiTheme="majorHAnsi" w:cs="Calibri"/>
        </w:rPr>
        <w:t xml:space="preserve">typically-developing </w:t>
      </w:r>
      <w:r w:rsidR="008A28E9" w:rsidRPr="00734AB6">
        <w:rPr>
          <w:rFonts w:asciiTheme="majorHAnsi" w:hAnsiTheme="majorHAnsi" w:cs="Calibri"/>
        </w:rPr>
        <w:t>adult controls</w:t>
      </w:r>
      <w:r w:rsidR="00AC0A70" w:rsidRPr="00734AB6">
        <w:rPr>
          <w:rFonts w:asciiTheme="majorHAnsi" w:hAnsiTheme="majorHAnsi" w:cs="Calibri"/>
        </w:rPr>
        <w:t xml:space="preserve"> were administered </w:t>
      </w:r>
      <w:r w:rsidR="008A28E9" w:rsidRPr="00734AB6">
        <w:rPr>
          <w:rFonts w:asciiTheme="majorHAnsi" w:hAnsiTheme="majorHAnsi" w:cs="Calibri"/>
        </w:rPr>
        <w:t xml:space="preserve">between 10mg and 20mg </w:t>
      </w:r>
      <w:r w:rsidR="00AC0A70" w:rsidRPr="00734AB6">
        <w:rPr>
          <w:rFonts w:asciiTheme="majorHAnsi" w:hAnsiTheme="majorHAnsi" w:cs="Calibri"/>
        </w:rPr>
        <w:t xml:space="preserve">methylphenidate or placebo, </w:t>
      </w:r>
      <w:r w:rsidR="008A28E9" w:rsidRPr="00734AB6">
        <w:rPr>
          <w:rFonts w:asciiTheme="majorHAnsi" w:hAnsiTheme="majorHAnsi" w:cs="Calibri"/>
        </w:rPr>
        <w:t>depending on body weight.</w:t>
      </w:r>
      <w:r w:rsidR="00E55321" w:rsidRPr="00734AB6">
        <w:rPr>
          <w:rFonts w:asciiTheme="majorHAnsi" w:hAnsiTheme="majorHAnsi" w:cs="Calibri"/>
        </w:rPr>
        <w:t xml:space="preserve"> </w:t>
      </w:r>
      <w:r w:rsidR="00F56678" w:rsidRPr="00734AB6">
        <w:rPr>
          <w:rFonts w:asciiTheme="majorHAnsi" w:hAnsiTheme="majorHAnsi" w:cs="Calibri"/>
        </w:rPr>
        <w:t xml:space="preserve">Participants underwent a battery of tests which consisted of </w:t>
      </w:r>
      <w:r w:rsidR="00046964" w:rsidRPr="00734AB6">
        <w:rPr>
          <w:rFonts w:asciiTheme="majorHAnsi" w:hAnsiTheme="majorHAnsi" w:cs="Calibri"/>
        </w:rPr>
        <w:t>digit span tasks</w:t>
      </w:r>
      <w:r w:rsidR="006E6E74" w:rsidRPr="00734AB6">
        <w:rPr>
          <w:rFonts w:asciiTheme="majorHAnsi" w:hAnsiTheme="majorHAnsi" w:cs="Calibri"/>
        </w:rPr>
        <w:t xml:space="preserve"> to assess short-term and working memory</w:t>
      </w:r>
      <w:r w:rsidR="00046964" w:rsidRPr="00734AB6">
        <w:rPr>
          <w:rFonts w:asciiTheme="majorHAnsi" w:hAnsiTheme="majorHAnsi" w:cs="Calibri"/>
        </w:rPr>
        <w:t xml:space="preserve">, the Raven’s Progressive Matrices </w:t>
      </w:r>
      <w:r w:rsidR="006E6E74" w:rsidRPr="00734AB6">
        <w:rPr>
          <w:rFonts w:asciiTheme="majorHAnsi" w:hAnsiTheme="majorHAnsi" w:cs="Calibri"/>
        </w:rPr>
        <w:t xml:space="preserve">to assess non-verbal intelligence </w:t>
      </w:r>
      <w:r w:rsidR="00046964" w:rsidRPr="00734AB6">
        <w:rPr>
          <w:rFonts w:asciiTheme="majorHAnsi" w:hAnsiTheme="majorHAnsi" w:cs="Calibri"/>
        </w:rPr>
        <w:t>and the Test of</w:t>
      </w:r>
      <w:r w:rsidR="004466AD" w:rsidRPr="00734AB6">
        <w:rPr>
          <w:rFonts w:asciiTheme="majorHAnsi" w:hAnsiTheme="majorHAnsi" w:cs="Calibri"/>
        </w:rPr>
        <w:t xml:space="preserve"> Variables of A</w:t>
      </w:r>
      <w:r w:rsidR="006E6E74" w:rsidRPr="00734AB6">
        <w:rPr>
          <w:rFonts w:asciiTheme="majorHAnsi" w:hAnsiTheme="majorHAnsi" w:cs="Calibri"/>
        </w:rPr>
        <w:t>ttention (TOVA),</w:t>
      </w:r>
      <w:r w:rsidR="00046964" w:rsidRPr="00734AB6">
        <w:rPr>
          <w:rFonts w:asciiTheme="majorHAnsi" w:hAnsiTheme="majorHAnsi" w:cs="Calibri"/>
        </w:rPr>
        <w:t xml:space="preserve"> </w:t>
      </w:r>
      <w:r w:rsidR="001E5468" w:rsidRPr="00734AB6">
        <w:rPr>
          <w:rFonts w:asciiTheme="majorHAnsi" w:hAnsiTheme="majorHAnsi" w:cs="Calibri"/>
        </w:rPr>
        <w:t xml:space="preserve">which </w:t>
      </w:r>
      <w:r w:rsidR="00BD63F3" w:rsidRPr="00734AB6">
        <w:rPr>
          <w:rFonts w:asciiTheme="majorHAnsi" w:hAnsiTheme="majorHAnsi" w:cs="Calibri"/>
        </w:rPr>
        <w:t>was used</w:t>
      </w:r>
      <w:r w:rsidR="005D285A" w:rsidRPr="00734AB6">
        <w:rPr>
          <w:rFonts w:asciiTheme="majorHAnsi" w:hAnsiTheme="majorHAnsi" w:cs="Calibri"/>
        </w:rPr>
        <w:t xml:space="preserve"> for assessing ADHD and the beneficial medicinal effects.</w:t>
      </w:r>
      <w:r w:rsidR="00E55321" w:rsidRPr="00734AB6">
        <w:rPr>
          <w:rFonts w:asciiTheme="majorHAnsi" w:hAnsiTheme="majorHAnsi" w:cs="Calibri"/>
        </w:rPr>
        <w:t xml:space="preserve"> </w:t>
      </w:r>
      <w:r w:rsidR="008842F7" w:rsidRPr="00734AB6">
        <w:rPr>
          <w:rFonts w:asciiTheme="majorHAnsi" w:hAnsiTheme="majorHAnsi" w:cs="Calibri"/>
        </w:rPr>
        <w:t>It was found</w:t>
      </w:r>
      <w:r w:rsidR="003A4104" w:rsidRPr="00734AB6">
        <w:rPr>
          <w:rFonts w:asciiTheme="majorHAnsi" w:hAnsiTheme="majorHAnsi" w:cs="Calibri"/>
        </w:rPr>
        <w:t xml:space="preserve"> that performance on the digit</w:t>
      </w:r>
      <w:r w:rsidR="009B3393" w:rsidRPr="00734AB6">
        <w:rPr>
          <w:rFonts w:asciiTheme="majorHAnsi" w:hAnsiTheme="majorHAnsi" w:cs="Calibri"/>
        </w:rPr>
        <w:t xml:space="preserve"> </w:t>
      </w:r>
      <w:r w:rsidR="003A4104" w:rsidRPr="00734AB6">
        <w:rPr>
          <w:rFonts w:asciiTheme="majorHAnsi" w:hAnsiTheme="majorHAnsi" w:cs="Calibri"/>
        </w:rPr>
        <w:t>span test was significantly better in the methylphenidate group</w:t>
      </w:r>
      <w:r w:rsidR="00600B58" w:rsidRPr="00734AB6">
        <w:rPr>
          <w:rFonts w:asciiTheme="majorHAnsi" w:hAnsiTheme="majorHAnsi" w:cs="Calibri"/>
        </w:rPr>
        <w:t xml:space="preserve"> (ADHD-diagnosed and control participants),</w:t>
      </w:r>
      <w:r w:rsidR="003A4104" w:rsidRPr="00734AB6">
        <w:rPr>
          <w:rFonts w:asciiTheme="majorHAnsi" w:hAnsiTheme="majorHAnsi" w:cs="Calibri"/>
        </w:rPr>
        <w:t xml:space="preserve"> compar</w:t>
      </w:r>
      <w:r w:rsidR="00E55321" w:rsidRPr="00734AB6">
        <w:rPr>
          <w:rFonts w:asciiTheme="majorHAnsi" w:hAnsiTheme="majorHAnsi" w:cs="Calibri"/>
        </w:rPr>
        <w:t xml:space="preserve">ed to those receiving placebo. </w:t>
      </w:r>
      <w:r w:rsidR="00F734DD" w:rsidRPr="00734AB6">
        <w:rPr>
          <w:rFonts w:asciiTheme="majorHAnsi" w:hAnsiTheme="majorHAnsi" w:cs="Calibri"/>
        </w:rPr>
        <w:t>No</w:t>
      </w:r>
      <w:r w:rsidR="000B51C7" w:rsidRPr="00734AB6">
        <w:rPr>
          <w:rFonts w:asciiTheme="majorHAnsi" w:hAnsiTheme="majorHAnsi" w:cs="Calibri"/>
        </w:rPr>
        <w:t xml:space="preserve"> differences were found with</w:t>
      </w:r>
      <w:r w:rsidR="00F734DD" w:rsidRPr="00734AB6">
        <w:rPr>
          <w:rFonts w:asciiTheme="majorHAnsi" w:hAnsiTheme="majorHAnsi" w:cs="Calibri"/>
        </w:rPr>
        <w:t xml:space="preserve"> any of the other tasks in relation to methylphenidate versus</w:t>
      </w:r>
      <w:r w:rsidR="00330918" w:rsidRPr="00734AB6">
        <w:rPr>
          <w:rFonts w:asciiTheme="majorHAnsi" w:hAnsiTheme="majorHAnsi" w:cs="Calibri"/>
        </w:rPr>
        <w:t xml:space="preserve"> a</w:t>
      </w:r>
      <w:r w:rsidR="00F734DD" w:rsidRPr="00734AB6">
        <w:rPr>
          <w:rFonts w:asciiTheme="majorHAnsi" w:hAnsiTheme="majorHAnsi" w:cs="Calibri"/>
        </w:rPr>
        <w:t xml:space="preserve"> placebo.</w:t>
      </w:r>
      <w:r w:rsidR="00E55321" w:rsidRPr="00734AB6">
        <w:rPr>
          <w:rFonts w:asciiTheme="majorHAnsi" w:hAnsiTheme="majorHAnsi" w:cs="Calibri"/>
        </w:rPr>
        <w:t xml:space="preserve"> </w:t>
      </w:r>
      <w:r w:rsidR="00376384" w:rsidRPr="00734AB6">
        <w:rPr>
          <w:rFonts w:asciiTheme="majorHAnsi" w:hAnsiTheme="majorHAnsi" w:cs="Calibri"/>
        </w:rPr>
        <w:t xml:space="preserve">It is surprising that methylphenidate, a medication </w:t>
      </w:r>
      <w:r w:rsidR="006351A0" w:rsidRPr="00734AB6">
        <w:rPr>
          <w:rFonts w:asciiTheme="majorHAnsi" w:hAnsiTheme="majorHAnsi" w:cs="Calibri"/>
        </w:rPr>
        <w:t>licensed for the treatment of ADHD,</w:t>
      </w:r>
      <w:r w:rsidR="00376384" w:rsidRPr="00734AB6">
        <w:rPr>
          <w:rFonts w:asciiTheme="majorHAnsi" w:hAnsiTheme="majorHAnsi" w:cs="Calibri"/>
        </w:rPr>
        <w:t xml:space="preserve"> did not have an effect on TOVA considering its reported common usage for assessing ADHD.</w:t>
      </w:r>
      <w:r w:rsidR="00E55321" w:rsidRPr="00734AB6">
        <w:rPr>
          <w:rFonts w:asciiTheme="majorHAnsi" w:hAnsiTheme="majorHAnsi" w:cs="Calibri"/>
        </w:rPr>
        <w:t xml:space="preserve"> </w:t>
      </w:r>
      <w:r w:rsidR="006351A0" w:rsidRPr="00734AB6">
        <w:rPr>
          <w:rFonts w:asciiTheme="majorHAnsi" w:hAnsiTheme="majorHAnsi" w:cs="Calibri"/>
        </w:rPr>
        <w:t>The authors suggest</w:t>
      </w:r>
      <w:r w:rsidR="00D578A8" w:rsidRPr="00734AB6">
        <w:rPr>
          <w:rFonts w:asciiTheme="majorHAnsi" w:hAnsiTheme="majorHAnsi" w:cs="Calibri"/>
        </w:rPr>
        <w:t>ed</w:t>
      </w:r>
      <w:r w:rsidR="006351A0" w:rsidRPr="00734AB6">
        <w:rPr>
          <w:rFonts w:asciiTheme="majorHAnsi" w:hAnsiTheme="majorHAnsi" w:cs="Calibri"/>
        </w:rPr>
        <w:t xml:space="preserve"> that this may</w:t>
      </w:r>
      <w:r w:rsidR="00D578A8" w:rsidRPr="00734AB6">
        <w:rPr>
          <w:rFonts w:asciiTheme="majorHAnsi" w:hAnsiTheme="majorHAnsi" w:cs="Calibri"/>
        </w:rPr>
        <w:t xml:space="preserve"> have</w:t>
      </w:r>
      <w:r w:rsidR="006351A0" w:rsidRPr="00734AB6">
        <w:rPr>
          <w:rFonts w:asciiTheme="majorHAnsi" w:hAnsiTheme="majorHAnsi" w:cs="Calibri"/>
        </w:rPr>
        <w:t xml:space="preserve"> be</w:t>
      </w:r>
      <w:r w:rsidR="00D578A8" w:rsidRPr="00734AB6">
        <w:rPr>
          <w:rFonts w:asciiTheme="majorHAnsi" w:hAnsiTheme="majorHAnsi" w:cs="Calibri"/>
        </w:rPr>
        <w:t>en</w:t>
      </w:r>
      <w:r w:rsidR="006351A0" w:rsidRPr="00734AB6">
        <w:rPr>
          <w:rFonts w:asciiTheme="majorHAnsi" w:hAnsiTheme="majorHAnsi" w:cs="Calibri"/>
        </w:rPr>
        <w:t xml:space="preserve"> due to </w:t>
      </w:r>
      <w:r w:rsidR="00330918" w:rsidRPr="00734AB6">
        <w:rPr>
          <w:rFonts w:asciiTheme="majorHAnsi" w:hAnsiTheme="majorHAnsi" w:cs="Calibri"/>
        </w:rPr>
        <w:t xml:space="preserve">a </w:t>
      </w:r>
      <w:r w:rsidR="006351A0" w:rsidRPr="00734AB6">
        <w:rPr>
          <w:rFonts w:asciiTheme="majorHAnsi" w:hAnsiTheme="majorHAnsi" w:cs="Calibri"/>
        </w:rPr>
        <w:t xml:space="preserve">practice effect masking the effect of medication and that the dosage may not have been high </w:t>
      </w:r>
      <w:r w:rsidR="00E55321" w:rsidRPr="00734AB6">
        <w:rPr>
          <w:rFonts w:asciiTheme="majorHAnsi" w:hAnsiTheme="majorHAnsi" w:cs="Calibri"/>
        </w:rPr>
        <w:t>enough</w:t>
      </w:r>
      <w:r w:rsidR="00330918" w:rsidRPr="00734AB6">
        <w:rPr>
          <w:rFonts w:asciiTheme="majorHAnsi" w:hAnsiTheme="majorHAnsi" w:cs="Calibri"/>
        </w:rPr>
        <w:t xml:space="preserve"> to elicit a group difference</w:t>
      </w:r>
      <w:r w:rsidR="00E55321" w:rsidRPr="00734AB6">
        <w:rPr>
          <w:rFonts w:asciiTheme="majorHAnsi" w:hAnsiTheme="majorHAnsi" w:cs="Calibri"/>
        </w:rPr>
        <w:t xml:space="preserve">. </w:t>
      </w:r>
      <w:r w:rsidR="006351A0" w:rsidRPr="00734AB6">
        <w:rPr>
          <w:rFonts w:asciiTheme="majorHAnsi" w:hAnsiTheme="majorHAnsi" w:cs="Calibri"/>
        </w:rPr>
        <w:t xml:space="preserve">Nevertheless, this study clearly demonstrates the </w:t>
      </w:r>
      <w:r w:rsidR="007B428A" w:rsidRPr="00734AB6">
        <w:rPr>
          <w:rFonts w:asciiTheme="majorHAnsi" w:hAnsiTheme="majorHAnsi" w:cs="Calibri"/>
        </w:rPr>
        <w:t>beneficial effects of methylphenidate on working memory.</w:t>
      </w:r>
      <w:r w:rsidR="00D35261" w:rsidRPr="00734AB6">
        <w:rPr>
          <w:rFonts w:asciiTheme="majorHAnsi" w:hAnsiTheme="majorHAnsi"/>
        </w:rPr>
        <w:t xml:space="preserve"> </w:t>
      </w:r>
    </w:p>
    <w:p w14:paraId="19C4BFF4" w14:textId="4379CCE6" w:rsidR="00E73007" w:rsidRPr="00734AB6" w:rsidRDefault="00275B7B" w:rsidP="0099584D">
      <w:pPr>
        <w:spacing w:after="240" w:line="360" w:lineRule="auto"/>
        <w:ind w:firstLine="851"/>
        <w:rPr>
          <w:rFonts w:asciiTheme="majorHAnsi" w:hAnsiTheme="majorHAnsi"/>
        </w:rPr>
      </w:pPr>
      <w:r w:rsidRPr="00734AB6">
        <w:rPr>
          <w:rFonts w:asciiTheme="majorHAnsi" w:hAnsiTheme="majorHAnsi"/>
        </w:rPr>
        <w:t xml:space="preserve">Another possible reason why methylphenidate might improve cognition is </w:t>
      </w:r>
      <w:r w:rsidR="000A69BB" w:rsidRPr="00734AB6">
        <w:rPr>
          <w:rFonts w:asciiTheme="majorHAnsi" w:hAnsiTheme="majorHAnsi"/>
        </w:rPr>
        <w:t>its modulation of the default mode network (DMN).</w:t>
      </w:r>
      <w:r w:rsidRPr="00734AB6">
        <w:rPr>
          <w:rFonts w:asciiTheme="majorHAnsi" w:hAnsiTheme="majorHAnsi"/>
        </w:rPr>
        <w:t xml:space="preserve"> </w:t>
      </w:r>
      <w:r w:rsidR="00E73007" w:rsidRPr="00734AB6">
        <w:rPr>
          <w:rFonts w:asciiTheme="majorHAnsi" w:hAnsiTheme="majorHAnsi"/>
        </w:rPr>
        <w:t xml:space="preserve">The DMN is one of at least 10 identified resting state networks (RSN) which are active in the resting awake or anesthetized brain (Esposito </w:t>
      </w:r>
      <w:r w:rsidR="001B71DF" w:rsidRPr="00734AB6">
        <w:rPr>
          <w:rFonts w:asciiTheme="majorHAnsi" w:hAnsiTheme="majorHAnsi"/>
        </w:rPr>
        <w:t>et al.</w:t>
      </w:r>
      <w:r w:rsidR="00E73007" w:rsidRPr="00734AB6">
        <w:rPr>
          <w:rFonts w:asciiTheme="majorHAnsi" w:hAnsiTheme="majorHAnsi"/>
        </w:rPr>
        <w:t xml:space="preserve">, 2013; </w:t>
      </w:r>
      <w:proofErr w:type="spellStart"/>
      <w:r w:rsidR="00E73007" w:rsidRPr="00734AB6">
        <w:rPr>
          <w:rFonts w:asciiTheme="majorHAnsi" w:hAnsiTheme="majorHAnsi"/>
        </w:rPr>
        <w:t>Mantini</w:t>
      </w:r>
      <w:proofErr w:type="spellEnd"/>
      <w:r w:rsidR="00E73007" w:rsidRPr="00734AB6">
        <w:rPr>
          <w:rFonts w:asciiTheme="majorHAnsi" w:hAnsiTheme="majorHAnsi"/>
        </w:rPr>
        <w:t xml:space="preserve">, </w:t>
      </w:r>
      <w:proofErr w:type="spellStart"/>
      <w:r w:rsidR="00E73007" w:rsidRPr="00734AB6">
        <w:rPr>
          <w:rFonts w:asciiTheme="majorHAnsi" w:hAnsiTheme="majorHAnsi"/>
        </w:rPr>
        <w:t>Perrucci</w:t>
      </w:r>
      <w:proofErr w:type="spellEnd"/>
      <w:r w:rsidR="00E73007" w:rsidRPr="00734AB6">
        <w:rPr>
          <w:rFonts w:asciiTheme="majorHAnsi" w:hAnsiTheme="majorHAnsi"/>
        </w:rPr>
        <w:t xml:space="preserve">, Del </w:t>
      </w:r>
      <w:proofErr w:type="spellStart"/>
      <w:r w:rsidR="00E73007" w:rsidRPr="00734AB6">
        <w:rPr>
          <w:rFonts w:asciiTheme="majorHAnsi" w:hAnsiTheme="majorHAnsi"/>
        </w:rPr>
        <w:t>Gra</w:t>
      </w:r>
      <w:r w:rsidR="00AB4562" w:rsidRPr="00734AB6">
        <w:rPr>
          <w:rFonts w:asciiTheme="majorHAnsi" w:hAnsiTheme="majorHAnsi"/>
        </w:rPr>
        <w:t>tta</w:t>
      </w:r>
      <w:proofErr w:type="spellEnd"/>
      <w:r w:rsidR="00AB4562" w:rsidRPr="00734AB6">
        <w:rPr>
          <w:rFonts w:asciiTheme="majorHAnsi" w:hAnsiTheme="majorHAnsi"/>
        </w:rPr>
        <w:t xml:space="preserve">, Romani &amp; </w:t>
      </w:r>
      <w:proofErr w:type="spellStart"/>
      <w:r w:rsidR="00AB4562" w:rsidRPr="00734AB6">
        <w:rPr>
          <w:rFonts w:asciiTheme="majorHAnsi" w:hAnsiTheme="majorHAnsi"/>
        </w:rPr>
        <w:t>Corbetta</w:t>
      </w:r>
      <w:proofErr w:type="spellEnd"/>
      <w:r w:rsidR="00AB4562" w:rsidRPr="00734AB6">
        <w:rPr>
          <w:rFonts w:asciiTheme="majorHAnsi" w:hAnsiTheme="majorHAnsi"/>
        </w:rPr>
        <w:t xml:space="preserve">, 2007). </w:t>
      </w:r>
      <w:r w:rsidR="00E73007" w:rsidRPr="00734AB6">
        <w:rPr>
          <w:rFonts w:asciiTheme="majorHAnsi" w:hAnsiTheme="majorHAnsi"/>
        </w:rPr>
        <w:t>Default mode network activity is related to self-referential mental activity, and mind-wandering</w:t>
      </w:r>
      <w:r w:rsidR="00D24C28" w:rsidRPr="00734AB6">
        <w:rPr>
          <w:rFonts w:asciiTheme="majorHAnsi" w:hAnsiTheme="majorHAnsi"/>
        </w:rPr>
        <w:t>. The DMN</w:t>
      </w:r>
      <w:r w:rsidR="00E73007" w:rsidRPr="00734AB6">
        <w:rPr>
          <w:rFonts w:asciiTheme="majorHAnsi" w:hAnsiTheme="majorHAnsi"/>
        </w:rPr>
        <w:t xml:space="preserve"> becomes inactive during externally driven tasks (Liddle </w:t>
      </w:r>
      <w:r w:rsidR="001B71DF" w:rsidRPr="00734AB6">
        <w:rPr>
          <w:rFonts w:asciiTheme="majorHAnsi" w:hAnsiTheme="majorHAnsi"/>
        </w:rPr>
        <w:t>et al.</w:t>
      </w:r>
      <w:r w:rsidR="00AB4562" w:rsidRPr="00734AB6">
        <w:rPr>
          <w:rFonts w:asciiTheme="majorHAnsi" w:hAnsiTheme="majorHAnsi"/>
        </w:rPr>
        <w:t xml:space="preserve">, 2011). </w:t>
      </w:r>
      <w:r w:rsidR="00E719A5" w:rsidRPr="00734AB6">
        <w:rPr>
          <w:rFonts w:asciiTheme="majorHAnsi" w:hAnsiTheme="majorHAnsi"/>
        </w:rPr>
        <w:t>Deactivation of the DMN</w:t>
      </w:r>
      <w:r w:rsidR="00E73007" w:rsidRPr="00734AB6">
        <w:rPr>
          <w:rFonts w:asciiTheme="majorHAnsi" w:hAnsiTheme="majorHAnsi"/>
        </w:rPr>
        <w:t xml:space="preserve"> appears to be related to dopaminergic activity (Liddle </w:t>
      </w:r>
      <w:r w:rsidR="001B71DF" w:rsidRPr="00734AB6">
        <w:rPr>
          <w:rFonts w:asciiTheme="majorHAnsi" w:hAnsiTheme="majorHAnsi"/>
        </w:rPr>
        <w:t>et al.</w:t>
      </w:r>
      <w:r w:rsidR="00D57756" w:rsidRPr="00734AB6">
        <w:rPr>
          <w:rFonts w:asciiTheme="majorHAnsi" w:hAnsiTheme="majorHAnsi"/>
        </w:rPr>
        <w:t>, 2011</w:t>
      </w:r>
      <w:r w:rsidR="00E73007" w:rsidRPr="00734AB6">
        <w:rPr>
          <w:rFonts w:asciiTheme="majorHAnsi" w:hAnsiTheme="majorHAnsi"/>
        </w:rPr>
        <w:t xml:space="preserve">). </w:t>
      </w:r>
      <w:r w:rsidR="00F50FE1" w:rsidRPr="00734AB6">
        <w:rPr>
          <w:rFonts w:asciiTheme="majorHAnsi" w:hAnsiTheme="majorHAnsi"/>
        </w:rPr>
        <w:t xml:space="preserve">Evidence indicates that abnormal attenuation of the DMN is associated with ADHD (Konrad </w:t>
      </w:r>
      <w:r w:rsidR="00EA4467" w:rsidRPr="00734AB6">
        <w:rPr>
          <w:rFonts w:asciiTheme="majorHAnsi" w:hAnsiTheme="majorHAnsi"/>
        </w:rPr>
        <w:t>&amp; Eickhoff, 2010; Liddle et al.</w:t>
      </w:r>
      <w:r w:rsidR="00D57756" w:rsidRPr="00734AB6">
        <w:rPr>
          <w:rFonts w:asciiTheme="majorHAnsi" w:hAnsiTheme="majorHAnsi"/>
        </w:rPr>
        <w:t>, 2011</w:t>
      </w:r>
      <w:r w:rsidR="00AB4562" w:rsidRPr="00734AB6">
        <w:rPr>
          <w:rFonts w:asciiTheme="majorHAnsi" w:hAnsiTheme="majorHAnsi"/>
        </w:rPr>
        <w:t xml:space="preserve">). </w:t>
      </w:r>
      <w:r w:rsidR="00E73007" w:rsidRPr="00734AB6">
        <w:rPr>
          <w:rFonts w:asciiTheme="majorHAnsi" w:hAnsiTheme="majorHAnsi"/>
        </w:rPr>
        <w:t>A failure in deactivation of the DMN can result in attentional and cognitive processing problems and</w:t>
      </w:r>
      <w:r w:rsidR="00D578A8" w:rsidRPr="00734AB6">
        <w:rPr>
          <w:rFonts w:asciiTheme="majorHAnsi" w:hAnsiTheme="majorHAnsi"/>
        </w:rPr>
        <w:t>,</w:t>
      </w:r>
      <w:r w:rsidR="00E73007" w:rsidRPr="00734AB6">
        <w:rPr>
          <w:rFonts w:asciiTheme="majorHAnsi" w:hAnsiTheme="majorHAnsi"/>
        </w:rPr>
        <w:t xml:space="preserve"> although it is not yet clear how or why this dysfunctional connectivity develops, </w:t>
      </w:r>
      <w:r w:rsidR="00E658CE" w:rsidRPr="00734AB6">
        <w:rPr>
          <w:rFonts w:asciiTheme="majorHAnsi" w:hAnsiTheme="majorHAnsi" w:cs="Calibri"/>
        </w:rPr>
        <w:t>methylphenidate</w:t>
      </w:r>
      <w:r w:rsidR="00E658CE" w:rsidRPr="00734AB6">
        <w:rPr>
          <w:rFonts w:asciiTheme="majorHAnsi" w:hAnsiTheme="majorHAnsi"/>
        </w:rPr>
        <w:t xml:space="preserve"> </w:t>
      </w:r>
      <w:r w:rsidR="00E73007" w:rsidRPr="00734AB6">
        <w:rPr>
          <w:rFonts w:asciiTheme="majorHAnsi" w:hAnsiTheme="majorHAnsi"/>
        </w:rPr>
        <w:lastRenderedPageBreak/>
        <w:t xml:space="preserve">has been found to modulate the DMN </w:t>
      </w:r>
      <w:r w:rsidR="00A27CC8" w:rsidRPr="00734AB6">
        <w:rPr>
          <w:rFonts w:asciiTheme="majorHAnsi" w:hAnsiTheme="majorHAnsi"/>
        </w:rPr>
        <w:t xml:space="preserve">in individuals with ADHD, </w:t>
      </w:r>
      <w:r w:rsidR="00E73007" w:rsidRPr="00734AB6">
        <w:rPr>
          <w:rFonts w:asciiTheme="majorHAnsi" w:hAnsiTheme="majorHAnsi"/>
        </w:rPr>
        <w:t xml:space="preserve">and thus facilitate cognitive processes affected by this dysfunction (Liddle </w:t>
      </w:r>
      <w:r w:rsidR="001B71DF" w:rsidRPr="00734AB6">
        <w:rPr>
          <w:rFonts w:asciiTheme="majorHAnsi" w:hAnsiTheme="majorHAnsi"/>
        </w:rPr>
        <w:t>et al.</w:t>
      </w:r>
      <w:r w:rsidR="00D57756" w:rsidRPr="00734AB6">
        <w:rPr>
          <w:rFonts w:asciiTheme="majorHAnsi" w:hAnsiTheme="majorHAnsi"/>
        </w:rPr>
        <w:t>, 2011</w:t>
      </w:r>
      <w:r w:rsidR="00AB4562" w:rsidRPr="00734AB6">
        <w:rPr>
          <w:rFonts w:asciiTheme="majorHAnsi" w:hAnsiTheme="majorHAnsi"/>
        </w:rPr>
        <w:t xml:space="preserve">). </w:t>
      </w:r>
    </w:p>
    <w:p w14:paraId="4CE1B529" w14:textId="2234AEF5" w:rsidR="00E73007" w:rsidRPr="00734AB6" w:rsidRDefault="00D578A8" w:rsidP="0099584D">
      <w:pPr>
        <w:spacing w:after="240" w:line="360" w:lineRule="auto"/>
        <w:ind w:firstLine="851"/>
        <w:rPr>
          <w:rFonts w:asciiTheme="majorHAnsi" w:hAnsiTheme="majorHAnsi"/>
        </w:rPr>
      </w:pPr>
      <w:r w:rsidRPr="00734AB6">
        <w:rPr>
          <w:rFonts w:asciiTheme="majorHAnsi" w:hAnsiTheme="majorHAnsi"/>
        </w:rPr>
        <w:t xml:space="preserve">In relation to the poor attention and inhibition control shown by ADHD patients, Liddle et al. (2011) </w:t>
      </w:r>
      <w:r w:rsidR="001E3A7B" w:rsidRPr="00734AB6">
        <w:rPr>
          <w:rFonts w:asciiTheme="majorHAnsi" w:hAnsiTheme="majorHAnsi"/>
        </w:rPr>
        <w:t xml:space="preserve">investigated the relationship between hypodopaminergic reward deficit and attenuated deactivation of the DMN. </w:t>
      </w:r>
      <w:r w:rsidR="00E73007" w:rsidRPr="00734AB6">
        <w:rPr>
          <w:rFonts w:asciiTheme="majorHAnsi" w:hAnsiTheme="majorHAnsi"/>
        </w:rPr>
        <w:t xml:space="preserve">Based on </w:t>
      </w:r>
      <w:r w:rsidR="00B36116" w:rsidRPr="00734AB6">
        <w:rPr>
          <w:rFonts w:asciiTheme="majorHAnsi" w:hAnsiTheme="majorHAnsi"/>
        </w:rPr>
        <w:t>their findings</w:t>
      </w:r>
      <w:r w:rsidR="00E73007" w:rsidRPr="00734AB6">
        <w:rPr>
          <w:rFonts w:asciiTheme="majorHAnsi" w:hAnsiTheme="majorHAnsi"/>
        </w:rPr>
        <w:t>, the authors suggest</w:t>
      </w:r>
      <w:r w:rsidR="00D24C28" w:rsidRPr="00734AB6">
        <w:rPr>
          <w:rFonts w:asciiTheme="majorHAnsi" w:hAnsiTheme="majorHAnsi"/>
        </w:rPr>
        <w:t>ed</w:t>
      </w:r>
      <w:r w:rsidR="00E73007" w:rsidRPr="00734AB6">
        <w:rPr>
          <w:rFonts w:asciiTheme="majorHAnsi" w:hAnsiTheme="majorHAnsi"/>
        </w:rPr>
        <w:t xml:space="preserve"> that the pathophysiological mechanism of ADHD responsible</w:t>
      </w:r>
      <w:r w:rsidR="00E26234" w:rsidRPr="00734AB6">
        <w:rPr>
          <w:rFonts w:asciiTheme="majorHAnsi" w:hAnsiTheme="majorHAnsi"/>
        </w:rPr>
        <w:t xml:space="preserve"> for poor attention and inhibition control</w:t>
      </w:r>
      <w:r w:rsidR="00E73007" w:rsidRPr="00734AB6">
        <w:rPr>
          <w:rFonts w:asciiTheme="majorHAnsi" w:hAnsiTheme="majorHAnsi"/>
        </w:rPr>
        <w:t xml:space="preserve"> is not the deactiva</w:t>
      </w:r>
      <w:r w:rsidR="00EF6A4A" w:rsidRPr="00734AB6">
        <w:rPr>
          <w:rFonts w:asciiTheme="majorHAnsi" w:hAnsiTheme="majorHAnsi"/>
        </w:rPr>
        <w:t>ting response of the DMN per se,</w:t>
      </w:r>
      <w:r w:rsidR="00E73007" w:rsidRPr="00734AB6">
        <w:rPr>
          <w:rFonts w:asciiTheme="majorHAnsi" w:hAnsiTheme="majorHAnsi"/>
        </w:rPr>
        <w:t xml:space="preserve"> but that the motivational level at which task-relevant stimuli become suffic</w:t>
      </w:r>
      <w:r w:rsidR="00F84292" w:rsidRPr="00734AB6">
        <w:rPr>
          <w:rFonts w:asciiTheme="majorHAnsi" w:hAnsiTheme="majorHAnsi"/>
        </w:rPr>
        <w:t xml:space="preserve">iently salient becomes raised. </w:t>
      </w:r>
      <w:r w:rsidR="00E73007" w:rsidRPr="00734AB6">
        <w:rPr>
          <w:rFonts w:asciiTheme="majorHAnsi" w:hAnsiTheme="majorHAnsi"/>
        </w:rPr>
        <w:t xml:space="preserve">The catecholamine activity of </w:t>
      </w:r>
      <w:r w:rsidR="00E658CE" w:rsidRPr="00734AB6">
        <w:rPr>
          <w:rFonts w:asciiTheme="majorHAnsi" w:hAnsiTheme="majorHAnsi" w:cs="Calibri"/>
        </w:rPr>
        <w:t>methylphenidate</w:t>
      </w:r>
      <w:r w:rsidR="00E658CE" w:rsidRPr="00734AB6">
        <w:rPr>
          <w:rFonts w:asciiTheme="majorHAnsi" w:hAnsiTheme="majorHAnsi"/>
        </w:rPr>
        <w:t xml:space="preserve"> </w:t>
      </w:r>
      <w:r w:rsidR="00E73007" w:rsidRPr="00734AB6">
        <w:rPr>
          <w:rFonts w:asciiTheme="majorHAnsi" w:hAnsiTheme="majorHAnsi"/>
        </w:rPr>
        <w:t>therefore demonstrated a normalisation of this response in children</w:t>
      </w:r>
      <w:r w:rsidR="00D24C28" w:rsidRPr="00734AB6">
        <w:rPr>
          <w:rFonts w:asciiTheme="majorHAnsi" w:hAnsiTheme="majorHAnsi"/>
        </w:rPr>
        <w:t xml:space="preserve"> with ADHD</w:t>
      </w:r>
      <w:r w:rsidR="00E73007" w:rsidRPr="00734AB6">
        <w:rPr>
          <w:rFonts w:asciiTheme="majorHAnsi" w:hAnsiTheme="majorHAnsi"/>
        </w:rPr>
        <w:t>.</w:t>
      </w:r>
    </w:p>
    <w:p w14:paraId="013F3B63" w14:textId="4611E53A" w:rsidR="004C210B" w:rsidRPr="00734AB6" w:rsidRDefault="004C210B" w:rsidP="0099584D">
      <w:pPr>
        <w:spacing w:after="240" w:line="360" w:lineRule="auto"/>
        <w:ind w:firstLine="851"/>
        <w:rPr>
          <w:rFonts w:asciiTheme="majorHAnsi" w:hAnsiTheme="majorHAnsi"/>
        </w:rPr>
      </w:pPr>
      <w:proofErr w:type="spellStart"/>
      <w:r w:rsidRPr="00734AB6">
        <w:rPr>
          <w:rFonts w:asciiTheme="majorHAnsi" w:hAnsiTheme="majorHAnsi"/>
        </w:rPr>
        <w:t>Klinge</w:t>
      </w:r>
      <w:proofErr w:type="spellEnd"/>
      <w:r w:rsidRPr="00734AB6">
        <w:rPr>
          <w:rFonts w:asciiTheme="majorHAnsi" w:hAnsiTheme="majorHAnsi"/>
        </w:rPr>
        <w:t xml:space="preserve"> et al. (2018) suggested that contradictory findings and small effects of methylphenidate may </w:t>
      </w:r>
      <w:r w:rsidR="0079596C" w:rsidRPr="00734AB6">
        <w:rPr>
          <w:rFonts w:asciiTheme="majorHAnsi" w:hAnsiTheme="majorHAnsi"/>
        </w:rPr>
        <w:t xml:space="preserve">also </w:t>
      </w:r>
      <w:r w:rsidRPr="00734AB6">
        <w:rPr>
          <w:rFonts w:asciiTheme="majorHAnsi" w:hAnsiTheme="majorHAnsi"/>
        </w:rPr>
        <w:t>be due to the measures used to assess performance, which lack the sensitivity needed to test healthy participants</w:t>
      </w:r>
      <w:r w:rsidR="00B6505B" w:rsidRPr="00734AB6">
        <w:rPr>
          <w:rFonts w:asciiTheme="majorHAnsi" w:hAnsiTheme="majorHAnsi"/>
        </w:rPr>
        <w:t xml:space="preserve"> with normal motivational levels</w:t>
      </w:r>
      <w:r w:rsidR="00F84292" w:rsidRPr="00734AB6">
        <w:rPr>
          <w:rFonts w:asciiTheme="majorHAnsi" w:hAnsiTheme="majorHAnsi"/>
        </w:rPr>
        <w:t xml:space="preserve">. </w:t>
      </w:r>
      <w:r w:rsidR="006B71AB" w:rsidRPr="00734AB6">
        <w:rPr>
          <w:rFonts w:asciiTheme="majorHAnsi" w:hAnsiTheme="majorHAnsi"/>
        </w:rPr>
        <w:t>She</w:t>
      </w:r>
      <w:r w:rsidRPr="00734AB6">
        <w:rPr>
          <w:rFonts w:asciiTheme="majorHAnsi" w:hAnsiTheme="majorHAnsi"/>
        </w:rPr>
        <w:t xml:space="preserve"> argued that the use of implicit measures would provide a more accurate picture as implicit t</w:t>
      </w:r>
      <w:r w:rsidR="00F84292" w:rsidRPr="00734AB6">
        <w:rPr>
          <w:rFonts w:asciiTheme="majorHAnsi" w:hAnsiTheme="majorHAnsi"/>
        </w:rPr>
        <w:t xml:space="preserve">ests are less easy to control. </w:t>
      </w:r>
      <w:r w:rsidRPr="00734AB6">
        <w:rPr>
          <w:rFonts w:asciiTheme="majorHAnsi" w:hAnsiTheme="majorHAnsi"/>
        </w:rPr>
        <w:t>Their study investigated the effect of methylphenidate on implicit and explicit learning</w:t>
      </w:r>
      <w:r w:rsidR="0000339C" w:rsidRPr="00734AB6">
        <w:rPr>
          <w:rFonts w:asciiTheme="majorHAnsi" w:hAnsiTheme="majorHAnsi"/>
        </w:rPr>
        <w:t xml:space="preserve">. </w:t>
      </w:r>
      <w:r w:rsidR="004B4876" w:rsidRPr="00734AB6">
        <w:rPr>
          <w:rFonts w:asciiTheme="majorHAnsi" w:hAnsiTheme="majorHAnsi"/>
        </w:rPr>
        <w:t xml:space="preserve">Implicit learning was tested using </w:t>
      </w:r>
      <w:r w:rsidR="00DF70C4" w:rsidRPr="00734AB6">
        <w:rPr>
          <w:rFonts w:asciiTheme="majorHAnsi" w:hAnsiTheme="majorHAnsi"/>
        </w:rPr>
        <w:t xml:space="preserve">tasks </w:t>
      </w:r>
      <w:r w:rsidR="004B4876" w:rsidRPr="00734AB6">
        <w:rPr>
          <w:rFonts w:asciiTheme="majorHAnsi" w:hAnsiTheme="majorHAnsi"/>
        </w:rPr>
        <w:t>of</w:t>
      </w:r>
      <w:r w:rsidR="00DF70C4" w:rsidRPr="00734AB6">
        <w:rPr>
          <w:rFonts w:asciiTheme="majorHAnsi" w:hAnsiTheme="majorHAnsi"/>
        </w:rPr>
        <w:t xml:space="preserve"> location priming, contextual cueing</w:t>
      </w:r>
      <w:r w:rsidR="004B4876" w:rsidRPr="00734AB6">
        <w:rPr>
          <w:rFonts w:asciiTheme="majorHAnsi" w:hAnsiTheme="majorHAnsi"/>
        </w:rPr>
        <w:t>, and implicit task switching,</w:t>
      </w:r>
      <w:r w:rsidR="00BF1880" w:rsidRPr="00734AB6">
        <w:rPr>
          <w:rFonts w:asciiTheme="majorHAnsi" w:hAnsiTheme="majorHAnsi"/>
        </w:rPr>
        <w:t xml:space="preserve"> and</w:t>
      </w:r>
      <w:r w:rsidR="004B4876" w:rsidRPr="00734AB6">
        <w:rPr>
          <w:rFonts w:asciiTheme="majorHAnsi" w:hAnsiTheme="majorHAnsi"/>
        </w:rPr>
        <w:t xml:space="preserve"> explicit learning was measured via </w:t>
      </w:r>
      <w:r w:rsidR="00BF1880" w:rsidRPr="00734AB6">
        <w:rPr>
          <w:rFonts w:asciiTheme="majorHAnsi" w:hAnsiTheme="majorHAnsi"/>
        </w:rPr>
        <w:t>questionnaires assessing mood and anxiety.</w:t>
      </w:r>
      <w:r w:rsidR="00DF70C4" w:rsidRPr="00734AB6">
        <w:rPr>
          <w:rFonts w:asciiTheme="majorHAnsi" w:hAnsiTheme="majorHAnsi"/>
        </w:rPr>
        <w:t xml:space="preserve"> </w:t>
      </w:r>
      <w:r w:rsidRPr="00734AB6">
        <w:rPr>
          <w:rFonts w:asciiTheme="majorHAnsi" w:hAnsiTheme="majorHAnsi"/>
        </w:rPr>
        <w:t>Their results showed that a low dose (10mg) of methylphenidate enhanced implicit learning</w:t>
      </w:r>
      <w:r w:rsidR="0000339C" w:rsidRPr="00734AB6">
        <w:rPr>
          <w:rFonts w:asciiTheme="majorHAnsi" w:hAnsiTheme="majorHAnsi"/>
        </w:rPr>
        <w:t>.</w:t>
      </w:r>
      <w:r w:rsidR="004B5280" w:rsidRPr="00734AB6">
        <w:rPr>
          <w:rFonts w:asciiTheme="majorHAnsi" w:hAnsiTheme="majorHAnsi"/>
        </w:rPr>
        <w:t xml:space="preserve"> </w:t>
      </w:r>
      <w:r w:rsidR="0000339C" w:rsidRPr="00734AB6">
        <w:rPr>
          <w:rFonts w:asciiTheme="majorHAnsi" w:hAnsiTheme="majorHAnsi"/>
        </w:rPr>
        <w:t>T</w:t>
      </w:r>
      <w:r w:rsidRPr="00734AB6">
        <w:rPr>
          <w:rFonts w:asciiTheme="majorHAnsi" w:hAnsiTheme="majorHAnsi"/>
        </w:rPr>
        <w:t xml:space="preserve">his </w:t>
      </w:r>
      <w:r w:rsidR="00617523" w:rsidRPr="00734AB6">
        <w:rPr>
          <w:rFonts w:asciiTheme="majorHAnsi" w:hAnsiTheme="majorHAnsi"/>
        </w:rPr>
        <w:t xml:space="preserve">effect </w:t>
      </w:r>
      <w:r w:rsidRPr="00734AB6">
        <w:rPr>
          <w:rFonts w:asciiTheme="majorHAnsi" w:hAnsiTheme="majorHAnsi"/>
        </w:rPr>
        <w:t>was evident only in the male participants and the authors state</w:t>
      </w:r>
      <w:r w:rsidR="00F04525" w:rsidRPr="00734AB6">
        <w:rPr>
          <w:rFonts w:asciiTheme="majorHAnsi" w:hAnsiTheme="majorHAnsi"/>
        </w:rPr>
        <w:t>d</w:t>
      </w:r>
      <w:r w:rsidRPr="00734AB6">
        <w:rPr>
          <w:rFonts w:asciiTheme="majorHAnsi" w:hAnsiTheme="majorHAnsi"/>
        </w:rPr>
        <w:t xml:space="preserve"> that this is consistent with a known influence of </w:t>
      </w:r>
      <w:r w:rsidR="00F134F8">
        <w:rPr>
          <w:rFonts w:asciiTheme="majorHAnsi" w:hAnsiTheme="majorHAnsi"/>
        </w:rPr>
        <w:t>gender</w:t>
      </w:r>
      <w:r w:rsidRPr="00734AB6">
        <w:rPr>
          <w:rFonts w:asciiTheme="majorHAnsi" w:hAnsiTheme="majorHAnsi"/>
        </w:rPr>
        <w:t xml:space="preserve"> on the DA system. </w:t>
      </w:r>
      <w:r w:rsidR="008450F0" w:rsidRPr="00734AB6">
        <w:rPr>
          <w:rFonts w:asciiTheme="majorHAnsi" w:hAnsiTheme="majorHAnsi"/>
        </w:rPr>
        <w:t>D</w:t>
      </w:r>
      <w:r w:rsidR="007E0440" w:rsidRPr="00734AB6">
        <w:rPr>
          <w:rFonts w:asciiTheme="majorHAnsi" w:hAnsiTheme="majorHAnsi"/>
        </w:rPr>
        <w:t>opamine</w:t>
      </w:r>
      <w:r w:rsidR="008450F0" w:rsidRPr="00734AB6">
        <w:rPr>
          <w:rFonts w:asciiTheme="majorHAnsi" w:hAnsiTheme="majorHAnsi"/>
        </w:rPr>
        <w:t xml:space="preserve"> signalling is believed to be greater in females than males due to </w:t>
      </w:r>
      <w:proofErr w:type="spellStart"/>
      <w:r w:rsidR="008450F0" w:rsidRPr="00734AB6">
        <w:rPr>
          <w:rFonts w:asciiTheme="majorHAnsi" w:hAnsiTheme="majorHAnsi"/>
        </w:rPr>
        <w:t>oestradial’s</w:t>
      </w:r>
      <w:proofErr w:type="spellEnd"/>
      <w:r w:rsidR="008450F0" w:rsidRPr="00734AB6">
        <w:rPr>
          <w:rFonts w:asciiTheme="majorHAnsi" w:hAnsiTheme="majorHAnsi"/>
        </w:rPr>
        <w:t xml:space="preserve"> enhancing effects</w:t>
      </w:r>
      <w:r w:rsidR="003756B8" w:rsidRPr="00734AB6">
        <w:rPr>
          <w:rFonts w:asciiTheme="majorHAnsi" w:hAnsiTheme="majorHAnsi"/>
        </w:rPr>
        <w:t xml:space="preserve"> on the DA system</w:t>
      </w:r>
      <w:r w:rsidR="008450F0" w:rsidRPr="00734AB6">
        <w:rPr>
          <w:rFonts w:asciiTheme="majorHAnsi" w:hAnsiTheme="majorHAnsi"/>
        </w:rPr>
        <w:t xml:space="preserve"> in women (</w:t>
      </w:r>
      <w:proofErr w:type="spellStart"/>
      <w:r w:rsidR="00CE2C84" w:rsidRPr="00734AB6">
        <w:rPr>
          <w:rFonts w:asciiTheme="majorHAnsi" w:hAnsiTheme="majorHAnsi"/>
        </w:rPr>
        <w:t>Yoest</w:t>
      </w:r>
      <w:proofErr w:type="spellEnd"/>
      <w:r w:rsidR="00CE2C84" w:rsidRPr="00734AB6">
        <w:rPr>
          <w:rFonts w:asciiTheme="majorHAnsi" w:hAnsiTheme="majorHAnsi"/>
        </w:rPr>
        <w:t>, Cummings &amp; Becker, 2014</w:t>
      </w:r>
      <w:r w:rsidR="008450F0" w:rsidRPr="00734AB6">
        <w:rPr>
          <w:rFonts w:asciiTheme="majorHAnsi" w:hAnsiTheme="majorHAnsi"/>
        </w:rPr>
        <w:t>)</w:t>
      </w:r>
      <w:r w:rsidR="0000339C" w:rsidRPr="00734AB6">
        <w:rPr>
          <w:rFonts w:asciiTheme="majorHAnsi" w:hAnsiTheme="majorHAnsi"/>
        </w:rPr>
        <w:t xml:space="preserve">. </w:t>
      </w:r>
      <w:r w:rsidR="00091005" w:rsidRPr="00734AB6">
        <w:rPr>
          <w:rFonts w:asciiTheme="majorHAnsi" w:hAnsiTheme="majorHAnsi"/>
        </w:rPr>
        <w:t>However</w:t>
      </w:r>
      <w:r w:rsidR="003756B8" w:rsidRPr="00734AB6">
        <w:rPr>
          <w:rFonts w:asciiTheme="majorHAnsi" w:hAnsiTheme="majorHAnsi"/>
        </w:rPr>
        <w:t xml:space="preserve">, </w:t>
      </w:r>
      <w:proofErr w:type="spellStart"/>
      <w:r w:rsidR="003756B8" w:rsidRPr="00734AB6">
        <w:rPr>
          <w:rFonts w:asciiTheme="majorHAnsi" w:hAnsiTheme="majorHAnsi"/>
        </w:rPr>
        <w:t>Laakso</w:t>
      </w:r>
      <w:proofErr w:type="spellEnd"/>
      <w:r w:rsidR="003756B8" w:rsidRPr="00734AB6">
        <w:rPr>
          <w:rFonts w:asciiTheme="majorHAnsi" w:hAnsiTheme="majorHAnsi"/>
        </w:rPr>
        <w:t xml:space="preserve"> et al. (2002) argue</w:t>
      </w:r>
      <w:r w:rsidR="00091005" w:rsidRPr="00734AB6">
        <w:rPr>
          <w:rFonts w:asciiTheme="majorHAnsi" w:hAnsiTheme="majorHAnsi"/>
        </w:rPr>
        <w:t>d</w:t>
      </w:r>
      <w:r w:rsidR="003756B8" w:rsidRPr="00734AB6">
        <w:rPr>
          <w:rFonts w:asciiTheme="majorHAnsi" w:hAnsiTheme="majorHAnsi"/>
        </w:rPr>
        <w:t xml:space="preserve"> that lower dopaminergic activity in men may relate to greater sub</w:t>
      </w:r>
      <w:r w:rsidR="00D31BD7" w:rsidRPr="00734AB6">
        <w:rPr>
          <w:rFonts w:asciiTheme="majorHAnsi" w:hAnsiTheme="majorHAnsi"/>
        </w:rPr>
        <w:t>stance abuse seen in men</w:t>
      </w:r>
      <w:r w:rsidR="00177F25" w:rsidRPr="00734AB6">
        <w:rPr>
          <w:rFonts w:asciiTheme="majorHAnsi" w:hAnsiTheme="majorHAnsi"/>
        </w:rPr>
        <w:t>. This lower dopaminergic activit</w:t>
      </w:r>
      <w:r w:rsidR="00091005" w:rsidRPr="00734AB6">
        <w:rPr>
          <w:rFonts w:asciiTheme="majorHAnsi" w:hAnsiTheme="majorHAnsi"/>
        </w:rPr>
        <w:t>y in men could explain the male-</w:t>
      </w:r>
      <w:r w:rsidR="00177F25" w:rsidRPr="00734AB6">
        <w:rPr>
          <w:rFonts w:asciiTheme="majorHAnsi" w:hAnsiTheme="majorHAnsi"/>
        </w:rPr>
        <w:t>only enhance</w:t>
      </w:r>
      <w:r w:rsidR="00EA4467" w:rsidRPr="00734AB6">
        <w:rPr>
          <w:rFonts w:asciiTheme="majorHAnsi" w:hAnsiTheme="majorHAnsi"/>
        </w:rPr>
        <w:t xml:space="preserve">ment reported by </w:t>
      </w:r>
      <w:proofErr w:type="spellStart"/>
      <w:r w:rsidR="00EA4467" w:rsidRPr="00734AB6">
        <w:rPr>
          <w:rFonts w:asciiTheme="majorHAnsi" w:hAnsiTheme="majorHAnsi"/>
        </w:rPr>
        <w:t>Klinge</w:t>
      </w:r>
      <w:proofErr w:type="spellEnd"/>
      <w:r w:rsidR="00EA4467" w:rsidRPr="00734AB6">
        <w:rPr>
          <w:rFonts w:asciiTheme="majorHAnsi" w:hAnsiTheme="majorHAnsi"/>
        </w:rPr>
        <w:t xml:space="preserve"> et al.</w:t>
      </w:r>
      <w:r w:rsidR="007B217C" w:rsidRPr="00734AB6">
        <w:rPr>
          <w:rFonts w:asciiTheme="majorHAnsi" w:hAnsiTheme="majorHAnsi"/>
        </w:rPr>
        <w:t xml:space="preserve"> </w:t>
      </w:r>
      <w:r w:rsidR="00D57756" w:rsidRPr="00734AB6">
        <w:rPr>
          <w:rFonts w:asciiTheme="majorHAnsi" w:hAnsiTheme="majorHAnsi"/>
        </w:rPr>
        <w:t xml:space="preserve">(2018). </w:t>
      </w:r>
      <w:r w:rsidRPr="00734AB6">
        <w:rPr>
          <w:rFonts w:asciiTheme="majorHAnsi" w:hAnsiTheme="majorHAnsi"/>
        </w:rPr>
        <w:t>Explicit learning, on the other hand, was not affected, supporting their theory that implicit measures of cognitive perfor</w:t>
      </w:r>
      <w:r w:rsidR="0000339C" w:rsidRPr="00734AB6">
        <w:rPr>
          <w:rFonts w:asciiTheme="majorHAnsi" w:hAnsiTheme="majorHAnsi"/>
        </w:rPr>
        <w:t xml:space="preserve">mance may be a more </w:t>
      </w:r>
      <w:r w:rsidR="00BF1880" w:rsidRPr="00734AB6">
        <w:rPr>
          <w:rFonts w:asciiTheme="majorHAnsi" w:hAnsiTheme="majorHAnsi"/>
        </w:rPr>
        <w:t>sensitive</w:t>
      </w:r>
      <w:r w:rsidR="0000339C" w:rsidRPr="00734AB6">
        <w:rPr>
          <w:rFonts w:asciiTheme="majorHAnsi" w:hAnsiTheme="majorHAnsi"/>
        </w:rPr>
        <w:t xml:space="preserve"> way</w:t>
      </w:r>
      <w:r w:rsidRPr="00734AB6">
        <w:rPr>
          <w:rFonts w:asciiTheme="majorHAnsi" w:hAnsiTheme="majorHAnsi"/>
        </w:rPr>
        <w:t xml:space="preserve"> of detecting the cognitive enhanci</w:t>
      </w:r>
      <w:r w:rsidR="00002F0C" w:rsidRPr="00734AB6">
        <w:rPr>
          <w:rFonts w:asciiTheme="majorHAnsi" w:hAnsiTheme="majorHAnsi"/>
        </w:rPr>
        <w:t xml:space="preserve">ng effects of methylphenidate. </w:t>
      </w:r>
    </w:p>
    <w:p w14:paraId="02DA5DF9" w14:textId="5F671AEE" w:rsidR="005261FB" w:rsidRPr="00734AB6" w:rsidRDefault="0042725C" w:rsidP="0099584D">
      <w:pPr>
        <w:spacing w:after="240" w:line="360" w:lineRule="auto"/>
        <w:ind w:firstLine="851"/>
        <w:rPr>
          <w:rFonts w:asciiTheme="majorHAnsi" w:hAnsiTheme="majorHAnsi" w:cs="Calibri"/>
        </w:rPr>
      </w:pPr>
      <w:r w:rsidRPr="00734AB6">
        <w:rPr>
          <w:rFonts w:asciiTheme="majorHAnsi" w:hAnsiTheme="majorHAnsi" w:cs="Calibri"/>
        </w:rPr>
        <w:t>In addition to its cognitive enhancing effects, methylphenidate has also been found to have mood enhanc</w:t>
      </w:r>
      <w:r w:rsidR="005701A4" w:rsidRPr="00734AB6">
        <w:rPr>
          <w:rFonts w:asciiTheme="majorHAnsi" w:hAnsiTheme="majorHAnsi" w:cs="Calibri"/>
        </w:rPr>
        <w:t xml:space="preserve">ing effects. Kerr et al. (2012) conducted a randomized, double-blind, placebo-controlled trial with 30 hospice patients </w:t>
      </w:r>
      <w:r w:rsidR="00B75824" w:rsidRPr="00734AB6">
        <w:rPr>
          <w:rFonts w:asciiTheme="majorHAnsi" w:hAnsiTheme="majorHAnsi" w:cs="Calibri"/>
        </w:rPr>
        <w:t>who had symptoms of fatigue and depression. Their findings revealed not only a significant improvement in their levels of fatigue, but also a significant reduction in their levels of depression compared with the placebo group.</w:t>
      </w:r>
      <w:r w:rsidR="008B2DC7" w:rsidRPr="00734AB6">
        <w:rPr>
          <w:rFonts w:asciiTheme="majorHAnsi" w:hAnsiTheme="majorHAnsi" w:cs="Calibri"/>
        </w:rPr>
        <w:t xml:space="preserve"> </w:t>
      </w:r>
      <w:r w:rsidR="0045376E" w:rsidRPr="00734AB6">
        <w:rPr>
          <w:rFonts w:asciiTheme="majorHAnsi" w:hAnsiTheme="majorHAnsi" w:cs="Calibri"/>
        </w:rPr>
        <w:t>Further to this,</w:t>
      </w:r>
      <w:r w:rsidR="008B2DC7" w:rsidRPr="00734AB6">
        <w:rPr>
          <w:rFonts w:asciiTheme="majorHAnsi" w:hAnsiTheme="majorHAnsi" w:cs="Calibri"/>
        </w:rPr>
        <w:t xml:space="preserve"> stroke victims </w:t>
      </w:r>
      <w:r w:rsidR="008843AD" w:rsidRPr="00734AB6">
        <w:rPr>
          <w:rFonts w:asciiTheme="majorHAnsi" w:hAnsiTheme="majorHAnsi" w:cs="Calibri"/>
        </w:rPr>
        <w:t xml:space="preserve">have </w:t>
      </w:r>
      <w:r w:rsidR="008B2DC7" w:rsidRPr="00734AB6">
        <w:rPr>
          <w:rFonts w:asciiTheme="majorHAnsi" w:hAnsiTheme="majorHAnsi" w:cs="Calibri"/>
        </w:rPr>
        <w:t xml:space="preserve">demonstrated </w:t>
      </w:r>
      <w:r w:rsidR="008710D7" w:rsidRPr="00734AB6">
        <w:rPr>
          <w:rFonts w:asciiTheme="majorHAnsi" w:hAnsiTheme="majorHAnsi" w:cs="Calibri"/>
        </w:rPr>
        <w:t>a significant improvement in mood with methylphenidate and levodopa compared with the placebo group (</w:t>
      </w:r>
      <w:proofErr w:type="spellStart"/>
      <w:r w:rsidR="008710D7" w:rsidRPr="00734AB6">
        <w:rPr>
          <w:rFonts w:asciiTheme="majorHAnsi" w:hAnsiTheme="majorHAnsi" w:cs="Calibri"/>
        </w:rPr>
        <w:t>Delbari</w:t>
      </w:r>
      <w:proofErr w:type="spellEnd"/>
      <w:r w:rsidR="008710D7" w:rsidRPr="00734AB6">
        <w:rPr>
          <w:rFonts w:asciiTheme="majorHAnsi" w:hAnsiTheme="majorHAnsi" w:cs="Calibri"/>
        </w:rPr>
        <w:t>, Salman-</w:t>
      </w:r>
      <w:proofErr w:type="spellStart"/>
      <w:r w:rsidR="008710D7" w:rsidRPr="00734AB6">
        <w:rPr>
          <w:rFonts w:asciiTheme="majorHAnsi" w:hAnsiTheme="majorHAnsi" w:cs="Calibri"/>
        </w:rPr>
        <w:t>Roghani</w:t>
      </w:r>
      <w:proofErr w:type="spellEnd"/>
      <w:r w:rsidR="008710D7" w:rsidRPr="00734AB6">
        <w:rPr>
          <w:rFonts w:asciiTheme="majorHAnsi" w:hAnsiTheme="majorHAnsi" w:cs="Calibri"/>
        </w:rPr>
        <w:t xml:space="preserve"> &amp; </w:t>
      </w:r>
      <w:proofErr w:type="spellStart"/>
      <w:r w:rsidR="008710D7" w:rsidRPr="00734AB6">
        <w:rPr>
          <w:rFonts w:asciiTheme="majorHAnsi" w:hAnsiTheme="majorHAnsi" w:cs="Calibri"/>
        </w:rPr>
        <w:t>Lokk</w:t>
      </w:r>
      <w:proofErr w:type="spellEnd"/>
      <w:r w:rsidR="008710D7" w:rsidRPr="00734AB6">
        <w:rPr>
          <w:rFonts w:asciiTheme="majorHAnsi" w:hAnsiTheme="majorHAnsi" w:cs="Calibri"/>
        </w:rPr>
        <w:t>, 2011).</w:t>
      </w:r>
    </w:p>
    <w:p w14:paraId="605351D2" w14:textId="7A7B47D0" w:rsidR="001A1860" w:rsidRPr="00734AB6" w:rsidRDefault="002A7E9A" w:rsidP="0099584D">
      <w:pPr>
        <w:spacing w:after="240" w:line="360" w:lineRule="auto"/>
        <w:ind w:firstLine="851"/>
        <w:rPr>
          <w:rFonts w:asciiTheme="majorHAnsi" w:hAnsiTheme="majorHAnsi" w:cs="Calibri"/>
        </w:rPr>
      </w:pPr>
      <w:r w:rsidRPr="00734AB6">
        <w:rPr>
          <w:rFonts w:asciiTheme="majorHAnsi" w:hAnsiTheme="majorHAnsi" w:cs="Calibri"/>
        </w:rPr>
        <w:lastRenderedPageBreak/>
        <w:t>So far, t</w:t>
      </w:r>
      <w:r w:rsidR="00E73007" w:rsidRPr="00734AB6">
        <w:rPr>
          <w:rFonts w:asciiTheme="majorHAnsi" w:hAnsiTheme="majorHAnsi" w:cs="Calibri"/>
        </w:rPr>
        <w:t xml:space="preserve">he evidence reviewed demonstrates that </w:t>
      </w:r>
      <w:r w:rsidR="00412DE4" w:rsidRPr="00734AB6">
        <w:rPr>
          <w:rFonts w:asciiTheme="majorHAnsi" w:hAnsiTheme="majorHAnsi" w:cs="Calibri"/>
        </w:rPr>
        <w:t xml:space="preserve">methylphenidate </w:t>
      </w:r>
      <w:r w:rsidR="00E73007" w:rsidRPr="00734AB6">
        <w:rPr>
          <w:rFonts w:asciiTheme="majorHAnsi" w:hAnsiTheme="majorHAnsi" w:cs="Calibri"/>
        </w:rPr>
        <w:t xml:space="preserve">does significantly improve cognitive performance in </w:t>
      </w:r>
      <w:r w:rsidRPr="00734AB6">
        <w:rPr>
          <w:rFonts w:asciiTheme="majorHAnsi" w:hAnsiTheme="majorHAnsi" w:cs="Calibri"/>
        </w:rPr>
        <w:t xml:space="preserve">both in </w:t>
      </w:r>
      <w:r w:rsidR="00E73007" w:rsidRPr="00734AB6">
        <w:rPr>
          <w:rFonts w:asciiTheme="majorHAnsi" w:hAnsiTheme="majorHAnsi" w:cs="Calibri"/>
        </w:rPr>
        <w:t>ADHD patients</w:t>
      </w:r>
      <w:r w:rsidRPr="00734AB6">
        <w:rPr>
          <w:rFonts w:asciiTheme="majorHAnsi" w:hAnsiTheme="majorHAnsi" w:cs="Calibri"/>
        </w:rPr>
        <w:t xml:space="preserve"> and healthy adults</w:t>
      </w:r>
      <w:r w:rsidR="00E73007" w:rsidRPr="00734AB6">
        <w:rPr>
          <w:rFonts w:asciiTheme="majorHAnsi" w:hAnsiTheme="majorHAnsi" w:cs="Calibri"/>
        </w:rPr>
        <w:t xml:space="preserve">, and </w:t>
      </w:r>
      <w:r w:rsidR="00FF2C81" w:rsidRPr="00734AB6">
        <w:rPr>
          <w:rFonts w:asciiTheme="majorHAnsi" w:hAnsiTheme="majorHAnsi" w:cs="Calibri"/>
        </w:rPr>
        <w:t>one potential explanation</w:t>
      </w:r>
      <w:r w:rsidR="00E73007" w:rsidRPr="00734AB6">
        <w:rPr>
          <w:rFonts w:asciiTheme="majorHAnsi" w:hAnsiTheme="majorHAnsi" w:cs="Calibri"/>
        </w:rPr>
        <w:t xml:space="preserve"> </w:t>
      </w:r>
      <w:r w:rsidR="00FF2C81" w:rsidRPr="00734AB6">
        <w:rPr>
          <w:rFonts w:asciiTheme="majorHAnsi" w:hAnsiTheme="majorHAnsi" w:cs="Calibri"/>
        </w:rPr>
        <w:t>appears to be via modulation of</w:t>
      </w:r>
      <w:r w:rsidR="00E73007" w:rsidRPr="00734AB6">
        <w:rPr>
          <w:rFonts w:asciiTheme="majorHAnsi" w:hAnsiTheme="majorHAnsi" w:cs="Calibri"/>
        </w:rPr>
        <w:t xml:space="preserve"> the DMN, which appears to be dysfunctional</w:t>
      </w:r>
      <w:r w:rsidRPr="00734AB6">
        <w:rPr>
          <w:rFonts w:asciiTheme="majorHAnsi" w:hAnsiTheme="majorHAnsi" w:cs="Calibri"/>
        </w:rPr>
        <w:t>,</w:t>
      </w:r>
      <w:r w:rsidR="00E73007" w:rsidRPr="00734AB6">
        <w:rPr>
          <w:rFonts w:asciiTheme="majorHAnsi" w:hAnsiTheme="majorHAnsi" w:cs="Calibri"/>
        </w:rPr>
        <w:t xml:space="preserve"> </w:t>
      </w:r>
      <w:r w:rsidRPr="00734AB6">
        <w:rPr>
          <w:rFonts w:asciiTheme="majorHAnsi" w:hAnsiTheme="majorHAnsi" w:cs="Calibri"/>
        </w:rPr>
        <w:t xml:space="preserve">at least </w:t>
      </w:r>
      <w:r w:rsidR="00002F0C" w:rsidRPr="00734AB6">
        <w:rPr>
          <w:rFonts w:asciiTheme="majorHAnsi" w:hAnsiTheme="majorHAnsi" w:cs="Calibri"/>
        </w:rPr>
        <w:t xml:space="preserve">in these patients. </w:t>
      </w:r>
      <w:r w:rsidR="001377FC" w:rsidRPr="00734AB6">
        <w:rPr>
          <w:rFonts w:asciiTheme="majorHAnsi" w:hAnsiTheme="majorHAnsi" w:cs="Calibri"/>
        </w:rPr>
        <w:t>However, Volkow et al. (2008</w:t>
      </w:r>
      <w:r w:rsidR="001A1860" w:rsidRPr="00734AB6">
        <w:rPr>
          <w:rFonts w:asciiTheme="majorHAnsi" w:hAnsiTheme="majorHAnsi" w:cs="Calibri"/>
        </w:rPr>
        <w:t>) have offered another explanation for methylphenidate’s effe</w:t>
      </w:r>
      <w:r w:rsidR="00002F0C" w:rsidRPr="00734AB6">
        <w:rPr>
          <w:rFonts w:asciiTheme="majorHAnsi" w:hAnsiTheme="majorHAnsi" w:cs="Calibri"/>
        </w:rPr>
        <w:t xml:space="preserve">cts on cognitive performance. </w:t>
      </w:r>
      <w:r w:rsidR="001A1860" w:rsidRPr="00734AB6">
        <w:rPr>
          <w:rFonts w:asciiTheme="majorHAnsi" w:hAnsiTheme="majorHAnsi" w:cs="Calibri"/>
        </w:rPr>
        <w:t xml:space="preserve">Their study measured brain glucose metabolism </w:t>
      </w:r>
      <w:r w:rsidR="007A50FE" w:rsidRPr="00734AB6">
        <w:rPr>
          <w:rFonts w:asciiTheme="majorHAnsi" w:hAnsiTheme="majorHAnsi" w:cs="Calibri"/>
        </w:rPr>
        <w:t>using positron emission tomography</w:t>
      </w:r>
      <w:r w:rsidR="00CF69B9" w:rsidRPr="00734AB6">
        <w:rPr>
          <w:rFonts w:asciiTheme="majorHAnsi" w:hAnsiTheme="majorHAnsi" w:cs="Calibri"/>
        </w:rPr>
        <w:t xml:space="preserve"> (PET)</w:t>
      </w:r>
      <w:r w:rsidR="00BF4348" w:rsidRPr="00734AB6">
        <w:rPr>
          <w:rFonts w:asciiTheme="majorHAnsi" w:hAnsiTheme="majorHAnsi" w:cs="Calibri"/>
        </w:rPr>
        <w:t xml:space="preserve"> i</w:t>
      </w:r>
      <w:r w:rsidR="00BF1880" w:rsidRPr="00734AB6">
        <w:rPr>
          <w:rFonts w:asciiTheme="majorHAnsi" w:hAnsiTheme="majorHAnsi" w:cs="Calibri"/>
        </w:rPr>
        <w:t>n</w:t>
      </w:r>
      <w:r w:rsidR="001D3BCC" w:rsidRPr="00734AB6">
        <w:rPr>
          <w:rFonts w:asciiTheme="majorHAnsi" w:hAnsiTheme="majorHAnsi" w:cs="Calibri"/>
        </w:rPr>
        <w:t xml:space="preserve"> healthy adults</w:t>
      </w:r>
      <w:r w:rsidR="0073063D" w:rsidRPr="00734AB6">
        <w:rPr>
          <w:rFonts w:asciiTheme="majorHAnsi" w:hAnsiTheme="majorHAnsi" w:cs="Calibri"/>
        </w:rPr>
        <w:t xml:space="preserve"> on</w:t>
      </w:r>
      <w:r w:rsidR="001D3BCC" w:rsidRPr="00734AB6">
        <w:rPr>
          <w:rFonts w:asciiTheme="majorHAnsi" w:hAnsiTheme="majorHAnsi" w:cs="Calibri"/>
        </w:rPr>
        <w:t xml:space="preserve"> </w:t>
      </w:r>
      <w:r w:rsidR="00BF4348" w:rsidRPr="00734AB6">
        <w:rPr>
          <w:rFonts w:asciiTheme="majorHAnsi" w:hAnsiTheme="majorHAnsi" w:cs="Calibri"/>
        </w:rPr>
        <w:t xml:space="preserve">three </w:t>
      </w:r>
      <w:r w:rsidR="0073063D" w:rsidRPr="00734AB6">
        <w:rPr>
          <w:rFonts w:asciiTheme="majorHAnsi" w:hAnsiTheme="majorHAnsi" w:cs="Calibri"/>
        </w:rPr>
        <w:t>occasions</w:t>
      </w:r>
      <w:r w:rsidR="00BF4348" w:rsidRPr="00734AB6">
        <w:rPr>
          <w:rFonts w:asciiTheme="majorHAnsi" w:hAnsiTheme="majorHAnsi" w:cs="Calibri"/>
        </w:rPr>
        <w:t xml:space="preserve">, </w:t>
      </w:r>
      <w:r w:rsidR="00BF1880" w:rsidRPr="00734AB6">
        <w:rPr>
          <w:rFonts w:asciiTheme="majorHAnsi" w:hAnsiTheme="majorHAnsi" w:cs="Calibri"/>
        </w:rPr>
        <w:t>in</w:t>
      </w:r>
      <w:r w:rsidR="00BF4348" w:rsidRPr="00734AB6">
        <w:rPr>
          <w:rFonts w:asciiTheme="majorHAnsi" w:hAnsiTheme="majorHAnsi" w:cs="Calibri"/>
        </w:rPr>
        <w:t xml:space="preserve"> three conditions</w:t>
      </w:r>
      <w:r w:rsidR="00002F0C" w:rsidRPr="00734AB6">
        <w:rPr>
          <w:rFonts w:asciiTheme="majorHAnsi" w:hAnsiTheme="majorHAnsi" w:cs="Calibri"/>
        </w:rPr>
        <w:t>. These were</w:t>
      </w:r>
      <w:r w:rsidR="00BF4348" w:rsidRPr="00734AB6">
        <w:rPr>
          <w:rFonts w:asciiTheme="majorHAnsi" w:hAnsiTheme="majorHAnsi" w:cs="Calibri"/>
        </w:rPr>
        <w:t xml:space="preserve"> </w:t>
      </w:r>
      <w:r w:rsidR="00CF69B9" w:rsidRPr="00734AB6">
        <w:rPr>
          <w:rFonts w:asciiTheme="majorHAnsi" w:hAnsiTheme="majorHAnsi" w:cs="Calibri"/>
        </w:rPr>
        <w:t>a placebo condition with a neutral non-task</w:t>
      </w:r>
      <w:r w:rsidR="001377FC" w:rsidRPr="00734AB6">
        <w:rPr>
          <w:rFonts w:asciiTheme="majorHAnsi" w:hAnsiTheme="majorHAnsi" w:cs="Calibri"/>
        </w:rPr>
        <w:t xml:space="preserve"> which involved viewing nature cards with no performance required</w:t>
      </w:r>
      <w:r w:rsidR="00CF69B9" w:rsidRPr="00734AB6">
        <w:rPr>
          <w:rFonts w:asciiTheme="majorHAnsi" w:hAnsiTheme="majorHAnsi" w:cs="Calibri"/>
        </w:rPr>
        <w:t xml:space="preserve">, a methylphenidate condition </w:t>
      </w:r>
      <w:r w:rsidR="004109EF" w:rsidRPr="00734AB6">
        <w:rPr>
          <w:rFonts w:asciiTheme="majorHAnsi" w:hAnsiTheme="majorHAnsi" w:cs="Calibri"/>
        </w:rPr>
        <w:t>administered before</w:t>
      </w:r>
      <w:r w:rsidR="00CF69B9" w:rsidRPr="00734AB6">
        <w:rPr>
          <w:rFonts w:asciiTheme="majorHAnsi" w:hAnsiTheme="majorHAnsi" w:cs="Calibri"/>
        </w:rPr>
        <w:t xml:space="preserve"> a cognitive task, and a placebo co</w:t>
      </w:r>
      <w:r w:rsidR="00002F0C" w:rsidRPr="00734AB6">
        <w:rPr>
          <w:rFonts w:asciiTheme="majorHAnsi" w:hAnsiTheme="majorHAnsi" w:cs="Calibri"/>
        </w:rPr>
        <w:t xml:space="preserve">ndition </w:t>
      </w:r>
      <w:r w:rsidR="004109EF" w:rsidRPr="00734AB6">
        <w:rPr>
          <w:rFonts w:asciiTheme="majorHAnsi" w:hAnsiTheme="majorHAnsi" w:cs="Calibri"/>
        </w:rPr>
        <w:t>administered before</w:t>
      </w:r>
      <w:r w:rsidR="00002F0C" w:rsidRPr="00734AB6">
        <w:rPr>
          <w:rFonts w:asciiTheme="majorHAnsi" w:hAnsiTheme="majorHAnsi" w:cs="Calibri"/>
        </w:rPr>
        <w:t xml:space="preserve"> </w:t>
      </w:r>
      <w:r w:rsidR="004109EF" w:rsidRPr="00734AB6">
        <w:rPr>
          <w:rFonts w:asciiTheme="majorHAnsi" w:hAnsiTheme="majorHAnsi" w:cs="Calibri"/>
        </w:rPr>
        <w:t>the same</w:t>
      </w:r>
      <w:r w:rsidR="00002F0C" w:rsidRPr="00734AB6">
        <w:rPr>
          <w:rFonts w:asciiTheme="majorHAnsi" w:hAnsiTheme="majorHAnsi" w:cs="Calibri"/>
        </w:rPr>
        <w:t xml:space="preserve"> cognitive task. </w:t>
      </w:r>
      <w:r w:rsidR="00CF69B9" w:rsidRPr="00734AB6">
        <w:rPr>
          <w:rFonts w:asciiTheme="majorHAnsi" w:hAnsiTheme="majorHAnsi" w:cs="Calibri"/>
        </w:rPr>
        <w:t>A further PET scan was conducted on 16 of the participant</w:t>
      </w:r>
      <w:r w:rsidR="00AD2C70" w:rsidRPr="00734AB6">
        <w:rPr>
          <w:rFonts w:asciiTheme="majorHAnsi" w:hAnsiTheme="majorHAnsi" w:cs="Calibri"/>
        </w:rPr>
        <w:t>s in a methylphenidate cond</w:t>
      </w:r>
      <w:r w:rsidR="00002F0C" w:rsidRPr="00734AB6">
        <w:rPr>
          <w:rFonts w:asciiTheme="majorHAnsi" w:hAnsiTheme="majorHAnsi" w:cs="Calibri"/>
        </w:rPr>
        <w:t>ition</w:t>
      </w:r>
      <w:r w:rsidR="00091005" w:rsidRPr="00734AB6">
        <w:rPr>
          <w:rFonts w:asciiTheme="majorHAnsi" w:hAnsiTheme="majorHAnsi" w:cs="Calibri"/>
        </w:rPr>
        <w:t>, with methylphenidate</w:t>
      </w:r>
      <w:r w:rsidR="00002F0C" w:rsidRPr="00734AB6">
        <w:rPr>
          <w:rFonts w:asciiTheme="majorHAnsi" w:hAnsiTheme="majorHAnsi" w:cs="Calibri"/>
        </w:rPr>
        <w:t xml:space="preserve"> </w:t>
      </w:r>
      <w:r w:rsidR="004109EF" w:rsidRPr="00734AB6">
        <w:rPr>
          <w:rFonts w:asciiTheme="majorHAnsi" w:hAnsiTheme="majorHAnsi" w:cs="Calibri"/>
        </w:rPr>
        <w:t>administered before</w:t>
      </w:r>
      <w:r w:rsidR="00002F0C" w:rsidRPr="00734AB6">
        <w:rPr>
          <w:rFonts w:asciiTheme="majorHAnsi" w:hAnsiTheme="majorHAnsi" w:cs="Calibri"/>
        </w:rPr>
        <w:t xml:space="preserve"> a neutral non-task. </w:t>
      </w:r>
      <w:r w:rsidR="006B71AB" w:rsidRPr="00734AB6">
        <w:rPr>
          <w:rFonts w:asciiTheme="majorHAnsi" w:hAnsiTheme="majorHAnsi" w:cs="Calibri"/>
        </w:rPr>
        <w:t>Volkow et al.’s</w:t>
      </w:r>
      <w:r w:rsidR="00AD2C70" w:rsidRPr="00734AB6">
        <w:rPr>
          <w:rFonts w:asciiTheme="majorHAnsi" w:hAnsiTheme="majorHAnsi" w:cs="Calibri"/>
        </w:rPr>
        <w:t xml:space="preserve"> findings revealed that </w:t>
      </w:r>
      <w:r w:rsidR="00D11B87" w:rsidRPr="00734AB6">
        <w:rPr>
          <w:rFonts w:asciiTheme="majorHAnsi" w:hAnsiTheme="majorHAnsi" w:cs="Calibri"/>
        </w:rPr>
        <w:t xml:space="preserve">when methylphenidate was </w:t>
      </w:r>
      <w:r w:rsidR="00BF1880" w:rsidRPr="00734AB6">
        <w:rPr>
          <w:rFonts w:asciiTheme="majorHAnsi" w:hAnsiTheme="majorHAnsi" w:cs="Calibri"/>
        </w:rPr>
        <w:t>administered</w:t>
      </w:r>
      <w:r w:rsidR="00D11B87" w:rsidRPr="00734AB6">
        <w:rPr>
          <w:rFonts w:asciiTheme="majorHAnsi" w:hAnsiTheme="majorHAnsi" w:cs="Calibri"/>
        </w:rPr>
        <w:t xml:space="preserve"> </w:t>
      </w:r>
      <w:r w:rsidR="004109EF" w:rsidRPr="00734AB6">
        <w:rPr>
          <w:rFonts w:asciiTheme="majorHAnsi" w:hAnsiTheme="majorHAnsi" w:cs="Calibri"/>
        </w:rPr>
        <w:t>before</w:t>
      </w:r>
      <w:r w:rsidR="00D11B87" w:rsidRPr="00734AB6">
        <w:rPr>
          <w:rFonts w:asciiTheme="majorHAnsi" w:hAnsiTheme="majorHAnsi" w:cs="Calibri"/>
        </w:rPr>
        <w:t xml:space="preserve"> the cognitive task</w:t>
      </w:r>
      <w:r w:rsidR="007227CB" w:rsidRPr="00734AB6">
        <w:rPr>
          <w:rFonts w:asciiTheme="majorHAnsi" w:hAnsiTheme="majorHAnsi" w:cs="Calibri"/>
        </w:rPr>
        <w:t>,</w:t>
      </w:r>
      <w:r w:rsidR="00D11B87" w:rsidRPr="00734AB6">
        <w:rPr>
          <w:rFonts w:asciiTheme="majorHAnsi" w:hAnsiTheme="majorHAnsi" w:cs="Calibri"/>
        </w:rPr>
        <w:t xml:space="preserve"> a significantly lower level of increased </w:t>
      </w:r>
      <w:r w:rsidR="0086117C" w:rsidRPr="00734AB6">
        <w:rPr>
          <w:rFonts w:asciiTheme="majorHAnsi" w:hAnsiTheme="majorHAnsi" w:cs="Calibri"/>
        </w:rPr>
        <w:t>brain metabolism</w:t>
      </w:r>
      <w:r w:rsidR="002B30E0" w:rsidRPr="00734AB6">
        <w:rPr>
          <w:rFonts w:asciiTheme="majorHAnsi" w:hAnsiTheme="majorHAnsi" w:cs="Calibri"/>
        </w:rPr>
        <w:t xml:space="preserve"> (induced by the task)</w:t>
      </w:r>
      <w:r w:rsidR="0086117C" w:rsidRPr="00734AB6">
        <w:rPr>
          <w:rFonts w:asciiTheme="majorHAnsi" w:hAnsiTheme="majorHAnsi" w:cs="Calibri"/>
        </w:rPr>
        <w:t xml:space="preserve"> occurred compared with placebo and the cognitive task. </w:t>
      </w:r>
      <w:r w:rsidR="002B30E0" w:rsidRPr="00734AB6">
        <w:rPr>
          <w:rFonts w:asciiTheme="majorHAnsi" w:hAnsiTheme="majorHAnsi" w:cs="Calibri"/>
        </w:rPr>
        <w:t>This</w:t>
      </w:r>
      <w:r w:rsidR="0086117C" w:rsidRPr="00734AB6">
        <w:rPr>
          <w:rFonts w:asciiTheme="majorHAnsi" w:hAnsiTheme="majorHAnsi" w:cs="Calibri"/>
        </w:rPr>
        <w:t xml:space="preserve"> reduction</w:t>
      </w:r>
      <w:r w:rsidR="00CD6BB7" w:rsidRPr="00734AB6">
        <w:rPr>
          <w:rFonts w:asciiTheme="majorHAnsi" w:hAnsiTheme="majorHAnsi" w:cs="Calibri"/>
        </w:rPr>
        <w:t xml:space="preserve"> (or focusing)</w:t>
      </w:r>
      <w:r w:rsidR="0086117C" w:rsidRPr="00734AB6">
        <w:rPr>
          <w:rFonts w:asciiTheme="majorHAnsi" w:hAnsiTheme="majorHAnsi" w:cs="Calibri"/>
        </w:rPr>
        <w:t xml:space="preserve"> in activation</w:t>
      </w:r>
      <w:r w:rsidR="002B30E0" w:rsidRPr="00734AB6">
        <w:rPr>
          <w:rFonts w:asciiTheme="majorHAnsi" w:hAnsiTheme="majorHAnsi" w:cs="Calibri"/>
        </w:rPr>
        <w:t xml:space="preserve"> occurred</w:t>
      </w:r>
      <w:r w:rsidR="0086117C" w:rsidRPr="00734AB6">
        <w:rPr>
          <w:rFonts w:asciiTheme="majorHAnsi" w:hAnsiTheme="majorHAnsi" w:cs="Calibri"/>
        </w:rPr>
        <w:t xml:space="preserve"> in specific brain regions involved in the orienting, executive and alerting attentional networks</w:t>
      </w:r>
      <w:r w:rsidR="00F54605" w:rsidRPr="00734AB6">
        <w:rPr>
          <w:rFonts w:asciiTheme="majorHAnsi" w:hAnsiTheme="majorHAnsi" w:cs="Calibri"/>
        </w:rPr>
        <w:t xml:space="preserve">. </w:t>
      </w:r>
      <w:r w:rsidR="00286109" w:rsidRPr="00734AB6">
        <w:rPr>
          <w:rFonts w:asciiTheme="majorHAnsi" w:hAnsiTheme="majorHAnsi" w:cs="Calibri"/>
        </w:rPr>
        <w:t xml:space="preserve">Executive networks are the neural networks involved with executive functions. </w:t>
      </w:r>
      <w:r w:rsidR="007227CB" w:rsidRPr="00734AB6">
        <w:rPr>
          <w:rFonts w:asciiTheme="majorHAnsi" w:hAnsiTheme="majorHAnsi" w:cs="Calibri"/>
        </w:rPr>
        <w:t xml:space="preserve">Executive functions refer to the ability to control and coordinate other mental processes and behaviours, and include self-control, moral reasoning, planning, problem solving, attention and working memory (Friedman &amp; Miyake, 2017; </w:t>
      </w:r>
      <w:proofErr w:type="spellStart"/>
      <w:r w:rsidR="007227CB" w:rsidRPr="00734AB6">
        <w:rPr>
          <w:rFonts w:asciiTheme="majorHAnsi" w:hAnsiTheme="majorHAnsi" w:cs="Calibri"/>
        </w:rPr>
        <w:t>Gustavson</w:t>
      </w:r>
      <w:proofErr w:type="spellEnd"/>
      <w:r w:rsidR="007227CB" w:rsidRPr="00734AB6">
        <w:rPr>
          <w:rFonts w:asciiTheme="majorHAnsi" w:hAnsiTheme="majorHAnsi" w:cs="Calibri"/>
        </w:rPr>
        <w:t xml:space="preserve"> et al., 2017).</w:t>
      </w:r>
      <w:r w:rsidR="00BC6247" w:rsidRPr="00734AB6">
        <w:rPr>
          <w:rFonts w:asciiTheme="majorHAnsi" w:hAnsiTheme="majorHAnsi" w:cs="Calibri"/>
        </w:rPr>
        <w:t xml:space="preserve"> </w:t>
      </w:r>
      <w:r w:rsidR="007227CB" w:rsidRPr="00734AB6">
        <w:rPr>
          <w:rFonts w:asciiTheme="majorHAnsi" w:hAnsiTheme="majorHAnsi"/>
        </w:rPr>
        <w:t>These</w:t>
      </w:r>
      <w:r w:rsidR="00286109" w:rsidRPr="00734AB6">
        <w:rPr>
          <w:rFonts w:asciiTheme="majorHAnsi" w:hAnsiTheme="majorHAnsi"/>
        </w:rPr>
        <w:t xml:space="preserve"> functions are of key importance to cognitive enhancement (Enriquez-</w:t>
      </w:r>
      <w:proofErr w:type="spellStart"/>
      <w:r w:rsidR="00286109" w:rsidRPr="00734AB6">
        <w:rPr>
          <w:rFonts w:asciiTheme="majorHAnsi" w:hAnsiTheme="majorHAnsi"/>
        </w:rPr>
        <w:t>Geppert</w:t>
      </w:r>
      <w:proofErr w:type="spellEnd"/>
      <w:r w:rsidR="00286109" w:rsidRPr="00734AB6">
        <w:rPr>
          <w:rFonts w:asciiTheme="majorHAnsi" w:hAnsiTheme="majorHAnsi"/>
        </w:rPr>
        <w:t xml:space="preserve">, </w:t>
      </w:r>
      <w:proofErr w:type="spellStart"/>
      <w:r w:rsidR="00286109" w:rsidRPr="00734AB6">
        <w:rPr>
          <w:rFonts w:asciiTheme="majorHAnsi" w:hAnsiTheme="majorHAnsi"/>
        </w:rPr>
        <w:t>Huster</w:t>
      </w:r>
      <w:proofErr w:type="spellEnd"/>
      <w:r w:rsidR="00286109" w:rsidRPr="00734AB6">
        <w:rPr>
          <w:rFonts w:asciiTheme="majorHAnsi" w:hAnsiTheme="majorHAnsi"/>
        </w:rPr>
        <w:t xml:space="preserve"> &amp; Herrmann, 2013). </w:t>
      </w:r>
      <w:r w:rsidR="00F54605" w:rsidRPr="00734AB6">
        <w:rPr>
          <w:rFonts w:asciiTheme="majorHAnsi" w:hAnsiTheme="majorHAnsi" w:cs="Calibri"/>
        </w:rPr>
        <w:t xml:space="preserve">This </w:t>
      </w:r>
      <w:r w:rsidR="007227CB" w:rsidRPr="00734AB6">
        <w:rPr>
          <w:rFonts w:asciiTheme="majorHAnsi" w:hAnsiTheme="majorHAnsi" w:cs="Calibri"/>
        </w:rPr>
        <w:t xml:space="preserve">focusing of activation </w:t>
      </w:r>
      <w:r w:rsidR="007E1705" w:rsidRPr="00734AB6">
        <w:rPr>
          <w:rFonts w:asciiTheme="majorHAnsi" w:hAnsiTheme="majorHAnsi" w:cs="Calibri"/>
        </w:rPr>
        <w:t xml:space="preserve">in these specific brain regions </w:t>
      </w:r>
      <w:r w:rsidR="00F54605" w:rsidRPr="00734AB6">
        <w:rPr>
          <w:rFonts w:asciiTheme="majorHAnsi" w:hAnsiTheme="majorHAnsi" w:cs="Calibri"/>
        </w:rPr>
        <w:t>suggests</w:t>
      </w:r>
      <w:r w:rsidR="002B30E0" w:rsidRPr="00734AB6">
        <w:rPr>
          <w:rFonts w:asciiTheme="majorHAnsi" w:hAnsiTheme="majorHAnsi" w:cs="Calibri"/>
        </w:rPr>
        <w:t xml:space="preserve"> that methylphenidate reduces the </w:t>
      </w:r>
      <w:r w:rsidR="00D61CF4" w:rsidRPr="00734AB6">
        <w:rPr>
          <w:rFonts w:asciiTheme="majorHAnsi" w:hAnsiTheme="majorHAnsi" w:cs="Calibri"/>
        </w:rPr>
        <w:t>amount of</w:t>
      </w:r>
      <w:r w:rsidR="002B30E0" w:rsidRPr="00734AB6">
        <w:rPr>
          <w:rFonts w:asciiTheme="majorHAnsi" w:hAnsiTheme="majorHAnsi" w:cs="Calibri"/>
        </w:rPr>
        <w:t xml:space="preserve"> </w:t>
      </w:r>
      <w:r w:rsidR="00D61CF4" w:rsidRPr="00734AB6">
        <w:rPr>
          <w:rFonts w:asciiTheme="majorHAnsi" w:hAnsiTheme="majorHAnsi" w:cs="Calibri"/>
        </w:rPr>
        <w:t>attentional resources needed to perform cognitive tasks and therefore increases brain efficiency.</w:t>
      </w:r>
      <w:r w:rsidR="00D31B9E" w:rsidRPr="00734AB6">
        <w:rPr>
          <w:rFonts w:asciiTheme="majorHAnsi" w:hAnsiTheme="majorHAnsi" w:cs="Calibri"/>
        </w:rPr>
        <w:t xml:space="preserve"> </w:t>
      </w:r>
      <w:r w:rsidR="00DD11ED" w:rsidRPr="00734AB6">
        <w:rPr>
          <w:rFonts w:asciiTheme="majorHAnsi" w:hAnsiTheme="majorHAnsi" w:cs="Calibri"/>
        </w:rPr>
        <w:t>Volkow et al.</w:t>
      </w:r>
      <w:r w:rsidR="00D31B9E" w:rsidRPr="00734AB6">
        <w:rPr>
          <w:rFonts w:asciiTheme="majorHAnsi" w:hAnsiTheme="majorHAnsi" w:cs="Calibri"/>
        </w:rPr>
        <w:t xml:space="preserve"> also argue that this demonstrates how methylphenidate enhances cognitive performance in those for whom </w:t>
      </w:r>
      <w:r w:rsidR="00D2610F" w:rsidRPr="00734AB6">
        <w:rPr>
          <w:rFonts w:asciiTheme="majorHAnsi" w:hAnsiTheme="majorHAnsi" w:cs="Calibri"/>
        </w:rPr>
        <w:t>neuronal resources are not most efficiently distributed</w:t>
      </w:r>
      <w:r w:rsidR="00CD6BB7" w:rsidRPr="00734AB6">
        <w:rPr>
          <w:rFonts w:asciiTheme="majorHAnsi" w:hAnsiTheme="majorHAnsi" w:cs="Calibri"/>
        </w:rPr>
        <w:t>.</w:t>
      </w:r>
      <w:r w:rsidR="00D2610F" w:rsidRPr="00734AB6">
        <w:rPr>
          <w:rFonts w:asciiTheme="majorHAnsi" w:hAnsiTheme="majorHAnsi" w:cs="Calibri"/>
        </w:rPr>
        <w:t xml:space="preserve"> </w:t>
      </w:r>
      <w:r w:rsidR="00CD6BB7" w:rsidRPr="00734AB6">
        <w:rPr>
          <w:rFonts w:asciiTheme="majorHAnsi" w:hAnsiTheme="majorHAnsi" w:cs="Calibri"/>
        </w:rPr>
        <w:t>B</w:t>
      </w:r>
      <w:r w:rsidR="00D2610F" w:rsidRPr="00734AB6">
        <w:rPr>
          <w:rFonts w:asciiTheme="majorHAnsi" w:hAnsiTheme="majorHAnsi" w:cs="Calibri"/>
        </w:rPr>
        <w:t xml:space="preserve">ut for those who already have an efficient distribution of neuronal resources, </w:t>
      </w:r>
      <w:r w:rsidR="00CD6BB7" w:rsidRPr="00734AB6">
        <w:rPr>
          <w:rFonts w:asciiTheme="majorHAnsi" w:hAnsiTheme="majorHAnsi" w:cs="Calibri"/>
        </w:rPr>
        <w:t>a further reduction of activation may result in sub-optimal performance, which is in l</w:t>
      </w:r>
      <w:r w:rsidR="00DE2200" w:rsidRPr="00734AB6">
        <w:rPr>
          <w:rFonts w:asciiTheme="majorHAnsi" w:hAnsiTheme="majorHAnsi" w:cs="Calibri"/>
        </w:rPr>
        <w:t>ine with the inverted-U theory</w:t>
      </w:r>
      <w:r w:rsidR="00CD6BB7" w:rsidRPr="00734AB6">
        <w:rPr>
          <w:rFonts w:asciiTheme="majorHAnsi" w:hAnsiTheme="majorHAnsi" w:cs="Calibri"/>
        </w:rPr>
        <w:t>.</w:t>
      </w:r>
    </w:p>
    <w:p w14:paraId="4E16FB68" w14:textId="40AEBE0E" w:rsidR="00E73007" w:rsidRPr="00734AB6" w:rsidRDefault="009304FA" w:rsidP="0099584D">
      <w:pPr>
        <w:spacing w:after="240" w:line="360" w:lineRule="auto"/>
        <w:ind w:firstLine="851"/>
        <w:rPr>
          <w:rFonts w:asciiTheme="majorHAnsi" w:hAnsiTheme="majorHAnsi" w:cs="Calibri"/>
        </w:rPr>
      </w:pPr>
      <w:r w:rsidRPr="00734AB6">
        <w:rPr>
          <w:rFonts w:asciiTheme="majorHAnsi" w:hAnsiTheme="majorHAnsi" w:cs="Calibri"/>
        </w:rPr>
        <w:t xml:space="preserve">As previously </w:t>
      </w:r>
      <w:r w:rsidR="00091005" w:rsidRPr="00734AB6">
        <w:rPr>
          <w:rFonts w:asciiTheme="majorHAnsi" w:hAnsiTheme="majorHAnsi" w:cs="Calibri"/>
        </w:rPr>
        <w:t>mentioned in Section 1.3</w:t>
      </w:r>
      <w:r w:rsidRPr="00734AB6">
        <w:rPr>
          <w:rFonts w:asciiTheme="majorHAnsi" w:hAnsiTheme="majorHAnsi" w:cs="Calibri"/>
        </w:rPr>
        <w:t>, m</w:t>
      </w:r>
      <w:r w:rsidR="00E73007" w:rsidRPr="00734AB6">
        <w:rPr>
          <w:rFonts w:asciiTheme="majorHAnsi" w:hAnsiTheme="majorHAnsi" w:cs="Calibri"/>
        </w:rPr>
        <w:t xml:space="preserve">ethylphenidate also seems to modulate motivation </w:t>
      </w:r>
      <w:r w:rsidR="00306208" w:rsidRPr="00734AB6">
        <w:rPr>
          <w:rFonts w:asciiTheme="majorHAnsi" w:hAnsiTheme="majorHAnsi" w:cs="Calibri"/>
        </w:rPr>
        <w:t>(</w:t>
      </w:r>
      <w:proofErr w:type="spellStart"/>
      <w:r w:rsidR="00306208" w:rsidRPr="00734AB6">
        <w:rPr>
          <w:rFonts w:asciiTheme="majorHAnsi" w:hAnsiTheme="majorHAnsi" w:cs="Calibri"/>
        </w:rPr>
        <w:t>Busard</w:t>
      </w:r>
      <w:r w:rsidR="00AB629D" w:rsidRPr="00734AB6">
        <w:rPr>
          <w:rFonts w:asciiTheme="majorHAnsi" w:eastAsia="Calibri" w:hAnsiTheme="majorHAnsi" w:cs="Calibri"/>
        </w:rPr>
        <w:t>ò</w:t>
      </w:r>
      <w:proofErr w:type="spellEnd"/>
      <w:r w:rsidR="00306208" w:rsidRPr="00734AB6">
        <w:rPr>
          <w:rFonts w:asciiTheme="majorHAnsi" w:hAnsiTheme="majorHAnsi" w:cs="Calibri"/>
        </w:rPr>
        <w:t xml:space="preserve"> et al., 2016) </w:t>
      </w:r>
      <w:r w:rsidR="00E73007" w:rsidRPr="00734AB6">
        <w:rPr>
          <w:rFonts w:asciiTheme="majorHAnsi" w:hAnsiTheme="majorHAnsi" w:cs="Calibri"/>
        </w:rPr>
        <w:t xml:space="preserve">which, in ADHD patients appears to have a higher </w:t>
      </w:r>
      <w:r w:rsidR="00CF76E8" w:rsidRPr="00734AB6">
        <w:rPr>
          <w:rFonts w:asciiTheme="majorHAnsi" w:hAnsiTheme="majorHAnsi" w:cs="Calibri"/>
        </w:rPr>
        <w:t>“</w:t>
      </w:r>
      <w:r w:rsidR="00E73007" w:rsidRPr="00734AB6">
        <w:rPr>
          <w:rFonts w:asciiTheme="majorHAnsi" w:hAnsiTheme="majorHAnsi" w:cs="Calibri"/>
        </w:rPr>
        <w:t>trigger level</w:t>
      </w:r>
      <w:r w:rsidR="00CF76E8" w:rsidRPr="00734AB6">
        <w:rPr>
          <w:rFonts w:asciiTheme="majorHAnsi" w:hAnsiTheme="majorHAnsi" w:cs="Calibri"/>
        </w:rPr>
        <w:t>”</w:t>
      </w:r>
      <w:r w:rsidR="00E73007" w:rsidRPr="00734AB6">
        <w:rPr>
          <w:rFonts w:asciiTheme="majorHAnsi" w:hAnsiTheme="majorHAnsi" w:cs="Calibri"/>
        </w:rPr>
        <w:t xml:space="preserve"> in order for task-relev</w:t>
      </w:r>
      <w:r w:rsidR="00F54605" w:rsidRPr="00734AB6">
        <w:rPr>
          <w:rFonts w:asciiTheme="majorHAnsi" w:hAnsiTheme="majorHAnsi" w:cs="Calibri"/>
        </w:rPr>
        <w:t xml:space="preserve">ant stimuli to become salient. </w:t>
      </w:r>
      <w:r w:rsidR="00342B6B" w:rsidRPr="00734AB6">
        <w:rPr>
          <w:rFonts w:asciiTheme="majorHAnsi" w:hAnsiTheme="majorHAnsi" w:cs="Calibri"/>
        </w:rPr>
        <w:t>That is,</w:t>
      </w:r>
      <w:r w:rsidR="00C0299F" w:rsidRPr="00734AB6">
        <w:rPr>
          <w:rFonts w:asciiTheme="majorHAnsi" w:hAnsiTheme="majorHAnsi" w:cs="Calibri"/>
        </w:rPr>
        <w:t xml:space="preserve"> in ADHD patients, </w:t>
      </w:r>
      <w:r w:rsidR="00C0299F" w:rsidRPr="00734AB6">
        <w:rPr>
          <w:rFonts w:asciiTheme="majorHAnsi" w:hAnsiTheme="majorHAnsi"/>
        </w:rPr>
        <w:t xml:space="preserve">the motivational level at which task-relevant stimuli become sufficiently salient becomes raised and methylphenidate appears to modulate a normalisation of this response. </w:t>
      </w:r>
      <w:r w:rsidR="00E73007" w:rsidRPr="00734AB6">
        <w:rPr>
          <w:rFonts w:asciiTheme="majorHAnsi" w:hAnsiTheme="majorHAnsi" w:cs="Calibri"/>
        </w:rPr>
        <w:t>In healthy individuals</w:t>
      </w:r>
      <w:r w:rsidR="007741DD" w:rsidRPr="00734AB6">
        <w:rPr>
          <w:rFonts w:asciiTheme="majorHAnsi" w:hAnsiTheme="majorHAnsi" w:cs="Calibri"/>
        </w:rPr>
        <w:t>,</w:t>
      </w:r>
      <w:r w:rsidR="00E73007" w:rsidRPr="00734AB6">
        <w:rPr>
          <w:rFonts w:asciiTheme="majorHAnsi" w:hAnsiTheme="majorHAnsi" w:cs="Calibri"/>
        </w:rPr>
        <w:t xml:space="preserve"> however, cognitive performance is seen to be only marginally improved and this may be due to individual differe</w:t>
      </w:r>
      <w:r w:rsidR="00F54605" w:rsidRPr="00734AB6">
        <w:rPr>
          <w:rFonts w:asciiTheme="majorHAnsi" w:hAnsiTheme="majorHAnsi" w:cs="Calibri"/>
        </w:rPr>
        <w:t xml:space="preserve">nces in DA synthesis capacity. </w:t>
      </w:r>
      <w:r w:rsidR="00E73007" w:rsidRPr="00734AB6">
        <w:rPr>
          <w:rFonts w:asciiTheme="majorHAnsi" w:hAnsiTheme="majorHAnsi" w:cs="Calibri"/>
        </w:rPr>
        <w:t xml:space="preserve">So, whether </w:t>
      </w:r>
      <w:r w:rsidR="00412DE4" w:rsidRPr="00734AB6">
        <w:rPr>
          <w:rFonts w:asciiTheme="majorHAnsi" w:hAnsiTheme="majorHAnsi" w:cs="Calibri"/>
        </w:rPr>
        <w:t xml:space="preserve">methylphenidate </w:t>
      </w:r>
      <w:r w:rsidR="00E73007" w:rsidRPr="00734AB6">
        <w:rPr>
          <w:rFonts w:asciiTheme="majorHAnsi" w:hAnsiTheme="majorHAnsi" w:cs="Calibri"/>
        </w:rPr>
        <w:t>can be an effective cognitive enhancer in healthy individuals may depend on their cognitive baseline</w:t>
      </w:r>
      <w:r w:rsidR="004109EF" w:rsidRPr="00734AB6">
        <w:rPr>
          <w:rFonts w:asciiTheme="majorHAnsi" w:hAnsiTheme="majorHAnsi" w:cs="Calibri"/>
        </w:rPr>
        <w:t xml:space="preserve"> and level of motivation</w:t>
      </w:r>
      <w:r w:rsidR="00E73007" w:rsidRPr="00734AB6">
        <w:rPr>
          <w:rFonts w:asciiTheme="majorHAnsi" w:hAnsiTheme="majorHAnsi" w:cs="Calibri"/>
        </w:rPr>
        <w:t xml:space="preserve">, as those with </w:t>
      </w:r>
      <w:r w:rsidR="00944615" w:rsidRPr="00734AB6">
        <w:rPr>
          <w:rFonts w:asciiTheme="majorHAnsi" w:hAnsiTheme="majorHAnsi" w:cs="Calibri"/>
        </w:rPr>
        <w:t xml:space="preserve">a </w:t>
      </w:r>
      <w:r w:rsidR="00E73007" w:rsidRPr="00734AB6">
        <w:rPr>
          <w:rFonts w:asciiTheme="majorHAnsi" w:hAnsiTheme="majorHAnsi" w:cs="Calibri"/>
        </w:rPr>
        <w:t>lower baseline level are likely to experience stronger effects than those with higher baseline</w:t>
      </w:r>
      <w:r w:rsidR="001A5EFC" w:rsidRPr="00734AB6">
        <w:rPr>
          <w:rFonts w:asciiTheme="majorHAnsi" w:hAnsiTheme="majorHAnsi" w:cs="Calibri"/>
        </w:rPr>
        <w:t xml:space="preserve"> cognitive function</w:t>
      </w:r>
      <w:r w:rsidR="00E73007" w:rsidRPr="00734AB6">
        <w:rPr>
          <w:rFonts w:asciiTheme="majorHAnsi" w:hAnsiTheme="majorHAnsi" w:cs="Calibri"/>
        </w:rPr>
        <w:t>s.</w:t>
      </w:r>
    </w:p>
    <w:p w14:paraId="5157B6D0" w14:textId="6DF3A5FD" w:rsidR="00D2424B" w:rsidRPr="00734AB6" w:rsidRDefault="00D2424B" w:rsidP="0099584D">
      <w:pPr>
        <w:spacing w:after="240" w:line="360" w:lineRule="auto"/>
        <w:ind w:firstLine="851"/>
        <w:rPr>
          <w:rFonts w:asciiTheme="majorHAnsi" w:hAnsiTheme="majorHAnsi" w:cs="Calibri"/>
        </w:rPr>
      </w:pPr>
      <w:r w:rsidRPr="00734AB6">
        <w:rPr>
          <w:rFonts w:asciiTheme="majorHAnsi" w:hAnsiTheme="majorHAnsi" w:cs="Calibri"/>
        </w:rPr>
        <w:lastRenderedPageBreak/>
        <w:t xml:space="preserve">Overall, it would seem that methylphenidate does enhance </w:t>
      </w:r>
      <w:r w:rsidR="00643FE3" w:rsidRPr="00734AB6">
        <w:rPr>
          <w:rFonts w:asciiTheme="majorHAnsi" w:hAnsiTheme="majorHAnsi" w:cs="Calibri"/>
        </w:rPr>
        <w:t xml:space="preserve">mood, and </w:t>
      </w:r>
      <w:r w:rsidRPr="00734AB6">
        <w:rPr>
          <w:rFonts w:asciiTheme="majorHAnsi" w:hAnsiTheme="majorHAnsi" w:cs="Calibri"/>
        </w:rPr>
        <w:t xml:space="preserve">cognitive functions, most especially working memory and processing speed and it appears to do so by focusing the activity in the brain regions involved </w:t>
      </w:r>
      <w:r w:rsidR="006D3A3A" w:rsidRPr="00734AB6">
        <w:rPr>
          <w:rFonts w:asciiTheme="majorHAnsi" w:hAnsiTheme="majorHAnsi" w:cs="Calibri"/>
        </w:rPr>
        <w:t xml:space="preserve">the orienting, executive and alerting attentional networks and thus increasing brain efficiency. However, these effects of methylphenidate may be stronger in </w:t>
      </w:r>
      <w:r w:rsidR="00643FE3" w:rsidRPr="00734AB6">
        <w:rPr>
          <w:rFonts w:asciiTheme="majorHAnsi" w:hAnsiTheme="majorHAnsi" w:cs="Calibri"/>
        </w:rPr>
        <w:t xml:space="preserve">men and </w:t>
      </w:r>
      <w:r w:rsidR="006D3A3A" w:rsidRPr="00734AB6">
        <w:rPr>
          <w:rFonts w:asciiTheme="majorHAnsi" w:hAnsiTheme="majorHAnsi" w:cs="Calibri"/>
        </w:rPr>
        <w:t xml:space="preserve">those with </w:t>
      </w:r>
      <w:r w:rsidR="00643FE3" w:rsidRPr="00734AB6">
        <w:rPr>
          <w:rFonts w:asciiTheme="majorHAnsi" w:hAnsiTheme="majorHAnsi" w:cs="Calibri"/>
        </w:rPr>
        <w:t>low DA synthesis, in those with dysfunctional DMN activation</w:t>
      </w:r>
      <w:r w:rsidR="006D3A3A" w:rsidRPr="00734AB6">
        <w:rPr>
          <w:rFonts w:asciiTheme="majorHAnsi" w:hAnsiTheme="majorHAnsi" w:cs="Calibri"/>
        </w:rPr>
        <w:t xml:space="preserve"> </w:t>
      </w:r>
      <w:r w:rsidR="00643FE3" w:rsidRPr="00734AB6">
        <w:rPr>
          <w:rFonts w:asciiTheme="majorHAnsi" w:hAnsiTheme="majorHAnsi" w:cs="Calibri"/>
        </w:rPr>
        <w:t xml:space="preserve">and </w:t>
      </w:r>
      <w:r w:rsidR="00A23758" w:rsidRPr="00734AB6">
        <w:rPr>
          <w:rFonts w:asciiTheme="majorHAnsi" w:hAnsiTheme="majorHAnsi" w:cs="Calibri"/>
        </w:rPr>
        <w:t>individuals</w:t>
      </w:r>
      <w:r w:rsidR="00643FE3" w:rsidRPr="00734AB6">
        <w:rPr>
          <w:rFonts w:asciiTheme="majorHAnsi" w:hAnsiTheme="majorHAnsi" w:cs="Calibri"/>
        </w:rPr>
        <w:t xml:space="preserve"> with low levels of motivation.</w:t>
      </w:r>
    </w:p>
    <w:p w14:paraId="04D91FCC" w14:textId="77777777" w:rsidR="00D134B1" w:rsidRPr="00734AB6" w:rsidRDefault="00D134B1" w:rsidP="0099584D">
      <w:pPr>
        <w:spacing w:after="240" w:line="360" w:lineRule="auto"/>
        <w:ind w:firstLine="851"/>
        <w:rPr>
          <w:rFonts w:asciiTheme="majorHAnsi" w:hAnsiTheme="majorHAnsi" w:cs="Calibri"/>
        </w:rPr>
      </w:pPr>
    </w:p>
    <w:p w14:paraId="3B6C52FE" w14:textId="3343F086" w:rsidR="00E73007" w:rsidRPr="00734AB6" w:rsidRDefault="00D9490A" w:rsidP="00DA16AF">
      <w:pPr>
        <w:pStyle w:val="Heading2"/>
        <w:spacing w:after="240" w:line="360" w:lineRule="auto"/>
        <w:rPr>
          <w:b/>
          <w:color w:val="auto"/>
          <w:sz w:val="22"/>
          <w:szCs w:val="22"/>
        </w:rPr>
      </w:pPr>
      <w:bookmarkStart w:id="9" w:name="_Toc48136321"/>
      <w:r w:rsidRPr="00734AB6">
        <w:rPr>
          <w:b/>
          <w:color w:val="auto"/>
          <w:sz w:val="22"/>
          <w:szCs w:val="22"/>
        </w:rPr>
        <w:t>1.4</w:t>
      </w:r>
      <w:r w:rsidR="00CA2645" w:rsidRPr="00734AB6">
        <w:rPr>
          <w:b/>
          <w:color w:val="auto"/>
          <w:sz w:val="22"/>
          <w:szCs w:val="22"/>
        </w:rPr>
        <w:tab/>
      </w:r>
      <w:r w:rsidR="00E73007" w:rsidRPr="00734AB6">
        <w:rPr>
          <w:b/>
          <w:color w:val="auto"/>
          <w:sz w:val="22"/>
          <w:szCs w:val="22"/>
        </w:rPr>
        <w:t>M</w:t>
      </w:r>
      <w:r w:rsidR="00AC46E6" w:rsidRPr="00734AB6">
        <w:rPr>
          <w:b/>
          <w:color w:val="auto"/>
          <w:sz w:val="22"/>
          <w:szCs w:val="22"/>
        </w:rPr>
        <w:t>odafinil</w:t>
      </w:r>
      <w:bookmarkEnd w:id="9"/>
    </w:p>
    <w:p w14:paraId="45B8A80D" w14:textId="5CF23F23"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Although structurally distinct from other stimulants such as </w:t>
      </w:r>
      <w:r w:rsidR="00412DE4" w:rsidRPr="00734AB6">
        <w:rPr>
          <w:rFonts w:asciiTheme="majorHAnsi" w:hAnsiTheme="majorHAnsi" w:cs="Calibri"/>
        </w:rPr>
        <w:t>methylphenidate</w:t>
      </w:r>
      <w:r w:rsidRPr="00734AB6">
        <w:rPr>
          <w:rFonts w:asciiTheme="majorHAnsi" w:hAnsiTheme="majorHAnsi" w:cs="Calibri"/>
        </w:rPr>
        <w:t xml:space="preserve">, </w:t>
      </w:r>
      <w:r w:rsidR="00412DE4" w:rsidRPr="00734AB6">
        <w:rPr>
          <w:rFonts w:asciiTheme="majorHAnsi" w:hAnsiTheme="majorHAnsi" w:cs="Calibri"/>
        </w:rPr>
        <w:t>mod</w:t>
      </w:r>
      <w:r w:rsidR="00264B57" w:rsidRPr="00734AB6">
        <w:rPr>
          <w:rFonts w:asciiTheme="majorHAnsi" w:hAnsiTheme="majorHAnsi" w:cs="Calibri"/>
        </w:rPr>
        <w:t>a</w:t>
      </w:r>
      <w:r w:rsidR="00412DE4" w:rsidRPr="00734AB6">
        <w:rPr>
          <w:rFonts w:asciiTheme="majorHAnsi" w:hAnsiTheme="majorHAnsi" w:cs="Calibri"/>
        </w:rPr>
        <w:t>finil</w:t>
      </w:r>
      <w:r w:rsidRPr="00734AB6">
        <w:rPr>
          <w:rFonts w:asciiTheme="majorHAnsi" w:hAnsiTheme="majorHAnsi" w:cs="Calibri"/>
        </w:rPr>
        <w:t xml:space="preserve"> is also commonly referred to as a psychostimulant (</w:t>
      </w:r>
      <w:proofErr w:type="spellStart"/>
      <w:r w:rsidRPr="00734AB6">
        <w:rPr>
          <w:rFonts w:asciiTheme="majorHAnsi" w:hAnsiTheme="majorHAnsi" w:cs="Calibri"/>
        </w:rPr>
        <w:t>Rugino</w:t>
      </w:r>
      <w:proofErr w:type="spellEnd"/>
      <w:r w:rsidRPr="00734AB6">
        <w:rPr>
          <w:rFonts w:asciiTheme="majorHAnsi" w:hAnsiTheme="majorHAnsi" w:cs="Calibri"/>
        </w:rPr>
        <w:t>, 2007)</w:t>
      </w:r>
      <w:r w:rsidR="006344D6" w:rsidRPr="00734AB6">
        <w:rPr>
          <w:rFonts w:asciiTheme="majorHAnsi" w:hAnsiTheme="majorHAnsi" w:cs="Calibri"/>
        </w:rPr>
        <w:t xml:space="preserve">. </w:t>
      </w:r>
      <w:r w:rsidR="008D34DC" w:rsidRPr="00734AB6">
        <w:rPr>
          <w:rFonts w:asciiTheme="majorHAnsi" w:hAnsiTheme="majorHAnsi" w:cs="Calibri"/>
        </w:rPr>
        <w:t>I</w:t>
      </w:r>
      <w:r w:rsidRPr="00734AB6">
        <w:rPr>
          <w:rFonts w:asciiTheme="majorHAnsi" w:hAnsiTheme="majorHAnsi" w:cs="Calibri"/>
        </w:rPr>
        <w:t>ts mechanism of action is thought to be primarily</w:t>
      </w:r>
      <w:r w:rsidR="009304FA" w:rsidRPr="00734AB6">
        <w:rPr>
          <w:rFonts w:asciiTheme="majorHAnsi" w:hAnsiTheme="majorHAnsi" w:cs="Calibri"/>
        </w:rPr>
        <w:t xml:space="preserve"> through NE and DA transporter </w:t>
      </w:r>
      <w:r w:rsidRPr="00734AB6">
        <w:rPr>
          <w:rFonts w:asciiTheme="majorHAnsi" w:hAnsiTheme="majorHAnsi" w:cs="Calibri"/>
        </w:rPr>
        <w:t>inhibition, although there is still some uncertainty surrounding this (</w:t>
      </w:r>
      <w:proofErr w:type="spellStart"/>
      <w:r w:rsidRPr="00734AB6">
        <w:rPr>
          <w:rFonts w:asciiTheme="majorHAnsi" w:hAnsiTheme="majorHAnsi" w:cs="Calibri"/>
        </w:rPr>
        <w:t>Ballon</w:t>
      </w:r>
      <w:proofErr w:type="spellEnd"/>
      <w:r w:rsidRPr="00734AB6">
        <w:rPr>
          <w:rFonts w:asciiTheme="majorHAnsi" w:hAnsiTheme="majorHAnsi" w:cs="Calibri"/>
        </w:rPr>
        <w:t xml:space="preserve"> &amp; </w:t>
      </w:r>
      <w:proofErr w:type="spellStart"/>
      <w:r w:rsidRPr="00734AB6">
        <w:rPr>
          <w:rFonts w:asciiTheme="majorHAnsi" w:hAnsiTheme="majorHAnsi" w:cs="Calibri"/>
        </w:rPr>
        <w:t>Feifel</w:t>
      </w:r>
      <w:proofErr w:type="spellEnd"/>
      <w:r w:rsidRPr="00734AB6">
        <w:rPr>
          <w:rFonts w:asciiTheme="majorHAnsi" w:hAnsiTheme="majorHAnsi" w:cs="Calibri"/>
        </w:rPr>
        <w:t xml:space="preserve">, 2006; Wood </w:t>
      </w:r>
      <w:r w:rsidR="001B71DF" w:rsidRPr="00734AB6">
        <w:rPr>
          <w:rFonts w:asciiTheme="majorHAnsi" w:hAnsiTheme="majorHAnsi" w:cs="Calibri"/>
        </w:rPr>
        <w:t>et al.</w:t>
      </w:r>
      <w:r w:rsidR="00EF68DF" w:rsidRPr="00734AB6">
        <w:rPr>
          <w:rFonts w:asciiTheme="majorHAnsi" w:hAnsiTheme="majorHAnsi" w:cs="Calibri"/>
        </w:rPr>
        <w:t xml:space="preserve">, 2014). </w:t>
      </w:r>
      <w:r w:rsidRPr="00734AB6">
        <w:rPr>
          <w:rFonts w:asciiTheme="majorHAnsi" w:hAnsiTheme="majorHAnsi" w:cs="Calibri"/>
        </w:rPr>
        <w:t xml:space="preserve">It has been found to act on many other neurotransmitters as well, including serotonin, </w:t>
      </w:r>
      <w:r w:rsidR="000B2F2F" w:rsidRPr="00734AB6">
        <w:rPr>
          <w:rFonts w:asciiTheme="majorHAnsi" w:hAnsiTheme="majorHAnsi" w:cs="Calibri"/>
        </w:rPr>
        <w:t xml:space="preserve">NA, </w:t>
      </w:r>
      <w:r w:rsidRPr="00734AB6">
        <w:rPr>
          <w:rFonts w:asciiTheme="majorHAnsi" w:hAnsiTheme="majorHAnsi" w:cs="Calibri"/>
        </w:rPr>
        <w:t>histamine, gamma-aminobutyric acid (GABA)</w:t>
      </w:r>
      <w:r w:rsidR="006F5265" w:rsidRPr="00734AB6">
        <w:rPr>
          <w:rFonts w:asciiTheme="majorHAnsi" w:hAnsiTheme="majorHAnsi" w:cs="Calibri"/>
        </w:rPr>
        <w:t>, orexin</w:t>
      </w:r>
      <w:r w:rsidRPr="00734AB6">
        <w:rPr>
          <w:rFonts w:asciiTheme="majorHAnsi" w:hAnsiTheme="majorHAnsi" w:cs="Calibri"/>
        </w:rPr>
        <w:t xml:space="preserve"> and glutamate (Wood </w:t>
      </w:r>
      <w:r w:rsidR="001B71DF" w:rsidRPr="00734AB6">
        <w:rPr>
          <w:rFonts w:asciiTheme="majorHAnsi" w:hAnsiTheme="majorHAnsi" w:cs="Calibri"/>
        </w:rPr>
        <w:t>et al</w:t>
      </w:r>
      <w:r w:rsidR="00547286" w:rsidRPr="00734AB6">
        <w:rPr>
          <w:rFonts w:asciiTheme="majorHAnsi" w:hAnsiTheme="majorHAnsi" w:cs="Calibri"/>
        </w:rPr>
        <w:t>.</w:t>
      </w:r>
      <w:r w:rsidR="00D57756" w:rsidRPr="00734AB6">
        <w:rPr>
          <w:rFonts w:asciiTheme="majorHAnsi" w:hAnsiTheme="majorHAnsi" w:cs="Calibri"/>
        </w:rPr>
        <w:t>, 2014</w:t>
      </w:r>
      <w:r w:rsidR="00EF68DF" w:rsidRPr="00734AB6">
        <w:rPr>
          <w:rFonts w:asciiTheme="majorHAnsi" w:hAnsiTheme="majorHAnsi" w:cs="Calibri"/>
        </w:rPr>
        <w:t xml:space="preserve">). </w:t>
      </w:r>
      <w:r w:rsidRPr="00734AB6">
        <w:rPr>
          <w:rFonts w:asciiTheme="majorHAnsi" w:hAnsiTheme="majorHAnsi" w:cs="Calibri"/>
        </w:rPr>
        <w:t xml:space="preserve">In turn, this results in increased extracellular levels of </w:t>
      </w:r>
      <w:r w:rsidR="006A3DDF" w:rsidRPr="00734AB6">
        <w:rPr>
          <w:rFonts w:asciiTheme="majorHAnsi" w:hAnsiTheme="majorHAnsi" w:cs="Calibri"/>
        </w:rPr>
        <w:t xml:space="preserve">DA, </w:t>
      </w:r>
      <w:r w:rsidR="00091005" w:rsidRPr="00734AB6">
        <w:rPr>
          <w:rFonts w:asciiTheme="majorHAnsi" w:hAnsiTheme="majorHAnsi" w:cs="Calibri"/>
        </w:rPr>
        <w:t xml:space="preserve">serotonin, </w:t>
      </w:r>
      <w:r w:rsidRPr="00734AB6">
        <w:rPr>
          <w:rFonts w:asciiTheme="majorHAnsi" w:hAnsiTheme="majorHAnsi" w:cs="Calibri"/>
        </w:rPr>
        <w:t xml:space="preserve">NE, </w:t>
      </w:r>
      <w:r w:rsidR="006A3DDF" w:rsidRPr="00734AB6">
        <w:rPr>
          <w:rFonts w:asciiTheme="majorHAnsi" w:hAnsiTheme="majorHAnsi" w:cs="Calibri"/>
        </w:rPr>
        <w:t>histamine</w:t>
      </w:r>
      <w:r w:rsidR="00EF68DF" w:rsidRPr="00734AB6">
        <w:rPr>
          <w:rFonts w:asciiTheme="majorHAnsi" w:hAnsiTheme="majorHAnsi" w:cs="Calibri"/>
        </w:rPr>
        <w:t>,</w:t>
      </w:r>
      <w:r w:rsidR="006A3DDF" w:rsidRPr="00734AB6">
        <w:rPr>
          <w:rFonts w:asciiTheme="majorHAnsi" w:hAnsiTheme="majorHAnsi" w:cs="Calibri"/>
        </w:rPr>
        <w:t xml:space="preserve"> orexin and </w:t>
      </w:r>
      <w:r w:rsidRPr="00734AB6">
        <w:rPr>
          <w:rFonts w:asciiTheme="majorHAnsi" w:hAnsiTheme="majorHAnsi" w:cs="Calibri"/>
        </w:rPr>
        <w:t>glutamate,</w:t>
      </w:r>
      <w:r w:rsidR="00E41B07" w:rsidRPr="00734AB6">
        <w:rPr>
          <w:rFonts w:asciiTheme="majorHAnsi" w:hAnsiTheme="majorHAnsi" w:cs="Calibri"/>
        </w:rPr>
        <w:t xml:space="preserve"> </w:t>
      </w:r>
      <w:r w:rsidRPr="00734AB6">
        <w:rPr>
          <w:rFonts w:asciiTheme="majorHAnsi" w:hAnsiTheme="majorHAnsi" w:cs="Calibri"/>
        </w:rPr>
        <w:t>and reduced levels of GAB</w:t>
      </w:r>
      <w:r w:rsidR="00EF68DF" w:rsidRPr="00734AB6">
        <w:rPr>
          <w:rFonts w:asciiTheme="majorHAnsi" w:hAnsiTheme="majorHAnsi" w:cs="Calibri"/>
        </w:rPr>
        <w:t>A (</w:t>
      </w:r>
      <w:proofErr w:type="spellStart"/>
      <w:r w:rsidR="00EF68DF" w:rsidRPr="00734AB6">
        <w:rPr>
          <w:rFonts w:asciiTheme="majorHAnsi" w:hAnsiTheme="majorHAnsi" w:cs="Calibri"/>
        </w:rPr>
        <w:t>Minzenberg</w:t>
      </w:r>
      <w:proofErr w:type="spellEnd"/>
      <w:r w:rsidR="00EF68DF" w:rsidRPr="00734AB6">
        <w:rPr>
          <w:rFonts w:asciiTheme="majorHAnsi" w:hAnsiTheme="majorHAnsi" w:cs="Calibri"/>
        </w:rPr>
        <w:t xml:space="preserve"> &amp; Carter, 2008). </w:t>
      </w:r>
      <w:r w:rsidR="005C3CA9" w:rsidRPr="00734AB6">
        <w:rPr>
          <w:rFonts w:asciiTheme="majorHAnsi" w:hAnsiTheme="majorHAnsi" w:cs="Calibri"/>
        </w:rPr>
        <w:t xml:space="preserve">It is believed that modafinil’s action on orexin also results in increases in hypothalamic release of histamine </w:t>
      </w:r>
      <w:r w:rsidR="00B061F9" w:rsidRPr="00734AB6">
        <w:rPr>
          <w:rFonts w:asciiTheme="majorHAnsi" w:hAnsiTheme="majorHAnsi" w:cs="Calibri"/>
        </w:rPr>
        <w:t>(Ishizuka</w:t>
      </w:r>
      <w:r w:rsidR="00CF546B" w:rsidRPr="00734AB6">
        <w:rPr>
          <w:rFonts w:asciiTheme="majorHAnsi" w:hAnsiTheme="majorHAnsi" w:cs="Calibri"/>
        </w:rPr>
        <w:t xml:space="preserve"> </w:t>
      </w:r>
      <w:proofErr w:type="spellStart"/>
      <w:r w:rsidR="00CF546B" w:rsidRPr="00734AB6">
        <w:rPr>
          <w:rFonts w:asciiTheme="majorHAnsi" w:hAnsiTheme="majorHAnsi" w:cs="Calibri"/>
        </w:rPr>
        <w:t>Murotani</w:t>
      </w:r>
      <w:proofErr w:type="spellEnd"/>
      <w:r w:rsidR="00CF546B" w:rsidRPr="00734AB6">
        <w:rPr>
          <w:rFonts w:asciiTheme="majorHAnsi" w:hAnsiTheme="majorHAnsi" w:cs="Calibri"/>
        </w:rPr>
        <w:t xml:space="preserve"> &amp; </w:t>
      </w:r>
      <w:proofErr w:type="spellStart"/>
      <w:r w:rsidR="00CF546B" w:rsidRPr="00734AB6">
        <w:rPr>
          <w:rFonts w:asciiTheme="majorHAnsi" w:hAnsiTheme="majorHAnsi" w:cs="Calibri"/>
        </w:rPr>
        <w:t>Yam</w:t>
      </w:r>
      <w:r w:rsidR="00EF68DF" w:rsidRPr="00734AB6">
        <w:rPr>
          <w:rFonts w:asciiTheme="majorHAnsi" w:hAnsiTheme="majorHAnsi" w:cs="Calibri"/>
        </w:rPr>
        <w:t>atodani</w:t>
      </w:r>
      <w:proofErr w:type="spellEnd"/>
      <w:r w:rsidR="00EF68DF" w:rsidRPr="00734AB6">
        <w:rPr>
          <w:rFonts w:asciiTheme="majorHAnsi" w:hAnsiTheme="majorHAnsi" w:cs="Calibri"/>
        </w:rPr>
        <w:t xml:space="preserve">, 2010). </w:t>
      </w:r>
      <w:r w:rsidR="00C60BD1" w:rsidRPr="00734AB6">
        <w:rPr>
          <w:rFonts w:asciiTheme="majorHAnsi" w:hAnsiTheme="majorHAnsi" w:cs="Calibri"/>
        </w:rPr>
        <w:t xml:space="preserve">The histamine and orexin systems are thought to work synergistically to promote locomotion, cognition </w:t>
      </w:r>
      <w:r w:rsidR="004E547B" w:rsidRPr="00734AB6">
        <w:rPr>
          <w:rFonts w:asciiTheme="majorHAnsi" w:hAnsiTheme="majorHAnsi" w:cs="Calibri"/>
        </w:rPr>
        <w:t>and sleep-wa</w:t>
      </w:r>
      <w:r w:rsidR="00EF68DF" w:rsidRPr="00734AB6">
        <w:rPr>
          <w:rFonts w:asciiTheme="majorHAnsi" w:hAnsiTheme="majorHAnsi" w:cs="Calibri"/>
        </w:rPr>
        <w:t xml:space="preserve">ke regulation (Burgess, 2010). </w:t>
      </w:r>
      <w:r w:rsidR="00D47403" w:rsidRPr="00734AB6">
        <w:rPr>
          <w:rFonts w:asciiTheme="majorHAnsi" w:hAnsiTheme="majorHAnsi" w:cs="Calibri"/>
        </w:rPr>
        <w:t xml:space="preserve">Additionally, although </w:t>
      </w:r>
      <w:r w:rsidR="00F90F8A" w:rsidRPr="00734AB6">
        <w:rPr>
          <w:rFonts w:asciiTheme="majorHAnsi" w:hAnsiTheme="majorHAnsi" w:cs="Calibri"/>
        </w:rPr>
        <w:t>d-</w:t>
      </w:r>
      <w:r w:rsidR="00D47403" w:rsidRPr="00734AB6">
        <w:rPr>
          <w:rFonts w:asciiTheme="majorHAnsi" w:hAnsiTheme="majorHAnsi" w:cs="Calibri"/>
        </w:rPr>
        <w:t>amphetamine</w:t>
      </w:r>
      <w:r w:rsidR="00F90F8A" w:rsidRPr="00734AB6">
        <w:rPr>
          <w:rFonts w:asciiTheme="majorHAnsi" w:hAnsiTheme="majorHAnsi" w:cs="Calibri"/>
        </w:rPr>
        <w:t>’s</w:t>
      </w:r>
      <w:r w:rsidR="00D47403" w:rsidRPr="00734AB6">
        <w:rPr>
          <w:rFonts w:asciiTheme="majorHAnsi" w:hAnsiTheme="majorHAnsi" w:cs="Calibri"/>
        </w:rPr>
        <w:t xml:space="preserve"> and methylphenidate’s psychomotor effects are mediated </w:t>
      </w:r>
      <w:r w:rsidR="00F90F8A" w:rsidRPr="00734AB6">
        <w:rPr>
          <w:rFonts w:asciiTheme="majorHAnsi" w:hAnsiTheme="majorHAnsi" w:cs="Calibri"/>
        </w:rPr>
        <w:t>by catecholaminergic actions (Ferraro et al., 1997</w:t>
      </w:r>
      <w:r w:rsidR="00590BA9" w:rsidRPr="00734AB6">
        <w:rPr>
          <w:rFonts w:asciiTheme="majorHAnsi" w:hAnsiTheme="majorHAnsi" w:cs="Calibri"/>
        </w:rPr>
        <w:t>a</w:t>
      </w:r>
      <w:r w:rsidR="00F90F8A" w:rsidRPr="00734AB6">
        <w:rPr>
          <w:rFonts w:asciiTheme="majorHAnsi" w:hAnsiTheme="majorHAnsi" w:cs="Calibri"/>
        </w:rPr>
        <w:t>), modafinil’s psychomotor effects are not and may occur via the</w:t>
      </w:r>
      <w:r w:rsidR="006018E5" w:rsidRPr="00734AB6">
        <w:rPr>
          <w:rFonts w:asciiTheme="majorHAnsi" w:hAnsiTheme="majorHAnsi" w:cs="Calibri"/>
        </w:rPr>
        <w:t xml:space="preserve"> histamine and orexin systems. </w:t>
      </w:r>
      <w:r w:rsidRPr="00734AB6">
        <w:rPr>
          <w:rFonts w:asciiTheme="majorHAnsi" w:hAnsiTheme="majorHAnsi" w:cs="Calibri"/>
        </w:rPr>
        <w:t xml:space="preserve">Modafinil is a racemate, its two isomers displaying different pharmacokinetic profiles (Darwish, Kirby, </w:t>
      </w:r>
      <w:proofErr w:type="spellStart"/>
      <w:r w:rsidRPr="00734AB6">
        <w:rPr>
          <w:rFonts w:asciiTheme="majorHAnsi" w:hAnsiTheme="majorHAnsi" w:cs="Calibri"/>
        </w:rPr>
        <w:t>Hellriegel</w:t>
      </w:r>
      <w:proofErr w:type="spellEnd"/>
      <w:r w:rsidRPr="00734AB6">
        <w:rPr>
          <w:rFonts w:asciiTheme="majorHAnsi" w:hAnsiTheme="majorHAnsi" w:cs="Calibri"/>
        </w:rPr>
        <w:t xml:space="preserve"> &amp; Robertson, 2009). Its R-enantiomer, armodafinil, appears to maintain higher drug plasma concentrations from four to six hours after administration compared to its S-</w:t>
      </w:r>
      <w:r w:rsidR="002C5FF5" w:rsidRPr="00734AB6">
        <w:rPr>
          <w:rFonts w:asciiTheme="majorHAnsi" w:hAnsiTheme="majorHAnsi" w:cs="Calibri"/>
        </w:rPr>
        <w:t>enantiomer</w:t>
      </w:r>
      <w:r w:rsidRPr="00734AB6">
        <w:rPr>
          <w:rFonts w:asciiTheme="majorHAnsi" w:hAnsiTheme="majorHAnsi" w:cs="Calibri"/>
        </w:rPr>
        <w:t xml:space="preserve"> version. This </w:t>
      </w:r>
      <w:r w:rsidR="00C50DF7" w:rsidRPr="00734AB6">
        <w:rPr>
          <w:rFonts w:asciiTheme="majorHAnsi" w:hAnsiTheme="majorHAnsi" w:cs="Calibri"/>
        </w:rPr>
        <w:t>phenom</w:t>
      </w:r>
      <w:r w:rsidR="0027315D" w:rsidRPr="00734AB6">
        <w:rPr>
          <w:rFonts w:asciiTheme="majorHAnsi" w:hAnsiTheme="majorHAnsi" w:cs="Calibri"/>
        </w:rPr>
        <w:t xml:space="preserve">enon </w:t>
      </w:r>
      <w:r w:rsidRPr="00734AB6">
        <w:rPr>
          <w:rFonts w:asciiTheme="majorHAnsi" w:hAnsiTheme="majorHAnsi" w:cs="Calibri"/>
        </w:rPr>
        <w:t xml:space="preserve">is believed to be due to a monophasic elimination profile in armodafinil compared to the biphasic elimination profile of </w:t>
      </w:r>
      <w:r w:rsidR="008D34DC" w:rsidRPr="00734AB6">
        <w:rPr>
          <w:rFonts w:asciiTheme="majorHAnsi" w:hAnsiTheme="majorHAnsi" w:cs="Calibri"/>
        </w:rPr>
        <w:t>modafinil</w:t>
      </w:r>
      <w:r w:rsidRPr="00734AB6">
        <w:rPr>
          <w:rFonts w:asciiTheme="majorHAnsi" w:hAnsiTheme="majorHAnsi" w:cs="Calibri"/>
        </w:rPr>
        <w:t xml:space="preserve"> (Darwish </w:t>
      </w:r>
      <w:r w:rsidR="001B71DF" w:rsidRPr="00734AB6">
        <w:rPr>
          <w:rFonts w:asciiTheme="majorHAnsi" w:hAnsiTheme="majorHAnsi" w:cs="Calibri"/>
        </w:rPr>
        <w:t>et al.</w:t>
      </w:r>
      <w:r w:rsidR="006018E5" w:rsidRPr="00734AB6">
        <w:rPr>
          <w:rFonts w:asciiTheme="majorHAnsi" w:hAnsiTheme="majorHAnsi" w:cs="Calibri"/>
        </w:rPr>
        <w:t xml:space="preserve">, 2009). </w:t>
      </w:r>
      <w:r w:rsidRPr="00734AB6">
        <w:rPr>
          <w:rFonts w:asciiTheme="majorHAnsi" w:hAnsiTheme="majorHAnsi" w:cs="Calibri"/>
        </w:rPr>
        <w:t xml:space="preserve">As a result, armodafinil maintains higher plasma concentrations late in the day (Darwish </w:t>
      </w:r>
      <w:r w:rsidR="001B71DF" w:rsidRPr="00734AB6">
        <w:rPr>
          <w:rFonts w:asciiTheme="majorHAnsi" w:hAnsiTheme="majorHAnsi" w:cs="Calibri"/>
        </w:rPr>
        <w:t>et al.</w:t>
      </w:r>
      <w:r w:rsidR="00D57756" w:rsidRPr="00734AB6">
        <w:rPr>
          <w:rFonts w:asciiTheme="majorHAnsi" w:hAnsiTheme="majorHAnsi" w:cs="Calibri"/>
        </w:rPr>
        <w:t>, 2009</w:t>
      </w:r>
      <w:r w:rsidRPr="00734AB6">
        <w:rPr>
          <w:rFonts w:asciiTheme="majorHAnsi" w:hAnsiTheme="majorHAnsi" w:cs="Calibri"/>
        </w:rPr>
        <w:t>).</w:t>
      </w:r>
      <w:r w:rsidR="006018E5" w:rsidRPr="00734AB6">
        <w:rPr>
          <w:rFonts w:asciiTheme="majorHAnsi" w:hAnsiTheme="majorHAnsi" w:cs="Calibri"/>
        </w:rPr>
        <w:t xml:space="preserve"> </w:t>
      </w:r>
      <w:r w:rsidR="0097794A" w:rsidRPr="00734AB6">
        <w:rPr>
          <w:rFonts w:asciiTheme="majorHAnsi" w:hAnsiTheme="majorHAnsi" w:cs="Calibri"/>
        </w:rPr>
        <w:t xml:space="preserve">Although this may prove beneficial for those with excessive sleepiness and other waking disorders, </w:t>
      </w:r>
      <w:r w:rsidR="003E3598" w:rsidRPr="00734AB6">
        <w:rPr>
          <w:rFonts w:asciiTheme="majorHAnsi" w:hAnsiTheme="majorHAnsi" w:cs="Calibri"/>
        </w:rPr>
        <w:t xml:space="preserve">it </w:t>
      </w:r>
      <w:r w:rsidR="0097794A" w:rsidRPr="00734AB6">
        <w:rPr>
          <w:rFonts w:asciiTheme="majorHAnsi" w:hAnsiTheme="majorHAnsi" w:cs="Calibri"/>
        </w:rPr>
        <w:t>may also make armodafinil less desirable for those who seek cognitive enhancement</w:t>
      </w:r>
      <w:r w:rsidR="002C5FF5" w:rsidRPr="00734AB6">
        <w:rPr>
          <w:rFonts w:asciiTheme="majorHAnsi" w:hAnsiTheme="majorHAnsi" w:cs="Calibri"/>
        </w:rPr>
        <w:t>,</w:t>
      </w:r>
      <w:r w:rsidR="0097794A" w:rsidRPr="00734AB6">
        <w:rPr>
          <w:rFonts w:asciiTheme="majorHAnsi" w:hAnsiTheme="majorHAnsi" w:cs="Calibri"/>
        </w:rPr>
        <w:t xml:space="preserve"> if this results in insomnia.</w:t>
      </w:r>
    </w:p>
    <w:p w14:paraId="092DC840" w14:textId="180E37F6"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Modafinil is well absorbed, reaching peak plasma concentration between two and four hours following oral administration, and has a long half-life of approximately 12-15 hours (Darwish </w:t>
      </w:r>
      <w:r w:rsidR="001B71DF" w:rsidRPr="00734AB6">
        <w:rPr>
          <w:rFonts w:asciiTheme="majorHAnsi" w:hAnsiTheme="majorHAnsi" w:cs="Calibri"/>
        </w:rPr>
        <w:t>et al.</w:t>
      </w:r>
      <w:r w:rsidRPr="00734AB6">
        <w:rPr>
          <w:rFonts w:asciiTheme="majorHAnsi" w:hAnsiTheme="majorHAnsi" w:cs="Calibri"/>
        </w:rPr>
        <w:t xml:space="preserve">, 2009; Wong </w:t>
      </w:r>
      <w:r w:rsidR="001B71DF" w:rsidRPr="00734AB6">
        <w:rPr>
          <w:rFonts w:asciiTheme="majorHAnsi" w:hAnsiTheme="majorHAnsi" w:cs="Calibri"/>
        </w:rPr>
        <w:t>et al.</w:t>
      </w:r>
      <w:r w:rsidR="006018E5" w:rsidRPr="00734AB6">
        <w:rPr>
          <w:rFonts w:asciiTheme="majorHAnsi" w:hAnsiTheme="majorHAnsi" w:cs="Calibri"/>
        </w:rPr>
        <w:t xml:space="preserve">, 1999). </w:t>
      </w:r>
      <w:r w:rsidRPr="00734AB6">
        <w:rPr>
          <w:rFonts w:asciiTheme="majorHAnsi" w:hAnsiTheme="majorHAnsi" w:cs="Calibri"/>
        </w:rPr>
        <w:t>At least 40-65% of the drug is absorbed and</w:t>
      </w:r>
      <w:r w:rsidR="007741DD" w:rsidRPr="00734AB6">
        <w:rPr>
          <w:rFonts w:asciiTheme="majorHAnsi" w:hAnsiTheme="majorHAnsi" w:cs="Calibri"/>
        </w:rPr>
        <w:t>,</w:t>
      </w:r>
      <w:r w:rsidRPr="00734AB6">
        <w:rPr>
          <w:rFonts w:asciiTheme="majorHAnsi" w:hAnsiTheme="majorHAnsi" w:cs="Calibri"/>
        </w:rPr>
        <w:t xml:space="preserve"> although food in the gastrointestinal tract may slow absorption, it does not affect the total rate (Robertson </w:t>
      </w:r>
      <w:r w:rsidRPr="00734AB6">
        <w:rPr>
          <w:rFonts w:asciiTheme="majorHAnsi" w:hAnsiTheme="majorHAnsi" w:cs="Calibri"/>
        </w:rPr>
        <w:lastRenderedPageBreak/>
        <w:t xml:space="preserve">&amp; </w:t>
      </w:r>
      <w:proofErr w:type="spellStart"/>
      <w:r w:rsidRPr="00734AB6">
        <w:rPr>
          <w:rFonts w:asciiTheme="majorHAnsi" w:hAnsiTheme="majorHAnsi" w:cs="Calibri"/>
        </w:rPr>
        <w:t>Hellriegel</w:t>
      </w:r>
      <w:proofErr w:type="spellEnd"/>
      <w:r w:rsidRPr="00734AB6">
        <w:rPr>
          <w:rFonts w:asciiTheme="majorHAnsi" w:hAnsiTheme="majorHAnsi" w:cs="Calibri"/>
        </w:rPr>
        <w:t>, 2003). Modafinil is highly lipophilic with approximately 60% bound to plasma proteins, elimination occurs largely in the liver by mainly amide hydrolysis, and to a lesser degree via cytochrome P450 enzyme oxidation (</w:t>
      </w:r>
      <w:proofErr w:type="spellStart"/>
      <w:r w:rsidRPr="00734AB6">
        <w:rPr>
          <w:rFonts w:asciiTheme="majorHAnsi" w:hAnsiTheme="majorHAnsi" w:cs="Calibri"/>
        </w:rPr>
        <w:t>Minze</w:t>
      </w:r>
      <w:r w:rsidR="006018E5" w:rsidRPr="00734AB6">
        <w:rPr>
          <w:rFonts w:asciiTheme="majorHAnsi" w:hAnsiTheme="majorHAnsi" w:cs="Calibri"/>
        </w:rPr>
        <w:t>nberg</w:t>
      </w:r>
      <w:proofErr w:type="spellEnd"/>
      <w:r w:rsidR="006018E5" w:rsidRPr="00734AB6">
        <w:rPr>
          <w:rFonts w:asciiTheme="majorHAnsi" w:hAnsiTheme="majorHAnsi" w:cs="Calibri"/>
        </w:rPr>
        <w:t xml:space="preserve"> &amp; Carter 2008). </w:t>
      </w:r>
      <w:r w:rsidRPr="00734AB6">
        <w:rPr>
          <w:rFonts w:asciiTheme="majorHAnsi" w:hAnsiTheme="majorHAnsi" w:cs="Calibri"/>
        </w:rPr>
        <w:t>Excretion is through urine, with under 10% of the drug unchanged (</w:t>
      </w:r>
      <w:r w:rsidR="004E1F1D" w:rsidRPr="00734AB6">
        <w:rPr>
          <w:rFonts w:asciiTheme="majorHAnsi" w:hAnsiTheme="majorHAnsi" w:cs="Calibri"/>
        </w:rPr>
        <w:t xml:space="preserve">Robertson &amp; </w:t>
      </w:r>
      <w:proofErr w:type="spellStart"/>
      <w:r w:rsidR="004E1F1D" w:rsidRPr="00734AB6">
        <w:rPr>
          <w:rFonts w:asciiTheme="majorHAnsi" w:hAnsiTheme="majorHAnsi" w:cs="Calibri"/>
        </w:rPr>
        <w:t>Hellriegel</w:t>
      </w:r>
      <w:proofErr w:type="spellEnd"/>
      <w:r w:rsidR="00CF76E8" w:rsidRPr="00734AB6">
        <w:rPr>
          <w:rFonts w:asciiTheme="majorHAnsi" w:hAnsiTheme="majorHAnsi" w:cs="Calibri"/>
        </w:rPr>
        <w:t xml:space="preserve">). </w:t>
      </w:r>
      <w:r w:rsidRPr="00734AB6">
        <w:rPr>
          <w:rFonts w:asciiTheme="majorHAnsi" w:hAnsiTheme="majorHAnsi" w:cs="Calibri"/>
        </w:rPr>
        <w:t>It has been found to be well-tolerated, with low incidence of adverse effects and low potential for a</w:t>
      </w:r>
      <w:r w:rsidR="00CF76E8" w:rsidRPr="00734AB6">
        <w:rPr>
          <w:rFonts w:asciiTheme="majorHAnsi" w:hAnsiTheme="majorHAnsi" w:cs="Calibri"/>
        </w:rPr>
        <w:t xml:space="preserve">buse (Schmitt &amp; Reith, 2011). </w:t>
      </w:r>
      <w:r w:rsidRPr="00734AB6">
        <w:rPr>
          <w:rFonts w:asciiTheme="majorHAnsi" w:hAnsiTheme="majorHAnsi" w:cs="Calibri"/>
        </w:rPr>
        <w:t xml:space="preserve">The recommended daily dose of </w:t>
      </w:r>
      <w:r w:rsidR="004600DB" w:rsidRPr="00734AB6">
        <w:rPr>
          <w:rFonts w:asciiTheme="majorHAnsi" w:hAnsiTheme="majorHAnsi" w:cs="Calibri"/>
        </w:rPr>
        <w:t>modafinil</w:t>
      </w:r>
      <w:r w:rsidRPr="00734AB6">
        <w:rPr>
          <w:rFonts w:asciiTheme="majorHAnsi" w:hAnsiTheme="majorHAnsi" w:cs="Calibri"/>
        </w:rPr>
        <w:t xml:space="preserve"> for narcolepsy ranges from 10</w:t>
      </w:r>
      <w:r w:rsidR="006018E5" w:rsidRPr="00734AB6">
        <w:rPr>
          <w:rFonts w:asciiTheme="majorHAnsi" w:hAnsiTheme="majorHAnsi" w:cs="Calibri"/>
        </w:rPr>
        <w:t xml:space="preserve">0mg to 400mg (Provigil, 2010). </w:t>
      </w:r>
    </w:p>
    <w:p w14:paraId="162A57BF" w14:textId="14641712" w:rsidR="00680C01"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The most common adverse effects of </w:t>
      </w:r>
      <w:r w:rsidR="004600DB" w:rsidRPr="00734AB6">
        <w:rPr>
          <w:rFonts w:asciiTheme="majorHAnsi" w:hAnsiTheme="majorHAnsi" w:cs="Calibri"/>
        </w:rPr>
        <w:t>modafinil</w:t>
      </w:r>
      <w:r w:rsidRPr="00734AB6">
        <w:rPr>
          <w:rFonts w:asciiTheme="majorHAnsi" w:hAnsiTheme="majorHAnsi" w:cs="Calibri"/>
        </w:rPr>
        <w:t xml:space="preserve"> are headache, nausea, nervousness, rhinitis, diarrhoea, back pain, anxiety, insomnia, dizziness an</w:t>
      </w:r>
      <w:r w:rsidR="00CF76E8" w:rsidRPr="00734AB6">
        <w:rPr>
          <w:rFonts w:asciiTheme="majorHAnsi" w:hAnsiTheme="majorHAnsi" w:cs="Calibri"/>
        </w:rPr>
        <w:t xml:space="preserve">d dyspepsia (Provigil, 2010). </w:t>
      </w:r>
      <w:r w:rsidRPr="00734AB6">
        <w:rPr>
          <w:rFonts w:asciiTheme="majorHAnsi" w:hAnsiTheme="majorHAnsi" w:cs="Calibri"/>
        </w:rPr>
        <w:t>Less commonly, skin rash is reported and there have been rare reports of serious rashes such as Stevens-Johnson Syndrome, Toxic Epidermal Necrolysis and one case of multi-organ hype</w:t>
      </w:r>
      <w:r w:rsidR="00EA4467" w:rsidRPr="00734AB6">
        <w:rPr>
          <w:rFonts w:asciiTheme="majorHAnsi" w:hAnsiTheme="majorHAnsi" w:cs="Calibri"/>
        </w:rPr>
        <w:t>rsensitivity (Provigil</w:t>
      </w:r>
      <w:r w:rsidR="00D57756" w:rsidRPr="00734AB6">
        <w:rPr>
          <w:rFonts w:asciiTheme="majorHAnsi" w:hAnsiTheme="majorHAnsi" w:cs="Calibri"/>
        </w:rPr>
        <w:t>, 2010</w:t>
      </w:r>
      <w:r w:rsidR="00262F7F" w:rsidRPr="00734AB6">
        <w:rPr>
          <w:rFonts w:asciiTheme="majorHAnsi" w:hAnsiTheme="majorHAnsi" w:cs="Calibri"/>
        </w:rPr>
        <w:t xml:space="preserve">). </w:t>
      </w:r>
      <w:r w:rsidRPr="00734AB6">
        <w:rPr>
          <w:rFonts w:asciiTheme="majorHAnsi" w:hAnsiTheme="majorHAnsi" w:cs="Calibri"/>
        </w:rPr>
        <w:t>Stevens-Johnson Syndrome affects the mucous membranes and can affect the eyes, mouth and throat but also presents as a skin rash, often with disc-shaped lesions occurring on the extremities, commonly accompanied by flu-like sym</w:t>
      </w:r>
      <w:r w:rsidR="00262F7F" w:rsidRPr="00734AB6">
        <w:rPr>
          <w:rFonts w:asciiTheme="majorHAnsi" w:hAnsiTheme="majorHAnsi" w:cs="Calibri"/>
        </w:rPr>
        <w:t>ptoms (</w:t>
      </w:r>
      <w:proofErr w:type="spellStart"/>
      <w:r w:rsidR="00262F7F" w:rsidRPr="00734AB6">
        <w:rPr>
          <w:rFonts w:asciiTheme="majorHAnsi" w:hAnsiTheme="majorHAnsi" w:cs="Calibri"/>
        </w:rPr>
        <w:t>Karaman</w:t>
      </w:r>
      <w:proofErr w:type="spellEnd"/>
      <w:r w:rsidR="00262F7F" w:rsidRPr="00734AB6">
        <w:rPr>
          <w:rFonts w:asciiTheme="majorHAnsi" w:hAnsiTheme="majorHAnsi" w:cs="Calibri"/>
        </w:rPr>
        <w:t xml:space="preserve"> &amp; Ilhan, 2010). </w:t>
      </w:r>
      <w:r w:rsidRPr="00734AB6">
        <w:rPr>
          <w:rFonts w:asciiTheme="majorHAnsi" w:hAnsiTheme="majorHAnsi" w:cs="Calibri"/>
        </w:rPr>
        <w:t xml:space="preserve">Toxic Epidermal Necrolysis is believed to be associated with </w:t>
      </w:r>
      <w:r w:rsidR="006018E5" w:rsidRPr="00734AB6">
        <w:rPr>
          <w:rFonts w:asciiTheme="majorHAnsi" w:hAnsiTheme="majorHAnsi" w:cs="Calibri"/>
        </w:rPr>
        <w:t>Stevens-Johnson Syndrome</w:t>
      </w:r>
      <w:r w:rsidR="00835D8A" w:rsidRPr="00734AB6">
        <w:rPr>
          <w:rFonts w:asciiTheme="majorHAnsi" w:hAnsiTheme="majorHAnsi" w:cs="Calibri"/>
        </w:rPr>
        <w:t>,</w:t>
      </w:r>
      <w:r w:rsidRPr="00734AB6">
        <w:rPr>
          <w:rFonts w:asciiTheme="majorHAnsi" w:hAnsiTheme="majorHAnsi" w:cs="Calibri"/>
        </w:rPr>
        <w:t xml:space="preserve"> </w:t>
      </w:r>
      <w:r w:rsidR="00835D8A" w:rsidRPr="00734AB6">
        <w:rPr>
          <w:rFonts w:asciiTheme="majorHAnsi" w:hAnsiTheme="majorHAnsi" w:cs="Calibri"/>
        </w:rPr>
        <w:t>existing</w:t>
      </w:r>
      <w:r w:rsidRPr="00734AB6">
        <w:rPr>
          <w:rFonts w:asciiTheme="majorHAnsi" w:hAnsiTheme="majorHAnsi" w:cs="Calibri"/>
        </w:rPr>
        <w:t xml:space="preserve"> along a spectrum </w:t>
      </w:r>
      <w:r w:rsidR="00262F7F" w:rsidRPr="00734AB6">
        <w:rPr>
          <w:rFonts w:asciiTheme="majorHAnsi" w:hAnsiTheme="majorHAnsi" w:cs="Calibri"/>
        </w:rPr>
        <w:t>(</w:t>
      </w:r>
      <w:proofErr w:type="spellStart"/>
      <w:r w:rsidR="00262F7F" w:rsidRPr="00734AB6">
        <w:rPr>
          <w:rFonts w:asciiTheme="majorHAnsi" w:hAnsiTheme="majorHAnsi" w:cs="Calibri"/>
        </w:rPr>
        <w:t>Saurat</w:t>
      </w:r>
      <w:proofErr w:type="spellEnd"/>
      <w:r w:rsidR="00262F7F" w:rsidRPr="00734AB6">
        <w:rPr>
          <w:rFonts w:asciiTheme="majorHAnsi" w:hAnsiTheme="majorHAnsi" w:cs="Calibri"/>
        </w:rPr>
        <w:t>, 2001).</w:t>
      </w:r>
      <w:r w:rsidRPr="00734AB6">
        <w:rPr>
          <w:rFonts w:asciiTheme="majorHAnsi" w:hAnsiTheme="majorHAnsi" w:cs="Calibri"/>
        </w:rPr>
        <w:t xml:space="preserve"> The hallmark of </w:t>
      </w:r>
      <w:r w:rsidR="00262F7F" w:rsidRPr="00734AB6">
        <w:rPr>
          <w:rFonts w:asciiTheme="majorHAnsi" w:hAnsiTheme="majorHAnsi" w:cs="Calibri"/>
        </w:rPr>
        <w:t>Toxic Epidermal Necrolysis</w:t>
      </w:r>
      <w:r w:rsidRPr="00734AB6">
        <w:rPr>
          <w:rFonts w:asciiTheme="majorHAnsi" w:hAnsiTheme="majorHAnsi" w:cs="Calibri"/>
        </w:rPr>
        <w:t xml:space="preserve"> is massive cell death of keratinocytes, the main epidermal cell forming the skin, and presents as a loosening of the epidermis with large sheets of skin peeling off (Pereira, </w:t>
      </w:r>
      <w:proofErr w:type="spellStart"/>
      <w:r w:rsidRPr="00734AB6">
        <w:rPr>
          <w:rFonts w:asciiTheme="majorHAnsi" w:hAnsiTheme="majorHAnsi" w:cs="Calibri"/>
        </w:rPr>
        <w:t>Mudgil</w:t>
      </w:r>
      <w:proofErr w:type="spellEnd"/>
      <w:r w:rsidRPr="00734AB6">
        <w:rPr>
          <w:rFonts w:asciiTheme="majorHAnsi" w:hAnsiTheme="majorHAnsi" w:cs="Calibri"/>
        </w:rPr>
        <w:t xml:space="preserve"> &amp; </w:t>
      </w:r>
      <w:proofErr w:type="spellStart"/>
      <w:r w:rsidRPr="00734AB6">
        <w:rPr>
          <w:rFonts w:asciiTheme="majorHAnsi" w:hAnsiTheme="majorHAnsi" w:cs="Calibri"/>
        </w:rPr>
        <w:t>Rosmarin</w:t>
      </w:r>
      <w:proofErr w:type="spellEnd"/>
      <w:r w:rsidRPr="00734AB6">
        <w:rPr>
          <w:rFonts w:asciiTheme="majorHAnsi" w:hAnsiTheme="majorHAnsi" w:cs="Calibri"/>
        </w:rPr>
        <w:t xml:space="preserve">, 2007). As indicated in the datasheet, the reporting rate of </w:t>
      </w:r>
      <w:r w:rsidR="006018E5" w:rsidRPr="00734AB6">
        <w:rPr>
          <w:rFonts w:asciiTheme="majorHAnsi" w:hAnsiTheme="majorHAnsi" w:cs="Calibri"/>
        </w:rPr>
        <w:t>Stevens-Johnson Syndrome</w:t>
      </w:r>
      <w:r w:rsidRPr="00734AB6">
        <w:rPr>
          <w:rFonts w:asciiTheme="majorHAnsi" w:hAnsiTheme="majorHAnsi" w:cs="Calibri"/>
        </w:rPr>
        <w:t xml:space="preserve"> and </w:t>
      </w:r>
      <w:r w:rsidR="00262F7F" w:rsidRPr="00734AB6">
        <w:rPr>
          <w:rFonts w:asciiTheme="majorHAnsi" w:hAnsiTheme="majorHAnsi" w:cs="Calibri"/>
        </w:rPr>
        <w:t>Toxic Epidermal Necrolysis</w:t>
      </w:r>
      <w:r w:rsidRPr="00734AB6">
        <w:rPr>
          <w:rFonts w:asciiTheme="majorHAnsi" w:hAnsiTheme="majorHAnsi" w:cs="Calibri"/>
        </w:rPr>
        <w:t xml:space="preserve"> associated with </w:t>
      </w:r>
      <w:r w:rsidR="004600DB" w:rsidRPr="00734AB6">
        <w:rPr>
          <w:rFonts w:asciiTheme="majorHAnsi" w:hAnsiTheme="majorHAnsi" w:cs="Calibri"/>
        </w:rPr>
        <w:t>modafinil</w:t>
      </w:r>
      <w:r w:rsidRPr="00734AB6">
        <w:rPr>
          <w:rFonts w:asciiTheme="majorHAnsi" w:hAnsiTheme="majorHAnsi" w:cs="Calibri"/>
        </w:rPr>
        <w:t xml:space="preserve"> use (accepted to be underestimated due to under-reporting) exceeds the bac</w:t>
      </w:r>
      <w:r w:rsidR="00EA4467" w:rsidRPr="00734AB6">
        <w:rPr>
          <w:rFonts w:asciiTheme="majorHAnsi" w:hAnsiTheme="majorHAnsi" w:cs="Calibri"/>
        </w:rPr>
        <w:t>kground incident rate (</w:t>
      </w:r>
      <w:r w:rsidR="00B94388" w:rsidRPr="00734AB6">
        <w:rPr>
          <w:rFonts w:asciiTheme="majorHAnsi" w:hAnsiTheme="majorHAnsi" w:cs="Calibri"/>
        </w:rPr>
        <w:t xml:space="preserve">datasheet, </w:t>
      </w:r>
      <w:r w:rsidR="00EA4467" w:rsidRPr="00734AB6">
        <w:rPr>
          <w:rFonts w:asciiTheme="majorHAnsi" w:hAnsiTheme="majorHAnsi" w:cs="Calibri"/>
        </w:rPr>
        <w:t>Provigil</w:t>
      </w:r>
      <w:r w:rsidR="00D57756" w:rsidRPr="00734AB6">
        <w:rPr>
          <w:rFonts w:asciiTheme="majorHAnsi" w:hAnsiTheme="majorHAnsi" w:cs="Calibri"/>
        </w:rPr>
        <w:t>, 2010</w:t>
      </w:r>
      <w:r w:rsidRPr="00734AB6">
        <w:rPr>
          <w:rFonts w:asciiTheme="majorHAnsi" w:hAnsiTheme="majorHAnsi" w:cs="Calibri"/>
        </w:rPr>
        <w:t xml:space="preserve">), which would suggest that in off-prescription </w:t>
      </w:r>
      <w:r w:rsidR="00262F7F" w:rsidRPr="00734AB6">
        <w:rPr>
          <w:rFonts w:asciiTheme="majorHAnsi" w:hAnsiTheme="majorHAnsi" w:cs="Calibri"/>
        </w:rPr>
        <w:t xml:space="preserve">users this may go undiagnosed. </w:t>
      </w:r>
      <w:r w:rsidRPr="00734AB6">
        <w:rPr>
          <w:rFonts w:asciiTheme="majorHAnsi" w:hAnsiTheme="majorHAnsi" w:cs="Calibri"/>
        </w:rPr>
        <w:t>Drug interactions are apparent with diazepam, phenyto</w:t>
      </w:r>
      <w:r w:rsidR="00262F7F" w:rsidRPr="00734AB6">
        <w:rPr>
          <w:rFonts w:asciiTheme="majorHAnsi" w:hAnsiTheme="majorHAnsi" w:cs="Calibri"/>
        </w:rPr>
        <w:t xml:space="preserve">in, propranolol, and warfarin. </w:t>
      </w:r>
      <w:r w:rsidRPr="00734AB6">
        <w:rPr>
          <w:rFonts w:asciiTheme="majorHAnsi" w:hAnsiTheme="majorHAnsi" w:cs="Calibri"/>
        </w:rPr>
        <w:t xml:space="preserve">In </w:t>
      </w:r>
      <w:r w:rsidR="00A42D6B" w:rsidRPr="00734AB6">
        <w:rPr>
          <w:rFonts w:asciiTheme="majorHAnsi" w:hAnsiTheme="majorHAnsi" w:cs="Calibri"/>
        </w:rPr>
        <w:t xml:space="preserve">individuals who are </w:t>
      </w:r>
      <w:r w:rsidRPr="00734AB6">
        <w:rPr>
          <w:rFonts w:asciiTheme="majorHAnsi" w:hAnsiTheme="majorHAnsi" w:cs="Calibri"/>
        </w:rPr>
        <w:t xml:space="preserve">deficient in the enzyme </w:t>
      </w:r>
      <w:r w:rsidRPr="00734AB6">
        <w:rPr>
          <w:rFonts w:asciiTheme="majorHAnsi" w:hAnsiTheme="majorHAnsi"/>
        </w:rPr>
        <w:t>CYP2D6, tricyclic antidepressants and selective serotonin reuptake inhibit</w:t>
      </w:r>
      <w:r w:rsidR="00EA4467" w:rsidRPr="00734AB6">
        <w:rPr>
          <w:rFonts w:asciiTheme="majorHAnsi" w:hAnsiTheme="majorHAnsi"/>
        </w:rPr>
        <w:t>ors may also interact (Provigil</w:t>
      </w:r>
      <w:r w:rsidR="00D57756" w:rsidRPr="00734AB6">
        <w:rPr>
          <w:rFonts w:asciiTheme="majorHAnsi" w:hAnsiTheme="majorHAnsi"/>
        </w:rPr>
        <w:t>, 2010</w:t>
      </w:r>
      <w:r w:rsidRPr="00734AB6">
        <w:rPr>
          <w:rFonts w:asciiTheme="majorHAnsi" w:hAnsiTheme="majorHAnsi"/>
        </w:rPr>
        <w:t>).</w:t>
      </w:r>
      <w:r w:rsidR="00262F7F" w:rsidRPr="00734AB6">
        <w:rPr>
          <w:rFonts w:asciiTheme="majorHAnsi" w:hAnsiTheme="majorHAnsi" w:cs="Calibri"/>
        </w:rPr>
        <w:t xml:space="preserve"> </w:t>
      </w:r>
      <w:r w:rsidR="00680C01" w:rsidRPr="00734AB6">
        <w:rPr>
          <w:rFonts w:asciiTheme="majorHAnsi" w:hAnsiTheme="majorHAnsi" w:cs="Calibri"/>
        </w:rPr>
        <w:t xml:space="preserve">Following the Psychoactive Substances Act (Home Office, 2016), </w:t>
      </w:r>
      <w:r w:rsidR="00B77A4E" w:rsidRPr="00734AB6">
        <w:rPr>
          <w:rFonts w:asciiTheme="majorHAnsi" w:hAnsiTheme="majorHAnsi" w:cs="Calibri"/>
        </w:rPr>
        <w:t>modafinil</w:t>
      </w:r>
      <w:r w:rsidR="00680C01" w:rsidRPr="00734AB6">
        <w:rPr>
          <w:rFonts w:asciiTheme="majorHAnsi" w:hAnsiTheme="majorHAnsi" w:cs="Calibri"/>
        </w:rPr>
        <w:t xml:space="preserve"> is now illegal to buy, sell or supply in the UK. However, </w:t>
      </w:r>
      <w:r w:rsidR="00B77A4E" w:rsidRPr="00734AB6">
        <w:rPr>
          <w:rFonts w:asciiTheme="majorHAnsi" w:hAnsiTheme="majorHAnsi" w:cs="Calibri"/>
        </w:rPr>
        <w:t xml:space="preserve">it </w:t>
      </w:r>
      <w:r w:rsidR="00680C01" w:rsidRPr="00734AB6">
        <w:rPr>
          <w:rFonts w:asciiTheme="majorHAnsi" w:hAnsiTheme="majorHAnsi" w:cs="Calibri"/>
        </w:rPr>
        <w:t>is not currently listed in the Misuse of Drugs Act (Home Office, 1971) and</w:t>
      </w:r>
      <w:r w:rsidR="001A34FD" w:rsidRPr="00734AB6">
        <w:rPr>
          <w:rFonts w:asciiTheme="majorHAnsi" w:hAnsiTheme="majorHAnsi" w:cs="Calibri"/>
        </w:rPr>
        <w:t>,</w:t>
      </w:r>
      <w:r w:rsidR="00680C01" w:rsidRPr="00734AB6">
        <w:rPr>
          <w:rFonts w:asciiTheme="majorHAnsi" w:hAnsiTheme="majorHAnsi" w:cs="Calibri"/>
        </w:rPr>
        <w:t xml:space="preserve"> therefore</w:t>
      </w:r>
      <w:r w:rsidR="001A34FD" w:rsidRPr="00734AB6">
        <w:rPr>
          <w:rFonts w:asciiTheme="majorHAnsi" w:hAnsiTheme="majorHAnsi" w:cs="Calibri"/>
        </w:rPr>
        <w:t>,</w:t>
      </w:r>
      <w:r w:rsidR="00680C01" w:rsidRPr="00734AB6">
        <w:rPr>
          <w:rFonts w:asciiTheme="majorHAnsi" w:hAnsiTheme="majorHAnsi" w:cs="Calibri"/>
        </w:rPr>
        <w:t xml:space="preserve"> possession is not illegal.  </w:t>
      </w:r>
    </w:p>
    <w:p w14:paraId="1BE8248F"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5C1B671A" w14:textId="4F4C4482" w:rsidR="00E73007" w:rsidRPr="00734AB6" w:rsidRDefault="00D9490A" w:rsidP="00DA16AF">
      <w:pPr>
        <w:pStyle w:val="Heading3"/>
        <w:spacing w:after="240" w:line="360" w:lineRule="auto"/>
        <w:rPr>
          <w:b/>
          <w:color w:val="auto"/>
          <w:sz w:val="22"/>
          <w:szCs w:val="22"/>
        </w:rPr>
      </w:pPr>
      <w:bookmarkStart w:id="10" w:name="_Toc48136322"/>
      <w:r w:rsidRPr="00734AB6">
        <w:rPr>
          <w:b/>
          <w:color w:val="auto"/>
          <w:sz w:val="22"/>
          <w:szCs w:val="22"/>
        </w:rPr>
        <w:t>1.4</w:t>
      </w:r>
      <w:r w:rsidR="00AC46E6" w:rsidRPr="00734AB6">
        <w:rPr>
          <w:b/>
          <w:color w:val="auto"/>
          <w:sz w:val="22"/>
          <w:szCs w:val="22"/>
        </w:rPr>
        <w:t xml:space="preserve">.1 </w:t>
      </w:r>
      <w:r w:rsidR="00E73007" w:rsidRPr="00734AB6">
        <w:rPr>
          <w:b/>
          <w:color w:val="auto"/>
          <w:sz w:val="22"/>
          <w:szCs w:val="22"/>
        </w:rPr>
        <w:t xml:space="preserve">Laboratory-based studies of </w:t>
      </w:r>
      <w:r w:rsidR="004600DB" w:rsidRPr="00734AB6">
        <w:rPr>
          <w:rFonts w:cs="Calibri"/>
          <w:b/>
          <w:color w:val="auto"/>
          <w:sz w:val="22"/>
          <w:szCs w:val="22"/>
        </w:rPr>
        <w:t>modafinil</w:t>
      </w:r>
      <w:bookmarkEnd w:id="10"/>
    </w:p>
    <w:p w14:paraId="00BCA054" w14:textId="792A349F" w:rsidR="00680C01" w:rsidRPr="00734AB6" w:rsidRDefault="00680C01"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Modafinil was originally developed in 1988 to treat narcolepsy</w:t>
      </w:r>
      <w:r w:rsidR="00B77A4E" w:rsidRPr="00734AB6">
        <w:rPr>
          <w:rFonts w:asciiTheme="majorHAnsi" w:hAnsiTheme="majorHAnsi" w:cs="Calibri"/>
        </w:rPr>
        <w:t>.</w:t>
      </w:r>
      <w:r w:rsidRPr="00734AB6">
        <w:rPr>
          <w:rFonts w:asciiTheme="majorHAnsi" w:hAnsiTheme="majorHAnsi" w:cs="Calibri"/>
        </w:rPr>
        <w:t xml:space="preserve"> </w:t>
      </w:r>
      <w:r w:rsidR="00B77A4E" w:rsidRPr="00734AB6">
        <w:rPr>
          <w:rFonts w:asciiTheme="majorHAnsi" w:hAnsiTheme="majorHAnsi" w:cs="Calibri"/>
        </w:rPr>
        <w:t>I</w:t>
      </w:r>
      <w:r w:rsidRPr="00734AB6">
        <w:rPr>
          <w:rFonts w:asciiTheme="majorHAnsi" w:hAnsiTheme="majorHAnsi" w:cs="Calibri"/>
        </w:rPr>
        <w:t xml:space="preserve">ts approved uses have since expanded to treat </w:t>
      </w:r>
      <w:r w:rsidR="0093489B" w:rsidRPr="00734AB6">
        <w:rPr>
          <w:rFonts w:asciiTheme="majorHAnsi" w:hAnsiTheme="majorHAnsi" w:cs="Calibri"/>
        </w:rPr>
        <w:t xml:space="preserve">obstructive sleep </w:t>
      </w:r>
      <w:proofErr w:type="spellStart"/>
      <w:r w:rsidR="0093489B" w:rsidRPr="00734AB6">
        <w:rPr>
          <w:rFonts w:asciiTheme="majorHAnsi" w:hAnsiTheme="majorHAnsi" w:cs="Calibri"/>
        </w:rPr>
        <w:t>apnea</w:t>
      </w:r>
      <w:proofErr w:type="spellEnd"/>
      <w:r w:rsidR="0093489B" w:rsidRPr="00734AB6">
        <w:rPr>
          <w:rFonts w:asciiTheme="majorHAnsi" w:hAnsiTheme="majorHAnsi" w:cs="Calibri"/>
        </w:rPr>
        <w:t xml:space="preserve"> and </w:t>
      </w:r>
      <w:r w:rsidRPr="00734AB6">
        <w:rPr>
          <w:rFonts w:asciiTheme="majorHAnsi" w:hAnsiTheme="majorHAnsi" w:cs="Calibri"/>
        </w:rPr>
        <w:t>shift-work sleep disorder, due to its waking effect (</w:t>
      </w:r>
      <w:proofErr w:type="spellStart"/>
      <w:r w:rsidRPr="00734AB6">
        <w:rPr>
          <w:rFonts w:asciiTheme="majorHAnsi" w:hAnsiTheme="majorHAnsi" w:cs="Calibri"/>
        </w:rPr>
        <w:t>Ballon</w:t>
      </w:r>
      <w:proofErr w:type="spellEnd"/>
      <w:r w:rsidRPr="00734AB6">
        <w:rPr>
          <w:rFonts w:asciiTheme="majorHAnsi" w:hAnsiTheme="majorHAnsi" w:cs="Calibri"/>
        </w:rPr>
        <w:t xml:space="preserve"> &amp; </w:t>
      </w:r>
      <w:proofErr w:type="spellStart"/>
      <w:r w:rsidRPr="00734AB6">
        <w:rPr>
          <w:rFonts w:asciiTheme="majorHAnsi" w:hAnsiTheme="majorHAnsi" w:cs="Calibri"/>
        </w:rPr>
        <w:t>Feifel</w:t>
      </w:r>
      <w:proofErr w:type="spellEnd"/>
      <w:r w:rsidRPr="00734AB6">
        <w:rPr>
          <w:rFonts w:asciiTheme="majorHAnsi" w:hAnsiTheme="majorHAnsi" w:cs="Calibri"/>
        </w:rPr>
        <w:t xml:space="preserve">, 2006; Keating &amp; Raffin, 2005; Wood et al., 2014). More recently, modafinil’s uses have been extended (off-label) to treat other conditions, </w:t>
      </w:r>
      <w:r w:rsidR="00606475" w:rsidRPr="00734AB6">
        <w:rPr>
          <w:rFonts w:asciiTheme="majorHAnsi" w:hAnsiTheme="majorHAnsi" w:cs="Calibri"/>
        </w:rPr>
        <w:t>such as</w:t>
      </w:r>
      <w:r w:rsidRPr="00734AB6">
        <w:rPr>
          <w:rFonts w:asciiTheme="majorHAnsi" w:hAnsiTheme="majorHAnsi" w:cs="Calibri"/>
        </w:rPr>
        <w:t xml:space="preserve"> ADHD (</w:t>
      </w:r>
      <w:proofErr w:type="spellStart"/>
      <w:r w:rsidRPr="00734AB6">
        <w:rPr>
          <w:rFonts w:asciiTheme="majorHAnsi" w:hAnsiTheme="majorHAnsi" w:cs="Calibri"/>
        </w:rPr>
        <w:t>Pe</w:t>
      </w:r>
      <w:r w:rsidR="00493359" w:rsidRPr="00734AB6">
        <w:rPr>
          <w:rFonts w:asciiTheme="majorHAnsi" w:eastAsia="Calibri" w:hAnsiTheme="majorHAnsi" w:cs="Calibri"/>
        </w:rPr>
        <w:t>ñ</w:t>
      </w:r>
      <w:r w:rsidRPr="00734AB6">
        <w:rPr>
          <w:rFonts w:asciiTheme="majorHAnsi" w:hAnsiTheme="majorHAnsi" w:cs="Calibri"/>
        </w:rPr>
        <w:t>aloza</w:t>
      </w:r>
      <w:proofErr w:type="spellEnd"/>
      <w:r w:rsidRPr="00734AB6">
        <w:rPr>
          <w:rFonts w:asciiTheme="majorHAnsi" w:hAnsiTheme="majorHAnsi" w:cs="Calibri"/>
        </w:rPr>
        <w:t xml:space="preserve">, Sarkar, </w:t>
      </w:r>
      <w:proofErr w:type="spellStart"/>
      <w:r w:rsidRPr="00734AB6">
        <w:rPr>
          <w:rFonts w:asciiTheme="majorHAnsi" w:hAnsiTheme="majorHAnsi" w:cs="Calibri"/>
        </w:rPr>
        <w:t>Claman</w:t>
      </w:r>
      <w:proofErr w:type="spellEnd"/>
      <w:r w:rsidRPr="00734AB6">
        <w:rPr>
          <w:rFonts w:asciiTheme="majorHAnsi" w:hAnsiTheme="majorHAnsi" w:cs="Calibri"/>
        </w:rPr>
        <w:t xml:space="preserve"> &amp; </w:t>
      </w:r>
      <w:proofErr w:type="spellStart"/>
      <w:r w:rsidRPr="00734AB6">
        <w:rPr>
          <w:rFonts w:asciiTheme="majorHAnsi" w:hAnsiTheme="majorHAnsi" w:cs="Calibri"/>
        </w:rPr>
        <w:t>Omachi</w:t>
      </w:r>
      <w:proofErr w:type="spellEnd"/>
      <w:r w:rsidRPr="00734AB6">
        <w:rPr>
          <w:rFonts w:asciiTheme="majorHAnsi" w:hAnsiTheme="majorHAnsi" w:cs="Calibri"/>
        </w:rPr>
        <w:t xml:space="preserve">, 2013) and research into its other potential uses </w:t>
      </w:r>
      <w:r w:rsidR="00606475" w:rsidRPr="00734AB6">
        <w:rPr>
          <w:rFonts w:asciiTheme="majorHAnsi" w:hAnsiTheme="majorHAnsi" w:cs="Calibri"/>
        </w:rPr>
        <w:t>including</w:t>
      </w:r>
      <w:r w:rsidRPr="00734AB6">
        <w:rPr>
          <w:rFonts w:asciiTheme="majorHAnsi" w:hAnsiTheme="majorHAnsi" w:cs="Calibri"/>
        </w:rPr>
        <w:t xml:space="preserve"> </w:t>
      </w:r>
      <w:r w:rsidRPr="00734AB6">
        <w:rPr>
          <w:rFonts w:asciiTheme="majorHAnsi" w:hAnsiTheme="majorHAnsi" w:cs="Calibri"/>
        </w:rPr>
        <w:lastRenderedPageBreak/>
        <w:t>treatment for drug addiction, is ongoing (</w:t>
      </w:r>
      <w:proofErr w:type="spellStart"/>
      <w:r w:rsidRPr="00734AB6">
        <w:rPr>
          <w:rFonts w:asciiTheme="majorHAnsi" w:hAnsiTheme="majorHAnsi" w:cs="Calibri"/>
        </w:rPr>
        <w:t>Dackis</w:t>
      </w:r>
      <w:proofErr w:type="spellEnd"/>
      <w:r w:rsidRPr="00734AB6">
        <w:rPr>
          <w:rFonts w:asciiTheme="majorHAnsi" w:hAnsiTheme="majorHAnsi" w:cs="Calibri"/>
        </w:rPr>
        <w:t xml:space="preserve">, </w:t>
      </w:r>
      <w:proofErr w:type="spellStart"/>
      <w:r w:rsidRPr="00734AB6">
        <w:rPr>
          <w:rFonts w:asciiTheme="majorHAnsi" w:hAnsiTheme="majorHAnsi" w:cs="Calibri"/>
        </w:rPr>
        <w:t>Kampman</w:t>
      </w:r>
      <w:proofErr w:type="spellEnd"/>
      <w:r w:rsidRPr="00734AB6">
        <w:rPr>
          <w:rFonts w:asciiTheme="majorHAnsi" w:hAnsiTheme="majorHAnsi" w:cs="Calibri"/>
        </w:rPr>
        <w:t xml:space="preserve">, Lynch, </w:t>
      </w:r>
      <w:proofErr w:type="spellStart"/>
      <w:r w:rsidRPr="00734AB6">
        <w:rPr>
          <w:rFonts w:asciiTheme="majorHAnsi" w:hAnsiTheme="majorHAnsi" w:cs="Calibri"/>
        </w:rPr>
        <w:t>Pettinati</w:t>
      </w:r>
      <w:proofErr w:type="spellEnd"/>
      <w:r w:rsidRPr="00734AB6">
        <w:rPr>
          <w:rFonts w:asciiTheme="majorHAnsi" w:hAnsiTheme="majorHAnsi" w:cs="Calibri"/>
        </w:rPr>
        <w:t xml:space="preserve"> &amp; O’Brien, 2005; Morgan, Pace-Schott, Pittman, </w:t>
      </w:r>
      <w:proofErr w:type="spellStart"/>
      <w:r w:rsidRPr="00734AB6">
        <w:rPr>
          <w:rFonts w:asciiTheme="majorHAnsi" w:hAnsiTheme="majorHAnsi" w:cs="Calibri"/>
        </w:rPr>
        <w:t>Stickgold</w:t>
      </w:r>
      <w:proofErr w:type="spellEnd"/>
      <w:r w:rsidRPr="00734AB6">
        <w:rPr>
          <w:rFonts w:asciiTheme="majorHAnsi" w:hAnsiTheme="majorHAnsi" w:cs="Calibri"/>
        </w:rPr>
        <w:t xml:space="preserve">, &amp; </w:t>
      </w:r>
      <w:proofErr w:type="spellStart"/>
      <w:r w:rsidRPr="00734AB6">
        <w:rPr>
          <w:rFonts w:asciiTheme="majorHAnsi" w:hAnsiTheme="majorHAnsi" w:cs="Calibri"/>
        </w:rPr>
        <w:t>Malison</w:t>
      </w:r>
      <w:proofErr w:type="spellEnd"/>
      <w:r w:rsidRPr="00734AB6">
        <w:rPr>
          <w:rFonts w:asciiTheme="majorHAnsi" w:hAnsiTheme="majorHAnsi" w:cs="Calibri"/>
        </w:rPr>
        <w:t xml:space="preserve">, 2010). </w:t>
      </w:r>
    </w:p>
    <w:p w14:paraId="53EA8F1C" w14:textId="39A2A377" w:rsidR="00E73007" w:rsidRPr="00734AB6" w:rsidRDefault="00E73007" w:rsidP="0099584D">
      <w:pPr>
        <w:spacing w:after="240" w:line="360" w:lineRule="auto"/>
        <w:ind w:firstLine="851"/>
        <w:rPr>
          <w:rFonts w:asciiTheme="majorHAnsi" w:hAnsiTheme="majorHAnsi"/>
        </w:rPr>
      </w:pPr>
      <w:r w:rsidRPr="00734AB6">
        <w:rPr>
          <w:rFonts w:asciiTheme="majorHAnsi" w:hAnsiTheme="majorHAnsi"/>
        </w:rPr>
        <w:t>The most common presenting symptoms of narcolepsy are excessive daytime sleepiness and sudden sleep atta</w:t>
      </w:r>
      <w:r w:rsidR="00EA6444" w:rsidRPr="00734AB6">
        <w:rPr>
          <w:rFonts w:asciiTheme="majorHAnsi" w:hAnsiTheme="majorHAnsi"/>
        </w:rPr>
        <w:t>cks (</w:t>
      </w:r>
      <w:proofErr w:type="spellStart"/>
      <w:r w:rsidR="00EA6444" w:rsidRPr="00734AB6">
        <w:rPr>
          <w:rFonts w:asciiTheme="majorHAnsi" w:hAnsiTheme="majorHAnsi"/>
        </w:rPr>
        <w:t>Mitler</w:t>
      </w:r>
      <w:proofErr w:type="spellEnd"/>
      <w:r w:rsidR="00EA6444" w:rsidRPr="00734AB6">
        <w:rPr>
          <w:rFonts w:asciiTheme="majorHAnsi" w:hAnsiTheme="majorHAnsi"/>
        </w:rPr>
        <w:t xml:space="preserve">, Harsh, </w:t>
      </w:r>
      <w:proofErr w:type="spellStart"/>
      <w:r w:rsidR="00EA6444" w:rsidRPr="00734AB6">
        <w:rPr>
          <w:rFonts w:asciiTheme="majorHAnsi" w:hAnsiTheme="majorHAnsi"/>
        </w:rPr>
        <w:t>Hirshkowitz</w:t>
      </w:r>
      <w:proofErr w:type="spellEnd"/>
      <w:r w:rsidR="00EA6444" w:rsidRPr="00734AB6">
        <w:rPr>
          <w:rFonts w:asciiTheme="majorHAnsi" w:hAnsiTheme="majorHAnsi"/>
        </w:rPr>
        <w:t>,</w:t>
      </w:r>
      <w:r w:rsidRPr="00734AB6">
        <w:rPr>
          <w:rFonts w:asciiTheme="majorHAnsi" w:hAnsiTheme="majorHAnsi"/>
        </w:rPr>
        <w:t xml:space="preserve"> </w:t>
      </w:r>
      <w:proofErr w:type="spellStart"/>
      <w:r w:rsidRPr="00734AB6">
        <w:rPr>
          <w:rFonts w:asciiTheme="majorHAnsi" w:hAnsiTheme="majorHAnsi"/>
        </w:rPr>
        <w:t>Guilleminault</w:t>
      </w:r>
      <w:proofErr w:type="spellEnd"/>
      <w:r w:rsidR="00EA6444" w:rsidRPr="00734AB6">
        <w:rPr>
          <w:rFonts w:asciiTheme="majorHAnsi" w:hAnsiTheme="majorHAnsi"/>
        </w:rPr>
        <w:t xml:space="preserve"> &amp; </w:t>
      </w:r>
      <w:r w:rsidR="00EA6444" w:rsidRPr="00734AB6">
        <w:rPr>
          <w:rFonts w:asciiTheme="majorHAnsi" w:hAnsiTheme="majorHAnsi" w:cstheme="minorHAnsi"/>
          <w:shd w:val="clear" w:color="auto" w:fill="FFFFFF"/>
        </w:rPr>
        <w:t xml:space="preserve">US Modafinil in Narcolepsy </w:t>
      </w:r>
      <w:proofErr w:type="spellStart"/>
      <w:r w:rsidR="00EA6444" w:rsidRPr="00734AB6">
        <w:rPr>
          <w:rFonts w:asciiTheme="majorHAnsi" w:hAnsiTheme="majorHAnsi" w:cstheme="minorHAnsi"/>
          <w:shd w:val="clear" w:color="auto" w:fill="FFFFFF"/>
        </w:rPr>
        <w:t>Multicenter</w:t>
      </w:r>
      <w:proofErr w:type="spellEnd"/>
      <w:r w:rsidR="00EA6444" w:rsidRPr="00734AB6">
        <w:rPr>
          <w:rFonts w:asciiTheme="majorHAnsi" w:hAnsiTheme="majorHAnsi" w:cstheme="minorHAnsi"/>
          <w:shd w:val="clear" w:color="auto" w:fill="FFFFFF"/>
        </w:rPr>
        <w:t xml:space="preserve"> Study Group,</w:t>
      </w:r>
      <w:r w:rsidRPr="00734AB6">
        <w:rPr>
          <w:rFonts w:asciiTheme="majorHAnsi" w:hAnsiTheme="majorHAnsi"/>
        </w:rPr>
        <w:t xml:space="preserve"> 2000). </w:t>
      </w:r>
      <w:proofErr w:type="spellStart"/>
      <w:r w:rsidR="00EA4467" w:rsidRPr="00734AB6">
        <w:rPr>
          <w:rFonts w:asciiTheme="majorHAnsi" w:hAnsiTheme="majorHAnsi"/>
        </w:rPr>
        <w:t>Mitler</w:t>
      </w:r>
      <w:proofErr w:type="spellEnd"/>
      <w:r w:rsidR="00EA4467" w:rsidRPr="00734AB6">
        <w:rPr>
          <w:rFonts w:asciiTheme="majorHAnsi" w:hAnsiTheme="majorHAnsi"/>
        </w:rPr>
        <w:t xml:space="preserve"> et al.</w:t>
      </w:r>
      <w:r w:rsidR="00E33AEC" w:rsidRPr="00734AB6">
        <w:rPr>
          <w:rFonts w:asciiTheme="majorHAnsi" w:hAnsiTheme="majorHAnsi"/>
        </w:rPr>
        <w:t xml:space="preserve"> conducted </w:t>
      </w:r>
      <w:r w:rsidRPr="00734AB6">
        <w:rPr>
          <w:rFonts w:asciiTheme="majorHAnsi" w:hAnsiTheme="majorHAnsi"/>
        </w:rPr>
        <w:t>a nine week, double-blind, placebo-controlled, multi-centre clinical trial</w:t>
      </w:r>
      <w:r w:rsidR="00E33AEC" w:rsidRPr="00734AB6">
        <w:rPr>
          <w:rFonts w:asciiTheme="majorHAnsi" w:hAnsiTheme="majorHAnsi"/>
        </w:rPr>
        <w:t xml:space="preserve"> involving</w:t>
      </w:r>
      <w:r w:rsidRPr="00734AB6">
        <w:rPr>
          <w:rFonts w:asciiTheme="majorHAnsi" w:hAnsiTheme="majorHAnsi"/>
        </w:rPr>
        <w:t xml:space="preserve"> 478 patients </w:t>
      </w:r>
      <w:r w:rsidR="00E33AEC" w:rsidRPr="00734AB6">
        <w:rPr>
          <w:rFonts w:asciiTheme="majorHAnsi" w:hAnsiTheme="majorHAnsi"/>
        </w:rPr>
        <w:t xml:space="preserve">who </w:t>
      </w:r>
      <w:r w:rsidRPr="00734AB6">
        <w:rPr>
          <w:rFonts w:asciiTheme="majorHAnsi" w:hAnsiTheme="majorHAnsi"/>
        </w:rPr>
        <w:t xml:space="preserve">were enrolled in one of two 40-week, open-label extension studies, investigating the long-term safety and efficacy of </w:t>
      </w:r>
      <w:r w:rsidR="004600DB" w:rsidRPr="00734AB6">
        <w:rPr>
          <w:rFonts w:asciiTheme="majorHAnsi" w:hAnsiTheme="majorHAnsi" w:cs="Calibri"/>
        </w:rPr>
        <w:t>modafinil</w:t>
      </w:r>
      <w:r w:rsidRPr="00734AB6">
        <w:rPr>
          <w:rFonts w:asciiTheme="majorHAnsi" w:hAnsiTheme="majorHAnsi"/>
        </w:rPr>
        <w:t xml:space="preserve"> for </w:t>
      </w:r>
      <w:r w:rsidR="00AD24F0" w:rsidRPr="00734AB6">
        <w:rPr>
          <w:rFonts w:asciiTheme="majorHAnsi" w:hAnsiTheme="majorHAnsi"/>
        </w:rPr>
        <w:t>excessive daytime sleepiness</w:t>
      </w:r>
      <w:r w:rsidR="00606475" w:rsidRPr="00734AB6">
        <w:rPr>
          <w:rFonts w:asciiTheme="majorHAnsi" w:hAnsiTheme="majorHAnsi"/>
        </w:rPr>
        <w:t xml:space="preserve">. </w:t>
      </w:r>
      <w:r w:rsidR="001F116F" w:rsidRPr="00734AB6">
        <w:rPr>
          <w:rFonts w:asciiTheme="majorHAnsi" w:hAnsiTheme="majorHAnsi"/>
        </w:rPr>
        <w:t>Although t</w:t>
      </w:r>
      <w:r w:rsidRPr="00734AB6">
        <w:rPr>
          <w:rFonts w:asciiTheme="majorHAnsi" w:hAnsiTheme="majorHAnsi"/>
        </w:rPr>
        <w:t>he two studies followed different protocols</w:t>
      </w:r>
      <w:r w:rsidR="001F116F" w:rsidRPr="00734AB6">
        <w:rPr>
          <w:rFonts w:asciiTheme="majorHAnsi" w:hAnsiTheme="majorHAnsi"/>
        </w:rPr>
        <w:t xml:space="preserve"> regarding dose format, t</w:t>
      </w:r>
      <w:r w:rsidRPr="00734AB6">
        <w:rPr>
          <w:rFonts w:asciiTheme="majorHAnsi" w:hAnsiTheme="majorHAnsi"/>
        </w:rPr>
        <w:t xml:space="preserve">he overall findings were that </w:t>
      </w:r>
      <w:r w:rsidR="004600DB" w:rsidRPr="00734AB6">
        <w:rPr>
          <w:rFonts w:asciiTheme="majorHAnsi" w:hAnsiTheme="majorHAnsi" w:cs="Calibri"/>
        </w:rPr>
        <w:t>modafinil</w:t>
      </w:r>
      <w:r w:rsidRPr="00734AB6">
        <w:rPr>
          <w:rFonts w:asciiTheme="majorHAnsi" w:hAnsiTheme="majorHAnsi"/>
        </w:rPr>
        <w:t xml:space="preserve"> </w:t>
      </w:r>
      <w:r w:rsidR="00A53A35" w:rsidRPr="00734AB6">
        <w:rPr>
          <w:rFonts w:asciiTheme="majorHAnsi" w:hAnsiTheme="majorHAnsi"/>
        </w:rPr>
        <w:t>wa</w:t>
      </w:r>
      <w:r w:rsidRPr="00734AB6">
        <w:rPr>
          <w:rFonts w:asciiTheme="majorHAnsi" w:hAnsiTheme="majorHAnsi"/>
        </w:rPr>
        <w:t xml:space="preserve">s effective in considerably reducing the symptoms of </w:t>
      </w:r>
      <w:r w:rsidR="00F92288" w:rsidRPr="00734AB6">
        <w:rPr>
          <w:rFonts w:asciiTheme="majorHAnsi" w:hAnsiTheme="majorHAnsi"/>
        </w:rPr>
        <w:t>excessive daytime sleepiness</w:t>
      </w:r>
      <w:r w:rsidR="00726A49" w:rsidRPr="00734AB6">
        <w:rPr>
          <w:rFonts w:asciiTheme="majorHAnsi" w:hAnsiTheme="majorHAnsi"/>
        </w:rPr>
        <w:t xml:space="preserve"> and that</w:t>
      </w:r>
      <w:r w:rsidRPr="00734AB6">
        <w:rPr>
          <w:rFonts w:asciiTheme="majorHAnsi" w:hAnsiTheme="majorHAnsi"/>
        </w:rPr>
        <w:t xml:space="preserve"> this efficacy was maintained</w:t>
      </w:r>
      <w:r w:rsidR="00A53A35" w:rsidRPr="00734AB6">
        <w:rPr>
          <w:rFonts w:asciiTheme="majorHAnsi" w:hAnsiTheme="majorHAnsi"/>
        </w:rPr>
        <w:t xml:space="preserve"> over </w:t>
      </w:r>
      <w:r w:rsidR="0002115B" w:rsidRPr="00734AB6">
        <w:rPr>
          <w:rFonts w:asciiTheme="majorHAnsi" w:hAnsiTheme="majorHAnsi"/>
        </w:rPr>
        <w:t>nine weeks</w:t>
      </w:r>
      <w:r w:rsidR="001F7340" w:rsidRPr="00734AB6">
        <w:rPr>
          <w:rFonts w:asciiTheme="majorHAnsi" w:hAnsiTheme="majorHAnsi"/>
        </w:rPr>
        <w:t xml:space="preserve"> of daily use</w:t>
      </w:r>
      <w:r w:rsidRPr="00734AB6">
        <w:rPr>
          <w:rFonts w:asciiTheme="majorHAnsi" w:hAnsiTheme="majorHAnsi"/>
        </w:rPr>
        <w:t>.</w:t>
      </w:r>
    </w:p>
    <w:p w14:paraId="7B025470" w14:textId="674619D3" w:rsidR="00E73007" w:rsidRPr="00734AB6" w:rsidRDefault="00E73007" w:rsidP="0099584D">
      <w:pPr>
        <w:spacing w:after="240" w:line="360" w:lineRule="auto"/>
        <w:ind w:firstLine="851"/>
        <w:rPr>
          <w:rFonts w:asciiTheme="majorHAnsi" w:hAnsiTheme="majorHAnsi"/>
        </w:rPr>
      </w:pPr>
      <w:r w:rsidRPr="00734AB6">
        <w:rPr>
          <w:rFonts w:asciiTheme="majorHAnsi" w:hAnsiTheme="majorHAnsi"/>
        </w:rPr>
        <w:t>S</w:t>
      </w:r>
      <w:r w:rsidR="00973D46" w:rsidRPr="00734AB6">
        <w:rPr>
          <w:rFonts w:asciiTheme="majorHAnsi" w:hAnsiTheme="majorHAnsi"/>
        </w:rPr>
        <w:t xml:space="preserve">imilar results were seen for obstructive sleep </w:t>
      </w:r>
      <w:proofErr w:type="spellStart"/>
      <w:r w:rsidR="00973D46" w:rsidRPr="00734AB6">
        <w:rPr>
          <w:rFonts w:asciiTheme="majorHAnsi" w:hAnsiTheme="majorHAnsi"/>
        </w:rPr>
        <w:t>apnea</w:t>
      </w:r>
      <w:proofErr w:type="spellEnd"/>
      <w:r w:rsidR="00606475" w:rsidRPr="00734AB6">
        <w:rPr>
          <w:rFonts w:asciiTheme="majorHAnsi" w:hAnsiTheme="majorHAnsi"/>
        </w:rPr>
        <w:t xml:space="preserve">. </w:t>
      </w:r>
      <w:r w:rsidRPr="00734AB6">
        <w:rPr>
          <w:rFonts w:asciiTheme="majorHAnsi" w:hAnsiTheme="majorHAnsi"/>
        </w:rPr>
        <w:t xml:space="preserve">Obstructive sleep </w:t>
      </w:r>
      <w:proofErr w:type="spellStart"/>
      <w:r w:rsidRPr="00734AB6">
        <w:rPr>
          <w:rFonts w:asciiTheme="majorHAnsi" w:hAnsiTheme="majorHAnsi"/>
        </w:rPr>
        <w:t>apnea</w:t>
      </w:r>
      <w:proofErr w:type="spellEnd"/>
      <w:r w:rsidRPr="00734AB6">
        <w:rPr>
          <w:rFonts w:asciiTheme="majorHAnsi" w:hAnsiTheme="majorHAnsi"/>
        </w:rPr>
        <w:t xml:space="preserve"> is a condition associated with snoring, involving obstruction of the upper airway often caused by a relaxing of the throat muscles and narrowing of the passage and resulting in </w:t>
      </w:r>
      <w:r w:rsidR="00F92288" w:rsidRPr="00734AB6">
        <w:rPr>
          <w:rFonts w:asciiTheme="majorHAnsi" w:hAnsiTheme="majorHAnsi"/>
        </w:rPr>
        <w:t xml:space="preserve">excessive daytime sleepiness </w:t>
      </w:r>
      <w:r w:rsidR="00606475" w:rsidRPr="00734AB6">
        <w:rPr>
          <w:rFonts w:asciiTheme="majorHAnsi" w:hAnsiTheme="majorHAnsi"/>
        </w:rPr>
        <w:t xml:space="preserve">(Caples, </w:t>
      </w:r>
      <w:proofErr w:type="spellStart"/>
      <w:r w:rsidR="00606475" w:rsidRPr="00734AB6">
        <w:rPr>
          <w:rFonts w:asciiTheme="majorHAnsi" w:hAnsiTheme="majorHAnsi"/>
        </w:rPr>
        <w:t>Gami</w:t>
      </w:r>
      <w:proofErr w:type="spellEnd"/>
      <w:r w:rsidR="00606475" w:rsidRPr="00734AB6">
        <w:rPr>
          <w:rFonts w:asciiTheme="majorHAnsi" w:hAnsiTheme="majorHAnsi"/>
        </w:rPr>
        <w:t xml:space="preserve"> &amp; Somers, 2005). </w:t>
      </w:r>
      <w:r w:rsidRPr="00734AB6">
        <w:rPr>
          <w:rFonts w:asciiTheme="majorHAnsi" w:hAnsiTheme="majorHAnsi"/>
        </w:rPr>
        <w:t xml:space="preserve">A randomised, double-blind, placebo-controlled, parallel-group </w:t>
      </w:r>
      <w:r w:rsidR="00F92288" w:rsidRPr="00734AB6">
        <w:rPr>
          <w:rFonts w:asciiTheme="majorHAnsi" w:hAnsiTheme="majorHAnsi"/>
        </w:rPr>
        <w:t xml:space="preserve">multi-centre </w:t>
      </w:r>
      <w:r w:rsidRPr="00734AB6">
        <w:rPr>
          <w:rFonts w:asciiTheme="majorHAnsi" w:hAnsiTheme="majorHAnsi"/>
        </w:rPr>
        <w:t>trial, conducted</w:t>
      </w:r>
      <w:r w:rsidR="00E827ED" w:rsidRPr="00734AB6">
        <w:rPr>
          <w:rFonts w:asciiTheme="majorHAnsi" w:hAnsiTheme="majorHAnsi"/>
        </w:rPr>
        <w:t xml:space="preserve"> largely</w:t>
      </w:r>
      <w:r w:rsidRPr="00734AB6">
        <w:rPr>
          <w:rFonts w:asciiTheme="majorHAnsi" w:hAnsiTheme="majorHAnsi"/>
        </w:rPr>
        <w:t xml:space="preserve"> in the United States and </w:t>
      </w:r>
      <w:r w:rsidR="00E827ED" w:rsidRPr="00734AB6">
        <w:rPr>
          <w:rFonts w:asciiTheme="majorHAnsi" w:hAnsiTheme="majorHAnsi"/>
        </w:rPr>
        <w:t xml:space="preserve">to a lesser degree </w:t>
      </w:r>
      <w:r w:rsidRPr="00734AB6">
        <w:rPr>
          <w:rFonts w:asciiTheme="majorHAnsi" w:hAnsiTheme="majorHAnsi"/>
        </w:rPr>
        <w:t>in the UK, involved a 12</w:t>
      </w:r>
      <w:r w:rsidR="007741DD" w:rsidRPr="00734AB6">
        <w:rPr>
          <w:rFonts w:asciiTheme="majorHAnsi" w:hAnsiTheme="majorHAnsi"/>
        </w:rPr>
        <w:t>-</w:t>
      </w:r>
      <w:r w:rsidRPr="00734AB6">
        <w:rPr>
          <w:rFonts w:asciiTheme="majorHAnsi" w:hAnsiTheme="majorHAnsi"/>
        </w:rPr>
        <w:t>week treatment period</w:t>
      </w:r>
      <w:r w:rsidR="00E827ED" w:rsidRPr="00734AB6">
        <w:rPr>
          <w:rFonts w:asciiTheme="majorHAnsi" w:hAnsiTheme="majorHAnsi"/>
        </w:rPr>
        <w:t>. The findings were</w:t>
      </w:r>
      <w:r w:rsidRPr="00734AB6">
        <w:rPr>
          <w:rFonts w:asciiTheme="majorHAnsi" w:hAnsiTheme="majorHAnsi"/>
        </w:rPr>
        <w:t xml:space="preserve"> similar to the </w:t>
      </w:r>
      <w:proofErr w:type="spellStart"/>
      <w:r w:rsidRPr="00734AB6">
        <w:rPr>
          <w:rFonts w:asciiTheme="majorHAnsi" w:hAnsiTheme="majorHAnsi"/>
        </w:rPr>
        <w:t>Mitler</w:t>
      </w:r>
      <w:proofErr w:type="spellEnd"/>
      <w:r w:rsidRPr="00734AB6">
        <w:rPr>
          <w:rFonts w:asciiTheme="majorHAnsi" w:hAnsiTheme="majorHAnsi"/>
        </w:rPr>
        <w:t xml:space="preserve"> </w:t>
      </w:r>
      <w:r w:rsidR="001B71DF" w:rsidRPr="00734AB6">
        <w:rPr>
          <w:rFonts w:asciiTheme="majorHAnsi" w:hAnsiTheme="majorHAnsi"/>
        </w:rPr>
        <w:t>et al.</w:t>
      </w:r>
      <w:r w:rsidRPr="00734AB6">
        <w:rPr>
          <w:rFonts w:asciiTheme="majorHAnsi" w:hAnsiTheme="majorHAnsi"/>
        </w:rPr>
        <w:t xml:space="preserve"> (2000) study</w:t>
      </w:r>
      <w:r w:rsidR="006B1474" w:rsidRPr="00734AB6">
        <w:rPr>
          <w:rFonts w:asciiTheme="majorHAnsi" w:hAnsiTheme="majorHAnsi"/>
        </w:rPr>
        <w:t xml:space="preserve"> in that</w:t>
      </w:r>
      <w:r w:rsidRPr="00734AB6">
        <w:rPr>
          <w:rFonts w:asciiTheme="majorHAnsi" w:hAnsiTheme="majorHAnsi"/>
        </w:rPr>
        <w:t xml:space="preserve"> </w:t>
      </w:r>
      <w:r w:rsidR="004600DB" w:rsidRPr="00734AB6">
        <w:rPr>
          <w:rFonts w:asciiTheme="majorHAnsi" w:hAnsiTheme="majorHAnsi" w:cs="Calibri"/>
        </w:rPr>
        <w:t>modafinil</w:t>
      </w:r>
      <w:r w:rsidRPr="00734AB6">
        <w:rPr>
          <w:rFonts w:asciiTheme="majorHAnsi" w:hAnsiTheme="majorHAnsi"/>
        </w:rPr>
        <w:t xml:space="preserve"> significantly improved objective and subjective measure</w:t>
      </w:r>
      <w:r w:rsidR="001A43A7" w:rsidRPr="00734AB6">
        <w:rPr>
          <w:rFonts w:asciiTheme="majorHAnsi" w:hAnsiTheme="majorHAnsi"/>
        </w:rPr>
        <w:t>s</w:t>
      </w:r>
      <w:r w:rsidRPr="00734AB6">
        <w:rPr>
          <w:rFonts w:asciiTheme="majorHAnsi" w:hAnsiTheme="majorHAnsi"/>
        </w:rPr>
        <w:t xml:space="preserve"> of wakefulness</w:t>
      </w:r>
      <w:r w:rsidR="001F7340" w:rsidRPr="00734AB6">
        <w:rPr>
          <w:rFonts w:asciiTheme="majorHAnsi" w:hAnsiTheme="majorHAnsi"/>
        </w:rPr>
        <w:t xml:space="preserve"> in people with obstructive sleep </w:t>
      </w:r>
      <w:proofErr w:type="spellStart"/>
      <w:r w:rsidR="001F7340" w:rsidRPr="00734AB6">
        <w:rPr>
          <w:rFonts w:asciiTheme="majorHAnsi" w:hAnsiTheme="majorHAnsi"/>
        </w:rPr>
        <w:t>apnea</w:t>
      </w:r>
      <w:proofErr w:type="spellEnd"/>
      <w:r w:rsidRPr="00734AB6">
        <w:rPr>
          <w:rFonts w:asciiTheme="majorHAnsi" w:hAnsiTheme="majorHAnsi"/>
        </w:rPr>
        <w:t xml:space="preserve">, and significantly improved the overall clinical condition, and this </w:t>
      </w:r>
      <w:r w:rsidR="001A43A7" w:rsidRPr="00734AB6">
        <w:rPr>
          <w:rFonts w:asciiTheme="majorHAnsi" w:hAnsiTheme="majorHAnsi"/>
        </w:rPr>
        <w:t xml:space="preserve">wakefulness </w:t>
      </w:r>
      <w:r w:rsidR="00606475" w:rsidRPr="00734AB6">
        <w:rPr>
          <w:rFonts w:asciiTheme="majorHAnsi" w:hAnsiTheme="majorHAnsi"/>
        </w:rPr>
        <w:t xml:space="preserve">effect persisted. </w:t>
      </w:r>
    </w:p>
    <w:p w14:paraId="2B095FC1" w14:textId="7C07A610" w:rsidR="00454200" w:rsidRPr="00734AB6" w:rsidRDefault="009045EB" w:rsidP="0099584D">
      <w:pPr>
        <w:spacing w:after="240" w:line="360" w:lineRule="auto"/>
        <w:ind w:firstLine="851"/>
        <w:rPr>
          <w:rFonts w:asciiTheme="majorHAnsi" w:hAnsiTheme="majorHAnsi"/>
        </w:rPr>
      </w:pPr>
      <w:r w:rsidRPr="00734AB6">
        <w:rPr>
          <w:rFonts w:asciiTheme="majorHAnsi" w:hAnsiTheme="majorHAnsi"/>
        </w:rPr>
        <w:t>There are times when, in certain lines of work, individuals are subjected to sleep deprivation</w:t>
      </w:r>
      <w:r w:rsidR="003A583C" w:rsidRPr="00734AB6">
        <w:rPr>
          <w:rFonts w:asciiTheme="majorHAnsi" w:hAnsiTheme="majorHAnsi"/>
        </w:rPr>
        <w:t xml:space="preserve"> and this poses a threat both</w:t>
      </w:r>
      <w:r w:rsidR="00606475" w:rsidRPr="00734AB6">
        <w:rPr>
          <w:rFonts w:asciiTheme="majorHAnsi" w:hAnsiTheme="majorHAnsi"/>
        </w:rPr>
        <w:t xml:space="preserve"> to safety and productivity. </w:t>
      </w:r>
      <w:r w:rsidR="003A583C" w:rsidRPr="00734AB6">
        <w:rPr>
          <w:rFonts w:asciiTheme="majorHAnsi" w:hAnsiTheme="majorHAnsi"/>
        </w:rPr>
        <w:t>Research has therefore investigated the use of modafinil to combat the symptoms of sleep de</w:t>
      </w:r>
      <w:r w:rsidR="00606475" w:rsidRPr="00734AB6">
        <w:rPr>
          <w:rFonts w:asciiTheme="majorHAnsi" w:hAnsiTheme="majorHAnsi"/>
        </w:rPr>
        <w:t xml:space="preserve">privation. </w:t>
      </w:r>
      <w:proofErr w:type="spellStart"/>
      <w:r w:rsidR="005025E9" w:rsidRPr="00734AB6">
        <w:rPr>
          <w:rFonts w:asciiTheme="majorHAnsi" w:hAnsiTheme="majorHAnsi"/>
        </w:rPr>
        <w:t>Wesensten</w:t>
      </w:r>
      <w:proofErr w:type="spellEnd"/>
      <w:r w:rsidR="005025E9" w:rsidRPr="00734AB6">
        <w:rPr>
          <w:rFonts w:asciiTheme="majorHAnsi" w:hAnsiTheme="majorHAnsi"/>
        </w:rPr>
        <w:t xml:space="preserve"> et al. (2002) recruited healthy adults </w:t>
      </w:r>
      <w:r w:rsidR="002C5FF5" w:rsidRPr="00734AB6">
        <w:rPr>
          <w:rFonts w:asciiTheme="majorHAnsi" w:hAnsiTheme="majorHAnsi"/>
        </w:rPr>
        <w:t xml:space="preserve">in </w:t>
      </w:r>
      <w:r w:rsidR="005025E9" w:rsidRPr="00734AB6">
        <w:rPr>
          <w:rFonts w:asciiTheme="majorHAnsi" w:hAnsiTheme="majorHAnsi"/>
        </w:rPr>
        <w:t>a double-blind placebo</w:t>
      </w:r>
      <w:r w:rsidR="007741DD" w:rsidRPr="00734AB6">
        <w:rPr>
          <w:rFonts w:asciiTheme="majorHAnsi" w:hAnsiTheme="majorHAnsi"/>
        </w:rPr>
        <w:t>-</w:t>
      </w:r>
      <w:r w:rsidR="005025E9" w:rsidRPr="00734AB6">
        <w:rPr>
          <w:rFonts w:asciiTheme="majorHAnsi" w:hAnsiTheme="majorHAnsi"/>
        </w:rPr>
        <w:t>controlled study with five drug conditions, placebo, modafinil at 100mg, 200mg or 400mg, or caffeine at 600mg</w:t>
      </w:r>
      <w:r w:rsidR="00606475" w:rsidRPr="00734AB6">
        <w:rPr>
          <w:rFonts w:asciiTheme="majorHAnsi" w:hAnsiTheme="majorHAnsi"/>
        </w:rPr>
        <w:t xml:space="preserve">. </w:t>
      </w:r>
      <w:r w:rsidR="006F3587" w:rsidRPr="00734AB6">
        <w:rPr>
          <w:rFonts w:asciiTheme="majorHAnsi" w:hAnsiTheme="majorHAnsi"/>
        </w:rPr>
        <w:t>Participants remained awake for 54.5 hours, with tests</w:t>
      </w:r>
      <w:r w:rsidR="00606475" w:rsidRPr="00734AB6">
        <w:rPr>
          <w:rFonts w:asciiTheme="majorHAnsi" w:hAnsiTheme="majorHAnsi"/>
        </w:rPr>
        <w:t xml:space="preserve"> of alertness every two hours. </w:t>
      </w:r>
      <w:r w:rsidR="006F3587" w:rsidRPr="00734AB6">
        <w:rPr>
          <w:rFonts w:asciiTheme="majorHAnsi" w:hAnsiTheme="majorHAnsi"/>
        </w:rPr>
        <w:t xml:space="preserve">After 41.5 hours participants </w:t>
      </w:r>
      <w:r w:rsidR="004B3503" w:rsidRPr="00734AB6">
        <w:rPr>
          <w:rFonts w:asciiTheme="majorHAnsi" w:hAnsiTheme="majorHAnsi"/>
        </w:rPr>
        <w:t xml:space="preserve">in each of the five conditions </w:t>
      </w:r>
      <w:r w:rsidR="006F3587" w:rsidRPr="00734AB6">
        <w:rPr>
          <w:rFonts w:asciiTheme="majorHAnsi" w:hAnsiTheme="majorHAnsi"/>
        </w:rPr>
        <w:t xml:space="preserve">were administered </w:t>
      </w:r>
      <w:r w:rsidR="004B3503" w:rsidRPr="00734AB6">
        <w:rPr>
          <w:rFonts w:asciiTheme="majorHAnsi" w:hAnsiTheme="majorHAnsi"/>
        </w:rPr>
        <w:t>the appropriate drug and this</w:t>
      </w:r>
      <w:r w:rsidR="00606475" w:rsidRPr="00734AB6">
        <w:rPr>
          <w:rFonts w:asciiTheme="majorHAnsi" w:hAnsiTheme="majorHAnsi"/>
        </w:rPr>
        <w:t xml:space="preserve"> was followed by hourly tests. </w:t>
      </w:r>
      <w:r w:rsidR="006B1474" w:rsidRPr="00734AB6">
        <w:rPr>
          <w:rFonts w:asciiTheme="majorHAnsi" w:hAnsiTheme="majorHAnsi"/>
        </w:rPr>
        <w:t>M</w:t>
      </w:r>
      <w:r w:rsidR="004B3503" w:rsidRPr="00734AB6">
        <w:rPr>
          <w:rFonts w:asciiTheme="majorHAnsi" w:hAnsiTheme="majorHAnsi"/>
        </w:rPr>
        <w:t xml:space="preserve">odafinil </w:t>
      </w:r>
      <w:r w:rsidR="006B1474" w:rsidRPr="00734AB6">
        <w:rPr>
          <w:rFonts w:asciiTheme="majorHAnsi" w:hAnsiTheme="majorHAnsi"/>
        </w:rPr>
        <w:t xml:space="preserve">was found to </w:t>
      </w:r>
      <w:r w:rsidR="00D02DCE" w:rsidRPr="00734AB6">
        <w:rPr>
          <w:rFonts w:asciiTheme="majorHAnsi" w:hAnsiTheme="majorHAnsi"/>
        </w:rPr>
        <w:t>significantly improve performance and alertness at do</w:t>
      </w:r>
      <w:r w:rsidR="009304FA" w:rsidRPr="00734AB6">
        <w:rPr>
          <w:rFonts w:asciiTheme="majorHAnsi" w:hAnsiTheme="majorHAnsi"/>
        </w:rPr>
        <w:t>s</w:t>
      </w:r>
      <w:r w:rsidR="00D02DCE" w:rsidRPr="00734AB6">
        <w:rPr>
          <w:rFonts w:asciiTheme="majorHAnsi" w:hAnsiTheme="majorHAnsi"/>
        </w:rPr>
        <w:t>es of 200mg and 400mg compared to placebo and these effects were co</w:t>
      </w:r>
      <w:r w:rsidR="00606475" w:rsidRPr="00734AB6">
        <w:rPr>
          <w:rFonts w:asciiTheme="majorHAnsi" w:hAnsiTheme="majorHAnsi"/>
        </w:rPr>
        <w:t xml:space="preserve">mparable to caffeine at 600mg. </w:t>
      </w:r>
    </w:p>
    <w:p w14:paraId="0DB052EC" w14:textId="621EED04" w:rsidR="0063531B" w:rsidRPr="00734AB6" w:rsidRDefault="00837D47" w:rsidP="0099584D">
      <w:pPr>
        <w:spacing w:after="240" w:line="360" w:lineRule="auto"/>
        <w:ind w:firstLine="851"/>
        <w:rPr>
          <w:rFonts w:asciiTheme="majorHAnsi" w:hAnsiTheme="majorHAnsi"/>
        </w:rPr>
      </w:pPr>
      <w:r w:rsidRPr="00734AB6">
        <w:rPr>
          <w:rFonts w:asciiTheme="majorHAnsi" w:hAnsiTheme="majorHAnsi"/>
        </w:rPr>
        <w:t xml:space="preserve">Positive results </w:t>
      </w:r>
      <w:r w:rsidR="007741DD" w:rsidRPr="00734AB6">
        <w:rPr>
          <w:rFonts w:asciiTheme="majorHAnsi" w:hAnsiTheme="majorHAnsi"/>
        </w:rPr>
        <w:t xml:space="preserve">have </w:t>
      </w:r>
      <w:r w:rsidRPr="00734AB6">
        <w:rPr>
          <w:rFonts w:asciiTheme="majorHAnsi" w:hAnsiTheme="majorHAnsi"/>
        </w:rPr>
        <w:t>also</w:t>
      </w:r>
      <w:r w:rsidR="007741DD" w:rsidRPr="00734AB6">
        <w:rPr>
          <w:rFonts w:asciiTheme="majorHAnsi" w:hAnsiTheme="majorHAnsi"/>
        </w:rPr>
        <w:t xml:space="preserve"> been</w:t>
      </w:r>
      <w:r w:rsidRPr="00734AB6">
        <w:rPr>
          <w:rFonts w:asciiTheme="majorHAnsi" w:hAnsiTheme="majorHAnsi"/>
        </w:rPr>
        <w:t xml:space="preserve"> found for the use of modafinil to treat shift work sleep disorder (</w:t>
      </w:r>
      <w:proofErr w:type="spellStart"/>
      <w:r w:rsidRPr="00734AB6">
        <w:rPr>
          <w:rFonts w:asciiTheme="majorHAnsi" w:hAnsiTheme="majorHAnsi"/>
        </w:rPr>
        <w:t>Czeisler</w:t>
      </w:r>
      <w:proofErr w:type="spellEnd"/>
      <w:r w:rsidRPr="00734AB6">
        <w:rPr>
          <w:rFonts w:asciiTheme="majorHAnsi" w:hAnsiTheme="majorHAnsi"/>
        </w:rPr>
        <w:t xml:space="preserve"> et al., 2</w:t>
      </w:r>
      <w:r w:rsidR="008935B6" w:rsidRPr="00734AB6">
        <w:rPr>
          <w:rFonts w:asciiTheme="majorHAnsi" w:hAnsiTheme="majorHAnsi"/>
        </w:rPr>
        <w:t xml:space="preserve">005; </w:t>
      </w:r>
      <w:proofErr w:type="spellStart"/>
      <w:r w:rsidR="008935B6" w:rsidRPr="00734AB6">
        <w:rPr>
          <w:rFonts w:asciiTheme="majorHAnsi" w:hAnsiTheme="majorHAnsi"/>
        </w:rPr>
        <w:t>Erman</w:t>
      </w:r>
      <w:proofErr w:type="spellEnd"/>
      <w:r w:rsidR="008935B6" w:rsidRPr="00734AB6">
        <w:rPr>
          <w:rFonts w:asciiTheme="majorHAnsi" w:hAnsiTheme="majorHAnsi"/>
        </w:rPr>
        <w:t>,</w:t>
      </w:r>
      <w:r w:rsidR="00606475" w:rsidRPr="00734AB6">
        <w:rPr>
          <w:rFonts w:asciiTheme="majorHAnsi" w:hAnsiTheme="majorHAnsi"/>
        </w:rPr>
        <w:t xml:space="preserve"> Rosenberg</w:t>
      </w:r>
      <w:r w:rsidR="008935B6" w:rsidRPr="00734AB6">
        <w:rPr>
          <w:rFonts w:asciiTheme="majorHAnsi" w:hAnsiTheme="majorHAnsi"/>
        </w:rPr>
        <w:t xml:space="preserve"> &amp;</w:t>
      </w:r>
      <w:r w:rsidR="008935B6" w:rsidRPr="00734AB6">
        <w:rPr>
          <w:rFonts w:asciiTheme="majorHAnsi" w:hAnsiTheme="majorHAnsi" w:cs="Arial"/>
          <w:shd w:val="clear" w:color="auto" w:fill="FFFFFF"/>
        </w:rPr>
        <w:t xml:space="preserve"> US Modafinil Shift Work Sleep Disorder Study Group</w:t>
      </w:r>
      <w:r w:rsidR="00606475" w:rsidRPr="00734AB6">
        <w:rPr>
          <w:rFonts w:asciiTheme="majorHAnsi" w:hAnsiTheme="majorHAnsi"/>
        </w:rPr>
        <w:t xml:space="preserve">, 2007). </w:t>
      </w:r>
      <w:r w:rsidRPr="00734AB6">
        <w:rPr>
          <w:rFonts w:asciiTheme="majorHAnsi" w:hAnsiTheme="majorHAnsi"/>
        </w:rPr>
        <w:t xml:space="preserve">Shift work sleep disorder is a condition that develops in some shift workers for whom the disruptions in </w:t>
      </w:r>
      <w:r w:rsidR="00805CCC" w:rsidRPr="00734AB6">
        <w:rPr>
          <w:rFonts w:asciiTheme="majorHAnsi" w:hAnsiTheme="majorHAnsi"/>
        </w:rPr>
        <w:t xml:space="preserve">which the </w:t>
      </w:r>
      <w:r w:rsidR="006E6A75" w:rsidRPr="00734AB6">
        <w:rPr>
          <w:rFonts w:asciiTheme="majorHAnsi" w:hAnsiTheme="majorHAnsi"/>
        </w:rPr>
        <w:t>circadian</w:t>
      </w:r>
      <w:r w:rsidRPr="00734AB6">
        <w:rPr>
          <w:rFonts w:asciiTheme="majorHAnsi" w:hAnsiTheme="majorHAnsi"/>
        </w:rPr>
        <w:t xml:space="preserve"> rhythms regulat</w:t>
      </w:r>
      <w:r w:rsidR="00805CCC" w:rsidRPr="00734AB6">
        <w:rPr>
          <w:rFonts w:asciiTheme="majorHAnsi" w:hAnsiTheme="majorHAnsi"/>
        </w:rPr>
        <w:t>ing</w:t>
      </w:r>
      <w:r w:rsidRPr="00734AB6">
        <w:rPr>
          <w:rFonts w:asciiTheme="majorHAnsi" w:hAnsiTheme="majorHAnsi"/>
        </w:rPr>
        <w:t xml:space="preserve"> sleep and wakefulness do not </w:t>
      </w:r>
      <w:r w:rsidRPr="00734AB6">
        <w:rPr>
          <w:rFonts w:asciiTheme="majorHAnsi" w:hAnsiTheme="majorHAnsi"/>
        </w:rPr>
        <w:lastRenderedPageBreak/>
        <w:t>resolve</w:t>
      </w:r>
      <w:r w:rsidR="006E6A75" w:rsidRPr="00734AB6">
        <w:rPr>
          <w:rFonts w:asciiTheme="majorHAnsi" w:hAnsiTheme="majorHAnsi"/>
        </w:rPr>
        <w:t>, impacting upon the quality of their li</w:t>
      </w:r>
      <w:r w:rsidR="00606475" w:rsidRPr="00734AB6">
        <w:rPr>
          <w:rFonts w:asciiTheme="majorHAnsi" w:hAnsiTheme="majorHAnsi"/>
        </w:rPr>
        <w:t xml:space="preserve">ves, both at work and at home. </w:t>
      </w:r>
      <w:r w:rsidR="006E6A75" w:rsidRPr="00734AB6">
        <w:rPr>
          <w:rFonts w:asciiTheme="majorHAnsi" w:hAnsiTheme="majorHAnsi"/>
        </w:rPr>
        <w:t>In a three-month double</w:t>
      </w:r>
      <w:r w:rsidR="007741DD" w:rsidRPr="00734AB6">
        <w:rPr>
          <w:rFonts w:asciiTheme="majorHAnsi" w:hAnsiTheme="majorHAnsi"/>
        </w:rPr>
        <w:t>-</w:t>
      </w:r>
      <w:r w:rsidR="006E6A75" w:rsidRPr="00734AB6">
        <w:rPr>
          <w:rFonts w:asciiTheme="majorHAnsi" w:hAnsiTheme="majorHAnsi"/>
        </w:rPr>
        <w:t>blind placebo</w:t>
      </w:r>
      <w:r w:rsidR="007741DD" w:rsidRPr="00734AB6">
        <w:rPr>
          <w:rFonts w:asciiTheme="majorHAnsi" w:hAnsiTheme="majorHAnsi"/>
        </w:rPr>
        <w:t>-</w:t>
      </w:r>
      <w:r w:rsidR="006E6A75" w:rsidRPr="00734AB6">
        <w:rPr>
          <w:rFonts w:asciiTheme="majorHAnsi" w:hAnsiTheme="majorHAnsi"/>
        </w:rPr>
        <w:t>controlled study</w:t>
      </w:r>
      <w:r w:rsidR="00593BD8" w:rsidRPr="00734AB6">
        <w:rPr>
          <w:rFonts w:asciiTheme="majorHAnsi" w:hAnsiTheme="majorHAnsi"/>
        </w:rPr>
        <w:t>,</w:t>
      </w:r>
      <w:r w:rsidR="006E6A75" w:rsidRPr="00734AB6">
        <w:rPr>
          <w:rFonts w:asciiTheme="majorHAnsi" w:hAnsiTheme="majorHAnsi"/>
        </w:rPr>
        <w:t xml:space="preserve"> a dose of 200mg of modafinil or placebo was given to patients with shift work sleep disorder (</w:t>
      </w:r>
      <w:proofErr w:type="spellStart"/>
      <w:r w:rsidR="006E6A75" w:rsidRPr="00734AB6">
        <w:rPr>
          <w:rFonts w:asciiTheme="majorHAnsi" w:hAnsiTheme="majorHAnsi"/>
        </w:rPr>
        <w:t>Cze</w:t>
      </w:r>
      <w:r w:rsidR="00EA4467" w:rsidRPr="00734AB6">
        <w:rPr>
          <w:rFonts w:asciiTheme="majorHAnsi" w:hAnsiTheme="majorHAnsi"/>
        </w:rPr>
        <w:t>isler</w:t>
      </w:r>
      <w:proofErr w:type="spellEnd"/>
      <w:r w:rsidR="00EA4467" w:rsidRPr="00734AB6">
        <w:rPr>
          <w:rFonts w:asciiTheme="majorHAnsi" w:hAnsiTheme="majorHAnsi"/>
        </w:rPr>
        <w:t xml:space="preserve"> et al.</w:t>
      </w:r>
      <w:r w:rsidR="00D57756" w:rsidRPr="00734AB6">
        <w:rPr>
          <w:rFonts w:asciiTheme="majorHAnsi" w:hAnsiTheme="majorHAnsi"/>
        </w:rPr>
        <w:t>, 2005</w:t>
      </w:r>
      <w:r w:rsidR="00606475" w:rsidRPr="00734AB6">
        <w:rPr>
          <w:rFonts w:asciiTheme="majorHAnsi" w:hAnsiTheme="majorHAnsi"/>
        </w:rPr>
        <w:t xml:space="preserve">). </w:t>
      </w:r>
      <w:r w:rsidR="006E6A75" w:rsidRPr="00734AB6">
        <w:rPr>
          <w:rFonts w:asciiTheme="majorHAnsi" w:hAnsiTheme="majorHAnsi"/>
        </w:rPr>
        <w:t xml:space="preserve">A Psychomotor Vigilance Test </w:t>
      </w:r>
      <w:r w:rsidR="00477D1E" w:rsidRPr="00734AB6">
        <w:rPr>
          <w:rFonts w:asciiTheme="majorHAnsi" w:hAnsiTheme="majorHAnsi"/>
        </w:rPr>
        <w:t>(</w:t>
      </w:r>
      <w:proofErr w:type="spellStart"/>
      <w:r w:rsidR="00477D1E" w:rsidRPr="00734AB6">
        <w:rPr>
          <w:rFonts w:asciiTheme="majorHAnsi" w:hAnsiTheme="majorHAnsi"/>
        </w:rPr>
        <w:t>Dorrian</w:t>
      </w:r>
      <w:proofErr w:type="spellEnd"/>
      <w:r w:rsidR="00477D1E" w:rsidRPr="00734AB6">
        <w:rPr>
          <w:rFonts w:asciiTheme="majorHAnsi" w:hAnsiTheme="majorHAnsi"/>
        </w:rPr>
        <w:t xml:space="preserve">, Rogers &amp; </w:t>
      </w:r>
      <w:proofErr w:type="spellStart"/>
      <w:r w:rsidR="00477D1E" w:rsidRPr="00734AB6">
        <w:rPr>
          <w:rFonts w:asciiTheme="majorHAnsi" w:hAnsiTheme="majorHAnsi"/>
        </w:rPr>
        <w:t>Dinges</w:t>
      </w:r>
      <w:proofErr w:type="spellEnd"/>
      <w:r w:rsidR="00477D1E" w:rsidRPr="00734AB6">
        <w:rPr>
          <w:rFonts w:asciiTheme="majorHAnsi" w:hAnsiTheme="majorHAnsi"/>
        </w:rPr>
        <w:t xml:space="preserve">, 2004) </w:t>
      </w:r>
      <w:r w:rsidR="006E6A75" w:rsidRPr="00734AB6">
        <w:rPr>
          <w:rFonts w:asciiTheme="majorHAnsi" w:hAnsiTheme="majorHAnsi"/>
        </w:rPr>
        <w:t>was administered to measure alertness</w:t>
      </w:r>
      <w:r w:rsidR="00FA667A" w:rsidRPr="00734AB6">
        <w:rPr>
          <w:rFonts w:asciiTheme="majorHAnsi" w:hAnsiTheme="majorHAnsi"/>
        </w:rPr>
        <w:t>.</w:t>
      </w:r>
      <w:r w:rsidR="006E6A75" w:rsidRPr="00734AB6">
        <w:rPr>
          <w:rFonts w:asciiTheme="majorHAnsi" w:hAnsiTheme="majorHAnsi"/>
        </w:rPr>
        <w:t xml:space="preserve"> </w:t>
      </w:r>
      <w:r w:rsidR="00FA667A" w:rsidRPr="00734AB6">
        <w:rPr>
          <w:rFonts w:asciiTheme="majorHAnsi" w:hAnsiTheme="majorHAnsi"/>
        </w:rPr>
        <w:t>T</w:t>
      </w:r>
      <w:r w:rsidR="006E6A75" w:rsidRPr="00734AB6">
        <w:rPr>
          <w:rFonts w:asciiTheme="majorHAnsi" w:hAnsiTheme="majorHAnsi"/>
        </w:rPr>
        <w:t>he Karolinska Sleepiness Scale</w:t>
      </w:r>
      <w:r w:rsidR="00472245" w:rsidRPr="00734AB6">
        <w:rPr>
          <w:rFonts w:asciiTheme="majorHAnsi" w:hAnsiTheme="majorHAnsi"/>
        </w:rPr>
        <w:t xml:space="preserve"> (</w:t>
      </w:r>
      <w:proofErr w:type="spellStart"/>
      <w:r w:rsidR="00472245" w:rsidRPr="00734AB6">
        <w:rPr>
          <w:rFonts w:asciiTheme="majorHAnsi" w:hAnsiTheme="majorHAnsi" w:cs="Arial"/>
          <w:color w:val="222222"/>
          <w:shd w:val="clear" w:color="auto" w:fill="FFFFFF"/>
        </w:rPr>
        <w:t>Åkerstedt</w:t>
      </w:r>
      <w:proofErr w:type="spellEnd"/>
      <w:r w:rsidR="00FA667A" w:rsidRPr="00734AB6">
        <w:rPr>
          <w:rStyle w:val="CommentReference"/>
          <w:rFonts w:asciiTheme="majorHAnsi" w:eastAsia="Times New Roman" w:hAnsiTheme="majorHAnsi" w:cs="Times New Roman"/>
          <w:sz w:val="22"/>
          <w:szCs w:val="22"/>
          <w:lang w:eastAsia="en-GB"/>
        </w:rPr>
        <w:t xml:space="preserve">, </w:t>
      </w:r>
      <w:proofErr w:type="spellStart"/>
      <w:r w:rsidR="00FA667A" w:rsidRPr="00734AB6">
        <w:rPr>
          <w:rStyle w:val="CommentReference"/>
          <w:rFonts w:asciiTheme="majorHAnsi" w:eastAsia="Times New Roman" w:hAnsiTheme="majorHAnsi" w:cs="Times New Roman"/>
          <w:sz w:val="22"/>
          <w:szCs w:val="22"/>
          <w:lang w:eastAsia="en-GB"/>
        </w:rPr>
        <w:t>Torsvall</w:t>
      </w:r>
      <w:proofErr w:type="spellEnd"/>
      <w:r w:rsidR="00FA667A" w:rsidRPr="00734AB6">
        <w:rPr>
          <w:rStyle w:val="CommentReference"/>
          <w:rFonts w:asciiTheme="majorHAnsi" w:eastAsia="Times New Roman" w:hAnsiTheme="majorHAnsi" w:cs="Times New Roman"/>
          <w:sz w:val="22"/>
          <w:szCs w:val="22"/>
          <w:lang w:eastAsia="en-GB"/>
        </w:rPr>
        <w:t xml:space="preserve"> &amp; </w:t>
      </w:r>
      <w:proofErr w:type="spellStart"/>
      <w:r w:rsidR="00FA667A" w:rsidRPr="00734AB6">
        <w:rPr>
          <w:rStyle w:val="CommentReference"/>
          <w:rFonts w:asciiTheme="majorHAnsi" w:eastAsia="Times New Roman" w:hAnsiTheme="majorHAnsi" w:cs="Times New Roman"/>
          <w:sz w:val="22"/>
          <w:szCs w:val="22"/>
          <w:lang w:eastAsia="en-GB"/>
        </w:rPr>
        <w:t>Gillberg</w:t>
      </w:r>
      <w:proofErr w:type="spellEnd"/>
      <w:r w:rsidR="00FA667A" w:rsidRPr="00734AB6">
        <w:rPr>
          <w:rStyle w:val="CommentReference"/>
          <w:rFonts w:asciiTheme="majorHAnsi" w:eastAsia="Times New Roman" w:hAnsiTheme="majorHAnsi" w:cs="Times New Roman"/>
          <w:sz w:val="22"/>
          <w:szCs w:val="22"/>
          <w:lang w:eastAsia="en-GB"/>
        </w:rPr>
        <w:t xml:space="preserve">, 1982), </w:t>
      </w:r>
      <w:r w:rsidR="006E6A75" w:rsidRPr="00734AB6">
        <w:rPr>
          <w:rFonts w:asciiTheme="majorHAnsi" w:hAnsiTheme="majorHAnsi"/>
        </w:rPr>
        <w:t>completed by the patients</w:t>
      </w:r>
      <w:r w:rsidR="00FA667A" w:rsidRPr="00734AB6">
        <w:rPr>
          <w:rFonts w:asciiTheme="majorHAnsi" w:hAnsiTheme="majorHAnsi"/>
        </w:rPr>
        <w:t>,</w:t>
      </w:r>
      <w:r w:rsidR="006E6A75" w:rsidRPr="00734AB6">
        <w:rPr>
          <w:rFonts w:asciiTheme="majorHAnsi" w:hAnsiTheme="majorHAnsi"/>
        </w:rPr>
        <w:t xml:space="preserve"> and an investigator-rated </w:t>
      </w:r>
      <w:r w:rsidR="0063531B" w:rsidRPr="00734AB6">
        <w:rPr>
          <w:rFonts w:asciiTheme="majorHAnsi" w:hAnsiTheme="majorHAnsi"/>
        </w:rPr>
        <w:t>Clinical G</w:t>
      </w:r>
      <w:r w:rsidR="006E6A75" w:rsidRPr="00734AB6">
        <w:rPr>
          <w:rFonts w:asciiTheme="majorHAnsi" w:hAnsiTheme="majorHAnsi"/>
        </w:rPr>
        <w:t xml:space="preserve">lobal Impressions of Change scale </w:t>
      </w:r>
      <w:r w:rsidR="00EF4CE2" w:rsidRPr="00734AB6">
        <w:rPr>
          <w:rFonts w:asciiTheme="majorHAnsi" w:hAnsiTheme="majorHAnsi"/>
        </w:rPr>
        <w:t xml:space="preserve">(Guy, 1976) </w:t>
      </w:r>
      <w:r w:rsidR="00FA667A" w:rsidRPr="00734AB6">
        <w:rPr>
          <w:rFonts w:asciiTheme="majorHAnsi" w:hAnsiTheme="majorHAnsi"/>
        </w:rPr>
        <w:t>were</w:t>
      </w:r>
      <w:r w:rsidR="006E6A75" w:rsidRPr="00734AB6">
        <w:rPr>
          <w:rFonts w:asciiTheme="majorHAnsi" w:hAnsiTheme="majorHAnsi"/>
        </w:rPr>
        <w:t xml:space="preserve"> used</w:t>
      </w:r>
      <w:r w:rsidR="0063531B" w:rsidRPr="00734AB6">
        <w:rPr>
          <w:rFonts w:asciiTheme="majorHAnsi" w:hAnsiTheme="majorHAnsi"/>
        </w:rPr>
        <w:t xml:space="preserve"> to assess </w:t>
      </w:r>
      <w:r w:rsidR="002C5FF5" w:rsidRPr="00734AB6">
        <w:rPr>
          <w:rFonts w:asciiTheme="majorHAnsi" w:hAnsiTheme="majorHAnsi"/>
        </w:rPr>
        <w:t xml:space="preserve">the </w:t>
      </w:r>
      <w:r w:rsidR="0063531B" w:rsidRPr="00734AB6">
        <w:rPr>
          <w:rFonts w:asciiTheme="majorHAnsi" w:hAnsiTheme="majorHAnsi"/>
        </w:rPr>
        <w:t>severity of sleepiness</w:t>
      </w:r>
      <w:r w:rsidR="00593BD8" w:rsidRPr="00734AB6">
        <w:rPr>
          <w:rFonts w:asciiTheme="majorHAnsi" w:hAnsiTheme="majorHAnsi"/>
        </w:rPr>
        <w:t>.</w:t>
      </w:r>
      <w:r w:rsidR="0063531B" w:rsidRPr="00734AB6">
        <w:rPr>
          <w:rFonts w:asciiTheme="majorHAnsi" w:hAnsiTheme="majorHAnsi"/>
        </w:rPr>
        <w:t xml:space="preserve"> </w:t>
      </w:r>
      <w:r w:rsidR="00593BD8" w:rsidRPr="00734AB6">
        <w:rPr>
          <w:rFonts w:asciiTheme="majorHAnsi" w:hAnsiTheme="majorHAnsi"/>
        </w:rPr>
        <w:t>P</w:t>
      </w:r>
      <w:r w:rsidR="0063531B" w:rsidRPr="00734AB6">
        <w:rPr>
          <w:rFonts w:asciiTheme="majorHAnsi" w:hAnsiTheme="majorHAnsi"/>
        </w:rPr>
        <w:t>atients also completed electronic</w:t>
      </w:r>
      <w:r w:rsidR="00FA667A" w:rsidRPr="00734AB6">
        <w:rPr>
          <w:rFonts w:asciiTheme="majorHAnsi" w:hAnsiTheme="majorHAnsi"/>
        </w:rPr>
        <w:t xml:space="preserve"> diaries of their experiences. </w:t>
      </w:r>
      <w:r w:rsidR="00050CFE" w:rsidRPr="00734AB6">
        <w:rPr>
          <w:rFonts w:asciiTheme="majorHAnsi" w:hAnsiTheme="majorHAnsi"/>
        </w:rPr>
        <w:t>M</w:t>
      </w:r>
      <w:r w:rsidR="0063531B" w:rsidRPr="00734AB6">
        <w:rPr>
          <w:rFonts w:asciiTheme="majorHAnsi" w:hAnsiTheme="majorHAnsi"/>
        </w:rPr>
        <w:t xml:space="preserve">odafinil </w:t>
      </w:r>
      <w:r w:rsidR="006B1474" w:rsidRPr="00734AB6">
        <w:rPr>
          <w:rFonts w:asciiTheme="majorHAnsi" w:hAnsiTheme="majorHAnsi"/>
        </w:rPr>
        <w:t xml:space="preserve">was found to </w:t>
      </w:r>
      <w:r w:rsidR="0063531B" w:rsidRPr="00734AB6">
        <w:rPr>
          <w:rFonts w:asciiTheme="majorHAnsi" w:hAnsiTheme="majorHAnsi"/>
        </w:rPr>
        <w:t>reduce extreme sleepiness and that this resulted in a significant, albeit small, improvement in performance compared to placebo.</w:t>
      </w:r>
      <w:r w:rsidR="00507771" w:rsidRPr="00734AB6">
        <w:rPr>
          <w:rFonts w:asciiTheme="majorHAnsi" w:hAnsiTheme="majorHAnsi"/>
        </w:rPr>
        <w:t xml:space="preserve"> </w:t>
      </w:r>
      <w:r w:rsidR="00AD7EC1" w:rsidRPr="00734AB6">
        <w:rPr>
          <w:rFonts w:asciiTheme="majorHAnsi" w:hAnsiTheme="majorHAnsi"/>
        </w:rPr>
        <w:t>Further</w:t>
      </w:r>
      <w:r w:rsidR="0063531B" w:rsidRPr="00734AB6">
        <w:rPr>
          <w:rFonts w:asciiTheme="majorHAnsi" w:hAnsiTheme="majorHAnsi"/>
        </w:rPr>
        <w:t xml:space="preserve"> improvement was seen in another study by </w:t>
      </w:r>
      <w:proofErr w:type="spellStart"/>
      <w:r w:rsidR="0063531B" w:rsidRPr="00734AB6">
        <w:rPr>
          <w:rFonts w:asciiTheme="majorHAnsi" w:hAnsiTheme="majorHAnsi"/>
        </w:rPr>
        <w:t>Erman</w:t>
      </w:r>
      <w:proofErr w:type="spellEnd"/>
      <w:r w:rsidR="008935B6" w:rsidRPr="00734AB6">
        <w:rPr>
          <w:rFonts w:asciiTheme="majorHAnsi" w:hAnsiTheme="majorHAnsi"/>
        </w:rPr>
        <w:t xml:space="preserve">, </w:t>
      </w:r>
      <w:r w:rsidR="0063531B" w:rsidRPr="00734AB6">
        <w:rPr>
          <w:rFonts w:asciiTheme="majorHAnsi" w:hAnsiTheme="majorHAnsi"/>
        </w:rPr>
        <w:t xml:space="preserve">Rosenberg </w:t>
      </w:r>
      <w:r w:rsidR="008935B6" w:rsidRPr="00734AB6">
        <w:rPr>
          <w:rFonts w:asciiTheme="majorHAnsi" w:hAnsiTheme="majorHAnsi"/>
        </w:rPr>
        <w:t xml:space="preserve">and </w:t>
      </w:r>
      <w:r w:rsidR="008935B6" w:rsidRPr="00734AB6">
        <w:rPr>
          <w:rFonts w:asciiTheme="majorHAnsi" w:hAnsiTheme="majorHAnsi" w:cs="Arial"/>
          <w:shd w:val="clear" w:color="auto" w:fill="FFFFFF"/>
        </w:rPr>
        <w:t>US Modafinil Shift Work Sleep Disorder Study Group</w:t>
      </w:r>
      <w:r w:rsidR="008935B6" w:rsidRPr="00734AB6">
        <w:rPr>
          <w:rFonts w:asciiTheme="majorHAnsi" w:hAnsiTheme="majorHAnsi"/>
        </w:rPr>
        <w:t xml:space="preserve"> </w:t>
      </w:r>
      <w:r w:rsidR="0063531B" w:rsidRPr="00734AB6">
        <w:rPr>
          <w:rFonts w:asciiTheme="majorHAnsi" w:hAnsiTheme="majorHAnsi"/>
        </w:rPr>
        <w:t>(2007)</w:t>
      </w:r>
      <w:r w:rsidR="008664D1" w:rsidRPr="00734AB6">
        <w:rPr>
          <w:rFonts w:asciiTheme="majorHAnsi" w:hAnsiTheme="majorHAnsi"/>
        </w:rPr>
        <w:t xml:space="preserve"> using dose</w:t>
      </w:r>
      <w:r w:rsidR="002C5FF5" w:rsidRPr="00734AB6">
        <w:rPr>
          <w:rFonts w:asciiTheme="majorHAnsi" w:hAnsiTheme="majorHAnsi"/>
        </w:rPr>
        <w:t>s</w:t>
      </w:r>
      <w:r w:rsidR="008664D1" w:rsidRPr="00734AB6">
        <w:rPr>
          <w:rFonts w:asciiTheme="majorHAnsi" w:hAnsiTheme="majorHAnsi"/>
        </w:rPr>
        <w:t xml:space="preserve"> of 300mg </w:t>
      </w:r>
      <w:r w:rsidR="00E70C95" w:rsidRPr="00734AB6">
        <w:rPr>
          <w:rFonts w:asciiTheme="majorHAnsi" w:hAnsiTheme="majorHAnsi"/>
        </w:rPr>
        <w:t>and</w:t>
      </w:r>
      <w:r w:rsidR="008664D1" w:rsidRPr="00734AB6">
        <w:rPr>
          <w:rFonts w:asciiTheme="majorHAnsi" w:hAnsiTheme="majorHAnsi"/>
        </w:rPr>
        <w:t xml:space="preserve"> 2</w:t>
      </w:r>
      <w:r w:rsidR="00B22EE2" w:rsidRPr="00734AB6">
        <w:rPr>
          <w:rFonts w:asciiTheme="majorHAnsi" w:hAnsiTheme="majorHAnsi"/>
        </w:rPr>
        <w:t>00mg of modafinil and placebo</w:t>
      </w:r>
      <w:r w:rsidR="00507771" w:rsidRPr="00734AB6">
        <w:rPr>
          <w:rFonts w:asciiTheme="majorHAnsi" w:hAnsiTheme="majorHAnsi"/>
        </w:rPr>
        <w:t xml:space="preserve"> </w:t>
      </w:r>
      <w:r w:rsidR="00E70C95" w:rsidRPr="00734AB6">
        <w:rPr>
          <w:rFonts w:asciiTheme="majorHAnsi" w:hAnsiTheme="majorHAnsi"/>
        </w:rPr>
        <w:t>in</w:t>
      </w:r>
      <w:r w:rsidR="00507771" w:rsidRPr="00734AB6">
        <w:rPr>
          <w:rFonts w:asciiTheme="majorHAnsi" w:hAnsiTheme="majorHAnsi"/>
        </w:rPr>
        <w:t xml:space="preserve"> a sample of</w:t>
      </w:r>
      <w:r w:rsidR="008664D1" w:rsidRPr="00734AB6">
        <w:rPr>
          <w:rFonts w:asciiTheme="majorHAnsi" w:hAnsiTheme="majorHAnsi"/>
        </w:rPr>
        <w:t xml:space="preserve"> 278 patients w</w:t>
      </w:r>
      <w:r w:rsidR="00B22EE2" w:rsidRPr="00734AB6">
        <w:rPr>
          <w:rFonts w:asciiTheme="majorHAnsi" w:hAnsiTheme="majorHAnsi"/>
        </w:rPr>
        <w:t xml:space="preserve">ith shift work sleep disorder. </w:t>
      </w:r>
      <w:proofErr w:type="spellStart"/>
      <w:r w:rsidR="00E70C95" w:rsidRPr="00734AB6">
        <w:rPr>
          <w:rFonts w:asciiTheme="majorHAnsi" w:hAnsiTheme="majorHAnsi"/>
        </w:rPr>
        <w:t>Erman</w:t>
      </w:r>
      <w:proofErr w:type="spellEnd"/>
      <w:r w:rsidR="00E70C95" w:rsidRPr="00734AB6">
        <w:rPr>
          <w:rFonts w:asciiTheme="majorHAnsi" w:hAnsiTheme="majorHAnsi"/>
        </w:rPr>
        <w:t xml:space="preserve"> et al. </w:t>
      </w:r>
      <w:r w:rsidR="00507771" w:rsidRPr="00734AB6">
        <w:rPr>
          <w:rFonts w:asciiTheme="majorHAnsi" w:hAnsiTheme="majorHAnsi"/>
        </w:rPr>
        <w:t>used</w:t>
      </w:r>
      <w:r w:rsidR="008664D1" w:rsidRPr="00734AB6">
        <w:rPr>
          <w:rFonts w:asciiTheme="majorHAnsi" w:hAnsiTheme="majorHAnsi"/>
        </w:rPr>
        <w:t xml:space="preserve"> </w:t>
      </w:r>
      <w:r w:rsidR="00C0611D" w:rsidRPr="00734AB6">
        <w:rPr>
          <w:rFonts w:asciiTheme="majorHAnsi" w:hAnsiTheme="majorHAnsi"/>
        </w:rPr>
        <w:t>Weaver et al.’s (1997)</w:t>
      </w:r>
      <w:r w:rsidR="008664D1" w:rsidRPr="00734AB6">
        <w:rPr>
          <w:rFonts w:asciiTheme="majorHAnsi" w:hAnsiTheme="majorHAnsi"/>
        </w:rPr>
        <w:t xml:space="preserve"> Functional Outcomes of Sleep Questionnaire (FOSQ)</w:t>
      </w:r>
      <w:r w:rsidR="00507771" w:rsidRPr="00734AB6">
        <w:rPr>
          <w:rFonts w:asciiTheme="majorHAnsi" w:hAnsiTheme="majorHAnsi"/>
        </w:rPr>
        <w:t xml:space="preserve"> </w:t>
      </w:r>
      <w:r w:rsidR="008664D1" w:rsidRPr="00734AB6">
        <w:rPr>
          <w:rFonts w:asciiTheme="majorHAnsi" w:hAnsiTheme="majorHAnsi"/>
        </w:rPr>
        <w:t>a</w:t>
      </w:r>
      <w:r w:rsidR="00507771" w:rsidRPr="00734AB6">
        <w:rPr>
          <w:rFonts w:asciiTheme="majorHAnsi" w:hAnsiTheme="majorHAnsi"/>
        </w:rPr>
        <w:t>nd</w:t>
      </w:r>
      <w:r w:rsidR="008664D1" w:rsidRPr="00734AB6">
        <w:rPr>
          <w:rFonts w:asciiTheme="majorHAnsi" w:hAnsiTheme="majorHAnsi"/>
        </w:rPr>
        <w:t xml:space="preserve"> </w:t>
      </w:r>
      <w:r w:rsidR="004B7706" w:rsidRPr="00734AB6">
        <w:rPr>
          <w:rFonts w:asciiTheme="majorHAnsi" w:hAnsiTheme="majorHAnsi"/>
        </w:rPr>
        <w:t>Ware’s (2000)</w:t>
      </w:r>
      <w:r w:rsidR="008664D1" w:rsidRPr="00734AB6">
        <w:rPr>
          <w:rFonts w:asciiTheme="majorHAnsi" w:hAnsiTheme="majorHAnsi"/>
        </w:rPr>
        <w:t xml:space="preserve"> Short Form Health Survey (SFHS)</w:t>
      </w:r>
      <w:r w:rsidR="00507771" w:rsidRPr="00734AB6">
        <w:rPr>
          <w:rFonts w:asciiTheme="majorHAnsi" w:hAnsiTheme="majorHAnsi"/>
        </w:rPr>
        <w:t>.</w:t>
      </w:r>
      <w:r w:rsidR="00CE4513" w:rsidRPr="00734AB6">
        <w:rPr>
          <w:rFonts w:asciiTheme="majorHAnsi" w:hAnsiTheme="majorHAnsi"/>
        </w:rPr>
        <w:t xml:space="preserve"> </w:t>
      </w:r>
      <w:r w:rsidR="00E70C95" w:rsidRPr="00734AB6">
        <w:rPr>
          <w:rFonts w:asciiTheme="majorHAnsi" w:hAnsiTheme="majorHAnsi"/>
        </w:rPr>
        <w:t>Their r</w:t>
      </w:r>
      <w:r w:rsidR="00196112" w:rsidRPr="00734AB6">
        <w:rPr>
          <w:rFonts w:asciiTheme="majorHAnsi" w:hAnsiTheme="majorHAnsi"/>
        </w:rPr>
        <w:t xml:space="preserve">esults demonstrated that </w:t>
      </w:r>
      <w:r w:rsidR="00E70C95" w:rsidRPr="00734AB6">
        <w:rPr>
          <w:rFonts w:asciiTheme="majorHAnsi" w:hAnsiTheme="majorHAnsi"/>
        </w:rPr>
        <w:t xml:space="preserve">the </w:t>
      </w:r>
      <w:r w:rsidR="008664D1" w:rsidRPr="00734AB6">
        <w:rPr>
          <w:rFonts w:asciiTheme="majorHAnsi" w:hAnsiTheme="majorHAnsi"/>
        </w:rPr>
        <w:t xml:space="preserve">300mg </w:t>
      </w:r>
      <w:r w:rsidR="00E70C95" w:rsidRPr="00734AB6">
        <w:rPr>
          <w:rFonts w:asciiTheme="majorHAnsi" w:hAnsiTheme="majorHAnsi"/>
        </w:rPr>
        <w:t xml:space="preserve">dose </w:t>
      </w:r>
      <w:r w:rsidR="008664D1" w:rsidRPr="00734AB6">
        <w:rPr>
          <w:rFonts w:asciiTheme="majorHAnsi" w:hAnsiTheme="majorHAnsi"/>
        </w:rPr>
        <w:t>of modafinil significantly improved the mean F</w:t>
      </w:r>
      <w:r w:rsidR="00720EEA" w:rsidRPr="00734AB6">
        <w:rPr>
          <w:rFonts w:asciiTheme="majorHAnsi" w:hAnsiTheme="majorHAnsi"/>
        </w:rPr>
        <w:t xml:space="preserve">OSQ score compared to placebo. </w:t>
      </w:r>
      <w:r w:rsidR="008664D1" w:rsidRPr="00734AB6">
        <w:rPr>
          <w:rFonts w:asciiTheme="majorHAnsi" w:hAnsiTheme="majorHAnsi"/>
        </w:rPr>
        <w:t xml:space="preserve">Both doses of modafinil significantly improved the mean SFHS score compared </w:t>
      </w:r>
      <w:r w:rsidR="00900B1C" w:rsidRPr="00734AB6">
        <w:rPr>
          <w:rFonts w:asciiTheme="majorHAnsi" w:hAnsiTheme="majorHAnsi"/>
        </w:rPr>
        <w:t>with</w:t>
      </w:r>
      <w:r w:rsidR="008664D1" w:rsidRPr="00734AB6">
        <w:rPr>
          <w:rFonts w:asciiTheme="majorHAnsi" w:hAnsiTheme="majorHAnsi"/>
        </w:rPr>
        <w:t xml:space="preserve"> placebo.</w:t>
      </w:r>
    </w:p>
    <w:p w14:paraId="05178FF8" w14:textId="7571D9CC" w:rsidR="00362C2B" w:rsidRPr="00734AB6" w:rsidRDefault="00475FF7" w:rsidP="0099584D">
      <w:pPr>
        <w:spacing w:after="240" w:line="360" w:lineRule="auto"/>
        <w:ind w:firstLine="851"/>
        <w:rPr>
          <w:rFonts w:asciiTheme="majorHAnsi" w:hAnsiTheme="majorHAnsi"/>
        </w:rPr>
      </w:pPr>
      <w:r w:rsidRPr="00734AB6">
        <w:rPr>
          <w:rFonts w:asciiTheme="majorHAnsi" w:hAnsiTheme="majorHAnsi"/>
        </w:rPr>
        <w:t>Modafinil</w:t>
      </w:r>
      <w:r w:rsidR="004755AB" w:rsidRPr="00734AB6">
        <w:rPr>
          <w:rFonts w:asciiTheme="majorHAnsi" w:hAnsiTheme="majorHAnsi"/>
        </w:rPr>
        <w:t xml:space="preserve"> has also </w:t>
      </w:r>
      <w:r w:rsidR="00C10D56" w:rsidRPr="00734AB6">
        <w:rPr>
          <w:rFonts w:asciiTheme="majorHAnsi" w:hAnsiTheme="majorHAnsi"/>
        </w:rPr>
        <w:t xml:space="preserve">demonstrated positive effects </w:t>
      </w:r>
      <w:r w:rsidR="004755AB" w:rsidRPr="00734AB6">
        <w:rPr>
          <w:rFonts w:asciiTheme="majorHAnsi" w:hAnsiTheme="majorHAnsi"/>
        </w:rPr>
        <w:t xml:space="preserve">for </w:t>
      </w:r>
      <w:r w:rsidR="00C10D56" w:rsidRPr="00734AB6">
        <w:rPr>
          <w:rFonts w:asciiTheme="majorHAnsi" w:hAnsiTheme="majorHAnsi"/>
        </w:rPr>
        <w:t xml:space="preserve">the </w:t>
      </w:r>
      <w:r w:rsidR="004755AB" w:rsidRPr="00734AB6">
        <w:rPr>
          <w:rFonts w:asciiTheme="majorHAnsi" w:hAnsiTheme="majorHAnsi"/>
        </w:rPr>
        <w:t>treatment of</w:t>
      </w:r>
      <w:r w:rsidR="00106D82" w:rsidRPr="00734AB6">
        <w:rPr>
          <w:rFonts w:asciiTheme="majorHAnsi" w:hAnsiTheme="majorHAnsi"/>
        </w:rPr>
        <w:t xml:space="preserve"> both childhood and adult</w:t>
      </w:r>
      <w:r w:rsidR="004755AB" w:rsidRPr="00734AB6">
        <w:rPr>
          <w:rFonts w:asciiTheme="majorHAnsi" w:hAnsiTheme="majorHAnsi"/>
        </w:rPr>
        <w:t xml:space="preserve"> ADHD</w:t>
      </w:r>
      <w:r w:rsidR="00106D82" w:rsidRPr="00734AB6">
        <w:rPr>
          <w:rFonts w:asciiTheme="majorHAnsi" w:hAnsiTheme="majorHAnsi"/>
        </w:rPr>
        <w:t xml:space="preserve"> (</w:t>
      </w:r>
      <w:proofErr w:type="spellStart"/>
      <w:r w:rsidR="00106D82" w:rsidRPr="00734AB6">
        <w:rPr>
          <w:rFonts w:asciiTheme="majorHAnsi" w:hAnsiTheme="majorHAnsi"/>
        </w:rPr>
        <w:t>Rugino</w:t>
      </w:r>
      <w:proofErr w:type="spellEnd"/>
      <w:r w:rsidR="00106D82" w:rsidRPr="00734AB6">
        <w:rPr>
          <w:rFonts w:asciiTheme="majorHAnsi" w:hAnsiTheme="majorHAnsi"/>
        </w:rPr>
        <w:t xml:space="preserve"> &amp; </w:t>
      </w:r>
      <w:proofErr w:type="spellStart"/>
      <w:r w:rsidR="00106D82" w:rsidRPr="00734AB6">
        <w:rPr>
          <w:rFonts w:asciiTheme="majorHAnsi" w:hAnsiTheme="majorHAnsi"/>
        </w:rPr>
        <w:t>Samsock</w:t>
      </w:r>
      <w:proofErr w:type="spellEnd"/>
      <w:r w:rsidR="00106D82" w:rsidRPr="00734AB6">
        <w:rPr>
          <w:rFonts w:asciiTheme="majorHAnsi" w:hAnsiTheme="majorHAnsi"/>
        </w:rPr>
        <w:t>, 2003; Turner, Clark, Down, Robbins &amp; Sahakian, 2004)</w:t>
      </w:r>
      <w:r w:rsidR="004755AB" w:rsidRPr="00734AB6">
        <w:rPr>
          <w:rFonts w:asciiTheme="majorHAnsi" w:hAnsiTheme="majorHAnsi"/>
        </w:rPr>
        <w:t xml:space="preserve">. </w:t>
      </w:r>
      <w:proofErr w:type="spellStart"/>
      <w:r w:rsidR="00EA4467" w:rsidRPr="00734AB6">
        <w:rPr>
          <w:rFonts w:asciiTheme="majorHAnsi" w:hAnsiTheme="majorHAnsi"/>
        </w:rPr>
        <w:t>Rugino</w:t>
      </w:r>
      <w:proofErr w:type="spellEnd"/>
      <w:r w:rsidR="00EA4467" w:rsidRPr="00734AB6">
        <w:rPr>
          <w:rFonts w:asciiTheme="majorHAnsi" w:hAnsiTheme="majorHAnsi"/>
        </w:rPr>
        <w:t xml:space="preserve"> and </w:t>
      </w:r>
      <w:proofErr w:type="spellStart"/>
      <w:r w:rsidR="00EA4467" w:rsidRPr="00734AB6">
        <w:rPr>
          <w:rFonts w:asciiTheme="majorHAnsi" w:hAnsiTheme="majorHAnsi"/>
        </w:rPr>
        <w:t>Samsock</w:t>
      </w:r>
      <w:proofErr w:type="spellEnd"/>
      <w:r w:rsidR="00214259" w:rsidRPr="00734AB6">
        <w:rPr>
          <w:rFonts w:asciiTheme="majorHAnsi" w:hAnsiTheme="majorHAnsi"/>
        </w:rPr>
        <w:t xml:space="preserve"> used a flexible dosing schedule to administer 100mg to 300mg of modafinil to children with and without ADHD over a six</w:t>
      </w:r>
      <w:r w:rsidR="0090798E" w:rsidRPr="00734AB6">
        <w:rPr>
          <w:rFonts w:asciiTheme="majorHAnsi" w:hAnsiTheme="majorHAnsi"/>
        </w:rPr>
        <w:t>-</w:t>
      </w:r>
      <w:r w:rsidR="00214259" w:rsidRPr="00734AB6">
        <w:rPr>
          <w:rFonts w:asciiTheme="majorHAnsi" w:hAnsiTheme="majorHAnsi"/>
        </w:rPr>
        <w:t xml:space="preserve">week period. </w:t>
      </w:r>
      <w:r w:rsidR="00506021" w:rsidRPr="00734AB6">
        <w:rPr>
          <w:rFonts w:asciiTheme="majorHAnsi" w:hAnsiTheme="majorHAnsi"/>
        </w:rPr>
        <w:t>Results from</w:t>
      </w:r>
      <w:r w:rsidR="0090798E" w:rsidRPr="00734AB6">
        <w:rPr>
          <w:rFonts w:asciiTheme="majorHAnsi" w:hAnsiTheme="majorHAnsi"/>
        </w:rPr>
        <w:t xml:space="preserve"> the</w:t>
      </w:r>
      <w:r w:rsidR="00506021" w:rsidRPr="00734AB6">
        <w:rPr>
          <w:rFonts w:asciiTheme="majorHAnsi" w:hAnsiTheme="majorHAnsi"/>
        </w:rPr>
        <w:t xml:space="preserve"> </w:t>
      </w:r>
      <w:r w:rsidR="006B1474" w:rsidRPr="00734AB6">
        <w:rPr>
          <w:rFonts w:asciiTheme="majorHAnsi" w:hAnsiTheme="majorHAnsi"/>
        </w:rPr>
        <w:t>TOVA</w:t>
      </w:r>
      <w:r w:rsidR="00E16B52" w:rsidRPr="00734AB6">
        <w:rPr>
          <w:rFonts w:asciiTheme="majorHAnsi" w:hAnsiTheme="majorHAnsi"/>
        </w:rPr>
        <w:t xml:space="preserve"> (Greenbe</w:t>
      </w:r>
      <w:r w:rsidR="00BA762B" w:rsidRPr="00734AB6">
        <w:rPr>
          <w:rFonts w:asciiTheme="majorHAnsi" w:hAnsiTheme="majorHAnsi"/>
        </w:rPr>
        <w:t xml:space="preserve">rg, </w:t>
      </w:r>
      <w:proofErr w:type="spellStart"/>
      <w:r w:rsidR="00BA762B" w:rsidRPr="00734AB6">
        <w:rPr>
          <w:rFonts w:asciiTheme="majorHAnsi" w:hAnsiTheme="majorHAnsi"/>
        </w:rPr>
        <w:t>Kindschi</w:t>
      </w:r>
      <w:proofErr w:type="spellEnd"/>
      <w:r w:rsidR="00BA762B" w:rsidRPr="00734AB6">
        <w:rPr>
          <w:rFonts w:asciiTheme="majorHAnsi" w:hAnsiTheme="majorHAnsi"/>
        </w:rPr>
        <w:t xml:space="preserve"> &amp; Corman, 2000)</w:t>
      </w:r>
      <w:r w:rsidR="00B07A1E" w:rsidRPr="00734AB6">
        <w:rPr>
          <w:rFonts w:asciiTheme="majorHAnsi" w:hAnsiTheme="majorHAnsi"/>
        </w:rPr>
        <w:t>,</w:t>
      </w:r>
      <w:r w:rsidR="00720EEA" w:rsidRPr="00734AB6">
        <w:rPr>
          <w:rFonts w:asciiTheme="majorHAnsi" w:hAnsiTheme="majorHAnsi"/>
        </w:rPr>
        <w:t xml:space="preserve"> the</w:t>
      </w:r>
      <w:r w:rsidR="00B07A1E" w:rsidRPr="00734AB6">
        <w:rPr>
          <w:rFonts w:asciiTheme="majorHAnsi" w:hAnsiTheme="majorHAnsi"/>
        </w:rPr>
        <w:t xml:space="preserve"> </w:t>
      </w:r>
      <w:r w:rsidR="00506021" w:rsidRPr="00734AB6">
        <w:rPr>
          <w:rFonts w:asciiTheme="majorHAnsi" w:hAnsiTheme="majorHAnsi"/>
        </w:rPr>
        <w:t xml:space="preserve">ADHD Rating Scale IV </w:t>
      </w:r>
      <w:r w:rsidR="00AB2404" w:rsidRPr="00734AB6">
        <w:rPr>
          <w:rFonts w:asciiTheme="majorHAnsi" w:hAnsiTheme="majorHAnsi"/>
        </w:rPr>
        <w:t>(</w:t>
      </w:r>
      <w:proofErr w:type="spellStart"/>
      <w:r w:rsidR="00AB2404" w:rsidRPr="00734AB6">
        <w:rPr>
          <w:rFonts w:asciiTheme="majorHAnsi" w:hAnsiTheme="majorHAnsi"/>
        </w:rPr>
        <w:t>DuPaul</w:t>
      </w:r>
      <w:proofErr w:type="spellEnd"/>
      <w:r w:rsidR="00AB2404" w:rsidRPr="00734AB6">
        <w:rPr>
          <w:rFonts w:asciiTheme="majorHAnsi" w:hAnsiTheme="majorHAnsi"/>
        </w:rPr>
        <w:t xml:space="preserve">, </w:t>
      </w:r>
      <w:r w:rsidR="007259E6" w:rsidRPr="00734AB6">
        <w:rPr>
          <w:rFonts w:asciiTheme="majorHAnsi" w:hAnsiTheme="majorHAnsi"/>
        </w:rPr>
        <w:t xml:space="preserve">Power, </w:t>
      </w:r>
      <w:proofErr w:type="spellStart"/>
      <w:r w:rsidR="007259E6" w:rsidRPr="00734AB6">
        <w:rPr>
          <w:rFonts w:asciiTheme="majorHAnsi" w:hAnsiTheme="majorHAnsi"/>
        </w:rPr>
        <w:t>Anastopoulus</w:t>
      </w:r>
      <w:proofErr w:type="spellEnd"/>
      <w:r w:rsidR="007259E6" w:rsidRPr="00734AB6">
        <w:rPr>
          <w:rFonts w:asciiTheme="majorHAnsi" w:hAnsiTheme="majorHAnsi"/>
        </w:rPr>
        <w:t xml:space="preserve"> &amp; Reid, 1998)</w:t>
      </w:r>
      <w:r w:rsidR="00506021" w:rsidRPr="00734AB6">
        <w:rPr>
          <w:rFonts w:asciiTheme="majorHAnsi" w:hAnsiTheme="majorHAnsi"/>
        </w:rPr>
        <w:t xml:space="preserve"> and</w:t>
      </w:r>
      <w:r w:rsidR="0090798E" w:rsidRPr="00734AB6">
        <w:rPr>
          <w:rFonts w:asciiTheme="majorHAnsi" w:hAnsiTheme="majorHAnsi"/>
        </w:rPr>
        <w:t xml:space="preserve"> the</w:t>
      </w:r>
      <w:r w:rsidR="00506021" w:rsidRPr="00734AB6">
        <w:rPr>
          <w:rFonts w:asciiTheme="majorHAnsi" w:hAnsiTheme="majorHAnsi"/>
        </w:rPr>
        <w:t xml:space="preserve"> Connors Rating Scales </w:t>
      </w:r>
      <w:r w:rsidR="007259E6" w:rsidRPr="00734AB6">
        <w:rPr>
          <w:rFonts w:asciiTheme="majorHAnsi" w:hAnsiTheme="majorHAnsi"/>
        </w:rPr>
        <w:t xml:space="preserve">(Connors, 2001) </w:t>
      </w:r>
      <w:r w:rsidR="00506021" w:rsidRPr="00734AB6">
        <w:rPr>
          <w:rFonts w:asciiTheme="majorHAnsi" w:hAnsiTheme="majorHAnsi"/>
        </w:rPr>
        <w:t>all demonstrated significant improvement in the ADHD group whereas</w:t>
      </w:r>
      <w:r w:rsidR="00593BD8" w:rsidRPr="00734AB6">
        <w:rPr>
          <w:rFonts w:asciiTheme="majorHAnsi" w:hAnsiTheme="majorHAnsi"/>
        </w:rPr>
        <w:t xml:space="preserve"> the control group demonstrated</w:t>
      </w:r>
      <w:r w:rsidR="00506021" w:rsidRPr="00734AB6">
        <w:rPr>
          <w:rFonts w:asciiTheme="majorHAnsi" w:hAnsiTheme="majorHAnsi"/>
        </w:rPr>
        <w:t xml:space="preserve"> </w:t>
      </w:r>
      <w:r w:rsidR="00362C2B" w:rsidRPr="00734AB6">
        <w:rPr>
          <w:rFonts w:asciiTheme="majorHAnsi" w:hAnsiTheme="majorHAnsi"/>
        </w:rPr>
        <w:t>no or</w:t>
      </w:r>
      <w:r w:rsidR="00506021" w:rsidRPr="00734AB6">
        <w:rPr>
          <w:rFonts w:asciiTheme="majorHAnsi" w:hAnsiTheme="majorHAnsi"/>
        </w:rPr>
        <w:t xml:space="preserve"> slight improvements.</w:t>
      </w:r>
    </w:p>
    <w:p w14:paraId="27FC8EAB" w14:textId="1207ECAE" w:rsidR="00996709" w:rsidRPr="00734AB6" w:rsidRDefault="00C10D56" w:rsidP="0099584D">
      <w:pPr>
        <w:spacing w:after="240" w:line="360" w:lineRule="auto"/>
        <w:ind w:firstLine="851"/>
        <w:rPr>
          <w:rFonts w:asciiTheme="majorHAnsi" w:hAnsiTheme="majorHAnsi"/>
        </w:rPr>
      </w:pPr>
      <w:r w:rsidRPr="00734AB6">
        <w:rPr>
          <w:rFonts w:asciiTheme="majorHAnsi" w:hAnsiTheme="majorHAnsi"/>
        </w:rPr>
        <w:t>A further study involving adults diagnosed with ADHD was conducted using modafi</w:t>
      </w:r>
      <w:r w:rsidR="0090798E" w:rsidRPr="00734AB6">
        <w:rPr>
          <w:rFonts w:asciiTheme="majorHAnsi" w:hAnsiTheme="majorHAnsi"/>
        </w:rPr>
        <w:t>n</w:t>
      </w:r>
      <w:r w:rsidRPr="00734AB6">
        <w:rPr>
          <w:rFonts w:asciiTheme="majorHAnsi" w:hAnsiTheme="majorHAnsi"/>
        </w:rPr>
        <w:t xml:space="preserve">il </w:t>
      </w:r>
      <w:r w:rsidR="00362C2B" w:rsidRPr="00734AB6">
        <w:rPr>
          <w:rFonts w:asciiTheme="majorHAnsi" w:hAnsiTheme="majorHAnsi"/>
        </w:rPr>
        <w:t>at a dose of 200mg</w:t>
      </w:r>
      <w:r w:rsidRPr="00734AB6">
        <w:rPr>
          <w:rFonts w:asciiTheme="majorHAnsi" w:hAnsiTheme="majorHAnsi"/>
        </w:rPr>
        <w:t xml:space="preserve"> </w:t>
      </w:r>
      <w:r w:rsidR="00362C2B" w:rsidRPr="00734AB6">
        <w:rPr>
          <w:rFonts w:asciiTheme="majorHAnsi" w:hAnsiTheme="majorHAnsi"/>
        </w:rPr>
        <w:t>(Turner et al., 2004).</w:t>
      </w:r>
      <w:r w:rsidR="007A4B3C" w:rsidRPr="00734AB6">
        <w:rPr>
          <w:rFonts w:asciiTheme="majorHAnsi" w:hAnsiTheme="majorHAnsi"/>
        </w:rPr>
        <w:t xml:space="preserve"> </w:t>
      </w:r>
      <w:r w:rsidRPr="00734AB6">
        <w:rPr>
          <w:rFonts w:asciiTheme="majorHAnsi" w:hAnsiTheme="majorHAnsi"/>
        </w:rPr>
        <w:t xml:space="preserve">This was a randomized, double-blind, placebo-controlled, within-subjects crossover </w:t>
      </w:r>
      <w:r w:rsidR="00996709" w:rsidRPr="00734AB6">
        <w:rPr>
          <w:rFonts w:asciiTheme="majorHAnsi" w:hAnsiTheme="majorHAnsi"/>
        </w:rPr>
        <w:t>study, where half of the participants received a single dose of placebo one week and</w:t>
      </w:r>
      <w:r w:rsidR="007A4B3C" w:rsidRPr="00734AB6">
        <w:rPr>
          <w:rFonts w:asciiTheme="majorHAnsi" w:hAnsiTheme="majorHAnsi"/>
        </w:rPr>
        <w:t xml:space="preserve"> modafinil the following week. </w:t>
      </w:r>
      <w:r w:rsidR="00996709" w:rsidRPr="00734AB6">
        <w:rPr>
          <w:rFonts w:asciiTheme="majorHAnsi" w:hAnsiTheme="majorHAnsi"/>
        </w:rPr>
        <w:t>The other group received treatment in the reverse order.</w:t>
      </w:r>
      <w:r w:rsidR="007A4B3C" w:rsidRPr="00734AB6">
        <w:rPr>
          <w:rFonts w:asciiTheme="majorHAnsi" w:hAnsiTheme="majorHAnsi"/>
        </w:rPr>
        <w:t xml:space="preserve"> </w:t>
      </w:r>
      <w:r w:rsidR="00FD720D" w:rsidRPr="00734AB6">
        <w:rPr>
          <w:rFonts w:asciiTheme="majorHAnsi" w:hAnsiTheme="majorHAnsi"/>
        </w:rPr>
        <w:t>All participants underwent a comprehensive battery of tests from the Cambridge Neuropsychological</w:t>
      </w:r>
      <w:r w:rsidR="00E70C95" w:rsidRPr="00734AB6">
        <w:rPr>
          <w:rFonts w:asciiTheme="majorHAnsi" w:hAnsiTheme="majorHAnsi"/>
        </w:rPr>
        <w:t xml:space="preserve"> Test Automated Battery (CANTAB, </w:t>
      </w:r>
      <w:r w:rsidR="00536962" w:rsidRPr="00734AB6">
        <w:rPr>
          <w:rFonts w:asciiTheme="majorHAnsi" w:hAnsiTheme="majorHAnsi"/>
        </w:rPr>
        <w:t>Cambridge Cognition Ltd., n.d.)</w:t>
      </w:r>
      <w:r w:rsidR="007A4B3C" w:rsidRPr="00734AB6">
        <w:rPr>
          <w:rFonts w:asciiTheme="majorHAnsi" w:hAnsiTheme="majorHAnsi"/>
        </w:rPr>
        <w:t>.</w:t>
      </w:r>
      <w:r w:rsidR="00FD720D" w:rsidRPr="00734AB6">
        <w:rPr>
          <w:rFonts w:asciiTheme="majorHAnsi" w:hAnsiTheme="majorHAnsi"/>
        </w:rPr>
        <w:t xml:space="preserve"> </w:t>
      </w:r>
      <w:r w:rsidR="007A4B3C" w:rsidRPr="00734AB6">
        <w:rPr>
          <w:rFonts w:asciiTheme="majorHAnsi" w:hAnsiTheme="majorHAnsi"/>
        </w:rPr>
        <w:t>B</w:t>
      </w:r>
      <w:r w:rsidR="00F93825" w:rsidRPr="00734AB6">
        <w:rPr>
          <w:rFonts w:asciiTheme="majorHAnsi" w:hAnsiTheme="majorHAnsi"/>
        </w:rPr>
        <w:t xml:space="preserve">lood pressure and pulse measures </w:t>
      </w:r>
      <w:r w:rsidR="007A4B3C" w:rsidRPr="00734AB6">
        <w:rPr>
          <w:rFonts w:asciiTheme="majorHAnsi" w:hAnsiTheme="majorHAnsi"/>
        </w:rPr>
        <w:t xml:space="preserve">were taken and participants </w:t>
      </w:r>
      <w:r w:rsidR="00F93825" w:rsidRPr="00734AB6">
        <w:rPr>
          <w:rFonts w:asciiTheme="majorHAnsi" w:hAnsiTheme="majorHAnsi"/>
        </w:rPr>
        <w:t xml:space="preserve">had to </w:t>
      </w:r>
      <w:r w:rsidR="00FD720D" w:rsidRPr="00734AB6">
        <w:rPr>
          <w:rFonts w:asciiTheme="majorHAnsi" w:hAnsiTheme="majorHAnsi"/>
        </w:rPr>
        <w:t>complet</w:t>
      </w:r>
      <w:r w:rsidR="00F93825" w:rsidRPr="00734AB6">
        <w:rPr>
          <w:rFonts w:asciiTheme="majorHAnsi" w:hAnsiTheme="majorHAnsi"/>
        </w:rPr>
        <w:t>e</w:t>
      </w:r>
      <w:r w:rsidR="00FD720D" w:rsidRPr="00734AB6">
        <w:rPr>
          <w:rFonts w:asciiTheme="majorHAnsi" w:hAnsiTheme="majorHAnsi"/>
        </w:rPr>
        <w:t xml:space="preserve"> a subj</w:t>
      </w:r>
      <w:r w:rsidR="00F93825" w:rsidRPr="00734AB6">
        <w:rPr>
          <w:rFonts w:asciiTheme="majorHAnsi" w:hAnsiTheme="majorHAnsi"/>
        </w:rPr>
        <w:t xml:space="preserve">ective scale of their feelings following </w:t>
      </w:r>
      <w:r w:rsidR="004F1D9E" w:rsidRPr="00734AB6">
        <w:rPr>
          <w:rFonts w:asciiTheme="majorHAnsi" w:hAnsiTheme="majorHAnsi"/>
        </w:rPr>
        <w:t xml:space="preserve">the </w:t>
      </w:r>
      <w:r w:rsidR="00F93825" w:rsidRPr="00734AB6">
        <w:rPr>
          <w:rFonts w:asciiTheme="majorHAnsi" w:hAnsiTheme="majorHAnsi"/>
        </w:rPr>
        <w:t>intake of each week’s dose.</w:t>
      </w:r>
      <w:r w:rsidR="007A4B3C" w:rsidRPr="00734AB6">
        <w:rPr>
          <w:rFonts w:asciiTheme="majorHAnsi" w:hAnsiTheme="majorHAnsi"/>
        </w:rPr>
        <w:t xml:space="preserve"> </w:t>
      </w:r>
      <w:r w:rsidR="007741DD" w:rsidRPr="00734AB6">
        <w:rPr>
          <w:rFonts w:asciiTheme="majorHAnsi" w:hAnsiTheme="majorHAnsi"/>
        </w:rPr>
        <w:t>The r</w:t>
      </w:r>
      <w:r w:rsidR="00983988" w:rsidRPr="00734AB6">
        <w:rPr>
          <w:rFonts w:asciiTheme="majorHAnsi" w:hAnsiTheme="majorHAnsi"/>
        </w:rPr>
        <w:t xml:space="preserve">esults </w:t>
      </w:r>
      <w:r w:rsidR="0090798E" w:rsidRPr="00734AB6">
        <w:rPr>
          <w:rFonts w:asciiTheme="majorHAnsi" w:hAnsiTheme="majorHAnsi"/>
        </w:rPr>
        <w:t xml:space="preserve">indicated </w:t>
      </w:r>
      <w:r w:rsidR="00983988" w:rsidRPr="00734AB6">
        <w:rPr>
          <w:rFonts w:asciiTheme="majorHAnsi" w:hAnsiTheme="majorHAnsi"/>
        </w:rPr>
        <w:t>that modafinil significantly improved performance on measures of short-term memory, spatial planning, visual memory and motor response inhibition</w:t>
      </w:r>
      <w:r w:rsidR="007A4B3C" w:rsidRPr="00734AB6">
        <w:rPr>
          <w:rFonts w:asciiTheme="majorHAnsi" w:hAnsiTheme="majorHAnsi"/>
        </w:rPr>
        <w:t xml:space="preserve">. </w:t>
      </w:r>
      <w:r w:rsidR="004423B8" w:rsidRPr="00734AB6">
        <w:rPr>
          <w:rFonts w:asciiTheme="majorHAnsi" w:hAnsiTheme="majorHAnsi"/>
        </w:rPr>
        <w:t xml:space="preserve">The data also suggest modafinil improves accuracy </w:t>
      </w:r>
      <w:r w:rsidR="009E4D48" w:rsidRPr="00734AB6">
        <w:rPr>
          <w:rFonts w:asciiTheme="majorHAnsi" w:hAnsiTheme="majorHAnsi"/>
        </w:rPr>
        <w:t>through</w:t>
      </w:r>
      <w:r w:rsidR="004423B8" w:rsidRPr="00734AB6">
        <w:rPr>
          <w:rFonts w:asciiTheme="majorHAnsi" w:hAnsiTheme="majorHAnsi"/>
        </w:rPr>
        <w:t xml:space="preserve"> slowing response latency</w:t>
      </w:r>
      <w:r w:rsidR="009E4D48" w:rsidRPr="00734AB6">
        <w:rPr>
          <w:rFonts w:asciiTheme="majorHAnsi" w:hAnsiTheme="majorHAnsi"/>
        </w:rPr>
        <w:t xml:space="preserve"> which the authors </w:t>
      </w:r>
      <w:r w:rsidR="00522A12" w:rsidRPr="00734AB6">
        <w:rPr>
          <w:rFonts w:asciiTheme="majorHAnsi" w:hAnsiTheme="majorHAnsi"/>
        </w:rPr>
        <w:t>also suggest may demonstrate modafinil’s facilitation of cognitive performance at times where reflection is required before a response.</w:t>
      </w:r>
      <w:r w:rsidR="009E4D48" w:rsidRPr="00734AB6">
        <w:rPr>
          <w:rFonts w:asciiTheme="majorHAnsi" w:hAnsiTheme="majorHAnsi"/>
        </w:rPr>
        <w:t xml:space="preserve"> </w:t>
      </w:r>
    </w:p>
    <w:p w14:paraId="74C58147" w14:textId="21238C18" w:rsidR="00996709" w:rsidRPr="00734AB6" w:rsidRDefault="005034AF" w:rsidP="0099584D">
      <w:pPr>
        <w:spacing w:after="240" w:line="360" w:lineRule="auto"/>
        <w:ind w:firstLine="851"/>
        <w:rPr>
          <w:rFonts w:asciiTheme="majorHAnsi" w:hAnsiTheme="majorHAnsi"/>
        </w:rPr>
      </w:pPr>
      <w:r w:rsidRPr="00734AB6">
        <w:rPr>
          <w:rFonts w:asciiTheme="majorHAnsi" w:hAnsiTheme="majorHAnsi"/>
        </w:rPr>
        <w:lastRenderedPageBreak/>
        <w:t xml:space="preserve">This off-label use of modafinil to treat ADHD may be of particular benefit to those who have experienced amphetamine abuse and cannot therefore be prescribed stimulant medication such as methylphenidate (for </w:t>
      </w:r>
      <w:r w:rsidR="0094582A" w:rsidRPr="00734AB6">
        <w:rPr>
          <w:rFonts w:asciiTheme="majorHAnsi" w:hAnsiTheme="majorHAnsi"/>
        </w:rPr>
        <w:t>an example</w:t>
      </w:r>
      <w:r w:rsidRPr="00734AB6">
        <w:rPr>
          <w:rFonts w:asciiTheme="majorHAnsi" w:hAnsiTheme="majorHAnsi"/>
        </w:rPr>
        <w:t xml:space="preserve"> see Mann &amp; </w:t>
      </w:r>
      <w:proofErr w:type="spellStart"/>
      <w:r w:rsidRPr="00734AB6">
        <w:rPr>
          <w:rFonts w:asciiTheme="majorHAnsi" w:hAnsiTheme="majorHAnsi"/>
        </w:rPr>
        <w:t>Bitsios</w:t>
      </w:r>
      <w:proofErr w:type="spellEnd"/>
      <w:r w:rsidRPr="00734AB6">
        <w:rPr>
          <w:rFonts w:asciiTheme="majorHAnsi" w:hAnsiTheme="majorHAnsi"/>
        </w:rPr>
        <w:t>, 2009)</w:t>
      </w:r>
      <w:r w:rsidR="00593BD8" w:rsidRPr="00734AB6">
        <w:rPr>
          <w:rFonts w:asciiTheme="majorHAnsi" w:hAnsiTheme="majorHAnsi"/>
        </w:rPr>
        <w:t>.</w:t>
      </w:r>
      <w:r w:rsidR="007741DD" w:rsidRPr="00734AB6">
        <w:rPr>
          <w:rFonts w:asciiTheme="majorHAnsi" w:hAnsiTheme="majorHAnsi"/>
        </w:rPr>
        <w:t xml:space="preserve"> </w:t>
      </w:r>
      <w:r w:rsidR="00E270A4" w:rsidRPr="00734AB6">
        <w:rPr>
          <w:rFonts w:asciiTheme="majorHAnsi" w:hAnsiTheme="majorHAnsi"/>
        </w:rPr>
        <w:t>While modafinil has stimulant properties, i</w:t>
      </w:r>
      <w:r w:rsidR="007D69B2" w:rsidRPr="00734AB6">
        <w:rPr>
          <w:rFonts w:asciiTheme="majorHAnsi" w:hAnsiTheme="majorHAnsi"/>
        </w:rPr>
        <w:t xml:space="preserve">t is believed that </w:t>
      </w:r>
      <w:r w:rsidR="0060344F" w:rsidRPr="00734AB6">
        <w:rPr>
          <w:rFonts w:asciiTheme="majorHAnsi" w:hAnsiTheme="majorHAnsi"/>
        </w:rPr>
        <w:t xml:space="preserve">modafinil is </w:t>
      </w:r>
      <w:r w:rsidR="007D69B2" w:rsidRPr="00734AB6">
        <w:rPr>
          <w:rFonts w:asciiTheme="majorHAnsi" w:hAnsiTheme="majorHAnsi"/>
        </w:rPr>
        <w:t xml:space="preserve">not amphetamine-like </w:t>
      </w:r>
      <w:r w:rsidR="00307C58" w:rsidRPr="00734AB6">
        <w:rPr>
          <w:rFonts w:asciiTheme="majorHAnsi" w:hAnsiTheme="majorHAnsi"/>
        </w:rPr>
        <w:t>in its pharmacological profile</w:t>
      </w:r>
      <w:r w:rsidR="00E270A4" w:rsidRPr="00734AB6">
        <w:rPr>
          <w:rFonts w:asciiTheme="majorHAnsi" w:hAnsiTheme="majorHAnsi"/>
        </w:rPr>
        <w:t xml:space="preserve"> </w:t>
      </w:r>
      <w:r w:rsidR="007D69B2" w:rsidRPr="00734AB6">
        <w:rPr>
          <w:rFonts w:asciiTheme="majorHAnsi" w:hAnsiTheme="majorHAnsi"/>
        </w:rPr>
        <w:t>and does not possess the same abuse potential</w:t>
      </w:r>
      <w:r w:rsidR="00C2470D" w:rsidRPr="00734AB6">
        <w:rPr>
          <w:rFonts w:asciiTheme="majorHAnsi" w:hAnsiTheme="majorHAnsi"/>
        </w:rPr>
        <w:t xml:space="preserve"> that amphetamines do</w:t>
      </w:r>
      <w:r w:rsidR="00AA11AF" w:rsidRPr="00734AB6">
        <w:rPr>
          <w:rFonts w:asciiTheme="majorHAnsi" w:hAnsiTheme="majorHAnsi"/>
        </w:rPr>
        <w:t xml:space="preserve"> (</w:t>
      </w:r>
      <w:proofErr w:type="spellStart"/>
      <w:r w:rsidR="00AA11AF" w:rsidRPr="00734AB6">
        <w:rPr>
          <w:rFonts w:asciiTheme="majorHAnsi" w:hAnsiTheme="majorHAnsi"/>
        </w:rPr>
        <w:t>Jasinski</w:t>
      </w:r>
      <w:proofErr w:type="spellEnd"/>
      <w:r w:rsidR="00AA11AF" w:rsidRPr="00734AB6">
        <w:rPr>
          <w:rFonts w:asciiTheme="majorHAnsi" w:hAnsiTheme="majorHAnsi"/>
        </w:rPr>
        <w:t>, 2000</w:t>
      </w:r>
      <w:r w:rsidR="00422DB1" w:rsidRPr="00734AB6">
        <w:rPr>
          <w:rFonts w:asciiTheme="majorHAnsi" w:hAnsiTheme="majorHAnsi"/>
        </w:rPr>
        <w:t>; Schmitt &amp; Reith, 2011</w:t>
      </w:r>
      <w:r w:rsidR="00AA11AF" w:rsidRPr="00734AB6">
        <w:rPr>
          <w:rFonts w:asciiTheme="majorHAnsi" w:hAnsiTheme="majorHAnsi"/>
        </w:rPr>
        <w:t>)</w:t>
      </w:r>
      <w:r w:rsidR="004D73AE" w:rsidRPr="00734AB6">
        <w:rPr>
          <w:rFonts w:asciiTheme="majorHAnsi" w:hAnsiTheme="majorHAnsi"/>
        </w:rPr>
        <w:t xml:space="preserve">. </w:t>
      </w:r>
      <w:r w:rsidR="00307C58" w:rsidRPr="00734AB6">
        <w:rPr>
          <w:rFonts w:asciiTheme="majorHAnsi" w:hAnsiTheme="majorHAnsi"/>
        </w:rPr>
        <w:t xml:space="preserve">This is one </w:t>
      </w:r>
      <w:r w:rsidR="00180EA2" w:rsidRPr="00734AB6">
        <w:rPr>
          <w:rFonts w:asciiTheme="majorHAnsi" w:hAnsiTheme="majorHAnsi"/>
        </w:rPr>
        <w:t>reason</w:t>
      </w:r>
      <w:r w:rsidR="00307C58" w:rsidRPr="00734AB6">
        <w:rPr>
          <w:rFonts w:asciiTheme="majorHAnsi" w:hAnsiTheme="majorHAnsi"/>
        </w:rPr>
        <w:t xml:space="preserve"> why modafinil </w:t>
      </w:r>
      <w:r w:rsidR="000370D1" w:rsidRPr="00734AB6">
        <w:rPr>
          <w:rFonts w:asciiTheme="majorHAnsi" w:hAnsiTheme="majorHAnsi"/>
        </w:rPr>
        <w:t>has been the focus of much research into its potential treatment for substance abuse</w:t>
      </w:r>
      <w:r w:rsidR="00180EA2" w:rsidRPr="00734AB6">
        <w:rPr>
          <w:rFonts w:asciiTheme="majorHAnsi" w:hAnsiTheme="majorHAnsi"/>
        </w:rPr>
        <w:t xml:space="preserve"> as its</w:t>
      </w:r>
      <w:r w:rsidR="00C2470D" w:rsidRPr="00734AB6">
        <w:rPr>
          <w:rFonts w:asciiTheme="majorHAnsi" w:hAnsiTheme="majorHAnsi"/>
        </w:rPr>
        <w:t xml:space="preserve"> stimulant properties may also help alleviate some of the symptoms of stimulant withdrawal </w:t>
      </w:r>
      <w:r w:rsidR="005A6425" w:rsidRPr="00734AB6">
        <w:rPr>
          <w:rFonts w:asciiTheme="majorHAnsi" w:hAnsiTheme="majorHAnsi"/>
        </w:rPr>
        <w:t xml:space="preserve">(McGregor, </w:t>
      </w:r>
      <w:proofErr w:type="spellStart"/>
      <w:r w:rsidR="005A6425" w:rsidRPr="00734AB6">
        <w:rPr>
          <w:rFonts w:asciiTheme="majorHAnsi" w:hAnsiTheme="majorHAnsi"/>
        </w:rPr>
        <w:t>Srisurapanont</w:t>
      </w:r>
      <w:proofErr w:type="spellEnd"/>
      <w:r w:rsidR="005A6425" w:rsidRPr="00734AB6">
        <w:rPr>
          <w:rFonts w:asciiTheme="majorHAnsi" w:hAnsiTheme="majorHAnsi"/>
        </w:rPr>
        <w:t>, Mitchell, Wickes &amp; White, 2008).</w:t>
      </w:r>
      <w:r w:rsidR="00D73539" w:rsidRPr="00734AB6">
        <w:rPr>
          <w:rFonts w:asciiTheme="majorHAnsi" w:hAnsiTheme="majorHAnsi"/>
        </w:rPr>
        <w:t xml:space="preserve"> </w:t>
      </w:r>
      <w:r w:rsidR="008D0435" w:rsidRPr="00734AB6">
        <w:rPr>
          <w:rFonts w:asciiTheme="majorHAnsi" w:hAnsiTheme="majorHAnsi"/>
        </w:rPr>
        <w:t xml:space="preserve">Additionally, </w:t>
      </w:r>
      <w:r w:rsidR="00D1089F" w:rsidRPr="00734AB6">
        <w:rPr>
          <w:rFonts w:asciiTheme="majorHAnsi" w:hAnsiTheme="majorHAnsi"/>
        </w:rPr>
        <w:t xml:space="preserve">modafinil has been found to </w:t>
      </w:r>
      <w:r w:rsidR="006840EE" w:rsidRPr="00734AB6">
        <w:rPr>
          <w:rFonts w:asciiTheme="majorHAnsi" w:hAnsiTheme="majorHAnsi"/>
        </w:rPr>
        <w:t>modulate the glutamate and GABA systems (Ferraro et al., 1997</w:t>
      </w:r>
      <w:r w:rsidR="00590BA9" w:rsidRPr="00734AB6">
        <w:rPr>
          <w:rFonts w:asciiTheme="majorHAnsi" w:hAnsiTheme="majorHAnsi"/>
        </w:rPr>
        <w:t>b</w:t>
      </w:r>
      <w:r w:rsidR="006840EE" w:rsidRPr="00734AB6">
        <w:rPr>
          <w:rFonts w:asciiTheme="majorHAnsi" w:hAnsiTheme="majorHAnsi"/>
        </w:rPr>
        <w:t xml:space="preserve">) and the orexin/histamine systems which </w:t>
      </w:r>
      <w:r w:rsidR="002F0E1F" w:rsidRPr="00734AB6">
        <w:rPr>
          <w:rFonts w:asciiTheme="majorHAnsi" w:hAnsiTheme="majorHAnsi"/>
        </w:rPr>
        <w:t>are both found to be dysfunctional in cocaine addiction (Anderson et al., 2009).</w:t>
      </w:r>
      <w:r w:rsidR="004D73AE" w:rsidRPr="00734AB6">
        <w:rPr>
          <w:rFonts w:asciiTheme="majorHAnsi" w:hAnsiTheme="majorHAnsi"/>
        </w:rPr>
        <w:t xml:space="preserve"> </w:t>
      </w:r>
      <w:r w:rsidR="002901E8" w:rsidRPr="00734AB6">
        <w:rPr>
          <w:rFonts w:asciiTheme="majorHAnsi" w:hAnsiTheme="majorHAnsi"/>
        </w:rPr>
        <w:t>Studies have found modafinil to be beneficial in the treatment of coca</w:t>
      </w:r>
      <w:r w:rsidR="00EA4467" w:rsidRPr="00734AB6">
        <w:rPr>
          <w:rFonts w:asciiTheme="majorHAnsi" w:hAnsiTheme="majorHAnsi"/>
        </w:rPr>
        <w:t>ine dependence (Anderson et al.</w:t>
      </w:r>
      <w:r w:rsidR="00875B46" w:rsidRPr="00734AB6">
        <w:rPr>
          <w:rFonts w:asciiTheme="majorHAnsi" w:hAnsiTheme="majorHAnsi"/>
        </w:rPr>
        <w:t xml:space="preserve">; </w:t>
      </w:r>
      <w:proofErr w:type="spellStart"/>
      <w:r w:rsidR="00875B46" w:rsidRPr="00734AB6">
        <w:rPr>
          <w:rFonts w:asciiTheme="majorHAnsi" w:hAnsiTheme="majorHAnsi"/>
        </w:rPr>
        <w:t>Dackis</w:t>
      </w:r>
      <w:proofErr w:type="spellEnd"/>
      <w:r w:rsidR="009B6DE8" w:rsidRPr="00734AB6">
        <w:rPr>
          <w:rFonts w:asciiTheme="majorHAnsi" w:hAnsiTheme="majorHAnsi"/>
        </w:rPr>
        <w:t xml:space="preserve"> et al., 2005</w:t>
      </w:r>
      <w:r w:rsidR="002901E8" w:rsidRPr="00734AB6">
        <w:rPr>
          <w:rFonts w:asciiTheme="majorHAnsi" w:hAnsiTheme="majorHAnsi"/>
        </w:rPr>
        <w:t>) and also</w:t>
      </w:r>
      <w:r w:rsidR="001B5030" w:rsidRPr="00734AB6">
        <w:rPr>
          <w:rFonts w:asciiTheme="majorHAnsi" w:hAnsiTheme="majorHAnsi"/>
        </w:rPr>
        <w:t xml:space="preserve"> in al</w:t>
      </w:r>
      <w:r w:rsidR="007741DD" w:rsidRPr="00734AB6">
        <w:rPr>
          <w:rFonts w:asciiTheme="majorHAnsi" w:hAnsiTheme="majorHAnsi"/>
        </w:rPr>
        <w:t>l</w:t>
      </w:r>
      <w:r w:rsidR="001B5030" w:rsidRPr="00734AB6">
        <w:rPr>
          <w:rFonts w:asciiTheme="majorHAnsi" w:hAnsiTheme="majorHAnsi"/>
        </w:rPr>
        <w:t>eviating the symptoms of methamphetamine withdrawal (McGregor et al., 2008</w:t>
      </w:r>
      <w:r w:rsidR="00C7647B" w:rsidRPr="00734AB6">
        <w:rPr>
          <w:rFonts w:asciiTheme="majorHAnsi" w:hAnsiTheme="majorHAnsi"/>
        </w:rPr>
        <w:t>; Shearer et al., 2009</w:t>
      </w:r>
      <w:r w:rsidR="001B5030" w:rsidRPr="00734AB6">
        <w:rPr>
          <w:rFonts w:asciiTheme="majorHAnsi" w:hAnsiTheme="majorHAnsi"/>
        </w:rPr>
        <w:t xml:space="preserve">). </w:t>
      </w:r>
    </w:p>
    <w:p w14:paraId="7AF50F2F" w14:textId="6321C77D" w:rsidR="00BB76A2" w:rsidRPr="00734AB6" w:rsidRDefault="00316E31" w:rsidP="0099584D">
      <w:pPr>
        <w:spacing w:after="240" w:line="360" w:lineRule="auto"/>
        <w:ind w:firstLine="851"/>
        <w:rPr>
          <w:rFonts w:asciiTheme="majorHAnsi" w:hAnsiTheme="majorHAnsi"/>
        </w:rPr>
      </w:pPr>
      <w:r w:rsidRPr="00734AB6">
        <w:rPr>
          <w:rFonts w:asciiTheme="majorHAnsi" w:hAnsiTheme="majorHAnsi"/>
        </w:rPr>
        <w:t xml:space="preserve">Mood-enhancing effects have also been found with modafinil use and </w:t>
      </w:r>
      <w:r w:rsidR="00E9206F" w:rsidRPr="00734AB6">
        <w:rPr>
          <w:rFonts w:asciiTheme="majorHAnsi" w:hAnsiTheme="majorHAnsi"/>
        </w:rPr>
        <w:t xml:space="preserve">studies have demonstrated significant improvement </w:t>
      </w:r>
      <w:r w:rsidR="00185387" w:rsidRPr="00734AB6">
        <w:rPr>
          <w:rFonts w:asciiTheme="majorHAnsi" w:hAnsiTheme="majorHAnsi"/>
        </w:rPr>
        <w:t>in major dep</w:t>
      </w:r>
      <w:r w:rsidR="00D93A0A" w:rsidRPr="00734AB6">
        <w:rPr>
          <w:rFonts w:asciiTheme="majorHAnsi" w:hAnsiTheme="majorHAnsi"/>
        </w:rPr>
        <w:t>ression (Price &amp; Taylor, 2005) and</w:t>
      </w:r>
      <w:r w:rsidR="007741DD" w:rsidRPr="00734AB6">
        <w:rPr>
          <w:rFonts w:asciiTheme="majorHAnsi" w:hAnsiTheme="majorHAnsi"/>
        </w:rPr>
        <w:t>,</w:t>
      </w:r>
      <w:r w:rsidR="00D93A0A" w:rsidRPr="00734AB6">
        <w:rPr>
          <w:rFonts w:asciiTheme="majorHAnsi" w:hAnsiTheme="majorHAnsi"/>
        </w:rPr>
        <w:t xml:space="preserve"> </w:t>
      </w:r>
      <w:r w:rsidR="00185387" w:rsidRPr="00734AB6">
        <w:rPr>
          <w:rFonts w:asciiTheme="majorHAnsi" w:hAnsiTheme="majorHAnsi"/>
        </w:rPr>
        <w:t>in bipolar depression</w:t>
      </w:r>
      <w:r w:rsidR="007741DD" w:rsidRPr="00734AB6">
        <w:rPr>
          <w:rFonts w:asciiTheme="majorHAnsi" w:hAnsiTheme="majorHAnsi"/>
        </w:rPr>
        <w:t>, improvement</w:t>
      </w:r>
      <w:r w:rsidR="00185387" w:rsidRPr="00734AB6">
        <w:rPr>
          <w:rFonts w:asciiTheme="majorHAnsi" w:hAnsiTheme="majorHAnsi"/>
        </w:rPr>
        <w:t xml:space="preserve"> as an adjunctive treatment (Frye et al., 2007</w:t>
      </w:r>
      <w:r w:rsidR="00593BD8" w:rsidRPr="00734AB6">
        <w:rPr>
          <w:rFonts w:asciiTheme="majorHAnsi" w:hAnsiTheme="majorHAnsi"/>
        </w:rPr>
        <w:t>)</w:t>
      </w:r>
      <w:r w:rsidR="00185387" w:rsidRPr="00734AB6">
        <w:rPr>
          <w:rFonts w:asciiTheme="majorHAnsi" w:hAnsiTheme="majorHAnsi"/>
        </w:rPr>
        <w:t>.</w:t>
      </w:r>
      <w:r w:rsidR="004D73AE" w:rsidRPr="00734AB6">
        <w:rPr>
          <w:rFonts w:asciiTheme="majorHAnsi" w:hAnsiTheme="majorHAnsi"/>
        </w:rPr>
        <w:t xml:space="preserve"> </w:t>
      </w:r>
      <w:r w:rsidR="00527125" w:rsidRPr="00734AB6">
        <w:rPr>
          <w:rFonts w:asciiTheme="majorHAnsi" w:hAnsiTheme="majorHAnsi"/>
        </w:rPr>
        <w:t xml:space="preserve">Modafinil was administered to patients with </w:t>
      </w:r>
      <w:r w:rsidR="009D7238" w:rsidRPr="00734AB6">
        <w:rPr>
          <w:rFonts w:asciiTheme="majorHAnsi" w:hAnsiTheme="majorHAnsi"/>
        </w:rPr>
        <w:t xml:space="preserve">major depressive disorder at a dose </w:t>
      </w:r>
      <w:r w:rsidR="00487CF1" w:rsidRPr="00734AB6">
        <w:rPr>
          <w:rFonts w:asciiTheme="majorHAnsi" w:hAnsiTheme="majorHAnsi"/>
        </w:rPr>
        <w:t xml:space="preserve">titrated </w:t>
      </w:r>
      <w:r w:rsidR="009D7238" w:rsidRPr="00734AB6">
        <w:rPr>
          <w:rFonts w:asciiTheme="majorHAnsi" w:hAnsiTheme="majorHAnsi"/>
        </w:rPr>
        <w:t>for optimal benefit</w:t>
      </w:r>
      <w:r w:rsidR="00B7191B" w:rsidRPr="00734AB6">
        <w:rPr>
          <w:rFonts w:asciiTheme="majorHAnsi" w:hAnsiTheme="majorHAnsi"/>
        </w:rPr>
        <w:t xml:space="preserve">, the </w:t>
      </w:r>
      <w:r w:rsidR="009D7238" w:rsidRPr="00734AB6">
        <w:rPr>
          <w:rFonts w:asciiTheme="majorHAnsi" w:hAnsiTheme="majorHAnsi"/>
        </w:rPr>
        <w:t>mean dose was 184.3</w:t>
      </w:r>
      <w:r w:rsidR="004D73AE" w:rsidRPr="00734AB6">
        <w:rPr>
          <w:rFonts w:asciiTheme="majorHAnsi" w:hAnsiTheme="majorHAnsi" w:cs="Arial"/>
          <w:color w:val="222222"/>
          <w:shd w:val="clear" w:color="auto" w:fill="FFFFFF"/>
        </w:rPr>
        <w:t xml:space="preserve"> </w:t>
      </w:r>
      <w:r w:rsidR="004B3489" w:rsidRPr="00734AB6">
        <w:rPr>
          <w:rFonts w:asciiTheme="majorHAnsi" w:hAnsiTheme="majorHAnsi" w:cs="Arial"/>
          <w:color w:val="222222"/>
          <w:u w:val="single"/>
          <w:shd w:val="clear" w:color="auto" w:fill="FFFFFF"/>
        </w:rPr>
        <w:t>+</w:t>
      </w:r>
      <w:r w:rsidR="009D7238" w:rsidRPr="00734AB6">
        <w:rPr>
          <w:rFonts w:asciiTheme="majorHAnsi" w:hAnsiTheme="majorHAnsi"/>
        </w:rPr>
        <w:t xml:space="preserve"> </w:t>
      </w:r>
      <w:r w:rsidR="00EA4467" w:rsidRPr="00734AB6">
        <w:rPr>
          <w:rFonts w:asciiTheme="majorHAnsi" w:hAnsiTheme="majorHAnsi"/>
        </w:rPr>
        <w:t>100mg daily (Price &amp; Taylor</w:t>
      </w:r>
      <w:r w:rsidR="00D57756" w:rsidRPr="00734AB6">
        <w:rPr>
          <w:rFonts w:asciiTheme="majorHAnsi" w:hAnsiTheme="majorHAnsi"/>
        </w:rPr>
        <w:t>, 2005</w:t>
      </w:r>
      <w:r w:rsidR="004B3489" w:rsidRPr="00734AB6">
        <w:rPr>
          <w:rFonts w:asciiTheme="majorHAnsi" w:hAnsiTheme="majorHAnsi"/>
        </w:rPr>
        <w:t>).</w:t>
      </w:r>
      <w:r w:rsidR="004D73AE" w:rsidRPr="00734AB6">
        <w:rPr>
          <w:rFonts w:asciiTheme="majorHAnsi" w:hAnsiTheme="majorHAnsi"/>
        </w:rPr>
        <w:t xml:space="preserve"> </w:t>
      </w:r>
      <w:r w:rsidR="00516FCB" w:rsidRPr="00734AB6">
        <w:rPr>
          <w:rFonts w:asciiTheme="majorHAnsi" w:hAnsiTheme="majorHAnsi"/>
        </w:rPr>
        <w:t xml:space="preserve">This was a retrospective study of </w:t>
      </w:r>
      <w:r w:rsidR="00487CF1" w:rsidRPr="00734AB6">
        <w:rPr>
          <w:rFonts w:asciiTheme="majorHAnsi" w:hAnsiTheme="majorHAnsi"/>
        </w:rPr>
        <w:t xml:space="preserve">charts from </w:t>
      </w:r>
      <w:r w:rsidR="00516FCB" w:rsidRPr="00734AB6">
        <w:rPr>
          <w:rFonts w:asciiTheme="majorHAnsi" w:hAnsiTheme="majorHAnsi"/>
        </w:rPr>
        <w:t xml:space="preserve">a </w:t>
      </w:r>
      <w:r w:rsidR="00E70C95" w:rsidRPr="00734AB6">
        <w:rPr>
          <w:rFonts w:asciiTheme="majorHAnsi" w:hAnsiTheme="majorHAnsi"/>
        </w:rPr>
        <w:t xml:space="preserve">private </w:t>
      </w:r>
      <w:r w:rsidR="00516FCB" w:rsidRPr="00734AB6">
        <w:rPr>
          <w:rFonts w:asciiTheme="majorHAnsi" w:hAnsiTheme="majorHAnsi"/>
        </w:rPr>
        <w:t xml:space="preserve">clinical </w:t>
      </w:r>
      <w:r w:rsidR="00D57756" w:rsidRPr="00734AB6">
        <w:rPr>
          <w:rFonts w:asciiTheme="majorHAnsi" w:hAnsiTheme="majorHAnsi"/>
        </w:rPr>
        <w:t>practice,</w:t>
      </w:r>
      <w:r w:rsidR="00B7191B" w:rsidRPr="00734AB6">
        <w:rPr>
          <w:rFonts w:asciiTheme="majorHAnsi" w:hAnsiTheme="majorHAnsi"/>
        </w:rPr>
        <w:t xml:space="preserve"> so no experimentation was conducted</w:t>
      </w:r>
      <w:r w:rsidR="00487CF1" w:rsidRPr="00734AB6">
        <w:rPr>
          <w:rFonts w:asciiTheme="majorHAnsi" w:hAnsiTheme="majorHAnsi"/>
        </w:rPr>
        <w:t xml:space="preserve">. </w:t>
      </w:r>
      <w:r w:rsidR="004B3489" w:rsidRPr="00734AB6">
        <w:rPr>
          <w:rFonts w:asciiTheme="majorHAnsi" w:hAnsiTheme="majorHAnsi"/>
        </w:rPr>
        <w:t xml:space="preserve">Significant improvement was found in all </w:t>
      </w:r>
      <w:r w:rsidR="00B7191B" w:rsidRPr="00734AB6">
        <w:rPr>
          <w:rFonts w:asciiTheme="majorHAnsi" w:hAnsiTheme="majorHAnsi"/>
        </w:rPr>
        <w:t xml:space="preserve">of </w:t>
      </w:r>
      <w:r w:rsidR="004B3489" w:rsidRPr="00734AB6">
        <w:rPr>
          <w:rFonts w:asciiTheme="majorHAnsi" w:hAnsiTheme="majorHAnsi"/>
        </w:rPr>
        <w:t>four rating scales</w:t>
      </w:r>
      <w:r w:rsidR="00075438" w:rsidRPr="00734AB6">
        <w:rPr>
          <w:rFonts w:asciiTheme="majorHAnsi" w:hAnsiTheme="majorHAnsi"/>
        </w:rPr>
        <w:t xml:space="preserve"> of depression and anxiety</w:t>
      </w:r>
      <w:r w:rsidR="00F30905" w:rsidRPr="00734AB6">
        <w:rPr>
          <w:rFonts w:asciiTheme="majorHAnsi" w:hAnsiTheme="majorHAnsi"/>
        </w:rPr>
        <w:t xml:space="preserve"> at two weeks and three months</w:t>
      </w:r>
      <w:r w:rsidR="005B35B3" w:rsidRPr="00734AB6">
        <w:rPr>
          <w:rFonts w:asciiTheme="majorHAnsi" w:hAnsiTheme="majorHAnsi"/>
        </w:rPr>
        <w:t>.</w:t>
      </w:r>
      <w:r w:rsidR="00B7191B" w:rsidRPr="00734AB6">
        <w:rPr>
          <w:rFonts w:asciiTheme="majorHAnsi" w:hAnsiTheme="majorHAnsi"/>
        </w:rPr>
        <w:t xml:space="preserve"> </w:t>
      </w:r>
    </w:p>
    <w:p w14:paraId="6AF882DF" w14:textId="676F8A06" w:rsidR="00180EA2" w:rsidRPr="00734AB6" w:rsidRDefault="00767D48" w:rsidP="0099584D">
      <w:pPr>
        <w:spacing w:after="240" w:line="360" w:lineRule="auto"/>
        <w:ind w:firstLine="851"/>
        <w:rPr>
          <w:rFonts w:asciiTheme="majorHAnsi" w:hAnsiTheme="majorHAnsi"/>
        </w:rPr>
      </w:pPr>
      <w:r w:rsidRPr="00734AB6">
        <w:rPr>
          <w:rFonts w:asciiTheme="majorHAnsi" w:hAnsiTheme="majorHAnsi"/>
        </w:rPr>
        <w:t>As a treatment for depression in bipolar d</w:t>
      </w:r>
      <w:r w:rsidR="00BB76A2" w:rsidRPr="00734AB6">
        <w:rPr>
          <w:rFonts w:asciiTheme="majorHAnsi" w:hAnsiTheme="majorHAnsi"/>
        </w:rPr>
        <w:t>isorder</w:t>
      </w:r>
      <w:r w:rsidRPr="00734AB6">
        <w:rPr>
          <w:rFonts w:asciiTheme="majorHAnsi" w:hAnsiTheme="majorHAnsi"/>
        </w:rPr>
        <w:t>, modafinil was given as an adjunctive therapy to 85 patients over a six</w:t>
      </w:r>
      <w:r w:rsidR="00684CA0" w:rsidRPr="00734AB6">
        <w:rPr>
          <w:rFonts w:asciiTheme="majorHAnsi" w:hAnsiTheme="majorHAnsi"/>
        </w:rPr>
        <w:t>-</w:t>
      </w:r>
      <w:r w:rsidRPr="00734AB6">
        <w:rPr>
          <w:rFonts w:asciiTheme="majorHAnsi" w:hAnsiTheme="majorHAnsi"/>
        </w:rPr>
        <w:t>week period</w:t>
      </w:r>
      <w:r w:rsidR="00684CA0" w:rsidRPr="00734AB6">
        <w:rPr>
          <w:rFonts w:asciiTheme="majorHAnsi" w:hAnsiTheme="majorHAnsi"/>
        </w:rPr>
        <w:t>,</w:t>
      </w:r>
      <w:r w:rsidR="005D7E70" w:rsidRPr="00734AB6">
        <w:rPr>
          <w:rFonts w:asciiTheme="majorHAnsi" w:hAnsiTheme="majorHAnsi"/>
        </w:rPr>
        <w:t xml:space="preserve"> with significant improvements in symptoms from week two </w:t>
      </w:r>
      <w:r w:rsidR="00D94C7B" w:rsidRPr="00734AB6">
        <w:rPr>
          <w:rFonts w:asciiTheme="majorHAnsi" w:hAnsiTheme="majorHAnsi"/>
        </w:rPr>
        <w:t>and maintained at</w:t>
      </w:r>
      <w:r w:rsidR="005D7E70" w:rsidRPr="00734AB6">
        <w:rPr>
          <w:rFonts w:asciiTheme="majorHAnsi" w:hAnsiTheme="majorHAnsi"/>
        </w:rPr>
        <w:t xml:space="preserve"> week</w:t>
      </w:r>
      <w:r w:rsidR="00C72CA4" w:rsidRPr="00734AB6">
        <w:rPr>
          <w:rFonts w:asciiTheme="majorHAnsi" w:hAnsiTheme="majorHAnsi"/>
        </w:rPr>
        <w:t>s four to</w:t>
      </w:r>
      <w:r w:rsidR="005D7E70" w:rsidRPr="00734AB6">
        <w:rPr>
          <w:rFonts w:asciiTheme="majorHAnsi" w:hAnsiTheme="majorHAnsi"/>
        </w:rPr>
        <w:t xml:space="preserve"> six compared </w:t>
      </w:r>
      <w:r w:rsidR="00684CA0" w:rsidRPr="00734AB6">
        <w:rPr>
          <w:rFonts w:asciiTheme="majorHAnsi" w:hAnsiTheme="majorHAnsi"/>
        </w:rPr>
        <w:t>with</w:t>
      </w:r>
      <w:r w:rsidR="005D7E70" w:rsidRPr="00734AB6">
        <w:rPr>
          <w:rFonts w:asciiTheme="majorHAnsi" w:hAnsiTheme="majorHAnsi"/>
        </w:rPr>
        <w:t xml:space="preserve"> p</w:t>
      </w:r>
      <w:r w:rsidR="00C72CA4" w:rsidRPr="00734AB6">
        <w:rPr>
          <w:rFonts w:asciiTheme="majorHAnsi" w:hAnsiTheme="majorHAnsi"/>
        </w:rPr>
        <w:t>l</w:t>
      </w:r>
      <w:r w:rsidR="004D73AE" w:rsidRPr="00734AB6">
        <w:rPr>
          <w:rFonts w:asciiTheme="majorHAnsi" w:hAnsiTheme="majorHAnsi"/>
        </w:rPr>
        <w:t xml:space="preserve">acebo (Frye et al., 2007). </w:t>
      </w:r>
      <w:r w:rsidR="00D94C7B" w:rsidRPr="00734AB6">
        <w:rPr>
          <w:rFonts w:asciiTheme="majorHAnsi" w:hAnsiTheme="majorHAnsi"/>
        </w:rPr>
        <w:t xml:space="preserve">Modafinil was </w:t>
      </w:r>
      <w:r w:rsidR="00A8124C" w:rsidRPr="00734AB6">
        <w:rPr>
          <w:rFonts w:asciiTheme="majorHAnsi" w:hAnsiTheme="majorHAnsi"/>
        </w:rPr>
        <w:t xml:space="preserve">administered </w:t>
      </w:r>
      <w:r w:rsidR="00D94C7B" w:rsidRPr="00734AB6">
        <w:rPr>
          <w:rFonts w:asciiTheme="majorHAnsi" w:hAnsiTheme="majorHAnsi"/>
        </w:rPr>
        <w:t>at a dose of 100mg for the first week, increasing to 200mg for the remaining five weeks</w:t>
      </w:r>
      <w:r w:rsidR="004D73AE" w:rsidRPr="00734AB6">
        <w:rPr>
          <w:rFonts w:asciiTheme="majorHAnsi" w:hAnsiTheme="majorHAnsi"/>
        </w:rPr>
        <w:t>.</w:t>
      </w:r>
      <w:r w:rsidR="00C72CA4" w:rsidRPr="00734AB6">
        <w:rPr>
          <w:rFonts w:asciiTheme="majorHAnsi" w:hAnsiTheme="majorHAnsi"/>
        </w:rPr>
        <w:t xml:space="preserve"> </w:t>
      </w:r>
      <w:r w:rsidR="004D73AE" w:rsidRPr="00734AB6">
        <w:rPr>
          <w:rFonts w:asciiTheme="majorHAnsi" w:hAnsiTheme="majorHAnsi"/>
        </w:rPr>
        <w:t>C</w:t>
      </w:r>
      <w:r w:rsidR="00C72CA4" w:rsidRPr="00734AB6">
        <w:rPr>
          <w:rFonts w:asciiTheme="majorHAnsi" w:hAnsiTheme="majorHAnsi"/>
        </w:rPr>
        <w:t>hanges were measured using the I</w:t>
      </w:r>
      <w:r w:rsidR="00BB76A2" w:rsidRPr="00734AB6">
        <w:rPr>
          <w:rFonts w:asciiTheme="majorHAnsi" w:hAnsiTheme="majorHAnsi"/>
        </w:rPr>
        <w:t>nventory of Depressive Symptoms</w:t>
      </w:r>
      <w:r w:rsidR="003C5295" w:rsidRPr="00734AB6">
        <w:rPr>
          <w:rFonts w:asciiTheme="majorHAnsi" w:hAnsiTheme="majorHAnsi"/>
        </w:rPr>
        <w:t xml:space="preserve"> (Rush et al., 1986)</w:t>
      </w:r>
      <w:r w:rsidR="00E747DE" w:rsidRPr="00734AB6">
        <w:rPr>
          <w:rFonts w:asciiTheme="majorHAnsi" w:hAnsiTheme="majorHAnsi"/>
        </w:rPr>
        <w:t>,</w:t>
      </w:r>
      <w:r w:rsidR="00BB76A2" w:rsidRPr="00734AB6">
        <w:rPr>
          <w:rFonts w:asciiTheme="majorHAnsi" w:hAnsiTheme="majorHAnsi"/>
        </w:rPr>
        <w:t xml:space="preserve"> its four</w:t>
      </w:r>
      <w:r w:rsidR="0090798E" w:rsidRPr="00734AB6">
        <w:rPr>
          <w:rFonts w:asciiTheme="majorHAnsi" w:hAnsiTheme="majorHAnsi"/>
        </w:rPr>
        <w:t>-</w:t>
      </w:r>
      <w:r w:rsidR="00E747DE" w:rsidRPr="00734AB6">
        <w:rPr>
          <w:rFonts w:asciiTheme="majorHAnsi" w:hAnsiTheme="majorHAnsi"/>
        </w:rPr>
        <w:t>item</w:t>
      </w:r>
      <w:r w:rsidR="00BB76A2" w:rsidRPr="00734AB6">
        <w:rPr>
          <w:rFonts w:asciiTheme="majorHAnsi" w:hAnsiTheme="majorHAnsi"/>
        </w:rPr>
        <w:t xml:space="preserve"> </w:t>
      </w:r>
      <w:r w:rsidR="00E747DE" w:rsidRPr="00734AB6">
        <w:rPr>
          <w:rFonts w:asciiTheme="majorHAnsi" w:hAnsiTheme="majorHAnsi"/>
        </w:rPr>
        <w:t>fatigue-and-energy subset,</w:t>
      </w:r>
      <w:r w:rsidR="00D51A87" w:rsidRPr="00734AB6">
        <w:rPr>
          <w:rFonts w:asciiTheme="majorHAnsi" w:hAnsiTheme="majorHAnsi"/>
        </w:rPr>
        <w:t xml:space="preserve"> </w:t>
      </w:r>
      <w:r w:rsidR="00BB76A2" w:rsidRPr="00734AB6">
        <w:rPr>
          <w:rFonts w:asciiTheme="majorHAnsi" w:hAnsiTheme="majorHAnsi"/>
        </w:rPr>
        <w:t>and the Clinical Global Impression-Bipolar Version scale</w:t>
      </w:r>
      <w:r w:rsidR="003C5295" w:rsidRPr="00734AB6">
        <w:rPr>
          <w:rFonts w:asciiTheme="majorHAnsi" w:hAnsiTheme="majorHAnsi"/>
        </w:rPr>
        <w:t xml:space="preserve"> (Spearing, Post, </w:t>
      </w:r>
      <w:proofErr w:type="spellStart"/>
      <w:r w:rsidR="003C5295" w:rsidRPr="00734AB6">
        <w:rPr>
          <w:rFonts w:asciiTheme="majorHAnsi" w:hAnsiTheme="majorHAnsi"/>
        </w:rPr>
        <w:t>Leverich</w:t>
      </w:r>
      <w:proofErr w:type="spellEnd"/>
      <w:r w:rsidR="003C5295" w:rsidRPr="00734AB6">
        <w:rPr>
          <w:rFonts w:asciiTheme="majorHAnsi" w:hAnsiTheme="majorHAnsi"/>
        </w:rPr>
        <w:t xml:space="preserve">, </w:t>
      </w:r>
      <w:r w:rsidR="00256993" w:rsidRPr="00734AB6">
        <w:rPr>
          <w:rFonts w:asciiTheme="majorHAnsi" w:hAnsiTheme="majorHAnsi"/>
        </w:rPr>
        <w:t>Brandt &amp; Nolen, 1997)</w:t>
      </w:r>
      <w:r w:rsidR="00BB76A2" w:rsidRPr="00734AB6">
        <w:rPr>
          <w:rFonts w:asciiTheme="majorHAnsi" w:hAnsiTheme="majorHAnsi"/>
        </w:rPr>
        <w:t>.</w:t>
      </w:r>
      <w:r w:rsidR="004D73AE" w:rsidRPr="00734AB6">
        <w:rPr>
          <w:rFonts w:asciiTheme="majorHAnsi" w:hAnsiTheme="majorHAnsi"/>
        </w:rPr>
        <w:t xml:space="preserve"> </w:t>
      </w:r>
      <w:r w:rsidR="00D51A87" w:rsidRPr="00734AB6">
        <w:rPr>
          <w:rFonts w:asciiTheme="majorHAnsi" w:hAnsiTheme="majorHAnsi"/>
        </w:rPr>
        <w:t>It should also be noted that this adjunctive treatment using modafinil did not create the added risk of mood destabilization in these patients.</w:t>
      </w:r>
    </w:p>
    <w:p w14:paraId="494FAF45" w14:textId="7A6A9AB4" w:rsidR="00E73007" w:rsidRPr="00734AB6" w:rsidRDefault="003F3425" w:rsidP="0099584D">
      <w:pPr>
        <w:spacing w:after="240" w:line="360" w:lineRule="auto"/>
        <w:ind w:firstLine="851"/>
        <w:rPr>
          <w:rFonts w:asciiTheme="majorHAnsi" w:hAnsiTheme="majorHAnsi"/>
        </w:rPr>
      </w:pPr>
      <w:r w:rsidRPr="00734AB6">
        <w:rPr>
          <w:rFonts w:asciiTheme="majorHAnsi" w:hAnsiTheme="majorHAnsi"/>
        </w:rPr>
        <w:t>Although a considerable body of work has focused on the clinical applications for modafinil</w:t>
      </w:r>
      <w:r w:rsidR="00256993" w:rsidRPr="00734AB6">
        <w:rPr>
          <w:rFonts w:asciiTheme="majorHAnsi" w:hAnsiTheme="majorHAnsi"/>
        </w:rPr>
        <w:t xml:space="preserve"> (e.g. Amiri et al., 2008; </w:t>
      </w:r>
      <w:proofErr w:type="spellStart"/>
      <w:r w:rsidR="00256993" w:rsidRPr="00734AB6">
        <w:rPr>
          <w:rFonts w:asciiTheme="majorHAnsi" w:hAnsiTheme="majorHAnsi"/>
        </w:rPr>
        <w:t>Ballon</w:t>
      </w:r>
      <w:proofErr w:type="spellEnd"/>
      <w:r w:rsidR="00256993" w:rsidRPr="00734AB6">
        <w:rPr>
          <w:rFonts w:asciiTheme="majorHAnsi" w:hAnsiTheme="majorHAnsi"/>
        </w:rPr>
        <w:t xml:space="preserve"> &amp; </w:t>
      </w:r>
      <w:proofErr w:type="spellStart"/>
      <w:r w:rsidR="00256993" w:rsidRPr="00734AB6">
        <w:rPr>
          <w:rFonts w:asciiTheme="majorHAnsi" w:hAnsiTheme="majorHAnsi"/>
        </w:rPr>
        <w:t>Feifel</w:t>
      </w:r>
      <w:proofErr w:type="spellEnd"/>
      <w:r w:rsidR="00256993" w:rsidRPr="00734AB6">
        <w:rPr>
          <w:rFonts w:asciiTheme="majorHAnsi" w:hAnsiTheme="majorHAnsi"/>
        </w:rPr>
        <w:t>, 2006</w:t>
      </w:r>
      <w:r w:rsidR="00D820A7" w:rsidRPr="00734AB6">
        <w:rPr>
          <w:rFonts w:asciiTheme="majorHAnsi" w:hAnsiTheme="majorHAnsi"/>
        </w:rPr>
        <w:t>; Frye et al., 2007; Price &amp; Taylor, 2005)</w:t>
      </w:r>
      <w:r w:rsidRPr="00734AB6">
        <w:rPr>
          <w:rFonts w:asciiTheme="majorHAnsi" w:hAnsiTheme="majorHAnsi"/>
        </w:rPr>
        <w:t>, research has also investigated the cognitive effects of</w:t>
      </w:r>
      <w:r w:rsidR="007D31CF" w:rsidRPr="00734AB6">
        <w:rPr>
          <w:rFonts w:asciiTheme="majorHAnsi" w:hAnsiTheme="majorHAnsi"/>
        </w:rPr>
        <w:t xml:space="preserve"> modafinil in healthy adults. </w:t>
      </w:r>
      <w:r w:rsidR="00E73007" w:rsidRPr="00734AB6">
        <w:rPr>
          <w:rFonts w:asciiTheme="majorHAnsi" w:hAnsiTheme="majorHAnsi"/>
        </w:rPr>
        <w:t xml:space="preserve">A study investigating the cognitive enhancing effects of </w:t>
      </w:r>
      <w:r w:rsidR="004600DB" w:rsidRPr="00734AB6">
        <w:rPr>
          <w:rFonts w:asciiTheme="majorHAnsi" w:hAnsiTheme="majorHAnsi" w:cs="Calibri"/>
        </w:rPr>
        <w:t>modafinil</w:t>
      </w:r>
      <w:r w:rsidR="00E73007" w:rsidRPr="00734AB6">
        <w:rPr>
          <w:rFonts w:asciiTheme="majorHAnsi" w:hAnsiTheme="majorHAnsi"/>
        </w:rPr>
        <w:t xml:space="preserve"> in healthy volunteers used a selection </w:t>
      </w:r>
      <w:r w:rsidR="00E73007" w:rsidRPr="00734AB6">
        <w:rPr>
          <w:rFonts w:asciiTheme="majorHAnsi" w:hAnsiTheme="majorHAnsi"/>
        </w:rPr>
        <w:lastRenderedPageBreak/>
        <w:t xml:space="preserve">of cognitive tests from the CANTAB battery (Turner </w:t>
      </w:r>
      <w:r w:rsidR="001B71DF" w:rsidRPr="00734AB6">
        <w:rPr>
          <w:rFonts w:asciiTheme="majorHAnsi" w:hAnsiTheme="majorHAnsi"/>
        </w:rPr>
        <w:t>et al.</w:t>
      </w:r>
      <w:r w:rsidR="007D31CF" w:rsidRPr="00734AB6">
        <w:rPr>
          <w:rFonts w:asciiTheme="majorHAnsi" w:hAnsiTheme="majorHAnsi"/>
        </w:rPr>
        <w:t xml:space="preserve">, 2003). </w:t>
      </w:r>
      <w:r w:rsidR="00E73007" w:rsidRPr="00734AB6">
        <w:rPr>
          <w:rFonts w:asciiTheme="majorHAnsi" w:hAnsiTheme="majorHAnsi"/>
        </w:rPr>
        <w:t xml:space="preserve">The double-blind, between-subjects study administered a 100mg or 200mg dose of </w:t>
      </w:r>
      <w:r w:rsidR="004600DB" w:rsidRPr="00734AB6">
        <w:rPr>
          <w:rFonts w:asciiTheme="majorHAnsi" w:hAnsiTheme="majorHAnsi" w:cs="Calibri"/>
        </w:rPr>
        <w:t>modafinil</w:t>
      </w:r>
      <w:r w:rsidR="00E73007" w:rsidRPr="00734AB6">
        <w:rPr>
          <w:rFonts w:asciiTheme="majorHAnsi" w:hAnsiTheme="majorHAnsi"/>
        </w:rPr>
        <w:t>, or placebo to participants tw</w:t>
      </w:r>
      <w:r w:rsidR="007D31CF" w:rsidRPr="00734AB6">
        <w:rPr>
          <w:rFonts w:asciiTheme="majorHAnsi" w:hAnsiTheme="majorHAnsi"/>
        </w:rPr>
        <w:t xml:space="preserve">o hours before testing. </w:t>
      </w:r>
      <w:r w:rsidR="00684CA0" w:rsidRPr="00734AB6">
        <w:rPr>
          <w:rFonts w:asciiTheme="majorHAnsi" w:hAnsiTheme="majorHAnsi"/>
        </w:rPr>
        <w:t>The r</w:t>
      </w:r>
      <w:r w:rsidR="00E73007" w:rsidRPr="00734AB6">
        <w:rPr>
          <w:rFonts w:asciiTheme="majorHAnsi" w:hAnsiTheme="majorHAnsi"/>
        </w:rPr>
        <w:t>esults revealed significant improvements on planning, accuracy and inhibition compared to controls</w:t>
      </w:r>
      <w:r w:rsidR="007D31CF" w:rsidRPr="00734AB6">
        <w:rPr>
          <w:rFonts w:asciiTheme="majorHAnsi" w:hAnsiTheme="majorHAnsi"/>
        </w:rPr>
        <w:t xml:space="preserve">. </w:t>
      </w:r>
      <w:r w:rsidR="003C5EAA" w:rsidRPr="00734AB6">
        <w:rPr>
          <w:rFonts w:asciiTheme="majorHAnsi" w:hAnsiTheme="majorHAnsi"/>
        </w:rPr>
        <w:t>As mentioned earlier</w:t>
      </w:r>
      <w:r w:rsidR="00EC6B74" w:rsidRPr="00734AB6">
        <w:rPr>
          <w:rFonts w:asciiTheme="majorHAnsi" w:hAnsiTheme="majorHAnsi"/>
        </w:rPr>
        <w:t xml:space="preserve"> in Section 1.3.1</w:t>
      </w:r>
      <w:r w:rsidR="003C5EAA" w:rsidRPr="00734AB6">
        <w:rPr>
          <w:rFonts w:asciiTheme="majorHAnsi" w:hAnsiTheme="majorHAnsi"/>
        </w:rPr>
        <w:t xml:space="preserve">, executive functions are of key importance to cognitive enhancement and these functions include planning, accuracy and inhibition. </w:t>
      </w:r>
      <w:r w:rsidR="00CE3866" w:rsidRPr="00734AB6">
        <w:rPr>
          <w:rFonts w:asciiTheme="majorHAnsi" w:hAnsiTheme="majorHAnsi"/>
        </w:rPr>
        <w:t>Dose-dependent effects were on the</w:t>
      </w:r>
      <w:r w:rsidR="00684CA0" w:rsidRPr="00734AB6">
        <w:rPr>
          <w:rFonts w:asciiTheme="majorHAnsi" w:hAnsiTheme="majorHAnsi"/>
        </w:rPr>
        <w:t xml:space="preserve"> CANTAB’s</w:t>
      </w:r>
      <w:r w:rsidR="00CE3866" w:rsidRPr="00734AB6">
        <w:rPr>
          <w:rFonts w:asciiTheme="majorHAnsi" w:hAnsiTheme="majorHAnsi"/>
        </w:rPr>
        <w:t xml:space="preserve"> stop-signal task measuring pre-potent response inhibition</w:t>
      </w:r>
      <w:r w:rsidR="00684CA0" w:rsidRPr="00734AB6">
        <w:rPr>
          <w:rFonts w:asciiTheme="majorHAnsi" w:hAnsiTheme="majorHAnsi"/>
        </w:rPr>
        <w:t>,</w:t>
      </w:r>
      <w:r w:rsidR="00E73007" w:rsidRPr="00734AB6">
        <w:rPr>
          <w:rFonts w:asciiTheme="majorHAnsi" w:hAnsiTheme="majorHAnsi"/>
        </w:rPr>
        <w:t xml:space="preserve"> with no</w:t>
      </w:r>
      <w:r w:rsidR="00CE3866" w:rsidRPr="00734AB6">
        <w:rPr>
          <w:rFonts w:asciiTheme="majorHAnsi" w:hAnsiTheme="majorHAnsi"/>
        </w:rPr>
        <w:t xml:space="preserve"> other</w:t>
      </w:r>
      <w:r w:rsidR="00E73007" w:rsidRPr="00734AB6">
        <w:rPr>
          <w:rFonts w:asciiTheme="majorHAnsi" w:hAnsiTheme="majorHAnsi"/>
        </w:rPr>
        <w:t xml:space="preserve"> dose-dependent effects</w:t>
      </w:r>
      <w:r w:rsidR="00684CA0" w:rsidRPr="00734AB6">
        <w:rPr>
          <w:rFonts w:asciiTheme="majorHAnsi" w:hAnsiTheme="majorHAnsi"/>
        </w:rPr>
        <w:t xml:space="preserve"> </w:t>
      </w:r>
      <w:r w:rsidR="006C765A" w:rsidRPr="00734AB6">
        <w:rPr>
          <w:rFonts w:asciiTheme="majorHAnsi" w:hAnsiTheme="majorHAnsi"/>
        </w:rPr>
        <w:t>reported</w:t>
      </w:r>
      <w:r w:rsidR="007D31CF" w:rsidRPr="00734AB6">
        <w:rPr>
          <w:rFonts w:asciiTheme="majorHAnsi" w:hAnsiTheme="majorHAnsi"/>
        </w:rPr>
        <w:t xml:space="preserve">. </w:t>
      </w:r>
      <w:r w:rsidR="00090CA3" w:rsidRPr="00734AB6">
        <w:rPr>
          <w:rFonts w:asciiTheme="majorHAnsi" w:hAnsiTheme="majorHAnsi"/>
        </w:rPr>
        <w:t>Pre-potent responses</w:t>
      </w:r>
      <w:r w:rsidR="00E73007" w:rsidRPr="00734AB6">
        <w:rPr>
          <w:rFonts w:asciiTheme="majorHAnsi" w:hAnsiTheme="majorHAnsi"/>
        </w:rPr>
        <w:t xml:space="preserve"> are the dominant </w:t>
      </w:r>
      <w:r w:rsidR="00090CA3" w:rsidRPr="00734AB6">
        <w:rPr>
          <w:rFonts w:asciiTheme="majorHAnsi" w:hAnsiTheme="majorHAnsi"/>
        </w:rPr>
        <w:t xml:space="preserve">and impulsive </w:t>
      </w:r>
      <w:r w:rsidR="007D31CF" w:rsidRPr="00734AB6">
        <w:rPr>
          <w:rFonts w:asciiTheme="majorHAnsi" w:hAnsiTheme="majorHAnsi"/>
        </w:rPr>
        <w:t>responses to stimuli</w:t>
      </w:r>
      <w:r w:rsidR="004A6A2D" w:rsidRPr="00734AB6">
        <w:rPr>
          <w:rFonts w:asciiTheme="majorHAnsi" w:hAnsiTheme="majorHAnsi"/>
        </w:rPr>
        <w:t xml:space="preserve"> and the ability to inhibit is recognise</w:t>
      </w:r>
      <w:r w:rsidR="00821FAF" w:rsidRPr="00734AB6">
        <w:rPr>
          <w:rFonts w:asciiTheme="majorHAnsi" w:hAnsiTheme="majorHAnsi"/>
        </w:rPr>
        <w:t>d as an executive function (Hofmann, Schmeichel &amp; Baddeley, 2012)</w:t>
      </w:r>
      <w:r w:rsidR="007D31CF" w:rsidRPr="00734AB6">
        <w:rPr>
          <w:rFonts w:asciiTheme="majorHAnsi" w:hAnsiTheme="majorHAnsi"/>
        </w:rPr>
        <w:t xml:space="preserve">. </w:t>
      </w:r>
      <w:r w:rsidR="00E73007" w:rsidRPr="00734AB6">
        <w:rPr>
          <w:rFonts w:asciiTheme="majorHAnsi" w:hAnsiTheme="majorHAnsi"/>
        </w:rPr>
        <w:t xml:space="preserve">However, as this study involved healthy individuals, </w:t>
      </w:r>
      <w:r w:rsidR="00D81409" w:rsidRPr="00734AB6">
        <w:rPr>
          <w:rFonts w:asciiTheme="majorHAnsi" w:hAnsiTheme="majorHAnsi"/>
        </w:rPr>
        <w:t xml:space="preserve">the </w:t>
      </w:r>
      <w:r w:rsidR="00E73007" w:rsidRPr="00734AB6">
        <w:rPr>
          <w:rFonts w:asciiTheme="majorHAnsi" w:hAnsiTheme="majorHAnsi"/>
        </w:rPr>
        <w:t>results may not be representative of individuals with impaired cognitive function or low baseline dopamine levels.</w:t>
      </w:r>
      <w:r w:rsidR="00357C8D" w:rsidRPr="00734AB6">
        <w:rPr>
          <w:rFonts w:asciiTheme="majorHAnsi" w:hAnsiTheme="majorHAnsi"/>
        </w:rPr>
        <w:t xml:space="preserve"> The authors reported that although cardiovascular effects were noted, these were not clinically significant and modafinil was well tolerated. </w:t>
      </w:r>
    </w:p>
    <w:p w14:paraId="1FD4C99E" w14:textId="0680636B" w:rsidR="00A31919" w:rsidRPr="00734AB6" w:rsidRDefault="00A31919" w:rsidP="0099584D">
      <w:pPr>
        <w:spacing w:after="240" w:line="360" w:lineRule="auto"/>
        <w:ind w:firstLine="851"/>
        <w:rPr>
          <w:rFonts w:asciiTheme="majorHAnsi" w:hAnsiTheme="majorHAnsi"/>
        </w:rPr>
      </w:pPr>
      <w:r w:rsidRPr="00734AB6">
        <w:rPr>
          <w:rFonts w:asciiTheme="majorHAnsi" w:hAnsiTheme="majorHAnsi"/>
        </w:rPr>
        <w:t>Modafinil’s effects on working memory were evident in a study by M</w:t>
      </w:r>
      <w:r w:rsidR="0060602C" w:rsidRPr="00734AB6">
        <w:rPr>
          <w:rFonts w:asciiTheme="majorHAnsi" w:hAnsiTheme="majorHAnsi" w:cstheme="minorHAnsi"/>
          <w:shd w:val="clear" w:color="auto" w:fill="FFFFFF"/>
        </w:rPr>
        <w:t>ü</w:t>
      </w:r>
      <w:r w:rsidRPr="00734AB6">
        <w:rPr>
          <w:rFonts w:asciiTheme="majorHAnsi" w:hAnsiTheme="majorHAnsi"/>
        </w:rPr>
        <w:t xml:space="preserve">ller, </w:t>
      </w:r>
      <w:proofErr w:type="spellStart"/>
      <w:r w:rsidRPr="00734AB6">
        <w:rPr>
          <w:rFonts w:asciiTheme="majorHAnsi" w:hAnsiTheme="majorHAnsi"/>
        </w:rPr>
        <w:t>Steffenhagen</w:t>
      </w:r>
      <w:proofErr w:type="spellEnd"/>
      <w:r w:rsidR="007D31CF" w:rsidRPr="00734AB6">
        <w:rPr>
          <w:rFonts w:asciiTheme="majorHAnsi" w:hAnsiTheme="majorHAnsi"/>
        </w:rPr>
        <w:t xml:space="preserve">, </w:t>
      </w:r>
      <w:proofErr w:type="spellStart"/>
      <w:r w:rsidR="007D31CF" w:rsidRPr="00734AB6">
        <w:rPr>
          <w:rFonts w:asciiTheme="majorHAnsi" w:hAnsiTheme="majorHAnsi"/>
        </w:rPr>
        <w:t>Regenthal</w:t>
      </w:r>
      <w:proofErr w:type="spellEnd"/>
      <w:r w:rsidR="007D31CF" w:rsidRPr="00734AB6">
        <w:rPr>
          <w:rFonts w:asciiTheme="majorHAnsi" w:hAnsiTheme="majorHAnsi"/>
        </w:rPr>
        <w:t xml:space="preserve"> and </w:t>
      </w:r>
      <w:proofErr w:type="spellStart"/>
      <w:r w:rsidR="007D31CF" w:rsidRPr="00734AB6">
        <w:rPr>
          <w:rFonts w:asciiTheme="majorHAnsi" w:hAnsiTheme="majorHAnsi"/>
        </w:rPr>
        <w:t>Bublak</w:t>
      </w:r>
      <w:proofErr w:type="spellEnd"/>
      <w:r w:rsidR="007D31CF" w:rsidRPr="00734AB6">
        <w:rPr>
          <w:rFonts w:asciiTheme="majorHAnsi" w:hAnsiTheme="majorHAnsi"/>
        </w:rPr>
        <w:t xml:space="preserve"> (2004). </w:t>
      </w:r>
      <w:r w:rsidR="00AD7D1E" w:rsidRPr="00734AB6">
        <w:rPr>
          <w:rFonts w:asciiTheme="majorHAnsi" w:hAnsiTheme="majorHAnsi"/>
        </w:rPr>
        <w:t>In a double-blind, placebo-controlled, randomised and balanced cross-over study, 15</w:t>
      </w:r>
      <w:r w:rsidRPr="00734AB6">
        <w:rPr>
          <w:rFonts w:asciiTheme="majorHAnsi" w:hAnsiTheme="majorHAnsi"/>
        </w:rPr>
        <w:t xml:space="preserve"> healthy </w:t>
      </w:r>
      <w:r w:rsidR="00935EF1" w:rsidRPr="00734AB6">
        <w:rPr>
          <w:rFonts w:asciiTheme="majorHAnsi" w:hAnsiTheme="majorHAnsi"/>
        </w:rPr>
        <w:t>participants</w:t>
      </w:r>
      <w:r w:rsidRPr="00734AB6">
        <w:rPr>
          <w:rFonts w:asciiTheme="majorHAnsi" w:hAnsiTheme="majorHAnsi"/>
        </w:rPr>
        <w:t xml:space="preserve"> </w:t>
      </w:r>
      <w:r w:rsidR="00AD7D1E" w:rsidRPr="00734AB6">
        <w:rPr>
          <w:rFonts w:asciiTheme="majorHAnsi" w:hAnsiTheme="majorHAnsi"/>
        </w:rPr>
        <w:t xml:space="preserve">were given 200mg of </w:t>
      </w:r>
      <w:r w:rsidR="00AD7D1E" w:rsidRPr="00734AB6">
        <w:rPr>
          <w:rFonts w:asciiTheme="majorHAnsi" w:hAnsiTheme="majorHAnsi" w:cs="Calibri"/>
        </w:rPr>
        <w:t>modafinil</w:t>
      </w:r>
      <w:r w:rsidR="00AD7D1E" w:rsidRPr="00734AB6">
        <w:rPr>
          <w:rFonts w:asciiTheme="majorHAnsi" w:hAnsiTheme="majorHAnsi"/>
        </w:rPr>
        <w:t xml:space="preserve"> or placebo on two days, one week apart</w:t>
      </w:r>
      <w:r w:rsidR="007D31CF" w:rsidRPr="00734AB6">
        <w:rPr>
          <w:rFonts w:asciiTheme="majorHAnsi" w:hAnsiTheme="majorHAnsi"/>
        </w:rPr>
        <w:t xml:space="preserve">. </w:t>
      </w:r>
      <w:r w:rsidRPr="00734AB6">
        <w:rPr>
          <w:rFonts w:asciiTheme="majorHAnsi" w:hAnsiTheme="majorHAnsi"/>
        </w:rPr>
        <w:t>Comput</w:t>
      </w:r>
      <w:r w:rsidR="005B35B3" w:rsidRPr="00734AB6">
        <w:rPr>
          <w:rFonts w:asciiTheme="majorHAnsi" w:hAnsiTheme="majorHAnsi"/>
        </w:rPr>
        <w:t>erized cognitive tests measured</w:t>
      </w:r>
      <w:r w:rsidRPr="00734AB6">
        <w:rPr>
          <w:rFonts w:asciiTheme="majorHAnsi" w:hAnsiTheme="majorHAnsi"/>
        </w:rPr>
        <w:t xml:space="preserve"> the working memory sub-processes of maintenance and manipulation</w:t>
      </w:r>
      <w:r w:rsidR="005B35B3" w:rsidRPr="00734AB6">
        <w:rPr>
          <w:rFonts w:asciiTheme="majorHAnsi" w:hAnsiTheme="majorHAnsi"/>
        </w:rPr>
        <w:t>. This</w:t>
      </w:r>
      <w:r w:rsidRPr="00734AB6">
        <w:rPr>
          <w:rFonts w:asciiTheme="majorHAnsi" w:hAnsiTheme="majorHAnsi"/>
        </w:rPr>
        <w:t xml:space="preserve"> involved a task </w:t>
      </w:r>
      <w:r w:rsidR="00805CCC" w:rsidRPr="00734AB6">
        <w:rPr>
          <w:rFonts w:asciiTheme="majorHAnsi" w:hAnsiTheme="majorHAnsi"/>
        </w:rPr>
        <w:t>requiring the</w:t>
      </w:r>
      <w:r w:rsidRPr="00734AB6">
        <w:rPr>
          <w:rFonts w:asciiTheme="majorHAnsi" w:hAnsiTheme="majorHAnsi"/>
        </w:rPr>
        <w:t xml:space="preserve"> visuo-spatial delayed matching of target location and the short-term maintenance and </w:t>
      </w:r>
      <w:r w:rsidR="00805CCC" w:rsidRPr="00734AB6">
        <w:rPr>
          <w:rFonts w:asciiTheme="majorHAnsi" w:hAnsiTheme="majorHAnsi"/>
        </w:rPr>
        <w:t xml:space="preserve">the </w:t>
      </w:r>
      <w:r w:rsidRPr="00734AB6">
        <w:rPr>
          <w:rFonts w:asciiTheme="majorHAnsi" w:hAnsiTheme="majorHAnsi"/>
        </w:rPr>
        <w:t xml:space="preserve">manipulation of a numeric sequence </w:t>
      </w:r>
      <w:r w:rsidR="0049455D" w:rsidRPr="00734AB6">
        <w:rPr>
          <w:rFonts w:asciiTheme="majorHAnsi" w:hAnsiTheme="majorHAnsi"/>
        </w:rPr>
        <w:t>in easy and difficult conditions</w:t>
      </w:r>
      <w:r w:rsidR="007D31CF" w:rsidRPr="00734AB6">
        <w:rPr>
          <w:rFonts w:asciiTheme="majorHAnsi" w:hAnsiTheme="majorHAnsi"/>
        </w:rPr>
        <w:t xml:space="preserve">. </w:t>
      </w:r>
      <w:r w:rsidR="00617A60" w:rsidRPr="00734AB6">
        <w:rPr>
          <w:rFonts w:asciiTheme="majorHAnsi" w:hAnsiTheme="majorHAnsi"/>
        </w:rPr>
        <w:t>Two paper-</w:t>
      </w:r>
      <w:r w:rsidR="00D81409" w:rsidRPr="00734AB6">
        <w:rPr>
          <w:rFonts w:asciiTheme="majorHAnsi" w:hAnsiTheme="majorHAnsi"/>
        </w:rPr>
        <w:t>and-</w:t>
      </w:r>
      <w:r w:rsidR="00617A60" w:rsidRPr="00734AB6">
        <w:rPr>
          <w:rFonts w:asciiTheme="majorHAnsi" w:hAnsiTheme="majorHAnsi"/>
        </w:rPr>
        <w:t xml:space="preserve">pencil tasks measuring attentional control were also conducted. </w:t>
      </w:r>
      <w:r w:rsidR="009160D7" w:rsidRPr="00734AB6">
        <w:rPr>
          <w:rFonts w:asciiTheme="majorHAnsi" w:hAnsiTheme="majorHAnsi"/>
        </w:rPr>
        <w:t xml:space="preserve">The first was </w:t>
      </w:r>
      <w:r w:rsidR="00617A60" w:rsidRPr="00734AB6">
        <w:rPr>
          <w:rFonts w:asciiTheme="majorHAnsi" w:hAnsiTheme="majorHAnsi"/>
        </w:rPr>
        <w:t>the d2-T</w:t>
      </w:r>
      <w:r w:rsidR="00593BD8" w:rsidRPr="00734AB6">
        <w:rPr>
          <w:rFonts w:asciiTheme="majorHAnsi" w:hAnsiTheme="majorHAnsi"/>
        </w:rPr>
        <w:t>est</w:t>
      </w:r>
      <w:r w:rsidR="00D820A7" w:rsidRPr="00734AB6">
        <w:rPr>
          <w:rFonts w:asciiTheme="majorHAnsi" w:hAnsiTheme="majorHAnsi"/>
        </w:rPr>
        <w:t xml:space="preserve"> (</w:t>
      </w:r>
      <w:proofErr w:type="spellStart"/>
      <w:r w:rsidR="00A674AF" w:rsidRPr="00734AB6">
        <w:rPr>
          <w:rFonts w:asciiTheme="majorHAnsi" w:hAnsiTheme="majorHAnsi"/>
        </w:rPr>
        <w:t>Brickenkamp</w:t>
      </w:r>
      <w:proofErr w:type="spellEnd"/>
      <w:r w:rsidR="00A674AF" w:rsidRPr="00734AB6">
        <w:rPr>
          <w:rFonts w:asciiTheme="majorHAnsi" w:hAnsiTheme="majorHAnsi"/>
        </w:rPr>
        <w:t xml:space="preserve">, 1994, as cited in </w:t>
      </w:r>
      <w:r w:rsidR="00D820A7" w:rsidRPr="00734AB6">
        <w:rPr>
          <w:rFonts w:asciiTheme="majorHAnsi" w:hAnsiTheme="majorHAnsi"/>
        </w:rPr>
        <w:t>M</w:t>
      </w:r>
      <w:r w:rsidR="00610FB7" w:rsidRPr="00734AB6">
        <w:rPr>
          <w:rFonts w:asciiTheme="majorHAnsi" w:hAnsiTheme="majorHAnsi" w:cstheme="minorHAnsi"/>
          <w:shd w:val="clear" w:color="auto" w:fill="FFFFFF"/>
        </w:rPr>
        <w:t>ü</w:t>
      </w:r>
      <w:r w:rsidR="00D820A7" w:rsidRPr="00734AB6">
        <w:rPr>
          <w:rFonts w:asciiTheme="majorHAnsi" w:hAnsiTheme="majorHAnsi"/>
        </w:rPr>
        <w:t>ller, von</w:t>
      </w:r>
      <w:r w:rsidR="00470349" w:rsidRPr="00734AB6">
        <w:rPr>
          <w:rFonts w:asciiTheme="majorHAnsi" w:hAnsiTheme="majorHAnsi"/>
        </w:rPr>
        <w:t xml:space="preserve"> </w:t>
      </w:r>
      <w:proofErr w:type="spellStart"/>
      <w:r w:rsidR="00D820A7" w:rsidRPr="00734AB6">
        <w:rPr>
          <w:rFonts w:asciiTheme="majorHAnsi" w:hAnsiTheme="majorHAnsi"/>
        </w:rPr>
        <w:t>Cra</w:t>
      </w:r>
      <w:r w:rsidR="00467CEC" w:rsidRPr="00734AB6">
        <w:rPr>
          <w:rFonts w:asciiTheme="majorHAnsi" w:hAnsiTheme="majorHAnsi"/>
        </w:rPr>
        <w:t>mon</w:t>
      </w:r>
      <w:proofErr w:type="spellEnd"/>
      <w:r w:rsidR="00467CEC" w:rsidRPr="00734AB6">
        <w:rPr>
          <w:rFonts w:asciiTheme="majorHAnsi" w:hAnsiTheme="majorHAnsi"/>
        </w:rPr>
        <w:t xml:space="preserve"> &amp; </w:t>
      </w:r>
      <w:proofErr w:type="spellStart"/>
      <w:r w:rsidR="00467CEC" w:rsidRPr="00734AB6">
        <w:rPr>
          <w:rFonts w:asciiTheme="majorHAnsi" w:hAnsiTheme="majorHAnsi"/>
        </w:rPr>
        <w:t>Pollmann</w:t>
      </w:r>
      <w:proofErr w:type="spellEnd"/>
      <w:r w:rsidR="00467CEC" w:rsidRPr="00734AB6">
        <w:rPr>
          <w:rFonts w:asciiTheme="majorHAnsi" w:hAnsiTheme="majorHAnsi"/>
        </w:rPr>
        <w:t>, 1998)</w:t>
      </w:r>
      <w:r w:rsidR="00593BD8" w:rsidRPr="00734AB6">
        <w:rPr>
          <w:rFonts w:asciiTheme="majorHAnsi" w:hAnsiTheme="majorHAnsi"/>
        </w:rPr>
        <w:t>, a letter cancellation task</w:t>
      </w:r>
      <w:r w:rsidR="00617A60" w:rsidRPr="00734AB6">
        <w:rPr>
          <w:rFonts w:asciiTheme="majorHAnsi" w:hAnsiTheme="majorHAnsi"/>
        </w:rPr>
        <w:t xml:space="preserve"> </w:t>
      </w:r>
      <w:r w:rsidR="009160D7" w:rsidRPr="00734AB6">
        <w:rPr>
          <w:rFonts w:asciiTheme="majorHAnsi" w:hAnsiTheme="majorHAnsi"/>
        </w:rPr>
        <w:t>which requires participants to cross out any letter ‘d’ with two ma</w:t>
      </w:r>
      <w:r w:rsidR="007D31CF" w:rsidRPr="00734AB6">
        <w:rPr>
          <w:rFonts w:asciiTheme="majorHAnsi" w:hAnsiTheme="majorHAnsi"/>
        </w:rPr>
        <w:t xml:space="preserve">rks above or below the letter. </w:t>
      </w:r>
      <w:r w:rsidR="009160D7" w:rsidRPr="00734AB6">
        <w:rPr>
          <w:rFonts w:asciiTheme="majorHAnsi" w:hAnsiTheme="majorHAnsi"/>
        </w:rPr>
        <w:t>The distractors mixed in with the targets are of similar appearance, for example a ‘p’ with two ma</w:t>
      </w:r>
      <w:r w:rsidR="007D31CF" w:rsidRPr="00734AB6">
        <w:rPr>
          <w:rFonts w:asciiTheme="majorHAnsi" w:hAnsiTheme="majorHAnsi"/>
        </w:rPr>
        <w:t xml:space="preserve">rks or a ‘d’ with three marks. </w:t>
      </w:r>
      <w:r w:rsidR="009160D7" w:rsidRPr="00734AB6">
        <w:rPr>
          <w:rFonts w:asciiTheme="majorHAnsi" w:hAnsiTheme="majorHAnsi"/>
        </w:rPr>
        <w:t xml:space="preserve">The second test was the </w:t>
      </w:r>
      <w:proofErr w:type="spellStart"/>
      <w:r w:rsidR="00617A60" w:rsidRPr="00734AB6">
        <w:rPr>
          <w:rFonts w:asciiTheme="majorHAnsi" w:hAnsiTheme="majorHAnsi"/>
        </w:rPr>
        <w:t>Z</w:t>
      </w:r>
      <w:r w:rsidR="006B1474" w:rsidRPr="00734AB6">
        <w:rPr>
          <w:rFonts w:asciiTheme="majorHAnsi" w:hAnsiTheme="majorHAnsi"/>
        </w:rPr>
        <w:t>h</w:t>
      </w:r>
      <w:r w:rsidR="00617A60" w:rsidRPr="00734AB6">
        <w:rPr>
          <w:rFonts w:asciiTheme="majorHAnsi" w:hAnsiTheme="majorHAnsi"/>
        </w:rPr>
        <w:t>alen</w:t>
      </w:r>
      <w:proofErr w:type="spellEnd"/>
      <w:r w:rsidR="006B1474" w:rsidRPr="00734AB6">
        <w:rPr>
          <w:rFonts w:asciiTheme="majorHAnsi" w:hAnsiTheme="majorHAnsi"/>
        </w:rPr>
        <w:t>-</w:t>
      </w:r>
      <w:proofErr w:type="spellStart"/>
      <w:r w:rsidR="006B1474" w:rsidRPr="00734AB6">
        <w:rPr>
          <w:rFonts w:asciiTheme="majorHAnsi" w:hAnsiTheme="majorHAnsi"/>
        </w:rPr>
        <w:t>V</w:t>
      </w:r>
      <w:r w:rsidR="00617A60" w:rsidRPr="00734AB6">
        <w:rPr>
          <w:rFonts w:asciiTheme="majorHAnsi" w:hAnsiTheme="majorHAnsi"/>
        </w:rPr>
        <w:t>erbindungs</w:t>
      </w:r>
      <w:proofErr w:type="spellEnd"/>
      <w:r w:rsidR="006B1474" w:rsidRPr="00734AB6">
        <w:rPr>
          <w:rFonts w:asciiTheme="majorHAnsi" w:hAnsiTheme="majorHAnsi"/>
        </w:rPr>
        <w:t>-T</w:t>
      </w:r>
      <w:r w:rsidR="00617A60" w:rsidRPr="00734AB6">
        <w:rPr>
          <w:rFonts w:asciiTheme="majorHAnsi" w:hAnsiTheme="majorHAnsi"/>
        </w:rPr>
        <w:t>est</w:t>
      </w:r>
      <w:r w:rsidR="00A674AF" w:rsidRPr="00734AB6">
        <w:rPr>
          <w:rFonts w:asciiTheme="majorHAnsi" w:hAnsiTheme="majorHAnsi"/>
        </w:rPr>
        <w:t xml:space="preserve"> (Oswald &amp; Roth, 1987</w:t>
      </w:r>
      <w:r w:rsidR="00D81409" w:rsidRPr="00734AB6">
        <w:rPr>
          <w:rFonts w:asciiTheme="majorHAnsi" w:hAnsiTheme="majorHAnsi"/>
        </w:rPr>
        <w:t>;</w:t>
      </w:r>
      <w:r w:rsidR="00A674AF" w:rsidRPr="00734AB6">
        <w:rPr>
          <w:rFonts w:asciiTheme="majorHAnsi" w:hAnsiTheme="majorHAnsi"/>
        </w:rPr>
        <w:t xml:space="preserve"> cited in M</w:t>
      </w:r>
      <w:r w:rsidR="00D03973" w:rsidRPr="00734AB6">
        <w:rPr>
          <w:rFonts w:asciiTheme="majorHAnsi" w:hAnsiTheme="majorHAnsi" w:cstheme="minorHAnsi"/>
          <w:shd w:val="clear" w:color="auto" w:fill="FFFFFF"/>
        </w:rPr>
        <w:t>ü</w:t>
      </w:r>
      <w:r w:rsidR="00A674AF" w:rsidRPr="00734AB6">
        <w:rPr>
          <w:rFonts w:asciiTheme="majorHAnsi" w:hAnsiTheme="majorHAnsi"/>
        </w:rPr>
        <w:t>ller, von</w:t>
      </w:r>
      <w:r w:rsidR="00D81409" w:rsidRPr="00734AB6">
        <w:rPr>
          <w:rFonts w:asciiTheme="majorHAnsi" w:hAnsiTheme="majorHAnsi"/>
        </w:rPr>
        <w:t xml:space="preserve"> </w:t>
      </w:r>
      <w:proofErr w:type="spellStart"/>
      <w:r w:rsidR="00A674AF" w:rsidRPr="00734AB6">
        <w:rPr>
          <w:rFonts w:asciiTheme="majorHAnsi" w:hAnsiTheme="majorHAnsi"/>
        </w:rPr>
        <w:t>Cramon</w:t>
      </w:r>
      <w:proofErr w:type="spellEnd"/>
      <w:r w:rsidR="00A674AF" w:rsidRPr="00734AB6">
        <w:rPr>
          <w:rFonts w:asciiTheme="majorHAnsi" w:hAnsiTheme="majorHAnsi"/>
        </w:rPr>
        <w:t xml:space="preserve"> &amp; </w:t>
      </w:r>
      <w:proofErr w:type="spellStart"/>
      <w:r w:rsidR="00A674AF" w:rsidRPr="00734AB6">
        <w:rPr>
          <w:rFonts w:asciiTheme="majorHAnsi" w:hAnsiTheme="majorHAnsi"/>
        </w:rPr>
        <w:t>Pollmann</w:t>
      </w:r>
      <w:proofErr w:type="spellEnd"/>
      <w:r w:rsidR="00A674AF" w:rsidRPr="00734AB6">
        <w:rPr>
          <w:rFonts w:asciiTheme="majorHAnsi" w:hAnsiTheme="majorHAnsi"/>
        </w:rPr>
        <w:t>, 1998)</w:t>
      </w:r>
      <w:r w:rsidR="00617A60" w:rsidRPr="00734AB6">
        <w:rPr>
          <w:rFonts w:asciiTheme="majorHAnsi" w:hAnsiTheme="majorHAnsi"/>
        </w:rPr>
        <w:t>, a German version of the trail-making task</w:t>
      </w:r>
      <w:r w:rsidR="00F836D4" w:rsidRPr="00734AB6">
        <w:rPr>
          <w:rFonts w:asciiTheme="majorHAnsi" w:hAnsiTheme="majorHAnsi"/>
        </w:rPr>
        <w:t>, which must be conducted quickly and without removing pen from paper</w:t>
      </w:r>
      <w:r w:rsidR="00617A60" w:rsidRPr="00734AB6">
        <w:rPr>
          <w:rFonts w:asciiTheme="majorHAnsi" w:hAnsiTheme="majorHAnsi"/>
        </w:rPr>
        <w:t xml:space="preserve">. </w:t>
      </w:r>
      <w:r w:rsidR="00805CCC" w:rsidRPr="00734AB6">
        <w:rPr>
          <w:rFonts w:asciiTheme="majorHAnsi" w:hAnsiTheme="majorHAnsi"/>
        </w:rPr>
        <w:t>The f</w:t>
      </w:r>
      <w:r w:rsidRPr="00734AB6">
        <w:rPr>
          <w:rFonts w:asciiTheme="majorHAnsi" w:hAnsiTheme="majorHAnsi"/>
        </w:rPr>
        <w:t xml:space="preserve">indings revealed a significant improvement in manipulation processes and reaction times with </w:t>
      </w:r>
      <w:r w:rsidRPr="00734AB6">
        <w:rPr>
          <w:rFonts w:asciiTheme="majorHAnsi" w:hAnsiTheme="majorHAnsi" w:cs="Calibri"/>
        </w:rPr>
        <w:t>modafinil</w:t>
      </w:r>
      <w:r w:rsidR="007D31CF" w:rsidRPr="00734AB6">
        <w:rPr>
          <w:rFonts w:asciiTheme="majorHAnsi" w:hAnsiTheme="majorHAnsi"/>
        </w:rPr>
        <w:t xml:space="preserve"> in the numeric sequence task. </w:t>
      </w:r>
      <w:r w:rsidRPr="00734AB6">
        <w:rPr>
          <w:rFonts w:asciiTheme="majorHAnsi" w:hAnsiTheme="majorHAnsi"/>
        </w:rPr>
        <w:t>The authors reported that the slowest responses in the difficult manipulation condition of this task indicated attention lapses. They argue</w:t>
      </w:r>
      <w:r w:rsidR="00805CCC" w:rsidRPr="00734AB6">
        <w:rPr>
          <w:rFonts w:asciiTheme="majorHAnsi" w:hAnsiTheme="majorHAnsi"/>
        </w:rPr>
        <w:t>d</w:t>
      </w:r>
      <w:r w:rsidRPr="00734AB6">
        <w:rPr>
          <w:rFonts w:asciiTheme="majorHAnsi" w:hAnsiTheme="majorHAnsi"/>
        </w:rPr>
        <w:t xml:space="preserve"> that these responses appeared to speed up with </w:t>
      </w:r>
      <w:r w:rsidRPr="00734AB6">
        <w:rPr>
          <w:rFonts w:asciiTheme="majorHAnsi" w:hAnsiTheme="majorHAnsi" w:cs="Calibri"/>
        </w:rPr>
        <w:t>modafinil</w:t>
      </w:r>
      <w:r w:rsidRPr="00734AB6">
        <w:rPr>
          <w:rFonts w:asciiTheme="majorHAnsi" w:hAnsiTheme="majorHAnsi"/>
        </w:rPr>
        <w:t xml:space="preserve">, suggesting </w:t>
      </w:r>
      <w:r w:rsidRPr="00734AB6">
        <w:rPr>
          <w:rFonts w:asciiTheme="majorHAnsi" w:hAnsiTheme="majorHAnsi" w:cs="Calibri"/>
        </w:rPr>
        <w:t>modafinil</w:t>
      </w:r>
      <w:r w:rsidRPr="00734AB6">
        <w:rPr>
          <w:rFonts w:asciiTheme="majorHAnsi" w:hAnsiTheme="majorHAnsi"/>
        </w:rPr>
        <w:t xml:space="preserve">’s modulation of an underlying attentional mechanism on both spatial and numerical working memory processes. However, no significant improvements in </w:t>
      </w:r>
      <w:r w:rsidR="00D81409" w:rsidRPr="00734AB6">
        <w:rPr>
          <w:rFonts w:asciiTheme="majorHAnsi" w:hAnsiTheme="majorHAnsi"/>
        </w:rPr>
        <w:t xml:space="preserve">either </w:t>
      </w:r>
      <w:r w:rsidRPr="00734AB6">
        <w:rPr>
          <w:rFonts w:asciiTheme="majorHAnsi" w:hAnsiTheme="majorHAnsi"/>
        </w:rPr>
        <w:t>mood or attentional control</w:t>
      </w:r>
      <w:r w:rsidR="007914DD" w:rsidRPr="00734AB6">
        <w:rPr>
          <w:rFonts w:asciiTheme="majorHAnsi" w:hAnsiTheme="majorHAnsi"/>
        </w:rPr>
        <w:t xml:space="preserve"> </w:t>
      </w:r>
      <w:r w:rsidRPr="00734AB6">
        <w:rPr>
          <w:rFonts w:asciiTheme="majorHAnsi" w:hAnsiTheme="majorHAnsi"/>
        </w:rPr>
        <w:t>were found.</w:t>
      </w:r>
      <w:r w:rsidR="00CC4B75" w:rsidRPr="00734AB6">
        <w:rPr>
          <w:rFonts w:asciiTheme="majorHAnsi" w:hAnsiTheme="majorHAnsi"/>
        </w:rPr>
        <w:t xml:space="preserve"> The authors also reported that modafinil was well tolerated with no unpleasant side effects.</w:t>
      </w:r>
    </w:p>
    <w:p w14:paraId="1103D405" w14:textId="0AE5359C" w:rsidR="00E73007" w:rsidRPr="00734AB6" w:rsidRDefault="00805CCC" w:rsidP="0099584D">
      <w:pPr>
        <w:spacing w:after="240" w:line="360" w:lineRule="auto"/>
        <w:ind w:firstLine="851"/>
        <w:rPr>
          <w:rFonts w:asciiTheme="majorHAnsi" w:hAnsiTheme="majorHAnsi"/>
        </w:rPr>
      </w:pPr>
      <w:r w:rsidRPr="00734AB6">
        <w:rPr>
          <w:rFonts w:asciiTheme="majorHAnsi" w:hAnsiTheme="majorHAnsi"/>
        </w:rPr>
        <w:t xml:space="preserve">Rycroft et al. (2007) </w:t>
      </w:r>
      <w:r w:rsidR="00E73007" w:rsidRPr="00734AB6">
        <w:rPr>
          <w:rFonts w:asciiTheme="majorHAnsi" w:hAnsiTheme="majorHAnsi"/>
        </w:rPr>
        <w:t>looked at r</w:t>
      </w:r>
      <w:r w:rsidR="00EC3DBB" w:rsidRPr="00734AB6">
        <w:rPr>
          <w:rFonts w:asciiTheme="majorHAnsi" w:hAnsiTheme="majorHAnsi"/>
        </w:rPr>
        <w:t xml:space="preserve">esponse inhibition through </w:t>
      </w:r>
      <w:proofErr w:type="spellStart"/>
      <w:r w:rsidR="00EC3DBB" w:rsidRPr="00734AB6">
        <w:rPr>
          <w:rFonts w:asciiTheme="majorHAnsi" w:hAnsiTheme="majorHAnsi"/>
        </w:rPr>
        <w:t>anti</w:t>
      </w:r>
      <w:r w:rsidR="00E73007" w:rsidRPr="00734AB6">
        <w:rPr>
          <w:rFonts w:asciiTheme="majorHAnsi" w:hAnsiTheme="majorHAnsi"/>
        </w:rPr>
        <w:t>saccade</w:t>
      </w:r>
      <w:proofErr w:type="spellEnd"/>
      <w:r w:rsidR="00E73007" w:rsidRPr="00734AB6">
        <w:rPr>
          <w:rFonts w:asciiTheme="majorHAnsi" w:hAnsiTheme="majorHAnsi"/>
        </w:rPr>
        <w:t xml:space="preserve"> performance with 200mg of </w:t>
      </w:r>
      <w:r w:rsidR="002F4FF9" w:rsidRPr="00734AB6">
        <w:rPr>
          <w:rFonts w:asciiTheme="majorHAnsi" w:hAnsiTheme="majorHAnsi" w:cs="Calibri"/>
        </w:rPr>
        <w:t>modafinil</w:t>
      </w:r>
      <w:r w:rsidR="004D002A" w:rsidRPr="00734AB6">
        <w:rPr>
          <w:rFonts w:asciiTheme="majorHAnsi" w:hAnsiTheme="majorHAnsi"/>
        </w:rPr>
        <w:t xml:space="preserve"> or 1mg of nicotine</w:t>
      </w:r>
      <w:r w:rsidR="003E584B" w:rsidRPr="00734AB6">
        <w:rPr>
          <w:rFonts w:asciiTheme="majorHAnsi" w:hAnsiTheme="majorHAnsi"/>
        </w:rPr>
        <w:t xml:space="preserve">. </w:t>
      </w:r>
      <w:r w:rsidR="00E73007" w:rsidRPr="00734AB6">
        <w:rPr>
          <w:rFonts w:asciiTheme="majorHAnsi" w:hAnsiTheme="majorHAnsi"/>
        </w:rPr>
        <w:t xml:space="preserve">In this double-blind, double-dummy experiment, 44 </w:t>
      </w:r>
      <w:r w:rsidR="00E73007" w:rsidRPr="00734AB6">
        <w:rPr>
          <w:rFonts w:asciiTheme="majorHAnsi" w:hAnsiTheme="majorHAnsi"/>
        </w:rPr>
        <w:lastRenderedPageBreak/>
        <w:t xml:space="preserve">healthy male </w:t>
      </w:r>
      <w:r w:rsidR="00935EF1" w:rsidRPr="00734AB6">
        <w:rPr>
          <w:rFonts w:asciiTheme="majorHAnsi" w:hAnsiTheme="majorHAnsi"/>
        </w:rPr>
        <w:t>participants</w:t>
      </w:r>
      <w:r w:rsidR="00E73007" w:rsidRPr="00734AB6">
        <w:rPr>
          <w:rFonts w:asciiTheme="majorHAnsi" w:hAnsiTheme="majorHAnsi"/>
        </w:rPr>
        <w:t xml:space="preserve"> were administered either 200mg of </w:t>
      </w:r>
      <w:r w:rsidR="002F4FF9" w:rsidRPr="00734AB6">
        <w:rPr>
          <w:rFonts w:asciiTheme="majorHAnsi" w:hAnsiTheme="majorHAnsi" w:cs="Calibri"/>
        </w:rPr>
        <w:t>modafinil</w:t>
      </w:r>
      <w:r w:rsidR="00E73007" w:rsidRPr="00734AB6">
        <w:rPr>
          <w:rFonts w:asciiTheme="majorHAnsi" w:hAnsiTheme="majorHAnsi"/>
        </w:rPr>
        <w:t xml:space="preserve"> and placebo spray, placebo capsule and 1mg nicotine spray,</w:t>
      </w:r>
      <w:r w:rsidR="003E584B" w:rsidRPr="00734AB6">
        <w:rPr>
          <w:rFonts w:asciiTheme="majorHAnsi" w:hAnsiTheme="majorHAnsi"/>
        </w:rPr>
        <w:t xml:space="preserve"> or placebo capsule and </w:t>
      </w:r>
      <w:r w:rsidR="004D002A" w:rsidRPr="00734AB6">
        <w:rPr>
          <w:rFonts w:asciiTheme="majorHAnsi" w:hAnsiTheme="majorHAnsi"/>
        </w:rPr>
        <w:t xml:space="preserve">placebo </w:t>
      </w:r>
      <w:r w:rsidR="003E584B" w:rsidRPr="00734AB6">
        <w:rPr>
          <w:rFonts w:asciiTheme="majorHAnsi" w:hAnsiTheme="majorHAnsi"/>
        </w:rPr>
        <w:t xml:space="preserve">spray. </w:t>
      </w:r>
      <w:r w:rsidR="00E73007" w:rsidRPr="00734AB6">
        <w:rPr>
          <w:rFonts w:asciiTheme="majorHAnsi" w:hAnsiTheme="majorHAnsi"/>
        </w:rPr>
        <w:t>At peak plasma concentration of either drug, participants were requir</w:t>
      </w:r>
      <w:r w:rsidR="00333EAE" w:rsidRPr="00734AB6">
        <w:rPr>
          <w:rFonts w:asciiTheme="majorHAnsi" w:hAnsiTheme="majorHAnsi"/>
        </w:rPr>
        <w:t xml:space="preserve">ed to perform </w:t>
      </w:r>
      <w:r w:rsidR="00470349" w:rsidRPr="00734AB6">
        <w:rPr>
          <w:rFonts w:asciiTheme="majorHAnsi" w:hAnsiTheme="majorHAnsi"/>
        </w:rPr>
        <w:t xml:space="preserve">the </w:t>
      </w:r>
      <w:proofErr w:type="spellStart"/>
      <w:r w:rsidR="00470349" w:rsidRPr="00734AB6">
        <w:rPr>
          <w:rFonts w:asciiTheme="majorHAnsi" w:hAnsiTheme="majorHAnsi"/>
        </w:rPr>
        <w:t>anti</w:t>
      </w:r>
      <w:r w:rsidR="00333EAE" w:rsidRPr="00734AB6">
        <w:rPr>
          <w:rFonts w:asciiTheme="majorHAnsi" w:hAnsiTheme="majorHAnsi"/>
        </w:rPr>
        <w:t>saccade</w:t>
      </w:r>
      <w:proofErr w:type="spellEnd"/>
      <w:r w:rsidR="00333EAE" w:rsidRPr="00734AB6">
        <w:rPr>
          <w:rFonts w:asciiTheme="majorHAnsi" w:hAnsiTheme="majorHAnsi"/>
        </w:rPr>
        <w:t xml:space="preserve"> </w:t>
      </w:r>
      <w:r w:rsidR="003E584B" w:rsidRPr="00734AB6">
        <w:rPr>
          <w:rFonts w:asciiTheme="majorHAnsi" w:hAnsiTheme="majorHAnsi"/>
        </w:rPr>
        <w:t xml:space="preserve">task. </w:t>
      </w:r>
      <w:proofErr w:type="spellStart"/>
      <w:r w:rsidR="00CE3866" w:rsidRPr="00734AB6">
        <w:rPr>
          <w:rFonts w:asciiTheme="majorHAnsi" w:hAnsiTheme="majorHAnsi"/>
        </w:rPr>
        <w:t>A</w:t>
      </w:r>
      <w:r w:rsidR="00333EAE" w:rsidRPr="00734AB6">
        <w:rPr>
          <w:rFonts w:asciiTheme="majorHAnsi" w:hAnsiTheme="majorHAnsi"/>
        </w:rPr>
        <w:t>ntisaccades</w:t>
      </w:r>
      <w:proofErr w:type="spellEnd"/>
      <w:r w:rsidR="00333EAE" w:rsidRPr="00734AB6">
        <w:rPr>
          <w:rFonts w:asciiTheme="majorHAnsi" w:hAnsiTheme="majorHAnsi"/>
        </w:rPr>
        <w:t xml:space="preserve"> are voluntary eye movements in the oppos</w:t>
      </w:r>
      <w:r w:rsidR="003E584B" w:rsidRPr="00734AB6">
        <w:rPr>
          <w:rFonts w:asciiTheme="majorHAnsi" w:hAnsiTheme="majorHAnsi"/>
        </w:rPr>
        <w:t xml:space="preserve">ite direction to the stimulus. </w:t>
      </w:r>
      <w:r w:rsidR="00E73007" w:rsidRPr="00734AB6">
        <w:rPr>
          <w:rFonts w:asciiTheme="majorHAnsi" w:hAnsiTheme="majorHAnsi"/>
        </w:rPr>
        <w:t>In this task</w:t>
      </w:r>
      <w:r w:rsidR="00D81409" w:rsidRPr="00734AB6">
        <w:rPr>
          <w:rFonts w:asciiTheme="majorHAnsi" w:hAnsiTheme="majorHAnsi"/>
        </w:rPr>
        <w:t>,</w:t>
      </w:r>
      <w:r w:rsidR="00E73007" w:rsidRPr="00734AB6">
        <w:rPr>
          <w:rFonts w:asciiTheme="majorHAnsi" w:hAnsiTheme="majorHAnsi"/>
        </w:rPr>
        <w:t xml:space="preserve"> </w:t>
      </w:r>
      <w:r w:rsidR="00D81409" w:rsidRPr="00734AB6">
        <w:rPr>
          <w:rFonts w:asciiTheme="majorHAnsi" w:hAnsiTheme="majorHAnsi"/>
        </w:rPr>
        <w:t xml:space="preserve">the </w:t>
      </w:r>
      <w:r w:rsidR="00E73007" w:rsidRPr="00734AB6">
        <w:rPr>
          <w:rFonts w:asciiTheme="majorHAnsi" w:hAnsiTheme="majorHAnsi"/>
        </w:rPr>
        <w:t>participants focused on a centrally located small red circle and</w:t>
      </w:r>
      <w:r w:rsidR="00D81409" w:rsidRPr="00734AB6">
        <w:rPr>
          <w:rFonts w:asciiTheme="majorHAnsi" w:hAnsiTheme="majorHAnsi"/>
        </w:rPr>
        <w:t>,</w:t>
      </w:r>
      <w:r w:rsidR="00E73007" w:rsidRPr="00734AB6">
        <w:rPr>
          <w:rFonts w:asciiTheme="majorHAnsi" w:hAnsiTheme="majorHAnsi"/>
        </w:rPr>
        <w:t xml:space="preserve"> once this </w:t>
      </w:r>
      <w:r w:rsidR="00D81409" w:rsidRPr="00734AB6">
        <w:rPr>
          <w:rFonts w:asciiTheme="majorHAnsi" w:hAnsiTheme="majorHAnsi"/>
        </w:rPr>
        <w:t xml:space="preserve">had </w:t>
      </w:r>
      <w:r w:rsidR="00E73007" w:rsidRPr="00734AB6">
        <w:rPr>
          <w:rFonts w:asciiTheme="majorHAnsi" w:hAnsiTheme="majorHAnsi"/>
        </w:rPr>
        <w:t>disappeared</w:t>
      </w:r>
      <w:r w:rsidR="00D81409" w:rsidRPr="00734AB6">
        <w:rPr>
          <w:rFonts w:asciiTheme="majorHAnsi" w:hAnsiTheme="majorHAnsi"/>
        </w:rPr>
        <w:t>,</w:t>
      </w:r>
      <w:r w:rsidR="00E73007" w:rsidRPr="00734AB6">
        <w:rPr>
          <w:rFonts w:asciiTheme="majorHAnsi" w:hAnsiTheme="majorHAnsi"/>
        </w:rPr>
        <w:t xml:space="preserve"> a tone sound</w:t>
      </w:r>
      <w:r w:rsidR="00243B0D" w:rsidRPr="00734AB6">
        <w:rPr>
          <w:rFonts w:asciiTheme="majorHAnsi" w:hAnsiTheme="majorHAnsi"/>
        </w:rPr>
        <w:t>ed</w:t>
      </w:r>
      <w:r w:rsidR="00E73007" w:rsidRPr="00734AB6">
        <w:rPr>
          <w:rFonts w:asciiTheme="majorHAnsi" w:hAnsiTheme="majorHAnsi"/>
        </w:rPr>
        <w:t xml:space="preserve"> </w:t>
      </w:r>
      <w:r w:rsidR="00243B0D" w:rsidRPr="00734AB6">
        <w:rPr>
          <w:rFonts w:asciiTheme="majorHAnsi" w:hAnsiTheme="majorHAnsi"/>
        </w:rPr>
        <w:t xml:space="preserve">at the same time as </w:t>
      </w:r>
      <w:r w:rsidR="00E73007" w:rsidRPr="00734AB6">
        <w:rPr>
          <w:rFonts w:asciiTheme="majorHAnsi" w:hAnsiTheme="majorHAnsi"/>
        </w:rPr>
        <w:t xml:space="preserve">the circle reappearing at a location in the periphery. </w:t>
      </w:r>
      <w:r w:rsidR="006B1474" w:rsidRPr="00734AB6">
        <w:rPr>
          <w:rFonts w:asciiTheme="majorHAnsi" w:hAnsiTheme="majorHAnsi"/>
        </w:rPr>
        <w:t>The p</w:t>
      </w:r>
      <w:r w:rsidR="00E73007" w:rsidRPr="00734AB6">
        <w:rPr>
          <w:rFonts w:asciiTheme="majorHAnsi" w:hAnsiTheme="majorHAnsi"/>
        </w:rPr>
        <w:t>articipants were instructed to look in the exact opposi</w:t>
      </w:r>
      <w:r w:rsidR="003E584B" w:rsidRPr="00734AB6">
        <w:rPr>
          <w:rFonts w:asciiTheme="majorHAnsi" w:hAnsiTheme="majorHAnsi"/>
        </w:rPr>
        <w:t xml:space="preserve">te location. </w:t>
      </w:r>
      <w:r w:rsidR="00EC3DBB" w:rsidRPr="00734AB6">
        <w:rPr>
          <w:rFonts w:asciiTheme="majorHAnsi" w:hAnsiTheme="majorHAnsi"/>
        </w:rPr>
        <w:t xml:space="preserve">Increases in </w:t>
      </w:r>
      <w:proofErr w:type="spellStart"/>
      <w:r w:rsidR="00EC3DBB" w:rsidRPr="00734AB6">
        <w:rPr>
          <w:rFonts w:asciiTheme="majorHAnsi" w:hAnsiTheme="majorHAnsi"/>
        </w:rPr>
        <w:t>anti</w:t>
      </w:r>
      <w:r w:rsidR="00E73007" w:rsidRPr="00734AB6">
        <w:rPr>
          <w:rFonts w:asciiTheme="majorHAnsi" w:hAnsiTheme="majorHAnsi"/>
        </w:rPr>
        <w:t>saccade</w:t>
      </w:r>
      <w:proofErr w:type="spellEnd"/>
      <w:r w:rsidR="00E73007" w:rsidRPr="00734AB6">
        <w:rPr>
          <w:rFonts w:asciiTheme="majorHAnsi" w:hAnsiTheme="majorHAnsi"/>
        </w:rPr>
        <w:t xml:space="preserve"> errors are associated with </w:t>
      </w:r>
      <w:r w:rsidR="00BA6D5A" w:rsidRPr="00734AB6">
        <w:rPr>
          <w:rFonts w:asciiTheme="majorHAnsi" w:hAnsiTheme="majorHAnsi"/>
        </w:rPr>
        <w:t>DL</w:t>
      </w:r>
      <w:r w:rsidR="00F27EEC" w:rsidRPr="00734AB6">
        <w:rPr>
          <w:rFonts w:asciiTheme="majorHAnsi" w:hAnsiTheme="majorHAnsi"/>
        </w:rPr>
        <w:t>PFC</w:t>
      </w:r>
      <w:r w:rsidR="00E73007" w:rsidRPr="00734AB6">
        <w:rPr>
          <w:rFonts w:asciiTheme="majorHAnsi" w:hAnsiTheme="majorHAnsi"/>
        </w:rPr>
        <w:t xml:space="preserve"> damage</w:t>
      </w:r>
      <w:r w:rsidR="009C56C2" w:rsidRPr="00734AB6">
        <w:rPr>
          <w:rFonts w:asciiTheme="majorHAnsi" w:hAnsiTheme="majorHAnsi"/>
        </w:rPr>
        <w:t xml:space="preserve"> (</w:t>
      </w:r>
      <w:proofErr w:type="spellStart"/>
      <w:r w:rsidR="009C56C2" w:rsidRPr="00734AB6">
        <w:rPr>
          <w:rFonts w:asciiTheme="majorHAnsi" w:hAnsiTheme="majorHAnsi"/>
        </w:rPr>
        <w:t>Ploner</w:t>
      </w:r>
      <w:proofErr w:type="spellEnd"/>
      <w:r w:rsidR="009C56C2" w:rsidRPr="00734AB6">
        <w:rPr>
          <w:rFonts w:asciiTheme="majorHAnsi" w:hAnsiTheme="majorHAnsi"/>
        </w:rPr>
        <w:t xml:space="preserve">, </w:t>
      </w:r>
      <w:proofErr w:type="spellStart"/>
      <w:r w:rsidR="009C56C2" w:rsidRPr="00734AB6">
        <w:rPr>
          <w:rFonts w:asciiTheme="majorHAnsi" w:hAnsiTheme="majorHAnsi"/>
        </w:rPr>
        <w:t>Gaymard</w:t>
      </w:r>
      <w:proofErr w:type="spellEnd"/>
      <w:r w:rsidR="009C56C2" w:rsidRPr="00734AB6">
        <w:rPr>
          <w:rFonts w:asciiTheme="majorHAnsi" w:hAnsiTheme="majorHAnsi"/>
        </w:rPr>
        <w:t xml:space="preserve">, </w:t>
      </w:r>
      <w:proofErr w:type="spellStart"/>
      <w:r w:rsidR="009C56C2" w:rsidRPr="00734AB6">
        <w:rPr>
          <w:rFonts w:asciiTheme="majorHAnsi" w:hAnsiTheme="majorHAnsi"/>
        </w:rPr>
        <w:t>Rivaud-Péchoux</w:t>
      </w:r>
      <w:proofErr w:type="spellEnd"/>
      <w:r w:rsidR="009C56C2" w:rsidRPr="00734AB6">
        <w:rPr>
          <w:rFonts w:asciiTheme="majorHAnsi" w:hAnsiTheme="majorHAnsi"/>
        </w:rPr>
        <w:t xml:space="preserve"> &amp; Pierrot-</w:t>
      </w:r>
      <w:proofErr w:type="spellStart"/>
      <w:r w:rsidR="009C56C2" w:rsidRPr="00734AB6">
        <w:rPr>
          <w:rFonts w:asciiTheme="majorHAnsi" w:hAnsiTheme="majorHAnsi"/>
        </w:rPr>
        <w:t>Deseilligny</w:t>
      </w:r>
      <w:proofErr w:type="spellEnd"/>
      <w:r w:rsidR="009C56C2" w:rsidRPr="00734AB6">
        <w:rPr>
          <w:rFonts w:asciiTheme="majorHAnsi" w:hAnsiTheme="majorHAnsi"/>
        </w:rPr>
        <w:t xml:space="preserve">, 2005) </w:t>
      </w:r>
      <w:r w:rsidR="00E73007" w:rsidRPr="00734AB6">
        <w:rPr>
          <w:rFonts w:asciiTheme="majorHAnsi" w:hAnsiTheme="majorHAnsi"/>
        </w:rPr>
        <w:t xml:space="preserve">and schizophrenia </w:t>
      </w:r>
      <w:r w:rsidR="009C56C2" w:rsidRPr="00734AB6">
        <w:rPr>
          <w:rFonts w:asciiTheme="majorHAnsi" w:hAnsiTheme="majorHAnsi"/>
        </w:rPr>
        <w:t>(</w:t>
      </w:r>
      <w:r w:rsidR="00A64298" w:rsidRPr="00734AB6">
        <w:rPr>
          <w:rFonts w:asciiTheme="majorHAnsi" w:hAnsiTheme="majorHAnsi"/>
        </w:rPr>
        <w:t>Hutton &amp; Ettinger</w:t>
      </w:r>
      <w:r w:rsidR="006A09FC" w:rsidRPr="00734AB6">
        <w:rPr>
          <w:rFonts w:asciiTheme="majorHAnsi" w:hAnsiTheme="majorHAnsi"/>
        </w:rPr>
        <w:t>, 2006</w:t>
      </w:r>
      <w:r w:rsidR="009C56C2" w:rsidRPr="00734AB6">
        <w:rPr>
          <w:rFonts w:asciiTheme="majorHAnsi" w:hAnsiTheme="majorHAnsi"/>
        </w:rPr>
        <w:t>)</w:t>
      </w:r>
      <w:r w:rsidR="00EC3DBB" w:rsidRPr="00734AB6">
        <w:rPr>
          <w:rFonts w:asciiTheme="majorHAnsi" w:hAnsiTheme="majorHAnsi"/>
        </w:rPr>
        <w:t>.</w:t>
      </w:r>
      <w:r w:rsidR="009C56C2" w:rsidRPr="00734AB6">
        <w:rPr>
          <w:rFonts w:asciiTheme="majorHAnsi" w:hAnsiTheme="majorHAnsi"/>
        </w:rPr>
        <w:t xml:space="preserve"> </w:t>
      </w:r>
      <w:r w:rsidR="00E73007" w:rsidRPr="00734AB6">
        <w:rPr>
          <w:rFonts w:asciiTheme="majorHAnsi" w:hAnsiTheme="majorHAnsi"/>
        </w:rPr>
        <w:t>Neither drug</w:t>
      </w:r>
      <w:r w:rsidR="00EC3DBB" w:rsidRPr="00734AB6">
        <w:rPr>
          <w:rFonts w:asciiTheme="majorHAnsi" w:hAnsiTheme="majorHAnsi"/>
        </w:rPr>
        <w:t xml:space="preserve"> reduced </w:t>
      </w:r>
      <w:proofErr w:type="spellStart"/>
      <w:r w:rsidR="00EC3DBB" w:rsidRPr="00734AB6">
        <w:rPr>
          <w:rFonts w:asciiTheme="majorHAnsi" w:hAnsiTheme="majorHAnsi"/>
        </w:rPr>
        <w:t>anti</w:t>
      </w:r>
      <w:r w:rsidR="00E73007" w:rsidRPr="00734AB6">
        <w:rPr>
          <w:rFonts w:asciiTheme="majorHAnsi" w:hAnsiTheme="majorHAnsi"/>
        </w:rPr>
        <w:t>saccade</w:t>
      </w:r>
      <w:proofErr w:type="spellEnd"/>
      <w:r w:rsidR="00E73007" w:rsidRPr="00734AB6">
        <w:rPr>
          <w:rFonts w:asciiTheme="majorHAnsi" w:hAnsiTheme="majorHAnsi"/>
        </w:rPr>
        <w:t xml:space="preserve"> errors, but there was a correspo</w:t>
      </w:r>
      <w:r w:rsidR="00EC3DBB" w:rsidRPr="00734AB6">
        <w:rPr>
          <w:rFonts w:asciiTheme="majorHAnsi" w:hAnsiTheme="majorHAnsi"/>
        </w:rPr>
        <w:t xml:space="preserve">nding reduction in correct </w:t>
      </w:r>
      <w:proofErr w:type="spellStart"/>
      <w:r w:rsidR="00EC3DBB" w:rsidRPr="00734AB6">
        <w:rPr>
          <w:rFonts w:asciiTheme="majorHAnsi" w:hAnsiTheme="majorHAnsi"/>
        </w:rPr>
        <w:t>anti</w:t>
      </w:r>
      <w:r w:rsidR="003E584B" w:rsidRPr="00734AB6">
        <w:rPr>
          <w:rFonts w:asciiTheme="majorHAnsi" w:hAnsiTheme="majorHAnsi"/>
        </w:rPr>
        <w:t>saccade</w:t>
      </w:r>
      <w:proofErr w:type="spellEnd"/>
      <w:r w:rsidR="003E584B" w:rsidRPr="00734AB6">
        <w:rPr>
          <w:rFonts w:asciiTheme="majorHAnsi" w:hAnsiTheme="majorHAnsi"/>
        </w:rPr>
        <w:t xml:space="preserve"> latency. </w:t>
      </w:r>
      <w:r w:rsidR="00E73007" w:rsidRPr="00734AB6">
        <w:rPr>
          <w:rFonts w:asciiTheme="majorHAnsi" w:hAnsiTheme="majorHAnsi"/>
        </w:rPr>
        <w:t xml:space="preserve">Thus, although in comparison </w:t>
      </w:r>
      <w:r w:rsidR="00D81409" w:rsidRPr="00734AB6">
        <w:rPr>
          <w:rFonts w:asciiTheme="majorHAnsi" w:hAnsiTheme="majorHAnsi"/>
        </w:rPr>
        <w:t>with</w:t>
      </w:r>
      <w:r w:rsidR="00E73007" w:rsidRPr="00734AB6">
        <w:rPr>
          <w:rFonts w:asciiTheme="majorHAnsi" w:hAnsiTheme="majorHAnsi"/>
        </w:rPr>
        <w:t xml:space="preserve"> </w:t>
      </w:r>
      <w:r w:rsidR="00935EF1" w:rsidRPr="00734AB6">
        <w:rPr>
          <w:rFonts w:asciiTheme="majorHAnsi" w:hAnsiTheme="majorHAnsi"/>
        </w:rPr>
        <w:t>Turner et al.’s (2003) findings</w:t>
      </w:r>
      <w:r w:rsidR="00E73007" w:rsidRPr="00734AB6">
        <w:rPr>
          <w:rFonts w:asciiTheme="majorHAnsi" w:hAnsiTheme="majorHAnsi"/>
        </w:rPr>
        <w:t xml:space="preserve">, inhibition </w:t>
      </w:r>
      <w:r w:rsidR="00E11E9D" w:rsidRPr="00734AB6">
        <w:rPr>
          <w:rFonts w:asciiTheme="majorHAnsi" w:hAnsiTheme="majorHAnsi"/>
        </w:rPr>
        <w:t>did</w:t>
      </w:r>
      <w:r w:rsidR="00E73007" w:rsidRPr="00734AB6">
        <w:rPr>
          <w:rFonts w:asciiTheme="majorHAnsi" w:hAnsiTheme="majorHAnsi"/>
        </w:rPr>
        <w:t xml:space="preserve"> not </w:t>
      </w:r>
      <w:r w:rsidR="00E11E9D" w:rsidRPr="00734AB6">
        <w:rPr>
          <w:rFonts w:asciiTheme="majorHAnsi" w:hAnsiTheme="majorHAnsi"/>
        </w:rPr>
        <w:t xml:space="preserve">appear to be </w:t>
      </w:r>
      <w:r w:rsidR="00E73007" w:rsidRPr="00734AB6">
        <w:rPr>
          <w:rFonts w:asciiTheme="majorHAnsi" w:hAnsiTheme="majorHAnsi"/>
        </w:rPr>
        <w:t xml:space="preserve">improved, the </w:t>
      </w:r>
      <w:r w:rsidR="008B437C" w:rsidRPr="00734AB6">
        <w:rPr>
          <w:rFonts w:asciiTheme="majorHAnsi" w:hAnsiTheme="majorHAnsi"/>
        </w:rPr>
        <w:t xml:space="preserve">authors argued that </w:t>
      </w:r>
      <w:r w:rsidR="00E73007" w:rsidRPr="00734AB6">
        <w:rPr>
          <w:rFonts w:asciiTheme="majorHAnsi" w:hAnsiTheme="majorHAnsi"/>
        </w:rPr>
        <w:t>reduced response time for correct responses suggests</w:t>
      </w:r>
      <w:r w:rsidR="00AD467D" w:rsidRPr="00734AB6">
        <w:rPr>
          <w:rFonts w:asciiTheme="majorHAnsi" w:hAnsiTheme="majorHAnsi"/>
        </w:rPr>
        <w:t xml:space="preserve"> improved maintenance o</w:t>
      </w:r>
      <w:r w:rsidR="003E584B" w:rsidRPr="00734AB6">
        <w:rPr>
          <w:rFonts w:asciiTheme="majorHAnsi" w:hAnsiTheme="majorHAnsi"/>
        </w:rPr>
        <w:t xml:space="preserve">f goals within working memory. </w:t>
      </w:r>
      <w:r w:rsidR="00AD467D" w:rsidRPr="00734AB6">
        <w:rPr>
          <w:rFonts w:asciiTheme="majorHAnsi" w:hAnsiTheme="majorHAnsi"/>
        </w:rPr>
        <w:t>As the process of maintaining a goal requires inhibition of other processes, including pre</w:t>
      </w:r>
      <w:r w:rsidR="00E11E9D" w:rsidRPr="00734AB6">
        <w:rPr>
          <w:rFonts w:asciiTheme="majorHAnsi" w:hAnsiTheme="majorHAnsi"/>
        </w:rPr>
        <w:t>-</w:t>
      </w:r>
      <w:r w:rsidR="00AD467D" w:rsidRPr="00734AB6">
        <w:rPr>
          <w:rFonts w:asciiTheme="majorHAnsi" w:hAnsiTheme="majorHAnsi"/>
        </w:rPr>
        <w:t>potent</w:t>
      </w:r>
      <w:r w:rsidR="00E11E9D" w:rsidRPr="00734AB6">
        <w:rPr>
          <w:rFonts w:asciiTheme="majorHAnsi" w:hAnsiTheme="majorHAnsi"/>
        </w:rPr>
        <w:t xml:space="preserve"> responses, this would suggest that inhibition was improved.</w:t>
      </w:r>
      <w:r w:rsidR="00E73007" w:rsidRPr="00734AB6">
        <w:rPr>
          <w:rFonts w:asciiTheme="majorHAnsi" w:hAnsiTheme="majorHAnsi"/>
        </w:rPr>
        <w:t xml:space="preserve"> </w:t>
      </w:r>
      <w:r w:rsidR="00C94AE7" w:rsidRPr="00734AB6">
        <w:rPr>
          <w:rFonts w:asciiTheme="majorHAnsi" w:hAnsiTheme="majorHAnsi"/>
        </w:rPr>
        <w:t xml:space="preserve">As none of the participants reported any negative side effects, it would seem that modafinil was </w:t>
      </w:r>
      <w:r w:rsidR="00D92D30" w:rsidRPr="00734AB6">
        <w:rPr>
          <w:rFonts w:asciiTheme="majorHAnsi" w:hAnsiTheme="majorHAnsi"/>
        </w:rPr>
        <w:t xml:space="preserve">also </w:t>
      </w:r>
      <w:r w:rsidR="00C94AE7" w:rsidRPr="00734AB6">
        <w:rPr>
          <w:rFonts w:asciiTheme="majorHAnsi" w:hAnsiTheme="majorHAnsi"/>
        </w:rPr>
        <w:t>well tolerated</w:t>
      </w:r>
      <w:r w:rsidR="00D92D30" w:rsidRPr="00734AB6">
        <w:rPr>
          <w:rFonts w:asciiTheme="majorHAnsi" w:hAnsiTheme="majorHAnsi"/>
        </w:rPr>
        <w:t xml:space="preserve"> in this study</w:t>
      </w:r>
      <w:r w:rsidR="00C94AE7" w:rsidRPr="00734AB6">
        <w:rPr>
          <w:rFonts w:asciiTheme="majorHAnsi" w:hAnsiTheme="majorHAnsi"/>
        </w:rPr>
        <w:t>.</w:t>
      </w:r>
    </w:p>
    <w:p w14:paraId="5AE97126" w14:textId="72C696CC" w:rsidR="00E73007" w:rsidRPr="00734AB6" w:rsidRDefault="00E73007" w:rsidP="0099584D">
      <w:pPr>
        <w:spacing w:after="240" w:line="360" w:lineRule="auto"/>
        <w:ind w:firstLine="851"/>
        <w:rPr>
          <w:rFonts w:asciiTheme="majorHAnsi" w:hAnsiTheme="majorHAnsi"/>
        </w:rPr>
      </w:pPr>
      <w:r w:rsidRPr="00734AB6">
        <w:rPr>
          <w:rFonts w:asciiTheme="majorHAnsi" w:hAnsiTheme="majorHAnsi"/>
        </w:rPr>
        <w:t xml:space="preserve">Modafinil’s action on alertness was further investigated by Ikeda </w:t>
      </w:r>
      <w:r w:rsidR="001B71DF" w:rsidRPr="00734AB6">
        <w:rPr>
          <w:rFonts w:asciiTheme="majorHAnsi" w:hAnsiTheme="majorHAnsi"/>
        </w:rPr>
        <w:t>et al.</w:t>
      </w:r>
      <w:r w:rsidRPr="00734AB6">
        <w:rPr>
          <w:rFonts w:asciiTheme="majorHAnsi" w:hAnsiTheme="majorHAnsi"/>
        </w:rPr>
        <w:t xml:space="preserve"> (2017) who used a randomized placebo-controlled wit</w:t>
      </w:r>
      <w:r w:rsidR="00935EF1" w:rsidRPr="00734AB6">
        <w:rPr>
          <w:rFonts w:asciiTheme="majorHAnsi" w:hAnsiTheme="majorHAnsi"/>
        </w:rPr>
        <w:t>hin-</w:t>
      </w:r>
      <w:r w:rsidRPr="00734AB6">
        <w:rPr>
          <w:rFonts w:asciiTheme="majorHAnsi" w:hAnsiTheme="majorHAnsi"/>
        </w:rPr>
        <w:t>subjects cross-over desig</w:t>
      </w:r>
      <w:r w:rsidR="00432238" w:rsidRPr="00734AB6">
        <w:rPr>
          <w:rFonts w:asciiTheme="majorHAnsi" w:hAnsiTheme="majorHAnsi"/>
        </w:rPr>
        <w:t xml:space="preserve">n combined with fMRI analysis. </w:t>
      </w:r>
      <w:r w:rsidRPr="00734AB6">
        <w:rPr>
          <w:rFonts w:asciiTheme="majorHAnsi" w:hAnsiTheme="majorHAnsi"/>
        </w:rPr>
        <w:t xml:space="preserve">Twenty-three </w:t>
      </w:r>
      <w:r w:rsidR="00935EF1" w:rsidRPr="00734AB6">
        <w:rPr>
          <w:rFonts w:asciiTheme="majorHAnsi" w:hAnsiTheme="majorHAnsi"/>
        </w:rPr>
        <w:t>participants</w:t>
      </w:r>
      <w:r w:rsidRPr="00734AB6">
        <w:rPr>
          <w:rFonts w:asciiTheme="majorHAnsi" w:hAnsiTheme="majorHAnsi"/>
        </w:rPr>
        <w:t xml:space="preserve"> were analysed on two separate days, two weeks apar</w:t>
      </w:r>
      <w:r w:rsidR="00432238" w:rsidRPr="00734AB6">
        <w:rPr>
          <w:rFonts w:asciiTheme="majorHAnsi" w:hAnsiTheme="majorHAnsi"/>
        </w:rPr>
        <w:t xml:space="preserve">t to allow for drug clearance. </w:t>
      </w:r>
      <w:r w:rsidRPr="00734AB6">
        <w:rPr>
          <w:rFonts w:asciiTheme="majorHAnsi" w:hAnsiTheme="majorHAnsi"/>
        </w:rPr>
        <w:t xml:space="preserve">Each </w:t>
      </w:r>
      <w:r w:rsidR="0049788D" w:rsidRPr="00734AB6">
        <w:rPr>
          <w:rFonts w:asciiTheme="majorHAnsi" w:hAnsiTheme="majorHAnsi"/>
        </w:rPr>
        <w:t xml:space="preserve">participant </w:t>
      </w:r>
      <w:r w:rsidRPr="00734AB6">
        <w:rPr>
          <w:rFonts w:asciiTheme="majorHAnsi" w:hAnsiTheme="majorHAnsi"/>
        </w:rPr>
        <w:t xml:space="preserve">experienced </w:t>
      </w:r>
      <w:r w:rsidR="00930808" w:rsidRPr="00734AB6">
        <w:rPr>
          <w:rFonts w:asciiTheme="majorHAnsi" w:hAnsiTheme="majorHAnsi"/>
        </w:rPr>
        <w:t xml:space="preserve">200mg of </w:t>
      </w:r>
      <w:r w:rsidR="002F4FF9" w:rsidRPr="00734AB6">
        <w:rPr>
          <w:rFonts w:asciiTheme="majorHAnsi" w:hAnsiTheme="majorHAnsi" w:cs="Calibri"/>
        </w:rPr>
        <w:t>modafinil</w:t>
      </w:r>
      <w:r w:rsidRPr="00734AB6">
        <w:rPr>
          <w:rFonts w:asciiTheme="majorHAnsi" w:hAnsiTheme="majorHAnsi"/>
        </w:rPr>
        <w:t xml:space="preserve"> on one day and placebo on another and the fMRI scan occurred at peak plasma concentration of </w:t>
      </w:r>
      <w:r w:rsidR="002F4FF9" w:rsidRPr="00734AB6">
        <w:rPr>
          <w:rFonts w:asciiTheme="majorHAnsi" w:hAnsiTheme="majorHAnsi" w:cs="Calibri"/>
        </w:rPr>
        <w:t>modafinil</w:t>
      </w:r>
      <w:r w:rsidR="00432238" w:rsidRPr="00734AB6">
        <w:rPr>
          <w:rFonts w:asciiTheme="majorHAnsi" w:hAnsiTheme="majorHAnsi"/>
        </w:rPr>
        <w:t xml:space="preserve">. </w:t>
      </w:r>
      <w:r w:rsidR="009C64C4" w:rsidRPr="00734AB6">
        <w:rPr>
          <w:rFonts w:asciiTheme="majorHAnsi" w:hAnsiTheme="majorHAnsi"/>
        </w:rPr>
        <w:t>The</w:t>
      </w:r>
      <w:r w:rsidRPr="00734AB6">
        <w:rPr>
          <w:rFonts w:asciiTheme="majorHAnsi" w:hAnsiTheme="majorHAnsi"/>
        </w:rPr>
        <w:t xml:space="preserve"> </w:t>
      </w:r>
      <w:r w:rsidR="002B6098" w:rsidRPr="00734AB6">
        <w:rPr>
          <w:rFonts w:asciiTheme="majorHAnsi" w:hAnsiTheme="majorHAnsi"/>
        </w:rPr>
        <w:t>A</w:t>
      </w:r>
      <w:r w:rsidR="004E0ED7" w:rsidRPr="00734AB6">
        <w:rPr>
          <w:rFonts w:asciiTheme="majorHAnsi" w:hAnsiTheme="majorHAnsi"/>
        </w:rPr>
        <w:t xml:space="preserve">ttention </w:t>
      </w:r>
      <w:r w:rsidR="002B6098" w:rsidRPr="00734AB6">
        <w:rPr>
          <w:rFonts w:asciiTheme="majorHAnsi" w:hAnsiTheme="majorHAnsi"/>
        </w:rPr>
        <w:t>N</w:t>
      </w:r>
      <w:r w:rsidR="004E0ED7" w:rsidRPr="00734AB6">
        <w:rPr>
          <w:rFonts w:asciiTheme="majorHAnsi" w:hAnsiTheme="majorHAnsi"/>
        </w:rPr>
        <w:t xml:space="preserve">etwork </w:t>
      </w:r>
      <w:r w:rsidR="002B6098" w:rsidRPr="00734AB6">
        <w:rPr>
          <w:rFonts w:asciiTheme="majorHAnsi" w:hAnsiTheme="majorHAnsi"/>
        </w:rPr>
        <w:t>T</w:t>
      </w:r>
      <w:r w:rsidRPr="00734AB6">
        <w:rPr>
          <w:rFonts w:asciiTheme="majorHAnsi" w:hAnsiTheme="majorHAnsi"/>
        </w:rPr>
        <w:t xml:space="preserve">ask </w:t>
      </w:r>
      <w:r w:rsidR="00A674AF" w:rsidRPr="00734AB6">
        <w:rPr>
          <w:rFonts w:asciiTheme="majorHAnsi" w:hAnsiTheme="majorHAnsi"/>
        </w:rPr>
        <w:t xml:space="preserve">(Fan, </w:t>
      </w:r>
      <w:proofErr w:type="spellStart"/>
      <w:r w:rsidR="00A674AF" w:rsidRPr="00734AB6">
        <w:rPr>
          <w:rFonts w:asciiTheme="majorHAnsi" w:hAnsiTheme="majorHAnsi"/>
        </w:rPr>
        <w:t>M</w:t>
      </w:r>
      <w:r w:rsidR="009B74DE" w:rsidRPr="00734AB6">
        <w:rPr>
          <w:rFonts w:asciiTheme="majorHAnsi" w:hAnsiTheme="majorHAnsi"/>
        </w:rPr>
        <w:t>cCandliss</w:t>
      </w:r>
      <w:proofErr w:type="spellEnd"/>
      <w:r w:rsidR="009B74DE" w:rsidRPr="00734AB6">
        <w:rPr>
          <w:rFonts w:asciiTheme="majorHAnsi" w:hAnsiTheme="majorHAnsi"/>
        </w:rPr>
        <w:t xml:space="preserve">, Fossella, </w:t>
      </w:r>
      <w:proofErr w:type="spellStart"/>
      <w:r w:rsidR="009B74DE" w:rsidRPr="00734AB6">
        <w:rPr>
          <w:rFonts w:asciiTheme="majorHAnsi" w:hAnsiTheme="majorHAnsi"/>
        </w:rPr>
        <w:t>Flombaum</w:t>
      </w:r>
      <w:proofErr w:type="spellEnd"/>
      <w:r w:rsidR="009B74DE" w:rsidRPr="00734AB6">
        <w:rPr>
          <w:rFonts w:asciiTheme="majorHAnsi" w:hAnsiTheme="majorHAnsi"/>
        </w:rPr>
        <w:t xml:space="preserve"> &amp; Posner, 2005) </w:t>
      </w:r>
      <w:r w:rsidR="00D92D30" w:rsidRPr="00734AB6">
        <w:rPr>
          <w:rFonts w:asciiTheme="majorHAnsi" w:hAnsiTheme="majorHAnsi"/>
        </w:rPr>
        <w:t>was used</w:t>
      </w:r>
      <w:r w:rsidR="00D81409" w:rsidRPr="00734AB6">
        <w:rPr>
          <w:rFonts w:asciiTheme="majorHAnsi" w:hAnsiTheme="majorHAnsi"/>
        </w:rPr>
        <w:t>. This</w:t>
      </w:r>
      <w:r w:rsidR="00D92D30" w:rsidRPr="00734AB6">
        <w:rPr>
          <w:rFonts w:asciiTheme="majorHAnsi" w:hAnsiTheme="majorHAnsi"/>
        </w:rPr>
        <w:t xml:space="preserve"> </w:t>
      </w:r>
      <w:r w:rsidRPr="00734AB6">
        <w:rPr>
          <w:rFonts w:asciiTheme="majorHAnsi" w:hAnsiTheme="majorHAnsi"/>
        </w:rPr>
        <w:t>involved identifying, in quick response, whether a central arrow pointed to the left or right, with flanker arrows either pointing in the same direction or opposite direction. The intention of fMRI use was to identify the three theorized distinct neural networks of the attention system which have been identified as alerting, orienting and executive control</w:t>
      </w:r>
      <w:r w:rsidR="0002765A" w:rsidRPr="00734AB6">
        <w:rPr>
          <w:rFonts w:asciiTheme="majorHAnsi" w:hAnsiTheme="majorHAnsi"/>
        </w:rPr>
        <w:t xml:space="preserve"> (Mirsky, Anthony, Duncan, Ahern &amp; Kellam, 1991; Posner &amp; Petersen, 1990)</w:t>
      </w:r>
      <w:r w:rsidR="00432238" w:rsidRPr="00734AB6">
        <w:rPr>
          <w:rFonts w:asciiTheme="majorHAnsi" w:hAnsiTheme="majorHAnsi"/>
        </w:rPr>
        <w:t xml:space="preserve">. </w:t>
      </w:r>
      <w:r w:rsidR="00BC52F1" w:rsidRPr="00734AB6">
        <w:rPr>
          <w:rFonts w:asciiTheme="majorHAnsi" w:hAnsiTheme="majorHAnsi"/>
        </w:rPr>
        <w:t>Ikeda et al.’s</w:t>
      </w:r>
      <w:r w:rsidR="002477B2" w:rsidRPr="00734AB6">
        <w:rPr>
          <w:rFonts w:asciiTheme="majorHAnsi" w:hAnsiTheme="majorHAnsi"/>
        </w:rPr>
        <w:t xml:space="preserve"> results indicated that </w:t>
      </w:r>
      <w:r w:rsidR="002477B2" w:rsidRPr="00734AB6">
        <w:rPr>
          <w:rFonts w:asciiTheme="majorHAnsi" w:hAnsiTheme="majorHAnsi" w:cs="Calibri"/>
        </w:rPr>
        <w:t>modafinil</w:t>
      </w:r>
      <w:r w:rsidR="002477B2" w:rsidRPr="00734AB6">
        <w:rPr>
          <w:rFonts w:asciiTheme="majorHAnsi" w:hAnsiTheme="majorHAnsi"/>
        </w:rPr>
        <w:t xml:space="preserve"> significantly enhanced alerting in the attention neural networks and that, in the alerting neural network, activation in the left, middle and inferior occipital gyri are distinctly increased in association with enhanced alerting performance. Modafinil’s alerting effect was significant for all three attention networks and the authors attribute this specifically to its noradrenergic action.</w:t>
      </w:r>
      <w:r w:rsidR="00F34A3B" w:rsidRPr="00734AB6">
        <w:rPr>
          <w:rFonts w:asciiTheme="majorHAnsi" w:hAnsiTheme="majorHAnsi"/>
        </w:rPr>
        <w:t xml:space="preserve"> </w:t>
      </w:r>
      <w:r w:rsidRPr="00734AB6">
        <w:rPr>
          <w:rFonts w:asciiTheme="majorHAnsi" w:hAnsiTheme="majorHAnsi"/>
        </w:rPr>
        <w:t>Subjective ratings were measured for mood</w:t>
      </w:r>
      <w:r w:rsidR="00F94451" w:rsidRPr="00734AB6">
        <w:rPr>
          <w:rFonts w:asciiTheme="majorHAnsi" w:hAnsiTheme="majorHAnsi"/>
        </w:rPr>
        <w:t xml:space="preserve"> using the Profile of Mood States (POMS, McNair, </w:t>
      </w:r>
      <w:proofErr w:type="spellStart"/>
      <w:r w:rsidR="00F94451" w:rsidRPr="00734AB6">
        <w:rPr>
          <w:rFonts w:asciiTheme="majorHAnsi" w:hAnsiTheme="majorHAnsi"/>
        </w:rPr>
        <w:t>Lorr</w:t>
      </w:r>
      <w:proofErr w:type="spellEnd"/>
      <w:r w:rsidR="00F94451" w:rsidRPr="00734AB6">
        <w:rPr>
          <w:rFonts w:asciiTheme="majorHAnsi" w:hAnsiTheme="majorHAnsi"/>
        </w:rPr>
        <w:t xml:space="preserve"> &amp; </w:t>
      </w:r>
      <w:proofErr w:type="spellStart"/>
      <w:r w:rsidR="00F94451" w:rsidRPr="00734AB6">
        <w:rPr>
          <w:rFonts w:asciiTheme="majorHAnsi" w:hAnsiTheme="majorHAnsi"/>
        </w:rPr>
        <w:t>Droppleman</w:t>
      </w:r>
      <w:proofErr w:type="spellEnd"/>
      <w:r w:rsidR="00F94451" w:rsidRPr="00734AB6">
        <w:rPr>
          <w:rFonts w:asciiTheme="majorHAnsi" w:hAnsiTheme="majorHAnsi"/>
        </w:rPr>
        <w:t>, 1971)</w:t>
      </w:r>
      <w:r w:rsidR="00273A59" w:rsidRPr="00734AB6">
        <w:rPr>
          <w:rFonts w:asciiTheme="majorHAnsi" w:hAnsiTheme="majorHAnsi"/>
        </w:rPr>
        <w:t xml:space="preserve"> and the Visual Analogue Scale (VAS, Bond &amp; </w:t>
      </w:r>
      <w:proofErr w:type="spellStart"/>
      <w:r w:rsidR="00273A59" w:rsidRPr="00734AB6">
        <w:rPr>
          <w:rFonts w:asciiTheme="majorHAnsi" w:hAnsiTheme="majorHAnsi"/>
        </w:rPr>
        <w:t>Lader</w:t>
      </w:r>
      <w:proofErr w:type="spellEnd"/>
      <w:r w:rsidR="00273A59" w:rsidRPr="00734AB6">
        <w:rPr>
          <w:rFonts w:asciiTheme="majorHAnsi" w:hAnsiTheme="majorHAnsi"/>
        </w:rPr>
        <w:t>, 1974).</w:t>
      </w:r>
      <w:r w:rsidRPr="00734AB6">
        <w:rPr>
          <w:rFonts w:asciiTheme="majorHAnsi" w:hAnsiTheme="majorHAnsi"/>
        </w:rPr>
        <w:t xml:space="preserve"> </w:t>
      </w:r>
      <w:r w:rsidR="00273A59" w:rsidRPr="00734AB6">
        <w:rPr>
          <w:rFonts w:asciiTheme="majorHAnsi" w:hAnsiTheme="majorHAnsi"/>
        </w:rPr>
        <w:t xml:space="preserve">Subjective ratings </w:t>
      </w:r>
      <w:r w:rsidR="0096659E" w:rsidRPr="00734AB6">
        <w:rPr>
          <w:rFonts w:asciiTheme="majorHAnsi" w:hAnsiTheme="majorHAnsi"/>
        </w:rPr>
        <w:t xml:space="preserve">of </w:t>
      </w:r>
      <w:r w:rsidRPr="00734AB6">
        <w:rPr>
          <w:rFonts w:asciiTheme="majorHAnsi" w:hAnsiTheme="majorHAnsi"/>
        </w:rPr>
        <w:t>depression</w:t>
      </w:r>
      <w:r w:rsidR="00F94451" w:rsidRPr="00734AB6">
        <w:rPr>
          <w:rFonts w:asciiTheme="majorHAnsi" w:hAnsiTheme="majorHAnsi"/>
        </w:rPr>
        <w:t xml:space="preserve"> using the Hamilton Rating Scale for Depression (HAM-D, Hamilton, 1960)</w:t>
      </w:r>
      <w:r w:rsidR="00273A59" w:rsidRPr="00734AB6">
        <w:rPr>
          <w:rFonts w:asciiTheme="majorHAnsi" w:hAnsiTheme="majorHAnsi"/>
        </w:rPr>
        <w:t xml:space="preserve"> and </w:t>
      </w:r>
      <w:r w:rsidRPr="00734AB6">
        <w:rPr>
          <w:rFonts w:asciiTheme="majorHAnsi" w:hAnsiTheme="majorHAnsi"/>
        </w:rPr>
        <w:t xml:space="preserve">anxiety </w:t>
      </w:r>
      <w:r w:rsidR="00F94451" w:rsidRPr="00734AB6">
        <w:rPr>
          <w:rFonts w:asciiTheme="majorHAnsi" w:hAnsiTheme="majorHAnsi"/>
        </w:rPr>
        <w:t>using the Hamilton Rating Scale for Anxiety (HAM-A, Hamilton, 1959)</w:t>
      </w:r>
      <w:r w:rsidRPr="00734AB6">
        <w:rPr>
          <w:rFonts w:asciiTheme="majorHAnsi" w:hAnsiTheme="majorHAnsi"/>
        </w:rPr>
        <w:t xml:space="preserve"> </w:t>
      </w:r>
      <w:r w:rsidR="0096659E" w:rsidRPr="00734AB6">
        <w:rPr>
          <w:rFonts w:asciiTheme="majorHAnsi" w:hAnsiTheme="majorHAnsi"/>
        </w:rPr>
        <w:t xml:space="preserve">were also taken. </w:t>
      </w:r>
      <w:r w:rsidR="00F34A3B" w:rsidRPr="00734AB6">
        <w:rPr>
          <w:rFonts w:asciiTheme="majorHAnsi" w:hAnsiTheme="majorHAnsi"/>
        </w:rPr>
        <w:t xml:space="preserve">No significant effects were found </w:t>
      </w:r>
      <w:r w:rsidR="004B3FC0" w:rsidRPr="00734AB6">
        <w:rPr>
          <w:rFonts w:asciiTheme="majorHAnsi" w:hAnsiTheme="majorHAnsi"/>
        </w:rPr>
        <w:t xml:space="preserve">via the </w:t>
      </w:r>
      <w:r w:rsidR="004F0C62" w:rsidRPr="00734AB6">
        <w:rPr>
          <w:rFonts w:asciiTheme="majorHAnsi" w:hAnsiTheme="majorHAnsi"/>
        </w:rPr>
        <w:t xml:space="preserve">responses to the Hamilton Rating Scales </w:t>
      </w:r>
      <w:r w:rsidR="00F34A3B" w:rsidRPr="00734AB6">
        <w:rPr>
          <w:rFonts w:asciiTheme="majorHAnsi" w:hAnsiTheme="majorHAnsi"/>
        </w:rPr>
        <w:t xml:space="preserve">for </w:t>
      </w:r>
      <w:r w:rsidR="00D075FE" w:rsidRPr="00734AB6">
        <w:rPr>
          <w:rFonts w:asciiTheme="majorHAnsi" w:hAnsiTheme="majorHAnsi"/>
        </w:rPr>
        <w:t xml:space="preserve">depression or anxiety. Subjective mood </w:t>
      </w:r>
      <w:r w:rsidR="00D075FE" w:rsidRPr="00734AB6">
        <w:rPr>
          <w:rFonts w:asciiTheme="majorHAnsi" w:hAnsiTheme="majorHAnsi"/>
        </w:rPr>
        <w:lastRenderedPageBreak/>
        <w:t>ratings</w:t>
      </w:r>
      <w:r w:rsidR="004B3FC0" w:rsidRPr="00734AB6">
        <w:rPr>
          <w:rFonts w:asciiTheme="majorHAnsi" w:hAnsiTheme="majorHAnsi"/>
        </w:rPr>
        <w:t xml:space="preserve">, as measured by the POMS, </w:t>
      </w:r>
      <w:r w:rsidR="00D075FE" w:rsidRPr="00734AB6">
        <w:rPr>
          <w:rFonts w:asciiTheme="majorHAnsi" w:hAnsiTheme="majorHAnsi"/>
        </w:rPr>
        <w:t>demonstrated a significant increase in vigo</w:t>
      </w:r>
      <w:r w:rsidR="00D81409" w:rsidRPr="00734AB6">
        <w:rPr>
          <w:rFonts w:asciiTheme="majorHAnsi" w:hAnsiTheme="majorHAnsi"/>
        </w:rPr>
        <w:t>u</w:t>
      </w:r>
      <w:r w:rsidR="00D075FE" w:rsidRPr="00734AB6">
        <w:rPr>
          <w:rFonts w:asciiTheme="majorHAnsi" w:hAnsiTheme="majorHAnsi"/>
        </w:rPr>
        <w:t xml:space="preserve">r in the modafinil </w:t>
      </w:r>
      <w:r w:rsidR="00720C3D" w:rsidRPr="00734AB6">
        <w:rPr>
          <w:rFonts w:asciiTheme="majorHAnsi" w:hAnsiTheme="majorHAnsi"/>
        </w:rPr>
        <w:t xml:space="preserve">treatment group compared </w:t>
      </w:r>
      <w:r w:rsidR="00D81409" w:rsidRPr="00734AB6">
        <w:rPr>
          <w:rFonts w:asciiTheme="majorHAnsi" w:hAnsiTheme="majorHAnsi"/>
        </w:rPr>
        <w:t>with</w:t>
      </w:r>
      <w:r w:rsidR="00720C3D" w:rsidRPr="00734AB6">
        <w:rPr>
          <w:rFonts w:asciiTheme="majorHAnsi" w:hAnsiTheme="majorHAnsi"/>
        </w:rPr>
        <w:t xml:space="preserve"> controls and </w:t>
      </w:r>
      <w:r w:rsidR="0045072C" w:rsidRPr="00734AB6">
        <w:rPr>
          <w:rFonts w:asciiTheme="majorHAnsi" w:hAnsiTheme="majorHAnsi"/>
        </w:rPr>
        <w:t xml:space="preserve">results </w:t>
      </w:r>
      <w:r w:rsidR="00E1776E" w:rsidRPr="00734AB6">
        <w:rPr>
          <w:rFonts w:asciiTheme="majorHAnsi" w:hAnsiTheme="majorHAnsi"/>
        </w:rPr>
        <w:t xml:space="preserve">of subjective ratings </w:t>
      </w:r>
      <w:r w:rsidR="0045072C" w:rsidRPr="00734AB6">
        <w:rPr>
          <w:rFonts w:asciiTheme="majorHAnsi" w:hAnsiTheme="majorHAnsi"/>
        </w:rPr>
        <w:t xml:space="preserve">from the VAS </w:t>
      </w:r>
      <w:r w:rsidR="00E1776E" w:rsidRPr="00734AB6">
        <w:rPr>
          <w:rFonts w:asciiTheme="majorHAnsi" w:hAnsiTheme="majorHAnsi"/>
        </w:rPr>
        <w:t>were</w:t>
      </w:r>
      <w:r w:rsidR="00720C3D" w:rsidRPr="00734AB6">
        <w:rPr>
          <w:rFonts w:asciiTheme="majorHAnsi" w:hAnsiTheme="majorHAnsi"/>
        </w:rPr>
        <w:t xml:space="preserve"> that these </w:t>
      </w:r>
      <w:r w:rsidR="00F86BC9" w:rsidRPr="00734AB6">
        <w:rPr>
          <w:rFonts w:asciiTheme="majorHAnsi" w:hAnsiTheme="majorHAnsi"/>
        </w:rPr>
        <w:t>participants</w:t>
      </w:r>
      <w:r w:rsidR="00720C3D" w:rsidRPr="00734AB6">
        <w:rPr>
          <w:rFonts w:asciiTheme="majorHAnsi" w:hAnsiTheme="majorHAnsi"/>
        </w:rPr>
        <w:t xml:space="preserve"> were significantly more alert, energetic and quick witted</w:t>
      </w:r>
      <w:r w:rsidR="00D81409" w:rsidRPr="00734AB6">
        <w:rPr>
          <w:rFonts w:asciiTheme="majorHAnsi" w:hAnsiTheme="majorHAnsi"/>
        </w:rPr>
        <w:t>.</w:t>
      </w:r>
      <w:r w:rsidR="00720C3D" w:rsidRPr="00734AB6">
        <w:rPr>
          <w:rFonts w:asciiTheme="majorHAnsi" w:hAnsiTheme="majorHAnsi"/>
        </w:rPr>
        <w:t xml:space="preserve"> </w:t>
      </w:r>
      <w:r w:rsidR="004F0C62" w:rsidRPr="00734AB6">
        <w:rPr>
          <w:rFonts w:asciiTheme="majorHAnsi" w:hAnsiTheme="majorHAnsi"/>
        </w:rPr>
        <w:t xml:space="preserve">The authors concluded that modafinil enhances alerting and mood in the </w:t>
      </w:r>
      <w:r w:rsidR="004B3FC0" w:rsidRPr="00734AB6">
        <w:rPr>
          <w:rFonts w:asciiTheme="majorHAnsi" w:hAnsiTheme="majorHAnsi"/>
        </w:rPr>
        <w:t>attention networks.</w:t>
      </w:r>
    </w:p>
    <w:p w14:paraId="399CAABA" w14:textId="66BDE765" w:rsidR="00E73007" w:rsidRPr="00734AB6" w:rsidRDefault="00E73007" w:rsidP="0099584D">
      <w:pPr>
        <w:spacing w:after="240" w:line="360" w:lineRule="auto"/>
        <w:ind w:firstLine="851"/>
        <w:rPr>
          <w:rFonts w:asciiTheme="majorHAnsi" w:hAnsiTheme="majorHAnsi"/>
        </w:rPr>
      </w:pPr>
      <w:r w:rsidRPr="00734AB6">
        <w:rPr>
          <w:rFonts w:asciiTheme="majorHAnsi" w:hAnsiTheme="majorHAnsi"/>
        </w:rPr>
        <w:t xml:space="preserve">As seen with </w:t>
      </w:r>
      <w:r w:rsidR="00412DE4" w:rsidRPr="00734AB6">
        <w:rPr>
          <w:rFonts w:asciiTheme="majorHAnsi" w:hAnsiTheme="majorHAnsi" w:cs="Calibri"/>
        </w:rPr>
        <w:t>methylphenidate</w:t>
      </w:r>
      <w:r w:rsidRPr="00734AB6">
        <w:rPr>
          <w:rFonts w:asciiTheme="majorHAnsi" w:hAnsiTheme="majorHAnsi"/>
        </w:rPr>
        <w:t xml:space="preserve">, catecholamine modulation of the DMN was also demonstrated with </w:t>
      </w:r>
      <w:r w:rsidR="002F4FF9" w:rsidRPr="00734AB6">
        <w:rPr>
          <w:rFonts w:asciiTheme="majorHAnsi" w:hAnsiTheme="majorHAnsi" w:cs="Calibri"/>
        </w:rPr>
        <w:t>modafinil</w:t>
      </w:r>
      <w:r w:rsidRPr="00734AB6">
        <w:rPr>
          <w:rFonts w:asciiTheme="majorHAnsi" w:hAnsiTheme="majorHAnsi"/>
        </w:rPr>
        <w:t xml:space="preserve"> (</w:t>
      </w:r>
      <w:proofErr w:type="spellStart"/>
      <w:r w:rsidRPr="00734AB6">
        <w:rPr>
          <w:rFonts w:asciiTheme="majorHAnsi" w:hAnsiTheme="majorHAnsi"/>
        </w:rPr>
        <w:t>Minze</w:t>
      </w:r>
      <w:r w:rsidR="00432238" w:rsidRPr="00734AB6">
        <w:rPr>
          <w:rFonts w:asciiTheme="majorHAnsi" w:hAnsiTheme="majorHAnsi"/>
        </w:rPr>
        <w:t>nberg</w:t>
      </w:r>
      <w:proofErr w:type="spellEnd"/>
      <w:r w:rsidR="00432238" w:rsidRPr="00734AB6">
        <w:rPr>
          <w:rFonts w:asciiTheme="majorHAnsi" w:hAnsiTheme="majorHAnsi"/>
        </w:rPr>
        <w:t xml:space="preserve">, Yoon, &amp; Carter, 2011). </w:t>
      </w:r>
      <w:r w:rsidRPr="00734AB6">
        <w:rPr>
          <w:rFonts w:asciiTheme="majorHAnsi" w:hAnsiTheme="majorHAnsi"/>
        </w:rPr>
        <w:t>A double-blind, placebo-controlled crossover study involving 18 healthy, right-handed adults, using</w:t>
      </w:r>
      <w:r w:rsidR="00EC6B74" w:rsidRPr="00734AB6">
        <w:rPr>
          <w:rFonts w:asciiTheme="majorHAnsi" w:hAnsiTheme="majorHAnsi"/>
        </w:rPr>
        <w:t xml:space="preserve"> a</w:t>
      </w:r>
      <w:r w:rsidRPr="00734AB6">
        <w:rPr>
          <w:rFonts w:asciiTheme="majorHAnsi" w:hAnsiTheme="majorHAnsi"/>
        </w:rPr>
        <w:t xml:space="preserve"> 200mg dose of </w:t>
      </w:r>
      <w:r w:rsidR="002F4FF9" w:rsidRPr="00734AB6">
        <w:rPr>
          <w:rFonts w:asciiTheme="majorHAnsi" w:hAnsiTheme="majorHAnsi" w:cs="Calibri"/>
        </w:rPr>
        <w:t>modafinil</w:t>
      </w:r>
      <w:r w:rsidRPr="00734AB6">
        <w:rPr>
          <w:rFonts w:asciiTheme="majorHAnsi" w:hAnsiTheme="majorHAnsi"/>
        </w:rPr>
        <w:t xml:space="preserve"> or placebo took place over two days, separated by a three</w:t>
      </w:r>
      <w:r w:rsidR="008B75A9" w:rsidRPr="00734AB6">
        <w:rPr>
          <w:rFonts w:asciiTheme="majorHAnsi" w:hAnsiTheme="majorHAnsi"/>
        </w:rPr>
        <w:t>-</w:t>
      </w:r>
      <w:r w:rsidR="00432238" w:rsidRPr="00734AB6">
        <w:rPr>
          <w:rFonts w:asciiTheme="majorHAnsi" w:hAnsiTheme="majorHAnsi"/>
        </w:rPr>
        <w:t xml:space="preserve">day drug wash-out period. </w:t>
      </w:r>
      <w:r w:rsidRPr="00734AB6">
        <w:rPr>
          <w:rFonts w:asciiTheme="majorHAnsi" w:hAnsiTheme="majorHAnsi"/>
        </w:rPr>
        <w:t>Participants performed a sensorimotor task at peak plasma level of the drug during fMRI acquisition</w:t>
      </w:r>
      <w:r w:rsidR="00432238" w:rsidRPr="00734AB6">
        <w:rPr>
          <w:rFonts w:asciiTheme="majorHAnsi" w:hAnsiTheme="majorHAnsi"/>
        </w:rPr>
        <w:t xml:space="preserve">. </w:t>
      </w:r>
      <w:r w:rsidRPr="00734AB6">
        <w:rPr>
          <w:rFonts w:asciiTheme="majorHAnsi" w:hAnsiTheme="majorHAnsi"/>
        </w:rPr>
        <w:t xml:space="preserve">Participants were required to maintain focus on a central fixation cross and when a contrast-reversing checkerboard was presented they were required to press a </w:t>
      </w:r>
      <w:r w:rsidR="00432238" w:rsidRPr="00734AB6">
        <w:rPr>
          <w:rFonts w:asciiTheme="majorHAnsi" w:hAnsiTheme="majorHAnsi"/>
        </w:rPr>
        <w:t xml:space="preserve">button as quickly as possible. </w:t>
      </w:r>
      <w:r w:rsidRPr="00734AB6">
        <w:rPr>
          <w:rFonts w:asciiTheme="majorHAnsi" w:hAnsiTheme="majorHAnsi"/>
        </w:rPr>
        <w:t xml:space="preserve">Neuroimaging results demonstrated that </w:t>
      </w:r>
      <w:r w:rsidR="002F4FF9" w:rsidRPr="00734AB6">
        <w:rPr>
          <w:rFonts w:asciiTheme="majorHAnsi" w:hAnsiTheme="majorHAnsi" w:cs="Calibri"/>
        </w:rPr>
        <w:t>modafinil</w:t>
      </w:r>
      <w:r w:rsidRPr="00734AB6">
        <w:rPr>
          <w:rFonts w:asciiTheme="majorHAnsi" w:hAnsiTheme="majorHAnsi"/>
        </w:rPr>
        <w:t xml:space="preserve"> significantly augmented deactivation in all three major hubs of the DMN and enhanced processing speed.</w:t>
      </w:r>
    </w:p>
    <w:p w14:paraId="4A4E7770" w14:textId="21F5FFB1" w:rsidR="00E73007" w:rsidRPr="00734AB6" w:rsidRDefault="00E73007" w:rsidP="0099584D">
      <w:pPr>
        <w:spacing w:after="240" w:line="360" w:lineRule="auto"/>
        <w:ind w:firstLine="851"/>
        <w:rPr>
          <w:rFonts w:asciiTheme="majorHAnsi" w:hAnsiTheme="majorHAnsi"/>
        </w:rPr>
      </w:pPr>
      <w:r w:rsidRPr="00734AB6">
        <w:rPr>
          <w:rFonts w:asciiTheme="majorHAnsi" w:hAnsiTheme="majorHAnsi"/>
        </w:rPr>
        <w:t xml:space="preserve">Overall, </w:t>
      </w:r>
      <w:r w:rsidR="0049788D" w:rsidRPr="00734AB6">
        <w:rPr>
          <w:rFonts w:asciiTheme="majorHAnsi" w:hAnsiTheme="majorHAnsi"/>
        </w:rPr>
        <w:t xml:space="preserve">therefore, </w:t>
      </w:r>
      <w:r w:rsidRPr="00734AB6">
        <w:rPr>
          <w:rFonts w:asciiTheme="majorHAnsi" w:hAnsiTheme="majorHAnsi"/>
        </w:rPr>
        <w:t xml:space="preserve">it would appear that </w:t>
      </w:r>
      <w:r w:rsidR="002F4FF9" w:rsidRPr="00734AB6">
        <w:rPr>
          <w:rFonts w:asciiTheme="majorHAnsi" w:hAnsiTheme="majorHAnsi" w:cs="Calibri"/>
        </w:rPr>
        <w:t>modafinil</w:t>
      </w:r>
      <w:r w:rsidRPr="00734AB6">
        <w:rPr>
          <w:rFonts w:asciiTheme="majorHAnsi" w:hAnsiTheme="majorHAnsi"/>
        </w:rPr>
        <w:t xml:space="preserve"> is well tolerated and it is an effective treatment for narcolepsy, </w:t>
      </w:r>
      <w:r w:rsidR="00AD24F0" w:rsidRPr="00734AB6">
        <w:rPr>
          <w:rFonts w:asciiTheme="majorHAnsi" w:hAnsiTheme="majorHAnsi"/>
        </w:rPr>
        <w:t xml:space="preserve">obstructive sleep </w:t>
      </w:r>
      <w:proofErr w:type="spellStart"/>
      <w:r w:rsidR="00AD24F0" w:rsidRPr="00734AB6">
        <w:rPr>
          <w:rFonts w:asciiTheme="majorHAnsi" w:hAnsiTheme="majorHAnsi"/>
        </w:rPr>
        <w:t>apnea</w:t>
      </w:r>
      <w:proofErr w:type="spellEnd"/>
      <w:r w:rsidRPr="00734AB6">
        <w:rPr>
          <w:rFonts w:asciiTheme="majorHAnsi" w:hAnsiTheme="majorHAnsi"/>
        </w:rPr>
        <w:t xml:space="preserve"> and </w:t>
      </w:r>
      <w:r w:rsidR="00AD24F0" w:rsidRPr="00734AB6">
        <w:rPr>
          <w:rFonts w:asciiTheme="majorHAnsi" w:hAnsiTheme="majorHAnsi"/>
        </w:rPr>
        <w:t>shift-worker sleep disorder</w:t>
      </w:r>
      <w:r w:rsidR="00432238" w:rsidRPr="00734AB6">
        <w:rPr>
          <w:rFonts w:asciiTheme="majorHAnsi" w:hAnsiTheme="majorHAnsi"/>
        </w:rPr>
        <w:t xml:space="preserve"> due to its waking effect. </w:t>
      </w:r>
      <w:r w:rsidRPr="00734AB6">
        <w:rPr>
          <w:rFonts w:asciiTheme="majorHAnsi" w:hAnsiTheme="majorHAnsi"/>
        </w:rPr>
        <w:t xml:space="preserve">In healthy individuals, the studies reviewed here indicate that </w:t>
      </w:r>
      <w:r w:rsidR="002F4FF9" w:rsidRPr="00734AB6">
        <w:rPr>
          <w:rFonts w:asciiTheme="majorHAnsi" w:hAnsiTheme="majorHAnsi" w:cs="Calibri"/>
        </w:rPr>
        <w:t>modafinil</w:t>
      </w:r>
      <w:r w:rsidRPr="00734AB6">
        <w:rPr>
          <w:rFonts w:asciiTheme="majorHAnsi" w:hAnsiTheme="majorHAnsi"/>
        </w:rPr>
        <w:t xml:space="preserve"> significantly improves attention, alertness, executi</w:t>
      </w:r>
      <w:r w:rsidR="00432238" w:rsidRPr="00734AB6">
        <w:rPr>
          <w:rFonts w:asciiTheme="majorHAnsi" w:hAnsiTheme="majorHAnsi"/>
        </w:rPr>
        <w:t xml:space="preserve">ve control and working memory. </w:t>
      </w:r>
      <w:r w:rsidRPr="00734AB6">
        <w:rPr>
          <w:rFonts w:asciiTheme="majorHAnsi" w:hAnsiTheme="majorHAnsi"/>
        </w:rPr>
        <w:t xml:space="preserve">It </w:t>
      </w:r>
      <w:r w:rsidR="00D92D30" w:rsidRPr="00734AB6">
        <w:rPr>
          <w:rFonts w:asciiTheme="majorHAnsi" w:hAnsiTheme="majorHAnsi"/>
        </w:rPr>
        <w:t>also appears that</w:t>
      </w:r>
      <w:r w:rsidRPr="00734AB6">
        <w:rPr>
          <w:rFonts w:asciiTheme="majorHAnsi" w:hAnsiTheme="majorHAnsi"/>
        </w:rPr>
        <w:t xml:space="preserve"> </w:t>
      </w:r>
      <w:r w:rsidR="002F4FF9" w:rsidRPr="00734AB6">
        <w:rPr>
          <w:rFonts w:asciiTheme="majorHAnsi" w:hAnsiTheme="majorHAnsi" w:cs="Calibri"/>
        </w:rPr>
        <w:t>modafinil</w:t>
      </w:r>
      <w:r w:rsidR="00D92D30" w:rsidRPr="00734AB6">
        <w:rPr>
          <w:rFonts w:asciiTheme="majorHAnsi" w:hAnsiTheme="majorHAnsi"/>
        </w:rPr>
        <w:t xml:space="preserve"> improves mood </w:t>
      </w:r>
      <w:r w:rsidR="00D57756" w:rsidRPr="00734AB6">
        <w:rPr>
          <w:rFonts w:asciiTheme="majorHAnsi" w:hAnsiTheme="majorHAnsi"/>
        </w:rPr>
        <w:t>and</w:t>
      </w:r>
      <w:r w:rsidRPr="00734AB6">
        <w:rPr>
          <w:rFonts w:asciiTheme="majorHAnsi" w:hAnsiTheme="majorHAnsi"/>
        </w:rPr>
        <w:t xml:space="preserve"> as seen with </w:t>
      </w:r>
      <w:r w:rsidR="00412DE4" w:rsidRPr="00734AB6">
        <w:rPr>
          <w:rFonts w:asciiTheme="majorHAnsi" w:hAnsiTheme="majorHAnsi" w:cs="Calibri"/>
        </w:rPr>
        <w:t>methylphenidate</w:t>
      </w:r>
      <w:r w:rsidRPr="00734AB6">
        <w:rPr>
          <w:rFonts w:asciiTheme="majorHAnsi" w:hAnsiTheme="majorHAnsi"/>
        </w:rPr>
        <w:t xml:space="preserve">, </w:t>
      </w:r>
      <w:r w:rsidR="002F4FF9" w:rsidRPr="00734AB6">
        <w:rPr>
          <w:rFonts w:asciiTheme="majorHAnsi" w:hAnsiTheme="majorHAnsi" w:cs="Calibri"/>
        </w:rPr>
        <w:t>modafinil</w:t>
      </w:r>
      <w:r w:rsidRPr="00734AB6">
        <w:rPr>
          <w:rFonts w:asciiTheme="majorHAnsi" w:hAnsiTheme="majorHAnsi"/>
        </w:rPr>
        <w:t xml:space="preserve"> modulates the DMN</w:t>
      </w:r>
      <w:r w:rsidR="008B75A9" w:rsidRPr="00734AB6">
        <w:rPr>
          <w:rFonts w:asciiTheme="majorHAnsi" w:hAnsiTheme="majorHAnsi"/>
        </w:rPr>
        <w:t xml:space="preserve"> and</w:t>
      </w:r>
      <w:r w:rsidRPr="00734AB6">
        <w:rPr>
          <w:rFonts w:asciiTheme="majorHAnsi" w:hAnsiTheme="majorHAnsi"/>
        </w:rPr>
        <w:t xml:space="preserve"> facilitat</w:t>
      </w:r>
      <w:r w:rsidR="008B75A9" w:rsidRPr="00734AB6">
        <w:rPr>
          <w:rFonts w:asciiTheme="majorHAnsi" w:hAnsiTheme="majorHAnsi"/>
        </w:rPr>
        <w:t>es</w:t>
      </w:r>
      <w:r w:rsidRPr="00734AB6">
        <w:rPr>
          <w:rFonts w:asciiTheme="majorHAnsi" w:hAnsiTheme="majorHAnsi"/>
        </w:rPr>
        <w:t xml:space="preserve"> a</w:t>
      </w:r>
      <w:r w:rsidR="00432238" w:rsidRPr="00734AB6">
        <w:rPr>
          <w:rFonts w:asciiTheme="majorHAnsi" w:hAnsiTheme="majorHAnsi"/>
        </w:rPr>
        <w:t xml:space="preserve">ttention and processing speed. </w:t>
      </w:r>
      <w:r w:rsidRPr="00734AB6">
        <w:rPr>
          <w:rFonts w:asciiTheme="majorHAnsi" w:hAnsiTheme="majorHAnsi"/>
        </w:rPr>
        <w:t xml:space="preserve">Therefore, these studies indicate that </w:t>
      </w:r>
      <w:r w:rsidR="002F4FF9" w:rsidRPr="00734AB6">
        <w:rPr>
          <w:rFonts w:asciiTheme="majorHAnsi" w:hAnsiTheme="majorHAnsi" w:cs="Calibri"/>
        </w:rPr>
        <w:t>modafinil</w:t>
      </w:r>
      <w:r w:rsidRPr="00734AB6">
        <w:rPr>
          <w:rFonts w:asciiTheme="majorHAnsi" w:hAnsiTheme="majorHAnsi"/>
        </w:rPr>
        <w:t xml:space="preserve"> can be an effective cognitive enhancer in healthy individuals, although much stronger effects may be seen in individuals who are </w:t>
      </w:r>
      <w:r w:rsidR="00D57756" w:rsidRPr="00734AB6">
        <w:rPr>
          <w:rFonts w:asciiTheme="majorHAnsi" w:hAnsiTheme="majorHAnsi"/>
        </w:rPr>
        <w:t>sleep deprived</w:t>
      </w:r>
      <w:r w:rsidRPr="00734AB6">
        <w:rPr>
          <w:rFonts w:asciiTheme="majorHAnsi" w:hAnsiTheme="majorHAnsi"/>
        </w:rPr>
        <w:t xml:space="preserve">. </w:t>
      </w:r>
    </w:p>
    <w:p w14:paraId="52EEC05E" w14:textId="77777777" w:rsidR="00D134B1" w:rsidRPr="00734AB6" w:rsidRDefault="00D134B1" w:rsidP="0099584D">
      <w:pPr>
        <w:spacing w:after="240" w:line="360" w:lineRule="auto"/>
        <w:ind w:firstLine="851"/>
        <w:rPr>
          <w:rFonts w:asciiTheme="majorHAnsi" w:hAnsiTheme="majorHAnsi"/>
        </w:rPr>
      </w:pPr>
    </w:p>
    <w:p w14:paraId="41B18D22" w14:textId="1E09A451" w:rsidR="00F65CE0" w:rsidRPr="00734AB6" w:rsidRDefault="00507BB1" w:rsidP="00DA16AF">
      <w:pPr>
        <w:pStyle w:val="Heading2"/>
        <w:spacing w:after="240" w:line="360" w:lineRule="auto"/>
        <w:rPr>
          <w:rFonts w:cs="Calibri"/>
          <w:b/>
          <w:color w:val="auto"/>
          <w:sz w:val="22"/>
          <w:szCs w:val="22"/>
        </w:rPr>
      </w:pPr>
      <w:bookmarkStart w:id="11" w:name="_Toc48136323"/>
      <w:r w:rsidRPr="00734AB6">
        <w:rPr>
          <w:b/>
          <w:color w:val="auto"/>
          <w:sz w:val="22"/>
          <w:szCs w:val="22"/>
        </w:rPr>
        <w:t>1.5</w:t>
      </w:r>
      <w:r w:rsidR="007C08F6" w:rsidRPr="00734AB6">
        <w:rPr>
          <w:b/>
          <w:color w:val="auto"/>
          <w:sz w:val="22"/>
          <w:szCs w:val="22"/>
        </w:rPr>
        <w:tab/>
      </w:r>
      <w:r w:rsidR="00F65CE0" w:rsidRPr="00734AB6">
        <w:rPr>
          <w:b/>
          <w:color w:val="auto"/>
          <w:sz w:val="22"/>
          <w:szCs w:val="22"/>
        </w:rPr>
        <w:t xml:space="preserve">Individual differences and the effects of </w:t>
      </w:r>
      <w:r w:rsidR="00756F24" w:rsidRPr="00734AB6">
        <w:rPr>
          <w:b/>
          <w:color w:val="auto"/>
          <w:sz w:val="22"/>
          <w:szCs w:val="22"/>
        </w:rPr>
        <w:t>methylphenidate</w:t>
      </w:r>
      <w:r w:rsidR="00F65CE0" w:rsidRPr="00734AB6">
        <w:rPr>
          <w:b/>
          <w:color w:val="auto"/>
          <w:sz w:val="22"/>
          <w:szCs w:val="22"/>
        </w:rPr>
        <w:t xml:space="preserve"> and modafinil</w:t>
      </w:r>
      <w:bookmarkEnd w:id="11"/>
    </w:p>
    <w:p w14:paraId="538029FE" w14:textId="6F8165F8" w:rsidR="00F65CE0" w:rsidRPr="00734AB6" w:rsidRDefault="009F41E1"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Although the laboratory-based studies reviewed so far have shown the effects of both </w:t>
      </w:r>
      <w:r w:rsidR="00B65582" w:rsidRPr="00734AB6">
        <w:rPr>
          <w:rFonts w:asciiTheme="majorHAnsi" w:hAnsiTheme="majorHAnsi" w:cs="Calibri"/>
        </w:rPr>
        <w:t xml:space="preserve">methylphenidate and modafinil </w:t>
      </w:r>
      <w:r w:rsidRPr="00734AB6">
        <w:rPr>
          <w:rFonts w:asciiTheme="majorHAnsi" w:hAnsiTheme="majorHAnsi" w:cs="Calibri"/>
        </w:rPr>
        <w:t>in clinical samples and in healthy individuals, the</w:t>
      </w:r>
      <w:r w:rsidR="00087FBE" w:rsidRPr="00734AB6">
        <w:rPr>
          <w:rFonts w:asciiTheme="majorHAnsi" w:hAnsiTheme="majorHAnsi" w:cs="Calibri"/>
        </w:rPr>
        <w:t xml:space="preserve"> effects of these drugs will vary between </w:t>
      </w:r>
      <w:r w:rsidR="00CB3767" w:rsidRPr="00734AB6">
        <w:rPr>
          <w:rFonts w:asciiTheme="majorHAnsi" w:hAnsiTheme="majorHAnsi" w:cs="Calibri"/>
        </w:rPr>
        <w:t xml:space="preserve">users </w:t>
      </w:r>
      <w:r w:rsidR="00B65582" w:rsidRPr="00734AB6">
        <w:rPr>
          <w:rFonts w:asciiTheme="majorHAnsi" w:hAnsiTheme="majorHAnsi" w:cs="Calibri"/>
        </w:rPr>
        <w:t>due individual differences</w:t>
      </w:r>
      <w:r w:rsidR="00087FBE" w:rsidRPr="00734AB6">
        <w:rPr>
          <w:rFonts w:asciiTheme="majorHAnsi" w:hAnsiTheme="majorHAnsi" w:cs="Calibri"/>
        </w:rPr>
        <w:t xml:space="preserve">. </w:t>
      </w:r>
      <w:r w:rsidR="00805CCC" w:rsidRPr="00734AB6">
        <w:rPr>
          <w:rFonts w:asciiTheme="majorHAnsi" w:hAnsiTheme="majorHAnsi" w:cs="Calibri"/>
        </w:rPr>
        <w:t xml:space="preserve">For example, </w:t>
      </w:r>
      <w:r w:rsidR="00C81E73" w:rsidRPr="00734AB6">
        <w:rPr>
          <w:rFonts w:asciiTheme="majorHAnsi" w:hAnsiTheme="majorHAnsi" w:cs="Calibri"/>
        </w:rPr>
        <w:t>Finke et al. (2010)</w:t>
      </w:r>
      <w:r w:rsidR="00F65CE0" w:rsidRPr="00734AB6">
        <w:rPr>
          <w:rFonts w:asciiTheme="majorHAnsi" w:hAnsiTheme="majorHAnsi" w:cs="Calibri"/>
        </w:rPr>
        <w:t xml:space="preserve"> compar</w:t>
      </w:r>
      <w:r w:rsidR="00087FBE" w:rsidRPr="00734AB6">
        <w:rPr>
          <w:rFonts w:asciiTheme="majorHAnsi" w:hAnsiTheme="majorHAnsi" w:cs="Calibri"/>
        </w:rPr>
        <w:t>ed the</w:t>
      </w:r>
      <w:r w:rsidR="00F65CE0" w:rsidRPr="00734AB6">
        <w:rPr>
          <w:rFonts w:asciiTheme="majorHAnsi" w:hAnsiTheme="majorHAnsi" w:cs="Calibri"/>
        </w:rPr>
        <w:t xml:space="preserve"> effects of modafinil and </w:t>
      </w:r>
      <w:r w:rsidR="00412DE4" w:rsidRPr="00734AB6">
        <w:rPr>
          <w:rFonts w:asciiTheme="majorHAnsi" w:hAnsiTheme="majorHAnsi" w:cs="Calibri"/>
        </w:rPr>
        <w:t xml:space="preserve">methylphenidate </w:t>
      </w:r>
      <w:r w:rsidR="00F65CE0" w:rsidRPr="00734AB6">
        <w:rPr>
          <w:rFonts w:asciiTheme="majorHAnsi" w:hAnsiTheme="majorHAnsi" w:cs="Calibri"/>
        </w:rPr>
        <w:t>on perceptual processing speed and visual short-term memory</w:t>
      </w:r>
      <w:r w:rsidR="00087FBE" w:rsidRPr="00734AB6">
        <w:rPr>
          <w:rFonts w:asciiTheme="majorHAnsi" w:hAnsiTheme="majorHAnsi" w:cs="Calibri"/>
        </w:rPr>
        <w:t>. This study used a double-blind, randomized and counterbalanced crossover design, administering a single dose of either 400mg modafinil, 40mg methylphenidate</w:t>
      </w:r>
      <w:r w:rsidR="00432238" w:rsidRPr="00734AB6">
        <w:rPr>
          <w:rFonts w:asciiTheme="majorHAnsi" w:hAnsiTheme="majorHAnsi" w:cs="Calibri"/>
        </w:rPr>
        <w:t xml:space="preserve"> or placebo capsule. </w:t>
      </w:r>
      <w:r w:rsidR="00087FBE" w:rsidRPr="00734AB6">
        <w:rPr>
          <w:rFonts w:asciiTheme="majorHAnsi" w:hAnsiTheme="majorHAnsi" w:cs="Calibri"/>
        </w:rPr>
        <w:t xml:space="preserve">The level of dosage used for modafinil was high, at the maximum daily dose approved for narcolepsy (Provigil, n.d.), whereas the dose used for methylphenidate was just above the mid-range (10mg – 60mg) for a single dose (Ritalin, n.d.). </w:t>
      </w:r>
      <w:r w:rsidR="00882C06" w:rsidRPr="00734AB6">
        <w:rPr>
          <w:rFonts w:asciiTheme="majorHAnsi" w:hAnsiTheme="majorHAnsi" w:cs="Calibri"/>
        </w:rPr>
        <w:t>The results</w:t>
      </w:r>
      <w:r w:rsidR="00087FBE" w:rsidRPr="00734AB6">
        <w:rPr>
          <w:rFonts w:asciiTheme="majorHAnsi" w:hAnsiTheme="majorHAnsi" w:cs="Calibri"/>
        </w:rPr>
        <w:t xml:space="preserve"> </w:t>
      </w:r>
      <w:r w:rsidR="00882C06" w:rsidRPr="00734AB6">
        <w:rPr>
          <w:rFonts w:asciiTheme="majorHAnsi" w:hAnsiTheme="majorHAnsi" w:cs="Calibri"/>
        </w:rPr>
        <w:t xml:space="preserve">demonstrated </w:t>
      </w:r>
      <w:r w:rsidR="00F65CE0" w:rsidRPr="00734AB6">
        <w:rPr>
          <w:rFonts w:asciiTheme="majorHAnsi" w:hAnsiTheme="majorHAnsi" w:cs="Calibri"/>
        </w:rPr>
        <w:t xml:space="preserve">significant cognitive-enhancing effects for both drugs in relation to visual perceptual processing </w:t>
      </w:r>
      <w:r w:rsidR="00F65CE0" w:rsidRPr="00734AB6">
        <w:rPr>
          <w:rFonts w:asciiTheme="majorHAnsi" w:hAnsiTheme="majorHAnsi" w:cs="Calibri"/>
        </w:rPr>
        <w:lastRenderedPageBreak/>
        <w:t>speed, but only in low baseline performers</w:t>
      </w:r>
      <w:r w:rsidR="00C81E73" w:rsidRPr="00734AB6">
        <w:rPr>
          <w:rFonts w:asciiTheme="majorHAnsi" w:hAnsiTheme="majorHAnsi" w:cs="Calibri"/>
        </w:rPr>
        <w:t>. N</w:t>
      </w:r>
      <w:r w:rsidR="00F65CE0" w:rsidRPr="00734AB6">
        <w:rPr>
          <w:rFonts w:asciiTheme="majorHAnsi" w:hAnsiTheme="majorHAnsi" w:cs="Calibri"/>
        </w:rPr>
        <w:t>o effects were see</w:t>
      </w:r>
      <w:r w:rsidR="00432238" w:rsidRPr="00734AB6">
        <w:rPr>
          <w:rFonts w:asciiTheme="majorHAnsi" w:hAnsiTheme="majorHAnsi" w:cs="Calibri"/>
        </w:rPr>
        <w:t xml:space="preserve">n in high baseline performers. </w:t>
      </w:r>
      <w:r w:rsidR="00F65CE0" w:rsidRPr="00734AB6">
        <w:rPr>
          <w:rFonts w:asciiTheme="majorHAnsi" w:hAnsiTheme="majorHAnsi" w:cs="Calibri"/>
        </w:rPr>
        <w:t xml:space="preserve">Additionally, in relation to effects on visual short-term memory, only modafinil demonstrated </w:t>
      </w:r>
      <w:r w:rsidR="00C81E73" w:rsidRPr="00734AB6">
        <w:rPr>
          <w:rFonts w:asciiTheme="majorHAnsi" w:hAnsiTheme="majorHAnsi" w:cs="Calibri"/>
        </w:rPr>
        <w:t xml:space="preserve">cognitive </w:t>
      </w:r>
      <w:r w:rsidR="00F65CE0" w:rsidRPr="00734AB6">
        <w:rPr>
          <w:rFonts w:asciiTheme="majorHAnsi" w:hAnsiTheme="majorHAnsi" w:cs="Calibri"/>
        </w:rPr>
        <w:t xml:space="preserve">enhancement, and again, this was </w:t>
      </w:r>
      <w:r w:rsidR="00D92D30" w:rsidRPr="00734AB6">
        <w:rPr>
          <w:rFonts w:asciiTheme="majorHAnsi" w:hAnsiTheme="majorHAnsi" w:cs="Calibri"/>
        </w:rPr>
        <w:t xml:space="preserve">only in low baseline performers. </w:t>
      </w:r>
    </w:p>
    <w:p w14:paraId="4F820518" w14:textId="14B41239" w:rsidR="00F65CE0" w:rsidRPr="00734AB6" w:rsidRDefault="00F65CE0" w:rsidP="00EC6B74">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The findings of th</w:t>
      </w:r>
      <w:r w:rsidR="0032111B" w:rsidRPr="00734AB6">
        <w:rPr>
          <w:rFonts w:asciiTheme="majorHAnsi" w:hAnsiTheme="majorHAnsi" w:cs="Calibri"/>
        </w:rPr>
        <w:t>e Finke et al. (2010)</w:t>
      </w:r>
      <w:r w:rsidRPr="00734AB6">
        <w:rPr>
          <w:rFonts w:asciiTheme="majorHAnsi" w:hAnsiTheme="majorHAnsi" w:cs="Calibri"/>
        </w:rPr>
        <w:t xml:space="preserve"> study may have been influenced by the chosen dosage levels of both drugs and the consequential increase of dopamine rather than a true indication of thei</w:t>
      </w:r>
      <w:r w:rsidR="00432238" w:rsidRPr="00734AB6">
        <w:rPr>
          <w:rFonts w:asciiTheme="majorHAnsi" w:hAnsiTheme="majorHAnsi" w:cs="Calibri"/>
        </w:rPr>
        <w:t xml:space="preserve">r cognitive-enhancing effects. </w:t>
      </w:r>
      <w:r w:rsidRPr="00734AB6">
        <w:rPr>
          <w:rFonts w:asciiTheme="majorHAnsi" w:hAnsiTheme="majorHAnsi" w:cs="Calibri"/>
        </w:rPr>
        <w:t xml:space="preserve">This may be explained by the individual differences in response to </w:t>
      </w:r>
      <w:r w:rsidR="00412DE4" w:rsidRPr="00734AB6">
        <w:rPr>
          <w:rFonts w:asciiTheme="majorHAnsi" w:hAnsiTheme="majorHAnsi" w:cs="Calibri"/>
        </w:rPr>
        <w:t xml:space="preserve">methylphenidate </w:t>
      </w:r>
      <w:r w:rsidR="00432238" w:rsidRPr="00734AB6">
        <w:rPr>
          <w:rFonts w:asciiTheme="majorHAnsi" w:hAnsiTheme="majorHAnsi" w:cs="Calibri"/>
        </w:rPr>
        <w:t xml:space="preserve">by genotype. </w:t>
      </w:r>
      <w:proofErr w:type="spellStart"/>
      <w:r w:rsidRPr="00734AB6">
        <w:rPr>
          <w:rFonts w:asciiTheme="majorHAnsi" w:hAnsiTheme="majorHAnsi" w:cs="Calibri"/>
        </w:rPr>
        <w:t>Mattay</w:t>
      </w:r>
      <w:proofErr w:type="spellEnd"/>
      <w:r w:rsidRPr="00734AB6">
        <w:rPr>
          <w:rFonts w:asciiTheme="majorHAnsi" w:hAnsiTheme="majorHAnsi" w:cs="Calibri"/>
        </w:rPr>
        <w:t xml:space="preserve"> et al. (2000) examined the working memory performance of </w:t>
      </w:r>
      <w:r w:rsidR="0049788D" w:rsidRPr="00734AB6">
        <w:rPr>
          <w:rFonts w:asciiTheme="majorHAnsi" w:hAnsiTheme="majorHAnsi" w:cs="Calibri"/>
        </w:rPr>
        <w:t xml:space="preserve">participants </w:t>
      </w:r>
      <w:r w:rsidRPr="00734AB6">
        <w:rPr>
          <w:rFonts w:asciiTheme="majorHAnsi" w:hAnsiTheme="majorHAnsi" w:cs="Calibri"/>
        </w:rPr>
        <w:t>on placebo compared to performance on d-</w:t>
      </w:r>
      <w:r w:rsidR="005C6EFD" w:rsidRPr="00734AB6">
        <w:rPr>
          <w:rFonts w:asciiTheme="majorHAnsi" w:hAnsiTheme="majorHAnsi" w:cs="Calibri"/>
        </w:rPr>
        <w:t>amphetamine</w:t>
      </w:r>
      <w:r w:rsidRPr="00734AB6">
        <w:rPr>
          <w:rFonts w:asciiTheme="majorHAnsi" w:hAnsiTheme="majorHAnsi" w:cs="Calibri"/>
        </w:rPr>
        <w:t>, finding that those with low performance on placebo performed well on d-</w:t>
      </w:r>
      <w:r w:rsidR="005C6EFD" w:rsidRPr="00734AB6">
        <w:rPr>
          <w:rFonts w:asciiTheme="majorHAnsi" w:hAnsiTheme="majorHAnsi" w:cs="Calibri"/>
        </w:rPr>
        <w:t xml:space="preserve">amphetamine </w:t>
      </w:r>
      <w:r w:rsidRPr="00734AB6">
        <w:rPr>
          <w:rFonts w:asciiTheme="majorHAnsi" w:hAnsiTheme="majorHAnsi" w:cs="Calibri"/>
        </w:rPr>
        <w:t>and those who performed well on placebo were unaffected by d-</w:t>
      </w:r>
      <w:r w:rsidR="005C6EFD" w:rsidRPr="00734AB6">
        <w:rPr>
          <w:rFonts w:asciiTheme="majorHAnsi" w:hAnsiTheme="majorHAnsi" w:cs="Calibri"/>
        </w:rPr>
        <w:t xml:space="preserve"> amphetamine</w:t>
      </w:r>
      <w:r w:rsidR="00432238" w:rsidRPr="00734AB6">
        <w:rPr>
          <w:rFonts w:asciiTheme="majorHAnsi" w:hAnsiTheme="majorHAnsi" w:cs="Calibri"/>
        </w:rPr>
        <w:t xml:space="preserve">. </w:t>
      </w:r>
      <w:r w:rsidRPr="00734AB6">
        <w:rPr>
          <w:rFonts w:asciiTheme="majorHAnsi" w:hAnsiTheme="majorHAnsi" w:cs="Calibri"/>
        </w:rPr>
        <w:t>This led to a further study</w:t>
      </w:r>
      <w:r w:rsidR="0032111B" w:rsidRPr="00734AB6">
        <w:rPr>
          <w:rFonts w:asciiTheme="majorHAnsi" w:hAnsiTheme="majorHAnsi" w:cs="Calibri"/>
        </w:rPr>
        <w:t xml:space="preserve"> by </w:t>
      </w:r>
      <w:proofErr w:type="spellStart"/>
      <w:r w:rsidR="0032111B" w:rsidRPr="00734AB6">
        <w:rPr>
          <w:rFonts w:asciiTheme="majorHAnsi" w:hAnsiTheme="majorHAnsi" w:cs="Calibri"/>
        </w:rPr>
        <w:t>Mattay</w:t>
      </w:r>
      <w:proofErr w:type="spellEnd"/>
      <w:r w:rsidR="0032111B" w:rsidRPr="00734AB6">
        <w:rPr>
          <w:rFonts w:asciiTheme="majorHAnsi" w:hAnsiTheme="majorHAnsi" w:cs="Calibri"/>
        </w:rPr>
        <w:t xml:space="preserve"> et al. (2003)</w:t>
      </w:r>
      <w:r w:rsidRPr="00734AB6">
        <w:rPr>
          <w:rFonts w:asciiTheme="majorHAnsi" w:hAnsiTheme="majorHAnsi" w:cs="Calibri"/>
        </w:rPr>
        <w:t xml:space="preserve"> where </w:t>
      </w:r>
      <w:r w:rsidR="00935EF1" w:rsidRPr="00734AB6">
        <w:rPr>
          <w:rFonts w:asciiTheme="majorHAnsi" w:hAnsiTheme="majorHAnsi" w:cs="Calibri"/>
        </w:rPr>
        <w:t>participants</w:t>
      </w:r>
      <w:r w:rsidRPr="00734AB6">
        <w:rPr>
          <w:rFonts w:asciiTheme="majorHAnsi" w:hAnsiTheme="majorHAnsi" w:cs="Calibri"/>
        </w:rPr>
        <w:t xml:space="preserve"> were divided by a specific genotype, the catechol O-</w:t>
      </w:r>
      <w:r w:rsidR="00432238" w:rsidRPr="00734AB6">
        <w:rPr>
          <w:rFonts w:asciiTheme="majorHAnsi" w:hAnsiTheme="majorHAnsi" w:cs="Calibri"/>
        </w:rPr>
        <w:t xml:space="preserve">methyltransferase (COMT) gene. </w:t>
      </w:r>
      <w:r w:rsidRPr="00734AB6">
        <w:rPr>
          <w:rFonts w:asciiTheme="majorHAnsi" w:hAnsiTheme="majorHAnsi" w:cs="Calibri"/>
        </w:rPr>
        <w:t xml:space="preserve">This gene displays a polymorphism where the met allele </w:t>
      </w:r>
      <w:r w:rsidR="000B2F2F" w:rsidRPr="00734AB6">
        <w:rPr>
          <w:rFonts w:asciiTheme="majorHAnsi" w:hAnsiTheme="majorHAnsi" w:cs="Calibri"/>
        </w:rPr>
        <w:t>codes for a less active version of</w:t>
      </w:r>
      <w:r w:rsidRPr="00734AB6">
        <w:rPr>
          <w:rFonts w:asciiTheme="majorHAnsi" w:hAnsiTheme="majorHAnsi" w:cs="Calibri"/>
        </w:rPr>
        <w:t xml:space="preserve"> the enzyme and results in less breakdown of dopamine and thus higher concen</w:t>
      </w:r>
      <w:r w:rsidR="00432238" w:rsidRPr="00734AB6">
        <w:rPr>
          <w:rFonts w:asciiTheme="majorHAnsi" w:hAnsiTheme="majorHAnsi" w:cs="Calibri"/>
        </w:rPr>
        <w:t xml:space="preserve">trations of synaptic dopamine. </w:t>
      </w:r>
      <w:r w:rsidRPr="00734AB6">
        <w:rPr>
          <w:rFonts w:asciiTheme="majorHAnsi" w:hAnsiTheme="majorHAnsi" w:cs="Calibri"/>
        </w:rPr>
        <w:t xml:space="preserve">The </w:t>
      </w:r>
      <w:proofErr w:type="spellStart"/>
      <w:r w:rsidRPr="00734AB6">
        <w:rPr>
          <w:rFonts w:asciiTheme="majorHAnsi" w:hAnsiTheme="majorHAnsi" w:cs="Calibri"/>
        </w:rPr>
        <w:t>val</w:t>
      </w:r>
      <w:proofErr w:type="spellEnd"/>
      <w:r w:rsidRPr="00734AB6">
        <w:rPr>
          <w:rFonts w:asciiTheme="majorHAnsi" w:hAnsiTheme="majorHAnsi" w:cs="Calibri"/>
        </w:rPr>
        <w:t xml:space="preserve"> allele, on the other hand, is more active and results in greater breakdown of dopamine, resulting in lower concen</w:t>
      </w:r>
      <w:r w:rsidR="00432238" w:rsidRPr="00734AB6">
        <w:rPr>
          <w:rFonts w:asciiTheme="majorHAnsi" w:hAnsiTheme="majorHAnsi" w:cs="Calibri"/>
        </w:rPr>
        <w:t xml:space="preserve">trations of synaptic dopamine. </w:t>
      </w:r>
      <w:proofErr w:type="spellStart"/>
      <w:r w:rsidRPr="00734AB6">
        <w:rPr>
          <w:rFonts w:asciiTheme="majorHAnsi" w:hAnsiTheme="majorHAnsi" w:cs="Calibri"/>
        </w:rPr>
        <w:t>Mattay</w:t>
      </w:r>
      <w:proofErr w:type="spellEnd"/>
      <w:r w:rsidRPr="00734AB6">
        <w:rPr>
          <w:rFonts w:asciiTheme="majorHAnsi" w:hAnsiTheme="majorHAnsi" w:cs="Calibri"/>
        </w:rPr>
        <w:t xml:space="preserve"> et al. </w:t>
      </w:r>
      <w:r w:rsidR="00D57756" w:rsidRPr="00734AB6">
        <w:rPr>
          <w:rFonts w:asciiTheme="majorHAnsi" w:hAnsiTheme="majorHAnsi" w:cs="Calibri"/>
        </w:rPr>
        <w:t xml:space="preserve">(2003) </w:t>
      </w:r>
      <w:r w:rsidR="00C53C79" w:rsidRPr="00734AB6">
        <w:rPr>
          <w:rFonts w:asciiTheme="majorHAnsi" w:hAnsiTheme="majorHAnsi" w:cs="Calibri"/>
        </w:rPr>
        <w:t>found</w:t>
      </w:r>
      <w:r w:rsidRPr="00734AB6">
        <w:rPr>
          <w:rFonts w:asciiTheme="majorHAnsi" w:hAnsiTheme="majorHAnsi" w:cs="Calibri"/>
        </w:rPr>
        <w:t xml:space="preserve"> that the </w:t>
      </w:r>
      <w:r w:rsidR="00FE61CE" w:rsidRPr="00734AB6">
        <w:rPr>
          <w:rFonts w:asciiTheme="majorHAnsi" w:hAnsiTheme="majorHAnsi" w:cs="Calibri"/>
        </w:rPr>
        <w:t>participan</w:t>
      </w:r>
      <w:r w:rsidRPr="00734AB6">
        <w:rPr>
          <w:rFonts w:asciiTheme="majorHAnsi" w:hAnsiTheme="majorHAnsi" w:cs="Calibri"/>
        </w:rPr>
        <w:t xml:space="preserve">ts with the </w:t>
      </w:r>
      <w:proofErr w:type="spellStart"/>
      <w:r w:rsidRPr="00734AB6">
        <w:rPr>
          <w:rFonts w:asciiTheme="majorHAnsi" w:hAnsiTheme="majorHAnsi" w:cs="Calibri"/>
        </w:rPr>
        <w:t>val</w:t>
      </w:r>
      <w:proofErr w:type="spellEnd"/>
      <w:r w:rsidRPr="00734AB6">
        <w:rPr>
          <w:rFonts w:asciiTheme="majorHAnsi" w:hAnsiTheme="majorHAnsi" w:cs="Calibri"/>
        </w:rPr>
        <w:t xml:space="preserve"> allele demonstrated improved performance on working memory tasks on d-</w:t>
      </w:r>
      <w:r w:rsidR="005C6EFD" w:rsidRPr="00734AB6">
        <w:rPr>
          <w:rFonts w:asciiTheme="majorHAnsi" w:hAnsiTheme="majorHAnsi" w:cs="Calibri"/>
        </w:rPr>
        <w:t>amphetamine</w:t>
      </w:r>
      <w:r w:rsidRPr="00734AB6">
        <w:rPr>
          <w:rFonts w:asciiTheme="majorHAnsi" w:hAnsiTheme="majorHAnsi" w:cs="Calibri"/>
        </w:rPr>
        <w:t xml:space="preserve">, whereas </w:t>
      </w:r>
      <w:r w:rsidR="0049788D" w:rsidRPr="00734AB6">
        <w:rPr>
          <w:rFonts w:asciiTheme="majorHAnsi" w:hAnsiTheme="majorHAnsi" w:cs="Calibri"/>
        </w:rPr>
        <w:t xml:space="preserve">participants </w:t>
      </w:r>
      <w:r w:rsidRPr="00734AB6">
        <w:rPr>
          <w:rFonts w:asciiTheme="majorHAnsi" w:hAnsiTheme="majorHAnsi" w:cs="Calibri"/>
        </w:rPr>
        <w:t>with the met allele showed no difference in performance on these tasks with d-</w:t>
      </w:r>
      <w:r w:rsidR="005C6EFD" w:rsidRPr="00734AB6">
        <w:rPr>
          <w:rFonts w:asciiTheme="majorHAnsi" w:hAnsiTheme="majorHAnsi" w:cs="Calibri"/>
        </w:rPr>
        <w:t>amphetamine</w:t>
      </w:r>
      <w:r w:rsidR="00432238" w:rsidRPr="00734AB6">
        <w:rPr>
          <w:rFonts w:asciiTheme="majorHAnsi" w:hAnsiTheme="majorHAnsi" w:cs="Calibri"/>
        </w:rPr>
        <w:t xml:space="preserve">. </w:t>
      </w:r>
      <w:r w:rsidRPr="00734AB6">
        <w:rPr>
          <w:rFonts w:asciiTheme="majorHAnsi" w:hAnsiTheme="majorHAnsi" w:cs="Calibri"/>
        </w:rPr>
        <w:t xml:space="preserve">Therefore, individual genetic differences may influence performance on stimulant drugs such as </w:t>
      </w:r>
      <w:r w:rsidR="00412DE4" w:rsidRPr="00734AB6">
        <w:rPr>
          <w:rFonts w:asciiTheme="majorHAnsi" w:hAnsiTheme="majorHAnsi" w:cs="Calibri"/>
        </w:rPr>
        <w:t>methylphenidate</w:t>
      </w:r>
      <w:r w:rsidR="00432238" w:rsidRPr="00734AB6">
        <w:rPr>
          <w:rFonts w:asciiTheme="majorHAnsi" w:hAnsiTheme="majorHAnsi" w:cs="Calibri"/>
        </w:rPr>
        <w:t xml:space="preserve">. </w:t>
      </w:r>
      <w:r w:rsidRPr="00734AB6">
        <w:rPr>
          <w:rFonts w:asciiTheme="majorHAnsi" w:hAnsiTheme="majorHAnsi" w:cs="Calibri"/>
        </w:rPr>
        <w:t>This would suggest that optimal dosage levels are dependent upon the individual’s COM</w:t>
      </w:r>
      <w:r w:rsidR="00313FAC" w:rsidRPr="00734AB6">
        <w:rPr>
          <w:rFonts w:asciiTheme="majorHAnsi" w:hAnsiTheme="majorHAnsi" w:cs="Calibri"/>
        </w:rPr>
        <w:t>T allele</w:t>
      </w:r>
      <w:r w:rsidR="00C53C79" w:rsidRPr="00734AB6">
        <w:rPr>
          <w:rFonts w:asciiTheme="majorHAnsi" w:hAnsiTheme="majorHAnsi" w:cs="Calibri"/>
        </w:rPr>
        <w:t xml:space="preserve">. Thus, </w:t>
      </w:r>
      <w:r w:rsidR="00313FAC" w:rsidRPr="00734AB6">
        <w:rPr>
          <w:rFonts w:asciiTheme="majorHAnsi" w:hAnsiTheme="majorHAnsi" w:cs="Calibri"/>
        </w:rPr>
        <w:t>Finke et al.’s</w:t>
      </w:r>
      <w:r w:rsidRPr="00734AB6">
        <w:rPr>
          <w:rFonts w:asciiTheme="majorHAnsi" w:hAnsiTheme="majorHAnsi" w:cs="Calibri"/>
        </w:rPr>
        <w:t xml:space="preserve"> findings in relation to high performers demonstrating no cognitive-enhancing effec</w:t>
      </w:r>
      <w:r w:rsidR="00432238" w:rsidRPr="00734AB6">
        <w:rPr>
          <w:rFonts w:asciiTheme="majorHAnsi" w:hAnsiTheme="majorHAnsi" w:cs="Calibri"/>
        </w:rPr>
        <w:t>ts may be down to dosage level.</w:t>
      </w:r>
      <w:r w:rsidRPr="00734AB6">
        <w:rPr>
          <w:rFonts w:asciiTheme="majorHAnsi" w:hAnsiTheme="majorHAnsi" w:cs="Calibri"/>
        </w:rPr>
        <w:t xml:space="preserve"> If cognitive-enhancing effects are seen in low baseline performers rather than high baseline performers, this would also suggest that perhaps those who take these drugs without prescription may have undiagnosed reasons for doing so and may have low</w:t>
      </w:r>
      <w:r w:rsidR="003B61F2" w:rsidRPr="00734AB6">
        <w:rPr>
          <w:rFonts w:asciiTheme="majorHAnsi" w:hAnsiTheme="majorHAnsi" w:cs="Calibri"/>
        </w:rPr>
        <w:t>er</w:t>
      </w:r>
      <w:r w:rsidRPr="00734AB6">
        <w:rPr>
          <w:rFonts w:asciiTheme="majorHAnsi" w:hAnsiTheme="majorHAnsi" w:cs="Calibri"/>
        </w:rPr>
        <w:t xml:space="preserve"> DA synthesis capacity.</w:t>
      </w:r>
    </w:p>
    <w:p w14:paraId="09EDB2AC" w14:textId="0A6ED11E" w:rsidR="00F65CE0" w:rsidRPr="00734AB6" w:rsidRDefault="00F65CE0"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Th</w:t>
      </w:r>
      <w:r w:rsidR="0032111B" w:rsidRPr="00734AB6">
        <w:rPr>
          <w:rFonts w:asciiTheme="majorHAnsi" w:hAnsiTheme="majorHAnsi" w:cs="Calibri"/>
        </w:rPr>
        <w:t>e latter point</w:t>
      </w:r>
      <w:r w:rsidRPr="00734AB6">
        <w:rPr>
          <w:rFonts w:asciiTheme="majorHAnsi" w:hAnsiTheme="majorHAnsi" w:cs="Calibri"/>
        </w:rPr>
        <w:t xml:space="preserve"> may also explain the findings of a systematic review of the neuro</w:t>
      </w:r>
      <w:r w:rsidR="0049788D" w:rsidRPr="00734AB6">
        <w:rPr>
          <w:rFonts w:asciiTheme="majorHAnsi" w:hAnsiTheme="majorHAnsi" w:cs="Calibri"/>
        </w:rPr>
        <w:t>-</w:t>
      </w:r>
      <w:r w:rsidRPr="00734AB6">
        <w:rPr>
          <w:rFonts w:asciiTheme="majorHAnsi" w:hAnsiTheme="majorHAnsi" w:cs="Calibri"/>
        </w:rPr>
        <w:t xml:space="preserve">enhancing effects of modafinil and </w:t>
      </w:r>
      <w:r w:rsidR="00412DE4" w:rsidRPr="00734AB6">
        <w:rPr>
          <w:rFonts w:asciiTheme="majorHAnsi" w:hAnsiTheme="majorHAnsi" w:cs="Calibri"/>
        </w:rPr>
        <w:t xml:space="preserve">methylphenidate </w:t>
      </w:r>
      <w:r w:rsidRPr="00734AB6">
        <w:rPr>
          <w:rFonts w:asciiTheme="majorHAnsi" w:hAnsiTheme="majorHAnsi" w:cs="Calibri"/>
        </w:rPr>
        <w:t xml:space="preserve">in healthy </w:t>
      </w:r>
      <w:r w:rsidR="00935EF1" w:rsidRPr="00734AB6">
        <w:rPr>
          <w:rFonts w:asciiTheme="majorHAnsi" w:hAnsiTheme="majorHAnsi" w:cs="Calibri"/>
        </w:rPr>
        <w:t>participants</w:t>
      </w:r>
      <w:r w:rsidRPr="00734AB6">
        <w:rPr>
          <w:rFonts w:asciiTheme="majorHAnsi" w:hAnsiTheme="majorHAnsi" w:cs="Calibri"/>
        </w:rPr>
        <w:t xml:space="preserve"> (</w:t>
      </w:r>
      <w:proofErr w:type="spellStart"/>
      <w:r w:rsidRPr="00734AB6">
        <w:rPr>
          <w:rFonts w:asciiTheme="majorHAnsi" w:hAnsiTheme="majorHAnsi" w:cs="Calibri"/>
        </w:rPr>
        <w:t>Repantis</w:t>
      </w:r>
      <w:proofErr w:type="spellEnd"/>
      <w:r w:rsidR="00C55138" w:rsidRPr="00734AB6">
        <w:rPr>
          <w:rFonts w:asciiTheme="majorHAnsi" w:hAnsiTheme="majorHAnsi" w:cs="Calibri"/>
        </w:rPr>
        <w:t xml:space="preserve"> et al.,</w:t>
      </w:r>
      <w:r w:rsidR="002C485E" w:rsidRPr="00734AB6">
        <w:rPr>
          <w:rFonts w:asciiTheme="majorHAnsi" w:hAnsiTheme="majorHAnsi" w:cs="Calibri"/>
        </w:rPr>
        <w:t xml:space="preserve"> 2010). </w:t>
      </w:r>
      <w:r w:rsidRPr="00734AB6">
        <w:rPr>
          <w:rFonts w:asciiTheme="majorHAnsi" w:hAnsiTheme="majorHAnsi" w:cs="Calibri"/>
        </w:rPr>
        <w:t xml:space="preserve">The results of their analyses found only one significant positive effect for </w:t>
      </w:r>
      <w:r w:rsidR="00412DE4" w:rsidRPr="00734AB6">
        <w:rPr>
          <w:rFonts w:asciiTheme="majorHAnsi" w:hAnsiTheme="majorHAnsi" w:cs="Calibri"/>
        </w:rPr>
        <w:t xml:space="preserve">methylphenidate </w:t>
      </w:r>
      <w:r w:rsidRPr="00734AB6">
        <w:rPr>
          <w:rFonts w:asciiTheme="majorHAnsi" w:hAnsiTheme="majorHAnsi" w:cs="Calibri"/>
        </w:rPr>
        <w:t>(single dose admin</w:t>
      </w:r>
      <w:r w:rsidR="002C485E" w:rsidRPr="00734AB6">
        <w:rPr>
          <w:rFonts w:asciiTheme="majorHAnsi" w:hAnsiTheme="majorHAnsi" w:cs="Calibri"/>
        </w:rPr>
        <w:t>istration), which was</w:t>
      </w:r>
      <w:r w:rsidR="00B16F46" w:rsidRPr="00734AB6">
        <w:rPr>
          <w:rFonts w:asciiTheme="majorHAnsi" w:hAnsiTheme="majorHAnsi" w:cs="Calibri"/>
        </w:rPr>
        <w:t xml:space="preserve"> on</w:t>
      </w:r>
      <w:r w:rsidR="002C7B40" w:rsidRPr="00734AB6">
        <w:rPr>
          <w:rFonts w:asciiTheme="majorHAnsi" w:hAnsiTheme="majorHAnsi" w:cs="Calibri"/>
        </w:rPr>
        <w:t xml:space="preserve"> </w:t>
      </w:r>
      <w:r w:rsidR="00F15B24" w:rsidRPr="00734AB6">
        <w:rPr>
          <w:rFonts w:asciiTheme="majorHAnsi" w:hAnsiTheme="majorHAnsi" w:cs="Calibri"/>
        </w:rPr>
        <w:t>memory, particularly</w:t>
      </w:r>
      <w:r w:rsidR="002C7B40" w:rsidRPr="00734AB6">
        <w:rPr>
          <w:rFonts w:asciiTheme="majorHAnsi" w:hAnsiTheme="majorHAnsi" w:cs="Calibri"/>
        </w:rPr>
        <w:t xml:space="preserve"> spatial working mem</w:t>
      </w:r>
      <w:r w:rsidR="002C485E" w:rsidRPr="00734AB6">
        <w:rPr>
          <w:rFonts w:asciiTheme="majorHAnsi" w:hAnsiTheme="majorHAnsi" w:cs="Calibri"/>
        </w:rPr>
        <w:t>ory</w:t>
      </w:r>
      <w:r w:rsidR="00B16F46" w:rsidRPr="00734AB6">
        <w:rPr>
          <w:rFonts w:asciiTheme="majorHAnsi" w:hAnsiTheme="majorHAnsi" w:cs="Calibri"/>
        </w:rPr>
        <w:t xml:space="preserve"> performance</w:t>
      </w:r>
      <w:r w:rsidR="002C485E" w:rsidRPr="00734AB6">
        <w:rPr>
          <w:rFonts w:asciiTheme="majorHAnsi" w:hAnsiTheme="majorHAnsi" w:cs="Calibri"/>
        </w:rPr>
        <w:t xml:space="preserve">. </w:t>
      </w:r>
      <w:r w:rsidR="00805CCC" w:rsidRPr="00734AB6">
        <w:rPr>
          <w:rFonts w:asciiTheme="majorHAnsi" w:hAnsiTheme="majorHAnsi" w:cs="Calibri"/>
        </w:rPr>
        <w:t xml:space="preserve">In contrast, </w:t>
      </w:r>
      <w:r w:rsidRPr="00734AB6">
        <w:rPr>
          <w:rFonts w:asciiTheme="majorHAnsi" w:hAnsiTheme="majorHAnsi" w:cs="Calibri"/>
        </w:rPr>
        <w:t>their findings</w:t>
      </w:r>
      <w:r w:rsidR="00D92D30" w:rsidRPr="00734AB6">
        <w:rPr>
          <w:rFonts w:asciiTheme="majorHAnsi" w:hAnsiTheme="majorHAnsi" w:cs="Calibri"/>
        </w:rPr>
        <w:t>,</w:t>
      </w:r>
      <w:r w:rsidRPr="00734AB6">
        <w:rPr>
          <w:rFonts w:asciiTheme="majorHAnsi" w:hAnsiTheme="majorHAnsi" w:cs="Calibri"/>
        </w:rPr>
        <w:t xml:space="preserve"> in relation to modafinil</w:t>
      </w:r>
      <w:r w:rsidR="00D92D30" w:rsidRPr="00734AB6">
        <w:rPr>
          <w:rFonts w:asciiTheme="majorHAnsi" w:hAnsiTheme="majorHAnsi" w:cs="Calibri"/>
        </w:rPr>
        <w:t>,</w:t>
      </w:r>
      <w:r w:rsidRPr="00734AB6">
        <w:rPr>
          <w:rFonts w:asciiTheme="majorHAnsi" w:hAnsiTheme="majorHAnsi" w:cs="Calibri"/>
        </w:rPr>
        <w:t xml:space="preserve"> revealed only a moderate positive effect for attention in</w:t>
      </w:r>
      <w:r w:rsidR="002C485E" w:rsidRPr="00734AB6">
        <w:rPr>
          <w:rFonts w:asciiTheme="majorHAnsi" w:hAnsiTheme="majorHAnsi" w:cs="Calibri"/>
        </w:rPr>
        <w:t xml:space="preserve"> a single dose administration. </w:t>
      </w:r>
      <w:r w:rsidRPr="00734AB6">
        <w:rPr>
          <w:rFonts w:asciiTheme="majorHAnsi" w:hAnsiTheme="majorHAnsi" w:cs="Calibri"/>
        </w:rPr>
        <w:t>Another factor to note</w:t>
      </w:r>
      <w:r w:rsidR="0019281C" w:rsidRPr="00734AB6">
        <w:rPr>
          <w:rFonts w:asciiTheme="majorHAnsi" w:hAnsiTheme="majorHAnsi" w:cs="Calibri"/>
        </w:rPr>
        <w:t>, raised by</w:t>
      </w:r>
      <w:r w:rsidRPr="00734AB6">
        <w:rPr>
          <w:rFonts w:asciiTheme="majorHAnsi" w:hAnsiTheme="majorHAnsi" w:cs="Calibri"/>
        </w:rPr>
        <w:t xml:space="preserve"> </w:t>
      </w:r>
      <w:proofErr w:type="spellStart"/>
      <w:r w:rsidRPr="00734AB6">
        <w:rPr>
          <w:rFonts w:asciiTheme="majorHAnsi" w:hAnsiTheme="majorHAnsi" w:cs="Calibri"/>
        </w:rPr>
        <w:t>Battleday</w:t>
      </w:r>
      <w:proofErr w:type="spellEnd"/>
      <w:r w:rsidRPr="00734AB6">
        <w:rPr>
          <w:rFonts w:asciiTheme="majorHAnsi" w:hAnsiTheme="majorHAnsi" w:cs="Calibri"/>
        </w:rPr>
        <w:t xml:space="preserve"> and </w:t>
      </w:r>
      <w:proofErr w:type="spellStart"/>
      <w:r w:rsidRPr="00734AB6">
        <w:rPr>
          <w:rFonts w:asciiTheme="majorHAnsi" w:hAnsiTheme="majorHAnsi" w:cs="Calibri"/>
        </w:rPr>
        <w:t>Brem</w:t>
      </w:r>
      <w:proofErr w:type="spellEnd"/>
      <w:r w:rsidRPr="00734AB6">
        <w:rPr>
          <w:rFonts w:asciiTheme="majorHAnsi" w:hAnsiTheme="majorHAnsi" w:cs="Calibri"/>
        </w:rPr>
        <w:t xml:space="preserve"> (2015)</w:t>
      </w:r>
      <w:r w:rsidR="0019281C" w:rsidRPr="00734AB6">
        <w:rPr>
          <w:rFonts w:asciiTheme="majorHAnsi" w:hAnsiTheme="majorHAnsi" w:cs="Calibri"/>
        </w:rPr>
        <w:t>,</w:t>
      </w:r>
      <w:r w:rsidRPr="00734AB6">
        <w:rPr>
          <w:rFonts w:asciiTheme="majorHAnsi" w:hAnsiTheme="majorHAnsi" w:cs="Calibri"/>
        </w:rPr>
        <w:t xml:space="preserve"> </w:t>
      </w:r>
      <w:r w:rsidR="0019281C" w:rsidRPr="00734AB6">
        <w:rPr>
          <w:rFonts w:asciiTheme="majorHAnsi" w:hAnsiTheme="majorHAnsi" w:cs="Calibri"/>
        </w:rPr>
        <w:t>i</w:t>
      </w:r>
      <w:r w:rsidRPr="00734AB6">
        <w:rPr>
          <w:rFonts w:asciiTheme="majorHAnsi" w:hAnsiTheme="majorHAnsi" w:cs="Calibri"/>
        </w:rPr>
        <w:t>s that the cognitive tests employed by these studies were based on assessments for either clinical conditions or animal studies and therefore may not be valid or robust meas</w:t>
      </w:r>
      <w:r w:rsidR="002C485E" w:rsidRPr="00734AB6">
        <w:rPr>
          <w:rFonts w:asciiTheme="majorHAnsi" w:hAnsiTheme="majorHAnsi" w:cs="Calibri"/>
        </w:rPr>
        <w:t xml:space="preserve">urements for healthy </w:t>
      </w:r>
      <w:r w:rsidR="00AC5C98" w:rsidRPr="00734AB6">
        <w:rPr>
          <w:rFonts w:asciiTheme="majorHAnsi" w:hAnsiTheme="majorHAnsi" w:cs="Calibri"/>
        </w:rPr>
        <w:t>participant</w:t>
      </w:r>
      <w:r w:rsidR="002C485E" w:rsidRPr="00734AB6">
        <w:rPr>
          <w:rFonts w:asciiTheme="majorHAnsi" w:hAnsiTheme="majorHAnsi" w:cs="Calibri"/>
        </w:rPr>
        <w:t xml:space="preserve">s. </w:t>
      </w:r>
      <w:r w:rsidRPr="00734AB6">
        <w:rPr>
          <w:rFonts w:asciiTheme="majorHAnsi" w:hAnsiTheme="majorHAnsi" w:cs="Calibri"/>
        </w:rPr>
        <w:t xml:space="preserve">Therefore, in order to accurately assess the </w:t>
      </w:r>
      <w:r w:rsidRPr="00734AB6">
        <w:rPr>
          <w:rFonts w:asciiTheme="majorHAnsi" w:hAnsiTheme="majorHAnsi" w:cs="Calibri"/>
        </w:rPr>
        <w:lastRenderedPageBreak/>
        <w:t>cognitive benefits of these and other cognitive enhancing drugs, one may need to take into account each participant’s DA synthesis capacity/ baseline level and it may also be necessary to develop a more finely tuned battery of tests.</w:t>
      </w:r>
    </w:p>
    <w:p w14:paraId="7A1CE1C1" w14:textId="74E876E2" w:rsidR="00D134B1" w:rsidRPr="00734AB6" w:rsidRDefault="00DE6EA8"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There are a number of commonalities between modafinil and methylphenidate </w:t>
      </w:r>
      <w:r w:rsidR="00B6514A" w:rsidRPr="00734AB6">
        <w:rPr>
          <w:rFonts w:asciiTheme="majorHAnsi" w:hAnsiTheme="majorHAnsi" w:cs="Calibri"/>
        </w:rPr>
        <w:t>which may</w:t>
      </w:r>
      <w:r w:rsidR="00A128CF" w:rsidRPr="00734AB6">
        <w:rPr>
          <w:rFonts w:asciiTheme="majorHAnsi" w:hAnsiTheme="majorHAnsi" w:cs="Calibri"/>
        </w:rPr>
        <w:t xml:space="preserve"> add to their appeal </w:t>
      </w:r>
      <w:r w:rsidR="00037A45" w:rsidRPr="00734AB6">
        <w:rPr>
          <w:rFonts w:asciiTheme="majorHAnsi" w:hAnsiTheme="majorHAnsi" w:cs="Calibri"/>
        </w:rPr>
        <w:t xml:space="preserve">to prospective users </w:t>
      </w:r>
      <w:r w:rsidR="00A128CF" w:rsidRPr="00734AB6">
        <w:rPr>
          <w:rFonts w:asciiTheme="majorHAnsi" w:hAnsiTheme="majorHAnsi" w:cs="Calibri"/>
        </w:rPr>
        <w:t xml:space="preserve">and, in turn, </w:t>
      </w:r>
      <w:r w:rsidR="00B6514A" w:rsidRPr="00734AB6">
        <w:rPr>
          <w:rFonts w:asciiTheme="majorHAnsi" w:hAnsiTheme="majorHAnsi" w:cs="Calibri"/>
        </w:rPr>
        <w:t xml:space="preserve">explain the </w:t>
      </w:r>
      <w:r w:rsidR="00A128CF" w:rsidRPr="00734AB6">
        <w:rPr>
          <w:rFonts w:asciiTheme="majorHAnsi" w:hAnsiTheme="majorHAnsi" w:cs="Calibri"/>
        </w:rPr>
        <w:t xml:space="preserve">frequency with which these drugs are discussed in the literature. As discussed earlier, </w:t>
      </w:r>
      <w:r w:rsidR="007D366A" w:rsidRPr="00734AB6">
        <w:rPr>
          <w:rFonts w:asciiTheme="majorHAnsi" w:hAnsiTheme="majorHAnsi" w:cs="Calibri"/>
        </w:rPr>
        <w:t xml:space="preserve">both drugs have been found to enhance a wide range of, largely the same, executive functions and both have been found to have mood enhancing effects. </w:t>
      </w:r>
      <w:r w:rsidR="005B0DAD" w:rsidRPr="00734AB6">
        <w:rPr>
          <w:rFonts w:asciiTheme="majorHAnsi" w:hAnsiTheme="majorHAnsi" w:cs="Calibri"/>
        </w:rPr>
        <w:t xml:space="preserve">However, there are also many ways in which modafinil and methylphenidate differ. For example, modafinil has a long half-life whereas methylphenidate has a very short half-life. Of great importance is the difference in the legal status and abuse potential; modafinil is legal to possess and has not been found to </w:t>
      </w:r>
      <w:r w:rsidR="00092E99" w:rsidRPr="00734AB6">
        <w:rPr>
          <w:rFonts w:asciiTheme="majorHAnsi" w:hAnsiTheme="majorHAnsi" w:cs="Calibri"/>
        </w:rPr>
        <w:t>have abuse potential whereas methylphenidate is not legal to possess without a prescription and has been found to have abuse potential. Table 1</w:t>
      </w:r>
      <w:r w:rsidR="009E23DC" w:rsidRPr="00734AB6">
        <w:rPr>
          <w:rFonts w:asciiTheme="majorHAnsi" w:hAnsiTheme="majorHAnsi" w:cs="Calibri"/>
        </w:rPr>
        <w:t>.1</w:t>
      </w:r>
      <w:r w:rsidR="00092E99" w:rsidRPr="00734AB6">
        <w:rPr>
          <w:rFonts w:asciiTheme="majorHAnsi" w:hAnsiTheme="majorHAnsi" w:cs="Calibri"/>
        </w:rPr>
        <w:t xml:space="preserve"> provides further comparisons of these two drugs. </w:t>
      </w:r>
    </w:p>
    <w:p w14:paraId="5155DEB2" w14:textId="77777777" w:rsidR="00696620" w:rsidRPr="00734AB6" w:rsidRDefault="00696620" w:rsidP="0099584D">
      <w:pPr>
        <w:widowControl w:val="0"/>
        <w:autoSpaceDE w:val="0"/>
        <w:autoSpaceDN w:val="0"/>
        <w:adjustRightInd w:val="0"/>
        <w:spacing w:after="240" w:line="360" w:lineRule="auto"/>
        <w:ind w:firstLine="851"/>
        <w:rPr>
          <w:rFonts w:asciiTheme="majorHAnsi" w:hAnsiTheme="majorHAnsi" w:cs="Calibri"/>
        </w:rPr>
      </w:pPr>
    </w:p>
    <w:p w14:paraId="1ABD8B04" w14:textId="77777777" w:rsidR="002C2AF5" w:rsidRPr="00734AB6" w:rsidRDefault="002C2AF5">
      <w:pPr>
        <w:rPr>
          <w:rFonts w:asciiTheme="majorHAnsi" w:hAnsiTheme="majorHAnsi" w:cs="Calibri"/>
          <w:b/>
        </w:rPr>
      </w:pPr>
      <w:r w:rsidRPr="00734AB6">
        <w:rPr>
          <w:rFonts w:asciiTheme="majorHAnsi" w:hAnsiTheme="majorHAnsi" w:cs="Calibri"/>
          <w:b/>
        </w:rPr>
        <w:br w:type="page"/>
      </w:r>
    </w:p>
    <w:p w14:paraId="38D4491A" w14:textId="3CE0E4FD" w:rsidR="000F5C14" w:rsidRPr="00734AB6" w:rsidRDefault="005E50DA"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lastRenderedPageBreak/>
        <w:t>Table 1.</w:t>
      </w:r>
      <w:r w:rsidR="009E23DC" w:rsidRPr="00734AB6">
        <w:rPr>
          <w:rFonts w:asciiTheme="majorHAnsi" w:hAnsiTheme="majorHAnsi" w:cs="Calibri"/>
          <w:b/>
        </w:rPr>
        <w:t>1</w:t>
      </w:r>
      <w:r w:rsidRPr="00734AB6">
        <w:rPr>
          <w:rFonts w:asciiTheme="majorHAnsi" w:hAnsiTheme="majorHAnsi" w:cs="Calibri"/>
          <w:b/>
        </w:rPr>
        <w:t xml:space="preserve"> Profiles and effects of modafinil and methylphenidate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3261"/>
        <w:gridCol w:w="3261"/>
      </w:tblGrid>
      <w:tr w:rsidR="008E3A54" w:rsidRPr="00734AB6" w14:paraId="2FF71D39" w14:textId="77777777" w:rsidTr="00DE6EA8">
        <w:tc>
          <w:tcPr>
            <w:tcW w:w="1696" w:type="dxa"/>
            <w:tcBorders>
              <w:bottom w:val="single" w:sz="4" w:space="0" w:color="auto"/>
            </w:tcBorders>
          </w:tcPr>
          <w:p w14:paraId="2A1D39BB" w14:textId="64C08C75" w:rsidR="008E3A54" w:rsidRPr="00734AB6" w:rsidRDefault="008E3A54" w:rsidP="0099584D">
            <w:pPr>
              <w:widowControl w:val="0"/>
              <w:autoSpaceDE w:val="0"/>
              <w:autoSpaceDN w:val="0"/>
              <w:adjustRightInd w:val="0"/>
              <w:spacing w:after="240" w:line="360" w:lineRule="auto"/>
              <w:rPr>
                <w:rFonts w:asciiTheme="majorHAnsi" w:hAnsiTheme="majorHAnsi" w:cs="Calibri"/>
                <w:b/>
              </w:rPr>
            </w:pPr>
          </w:p>
        </w:tc>
        <w:tc>
          <w:tcPr>
            <w:tcW w:w="3261" w:type="dxa"/>
            <w:tcBorders>
              <w:bottom w:val="single" w:sz="4" w:space="0" w:color="auto"/>
            </w:tcBorders>
          </w:tcPr>
          <w:p w14:paraId="7DB6669B" w14:textId="49D95A97" w:rsidR="008E3A54" w:rsidRPr="00734AB6" w:rsidRDefault="008E3A54"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MODAFINIL</w:t>
            </w:r>
          </w:p>
        </w:tc>
        <w:tc>
          <w:tcPr>
            <w:tcW w:w="3261" w:type="dxa"/>
            <w:tcBorders>
              <w:bottom w:val="single" w:sz="4" w:space="0" w:color="auto"/>
            </w:tcBorders>
          </w:tcPr>
          <w:p w14:paraId="3E3C723B" w14:textId="19FC4381" w:rsidR="008E3A54" w:rsidRPr="00734AB6" w:rsidRDefault="008E3A54"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METHYLPHENIDATE</w:t>
            </w:r>
          </w:p>
        </w:tc>
      </w:tr>
      <w:tr w:rsidR="008E3A54" w:rsidRPr="00734AB6" w14:paraId="6BC1993D" w14:textId="77777777" w:rsidTr="00DE6EA8">
        <w:tc>
          <w:tcPr>
            <w:tcW w:w="1696" w:type="dxa"/>
            <w:tcBorders>
              <w:bottom w:val="nil"/>
            </w:tcBorders>
          </w:tcPr>
          <w:p w14:paraId="3628DABD" w14:textId="07939A6B" w:rsidR="008E3A54" w:rsidRPr="00734AB6" w:rsidRDefault="006E6AAE"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Prescribed for</w:t>
            </w:r>
          </w:p>
        </w:tc>
        <w:tc>
          <w:tcPr>
            <w:tcW w:w="3261" w:type="dxa"/>
            <w:tcBorders>
              <w:bottom w:val="nil"/>
            </w:tcBorders>
          </w:tcPr>
          <w:p w14:paraId="4BFFC2A7" w14:textId="3F57FCA7" w:rsidR="008E3A54" w:rsidRPr="00734AB6" w:rsidRDefault="006E6AAE"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Narcolepsy, sleep apn</w:t>
            </w:r>
            <w:r w:rsidR="006320B7" w:rsidRPr="00734AB6">
              <w:rPr>
                <w:rFonts w:asciiTheme="majorHAnsi" w:hAnsiTheme="majorHAnsi" w:cs="Calibri"/>
              </w:rPr>
              <w:t>o</w:t>
            </w:r>
            <w:r w:rsidRPr="00734AB6">
              <w:rPr>
                <w:rFonts w:asciiTheme="majorHAnsi" w:hAnsiTheme="majorHAnsi" w:cs="Calibri"/>
              </w:rPr>
              <w:t>ea and shift-worker sleep disorder</w:t>
            </w:r>
            <w:r w:rsidR="003B61F2" w:rsidRPr="00734AB6">
              <w:rPr>
                <w:rFonts w:asciiTheme="majorHAnsi" w:hAnsiTheme="majorHAnsi" w:cs="Calibri"/>
              </w:rPr>
              <w:t>.</w:t>
            </w:r>
          </w:p>
        </w:tc>
        <w:tc>
          <w:tcPr>
            <w:tcW w:w="3261" w:type="dxa"/>
            <w:tcBorders>
              <w:bottom w:val="nil"/>
            </w:tcBorders>
          </w:tcPr>
          <w:p w14:paraId="585C65FE" w14:textId="2D845BE0" w:rsidR="008E3A54" w:rsidRPr="00734AB6" w:rsidRDefault="006E6AAE"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ADHD</w:t>
            </w:r>
            <w:r w:rsidR="003B61F2" w:rsidRPr="00734AB6">
              <w:rPr>
                <w:rFonts w:asciiTheme="majorHAnsi" w:hAnsiTheme="majorHAnsi" w:cs="Calibri"/>
              </w:rPr>
              <w:t>.</w:t>
            </w:r>
          </w:p>
        </w:tc>
      </w:tr>
      <w:tr w:rsidR="008A6996" w:rsidRPr="00734AB6" w14:paraId="05674CED" w14:textId="77777777" w:rsidTr="00DE6EA8">
        <w:tc>
          <w:tcPr>
            <w:tcW w:w="1696" w:type="dxa"/>
            <w:tcBorders>
              <w:top w:val="nil"/>
              <w:bottom w:val="nil"/>
            </w:tcBorders>
          </w:tcPr>
          <w:p w14:paraId="1A0620AD" w14:textId="66FECE40" w:rsidR="008A6996" w:rsidRPr="00734AB6" w:rsidRDefault="008A6996"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Mechanism of action</w:t>
            </w:r>
          </w:p>
        </w:tc>
        <w:tc>
          <w:tcPr>
            <w:tcW w:w="3261" w:type="dxa"/>
            <w:tcBorders>
              <w:top w:val="nil"/>
              <w:bottom w:val="nil"/>
            </w:tcBorders>
          </w:tcPr>
          <w:p w14:paraId="78204F88" w14:textId="34D7E538" w:rsidR="008A6996" w:rsidRPr="00734AB6" w:rsidRDefault="002F4F78" w:rsidP="003B61F2">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Thought to be primarily DA and NE transporter inhibition</w:t>
            </w:r>
            <w:r w:rsidR="006320B7" w:rsidRPr="00734AB6">
              <w:rPr>
                <w:rFonts w:asciiTheme="majorHAnsi" w:hAnsiTheme="majorHAnsi" w:cs="Calibri"/>
              </w:rPr>
              <w:t xml:space="preserve">, </w:t>
            </w:r>
            <w:r w:rsidR="00AB7E37" w:rsidRPr="00734AB6">
              <w:rPr>
                <w:rFonts w:asciiTheme="majorHAnsi" w:hAnsiTheme="majorHAnsi" w:cs="Calibri"/>
              </w:rPr>
              <w:t>a</w:t>
            </w:r>
            <w:r w:rsidR="006320B7" w:rsidRPr="00734AB6">
              <w:rPr>
                <w:rFonts w:asciiTheme="majorHAnsi" w:hAnsiTheme="majorHAnsi" w:cs="Calibri"/>
              </w:rPr>
              <w:t>lso acts on other neurotransmitters</w:t>
            </w:r>
            <w:r w:rsidR="003B61F2" w:rsidRPr="00734AB6">
              <w:rPr>
                <w:rFonts w:asciiTheme="majorHAnsi" w:hAnsiTheme="majorHAnsi" w:cs="Calibri"/>
              </w:rPr>
              <w:t>.</w:t>
            </w:r>
          </w:p>
        </w:tc>
        <w:tc>
          <w:tcPr>
            <w:tcW w:w="3261" w:type="dxa"/>
            <w:tcBorders>
              <w:top w:val="nil"/>
              <w:bottom w:val="nil"/>
            </w:tcBorders>
          </w:tcPr>
          <w:p w14:paraId="0A980793" w14:textId="59815D20" w:rsidR="008A6996" w:rsidRPr="00734AB6" w:rsidRDefault="008A6996"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DA and NE transporter inhibition</w:t>
            </w:r>
            <w:r w:rsidR="003B61F2" w:rsidRPr="00734AB6">
              <w:rPr>
                <w:rFonts w:asciiTheme="majorHAnsi" w:hAnsiTheme="majorHAnsi" w:cs="Calibri"/>
              </w:rPr>
              <w:t>.</w:t>
            </w:r>
          </w:p>
        </w:tc>
      </w:tr>
      <w:tr w:rsidR="00505175" w:rsidRPr="00734AB6" w14:paraId="27FF9D3A" w14:textId="77777777" w:rsidTr="00DE6EA8">
        <w:tc>
          <w:tcPr>
            <w:tcW w:w="1696" w:type="dxa"/>
            <w:tcBorders>
              <w:top w:val="nil"/>
              <w:bottom w:val="nil"/>
            </w:tcBorders>
          </w:tcPr>
          <w:p w14:paraId="147FB368" w14:textId="1170B477" w:rsidR="00505175" w:rsidRPr="00734AB6" w:rsidRDefault="00393E8C"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F</w:t>
            </w:r>
            <w:r w:rsidR="00505175" w:rsidRPr="00734AB6">
              <w:rPr>
                <w:rFonts w:asciiTheme="majorHAnsi" w:hAnsiTheme="majorHAnsi" w:cs="Calibri"/>
                <w:b/>
              </w:rPr>
              <w:t>ormulations</w:t>
            </w:r>
          </w:p>
        </w:tc>
        <w:tc>
          <w:tcPr>
            <w:tcW w:w="3261" w:type="dxa"/>
            <w:tcBorders>
              <w:top w:val="nil"/>
              <w:bottom w:val="nil"/>
            </w:tcBorders>
          </w:tcPr>
          <w:p w14:paraId="02126B4F" w14:textId="52DE6EEA" w:rsidR="00505175" w:rsidRPr="00734AB6" w:rsidRDefault="00505175"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Immediate release only</w:t>
            </w:r>
            <w:r w:rsidR="003B61F2" w:rsidRPr="00734AB6">
              <w:rPr>
                <w:rFonts w:asciiTheme="majorHAnsi" w:hAnsiTheme="majorHAnsi" w:cs="Calibri"/>
              </w:rPr>
              <w:t>.</w:t>
            </w:r>
          </w:p>
        </w:tc>
        <w:tc>
          <w:tcPr>
            <w:tcW w:w="3261" w:type="dxa"/>
            <w:tcBorders>
              <w:top w:val="nil"/>
              <w:bottom w:val="nil"/>
            </w:tcBorders>
          </w:tcPr>
          <w:p w14:paraId="17AB76F7" w14:textId="3A51DC21" w:rsidR="00505175" w:rsidRPr="00734AB6" w:rsidRDefault="00505175"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Immediate and sustained release</w:t>
            </w:r>
            <w:r w:rsidR="003B61F2" w:rsidRPr="00734AB6">
              <w:rPr>
                <w:rFonts w:asciiTheme="majorHAnsi" w:hAnsiTheme="majorHAnsi" w:cs="Calibri"/>
              </w:rPr>
              <w:t>.</w:t>
            </w:r>
            <w:r w:rsidRPr="00734AB6">
              <w:rPr>
                <w:rFonts w:asciiTheme="majorHAnsi" w:hAnsiTheme="majorHAnsi" w:cs="Calibri"/>
              </w:rPr>
              <w:t xml:space="preserve"> </w:t>
            </w:r>
          </w:p>
        </w:tc>
      </w:tr>
      <w:tr w:rsidR="008E3A54" w:rsidRPr="00734AB6" w14:paraId="1499F60C" w14:textId="77777777" w:rsidTr="00DE6EA8">
        <w:tc>
          <w:tcPr>
            <w:tcW w:w="1696" w:type="dxa"/>
            <w:tcBorders>
              <w:top w:val="nil"/>
              <w:bottom w:val="nil"/>
            </w:tcBorders>
          </w:tcPr>
          <w:p w14:paraId="7D209C70" w14:textId="327536E3" w:rsidR="008E3A54" w:rsidRPr="00734AB6" w:rsidRDefault="008E3A54"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Half-life</w:t>
            </w:r>
          </w:p>
        </w:tc>
        <w:tc>
          <w:tcPr>
            <w:tcW w:w="3261" w:type="dxa"/>
            <w:tcBorders>
              <w:top w:val="nil"/>
              <w:bottom w:val="nil"/>
            </w:tcBorders>
          </w:tcPr>
          <w:p w14:paraId="522C2A68" w14:textId="71769EA6" w:rsidR="008E3A54" w:rsidRPr="00734AB6" w:rsidRDefault="006320B7"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Long, 12-15 hours</w:t>
            </w:r>
            <w:r w:rsidR="003B61F2" w:rsidRPr="00734AB6">
              <w:rPr>
                <w:rFonts w:asciiTheme="majorHAnsi" w:hAnsiTheme="majorHAnsi" w:cs="Calibri"/>
              </w:rPr>
              <w:t>.</w:t>
            </w:r>
          </w:p>
        </w:tc>
        <w:tc>
          <w:tcPr>
            <w:tcW w:w="3261" w:type="dxa"/>
            <w:tcBorders>
              <w:top w:val="nil"/>
              <w:bottom w:val="nil"/>
            </w:tcBorders>
          </w:tcPr>
          <w:p w14:paraId="671E6873" w14:textId="6EB13D23" w:rsidR="008E3A54" w:rsidRPr="00734AB6" w:rsidRDefault="008E3A54"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Short, 2 -3 hours</w:t>
            </w:r>
            <w:r w:rsidR="00505175" w:rsidRPr="00734AB6">
              <w:rPr>
                <w:rFonts w:asciiTheme="majorHAnsi" w:hAnsiTheme="majorHAnsi" w:cs="Calibri"/>
              </w:rPr>
              <w:t xml:space="preserve"> (immediate release)</w:t>
            </w:r>
            <w:r w:rsidR="003B61F2" w:rsidRPr="00734AB6">
              <w:rPr>
                <w:rFonts w:asciiTheme="majorHAnsi" w:hAnsiTheme="majorHAnsi" w:cs="Calibri"/>
              </w:rPr>
              <w:t>.</w:t>
            </w:r>
          </w:p>
        </w:tc>
      </w:tr>
      <w:tr w:rsidR="008E3A54" w:rsidRPr="00734AB6" w14:paraId="36BA21DD" w14:textId="77777777" w:rsidTr="00DE6EA8">
        <w:tc>
          <w:tcPr>
            <w:tcW w:w="1696" w:type="dxa"/>
            <w:tcBorders>
              <w:top w:val="nil"/>
              <w:bottom w:val="nil"/>
            </w:tcBorders>
          </w:tcPr>
          <w:p w14:paraId="7180DDE8" w14:textId="6E2EBCC5" w:rsidR="008E3A54" w:rsidRPr="00734AB6" w:rsidRDefault="00393E8C"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Most common s</w:t>
            </w:r>
            <w:r w:rsidR="008A6996" w:rsidRPr="00734AB6">
              <w:rPr>
                <w:rFonts w:asciiTheme="majorHAnsi" w:hAnsiTheme="majorHAnsi" w:cs="Calibri"/>
                <w:b/>
              </w:rPr>
              <w:t>ide-effects</w:t>
            </w:r>
          </w:p>
        </w:tc>
        <w:tc>
          <w:tcPr>
            <w:tcW w:w="3261" w:type="dxa"/>
            <w:tcBorders>
              <w:top w:val="nil"/>
              <w:bottom w:val="nil"/>
            </w:tcBorders>
          </w:tcPr>
          <w:p w14:paraId="25C9AE18" w14:textId="23B9DA2C" w:rsidR="008E3A54" w:rsidRPr="00734AB6" w:rsidRDefault="00393E8C"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Insomnia, nervousness, anxiety, headache, nausea, diarrhoea,</w:t>
            </w:r>
            <w:r w:rsidR="005E50DA" w:rsidRPr="00734AB6">
              <w:rPr>
                <w:rFonts w:asciiTheme="majorHAnsi" w:hAnsiTheme="majorHAnsi" w:cs="Calibri"/>
              </w:rPr>
              <w:t xml:space="preserve"> </w:t>
            </w:r>
            <w:r w:rsidRPr="00734AB6">
              <w:rPr>
                <w:rFonts w:asciiTheme="majorHAnsi" w:hAnsiTheme="majorHAnsi" w:cs="Calibri"/>
              </w:rPr>
              <w:t>rhinitis, dizziness and dyspepsia.</w:t>
            </w:r>
          </w:p>
        </w:tc>
        <w:tc>
          <w:tcPr>
            <w:tcW w:w="3261" w:type="dxa"/>
            <w:tcBorders>
              <w:top w:val="nil"/>
              <w:bottom w:val="nil"/>
            </w:tcBorders>
          </w:tcPr>
          <w:p w14:paraId="77CE0C48" w14:textId="11C8B0BF" w:rsidR="008E3A54" w:rsidRPr="00734AB6" w:rsidRDefault="00505175"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Insomnia, decreased appetite, irritability, anxiety</w:t>
            </w:r>
            <w:r w:rsidR="00D523EE" w:rsidRPr="00734AB6">
              <w:rPr>
                <w:rFonts w:asciiTheme="majorHAnsi" w:hAnsiTheme="majorHAnsi" w:cs="Calibri"/>
              </w:rPr>
              <w:t>, headache and weight loss.</w:t>
            </w:r>
          </w:p>
        </w:tc>
      </w:tr>
      <w:tr w:rsidR="008A6996" w:rsidRPr="00734AB6" w14:paraId="2A77653B" w14:textId="77777777" w:rsidTr="00DE6EA8">
        <w:tc>
          <w:tcPr>
            <w:tcW w:w="1696" w:type="dxa"/>
            <w:tcBorders>
              <w:top w:val="nil"/>
              <w:bottom w:val="nil"/>
            </w:tcBorders>
          </w:tcPr>
          <w:p w14:paraId="3CA95BF2" w14:textId="41734161" w:rsidR="008A6996" w:rsidRPr="00734AB6" w:rsidRDefault="008A6996"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Legal status</w:t>
            </w:r>
          </w:p>
        </w:tc>
        <w:tc>
          <w:tcPr>
            <w:tcW w:w="3261" w:type="dxa"/>
            <w:tcBorders>
              <w:top w:val="nil"/>
              <w:bottom w:val="nil"/>
            </w:tcBorders>
          </w:tcPr>
          <w:p w14:paraId="483937D8" w14:textId="748AC868" w:rsidR="008A6996" w:rsidRPr="00734AB6" w:rsidRDefault="00D523EE" w:rsidP="002C2AF5">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Prescription-only</w:t>
            </w:r>
            <w:r w:rsidR="00A9014D" w:rsidRPr="00734AB6">
              <w:rPr>
                <w:rFonts w:asciiTheme="majorHAnsi" w:hAnsiTheme="majorHAnsi" w:cs="Calibri"/>
              </w:rPr>
              <w:t>, not classified under the Misuse of Drugs Act, therefore possession is not illegal</w:t>
            </w:r>
            <w:r w:rsidR="003B61F2" w:rsidRPr="00734AB6">
              <w:rPr>
                <w:rFonts w:asciiTheme="majorHAnsi" w:hAnsiTheme="majorHAnsi" w:cs="Calibri"/>
              </w:rPr>
              <w:t>.</w:t>
            </w:r>
          </w:p>
        </w:tc>
        <w:tc>
          <w:tcPr>
            <w:tcW w:w="3261" w:type="dxa"/>
            <w:tcBorders>
              <w:top w:val="nil"/>
              <w:bottom w:val="nil"/>
            </w:tcBorders>
          </w:tcPr>
          <w:p w14:paraId="562026A5" w14:textId="1D7E8AE1" w:rsidR="008A6996" w:rsidRPr="00734AB6" w:rsidRDefault="00D523EE"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Prescription-</w:t>
            </w:r>
            <w:r w:rsidR="00A9014D" w:rsidRPr="00734AB6">
              <w:rPr>
                <w:rFonts w:asciiTheme="majorHAnsi" w:hAnsiTheme="majorHAnsi" w:cs="Calibri"/>
              </w:rPr>
              <w:t>only, Class B drug, possession without a prescription is illegal.</w:t>
            </w:r>
          </w:p>
        </w:tc>
      </w:tr>
      <w:tr w:rsidR="008D24CA" w:rsidRPr="00734AB6" w14:paraId="18CBB4A3" w14:textId="77777777" w:rsidTr="00DE6EA8">
        <w:tc>
          <w:tcPr>
            <w:tcW w:w="1696" w:type="dxa"/>
            <w:tcBorders>
              <w:top w:val="nil"/>
              <w:bottom w:val="nil"/>
            </w:tcBorders>
          </w:tcPr>
          <w:p w14:paraId="057AB44F" w14:textId="4945A4B6" w:rsidR="008D24CA" w:rsidRPr="00734AB6" w:rsidRDefault="008D24CA"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Cognitive enhancing effects</w:t>
            </w:r>
            <w:r w:rsidR="0096538B" w:rsidRPr="00734AB6">
              <w:rPr>
                <w:rFonts w:asciiTheme="majorHAnsi" w:hAnsiTheme="majorHAnsi" w:cs="Calibri"/>
                <w:b/>
              </w:rPr>
              <w:t xml:space="preserve"> found in studies</w:t>
            </w:r>
          </w:p>
        </w:tc>
        <w:tc>
          <w:tcPr>
            <w:tcW w:w="3261" w:type="dxa"/>
            <w:tcBorders>
              <w:top w:val="nil"/>
              <w:bottom w:val="nil"/>
            </w:tcBorders>
          </w:tcPr>
          <w:p w14:paraId="4F63DF7D" w14:textId="2FA4C931" w:rsidR="008D24CA" w:rsidRPr="00734AB6" w:rsidRDefault="000779B6"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 xml:space="preserve">Improved working memory, </w:t>
            </w:r>
            <w:r w:rsidR="0061274B" w:rsidRPr="00734AB6">
              <w:rPr>
                <w:rFonts w:asciiTheme="majorHAnsi" w:hAnsiTheme="majorHAnsi" w:cs="Calibri"/>
              </w:rPr>
              <w:t xml:space="preserve">processing speed, </w:t>
            </w:r>
            <w:r w:rsidR="00A74C3E" w:rsidRPr="00734AB6">
              <w:rPr>
                <w:rFonts w:asciiTheme="majorHAnsi" w:hAnsiTheme="majorHAnsi" w:cs="Calibri"/>
              </w:rPr>
              <w:t xml:space="preserve">attention, alertness, executive control, </w:t>
            </w:r>
            <w:r w:rsidRPr="00734AB6">
              <w:rPr>
                <w:rFonts w:asciiTheme="majorHAnsi" w:hAnsiTheme="majorHAnsi" w:cs="Calibri"/>
              </w:rPr>
              <w:t>planning, accuracy, inhibition</w:t>
            </w:r>
            <w:r w:rsidR="00A74C3E" w:rsidRPr="00734AB6">
              <w:rPr>
                <w:rFonts w:asciiTheme="majorHAnsi" w:hAnsiTheme="majorHAnsi" w:cs="Calibri"/>
              </w:rPr>
              <w:t xml:space="preserve">, </w:t>
            </w:r>
            <w:r w:rsidR="007D366A" w:rsidRPr="00734AB6">
              <w:rPr>
                <w:rFonts w:asciiTheme="majorHAnsi" w:hAnsiTheme="majorHAnsi" w:cs="Calibri"/>
              </w:rPr>
              <w:t xml:space="preserve">and </w:t>
            </w:r>
            <w:r w:rsidR="00A74C3E" w:rsidRPr="00734AB6">
              <w:rPr>
                <w:rFonts w:asciiTheme="majorHAnsi" w:hAnsiTheme="majorHAnsi" w:cs="Calibri"/>
              </w:rPr>
              <w:t>alertness. Modulates th</w:t>
            </w:r>
            <w:r w:rsidR="007D366A" w:rsidRPr="00734AB6">
              <w:rPr>
                <w:rFonts w:asciiTheme="majorHAnsi" w:hAnsiTheme="majorHAnsi" w:cs="Calibri"/>
              </w:rPr>
              <w:t>e DMN.</w:t>
            </w:r>
            <w:r w:rsidR="00A74C3E" w:rsidRPr="00734AB6">
              <w:rPr>
                <w:rFonts w:asciiTheme="majorHAnsi" w:hAnsiTheme="majorHAnsi" w:cs="Calibri"/>
              </w:rPr>
              <w:t xml:space="preserve"> </w:t>
            </w:r>
          </w:p>
        </w:tc>
        <w:tc>
          <w:tcPr>
            <w:tcW w:w="3261" w:type="dxa"/>
            <w:tcBorders>
              <w:top w:val="nil"/>
              <w:bottom w:val="nil"/>
            </w:tcBorders>
          </w:tcPr>
          <w:p w14:paraId="45819F5E" w14:textId="1C428794" w:rsidR="008D24CA" w:rsidRPr="00734AB6" w:rsidRDefault="008D24CA"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 xml:space="preserve">Improved </w:t>
            </w:r>
            <w:r w:rsidR="0096538B" w:rsidRPr="00734AB6">
              <w:rPr>
                <w:rFonts w:asciiTheme="majorHAnsi" w:hAnsiTheme="majorHAnsi" w:cs="Calibri"/>
              </w:rPr>
              <w:t xml:space="preserve">working memory, processing speed, </w:t>
            </w:r>
            <w:r w:rsidR="0061274B" w:rsidRPr="00734AB6">
              <w:rPr>
                <w:rFonts w:asciiTheme="majorHAnsi" w:hAnsiTheme="majorHAnsi" w:cs="Calibri"/>
              </w:rPr>
              <w:t xml:space="preserve">attention, </w:t>
            </w:r>
            <w:r w:rsidR="0096538B" w:rsidRPr="00734AB6">
              <w:rPr>
                <w:rFonts w:asciiTheme="majorHAnsi" w:hAnsiTheme="majorHAnsi" w:cs="Calibri"/>
              </w:rPr>
              <w:t>verbal learning, memory, reasoning, problem solving and visual learning. M</w:t>
            </w:r>
            <w:r w:rsidRPr="00734AB6">
              <w:rPr>
                <w:rFonts w:asciiTheme="majorHAnsi" w:hAnsiTheme="majorHAnsi" w:cs="Calibri"/>
              </w:rPr>
              <w:t>odulates the DMN</w:t>
            </w:r>
            <w:r w:rsidR="00286109" w:rsidRPr="00734AB6">
              <w:rPr>
                <w:rFonts w:asciiTheme="majorHAnsi" w:hAnsiTheme="majorHAnsi" w:cs="Calibri"/>
              </w:rPr>
              <w:t>, increases brain efficiency</w:t>
            </w:r>
            <w:r w:rsidR="00BE25F2" w:rsidRPr="00734AB6">
              <w:rPr>
                <w:rFonts w:asciiTheme="majorHAnsi" w:hAnsiTheme="majorHAnsi" w:cs="Calibri"/>
              </w:rPr>
              <w:t>, modulates motivation</w:t>
            </w:r>
            <w:r w:rsidR="003B61F2" w:rsidRPr="00734AB6">
              <w:rPr>
                <w:rFonts w:asciiTheme="majorHAnsi" w:hAnsiTheme="majorHAnsi" w:cs="Calibri"/>
              </w:rPr>
              <w:t>.</w:t>
            </w:r>
          </w:p>
        </w:tc>
      </w:tr>
      <w:tr w:rsidR="008E3A54" w:rsidRPr="00734AB6" w14:paraId="7080C0DE" w14:textId="77777777" w:rsidTr="00DE6EA8">
        <w:tc>
          <w:tcPr>
            <w:tcW w:w="1696" w:type="dxa"/>
            <w:tcBorders>
              <w:top w:val="nil"/>
            </w:tcBorders>
          </w:tcPr>
          <w:p w14:paraId="42D679DF" w14:textId="3DDEAADF" w:rsidR="008E3A54" w:rsidRPr="00734AB6" w:rsidRDefault="0063088E" w:rsidP="0099584D">
            <w:pPr>
              <w:widowControl w:val="0"/>
              <w:autoSpaceDE w:val="0"/>
              <w:autoSpaceDN w:val="0"/>
              <w:adjustRightInd w:val="0"/>
              <w:spacing w:after="240" w:line="360" w:lineRule="auto"/>
              <w:rPr>
                <w:rFonts w:asciiTheme="majorHAnsi" w:hAnsiTheme="majorHAnsi" w:cs="Calibri"/>
                <w:b/>
              </w:rPr>
            </w:pPr>
            <w:r w:rsidRPr="00734AB6">
              <w:rPr>
                <w:rFonts w:asciiTheme="majorHAnsi" w:hAnsiTheme="majorHAnsi" w:cs="Calibri"/>
                <w:b/>
              </w:rPr>
              <w:t>Other beneficial effects</w:t>
            </w:r>
          </w:p>
        </w:tc>
        <w:tc>
          <w:tcPr>
            <w:tcW w:w="3261" w:type="dxa"/>
            <w:tcBorders>
              <w:top w:val="nil"/>
            </w:tcBorders>
          </w:tcPr>
          <w:p w14:paraId="486999EA" w14:textId="051653EB" w:rsidR="008E3A54" w:rsidRPr="00734AB6" w:rsidRDefault="00182E2F"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Mood enhancing effects</w:t>
            </w:r>
            <w:r w:rsidR="00393E8C" w:rsidRPr="00734AB6">
              <w:rPr>
                <w:rFonts w:asciiTheme="majorHAnsi" w:hAnsiTheme="majorHAnsi" w:cs="Calibri"/>
              </w:rPr>
              <w:t xml:space="preserve">, </w:t>
            </w:r>
            <w:r w:rsidR="005E50DA" w:rsidRPr="00734AB6">
              <w:rPr>
                <w:rFonts w:asciiTheme="majorHAnsi" w:hAnsiTheme="majorHAnsi" w:cs="Calibri"/>
              </w:rPr>
              <w:t>increased energy.</w:t>
            </w:r>
          </w:p>
        </w:tc>
        <w:tc>
          <w:tcPr>
            <w:tcW w:w="3261" w:type="dxa"/>
            <w:tcBorders>
              <w:top w:val="nil"/>
            </w:tcBorders>
          </w:tcPr>
          <w:p w14:paraId="390E3129" w14:textId="449E2328" w:rsidR="008E3A54" w:rsidRPr="00734AB6" w:rsidRDefault="002F4F78" w:rsidP="0099584D">
            <w:pPr>
              <w:widowControl w:val="0"/>
              <w:autoSpaceDE w:val="0"/>
              <w:autoSpaceDN w:val="0"/>
              <w:adjustRightInd w:val="0"/>
              <w:spacing w:after="240" w:line="360" w:lineRule="auto"/>
              <w:rPr>
                <w:rFonts w:asciiTheme="majorHAnsi" w:hAnsiTheme="majorHAnsi" w:cs="Calibri"/>
              </w:rPr>
            </w:pPr>
            <w:r w:rsidRPr="00734AB6">
              <w:rPr>
                <w:rFonts w:asciiTheme="majorHAnsi" w:hAnsiTheme="majorHAnsi" w:cs="Calibri"/>
              </w:rPr>
              <w:t>Mood enhancing effects, decreased fatigue</w:t>
            </w:r>
            <w:r w:rsidR="005E50DA" w:rsidRPr="00734AB6">
              <w:rPr>
                <w:rFonts w:asciiTheme="majorHAnsi" w:hAnsiTheme="majorHAnsi" w:cs="Calibri"/>
              </w:rPr>
              <w:t>.</w:t>
            </w:r>
          </w:p>
        </w:tc>
      </w:tr>
    </w:tbl>
    <w:p w14:paraId="4305464F" w14:textId="77777777" w:rsidR="000F5C14" w:rsidRPr="00734AB6" w:rsidRDefault="000F5C14" w:rsidP="0099584D">
      <w:pPr>
        <w:widowControl w:val="0"/>
        <w:autoSpaceDE w:val="0"/>
        <w:autoSpaceDN w:val="0"/>
        <w:adjustRightInd w:val="0"/>
        <w:spacing w:after="240" w:line="360" w:lineRule="auto"/>
        <w:ind w:firstLine="851"/>
        <w:rPr>
          <w:rFonts w:asciiTheme="majorHAnsi" w:hAnsiTheme="majorHAnsi" w:cs="Calibri"/>
        </w:rPr>
      </w:pPr>
    </w:p>
    <w:p w14:paraId="44E45DC3" w14:textId="4A924D7E" w:rsidR="00F65CE0" w:rsidRPr="00734AB6" w:rsidRDefault="00F65CE0"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To sum up, although some studies have documented cognitive benefits with both </w:t>
      </w:r>
      <w:r w:rsidR="00412DE4" w:rsidRPr="00734AB6">
        <w:rPr>
          <w:rFonts w:asciiTheme="majorHAnsi" w:hAnsiTheme="majorHAnsi" w:cs="Calibri"/>
        </w:rPr>
        <w:t xml:space="preserve">methylphenidate </w:t>
      </w:r>
      <w:r w:rsidRPr="00734AB6">
        <w:rPr>
          <w:rFonts w:asciiTheme="majorHAnsi" w:hAnsiTheme="majorHAnsi" w:cs="Calibri"/>
        </w:rPr>
        <w:t>and modafinil, there are other conflicting reports and there are a number of possible reasons for this, including potentially inaccurate met</w:t>
      </w:r>
      <w:r w:rsidR="002C485E" w:rsidRPr="00734AB6">
        <w:rPr>
          <w:rFonts w:asciiTheme="majorHAnsi" w:hAnsiTheme="majorHAnsi" w:cs="Calibri"/>
        </w:rPr>
        <w:t xml:space="preserve">hods and measures for testing. </w:t>
      </w:r>
      <w:r w:rsidRPr="00734AB6">
        <w:rPr>
          <w:rFonts w:asciiTheme="majorHAnsi" w:hAnsiTheme="majorHAnsi" w:cs="Calibri"/>
        </w:rPr>
        <w:t xml:space="preserve">It is clear that benefits are greater for those with a low baseline, suggesting individual differences in </w:t>
      </w:r>
      <w:r w:rsidRPr="00734AB6">
        <w:rPr>
          <w:rFonts w:asciiTheme="majorHAnsi" w:hAnsiTheme="majorHAnsi" w:cs="Calibri"/>
        </w:rPr>
        <w:lastRenderedPageBreak/>
        <w:t>response to dosage strengths of these drugs on the invert</w:t>
      </w:r>
      <w:r w:rsidR="002C485E" w:rsidRPr="00734AB6">
        <w:rPr>
          <w:rFonts w:asciiTheme="majorHAnsi" w:hAnsiTheme="majorHAnsi" w:cs="Calibri"/>
        </w:rPr>
        <w:t xml:space="preserve">ed U-shaped performance level. </w:t>
      </w:r>
      <w:r w:rsidRPr="00734AB6">
        <w:rPr>
          <w:rFonts w:asciiTheme="majorHAnsi" w:hAnsiTheme="majorHAnsi" w:cs="Calibri"/>
        </w:rPr>
        <w:t>Nevertheless, users are experiencing and perceiving benefits, suggesting that perhaps those who are experiencing the benefits are, in the main, low baseline performers, which also begs the question as to how many undiagnosed CED users are self-medicating, even if they are not</w:t>
      </w:r>
      <w:r w:rsidR="002C485E" w:rsidRPr="00734AB6">
        <w:rPr>
          <w:rFonts w:asciiTheme="majorHAnsi" w:hAnsiTheme="majorHAnsi" w:cs="Calibri"/>
        </w:rPr>
        <w:t xml:space="preserve"> aware that they are doing so. </w:t>
      </w:r>
    </w:p>
    <w:p w14:paraId="0AC07CD0"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0EDE11E8" w14:textId="357BF09D" w:rsidR="00E73007" w:rsidRPr="00734AB6" w:rsidRDefault="00507BB1" w:rsidP="00DA16AF">
      <w:pPr>
        <w:pStyle w:val="Heading2"/>
        <w:spacing w:after="240" w:line="360" w:lineRule="auto"/>
        <w:rPr>
          <w:b/>
          <w:color w:val="auto"/>
          <w:sz w:val="22"/>
          <w:szCs w:val="22"/>
        </w:rPr>
      </w:pPr>
      <w:bookmarkStart w:id="12" w:name="_Toc48136324"/>
      <w:r w:rsidRPr="00734AB6">
        <w:rPr>
          <w:b/>
          <w:color w:val="auto"/>
          <w:sz w:val="22"/>
          <w:szCs w:val="22"/>
        </w:rPr>
        <w:t>1.6</w:t>
      </w:r>
      <w:r w:rsidR="00D93A0A" w:rsidRPr="00734AB6">
        <w:rPr>
          <w:b/>
          <w:color w:val="auto"/>
          <w:sz w:val="22"/>
          <w:szCs w:val="22"/>
        </w:rPr>
        <w:tab/>
        <w:t xml:space="preserve">Risks and potential addiction </w:t>
      </w:r>
      <w:r w:rsidR="004E4383" w:rsidRPr="00734AB6">
        <w:rPr>
          <w:b/>
          <w:color w:val="auto"/>
          <w:sz w:val="22"/>
          <w:szCs w:val="22"/>
        </w:rPr>
        <w:t>associated with off-prescription use</w:t>
      </w:r>
      <w:bookmarkEnd w:id="12"/>
    </w:p>
    <w:p w14:paraId="7861B7DC" w14:textId="72A6D73E" w:rsidR="00E73007" w:rsidRPr="00734AB6" w:rsidRDefault="0019281C"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The term misuse signifies the improper use of a drug, such as using a drug for purposes it was not designed for and/or prescribed for (</w:t>
      </w:r>
      <w:proofErr w:type="spellStart"/>
      <w:r w:rsidRPr="00734AB6">
        <w:rPr>
          <w:rFonts w:asciiTheme="majorHAnsi" w:hAnsiTheme="majorHAnsi" w:cs="Calibri"/>
        </w:rPr>
        <w:t>Bossaer</w:t>
      </w:r>
      <w:proofErr w:type="spellEnd"/>
      <w:r w:rsidRPr="00734AB6">
        <w:rPr>
          <w:rFonts w:asciiTheme="majorHAnsi" w:hAnsiTheme="majorHAnsi" w:cs="Calibri"/>
        </w:rPr>
        <w:t xml:space="preserve"> et al.</w:t>
      </w:r>
      <w:r w:rsidR="002C485E" w:rsidRPr="00734AB6">
        <w:rPr>
          <w:rFonts w:asciiTheme="majorHAnsi" w:hAnsiTheme="majorHAnsi" w:cs="Calibri"/>
        </w:rPr>
        <w:t xml:space="preserve">, 2013). </w:t>
      </w:r>
      <w:r w:rsidRPr="00734AB6">
        <w:rPr>
          <w:rFonts w:asciiTheme="majorHAnsi" w:hAnsiTheme="majorHAnsi" w:cs="Calibri"/>
        </w:rPr>
        <w:t>Abuse, on the other hand, is defined as the continued use of a drug which results in substantial impairment, reflected in repeated use of the drug in dangerous conditions, and where this use results in social and legal issues (</w:t>
      </w:r>
      <w:proofErr w:type="spellStart"/>
      <w:r w:rsidRPr="00734AB6">
        <w:rPr>
          <w:rFonts w:asciiTheme="majorHAnsi" w:hAnsiTheme="majorHAnsi" w:cs="Calibri"/>
        </w:rPr>
        <w:t>Kol</w:t>
      </w:r>
      <w:r w:rsidR="002C485E" w:rsidRPr="00734AB6">
        <w:rPr>
          <w:rFonts w:asciiTheme="majorHAnsi" w:hAnsiTheme="majorHAnsi" w:cs="Calibri"/>
        </w:rPr>
        <w:t>lins</w:t>
      </w:r>
      <w:proofErr w:type="spellEnd"/>
      <w:r w:rsidR="002C485E" w:rsidRPr="00734AB6">
        <w:rPr>
          <w:rFonts w:asciiTheme="majorHAnsi" w:hAnsiTheme="majorHAnsi" w:cs="Calibri"/>
        </w:rPr>
        <w:t xml:space="preserve">, MacDonald &amp; Rush, 2001). </w:t>
      </w:r>
      <w:r w:rsidR="00E73007" w:rsidRPr="00734AB6">
        <w:rPr>
          <w:rFonts w:asciiTheme="majorHAnsi" w:hAnsiTheme="majorHAnsi" w:cs="Calibri"/>
        </w:rPr>
        <w:t>Determining whether</w:t>
      </w:r>
      <w:r w:rsidRPr="00734AB6">
        <w:rPr>
          <w:rFonts w:asciiTheme="majorHAnsi" w:hAnsiTheme="majorHAnsi" w:cs="Calibri"/>
        </w:rPr>
        <w:t xml:space="preserve"> the</w:t>
      </w:r>
      <w:r w:rsidR="00E73007" w:rsidRPr="00734AB6">
        <w:rPr>
          <w:rFonts w:asciiTheme="majorHAnsi" w:hAnsiTheme="majorHAnsi" w:cs="Calibri"/>
        </w:rPr>
        <w:t xml:space="preserve"> off-prescription use of CEDs is misuse or abuse is d</w:t>
      </w:r>
      <w:r w:rsidR="002C485E" w:rsidRPr="00734AB6">
        <w:rPr>
          <w:rFonts w:asciiTheme="majorHAnsi" w:hAnsiTheme="majorHAnsi" w:cs="Calibri"/>
        </w:rPr>
        <w:t xml:space="preserve">ifficult to accurately assess. </w:t>
      </w:r>
      <w:r w:rsidR="00E73007" w:rsidRPr="00734AB6">
        <w:rPr>
          <w:rFonts w:asciiTheme="majorHAnsi" w:hAnsiTheme="majorHAnsi" w:cs="Calibri"/>
        </w:rPr>
        <w:t>The off-prescription use of cognitive enhancers appears to be most commonly for the purpose of enhancing higher cognitive functions, as demonstrated in th</w:t>
      </w:r>
      <w:r w:rsidR="00D45470" w:rsidRPr="00734AB6">
        <w:rPr>
          <w:rFonts w:asciiTheme="majorHAnsi" w:hAnsiTheme="majorHAnsi" w:cs="Calibri"/>
        </w:rPr>
        <w:t>e current</w:t>
      </w:r>
      <w:r w:rsidR="00E73007" w:rsidRPr="00734AB6">
        <w:rPr>
          <w:rFonts w:asciiTheme="majorHAnsi" w:hAnsiTheme="majorHAnsi" w:cs="Calibri"/>
        </w:rPr>
        <w:t xml:space="preserve"> </w:t>
      </w:r>
      <w:r w:rsidR="0032111B" w:rsidRPr="00734AB6">
        <w:rPr>
          <w:rFonts w:asciiTheme="majorHAnsi" w:hAnsiTheme="majorHAnsi" w:cs="Calibri"/>
        </w:rPr>
        <w:t>chapter</w:t>
      </w:r>
      <w:r w:rsidR="00E73007" w:rsidRPr="00734AB6">
        <w:rPr>
          <w:rFonts w:asciiTheme="majorHAnsi" w:hAnsiTheme="majorHAnsi" w:cs="Calibri"/>
        </w:rPr>
        <w:t>, rather than for recreational use (</w:t>
      </w:r>
      <w:r w:rsidR="00E356F0" w:rsidRPr="00734AB6">
        <w:rPr>
          <w:rFonts w:asciiTheme="majorHAnsi" w:hAnsiTheme="majorHAnsi" w:cs="Calibri"/>
        </w:rPr>
        <w:t xml:space="preserve">i.e. to get high, </w:t>
      </w:r>
      <w:r w:rsidR="00E73007" w:rsidRPr="00734AB6">
        <w:rPr>
          <w:rFonts w:asciiTheme="majorHAnsi" w:hAnsiTheme="majorHAnsi" w:cs="Calibri"/>
        </w:rPr>
        <w:t>as seen with cocaine and hallu</w:t>
      </w:r>
      <w:r w:rsidR="002C485E" w:rsidRPr="00734AB6">
        <w:rPr>
          <w:rFonts w:asciiTheme="majorHAnsi" w:hAnsiTheme="majorHAnsi" w:cs="Calibri"/>
        </w:rPr>
        <w:t xml:space="preserve">cinogenic drugs, for example). </w:t>
      </w:r>
      <w:r w:rsidR="00E73007" w:rsidRPr="00734AB6">
        <w:rPr>
          <w:rFonts w:asciiTheme="majorHAnsi" w:hAnsiTheme="majorHAnsi" w:cs="Calibri"/>
        </w:rPr>
        <w:t>The question then, is whether this kind of drug use results in the patte</w:t>
      </w:r>
      <w:r w:rsidR="002C485E" w:rsidRPr="00734AB6">
        <w:rPr>
          <w:rFonts w:asciiTheme="majorHAnsi" w:hAnsiTheme="majorHAnsi" w:cs="Calibri"/>
        </w:rPr>
        <w:t xml:space="preserve">rn of abuse as defined above. </w:t>
      </w:r>
      <w:r w:rsidR="00E73007" w:rsidRPr="00734AB6">
        <w:rPr>
          <w:rFonts w:asciiTheme="majorHAnsi" w:hAnsiTheme="majorHAnsi" w:cs="Calibri"/>
        </w:rPr>
        <w:t xml:space="preserve">The pharmacological profile of </w:t>
      </w:r>
      <w:r w:rsidR="00412DE4" w:rsidRPr="00734AB6">
        <w:rPr>
          <w:rFonts w:asciiTheme="majorHAnsi" w:hAnsiTheme="majorHAnsi" w:cs="Calibri"/>
        </w:rPr>
        <w:t xml:space="preserve">methylphenidate </w:t>
      </w:r>
      <w:r w:rsidR="00E73007" w:rsidRPr="00734AB6">
        <w:rPr>
          <w:rFonts w:asciiTheme="majorHAnsi" w:hAnsiTheme="majorHAnsi" w:cs="Calibri"/>
        </w:rPr>
        <w:t xml:space="preserve">is similar to </w:t>
      </w:r>
      <w:r w:rsidR="00A00B0E" w:rsidRPr="00734AB6">
        <w:rPr>
          <w:rFonts w:asciiTheme="majorHAnsi" w:hAnsiTheme="majorHAnsi" w:cs="Calibri"/>
        </w:rPr>
        <w:t xml:space="preserve">that of </w:t>
      </w:r>
      <w:r w:rsidR="00E73007" w:rsidRPr="00734AB6">
        <w:rPr>
          <w:rFonts w:asciiTheme="majorHAnsi" w:hAnsiTheme="majorHAnsi" w:cs="Calibri"/>
        </w:rPr>
        <w:t xml:space="preserve">stimulants such as </w:t>
      </w:r>
      <w:r w:rsidR="005C6EFD" w:rsidRPr="00734AB6">
        <w:rPr>
          <w:rFonts w:asciiTheme="majorHAnsi" w:hAnsiTheme="majorHAnsi" w:cs="Calibri"/>
        </w:rPr>
        <w:t xml:space="preserve">amphetamine </w:t>
      </w:r>
      <w:r w:rsidR="00E73007" w:rsidRPr="00734AB6">
        <w:rPr>
          <w:rFonts w:asciiTheme="majorHAnsi" w:hAnsiTheme="majorHAnsi" w:cs="Calibri"/>
        </w:rPr>
        <w:t xml:space="preserve">and cocaine, and this </w:t>
      </w:r>
      <w:r w:rsidR="00A3195A" w:rsidRPr="00734AB6">
        <w:rPr>
          <w:rFonts w:asciiTheme="majorHAnsi" w:hAnsiTheme="majorHAnsi" w:cs="Calibri"/>
        </w:rPr>
        <w:t xml:space="preserve">similarity </w:t>
      </w:r>
      <w:r w:rsidR="00E73007" w:rsidRPr="00734AB6">
        <w:rPr>
          <w:rFonts w:asciiTheme="majorHAnsi" w:hAnsiTheme="majorHAnsi" w:cs="Calibri"/>
        </w:rPr>
        <w:t xml:space="preserve">has </w:t>
      </w:r>
      <w:r w:rsidR="00A3195A" w:rsidRPr="00734AB6">
        <w:rPr>
          <w:rFonts w:asciiTheme="majorHAnsi" w:hAnsiTheme="majorHAnsi" w:cs="Calibri"/>
        </w:rPr>
        <w:t xml:space="preserve">resulted in </w:t>
      </w:r>
      <w:r w:rsidR="00E73007" w:rsidRPr="00734AB6">
        <w:rPr>
          <w:rFonts w:asciiTheme="majorHAnsi" w:hAnsiTheme="majorHAnsi" w:cs="Calibri"/>
        </w:rPr>
        <w:t>much debate as to its abuse potential (</w:t>
      </w:r>
      <w:proofErr w:type="spellStart"/>
      <w:r w:rsidR="00E73007" w:rsidRPr="00734AB6">
        <w:rPr>
          <w:rFonts w:asciiTheme="majorHAnsi" w:hAnsiTheme="majorHAnsi" w:cs="Calibri"/>
        </w:rPr>
        <w:t>Kollins</w:t>
      </w:r>
      <w:proofErr w:type="spellEnd"/>
      <w:r w:rsidR="00E73007" w:rsidRPr="00734AB6">
        <w:rPr>
          <w:rFonts w:asciiTheme="majorHAnsi" w:hAnsiTheme="majorHAnsi" w:cs="Calibri"/>
        </w:rPr>
        <w:t xml:space="preserve"> </w:t>
      </w:r>
      <w:r w:rsidR="001B71DF" w:rsidRPr="00734AB6">
        <w:rPr>
          <w:rFonts w:asciiTheme="majorHAnsi" w:hAnsiTheme="majorHAnsi" w:cs="Calibri"/>
        </w:rPr>
        <w:t>et al.</w:t>
      </w:r>
      <w:r w:rsidR="00D57756" w:rsidRPr="00734AB6">
        <w:rPr>
          <w:rFonts w:asciiTheme="majorHAnsi" w:hAnsiTheme="majorHAnsi" w:cs="Calibri"/>
        </w:rPr>
        <w:t xml:space="preserve"> 2001</w:t>
      </w:r>
      <w:r w:rsidR="002C485E" w:rsidRPr="00734AB6">
        <w:rPr>
          <w:rFonts w:asciiTheme="majorHAnsi" w:hAnsiTheme="majorHAnsi" w:cs="Calibri"/>
        </w:rPr>
        <w:t xml:space="preserve">). </w:t>
      </w:r>
    </w:p>
    <w:p w14:paraId="1580F5E8"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2E8DF9A1" w14:textId="02888636" w:rsidR="004E4383" w:rsidRPr="00734AB6" w:rsidRDefault="004E4383" w:rsidP="00DA16AF">
      <w:pPr>
        <w:pStyle w:val="Heading3"/>
        <w:spacing w:after="240" w:line="360" w:lineRule="auto"/>
        <w:rPr>
          <w:b/>
          <w:color w:val="auto"/>
          <w:sz w:val="22"/>
          <w:szCs w:val="22"/>
        </w:rPr>
      </w:pPr>
      <w:bookmarkStart w:id="13" w:name="_Toc48136325"/>
      <w:r w:rsidRPr="00734AB6">
        <w:rPr>
          <w:b/>
          <w:color w:val="auto"/>
          <w:sz w:val="22"/>
          <w:szCs w:val="22"/>
        </w:rPr>
        <w:t>1.</w:t>
      </w:r>
      <w:r w:rsidR="00507BB1" w:rsidRPr="00734AB6">
        <w:rPr>
          <w:b/>
          <w:color w:val="auto"/>
          <w:sz w:val="22"/>
          <w:szCs w:val="22"/>
        </w:rPr>
        <w:t>6</w:t>
      </w:r>
      <w:r w:rsidRPr="00734AB6">
        <w:rPr>
          <w:b/>
          <w:color w:val="auto"/>
          <w:sz w:val="22"/>
          <w:szCs w:val="22"/>
        </w:rPr>
        <w:t>.1</w:t>
      </w:r>
      <w:r w:rsidRPr="00734AB6">
        <w:rPr>
          <w:b/>
          <w:color w:val="auto"/>
          <w:sz w:val="22"/>
          <w:szCs w:val="22"/>
        </w:rPr>
        <w:tab/>
      </w:r>
      <w:r w:rsidR="009F2DDD" w:rsidRPr="00734AB6">
        <w:rPr>
          <w:b/>
          <w:color w:val="auto"/>
          <w:sz w:val="22"/>
          <w:szCs w:val="22"/>
        </w:rPr>
        <w:t xml:space="preserve">Risks and potential addiction: </w:t>
      </w:r>
      <w:r w:rsidRPr="00734AB6">
        <w:rPr>
          <w:b/>
          <w:color w:val="auto"/>
          <w:sz w:val="22"/>
          <w:szCs w:val="22"/>
        </w:rPr>
        <w:t>Methylphenidate</w:t>
      </w:r>
      <w:bookmarkEnd w:id="13"/>
    </w:p>
    <w:p w14:paraId="3907B638" w14:textId="5CEAE884" w:rsidR="003B61F2" w:rsidRPr="00734AB6" w:rsidRDefault="003B61F2" w:rsidP="003B61F2">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Findings, albeit from animal rather than human studies, clearly indicate methylphenidate‘s potential for abuse, but it is also clear that this potential is less for orally administered doses.</w:t>
      </w:r>
    </w:p>
    <w:p w14:paraId="57D7772B" w14:textId="3EBC2904"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 study on prolonged </w:t>
      </w:r>
      <w:r w:rsidR="00412DE4" w:rsidRPr="00734AB6">
        <w:rPr>
          <w:rFonts w:asciiTheme="majorHAnsi" w:hAnsiTheme="majorHAnsi" w:cs="Calibri"/>
        </w:rPr>
        <w:t xml:space="preserve">methylphenidate </w:t>
      </w:r>
      <w:r w:rsidRPr="00734AB6">
        <w:rPr>
          <w:rFonts w:asciiTheme="majorHAnsi" w:hAnsiTheme="majorHAnsi" w:cs="Calibri"/>
        </w:rPr>
        <w:t xml:space="preserve">treatment in rats looked at how long-term treatment with </w:t>
      </w:r>
      <w:r w:rsidR="00412DE4" w:rsidRPr="00734AB6">
        <w:rPr>
          <w:rFonts w:asciiTheme="majorHAnsi" w:hAnsiTheme="majorHAnsi" w:cs="Calibri"/>
        </w:rPr>
        <w:t xml:space="preserve">methylphenidate </w:t>
      </w:r>
      <w:r w:rsidRPr="00734AB6">
        <w:rPr>
          <w:rFonts w:asciiTheme="majorHAnsi" w:hAnsiTheme="majorHAnsi" w:cs="Calibri"/>
        </w:rPr>
        <w:t>may affect the mammalian circadian rhythm activities (</w:t>
      </w:r>
      <w:proofErr w:type="spellStart"/>
      <w:r w:rsidRPr="00734AB6">
        <w:rPr>
          <w:rFonts w:asciiTheme="majorHAnsi" w:hAnsiTheme="majorHAnsi" w:cs="Calibri"/>
        </w:rPr>
        <w:t>Algahim</w:t>
      </w:r>
      <w:proofErr w:type="spellEnd"/>
      <w:r w:rsidRPr="00734AB6">
        <w:rPr>
          <w:rFonts w:asciiTheme="majorHAnsi" w:hAnsiTheme="majorHAnsi" w:cs="Calibri"/>
        </w:rPr>
        <w:t xml:space="preserve"> </w:t>
      </w:r>
      <w:r w:rsidR="001B71DF" w:rsidRPr="00734AB6">
        <w:rPr>
          <w:rFonts w:asciiTheme="majorHAnsi" w:hAnsiTheme="majorHAnsi" w:cs="Calibri"/>
        </w:rPr>
        <w:t>et al.</w:t>
      </w:r>
      <w:r w:rsidR="002C485E" w:rsidRPr="00734AB6">
        <w:rPr>
          <w:rFonts w:asciiTheme="majorHAnsi" w:hAnsiTheme="majorHAnsi" w:cs="Calibri"/>
        </w:rPr>
        <w:t xml:space="preserve">, 2009). </w:t>
      </w:r>
      <w:r w:rsidRPr="00734AB6">
        <w:rPr>
          <w:rFonts w:asciiTheme="majorHAnsi" w:hAnsiTheme="majorHAnsi" w:cs="Calibri"/>
        </w:rPr>
        <w:t xml:space="preserve">Circadian rhythms </w:t>
      </w:r>
      <w:r w:rsidR="004E4383" w:rsidRPr="00734AB6">
        <w:rPr>
          <w:rFonts w:asciiTheme="majorHAnsi" w:hAnsiTheme="majorHAnsi" w:cs="Calibri"/>
        </w:rPr>
        <w:t>regulate</w:t>
      </w:r>
      <w:r w:rsidRPr="00734AB6">
        <w:rPr>
          <w:rFonts w:asciiTheme="majorHAnsi" w:hAnsiTheme="majorHAnsi" w:cs="Calibri"/>
        </w:rPr>
        <w:t xml:space="preserve"> daily physiological functions (such as secretion of hormones)</w:t>
      </w:r>
      <w:r w:rsidR="0032111B" w:rsidRPr="00734AB6">
        <w:rPr>
          <w:rFonts w:asciiTheme="majorHAnsi" w:hAnsiTheme="majorHAnsi" w:cs="Calibri"/>
        </w:rPr>
        <w:t xml:space="preserve"> and</w:t>
      </w:r>
      <w:r w:rsidRPr="00734AB6">
        <w:rPr>
          <w:rFonts w:asciiTheme="majorHAnsi" w:hAnsiTheme="majorHAnsi" w:cs="Calibri"/>
        </w:rPr>
        <w:t xml:space="preserve"> </w:t>
      </w:r>
      <w:r w:rsidR="004E4383" w:rsidRPr="00734AB6">
        <w:rPr>
          <w:rFonts w:asciiTheme="majorHAnsi" w:hAnsiTheme="majorHAnsi" w:cs="Calibri"/>
        </w:rPr>
        <w:t>maintain</w:t>
      </w:r>
      <w:r w:rsidRPr="00734AB6">
        <w:rPr>
          <w:rFonts w:asciiTheme="majorHAnsi" w:hAnsiTheme="majorHAnsi" w:cs="Calibri"/>
        </w:rPr>
        <w:t xml:space="preserve"> homeostasis in relation to the external environmental cues</w:t>
      </w:r>
      <w:r w:rsidR="0032111B" w:rsidRPr="00734AB6">
        <w:rPr>
          <w:rFonts w:asciiTheme="majorHAnsi" w:hAnsiTheme="majorHAnsi" w:cs="Calibri"/>
        </w:rPr>
        <w:t>,</w:t>
      </w:r>
      <w:r w:rsidRPr="00734AB6">
        <w:rPr>
          <w:rFonts w:asciiTheme="majorHAnsi" w:hAnsiTheme="majorHAnsi" w:cs="Calibri"/>
        </w:rPr>
        <w:t xml:space="preserve"> such as light and dark (Luce, 1971). These circadian rhythms operate like an internal clock</w:t>
      </w:r>
      <w:r w:rsidR="00986FAA" w:rsidRPr="00734AB6">
        <w:rPr>
          <w:rFonts w:asciiTheme="majorHAnsi" w:hAnsiTheme="majorHAnsi" w:cs="Calibri"/>
        </w:rPr>
        <w:t xml:space="preserve"> (</w:t>
      </w:r>
      <w:proofErr w:type="spellStart"/>
      <w:r w:rsidR="00986FAA" w:rsidRPr="00734AB6">
        <w:rPr>
          <w:rFonts w:asciiTheme="majorHAnsi" w:hAnsiTheme="majorHAnsi" w:cs="Calibri"/>
        </w:rPr>
        <w:t>Vitaterna</w:t>
      </w:r>
      <w:proofErr w:type="spellEnd"/>
      <w:r w:rsidR="00986FAA" w:rsidRPr="00734AB6">
        <w:rPr>
          <w:rFonts w:asciiTheme="majorHAnsi" w:hAnsiTheme="majorHAnsi" w:cs="Calibri"/>
        </w:rPr>
        <w:t xml:space="preserve">, Takahashi &amp; </w:t>
      </w:r>
      <w:proofErr w:type="spellStart"/>
      <w:r w:rsidR="00986FAA" w:rsidRPr="00734AB6">
        <w:rPr>
          <w:rFonts w:asciiTheme="majorHAnsi" w:hAnsiTheme="majorHAnsi" w:cs="Calibri"/>
        </w:rPr>
        <w:t>Turek</w:t>
      </w:r>
      <w:proofErr w:type="spellEnd"/>
      <w:r w:rsidR="00986FAA" w:rsidRPr="00734AB6">
        <w:rPr>
          <w:rFonts w:asciiTheme="majorHAnsi" w:hAnsiTheme="majorHAnsi" w:cs="Calibri"/>
        </w:rPr>
        <w:t>, 2001)</w:t>
      </w:r>
      <w:r w:rsidRPr="00734AB6">
        <w:rPr>
          <w:rFonts w:asciiTheme="majorHAnsi" w:hAnsiTheme="majorHAnsi" w:cs="Calibri"/>
        </w:rPr>
        <w:t xml:space="preserve"> but have been found to be modified by other psychostimulants such as cocaine and are believed to act by modifying gene expression (Wang </w:t>
      </w:r>
      <w:r w:rsidR="001B71DF" w:rsidRPr="00734AB6">
        <w:rPr>
          <w:rFonts w:asciiTheme="majorHAnsi" w:hAnsiTheme="majorHAnsi" w:cs="Calibri"/>
        </w:rPr>
        <w:t>et al.</w:t>
      </w:r>
      <w:r w:rsidR="002C485E" w:rsidRPr="00734AB6">
        <w:rPr>
          <w:rFonts w:asciiTheme="majorHAnsi" w:hAnsiTheme="majorHAnsi" w:cs="Calibri"/>
        </w:rPr>
        <w:t>, 2006).</w:t>
      </w:r>
      <w:r w:rsidRPr="00734AB6">
        <w:rPr>
          <w:rFonts w:asciiTheme="majorHAnsi" w:hAnsiTheme="majorHAnsi" w:cs="Calibri"/>
        </w:rPr>
        <w:t xml:space="preserve"> </w:t>
      </w:r>
      <w:proofErr w:type="spellStart"/>
      <w:r w:rsidRPr="00734AB6">
        <w:rPr>
          <w:rFonts w:asciiTheme="majorHAnsi" w:hAnsiTheme="majorHAnsi" w:cs="Calibri"/>
        </w:rPr>
        <w:t>Algahim</w:t>
      </w:r>
      <w:proofErr w:type="spellEnd"/>
      <w:r w:rsidRPr="00734AB6">
        <w:rPr>
          <w:rFonts w:asciiTheme="majorHAnsi" w:hAnsiTheme="majorHAnsi" w:cs="Calibri"/>
        </w:rPr>
        <w:t xml:space="preserve"> </w:t>
      </w:r>
      <w:r w:rsidR="001B71DF" w:rsidRPr="00734AB6">
        <w:rPr>
          <w:rFonts w:asciiTheme="majorHAnsi" w:hAnsiTheme="majorHAnsi" w:cs="Calibri"/>
        </w:rPr>
        <w:t>et al.</w:t>
      </w:r>
      <w:r w:rsidR="00313FAC" w:rsidRPr="00734AB6">
        <w:rPr>
          <w:rFonts w:asciiTheme="majorHAnsi" w:hAnsiTheme="majorHAnsi" w:cs="Calibri"/>
        </w:rPr>
        <w:t>’s</w:t>
      </w:r>
      <w:r w:rsidRPr="00734AB6">
        <w:rPr>
          <w:rFonts w:asciiTheme="majorHAnsi" w:hAnsiTheme="majorHAnsi" w:cs="Calibri"/>
        </w:rPr>
        <w:t xml:space="preserve"> </w:t>
      </w:r>
      <w:r w:rsidR="00D57756" w:rsidRPr="00734AB6">
        <w:rPr>
          <w:rFonts w:asciiTheme="majorHAnsi" w:hAnsiTheme="majorHAnsi" w:cs="Calibri"/>
        </w:rPr>
        <w:t xml:space="preserve">(2009) </w:t>
      </w:r>
      <w:r w:rsidRPr="00734AB6">
        <w:rPr>
          <w:rFonts w:asciiTheme="majorHAnsi" w:hAnsiTheme="majorHAnsi" w:cs="Calibri"/>
        </w:rPr>
        <w:t xml:space="preserve">study found that prolonged </w:t>
      </w:r>
      <w:r w:rsidR="00412DE4" w:rsidRPr="00734AB6">
        <w:rPr>
          <w:rFonts w:asciiTheme="majorHAnsi" w:hAnsiTheme="majorHAnsi" w:cs="Calibri"/>
        </w:rPr>
        <w:t xml:space="preserve">methylphenidate </w:t>
      </w:r>
      <w:r w:rsidRPr="00734AB6">
        <w:rPr>
          <w:rFonts w:asciiTheme="majorHAnsi" w:hAnsiTheme="majorHAnsi" w:cs="Calibri"/>
        </w:rPr>
        <w:t xml:space="preserve">treatment modulated the rats’ circadian </w:t>
      </w:r>
      <w:r w:rsidRPr="00734AB6">
        <w:rPr>
          <w:rFonts w:asciiTheme="majorHAnsi" w:hAnsiTheme="majorHAnsi" w:cs="Calibri"/>
        </w:rPr>
        <w:lastRenderedPageBreak/>
        <w:t>rhyth</w:t>
      </w:r>
      <w:r w:rsidR="002C485E" w:rsidRPr="00734AB6">
        <w:rPr>
          <w:rFonts w:asciiTheme="majorHAnsi" w:hAnsiTheme="majorHAnsi" w:cs="Calibri"/>
        </w:rPr>
        <w:t xml:space="preserve">ms in a dose-dependent manner. </w:t>
      </w:r>
      <w:r w:rsidRPr="00734AB6">
        <w:rPr>
          <w:rFonts w:asciiTheme="majorHAnsi" w:hAnsiTheme="majorHAnsi" w:cs="Calibri"/>
        </w:rPr>
        <w:t>The study also found indications of dose-dependent tolerance and sensitization and that withholding the drug after six consecutive days of dosing resulted in behaviour changes indicative of withdrawal effects (</w:t>
      </w:r>
      <w:proofErr w:type="spellStart"/>
      <w:r w:rsidRPr="00734AB6">
        <w:rPr>
          <w:rFonts w:asciiTheme="majorHAnsi" w:hAnsiTheme="majorHAnsi" w:cs="Calibri"/>
        </w:rPr>
        <w:t>Algahim</w:t>
      </w:r>
      <w:proofErr w:type="spellEnd"/>
      <w:r w:rsidRPr="00734AB6">
        <w:rPr>
          <w:rFonts w:asciiTheme="majorHAnsi" w:hAnsiTheme="majorHAnsi" w:cs="Calibri"/>
        </w:rPr>
        <w:t xml:space="preserve"> </w:t>
      </w:r>
      <w:r w:rsidR="001B71DF" w:rsidRPr="00734AB6">
        <w:rPr>
          <w:rFonts w:asciiTheme="majorHAnsi" w:hAnsiTheme="majorHAnsi" w:cs="Calibri"/>
        </w:rPr>
        <w:t>et al.</w:t>
      </w:r>
      <w:r w:rsidR="00D57756" w:rsidRPr="00734AB6">
        <w:rPr>
          <w:rFonts w:asciiTheme="majorHAnsi" w:hAnsiTheme="majorHAnsi" w:cs="Calibri"/>
        </w:rPr>
        <w:t>, 2009</w:t>
      </w:r>
      <w:r w:rsidR="002C485E" w:rsidRPr="00734AB6">
        <w:rPr>
          <w:rFonts w:asciiTheme="majorHAnsi" w:hAnsiTheme="majorHAnsi" w:cs="Calibri"/>
        </w:rPr>
        <w:t xml:space="preserve">). </w:t>
      </w:r>
      <w:r w:rsidRPr="00734AB6">
        <w:rPr>
          <w:rFonts w:asciiTheme="majorHAnsi" w:hAnsiTheme="majorHAnsi" w:cs="Calibri"/>
        </w:rPr>
        <w:t>These findings suggest a possible addictive</w:t>
      </w:r>
      <w:r w:rsidR="009E64A1" w:rsidRPr="00734AB6">
        <w:rPr>
          <w:rFonts w:asciiTheme="majorHAnsi" w:hAnsiTheme="majorHAnsi" w:cs="Calibri"/>
        </w:rPr>
        <w:t xml:space="preserve"> quality/abuse potential in </w:t>
      </w:r>
      <w:r w:rsidR="00412DE4" w:rsidRPr="00734AB6">
        <w:rPr>
          <w:rFonts w:asciiTheme="majorHAnsi" w:hAnsiTheme="majorHAnsi" w:cs="Calibri"/>
        </w:rPr>
        <w:t>methylphenidate</w:t>
      </w:r>
      <w:r w:rsidR="002C485E" w:rsidRPr="00734AB6">
        <w:rPr>
          <w:rFonts w:asciiTheme="majorHAnsi" w:hAnsiTheme="majorHAnsi" w:cs="Calibri"/>
        </w:rPr>
        <w:t xml:space="preserve">. </w:t>
      </w:r>
      <w:r w:rsidR="00913D17" w:rsidRPr="00734AB6">
        <w:rPr>
          <w:rFonts w:asciiTheme="majorHAnsi" w:hAnsiTheme="majorHAnsi" w:cs="Calibri"/>
        </w:rPr>
        <w:t>In humans, the off-prescription use of methylphenidate may also lead to</w:t>
      </w:r>
      <w:r w:rsidR="009E64A1" w:rsidRPr="00734AB6">
        <w:rPr>
          <w:rFonts w:asciiTheme="majorHAnsi" w:hAnsiTheme="majorHAnsi" w:cs="Calibri"/>
        </w:rPr>
        <w:t xml:space="preserve"> </w:t>
      </w:r>
      <w:r w:rsidR="00913D17" w:rsidRPr="00734AB6">
        <w:rPr>
          <w:rFonts w:asciiTheme="majorHAnsi" w:hAnsiTheme="majorHAnsi" w:cs="Calibri"/>
        </w:rPr>
        <w:t>the development of</w:t>
      </w:r>
      <w:r w:rsidR="009E64A1" w:rsidRPr="00734AB6">
        <w:rPr>
          <w:rFonts w:asciiTheme="majorHAnsi" w:hAnsiTheme="majorHAnsi" w:cs="Calibri"/>
        </w:rPr>
        <w:t xml:space="preserve"> insomnia via disruption </w:t>
      </w:r>
      <w:r w:rsidR="00BD0074" w:rsidRPr="00734AB6">
        <w:rPr>
          <w:rFonts w:asciiTheme="majorHAnsi" w:hAnsiTheme="majorHAnsi" w:cs="Calibri"/>
        </w:rPr>
        <w:t>to</w:t>
      </w:r>
      <w:r w:rsidR="009E64A1" w:rsidRPr="00734AB6">
        <w:rPr>
          <w:rFonts w:asciiTheme="majorHAnsi" w:hAnsiTheme="majorHAnsi" w:cs="Calibri"/>
        </w:rPr>
        <w:t xml:space="preserve"> circadian rhythms.</w:t>
      </w:r>
      <w:r w:rsidR="002C485E" w:rsidRPr="00734AB6">
        <w:rPr>
          <w:rFonts w:asciiTheme="majorHAnsi" w:hAnsiTheme="majorHAnsi" w:cs="Calibri"/>
        </w:rPr>
        <w:t xml:space="preserve"> </w:t>
      </w:r>
    </w:p>
    <w:p w14:paraId="09A01FCB" w14:textId="6C080104" w:rsidR="00ED0608" w:rsidRPr="00734AB6" w:rsidRDefault="00631F67" w:rsidP="0099584D">
      <w:pPr>
        <w:widowControl w:val="0"/>
        <w:autoSpaceDE w:val="0"/>
        <w:autoSpaceDN w:val="0"/>
        <w:adjustRightInd w:val="0"/>
        <w:spacing w:after="240" w:line="360" w:lineRule="auto"/>
        <w:ind w:firstLine="851"/>
        <w:rPr>
          <w:rFonts w:asciiTheme="majorHAnsi" w:hAnsiTheme="majorHAnsi" w:cs="Calibri"/>
        </w:rPr>
      </w:pPr>
      <w:proofErr w:type="spellStart"/>
      <w:r w:rsidRPr="00734AB6">
        <w:rPr>
          <w:rFonts w:asciiTheme="majorHAnsi" w:hAnsiTheme="majorHAnsi" w:cs="Calibri"/>
        </w:rPr>
        <w:t>Botly</w:t>
      </w:r>
      <w:proofErr w:type="spellEnd"/>
      <w:r w:rsidRPr="00734AB6">
        <w:rPr>
          <w:rFonts w:asciiTheme="majorHAnsi" w:hAnsiTheme="majorHAnsi" w:cs="Calibri"/>
        </w:rPr>
        <w:t xml:space="preserve">, Burton, </w:t>
      </w:r>
      <w:proofErr w:type="spellStart"/>
      <w:r w:rsidRPr="00734AB6">
        <w:rPr>
          <w:rFonts w:asciiTheme="majorHAnsi" w:hAnsiTheme="majorHAnsi" w:cs="Calibri"/>
        </w:rPr>
        <w:t>Rizos</w:t>
      </w:r>
      <w:proofErr w:type="spellEnd"/>
      <w:r w:rsidRPr="00734AB6">
        <w:rPr>
          <w:rFonts w:asciiTheme="majorHAnsi" w:hAnsiTheme="majorHAnsi" w:cs="Calibri"/>
        </w:rPr>
        <w:t xml:space="preserve"> and Fletcher (2008)</w:t>
      </w:r>
      <w:r w:rsidR="00E73007" w:rsidRPr="00734AB6">
        <w:rPr>
          <w:rFonts w:asciiTheme="majorHAnsi" w:hAnsiTheme="majorHAnsi" w:cs="Calibri"/>
        </w:rPr>
        <w:t xml:space="preserve"> investigated the self-administration of </w:t>
      </w:r>
      <w:r w:rsidR="00412DE4" w:rsidRPr="00734AB6">
        <w:rPr>
          <w:rFonts w:asciiTheme="majorHAnsi" w:hAnsiTheme="majorHAnsi" w:cs="Calibri"/>
        </w:rPr>
        <w:t xml:space="preserve">methylphenidate </w:t>
      </w:r>
      <w:r w:rsidR="00E73007" w:rsidRPr="00734AB6">
        <w:rPr>
          <w:rFonts w:asciiTheme="majorHAnsi" w:hAnsiTheme="majorHAnsi" w:cs="Calibri"/>
        </w:rPr>
        <w:t>in rats via an intravenous catheter u</w:t>
      </w:r>
      <w:r w:rsidRPr="00734AB6">
        <w:rPr>
          <w:rFonts w:asciiTheme="majorHAnsi" w:hAnsiTheme="majorHAnsi" w:cs="Calibri"/>
        </w:rPr>
        <w:t>sing schedules of reinforcement</w:t>
      </w:r>
      <w:r w:rsidR="002C485E" w:rsidRPr="00734AB6">
        <w:rPr>
          <w:rFonts w:asciiTheme="majorHAnsi" w:hAnsiTheme="majorHAnsi" w:cs="Calibri"/>
        </w:rPr>
        <w:t xml:space="preserve">. </w:t>
      </w:r>
      <w:proofErr w:type="spellStart"/>
      <w:r w:rsidR="00913D17" w:rsidRPr="00734AB6">
        <w:rPr>
          <w:rFonts w:asciiTheme="majorHAnsi" w:hAnsiTheme="majorHAnsi" w:cs="Calibri"/>
        </w:rPr>
        <w:t>Botly</w:t>
      </w:r>
      <w:proofErr w:type="spellEnd"/>
      <w:r w:rsidR="00913D17" w:rsidRPr="00734AB6">
        <w:rPr>
          <w:rFonts w:asciiTheme="majorHAnsi" w:hAnsiTheme="majorHAnsi" w:cs="Calibri"/>
        </w:rPr>
        <w:t xml:space="preserve"> et al.</w:t>
      </w:r>
      <w:r w:rsidR="00D57756" w:rsidRPr="00734AB6">
        <w:rPr>
          <w:rFonts w:asciiTheme="majorHAnsi" w:hAnsiTheme="majorHAnsi" w:cs="Calibri"/>
        </w:rPr>
        <w:t xml:space="preserve"> (2008)</w:t>
      </w:r>
      <w:r w:rsidR="00913D17" w:rsidRPr="00734AB6">
        <w:rPr>
          <w:rFonts w:asciiTheme="majorHAnsi" w:hAnsiTheme="majorHAnsi" w:cs="Calibri"/>
        </w:rPr>
        <w:t xml:space="preserve"> </w:t>
      </w:r>
      <w:r w:rsidR="00E73007" w:rsidRPr="00734AB6">
        <w:rPr>
          <w:rFonts w:asciiTheme="majorHAnsi" w:hAnsiTheme="majorHAnsi" w:cs="Calibri"/>
        </w:rPr>
        <w:t xml:space="preserve">found that rats willingly self-administered </w:t>
      </w:r>
      <w:r w:rsidR="00412DE4" w:rsidRPr="00734AB6">
        <w:rPr>
          <w:rFonts w:asciiTheme="majorHAnsi" w:hAnsiTheme="majorHAnsi" w:cs="Calibri"/>
        </w:rPr>
        <w:t xml:space="preserve">methylphenidate </w:t>
      </w:r>
      <w:r w:rsidR="00E73007" w:rsidRPr="00734AB6">
        <w:rPr>
          <w:rFonts w:asciiTheme="majorHAnsi" w:hAnsiTheme="majorHAnsi" w:cs="Calibri"/>
        </w:rPr>
        <w:t xml:space="preserve">on both fixed ratio (x1) and progressive ratio (PR) reinforcement schedules in a dose-dependent manner. For the PR schedules, after each infusion of </w:t>
      </w:r>
      <w:r w:rsidR="00412DE4" w:rsidRPr="00734AB6">
        <w:rPr>
          <w:rFonts w:asciiTheme="majorHAnsi" w:hAnsiTheme="majorHAnsi" w:cs="Calibri"/>
        </w:rPr>
        <w:t xml:space="preserve">methylphenidate </w:t>
      </w:r>
      <w:r w:rsidR="00E73007" w:rsidRPr="00734AB6">
        <w:rPr>
          <w:rFonts w:asciiTheme="majorHAnsi" w:hAnsiTheme="majorHAnsi" w:cs="Calibri"/>
        </w:rPr>
        <w:t>a greater number of responses were required for the next infusion until either a period of one hour without infusion or a maximum of five hours in length had been reached</w:t>
      </w:r>
      <w:r w:rsidR="002C485E" w:rsidRPr="00734AB6">
        <w:rPr>
          <w:rFonts w:asciiTheme="majorHAnsi" w:hAnsiTheme="majorHAnsi" w:cs="Calibri"/>
        </w:rPr>
        <w:t xml:space="preserve">, signifying a breaking point. </w:t>
      </w:r>
      <w:r w:rsidR="00E73007" w:rsidRPr="00734AB6">
        <w:rPr>
          <w:rFonts w:asciiTheme="majorHAnsi" w:hAnsiTheme="majorHAnsi" w:cs="Calibri"/>
        </w:rPr>
        <w:t xml:space="preserve">Their PR schedule experiments demonstrated that rats would press a lever 2500 times over 100 minutes to receive </w:t>
      </w:r>
      <w:r w:rsidR="00412DE4" w:rsidRPr="00734AB6">
        <w:rPr>
          <w:rFonts w:asciiTheme="majorHAnsi" w:hAnsiTheme="majorHAnsi" w:cs="Calibri"/>
        </w:rPr>
        <w:t>methylphenidate</w:t>
      </w:r>
      <w:r w:rsidR="00D56C44" w:rsidRPr="00734AB6">
        <w:rPr>
          <w:rFonts w:asciiTheme="majorHAnsi" w:hAnsiTheme="majorHAnsi" w:cs="Calibri"/>
        </w:rPr>
        <w:t>.</w:t>
      </w:r>
      <w:r w:rsidR="00412DE4" w:rsidRPr="00734AB6">
        <w:rPr>
          <w:rFonts w:asciiTheme="majorHAnsi" w:hAnsiTheme="majorHAnsi" w:cs="Calibri"/>
        </w:rPr>
        <w:t xml:space="preserve"> </w:t>
      </w:r>
      <w:r w:rsidR="00D56C44" w:rsidRPr="00734AB6">
        <w:rPr>
          <w:rFonts w:asciiTheme="majorHAnsi" w:hAnsiTheme="majorHAnsi" w:cs="Calibri"/>
        </w:rPr>
        <w:t>T</w:t>
      </w:r>
      <w:r w:rsidR="00E73007" w:rsidRPr="00734AB6">
        <w:rPr>
          <w:rFonts w:asciiTheme="majorHAnsi" w:hAnsiTheme="majorHAnsi" w:cs="Calibri"/>
        </w:rPr>
        <w:t xml:space="preserve">he higher the dose, the higher the breaking point, indicating that rats will work hard and to high ratios to receive this drug. </w:t>
      </w:r>
      <w:proofErr w:type="spellStart"/>
      <w:r w:rsidR="00E73007" w:rsidRPr="00734AB6">
        <w:rPr>
          <w:rFonts w:asciiTheme="majorHAnsi" w:hAnsiTheme="majorHAnsi" w:cs="Calibri"/>
        </w:rPr>
        <w:t>Botly</w:t>
      </w:r>
      <w:proofErr w:type="spellEnd"/>
      <w:r w:rsidR="00E73007" w:rsidRPr="00734AB6">
        <w:rPr>
          <w:rFonts w:asciiTheme="majorHAnsi" w:hAnsiTheme="majorHAnsi" w:cs="Calibri"/>
        </w:rPr>
        <w:t xml:space="preserve"> </w:t>
      </w:r>
      <w:r w:rsidR="001B71DF" w:rsidRPr="00734AB6">
        <w:rPr>
          <w:rFonts w:asciiTheme="majorHAnsi" w:hAnsiTheme="majorHAnsi" w:cs="Calibri"/>
        </w:rPr>
        <w:t>et al.</w:t>
      </w:r>
      <w:r w:rsidR="00E73007" w:rsidRPr="00734AB6">
        <w:rPr>
          <w:rFonts w:asciiTheme="majorHAnsi" w:hAnsiTheme="majorHAnsi" w:cs="Calibri"/>
        </w:rPr>
        <w:t xml:space="preserve"> </w:t>
      </w:r>
      <w:r w:rsidRPr="00734AB6">
        <w:rPr>
          <w:rFonts w:asciiTheme="majorHAnsi" w:hAnsiTheme="majorHAnsi" w:cs="Calibri"/>
        </w:rPr>
        <w:t xml:space="preserve">also </w:t>
      </w:r>
      <w:r w:rsidR="00D56C44" w:rsidRPr="00734AB6">
        <w:rPr>
          <w:rFonts w:asciiTheme="majorHAnsi" w:hAnsiTheme="majorHAnsi" w:cs="Calibri"/>
        </w:rPr>
        <w:t>reported that,</w:t>
      </w:r>
      <w:r w:rsidR="00E73007" w:rsidRPr="00734AB6">
        <w:rPr>
          <w:rFonts w:asciiTheme="majorHAnsi" w:hAnsiTheme="majorHAnsi" w:cs="Calibri"/>
        </w:rPr>
        <w:t xml:space="preserve"> following extinction of drug-seeking behaviour, re-exposure </w:t>
      </w:r>
      <w:r w:rsidR="00E40B89" w:rsidRPr="00734AB6">
        <w:rPr>
          <w:rFonts w:asciiTheme="majorHAnsi" w:hAnsiTheme="majorHAnsi" w:cs="Calibri"/>
        </w:rPr>
        <w:t>to</w:t>
      </w:r>
      <w:r w:rsidR="00E73007" w:rsidRPr="00734AB6">
        <w:rPr>
          <w:rFonts w:asciiTheme="majorHAnsi" w:hAnsiTheme="majorHAnsi" w:cs="Calibri"/>
        </w:rPr>
        <w:t xml:space="preserve"> </w:t>
      </w:r>
      <w:r w:rsidR="00412DE4" w:rsidRPr="00734AB6">
        <w:rPr>
          <w:rFonts w:asciiTheme="majorHAnsi" w:hAnsiTheme="majorHAnsi" w:cs="Calibri"/>
        </w:rPr>
        <w:t xml:space="preserve">methylphenidate </w:t>
      </w:r>
      <w:r w:rsidR="00E73007" w:rsidRPr="00734AB6">
        <w:rPr>
          <w:rFonts w:asciiTheme="majorHAnsi" w:hAnsiTheme="majorHAnsi" w:cs="Calibri"/>
        </w:rPr>
        <w:t>would reinstate this behaviour</w:t>
      </w:r>
      <w:r w:rsidR="002C485E" w:rsidRPr="00734AB6">
        <w:rPr>
          <w:rFonts w:asciiTheme="majorHAnsi" w:hAnsiTheme="majorHAnsi" w:cs="Calibri"/>
        </w:rPr>
        <w:t xml:space="preserve">. </w:t>
      </w:r>
      <w:r w:rsidR="00E73007" w:rsidRPr="00734AB6">
        <w:rPr>
          <w:rFonts w:asciiTheme="majorHAnsi" w:hAnsiTheme="majorHAnsi" w:cs="Calibri"/>
        </w:rPr>
        <w:t xml:space="preserve">The authors argued that this behaviour is probably a significant factor </w:t>
      </w:r>
      <w:r w:rsidR="002C485E" w:rsidRPr="00734AB6">
        <w:rPr>
          <w:rFonts w:asciiTheme="majorHAnsi" w:hAnsiTheme="majorHAnsi" w:cs="Calibri"/>
        </w:rPr>
        <w:t xml:space="preserve">in relapse and drug addiction. </w:t>
      </w:r>
      <w:r w:rsidR="00E73007" w:rsidRPr="00734AB6">
        <w:rPr>
          <w:rFonts w:asciiTheme="majorHAnsi" w:hAnsiTheme="majorHAnsi" w:cs="Calibri"/>
        </w:rPr>
        <w:t xml:space="preserve">Their results also demonstrated lower abuse potential with orally administered doses in comparison to intravenous administration. </w:t>
      </w:r>
    </w:p>
    <w:p w14:paraId="4739F346" w14:textId="77777777" w:rsidR="00ED0608" w:rsidRPr="00734AB6" w:rsidRDefault="005404B6" w:rsidP="0099584D">
      <w:pPr>
        <w:widowControl w:val="0"/>
        <w:autoSpaceDE w:val="0"/>
        <w:autoSpaceDN w:val="0"/>
        <w:adjustRightInd w:val="0"/>
        <w:spacing w:after="240" w:line="360" w:lineRule="auto"/>
        <w:ind w:firstLine="851"/>
        <w:rPr>
          <w:rFonts w:asciiTheme="majorHAnsi" w:hAnsiTheme="majorHAnsi" w:cs="Calibri"/>
        </w:rPr>
      </w:pPr>
      <w:proofErr w:type="spellStart"/>
      <w:r w:rsidRPr="00734AB6">
        <w:rPr>
          <w:rFonts w:asciiTheme="majorHAnsi" w:hAnsiTheme="majorHAnsi" w:cs="Calibri"/>
        </w:rPr>
        <w:t>Wooter</w:t>
      </w:r>
      <w:r w:rsidR="00FE7488" w:rsidRPr="00734AB6">
        <w:rPr>
          <w:rFonts w:asciiTheme="majorHAnsi" w:hAnsiTheme="majorHAnsi" w:cs="Calibri"/>
        </w:rPr>
        <w:t>s</w:t>
      </w:r>
      <w:proofErr w:type="spellEnd"/>
      <w:r w:rsidRPr="00734AB6">
        <w:rPr>
          <w:rFonts w:asciiTheme="majorHAnsi" w:hAnsiTheme="majorHAnsi" w:cs="Calibri"/>
        </w:rPr>
        <w:t>, Walton and Bardo (2011) conducted a conditioned place preference</w:t>
      </w:r>
      <w:r w:rsidR="008839D3" w:rsidRPr="00734AB6">
        <w:rPr>
          <w:rFonts w:asciiTheme="majorHAnsi" w:hAnsiTheme="majorHAnsi" w:cs="Calibri"/>
        </w:rPr>
        <w:t xml:space="preserve"> (CPP)</w:t>
      </w:r>
      <w:r w:rsidRPr="00734AB6">
        <w:rPr>
          <w:rFonts w:asciiTheme="majorHAnsi" w:hAnsiTheme="majorHAnsi" w:cs="Calibri"/>
        </w:rPr>
        <w:t xml:space="preserve"> study with</w:t>
      </w:r>
      <w:r w:rsidR="007610A1" w:rsidRPr="00734AB6">
        <w:rPr>
          <w:rFonts w:asciiTheme="majorHAnsi" w:hAnsiTheme="majorHAnsi" w:cs="Calibri"/>
        </w:rPr>
        <w:t xml:space="preserve"> randomly assigned</w:t>
      </w:r>
      <w:r w:rsidRPr="00734AB6">
        <w:rPr>
          <w:rFonts w:asciiTheme="majorHAnsi" w:hAnsiTheme="majorHAnsi" w:cs="Calibri"/>
        </w:rPr>
        <w:t xml:space="preserve"> orally administered</w:t>
      </w:r>
      <w:r w:rsidR="008839D3" w:rsidRPr="00734AB6">
        <w:rPr>
          <w:rFonts w:asciiTheme="majorHAnsi" w:hAnsiTheme="majorHAnsi" w:cs="Calibri"/>
        </w:rPr>
        <w:t xml:space="preserve"> (p.o.)</w:t>
      </w:r>
      <w:r w:rsidRPr="00734AB6">
        <w:rPr>
          <w:rFonts w:asciiTheme="majorHAnsi" w:hAnsiTheme="majorHAnsi" w:cs="Calibri"/>
        </w:rPr>
        <w:t xml:space="preserve"> </w:t>
      </w:r>
      <w:r w:rsidR="007610A1" w:rsidRPr="00734AB6">
        <w:rPr>
          <w:rFonts w:asciiTheme="majorHAnsi" w:hAnsiTheme="majorHAnsi" w:cs="Calibri"/>
        </w:rPr>
        <w:t>or</w:t>
      </w:r>
      <w:r w:rsidRPr="00734AB6">
        <w:rPr>
          <w:rFonts w:asciiTheme="majorHAnsi" w:hAnsiTheme="majorHAnsi" w:cs="Calibri"/>
        </w:rPr>
        <w:t xml:space="preserve"> intraperitoneal</w:t>
      </w:r>
      <w:r w:rsidR="008839D3" w:rsidRPr="00734AB6">
        <w:rPr>
          <w:rFonts w:asciiTheme="majorHAnsi" w:hAnsiTheme="majorHAnsi" w:cs="Calibri"/>
        </w:rPr>
        <w:t xml:space="preserve"> (</w:t>
      </w:r>
      <w:proofErr w:type="spellStart"/>
      <w:r w:rsidR="008839D3" w:rsidRPr="00734AB6">
        <w:rPr>
          <w:rFonts w:asciiTheme="majorHAnsi" w:hAnsiTheme="majorHAnsi" w:cs="Calibri"/>
        </w:rPr>
        <w:t>i.p.</w:t>
      </w:r>
      <w:proofErr w:type="spellEnd"/>
      <w:r w:rsidR="008839D3" w:rsidRPr="00734AB6">
        <w:rPr>
          <w:rFonts w:asciiTheme="majorHAnsi" w:hAnsiTheme="majorHAnsi" w:cs="Calibri"/>
        </w:rPr>
        <w:t>)</w:t>
      </w:r>
      <w:r w:rsidRPr="00734AB6">
        <w:rPr>
          <w:rFonts w:asciiTheme="majorHAnsi" w:hAnsiTheme="majorHAnsi" w:cs="Calibri"/>
        </w:rPr>
        <w:t xml:space="preserve"> injections of </w:t>
      </w:r>
      <w:r w:rsidR="00C4057B" w:rsidRPr="00734AB6">
        <w:rPr>
          <w:rFonts w:asciiTheme="majorHAnsi" w:hAnsiTheme="majorHAnsi" w:cs="Calibri"/>
        </w:rPr>
        <w:t xml:space="preserve">either </w:t>
      </w:r>
      <w:r w:rsidR="00BD0074" w:rsidRPr="00734AB6">
        <w:rPr>
          <w:rFonts w:asciiTheme="majorHAnsi" w:hAnsiTheme="majorHAnsi" w:cs="Calibri"/>
        </w:rPr>
        <w:t>3mg/kg</w:t>
      </w:r>
      <w:r w:rsidR="00C4057B" w:rsidRPr="00734AB6">
        <w:rPr>
          <w:rFonts w:asciiTheme="majorHAnsi" w:hAnsiTheme="majorHAnsi" w:cs="Calibri"/>
        </w:rPr>
        <w:t xml:space="preserve"> or 10mg/kg of </w:t>
      </w:r>
      <w:r w:rsidRPr="00734AB6">
        <w:rPr>
          <w:rFonts w:asciiTheme="majorHAnsi" w:hAnsiTheme="majorHAnsi" w:cs="Calibri"/>
        </w:rPr>
        <w:t>methylphenidate or saline</w:t>
      </w:r>
      <w:r w:rsidR="007610A1" w:rsidRPr="00734AB6">
        <w:rPr>
          <w:rFonts w:asciiTheme="majorHAnsi" w:hAnsiTheme="majorHAnsi" w:cs="Calibri"/>
        </w:rPr>
        <w:t xml:space="preserve">, either immediately or 30 minutes before conditioning </w:t>
      </w:r>
      <w:r w:rsidR="002C485E" w:rsidRPr="00734AB6">
        <w:rPr>
          <w:rFonts w:asciiTheme="majorHAnsi" w:hAnsiTheme="majorHAnsi" w:cs="Calibri"/>
        </w:rPr>
        <w:t xml:space="preserve">in rats. </w:t>
      </w:r>
      <w:r w:rsidR="00C4057B" w:rsidRPr="00734AB6">
        <w:rPr>
          <w:rFonts w:asciiTheme="majorHAnsi" w:hAnsiTheme="majorHAnsi" w:cs="Calibri"/>
        </w:rPr>
        <w:t xml:space="preserve">Results showed that </w:t>
      </w:r>
      <w:r w:rsidR="008839D3" w:rsidRPr="00734AB6">
        <w:rPr>
          <w:rFonts w:asciiTheme="majorHAnsi" w:hAnsiTheme="majorHAnsi" w:cs="Calibri"/>
        </w:rPr>
        <w:t>when methy</w:t>
      </w:r>
      <w:r w:rsidR="00D45470" w:rsidRPr="00734AB6">
        <w:rPr>
          <w:rFonts w:asciiTheme="majorHAnsi" w:hAnsiTheme="majorHAnsi" w:cs="Calibri"/>
        </w:rPr>
        <w:t>l</w:t>
      </w:r>
      <w:r w:rsidR="008839D3" w:rsidRPr="00734AB6">
        <w:rPr>
          <w:rFonts w:asciiTheme="majorHAnsi" w:hAnsiTheme="majorHAnsi" w:cs="Calibri"/>
        </w:rPr>
        <w:t>ph</w:t>
      </w:r>
      <w:r w:rsidR="00D45470" w:rsidRPr="00734AB6">
        <w:rPr>
          <w:rFonts w:asciiTheme="majorHAnsi" w:hAnsiTheme="majorHAnsi" w:cs="Calibri"/>
        </w:rPr>
        <w:t>e</w:t>
      </w:r>
      <w:r w:rsidR="008839D3" w:rsidRPr="00734AB6">
        <w:rPr>
          <w:rFonts w:asciiTheme="majorHAnsi" w:hAnsiTheme="majorHAnsi" w:cs="Calibri"/>
        </w:rPr>
        <w:t xml:space="preserve">nidate was administered immediately before conditioning there was significant CPP at both doses of </w:t>
      </w:r>
      <w:proofErr w:type="spellStart"/>
      <w:r w:rsidR="008839D3" w:rsidRPr="00734AB6">
        <w:rPr>
          <w:rFonts w:asciiTheme="majorHAnsi" w:hAnsiTheme="majorHAnsi" w:cs="Calibri"/>
        </w:rPr>
        <w:t>i.p.</w:t>
      </w:r>
      <w:proofErr w:type="spellEnd"/>
      <w:r w:rsidR="008839D3" w:rsidRPr="00734AB6">
        <w:rPr>
          <w:rFonts w:asciiTheme="majorHAnsi" w:hAnsiTheme="majorHAnsi" w:cs="Calibri"/>
        </w:rPr>
        <w:t xml:space="preserve"> methylphenidate whereas this was only evident at the higher dose of </w:t>
      </w:r>
      <w:r w:rsidR="009F2DDD" w:rsidRPr="00734AB6">
        <w:rPr>
          <w:rFonts w:asciiTheme="majorHAnsi" w:hAnsiTheme="majorHAnsi" w:cs="Calibri"/>
        </w:rPr>
        <w:t>p.o</w:t>
      </w:r>
      <w:r w:rsidR="008839D3" w:rsidRPr="00734AB6">
        <w:rPr>
          <w:rFonts w:asciiTheme="majorHAnsi" w:hAnsiTheme="majorHAnsi" w:cs="Calibri"/>
        </w:rPr>
        <w:t>. methylphenidate.</w:t>
      </w:r>
      <w:r w:rsidR="002C485E" w:rsidRPr="00734AB6">
        <w:rPr>
          <w:rFonts w:asciiTheme="majorHAnsi" w:hAnsiTheme="majorHAnsi" w:cs="Calibri"/>
        </w:rPr>
        <w:t xml:space="preserve"> </w:t>
      </w:r>
      <w:r w:rsidR="00E72083" w:rsidRPr="00734AB6">
        <w:rPr>
          <w:rFonts w:asciiTheme="majorHAnsi" w:hAnsiTheme="majorHAnsi" w:cs="Calibri"/>
        </w:rPr>
        <w:t>When administered 30 minutes before conditioning there was no CPP with either dose in either route of administration.</w:t>
      </w:r>
      <w:r w:rsidR="008839D3" w:rsidRPr="00734AB6">
        <w:rPr>
          <w:rFonts w:asciiTheme="majorHAnsi" w:hAnsiTheme="majorHAnsi" w:cs="Calibri"/>
        </w:rPr>
        <w:t xml:space="preserve"> </w:t>
      </w:r>
    </w:p>
    <w:p w14:paraId="7208394D" w14:textId="101ED266" w:rsidR="00E109DE"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Assessment of a drug’s abuse potential involves a variety of methods, including, but not limited to, its chemical properties, pharmacodynamics effects and the resulting behaviour patterns exhibited fol</w:t>
      </w:r>
      <w:r w:rsidR="002C485E" w:rsidRPr="00734AB6">
        <w:rPr>
          <w:rFonts w:asciiTheme="majorHAnsi" w:hAnsiTheme="majorHAnsi" w:cs="Calibri"/>
        </w:rPr>
        <w:t xml:space="preserve">lowing drug use (Keane, 2008). </w:t>
      </w:r>
      <w:proofErr w:type="spellStart"/>
      <w:r w:rsidRPr="00734AB6">
        <w:rPr>
          <w:rFonts w:asciiTheme="majorHAnsi" w:hAnsiTheme="majorHAnsi" w:cs="Calibri"/>
        </w:rPr>
        <w:t>Kollins</w:t>
      </w:r>
      <w:proofErr w:type="spellEnd"/>
      <w:r w:rsidRPr="00734AB6">
        <w:rPr>
          <w:rFonts w:asciiTheme="majorHAnsi" w:hAnsiTheme="majorHAnsi" w:cs="Calibri"/>
        </w:rPr>
        <w:t xml:space="preserve"> </w:t>
      </w:r>
      <w:r w:rsidR="001B71DF" w:rsidRPr="00734AB6">
        <w:rPr>
          <w:rFonts w:asciiTheme="majorHAnsi" w:hAnsiTheme="majorHAnsi" w:cs="Calibri"/>
        </w:rPr>
        <w:t>et al.</w:t>
      </w:r>
      <w:r w:rsidRPr="00734AB6">
        <w:rPr>
          <w:rFonts w:asciiTheme="majorHAnsi" w:hAnsiTheme="majorHAnsi" w:cs="Calibri"/>
        </w:rPr>
        <w:t xml:space="preserve"> (2001) reviewed 60 studies of </w:t>
      </w:r>
      <w:r w:rsidR="00412DE4" w:rsidRPr="00734AB6">
        <w:rPr>
          <w:rFonts w:asciiTheme="majorHAnsi" w:hAnsiTheme="majorHAnsi" w:cs="Calibri"/>
        </w:rPr>
        <w:t xml:space="preserve">methylphenidate </w:t>
      </w:r>
      <w:r w:rsidRPr="00734AB6">
        <w:rPr>
          <w:rFonts w:asciiTheme="majorHAnsi" w:hAnsiTheme="majorHAnsi" w:cs="Calibri"/>
        </w:rPr>
        <w:t xml:space="preserve">use involving human and non-human </w:t>
      </w:r>
      <w:r w:rsidR="00935EF1" w:rsidRPr="00734AB6">
        <w:rPr>
          <w:rFonts w:asciiTheme="majorHAnsi" w:hAnsiTheme="majorHAnsi" w:cs="Calibri"/>
        </w:rPr>
        <w:t>participants</w:t>
      </w:r>
      <w:r w:rsidRPr="00734AB6">
        <w:rPr>
          <w:rFonts w:asciiTheme="majorHAnsi" w:hAnsiTheme="majorHAnsi" w:cs="Calibri"/>
        </w:rPr>
        <w:t>, with</w:t>
      </w:r>
      <w:r w:rsidR="00D45470" w:rsidRPr="00734AB6">
        <w:rPr>
          <w:rFonts w:asciiTheme="majorHAnsi" w:hAnsiTheme="majorHAnsi" w:cs="Calibri"/>
        </w:rPr>
        <w:t xml:space="preserve"> a</w:t>
      </w:r>
      <w:r w:rsidRPr="00734AB6">
        <w:rPr>
          <w:rFonts w:asciiTheme="majorHAnsi" w:hAnsiTheme="majorHAnsi" w:cs="Calibri"/>
        </w:rPr>
        <w:t xml:space="preserve"> particular focu</w:t>
      </w:r>
      <w:r w:rsidR="002C485E" w:rsidRPr="00734AB6">
        <w:rPr>
          <w:rFonts w:asciiTheme="majorHAnsi" w:hAnsiTheme="majorHAnsi" w:cs="Calibri"/>
        </w:rPr>
        <w:t xml:space="preserve">s on the methods listed above. </w:t>
      </w:r>
      <w:r w:rsidRPr="00734AB6">
        <w:rPr>
          <w:rFonts w:asciiTheme="majorHAnsi" w:hAnsiTheme="majorHAnsi" w:cs="Calibri"/>
        </w:rPr>
        <w:t xml:space="preserve">Their findings concluded that, even via oral administration, </w:t>
      </w:r>
      <w:r w:rsidR="00412DE4" w:rsidRPr="00734AB6">
        <w:rPr>
          <w:rFonts w:asciiTheme="majorHAnsi" w:hAnsiTheme="majorHAnsi" w:cs="Calibri"/>
        </w:rPr>
        <w:t xml:space="preserve">methylphenidate </w:t>
      </w:r>
      <w:r w:rsidRPr="00734AB6">
        <w:rPr>
          <w:rFonts w:asciiTheme="majorHAnsi" w:hAnsiTheme="majorHAnsi" w:cs="Calibri"/>
        </w:rPr>
        <w:t>i</w:t>
      </w:r>
      <w:r w:rsidR="002C485E" w:rsidRPr="00734AB6">
        <w:rPr>
          <w:rFonts w:asciiTheme="majorHAnsi" w:hAnsiTheme="majorHAnsi" w:cs="Calibri"/>
        </w:rPr>
        <w:t xml:space="preserve">s not without abuse potential. </w:t>
      </w:r>
      <w:r w:rsidRPr="00734AB6">
        <w:rPr>
          <w:rFonts w:asciiTheme="majorHAnsi" w:hAnsiTheme="majorHAnsi" w:cs="Calibri"/>
        </w:rPr>
        <w:t xml:space="preserve">Nevertheless, compared </w:t>
      </w:r>
      <w:r w:rsidR="0032111B" w:rsidRPr="00734AB6">
        <w:rPr>
          <w:rFonts w:asciiTheme="majorHAnsi" w:hAnsiTheme="majorHAnsi" w:cs="Calibri"/>
        </w:rPr>
        <w:t>with</w:t>
      </w:r>
      <w:r w:rsidRPr="00734AB6">
        <w:rPr>
          <w:rFonts w:asciiTheme="majorHAnsi" w:hAnsiTheme="majorHAnsi" w:cs="Calibri"/>
        </w:rPr>
        <w:t xml:space="preserve"> other stimulants which are commonly abused, such as cocaine and </w:t>
      </w:r>
      <w:r w:rsidR="003418B5" w:rsidRPr="00734AB6">
        <w:rPr>
          <w:rFonts w:asciiTheme="majorHAnsi" w:hAnsiTheme="majorHAnsi" w:cs="Calibri"/>
        </w:rPr>
        <w:t>amphetamine</w:t>
      </w:r>
      <w:r w:rsidRPr="00734AB6">
        <w:rPr>
          <w:rFonts w:asciiTheme="majorHAnsi" w:hAnsiTheme="majorHAnsi" w:cs="Calibri"/>
        </w:rPr>
        <w:t xml:space="preserve">, the authors recognise that the actual rates of abuse for </w:t>
      </w:r>
      <w:r w:rsidR="00412DE4" w:rsidRPr="00734AB6">
        <w:rPr>
          <w:rFonts w:asciiTheme="majorHAnsi" w:hAnsiTheme="majorHAnsi" w:cs="Calibri"/>
        </w:rPr>
        <w:t xml:space="preserve">methylphenidate </w:t>
      </w:r>
      <w:r w:rsidRPr="00734AB6">
        <w:rPr>
          <w:rFonts w:asciiTheme="majorHAnsi" w:hAnsiTheme="majorHAnsi" w:cs="Calibri"/>
        </w:rPr>
        <w:t xml:space="preserve">are believed to be much lower. They suggest that this </w:t>
      </w:r>
      <w:r w:rsidRPr="00734AB6">
        <w:rPr>
          <w:rFonts w:asciiTheme="majorHAnsi" w:hAnsiTheme="majorHAnsi" w:cs="Calibri"/>
        </w:rPr>
        <w:lastRenderedPageBreak/>
        <w:t>may be due to differing reinforced activities or motivations for use.</w:t>
      </w:r>
      <w:r w:rsidR="002C485E" w:rsidRPr="00734AB6">
        <w:rPr>
          <w:rFonts w:asciiTheme="majorHAnsi" w:hAnsiTheme="majorHAnsi" w:cs="Calibri"/>
        </w:rPr>
        <w:t xml:space="preserve"> </w:t>
      </w:r>
    </w:p>
    <w:p w14:paraId="0B8B6617" w14:textId="3D658B47" w:rsidR="00286296" w:rsidRPr="00734AB6" w:rsidRDefault="00524295"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As seen earlier, rats find methylphenidate very rewarding. Stoops, Lile, </w:t>
      </w:r>
      <w:r w:rsidR="00DE105A" w:rsidRPr="00734AB6">
        <w:rPr>
          <w:rFonts w:asciiTheme="majorHAnsi" w:hAnsiTheme="majorHAnsi" w:cs="Calibri"/>
        </w:rPr>
        <w:t>F</w:t>
      </w:r>
      <w:r w:rsidRPr="00734AB6">
        <w:rPr>
          <w:rFonts w:asciiTheme="majorHAnsi" w:hAnsiTheme="majorHAnsi" w:cs="Calibri"/>
        </w:rPr>
        <w:t xml:space="preserve">illmore, </w:t>
      </w:r>
      <w:proofErr w:type="spellStart"/>
      <w:r w:rsidRPr="00734AB6">
        <w:rPr>
          <w:rFonts w:asciiTheme="majorHAnsi" w:hAnsiTheme="majorHAnsi" w:cs="Calibri"/>
        </w:rPr>
        <w:t>Galser</w:t>
      </w:r>
      <w:proofErr w:type="spellEnd"/>
      <w:r w:rsidRPr="00734AB6">
        <w:rPr>
          <w:rFonts w:asciiTheme="majorHAnsi" w:hAnsiTheme="majorHAnsi" w:cs="Calibri"/>
        </w:rPr>
        <w:t xml:space="preserve"> and Rush (2005) </w:t>
      </w:r>
      <w:r w:rsidR="00B655D4" w:rsidRPr="00734AB6">
        <w:rPr>
          <w:rFonts w:asciiTheme="majorHAnsi" w:hAnsiTheme="majorHAnsi" w:cs="Calibri"/>
        </w:rPr>
        <w:t>investigated whether this</w:t>
      </w:r>
      <w:r w:rsidR="00476FF4" w:rsidRPr="00734AB6">
        <w:rPr>
          <w:rFonts w:asciiTheme="majorHAnsi" w:hAnsiTheme="majorHAnsi" w:cs="Calibri"/>
        </w:rPr>
        <w:t xml:space="preserve"> rewarding effect</w:t>
      </w:r>
      <w:r w:rsidR="00B655D4" w:rsidRPr="00734AB6">
        <w:rPr>
          <w:rFonts w:asciiTheme="majorHAnsi" w:hAnsiTheme="majorHAnsi" w:cs="Calibri"/>
        </w:rPr>
        <w:t xml:space="preserve"> was also found in humans, and </w:t>
      </w:r>
      <w:r w:rsidR="00290E0E" w:rsidRPr="00734AB6">
        <w:rPr>
          <w:rFonts w:asciiTheme="majorHAnsi" w:hAnsiTheme="majorHAnsi" w:cs="Calibri"/>
        </w:rPr>
        <w:t>whether</w:t>
      </w:r>
      <w:r w:rsidR="007865A8" w:rsidRPr="00734AB6">
        <w:rPr>
          <w:rFonts w:asciiTheme="majorHAnsi" w:hAnsiTheme="majorHAnsi" w:cs="Calibri"/>
        </w:rPr>
        <w:t xml:space="preserve"> </w:t>
      </w:r>
      <w:r w:rsidR="00290E0E" w:rsidRPr="00734AB6">
        <w:rPr>
          <w:rFonts w:asciiTheme="majorHAnsi" w:hAnsiTheme="majorHAnsi" w:cs="Calibri"/>
        </w:rPr>
        <w:t xml:space="preserve">certain </w:t>
      </w:r>
      <w:r w:rsidR="007865A8" w:rsidRPr="00734AB6">
        <w:rPr>
          <w:rFonts w:asciiTheme="majorHAnsi" w:hAnsiTheme="majorHAnsi" w:cs="Calibri"/>
        </w:rPr>
        <w:t xml:space="preserve">behavioural demands would </w:t>
      </w:r>
      <w:r w:rsidR="00290E0E" w:rsidRPr="00734AB6">
        <w:rPr>
          <w:rFonts w:asciiTheme="majorHAnsi" w:hAnsiTheme="majorHAnsi" w:cs="Calibri"/>
        </w:rPr>
        <w:t>alter the reinforcing effects of</w:t>
      </w:r>
      <w:r w:rsidR="003628A1" w:rsidRPr="00734AB6">
        <w:rPr>
          <w:rFonts w:asciiTheme="majorHAnsi" w:hAnsiTheme="majorHAnsi" w:cs="Calibri"/>
        </w:rPr>
        <w:t xml:space="preserve"> methylphenidate</w:t>
      </w:r>
      <w:r w:rsidR="00E73007" w:rsidRPr="00734AB6">
        <w:rPr>
          <w:rFonts w:asciiTheme="majorHAnsi" w:hAnsiTheme="majorHAnsi" w:cs="Calibri"/>
        </w:rPr>
        <w:t>.</w:t>
      </w:r>
      <w:r w:rsidR="002C485E" w:rsidRPr="00734AB6">
        <w:rPr>
          <w:rFonts w:asciiTheme="majorHAnsi" w:hAnsiTheme="majorHAnsi" w:cs="Calibri"/>
        </w:rPr>
        <w:t xml:space="preserve"> </w:t>
      </w:r>
      <w:r w:rsidR="00B655D4" w:rsidRPr="00734AB6">
        <w:rPr>
          <w:rFonts w:asciiTheme="majorHAnsi" w:hAnsiTheme="majorHAnsi" w:cs="Calibri"/>
        </w:rPr>
        <w:t>In their</w:t>
      </w:r>
      <w:r w:rsidR="001710B1" w:rsidRPr="00734AB6">
        <w:rPr>
          <w:rFonts w:asciiTheme="majorHAnsi" w:hAnsiTheme="majorHAnsi" w:cs="Calibri"/>
        </w:rPr>
        <w:t xml:space="preserve"> double-blind placebo</w:t>
      </w:r>
      <w:r w:rsidR="00D45470" w:rsidRPr="00734AB6">
        <w:rPr>
          <w:rFonts w:asciiTheme="majorHAnsi" w:hAnsiTheme="majorHAnsi" w:cs="Calibri"/>
        </w:rPr>
        <w:t>-</w:t>
      </w:r>
      <w:r w:rsidR="001710B1" w:rsidRPr="00734AB6">
        <w:rPr>
          <w:rFonts w:asciiTheme="majorHAnsi" w:hAnsiTheme="majorHAnsi" w:cs="Calibri"/>
        </w:rPr>
        <w:t>controlled study, s</w:t>
      </w:r>
      <w:r w:rsidR="00286296" w:rsidRPr="00734AB6">
        <w:rPr>
          <w:rFonts w:asciiTheme="majorHAnsi" w:hAnsiTheme="majorHAnsi" w:cs="Calibri"/>
        </w:rPr>
        <w:t xml:space="preserve">even adult participants were </w:t>
      </w:r>
      <w:r w:rsidR="001710B1" w:rsidRPr="00734AB6">
        <w:rPr>
          <w:rFonts w:asciiTheme="majorHAnsi" w:hAnsiTheme="majorHAnsi" w:cs="Calibri"/>
        </w:rPr>
        <w:t>given either placebo or methylphenidate in doses of either 10mg, 20mg or 40mg</w:t>
      </w:r>
      <w:r w:rsidR="00FB2608" w:rsidRPr="00734AB6">
        <w:rPr>
          <w:rFonts w:asciiTheme="majorHAnsi" w:hAnsiTheme="majorHAnsi" w:cs="Calibri"/>
        </w:rPr>
        <w:t>. This was</w:t>
      </w:r>
      <w:r w:rsidR="001710B1" w:rsidRPr="00734AB6">
        <w:rPr>
          <w:rFonts w:asciiTheme="majorHAnsi" w:hAnsiTheme="majorHAnsi" w:cs="Calibri"/>
        </w:rPr>
        <w:t xml:space="preserve"> </w:t>
      </w:r>
      <w:r w:rsidR="000F4509" w:rsidRPr="00734AB6">
        <w:rPr>
          <w:rFonts w:asciiTheme="majorHAnsi" w:hAnsiTheme="majorHAnsi" w:cs="Calibri"/>
        </w:rPr>
        <w:t>followed by</w:t>
      </w:r>
      <w:r w:rsidR="00E6583E" w:rsidRPr="00734AB6">
        <w:rPr>
          <w:rFonts w:asciiTheme="majorHAnsi" w:hAnsiTheme="majorHAnsi" w:cs="Calibri"/>
        </w:rPr>
        <w:t xml:space="preserve"> </w:t>
      </w:r>
      <w:r w:rsidR="003E5C7C" w:rsidRPr="00734AB6">
        <w:rPr>
          <w:rFonts w:asciiTheme="majorHAnsi" w:hAnsiTheme="majorHAnsi" w:cs="Calibri"/>
        </w:rPr>
        <w:t>either a relaxation session</w:t>
      </w:r>
      <w:r w:rsidR="00E6583E" w:rsidRPr="00734AB6">
        <w:rPr>
          <w:rFonts w:asciiTheme="majorHAnsi" w:hAnsiTheme="majorHAnsi" w:cs="Calibri"/>
        </w:rPr>
        <w:t xml:space="preserve"> where they were either required to quietly sit in a darkened room for three 50</w:t>
      </w:r>
      <w:r w:rsidR="00D45470" w:rsidRPr="00734AB6">
        <w:rPr>
          <w:rFonts w:asciiTheme="majorHAnsi" w:hAnsiTheme="majorHAnsi" w:cs="Calibri"/>
        </w:rPr>
        <w:t>-</w:t>
      </w:r>
      <w:r w:rsidR="00E6583E" w:rsidRPr="00734AB6">
        <w:rPr>
          <w:rFonts w:asciiTheme="majorHAnsi" w:hAnsiTheme="majorHAnsi" w:cs="Calibri"/>
        </w:rPr>
        <w:t xml:space="preserve">minute sessions, or </w:t>
      </w:r>
      <w:r w:rsidR="003E5C7C" w:rsidRPr="00734AB6">
        <w:rPr>
          <w:rFonts w:asciiTheme="majorHAnsi" w:hAnsiTheme="majorHAnsi" w:cs="Calibri"/>
        </w:rPr>
        <w:t xml:space="preserve">a performance session where they were required </w:t>
      </w:r>
      <w:r w:rsidR="00E6583E" w:rsidRPr="00734AB6">
        <w:rPr>
          <w:rFonts w:asciiTheme="majorHAnsi" w:hAnsiTheme="majorHAnsi" w:cs="Calibri"/>
        </w:rPr>
        <w:t>to perform simple mathematical problems for three 50</w:t>
      </w:r>
      <w:r w:rsidR="00D45470" w:rsidRPr="00734AB6">
        <w:rPr>
          <w:rFonts w:asciiTheme="majorHAnsi" w:hAnsiTheme="majorHAnsi" w:cs="Calibri"/>
        </w:rPr>
        <w:t>-</w:t>
      </w:r>
      <w:r w:rsidR="00E6583E" w:rsidRPr="00734AB6">
        <w:rPr>
          <w:rFonts w:asciiTheme="majorHAnsi" w:hAnsiTheme="majorHAnsi" w:cs="Calibri"/>
        </w:rPr>
        <w:t xml:space="preserve">minute </w:t>
      </w:r>
      <w:r w:rsidR="00FB2608" w:rsidRPr="00734AB6">
        <w:rPr>
          <w:rFonts w:asciiTheme="majorHAnsi" w:hAnsiTheme="majorHAnsi" w:cs="Calibri"/>
        </w:rPr>
        <w:t xml:space="preserve">sessions. </w:t>
      </w:r>
      <w:r w:rsidR="000F4509" w:rsidRPr="00734AB6">
        <w:rPr>
          <w:rFonts w:asciiTheme="majorHAnsi" w:hAnsiTheme="majorHAnsi" w:cs="Calibri"/>
        </w:rPr>
        <w:t>A modified progressive-ratio procedure was also conducted where</w:t>
      </w:r>
      <w:r w:rsidR="00845923" w:rsidRPr="00734AB6">
        <w:rPr>
          <w:rFonts w:asciiTheme="majorHAnsi" w:hAnsiTheme="majorHAnsi" w:cs="Calibri"/>
        </w:rPr>
        <w:t xml:space="preserve"> participants were offered the opportunity to earn th</w:t>
      </w:r>
      <w:r w:rsidR="00BD0074" w:rsidRPr="00734AB6">
        <w:rPr>
          <w:rFonts w:asciiTheme="majorHAnsi" w:hAnsiTheme="majorHAnsi" w:cs="Calibri"/>
        </w:rPr>
        <w:t xml:space="preserve">eir previously experienced dose, </w:t>
      </w:r>
      <w:r w:rsidR="00845923" w:rsidRPr="00734AB6">
        <w:rPr>
          <w:rFonts w:asciiTheme="majorHAnsi" w:hAnsiTheme="majorHAnsi" w:cs="Calibri"/>
        </w:rPr>
        <w:t>depend</w:t>
      </w:r>
      <w:r w:rsidR="00BD0074" w:rsidRPr="00734AB6">
        <w:rPr>
          <w:rFonts w:asciiTheme="majorHAnsi" w:hAnsiTheme="majorHAnsi" w:cs="Calibri"/>
        </w:rPr>
        <w:t>ing on their assigned condition</w:t>
      </w:r>
      <w:r w:rsidR="00087C42" w:rsidRPr="00734AB6">
        <w:rPr>
          <w:rFonts w:asciiTheme="majorHAnsi" w:hAnsiTheme="majorHAnsi" w:cs="Calibri"/>
        </w:rPr>
        <w:t xml:space="preserve"> </w:t>
      </w:r>
      <w:r w:rsidR="00BD0074" w:rsidRPr="00734AB6">
        <w:rPr>
          <w:rFonts w:asciiTheme="majorHAnsi" w:hAnsiTheme="majorHAnsi" w:cs="Calibri"/>
        </w:rPr>
        <w:t>(</w:t>
      </w:r>
      <w:r w:rsidR="00087C42" w:rsidRPr="00734AB6">
        <w:rPr>
          <w:rFonts w:asciiTheme="majorHAnsi" w:hAnsiTheme="majorHAnsi" w:cs="Calibri"/>
        </w:rPr>
        <w:t>which was separated into eighths of a dose</w:t>
      </w:r>
      <w:r w:rsidR="00BD0074" w:rsidRPr="00734AB6">
        <w:rPr>
          <w:rFonts w:asciiTheme="majorHAnsi" w:hAnsiTheme="majorHAnsi" w:cs="Calibri"/>
        </w:rPr>
        <w:t>),</w:t>
      </w:r>
      <w:r w:rsidR="00087C42" w:rsidRPr="00734AB6">
        <w:rPr>
          <w:rFonts w:asciiTheme="majorHAnsi" w:hAnsiTheme="majorHAnsi" w:cs="Calibri"/>
        </w:rPr>
        <w:t xml:space="preserve"> by repea</w:t>
      </w:r>
      <w:r w:rsidR="00FB2608" w:rsidRPr="00734AB6">
        <w:rPr>
          <w:rFonts w:asciiTheme="majorHAnsi" w:hAnsiTheme="majorHAnsi" w:cs="Calibri"/>
        </w:rPr>
        <w:t xml:space="preserve">tedly pressing a keyboard key. </w:t>
      </w:r>
      <w:r w:rsidR="00087C42" w:rsidRPr="00734AB6">
        <w:rPr>
          <w:rFonts w:asciiTheme="majorHAnsi" w:hAnsiTheme="majorHAnsi" w:cs="Calibri"/>
        </w:rPr>
        <w:t>Al</w:t>
      </w:r>
      <w:r w:rsidR="00157505" w:rsidRPr="00734AB6">
        <w:rPr>
          <w:rFonts w:asciiTheme="majorHAnsi" w:hAnsiTheme="majorHAnsi" w:cs="Calibri"/>
        </w:rPr>
        <w:t>though</w:t>
      </w:r>
      <w:r w:rsidR="00C35086" w:rsidRPr="00734AB6">
        <w:rPr>
          <w:rFonts w:asciiTheme="majorHAnsi" w:hAnsiTheme="majorHAnsi" w:cs="Calibri"/>
        </w:rPr>
        <w:t xml:space="preserve"> the</w:t>
      </w:r>
      <w:r w:rsidR="00157505" w:rsidRPr="00734AB6">
        <w:rPr>
          <w:rFonts w:asciiTheme="majorHAnsi" w:hAnsiTheme="majorHAnsi" w:cs="Calibri"/>
        </w:rPr>
        <w:t xml:space="preserve"> participants were unaware of the PR schedule used</w:t>
      </w:r>
      <w:r w:rsidR="00087C42" w:rsidRPr="00734AB6">
        <w:rPr>
          <w:rFonts w:asciiTheme="majorHAnsi" w:hAnsiTheme="majorHAnsi" w:cs="Calibri"/>
        </w:rPr>
        <w:t>, the first eighth of the dose was earned on the 50</w:t>
      </w:r>
      <w:r w:rsidR="00087C42" w:rsidRPr="00734AB6">
        <w:rPr>
          <w:rFonts w:asciiTheme="majorHAnsi" w:hAnsiTheme="majorHAnsi" w:cs="Calibri"/>
          <w:vertAlign w:val="superscript"/>
        </w:rPr>
        <w:t>th</w:t>
      </w:r>
      <w:r w:rsidR="00087C42" w:rsidRPr="00734AB6">
        <w:rPr>
          <w:rFonts w:asciiTheme="majorHAnsi" w:hAnsiTheme="majorHAnsi" w:cs="Calibri"/>
        </w:rPr>
        <w:t xml:space="preserve"> </w:t>
      </w:r>
      <w:r w:rsidR="008048FF" w:rsidRPr="00734AB6">
        <w:rPr>
          <w:rFonts w:asciiTheme="majorHAnsi" w:hAnsiTheme="majorHAnsi" w:cs="Calibri"/>
        </w:rPr>
        <w:t>key</w:t>
      </w:r>
      <w:r w:rsidR="00087C42" w:rsidRPr="00734AB6">
        <w:rPr>
          <w:rFonts w:asciiTheme="majorHAnsi" w:hAnsiTheme="majorHAnsi" w:cs="Calibri"/>
        </w:rPr>
        <w:t>stroke and</w:t>
      </w:r>
      <w:r w:rsidR="0032111B" w:rsidRPr="00734AB6">
        <w:rPr>
          <w:rFonts w:asciiTheme="majorHAnsi" w:hAnsiTheme="majorHAnsi" w:cs="Calibri"/>
        </w:rPr>
        <w:t>,</w:t>
      </w:r>
      <w:r w:rsidR="00087C42" w:rsidRPr="00734AB6">
        <w:rPr>
          <w:rFonts w:asciiTheme="majorHAnsi" w:hAnsiTheme="majorHAnsi" w:cs="Calibri"/>
        </w:rPr>
        <w:t xml:space="preserve"> </w:t>
      </w:r>
      <w:r w:rsidR="008048FF" w:rsidRPr="00734AB6">
        <w:rPr>
          <w:rFonts w:asciiTheme="majorHAnsi" w:hAnsiTheme="majorHAnsi" w:cs="Calibri"/>
        </w:rPr>
        <w:t xml:space="preserve">in order to earn </w:t>
      </w:r>
      <w:r w:rsidR="00087C42" w:rsidRPr="00734AB6">
        <w:rPr>
          <w:rFonts w:asciiTheme="majorHAnsi" w:hAnsiTheme="majorHAnsi" w:cs="Calibri"/>
        </w:rPr>
        <w:t>each additional eighth</w:t>
      </w:r>
      <w:r w:rsidR="0032111B" w:rsidRPr="00734AB6">
        <w:rPr>
          <w:rFonts w:asciiTheme="majorHAnsi" w:hAnsiTheme="majorHAnsi" w:cs="Calibri"/>
        </w:rPr>
        <w:t>,</w:t>
      </w:r>
      <w:r w:rsidR="00087C42" w:rsidRPr="00734AB6">
        <w:rPr>
          <w:rFonts w:asciiTheme="majorHAnsi" w:hAnsiTheme="majorHAnsi" w:cs="Calibri"/>
        </w:rPr>
        <w:t xml:space="preserve"> </w:t>
      </w:r>
      <w:r w:rsidR="008048FF" w:rsidRPr="00734AB6">
        <w:rPr>
          <w:rFonts w:asciiTheme="majorHAnsi" w:hAnsiTheme="majorHAnsi" w:cs="Calibri"/>
        </w:rPr>
        <w:t>the number of keystrokes doubled, i.e. 100, 200, 400, 800 and so on up to 6400 ke</w:t>
      </w:r>
      <w:r w:rsidR="00FB2608" w:rsidRPr="00734AB6">
        <w:rPr>
          <w:rFonts w:asciiTheme="majorHAnsi" w:hAnsiTheme="majorHAnsi" w:cs="Calibri"/>
        </w:rPr>
        <w:t xml:space="preserve">ystrokes for the final eighth. </w:t>
      </w:r>
      <w:r w:rsidR="00C35086" w:rsidRPr="00734AB6">
        <w:rPr>
          <w:rFonts w:asciiTheme="majorHAnsi" w:hAnsiTheme="majorHAnsi" w:cs="Calibri"/>
        </w:rPr>
        <w:t>The p</w:t>
      </w:r>
      <w:r w:rsidR="008048FF" w:rsidRPr="00734AB6">
        <w:rPr>
          <w:rFonts w:asciiTheme="majorHAnsi" w:hAnsiTheme="majorHAnsi" w:cs="Calibri"/>
        </w:rPr>
        <w:t xml:space="preserve">articipants were also informed of the condition in which they would experience the drug, </w:t>
      </w:r>
      <w:r w:rsidR="003E5C7C" w:rsidRPr="00734AB6">
        <w:rPr>
          <w:rFonts w:asciiTheme="majorHAnsi" w:hAnsiTheme="majorHAnsi" w:cs="Calibri"/>
        </w:rPr>
        <w:t xml:space="preserve">the relaxation condition or the performance condition. </w:t>
      </w:r>
      <w:r w:rsidR="0032111B" w:rsidRPr="00734AB6">
        <w:rPr>
          <w:rFonts w:asciiTheme="majorHAnsi" w:hAnsiTheme="majorHAnsi" w:cs="Calibri"/>
        </w:rPr>
        <w:t>The r</w:t>
      </w:r>
      <w:r w:rsidR="003E5C7C" w:rsidRPr="00734AB6">
        <w:rPr>
          <w:rFonts w:asciiTheme="majorHAnsi" w:hAnsiTheme="majorHAnsi" w:cs="Calibri"/>
        </w:rPr>
        <w:t>esu</w:t>
      </w:r>
      <w:r w:rsidR="00F1167D" w:rsidRPr="00734AB6">
        <w:rPr>
          <w:rFonts w:asciiTheme="majorHAnsi" w:hAnsiTheme="majorHAnsi" w:cs="Calibri"/>
        </w:rPr>
        <w:t>lts revealed that in the methylphenidate conditions</w:t>
      </w:r>
      <w:r w:rsidR="003628A1" w:rsidRPr="00734AB6">
        <w:rPr>
          <w:rFonts w:asciiTheme="majorHAnsi" w:hAnsiTheme="majorHAnsi" w:cs="Calibri"/>
        </w:rPr>
        <w:t>,</w:t>
      </w:r>
      <w:r w:rsidR="00F1167D" w:rsidRPr="00734AB6">
        <w:rPr>
          <w:rFonts w:asciiTheme="majorHAnsi" w:hAnsiTheme="majorHAnsi" w:cs="Calibri"/>
        </w:rPr>
        <w:t xml:space="preserve"> break points</w:t>
      </w:r>
      <w:r w:rsidR="00C4047D" w:rsidRPr="00734AB6">
        <w:rPr>
          <w:rFonts w:asciiTheme="majorHAnsi" w:hAnsiTheme="majorHAnsi" w:cs="Calibri"/>
        </w:rPr>
        <w:t xml:space="preserve"> (that is, </w:t>
      </w:r>
      <w:r w:rsidR="003E5C7C" w:rsidRPr="00734AB6">
        <w:rPr>
          <w:rFonts w:asciiTheme="majorHAnsi" w:hAnsiTheme="majorHAnsi" w:cs="Calibri"/>
        </w:rPr>
        <w:t xml:space="preserve">the last ratio </w:t>
      </w:r>
      <w:r w:rsidR="00F1167D" w:rsidRPr="00734AB6">
        <w:rPr>
          <w:rFonts w:asciiTheme="majorHAnsi" w:hAnsiTheme="majorHAnsi" w:cs="Calibri"/>
        </w:rPr>
        <w:t>of keystrokes completed</w:t>
      </w:r>
      <w:r w:rsidR="00C4047D" w:rsidRPr="00734AB6">
        <w:rPr>
          <w:rFonts w:asciiTheme="majorHAnsi" w:hAnsiTheme="majorHAnsi" w:cs="Calibri"/>
        </w:rPr>
        <w:t>)</w:t>
      </w:r>
      <w:r w:rsidR="00F1167D" w:rsidRPr="00734AB6">
        <w:rPr>
          <w:rFonts w:asciiTheme="majorHAnsi" w:hAnsiTheme="majorHAnsi" w:cs="Calibri"/>
        </w:rPr>
        <w:t xml:space="preserve"> increased in the performance but not relaxation condition in a dose-</w:t>
      </w:r>
      <w:r w:rsidR="00E74B8A" w:rsidRPr="00734AB6">
        <w:rPr>
          <w:rFonts w:asciiTheme="majorHAnsi" w:hAnsiTheme="majorHAnsi" w:cs="Calibri"/>
        </w:rPr>
        <w:t>depend</w:t>
      </w:r>
      <w:r w:rsidR="0028055F" w:rsidRPr="00734AB6">
        <w:rPr>
          <w:rFonts w:asciiTheme="majorHAnsi" w:hAnsiTheme="majorHAnsi" w:cs="Calibri"/>
        </w:rPr>
        <w:t>e</w:t>
      </w:r>
      <w:r w:rsidR="00E74B8A" w:rsidRPr="00734AB6">
        <w:rPr>
          <w:rFonts w:asciiTheme="majorHAnsi" w:hAnsiTheme="majorHAnsi" w:cs="Calibri"/>
        </w:rPr>
        <w:t>nt</w:t>
      </w:r>
      <w:r w:rsidR="00FB2608" w:rsidRPr="00734AB6">
        <w:rPr>
          <w:rFonts w:asciiTheme="majorHAnsi" w:hAnsiTheme="majorHAnsi" w:cs="Calibri"/>
        </w:rPr>
        <w:t xml:space="preserve"> manner. </w:t>
      </w:r>
      <w:r w:rsidR="00E74B8A" w:rsidRPr="00734AB6">
        <w:rPr>
          <w:rFonts w:asciiTheme="majorHAnsi" w:hAnsiTheme="majorHAnsi" w:cs="Calibri"/>
        </w:rPr>
        <w:t xml:space="preserve">This would suggest that </w:t>
      </w:r>
      <w:r w:rsidR="00B72679" w:rsidRPr="00734AB6">
        <w:rPr>
          <w:rFonts w:asciiTheme="majorHAnsi" w:hAnsiTheme="majorHAnsi" w:cs="Calibri"/>
        </w:rPr>
        <w:t>methylphenidate’s</w:t>
      </w:r>
      <w:r w:rsidR="00E74B8A" w:rsidRPr="00734AB6">
        <w:rPr>
          <w:rFonts w:asciiTheme="majorHAnsi" w:hAnsiTheme="majorHAnsi" w:cs="Calibri"/>
        </w:rPr>
        <w:t xml:space="preserve"> performance-enhancing effects</w:t>
      </w:r>
      <w:r w:rsidR="00B72679" w:rsidRPr="00734AB6">
        <w:rPr>
          <w:rFonts w:asciiTheme="majorHAnsi" w:hAnsiTheme="majorHAnsi" w:cs="Calibri"/>
        </w:rPr>
        <w:t xml:space="preserve"> drove the reinforcing effects in the performance condition.</w:t>
      </w:r>
    </w:p>
    <w:p w14:paraId="6312D011" w14:textId="78F99522" w:rsidR="00E73007" w:rsidRPr="00734AB6" w:rsidRDefault="00E7300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That said, it is apparent that some individuals choose to take these medicati</w:t>
      </w:r>
      <w:r w:rsidR="00FB2608" w:rsidRPr="00734AB6">
        <w:rPr>
          <w:rFonts w:asciiTheme="majorHAnsi" w:hAnsiTheme="majorHAnsi" w:cs="Calibri"/>
        </w:rPr>
        <w:t xml:space="preserve">ons for recreational purposes. </w:t>
      </w:r>
      <w:r w:rsidR="00870364" w:rsidRPr="00734AB6">
        <w:rPr>
          <w:rFonts w:asciiTheme="majorHAnsi" w:hAnsiTheme="majorHAnsi" w:cs="Calibri"/>
        </w:rPr>
        <w:t>In support of this argument, a</w:t>
      </w:r>
      <w:r w:rsidRPr="00734AB6">
        <w:rPr>
          <w:rFonts w:asciiTheme="majorHAnsi" w:hAnsiTheme="majorHAnsi" w:cs="Calibri"/>
        </w:rPr>
        <w:t xml:space="preserve"> study by </w:t>
      </w:r>
      <w:proofErr w:type="spellStart"/>
      <w:r w:rsidRPr="00734AB6">
        <w:rPr>
          <w:rFonts w:asciiTheme="majorHAnsi" w:hAnsiTheme="majorHAnsi" w:cs="Calibri"/>
        </w:rPr>
        <w:t>Teter</w:t>
      </w:r>
      <w:proofErr w:type="spellEnd"/>
      <w:r w:rsidRPr="00734AB6">
        <w:rPr>
          <w:rFonts w:asciiTheme="majorHAnsi" w:hAnsiTheme="majorHAnsi" w:cs="Calibri"/>
        </w:rPr>
        <w:t xml:space="preserve"> </w:t>
      </w:r>
      <w:r w:rsidR="001B71DF" w:rsidRPr="00734AB6">
        <w:rPr>
          <w:rFonts w:asciiTheme="majorHAnsi" w:hAnsiTheme="majorHAnsi" w:cs="Calibri"/>
        </w:rPr>
        <w:t>et al.</w:t>
      </w:r>
      <w:r w:rsidRPr="00734AB6">
        <w:rPr>
          <w:rFonts w:asciiTheme="majorHAnsi" w:hAnsiTheme="majorHAnsi" w:cs="Calibri"/>
        </w:rPr>
        <w:t xml:space="preserve"> (2006) found that 31% of illicit prescription stimulant users took </w:t>
      </w:r>
      <w:r w:rsidR="00332046" w:rsidRPr="00734AB6">
        <w:rPr>
          <w:rFonts w:asciiTheme="majorHAnsi" w:hAnsiTheme="majorHAnsi" w:cs="Calibri"/>
        </w:rPr>
        <w:t>drugs such as Adderall or methylphenidate</w:t>
      </w:r>
      <w:r w:rsidRPr="00734AB6">
        <w:rPr>
          <w:rFonts w:asciiTheme="majorHAnsi" w:hAnsiTheme="majorHAnsi" w:cs="Calibri"/>
        </w:rPr>
        <w:t xml:space="preserve"> for the ‘high’, whilst </w:t>
      </w:r>
      <w:r w:rsidR="00631F67" w:rsidRPr="00734AB6">
        <w:rPr>
          <w:rFonts w:asciiTheme="majorHAnsi" w:hAnsiTheme="majorHAnsi" w:cs="Calibri"/>
        </w:rPr>
        <w:t>30</w:t>
      </w:r>
      <w:r w:rsidRPr="00734AB6">
        <w:rPr>
          <w:rFonts w:asciiTheme="majorHAnsi" w:hAnsiTheme="majorHAnsi" w:cs="Calibri"/>
        </w:rPr>
        <w:t xml:space="preserve">% took it for experimentation, </w:t>
      </w:r>
      <w:r w:rsidR="00631F67" w:rsidRPr="00734AB6">
        <w:rPr>
          <w:rFonts w:asciiTheme="majorHAnsi" w:hAnsiTheme="majorHAnsi" w:cs="Calibri"/>
        </w:rPr>
        <w:t>10</w:t>
      </w:r>
      <w:r w:rsidRPr="00734AB6">
        <w:rPr>
          <w:rFonts w:asciiTheme="majorHAnsi" w:hAnsiTheme="majorHAnsi" w:cs="Calibri"/>
        </w:rPr>
        <w:t xml:space="preserve">% for weight loss and </w:t>
      </w:r>
      <w:r w:rsidR="00631F67" w:rsidRPr="00734AB6">
        <w:rPr>
          <w:rFonts w:asciiTheme="majorHAnsi" w:hAnsiTheme="majorHAnsi" w:cs="Calibri"/>
        </w:rPr>
        <w:t>5</w:t>
      </w:r>
      <w:r w:rsidRPr="00734AB6">
        <w:rPr>
          <w:rFonts w:asciiTheme="majorHAnsi" w:hAnsiTheme="majorHAnsi" w:cs="Calibri"/>
        </w:rPr>
        <w:t>% to count</w:t>
      </w:r>
      <w:r w:rsidR="00FB2608" w:rsidRPr="00734AB6">
        <w:rPr>
          <w:rFonts w:asciiTheme="majorHAnsi" w:hAnsiTheme="majorHAnsi" w:cs="Calibri"/>
        </w:rPr>
        <w:t xml:space="preserve">er the effects of other drugs. </w:t>
      </w:r>
      <w:r w:rsidRPr="00734AB6">
        <w:rPr>
          <w:rFonts w:asciiTheme="majorHAnsi" w:hAnsiTheme="majorHAnsi" w:cs="Calibri"/>
        </w:rPr>
        <w:t>Of greater concern</w:t>
      </w:r>
      <w:r w:rsidR="0032111B" w:rsidRPr="00734AB6">
        <w:rPr>
          <w:rFonts w:asciiTheme="majorHAnsi" w:hAnsiTheme="majorHAnsi" w:cs="Calibri"/>
        </w:rPr>
        <w:t>,</w:t>
      </w:r>
      <w:r w:rsidRPr="00734AB6">
        <w:rPr>
          <w:rFonts w:asciiTheme="majorHAnsi" w:hAnsiTheme="majorHAnsi" w:cs="Calibri"/>
        </w:rPr>
        <w:t xml:space="preserve"> however, were the findings in relation to routes of </w:t>
      </w:r>
      <w:r w:rsidR="00FB2608" w:rsidRPr="00734AB6">
        <w:rPr>
          <w:rFonts w:asciiTheme="majorHAnsi" w:hAnsiTheme="majorHAnsi" w:cs="Calibri"/>
        </w:rPr>
        <w:t xml:space="preserve">administration. </w:t>
      </w:r>
      <w:r w:rsidR="00631F67" w:rsidRPr="00734AB6">
        <w:rPr>
          <w:rFonts w:asciiTheme="majorHAnsi" w:hAnsiTheme="majorHAnsi" w:cs="Calibri"/>
        </w:rPr>
        <w:t>Although 95</w:t>
      </w:r>
      <w:r w:rsidRPr="00734AB6">
        <w:rPr>
          <w:rFonts w:asciiTheme="majorHAnsi" w:hAnsiTheme="majorHAnsi" w:cs="Calibri"/>
        </w:rPr>
        <w:t>% of users repo</w:t>
      </w:r>
      <w:r w:rsidR="00E40B89" w:rsidRPr="00734AB6">
        <w:rPr>
          <w:rFonts w:asciiTheme="majorHAnsi" w:hAnsiTheme="majorHAnsi" w:cs="Calibri"/>
        </w:rPr>
        <w:t>rted taking the drug orally, 38</w:t>
      </w:r>
      <w:r w:rsidRPr="00734AB6">
        <w:rPr>
          <w:rFonts w:asciiTheme="majorHAnsi" w:hAnsiTheme="majorHAnsi" w:cs="Calibri"/>
        </w:rPr>
        <w:t xml:space="preserve">% </w:t>
      </w:r>
      <w:r w:rsidR="009F2DDD" w:rsidRPr="00734AB6">
        <w:rPr>
          <w:rFonts w:asciiTheme="majorHAnsi" w:hAnsiTheme="majorHAnsi" w:cs="Calibri"/>
        </w:rPr>
        <w:t xml:space="preserve">also </w:t>
      </w:r>
      <w:r w:rsidRPr="00734AB6">
        <w:rPr>
          <w:rFonts w:asciiTheme="majorHAnsi" w:hAnsiTheme="majorHAnsi" w:cs="Calibri"/>
        </w:rPr>
        <w:t xml:space="preserve">snorted the drug, </w:t>
      </w:r>
      <w:r w:rsidR="00631F67" w:rsidRPr="00734AB6">
        <w:rPr>
          <w:rFonts w:asciiTheme="majorHAnsi" w:hAnsiTheme="majorHAnsi" w:cs="Calibri"/>
        </w:rPr>
        <w:t>6</w:t>
      </w:r>
      <w:r w:rsidRPr="00734AB6">
        <w:rPr>
          <w:rFonts w:asciiTheme="majorHAnsi" w:hAnsiTheme="majorHAnsi" w:cs="Calibri"/>
        </w:rPr>
        <w:t xml:space="preserve">% smoked the drug and </w:t>
      </w:r>
      <w:r w:rsidR="00631F67" w:rsidRPr="00734AB6">
        <w:rPr>
          <w:rFonts w:asciiTheme="majorHAnsi" w:hAnsiTheme="majorHAnsi" w:cs="Calibri"/>
        </w:rPr>
        <w:t>1</w:t>
      </w:r>
      <w:r w:rsidRPr="00734AB6">
        <w:rPr>
          <w:rFonts w:asciiTheme="majorHAnsi" w:hAnsiTheme="majorHAnsi" w:cs="Calibri"/>
        </w:rPr>
        <w:t xml:space="preserve">% inhaled. When drugs are administered via routes that rapidly increase the serum concentration of the drug, such as snorting, smoking, inhaling or injecting, drug effects dramatically increase and with stimulant drugs, such as </w:t>
      </w:r>
      <w:r w:rsidR="003418B5" w:rsidRPr="00734AB6">
        <w:rPr>
          <w:rFonts w:asciiTheme="majorHAnsi" w:hAnsiTheme="majorHAnsi" w:cs="Calibri"/>
        </w:rPr>
        <w:t>methylphenidate</w:t>
      </w:r>
      <w:r w:rsidRPr="00734AB6">
        <w:rPr>
          <w:rFonts w:asciiTheme="majorHAnsi" w:hAnsiTheme="majorHAnsi" w:cs="Calibri"/>
        </w:rPr>
        <w:t>, this in turn increases their abuse potential and possible dependence/ addiction (Volkow &amp; Swanson, 2003).</w:t>
      </w:r>
      <w:r w:rsidR="00FB2608" w:rsidRPr="00734AB6">
        <w:rPr>
          <w:rFonts w:asciiTheme="majorHAnsi" w:hAnsiTheme="majorHAnsi" w:cs="Calibri"/>
        </w:rPr>
        <w:t xml:space="preserve"> </w:t>
      </w:r>
    </w:p>
    <w:p w14:paraId="35200799" w14:textId="76B80AAB" w:rsidR="003E4661" w:rsidRPr="00734AB6" w:rsidRDefault="003E4661"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rPr>
        <w:t xml:space="preserve">In sum, there is a clear risk of abuse and a potential for addiction with </w:t>
      </w:r>
      <w:r w:rsidRPr="00734AB6">
        <w:rPr>
          <w:rFonts w:asciiTheme="majorHAnsi" w:hAnsiTheme="majorHAnsi" w:cs="Calibri"/>
        </w:rPr>
        <w:t>methylphenidate</w:t>
      </w:r>
      <w:r w:rsidRPr="00734AB6">
        <w:rPr>
          <w:rFonts w:asciiTheme="majorHAnsi" w:hAnsiTheme="majorHAnsi"/>
        </w:rPr>
        <w:t>, not only due to its similar pharmacological profile to other known addictive stimulants, but also because of its available routes of administration. Laboratory studies using rats have revealed several signs indicative of potential addiction, such as tolerance, sensitization and withdrawal effects. However, it is also clear that the abuse potential is lower when</w:t>
      </w:r>
      <w:r w:rsidR="00026B88" w:rsidRPr="00734AB6">
        <w:rPr>
          <w:rFonts w:asciiTheme="majorHAnsi" w:hAnsiTheme="majorHAnsi" w:cs="Calibri"/>
        </w:rPr>
        <w:t xml:space="preserve"> methylphenidate is</w:t>
      </w:r>
      <w:r w:rsidRPr="00734AB6">
        <w:rPr>
          <w:rFonts w:asciiTheme="majorHAnsi" w:hAnsiTheme="majorHAnsi"/>
        </w:rPr>
        <w:t xml:space="preserve"> </w:t>
      </w:r>
      <w:r w:rsidRPr="00734AB6">
        <w:rPr>
          <w:rFonts w:asciiTheme="majorHAnsi" w:hAnsiTheme="majorHAnsi"/>
        </w:rPr>
        <w:lastRenderedPageBreak/>
        <w:t xml:space="preserve">administered orally and that the actual cases of abuse are low in comparison </w:t>
      </w:r>
      <w:r w:rsidR="00026B88" w:rsidRPr="00734AB6">
        <w:rPr>
          <w:rFonts w:asciiTheme="majorHAnsi" w:hAnsiTheme="majorHAnsi"/>
        </w:rPr>
        <w:t>with</w:t>
      </w:r>
      <w:r w:rsidRPr="00734AB6">
        <w:rPr>
          <w:rFonts w:asciiTheme="majorHAnsi" w:hAnsiTheme="majorHAnsi"/>
        </w:rPr>
        <w:t xml:space="preserve"> known addictive stimulants such as cocaine. This lower level of actual abuse may be due to motives for use, as it is likely that the majority of off-prescription users are doing so for its cognitive benefits rather than for recreational use. </w:t>
      </w:r>
      <w:r w:rsidRPr="00734AB6">
        <w:rPr>
          <w:rFonts w:asciiTheme="majorHAnsi" w:hAnsiTheme="majorHAnsi" w:cs="Calibri"/>
        </w:rPr>
        <w:t xml:space="preserve">The long-term off-prescription use in </w:t>
      </w:r>
      <w:r w:rsidR="00026B88" w:rsidRPr="00734AB6">
        <w:rPr>
          <w:rFonts w:asciiTheme="majorHAnsi" w:hAnsiTheme="majorHAnsi" w:cs="Calibri"/>
        </w:rPr>
        <w:t xml:space="preserve">individuals </w:t>
      </w:r>
      <w:r w:rsidRPr="00734AB6">
        <w:rPr>
          <w:rFonts w:asciiTheme="majorHAnsi" w:hAnsiTheme="majorHAnsi" w:cs="Calibri"/>
        </w:rPr>
        <w:t xml:space="preserve">under 30 years of age also comes with the potential for detrimental effects in the development of their frontal lobe functions, at least in relation to methylphenidate (Urban &amp; Gao, 2014). </w:t>
      </w:r>
    </w:p>
    <w:p w14:paraId="39719B61"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6701586A" w14:textId="51A9BEAA" w:rsidR="00666A57" w:rsidRPr="00734AB6" w:rsidRDefault="00DD5390" w:rsidP="00DA16AF">
      <w:pPr>
        <w:pStyle w:val="Heading3"/>
        <w:spacing w:after="240" w:line="360" w:lineRule="auto"/>
        <w:rPr>
          <w:b/>
          <w:color w:val="auto"/>
          <w:sz w:val="22"/>
          <w:szCs w:val="22"/>
        </w:rPr>
      </w:pPr>
      <w:bookmarkStart w:id="14" w:name="_Toc48136326"/>
      <w:r w:rsidRPr="00734AB6">
        <w:rPr>
          <w:b/>
          <w:color w:val="auto"/>
          <w:sz w:val="22"/>
          <w:szCs w:val="22"/>
        </w:rPr>
        <w:t>1.6</w:t>
      </w:r>
      <w:r w:rsidR="00A644A0" w:rsidRPr="00734AB6">
        <w:rPr>
          <w:b/>
          <w:color w:val="auto"/>
          <w:sz w:val="22"/>
          <w:szCs w:val="22"/>
        </w:rPr>
        <w:t>.2</w:t>
      </w:r>
      <w:r w:rsidR="00666A57" w:rsidRPr="00734AB6">
        <w:rPr>
          <w:b/>
          <w:color w:val="auto"/>
          <w:sz w:val="22"/>
          <w:szCs w:val="22"/>
        </w:rPr>
        <w:tab/>
        <w:t>Risks and potential addiction: Modafinil</w:t>
      </w:r>
      <w:bookmarkEnd w:id="14"/>
    </w:p>
    <w:p w14:paraId="42571AA8" w14:textId="77777777" w:rsidR="00666A57" w:rsidRPr="00734AB6" w:rsidRDefault="00666A5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Although some may argue that modafinil’s waking effect could result in sleep deprivation and consequently impair immune functions, reports of this effect are lacking (Kim, 2012). However, as Kim emphasises, individuals who are drawn to taking modafinil are often experiencing high levels of stress, which, compounded with possible sleep deprivation may have an immunomodulating effect. That said, it may also be that those who use modafinil off-prescription may be practicing a form of edgework. Edgework is the practice of risk-taking in which the </w:t>
      </w:r>
      <w:proofErr w:type="spellStart"/>
      <w:r w:rsidRPr="00734AB6">
        <w:rPr>
          <w:rFonts w:asciiTheme="majorHAnsi" w:hAnsiTheme="majorHAnsi" w:cs="Calibri"/>
        </w:rPr>
        <w:t>edgeworker</w:t>
      </w:r>
      <w:proofErr w:type="spellEnd"/>
      <w:r w:rsidRPr="00734AB6">
        <w:rPr>
          <w:rFonts w:asciiTheme="majorHAnsi" w:hAnsiTheme="majorHAnsi" w:cs="Calibri"/>
        </w:rPr>
        <w:t xml:space="preserve"> aims to achieve maximum pleasure and excitement by pushing to the edge of risk or danger, as is often seen in those who engage in extreme sports (Quintero &amp; </w:t>
      </w:r>
      <w:proofErr w:type="spellStart"/>
      <w:r w:rsidRPr="00734AB6">
        <w:rPr>
          <w:rFonts w:asciiTheme="majorHAnsi" w:hAnsiTheme="majorHAnsi" w:cs="Calibri"/>
        </w:rPr>
        <w:t>Nichter</w:t>
      </w:r>
      <w:proofErr w:type="spellEnd"/>
      <w:r w:rsidRPr="00734AB6">
        <w:rPr>
          <w:rFonts w:asciiTheme="majorHAnsi" w:hAnsiTheme="majorHAnsi" w:cs="Calibri"/>
        </w:rPr>
        <w:t>, 2011).</w:t>
      </w:r>
    </w:p>
    <w:p w14:paraId="22A67AF8" w14:textId="0D7E27BA" w:rsidR="00666A57" w:rsidRPr="00734AB6" w:rsidRDefault="00666A5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Abuse potential may however, be of greater concern. Volkow et al. (2009) conducted a study to investigate whether modafinil increased DA levels in the nucleus </w:t>
      </w:r>
      <w:proofErr w:type="spellStart"/>
      <w:r w:rsidRPr="00734AB6">
        <w:rPr>
          <w:rFonts w:asciiTheme="majorHAnsi" w:hAnsiTheme="majorHAnsi" w:cs="Calibri"/>
        </w:rPr>
        <w:t>accumbens</w:t>
      </w:r>
      <w:proofErr w:type="spellEnd"/>
      <w:r w:rsidRPr="00734AB6">
        <w:rPr>
          <w:rFonts w:asciiTheme="majorHAnsi" w:hAnsiTheme="majorHAnsi" w:cs="Calibri"/>
        </w:rPr>
        <w:t>, as the action of DA in this brain structure is associated with reward effects in drug abuse. Ten healthy men with the mean age of 34 (SD-7.1) participated in this PET study, in which raclopride and cocaine were used as radiotracers and modafinil was administered</w:t>
      </w:r>
      <w:r w:rsidR="00AC24F4" w:rsidRPr="00734AB6">
        <w:rPr>
          <w:rFonts w:asciiTheme="majorHAnsi" w:hAnsiTheme="majorHAnsi" w:cs="Calibri"/>
        </w:rPr>
        <w:t xml:space="preserve"> orally </w:t>
      </w:r>
      <w:r w:rsidRPr="00734AB6">
        <w:rPr>
          <w:rFonts w:asciiTheme="majorHAnsi" w:hAnsiTheme="majorHAnsi" w:cs="Calibri"/>
        </w:rPr>
        <w:t xml:space="preserve">at 200mg and 400mg doses. Participants were scanned four times over two days separated by one week, revealing that modafinil does significantly increase DA in the brain and, more precisely, in the nucleus </w:t>
      </w:r>
      <w:proofErr w:type="spellStart"/>
      <w:r w:rsidRPr="00734AB6">
        <w:rPr>
          <w:rFonts w:asciiTheme="majorHAnsi" w:hAnsiTheme="majorHAnsi" w:cs="Calibri"/>
        </w:rPr>
        <w:t>accumbens</w:t>
      </w:r>
      <w:proofErr w:type="spellEnd"/>
      <w:r w:rsidRPr="00734AB6">
        <w:rPr>
          <w:rFonts w:asciiTheme="majorHAnsi" w:hAnsiTheme="majorHAnsi" w:cs="Calibri"/>
        </w:rPr>
        <w:t>. It was also found that modafinil’s binding to DA transporters overlapped with the binding site of cocaine. These findings have two implications, one, that modafinil does have an abuse potential, and two, that it may be effective in the treatment of cocaine addiction. However, as Volkow et al. admit, modafinil’s reinforcing potential is very weak and reports of abuse are rare compared to those for stimulant drugs.</w:t>
      </w:r>
    </w:p>
    <w:p w14:paraId="67C8510F" w14:textId="2FCAE5CB" w:rsidR="00666A57" w:rsidRPr="00734AB6" w:rsidRDefault="00666A57" w:rsidP="0099584D">
      <w:pPr>
        <w:widowControl w:val="0"/>
        <w:autoSpaceDE w:val="0"/>
        <w:autoSpaceDN w:val="0"/>
        <w:adjustRightInd w:val="0"/>
        <w:spacing w:after="240" w:line="360" w:lineRule="auto"/>
        <w:ind w:firstLine="851"/>
        <w:rPr>
          <w:rFonts w:asciiTheme="majorHAnsi" w:hAnsiTheme="majorHAnsi" w:cs="Calibri"/>
        </w:rPr>
      </w:pPr>
      <w:proofErr w:type="spellStart"/>
      <w:r w:rsidRPr="00734AB6">
        <w:rPr>
          <w:rFonts w:asciiTheme="majorHAnsi" w:hAnsiTheme="majorHAnsi" w:cs="Calibri"/>
        </w:rPr>
        <w:t>Wuo</w:t>
      </w:r>
      <w:proofErr w:type="spellEnd"/>
      <w:r w:rsidRPr="00734AB6">
        <w:rPr>
          <w:rFonts w:asciiTheme="majorHAnsi" w:hAnsiTheme="majorHAnsi" w:cs="Calibri"/>
        </w:rPr>
        <w:t xml:space="preserve">-Silva et al. (2011) argue for modafinil’s abuse potential. This study focused on the conditioned place preference paradigm and locomotor sensitization effects of modafinil as an indicator of abuse potential. Their argument was that persistent locomotor sensitization results in neuroplastic changes occurring in the circuitry involved in motivational behaviour which is </w:t>
      </w:r>
      <w:r w:rsidRPr="00734AB6">
        <w:rPr>
          <w:rFonts w:asciiTheme="majorHAnsi" w:hAnsiTheme="majorHAnsi" w:cs="Calibri"/>
        </w:rPr>
        <w:lastRenderedPageBreak/>
        <w:t>believed to play a significant role in drug addiction. This animal experiment (involving mice) used modafinil at measures of 64, 128 and 300mg/kg, and cocaine-HCL at 15mg/kg in a saline solution, both injected intraperitoneally along with a saline control condition. Locomotor activity was also measured for each drug condition. The results indicated that locomotor sensitization was present after a single moderate or high dose of modafinil and a cross-sensitization effect between modafinil and cocaine was demonstrated by injection of cocaine following repeated administration of modafinil and vice versa. This behavioural sensitization effect was confirmed by the CPP paradigm - that doses that promote heightened locomotor activation produce CPP indicating addictive potential. However, it should be noted that their findings are limited to mice and at moderate to high doses. Additionally, modafinil was injected using gum Arabica. In normal situations, this mode of administration would be unlikely to occur as modafinil is practically insoluble in water, therefore it would require the motivation and knowledge of this drug delivery agent in order to successfully inject this drug (</w:t>
      </w:r>
      <w:proofErr w:type="spellStart"/>
      <w:r w:rsidRPr="00734AB6">
        <w:rPr>
          <w:rFonts w:asciiTheme="majorHAnsi" w:hAnsiTheme="majorHAnsi" w:cs="Calibri"/>
        </w:rPr>
        <w:t>Jasinski</w:t>
      </w:r>
      <w:proofErr w:type="spellEnd"/>
      <w:r w:rsidRPr="00734AB6">
        <w:rPr>
          <w:rFonts w:asciiTheme="majorHAnsi" w:hAnsiTheme="majorHAnsi" w:cs="Calibri"/>
        </w:rPr>
        <w:t xml:space="preserve">, 2000). The addictive potential of a drug is in part measured by the routes of administration, as routes that allow the highest level of the drug to reach blood plasma most rapidly will result in higher peak plasma levels lasting for a shorter period of time. These stronger but shorter-lived effects are associated with dependence and addiction (Volkow &amp; Swanson, 2003). </w:t>
      </w:r>
    </w:p>
    <w:p w14:paraId="0ADAABE8" w14:textId="09E2B0DF" w:rsidR="00666A57" w:rsidRPr="00734AB6" w:rsidRDefault="00666A57" w:rsidP="0099584D">
      <w:pPr>
        <w:widowControl w:val="0"/>
        <w:autoSpaceDE w:val="0"/>
        <w:autoSpaceDN w:val="0"/>
        <w:adjustRightInd w:val="0"/>
        <w:spacing w:after="240" w:line="360" w:lineRule="auto"/>
        <w:ind w:firstLine="851"/>
        <w:rPr>
          <w:rFonts w:asciiTheme="majorHAnsi" w:hAnsiTheme="majorHAnsi" w:cs="Calibri"/>
        </w:rPr>
      </w:pPr>
      <w:proofErr w:type="spellStart"/>
      <w:r w:rsidRPr="00734AB6">
        <w:rPr>
          <w:rFonts w:asciiTheme="majorHAnsi" w:hAnsiTheme="majorHAnsi" w:cs="Calibri"/>
        </w:rPr>
        <w:t>Jasinski</w:t>
      </w:r>
      <w:proofErr w:type="spellEnd"/>
      <w:r w:rsidRPr="00734AB6">
        <w:rPr>
          <w:rFonts w:asciiTheme="majorHAnsi" w:hAnsiTheme="majorHAnsi" w:cs="Calibri"/>
        </w:rPr>
        <w:t xml:space="preserve"> (2000) investigated the abuse potential of modafinil in a study involving 24 males with a history of polysubstance abuse, using methylphenidate as a reference. The argument here was that, by comparing the pharmacological profile of the drug being investigated to a prototypic drug of abuse, methylphenidate, it was possible to assess its abuse potential. The participants were all inpatients at a medical centre. This was a randomized crossover study consisting of six consecutive three-day sessions with a two-day washout period between each session. The drug conditions were methylphenidate at 45mg and 90mg, modafinil at 200mg, 400mg, and 800mg and placebo. Participants provided subjective assessments of drug effects via questionnaires (including the Amphetamine Scale, which is a measure of specific, dose-related amphetamine-like effects), and those observing the participants gave their perception of the participants’ responses via similar questionnaires. Physiological measures were also taken. The findings revealed modafinil differed to methylphenidate in that there was no significant response of the Amphetamine Scale, lower orthostatic </w:t>
      </w:r>
      <w:r w:rsidR="00B93686" w:rsidRPr="00734AB6">
        <w:rPr>
          <w:rFonts w:asciiTheme="majorHAnsi" w:hAnsiTheme="majorHAnsi" w:cs="Calibri"/>
        </w:rPr>
        <w:t>tachycardia</w:t>
      </w:r>
      <w:r w:rsidRPr="00734AB6">
        <w:rPr>
          <w:rFonts w:asciiTheme="majorHAnsi" w:hAnsiTheme="majorHAnsi" w:cs="Calibri"/>
        </w:rPr>
        <w:t xml:space="preserve"> increases </w:t>
      </w:r>
      <w:r w:rsidR="00B93686" w:rsidRPr="00734AB6">
        <w:rPr>
          <w:rFonts w:asciiTheme="majorHAnsi" w:hAnsiTheme="majorHAnsi" w:cs="Calibri"/>
        </w:rPr>
        <w:t>or</w:t>
      </w:r>
      <w:r w:rsidRPr="00734AB6">
        <w:rPr>
          <w:rFonts w:asciiTheme="majorHAnsi" w:hAnsiTheme="majorHAnsi" w:cs="Calibri"/>
        </w:rPr>
        <w:t xml:space="preserve"> a lower reduction in caloric intake compared </w:t>
      </w:r>
      <w:r w:rsidR="00B93686" w:rsidRPr="00734AB6">
        <w:rPr>
          <w:rFonts w:asciiTheme="majorHAnsi" w:hAnsiTheme="majorHAnsi" w:cs="Calibri"/>
        </w:rPr>
        <w:t>with</w:t>
      </w:r>
      <w:r w:rsidRPr="00734AB6">
        <w:rPr>
          <w:rFonts w:asciiTheme="majorHAnsi" w:hAnsiTheme="majorHAnsi" w:cs="Calibri"/>
        </w:rPr>
        <w:t xml:space="preserve"> methylphenidate.  </w:t>
      </w:r>
      <w:proofErr w:type="spellStart"/>
      <w:r w:rsidRPr="00734AB6">
        <w:rPr>
          <w:rFonts w:asciiTheme="majorHAnsi" w:hAnsiTheme="majorHAnsi" w:cs="Calibri"/>
        </w:rPr>
        <w:t>Jasinski</w:t>
      </w:r>
      <w:proofErr w:type="spellEnd"/>
      <w:r w:rsidRPr="00734AB6">
        <w:rPr>
          <w:rFonts w:asciiTheme="majorHAnsi" w:hAnsiTheme="majorHAnsi" w:cs="Calibri"/>
        </w:rPr>
        <w:t xml:space="preserve"> reported that the overall results indicated that modafinil is not an amphetamine-like agent.</w:t>
      </w:r>
    </w:p>
    <w:p w14:paraId="020195A3" w14:textId="02D006F6" w:rsidR="00666A57" w:rsidRPr="00734AB6" w:rsidRDefault="00666A5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A review of preclinical, clinical and post-marketing surveillance (Myrick, Malcolm, Taylor &amp; </w:t>
      </w:r>
      <w:proofErr w:type="spellStart"/>
      <w:r w:rsidRPr="00734AB6">
        <w:rPr>
          <w:rFonts w:asciiTheme="majorHAnsi" w:hAnsiTheme="majorHAnsi" w:cs="Calibri"/>
        </w:rPr>
        <w:t>LaRowe</w:t>
      </w:r>
      <w:proofErr w:type="spellEnd"/>
      <w:r w:rsidRPr="00734AB6">
        <w:rPr>
          <w:rFonts w:asciiTheme="majorHAnsi" w:hAnsiTheme="majorHAnsi" w:cs="Calibri"/>
        </w:rPr>
        <w:t xml:space="preserve">, 2004) concluded that modafinil has a limited potential for abuse. Post-marketing surveillance is the practice of monitoring the safety of drugs after they have been released into </w:t>
      </w:r>
      <w:r w:rsidRPr="00734AB6">
        <w:rPr>
          <w:rFonts w:asciiTheme="majorHAnsi" w:hAnsiTheme="majorHAnsi" w:cs="Calibri"/>
        </w:rPr>
        <w:lastRenderedPageBreak/>
        <w:t xml:space="preserve">the market and it employs a number of methods, including accessing data from patient health records. This is arguably the most accurate assessment of a drug’s abuse potential as the clinicians are prescribing these drugs to diverse patient groups. Myrick et al.’s </w:t>
      </w:r>
      <w:r w:rsidR="005F1410" w:rsidRPr="00734AB6">
        <w:rPr>
          <w:rFonts w:asciiTheme="majorHAnsi" w:hAnsiTheme="majorHAnsi" w:cs="Calibri"/>
        </w:rPr>
        <w:t xml:space="preserve">(2004) </w:t>
      </w:r>
      <w:r w:rsidRPr="00734AB6">
        <w:rPr>
          <w:rFonts w:asciiTheme="majorHAnsi" w:hAnsiTheme="majorHAnsi" w:cs="Calibri"/>
        </w:rPr>
        <w:t>review of the post-marketing surveillance, was of particular interest, they focused on the Haight-Ashbury Free Clinics Behavioural Research Group which monitored the usage patterns of modafinil over a four-year period. This was a su</w:t>
      </w:r>
      <w:r w:rsidR="00C6320C" w:rsidRPr="00734AB6">
        <w:rPr>
          <w:rFonts w:asciiTheme="majorHAnsi" w:hAnsiTheme="majorHAnsi" w:cs="Calibri"/>
        </w:rPr>
        <w:t>rveillance program which gathered</w:t>
      </w:r>
      <w:r w:rsidRPr="00734AB6">
        <w:rPr>
          <w:rFonts w:asciiTheme="majorHAnsi" w:hAnsiTheme="majorHAnsi" w:cs="Calibri"/>
        </w:rPr>
        <w:t xml:space="preserve"> information from a large number of sources including multiple national and state databases, medical and popular literature, addiction focus group</w:t>
      </w:r>
      <w:r w:rsidR="00B93686" w:rsidRPr="00734AB6">
        <w:rPr>
          <w:rFonts w:asciiTheme="majorHAnsi" w:hAnsiTheme="majorHAnsi" w:cs="Calibri"/>
        </w:rPr>
        <w:t>s</w:t>
      </w:r>
      <w:r w:rsidRPr="00734AB6">
        <w:rPr>
          <w:rFonts w:asciiTheme="majorHAnsi" w:hAnsiTheme="majorHAnsi" w:cs="Calibri"/>
        </w:rPr>
        <w:t xml:space="preserve"> and primary care patients. Over this period of time, surveillance found no misuse or abuse of modafinil and modafinil did not generate much interest on the internet. Despite this, it should be noted that this program ran from 1999 to 2003, so may not be indicative of current trends. Additionally, the program was focused on therapeutic, prescribed use and therefore may not be </w:t>
      </w:r>
      <w:r w:rsidR="00B93686" w:rsidRPr="00734AB6">
        <w:rPr>
          <w:rFonts w:asciiTheme="majorHAnsi" w:hAnsiTheme="majorHAnsi" w:cs="Calibri"/>
        </w:rPr>
        <w:t>indicative</w:t>
      </w:r>
      <w:r w:rsidRPr="00734AB6">
        <w:rPr>
          <w:rFonts w:asciiTheme="majorHAnsi" w:hAnsiTheme="majorHAnsi" w:cs="Calibri"/>
        </w:rPr>
        <w:t xml:space="preserve"> of off-prescription use.</w:t>
      </w:r>
    </w:p>
    <w:p w14:paraId="2DE05506" w14:textId="31218BD0" w:rsidR="00CB62E2" w:rsidRPr="00734AB6" w:rsidRDefault="00666A57"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Overall then, although modafinil does increase DA levels in the reward areas of the brain associated with drug abuse, and modafinil’s binding to DA transporters overlaps with that of cocaine, suggesting abuse potential, this has yet to be demonstrated in actual abuse statistics. There is evidence of abuse potential through clinical studies using mice but, as before, the modafinil was injected, using moderate to high doses. It is highly unlikely that this mode of administration would be accessible to most individuals and, as modafinil cannot be smoked, this also reduces the potential for modafinil to be administered via methods that are associated with drug abuse and addiction. Indeed, very thorough post-marketing surveillance has demonstrated no misuse or abuse at least up to 2003</w:t>
      </w:r>
      <w:r w:rsidR="00612717" w:rsidRPr="00734AB6">
        <w:rPr>
          <w:rFonts w:asciiTheme="majorHAnsi" w:hAnsiTheme="majorHAnsi" w:cs="Calibri"/>
        </w:rPr>
        <w:t xml:space="preserve"> </w:t>
      </w:r>
      <w:r w:rsidR="00570457" w:rsidRPr="00734AB6">
        <w:rPr>
          <w:rFonts w:asciiTheme="majorHAnsi" w:hAnsiTheme="majorHAnsi" w:cs="Calibri"/>
        </w:rPr>
        <w:t>(Myrick et al., 2004)</w:t>
      </w:r>
      <w:r w:rsidRPr="00734AB6">
        <w:rPr>
          <w:rFonts w:asciiTheme="majorHAnsi" w:hAnsiTheme="majorHAnsi" w:cs="Calibri"/>
        </w:rPr>
        <w:t>. There is, of course, the possibility that this trend has changed but, to the author’s knowledge, there is currently no report to the contrary.</w:t>
      </w:r>
      <w:r w:rsidR="00CB62E2" w:rsidRPr="00734AB6">
        <w:rPr>
          <w:rFonts w:asciiTheme="majorHAnsi" w:hAnsiTheme="majorHAnsi" w:cs="Calibri"/>
        </w:rPr>
        <w:t xml:space="preserve"> The long-term effects of modafinil are largely unknown, although, evidence so far has not revealed any significant dangers in this respect.</w:t>
      </w:r>
    </w:p>
    <w:p w14:paraId="5662A5F0"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49679A18" w14:textId="1BF377F3" w:rsidR="00A644A0" w:rsidRPr="00734AB6" w:rsidRDefault="00DD5390" w:rsidP="00DA16AF">
      <w:pPr>
        <w:pStyle w:val="Heading3"/>
        <w:spacing w:after="240" w:line="360" w:lineRule="auto"/>
        <w:rPr>
          <w:b/>
          <w:color w:val="auto"/>
          <w:sz w:val="22"/>
          <w:szCs w:val="22"/>
        </w:rPr>
      </w:pPr>
      <w:bookmarkStart w:id="15" w:name="_Toc48136327"/>
      <w:r w:rsidRPr="00734AB6">
        <w:rPr>
          <w:b/>
          <w:color w:val="auto"/>
          <w:sz w:val="22"/>
          <w:szCs w:val="22"/>
        </w:rPr>
        <w:t>1.6</w:t>
      </w:r>
      <w:r w:rsidR="00A644A0" w:rsidRPr="00734AB6">
        <w:rPr>
          <w:b/>
          <w:color w:val="auto"/>
          <w:sz w:val="22"/>
          <w:szCs w:val="22"/>
        </w:rPr>
        <w:t>.3</w:t>
      </w:r>
      <w:r w:rsidR="00A644A0" w:rsidRPr="00734AB6">
        <w:rPr>
          <w:b/>
          <w:color w:val="auto"/>
          <w:sz w:val="22"/>
          <w:szCs w:val="22"/>
        </w:rPr>
        <w:tab/>
      </w:r>
      <w:r w:rsidR="00D9703C" w:rsidRPr="00734AB6">
        <w:rPr>
          <w:b/>
          <w:color w:val="auto"/>
          <w:sz w:val="22"/>
          <w:szCs w:val="22"/>
        </w:rPr>
        <w:t>Illicit drug use with modafinil and methylphenidate</w:t>
      </w:r>
      <w:bookmarkEnd w:id="15"/>
    </w:p>
    <w:p w14:paraId="7EEFB48E" w14:textId="4F613285" w:rsidR="00157505" w:rsidRPr="00734AB6" w:rsidRDefault="00157505" w:rsidP="0099584D">
      <w:pPr>
        <w:widowControl w:val="0"/>
        <w:autoSpaceDE w:val="0"/>
        <w:autoSpaceDN w:val="0"/>
        <w:adjustRightInd w:val="0"/>
        <w:spacing w:after="240" w:line="360" w:lineRule="auto"/>
        <w:ind w:firstLine="851"/>
        <w:rPr>
          <w:rFonts w:asciiTheme="majorHAnsi" w:hAnsiTheme="majorHAnsi"/>
        </w:rPr>
      </w:pPr>
      <w:r w:rsidRPr="00734AB6">
        <w:rPr>
          <w:rFonts w:asciiTheme="majorHAnsi" w:hAnsiTheme="majorHAnsi"/>
        </w:rPr>
        <w:t xml:space="preserve">Another consideration in relation to potential dangers of CED use is the concomitant use of other drugs. </w:t>
      </w:r>
      <w:r w:rsidR="009D4532" w:rsidRPr="00734AB6">
        <w:rPr>
          <w:rFonts w:asciiTheme="majorHAnsi" w:hAnsiTheme="majorHAnsi"/>
        </w:rPr>
        <w:t>Several studies have noted high level</w:t>
      </w:r>
      <w:r w:rsidR="00EA3AA7" w:rsidRPr="00734AB6">
        <w:rPr>
          <w:rFonts w:asciiTheme="majorHAnsi" w:hAnsiTheme="majorHAnsi"/>
        </w:rPr>
        <w:t>s</w:t>
      </w:r>
      <w:r w:rsidR="009D4532" w:rsidRPr="00734AB6">
        <w:rPr>
          <w:rFonts w:asciiTheme="majorHAnsi" w:hAnsiTheme="majorHAnsi"/>
        </w:rPr>
        <w:t xml:space="preserve"> of illicit drug use amongst CED users (</w:t>
      </w:r>
      <w:r w:rsidR="00EB6AD9" w:rsidRPr="00734AB6">
        <w:rPr>
          <w:rFonts w:asciiTheme="majorHAnsi" w:hAnsiTheme="majorHAnsi"/>
        </w:rPr>
        <w:t xml:space="preserve">e.g. </w:t>
      </w:r>
      <w:proofErr w:type="spellStart"/>
      <w:r w:rsidR="00EB6AD9" w:rsidRPr="00734AB6">
        <w:rPr>
          <w:rFonts w:asciiTheme="majorHAnsi" w:hAnsiTheme="majorHAnsi"/>
        </w:rPr>
        <w:t>Arria</w:t>
      </w:r>
      <w:proofErr w:type="spellEnd"/>
      <w:r w:rsidR="00EB6AD9" w:rsidRPr="00734AB6">
        <w:rPr>
          <w:rFonts w:asciiTheme="majorHAnsi" w:hAnsiTheme="majorHAnsi"/>
        </w:rPr>
        <w:t xml:space="preserve"> et al., 2011; </w:t>
      </w:r>
      <w:r w:rsidR="009D4532" w:rsidRPr="00734AB6">
        <w:rPr>
          <w:rFonts w:asciiTheme="majorHAnsi" w:hAnsiTheme="majorHAnsi"/>
        </w:rPr>
        <w:t xml:space="preserve">McCabe </w:t>
      </w:r>
      <w:r w:rsidR="00B15C32" w:rsidRPr="00734AB6">
        <w:rPr>
          <w:rFonts w:asciiTheme="majorHAnsi" w:hAnsiTheme="majorHAnsi"/>
        </w:rPr>
        <w:t xml:space="preserve">et al., 2006; </w:t>
      </w:r>
      <w:r w:rsidR="00EB6AD9" w:rsidRPr="00734AB6">
        <w:rPr>
          <w:rFonts w:asciiTheme="majorHAnsi" w:hAnsiTheme="majorHAnsi"/>
        </w:rPr>
        <w:t xml:space="preserve">McDermott, Lane &amp; Alonso, 2020; </w:t>
      </w:r>
      <w:proofErr w:type="spellStart"/>
      <w:r w:rsidR="00EB6AD9" w:rsidRPr="00734AB6">
        <w:rPr>
          <w:rFonts w:asciiTheme="majorHAnsi" w:hAnsiTheme="majorHAnsi"/>
        </w:rPr>
        <w:t>Rabiner</w:t>
      </w:r>
      <w:proofErr w:type="spellEnd"/>
      <w:r w:rsidR="00EB6AD9" w:rsidRPr="00734AB6">
        <w:rPr>
          <w:rFonts w:asciiTheme="majorHAnsi" w:hAnsiTheme="majorHAnsi"/>
        </w:rPr>
        <w:t xml:space="preserve"> et al., 2009</w:t>
      </w:r>
      <w:r w:rsidR="009D4532" w:rsidRPr="00734AB6">
        <w:rPr>
          <w:rFonts w:asciiTheme="majorHAnsi" w:hAnsiTheme="majorHAnsi"/>
        </w:rPr>
        <w:t>).</w:t>
      </w:r>
      <w:r w:rsidR="00EB6AD9" w:rsidRPr="00734AB6">
        <w:rPr>
          <w:rFonts w:asciiTheme="majorHAnsi" w:hAnsiTheme="majorHAnsi"/>
        </w:rPr>
        <w:t xml:space="preserve"> </w:t>
      </w:r>
      <w:proofErr w:type="spellStart"/>
      <w:r w:rsidRPr="00734AB6">
        <w:rPr>
          <w:rFonts w:asciiTheme="majorHAnsi" w:hAnsiTheme="majorHAnsi"/>
        </w:rPr>
        <w:t>Hysek</w:t>
      </w:r>
      <w:proofErr w:type="spellEnd"/>
      <w:r w:rsidRPr="00734AB6">
        <w:rPr>
          <w:rFonts w:asciiTheme="majorHAnsi" w:hAnsiTheme="majorHAnsi"/>
        </w:rPr>
        <w:t xml:space="preserve"> et al. (2014) investigated the pharmacodynamic effects of </w:t>
      </w:r>
      <w:r w:rsidRPr="00734AB6">
        <w:rPr>
          <w:rFonts w:asciiTheme="majorHAnsi" w:hAnsiTheme="majorHAnsi" w:cs="Calibri"/>
        </w:rPr>
        <w:t>methylphenidate</w:t>
      </w:r>
      <w:r w:rsidRPr="00734AB6">
        <w:rPr>
          <w:rFonts w:asciiTheme="majorHAnsi" w:hAnsiTheme="majorHAnsi"/>
        </w:rPr>
        <w:t xml:space="preserve"> and methylenedioxymethamphetamine (MDMA) in combination or alone. Sixteen healthy participants took part in a double-blind, placebo-controlled, cross-over study with four experimental test sessions. Subjective effects were measured using a battery of psychometric tests, and emotion recognition was measured using a facial emotion recognition task where participants were </w:t>
      </w:r>
      <w:r w:rsidRPr="00734AB6">
        <w:rPr>
          <w:rFonts w:asciiTheme="majorHAnsi" w:hAnsiTheme="majorHAnsi"/>
        </w:rPr>
        <w:lastRenderedPageBreak/>
        <w:t xml:space="preserve">required to identify the correct emotion of faces presented to them. Their findings demonstrated that the combined use of </w:t>
      </w:r>
      <w:r w:rsidRPr="00734AB6">
        <w:rPr>
          <w:rFonts w:asciiTheme="majorHAnsi" w:hAnsiTheme="majorHAnsi" w:cs="Calibri"/>
        </w:rPr>
        <w:t>methylphenidate</w:t>
      </w:r>
      <w:r w:rsidRPr="00734AB6">
        <w:rPr>
          <w:rFonts w:asciiTheme="majorHAnsi" w:hAnsiTheme="majorHAnsi"/>
        </w:rPr>
        <w:t xml:space="preserve"> and MDMA did not result in additional psychoactive effects compared to single drug usage but indicated enhanced cardiovascular and adverse effects when taken together. If </w:t>
      </w:r>
      <w:r w:rsidRPr="00734AB6">
        <w:rPr>
          <w:rFonts w:asciiTheme="majorHAnsi" w:hAnsiTheme="majorHAnsi" w:cs="Calibri"/>
        </w:rPr>
        <w:t>methylphenidate</w:t>
      </w:r>
      <w:r w:rsidRPr="00734AB6">
        <w:rPr>
          <w:rFonts w:asciiTheme="majorHAnsi" w:hAnsiTheme="majorHAnsi"/>
        </w:rPr>
        <w:t xml:space="preserve"> users are taking other drugs simultaneously, these findings suggest a very significant potential danger. </w:t>
      </w:r>
    </w:p>
    <w:p w14:paraId="63C4F7C6" w14:textId="3BC6C9BC" w:rsidR="00E73007" w:rsidRPr="00734AB6" w:rsidRDefault="00E73007" w:rsidP="0099584D">
      <w:pPr>
        <w:widowControl w:val="0"/>
        <w:autoSpaceDE w:val="0"/>
        <w:autoSpaceDN w:val="0"/>
        <w:adjustRightInd w:val="0"/>
        <w:spacing w:after="240" w:line="360" w:lineRule="auto"/>
        <w:ind w:firstLine="851"/>
        <w:rPr>
          <w:rFonts w:asciiTheme="majorHAnsi" w:hAnsiTheme="majorHAnsi"/>
        </w:rPr>
      </w:pPr>
      <w:r w:rsidRPr="00734AB6">
        <w:rPr>
          <w:rFonts w:asciiTheme="majorHAnsi" w:hAnsiTheme="majorHAnsi" w:cs="Calibri"/>
        </w:rPr>
        <w:t>Le</w:t>
      </w:r>
      <w:r w:rsidR="00581B04" w:rsidRPr="00734AB6">
        <w:rPr>
          <w:rFonts w:asciiTheme="majorHAnsi" w:hAnsiTheme="majorHAnsi" w:cstheme="minorHAnsi"/>
          <w:shd w:val="clear" w:color="auto" w:fill="FFFFFF"/>
        </w:rPr>
        <w:t>ó</w:t>
      </w:r>
      <w:r w:rsidRPr="00734AB6">
        <w:rPr>
          <w:rFonts w:asciiTheme="majorHAnsi" w:hAnsiTheme="majorHAnsi" w:cs="Calibri"/>
        </w:rPr>
        <w:t>n and Mart</w:t>
      </w:r>
      <w:r w:rsidR="00C14994" w:rsidRPr="00734AB6">
        <w:rPr>
          <w:rFonts w:asciiTheme="majorHAnsi" w:hAnsiTheme="majorHAnsi" w:cstheme="minorHAnsi"/>
          <w:shd w:val="clear" w:color="auto" w:fill="FFFFFF"/>
        </w:rPr>
        <w:t>í</w:t>
      </w:r>
      <w:r w:rsidRPr="00734AB6">
        <w:rPr>
          <w:rFonts w:asciiTheme="majorHAnsi" w:hAnsiTheme="majorHAnsi" w:cs="Calibri"/>
        </w:rPr>
        <w:t>nez (2017) investigated motives for illicit prescription drug use in teenagers rang</w:t>
      </w:r>
      <w:r w:rsidR="00FB2608" w:rsidRPr="00734AB6">
        <w:rPr>
          <w:rFonts w:asciiTheme="majorHAnsi" w:hAnsiTheme="majorHAnsi" w:cs="Calibri"/>
        </w:rPr>
        <w:t xml:space="preserve">ing from 13 years to 16 years. </w:t>
      </w:r>
      <w:r w:rsidRPr="00734AB6">
        <w:rPr>
          <w:rFonts w:asciiTheme="majorHAnsi" w:hAnsiTheme="majorHAnsi" w:cs="Calibri"/>
        </w:rPr>
        <w:t>The authors analysed data taken from</w:t>
      </w:r>
      <w:r w:rsidR="00631F67" w:rsidRPr="00734AB6">
        <w:rPr>
          <w:rFonts w:asciiTheme="majorHAnsi" w:hAnsiTheme="majorHAnsi" w:cs="Calibri"/>
        </w:rPr>
        <w:t xml:space="preserve"> a data set </w:t>
      </w:r>
      <w:r w:rsidRPr="00734AB6">
        <w:rPr>
          <w:rFonts w:asciiTheme="majorHAnsi" w:hAnsiTheme="majorHAnsi"/>
        </w:rPr>
        <w:t xml:space="preserve">maintained by the University of Michigan’s </w:t>
      </w:r>
      <w:r w:rsidR="00FB2608" w:rsidRPr="00734AB6">
        <w:rPr>
          <w:rFonts w:asciiTheme="majorHAnsi" w:hAnsiTheme="majorHAnsi"/>
        </w:rPr>
        <w:t xml:space="preserve">Institute for Social Research. </w:t>
      </w:r>
      <w:r w:rsidRPr="00734AB6">
        <w:rPr>
          <w:rFonts w:asciiTheme="majorHAnsi" w:hAnsiTheme="majorHAnsi"/>
        </w:rPr>
        <w:t>Their finding</w:t>
      </w:r>
      <w:r w:rsidR="0028055F" w:rsidRPr="00734AB6">
        <w:rPr>
          <w:rFonts w:asciiTheme="majorHAnsi" w:hAnsiTheme="majorHAnsi"/>
        </w:rPr>
        <w:t>s</w:t>
      </w:r>
      <w:r w:rsidRPr="00734AB6">
        <w:rPr>
          <w:rFonts w:asciiTheme="majorHAnsi" w:hAnsiTheme="majorHAnsi"/>
        </w:rPr>
        <w:t xml:space="preserve"> from the 10,639 students who participated suggest that prescription stimulant drug use among their sample (4% in the past year) was strongly associated with experimental or habitual use of both legal drugs and also illegal drugs</w:t>
      </w:r>
      <w:r w:rsidR="00FB2608" w:rsidRPr="00734AB6">
        <w:rPr>
          <w:rFonts w:asciiTheme="majorHAnsi" w:hAnsiTheme="majorHAnsi"/>
        </w:rPr>
        <w:t xml:space="preserve"> such as cannabis and alcohol. </w:t>
      </w:r>
      <w:r w:rsidRPr="00734AB6">
        <w:rPr>
          <w:rFonts w:asciiTheme="majorHAnsi" w:hAnsiTheme="majorHAnsi"/>
        </w:rPr>
        <w:t xml:space="preserve">It is not altogether surprising that youths of this age </w:t>
      </w:r>
      <w:r w:rsidR="00332046" w:rsidRPr="00734AB6">
        <w:rPr>
          <w:rFonts w:asciiTheme="majorHAnsi" w:hAnsiTheme="majorHAnsi"/>
        </w:rPr>
        <w:t>report taking</w:t>
      </w:r>
      <w:r w:rsidRPr="00734AB6">
        <w:rPr>
          <w:rFonts w:asciiTheme="majorHAnsi" w:hAnsiTheme="majorHAnsi"/>
        </w:rPr>
        <w:t xml:space="preserve"> cannabis or alcohol, but the authors argue that their motives for using prescription stimulants at this age may be more for recreational use rather than study use.</w:t>
      </w:r>
      <w:r w:rsidR="002A7D89" w:rsidRPr="00734AB6">
        <w:rPr>
          <w:rFonts w:asciiTheme="majorHAnsi" w:hAnsiTheme="majorHAnsi"/>
        </w:rPr>
        <w:t xml:space="preserve"> </w:t>
      </w:r>
      <w:r w:rsidRPr="00734AB6">
        <w:rPr>
          <w:rFonts w:asciiTheme="majorHAnsi" w:hAnsiTheme="majorHAnsi"/>
        </w:rPr>
        <w:t>What is not clear from this study</w:t>
      </w:r>
      <w:r w:rsidR="0028055F" w:rsidRPr="00734AB6">
        <w:rPr>
          <w:rFonts w:asciiTheme="majorHAnsi" w:hAnsiTheme="majorHAnsi"/>
        </w:rPr>
        <w:t>,</w:t>
      </w:r>
      <w:r w:rsidRPr="00734AB6">
        <w:rPr>
          <w:rFonts w:asciiTheme="majorHAnsi" w:hAnsiTheme="majorHAnsi"/>
        </w:rPr>
        <w:t xml:space="preserve"> though, is whether these students are using these drugs for both reasons or purely for recreational use alone. </w:t>
      </w:r>
    </w:p>
    <w:p w14:paraId="0448ABC1" w14:textId="363E6F79" w:rsidR="00E109DE" w:rsidRPr="00734AB6" w:rsidRDefault="00E109DE" w:rsidP="0099584D">
      <w:pPr>
        <w:widowControl w:val="0"/>
        <w:autoSpaceDE w:val="0"/>
        <w:autoSpaceDN w:val="0"/>
        <w:adjustRightInd w:val="0"/>
        <w:spacing w:after="240" w:line="360" w:lineRule="auto"/>
        <w:ind w:firstLine="851"/>
        <w:rPr>
          <w:rFonts w:asciiTheme="majorHAnsi" w:hAnsiTheme="majorHAnsi" w:cs="Calibri"/>
        </w:rPr>
      </w:pPr>
      <w:r w:rsidRPr="00734AB6">
        <w:rPr>
          <w:rFonts w:asciiTheme="majorHAnsi" w:hAnsiTheme="majorHAnsi" w:cs="Calibri"/>
        </w:rPr>
        <w:t xml:space="preserve">The long-term effects of </w:t>
      </w:r>
      <w:r w:rsidR="00332046" w:rsidRPr="00734AB6">
        <w:rPr>
          <w:rFonts w:asciiTheme="majorHAnsi" w:hAnsiTheme="majorHAnsi" w:cs="Calibri"/>
        </w:rPr>
        <w:t>modafinil and methylphenidate</w:t>
      </w:r>
      <w:r w:rsidRPr="00734AB6">
        <w:rPr>
          <w:rFonts w:asciiTheme="majorHAnsi" w:hAnsiTheme="majorHAnsi" w:cs="Calibri"/>
        </w:rPr>
        <w:t xml:space="preserve"> are unknown but research suggests that the regular use of </w:t>
      </w:r>
      <w:r w:rsidR="003418B5" w:rsidRPr="00734AB6">
        <w:rPr>
          <w:rFonts w:asciiTheme="majorHAnsi" w:hAnsiTheme="majorHAnsi" w:cs="Calibri"/>
        </w:rPr>
        <w:t xml:space="preserve">methylphenidate </w:t>
      </w:r>
      <w:r w:rsidRPr="00734AB6">
        <w:rPr>
          <w:rFonts w:asciiTheme="majorHAnsi" w:hAnsiTheme="majorHAnsi" w:cs="Calibri"/>
        </w:rPr>
        <w:t xml:space="preserve">in adolescents and young adults up to the age of 30 years may result in detrimental effects on the plasticity of the </w:t>
      </w:r>
      <w:r w:rsidR="00BA6D5A" w:rsidRPr="00734AB6">
        <w:rPr>
          <w:rFonts w:asciiTheme="majorHAnsi" w:hAnsiTheme="majorHAnsi" w:cs="Calibri"/>
        </w:rPr>
        <w:t>PFC</w:t>
      </w:r>
      <w:r w:rsidRPr="00734AB6">
        <w:rPr>
          <w:rFonts w:asciiTheme="majorHAnsi" w:hAnsiTheme="majorHAnsi" w:cs="Calibri"/>
        </w:rPr>
        <w:t xml:space="preserve"> (Urban &amp; Gao, 2014), the centre of executive functions (</w:t>
      </w:r>
      <w:r w:rsidR="0028055F" w:rsidRPr="00734AB6">
        <w:rPr>
          <w:rFonts w:asciiTheme="majorHAnsi" w:hAnsiTheme="majorHAnsi" w:cs="Calibri"/>
        </w:rPr>
        <w:t xml:space="preserve">e.g., </w:t>
      </w:r>
      <w:proofErr w:type="spellStart"/>
      <w:r w:rsidR="00FB2608" w:rsidRPr="00734AB6">
        <w:rPr>
          <w:rFonts w:asciiTheme="majorHAnsi" w:hAnsiTheme="majorHAnsi" w:cs="Calibri"/>
        </w:rPr>
        <w:t>Rabbitt</w:t>
      </w:r>
      <w:proofErr w:type="spellEnd"/>
      <w:r w:rsidR="00FB2608" w:rsidRPr="00734AB6">
        <w:rPr>
          <w:rFonts w:asciiTheme="majorHAnsi" w:hAnsiTheme="majorHAnsi" w:cs="Calibri"/>
        </w:rPr>
        <w:t xml:space="preserve">, 1997). </w:t>
      </w:r>
      <w:r w:rsidRPr="00734AB6">
        <w:rPr>
          <w:rFonts w:asciiTheme="majorHAnsi" w:hAnsiTheme="majorHAnsi" w:cs="Calibri"/>
        </w:rPr>
        <w:t xml:space="preserve">Due to the similarity of action on DA and NE in the </w:t>
      </w:r>
      <w:r w:rsidR="00BA6D5A" w:rsidRPr="00734AB6">
        <w:rPr>
          <w:rFonts w:asciiTheme="majorHAnsi" w:hAnsiTheme="majorHAnsi" w:cs="Calibri"/>
        </w:rPr>
        <w:t xml:space="preserve">PFC </w:t>
      </w:r>
      <w:r w:rsidRPr="00734AB6">
        <w:rPr>
          <w:rFonts w:asciiTheme="majorHAnsi" w:hAnsiTheme="majorHAnsi" w:cs="Calibri"/>
        </w:rPr>
        <w:t xml:space="preserve">to that of </w:t>
      </w:r>
      <w:r w:rsidR="00722AF1" w:rsidRPr="00734AB6">
        <w:rPr>
          <w:rFonts w:asciiTheme="majorHAnsi" w:hAnsiTheme="majorHAnsi" w:cs="Calibri"/>
        </w:rPr>
        <w:t>methylphenidate</w:t>
      </w:r>
      <w:r w:rsidRPr="00734AB6">
        <w:rPr>
          <w:rFonts w:asciiTheme="majorHAnsi" w:hAnsiTheme="majorHAnsi" w:cs="Calibri"/>
        </w:rPr>
        <w:t xml:space="preserve">, regular use of modafinil may also exert detrimental effects on young adults similar to those discussed above for </w:t>
      </w:r>
      <w:r w:rsidR="00722AF1" w:rsidRPr="00734AB6">
        <w:rPr>
          <w:rFonts w:asciiTheme="majorHAnsi" w:hAnsiTheme="majorHAnsi" w:cs="Calibri"/>
        </w:rPr>
        <w:t>methylphenidate</w:t>
      </w:r>
      <w:r w:rsidR="00FB2608" w:rsidRPr="00734AB6">
        <w:rPr>
          <w:rFonts w:asciiTheme="majorHAnsi" w:hAnsiTheme="majorHAnsi" w:cs="Calibri"/>
        </w:rPr>
        <w:t xml:space="preserve">. </w:t>
      </w:r>
      <w:r w:rsidRPr="00734AB6">
        <w:rPr>
          <w:rFonts w:asciiTheme="majorHAnsi" w:hAnsiTheme="majorHAnsi" w:cs="Calibri"/>
        </w:rPr>
        <w:t>However, it should also be noted that modafinil’s binding mechanism to DA transporters</w:t>
      </w:r>
      <w:r w:rsidR="00C4047D" w:rsidRPr="00734AB6">
        <w:rPr>
          <w:rFonts w:asciiTheme="majorHAnsi" w:hAnsiTheme="majorHAnsi" w:cs="Calibri"/>
        </w:rPr>
        <w:t xml:space="preserve"> </w:t>
      </w:r>
      <w:r w:rsidRPr="00734AB6">
        <w:rPr>
          <w:rFonts w:asciiTheme="majorHAnsi" w:hAnsiTheme="majorHAnsi" w:cs="Calibri"/>
        </w:rPr>
        <w:t xml:space="preserve">is different to that of </w:t>
      </w:r>
      <w:r w:rsidR="00722AF1" w:rsidRPr="00734AB6">
        <w:rPr>
          <w:rFonts w:asciiTheme="majorHAnsi" w:hAnsiTheme="majorHAnsi" w:cs="Calibri"/>
        </w:rPr>
        <w:t>methylphenidate</w:t>
      </w:r>
      <w:r w:rsidRPr="00734AB6">
        <w:rPr>
          <w:rFonts w:asciiTheme="majorHAnsi" w:hAnsiTheme="majorHAnsi" w:cs="Calibri"/>
        </w:rPr>
        <w:t>, with differing affinity ratios, and it is that mechanistic difference that is believed to influence its properties and ef</w:t>
      </w:r>
      <w:r w:rsidR="00FB2608" w:rsidRPr="00734AB6">
        <w:rPr>
          <w:rFonts w:asciiTheme="majorHAnsi" w:hAnsiTheme="majorHAnsi" w:cs="Calibri"/>
        </w:rPr>
        <w:t xml:space="preserve">fects (Schmitt &amp; Reith, 2011). </w:t>
      </w:r>
      <w:r w:rsidRPr="00734AB6">
        <w:rPr>
          <w:rFonts w:asciiTheme="majorHAnsi" w:hAnsiTheme="majorHAnsi" w:cs="Calibri"/>
        </w:rPr>
        <w:t>Nevertheless, given that a large number of young adult students are using these drugs, the question is raised as to whether they are aware of the potential risks and harms involved.</w:t>
      </w:r>
    </w:p>
    <w:p w14:paraId="2184CFE4" w14:textId="77777777" w:rsidR="00D134B1" w:rsidRPr="00734AB6" w:rsidRDefault="00D134B1" w:rsidP="0099584D">
      <w:pPr>
        <w:widowControl w:val="0"/>
        <w:autoSpaceDE w:val="0"/>
        <w:autoSpaceDN w:val="0"/>
        <w:adjustRightInd w:val="0"/>
        <w:spacing w:after="240" w:line="360" w:lineRule="auto"/>
        <w:ind w:firstLine="851"/>
        <w:rPr>
          <w:rFonts w:asciiTheme="majorHAnsi" w:hAnsiTheme="majorHAnsi" w:cs="Calibri"/>
        </w:rPr>
      </w:pPr>
    </w:p>
    <w:p w14:paraId="27742FAB" w14:textId="43BF6E57" w:rsidR="008F3C4A" w:rsidRPr="00734AB6" w:rsidRDefault="008F3C4A" w:rsidP="00DA16AF">
      <w:pPr>
        <w:pStyle w:val="Heading2"/>
        <w:spacing w:after="240" w:line="360" w:lineRule="auto"/>
        <w:rPr>
          <w:b/>
          <w:color w:val="auto"/>
          <w:sz w:val="22"/>
          <w:szCs w:val="22"/>
        </w:rPr>
      </w:pPr>
      <w:bookmarkStart w:id="16" w:name="_Toc48136328"/>
      <w:r w:rsidRPr="00734AB6">
        <w:rPr>
          <w:b/>
          <w:color w:val="auto"/>
          <w:sz w:val="22"/>
          <w:szCs w:val="22"/>
        </w:rPr>
        <w:t>1</w:t>
      </w:r>
      <w:r w:rsidR="00DD5390" w:rsidRPr="00734AB6">
        <w:rPr>
          <w:b/>
          <w:color w:val="auto"/>
          <w:sz w:val="22"/>
          <w:szCs w:val="22"/>
        </w:rPr>
        <w:t>.7</w:t>
      </w:r>
      <w:r w:rsidRPr="00734AB6">
        <w:rPr>
          <w:b/>
          <w:color w:val="auto"/>
          <w:sz w:val="22"/>
          <w:szCs w:val="22"/>
        </w:rPr>
        <w:tab/>
        <w:t>Aims and scope of the thesis</w:t>
      </w:r>
      <w:bookmarkEnd w:id="16"/>
    </w:p>
    <w:p w14:paraId="1620B871" w14:textId="3B3ED439" w:rsidR="006E080F" w:rsidRPr="00734AB6" w:rsidRDefault="00CD50E7" w:rsidP="0099584D">
      <w:pPr>
        <w:spacing w:after="240" w:line="360" w:lineRule="auto"/>
        <w:ind w:firstLine="851"/>
        <w:rPr>
          <w:rFonts w:asciiTheme="majorHAnsi" w:hAnsiTheme="majorHAnsi" w:cs="Calibri"/>
        </w:rPr>
      </w:pPr>
      <w:r w:rsidRPr="00734AB6">
        <w:rPr>
          <w:rFonts w:asciiTheme="majorHAnsi" w:hAnsiTheme="majorHAnsi" w:cs="Calibri"/>
        </w:rPr>
        <w:t>From the literature reviewed in the current chapter, i</w:t>
      </w:r>
      <w:r w:rsidR="008E197F" w:rsidRPr="00734AB6">
        <w:rPr>
          <w:rFonts w:asciiTheme="majorHAnsi" w:hAnsiTheme="majorHAnsi" w:cs="Calibri"/>
        </w:rPr>
        <w:t>t is evident that there are clear benefits</w:t>
      </w:r>
      <w:r w:rsidR="00C35086" w:rsidRPr="00734AB6">
        <w:rPr>
          <w:rFonts w:asciiTheme="majorHAnsi" w:hAnsiTheme="majorHAnsi" w:cs="Calibri"/>
        </w:rPr>
        <w:t xml:space="preserve"> to cognition</w:t>
      </w:r>
      <w:r w:rsidR="008E197F" w:rsidRPr="00734AB6">
        <w:rPr>
          <w:rFonts w:asciiTheme="majorHAnsi" w:hAnsiTheme="majorHAnsi" w:cs="Calibri"/>
        </w:rPr>
        <w:t xml:space="preserve"> </w:t>
      </w:r>
      <w:r w:rsidR="00C35086" w:rsidRPr="00734AB6">
        <w:rPr>
          <w:rFonts w:asciiTheme="majorHAnsi" w:hAnsiTheme="majorHAnsi" w:cs="Calibri"/>
        </w:rPr>
        <w:t xml:space="preserve">derived from </w:t>
      </w:r>
      <w:r w:rsidR="008E197F" w:rsidRPr="00734AB6">
        <w:rPr>
          <w:rFonts w:asciiTheme="majorHAnsi" w:hAnsiTheme="majorHAnsi" w:cs="Calibri"/>
        </w:rPr>
        <w:t>methylphenidate and modafinil</w:t>
      </w:r>
      <w:r w:rsidR="00C35086" w:rsidRPr="00734AB6">
        <w:rPr>
          <w:rFonts w:asciiTheme="majorHAnsi" w:hAnsiTheme="majorHAnsi" w:cs="Calibri"/>
        </w:rPr>
        <w:t xml:space="preserve"> use</w:t>
      </w:r>
      <w:r w:rsidR="008E197F" w:rsidRPr="00734AB6">
        <w:rPr>
          <w:rFonts w:asciiTheme="majorHAnsi" w:hAnsiTheme="majorHAnsi" w:cs="Calibri"/>
        </w:rPr>
        <w:t xml:space="preserve">, specifically in relation to concentration, focus and alertness, and also in relation to mood and sleep deprivation. </w:t>
      </w:r>
      <w:r w:rsidR="00083306" w:rsidRPr="00734AB6">
        <w:rPr>
          <w:rFonts w:asciiTheme="majorHAnsi" w:hAnsiTheme="majorHAnsi" w:cs="Calibri"/>
        </w:rPr>
        <w:t xml:space="preserve">However, the evidence reviewed so far all derive from lab-based research </w:t>
      </w:r>
      <w:r w:rsidR="006F3BE0" w:rsidRPr="00734AB6">
        <w:rPr>
          <w:rFonts w:asciiTheme="majorHAnsi" w:hAnsiTheme="majorHAnsi" w:cs="Calibri"/>
        </w:rPr>
        <w:t xml:space="preserve">which takes place under tightly </w:t>
      </w:r>
      <w:r w:rsidR="004651F0" w:rsidRPr="00734AB6">
        <w:rPr>
          <w:rFonts w:asciiTheme="majorHAnsi" w:hAnsiTheme="majorHAnsi" w:cs="Calibri"/>
        </w:rPr>
        <w:t>measured</w:t>
      </w:r>
      <w:r w:rsidR="006F3BE0" w:rsidRPr="00734AB6">
        <w:rPr>
          <w:rFonts w:asciiTheme="majorHAnsi" w:hAnsiTheme="majorHAnsi" w:cs="Calibri"/>
        </w:rPr>
        <w:t xml:space="preserve"> and restricted conditions, controlling for </w:t>
      </w:r>
      <w:r w:rsidR="00D632DA" w:rsidRPr="00734AB6">
        <w:rPr>
          <w:rFonts w:asciiTheme="majorHAnsi" w:hAnsiTheme="majorHAnsi" w:cs="Calibri"/>
        </w:rPr>
        <w:t xml:space="preserve">variables which might influence the results. </w:t>
      </w:r>
      <w:r w:rsidR="00D632DA" w:rsidRPr="00734AB6">
        <w:rPr>
          <w:rFonts w:asciiTheme="majorHAnsi" w:hAnsiTheme="majorHAnsi" w:cs="Calibri"/>
        </w:rPr>
        <w:lastRenderedPageBreak/>
        <w:t>Therefore, lab-based research, although very valuable</w:t>
      </w:r>
      <w:r w:rsidR="00332F60" w:rsidRPr="00734AB6">
        <w:rPr>
          <w:rFonts w:asciiTheme="majorHAnsi" w:hAnsiTheme="majorHAnsi" w:cs="Calibri"/>
        </w:rPr>
        <w:t xml:space="preserve"> </w:t>
      </w:r>
      <w:r w:rsidR="0048744C" w:rsidRPr="00734AB6">
        <w:rPr>
          <w:rFonts w:asciiTheme="majorHAnsi" w:hAnsiTheme="majorHAnsi" w:cs="Calibri"/>
        </w:rPr>
        <w:t xml:space="preserve">in </w:t>
      </w:r>
      <w:r w:rsidR="00332F60" w:rsidRPr="00734AB6">
        <w:rPr>
          <w:rFonts w:asciiTheme="majorHAnsi" w:hAnsiTheme="majorHAnsi" w:cs="Calibri"/>
        </w:rPr>
        <w:t>what it can offer</w:t>
      </w:r>
      <w:r w:rsidR="0048744C" w:rsidRPr="00734AB6">
        <w:rPr>
          <w:rFonts w:asciiTheme="majorHAnsi" w:hAnsiTheme="majorHAnsi" w:cs="Calibri"/>
        </w:rPr>
        <w:t xml:space="preserve"> to the investigator</w:t>
      </w:r>
      <w:r w:rsidR="00D632DA" w:rsidRPr="00734AB6">
        <w:rPr>
          <w:rFonts w:asciiTheme="majorHAnsi" w:hAnsiTheme="majorHAnsi" w:cs="Calibri"/>
        </w:rPr>
        <w:t xml:space="preserve">, does not reflect real life conditions and </w:t>
      </w:r>
      <w:r w:rsidR="00332F60" w:rsidRPr="00734AB6">
        <w:rPr>
          <w:rFonts w:asciiTheme="majorHAnsi" w:hAnsiTheme="majorHAnsi" w:cs="Calibri"/>
        </w:rPr>
        <w:t xml:space="preserve">experiences. Online surveys, on the other hand, </w:t>
      </w:r>
      <w:r w:rsidR="002506EC" w:rsidRPr="00734AB6">
        <w:rPr>
          <w:rFonts w:asciiTheme="majorHAnsi" w:hAnsiTheme="majorHAnsi" w:cs="Calibri"/>
        </w:rPr>
        <w:t>do provide this real</w:t>
      </w:r>
      <w:r w:rsidRPr="00734AB6">
        <w:rPr>
          <w:rFonts w:asciiTheme="majorHAnsi" w:hAnsiTheme="majorHAnsi" w:cs="Calibri"/>
        </w:rPr>
        <w:t>-</w:t>
      </w:r>
      <w:r w:rsidR="002506EC" w:rsidRPr="00734AB6">
        <w:rPr>
          <w:rFonts w:asciiTheme="majorHAnsi" w:hAnsiTheme="majorHAnsi" w:cs="Calibri"/>
        </w:rPr>
        <w:t>life information</w:t>
      </w:r>
      <w:r w:rsidR="00123F92" w:rsidRPr="00734AB6">
        <w:rPr>
          <w:rFonts w:asciiTheme="majorHAnsi" w:hAnsiTheme="majorHAnsi" w:cs="Calibri"/>
        </w:rPr>
        <w:t xml:space="preserve"> and </w:t>
      </w:r>
      <w:r w:rsidR="0048744C" w:rsidRPr="00734AB6">
        <w:rPr>
          <w:rFonts w:asciiTheme="majorHAnsi" w:hAnsiTheme="majorHAnsi" w:cs="Calibri"/>
        </w:rPr>
        <w:t xml:space="preserve">can </w:t>
      </w:r>
      <w:r w:rsidR="00123F92" w:rsidRPr="00734AB6">
        <w:rPr>
          <w:rFonts w:asciiTheme="majorHAnsi" w:hAnsiTheme="majorHAnsi" w:cs="Calibri"/>
        </w:rPr>
        <w:t xml:space="preserve">have </w:t>
      </w:r>
      <w:r w:rsidR="0048744C" w:rsidRPr="00734AB6">
        <w:rPr>
          <w:rFonts w:asciiTheme="majorHAnsi" w:hAnsiTheme="majorHAnsi" w:cs="Calibri"/>
        </w:rPr>
        <w:t xml:space="preserve">a </w:t>
      </w:r>
      <w:r w:rsidR="00123F92" w:rsidRPr="00734AB6">
        <w:rPr>
          <w:rFonts w:asciiTheme="majorHAnsi" w:hAnsiTheme="majorHAnsi" w:cs="Calibri"/>
        </w:rPr>
        <w:t xml:space="preserve">global reach. </w:t>
      </w:r>
      <w:r w:rsidR="00531A02" w:rsidRPr="00734AB6">
        <w:rPr>
          <w:rFonts w:asciiTheme="majorHAnsi" w:hAnsiTheme="majorHAnsi" w:cs="Calibri"/>
        </w:rPr>
        <w:t>The fact that they are online</w:t>
      </w:r>
      <w:r w:rsidR="00123F92" w:rsidRPr="00734AB6">
        <w:rPr>
          <w:rFonts w:asciiTheme="majorHAnsi" w:hAnsiTheme="majorHAnsi" w:cs="Calibri"/>
        </w:rPr>
        <w:t xml:space="preserve"> provides greater convenience </w:t>
      </w:r>
      <w:r w:rsidR="003A3337" w:rsidRPr="00734AB6">
        <w:rPr>
          <w:rFonts w:asciiTheme="majorHAnsi" w:hAnsiTheme="majorHAnsi" w:cs="Calibri"/>
        </w:rPr>
        <w:t xml:space="preserve">not only for the researcher but also for respondents as </w:t>
      </w:r>
      <w:r w:rsidR="00531A02" w:rsidRPr="00734AB6">
        <w:rPr>
          <w:rFonts w:asciiTheme="majorHAnsi" w:hAnsiTheme="majorHAnsi" w:cs="Calibri"/>
        </w:rPr>
        <w:t xml:space="preserve">it </w:t>
      </w:r>
      <w:r w:rsidR="003A3337" w:rsidRPr="00734AB6">
        <w:rPr>
          <w:rFonts w:asciiTheme="majorHAnsi" w:hAnsiTheme="majorHAnsi" w:cs="Calibri"/>
        </w:rPr>
        <w:t>allows them to complete the survey in their own time from the convenience of their own homes and</w:t>
      </w:r>
      <w:r w:rsidR="00531A02" w:rsidRPr="00734AB6">
        <w:rPr>
          <w:rFonts w:asciiTheme="majorHAnsi" w:hAnsiTheme="majorHAnsi" w:cs="Calibri"/>
        </w:rPr>
        <w:t xml:space="preserve"> can</w:t>
      </w:r>
      <w:r w:rsidR="003A3337" w:rsidRPr="00734AB6">
        <w:rPr>
          <w:rFonts w:asciiTheme="majorHAnsi" w:hAnsiTheme="majorHAnsi" w:cs="Calibri"/>
        </w:rPr>
        <w:t xml:space="preserve"> </w:t>
      </w:r>
      <w:r w:rsidR="006703A3" w:rsidRPr="00734AB6">
        <w:rPr>
          <w:rFonts w:asciiTheme="majorHAnsi" w:hAnsiTheme="majorHAnsi" w:cs="Calibri"/>
        </w:rPr>
        <w:t>thus</w:t>
      </w:r>
      <w:r w:rsidR="003A3337" w:rsidRPr="00734AB6">
        <w:rPr>
          <w:rFonts w:asciiTheme="majorHAnsi" w:hAnsiTheme="majorHAnsi" w:cs="Calibri"/>
        </w:rPr>
        <w:t xml:space="preserve"> </w:t>
      </w:r>
      <w:r w:rsidR="00531A02" w:rsidRPr="00734AB6">
        <w:rPr>
          <w:rFonts w:asciiTheme="majorHAnsi" w:hAnsiTheme="majorHAnsi" w:cs="Calibri"/>
        </w:rPr>
        <w:t xml:space="preserve">attract </w:t>
      </w:r>
      <w:r w:rsidR="003A3337" w:rsidRPr="00734AB6">
        <w:rPr>
          <w:rFonts w:asciiTheme="majorHAnsi" w:hAnsiTheme="majorHAnsi" w:cs="Calibri"/>
        </w:rPr>
        <w:t>large samples.</w:t>
      </w:r>
      <w:r w:rsidR="006C10F6" w:rsidRPr="00734AB6">
        <w:rPr>
          <w:rFonts w:asciiTheme="majorHAnsi" w:hAnsiTheme="majorHAnsi" w:cs="Calibri"/>
        </w:rPr>
        <w:t xml:space="preserve"> For these reasons online surveys were favoured over the use of interviews or other qualitative methodology. </w:t>
      </w:r>
      <w:r w:rsidR="00531A02" w:rsidRPr="00734AB6">
        <w:rPr>
          <w:rFonts w:asciiTheme="majorHAnsi" w:hAnsiTheme="majorHAnsi" w:cs="Calibri"/>
        </w:rPr>
        <w:t>To explore this issue further</w:t>
      </w:r>
      <w:r w:rsidR="006703A3" w:rsidRPr="00734AB6">
        <w:rPr>
          <w:rFonts w:asciiTheme="majorHAnsi" w:hAnsiTheme="majorHAnsi" w:cs="Calibri"/>
        </w:rPr>
        <w:t xml:space="preserve">, the extent to which </w:t>
      </w:r>
      <w:r w:rsidR="00A20D02" w:rsidRPr="00734AB6">
        <w:rPr>
          <w:rFonts w:asciiTheme="majorHAnsi" w:hAnsiTheme="majorHAnsi" w:cs="Calibri"/>
        </w:rPr>
        <w:t xml:space="preserve">these laboratory findings translate to real life experiences will be considered in the next chapter. </w:t>
      </w:r>
    </w:p>
    <w:p w14:paraId="350F4502" w14:textId="4DD8ED9F" w:rsidR="00996ADD" w:rsidRPr="00734AB6" w:rsidRDefault="00A20D02" w:rsidP="0099584D">
      <w:pPr>
        <w:spacing w:after="240" w:line="360" w:lineRule="auto"/>
        <w:ind w:firstLine="851"/>
        <w:rPr>
          <w:rFonts w:asciiTheme="majorHAnsi" w:hAnsiTheme="majorHAnsi" w:cs="Calibri"/>
        </w:rPr>
      </w:pPr>
      <w:r w:rsidRPr="00734AB6">
        <w:rPr>
          <w:rFonts w:asciiTheme="majorHAnsi" w:hAnsiTheme="majorHAnsi" w:cs="Calibri"/>
        </w:rPr>
        <w:t xml:space="preserve">Overall, this thesis aims to understand the off-prescription use of modafinil and methylphenidate by identifying the profile of the user, their </w:t>
      </w:r>
      <w:r w:rsidR="000C6BF5" w:rsidRPr="00734AB6">
        <w:rPr>
          <w:rFonts w:asciiTheme="majorHAnsi" w:hAnsiTheme="majorHAnsi" w:cs="Calibri"/>
        </w:rPr>
        <w:t>experience</w:t>
      </w:r>
      <w:r w:rsidRPr="00734AB6">
        <w:rPr>
          <w:rFonts w:asciiTheme="majorHAnsi" w:hAnsiTheme="majorHAnsi" w:cs="Calibri"/>
        </w:rPr>
        <w:t xml:space="preserve"> </w:t>
      </w:r>
      <w:r w:rsidR="000C6BF5" w:rsidRPr="00734AB6">
        <w:rPr>
          <w:rFonts w:asciiTheme="majorHAnsi" w:hAnsiTheme="majorHAnsi" w:cs="Calibri"/>
        </w:rPr>
        <w:t xml:space="preserve">of </w:t>
      </w:r>
      <w:r w:rsidRPr="00734AB6">
        <w:rPr>
          <w:rFonts w:asciiTheme="majorHAnsi" w:hAnsiTheme="majorHAnsi" w:cs="Calibri"/>
        </w:rPr>
        <w:t>using these drugs</w:t>
      </w:r>
      <w:r w:rsidR="000C6BF5" w:rsidRPr="00734AB6">
        <w:rPr>
          <w:rFonts w:asciiTheme="majorHAnsi" w:hAnsiTheme="majorHAnsi" w:cs="Calibri"/>
        </w:rPr>
        <w:t xml:space="preserve"> and the drivers behind their use even in the face of the potential risks involved with off-prescription use.</w:t>
      </w:r>
      <w:r w:rsidR="006703A3" w:rsidRPr="00734AB6">
        <w:rPr>
          <w:rFonts w:asciiTheme="majorHAnsi" w:hAnsiTheme="majorHAnsi" w:cs="Calibri"/>
        </w:rPr>
        <w:t xml:space="preserve"> It also aims to establish whether these off-prescription CED users experience (via both </w:t>
      </w:r>
      <w:r w:rsidR="00E30F34" w:rsidRPr="00734AB6">
        <w:rPr>
          <w:rFonts w:asciiTheme="majorHAnsi" w:hAnsiTheme="majorHAnsi" w:cs="Calibri"/>
        </w:rPr>
        <w:t>self-report and lab-based test) poor cognitive performance or whether they are seeking to optimise their already good cognitive abilities.</w:t>
      </w:r>
    </w:p>
    <w:p w14:paraId="2EC5728A" w14:textId="77777777" w:rsidR="003D3765" w:rsidRPr="00734AB6" w:rsidRDefault="003D3765" w:rsidP="0099584D">
      <w:pPr>
        <w:spacing w:after="240" w:line="360" w:lineRule="auto"/>
        <w:ind w:firstLine="851"/>
        <w:rPr>
          <w:rFonts w:asciiTheme="majorHAnsi" w:hAnsiTheme="majorHAnsi" w:cs="Calibri"/>
        </w:rPr>
      </w:pPr>
    </w:p>
    <w:p w14:paraId="5B3044C8" w14:textId="77777777" w:rsidR="003D3765" w:rsidRPr="00734AB6" w:rsidRDefault="003D3765" w:rsidP="0099584D">
      <w:pPr>
        <w:spacing w:after="240" w:line="360" w:lineRule="auto"/>
        <w:ind w:firstLine="851"/>
        <w:rPr>
          <w:rFonts w:asciiTheme="majorHAnsi" w:hAnsiTheme="majorHAnsi" w:cs="Calibri"/>
        </w:rPr>
      </w:pPr>
    </w:p>
    <w:p w14:paraId="03216B7A" w14:textId="77777777" w:rsidR="00640164" w:rsidRPr="00734AB6" w:rsidRDefault="00640164">
      <w:pPr>
        <w:rPr>
          <w:rFonts w:asciiTheme="majorHAnsi" w:eastAsiaTheme="majorEastAsia" w:hAnsiTheme="majorHAnsi" w:cstheme="majorBidi"/>
          <w:b/>
        </w:rPr>
      </w:pPr>
      <w:bookmarkStart w:id="17" w:name="_Toc29829389"/>
      <w:r w:rsidRPr="00734AB6">
        <w:rPr>
          <w:b/>
        </w:rPr>
        <w:br w:type="page"/>
      </w:r>
    </w:p>
    <w:p w14:paraId="617F146A" w14:textId="77777777" w:rsidR="008E187E" w:rsidRPr="00734AB6" w:rsidRDefault="007C08F6" w:rsidP="0099584D">
      <w:pPr>
        <w:pStyle w:val="Heading1"/>
        <w:spacing w:after="240" w:line="360" w:lineRule="auto"/>
        <w:rPr>
          <w:b/>
          <w:color w:val="auto"/>
          <w:sz w:val="22"/>
          <w:szCs w:val="22"/>
        </w:rPr>
      </w:pPr>
      <w:bookmarkStart w:id="18" w:name="_Toc48136329"/>
      <w:r w:rsidRPr="00734AB6">
        <w:rPr>
          <w:b/>
          <w:color w:val="auto"/>
          <w:sz w:val="22"/>
          <w:szCs w:val="22"/>
        </w:rPr>
        <w:lastRenderedPageBreak/>
        <w:t>2</w:t>
      </w:r>
      <w:r w:rsidRPr="00734AB6">
        <w:rPr>
          <w:b/>
          <w:color w:val="auto"/>
          <w:sz w:val="22"/>
          <w:szCs w:val="22"/>
        </w:rPr>
        <w:tab/>
      </w:r>
      <w:r w:rsidR="00654EC2" w:rsidRPr="00734AB6">
        <w:rPr>
          <w:b/>
          <w:color w:val="auto"/>
          <w:sz w:val="22"/>
          <w:szCs w:val="22"/>
        </w:rPr>
        <w:t>CHAPTER TWO</w:t>
      </w:r>
      <w:bookmarkEnd w:id="18"/>
    </w:p>
    <w:p w14:paraId="4AB4DC81" w14:textId="450A3CEE" w:rsidR="009C7702" w:rsidRPr="00734AB6" w:rsidRDefault="008E187E" w:rsidP="008E187E">
      <w:pPr>
        <w:ind w:left="1276" w:hanging="1276"/>
        <w:rPr>
          <w:b/>
        </w:rPr>
      </w:pPr>
      <w:r w:rsidRPr="00734AB6">
        <w:rPr>
          <w:b/>
        </w:rPr>
        <w:t>STUDY ONE</w:t>
      </w:r>
      <w:r w:rsidR="00654EC2" w:rsidRPr="00734AB6">
        <w:rPr>
          <w:b/>
        </w:rPr>
        <w:t xml:space="preserve">: </w:t>
      </w:r>
      <w:r w:rsidRPr="00734AB6">
        <w:rPr>
          <w:b/>
        </w:rPr>
        <w:tab/>
      </w:r>
      <w:r w:rsidR="00654EC2" w:rsidRPr="00734AB6">
        <w:rPr>
          <w:b/>
        </w:rPr>
        <w:t>THE OFF-PRESCRIPTION USE OF METHYLPHENIDATE AND MODAFINIL: AN ONLINE SURVEY</w:t>
      </w:r>
      <w:bookmarkEnd w:id="17"/>
      <w:r w:rsidR="00654EC2" w:rsidRPr="00734AB6">
        <w:rPr>
          <w:b/>
        </w:rPr>
        <w:t xml:space="preserve">. </w:t>
      </w:r>
    </w:p>
    <w:p w14:paraId="177C153C" w14:textId="77777777" w:rsidR="009C7702" w:rsidRPr="00734AB6" w:rsidRDefault="009C7702" w:rsidP="0099584D">
      <w:pPr>
        <w:spacing w:line="360" w:lineRule="auto"/>
        <w:rPr>
          <w:rFonts w:asciiTheme="majorHAnsi" w:eastAsia="Calibri" w:hAnsiTheme="majorHAnsi"/>
        </w:rPr>
      </w:pPr>
    </w:p>
    <w:p w14:paraId="0E476682" w14:textId="0DD44AB2" w:rsidR="009C7702" w:rsidRPr="00734AB6" w:rsidRDefault="009C7702" w:rsidP="0056046D">
      <w:pPr>
        <w:pStyle w:val="Heading2"/>
        <w:spacing w:after="240" w:line="360" w:lineRule="auto"/>
        <w:rPr>
          <w:b/>
          <w:color w:val="auto"/>
          <w:sz w:val="22"/>
          <w:szCs w:val="22"/>
        </w:rPr>
      </w:pPr>
      <w:bookmarkStart w:id="19" w:name="_Toc29829390"/>
      <w:bookmarkStart w:id="20" w:name="_Toc48136330"/>
      <w:r w:rsidRPr="00734AB6">
        <w:rPr>
          <w:b/>
          <w:color w:val="auto"/>
          <w:sz w:val="22"/>
          <w:szCs w:val="22"/>
        </w:rPr>
        <w:t>2.1</w:t>
      </w:r>
      <w:r w:rsidRPr="00734AB6">
        <w:rPr>
          <w:b/>
          <w:color w:val="auto"/>
          <w:sz w:val="22"/>
          <w:szCs w:val="22"/>
        </w:rPr>
        <w:tab/>
        <w:t>Introduction</w:t>
      </w:r>
      <w:bookmarkEnd w:id="19"/>
      <w:bookmarkEnd w:id="20"/>
    </w:p>
    <w:p w14:paraId="6434362F" w14:textId="69D48DB0"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eastAsia="Calibri" w:hAnsiTheme="majorHAnsi" w:cs="Calibri"/>
        </w:rPr>
        <w:t>As the majority of studies to date have focused on either CEDs in general (e.g. Ott &amp; Biller-</w:t>
      </w:r>
      <w:proofErr w:type="spellStart"/>
      <w:r w:rsidRPr="00734AB6">
        <w:rPr>
          <w:rFonts w:asciiTheme="majorHAnsi" w:eastAsia="Calibri" w:hAnsiTheme="majorHAnsi" w:cs="Calibri"/>
        </w:rPr>
        <w:t>Andorno</w:t>
      </w:r>
      <w:proofErr w:type="spellEnd"/>
      <w:r w:rsidRPr="00734AB6">
        <w:rPr>
          <w:rFonts w:asciiTheme="majorHAnsi" w:eastAsia="Calibri" w:hAnsiTheme="majorHAnsi" w:cs="Calibri"/>
        </w:rPr>
        <w:t xml:space="preserve">, 2014; Vargo &amp; </w:t>
      </w:r>
      <w:proofErr w:type="spellStart"/>
      <w:r w:rsidRPr="00734AB6">
        <w:rPr>
          <w:rFonts w:asciiTheme="majorHAnsi" w:eastAsia="Calibri" w:hAnsiTheme="majorHAnsi" w:cs="Calibri"/>
        </w:rPr>
        <w:t>Petróczi</w:t>
      </w:r>
      <w:proofErr w:type="spellEnd"/>
      <w:r w:rsidRPr="00734AB6">
        <w:rPr>
          <w:rFonts w:asciiTheme="majorHAnsi" w:eastAsia="Calibri" w:hAnsiTheme="majorHAnsi" w:cs="Calibri"/>
        </w:rPr>
        <w:t>, 2016) or prescription stimulants bro</w:t>
      </w:r>
      <w:r w:rsidR="00D5701E" w:rsidRPr="00734AB6">
        <w:rPr>
          <w:rFonts w:asciiTheme="majorHAnsi" w:eastAsia="Calibri" w:hAnsiTheme="majorHAnsi" w:cs="Calibri"/>
        </w:rPr>
        <w:t xml:space="preserve">adly (e.g. </w:t>
      </w:r>
      <w:proofErr w:type="spellStart"/>
      <w:r w:rsidR="00D5701E" w:rsidRPr="00734AB6">
        <w:rPr>
          <w:rFonts w:asciiTheme="majorHAnsi" w:eastAsia="Calibri" w:hAnsiTheme="majorHAnsi" w:cs="Calibri"/>
        </w:rPr>
        <w:t>Arria</w:t>
      </w:r>
      <w:proofErr w:type="spellEnd"/>
      <w:r w:rsidR="00D5701E" w:rsidRPr="00734AB6">
        <w:rPr>
          <w:rFonts w:asciiTheme="majorHAnsi" w:eastAsia="Calibri" w:hAnsiTheme="majorHAnsi" w:cs="Calibri"/>
        </w:rPr>
        <w:t xml:space="preserve"> et al., 2017</w:t>
      </w:r>
      <w:r w:rsidRPr="00734AB6">
        <w:rPr>
          <w:rFonts w:asciiTheme="majorHAnsi" w:eastAsia="Calibri" w:hAnsiTheme="majorHAnsi" w:cs="Calibri"/>
        </w:rPr>
        <w:t xml:space="preserve">; Ross et al., 2018), there is a lack of research focused specifically on the off-prescription use of methylphenidate and modafinil. </w:t>
      </w:r>
      <w:r w:rsidR="0075397E" w:rsidRPr="00734AB6">
        <w:rPr>
          <w:rFonts w:asciiTheme="majorHAnsi" w:eastAsia="Calibri" w:hAnsiTheme="majorHAnsi" w:cs="Calibri"/>
        </w:rPr>
        <w:t xml:space="preserve">As noted </w:t>
      </w:r>
      <w:r w:rsidR="00507BB1" w:rsidRPr="00734AB6">
        <w:rPr>
          <w:rFonts w:asciiTheme="majorHAnsi" w:eastAsia="Calibri" w:hAnsiTheme="majorHAnsi" w:cs="Calibri"/>
        </w:rPr>
        <w:t>in Section 1.7</w:t>
      </w:r>
      <w:r w:rsidR="00804CF2" w:rsidRPr="00734AB6">
        <w:rPr>
          <w:rFonts w:asciiTheme="majorHAnsi" w:eastAsia="Calibri" w:hAnsiTheme="majorHAnsi" w:cs="Calibri"/>
        </w:rPr>
        <w:t xml:space="preserve">, </w:t>
      </w:r>
      <w:r w:rsidR="00804CF2" w:rsidRPr="00734AB6">
        <w:rPr>
          <w:rFonts w:asciiTheme="majorHAnsi" w:hAnsiTheme="majorHAnsi" w:cs="Calibri"/>
        </w:rPr>
        <w:t>a</w:t>
      </w:r>
      <w:r w:rsidRPr="00734AB6">
        <w:rPr>
          <w:rFonts w:asciiTheme="majorHAnsi" w:hAnsiTheme="majorHAnsi" w:cs="Calibri"/>
        </w:rPr>
        <w:t>lthough laboratory studies have the advantage of being in controlled environments and thus removing extraneous variables, they do not reflect real life conditions and environments. In order to obtain a greater understanding of the off-prescription use of CEDs in real life settings, research has often taken the form of paper</w:t>
      </w:r>
      <w:r w:rsidR="00DF20BC" w:rsidRPr="00734AB6">
        <w:rPr>
          <w:rFonts w:asciiTheme="majorHAnsi" w:hAnsiTheme="majorHAnsi" w:cs="Calibri"/>
        </w:rPr>
        <w:t>-</w:t>
      </w:r>
      <w:r w:rsidRPr="00734AB6">
        <w:rPr>
          <w:rFonts w:asciiTheme="majorHAnsi" w:hAnsiTheme="majorHAnsi" w:cs="Calibri"/>
        </w:rPr>
        <w:t>based surveys, typically focused on university students</w:t>
      </w:r>
      <w:r w:rsidR="00DF20BC" w:rsidRPr="00734AB6">
        <w:rPr>
          <w:rFonts w:asciiTheme="majorHAnsi" w:hAnsiTheme="majorHAnsi" w:cs="Calibri"/>
        </w:rPr>
        <w:t xml:space="preserve"> (e.g., </w:t>
      </w:r>
      <w:r w:rsidR="00B70602" w:rsidRPr="00734AB6">
        <w:rPr>
          <w:rFonts w:asciiTheme="majorHAnsi" w:hAnsiTheme="majorHAnsi" w:cs="Calibri"/>
        </w:rPr>
        <w:t xml:space="preserve">DeSantis, Webb &amp; </w:t>
      </w:r>
      <w:proofErr w:type="spellStart"/>
      <w:r w:rsidR="00B70602" w:rsidRPr="00734AB6">
        <w:rPr>
          <w:rFonts w:asciiTheme="majorHAnsi" w:hAnsiTheme="majorHAnsi" w:cs="Calibri"/>
        </w:rPr>
        <w:t>Noar</w:t>
      </w:r>
      <w:proofErr w:type="spellEnd"/>
      <w:r w:rsidR="00B70602" w:rsidRPr="00734AB6">
        <w:rPr>
          <w:rFonts w:asciiTheme="majorHAnsi" w:hAnsiTheme="majorHAnsi" w:cs="Calibri"/>
        </w:rPr>
        <w:t>, 2008; Franke et al., 2011</w:t>
      </w:r>
      <w:r w:rsidR="00DF20BC" w:rsidRPr="00734AB6">
        <w:rPr>
          <w:rFonts w:asciiTheme="majorHAnsi" w:hAnsiTheme="majorHAnsi" w:cs="Calibri"/>
        </w:rPr>
        <w:t>)</w:t>
      </w:r>
      <w:r w:rsidRPr="00734AB6">
        <w:rPr>
          <w:rFonts w:asciiTheme="majorHAnsi" w:hAnsiTheme="majorHAnsi" w:cs="Calibri"/>
        </w:rPr>
        <w:t xml:space="preserve">. But with the rise of the Internet came the </w:t>
      </w:r>
      <w:r w:rsidR="003300D9" w:rsidRPr="00734AB6">
        <w:rPr>
          <w:rFonts w:asciiTheme="majorHAnsi" w:hAnsiTheme="majorHAnsi" w:cs="Calibri"/>
        </w:rPr>
        <w:t xml:space="preserve">emergence </w:t>
      </w:r>
      <w:r w:rsidRPr="00734AB6">
        <w:rPr>
          <w:rFonts w:asciiTheme="majorHAnsi" w:hAnsiTheme="majorHAnsi" w:cs="Calibri"/>
        </w:rPr>
        <w:t>of online pharmacies and drug user forum sites, providing</w:t>
      </w:r>
      <w:r w:rsidR="003300D9" w:rsidRPr="00734AB6">
        <w:rPr>
          <w:rFonts w:asciiTheme="majorHAnsi" w:hAnsiTheme="majorHAnsi" w:cs="Calibri"/>
        </w:rPr>
        <w:t xml:space="preserve"> both</w:t>
      </w:r>
      <w:r w:rsidRPr="00734AB6">
        <w:rPr>
          <w:rFonts w:asciiTheme="majorHAnsi" w:hAnsiTheme="majorHAnsi" w:cs="Calibri"/>
        </w:rPr>
        <w:t xml:space="preserve"> ease of access to cognitive enhancing drugs and </w:t>
      </w:r>
      <w:r w:rsidR="003300D9" w:rsidRPr="00734AB6">
        <w:rPr>
          <w:rFonts w:asciiTheme="majorHAnsi" w:hAnsiTheme="majorHAnsi" w:cs="Calibri"/>
        </w:rPr>
        <w:t xml:space="preserve">also </w:t>
      </w:r>
      <w:r w:rsidRPr="00734AB6">
        <w:rPr>
          <w:rFonts w:asciiTheme="majorHAnsi" w:hAnsiTheme="majorHAnsi" w:cs="Calibri"/>
        </w:rPr>
        <w:t xml:space="preserve">an alternative platform </w:t>
      </w:r>
      <w:r w:rsidR="003300D9" w:rsidRPr="00734AB6">
        <w:rPr>
          <w:rFonts w:asciiTheme="majorHAnsi" w:hAnsiTheme="majorHAnsi" w:cs="Calibri"/>
        </w:rPr>
        <w:t xml:space="preserve">via </w:t>
      </w:r>
      <w:r w:rsidRPr="00734AB6">
        <w:rPr>
          <w:rFonts w:asciiTheme="majorHAnsi" w:hAnsiTheme="majorHAnsi" w:cs="Calibri"/>
        </w:rPr>
        <w:t>which to survey CED users.</w:t>
      </w:r>
    </w:p>
    <w:p w14:paraId="420F8250" w14:textId="047CC7E4"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Internet is accessed by billions of people worldwide; in 2019 it was estimated that over four billion people (53.6% of the world population) use the </w:t>
      </w:r>
      <w:r w:rsidR="009F034B" w:rsidRPr="00734AB6">
        <w:rPr>
          <w:rFonts w:asciiTheme="majorHAnsi" w:eastAsia="Calibri" w:hAnsiTheme="majorHAnsi" w:cs="Calibri"/>
        </w:rPr>
        <w:t>I</w:t>
      </w:r>
      <w:r w:rsidRPr="00734AB6">
        <w:rPr>
          <w:rFonts w:asciiTheme="majorHAnsi" w:eastAsia="Calibri" w:hAnsiTheme="majorHAnsi" w:cs="Calibri"/>
        </w:rPr>
        <w:t>nternet (International Telecommunications Union, 2019). Online surveys offer the kind of anonymity that face-to-face methods cannot provide, which may reduce social desirability effects (</w:t>
      </w:r>
      <w:proofErr w:type="spellStart"/>
      <w:r w:rsidRPr="00734AB6">
        <w:rPr>
          <w:rFonts w:asciiTheme="majorHAnsi" w:eastAsia="Calibri" w:hAnsiTheme="majorHAnsi" w:cs="Calibri"/>
        </w:rPr>
        <w:t>Joinson</w:t>
      </w:r>
      <w:proofErr w:type="spellEnd"/>
      <w:r w:rsidRPr="00734AB6">
        <w:rPr>
          <w:rFonts w:asciiTheme="majorHAnsi" w:eastAsia="Calibri" w:hAnsiTheme="majorHAnsi" w:cs="Calibri"/>
        </w:rPr>
        <w:t>, 1999). Such effects occur when individuals provide socially acceptable answers which they believe will make them look good rather than genuine, honest answers. Cross-cultural, international, if not global, reach is also possible through online methods (Evans &amp; Math</w:t>
      </w:r>
      <w:r w:rsidR="00792BAC" w:rsidRPr="00734AB6">
        <w:rPr>
          <w:rFonts w:asciiTheme="majorHAnsi" w:eastAsia="Calibri" w:hAnsiTheme="majorHAnsi" w:cs="Calibri"/>
        </w:rPr>
        <w:t>ur, 2005; Hewson &amp; Stewart, 2014</w:t>
      </w:r>
      <w:r w:rsidRPr="00734AB6">
        <w:rPr>
          <w:rFonts w:asciiTheme="majorHAnsi" w:eastAsia="Calibri" w:hAnsiTheme="majorHAnsi" w:cs="Calibri"/>
        </w:rPr>
        <w:t xml:space="preserve">). </w:t>
      </w:r>
    </w:p>
    <w:p w14:paraId="68071DB6" w14:textId="09D043C4" w:rsidR="009C7702" w:rsidRPr="00734AB6" w:rsidRDefault="007C00A0"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online survey ha</w:t>
      </w:r>
      <w:r w:rsidR="005F1410" w:rsidRPr="00734AB6">
        <w:rPr>
          <w:rFonts w:asciiTheme="majorHAnsi" w:eastAsia="Calibri" w:hAnsiTheme="majorHAnsi" w:cs="Calibri"/>
        </w:rPr>
        <w:t>s</w:t>
      </w:r>
      <w:r w:rsidRPr="00734AB6">
        <w:rPr>
          <w:rFonts w:asciiTheme="majorHAnsi" w:eastAsia="Calibri" w:hAnsiTheme="majorHAnsi" w:cs="Calibri"/>
        </w:rPr>
        <w:t xml:space="preserve"> therefore become a popular </w:t>
      </w:r>
      <w:r w:rsidR="00FE7BD8" w:rsidRPr="00734AB6">
        <w:rPr>
          <w:rFonts w:asciiTheme="majorHAnsi" w:eastAsia="Calibri" w:hAnsiTheme="majorHAnsi" w:cs="Calibri"/>
        </w:rPr>
        <w:t>choice for researching cognitive enhancing drug use.</w:t>
      </w:r>
      <w:r w:rsidRPr="00734AB6">
        <w:rPr>
          <w:rFonts w:asciiTheme="majorHAnsi" w:eastAsia="Calibri" w:hAnsiTheme="majorHAnsi" w:cs="Calibri"/>
        </w:rPr>
        <w:t xml:space="preserve"> </w:t>
      </w:r>
      <w:r w:rsidR="009C7702" w:rsidRPr="00734AB6">
        <w:rPr>
          <w:rFonts w:asciiTheme="majorHAnsi" w:eastAsia="Calibri" w:hAnsiTheme="majorHAnsi" w:cs="Calibri"/>
        </w:rPr>
        <w:t xml:space="preserve">Paul, Chisolm, Johnson, </w:t>
      </w:r>
      <w:proofErr w:type="spellStart"/>
      <w:r w:rsidR="009C7702" w:rsidRPr="00734AB6">
        <w:rPr>
          <w:rFonts w:asciiTheme="majorHAnsi" w:eastAsia="Calibri" w:hAnsiTheme="majorHAnsi" w:cs="Calibri"/>
        </w:rPr>
        <w:t>Vandrey</w:t>
      </w:r>
      <w:proofErr w:type="spellEnd"/>
      <w:r w:rsidR="009C7702" w:rsidRPr="00734AB6">
        <w:rPr>
          <w:rFonts w:asciiTheme="majorHAnsi" w:eastAsia="Calibri" w:hAnsiTheme="majorHAnsi" w:cs="Calibri"/>
        </w:rPr>
        <w:t xml:space="preserve"> and </w:t>
      </w:r>
      <w:proofErr w:type="spellStart"/>
      <w:r w:rsidR="009C7702" w:rsidRPr="00734AB6">
        <w:rPr>
          <w:rFonts w:asciiTheme="majorHAnsi" w:eastAsia="Calibri" w:hAnsiTheme="majorHAnsi" w:cs="Calibri"/>
        </w:rPr>
        <w:t>Dredze</w:t>
      </w:r>
      <w:proofErr w:type="spellEnd"/>
      <w:r w:rsidR="009C7702" w:rsidRPr="00734AB6">
        <w:rPr>
          <w:rFonts w:asciiTheme="majorHAnsi" w:eastAsia="Calibri" w:hAnsiTheme="majorHAnsi" w:cs="Calibri"/>
        </w:rPr>
        <w:t xml:space="preserve"> (2016) argued that online forums are a promising source for detection of interest in emerging drugs and although modafinil and methylphenidate are not emerging drugs as such, </w:t>
      </w:r>
      <w:proofErr w:type="spellStart"/>
      <w:r w:rsidR="009C7702" w:rsidRPr="00734AB6">
        <w:rPr>
          <w:rFonts w:asciiTheme="majorHAnsi" w:eastAsia="Calibri" w:hAnsiTheme="majorHAnsi" w:cs="Calibri"/>
        </w:rPr>
        <w:t>Repantis</w:t>
      </w:r>
      <w:proofErr w:type="spellEnd"/>
      <w:r w:rsidR="00C55138" w:rsidRPr="00734AB6">
        <w:rPr>
          <w:rFonts w:asciiTheme="majorHAnsi" w:eastAsia="Calibri" w:hAnsiTheme="majorHAnsi" w:cs="Calibri"/>
        </w:rPr>
        <w:t xml:space="preserve"> et al.</w:t>
      </w:r>
      <w:r w:rsidR="009C7702" w:rsidRPr="00734AB6">
        <w:rPr>
          <w:rFonts w:asciiTheme="majorHAnsi" w:eastAsia="Calibri" w:hAnsiTheme="majorHAnsi" w:cs="Calibri"/>
        </w:rPr>
        <w:t xml:space="preserve"> (2010) noted that the use of these drugs as CEDs appears to be increasingly popular. In an online poll of readers of the journal </w:t>
      </w:r>
      <w:r w:rsidR="009C7702" w:rsidRPr="00734AB6">
        <w:rPr>
          <w:rFonts w:asciiTheme="majorHAnsi" w:eastAsia="Calibri" w:hAnsiTheme="majorHAnsi" w:cs="Calibri"/>
          <w:i/>
          <w:iCs/>
        </w:rPr>
        <w:t>Nature</w:t>
      </w:r>
      <w:r w:rsidR="009C7702" w:rsidRPr="00734AB6">
        <w:rPr>
          <w:rFonts w:asciiTheme="majorHAnsi" w:eastAsia="Calibri" w:hAnsiTheme="majorHAnsi" w:cs="Calibri"/>
        </w:rPr>
        <w:t xml:space="preserve">, Maher (2008) reported that </w:t>
      </w:r>
      <w:r w:rsidR="00346C78" w:rsidRPr="00734AB6">
        <w:rPr>
          <w:rFonts w:asciiTheme="majorHAnsi" w:eastAsia="Calibri" w:hAnsiTheme="majorHAnsi" w:cs="Calibri"/>
        </w:rPr>
        <w:t xml:space="preserve">one in five of the 1,400 respondents reported having used CEDs off-prescription and </w:t>
      </w:r>
      <w:r w:rsidR="009C7702" w:rsidRPr="00734AB6">
        <w:rPr>
          <w:rFonts w:asciiTheme="majorHAnsi" w:eastAsia="Calibri" w:hAnsiTheme="majorHAnsi" w:cs="Calibri"/>
        </w:rPr>
        <w:t xml:space="preserve">62% </w:t>
      </w:r>
      <w:r w:rsidR="00346C78" w:rsidRPr="00734AB6">
        <w:rPr>
          <w:rFonts w:asciiTheme="majorHAnsi" w:eastAsia="Calibri" w:hAnsiTheme="majorHAnsi" w:cs="Calibri"/>
        </w:rPr>
        <w:t>of these reported CED users</w:t>
      </w:r>
      <w:r w:rsidR="009C7702" w:rsidRPr="00734AB6">
        <w:rPr>
          <w:rFonts w:asciiTheme="majorHAnsi" w:eastAsia="Calibri" w:hAnsiTheme="majorHAnsi" w:cs="Calibri"/>
        </w:rPr>
        <w:t xml:space="preserve"> stated that they had used methylphenidate and 44% stated that they had used modafinil. Online forum sites are a convenient way for people to share their experiences and information about illicit drug use. The development and popularity of online forum sites has provided the opportunity to reach hidden groups of individuals such as those using drugs illicitly, who would otherwise be difficult to reach via other methods (Miller &amp; </w:t>
      </w:r>
      <w:proofErr w:type="spellStart"/>
      <w:r w:rsidR="009C7702" w:rsidRPr="00734AB6">
        <w:rPr>
          <w:rFonts w:asciiTheme="majorHAnsi" w:eastAsia="Calibri" w:hAnsiTheme="majorHAnsi" w:cs="Calibri"/>
        </w:rPr>
        <w:t>Sonde</w:t>
      </w:r>
      <w:r w:rsidR="00725E66" w:rsidRPr="00734AB6">
        <w:rPr>
          <w:rFonts w:asciiTheme="majorHAnsi" w:eastAsia="Calibri" w:hAnsiTheme="majorHAnsi" w:cs="Calibri"/>
        </w:rPr>
        <w:t>rlund</w:t>
      </w:r>
      <w:proofErr w:type="spellEnd"/>
      <w:r w:rsidR="00725E66" w:rsidRPr="00734AB6">
        <w:rPr>
          <w:rFonts w:asciiTheme="majorHAnsi" w:eastAsia="Calibri" w:hAnsiTheme="majorHAnsi" w:cs="Calibri"/>
        </w:rPr>
        <w:t>, 2010). As Wright (2005</w:t>
      </w:r>
      <w:r w:rsidR="009C7702" w:rsidRPr="00734AB6">
        <w:rPr>
          <w:rFonts w:asciiTheme="majorHAnsi" w:eastAsia="Calibri" w:hAnsiTheme="majorHAnsi" w:cs="Calibri"/>
        </w:rPr>
        <w:t xml:space="preserve">) explains, many groups and </w:t>
      </w:r>
      <w:r w:rsidR="009C7702" w:rsidRPr="00734AB6">
        <w:rPr>
          <w:rFonts w:asciiTheme="majorHAnsi" w:eastAsia="Calibri" w:hAnsiTheme="majorHAnsi" w:cs="Calibri"/>
        </w:rPr>
        <w:lastRenderedPageBreak/>
        <w:t xml:space="preserve">communities exist only in cyberspace. This is likely to apply to modafinil and methylphenidate off-prescription users who seek to exchange experiences, advice and information on their CED of choice. </w:t>
      </w:r>
    </w:p>
    <w:p w14:paraId="521DE2FC" w14:textId="77777777" w:rsidR="002D0F7F"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However, there are potential weaknesses to the online survey method, which should also be considered. Self-selection bias can limit the generalizability of findings, although there are ways in which this limitation can be reduced. </w:t>
      </w:r>
      <w:proofErr w:type="spellStart"/>
      <w:r w:rsidRPr="00734AB6">
        <w:rPr>
          <w:rFonts w:asciiTheme="majorHAnsi" w:eastAsia="Calibri" w:hAnsiTheme="majorHAnsi" w:cs="Calibri"/>
        </w:rPr>
        <w:t>Reips</w:t>
      </w:r>
      <w:proofErr w:type="spellEnd"/>
      <w:r w:rsidRPr="00734AB6">
        <w:rPr>
          <w:rFonts w:asciiTheme="majorHAnsi" w:eastAsia="Calibri" w:hAnsiTheme="majorHAnsi" w:cs="Calibri"/>
        </w:rPr>
        <w:t xml:space="preserve"> (2002) presented a multiple site entry technique in which links to the survey are placed on several websites or platforms in order to attract different types of respondents. It has also been argued that the majority of the Internet-using population are white, middle-class, educated males (Hewson, 2003), although this trend is changing with increased accessibility of the Internet. One could also argue that many experimental studies recruit participants from a pool of undergraduate students, the majority of whom would be young, educated and part-time employed. This would suggest that online survey respondents may not be more homogenous and biased than other samples used in research. This, of course, depends on where survey links are placed, as some forum sites and other internet platforms may draw interest from less mixed groups of individuals than others. </w:t>
      </w:r>
    </w:p>
    <w:p w14:paraId="740BC979" w14:textId="205AAFFB"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following section reviews the current survey literature on CEDs in general and those which include methylphenidate and modafinil.</w:t>
      </w:r>
    </w:p>
    <w:p w14:paraId="033D188D" w14:textId="77777777" w:rsidR="009C7702" w:rsidRPr="00734AB6" w:rsidRDefault="009C7702" w:rsidP="0099584D">
      <w:pPr>
        <w:spacing w:line="360" w:lineRule="auto"/>
        <w:ind w:firstLine="851"/>
        <w:rPr>
          <w:rFonts w:asciiTheme="majorHAnsi" w:eastAsia="Calibri" w:hAnsiTheme="majorHAnsi" w:cs="Calibri"/>
        </w:rPr>
      </w:pPr>
    </w:p>
    <w:p w14:paraId="59E39AC9" w14:textId="77777777" w:rsidR="009C7702" w:rsidRPr="00734AB6" w:rsidRDefault="009C7702" w:rsidP="0056046D">
      <w:pPr>
        <w:pStyle w:val="Heading3"/>
        <w:spacing w:after="240" w:line="360" w:lineRule="auto"/>
        <w:rPr>
          <w:b/>
          <w:color w:val="auto"/>
          <w:sz w:val="22"/>
          <w:szCs w:val="22"/>
        </w:rPr>
      </w:pPr>
      <w:bookmarkStart w:id="21" w:name="_Toc30169862"/>
      <w:bookmarkStart w:id="22" w:name="_Toc48136331"/>
      <w:r w:rsidRPr="00734AB6">
        <w:rPr>
          <w:b/>
          <w:color w:val="auto"/>
          <w:sz w:val="22"/>
          <w:szCs w:val="22"/>
        </w:rPr>
        <w:t>2.1.1</w:t>
      </w:r>
      <w:r w:rsidRPr="00734AB6">
        <w:rPr>
          <w:b/>
          <w:color w:val="auto"/>
          <w:sz w:val="22"/>
          <w:szCs w:val="22"/>
        </w:rPr>
        <w:tab/>
        <w:t xml:space="preserve">Surveys investigating off-prescription use </w:t>
      </w:r>
      <w:bookmarkEnd w:id="21"/>
      <w:r w:rsidRPr="00734AB6">
        <w:rPr>
          <w:b/>
          <w:color w:val="auto"/>
          <w:sz w:val="22"/>
          <w:szCs w:val="22"/>
        </w:rPr>
        <w:t>of cognitive enhancing drugs</w:t>
      </w:r>
      <w:bookmarkEnd w:id="22"/>
    </w:p>
    <w:p w14:paraId="0BB5E864" w14:textId="278D13A6"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Percentages of off-prescription lifetime use of CEDs in the United States appear to be much higher than in Europe (see Table </w:t>
      </w:r>
      <w:r w:rsidR="00C75EC3" w:rsidRPr="00734AB6">
        <w:rPr>
          <w:rFonts w:asciiTheme="majorHAnsi" w:hAnsiTheme="majorHAnsi" w:cs="Calibri"/>
        </w:rPr>
        <w:t>2</w:t>
      </w:r>
      <w:r w:rsidR="009E23DC" w:rsidRPr="00734AB6">
        <w:rPr>
          <w:rFonts w:asciiTheme="majorHAnsi" w:hAnsiTheme="majorHAnsi" w:cs="Calibri"/>
        </w:rPr>
        <w:t>.1</w:t>
      </w:r>
      <w:r w:rsidRPr="00734AB6">
        <w:rPr>
          <w:rFonts w:asciiTheme="majorHAnsi" w:hAnsiTheme="majorHAnsi" w:cs="Calibri"/>
        </w:rPr>
        <w:t xml:space="preserve"> for details). </w:t>
      </w:r>
      <w:r w:rsidR="001626C8" w:rsidRPr="00734AB6">
        <w:rPr>
          <w:rFonts w:asciiTheme="majorHAnsi" w:hAnsiTheme="majorHAnsi" w:cs="Calibri"/>
        </w:rPr>
        <w:t xml:space="preserve">For instance, </w:t>
      </w:r>
      <w:r w:rsidRPr="00734AB6">
        <w:rPr>
          <w:rFonts w:asciiTheme="majorHAnsi" w:hAnsiTheme="majorHAnsi" w:cs="Calibri"/>
        </w:rPr>
        <w:t xml:space="preserve">McCabe, </w:t>
      </w:r>
      <w:proofErr w:type="spellStart"/>
      <w:r w:rsidRPr="00734AB6">
        <w:rPr>
          <w:rFonts w:asciiTheme="majorHAnsi" w:hAnsiTheme="majorHAnsi" w:cs="Calibri"/>
        </w:rPr>
        <w:t>Teter</w:t>
      </w:r>
      <w:proofErr w:type="spellEnd"/>
      <w:r w:rsidRPr="00734AB6">
        <w:rPr>
          <w:rFonts w:asciiTheme="majorHAnsi" w:hAnsiTheme="majorHAnsi" w:cs="Calibri"/>
        </w:rPr>
        <w:t xml:space="preserve"> and Boyd (2006) conducted an online survey of undergraduate students in a large mid-Western </w:t>
      </w:r>
      <w:r w:rsidR="00BC6247" w:rsidRPr="00734AB6">
        <w:rPr>
          <w:rFonts w:asciiTheme="majorHAnsi" w:hAnsiTheme="majorHAnsi" w:cs="Calibri"/>
        </w:rPr>
        <w:t>USA</w:t>
      </w:r>
      <w:r w:rsidRPr="00734AB6">
        <w:rPr>
          <w:rFonts w:asciiTheme="majorHAnsi" w:hAnsiTheme="majorHAnsi" w:cs="Calibri"/>
        </w:rPr>
        <w:t xml:space="preserve"> university. The authors indicated a relatively high rate of lifetime use of CEDs and past year use of 5.4% (458 students). Of those who had indicated how they had obtained the stimulants, 92% had reported their sources as friends and peers. The authors also reported that users of illicit stimulant medications were much more likely to use other drugs such as cannabis and cocaine.</w:t>
      </w:r>
    </w:p>
    <w:p w14:paraId="5CA106DD" w14:textId="1D603AC2" w:rsidR="009C7702" w:rsidRPr="00734AB6" w:rsidRDefault="001626C8"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However, a</w:t>
      </w:r>
      <w:r w:rsidR="009C7702" w:rsidRPr="00734AB6">
        <w:rPr>
          <w:rFonts w:asciiTheme="majorHAnsi" w:hAnsiTheme="majorHAnsi" w:cs="Calibri"/>
        </w:rPr>
        <w:t xml:space="preserve"> much higher percentage of use was reported in a South-Eastern </w:t>
      </w:r>
      <w:r w:rsidR="00BC6247" w:rsidRPr="00734AB6">
        <w:rPr>
          <w:rFonts w:asciiTheme="majorHAnsi" w:hAnsiTheme="majorHAnsi" w:cs="Calibri"/>
        </w:rPr>
        <w:t>USA</w:t>
      </w:r>
      <w:r w:rsidR="009C7702" w:rsidRPr="00734AB6">
        <w:rPr>
          <w:rFonts w:asciiTheme="majorHAnsi" w:hAnsiTheme="majorHAnsi" w:cs="Calibri"/>
        </w:rPr>
        <w:t xml:space="preserve"> university using a mix of qualitative interview and quantitative survey methods (DeSantis</w:t>
      </w:r>
      <w:r w:rsidR="00B70602" w:rsidRPr="00734AB6">
        <w:rPr>
          <w:rFonts w:asciiTheme="majorHAnsi" w:hAnsiTheme="majorHAnsi" w:cs="Calibri"/>
        </w:rPr>
        <w:t xml:space="preserve"> et al.,</w:t>
      </w:r>
      <w:r w:rsidR="009C7702" w:rsidRPr="00734AB6">
        <w:rPr>
          <w:rFonts w:asciiTheme="majorHAnsi" w:hAnsiTheme="majorHAnsi" w:cs="Calibri"/>
        </w:rPr>
        <w:t xml:space="preserve"> 2008). Of those who had reported illicit use of ADHD medications, 66% indicated their motivation for use was to help concentration on </w:t>
      </w:r>
      <w:r w:rsidR="005F1410" w:rsidRPr="00734AB6">
        <w:rPr>
          <w:rFonts w:asciiTheme="majorHAnsi" w:hAnsiTheme="majorHAnsi" w:cs="Calibri"/>
        </w:rPr>
        <w:t>schoolwork</w:t>
      </w:r>
      <w:r w:rsidR="009C7702" w:rsidRPr="00734AB6">
        <w:rPr>
          <w:rFonts w:asciiTheme="majorHAnsi" w:hAnsiTheme="majorHAnsi" w:cs="Calibri"/>
        </w:rPr>
        <w:t xml:space="preserve">. Interviews were conducted with 175 of these students, over two-thirds of whom admitted that the heightened pressure of finals was their motivation for stimulant use. The authors reported that none of the interviewees had sought information regarding these drugs before using them and that obtaining these stimulants was easy. The survey data indicated that 89% of illicit users reported their source as friends (87%), </w:t>
      </w:r>
      <w:r w:rsidR="009C7702" w:rsidRPr="00734AB6">
        <w:rPr>
          <w:rFonts w:asciiTheme="majorHAnsi" w:hAnsiTheme="majorHAnsi" w:cs="Calibri"/>
        </w:rPr>
        <w:lastRenderedPageBreak/>
        <w:t xml:space="preserve">significant others (4%), or friends of friends (8%). In comparison to these two </w:t>
      </w:r>
      <w:r w:rsidR="00BC6247" w:rsidRPr="00734AB6">
        <w:rPr>
          <w:rFonts w:asciiTheme="majorHAnsi" w:hAnsiTheme="majorHAnsi" w:cs="Calibri"/>
        </w:rPr>
        <w:t>USA</w:t>
      </w:r>
      <w:r w:rsidR="009C7702" w:rsidRPr="00734AB6">
        <w:rPr>
          <w:rFonts w:asciiTheme="majorHAnsi" w:hAnsiTheme="majorHAnsi" w:cs="Calibri"/>
        </w:rPr>
        <w:t xml:space="preserve"> studies, a Swiss survey (Maier, </w:t>
      </w:r>
      <w:proofErr w:type="spellStart"/>
      <w:r w:rsidR="009C7702" w:rsidRPr="00734AB6">
        <w:rPr>
          <w:rFonts w:asciiTheme="majorHAnsi" w:hAnsiTheme="majorHAnsi" w:cs="Calibri"/>
        </w:rPr>
        <w:t>Haug</w:t>
      </w:r>
      <w:proofErr w:type="spellEnd"/>
      <w:r w:rsidR="009C7702" w:rsidRPr="00734AB6">
        <w:rPr>
          <w:rFonts w:asciiTheme="majorHAnsi" w:hAnsiTheme="majorHAnsi" w:cs="Calibri"/>
        </w:rPr>
        <w:t xml:space="preserve"> &amp; Schaub, 2016), a Dutch survey (</w:t>
      </w:r>
      <w:proofErr w:type="spellStart"/>
      <w:r w:rsidR="009C7702" w:rsidRPr="00734AB6">
        <w:rPr>
          <w:rFonts w:asciiTheme="majorHAnsi" w:hAnsiTheme="majorHAnsi" w:cs="Calibri"/>
        </w:rPr>
        <w:t>Schelle</w:t>
      </w:r>
      <w:proofErr w:type="spellEnd"/>
      <w:r w:rsidR="009C7702" w:rsidRPr="00734AB6">
        <w:rPr>
          <w:rFonts w:asciiTheme="majorHAnsi" w:hAnsiTheme="majorHAnsi" w:cs="Calibri"/>
        </w:rPr>
        <w:t xml:space="preserve"> et al., 2015) and two German surveys (Franke et al., 2011; Sattler &amp; </w:t>
      </w:r>
      <w:proofErr w:type="spellStart"/>
      <w:r w:rsidR="009C7702" w:rsidRPr="00734AB6">
        <w:rPr>
          <w:rFonts w:asciiTheme="majorHAnsi" w:hAnsiTheme="majorHAnsi" w:cs="Calibri"/>
        </w:rPr>
        <w:t>Wiegel</w:t>
      </w:r>
      <w:proofErr w:type="spellEnd"/>
      <w:r w:rsidR="009C7702" w:rsidRPr="00734AB6">
        <w:rPr>
          <w:rFonts w:asciiTheme="majorHAnsi" w:hAnsiTheme="majorHAnsi" w:cs="Calibri"/>
        </w:rPr>
        <w:t xml:space="preserve">, 2013) </w:t>
      </w:r>
      <w:r w:rsidR="00D1204A" w:rsidRPr="00734AB6">
        <w:rPr>
          <w:rFonts w:asciiTheme="majorHAnsi" w:hAnsiTheme="majorHAnsi" w:cs="Calibri"/>
        </w:rPr>
        <w:t>found</w:t>
      </w:r>
      <w:r w:rsidR="009C7702" w:rsidRPr="00734AB6">
        <w:rPr>
          <w:rFonts w:asciiTheme="majorHAnsi" w:hAnsiTheme="majorHAnsi" w:cs="Calibri"/>
        </w:rPr>
        <w:t xml:space="preserve"> lower rates of reported </w:t>
      </w:r>
      <w:r w:rsidR="00D1204A" w:rsidRPr="00734AB6">
        <w:rPr>
          <w:rFonts w:asciiTheme="majorHAnsi" w:hAnsiTheme="majorHAnsi" w:cs="Calibri"/>
        </w:rPr>
        <w:t xml:space="preserve">lifetime off-prescription </w:t>
      </w:r>
      <w:r w:rsidR="009C7702" w:rsidRPr="00734AB6">
        <w:rPr>
          <w:rFonts w:asciiTheme="majorHAnsi" w:hAnsiTheme="majorHAnsi" w:cs="Calibri"/>
        </w:rPr>
        <w:t xml:space="preserve">use of CEDs. </w:t>
      </w:r>
    </w:p>
    <w:p w14:paraId="28913184" w14:textId="77777777"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p>
    <w:p w14:paraId="652557A3" w14:textId="0FDC8644" w:rsidR="009C7702" w:rsidRPr="00734AB6" w:rsidRDefault="009C7702" w:rsidP="0056046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 xml:space="preserve">Table </w:t>
      </w:r>
      <w:r w:rsidR="009E23DC" w:rsidRPr="00734AB6">
        <w:rPr>
          <w:rFonts w:asciiTheme="majorHAnsi" w:hAnsiTheme="majorHAnsi" w:cs="Calibri"/>
          <w:b/>
        </w:rPr>
        <w:t>2.</w:t>
      </w:r>
      <w:r w:rsidRPr="00734AB6">
        <w:rPr>
          <w:rFonts w:asciiTheme="majorHAnsi" w:hAnsiTheme="majorHAnsi" w:cs="Calibri"/>
          <w:b/>
        </w:rPr>
        <w:t>1. Surveys reporting the prevalence of CED use</w:t>
      </w:r>
    </w:p>
    <w:tbl>
      <w:tblPr>
        <w:tblW w:w="8505" w:type="dxa"/>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1276"/>
        <w:gridCol w:w="2410"/>
        <w:gridCol w:w="2976"/>
      </w:tblGrid>
      <w:tr w:rsidR="009C7702" w:rsidRPr="00734AB6" w14:paraId="73EBD8D8" w14:textId="77777777" w:rsidTr="007D40FD">
        <w:tc>
          <w:tcPr>
            <w:tcW w:w="1843" w:type="dxa"/>
            <w:tcBorders>
              <w:bottom w:val="single" w:sz="4" w:space="0" w:color="auto"/>
            </w:tcBorders>
          </w:tcPr>
          <w:p w14:paraId="649FFB61" w14:textId="0A041EBD" w:rsidR="009C7702" w:rsidRPr="00734AB6" w:rsidRDefault="00667131"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Location of survey</w:t>
            </w:r>
          </w:p>
        </w:tc>
        <w:tc>
          <w:tcPr>
            <w:tcW w:w="1276" w:type="dxa"/>
            <w:tcBorders>
              <w:bottom w:val="single" w:sz="4" w:space="0" w:color="auto"/>
            </w:tcBorders>
          </w:tcPr>
          <w:p w14:paraId="687B990B"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Sample size</w:t>
            </w:r>
          </w:p>
        </w:tc>
        <w:tc>
          <w:tcPr>
            <w:tcW w:w="2410" w:type="dxa"/>
            <w:tcBorders>
              <w:bottom w:val="single" w:sz="4" w:space="0" w:color="auto"/>
            </w:tcBorders>
          </w:tcPr>
          <w:p w14:paraId="68AB2EE8"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 reported lifetime use</w:t>
            </w:r>
          </w:p>
        </w:tc>
        <w:tc>
          <w:tcPr>
            <w:tcW w:w="2976" w:type="dxa"/>
            <w:tcBorders>
              <w:bottom w:val="single" w:sz="4" w:space="0" w:color="auto"/>
            </w:tcBorders>
          </w:tcPr>
          <w:p w14:paraId="0A337A6A"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Study</w:t>
            </w:r>
          </w:p>
        </w:tc>
      </w:tr>
      <w:tr w:rsidR="009C7702" w:rsidRPr="00734AB6" w14:paraId="75B61533" w14:textId="77777777" w:rsidTr="007D40FD">
        <w:tc>
          <w:tcPr>
            <w:tcW w:w="1843" w:type="dxa"/>
            <w:tcBorders>
              <w:bottom w:val="nil"/>
            </w:tcBorders>
          </w:tcPr>
          <w:p w14:paraId="39EADA5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USA</w:t>
            </w:r>
          </w:p>
        </w:tc>
        <w:tc>
          <w:tcPr>
            <w:tcW w:w="1276" w:type="dxa"/>
            <w:tcBorders>
              <w:bottom w:val="nil"/>
            </w:tcBorders>
          </w:tcPr>
          <w:p w14:paraId="01C72FD3"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9,161</w:t>
            </w:r>
          </w:p>
        </w:tc>
        <w:tc>
          <w:tcPr>
            <w:tcW w:w="2410" w:type="dxa"/>
            <w:tcBorders>
              <w:bottom w:val="nil"/>
            </w:tcBorders>
          </w:tcPr>
          <w:p w14:paraId="51825A9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8.1</w:t>
            </w:r>
          </w:p>
        </w:tc>
        <w:tc>
          <w:tcPr>
            <w:tcW w:w="2976" w:type="dxa"/>
            <w:tcBorders>
              <w:bottom w:val="nil"/>
            </w:tcBorders>
          </w:tcPr>
          <w:p w14:paraId="10D926E7"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 xml:space="preserve">McCabe, </w:t>
            </w:r>
            <w:proofErr w:type="spellStart"/>
            <w:r w:rsidRPr="00734AB6">
              <w:rPr>
                <w:rFonts w:asciiTheme="majorHAnsi" w:hAnsiTheme="majorHAnsi" w:cs="Calibri"/>
              </w:rPr>
              <w:t>Teter</w:t>
            </w:r>
            <w:proofErr w:type="spellEnd"/>
            <w:r w:rsidRPr="00734AB6">
              <w:rPr>
                <w:rFonts w:asciiTheme="majorHAnsi" w:hAnsiTheme="majorHAnsi" w:cs="Calibri"/>
              </w:rPr>
              <w:t xml:space="preserve"> and Boyd, 2006</w:t>
            </w:r>
          </w:p>
        </w:tc>
      </w:tr>
      <w:tr w:rsidR="009C7702" w:rsidRPr="00734AB6" w14:paraId="21F046A4" w14:textId="77777777" w:rsidTr="007D40FD">
        <w:tc>
          <w:tcPr>
            <w:tcW w:w="1843" w:type="dxa"/>
            <w:tcBorders>
              <w:top w:val="nil"/>
              <w:bottom w:val="nil"/>
            </w:tcBorders>
          </w:tcPr>
          <w:p w14:paraId="655848F3"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USA</w:t>
            </w:r>
          </w:p>
        </w:tc>
        <w:tc>
          <w:tcPr>
            <w:tcW w:w="1276" w:type="dxa"/>
            <w:tcBorders>
              <w:top w:val="nil"/>
              <w:bottom w:val="nil"/>
            </w:tcBorders>
          </w:tcPr>
          <w:p w14:paraId="06F38333"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1,811</w:t>
            </w:r>
          </w:p>
        </w:tc>
        <w:tc>
          <w:tcPr>
            <w:tcW w:w="2410" w:type="dxa"/>
            <w:tcBorders>
              <w:top w:val="nil"/>
              <w:bottom w:val="nil"/>
            </w:tcBorders>
          </w:tcPr>
          <w:p w14:paraId="46FCE4BD"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34</w:t>
            </w:r>
          </w:p>
        </w:tc>
        <w:tc>
          <w:tcPr>
            <w:tcW w:w="2976" w:type="dxa"/>
            <w:tcBorders>
              <w:top w:val="nil"/>
              <w:bottom w:val="nil"/>
            </w:tcBorders>
          </w:tcPr>
          <w:p w14:paraId="6EDFFCC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 xml:space="preserve">DeSantis, Webb &amp; </w:t>
            </w:r>
            <w:proofErr w:type="spellStart"/>
            <w:r w:rsidRPr="00734AB6">
              <w:rPr>
                <w:rFonts w:asciiTheme="majorHAnsi" w:hAnsiTheme="majorHAnsi" w:cs="Calibri"/>
              </w:rPr>
              <w:t>Noar</w:t>
            </w:r>
            <w:proofErr w:type="spellEnd"/>
            <w:r w:rsidRPr="00734AB6">
              <w:rPr>
                <w:rFonts w:asciiTheme="majorHAnsi" w:hAnsiTheme="majorHAnsi" w:cs="Calibri"/>
              </w:rPr>
              <w:t>, 2008</w:t>
            </w:r>
          </w:p>
        </w:tc>
      </w:tr>
      <w:tr w:rsidR="009C7702" w:rsidRPr="00734AB6" w14:paraId="388D8D06" w14:textId="77777777" w:rsidTr="007D40FD">
        <w:tc>
          <w:tcPr>
            <w:tcW w:w="1843" w:type="dxa"/>
            <w:tcBorders>
              <w:top w:val="nil"/>
              <w:bottom w:val="nil"/>
            </w:tcBorders>
          </w:tcPr>
          <w:p w14:paraId="19D2C2D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Switzerland</w:t>
            </w:r>
          </w:p>
        </w:tc>
        <w:tc>
          <w:tcPr>
            <w:tcW w:w="1276" w:type="dxa"/>
            <w:tcBorders>
              <w:top w:val="nil"/>
              <w:bottom w:val="nil"/>
            </w:tcBorders>
          </w:tcPr>
          <w:p w14:paraId="458993F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10,171</w:t>
            </w:r>
          </w:p>
        </w:tc>
        <w:tc>
          <w:tcPr>
            <w:tcW w:w="2410" w:type="dxa"/>
            <w:tcBorders>
              <w:top w:val="nil"/>
              <w:bottom w:val="nil"/>
            </w:tcBorders>
          </w:tcPr>
          <w:p w14:paraId="49FE26BF"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w:t>
            </w:r>
          </w:p>
        </w:tc>
        <w:tc>
          <w:tcPr>
            <w:tcW w:w="2976" w:type="dxa"/>
            <w:tcBorders>
              <w:top w:val="nil"/>
              <w:bottom w:val="nil"/>
            </w:tcBorders>
          </w:tcPr>
          <w:p w14:paraId="36215A2F"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 xml:space="preserve">Maier, </w:t>
            </w:r>
            <w:proofErr w:type="spellStart"/>
            <w:r w:rsidRPr="00734AB6">
              <w:rPr>
                <w:rFonts w:asciiTheme="majorHAnsi" w:hAnsiTheme="majorHAnsi" w:cs="Calibri"/>
              </w:rPr>
              <w:t>Haug</w:t>
            </w:r>
            <w:proofErr w:type="spellEnd"/>
            <w:r w:rsidRPr="00734AB6">
              <w:rPr>
                <w:rFonts w:asciiTheme="majorHAnsi" w:hAnsiTheme="majorHAnsi" w:cs="Calibri"/>
              </w:rPr>
              <w:t xml:space="preserve"> &amp; Schaub, 2016</w:t>
            </w:r>
          </w:p>
        </w:tc>
      </w:tr>
      <w:tr w:rsidR="009C7702" w:rsidRPr="00734AB6" w14:paraId="5B9603FC" w14:textId="77777777" w:rsidTr="007D40FD">
        <w:tc>
          <w:tcPr>
            <w:tcW w:w="1843" w:type="dxa"/>
            <w:tcBorders>
              <w:top w:val="nil"/>
              <w:bottom w:val="nil"/>
            </w:tcBorders>
          </w:tcPr>
          <w:p w14:paraId="2967F1C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Holland</w:t>
            </w:r>
          </w:p>
        </w:tc>
        <w:tc>
          <w:tcPr>
            <w:tcW w:w="1276" w:type="dxa"/>
            <w:tcBorders>
              <w:top w:val="nil"/>
              <w:bottom w:val="nil"/>
            </w:tcBorders>
          </w:tcPr>
          <w:p w14:paraId="13B2330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1,572</w:t>
            </w:r>
          </w:p>
        </w:tc>
        <w:tc>
          <w:tcPr>
            <w:tcW w:w="2410" w:type="dxa"/>
            <w:tcBorders>
              <w:top w:val="nil"/>
              <w:bottom w:val="nil"/>
            </w:tcBorders>
          </w:tcPr>
          <w:p w14:paraId="365CA36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w:t>
            </w:r>
          </w:p>
        </w:tc>
        <w:tc>
          <w:tcPr>
            <w:tcW w:w="2976" w:type="dxa"/>
            <w:tcBorders>
              <w:top w:val="nil"/>
              <w:bottom w:val="nil"/>
            </w:tcBorders>
          </w:tcPr>
          <w:p w14:paraId="1AF59D0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proofErr w:type="spellStart"/>
            <w:r w:rsidRPr="00734AB6">
              <w:rPr>
                <w:rFonts w:asciiTheme="majorHAnsi" w:hAnsiTheme="majorHAnsi" w:cs="Calibri"/>
              </w:rPr>
              <w:t>Schelle</w:t>
            </w:r>
            <w:proofErr w:type="spellEnd"/>
            <w:r w:rsidRPr="00734AB6">
              <w:rPr>
                <w:rFonts w:asciiTheme="majorHAnsi" w:hAnsiTheme="majorHAnsi" w:cs="Calibri"/>
              </w:rPr>
              <w:t xml:space="preserve"> et al., 2015</w:t>
            </w:r>
          </w:p>
        </w:tc>
      </w:tr>
      <w:tr w:rsidR="009C7702" w:rsidRPr="00734AB6" w14:paraId="1F6C6A01" w14:textId="77777777" w:rsidTr="007D40FD">
        <w:tc>
          <w:tcPr>
            <w:tcW w:w="1843" w:type="dxa"/>
            <w:tcBorders>
              <w:top w:val="nil"/>
              <w:bottom w:val="nil"/>
            </w:tcBorders>
          </w:tcPr>
          <w:p w14:paraId="2523D0B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Germany</w:t>
            </w:r>
          </w:p>
        </w:tc>
        <w:tc>
          <w:tcPr>
            <w:tcW w:w="1276" w:type="dxa"/>
            <w:tcBorders>
              <w:top w:val="nil"/>
              <w:bottom w:val="nil"/>
            </w:tcBorders>
          </w:tcPr>
          <w:p w14:paraId="6A0A9AC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1,547</w:t>
            </w:r>
          </w:p>
        </w:tc>
        <w:tc>
          <w:tcPr>
            <w:tcW w:w="2410" w:type="dxa"/>
            <w:tcBorders>
              <w:top w:val="nil"/>
              <w:bottom w:val="nil"/>
            </w:tcBorders>
          </w:tcPr>
          <w:p w14:paraId="33DFA047"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1.29</w:t>
            </w:r>
          </w:p>
        </w:tc>
        <w:tc>
          <w:tcPr>
            <w:tcW w:w="2976" w:type="dxa"/>
            <w:tcBorders>
              <w:top w:val="nil"/>
              <w:bottom w:val="nil"/>
            </w:tcBorders>
          </w:tcPr>
          <w:p w14:paraId="2514862E"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Franke et al., 2011</w:t>
            </w:r>
          </w:p>
        </w:tc>
      </w:tr>
      <w:tr w:rsidR="009C7702" w:rsidRPr="00734AB6" w14:paraId="0BB51CB9" w14:textId="77777777" w:rsidTr="007D40FD">
        <w:tc>
          <w:tcPr>
            <w:tcW w:w="1843" w:type="dxa"/>
            <w:tcBorders>
              <w:top w:val="nil"/>
            </w:tcBorders>
          </w:tcPr>
          <w:p w14:paraId="1D2B734B"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Germany</w:t>
            </w:r>
          </w:p>
        </w:tc>
        <w:tc>
          <w:tcPr>
            <w:tcW w:w="1276" w:type="dxa"/>
            <w:tcBorders>
              <w:top w:val="nil"/>
            </w:tcBorders>
          </w:tcPr>
          <w:p w14:paraId="26F2D04D"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5,882</w:t>
            </w:r>
          </w:p>
        </w:tc>
        <w:tc>
          <w:tcPr>
            <w:tcW w:w="2410" w:type="dxa"/>
            <w:tcBorders>
              <w:top w:val="nil"/>
            </w:tcBorders>
          </w:tcPr>
          <w:p w14:paraId="4C2DDB7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4.56</w:t>
            </w:r>
          </w:p>
        </w:tc>
        <w:tc>
          <w:tcPr>
            <w:tcW w:w="2976" w:type="dxa"/>
            <w:tcBorders>
              <w:top w:val="nil"/>
            </w:tcBorders>
          </w:tcPr>
          <w:p w14:paraId="16490E45"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 xml:space="preserve">Sattler &amp; </w:t>
            </w:r>
            <w:proofErr w:type="spellStart"/>
            <w:r w:rsidRPr="00734AB6">
              <w:rPr>
                <w:rFonts w:asciiTheme="majorHAnsi" w:hAnsiTheme="majorHAnsi" w:cs="Calibri"/>
              </w:rPr>
              <w:t>Wiegel</w:t>
            </w:r>
            <w:proofErr w:type="spellEnd"/>
            <w:r w:rsidRPr="00734AB6">
              <w:rPr>
                <w:rFonts w:asciiTheme="majorHAnsi" w:hAnsiTheme="majorHAnsi" w:cs="Calibri"/>
              </w:rPr>
              <w:t>, 2013</w:t>
            </w:r>
          </w:p>
        </w:tc>
      </w:tr>
    </w:tbl>
    <w:p w14:paraId="3E1BACC4" w14:textId="77777777"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p>
    <w:p w14:paraId="46BFA096" w14:textId="0FE499E8"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The studies discussed so far have focused their surveys on the off-prescription use of prescription stimulants or CEDs broadly. </w:t>
      </w:r>
      <w:r w:rsidR="003E52C8" w:rsidRPr="00734AB6">
        <w:rPr>
          <w:rFonts w:asciiTheme="majorHAnsi" w:hAnsiTheme="majorHAnsi" w:cs="Calibri"/>
        </w:rPr>
        <w:t>In all but one (Maier et al., 2016) of the studies</w:t>
      </w:r>
      <w:r w:rsidR="003F6B81" w:rsidRPr="00734AB6">
        <w:rPr>
          <w:rFonts w:asciiTheme="majorHAnsi" w:hAnsiTheme="majorHAnsi" w:cs="Calibri"/>
        </w:rPr>
        <w:t xml:space="preserve"> detailed</w:t>
      </w:r>
      <w:r w:rsidR="003E52C8" w:rsidRPr="00734AB6">
        <w:rPr>
          <w:rFonts w:asciiTheme="majorHAnsi" w:hAnsiTheme="majorHAnsi" w:cs="Calibri"/>
        </w:rPr>
        <w:t xml:space="preserve"> in Table 2.1 were conducted in universities and schools. Prevalence of CED use varies both geographically and </w:t>
      </w:r>
      <w:r w:rsidR="003F6B81" w:rsidRPr="00734AB6">
        <w:rPr>
          <w:rFonts w:asciiTheme="majorHAnsi" w:hAnsiTheme="majorHAnsi" w:cs="Calibri"/>
        </w:rPr>
        <w:t xml:space="preserve">according to the type of CED used. </w:t>
      </w:r>
      <w:r w:rsidR="00F21EA5" w:rsidRPr="00734AB6">
        <w:rPr>
          <w:rFonts w:asciiTheme="majorHAnsi" w:hAnsiTheme="majorHAnsi" w:cs="Calibri"/>
        </w:rPr>
        <w:t xml:space="preserve">McCabe et al. (2006) conducted their survey in a </w:t>
      </w:r>
      <w:r w:rsidR="00BC6247" w:rsidRPr="00734AB6">
        <w:rPr>
          <w:rFonts w:asciiTheme="majorHAnsi" w:hAnsiTheme="majorHAnsi" w:cs="Calibri"/>
        </w:rPr>
        <w:t>M</w:t>
      </w:r>
      <w:r w:rsidR="00F21EA5" w:rsidRPr="00734AB6">
        <w:rPr>
          <w:rFonts w:asciiTheme="majorHAnsi" w:hAnsiTheme="majorHAnsi" w:cs="Calibri"/>
        </w:rPr>
        <w:t xml:space="preserve">idwestern </w:t>
      </w:r>
      <w:r w:rsidR="00BC6247" w:rsidRPr="00734AB6">
        <w:rPr>
          <w:rFonts w:asciiTheme="majorHAnsi" w:hAnsiTheme="majorHAnsi" w:cs="Calibri"/>
        </w:rPr>
        <w:t>USA</w:t>
      </w:r>
      <w:r w:rsidR="00F21EA5" w:rsidRPr="00734AB6">
        <w:rPr>
          <w:rFonts w:asciiTheme="majorHAnsi" w:hAnsiTheme="majorHAnsi" w:cs="Calibri"/>
        </w:rPr>
        <w:t xml:space="preserve"> university whereas DeSantis et al. (2008) conducted their survey in a </w:t>
      </w:r>
      <w:proofErr w:type="spellStart"/>
      <w:r w:rsidR="00BC6247" w:rsidRPr="00734AB6">
        <w:rPr>
          <w:rFonts w:asciiTheme="majorHAnsi" w:hAnsiTheme="majorHAnsi" w:cs="Calibri"/>
        </w:rPr>
        <w:t>S</w:t>
      </w:r>
      <w:r w:rsidR="00F21EA5" w:rsidRPr="00734AB6">
        <w:rPr>
          <w:rFonts w:asciiTheme="majorHAnsi" w:hAnsiTheme="majorHAnsi" w:cs="Calibri"/>
        </w:rPr>
        <w:t>outheastern</w:t>
      </w:r>
      <w:proofErr w:type="spellEnd"/>
      <w:r w:rsidR="00F21EA5" w:rsidRPr="00734AB6">
        <w:rPr>
          <w:rFonts w:asciiTheme="majorHAnsi" w:hAnsiTheme="majorHAnsi" w:cs="Calibri"/>
        </w:rPr>
        <w:t xml:space="preserve"> </w:t>
      </w:r>
      <w:r w:rsidR="00BC6247" w:rsidRPr="00734AB6">
        <w:rPr>
          <w:rFonts w:asciiTheme="majorHAnsi" w:hAnsiTheme="majorHAnsi" w:cs="Calibri"/>
        </w:rPr>
        <w:t>USA</w:t>
      </w:r>
      <w:r w:rsidR="00F21EA5" w:rsidRPr="00734AB6">
        <w:rPr>
          <w:rFonts w:asciiTheme="majorHAnsi" w:hAnsiTheme="majorHAnsi" w:cs="Calibri"/>
        </w:rPr>
        <w:t xml:space="preserve"> university. </w:t>
      </w:r>
      <w:r w:rsidR="005C7554" w:rsidRPr="00734AB6">
        <w:rPr>
          <w:rFonts w:asciiTheme="majorHAnsi" w:hAnsiTheme="majorHAnsi" w:cs="Calibri"/>
        </w:rPr>
        <w:t xml:space="preserve">Maier et al. (2016) recruited respondents for their survey </w:t>
      </w:r>
      <w:r w:rsidR="00870F21" w:rsidRPr="00734AB6">
        <w:rPr>
          <w:rFonts w:asciiTheme="majorHAnsi" w:hAnsiTheme="majorHAnsi" w:cs="Calibri"/>
        </w:rPr>
        <w:t xml:space="preserve">from </w:t>
      </w:r>
      <w:r w:rsidR="005851C6" w:rsidRPr="00734AB6">
        <w:rPr>
          <w:rFonts w:asciiTheme="majorHAnsi" w:hAnsiTheme="majorHAnsi" w:cs="Calibri"/>
        </w:rPr>
        <w:t xml:space="preserve">an internet panel of </w:t>
      </w:r>
      <w:r w:rsidR="00870F21" w:rsidRPr="00734AB6">
        <w:rPr>
          <w:rFonts w:asciiTheme="majorHAnsi" w:hAnsiTheme="majorHAnsi" w:cs="Calibri"/>
        </w:rPr>
        <w:t xml:space="preserve">the LINK Institute for Market and Social Research and their sample comprised of Swiss employees and students. </w:t>
      </w:r>
      <w:proofErr w:type="spellStart"/>
      <w:r w:rsidR="005851C6" w:rsidRPr="00734AB6">
        <w:rPr>
          <w:rFonts w:asciiTheme="majorHAnsi" w:hAnsiTheme="majorHAnsi" w:cs="Calibri"/>
        </w:rPr>
        <w:t>Schelle</w:t>
      </w:r>
      <w:proofErr w:type="spellEnd"/>
      <w:r w:rsidR="005851C6" w:rsidRPr="00734AB6">
        <w:rPr>
          <w:rFonts w:asciiTheme="majorHAnsi" w:hAnsiTheme="majorHAnsi" w:cs="Calibri"/>
        </w:rPr>
        <w:t xml:space="preserve"> et al. (2015) </w:t>
      </w:r>
      <w:r w:rsidR="008C7524" w:rsidRPr="00734AB6">
        <w:rPr>
          <w:rFonts w:asciiTheme="majorHAnsi" w:hAnsiTheme="majorHAnsi" w:cs="Calibri"/>
        </w:rPr>
        <w:t xml:space="preserve">recruited their respondents via a nationwide campaign targeting Dutch universities. Sattler and </w:t>
      </w:r>
      <w:proofErr w:type="spellStart"/>
      <w:r w:rsidR="008C7524" w:rsidRPr="00734AB6">
        <w:rPr>
          <w:rFonts w:asciiTheme="majorHAnsi" w:hAnsiTheme="majorHAnsi" w:cs="Calibri"/>
        </w:rPr>
        <w:t>Wiegel</w:t>
      </w:r>
      <w:proofErr w:type="spellEnd"/>
      <w:r w:rsidR="008C7524" w:rsidRPr="00734AB6">
        <w:rPr>
          <w:rFonts w:asciiTheme="majorHAnsi" w:hAnsiTheme="majorHAnsi" w:cs="Calibri"/>
        </w:rPr>
        <w:t xml:space="preserve"> (2013) targeted </w:t>
      </w:r>
      <w:r w:rsidR="00E70CE9" w:rsidRPr="00734AB6">
        <w:rPr>
          <w:rFonts w:asciiTheme="majorHAnsi" w:hAnsiTheme="majorHAnsi" w:cs="Calibri"/>
        </w:rPr>
        <w:t>four German universities and their respondents comprised of teachers and students, whereas Frank et al. (2011) targeted a range of public grammar schools</w:t>
      </w:r>
      <w:r w:rsidR="00EF1839" w:rsidRPr="00734AB6">
        <w:rPr>
          <w:rFonts w:asciiTheme="majorHAnsi" w:hAnsiTheme="majorHAnsi" w:cs="Calibri"/>
        </w:rPr>
        <w:t xml:space="preserve"> and</w:t>
      </w:r>
      <w:r w:rsidR="00E70CE9" w:rsidRPr="00734AB6">
        <w:rPr>
          <w:rFonts w:asciiTheme="majorHAnsi" w:hAnsiTheme="majorHAnsi" w:cs="Calibri"/>
        </w:rPr>
        <w:t xml:space="preserve"> public vocational schools</w:t>
      </w:r>
      <w:r w:rsidR="00EF1839" w:rsidRPr="00734AB6">
        <w:rPr>
          <w:rFonts w:asciiTheme="majorHAnsi" w:hAnsiTheme="majorHAnsi" w:cs="Calibri"/>
        </w:rPr>
        <w:t xml:space="preserve"> in small and large cities and one university, and their respondents were therefore a mix of pupils and students. </w:t>
      </w:r>
      <w:r w:rsidR="00B34A46" w:rsidRPr="00734AB6">
        <w:rPr>
          <w:rFonts w:asciiTheme="majorHAnsi" w:hAnsiTheme="majorHAnsi" w:cs="Calibri"/>
        </w:rPr>
        <w:t xml:space="preserve">These different approaches to surveying </w:t>
      </w:r>
      <w:r w:rsidR="006C16AF" w:rsidRPr="00734AB6">
        <w:rPr>
          <w:rFonts w:asciiTheme="majorHAnsi" w:hAnsiTheme="majorHAnsi" w:cs="Calibri"/>
        </w:rPr>
        <w:t>dissimilar</w:t>
      </w:r>
      <w:r w:rsidR="00B34A46" w:rsidRPr="00734AB6">
        <w:rPr>
          <w:rFonts w:asciiTheme="majorHAnsi" w:hAnsiTheme="majorHAnsi" w:cs="Calibri"/>
        </w:rPr>
        <w:t xml:space="preserve"> populations in </w:t>
      </w:r>
      <w:r w:rsidR="00811281" w:rsidRPr="00734AB6">
        <w:rPr>
          <w:rFonts w:asciiTheme="majorHAnsi" w:hAnsiTheme="majorHAnsi" w:cs="Calibri"/>
        </w:rPr>
        <w:t>multiple locations</w:t>
      </w:r>
      <w:r w:rsidR="006C16AF" w:rsidRPr="00734AB6">
        <w:rPr>
          <w:rFonts w:asciiTheme="majorHAnsi" w:hAnsiTheme="majorHAnsi" w:cs="Calibri"/>
        </w:rPr>
        <w:t>, whilst making it difficult to compare</w:t>
      </w:r>
      <w:r w:rsidR="00FB2452" w:rsidRPr="00734AB6">
        <w:rPr>
          <w:rFonts w:asciiTheme="majorHAnsi" w:hAnsiTheme="majorHAnsi" w:cs="Calibri"/>
        </w:rPr>
        <w:t xml:space="preserve"> data,</w:t>
      </w:r>
      <w:r w:rsidR="00811281" w:rsidRPr="00734AB6">
        <w:rPr>
          <w:rFonts w:asciiTheme="majorHAnsi" w:hAnsiTheme="majorHAnsi" w:cs="Calibri"/>
        </w:rPr>
        <w:t xml:space="preserve"> provides </w:t>
      </w:r>
      <w:r w:rsidR="006C16AF" w:rsidRPr="00734AB6">
        <w:rPr>
          <w:rFonts w:asciiTheme="majorHAnsi" w:hAnsiTheme="majorHAnsi" w:cs="Calibri"/>
        </w:rPr>
        <w:t>some</w:t>
      </w:r>
      <w:r w:rsidR="00811281" w:rsidRPr="00734AB6">
        <w:rPr>
          <w:rFonts w:asciiTheme="majorHAnsi" w:hAnsiTheme="majorHAnsi" w:cs="Calibri"/>
        </w:rPr>
        <w:t xml:space="preserve"> insight into </w:t>
      </w:r>
      <w:r w:rsidR="006C16AF" w:rsidRPr="00734AB6">
        <w:rPr>
          <w:rFonts w:asciiTheme="majorHAnsi" w:hAnsiTheme="majorHAnsi" w:cs="Calibri"/>
        </w:rPr>
        <w:t xml:space="preserve">the </w:t>
      </w:r>
      <w:r w:rsidR="00FB2452" w:rsidRPr="00734AB6">
        <w:rPr>
          <w:rFonts w:asciiTheme="majorHAnsi" w:hAnsiTheme="majorHAnsi" w:cs="Calibri"/>
        </w:rPr>
        <w:t xml:space="preserve">varying </w:t>
      </w:r>
      <w:r w:rsidR="006C16AF" w:rsidRPr="00734AB6">
        <w:rPr>
          <w:rFonts w:asciiTheme="majorHAnsi" w:hAnsiTheme="majorHAnsi" w:cs="Calibri"/>
        </w:rPr>
        <w:t>popularity of CED use</w:t>
      </w:r>
      <w:r w:rsidR="00811281" w:rsidRPr="00734AB6">
        <w:rPr>
          <w:rFonts w:asciiTheme="majorHAnsi" w:hAnsiTheme="majorHAnsi" w:cs="Calibri"/>
        </w:rPr>
        <w:t xml:space="preserve"> </w:t>
      </w:r>
      <w:r w:rsidR="006C16AF" w:rsidRPr="00734AB6">
        <w:rPr>
          <w:rFonts w:asciiTheme="majorHAnsi" w:hAnsiTheme="majorHAnsi" w:cs="Calibri"/>
        </w:rPr>
        <w:t>more broadly.</w:t>
      </w:r>
      <w:r w:rsidR="00811281" w:rsidRPr="00734AB6">
        <w:rPr>
          <w:rFonts w:asciiTheme="majorHAnsi" w:hAnsiTheme="majorHAnsi" w:cs="Calibri"/>
        </w:rPr>
        <w:t xml:space="preserve"> </w:t>
      </w:r>
      <w:r w:rsidRPr="00734AB6">
        <w:rPr>
          <w:rFonts w:asciiTheme="majorHAnsi" w:hAnsiTheme="majorHAnsi" w:cs="Calibri"/>
        </w:rPr>
        <w:t>The following section narrows this focus to surveys specifically directed at the off-prescription use of methylphenidate and modafinil.</w:t>
      </w:r>
    </w:p>
    <w:p w14:paraId="40807BF9" w14:textId="77777777"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p>
    <w:p w14:paraId="1C20E55D" w14:textId="77777777" w:rsidR="009C7702" w:rsidRPr="00734AB6" w:rsidRDefault="009C7702" w:rsidP="0056046D">
      <w:pPr>
        <w:pStyle w:val="Heading3"/>
        <w:spacing w:after="240" w:line="360" w:lineRule="auto"/>
        <w:rPr>
          <w:b/>
          <w:color w:val="auto"/>
          <w:sz w:val="22"/>
          <w:szCs w:val="22"/>
        </w:rPr>
      </w:pPr>
      <w:bookmarkStart w:id="23" w:name="_Toc48136332"/>
      <w:r w:rsidRPr="00734AB6">
        <w:rPr>
          <w:b/>
          <w:color w:val="auto"/>
          <w:sz w:val="22"/>
          <w:szCs w:val="22"/>
        </w:rPr>
        <w:lastRenderedPageBreak/>
        <w:t>2.1.2</w:t>
      </w:r>
      <w:r w:rsidRPr="00734AB6">
        <w:rPr>
          <w:b/>
          <w:color w:val="auto"/>
          <w:sz w:val="22"/>
          <w:szCs w:val="22"/>
        </w:rPr>
        <w:tab/>
        <w:t>Surveys investigating off-prescription use of methylphenidate and modafinil</w:t>
      </w:r>
      <w:bookmarkEnd w:id="23"/>
    </w:p>
    <w:p w14:paraId="350BD576" w14:textId="6A4940EF"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A French survey with 1718 participants found that only 1.5% had used methylphenidate off-prescription (Fond et al., 2016). Higher levels were again seen in another </w:t>
      </w:r>
      <w:r w:rsidR="00BC6247" w:rsidRPr="00734AB6">
        <w:rPr>
          <w:rFonts w:asciiTheme="majorHAnsi" w:hAnsiTheme="majorHAnsi" w:cs="Calibri"/>
        </w:rPr>
        <w:t>USA</w:t>
      </w:r>
      <w:r w:rsidRPr="00734AB6">
        <w:rPr>
          <w:rFonts w:asciiTheme="majorHAnsi" w:hAnsiTheme="majorHAnsi" w:cs="Calibri"/>
        </w:rPr>
        <w:t xml:space="preserve"> study of student use among the health-related sciences (medicine, pharmacy and respiratory therapy). </w:t>
      </w:r>
      <w:proofErr w:type="spellStart"/>
      <w:r w:rsidRPr="00734AB6">
        <w:rPr>
          <w:rFonts w:asciiTheme="majorHAnsi" w:hAnsiTheme="majorHAnsi"/>
        </w:rPr>
        <w:t>Bossaer</w:t>
      </w:r>
      <w:proofErr w:type="spellEnd"/>
      <w:r w:rsidRPr="00734AB6">
        <w:rPr>
          <w:rFonts w:asciiTheme="majorHAnsi" w:hAnsiTheme="majorHAnsi"/>
        </w:rPr>
        <w:t xml:space="preserve"> et al. (2013)</w:t>
      </w:r>
      <w:r w:rsidRPr="00734AB6">
        <w:rPr>
          <w:rFonts w:asciiTheme="majorHAnsi" w:hAnsiTheme="majorHAnsi" w:cs="Calibri"/>
        </w:rPr>
        <w:t xml:space="preserve"> found that, of the 372 participants, 11.3% reported having used prescription stimulants such as methylphenidate and modafinil. </w:t>
      </w:r>
      <w:r w:rsidRPr="00734AB6">
        <w:rPr>
          <w:rFonts w:asciiTheme="majorHAnsi" w:hAnsiTheme="majorHAnsi"/>
        </w:rPr>
        <w:t xml:space="preserve">Their reasons for misuse included enhancing alertness/energy (65.9%) and to improve academic performance (56.7%). </w:t>
      </w:r>
    </w:p>
    <w:p w14:paraId="2208DDF2" w14:textId="1A5FAE04"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A Canadian cross-sectional survey of adolescents from four provinces examined the relationship between ADHD and both licit and illicit use of prescription stimulants, </w:t>
      </w:r>
      <w:r w:rsidR="00455388" w:rsidRPr="00734AB6">
        <w:rPr>
          <w:rFonts w:asciiTheme="majorHAnsi" w:hAnsiTheme="majorHAnsi" w:cs="Calibri"/>
        </w:rPr>
        <w:t xml:space="preserve">namely </w:t>
      </w:r>
      <w:r w:rsidRPr="00734AB6">
        <w:rPr>
          <w:rFonts w:asciiTheme="majorHAnsi" w:hAnsiTheme="majorHAnsi" w:cs="Calibri"/>
        </w:rPr>
        <w:t>methylphenidate and amphetamine (Poulin, 2007). The survey included the six-item Ontario Child Health Study Hyperactivity Scale as a screening tool for ADHD. Data from 12,990 students were analysed revealing that although the prescribed use of these medications was considered low (2.8%), a total of 2.4% of the sample who did not show symptoms consistent with a diagnosis of ADHD reported prescribed use of either medication, suggesting that there may be an element of feigning symptoms of ADHD in order to obtain the medication. This</w:t>
      </w:r>
      <w:r w:rsidR="002F2D01" w:rsidRPr="00734AB6">
        <w:rPr>
          <w:rFonts w:asciiTheme="majorHAnsi" w:hAnsiTheme="majorHAnsi" w:cs="Calibri"/>
        </w:rPr>
        <w:t xml:space="preserve"> </w:t>
      </w:r>
      <w:r w:rsidR="001E4171" w:rsidRPr="00734AB6">
        <w:rPr>
          <w:rFonts w:asciiTheme="majorHAnsi" w:hAnsiTheme="majorHAnsi" w:cs="Calibri"/>
        </w:rPr>
        <w:t>suggestion of feigning symptoms of ADHD</w:t>
      </w:r>
      <w:r w:rsidRPr="00734AB6">
        <w:rPr>
          <w:rFonts w:asciiTheme="majorHAnsi" w:hAnsiTheme="majorHAnsi" w:cs="Calibri"/>
        </w:rPr>
        <w:t xml:space="preserve"> was further supported by the fact that 26% of those who had a prescription had either given or sold some of their pills to other students. A further revelation was that only 9.2% of those who had tested positive on the ADHD screening test reported having been prescribed ADHD medication, and that 20.5% of non-medical users tested positive for ADHD. Based on these findings, Poulin argued that, not only </w:t>
      </w:r>
      <w:r w:rsidR="002F2D01" w:rsidRPr="00734AB6">
        <w:rPr>
          <w:rFonts w:asciiTheme="majorHAnsi" w:hAnsiTheme="majorHAnsi" w:cs="Calibri"/>
        </w:rPr>
        <w:t>wa</w:t>
      </w:r>
      <w:r w:rsidRPr="00734AB6">
        <w:rPr>
          <w:rFonts w:asciiTheme="majorHAnsi" w:hAnsiTheme="majorHAnsi" w:cs="Calibri"/>
        </w:rPr>
        <w:t xml:space="preserve">s there a high level of under-diagnosis of ADHD in this sample, but that there </w:t>
      </w:r>
      <w:r w:rsidR="002F2D01" w:rsidRPr="00734AB6">
        <w:rPr>
          <w:rFonts w:asciiTheme="majorHAnsi" w:hAnsiTheme="majorHAnsi" w:cs="Calibri"/>
        </w:rPr>
        <w:t>wa</w:t>
      </w:r>
      <w:r w:rsidRPr="00734AB6">
        <w:rPr>
          <w:rFonts w:asciiTheme="majorHAnsi" w:hAnsiTheme="majorHAnsi" w:cs="Calibri"/>
        </w:rPr>
        <w:t xml:space="preserve">s also a notable element of self-medication apparent. However, </w:t>
      </w:r>
      <w:r w:rsidR="001E4171" w:rsidRPr="00734AB6">
        <w:rPr>
          <w:rFonts w:asciiTheme="majorHAnsi" w:hAnsiTheme="majorHAnsi" w:cs="Calibri"/>
        </w:rPr>
        <w:t xml:space="preserve">these findings </w:t>
      </w:r>
      <w:r w:rsidRPr="00734AB6">
        <w:rPr>
          <w:rFonts w:asciiTheme="majorHAnsi" w:hAnsiTheme="majorHAnsi" w:cs="Calibri"/>
        </w:rPr>
        <w:t>may only reflect a pattern of use, misuse and issues with diagnosis in Canada. Differences in such factors as drug awareness and standards in relation to ADHD diagnosis and prescribing of such medications between countries means that the ability to extrapolate these findings internationally is questionable. That said, the possibility of self-medication should be considered as a possible reason for off-prescription use of CEDs such as modafinil and methylphenidate.</w:t>
      </w:r>
    </w:p>
    <w:p w14:paraId="49374ABB" w14:textId="4B5A03E7"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In comparison, a survey advertised in the German publication, The </w:t>
      </w:r>
      <w:proofErr w:type="spellStart"/>
      <w:r w:rsidRPr="00734AB6">
        <w:rPr>
          <w:rFonts w:asciiTheme="majorHAnsi" w:hAnsiTheme="majorHAnsi" w:cs="Calibri"/>
        </w:rPr>
        <w:t>Handelsblatt</w:t>
      </w:r>
      <w:proofErr w:type="spellEnd"/>
      <w:r w:rsidRPr="00734AB6">
        <w:rPr>
          <w:rFonts w:asciiTheme="majorHAnsi" w:hAnsiTheme="majorHAnsi" w:cs="Calibri"/>
        </w:rPr>
        <w:t xml:space="preserve">, investigating CED use reported higher findings (Dietz, </w:t>
      </w:r>
      <w:proofErr w:type="spellStart"/>
      <w:r w:rsidRPr="00734AB6">
        <w:rPr>
          <w:rFonts w:asciiTheme="majorHAnsi" w:hAnsiTheme="majorHAnsi" w:cs="Calibri"/>
        </w:rPr>
        <w:t>Soyka</w:t>
      </w:r>
      <w:proofErr w:type="spellEnd"/>
      <w:r w:rsidRPr="00734AB6">
        <w:rPr>
          <w:rFonts w:asciiTheme="majorHAnsi" w:hAnsiTheme="majorHAnsi" w:cs="Calibri"/>
        </w:rPr>
        <w:t xml:space="preserve"> &amp; Franke, 20</w:t>
      </w:r>
      <w:r w:rsidR="00313FAC" w:rsidRPr="00734AB6">
        <w:rPr>
          <w:rFonts w:asciiTheme="majorHAnsi" w:hAnsiTheme="majorHAnsi" w:cs="Calibri"/>
        </w:rPr>
        <w:t>16). According to Dietz et al.</w:t>
      </w:r>
      <w:r w:rsidR="005F1410" w:rsidRPr="00734AB6">
        <w:rPr>
          <w:rFonts w:asciiTheme="majorHAnsi" w:hAnsiTheme="majorHAnsi" w:cs="Calibri"/>
        </w:rPr>
        <w:t xml:space="preserve"> (2016)</w:t>
      </w:r>
      <w:r w:rsidRPr="00734AB6">
        <w:rPr>
          <w:rFonts w:asciiTheme="majorHAnsi" w:hAnsiTheme="majorHAnsi" w:cs="Calibri"/>
        </w:rPr>
        <w:t xml:space="preserve">, the </w:t>
      </w:r>
      <w:proofErr w:type="spellStart"/>
      <w:r w:rsidRPr="00734AB6">
        <w:rPr>
          <w:rFonts w:asciiTheme="majorHAnsi" w:hAnsiTheme="majorHAnsi" w:cs="Calibri"/>
        </w:rPr>
        <w:t>Handelsblatt</w:t>
      </w:r>
      <w:proofErr w:type="spellEnd"/>
      <w:r w:rsidRPr="00734AB6">
        <w:rPr>
          <w:rFonts w:asciiTheme="majorHAnsi" w:hAnsiTheme="majorHAnsi" w:cs="Calibri"/>
        </w:rPr>
        <w:t xml:space="preserve"> is the leading economics publication in German-speaking countries, read by economics professionals and students. The survey collected data from 1,021 participants with ages ranging from 17 to 71 and reported findings of lifetime illicit methylphenidate use as 5.1%. </w:t>
      </w:r>
    </w:p>
    <w:p w14:paraId="693ABC27" w14:textId="7DBF02D2"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However, a survey of CED use by university students in the UK and Ireland revealed higher rates; lifetime use of modafinil, methylphenidate or Adderall was reported as 9.4% (Singh, Bard &amp; Jackson, 2014). Of the six CEDs included in the survey, modafinil was the most commonly </w:t>
      </w:r>
      <w:r w:rsidRPr="00734AB6">
        <w:rPr>
          <w:rFonts w:asciiTheme="majorHAnsi" w:hAnsiTheme="majorHAnsi" w:cs="Calibri"/>
        </w:rPr>
        <w:lastRenderedPageBreak/>
        <w:t>used CED with lifetime use reported at 8%. This survey recruited participants from 104 universities in the UK and Ireland, 79% of which reported enrolment at a Russell Group university. Students from 23 of the 24 Russell Group universities participated in the sur</w:t>
      </w:r>
      <w:r w:rsidR="00251D60" w:rsidRPr="00734AB6">
        <w:rPr>
          <w:rFonts w:asciiTheme="majorHAnsi" w:hAnsiTheme="majorHAnsi" w:cs="Calibri"/>
        </w:rPr>
        <w:t xml:space="preserve">vey, with Bristol University (N = </w:t>
      </w:r>
      <w:r w:rsidRPr="00734AB6">
        <w:rPr>
          <w:rFonts w:asciiTheme="majorHAnsi" w:hAnsiTheme="majorHAnsi" w:cs="Calibri"/>
        </w:rPr>
        <w:t>161) most frequently represented, follo</w:t>
      </w:r>
      <w:r w:rsidR="00251D60" w:rsidRPr="00734AB6">
        <w:rPr>
          <w:rFonts w:asciiTheme="majorHAnsi" w:hAnsiTheme="majorHAnsi" w:cs="Calibri"/>
        </w:rPr>
        <w:t xml:space="preserve">wed by Manchester University (N = 96) and Cardiff University (N = </w:t>
      </w:r>
      <w:r w:rsidRPr="00734AB6">
        <w:rPr>
          <w:rFonts w:asciiTheme="majorHAnsi" w:hAnsiTheme="majorHAnsi" w:cs="Calibri"/>
        </w:rPr>
        <w:t xml:space="preserve">88). Of the 877 students participating (mean age of 22.7 years), 51.6% had considered taking methylphenidate but had not tried it due to a lack of availability which suggests that the numbers would be much higher should availability be as common as it is in </w:t>
      </w:r>
      <w:r w:rsidR="00BC6247" w:rsidRPr="00734AB6">
        <w:rPr>
          <w:rFonts w:asciiTheme="majorHAnsi" w:hAnsiTheme="majorHAnsi" w:cs="Calibri"/>
        </w:rPr>
        <w:t>USA</w:t>
      </w:r>
      <w:r w:rsidRPr="00734AB6">
        <w:rPr>
          <w:rFonts w:asciiTheme="majorHAnsi" w:hAnsiTheme="majorHAnsi" w:cs="Calibri"/>
        </w:rPr>
        <w:t xml:space="preserve"> universities. </w:t>
      </w:r>
    </w:p>
    <w:p w14:paraId="0D51044E" w14:textId="2D400073"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The high participation of Russell Group universities, although not necessarily indicative of general patterns of CED use, may or may not have contributed to the higher reported rates of CED use, and this could suggest some engagement in CED use by students of elite universities. Survey results from the student website the Tab (Young-Powell &amp; Page, 2014) reported that out of almost 2,000 participants </w:t>
      </w:r>
      <w:r w:rsidR="00DF747D" w:rsidRPr="00734AB6">
        <w:rPr>
          <w:rFonts w:asciiTheme="majorHAnsi" w:hAnsiTheme="majorHAnsi" w:cs="Calibri"/>
        </w:rPr>
        <w:t xml:space="preserve">recruited from </w:t>
      </w:r>
      <w:r w:rsidRPr="00734AB6">
        <w:rPr>
          <w:rFonts w:asciiTheme="majorHAnsi" w:hAnsiTheme="majorHAnsi" w:cs="Calibri"/>
        </w:rPr>
        <w:t xml:space="preserve">41 different universities in the UK, 26% of Oxford students reported using CEDs (modafinil) which was more than any other university. Another student website, Varsity, reported the results of their survey, completed by 1,000 students, in which 10% of Cambridge students had taken CEDs (Varsity, 2009). Such high rates of use in these prestigious universities may reflect the pressure to succeed in highly competitive environments. </w:t>
      </w:r>
    </w:p>
    <w:p w14:paraId="781ED988" w14:textId="3938C8E4"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It would seem,</w:t>
      </w:r>
      <w:r w:rsidR="008D1AB4" w:rsidRPr="00734AB6">
        <w:rPr>
          <w:rFonts w:asciiTheme="majorHAnsi" w:hAnsiTheme="majorHAnsi" w:cs="Calibri"/>
        </w:rPr>
        <w:t xml:space="preserve"> therefore,</w:t>
      </w:r>
      <w:r w:rsidRPr="00734AB6">
        <w:rPr>
          <w:rFonts w:asciiTheme="majorHAnsi" w:hAnsiTheme="majorHAnsi"/>
        </w:rPr>
        <w:t xml:space="preserve"> from the comparative reported </w:t>
      </w:r>
      <w:r w:rsidR="00D1204A" w:rsidRPr="00734AB6">
        <w:rPr>
          <w:rFonts w:asciiTheme="majorHAnsi" w:hAnsiTheme="majorHAnsi"/>
        </w:rPr>
        <w:t>popularity</w:t>
      </w:r>
      <w:r w:rsidRPr="00734AB6">
        <w:rPr>
          <w:rFonts w:asciiTheme="majorHAnsi" w:hAnsiTheme="majorHAnsi"/>
        </w:rPr>
        <w:t xml:space="preserve"> of use between US and European respondents</w:t>
      </w:r>
      <w:r w:rsidRPr="00734AB6">
        <w:rPr>
          <w:rFonts w:asciiTheme="majorHAnsi" w:hAnsiTheme="majorHAnsi" w:cs="Calibri"/>
        </w:rPr>
        <w:t xml:space="preserve">, that prevalence of CED use is highest in the United States, probably due to easy access via diversion of prescription stimulants. Although </w:t>
      </w:r>
      <w:r w:rsidR="008D1AB4" w:rsidRPr="00734AB6">
        <w:rPr>
          <w:rFonts w:asciiTheme="majorHAnsi" w:hAnsiTheme="majorHAnsi" w:cs="Calibri"/>
        </w:rPr>
        <w:t xml:space="preserve">the </w:t>
      </w:r>
      <w:r w:rsidRPr="00734AB6">
        <w:rPr>
          <w:rFonts w:asciiTheme="majorHAnsi" w:hAnsiTheme="majorHAnsi" w:cs="Calibri"/>
        </w:rPr>
        <w:t xml:space="preserve">prevalence of CED use in Europe appears to be lower, most of the studies reviewed here involved university students and therefore may not be indicative of the wider CED using population. Indeed, this difference was seen between two of the German studies mentioned earlier, </w:t>
      </w:r>
      <w:r w:rsidR="008D1AB4" w:rsidRPr="00734AB6">
        <w:rPr>
          <w:rFonts w:asciiTheme="majorHAnsi" w:hAnsiTheme="majorHAnsi" w:cs="Calibri"/>
        </w:rPr>
        <w:t xml:space="preserve">with </w:t>
      </w:r>
      <w:r w:rsidRPr="00734AB6">
        <w:rPr>
          <w:rFonts w:asciiTheme="majorHAnsi" w:hAnsiTheme="majorHAnsi" w:cs="Calibri"/>
        </w:rPr>
        <w:t>the survey of university students (Franke et al., 2011) report</w:t>
      </w:r>
      <w:r w:rsidR="008D1AB4" w:rsidRPr="00734AB6">
        <w:rPr>
          <w:rFonts w:asciiTheme="majorHAnsi" w:hAnsiTheme="majorHAnsi" w:cs="Calibri"/>
        </w:rPr>
        <w:t>ing a</w:t>
      </w:r>
      <w:r w:rsidRPr="00734AB6">
        <w:rPr>
          <w:rFonts w:asciiTheme="majorHAnsi" w:hAnsiTheme="majorHAnsi" w:cs="Calibri"/>
        </w:rPr>
        <w:t xml:space="preserve"> prevalence</w:t>
      </w:r>
      <w:r w:rsidR="008D1AB4" w:rsidRPr="00734AB6">
        <w:rPr>
          <w:rFonts w:asciiTheme="majorHAnsi" w:hAnsiTheme="majorHAnsi" w:cs="Calibri"/>
        </w:rPr>
        <w:t xml:space="preserve"> rate</w:t>
      </w:r>
      <w:r w:rsidRPr="00734AB6">
        <w:rPr>
          <w:rFonts w:asciiTheme="majorHAnsi" w:hAnsiTheme="majorHAnsi" w:cs="Calibri"/>
        </w:rPr>
        <w:t xml:space="preserve"> of just 1.29%, whereas the sample of professionals and students (Dietz et al., 2016) reported </w:t>
      </w:r>
      <w:r w:rsidR="00596436" w:rsidRPr="00734AB6">
        <w:rPr>
          <w:rFonts w:asciiTheme="majorHAnsi" w:hAnsiTheme="majorHAnsi" w:cs="Calibri"/>
        </w:rPr>
        <w:t xml:space="preserve">a </w:t>
      </w:r>
      <w:r w:rsidRPr="00734AB6">
        <w:rPr>
          <w:rFonts w:asciiTheme="majorHAnsi" w:hAnsiTheme="majorHAnsi" w:cs="Calibri"/>
        </w:rPr>
        <w:t>prevalence</w:t>
      </w:r>
      <w:r w:rsidR="00596436" w:rsidRPr="00734AB6">
        <w:rPr>
          <w:rFonts w:asciiTheme="majorHAnsi" w:hAnsiTheme="majorHAnsi" w:cs="Calibri"/>
        </w:rPr>
        <w:t xml:space="preserve"> rate</w:t>
      </w:r>
      <w:r w:rsidRPr="00734AB6">
        <w:rPr>
          <w:rFonts w:asciiTheme="majorHAnsi" w:hAnsiTheme="majorHAnsi" w:cs="Calibri"/>
        </w:rPr>
        <w:t xml:space="preserve"> of 5.1%. However, the survey of CED use by Singh et al. (2014) revealed that university students in the UK and Ireland reported an even higher rate of 9.4%, a higher prevalence</w:t>
      </w:r>
      <w:r w:rsidR="00596436" w:rsidRPr="00734AB6">
        <w:rPr>
          <w:rFonts w:asciiTheme="majorHAnsi" w:hAnsiTheme="majorHAnsi" w:cs="Calibri"/>
        </w:rPr>
        <w:t xml:space="preserve"> rate</w:t>
      </w:r>
      <w:r w:rsidRPr="00734AB6">
        <w:rPr>
          <w:rFonts w:asciiTheme="majorHAnsi" w:hAnsiTheme="majorHAnsi" w:cs="Calibri"/>
        </w:rPr>
        <w:t xml:space="preserve"> compared to the rest of Europe. This may also reflect the pressured and competitive environments of the more prestigious universities involved in the survey, which is also suggestive of the findings of the Tab and Varsity surveys reviewed previously in this section (Varsity, 2009; Young-Powell &amp; Page, 2014). </w:t>
      </w:r>
    </w:p>
    <w:p w14:paraId="528C3542" w14:textId="5252259D"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An online survey of 3,400 students at a </w:t>
      </w:r>
      <w:r w:rsidR="00BC6247" w:rsidRPr="00734AB6">
        <w:rPr>
          <w:rFonts w:asciiTheme="majorHAnsi" w:hAnsiTheme="majorHAnsi" w:cs="Calibri"/>
        </w:rPr>
        <w:t>USA</w:t>
      </w:r>
      <w:r w:rsidRPr="00734AB6">
        <w:rPr>
          <w:rFonts w:asciiTheme="majorHAnsi" w:hAnsiTheme="majorHAnsi" w:cs="Calibri"/>
        </w:rPr>
        <w:t xml:space="preserve"> university investigated the perceived benefits of the off-prescription use of ADHD medications (</w:t>
      </w:r>
      <w:proofErr w:type="spellStart"/>
      <w:r w:rsidRPr="00734AB6">
        <w:rPr>
          <w:rFonts w:asciiTheme="majorHAnsi" w:hAnsiTheme="majorHAnsi" w:cs="Calibri"/>
        </w:rPr>
        <w:t>Rab</w:t>
      </w:r>
      <w:r w:rsidR="007812AC" w:rsidRPr="00734AB6">
        <w:rPr>
          <w:rFonts w:asciiTheme="majorHAnsi" w:hAnsiTheme="majorHAnsi" w:cs="Calibri"/>
        </w:rPr>
        <w:t>i</w:t>
      </w:r>
      <w:r w:rsidRPr="00734AB6">
        <w:rPr>
          <w:rFonts w:asciiTheme="majorHAnsi" w:hAnsiTheme="majorHAnsi" w:cs="Calibri"/>
        </w:rPr>
        <w:t>ner</w:t>
      </w:r>
      <w:proofErr w:type="spellEnd"/>
      <w:r w:rsidRPr="00734AB6">
        <w:rPr>
          <w:rFonts w:asciiTheme="majorHAnsi" w:hAnsiTheme="majorHAnsi" w:cs="Calibri"/>
        </w:rPr>
        <w:t xml:space="preserve"> et al., 2009). Of the 291 (9%) students who reported using ADHD medications non-medically, 89% reported that it helped them concentrate better while studying and helped them to study longer, 87% found that it helped them to concentrate better in class, 81% found that it helped them to feel less restless while studying, 75% found it helped them to keep better track of assignments and 74% found that it </w:t>
      </w:r>
      <w:r w:rsidRPr="00734AB6">
        <w:rPr>
          <w:rFonts w:asciiTheme="majorHAnsi" w:hAnsiTheme="majorHAnsi" w:cs="Calibri"/>
        </w:rPr>
        <w:lastRenderedPageBreak/>
        <w:t xml:space="preserve">helped them to feel less restless in class. </w:t>
      </w:r>
    </w:p>
    <w:p w14:paraId="67E412BF" w14:textId="576C9A32"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In comparison, the survey previously mentioned by Singh et al. (2014) found that 77.1% of modafinil users found that the drug enhanced cognition, 61.4% found that it offset sleep deprivation, and 17.1% found that it enhanced mood. Whereas 67.3% of methylphenidate users found that methylphenidate enhanced cognition, 26.9% found that it offset sleep deprivation and 19.2% found that it enhanced mood. In the previously mentioned Varsity survey (2009), five students who had recently tried modafinil reported increased alertness, four had found their ability to concentrate on work improved, and two of the students felt more motivated. Thus, it would seem that the off-prescription use of modafinil and methylphenidate may be motivated by a desire for cognitive enhancement rather than for recreational use.</w:t>
      </w:r>
    </w:p>
    <w:p w14:paraId="33B00733" w14:textId="77777777"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r w:rsidRPr="00734AB6">
        <w:rPr>
          <w:rFonts w:asciiTheme="majorHAnsi" w:hAnsiTheme="majorHAnsi" w:cs="Calibri"/>
        </w:rPr>
        <w:t xml:space="preserve">A further, and individual, report of perceived benefits of modafinil comes from Dr Anders Sandberg, a research fellow at Oxford University’s Future of Humanity Institute who has been using modafinil non-medically since 2007 (Schmitt, 2014). Dr Sandberg explained that he can achieve more, and he feels more able to tackle difficult problems. He argued that modafinil does not improve his ability to tackle ordinary problems, although it does provide a boost of energy. </w:t>
      </w:r>
    </w:p>
    <w:p w14:paraId="0310F2E4" w14:textId="77777777" w:rsidR="009C7702" w:rsidRPr="00734AB6" w:rsidRDefault="009C7702" w:rsidP="0099584D">
      <w:pPr>
        <w:widowControl w:val="0"/>
        <w:autoSpaceDE w:val="0"/>
        <w:autoSpaceDN w:val="0"/>
        <w:adjustRightInd w:val="0"/>
        <w:spacing w:after="0" w:line="360" w:lineRule="auto"/>
        <w:ind w:firstLine="851"/>
        <w:rPr>
          <w:rFonts w:asciiTheme="majorHAnsi" w:hAnsiTheme="majorHAnsi" w:cs="Calibri"/>
        </w:rPr>
      </w:pPr>
    </w:p>
    <w:p w14:paraId="3C42D39E" w14:textId="77777777" w:rsidR="009C7702" w:rsidRPr="00734AB6" w:rsidRDefault="009C7702" w:rsidP="0056046D">
      <w:pPr>
        <w:pStyle w:val="Heading3"/>
        <w:spacing w:after="240" w:line="360" w:lineRule="auto"/>
        <w:rPr>
          <w:b/>
          <w:color w:val="auto"/>
          <w:sz w:val="22"/>
          <w:szCs w:val="22"/>
        </w:rPr>
      </w:pPr>
      <w:bookmarkStart w:id="24" w:name="_Toc48136333"/>
      <w:r w:rsidRPr="00734AB6">
        <w:rPr>
          <w:b/>
          <w:color w:val="auto"/>
          <w:sz w:val="22"/>
          <w:szCs w:val="22"/>
        </w:rPr>
        <w:t>2.1.3</w:t>
      </w:r>
      <w:r w:rsidRPr="00734AB6">
        <w:rPr>
          <w:b/>
          <w:color w:val="auto"/>
          <w:sz w:val="22"/>
          <w:szCs w:val="22"/>
        </w:rPr>
        <w:tab/>
        <w:t>Ethical concerns and risks and harms associated with off-prescription use</w:t>
      </w:r>
      <w:bookmarkEnd w:id="24"/>
    </w:p>
    <w:p w14:paraId="6ABD367B" w14:textId="77777777"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This trend in the growth of CEDs raises a number of ethical issues. As highlighted by Sahakian and </w:t>
      </w:r>
      <w:proofErr w:type="spellStart"/>
      <w:r w:rsidRPr="00734AB6">
        <w:rPr>
          <w:rFonts w:asciiTheme="majorHAnsi" w:eastAsia="Calibri" w:hAnsiTheme="majorHAnsi" w:cs="Calibri"/>
        </w:rPr>
        <w:t>Morein</w:t>
      </w:r>
      <w:proofErr w:type="spellEnd"/>
      <w:r w:rsidRPr="00734AB6">
        <w:rPr>
          <w:rFonts w:asciiTheme="majorHAnsi" w:eastAsia="Calibri" w:hAnsiTheme="majorHAnsi" w:cs="Calibri"/>
        </w:rPr>
        <w:t xml:space="preserve">-Zamir (2011), people may feel coerced into taking CEDs in order to keep up with their peers in situations such as competitive work environments, where top performers are rewarded, or night shift work where alert performance is required. This can, in turn, promote an even more demanding 24/7 society with greater demands on workers’ performance and time. Fairness is also a concern. Fitz, Nadler, </w:t>
      </w:r>
      <w:proofErr w:type="spellStart"/>
      <w:r w:rsidRPr="00734AB6">
        <w:rPr>
          <w:rFonts w:asciiTheme="majorHAnsi" w:eastAsia="Calibri" w:hAnsiTheme="majorHAnsi" w:cs="Calibri"/>
        </w:rPr>
        <w:t>Manogara</w:t>
      </w:r>
      <w:proofErr w:type="spellEnd"/>
      <w:r w:rsidRPr="00734AB6">
        <w:rPr>
          <w:rFonts w:asciiTheme="majorHAnsi" w:eastAsia="Calibri" w:hAnsiTheme="majorHAnsi" w:cs="Calibri"/>
        </w:rPr>
        <w:t xml:space="preserve">, Chong and Reiner (2014) presented a vignette to 4,011 participants relating to fairness and found that participants judged cognitive enhancement as unfair if the individual did not work hard either in acquiring the money to afford the CED or in attaining the achievement facilitated by the CED. Greely et al. (2008) made the point that, if costly to obtain, cognitive enhancement may become a privilege enjoyed solely by the rich and this could lead to a further social divide, leaving the less fortunate even more disadvantaged. There is also a wider debate around safety in relation to the risks versus the benefits to healthy individuals taking these drugs, which </w:t>
      </w:r>
      <w:proofErr w:type="spellStart"/>
      <w:r w:rsidRPr="00734AB6">
        <w:rPr>
          <w:rFonts w:asciiTheme="majorHAnsi" w:eastAsia="Calibri" w:hAnsiTheme="majorHAnsi" w:cs="Calibri"/>
        </w:rPr>
        <w:t>Brűhl</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d’Angelo</w:t>
      </w:r>
      <w:proofErr w:type="spellEnd"/>
      <w:r w:rsidRPr="00734AB6">
        <w:rPr>
          <w:rFonts w:asciiTheme="majorHAnsi" w:eastAsia="Calibri" w:hAnsiTheme="majorHAnsi" w:cs="Calibri"/>
        </w:rPr>
        <w:t xml:space="preserve"> and Sahakian (2019) suggest has implications for regulatory and policy making decisions.</w:t>
      </w:r>
    </w:p>
    <w:p w14:paraId="77DFF49B" w14:textId="4343EFB7" w:rsidR="009C7702" w:rsidRPr="00734AB6" w:rsidRDefault="009C7702" w:rsidP="00251D60">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In addition to this, popularity in the off-prescription use of these CEDs has risen in recent years due, in part, to their easy access via online sources, as mentioned earlier, (Ragan, Bard &amp; Singh, 201</w:t>
      </w:r>
      <w:r w:rsidR="00C45B0A" w:rsidRPr="00734AB6">
        <w:rPr>
          <w:rFonts w:asciiTheme="majorHAnsi" w:eastAsia="Calibri" w:hAnsiTheme="majorHAnsi" w:cs="Calibri"/>
        </w:rPr>
        <w:t xml:space="preserve">3; Sahakian &amp; </w:t>
      </w:r>
      <w:proofErr w:type="spellStart"/>
      <w:r w:rsidR="00C45B0A" w:rsidRPr="00734AB6">
        <w:rPr>
          <w:rFonts w:asciiTheme="majorHAnsi" w:eastAsia="Calibri" w:hAnsiTheme="majorHAnsi" w:cs="Calibri"/>
        </w:rPr>
        <w:t>Morein</w:t>
      </w:r>
      <w:proofErr w:type="spellEnd"/>
      <w:r w:rsidR="00C45B0A" w:rsidRPr="00734AB6">
        <w:rPr>
          <w:rFonts w:asciiTheme="majorHAnsi" w:eastAsia="Calibri" w:hAnsiTheme="majorHAnsi" w:cs="Calibri"/>
        </w:rPr>
        <w:t>-Zamir, 2011</w:t>
      </w:r>
      <w:r w:rsidRPr="00734AB6">
        <w:rPr>
          <w:rFonts w:asciiTheme="majorHAnsi" w:eastAsia="Calibri" w:hAnsiTheme="majorHAnsi" w:cs="Calibri"/>
        </w:rPr>
        <w:t>). As a result of this increased popularity, concerns have been raised in relation to the potential risks and harms associated with off-</w:t>
      </w:r>
      <w:r w:rsidRPr="00734AB6">
        <w:rPr>
          <w:rFonts w:asciiTheme="majorHAnsi" w:eastAsia="Calibri" w:hAnsiTheme="majorHAnsi" w:cs="Calibri"/>
        </w:rPr>
        <w:lastRenderedPageBreak/>
        <w:t xml:space="preserve">prescription use. Ethical issues in relation to the safety of using CEDs have also centred on the potential for users to develop addictions, sleep disorders and mental health problems, as well as </w:t>
      </w:r>
      <w:r w:rsidR="00251D60" w:rsidRPr="00734AB6">
        <w:rPr>
          <w:rFonts w:asciiTheme="majorHAnsi" w:eastAsia="Calibri" w:hAnsiTheme="majorHAnsi" w:cs="Calibri"/>
        </w:rPr>
        <w:t>the adverse effects they may experience</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Schelle</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Faulmuller</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Caviola</w:t>
      </w:r>
      <w:proofErr w:type="spellEnd"/>
      <w:r w:rsidRPr="00734AB6">
        <w:rPr>
          <w:rFonts w:asciiTheme="majorHAnsi" w:eastAsia="Calibri" w:hAnsiTheme="majorHAnsi" w:cs="Calibri"/>
        </w:rPr>
        <w:t xml:space="preserve"> &amp; </w:t>
      </w:r>
      <w:proofErr w:type="spellStart"/>
      <w:r w:rsidRPr="00734AB6">
        <w:rPr>
          <w:rFonts w:asciiTheme="majorHAnsi" w:eastAsia="Calibri" w:hAnsiTheme="majorHAnsi" w:cs="Calibri"/>
        </w:rPr>
        <w:t>Hewstone</w:t>
      </w:r>
      <w:proofErr w:type="spellEnd"/>
      <w:r w:rsidRPr="00734AB6">
        <w:rPr>
          <w:rFonts w:asciiTheme="majorHAnsi" w:eastAsia="Calibri" w:hAnsiTheme="majorHAnsi" w:cs="Calibri"/>
        </w:rPr>
        <w:t xml:space="preserve">, 2014). </w:t>
      </w:r>
      <w:proofErr w:type="spellStart"/>
      <w:r w:rsidRPr="00734AB6">
        <w:rPr>
          <w:rFonts w:asciiTheme="majorHAnsi" w:eastAsia="Calibri" w:hAnsiTheme="majorHAnsi" w:cs="Calibri"/>
        </w:rPr>
        <w:t>Schermer</w:t>
      </w:r>
      <w:proofErr w:type="spellEnd"/>
      <w:r w:rsidRPr="00734AB6">
        <w:rPr>
          <w:rFonts w:asciiTheme="majorHAnsi" w:eastAsia="Calibri" w:hAnsiTheme="majorHAnsi" w:cs="Calibri"/>
        </w:rPr>
        <w:t xml:space="preserve">, </w:t>
      </w:r>
      <w:r w:rsidR="006808EF" w:rsidRPr="00734AB6">
        <w:rPr>
          <w:rFonts w:asciiTheme="majorHAnsi" w:eastAsia="Calibri" w:hAnsiTheme="majorHAnsi" w:cs="Calibri"/>
        </w:rPr>
        <w:t>Bolt, d</w:t>
      </w:r>
      <w:r w:rsidRPr="00734AB6">
        <w:rPr>
          <w:rFonts w:asciiTheme="majorHAnsi" w:eastAsia="Calibri" w:hAnsiTheme="majorHAnsi" w:cs="Calibri"/>
        </w:rPr>
        <w:t xml:space="preserve">e </w:t>
      </w:r>
      <w:proofErr w:type="spellStart"/>
      <w:r w:rsidRPr="00734AB6">
        <w:rPr>
          <w:rFonts w:asciiTheme="majorHAnsi" w:eastAsia="Calibri" w:hAnsiTheme="majorHAnsi" w:cs="Calibri"/>
        </w:rPr>
        <w:t>Jongh</w:t>
      </w:r>
      <w:proofErr w:type="spellEnd"/>
      <w:r w:rsidRPr="00734AB6">
        <w:rPr>
          <w:rFonts w:asciiTheme="majorHAnsi" w:eastAsia="Calibri" w:hAnsiTheme="majorHAnsi" w:cs="Calibri"/>
        </w:rPr>
        <w:t xml:space="preserve"> and Olivier (2009) argue that the conditions for which these CEDs are prescribed provide benefits which outweigh the associated risks but, perhaps, in relation to cognitive enhancement for non-clinical groups, the benefits may not outweigh the risks and harms. That said, </w:t>
      </w:r>
      <w:proofErr w:type="spellStart"/>
      <w:r w:rsidRPr="00734AB6">
        <w:rPr>
          <w:rFonts w:asciiTheme="majorHAnsi" w:eastAsia="Calibri" w:hAnsiTheme="majorHAnsi" w:cs="Calibri"/>
        </w:rPr>
        <w:t>Schermer</w:t>
      </w:r>
      <w:proofErr w:type="spellEnd"/>
      <w:r w:rsidRPr="00734AB6">
        <w:rPr>
          <w:rFonts w:asciiTheme="majorHAnsi" w:eastAsia="Calibri" w:hAnsiTheme="majorHAnsi" w:cs="Calibri"/>
        </w:rPr>
        <w:t xml:space="preserve"> et al. did not support their argument with evidence related to CEDs and did not specify what these risks and benefits were. Conversely, a qualitative study by </w:t>
      </w:r>
      <w:proofErr w:type="spellStart"/>
      <w:r w:rsidRPr="00734AB6">
        <w:rPr>
          <w:rFonts w:asciiTheme="majorHAnsi" w:eastAsia="Calibri" w:hAnsiTheme="majorHAnsi" w:cs="Calibri"/>
        </w:rPr>
        <w:t>Aikins</w:t>
      </w:r>
      <w:proofErr w:type="spellEnd"/>
      <w:r w:rsidRPr="00734AB6">
        <w:rPr>
          <w:rFonts w:asciiTheme="majorHAnsi" w:eastAsia="Calibri" w:hAnsiTheme="majorHAnsi" w:cs="Calibri"/>
        </w:rPr>
        <w:t xml:space="preserve"> (2011) reported that all 12 </w:t>
      </w:r>
      <w:r w:rsidR="00BC6247" w:rsidRPr="00734AB6">
        <w:rPr>
          <w:rFonts w:asciiTheme="majorHAnsi" w:eastAsia="Calibri" w:hAnsiTheme="majorHAnsi" w:cs="Calibri"/>
        </w:rPr>
        <w:t>USA</w:t>
      </w:r>
      <w:r w:rsidRPr="00734AB6">
        <w:rPr>
          <w:rFonts w:asciiTheme="majorHAnsi" w:eastAsia="Calibri" w:hAnsiTheme="majorHAnsi" w:cs="Calibri"/>
        </w:rPr>
        <w:t xml:space="preserve"> students interviewed stated that they considered the negative trade-offs worth the benefits. This question of risk/benefit trade-off in relation to the off-prescription use of CEDs has, therefore, become one of the topics investigated by this study.</w:t>
      </w:r>
    </w:p>
    <w:p w14:paraId="65B7DC09" w14:textId="594D8F09"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Although several studies have sought to evaluate prevalence of use and awareness of risk, most of these are based on data solely from the United States (e.g. Barrett, </w:t>
      </w:r>
      <w:proofErr w:type="spellStart"/>
      <w:r w:rsidRPr="00734AB6">
        <w:rPr>
          <w:rFonts w:asciiTheme="majorHAnsi" w:eastAsia="Calibri" w:hAnsiTheme="majorHAnsi" w:cs="Calibri"/>
        </w:rPr>
        <w:t>Darredeau</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Bordy</w:t>
      </w:r>
      <w:proofErr w:type="spellEnd"/>
      <w:r w:rsidRPr="00734AB6">
        <w:rPr>
          <w:rFonts w:asciiTheme="majorHAnsi" w:eastAsia="Calibri" w:hAnsiTheme="majorHAnsi" w:cs="Calibri"/>
        </w:rPr>
        <w:t xml:space="preserve"> &amp; Pihl, 2005; Maher, 2008). It is, therefore, still unclear how widespread the off-prescription use of these drugs is in the UK and also internationally. There is also a dearth of research investigating the self-prescribed use of CEDs for poor cognitive performance. In order to assess</w:t>
      </w:r>
      <w:r w:rsidR="00977237" w:rsidRPr="00734AB6">
        <w:rPr>
          <w:rFonts w:asciiTheme="majorHAnsi" w:eastAsia="Calibri" w:hAnsiTheme="majorHAnsi" w:cs="Calibri"/>
        </w:rPr>
        <w:t xml:space="preserve"> the</w:t>
      </w:r>
      <w:r w:rsidRPr="00734AB6">
        <w:rPr>
          <w:rFonts w:asciiTheme="majorHAnsi" w:eastAsia="Calibri" w:hAnsiTheme="majorHAnsi" w:cs="Calibri"/>
        </w:rPr>
        <w:t xml:space="preserve"> potential risks and harms</w:t>
      </w:r>
      <w:r w:rsidR="00977237" w:rsidRPr="00734AB6">
        <w:rPr>
          <w:rFonts w:asciiTheme="majorHAnsi" w:eastAsia="Calibri" w:hAnsiTheme="majorHAnsi" w:cs="Calibri"/>
        </w:rPr>
        <w:t xml:space="preserve"> associated with CEDs</w:t>
      </w:r>
      <w:r w:rsidRPr="00734AB6">
        <w:rPr>
          <w:rFonts w:asciiTheme="majorHAnsi" w:eastAsia="Calibri" w:hAnsiTheme="majorHAnsi" w:cs="Calibri"/>
        </w:rPr>
        <w:t>, it is important to understand what motivations are driving this increasing popularity in pharmaceutical cognitive enhancement. Studies investigating motivation for use have focused specifically on one class of CEDs, namely stimulants and, again, most of these studies are based on data from the United States (</w:t>
      </w:r>
      <w:proofErr w:type="spellStart"/>
      <w:r w:rsidRPr="00734AB6">
        <w:rPr>
          <w:rFonts w:asciiTheme="majorHAnsi" w:eastAsia="Calibri" w:hAnsiTheme="majorHAnsi" w:cs="Calibri"/>
        </w:rPr>
        <w:t>Drazdowski</w:t>
      </w:r>
      <w:proofErr w:type="spellEnd"/>
      <w:r w:rsidRPr="00734AB6">
        <w:rPr>
          <w:rFonts w:asciiTheme="majorHAnsi" w:eastAsia="Calibri" w:hAnsiTheme="majorHAnsi" w:cs="Calibri"/>
        </w:rPr>
        <w:t xml:space="preserve">, 2016). The documented potential risks and harms associated with the use of CEDs, in general, include not only prison sentences for illegal use and possession but also the possible development of obsessive-compulsive behaviours and general behavioural inflexibility issues (Urban &amp; Gao, 2014). </w:t>
      </w:r>
    </w:p>
    <w:p w14:paraId="489627D6" w14:textId="57DEAF6A" w:rsidR="00FE0C58"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In addition to understanding the motivations behind the desire to seek CEDs, as mentioned earlier, the possibility of self-medication </w:t>
      </w:r>
      <w:r w:rsidR="00740E31" w:rsidRPr="00734AB6">
        <w:rPr>
          <w:rFonts w:asciiTheme="majorHAnsi" w:eastAsia="Calibri" w:hAnsiTheme="majorHAnsi" w:cs="Calibri"/>
        </w:rPr>
        <w:t xml:space="preserve">for </w:t>
      </w:r>
      <w:r w:rsidRPr="00734AB6">
        <w:rPr>
          <w:rFonts w:asciiTheme="majorHAnsi" w:eastAsia="Calibri" w:hAnsiTheme="majorHAnsi" w:cs="Calibri"/>
        </w:rPr>
        <w:t xml:space="preserve">poor cognitive functioning should also be considered. </w:t>
      </w:r>
      <w:r w:rsidR="00FE0C58" w:rsidRPr="00734AB6">
        <w:rPr>
          <w:rFonts w:asciiTheme="majorHAnsi" w:eastAsia="Calibri" w:hAnsiTheme="majorHAnsi" w:cs="Calibri"/>
        </w:rPr>
        <w:t>For example, p</w:t>
      </w:r>
      <w:r w:rsidRPr="00734AB6">
        <w:rPr>
          <w:rFonts w:asciiTheme="majorHAnsi" w:eastAsia="Calibri" w:hAnsiTheme="majorHAnsi" w:cs="Calibri"/>
        </w:rPr>
        <w:t>revious studies have found prospective memory impairments in childre</w:t>
      </w:r>
      <w:r w:rsidR="003C4065" w:rsidRPr="00734AB6">
        <w:rPr>
          <w:rFonts w:asciiTheme="majorHAnsi" w:eastAsia="Calibri" w:hAnsiTheme="majorHAnsi" w:cs="Calibri"/>
        </w:rPr>
        <w:t>n with ADHD (Kerns &amp; Price, 2001</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Kliegel</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Ropeter</w:t>
      </w:r>
      <w:proofErr w:type="spellEnd"/>
      <w:r w:rsidRPr="00734AB6">
        <w:rPr>
          <w:rFonts w:asciiTheme="majorHAnsi" w:eastAsia="Calibri" w:hAnsiTheme="majorHAnsi" w:cs="Calibri"/>
        </w:rPr>
        <w:t xml:space="preserve"> &amp; Mackinlay, 2006). </w:t>
      </w:r>
    </w:p>
    <w:p w14:paraId="59813DAE" w14:textId="1771D7F0"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Prospective memory involves the ability to remember previously planned actions at the appropriate time in the future (</w:t>
      </w:r>
      <w:proofErr w:type="spellStart"/>
      <w:r w:rsidRPr="00734AB6">
        <w:rPr>
          <w:rFonts w:asciiTheme="majorHAnsi" w:eastAsia="Calibri" w:hAnsiTheme="majorHAnsi" w:cs="Calibri"/>
        </w:rPr>
        <w:t>Kliegel</w:t>
      </w:r>
      <w:proofErr w:type="spellEnd"/>
      <w:r w:rsidRPr="00734AB6">
        <w:rPr>
          <w:rFonts w:asciiTheme="majorHAnsi" w:eastAsia="Calibri" w:hAnsiTheme="majorHAnsi" w:cs="Calibri"/>
        </w:rPr>
        <w:t xml:space="preserve"> &amp; Jager, 2006). Prospective memory is an important function in the performance of everyday life, as is retrospective memory. Retrospective memory is the ability to remember </w:t>
      </w:r>
      <w:r w:rsidR="00740E31" w:rsidRPr="00734AB6">
        <w:rPr>
          <w:rFonts w:asciiTheme="majorHAnsi" w:eastAsia="Calibri" w:hAnsiTheme="majorHAnsi" w:cs="Calibri"/>
        </w:rPr>
        <w:t xml:space="preserve">past </w:t>
      </w:r>
      <w:r w:rsidRPr="00734AB6">
        <w:rPr>
          <w:rFonts w:asciiTheme="majorHAnsi" w:eastAsia="Calibri" w:hAnsiTheme="majorHAnsi" w:cs="Calibri"/>
        </w:rPr>
        <w:t xml:space="preserve">episodic </w:t>
      </w:r>
      <w:r w:rsidR="00740E31" w:rsidRPr="00734AB6">
        <w:rPr>
          <w:rFonts w:asciiTheme="majorHAnsi" w:eastAsia="Calibri" w:hAnsiTheme="majorHAnsi" w:cs="Calibri"/>
        </w:rPr>
        <w:t xml:space="preserve">experiences </w:t>
      </w:r>
      <w:r w:rsidRPr="00734AB6">
        <w:rPr>
          <w:rFonts w:asciiTheme="majorHAnsi" w:eastAsia="Calibri" w:hAnsiTheme="majorHAnsi" w:cs="Calibri"/>
        </w:rPr>
        <w:t xml:space="preserve">and semantic information (Smith, Del Sala, </w:t>
      </w:r>
      <w:proofErr w:type="spellStart"/>
      <w:r w:rsidRPr="00734AB6">
        <w:rPr>
          <w:rFonts w:asciiTheme="majorHAnsi" w:eastAsia="Calibri" w:hAnsiTheme="majorHAnsi" w:cs="Calibri"/>
        </w:rPr>
        <w:t>Logie</w:t>
      </w:r>
      <w:proofErr w:type="spellEnd"/>
      <w:r w:rsidRPr="00734AB6">
        <w:rPr>
          <w:rFonts w:asciiTheme="majorHAnsi" w:eastAsia="Calibri" w:hAnsiTheme="majorHAnsi" w:cs="Calibri"/>
        </w:rPr>
        <w:t xml:space="preserve"> &amp; Maylor, 2000). </w:t>
      </w:r>
      <w:proofErr w:type="spellStart"/>
      <w:r w:rsidRPr="00734AB6">
        <w:rPr>
          <w:rFonts w:asciiTheme="majorHAnsi" w:eastAsia="Calibri" w:hAnsiTheme="majorHAnsi" w:cs="Calibri"/>
        </w:rPr>
        <w:t>Fuermaier</w:t>
      </w:r>
      <w:proofErr w:type="spellEnd"/>
      <w:r w:rsidRPr="00734AB6">
        <w:rPr>
          <w:rFonts w:asciiTheme="majorHAnsi" w:eastAsia="Calibri" w:hAnsiTheme="majorHAnsi" w:cs="Calibri"/>
        </w:rPr>
        <w:t xml:space="preserve"> et al. (2013) investigated complex prospective memory in adults with ADHD and found significant impairment specifically</w:t>
      </w:r>
      <w:r w:rsidR="00740E31" w:rsidRPr="00734AB6">
        <w:rPr>
          <w:rFonts w:asciiTheme="majorHAnsi" w:eastAsia="Calibri" w:hAnsiTheme="majorHAnsi" w:cs="Calibri"/>
        </w:rPr>
        <w:t>,</w:t>
      </w:r>
      <w:r w:rsidRPr="00734AB6">
        <w:rPr>
          <w:rFonts w:asciiTheme="majorHAnsi" w:eastAsia="Calibri" w:hAnsiTheme="majorHAnsi" w:cs="Calibri"/>
        </w:rPr>
        <w:t xml:space="preserve"> in task planning abilities</w:t>
      </w:r>
      <w:r w:rsidR="00740E31" w:rsidRPr="00734AB6">
        <w:rPr>
          <w:rFonts w:asciiTheme="majorHAnsi" w:eastAsia="Calibri" w:hAnsiTheme="majorHAnsi" w:cs="Calibri"/>
        </w:rPr>
        <w:t>,</w:t>
      </w:r>
      <w:r w:rsidRPr="00734AB6">
        <w:rPr>
          <w:rFonts w:asciiTheme="majorHAnsi" w:eastAsia="Calibri" w:hAnsiTheme="majorHAnsi" w:cs="Calibri"/>
        </w:rPr>
        <w:t xml:space="preserve"> compared with controls. The Prospective and Retrospective Memory Questionnaire (PRMQ, Smith, </w:t>
      </w:r>
      <w:r w:rsidR="00313FAC" w:rsidRPr="00734AB6">
        <w:rPr>
          <w:rFonts w:asciiTheme="majorHAnsi" w:eastAsia="Calibri" w:hAnsiTheme="majorHAnsi" w:cs="Calibri"/>
        </w:rPr>
        <w:t>et al.</w:t>
      </w:r>
      <w:r w:rsidR="005F1410" w:rsidRPr="00734AB6">
        <w:rPr>
          <w:rFonts w:asciiTheme="majorHAnsi" w:eastAsia="Calibri" w:hAnsiTheme="majorHAnsi" w:cs="Calibri"/>
        </w:rPr>
        <w:t>, 2000</w:t>
      </w:r>
      <w:r w:rsidRPr="00734AB6">
        <w:rPr>
          <w:rFonts w:asciiTheme="majorHAnsi" w:eastAsia="Calibri" w:hAnsiTheme="majorHAnsi" w:cs="Calibri"/>
        </w:rPr>
        <w:t xml:space="preserve">) is a well-established self-report measure which has demonstrated good </w:t>
      </w:r>
      <w:r w:rsidRPr="00734AB6">
        <w:rPr>
          <w:rFonts w:asciiTheme="majorHAnsi" w:eastAsia="Calibri" w:hAnsiTheme="majorHAnsi" w:cs="Calibri"/>
        </w:rPr>
        <w:lastRenderedPageBreak/>
        <w:t xml:space="preserve">reliability in each of the Total, Prospective and Retrospective scales with Cronbach alphas of 0.89, 0.84 and 0.80 respectively (Crawford, Smith, Maylor, Della Sala &amp; </w:t>
      </w:r>
      <w:proofErr w:type="spellStart"/>
      <w:r w:rsidRPr="00734AB6">
        <w:rPr>
          <w:rFonts w:asciiTheme="majorHAnsi" w:eastAsia="Calibri" w:hAnsiTheme="majorHAnsi" w:cs="Calibri"/>
        </w:rPr>
        <w:t>Logie</w:t>
      </w:r>
      <w:proofErr w:type="spellEnd"/>
      <w:r w:rsidRPr="00734AB6">
        <w:rPr>
          <w:rFonts w:asciiTheme="majorHAnsi" w:eastAsia="Calibri" w:hAnsiTheme="majorHAnsi" w:cs="Calibri"/>
        </w:rPr>
        <w:t xml:space="preserve">, 2003). Crawford et al. </w:t>
      </w:r>
      <w:r w:rsidR="005F1410" w:rsidRPr="00734AB6">
        <w:rPr>
          <w:rFonts w:asciiTheme="majorHAnsi" w:eastAsia="Calibri" w:hAnsiTheme="majorHAnsi" w:cs="Calibri"/>
        </w:rPr>
        <w:t xml:space="preserve">(2003) </w:t>
      </w:r>
      <w:r w:rsidRPr="00734AB6">
        <w:rPr>
          <w:rFonts w:asciiTheme="majorHAnsi" w:eastAsia="Calibri" w:hAnsiTheme="majorHAnsi" w:cs="Calibri"/>
        </w:rPr>
        <w:t xml:space="preserve">also provided normative data for each of the scales as </w:t>
      </w:r>
      <w:r w:rsidRPr="00734AB6">
        <w:rPr>
          <w:rFonts w:asciiTheme="majorHAnsi" w:eastAsia="Calibri" w:hAnsiTheme="majorHAnsi" w:cs="Calibri"/>
          <w:i/>
        </w:rPr>
        <w:t>t</w:t>
      </w:r>
      <w:r w:rsidRPr="00734AB6">
        <w:rPr>
          <w:rFonts w:asciiTheme="majorHAnsi" w:eastAsia="Calibri" w:hAnsiTheme="majorHAnsi" w:cs="Calibri"/>
        </w:rPr>
        <w:t xml:space="preserve"> scores, thus providing the ability to determine whether an individual’s scores demonstrate normal or abnormal levels of prospective and retrospective memory. Studies have reported that cognitive enhancing drugs improve memory. </w:t>
      </w:r>
      <w:proofErr w:type="spellStart"/>
      <w:r w:rsidRPr="00734AB6">
        <w:rPr>
          <w:rFonts w:asciiTheme="majorHAnsi" w:eastAsia="Calibri" w:hAnsiTheme="majorHAnsi" w:cs="Calibri"/>
        </w:rPr>
        <w:t>Repantis</w:t>
      </w:r>
      <w:proofErr w:type="spellEnd"/>
      <w:r w:rsidRPr="00734AB6">
        <w:rPr>
          <w:rFonts w:asciiTheme="majorHAnsi" w:eastAsia="Calibri" w:hAnsiTheme="majorHAnsi" w:cs="Calibri"/>
        </w:rPr>
        <w:t xml:space="preserve"> et al. (2010) reported that a single dose of modafinil improved memory </w:t>
      </w:r>
      <w:r w:rsidR="0067523C" w:rsidRPr="00734AB6">
        <w:rPr>
          <w:rFonts w:asciiTheme="majorHAnsi" w:eastAsia="Calibri" w:hAnsiTheme="majorHAnsi" w:cs="Calibri"/>
        </w:rPr>
        <w:t xml:space="preserve">and </w:t>
      </w:r>
      <w:proofErr w:type="spellStart"/>
      <w:r w:rsidR="0067523C" w:rsidRPr="00734AB6">
        <w:rPr>
          <w:rFonts w:asciiTheme="majorHAnsi" w:eastAsia="Calibri" w:hAnsiTheme="majorHAnsi" w:cs="Calibri"/>
        </w:rPr>
        <w:t>Linssen</w:t>
      </w:r>
      <w:proofErr w:type="spellEnd"/>
      <w:r w:rsidR="0067523C" w:rsidRPr="00734AB6">
        <w:rPr>
          <w:rFonts w:asciiTheme="majorHAnsi" w:eastAsia="Calibri" w:hAnsiTheme="majorHAnsi" w:cs="Calibri"/>
        </w:rPr>
        <w:t xml:space="preserve">, </w:t>
      </w:r>
      <w:proofErr w:type="spellStart"/>
      <w:r w:rsidR="0067523C" w:rsidRPr="00734AB6">
        <w:rPr>
          <w:rFonts w:asciiTheme="majorHAnsi" w:eastAsia="Calibri" w:hAnsiTheme="majorHAnsi" w:cs="Calibri"/>
        </w:rPr>
        <w:t>Vuurman</w:t>
      </w:r>
      <w:proofErr w:type="spellEnd"/>
      <w:r w:rsidR="0067523C" w:rsidRPr="00734AB6">
        <w:rPr>
          <w:rFonts w:asciiTheme="majorHAnsi" w:eastAsia="Calibri" w:hAnsiTheme="majorHAnsi" w:cs="Calibri"/>
        </w:rPr>
        <w:t xml:space="preserve">, </w:t>
      </w:r>
      <w:proofErr w:type="spellStart"/>
      <w:r w:rsidR="0067523C" w:rsidRPr="00734AB6">
        <w:rPr>
          <w:rFonts w:asciiTheme="majorHAnsi" w:eastAsia="Calibri" w:hAnsiTheme="majorHAnsi" w:cs="Calibri"/>
        </w:rPr>
        <w:t>S</w:t>
      </w:r>
      <w:r w:rsidRPr="00734AB6">
        <w:rPr>
          <w:rFonts w:asciiTheme="majorHAnsi" w:eastAsia="Calibri" w:hAnsiTheme="majorHAnsi" w:cs="Calibri"/>
        </w:rPr>
        <w:t>a</w:t>
      </w:r>
      <w:r w:rsidR="0067523C" w:rsidRPr="00734AB6">
        <w:rPr>
          <w:rFonts w:asciiTheme="majorHAnsi" w:eastAsia="Calibri" w:hAnsiTheme="majorHAnsi" w:cs="Calibri"/>
        </w:rPr>
        <w:t>m</w:t>
      </w:r>
      <w:r w:rsidRPr="00734AB6">
        <w:rPr>
          <w:rFonts w:asciiTheme="majorHAnsi" w:eastAsia="Calibri" w:hAnsiTheme="majorHAnsi" w:cs="Calibri"/>
        </w:rPr>
        <w:t>beth</w:t>
      </w:r>
      <w:proofErr w:type="spellEnd"/>
      <w:r w:rsidRPr="00734AB6">
        <w:rPr>
          <w:rFonts w:asciiTheme="majorHAnsi" w:eastAsia="Calibri" w:hAnsiTheme="majorHAnsi" w:cs="Calibri"/>
        </w:rPr>
        <w:t xml:space="preserve"> and Riedel (2012) reported a significant improvement in declarative memory consolidation following administration of methylphenidate compared with </w:t>
      </w:r>
      <w:r w:rsidR="00731E7C" w:rsidRPr="00734AB6">
        <w:rPr>
          <w:rFonts w:asciiTheme="majorHAnsi" w:eastAsia="Calibri" w:hAnsiTheme="majorHAnsi" w:cs="Calibri"/>
        </w:rPr>
        <w:t>controls. Husain and Mehta (2011</w:t>
      </w:r>
      <w:r w:rsidRPr="00734AB6">
        <w:rPr>
          <w:rFonts w:asciiTheme="majorHAnsi" w:eastAsia="Calibri" w:hAnsiTheme="majorHAnsi" w:cs="Calibri"/>
        </w:rPr>
        <w:t xml:space="preserve">) also reported episodic memory improvement with modafinil. If modafinil and methylphenidate improve memory functions, it is quite possible that these drugs are being used off-prescription to enhance these cognitive processes. The PRMQ would therefore be an appropriate tool to assess memory functions. </w:t>
      </w:r>
    </w:p>
    <w:p w14:paraId="4E281214" w14:textId="77777777" w:rsidR="009C7702" w:rsidRPr="00734AB6" w:rsidRDefault="009C7702" w:rsidP="0099584D">
      <w:pPr>
        <w:spacing w:line="360" w:lineRule="auto"/>
        <w:ind w:firstLine="851"/>
        <w:rPr>
          <w:rFonts w:asciiTheme="majorHAnsi" w:eastAsia="Calibri" w:hAnsiTheme="majorHAnsi" w:cs="Calibri"/>
        </w:rPr>
      </w:pPr>
    </w:p>
    <w:p w14:paraId="724A693F" w14:textId="77777777" w:rsidR="009C7702" w:rsidRPr="00734AB6" w:rsidRDefault="009C7702" w:rsidP="0056046D">
      <w:pPr>
        <w:pStyle w:val="Heading2"/>
        <w:spacing w:after="240" w:line="360" w:lineRule="auto"/>
        <w:rPr>
          <w:b/>
          <w:color w:val="auto"/>
          <w:sz w:val="22"/>
          <w:szCs w:val="22"/>
        </w:rPr>
      </w:pPr>
      <w:bookmarkStart w:id="25" w:name="_Toc48136334"/>
      <w:r w:rsidRPr="00734AB6">
        <w:rPr>
          <w:b/>
          <w:color w:val="auto"/>
          <w:sz w:val="22"/>
          <w:szCs w:val="22"/>
        </w:rPr>
        <w:t>2.2</w:t>
      </w:r>
      <w:r w:rsidRPr="00734AB6">
        <w:rPr>
          <w:b/>
          <w:color w:val="auto"/>
          <w:sz w:val="22"/>
          <w:szCs w:val="22"/>
        </w:rPr>
        <w:tab/>
        <w:t>Online forum survey, Study 1a</w:t>
      </w:r>
      <w:bookmarkEnd w:id="25"/>
    </w:p>
    <w:p w14:paraId="2BB489E1" w14:textId="2E09E02E" w:rsidR="009C7702" w:rsidRPr="00734AB6" w:rsidRDefault="009C7702" w:rsidP="0056046D">
      <w:pPr>
        <w:pStyle w:val="Heading3"/>
        <w:spacing w:after="240" w:line="360" w:lineRule="auto"/>
        <w:rPr>
          <w:b/>
          <w:color w:val="auto"/>
          <w:sz w:val="22"/>
          <w:szCs w:val="22"/>
        </w:rPr>
      </w:pPr>
      <w:bookmarkStart w:id="26" w:name="_Toc48136335"/>
      <w:r w:rsidRPr="00734AB6">
        <w:rPr>
          <w:b/>
          <w:color w:val="auto"/>
          <w:sz w:val="22"/>
          <w:szCs w:val="22"/>
        </w:rPr>
        <w:t>2.2.1</w:t>
      </w:r>
      <w:r w:rsidRPr="00734AB6">
        <w:rPr>
          <w:b/>
          <w:color w:val="auto"/>
          <w:sz w:val="22"/>
          <w:szCs w:val="22"/>
        </w:rPr>
        <w:tab/>
      </w:r>
      <w:r w:rsidR="00667131" w:rsidRPr="00734AB6">
        <w:rPr>
          <w:b/>
          <w:color w:val="auto"/>
          <w:sz w:val="22"/>
          <w:szCs w:val="22"/>
        </w:rPr>
        <w:t>Aims and objectives</w:t>
      </w:r>
      <w:bookmarkEnd w:id="26"/>
    </w:p>
    <w:p w14:paraId="3F3683BF" w14:textId="4BEA0320" w:rsidR="000B2C45"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literature discussed in this chapter has looked</w:t>
      </w:r>
      <w:r w:rsidR="00740E31" w:rsidRPr="00734AB6">
        <w:rPr>
          <w:rFonts w:asciiTheme="majorHAnsi" w:eastAsia="Calibri" w:hAnsiTheme="majorHAnsi" w:cs="Calibri"/>
        </w:rPr>
        <w:t xml:space="preserve"> more broadly at</w:t>
      </w:r>
      <w:r w:rsidRPr="00734AB6">
        <w:rPr>
          <w:rFonts w:asciiTheme="majorHAnsi" w:eastAsia="Calibri" w:hAnsiTheme="majorHAnsi" w:cs="Calibri"/>
        </w:rPr>
        <w:t xml:space="preserve"> survey studies of CED use and more specifically, </w:t>
      </w:r>
      <w:r w:rsidR="00740E31" w:rsidRPr="00734AB6">
        <w:rPr>
          <w:rFonts w:asciiTheme="majorHAnsi" w:eastAsia="Calibri" w:hAnsiTheme="majorHAnsi" w:cs="Calibri"/>
        </w:rPr>
        <w:t xml:space="preserve">at </w:t>
      </w:r>
      <w:r w:rsidRPr="00734AB6">
        <w:rPr>
          <w:rFonts w:asciiTheme="majorHAnsi" w:eastAsia="Calibri" w:hAnsiTheme="majorHAnsi" w:cs="Calibri"/>
        </w:rPr>
        <w:t>modafinil and methylphenidate use. The literature reviewed previously in this chapter has highlighted a number of issues and the current study sought, therefore, to address the issues raised by conducting a survey focused on the off-prescription use of modafinil and methylphenidate, targeting the population of CED users via online drug forum sites. Additionally, as the therapeutic effects of modafinil and methylphenidate, which were discussed in Chapter 1, may also contribute to its popularity, the current study also aim</w:t>
      </w:r>
      <w:r w:rsidR="000B2C45" w:rsidRPr="00734AB6">
        <w:rPr>
          <w:rFonts w:asciiTheme="majorHAnsi" w:eastAsia="Calibri" w:hAnsiTheme="majorHAnsi" w:cs="Calibri"/>
        </w:rPr>
        <w:t>ed</w:t>
      </w:r>
      <w:r w:rsidRPr="00734AB6">
        <w:rPr>
          <w:rFonts w:asciiTheme="majorHAnsi" w:eastAsia="Calibri" w:hAnsiTheme="majorHAnsi" w:cs="Calibri"/>
        </w:rPr>
        <w:t xml:space="preserve"> to address this issue. </w:t>
      </w:r>
    </w:p>
    <w:p w14:paraId="481A371B" w14:textId="209A6631" w:rsidR="009C7702" w:rsidRPr="00734AB6" w:rsidRDefault="009C7702" w:rsidP="0099584D">
      <w:pPr>
        <w:spacing w:line="360" w:lineRule="auto"/>
        <w:ind w:firstLine="851"/>
        <w:rPr>
          <w:rFonts w:asciiTheme="majorHAnsi" w:eastAsia="Calibri" w:hAnsiTheme="majorHAnsi" w:cs="Calibri"/>
        </w:rPr>
      </w:pPr>
      <w:r w:rsidRPr="00734AB6">
        <w:rPr>
          <w:rFonts w:asciiTheme="majorHAnsi" w:hAnsiTheme="majorHAnsi" w:cs="Calibri"/>
        </w:rPr>
        <w:t>There were five aims</w:t>
      </w:r>
      <w:r w:rsidR="000B2C45" w:rsidRPr="00734AB6">
        <w:rPr>
          <w:rFonts w:asciiTheme="majorHAnsi" w:hAnsiTheme="majorHAnsi" w:cs="Calibri"/>
        </w:rPr>
        <w:t>. T</w:t>
      </w:r>
      <w:r w:rsidRPr="00734AB6">
        <w:rPr>
          <w:rFonts w:asciiTheme="majorHAnsi" w:hAnsiTheme="majorHAnsi" w:cs="Calibri"/>
        </w:rPr>
        <w:t xml:space="preserve">he first was to describe in more detail the modafinil and/or methylphenidate using population by collecting data on demographics, mental health and illicit drug use. </w:t>
      </w:r>
      <w:r w:rsidRPr="00734AB6">
        <w:rPr>
          <w:rFonts w:asciiTheme="majorHAnsi" w:eastAsia="Calibri" w:hAnsiTheme="majorHAnsi" w:cs="Calibri"/>
        </w:rPr>
        <w:t xml:space="preserve">The second aim was to understand the pattern of use and the motivations for off-prescription use of these drugs. The third aim was to investigate the positive and negative effects of modafinil and methylphenidate off-prescription use and, considering these potential risks and harms, how this might translate into a risk/benefit trade off. </w:t>
      </w:r>
      <w:r w:rsidRPr="00734AB6">
        <w:rPr>
          <w:rFonts w:asciiTheme="majorHAnsi" w:hAnsiTheme="majorHAnsi" w:cs="Calibri"/>
        </w:rPr>
        <w:t>The fourth aim was to understand how these risks and benefits relate to patterns of use, mental health and illicit drug use. The fifth aim was to investigate whether reported modafinil and methylphenidate off-prescription users perceive that they have poor cognitive performance for which they may be self-medicating.</w:t>
      </w:r>
    </w:p>
    <w:p w14:paraId="30C0F3C1" w14:textId="0F37E53E" w:rsidR="009C7702" w:rsidRPr="00734AB6" w:rsidRDefault="003F0DB9" w:rsidP="0099584D">
      <w:pPr>
        <w:widowControl w:val="0"/>
        <w:autoSpaceDE w:val="0"/>
        <w:autoSpaceDN w:val="0"/>
        <w:adjustRightInd w:val="0"/>
        <w:spacing w:after="0" w:line="360" w:lineRule="auto"/>
        <w:ind w:firstLine="720"/>
        <w:rPr>
          <w:rFonts w:asciiTheme="majorHAnsi" w:hAnsiTheme="majorHAnsi" w:cs="Calibri"/>
        </w:rPr>
      </w:pPr>
      <w:r w:rsidRPr="00734AB6">
        <w:rPr>
          <w:rFonts w:asciiTheme="majorHAnsi" w:hAnsiTheme="majorHAnsi" w:cs="Calibri"/>
        </w:rPr>
        <w:t xml:space="preserve">The findings reported by </w:t>
      </w:r>
      <w:proofErr w:type="spellStart"/>
      <w:r w:rsidRPr="00734AB6">
        <w:rPr>
          <w:rFonts w:asciiTheme="majorHAnsi" w:hAnsiTheme="majorHAnsi" w:cs="Calibri"/>
        </w:rPr>
        <w:t>Rabiner</w:t>
      </w:r>
      <w:proofErr w:type="spellEnd"/>
      <w:r w:rsidRPr="00734AB6">
        <w:rPr>
          <w:rFonts w:asciiTheme="majorHAnsi" w:hAnsiTheme="majorHAnsi" w:cs="Calibri"/>
        </w:rPr>
        <w:t xml:space="preserve"> et al. (2009) and Singh et al. (2014)</w:t>
      </w:r>
      <w:r w:rsidR="003639E0" w:rsidRPr="00734AB6">
        <w:rPr>
          <w:rFonts w:asciiTheme="majorHAnsi" w:hAnsiTheme="majorHAnsi" w:cs="Calibri"/>
        </w:rPr>
        <w:t xml:space="preserve">, discussed in Section 2.1.2, </w:t>
      </w:r>
      <w:r w:rsidRPr="00734AB6">
        <w:rPr>
          <w:rFonts w:asciiTheme="majorHAnsi" w:hAnsiTheme="majorHAnsi" w:cs="Calibri"/>
        </w:rPr>
        <w:t>indicate that off-prescription users of CEDs perceive many benefits from CED use</w:t>
      </w:r>
      <w:r w:rsidR="003639E0" w:rsidRPr="00734AB6">
        <w:rPr>
          <w:rFonts w:asciiTheme="majorHAnsi" w:hAnsiTheme="majorHAnsi" w:cs="Calibri"/>
        </w:rPr>
        <w:t xml:space="preserve">, </w:t>
      </w:r>
      <w:r w:rsidR="003639E0" w:rsidRPr="00734AB6">
        <w:rPr>
          <w:rFonts w:asciiTheme="majorHAnsi" w:hAnsiTheme="majorHAnsi" w:cs="Calibri"/>
        </w:rPr>
        <w:lastRenderedPageBreak/>
        <w:t xml:space="preserve">particularly in </w:t>
      </w:r>
      <w:proofErr w:type="spellStart"/>
      <w:r w:rsidR="003639E0" w:rsidRPr="00734AB6">
        <w:rPr>
          <w:rFonts w:asciiTheme="majorHAnsi" w:hAnsiTheme="majorHAnsi" w:cs="Calibri"/>
        </w:rPr>
        <w:t>fascilitating</w:t>
      </w:r>
      <w:proofErr w:type="spellEnd"/>
      <w:r w:rsidR="003639E0" w:rsidRPr="00734AB6">
        <w:rPr>
          <w:rFonts w:asciiTheme="majorHAnsi" w:hAnsiTheme="majorHAnsi" w:cs="Calibri"/>
        </w:rPr>
        <w:t xml:space="preserve"> study. Therefore, i</w:t>
      </w:r>
      <w:r w:rsidR="009C7702" w:rsidRPr="00734AB6">
        <w:rPr>
          <w:rFonts w:asciiTheme="majorHAnsi" w:hAnsiTheme="majorHAnsi" w:cs="Calibri"/>
        </w:rPr>
        <w:t xml:space="preserve">t was hypothesized that 1) more frequent use of modafinil/methylphenidate would yield greater perceived benefits and 2) the perceived benefits would outweigh the perceived negative effects (or risks). Furthermore, as it appears that modafinil and methylphenidate have the effect of ameliorating poor performance (e.g. </w:t>
      </w:r>
      <w:proofErr w:type="spellStart"/>
      <w:r w:rsidR="009C7702" w:rsidRPr="00734AB6">
        <w:rPr>
          <w:rFonts w:asciiTheme="majorHAnsi" w:hAnsiTheme="majorHAnsi" w:cs="Calibri"/>
        </w:rPr>
        <w:t>Rab</w:t>
      </w:r>
      <w:r w:rsidR="007812AC" w:rsidRPr="00734AB6">
        <w:rPr>
          <w:rFonts w:asciiTheme="majorHAnsi" w:hAnsiTheme="majorHAnsi" w:cs="Calibri"/>
        </w:rPr>
        <w:t>i</w:t>
      </w:r>
      <w:r w:rsidR="009C7702" w:rsidRPr="00734AB6">
        <w:rPr>
          <w:rFonts w:asciiTheme="majorHAnsi" w:hAnsiTheme="majorHAnsi" w:cs="Calibri"/>
        </w:rPr>
        <w:t>ner</w:t>
      </w:r>
      <w:proofErr w:type="spellEnd"/>
      <w:r w:rsidR="009C7702" w:rsidRPr="00734AB6">
        <w:rPr>
          <w:rFonts w:asciiTheme="majorHAnsi" w:hAnsiTheme="majorHAnsi" w:cs="Calibri"/>
        </w:rPr>
        <w:t xml:space="preserve"> et al., 2009; Varsity, 2009), it seemed very plausible to assume that the benefits provided by these drugs cease to be present once the drug has worn off. Therefore, it was also hypothesized that 3) these reported benefits would not persist beyond the immediate use of modafinil/methylphenidate. Bearing in mind the mood-enhancing effects of modafinil (Price &amp; Taylor, 2005) and methylphenidate (</w:t>
      </w:r>
      <w:proofErr w:type="spellStart"/>
      <w:r w:rsidR="009C7702" w:rsidRPr="00734AB6">
        <w:rPr>
          <w:rFonts w:asciiTheme="majorHAnsi" w:hAnsiTheme="majorHAnsi" w:cs="Calibri"/>
        </w:rPr>
        <w:t>Delbari</w:t>
      </w:r>
      <w:proofErr w:type="spellEnd"/>
      <w:r w:rsidR="009C7702" w:rsidRPr="00734AB6">
        <w:rPr>
          <w:rFonts w:asciiTheme="majorHAnsi" w:hAnsiTheme="majorHAnsi" w:cs="Calibri"/>
        </w:rPr>
        <w:t xml:space="preserve"> et al., 2011; Kerr et al., 2012), it was also hypothesised that 4) individuals with a self-declared psychiatric diagnosis would perceive greater benefits of modafinil/methylphenidate use compared with those not reporting a psychiatric diagnosis. Finally, as the literature suggests that there may be an element of self-prescribing with off-prescription ADHD medications (Poulin, 2007) it was hypothesised that 5) modafinil and methylphenidate reported off-prescription users would demonstrate poor cognitive performance as measured via the PRMQ.</w:t>
      </w:r>
    </w:p>
    <w:p w14:paraId="755410FF" w14:textId="77777777" w:rsidR="009C7702" w:rsidRPr="00734AB6" w:rsidRDefault="009C7702" w:rsidP="0099584D">
      <w:pPr>
        <w:widowControl w:val="0"/>
        <w:autoSpaceDE w:val="0"/>
        <w:autoSpaceDN w:val="0"/>
        <w:adjustRightInd w:val="0"/>
        <w:spacing w:after="0" w:line="360" w:lineRule="auto"/>
        <w:ind w:firstLine="720"/>
        <w:rPr>
          <w:rFonts w:asciiTheme="majorHAnsi" w:hAnsiTheme="majorHAnsi" w:cs="Calibri"/>
        </w:rPr>
      </w:pPr>
    </w:p>
    <w:p w14:paraId="351CF754" w14:textId="77777777" w:rsidR="009C7702" w:rsidRPr="00734AB6" w:rsidRDefault="009C7702" w:rsidP="0056046D">
      <w:pPr>
        <w:pStyle w:val="Heading3"/>
        <w:spacing w:after="240" w:line="360" w:lineRule="auto"/>
        <w:rPr>
          <w:b/>
          <w:color w:val="auto"/>
          <w:sz w:val="22"/>
          <w:szCs w:val="22"/>
        </w:rPr>
      </w:pPr>
      <w:r w:rsidRPr="00734AB6">
        <w:rPr>
          <w:rFonts w:eastAsia="Calibri" w:cs="Calibri"/>
          <w:b/>
          <w:color w:val="auto"/>
          <w:sz w:val="22"/>
          <w:szCs w:val="22"/>
        </w:rPr>
        <w:t xml:space="preserve"> </w:t>
      </w:r>
      <w:bookmarkStart w:id="27" w:name="_Toc29829391"/>
      <w:bookmarkStart w:id="28" w:name="_Toc48136336"/>
      <w:r w:rsidRPr="00734AB6">
        <w:rPr>
          <w:b/>
          <w:color w:val="auto"/>
          <w:sz w:val="22"/>
          <w:szCs w:val="22"/>
        </w:rPr>
        <w:t>2.2.2</w:t>
      </w:r>
      <w:r w:rsidRPr="00734AB6">
        <w:rPr>
          <w:b/>
          <w:color w:val="auto"/>
          <w:sz w:val="22"/>
          <w:szCs w:val="22"/>
        </w:rPr>
        <w:tab/>
        <w:t>Methods</w:t>
      </w:r>
      <w:bookmarkEnd w:id="27"/>
      <w:bookmarkEnd w:id="28"/>
    </w:p>
    <w:p w14:paraId="3349328D" w14:textId="77777777" w:rsidR="009C7702" w:rsidRPr="00734AB6" w:rsidRDefault="009C7702" w:rsidP="0056046D">
      <w:pPr>
        <w:pStyle w:val="Heading4"/>
        <w:spacing w:after="240" w:line="360" w:lineRule="auto"/>
        <w:rPr>
          <w:b/>
          <w:i w:val="0"/>
          <w:color w:val="auto"/>
        </w:rPr>
      </w:pPr>
      <w:bookmarkStart w:id="29" w:name="_Toc29829392"/>
      <w:r w:rsidRPr="00734AB6">
        <w:rPr>
          <w:b/>
          <w:i w:val="0"/>
          <w:color w:val="auto"/>
        </w:rPr>
        <w:t>2.2.2.1</w:t>
      </w:r>
      <w:r w:rsidRPr="00734AB6">
        <w:rPr>
          <w:b/>
          <w:i w:val="0"/>
          <w:color w:val="auto"/>
        </w:rPr>
        <w:tab/>
        <w:t>Respondents</w:t>
      </w:r>
      <w:bookmarkEnd w:id="29"/>
    </w:p>
    <w:p w14:paraId="1A250751" w14:textId="5E4F3BE4"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bookmarkStart w:id="30" w:name="Participants"/>
      <w:r w:rsidRPr="00734AB6">
        <w:rPr>
          <w:rFonts w:asciiTheme="majorHAnsi" w:eastAsia="Calibri" w:hAnsiTheme="majorHAnsi" w:cs="Calibri"/>
        </w:rPr>
        <w:t xml:space="preserve">A convenience sample of 404 respondents were recruited through online forums: </w:t>
      </w:r>
      <w:proofErr w:type="spellStart"/>
      <w:r w:rsidRPr="00734AB6">
        <w:rPr>
          <w:rFonts w:asciiTheme="majorHAnsi" w:eastAsia="Calibri" w:hAnsiTheme="majorHAnsi" w:cs="Calibri"/>
        </w:rPr>
        <w:t>Bluelight</w:t>
      </w:r>
      <w:proofErr w:type="spellEnd"/>
      <w:r w:rsidRPr="00734AB6">
        <w:rPr>
          <w:rFonts w:asciiTheme="majorHAnsi" w:eastAsia="Calibri" w:hAnsiTheme="majorHAnsi" w:cs="Calibri"/>
        </w:rPr>
        <w:t xml:space="preserve"> (http://www.bluelight.org) and Drugs-Forum (http://www.drugs-forum.com) were selected as they are platforms for a wide range of drug users. Reddit (http://www.reddit.com) was selected as it offers specific platforms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for discussions of illicit drug and CED use. Members of many of these forums are recreational drug users (and, in some cases, specifically CED users). They, therefore, tend to be well informed about the drugs in question. These forum members, thus, reflect specific populations of drug users. Although seven of the selected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were drug-related, a further four of the selected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were student forums. As there have been many reports of student use of CEDs during assessment periods (</w:t>
      </w:r>
      <w:proofErr w:type="spellStart"/>
      <w:r w:rsidRPr="00734AB6">
        <w:rPr>
          <w:rFonts w:asciiTheme="majorHAnsi" w:eastAsia="Calibri" w:hAnsiTheme="majorHAnsi" w:cs="Calibri"/>
        </w:rPr>
        <w:t>Lanni</w:t>
      </w:r>
      <w:proofErr w:type="spellEnd"/>
      <w:r w:rsidRPr="00734AB6">
        <w:rPr>
          <w:rFonts w:asciiTheme="majorHAnsi" w:eastAsia="Calibri" w:hAnsiTheme="majorHAnsi" w:cs="Calibri"/>
        </w:rPr>
        <w:t xml:space="preserve"> et al., 2008; Sattler &amp; Weigel, 2013), the Student Room (http://www.thestudentroom.co.uk) and the student forum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were selected in order to obtain a broader picture of modafinil use than could be obtained through drug user forums alone. Due to the anonymous nature of data collection, however, it was not possible to separate the data collected from these two population samples. The respondents were recruited by posting an advertisement with a link to the survey on all of the forum sites</w:t>
      </w:r>
      <w:r w:rsidR="006B4173" w:rsidRPr="00734AB6">
        <w:rPr>
          <w:rFonts w:asciiTheme="majorHAnsi" w:eastAsia="Calibri" w:hAnsiTheme="majorHAnsi" w:cs="Calibri"/>
        </w:rPr>
        <w:t xml:space="preserve"> (see Appendix A(ii)</w:t>
      </w:r>
      <w:r w:rsidR="00740E31" w:rsidRPr="00734AB6">
        <w:rPr>
          <w:rFonts w:asciiTheme="majorHAnsi" w:eastAsia="Calibri" w:hAnsiTheme="majorHAnsi" w:cs="Calibri"/>
        </w:rPr>
        <w:t xml:space="preserve"> for details</w:t>
      </w:r>
      <w:r w:rsidR="00F1098F" w:rsidRPr="00734AB6">
        <w:rPr>
          <w:rFonts w:asciiTheme="majorHAnsi" w:eastAsia="Calibri" w:hAnsiTheme="majorHAnsi" w:cs="Calibri"/>
        </w:rPr>
        <w:t>)</w:t>
      </w:r>
      <w:r w:rsidRPr="00734AB6">
        <w:rPr>
          <w:rFonts w:asciiTheme="majorHAnsi" w:eastAsia="Calibri" w:hAnsiTheme="majorHAnsi" w:cs="Calibri"/>
        </w:rPr>
        <w:t xml:space="preserve">. No reward was offered for their participation. The survey was conducted over a two-month period from August 12th to October 12th, 2016. Respondents included in the study had either taken modafinil or methylphenidate or </w:t>
      </w:r>
      <w:r w:rsidRPr="00734AB6">
        <w:rPr>
          <w:rFonts w:asciiTheme="majorHAnsi" w:eastAsia="Calibri" w:hAnsiTheme="majorHAnsi" w:cs="Calibri"/>
        </w:rPr>
        <w:lastRenderedPageBreak/>
        <w:t>they reported that they had been aware of CEDs in general and/or the specific CEDs in question</w:t>
      </w:r>
      <w:bookmarkEnd w:id="30"/>
      <w:r w:rsidRPr="00734AB6">
        <w:rPr>
          <w:rFonts w:asciiTheme="majorHAnsi" w:eastAsia="Calibri" w:hAnsiTheme="majorHAnsi" w:cs="Calibri"/>
        </w:rPr>
        <w:t>. Two exclusion criteria were used; firstly, respondents had to be aged over 18 years and, secondly, they must not be under the influence of a psychoactive drug whilst completing the survey.</w:t>
      </w:r>
    </w:p>
    <w:p w14:paraId="19967BD4"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p>
    <w:p w14:paraId="3D193FD8" w14:textId="77777777" w:rsidR="009C7702" w:rsidRPr="00734AB6" w:rsidRDefault="009C7702" w:rsidP="0056046D">
      <w:pPr>
        <w:pStyle w:val="Heading4"/>
        <w:spacing w:after="240" w:line="360" w:lineRule="auto"/>
        <w:rPr>
          <w:b/>
          <w:i w:val="0"/>
          <w:color w:val="auto"/>
        </w:rPr>
      </w:pPr>
      <w:bookmarkStart w:id="31" w:name="_Toc29829393"/>
      <w:r w:rsidRPr="00734AB6">
        <w:rPr>
          <w:b/>
          <w:i w:val="0"/>
          <w:color w:val="auto"/>
        </w:rPr>
        <w:t>2.2.2.2</w:t>
      </w:r>
      <w:r w:rsidRPr="00734AB6">
        <w:rPr>
          <w:b/>
          <w:i w:val="0"/>
          <w:color w:val="auto"/>
        </w:rPr>
        <w:tab/>
        <w:t>Materials</w:t>
      </w:r>
      <w:bookmarkEnd w:id="31"/>
    </w:p>
    <w:p w14:paraId="0CB3146B" w14:textId="5FA42A1F"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The survey was constructed following an analysis of other recent drug and CED-user surveys (</w:t>
      </w:r>
      <w:proofErr w:type="spellStart"/>
      <w:r w:rsidRPr="00734AB6">
        <w:rPr>
          <w:rFonts w:asciiTheme="majorHAnsi" w:eastAsia="Calibri" w:hAnsiTheme="majorHAnsi" w:cs="Calibri"/>
        </w:rPr>
        <w:t>Schelle</w:t>
      </w:r>
      <w:proofErr w:type="spellEnd"/>
      <w:r w:rsidRPr="00734AB6">
        <w:rPr>
          <w:rFonts w:asciiTheme="majorHAnsi" w:eastAsia="Calibri" w:hAnsiTheme="majorHAnsi" w:cs="Calibri"/>
        </w:rPr>
        <w:t xml:space="preserve"> et al., 2015; Singh et al., 2014; </w:t>
      </w:r>
      <w:proofErr w:type="spellStart"/>
      <w:r w:rsidRPr="00734AB6">
        <w:rPr>
          <w:rFonts w:asciiTheme="majorHAnsi" w:eastAsia="Calibri" w:hAnsiTheme="majorHAnsi" w:cs="Calibri"/>
        </w:rPr>
        <w:t>Winstock</w:t>
      </w:r>
      <w:proofErr w:type="spellEnd"/>
      <w:r w:rsidRPr="00734AB6">
        <w:rPr>
          <w:rFonts w:asciiTheme="majorHAnsi" w:eastAsia="Calibri" w:hAnsiTheme="majorHAnsi" w:cs="Calibri"/>
        </w:rPr>
        <w:t xml:space="preserve"> et al., 2011) and the identification of the outstanding questions from the current literature regarding motivations for use and access to CEDs (Ragan et al., 2013)</w:t>
      </w:r>
      <w:r w:rsidR="006F06B3" w:rsidRPr="00734AB6">
        <w:rPr>
          <w:rFonts w:asciiTheme="majorHAnsi" w:eastAsia="Calibri" w:hAnsiTheme="majorHAnsi" w:cs="Calibri"/>
        </w:rPr>
        <w:t xml:space="preserve">, see Appendix </w:t>
      </w:r>
      <w:r w:rsidR="006B4173" w:rsidRPr="00734AB6">
        <w:rPr>
          <w:rFonts w:asciiTheme="majorHAnsi" w:eastAsia="Calibri" w:hAnsiTheme="majorHAnsi" w:cs="Calibri"/>
        </w:rPr>
        <w:t>A(</w:t>
      </w:r>
      <w:proofErr w:type="spellStart"/>
      <w:r w:rsidR="006B4173" w:rsidRPr="00734AB6">
        <w:rPr>
          <w:rFonts w:asciiTheme="majorHAnsi" w:eastAsia="Calibri" w:hAnsiTheme="majorHAnsi" w:cs="Calibri"/>
        </w:rPr>
        <w:t>i</w:t>
      </w:r>
      <w:proofErr w:type="spellEnd"/>
      <w:r w:rsidR="006B4173" w:rsidRPr="00734AB6">
        <w:rPr>
          <w:rFonts w:asciiTheme="majorHAnsi" w:eastAsia="Calibri" w:hAnsiTheme="majorHAnsi" w:cs="Calibri"/>
        </w:rPr>
        <w:t>)</w:t>
      </w:r>
      <w:r w:rsidR="006F06B3" w:rsidRPr="00734AB6">
        <w:rPr>
          <w:rFonts w:asciiTheme="majorHAnsi" w:eastAsia="Calibri" w:hAnsiTheme="majorHAnsi" w:cs="Calibri"/>
        </w:rPr>
        <w:t xml:space="preserve"> for full details</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Qualtrics</w:t>
      </w:r>
      <w:r w:rsidRPr="00734AB6">
        <w:rPr>
          <w:rFonts w:asciiTheme="majorHAnsi" w:eastAsia="Calibri" w:hAnsiTheme="majorHAnsi" w:cs="Calibri"/>
          <w:vertAlign w:val="superscript"/>
        </w:rPr>
        <w:t>XM</w:t>
      </w:r>
      <w:proofErr w:type="spellEnd"/>
      <w:r w:rsidRPr="00734AB6">
        <w:rPr>
          <w:rFonts w:asciiTheme="majorHAnsi" w:eastAsia="Calibri" w:hAnsiTheme="majorHAnsi" w:cs="Calibri"/>
        </w:rPr>
        <w:t xml:space="preserve"> survey software was used to create the online survey and the survey was piloted by 10 respondents, resulting in no changes being made.</w:t>
      </w:r>
    </w:p>
    <w:p w14:paraId="4D230345" w14:textId="2CBC3E9A"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 xml:space="preserve">The presentation of an information sheet was followed by the consent form which, once clicked on, indicated informed consent. The questionnaire, which was divided into </w:t>
      </w:r>
      <w:r w:rsidR="00336AC3" w:rsidRPr="00734AB6">
        <w:rPr>
          <w:rFonts w:asciiTheme="majorHAnsi" w:eastAsia="Calibri" w:hAnsiTheme="majorHAnsi" w:cs="Calibri"/>
        </w:rPr>
        <w:t xml:space="preserve">individual </w:t>
      </w:r>
      <w:r w:rsidRPr="00734AB6">
        <w:rPr>
          <w:rFonts w:asciiTheme="majorHAnsi" w:eastAsia="Calibri" w:hAnsiTheme="majorHAnsi" w:cs="Calibri"/>
        </w:rPr>
        <w:t xml:space="preserve">sections (which are detailed below), was then presented and ended with a debriefing page which contained the option to submit the questionnaire or exit without submitting. In total, 97 questions were presented (although, depending on their responses, respondents were not necessarily required to answer every question). The estimated response time varied from five to 25 minutes, depending respondents’ extent of knowledge and experience of use of the drugs. </w:t>
      </w:r>
    </w:p>
    <w:p w14:paraId="534142F6"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p>
    <w:p w14:paraId="09B2A97E" w14:textId="77777777" w:rsidR="009C7702" w:rsidRPr="00734AB6" w:rsidRDefault="009C7702" w:rsidP="0056046D">
      <w:pPr>
        <w:pStyle w:val="Heading4"/>
        <w:spacing w:after="240" w:line="360" w:lineRule="auto"/>
        <w:rPr>
          <w:b/>
          <w:i w:val="0"/>
          <w:color w:val="auto"/>
        </w:rPr>
      </w:pPr>
      <w:bookmarkStart w:id="32" w:name="_Toc29829394"/>
      <w:r w:rsidRPr="00734AB6">
        <w:rPr>
          <w:b/>
          <w:i w:val="0"/>
          <w:color w:val="auto"/>
        </w:rPr>
        <w:t>2.2.2.3</w:t>
      </w:r>
      <w:r w:rsidRPr="00734AB6">
        <w:rPr>
          <w:b/>
          <w:i w:val="0"/>
          <w:color w:val="auto"/>
        </w:rPr>
        <w:tab/>
        <w:t>Demographics</w:t>
      </w:r>
      <w:bookmarkEnd w:id="32"/>
    </w:p>
    <w:p w14:paraId="261CFD40" w14:textId="38E4B398"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In order to gain a greater insight into the profile of the modafinil and methylphenidate users frequenting these forum sites, demographic information was collected. This sect</w:t>
      </w:r>
      <w:r w:rsidR="006B09B6" w:rsidRPr="00734AB6">
        <w:rPr>
          <w:rFonts w:asciiTheme="majorHAnsi" w:eastAsia="Calibri" w:hAnsiTheme="majorHAnsi" w:cs="Calibri"/>
        </w:rPr>
        <w:t>ion consisted of nine questions</w:t>
      </w:r>
      <w:r w:rsidRPr="00734AB6">
        <w:rPr>
          <w:rFonts w:asciiTheme="majorHAnsi" w:eastAsia="Calibri" w:hAnsiTheme="majorHAnsi" w:cs="Calibri"/>
        </w:rPr>
        <w:t xml:space="preserve"> covering age, </w:t>
      </w:r>
      <w:r w:rsidR="00F134F8">
        <w:rPr>
          <w:rFonts w:asciiTheme="majorHAnsi" w:eastAsia="Calibri" w:hAnsiTheme="majorHAnsi" w:cs="Calibri"/>
        </w:rPr>
        <w:t>gender</w:t>
      </w:r>
      <w:r w:rsidRPr="00734AB6">
        <w:rPr>
          <w:rFonts w:asciiTheme="majorHAnsi" w:eastAsia="Calibri" w:hAnsiTheme="majorHAnsi" w:cs="Calibri"/>
        </w:rPr>
        <w:t>, nationality, country of residence, educational and employment details.</w:t>
      </w:r>
    </w:p>
    <w:p w14:paraId="412C35C0"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b/>
        </w:rPr>
      </w:pPr>
    </w:p>
    <w:p w14:paraId="5816D4C0" w14:textId="77777777" w:rsidR="009C7702" w:rsidRPr="00734AB6" w:rsidRDefault="009C7702" w:rsidP="0056046D">
      <w:pPr>
        <w:pStyle w:val="Heading4"/>
        <w:spacing w:after="240" w:line="360" w:lineRule="auto"/>
        <w:rPr>
          <w:b/>
          <w:i w:val="0"/>
          <w:color w:val="auto"/>
        </w:rPr>
      </w:pPr>
      <w:bookmarkStart w:id="33" w:name="_Toc29829395"/>
      <w:r w:rsidRPr="00734AB6">
        <w:rPr>
          <w:b/>
          <w:i w:val="0"/>
          <w:color w:val="auto"/>
        </w:rPr>
        <w:t>2.2.2.4</w:t>
      </w:r>
      <w:r w:rsidRPr="00734AB6">
        <w:rPr>
          <w:b/>
          <w:i w:val="0"/>
          <w:color w:val="auto"/>
        </w:rPr>
        <w:tab/>
        <w:t>Drug awareness</w:t>
      </w:r>
      <w:bookmarkEnd w:id="33"/>
    </w:p>
    <w:p w14:paraId="7EECA6F5" w14:textId="4622CB96"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two questions in this section focused on the awareness of CEDs and the respondent’s willingness to take them. Respondents who reported awareness of either </w:t>
      </w:r>
      <w:r w:rsidR="002B12F5" w:rsidRPr="00734AB6">
        <w:rPr>
          <w:rFonts w:asciiTheme="majorHAnsi" w:eastAsia="Calibri" w:hAnsiTheme="majorHAnsi" w:cs="Calibri"/>
        </w:rPr>
        <w:t>drug but</w:t>
      </w:r>
      <w:r w:rsidRPr="00734AB6">
        <w:rPr>
          <w:rFonts w:asciiTheme="majorHAnsi" w:eastAsia="Calibri" w:hAnsiTheme="majorHAnsi" w:cs="Calibri"/>
        </w:rPr>
        <w:t xml:space="preserve"> indicated that they did not use either drug themselves, were then directed to the statements of opinions detailed in Section </w:t>
      </w:r>
      <w:r w:rsidR="00F1098F" w:rsidRPr="00734AB6">
        <w:rPr>
          <w:rFonts w:asciiTheme="majorHAnsi" w:eastAsia="Calibri" w:hAnsiTheme="majorHAnsi" w:cs="Calibri"/>
        </w:rPr>
        <w:t>2.</w:t>
      </w:r>
      <w:r w:rsidRPr="00734AB6">
        <w:rPr>
          <w:rFonts w:asciiTheme="majorHAnsi" w:eastAsia="Calibri" w:hAnsiTheme="majorHAnsi" w:cs="Calibri"/>
        </w:rPr>
        <w:t>3.2.</w:t>
      </w:r>
    </w:p>
    <w:p w14:paraId="57CE03B5" w14:textId="77777777" w:rsidR="009C7702" w:rsidRPr="00734AB6" w:rsidRDefault="009C7702" w:rsidP="00AD47ED">
      <w:pPr>
        <w:spacing w:after="0" w:line="360" w:lineRule="auto"/>
        <w:ind w:firstLine="851"/>
        <w:rPr>
          <w:rFonts w:asciiTheme="majorHAnsi" w:eastAsia="Calibri" w:hAnsiTheme="majorHAnsi" w:cs="Calibri"/>
        </w:rPr>
      </w:pPr>
    </w:p>
    <w:p w14:paraId="15711697" w14:textId="77777777" w:rsidR="009C7702" w:rsidRPr="00734AB6" w:rsidRDefault="009C7702" w:rsidP="0056046D">
      <w:pPr>
        <w:pStyle w:val="Heading4"/>
        <w:spacing w:after="240" w:line="360" w:lineRule="auto"/>
        <w:rPr>
          <w:b/>
          <w:i w:val="0"/>
          <w:color w:val="auto"/>
        </w:rPr>
      </w:pPr>
      <w:r w:rsidRPr="00734AB6">
        <w:rPr>
          <w:b/>
          <w:i w:val="0"/>
          <w:color w:val="auto"/>
        </w:rPr>
        <w:t>2.2.2.5</w:t>
      </w:r>
      <w:r w:rsidRPr="00734AB6">
        <w:rPr>
          <w:b/>
          <w:i w:val="0"/>
          <w:color w:val="auto"/>
        </w:rPr>
        <w:tab/>
        <w:t>Drug use</w:t>
      </w:r>
    </w:p>
    <w:p w14:paraId="2E7C5E8C" w14:textId="2CF469B1"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 xml:space="preserve">This section comprised of 18 questions relating to drug use history (marijuana, cocaine, </w:t>
      </w:r>
      <w:r w:rsidRPr="00734AB6">
        <w:rPr>
          <w:rFonts w:asciiTheme="majorHAnsi" w:eastAsia="Calibri" w:hAnsiTheme="majorHAnsi" w:cs="Calibri"/>
        </w:rPr>
        <w:lastRenderedPageBreak/>
        <w:t xml:space="preserve">amphetamines such as speed, and MDMA/ecstasy). Drug use questions required respondents to indicate, with a </w:t>
      </w:r>
      <w:r w:rsidR="006B09B6" w:rsidRPr="00734AB6">
        <w:rPr>
          <w:rFonts w:asciiTheme="majorHAnsi" w:eastAsia="Calibri" w:hAnsiTheme="majorHAnsi" w:cs="Calibri"/>
        </w:rPr>
        <w:t>‘</w:t>
      </w:r>
      <w:r w:rsidRPr="00734AB6">
        <w:rPr>
          <w:rFonts w:asciiTheme="majorHAnsi" w:eastAsia="Calibri" w:hAnsiTheme="majorHAnsi" w:cs="Calibri"/>
        </w:rPr>
        <w:t>yes</w:t>
      </w:r>
      <w:r w:rsidR="006B09B6" w:rsidRPr="00734AB6">
        <w:rPr>
          <w:rFonts w:asciiTheme="majorHAnsi" w:eastAsia="Calibri" w:hAnsiTheme="majorHAnsi" w:cs="Calibri"/>
        </w:rPr>
        <w:t>’</w:t>
      </w:r>
      <w:r w:rsidRPr="00734AB6">
        <w:rPr>
          <w:rFonts w:asciiTheme="majorHAnsi" w:eastAsia="Calibri" w:hAnsiTheme="majorHAnsi" w:cs="Calibri"/>
        </w:rPr>
        <w:t xml:space="preserve"> or </w:t>
      </w:r>
      <w:r w:rsidR="006B09B6" w:rsidRPr="00734AB6">
        <w:rPr>
          <w:rFonts w:asciiTheme="majorHAnsi" w:eastAsia="Calibri" w:hAnsiTheme="majorHAnsi" w:cs="Calibri"/>
        </w:rPr>
        <w:t>‘</w:t>
      </w:r>
      <w:r w:rsidRPr="00734AB6">
        <w:rPr>
          <w:rFonts w:asciiTheme="majorHAnsi" w:eastAsia="Calibri" w:hAnsiTheme="majorHAnsi" w:cs="Calibri"/>
        </w:rPr>
        <w:t>no</w:t>
      </w:r>
      <w:r w:rsidR="006B09B6" w:rsidRPr="00734AB6">
        <w:rPr>
          <w:rFonts w:asciiTheme="majorHAnsi" w:eastAsia="Calibri" w:hAnsiTheme="majorHAnsi" w:cs="Calibri"/>
        </w:rPr>
        <w:t>’</w:t>
      </w:r>
      <w:r w:rsidRPr="00734AB6">
        <w:rPr>
          <w:rFonts w:asciiTheme="majorHAnsi" w:eastAsia="Calibri" w:hAnsiTheme="majorHAnsi" w:cs="Calibri"/>
        </w:rPr>
        <w:t xml:space="preserve"> response, lifetime use, use in the last year and attendance at drug and alcohol treatment programmes (e.g. “Have you ever been treated for a drug or alcohol-related problem?”). Data from drug use history were also analysed to investigate the impact of recreational drug use on the perceived effects of taking modafinil and methylphenidate.</w:t>
      </w:r>
    </w:p>
    <w:p w14:paraId="7443E378"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p>
    <w:p w14:paraId="6B7A5ECA" w14:textId="77777777" w:rsidR="009C7702" w:rsidRPr="00734AB6" w:rsidRDefault="009C7702" w:rsidP="0056046D">
      <w:pPr>
        <w:pStyle w:val="Heading4"/>
        <w:spacing w:after="240" w:line="360" w:lineRule="auto"/>
        <w:rPr>
          <w:b/>
          <w:i w:val="0"/>
          <w:color w:val="auto"/>
        </w:rPr>
      </w:pPr>
      <w:bookmarkStart w:id="34" w:name="_Toc29829396"/>
      <w:r w:rsidRPr="00734AB6">
        <w:rPr>
          <w:b/>
          <w:i w:val="0"/>
          <w:color w:val="auto"/>
        </w:rPr>
        <w:t>2.2.2.6</w:t>
      </w:r>
      <w:r w:rsidRPr="00734AB6">
        <w:rPr>
          <w:b/>
          <w:i w:val="0"/>
          <w:color w:val="auto"/>
        </w:rPr>
        <w:tab/>
        <w:t xml:space="preserve">Psychiatric health </w:t>
      </w:r>
      <w:bookmarkEnd w:id="34"/>
    </w:p>
    <w:p w14:paraId="5093504F"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 xml:space="preserve">There were four questions in this section relating to psychiatric diagnosis and psychiatric treatment. Example questions were “Have you ever been diagnosed with a psychiatric condition?”, “What was the diagnosis?”, and “Are you still receiving treatment?”. The term ‘psychiatric diagnosis’ was used in order to highlight that a formal diagnosis of mental health issues was required and to avoid any cultural or international differences in how the term ‘mental health’ might have been perceived by respondents. Given that the questions were framed in this way, the term ‘psychiatric diagnosis’ has continued to be used when reporting the responses to these questions in the Results section. </w:t>
      </w:r>
    </w:p>
    <w:p w14:paraId="3E7CDA50"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p>
    <w:p w14:paraId="56D01351"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p>
    <w:p w14:paraId="0781E59E" w14:textId="77777777" w:rsidR="009C7702" w:rsidRPr="00734AB6" w:rsidRDefault="009C7702" w:rsidP="0056046D">
      <w:pPr>
        <w:pStyle w:val="Heading4"/>
        <w:spacing w:after="240" w:line="360" w:lineRule="auto"/>
        <w:rPr>
          <w:b/>
          <w:i w:val="0"/>
          <w:color w:val="auto"/>
        </w:rPr>
      </w:pPr>
      <w:bookmarkStart w:id="35" w:name="_Toc29829397"/>
      <w:r w:rsidRPr="00734AB6">
        <w:rPr>
          <w:b/>
          <w:i w:val="0"/>
          <w:color w:val="auto"/>
        </w:rPr>
        <w:t>2.2.2.7</w:t>
      </w:r>
      <w:r w:rsidRPr="00734AB6">
        <w:rPr>
          <w:b/>
          <w:i w:val="0"/>
          <w:color w:val="auto"/>
        </w:rPr>
        <w:tab/>
        <w:t>Modafinil and methylphenidate use</w:t>
      </w:r>
      <w:bookmarkEnd w:id="35"/>
    </w:p>
    <w:p w14:paraId="1D52940D" w14:textId="12A13AA4"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 xml:space="preserve">These two sections were devoted to the CEDs, modafinil and to methylphenidate, each consisting of 16 questions. These included questions on frequency of use, dosage taken, how the drugs were obtained, concurrent use of other drugs, motivations for use and perceived positive and negative effects (referred to in this thesis as benefits and risks) experienced after taking either drug. Positive effects were drawn from previous surveys and reviews of both modafinil and methylphenidate (Dietz et al., 2016; </w:t>
      </w:r>
      <w:proofErr w:type="spellStart"/>
      <w:r w:rsidRPr="00734AB6">
        <w:rPr>
          <w:rFonts w:asciiTheme="majorHAnsi" w:eastAsia="Calibri" w:hAnsiTheme="majorHAnsi" w:cs="Calibri"/>
        </w:rPr>
        <w:t>Kinman</w:t>
      </w:r>
      <w:proofErr w:type="spellEnd"/>
      <w:r w:rsidRPr="00734AB6">
        <w:rPr>
          <w:rFonts w:asciiTheme="majorHAnsi" w:eastAsia="Calibri" w:hAnsiTheme="majorHAnsi" w:cs="Calibri"/>
        </w:rPr>
        <w:t>,</w:t>
      </w:r>
      <w:r w:rsidR="00F60EE9" w:rsidRPr="00734AB6">
        <w:rPr>
          <w:rFonts w:asciiTheme="majorHAnsi" w:eastAsia="Calibri" w:hAnsiTheme="majorHAnsi" w:cs="Calibri"/>
        </w:rPr>
        <w:t xml:space="preserve"> Armstrong &amp; Hood,</w:t>
      </w:r>
      <w:r w:rsidRPr="00734AB6">
        <w:rPr>
          <w:rFonts w:asciiTheme="majorHAnsi" w:eastAsia="Calibri" w:hAnsiTheme="majorHAnsi" w:cs="Calibri"/>
        </w:rPr>
        <w:t xml:space="preserve"> 2016; </w:t>
      </w:r>
      <w:proofErr w:type="spellStart"/>
      <w:r w:rsidRPr="00734AB6">
        <w:rPr>
          <w:rFonts w:asciiTheme="majorHAnsi" w:eastAsia="Calibri" w:hAnsiTheme="majorHAnsi" w:cs="Calibri"/>
        </w:rPr>
        <w:t>Rabiner</w:t>
      </w:r>
      <w:proofErr w:type="spellEnd"/>
      <w:r w:rsidRPr="00734AB6">
        <w:rPr>
          <w:rFonts w:asciiTheme="majorHAnsi" w:eastAsia="Calibri" w:hAnsiTheme="majorHAnsi" w:cs="Calibri"/>
        </w:rPr>
        <w:t xml:space="preserve"> et al, 2009; </w:t>
      </w:r>
      <w:proofErr w:type="spellStart"/>
      <w:r w:rsidRPr="00734AB6">
        <w:rPr>
          <w:rFonts w:asciiTheme="majorHAnsi" w:eastAsia="Calibri" w:hAnsiTheme="majorHAnsi" w:cs="Calibri"/>
        </w:rPr>
        <w:t>Repantis</w:t>
      </w:r>
      <w:proofErr w:type="spellEnd"/>
      <w:r w:rsidRPr="00734AB6">
        <w:rPr>
          <w:rFonts w:asciiTheme="majorHAnsi" w:eastAsia="Calibri" w:hAnsiTheme="majorHAnsi" w:cs="Calibri"/>
        </w:rPr>
        <w:t xml:space="preserve"> et al., 2010), and from online forum posts on the Reddit site (</w:t>
      </w:r>
      <w:hyperlink r:id="rId13" w:history="1">
        <w:r w:rsidRPr="00734AB6">
          <w:rPr>
            <w:rFonts w:asciiTheme="majorHAnsi" w:eastAsia="Calibri" w:hAnsiTheme="majorHAnsi" w:cs="Calibri"/>
            <w:color w:val="0563C1"/>
            <w:u w:val="single"/>
          </w:rPr>
          <w:t>www.reddit.com</w:t>
        </w:r>
      </w:hyperlink>
      <w:r w:rsidRPr="00734AB6">
        <w:rPr>
          <w:rFonts w:asciiTheme="majorHAnsi" w:eastAsia="Calibri" w:hAnsiTheme="majorHAnsi" w:cs="Calibri"/>
        </w:rPr>
        <w:t xml:space="preserve">). Negative effects were drawn from the pharmaceutical data sheets for both drugs (Provigil, n.d.; Ritalin, n.d.). A list of 14 known positive effects (including ‘none’) was presented, for example, </w:t>
      </w:r>
      <w:r w:rsidRPr="00734AB6">
        <w:rPr>
          <w:rFonts w:asciiTheme="majorHAnsi" w:hAnsiTheme="majorHAnsi" w:cs="Calibri"/>
        </w:rPr>
        <w:t xml:space="preserve">“increased concentration”, “motivation”, “clarity of mind”, “ability to focus” and “alertness”. The list format for this question was chosen in preference to providing a free text response in order to avoid respondents misinterpreting the nature of what was required by the question and to facilitate data entry and analysis. </w:t>
      </w:r>
      <w:r w:rsidRPr="00734AB6">
        <w:rPr>
          <w:rFonts w:asciiTheme="majorHAnsi" w:eastAsia="Calibri" w:hAnsiTheme="majorHAnsi" w:cs="Calibri"/>
        </w:rPr>
        <w:t xml:space="preserve">A total of 24 negative effects (including ‘none’) were presented in the same way, examples include anxiety, insomnia and chest pains. </w:t>
      </w:r>
      <w:r w:rsidRPr="00734AB6">
        <w:rPr>
          <w:rFonts w:asciiTheme="majorHAnsi" w:hAnsiTheme="majorHAnsi" w:cs="Calibri"/>
        </w:rPr>
        <w:t xml:space="preserve">Both lists were presented twice, respondents were asked to self-report their experiences with modafinil/methylphenidate during two timeframes, namely ‘immediate – whilst on the drug’ and ‘longer-lasting – once the drug has worn off’. All four lists had the option for respondents to select as many items as they </w:t>
      </w:r>
      <w:r w:rsidRPr="00734AB6">
        <w:rPr>
          <w:rFonts w:asciiTheme="majorHAnsi" w:hAnsiTheme="majorHAnsi" w:cs="Calibri"/>
        </w:rPr>
        <w:lastRenderedPageBreak/>
        <w:t xml:space="preserve">felt applied to them, as well as the option to tick ‘other’ which, if selected, brought the participant to a text box where further effects could be added via keystrokes. Further questions were included to assess knowledge of recommended dosages, perceptions of harmful use and dependency on modafinil/methylphenidate. </w:t>
      </w:r>
      <w:r w:rsidR="006B4CD0" w:rsidRPr="00734AB6">
        <w:rPr>
          <w:rFonts w:asciiTheme="majorHAnsi" w:hAnsiTheme="majorHAnsi" w:cs="Calibri"/>
        </w:rPr>
        <w:t>See Appendix B(</w:t>
      </w:r>
      <w:proofErr w:type="spellStart"/>
      <w:r w:rsidR="006B4CD0" w:rsidRPr="00734AB6">
        <w:rPr>
          <w:rFonts w:asciiTheme="majorHAnsi" w:hAnsiTheme="majorHAnsi" w:cs="Calibri"/>
        </w:rPr>
        <w:t>i</w:t>
      </w:r>
      <w:proofErr w:type="spellEnd"/>
      <w:r w:rsidR="006B4CD0" w:rsidRPr="00734AB6">
        <w:rPr>
          <w:rFonts w:asciiTheme="majorHAnsi" w:hAnsiTheme="majorHAnsi" w:cs="Calibri"/>
        </w:rPr>
        <w:t>) for full details.</w:t>
      </w:r>
      <w:r w:rsidR="006B4CD0" w:rsidRPr="00734AB6">
        <w:rPr>
          <w:rFonts w:asciiTheme="majorHAnsi" w:eastAsia="Calibri" w:hAnsiTheme="majorHAnsi" w:cs="Calibri"/>
        </w:rPr>
        <w:t xml:space="preserve"> </w:t>
      </w:r>
    </w:p>
    <w:p w14:paraId="04066C4D"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p>
    <w:p w14:paraId="05757495" w14:textId="77777777" w:rsidR="009C7702" w:rsidRPr="00734AB6" w:rsidRDefault="009C7702" w:rsidP="0056046D">
      <w:pPr>
        <w:pStyle w:val="Heading4"/>
        <w:spacing w:after="240" w:line="360" w:lineRule="auto"/>
        <w:rPr>
          <w:b/>
          <w:i w:val="0"/>
          <w:color w:val="auto"/>
        </w:rPr>
      </w:pPr>
      <w:r w:rsidRPr="00734AB6">
        <w:rPr>
          <w:b/>
          <w:i w:val="0"/>
          <w:color w:val="auto"/>
        </w:rPr>
        <w:t>2.2.2.8</w:t>
      </w:r>
      <w:r w:rsidRPr="00734AB6">
        <w:rPr>
          <w:b/>
          <w:i w:val="0"/>
          <w:color w:val="auto"/>
        </w:rPr>
        <w:tab/>
        <w:t>Prospective and Retrospective Memory Questionnaire (PRMQ)</w:t>
      </w:r>
    </w:p>
    <w:p w14:paraId="06062ADC" w14:textId="220E655F"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 xml:space="preserve">The PRMQ (Smith et al., 2000) consists of 16 items presented as questions, for example, “Do you forget something that you were told a few minutes before?”. Response selection is presented with a five-point Likert scale with each response scored as ‘very often’ = 5, ‘quite often’ = 4, ‘sometimes’ = 3, ‘rarely’ = 2 and ‘never’ = 1. Total scores range from 16 to 80 indicating performance ranging from normal to extremely poor respectively. The questions cover eight aspects of memory, namely, prospective short-term self-cued, prospective short-term environmentally-cued, prospective long-term self-cued, prospective long-term environmentally cued, retrospective self-cued, retrospective short-term environmentally-cued, retrospective long-term self-cued, and retrospective long-term environmentally-cued. Scores for each section range from </w:t>
      </w:r>
      <w:r w:rsidR="00D72412" w:rsidRPr="00734AB6">
        <w:rPr>
          <w:rFonts w:asciiTheme="majorHAnsi" w:eastAsia="Calibri" w:hAnsiTheme="majorHAnsi" w:cs="Calibri"/>
        </w:rPr>
        <w:t>two to 10</w:t>
      </w:r>
      <w:r w:rsidRPr="00734AB6">
        <w:rPr>
          <w:rFonts w:asciiTheme="majorHAnsi" w:eastAsia="Calibri" w:hAnsiTheme="majorHAnsi" w:cs="Calibri"/>
        </w:rPr>
        <w:t>. Environmentally-cued refers to external stimuli which evoke bottom-up responses, whereas self-cued refers to internally driven, self-directed, t</w:t>
      </w:r>
      <w:r w:rsidR="00B73FC0" w:rsidRPr="00734AB6">
        <w:rPr>
          <w:rFonts w:asciiTheme="majorHAnsi" w:eastAsia="Calibri" w:hAnsiTheme="majorHAnsi" w:cs="Calibri"/>
        </w:rPr>
        <w:t>op-down responses (Smith et al.</w:t>
      </w:r>
      <w:r w:rsidR="005F1410" w:rsidRPr="00734AB6">
        <w:rPr>
          <w:rFonts w:asciiTheme="majorHAnsi" w:eastAsia="Calibri" w:hAnsiTheme="majorHAnsi" w:cs="Calibri"/>
        </w:rPr>
        <w:t>, 2000</w:t>
      </w:r>
      <w:r w:rsidRPr="00734AB6">
        <w:rPr>
          <w:rFonts w:asciiTheme="majorHAnsi" w:eastAsia="Calibri" w:hAnsiTheme="majorHAnsi" w:cs="Calibri"/>
        </w:rPr>
        <w:t>).</w:t>
      </w:r>
    </w:p>
    <w:p w14:paraId="35A6EC46" w14:textId="7777777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b/>
        </w:rPr>
      </w:pPr>
    </w:p>
    <w:p w14:paraId="5FC315AA" w14:textId="77777777" w:rsidR="009C7702" w:rsidRPr="00734AB6" w:rsidRDefault="009C7702" w:rsidP="0056046D">
      <w:pPr>
        <w:pStyle w:val="Heading4"/>
        <w:spacing w:after="240" w:line="360" w:lineRule="auto"/>
        <w:rPr>
          <w:b/>
          <w:i w:val="0"/>
          <w:color w:val="auto"/>
        </w:rPr>
      </w:pPr>
      <w:bookmarkStart w:id="36" w:name="_Toc29829398"/>
      <w:r w:rsidRPr="00734AB6">
        <w:rPr>
          <w:b/>
          <w:i w:val="0"/>
          <w:color w:val="auto"/>
        </w:rPr>
        <w:t>2.2.2.9</w:t>
      </w:r>
      <w:r w:rsidRPr="00734AB6">
        <w:rPr>
          <w:b/>
          <w:i w:val="0"/>
          <w:color w:val="auto"/>
        </w:rPr>
        <w:tab/>
        <w:t>Design</w:t>
      </w:r>
      <w:bookmarkEnd w:id="36"/>
    </w:p>
    <w:p w14:paraId="5A230B99" w14:textId="77777777"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A three-way mixed-design ANOVA was used to investigate the perceived effects of modafinil and methylphenidate and their frequency of use. There was one between-group factor, frequency of use of modafinil/ methylphenidate (with five levels: every day, three or more times a week, once or twice a week, two or three times a month and six times or less a year). The two within-group factors were the timeframe over which the effects of modafinil/ and methylphenidate were reported (with two levels: immediate and longer-lasting) and the perceived effects of modafinil/ methylphenidate (with two levels: benefits and risks). </w:t>
      </w:r>
    </w:p>
    <w:p w14:paraId="0D80DB8E" w14:textId="77777777"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Further to this, a between-group design was used to investigate whether reported psychiatric diagnosis status had an effect on the perceived effects of either modafinil or methylphenidate. </w:t>
      </w:r>
    </w:p>
    <w:p w14:paraId="23738A70" w14:textId="77777777"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p>
    <w:p w14:paraId="2292B8D7" w14:textId="77777777" w:rsidR="009C7702" w:rsidRPr="00734AB6" w:rsidRDefault="009C7702" w:rsidP="0056046D">
      <w:pPr>
        <w:pStyle w:val="Heading4"/>
        <w:spacing w:after="240" w:line="360" w:lineRule="auto"/>
        <w:rPr>
          <w:b/>
          <w:i w:val="0"/>
          <w:color w:val="auto"/>
        </w:rPr>
      </w:pPr>
      <w:bookmarkStart w:id="37" w:name="_Toc29829399"/>
      <w:r w:rsidRPr="00734AB6">
        <w:rPr>
          <w:b/>
          <w:i w:val="0"/>
          <w:color w:val="auto"/>
        </w:rPr>
        <w:t>2.2.2.9</w:t>
      </w:r>
      <w:r w:rsidRPr="00734AB6">
        <w:rPr>
          <w:b/>
          <w:i w:val="0"/>
          <w:color w:val="auto"/>
        </w:rPr>
        <w:tab/>
        <w:t>Procedure</w:t>
      </w:r>
      <w:bookmarkEnd w:id="37"/>
    </w:p>
    <w:p w14:paraId="71C9D4E3" w14:textId="77777777" w:rsidR="009C7702" w:rsidRPr="00734AB6" w:rsidRDefault="009C7702" w:rsidP="0099584D">
      <w:pPr>
        <w:spacing w:after="0" w:line="360" w:lineRule="auto"/>
        <w:ind w:firstLine="720"/>
        <w:rPr>
          <w:rFonts w:asciiTheme="majorHAnsi" w:eastAsia="Calibri" w:hAnsiTheme="majorHAnsi"/>
        </w:rPr>
      </w:pPr>
      <w:r w:rsidRPr="00734AB6">
        <w:rPr>
          <w:rFonts w:asciiTheme="majorHAnsi" w:eastAsia="Calibri" w:hAnsiTheme="majorHAnsi"/>
        </w:rPr>
        <w:t>Ethical approval was granted for the study by the School of Applied Sciences Research Ethics Committee at London South Bank University, UREC 1626.</w:t>
      </w:r>
      <w:r w:rsidRPr="00734AB6">
        <w:rPr>
          <w:rFonts w:asciiTheme="majorHAnsi" w:eastAsia="Calibri" w:hAnsiTheme="majorHAnsi" w:cs="Calibri"/>
        </w:rPr>
        <w:t xml:space="preserve"> A link to the survey, along with </w:t>
      </w:r>
      <w:r w:rsidRPr="00734AB6">
        <w:rPr>
          <w:rFonts w:asciiTheme="majorHAnsi" w:eastAsia="Calibri" w:hAnsiTheme="majorHAnsi" w:cs="Calibri"/>
        </w:rPr>
        <w:lastRenderedPageBreak/>
        <w:t xml:space="preserve">an advertisement, was </w:t>
      </w:r>
      <w:r w:rsidRPr="00734AB6">
        <w:rPr>
          <w:rFonts w:asciiTheme="majorHAnsi" w:eastAsia="Calibri" w:hAnsiTheme="majorHAnsi"/>
        </w:rPr>
        <w:t>posted, with appropriate permission, to the selected forum sites</w:t>
      </w:r>
      <w:r w:rsidRPr="00734AB6">
        <w:rPr>
          <w:rFonts w:asciiTheme="majorHAnsi" w:eastAsia="Calibri" w:hAnsiTheme="majorHAnsi" w:cs="Calibri"/>
        </w:rPr>
        <w:t xml:space="preserve">. The advertisement explained the nature of the survey and </w:t>
      </w:r>
      <w:r w:rsidRPr="00734AB6">
        <w:rPr>
          <w:rFonts w:asciiTheme="majorHAnsi" w:eastAsia="Calibri" w:hAnsiTheme="majorHAnsi"/>
        </w:rPr>
        <w:t xml:space="preserve">that individuals would be invited to participate if they had either heard of modafinil or </w:t>
      </w:r>
      <w:r w:rsidRPr="00734AB6">
        <w:rPr>
          <w:rFonts w:asciiTheme="majorHAnsi" w:eastAsia="Calibri" w:hAnsiTheme="majorHAnsi" w:cs="Calibri"/>
        </w:rPr>
        <w:t>methylphenidate</w:t>
      </w:r>
      <w:r w:rsidRPr="00734AB6">
        <w:rPr>
          <w:rFonts w:asciiTheme="majorHAnsi" w:eastAsia="Calibri" w:hAnsiTheme="majorHAnsi"/>
        </w:rPr>
        <w:t xml:space="preserve"> or any other CEDs but had not tried them, or if they had tried them. The link to the survey first presented an information sheet, followed by a consent form which had to be clicked on for the survey to commence. At regular intervals, on the recommendation of the Research Ethics Committee, an option to exit the form was provided. Those who had not taken either modafinil or </w:t>
      </w:r>
      <w:r w:rsidRPr="00734AB6">
        <w:rPr>
          <w:rFonts w:asciiTheme="majorHAnsi" w:eastAsia="Calibri" w:hAnsiTheme="majorHAnsi" w:cs="Calibri"/>
        </w:rPr>
        <w:t>methylphenidate</w:t>
      </w:r>
      <w:r w:rsidRPr="00734AB6">
        <w:rPr>
          <w:rFonts w:asciiTheme="majorHAnsi" w:eastAsia="Calibri" w:hAnsiTheme="majorHAnsi"/>
        </w:rPr>
        <w:t xml:space="preserve"> were directed straight to the section relating to opinions about CEDs. The survey ended with a debriefing text and a submit button which had to be clicked in order for the data to be logged and included in the analyses. </w:t>
      </w:r>
    </w:p>
    <w:p w14:paraId="66F8FEED" w14:textId="77777777" w:rsidR="009C7702" w:rsidRPr="00734AB6" w:rsidRDefault="009C7702" w:rsidP="0099584D">
      <w:pPr>
        <w:spacing w:after="0" w:line="360" w:lineRule="auto"/>
        <w:ind w:firstLine="720"/>
        <w:rPr>
          <w:rFonts w:asciiTheme="majorHAnsi" w:eastAsia="Calibri" w:hAnsiTheme="majorHAnsi"/>
        </w:rPr>
      </w:pPr>
    </w:p>
    <w:p w14:paraId="7958AAAD" w14:textId="77777777" w:rsidR="009C7702" w:rsidRPr="00734AB6" w:rsidRDefault="009C7702" w:rsidP="0056046D">
      <w:pPr>
        <w:pStyle w:val="Heading3"/>
        <w:spacing w:after="240" w:line="360" w:lineRule="auto"/>
        <w:rPr>
          <w:b/>
          <w:color w:val="auto"/>
          <w:sz w:val="22"/>
          <w:szCs w:val="22"/>
        </w:rPr>
      </w:pPr>
      <w:bookmarkStart w:id="38" w:name="_Toc29829400"/>
      <w:bookmarkStart w:id="39" w:name="_Toc48136337"/>
      <w:r w:rsidRPr="00734AB6">
        <w:rPr>
          <w:b/>
          <w:color w:val="auto"/>
          <w:sz w:val="22"/>
          <w:szCs w:val="22"/>
        </w:rPr>
        <w:t>2.2.3</w:t>
      </w:r>
      <w:r w:rsidRPr="00734AB6">
        <w:rPr>
          <w:b/>
          <w:color w:val="auto"/>
          <w:sz w:val="22"/>
          <w:szCs w:val="22"/>
        </w:rPr>
        <w:tab/>
        <w:t>Results</w:t>
      </w:r>
      <w:bookmarkEnd w:id="38"/>
      <w:bookmarkEnd w:id="39"/>
    </w:p>
    <w:p w14:paraId="5998B438" w14:textId="109A9462"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This study focused on individuals who reported using modafinil or methylphenidate without a prescription and reported choosing to do so specifically for the purposes of cognitive enhancement. Therefore</w:t>
      </w:r>
      <w:r w:rsidR="00EC26BF" w:rsidRPr="00734AB6">
        <w:rPr>
          <w:rFonts w:asciiTheme="majorHAnsi" w:eastAsia="Calibri" w:hAnsiTheme="majorHAnsi" w:cs="Calibri"/>
        </w:rPr>
        <w:t>,</w:t>
      </w:r>
      <w:r w:rsidRPr="00734AB6">
        <w:rPr>
          <w:rFonts w:asciiTheme="majorHAnsi" w:eastAsia="Calibri" w:hAnsiTheme="majorHAnsi" w:cs="Calibri"/>
        </w:rPr>
        <w:t xml:space="preserve"> the data from individuals who were prescribed these drugs for medical reasons rather than for enhancement were not relevant to this research. Survey q</w:t>
      </w:r>
      <w:r w:rsidRPr="00734AB6">
        <w:rPr>
          <w:rFonts w:asciiTheme="majorHAnsi" w:eastAsia="Calibri" w:hAnsiTheme="majorHAnsi"/>
        </w:rPr>
        <w:t xml:space="preserve">uestions relating to prescribed medication use and psychiatric diagnosis made it possible to identify and exclude respondents who had prescriptions for either drug. </w:t>
      </w:r>
      <w:r w:rsidRPr="00734AB6">
        <w:rPr>
          <w:rFonts w:asciiTheme="majorHAnsi" w:eastAsia="Calibri" w:hAnsiTheme="majorHAnsi" w:cs="Calibri"/>
        </w:rPr>
        <w:t xml:space="preserve">The final sample size was 336, following the removal of the data from 70 respondents who were prescribed either modafinil or methylphenidate. </w:t>
      </w:r>
    </w:p>
    <w:p w14:paraId="5246AE78" w14:textId="2689F08D"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Of the final sample size, 253 (75.</w:t>
      </w:r>
      <w:r w:rsidR="00717223" w:rsidRPr="00734AB6">
        <w:rPr>
          <w:rFonts w:asciiTheme="majorHAnsi" w:eastAsia="Calibri" w:hAnsiTheme="majorHAnsi" w:cs="Calibri"/>
        </w:rPr>
        <w:t>30</w:t>
      </w:r>
      <w:r w:rsidRPr="00734AB6">
        <w:rPr>
          <w:rFonts w:asciiTheme="majorHAnsi" w:eastAsia="Calibri" w:hAnsiTheme="majorHAnsi" w:cs="Calibri"/>
        </w:rPr>
        <w:t>%) respondents reported taking either modafinil or methylphenidate, 149 (4</w:t>
      </w:r>
      <w:r w:rsidR="00717223" w:rsidRPr="00734AB6">
        <w:rPr>
          <w:rFonts w:asciiTheme="majorHAnsi" w:eastAsia="Calibri" w:hAnsiTheme="majorHAnsi" w:cs="Calibri"/>
        </w:rPr>
        <w:t>5</w:t>
      </w:r>
      <w:r w:rsidRPr="00734AB6">
        <w:rPr>
          <w:rFonts w:asciiTheme="majorHAnsi" w:eastAsia="Calibri" w:hAnsiTheme="majorHAnsi" w:cs="Calibri"/>
        </w:rPr>
        <w:t>.35%) indicated that they took modafinil only, 34 (10.12%) had reported taking methylphenidate only, 70 (20.83%) had reported taking both and 83 (24.7</w:t>
      </w:r>
      <w:r w:rsidR="00717223" w:rsidRPr="00734AB6">
        <w:rPr>
          <w:rFonts w:asciiTheme="majorHAnsi" w:eastAsia="Calibri" w:hAnsiTheme="majorHAnsi" w:cs="Calibri"/>
        </w:rPr>
        <w:t>0</w:t>
      </w:r>
      <w:r w:rsidRPr="00734AB6">
        <w:rPr>
          <w:rFonts w:asciiTheme="majorHAnsi" w:eastAsia="Calibri" w:hAnsiTheme="majorHAnsi" w:cs="Calibri"/>
        </w:rPr>
        <w:t xml:space="preserve">%) had reported taking neither drug, </w:t>
      </w:r>
      <w:r w:rsidR="000C6331" w:rsidRPr="00734AB6">
        <w:rPr>
          <w:rFonts w:asciiTheme="majorHAnsi" w:eastAsia="Calibri" w:hAnsiTheme="majorHAnsi" w:cs="Calibri"/>
        </w:rPr>
        <w:t>10</w:t>
      </w:r>
      <w:r w:rsidRPr="00734AB6">
        <w:rPr>
          <w:rFonts w:asciiTheme="majorHAnsi" w:eastAsia="Calibri" w:hAnsiTheme="majorHAnsi" w:cs="Calibri"/>
        </w:rPr>
        <w:t xml:space="preserve"> of which reported that they were not aware of CEDs. </w:t>
      </w:r>
    </w:p>
    <w:p w14:paraId="1BCAD0D2" w14:textId="77777777" w:rsidR="00055206" w:rsidRPr="00734AB6" w:rsidRDefault="00055206" w:rsidP="0099584D">
      <w:pPr>
        <w:widowControl w:val="0"/>
        <w:autoSpaceDE w:val="0"/>
        <w:autoSpaceDN w:val="0"/>
        <w:adjustRightInd w:val="0"/>
        <w:spacing w:after="0" w:line="360" w:lineRule="auto"/>
        <w:ind w:firstLine="851"/>
        <w:rPr>
          <w:rFonts w:asciiTheme="majorHAnsi" w:eastAsia="Calibri" w:hAnsiTheme="majorHAnsi" w:cs="Calibri"/>
        </w:rPr>
      </w:pPr>
    </w:p>
    <w:p w14:paraId="7CA02189" w14:textId="710D42EA"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In the following results sections, the term “reported off-prescription modafinil users” refers to all respondents who reported using modafinil and the term “reported off-prescription methylphenidate users” refers to all respondents who reported using methylphenidate. Therefore, there </w:t>
      </w:r>
      <w:r w:rsidR="00FC1D1D" w:rsidRPr="00734AB6">
        <w:rPr>
          <w:rFonts w:asciiTheme="majorHAnsi" w:eastAsia="Calibri" w:hAnsiTheme="majorHAnsi" w:cs="Calibri"/>
        </w:rPr>
        <w:t>wa</w:t>
      </w:r>
      <w:r w:rsidRPr="00734AB6">
        <w:rPr>
          <w:rFonts w:asciiTheme="majorHAnsi" w:eastAsia="Calibri" w:hAnsiTheme="majorHAnsi" w:cs="Calibri"/>
        </w:rPr>
        <w:t>s some overlap of reported modafinil use between these groups.</w:t>
      </w:r>
    </w:p>
    <w:p w14:paraId="26336CD9" w14:textId="77777777" w:rsidR="009C7702" w:rsidRPr="00734AB6" w:rsidRDefault="009C7702" w:rsidP="0099584D">
      <w:pPr>
        <w:widowControl w:val="0"/>
        <w:autoSpaceDE w:val="0"/>
        <w:autoSpaceDN w:val="0"/>
        <w:adjustRightInd w:val="0"/>
        <w:spacing w:after="0" w:line="360" w:lineRule="auto"/>
        <w:ind w:firstLine="851"/>
        <w:rPr>
          <w:rFonts w:asciiTheme="majorHAnsi" w:eastAsia="Calibri" w:hAnsiTheme="majorHAnsi" w:cs="Calibri"/>
        </w:rPr>
      </w:pPr>
    </w:p>
    <w:p w14:paraId="1DE37FD9" w14:textId="77777777" w:rsidR="009C7702" w:rsidRPr="00734AB6" w:rsidRDefault="009C7702" w:rsidP="0056046D">
      <w:pPr>
        <w:pStyle w:val="Heading4"/>
        <w:spacing w:after="240" w:line="360" w:lineRule="auto"/>
        <w:rPr>
          <w:b/>
          <w:i w:val="0"/>
          <w:color w:val="auto"/>
        </w:rPr>
      </w:pPr>
      <w:bookmarkStart w:id="40" w:name="_Toc29829401"/>
      <w:r w:rsidRPr="00734AB6">
        <w:rPr>
          <w:b/>
          <w:i w:val="0"/>
          <w:color w:val="auto"/>
        </w:rPr>
        <w:t>2.2.3.1</w:t>
      </w:r>
      <w:r w:rsidRPr="00734AB6">
        <w:rPr>
          <w:b/>
          <w:i w:val="0"/>
          <w:color w:val="auto"/>
        </w:rPr>
        <w:tab/>
        <w:t>Demographic information</w:t>
      </w:r>
      <w:bookmarkEnd w:id="40"/>
    </w:p>
    <w:p w14:paraId="3BAC7875" w14:textId="3CABA7AB"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 xml:space="preserve">Most of the respondents (including those who had never taken or heard of CEDs) were male (77%), the mean age was 26 years (SD = 9.12), with a range of 50 years (18-68). The majority of the respondents reported being </w:t>
      </w:r>
      <w:r w:rsidR="00BC6247" w:rsidRPr="00734AB6">
        <w:rPr>
          <w:rFonts w:asciiTheme="majorHAnsi" w:eastAsia="Calibri" w:hAnsiTheme="majorHAnsi" w:cs="Calibri"/>
        </w:rPr>
        <w:t>USA citizens</w:t>
      </w:r>
      <w:r w:rsidRPr="00734AB6">
        <w:rPr>
          <w:rFonts w:asciiTheme="majorHAnsi" w:eastAsia="Calibri" w:hAnsiTheme="majorHAnsi" w:cs="Calibri"/>
        </w:rPr>
        <w:t xml:space="preserve"> (37%), followed by British (24%), Europeans (excluding British) made up 15% of respondents, followed by Australians (8%), Canadians (6%) </w:t>
      </w:r>
      <w:r w:rsidRPr="00734AB6">
        <w:rPr>
          <w:rFonts w:asciiTheme="majorHAnsi" w:eastAsia="Calibri" w:hAnsiTheme="majorHAnsi" w:cs="Calibri"/>
        </w:rPr>
        <w:lastRenderedPageBreak/>
        <w:t>and the remaining 8% reported being from a mix of other countries.</w:t>
      </w:r>
    </w:p>
    <w:p w14:paraId="6295E510" w14:textId="7FAE5CF1"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majority of respondents </w:t>
      </w:r>
      <w:r w:rsidR="00052745" w:rsidRPr="00734AB6">
        <w:rPr>
          <w:rFonts w:asciiTheme="majorHAnsi" w:eastAsia="Calibri" w:hAnsiTheme="majorHAnsi" w:cs="Calibri"/>
        </w:rPr>
        <w:t xml:space="preserve">stated that they </w:t>
      </w:r>
      <w:r w:rsidRPr="00734AB6">
        <w:rPr>
          <w:rFonts w:asciiTheme="majorHAnsi" w:eastAsia="Calibri" w:hAnsiTheme="majorHAnsi" w:cs="Calibri"/>
        </w:rPr>
        <w:t>were university educated (59%), with 19% indicating that they had been awarded post-graduate degrees and 40% stating that they had obtained undergraduate degrees. The remaining 40% indicated that they were educated to age 18 and less than 1% were educated to age 16. A total of 56% of respondents reported that they were currently studying for a qualification and 79% of those respondents said they were university students.</w:t>
      </w:r>
    </w:p>
    <w:p w14:paraId="2B81785F" w14:textId="48155F43"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Of the respondents, 41.4% were in full-time employment, 28.4% were in part-time employment (paid and unpaid) and 30.1% were unemployed. The questions asked here did not allow confirmation of whether the unemployed were students or not.</w:t>
      </w:r>
    </w:p>
    <w:p w14:paraId="20F39B05" w14:textId="77777777" w:rsidR="009C7702" w:rsidRPr="00734AB6" w:rsidRDefault="009C7702" w:rsidP="0056046D">
      <w:pPr>
        <w:pStyle w:val="Heading4"/>
        <w:spacing w:after="240" w:line="360" w:lineRule="auto"/>
        <w:rPr>
          <w:b/>
          <w:i w:val="0"/>
          <w:color w:val="auto"/>
        </w:rPr>
      </w:pPr>
      <w:bookmarkStart w:id="41" w:name="_Toc29829402"/>
      <w:r w:rsidRPr="00734AB6">
        <w:rPr>
          <w:b/>
          <w:i w:val="0"/>
          <w:color w:val="auto"/>
        </w:rPr>
        <w:t>2.2.3.2</w:t>
      </w:r>
      <w:r w:rsidRPr="00734AB6">
        <w:rPr>
          <w:b/>
          <w:i w:val="0"/>
          <w:color w:val="auto"/>
        </w:rPr>
        <w:tab/>
        <w:t>Mental Health</w:t>
      </w:r>
      <w:bookmarkEnd w:id="41"/>
    </w:p>
    <w:p w14:paraId="3C8EE5BC" w14:textId="10F72C0D"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proportion of respondents who reported having been diagnosed with a psychiatric condition totalled 25.7%, and of those, 41.7% were diagnosed with depression, 9.5% were diagnosed with anxiety and 31% were diagnosed with both.</w:t>
      </w:r>
      <w:r w:rsidR="00934BEB" w:rsidRPr="00734AB6">
        <w:rPr>
          <w:rFonts w:asciiTheme="majorHAnsi" w:eastAsia="Calibri" w:hAnsiTheme="majorHAnsi" w:cs="Calibri"/>
        </w:rPr>
        <w:t xml:space="preserve"> See Appendix A(vi) for details.</w:t>
      </w:r>
    </w:p>
    <w:p w14:paraId="746B1F0B" w14:textId="77777777" w:rsidR="009C7702" w:rsidRPr="00734AB6" w:rsidRDefault="009C7702" w:rsidP="0056046D">
      <w:pPr>
        <w:pStyle w:val="Heading4"/>
        <w:spacing w:after="240" w:line="360" w:lineRule="auto"/>
        <w:rPr>
          <w:b/>
          <w:i w:val="0"/>
          <w:color w:val="auto"/>
        </w:rPr>
      </w:pPr>
      <w:bookmarkStart w:id="42" w:name="_Toc29829403"/>
      <w:r w:rsidRPr="00734AB6">
        <w:rPr>
          <w:b/>
          <w:i w:val="0"/>
          <w:color w:val="auto"/>
        </w:rPr>
        <w:t>2.2.3.3</w:t>
      </w:r>
      <w:r w:rsidRPr="00734AB6">
        <w:rPr>
          <w:b/>
          <w:i w:val="0"/>
          <w:color w:val="auto"/>
        </w:rPr>
        <w:tab/>
        <w:t>Illicit Drug Use</w:t>
      </w:r>
      <w:bookmarkEnd w:id="42"/>
    </w:p>
    <w:p w14:paraId="4C92CEF9" w14:textId="1324A3F7"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Levels of</w:t>
      </w:r>
      <w:r w:rsidR="00052745" w:rsidRPr="00734AB6">
        <w:rPr>
          <w:rFonts w:asciiTheme="majorHAnsi" w:eastAsia="Calibri" w:hAnsiTheme="majorHAnsi" w:cs="Calibri"/>
        </w:rPr>
        <w:t xml:space="preserve"> reported</w:t>
      </w:r>
      <w:r w:rsidRPr="00734AB6">
        <w:rPr>
          <w:rFonts w:asciiTheme="majorHAnsi" w:eastAsia="Calibri" w:hAnsiTheme="majorHAnsi" w:cs="Calibri"/>
        </w:rPr>
        <w:t xml:space="preserve"> illicit drug use among the respondents in this study were high. A total of 81% of respondents reported lifetime use of cannabis, 36% reported lifetime use of cocaine, 40% reported lifetime use of stimulants and 42% reported lifetime use of MDMA. </w:t>
      </w:r>
      <w:r w:rsidR="002C0D23" w:rsidRPr="00734AB6">
        <w:rPr>
          <w:rFonts w:asciiTheme="majorHAnsi" w:eastAsia="Calibri" w:hAnsiTheme="majorHAnsi" w:cs="Calibri"/>
        </w:rPr>
        <w:t xml:space="preserve">See Appendix </w:t>
      </w:r>
      <w:r w:rsidR="006B4173" w:rsidRPr="00734AB6">
        <w:rPr>
          <w:rFonts w:asciiTheme="majorHAnsi" w:eastAsia="Calibri" w:hAnsiTheme="majorHAnsi" w:cs="Calibri"/>
        </w:rPr>
        <w:t>A(vi</w:t>
      </w:r>
      <w:r w:rsidR="000C6331" w:rsidRPr="00734AB6">
        <w:rPr>
          <w:rFonts w:asciiTheme="majorHAnsi" w:eastAsia="Calibri" w:hAnsiTheme="majorHAnsi" w:cs="Calibri"/>
        </w:rPr>
        <w:t>i</w:t>
      </w:r>
      <w:r w:rsidR="006B4173" w:rsidRPr="00734AB6">
        <w:rPr>
          <w:rFonts w:asciiTheme="majorHAnsi" w:eastAsia="Calibri" w:hAnsiTheme="majorHAnsi" w:cs="Calibri"/>
        </w:rPr>
        <w:t>)</w:t>
      </w:r>
      <w:r w:rsidR="00172D16" w:rsidRPr="00734AB6">
        <w:rPr>
          <w:rFonts w:asciiTheme="majorHAnsi" w:eastAsia="Calibri" w:hAnsiTheme="majorHAnsi" w:cs="Calibri"/>
        </w:rPr>
        <w:t xml:space="preserve"> for full details.</w:t>
      </w:r>
    </w:p>
    <w:p w14:paraId="556D76DE" w14:textId="77777777" w:rsidR="004E39A4" w:rsidRPr="00734AB6" w:rsidRDefault="004E39A4" w:rsidP="0099584D">
      <w:pPr>
        <w:spacing w:line="360" w:lineRule="auto"/>
        <w:ind w:firstLine="851"/>
        <w:rPr>
          <w:rFonts w:asciiTheme="majorHAnsi" w:eastAsia="Calibri" w:hAnsiTheme="majorHAnsi" w:cs="Calibri"/>
        </w:rPr>
      </w:pPr>
    </w:p>
    <w:p w14:paraId="371B088A" w14:textId="77777777" w:rsidR="009C7702" w:rsidRPr="00734AB6" w:rsidRDefault="009C7702" w:rsidP="0056046D">
      <w:pPr>
        <w:pStyle w:val="Heading4"/>
        <w:spacing w:after="240" w:line="360" w:lineRule="auto"/>
        <w:rPr>
          <w:b/>
          <w:i w:val="0"/>
          <w:color w:val="auto"/>
        </w:rPr>
      </w:pPr>
      <w:bookmarkStart w:id="43" w:name="_Toc29829404"/>
      <w:r w:rsidRPr="00734AB6">
        <w:rPr>
          <w:b/>
          <w:i w:val="0"/>
          <w:color w:val="auto"/>
        </w:rPr>
        <w:t>2.2.3.4</w:t>
      </w:r>
      <w:r w:rsidRPr="00734AB6">
        <w:rPr>
          <w:b/>
          <w:i w:val="0"/>
          <w:color w:val="auto"/>
        </w:rPr>
        <w:tab/>
        <w:t>Modafinil and Methylphenidate</w:t>
      </w:r>
      <w:bookmarkEnd w:id="43"/>
    </w:p>
    <w:p w14:paraId="2323670F" w14:textId="77777777" w:rsidR="009C7702" w:rsidRPr="00734AB6" w:rsidRDefault="009C7702" w:rsidP="0056046D">
      <w:pPr>
        <w:pStyle w:val="Heading5"/>
        <w:spacing w:after="240" w:line="360" w:lineRule="auto"/>
        <w:rPr>
          <w:b/>
          <w:color w:val="auto"/>
        </w:rPr>
      </w:pPr>
      <w:r w:rsidRPr="00734AB6">
        <w:rPr>
          <w:b/>
          <w:color w:val="auto"/>
        </w:rPr>
        <w:t>2.2.3.4.1</w:t>
      </w:r>
      <w:r w:rsidRPr="00734AB6">
        <w:rPr>
          <w:b/>
          <w:color w:val="auto"/>
        </w:rPr>
        <w:tab/>
        <w:t xml:space="preserve">Sources of access </w:t>
      </w:r>
    </w:p>
    <w:p w14:paraId="20356485" w14:textId="18943AC0"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main source of access to modafinil was reported to be via online sources (e.g. online pharmacies), and this was reportedly the sole source of access for the majority of modafinil users. For methylphenidate, the reported main source was through a friend and, again, this was reportedly the sole source of access for the majority of the methylphenidate users (see Table </w:t>
      </w:r>
      <w:r w:rsidR="009E23DC" w:rsidRPr="00734AB6">
        <w:rPr>
          <w:rFonts w:asciiTheme="majorHAnsi" w:eastAsia="Calibri" w:hAnsiTheme="majorHAnsi" w:cs="Calibri"/>
        </w:rPr>
        <w:t>2.2</w:t>
      </w:r>
      <w:r w:rsidRPr="00734AB6">
        <w:rPr>
          <w:rFonts w:asciiTheme="majorHAnsi" w:eastAsia="Calibri" w:hAnsiTheme="majorHAnsi" w:cs="Calibri"/>
        </w:rPr>
        <w:t xml:space="preserve"> for full details). </w:t>
      </w:r>
    </w:p>
    <w:p w14:paraId="3B5E1364" w14:textId="77777777" w:rsidR="009C7702" w:rsidRPr="00734AB6" w:rsidRDefault="009C7702" w:rsidP="0099584D">
      <w:pPr>
        <w:spacing w:line="360" w:lineRule="auto"/>
        <w:ind w:firstLine="851"/>
        <w:rPr>
          <w:rFonts w:asciiTheme="majorHAnsi" w:eastAsia="Calibri" w:hAnsiTheme="majorHAnsi" w:cs="Calibri"/>
        </w:rPr>
      </w:pPr>
    </w:p>
    <w:p w14:paraId="6BB27A81" w14:textId="77777777" w:rsidR="0039473F" w:rsidRPr="00734AB6" w:rsidRDefault="0039473F">
      <w:pPr>
        <w:rPr>
          <w:rFonts w:asciiTheme="majorHAnsi" w:eastAsia="Calibri" w:hAnsiTheme="majorHAnsi" w:cs="Calibri"/>
          <w:b/>
        </w:rPr>
      </w:pPr>
      <w:r w:rsidRPr="00734AB6">
        <w:rPr>
          <w:rFonts w:asciiTheme="majorHAnsi" w:eastAsia="Calibri" w:hAnsiTheme="majorHAnsi" w:cs="Calibri"/>
          <w:b/>
        </w:rPr>
        <w:br w:type="page"/>
      </w:r>
    </w:p>
    <w:p w14:paraId="231AAB56" w14:textId="7338F8EC" w:rsidR="009C7702" w:rsidRPr="00734AB6" w:rsidRDefault="009C7702" w:rsidP="0056046D">
      <w:pPr>
        <w:widowControl w:val="0"/>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lastRenderedPageBreak/>
        <w:t xml:space="preserve">Table </w:t>
      </w:r>
      <w:r w:rsidR="009E23DC" w:rsidRPr="00734AB6">
        <w:rPr>
          <w:rFonts w:asciiTheme="majorHAnsi" w:eastAsia="Calibri" w:hAnsiTheme="majorHAnsi" w:cs="Calibri"/>
          <w:b/>
        </w:rPr>
        <w:t>2.2</w:t>
      </w:r>
      <w:r w:rsidRPr="00734AB6">
        <w:rPr>
          <w:rFonts w:asciiTheme="majorHAnsi" w:eastAsia="Calibri" w:hAnsiTheme="majorHAnsi" w:cs="Calibri"/>
          <w:b/>
        </w:rPr>
        <w:t>.  Sources of access to modafinil and methylphenidate*</w:t>
      </w:r>
    </w:p>
    <w:tbl>
      <w:tblPr>
        <w:tblW w:w="850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1276"/>
        <w:gridCol w:w="1559"/>
        <w:gridCol w:w="1276"/>
        <w:gridCol w:w="1559"/>
      </w:tblGrid>
      <w:tr w:rsidR="009C7702" w:rsidRPr="00734AB6" w14:paraId="249CD1FC" w14:textId="77777777" w:rsidTr="003145E6">
        <w:tc>
          <w:tcPr>
            <w:tcW w:w="2835" w:type="dxa"/>
            <w:shd w:val="clear" w:color="auto" w:fill="auto"/>
          </w:tcPr>
          <w:p w14:paraId="512BCB12"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Sources of access to CED</w:t>
            </w:r>
          </w:p>
        </w:tc>
        <w:tc>
          <w:tcPr>
            <w:tcW w:w="2835" w:type="dxa"/>
            <w:gridSpan w:val="2"/>
            <w:shd w:val="clear" w:color="auto" w:fill="auto"/>
          </w:tcPr>
          <w:p w14:paraId="181A60A9"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Modafinil N (%)</w:t>
            </w:r>
          </w:p>
        </w:tc>
        <w:tc>
          <w:tcPr>
            <w:tcW w:w="2835" w:type="dxa"/>
            <w:gridSpan w:val="2"/>
            <w:shd w:val="clear" w:color="auto" w:fill="auto"/>
          </w:tcPr>
          <w:p w14:paraId="46FAF52E"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Methylphenidate N (%)</w:t>
            </w:r>
          </w:p>
        </w:tc>
      </w:tr>
      <w:tr w:rsidR="009C7702" w:rsidRPr="00734AB6" w14:paraId="1D82C6CC" w14:textId="77777777" w:rsidTr="003145E6">
        <w:tc>
          <w:tcPr>
            <w:tcW w:w="2835" w:type="dxa"/>
            <w:tcBorders>
              <w:bottom w:val="single" w:sz="4" w:space="0" w:color="auto"/>
            </w:tcBorders>
            <w:shd w:val="clear" w:color="auto" w:fill="auto"/>
          </w:tcPr>
          <w:p w14:paraId="2F307615"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p>
        </w:tc>
        <w:tc>
          <w:tcPr>
            <w:tcW w:w="1276" w:type="dxa"/>
            <w:tcBorders>
              <w:bottom w:val="single" w:sz="4" w:space="0" w:color="auto"/>
            </w:tcBorders>
            <w:shd w:val="clear" w:color="auto" w:fill="auto"/>
          </w:tcPr>
          <w:p w14:paraId="712ECCAE"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Total</w:t>
            </w:r>
          </w:p>
        </w:tc>
        <w:tc>
          <w:tcPr>
            <w:tcW w:w="1559" w:type="dxa"/>
            <w:tcBorders>
              <w:bottom w:val="single" w:sz="4" w:space="0" w:color="auto"/>
            </w:tcBorders>
            <w:shd w:val="clear" w:color="auto" w:fill="auto"/>
          </w:tcPr>
          <w:p w14:paraId="2B6F333C"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Sole access**</w:t>
            </w:r>
          </w:p>
        </w:tc>
        <w:tc>
          <w:tcPr>
            <w:tcW w:w="1276" w:type="dxa"/>
            <w:tcBorders>
              <w:bottom w:val="single" w:sz="4" w:space="0" w:color="auto"/>
            </w:tcBorders>
            <w:shd w:val="clear" w:color="auto" w:fill="auto"/>
          </w:tcPr>
          <w:p w14:paraId="640D60BB"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Total</w:t>
            </w:r>
          </w:p>
        </w:tc>
        <w:tc>
          <w:tcPr>
            <w:tcW w:w="1559" w:type="dxa"/>
            <w:tcBorders>
              <w:bottom w:val="single" w:sz="4" w:space="0" w:color="auto"/>
            </w:tcBorders>
            <w:shd w:val="clear" w:color="auto" w:fill="auto"/>
          </w:tcPr>
          <w:p w14:paraId="7044E143"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Sole access**</w:t>
            </w:r>
          </w:p>
        </w:tc>
      </w:tr>
      <w:tr w:rsidR="009C7702" w:rsidRPr="00734AB6" w14:paraId="3887362F" w14:textId="77777777" w:rsidTr="003145E6">
        <w:tc>
          <w:tcPr>
            <w:tcW w:w="2835" w:type="dxa"/>
            <w:tcBorders>
              <w:bottom w:val="nil"/>
            </w:tcBorders>
            <w:shd w:val="clear" w:color="auto" w:fill="auto"/>
          </w:tcPr>
          <w:p w14:paraId="3D113289"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GP script</w:t>
            </w:r>
          </w:p>
        </w:tc>
        <w:tc>
          <w:tcPr>
            <w:tcW w:w="1276" w:type="dxa"/>
            <w:tcBorders>
              <w:bottom w:val="nil"/>
            </w:tcBorders>
            <w:shd w:val="clear" w:color="auto" w:fill="auto"/>
          </w:tcPr>
          <w:p w14:paraId="57CC94F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14 (6.39)</w:t>
            </w:r>
          </w:p>
        </w:tc>
        <w:tc>
          <w:tcPr>
            <w:tcW w:w="1559" w:type="dxa"/>
            <w:tcBorders>
              <w:bottom w:val="nil"/>
            </w:tcBorders>
            <w:shd w:val="clear" w:color="auto" w:fill="auto"/>
          </w:tcPr>
          <w:p w14:paraId="5E7C012D"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9 (4.11)</w:t>
            </w:r>
          </w:p>
        </w:tc>
        <w:tc>
          <w:tcPr>
            <w:tcW w:w="1276" w:type="dxa"/>
            <w:tcBorders>
              <w:bottom w:val="nil"/>
            </w:tcBorders>
            <w:shd w:val="clear" w:color="auto" w:fill="auto"/>
          </w:tcPr>
          <w:p w14:paraId="56460AB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18 (17.31)</w:t>
            </w:r>
          </w:p>
        </w:tc>
        <w:tc>
          <w:tcPr>
            <w:tcW w:w="1559" w:type="dxa"/>
            <w:tcBorders>
              <w:bottom w:val="nil"/>
            </w:tcBorders>
            <w:shd w:val="clear" w:color="auto" w:fill="auto"/>
          </w:tcPr>
          <w:p w14:paraId="5814FEFE"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14 (13.46)</w:t>
            </w:r>
          </w:p>
        </w:tc>
      </w:tr>
      <w:tr w:rsidR="009C7702" w:rsidRPr="00734AB6" w14:paraId="14C01797" w14:textId="77777777" w:rsidTr="003145E6">
        <w:tc>
          <w:tcPr>
            <w:tcW w:w="2835" w:type="dxa"/>
            <w:tcBorders>
              <w:top w:val="nil"/>
              <w:bottom w:val="nil"/>
            </w:tcBorders>
            <w:shd w:val="clear" w:color="auto" w:fill="auto"/>
          </w:tcPr>
          <w:p w14:paraId="36366FBC"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Someone else’s prescription</w:t>
            </w:r>
          </w:p>
        </w:tc>
        <w:tc>
          <w:tcPr>
            <w:tcW w:w="1276" w:type="dxa"/>
            <w:tcBorders>
              <w:top w:val="nil"/>
              <w:bottom w:val="nil"/>
            </w:tcBorders>
            <w:shd w:val="clear" w:color="auto" w:fill="auto"/>
          </w:tcPr>
          <w:p w14:paraId="61693DC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 (1.83)</w:t>
            </w:r>
          </w:p>
        </w:tc>
        <w:tc>
          <w:tcPr>
            <w:tcW w:w="1559" w:type="dxa"/>
            <w:tcBorders>
              <w:top w:val="nil"/>
              <w:bottom w:val="nil"/>
            </w:tcBorders>
            <w:shd w:val="clear" w:color="auto" w:fill="auto"/>
          </w:tcPr>
          <w:p w14:paraId="1D74349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 (0.46)</w:t>
            </w:r>
          </w:p>
        </w:tc>
        <w:tc>
          <w:tcPr>
            <w:tcW w:w="1276" w:type="dxa"/>
            <w:tcBorders>
              <w:top w:val="nil"/>
              <w:bottom w:val="nil"/>
            </w:tcBorders>
            <w:shd w:val="clear" w:color="auto" w:fill="auto"/>
          </w:tcPr>
          <w:p w14:paraId="0E126644"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34 (32.69)</w:t>
            </w:r>
          </w:p>
        </w:tc>
        <w:tc>
          <w:tcPr>
            <w:tcW w:w="1559" w:type="dxa"/>
            <w:tcBorders>
              <w:top w:val="nil"/>
              <w:bottom w:val="nil"/>
            </w:tcBorders>
            <w:shd w:val="clear" w:color="auto" w:fill="auto"/>
          </w:tcPr>
          <w:p w14:paraId="72E9F745"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 (16.35)</w:t>
            </w:r>
          </w:p>
        </w:tc>
      </w:tr>
      <w:tr w:rsidR="009C7702" w:rsidRPr="00734AB6" w14:paraId="5D1A1BA7" w14:textId="77777777" w:rsidTr="003145E6">
        <w:tc>
          <w:tcPr>
            <w:tcW w:w="2835" w:type="dxa"/>
            <w:tcBorders>
              <w:top w:val="nil"/>
              <w:bottom w:val="nil"/>
            </w:tcBorders>
            <w:shd w:val="clear" w:color="auto" w:fill="auto"/>
          </w:tcPr>
          <w:p w14:paraId="2855C9B5"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Friend</w:t>
            </w:r>
          </w:p>
        </w:tc>
        <w:tc>
          <w:tcPr>
            <w:tcW w:w="1276" w:type="dxa"/>
            <w:tcBorders>
              <w:top w:val="nil"/>
              <w:bottom w:val="nil"/>
            </w:tcBorders>
            <w:shd w:val="clear" w:color="auto" w:fill="auto"/>
          </w:tcPr>
          <w:p w14:paraId="7E27F40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18 (8.22)</w:t>
            </w:r>
          </w:p>
        </w:tc>
        <w:tc>
          <w:tcPr>
            <w:tcW w:w="1559" w:type="dxa"/>
            <w:tcBorders>
              <w:top w:val="nil"/>
              <w:bottom w:val="nil"/>
            </w:tcBorders>
            <w:shd w:val="clear" w:color="auto" w:fill="auto"/>
          </w:tcPr>
          <w:p w14:paraId="5DC9912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11 (5.02)</w:t>
            </w:r>
          </w:p>
        </w:tc>
        <w:tc>
          <w:tcPr>
            <w:tcW w:w="1276" w:type="dxa"/>
            <w:tcBorders>
              <w:top w:val="nil"/>
              <w:bottom w:val="nil"/>
            </w:tcBorders>
            <w:shd w:val="clear" w:color="auto" w:fill="auto"/>
          </w:tcPr>
          <w:p w14:paraId="18D157B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46 (44.23)</w:t>
            </w:r>
          </w:p>
        </w:tc>
        <w:tc>
          <w:tcPr>
            <w:tcW w:w="1559" w:type="dxa"/>
            <w:tcBorders>
              <w:top w:val="nil"/>
              <w:bottom w:val="nil"/>
            </w:tcBorders>
            <w:shd w:val="clear" w:color="auto" w:fill="auto"/>
          </w:tcPr>
          <w:p w14:paraId="321EA7DA"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22 (21.15)</w:t>
            </w:r>
          </w:p>
        </w:tc>
      </w:tr>
      <w:tr w:rsidR="009C7702" w:rsidRPr="00734AB6" w14:paraId="6509DF43" w14:textId="77777777" w:rsidTr="003145E6">
        <w:tc>
          <w:tcPr>
            <w:tcW w:w="2835" w:type="dxa"/>
            <w:tcBorders>
              <w:top w:val="nil"/>
              <w:bottom w:val="nil"/>
            </w:tcBorders>
            <w:shd w:val="clear" w:color="auto" w:fill="auto"/>
          </w:tcPr>
          <w:p w14:paraId="4DA3BE1E"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Dealer</w:t>
            </w:r>
          </w:p>
        </w:tc>
        <w:tc>
          <w:tcPr>
            <w:tcW w:w="1276" w:type="dxa"/>
            <w:tcBorders>
              <w:top w:val="nil"/>
              <w:bottom w:val="nil"/>
            </w:tcBorders>
            <w:shd w:val="clear" w:color="auto" w:fill="auto"/>
          </w:tcPr>
          <w:p w14:paraId="1DC166AF"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16 (7.31)</w:t>
            </w:r>
          </w:p>
        </w:tc>
        <w:tc>
          <w:tcPr>
            <w:tcW w:w="1559" w:type="dxa"/>
            <w:tcBorders>
              <w:top w:val="nil"/>
              <w:bottom w:val="nil"/>
            </w:tcBorders>
            <w:shd w:val="clear" w:color="auto" w:fill="auto"/>
          </w:tcPr>
          <w:p w14:paraId="1F8CFCA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8 (3.65)</w:t>
            </w:r>
          </w:p>
        </w:tc>
        <w:tc>
          <w:tcPr>
            <w:tcW w:w="1276" w:type="dxa"/>
            <w:tcBorders>
              <w:top w:val="nil"/>
              <w:bottom w:val="nil"/>
            </w:tcBorders>
            <w:shd w:val="clear" w:color="auto" w:fill="auto"/>
          </w:tcPr>
          <w:p w14:paraId="7EC450AD"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18 (17.31)</w:t>
            </w:r>
          </w:p>
        </w:tc>
        <w:tc>
          <w:tcPr>
            <w:tcW w:w="1559" w:type="dxa"/>
            <w:tcBorders>
              <w:top w:val="nil"/>
              <w:bottom w:val="nil"/>
            </w:tcBorders>
            <w:shd w:val="clear" w:color="auto" w:fill="auto"/>
          </w:tcPr>
          <w:p w14:paraId="4C57F2C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9 (8.65)</w:t>
            </w:r>
          </w:p>
        </w:tc>
      </w:tr>
      <w:tr w:rsidR="009C7702" w:rsidRPr="00734AB6" w14:paraId="2A84E851" w14:textId="77777777" w:rsidTr="003145E6">
        <w:tc>
          <w:tcPr>
            <w:tcW w:w="2835" w:type="dxa"/>
            <w:tcBorders>
              <w:top w:val="nil"/>
              <w:bottom w:val="nil"/>
            </w:tcBorders>
            <w:shd w:val="clear" w:color="auto" w:fill="auto"/>
          </w:tcPr>
          <w:p w14:paraId="46C6E9CD"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Online</w:t>
            </w:r>
          </w:p>
        </w:tc>
        <w:tc>
          <w:tcPr>
            <w:tcW w:w="1276" w:type="dxa"/>
            <w:tcBorders>
              <w:top w:val="nil"/>
              <w:bottom w:val="nil"/>
            </w:tcBorders>
            <w:shd w:val="clear" w:color="auto" w:fill="auto"/>
          </w:tcPr>
          <w:p w14:paraId="58043CDB"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170 (77.63)</w:t>
            </w:r>
          </w:p>
        </w:tc>
        <w:tc>
          <w:tcPr>
            <w:tcW w:w="1559" w:type="dxa"/>
            <w:tcBorders>
              <w:top w:val="nil"/>
              <w:bottom w:val="nil"/>
            </w:tcBorders>
            <w:shd w:val="clear" w:color="auto" w:fill="auto"/>
          </w:tcPr>
          <w:p w14:paraId="359F802A"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151 (68.95)</w:t>
            </w:r>
          </w:p>
        </w:tc>
        <w:tc>
          <w:tcPr>
            <w:tcW w:w="1276" w:type="dxa"/>
            <w:tcBorders>
              <w:top w:val="nil"/>
              <w:bottom w:val="nil"/>
            </w:tcBorders>
            <w:shd w:val="clear" w:color="auto" w:fill="auto"/>
          </w:tcPr>
          <w:p w14:paraId="4304A69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12 (11.54)</w:t>
            </w:r>
          </w:p>
        </w:tc>
        <w:tc>
          <w:tcPr>
            <w:tcW w:w="1559" w:type="dxa"/>
            <w:tcBorders>
              <w:top w:val="nil"/>
              <w:bottom w:val="nil"/>
            </w:tcBorders>
            <w:shd w:val="clear" w:color="auto" w:fill="auto"/>
          </w:tcPr>
          <w:p w14:paraId="2477FF2B"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9 (8.65)</w:t>
            </w:r>
          </w:p>
        </w:tc>
      </w:tr>
      <w:tr w:rsidR="009C7702" w:rsidRPr="00734AB6" w14:paraId="5336A51A" w14:textId="77777777" w:rsidTr="003145E6">
        <w:tc>
          <w:tcPr>
            <w:tcW w:w="2835" w:type="dxa"/>
            <w:tcBorders>
              <w:top w:val="nil"/>
            </w:tcBorders>
            <w:shd w:val="clear" w:color="auto" w:fill="auto"/>
          </w:tcPr>
          <w:p w14:paraId="47D14125"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Other</w:t>
            </w:r>
          </w:p>
        </w:tc>
        <w:tc>
          <w:tcPr>
            <w:tcW w:w="1276" w:type="dxa"/>
            <w:tcBorders>
              <w:top w:val="nil"/>
            </w:tcBorders>
            <w:shd w:val="clear" w:color="auto" w:fill="auto"/>
          </w:tcPr>
          <w:p w14:paraId="41BCFA7D"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22 (10.05)</w:t>
            </w:r>
          </w:p>
        </w:tc>
        <w:tc>
          <w:tcPr>
            <w:tcW w:w="1559" w:type="dxa"/>
            <w:tcBorders>
              <w:top w:val="nil"/>
            </w:tcBorders>
            <w:shd w:val="clear" w:color="auto" w:fill="auto"/>
          </w:tcPr>
          <w:p w14:paraId="09E2634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18 (8.22)</w:t>
            </w:r>
          </w:p>
        </w:tc>
        <w:tc>
          <w:tcPr>
            <w:tcW w:w="1276" w:type="dxa"/>
            <w:tcBorders>
              <w:top w:val="nil"/>
            </w:tcBorders>
            <w:shd w:val="clear" w:color="auto" w:fill="auto"/>
          </w:tcPr>
          <w:p w14:paraId="4D077AC7"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11 (10.58)</w:t>
            </w:r>
          </w:p>
        </w:tc>
        <w:tc>
          <w:tcPr>
            <w:tcW w:w="1559" w:type="dxa"/>
            <w:tcBorders>
              <w:top w:val="nil"/>
            </w:tcBorders>
            <w:shd w:val="clear" w:color="auto" w:fill="auto"/>
          </w:tcPr>
          <w:p w14:paraId="32FDF1EB"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7 (6.73)</w:t>
            </w:r>
          </w:p>
        </w:tc>
      </w:tr>
    </w:tbl>
    <w:p w14:paraId="7268C363" w14:textId="77777777" w:rsidR="009C7702" w:rsidRPr="00734AB6" w:rsidRDefault="009C7702" w:rsidP="0099584D">
      <w:pPr>
        <w:spacing w:line="360" w:lineRule="auto"/>
        <w:rPr>
          <w:rFonts w:asciiTheme="majorHAnsi" w:eastAsia="Calibri" w:hAnsiTheme="majorHAnsi" w:cs="Arial"/>
          <w:b/>
        </w:rPr>
      </w:pPr>
      <w:r w:rsidRPr="00734AB6">
        <w:rPr>
          <w:rFonts w:asciiTheme="majorHAnsi" w:eastAsia="Calibri" w:hAnsiTheme="majorHAnsi" w:cs="Arial"/>
          <w:b/>
        </w:rPr>
        <w:t>*</w:t>
      </w:r>
      <w:r w:rsidRPr="00734AB6">
        <w:rPr>
          <w:rFonts w:asciiTheme="majorHAnsi" w:eastAsia="Calibri" w:hAnsiTheme="majorHAnsi" w:cs="Arial"/>
          <w:b/>
        </w:rPr>
        <w:tab/>
        <w:t>Numbers quoted (N) are frequency data</w:t>
      </w:r>
    </w:p>
    <w:p w14:paraId="4EBFCA17" w14:textId="77777777" w:rsidR="003145E6" w:rsidRPr="00734AB6" w:rsidRDefault="009C7702" w:rsidP="0056046D">
      <w:pPr>
        <w:widowControl w:val="0"/>
        <w:autoSpaceDE w:val="0"/>
        <w:autoSpaceDN w:val="0"/>
        <w:adjustRightInd w:val="0"/>
        <w:spacing w:after="0" w:line="360" w:lineRule="auto"/>
        <w:ind w:left="709" w:hanging="709"/>
        <w:rPr>
          <w:rFonts w:asciiTheme="majorHAnsi" w:eastAsia="Calibri" w:hAnsiTheme="majorHAnsi"/>
          <w:b/>
        </w:rPr>
      </w:pPr>
      <w:r w:rsidRPr="00734AB6">
        <w:rPr>
          <w:rFonts w:asciiTheme="majorHAnsi" w:eastAsia="Calibri" w:hAnsiTheme="majorHAnsi"/>
          <w:b/>
        </w:rPr>
        <w:t>**</w:t>
      </w:r>
      <w:r w:rsidRPr="00734AB6">
        <w:rPr>
          <w:rFonts w:asciiTheme="majorHAnsi" w:eastAsia="Calibri" w:hAnsiTheme="majorHAnsi"/>
          <w:b/>
        </w:rPr>
        <w:tab/>
        <w:t>Most participants reported using one, sole, source to</w:t>
      </w:r>
      <w:r w:rsidR="003145E6" w:rsidRPr="00734AB6">
        <w:rPr>
          <w:rFonts w:asciiTheme="majorHAnsi" w:eastAsia="Calibri" w:hAnsiTheme="majorHAnsi"/>
          <w:b/>
        </w:rPr>
        <w:t xml:space="preserve"> obtain these drugs </w:t>
      </w:r>
    </w:p>
    <w:p w14:paraId="381CB137" w14:textId="0BC8D600" w:rsidR="009C7702" w:rsidRPr="00734AB6" w:rsidRDefault="003145E6" w:rsidP="003145E6">
      <w:pPr>
        <w:widowControl w:val="0"/>
        <w:autoSpaceDE w:val="0"/>
        <w:autoSpaceDN w:val="0"/>
        <w:adjustRightInd w:val="0"/>
        <w:spacing w:after="0" w:line="360" w:lineRule="auto"/>
        <w:ind w:left="709"/>
        <w:rPr>
          <w:rFonts w:asciiTheme="majorHAnsi" w:eastAsia="Calibri" w:hAnsiTheme="majorHAnsi"/>
          <w:b/>
        </w:rPr>
      </w:pPr>
      <w:r w:rsidRPr="00734AB6">
        <w:rPr>
          <w:rFonts w:asciiTheme="majorHAnsi" w:eastAsia="Calibri" w:hAnsiTheme="majorHAnsi"/>
          <w:b/>
        </w:rPr>
        <w:t>Modafinil N = 219, Methylphenidate, N = 104</w:t>
      </w:r>
    </w:p>
    <w:p w14:paraId="3FC75562" w14:textId="77777777" w:rsidR="009C7702" w:rsidRPr="00734AB6" w:rsidRDefault="009C7702" w:rsidP="0099584D">
      <w:pPr>
        <w:widowControl w:val="0"/>
        <w:autoSpaceDE w:val="0"/>
        <w:autoSpaceDN w:val="0"/>
        <w:adjustRightInd w:val="0"/>
        <w:spacing w:after="0" w:line="360" w:lineRule="auto"/>
        <w:rPr>
          <w:rFonts w:asciiTheme="majorHAnsi" w:eastAsia="Calibri" w:hAnsiTheme="majorHAnsi" w:cs="Calibri"/>
          <w:b/>
        </w:rPr>
      </w:pPr>
    </w:p>
    <w:p w14:paraId="7321FE4E" w14:textId="77777777" w:rsidR="00391B50" w:rsidRPr="00734AB6" w:rsidRDefault="00391B50" w:rsidP="0099584D">
      <w:pPr>
        <w:widowControl w:val="0"/>
        <w:autoSpaceDE w:val="0"/>
        <w:autoSpaceDN w:val="0"/>
        <w:adjustRightInd w:val="0"/>
        <w:spacing w:after="0" w:line="360" w:lineRule="auto"/>
        <w:rPr>
          <w:rFonts w:asciiTheme="majorHAnsi" w:eastAsia="Calibri" w:hAnsiTheme="majorHAnsi" w:cs="Calibri"/>
          <w:b/>
        </w:rPr>
      </w:pPr>
    </w:p>
    <w:p w14:paraId="5D23789A" w14:textId="77777777" w:rsidR="009C7702" w:rsidRPr="00734AB6" w:rsidRDefault="009C7702" w:rsidP="0056046D">
      <w:pPr>
        <w:pStyle w:val="Heading5"/>
        <w:spacing w:after="240" w:line="360" w:lineRule="auto"/>
        <w:rPr>
          <w:b/>
          <w:color w:val="auto"/>
        </w:rPr>
      </w:pPr>
      <w:r w:rsidRPr="00734AB6">
        <w:rPr>
          <w:b/>
          <w:color w:val="auto"/>
        </w:rPr>
        <w:t>2.2.3.4.2</w:t>
      </w:r>
      <w:r w:rsidRPr="00734AB6">
        <w:rPr>
          <w:b/>
          <w:color w:val="auto"/>
        </w:rPr>
        <w:tab/>
        <w:t>Motivations for use</w:t>
      </w:r>
    </w:p>
    <w:p w14:paraId="34D68A48" w14:textId="76F4599D"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most commonly reported motivation for use of both modafinil and methylphenidate was for attention and focus. This was the most common sole motive for using modafinil and methylphenidate (for modafinil this was alongside ‘Exams’). This was followed, both for modafinil and methylphenidate, by ‘to get more done’ (see Table </w:t>
      </w:r>
      <w:r w:rsidR="009E23DC" w:rsidRPr="00734AB6">
        <w:rPr>
          <w:rFonts w:asciiTheme="majorHAnsi" w:eastAsia="Calibri" w:hAnsiTheme="majorHAnsi" w:cs="Calibri"/>
        </w:rPr>
        <w:t>2.3</w:t>
      </w:r>
      <w:r w:rsidRPr="00734AB6">
        <w:rPr>
          <w:rFonts w:asciiTheme="majorHAnsi" w:eastAsia="Calibri" w:hAnsiTheme="majorHAnsi" w:cs="Calibri"/>
        </w:rPr>
        <w:t xml:space="preserve"> for details).</w:t>
      </w:r>
    </w:p>
    <w:p w14:paraId="2583B9EF" w14:textId="77777777" w:rsidR="009C7702" w:rsidRPr="00734AB6" w:rsidRDefault="009C7702" w:rsidP="0099584D">
      <w:pPr>
        <w:spacing w:line="360" w:lineRule="auto"/>
        <w:ind w:firstLine="851"/>
        <w:rPr>
          <w:rFonts w:asciiTheme="majorHAnsi" w:eastAsia="Calibri" w:hAnsiTheme="majorHAnsi" w:cs="Calibri"/>
        </w:rPr>
      </w:pPr>
    </w:p>
    <w:p w14:paraId="4667FD3C" w14:textId="77777777" w:rsidR="003145E6" w:rsidRPr="00734AB6" w:rsidRDefault="003145E6">
      <w:pPr>
        <w:rPr>
          <w:rFonts w:asciiTheme="majorHAnsi" w:eastAsia="Calibri" w:hAnsiTheme="majorHAnsi" w:cs="Calibri"/>
          <w:b/>
        </w:rPr>
      </w:pPr>
      <w:r w:rsidRPr="00734AB6">
        <w:rPr>
          <w:rFonts w:asciiTheme="majorHAnsi" w:eastAsia="Calibri" w:hAnsiTheme="majorHAnsi" w:cs="Calibri"/>
          <w:b/>
        </w:rPr>
        <w:br w:type="page"/>
      </w:r>
    </w:p>
    <w:p w14:paraId="4980CE21" w14:textId="00C2A607" w:rsidR="009C7702" w:rsidRPr="00734AB6" w:rsidRDefault="009C7702" w:rsidP="0056046D">
      <w:pPr>
        <w:widowControl w:val="0"/>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lastRenderedPageBreak/>
        <w:t xml:space="preserve">Table </w:t>
      </w:r>
      <w:r w:rsidR="009E23DC" w:rsidRPr="00734AB6">
        <w:rPr>
          <w:rFonts w:asciiTheme="majorHAnsi" w:eastAsia="Calibri" w:hAnsiTheme="majorHAnsi" w:cs="Calibri"/>
          <w:b/>
        </w:rPr>
        <w:t>2.3</w:t>
      </w:r>
      <w:r w:rsidRPr="00734AB6">
        <w:rPr>
          <w:rFonts w:asciiTheme="majorHAnsi" w:eastAsia="Calibri" w:hAnsiTheme="majorHAnsi" w:cs="Calibri"/>
          <w:b/>
        </w:rPr>
        <w:t>. Motivations for use of modafinil and methylphenidate*</w:t>
      </w:r>
    </w:p>
    <w:tbl>
      <w:tblPr>
        <w:tblW w:w="8222" w:type="dxa"/>
        <w:tblLayout w:type="fixed"/>
        <w:tblLook w:val="04A0" w:firstRow="1" w:lastRow="0" w:firstColumn="1" w:lastColumn="0" w:noHBand="0" w:noVBand="1"/>
      </w:tblPr>
      <w:tblGrid>
        <w:gridCol w:w="2410"/>
        <w:gridCol w:w="1809"/>
        <w:gridCol w:w="1310"/>
        <w:gridCol w:w="1275"/>
        <w:gridCol w:w="1418"/>
      </w:tblGrid>
      <w:tr w:rsidR="009C7702" w:rsidRPr="00734AB6" w14:paraId="27C65204" w14:textId="77777777" w:rsidTr="007D40FD">
        <w:tc>
          <w:tcPr>
            <w:tcW w:w="2410" w:type="dxa"/>
            <w:tcBorders>
              <w:left w:val="nil"/>
              <w:bottom w:val="nil"/>
              <w:right w:val="nil"/>
            </w:tcBorders>
            <w:shd w:val="clear" w:color="auto" w:fill="auto"/>
          </w:tcPr>
          <w:p w14:paraId="6D70ACB1"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Motivations for use</w:t>
            </w:r>
          </w:p>
        </w:tc>
        <w:tc>
          <w:tcPr>
            <w:tcW w:w="3119" w:type="dxa"/>
            <w:gridSpan w:val="2"/>
            <w:tcBorders>
              <w:left w:val="nil"/>
              <w:bottom w:val="nil"/>
              <w:right w:val="nil"/>
            </w:tcBorders>
            <w:shd w:val="clear" w:color="auto" w:fill="auto"/>
          </w:tcPr>
          <w:p w14:paraId="169DE0F0"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Modafinil N (%)</w:t>
            </w:r>
          </w:p>
        </w:tc>
        <w:tc>
          <w:tcPr>
            <w:tcW w:w="2693" w:type="dxa"/>
            <w:gridSpan w:val="2"/>
            <w:tcBorders>
              <w:left w:val="nil"/>
              <w:bottom w:val="nil"/>
              <w:right w:val="nil"/>
            </w:tcBorders>
            <w:shd w:val="clear" w:color="auto" w:fill="auto"/>
          </w:tcPr>
          <w:p w14:paraId="41CB1A8C"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Methylphenidate N (%)</w:t>
            </w:r>
          </w:p>
        </w:tc>
      </w:tr>
      <w:tr w:rsidR="009C7702" w:rsidRPr="00734AB6" w14:paraId="1FDDB70D" w14:textId="77777777" w:rsidTr="007D40FD">
        <w:tc>
          <w:tcPr>
            <w:tcW w:w="2410" w:type="dxa"/>
            <w:tcBorders>
              <w:top w:val="nil"/>
              <w:left w:val="nil"/>
              <w:bottom w:val="single" w:sz="4" w:space="0" w:color="auto"/>
              <w:right w:val="nil"/>
            </w:tcBorders>
            <w:shd w:val="clear" w:color="auto" w:fill="auto"/>
          </w:tcPr>
          <w:p w14:paraId="7E451F2B"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p>
        </w:tc>
        <w:tc>
          <w:tcPr>
            <w:tcW w:w="1809" w:type="dxa"/>
            <w:tcBorders>
              <w:top w:val="nil"/>
              <w:left w:val="nil"/>
              <w:bottom w:val="single" w:sz="4" w:space="0" w:color="auto"/>
              <w:right w:val="nil"/>
            </w:tcBorders>
            <w:shd w:val="clear" w:color="auto" w:fill="auto"/>
          </w:tcPr>
          <w:p w14:paraId="3CC9ABE8"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Total</w:t>
            </w:r>
          </w:p>
        </w:tc>
        <w:tc>
          <w:tcPr>
            <w:tcW w:w="1310" w:type="dxa"/>
            <w:tcBorders>
              <w:top w:val="nil"/>
              <w:left w:val="nil"/>
              <w:bottom w:val="single" w:sz="4" w:space="0" w:color="auto"/>
              <w:right w:val="nil"/>
            </w:tcBorders>
            <w:shd w:val="clear" w:color="auto" w:fill="auto"/>
          </w:tcPr>
          <w:p w14:paraId="1FD4C3B7"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Sole motive</w:t>
            </w:r>
          </w:p>
        </w:tc>
        <w:tc>
          <w:tcPr>
            <w:tcW w:w="1275" w:type="dxa"/>
            <w:tcBorders>
              <w:top w:val="nil"/>
              <w:left w:val="nil"/>
              <w:bottom w:val="single" w:sz="4" w:space="0" w:color="auto"/>
              <w:right w:val="nil"/>
            </w:tcBorders>
            <w:shd w:val="clear" w:color="auto" w:fill="auto"/>
          </w:tcPr>
          <w:p w14:paraId="4065148E"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Total</w:t>
            </w:r>
          </w:p>
        </w:tc>
        <w:tc>
          <w:tcPr>
            <w:tcW w:w="1418" w:type="dxa"/>
            <w:tcBorders>
              <w:top w:val="nil"/>
              <w:left w:val="nil"/>
              <w:bottom w:val="single" w:sz="4" w:space="0" w:color="auto"/>
              <w:right w:val="nil"/>
            </w:tcBorders>
            <w:shd w:val="clear" w:color="auto" w:fill="auto"/>
          </w:tcPr>
          <w:p w14:paraId="00D25399"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Sole motive</w:t>
            </w:r>
          </w:p>
        </w:tc>
      </w:tr>
      <w:tr w:rsidR="009C7702" w:rsidRPr="00734AB6" w14:paraId="6C00B6BC" w14:textId="77777777" w:rsidTr="007D40FD">
        <w:tc>
          <w:tcPr>
            <w:tcW w:w="2410" w:type="dxa"/>
            <w:tcBorders>
              <w:left w:val="nil"/>
              <w:bottom w:val="nil"/>
              <w:right w:val="nil"/>
            </w:tcBorders>
            <w:shd w:val="clear" w:color="auto" w:fill="auto"/>
          </w:tcPr>
          <w:p w14:paraId="17C4367B"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Long hours</w:t>
            </w:r>
          </w:p>
        </w:tc>
        <w:tc>
          <w:tcPr>
            <w:tcW w:w="1809" w:type="dxa"/>
            <w:tcBorders>
              <w:left w:val="nil"/>
              <w:bottom w:val="nil"/>
              <w:right w:val="nil"/>
            </w:tcBorders>
            <w:shd w:val="clear" w:color="auto" w:fill="auto"/>
          </w:tcPr>
          <w:p w14:paraId="5D6AD9F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119 (54.34)</w:t>
            </w:r>
          </w:p>
        </w:tc>
        <w:tc>
          <w:tcPr>
            <w:tcW w:w="1310" w:type="dxa"/>
            <w:tcBorders>
              <w:left w:val="nil"/>
              <w:bottom w:val="nil"/>
              <w:right w:val="nil"/>
            </w:tcBorders>
            <w:shd w:val="clear" w:color="auto" w:fill="auto"/>
          </w:tcPr>
          <w:p w14:paraId="6738FA03"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 (1.83)</w:t>
            </w:r>
          </w:p>
        </w:tc>
        <w:tc>
          <w:tcPr>
            <w:tcW w:w="1275" w:type="dxa"/>
            <w:tcBorders>
              <w:left w:val="nil"/>
              <w:bottom w:val="nil"/>
              <w:right w:val="nil"/>
            </w:tcBorders>
            <w:shd w:val="clear" w:color="auto" w:fill="auto"/>
          </w:tcPr>
          <w:p w14:paraId="0FDC317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31 (29.81)</w:t>
            </w:r>
          </w:p>
        </w:tc>
        <w:tc>
          <w:tcPr>
            <w:tcW w:w="1418" w:type="dxa"/>
            <w:tcBorders>
              <w:left w:val="nil"/>
              <w:bottom w:val="nil"/>
              <w:right w:val="nil"/>
            </w:tcBorders>
            <w:shd w:val="clear" w:color="auto" w:fill="auto"/>
          </w:tcPr>
          <w:p w14:paraId="0D61623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 (2.89)</w:t>
            </w:r>
          </w:p>
        </w:tc>
      </w:tr>
      <w:tr w:rsidR="009C7702" w:rsidRPr="00734AB6" w14:paraId="3FDFF35B" w14:textId="77777777" w:rsidTr="007D40FD">
        <w:tc>
          <w:tcPr>
            <w:tcW w:w="2410" w:type="dxa"/>
            <w:tcBorders>
              <w:top w:val="nil"/>
              <w:left w:val="nil"/>
              <w:bottom w:val="nil"/>
              <w:right w:val="nil"/>
            </w:tcBorders>
            <w:shd w:val="clear" w:color="auto" w:fill="auto"/>
          </w:tcPr>
          <w:p w14:paraId="726F2854"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 xml:space="preserve">For attention and focus </w:t>
            </w:r>
          </w:p>
        </w:tc>
        <w:tc>
          <w:tcPr>
            <w:tcW w:w="1809" w:type="dxa"/>
            <w:tcBorders>
              <w:top w:val="nil"/>
              <w:left w:val="nil"/>
              <w:bottom w:val="nil"/>
              <w:right w:val="nil"/>
            </w:tcBorders>
            <w:shd w:val="clear" w:color="auto" w:fill="auto"/>
          </w:tcPr>
          <w:p w14:paraId="2D6B1D3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183 (83.56)</w:t>
            </w:r>
          </w:p>
        </w:tc>
        <w:tc>
          <w:tcPr>
            <w:tcW w:w="1310" w:type="dxa"/>
            <w:tcBorders>
              <w:top w:val="nil"/>
              <w:left w:val="nil"/>
              <w:bottom w:val="nil"/>
              <w:right w:val="nil"/>
            </w:tcBorders>
            <w:shd w:val="clear" w:color="auto" w:fill="auto"/>
          </w:tcPr>
          <w:p w14:paraId="014CCD2E"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8 (3.65)</w:t>
            </w:r>
          </w:p>
        </w:tc>
        <w:tc>
          <w:tcPr>
            <w:tcW w:w="1275" w:type="dxa"/>
            <w:tcBorders>
              <w:top w:val="nil"/>
              <w:left w:val="nil"/>
              <w:bottom w:val="nil"/>
              <w:right w:val="nil"/>
            </w:tcBorders>
            <w:shd w:val="clear" w:color="auto" w:fill="auto"/>
          </w:tcPr>
          <w:p w14:paraId="7A681D6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77 (74.04)</w:t>
            </w:r>
          </w:p>
        </w:tc>
        <w:tc>
          <w:tcPr>
            <w:tcW w:w="1418" w:type="dxa"/>
            <w:tcBorders>
              <w:top w:val="nil"/>
              <w:left w:val="nil"/>
              <w:bottom w:val="nil"/>
              <w:right w:val="nil"/>
            </w:tcBorders>
            <w:shd w:val="clear" w:color="auto" w:fill="auto"/>
          </w:tcPr>
          <w:p w14:paraId="073CBB0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11 (10.58)</w:t>
            </w:r>
          </w:p>
        </w:tc>
      </w:tr>
      <w:tr w:rsidR="009C7702" w:rsidRPr="00734AB6" w14:paraId="0A64BC9A" w14:textId="77777777" w:rsidTr="007D40FD">
        <w:tc>
          <w:tcPr>
            <w:tcW w:w="2410" w:type="dxa"/>
            <w:tcBorders>
              <w:top w:val="nil"/>
              <w:left w:val="nil"/>
              <w:bottom w:val="nil"/>
              <w:right w:val="nil"/>
            </w:tcBorders>
            <w:shd w:val="clear" w:color="auto" w:fill="auto"/>
          </w:tcPr>
          <w:p w14:paraId="0D87AE8C"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 xml:space="preserve">To get more done </w:t>
            </w:r>
          </w:p>
        </w:tc>
        <w:tc>
          <w:tcPr>
            <w:tcW w:w="1809" w:type="dxa"/>
            <w:tcBorders>
              <w:top w:val="nil"/>
              <w:left w:val="nil"/>
              <w:bottom w:val="nil"/>
              <w:right w:val="nil"/>
            </w:tcBorders>
            <w:shd w:val="clear" w:color="auto" w:fill="auto"/>
          </w:tcPr>
          <w:p w14:paraId="293FE51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169 (77.17)</w:t>
            </w:r>
          </w:p>
        </w:tc>
        <w:tc>
          <w:tcPr>
            <w:tcW w:w="1310" w:type="dxa"/>
            <w:tcBorders>
              <w:top w:val="nil"/>
              <w:left w:val="nil"/>
              <w:bottom w:val="nil"/>
              <w:right w:val="nil"/>
            </w:tcBorders>
            <w:shd w:val="clear" w:color="auto" w:fill="auto"/>
          </w:tcPr>
          <w:p w14:paraId="134447A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5 (2.28)</w:t>
            </w:r>
          </w:p>
        </w:tc>
        <w:tc>
          <w:tcPr>
            <w:tcW w:w="1275" w:type="dxa"/>
            <w:tcBorders>
              <w:top w:val="nil"/>
              <w:left w:val="nil"/>
              <w:bottom w:val="nil"/>
              <w:right w:val="nil"/>
            </w:tcBorders>
            <w:shd w:val="clear" w:color="auto" w:fill="auto"/>
          </w:tcPr>
          <w:p w14:paraId="3D7C754E"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65 (62.50)</w:t>
            </w:r>
          </w:p>
        </w:tc>
        <w:tc>
          <w:tcPr>
            <w:tcW w:w="1418" w:type="dxa"/>
            <w:tcBorders>
              <w:top w:val="nil"/>
              <w:left w:val="nil"/>
              <w:bottom w:val="nil"/>
              <w:right w:val="nil"/>
            </w:tcBorders>
            <w:shd w:val="clear" w:color="auto" w:fill="auto"/>
          </w:tcPr>
          <w:p w14:paraId="6AAD034E"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 (2.89)</w:t>
            </w:r>
          </w:p>
        </w:tc>
      </w:tr>
      <w:tr w:rsidR="009C7702" w:rsidRPr="00734AB6" w14:paraId="02A70E2D" w14:textId="77777777" w:rsidTr="007D40FD">
        <w:tc>
          <w:tcPr>
            <w:tcW w:w="2410" w:type="dxa"/>
            <w:tcBorders>
              <w:top w:val="nil"/>
              <w:left w:val="nil"/>
              <w:bottom w:val="nil"/>
              <w:right w:val="nil"/>
            </w:tcBorders>
            <w:shd w:val="clear" w:color="auto" w:fill="auto"/>
          </w:tcPr>
          <w:p w14:paraId="55A41DAF"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Exams</w:t>
            </w:r>
          </w:p>
        </w:tc>
        <w:tc>
          <w:tcPr>
            <w:tcW w:w="1809" w:type="dxa"/>
            <w:tcBorders>
              <w:top w:val="nil"/>
              <w:left w:val="nil"/>
              <w:bottom w:val="nil"/>
              <w:right w:val="nil"/>
            </w:tcBorders>
            <w:shd w:val="clear" w:color="auto" w:fill="auto"/>
          </w:tcPr>
          <w:p w14:paraId="1413B63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71 (32.42)</w:t>
            </w:r>
          </w:p>
        </w:tc>
        <w:tc>
          <w:tcPr>
            <w:tcW w:w="1310" w:type="dxa"/>
            <w:tcBorders>
              <w:top w:val="nil"/>
              <w:left w:val="nil"/>
              <w:bottom w:val="nil"/>
              <w:right w:val="nil"/>
            </w:tcBorders>
            <w:shd w:val="clear" w:color="auto" w:fill="auto"/>
          </w:tcPr>
          <w:p w14:paraId="534133B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8 (3.65)</w:t>
            </w:r>
          </w:p>
        </w:tc>
        <w:tc>
          <w:tcPr>
            <w:tcW w:w="1275" w:type="dxa"/>
            <w:tcBorders>
              <w:top w:val="nil"/>
              <w:left w:val="nil"/>
              <w:bottom w:val="nil"/>
              <w:right w:val="nil"/>
            </w:tcBorders>
            <w:shd w:val="clear" w:color="auto" w:fill="auto"/>
          </w:tcPr>
          <w:p w14:paraId="0768E87E"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43 (41.35)</w:t>
            </w:r>
          </w:p>
        </w:tc>
        <w:tc>
          <w:tcPr>
            <w:tcW w:w="1418" w:type="dxa"/>
            <w:tcBorders>
              <w:top w:val="nil"/>
              <w:left w:val="nil"/>
              <w:bottom w:val="nil"/>
              <w:right w:val="nil"/>
            </w:tcBorders>
            <w:shd w:val="clear" w:color="auto" w:fill="auto"/>
          </w:tcPr>
          <w:p w14:paraId="5EABDF6C"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2 (1.92)</w:t>
            </w:r>
          </w:p>
        </w:tc>
      </w:tr>
      <w:tr w:rsidR="009C7702" w:rsidRPr="00734AB6" w14:paraId="7C9AD8AC" w14:textId="77777777" w:rsidTr="007D40FD">
        <w:tc>
          <w:tcPr>
            <w:tcW w:w="2410" w:type="dxa"/>
            <w:tcBorders>
              <w:top w:val="nil"/>
              <w:left w:val="nil"/>
              <w:bottom w:val="nil"/>
              <w:right w:val="nil"/>
            </w:tcBorders>
            <w:shd w:val="clear" w:color="auto" w:fill="auto"/>
          </w:tcPr>
          <w:p w14:paraId="5DD782F4"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Night work</w:t>
            </w:r>
          </w:p>
        </w:tc>
        <w:tc>
          <w:tcPr>
            <w:tcW w:w="1809" w:type="dxa"/>
            <w:tcBorders>
              <w:top w:val="nil"/>
              <w:left w:val="nil"/>
              <w:bottom w:val="nil"/>
              <w:right w:val="nil"/>
            </w:tcBorders>
            <w:shd w:val="clear" w:color="auto" w:fill="auto"/>
          </w:tcPr>
          <w:p w14:paraId="2FC7A3BC"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42 (19.18)</w:t>
            </w:r>
          </w:p>
        </w:tc>
        <w:tc>
          <w:tcPr>
            <w:tcW w:w="1310" w:type="dxa"/>
            <w:tcBorders>
              <w:top w:val="nil"/>
              <w:left w:val="nil"/>
              <w:bottom w:val="nil"/>
              <w:right w:val="nil"/>
            </w:tcBorders>
            <w:shd w:val="clear" w:color="auto" w:fill="auto"/>
          </w:tcPr>
          <w:p w14:paraId="18E12CA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 (0.46)</w:t>
            </w:r>
          </w:p>
        </w:tc>
        <w:tc>
          <w:tcPr>
            <w:tcW w:w="1275" w:type="dxa"/>
            <w:tcBorders>
              <w:top w:val="nil"/>
              <w:left w:val="nil"/>
              <w:bottom w:val="nil"/>
              <w:right w:val="nil"/>
            </w:tcBorders>
            <w:shd w:val="clear" w:color="auto" w:fill="auto"/>
          </w:tcPr>
          <w:p w14:paraId="117AD5D7"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 (16.35)</w:t>
            </w:r>
          </w:p>
        </w:tc>
        <w:tc>
          <w:tcPr>
            <w:tcW w:w="1418" w:type="dxa"/>
            <w:tcBorders>
              <w:top w:val="nil"/>
              <w:left w:val="nil"/>
              <w:bottom w:val="nil"/>
              <w:right w:val="nil"/>
            </w:tcBorders>
            <w:shd w:val="clear" w:color="auto" w:fill="auto"/>
          </w:tcPr>
          <w:p w14:paraId="306A646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 (0.96)</w:t>
            </w:r>
          </w:p>
        </w:tc>
      </w:tr>
      <w:tr w:rsidR="009C7702" w:rsidRPr="00734AB6" w14:paraId="0BE6F57E" w14:textId="77777777" w:rsidTr="00391B50">
        <w:tc>
          <w:tcPr>
            <w:tcW w:w="2410" w:type="dxa"/>
            <w:tcBorders>
              <w:top w:val="nil"/>
              <w:left w:val="nil"/>
              <w:right w:val="nil"/>
            </w:tcBorders>
            <w:shd w:val="clear" w:color="auto" w:fill="auto"/>
          </w:tcPr>
          <w:p w14:paraId="5B773817"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To think more clearly</w:t>
            </w:r>
          </w:p>
        </w:tc>
        <w:tc>
          <w:tcPr>
            <w:tcW w:w="1809" w:type="dxa"/>
            <w:tcBorders>
              <w:top w:val="nil"/>
              <w:left w:val="nil"/>
              <w:right w:val="nil"/>
            </w:tcBorders>
            <w:shd w:val="clear" w:color="auto" w:fill="auto"/>
          </w:tcPr>
          <w:p w14:paraId="07AFC312"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120 (54.80)</w:t>
            </w:r>
          </w:p>
        </w:tc>
        <w:tc>
          <w:tcPr>
            <w:tcW w:w="1310" w:type="dxa"/>
            <w:tcBorders>
              <w:top w:val="nil"/>
              <w:left w:val="nil"/>
              <w:right w:val="nil"/>
            </w:tcBorders>
            <w:shd w:val="clear" w:color="auto" w:fill="auto"/>
          </w:tcPr>
          <w:p w14:paraId="7CDB2E8D"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 (1.37)</w:t>
            </w:r>
          </w:p>
        </w:tc>
        <w:tc>
          <w:tcPr>
            <w:tcW w:w="1275" w:type="dxa"/>
            <w:tcBorders>
              <w:top w:val="nil"/>
              <w:left w:val="nil"/>
              <w:right w:val="nil"/>
            </w:tcBorders>
            <w:shd w:val="clear" w:color="auto" w:fill="auto"/>
          </w:tcPr>
          <w:p w14:paraId="7F95CD15"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38 (36.54)</w:t>
            </w:r>
          </w:p>
        </w:tc>
        <w:tc>
          <w:tcPr>
            <w:tcW w:w="1418" w:type="dxa"/>
            <w:tcBorders>
              <w:top w:val="nil"/>
              <w:left w:val="nil"/>
              <w:right w:val="nil"/>
            </w:tcBorders>
            <w:shd w:val="clear" w:color="auto" w:fill="auto"/>
          </w:tcPr>
          <w:p w14:paraId="30E9943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 xml:space="preserve">1 (0.96) </w:t>
            </w:r>
          </w:p>
        </w:tc>
      </w:tr>
      <w:tr w:rsidR="009C7702" w:rsidRPr="00734AB6" w14:paraId="5500C4F4" w14:textId="77777777" w:rsidTr="00391B50">
        <w:tc>
          <w:tcPr>
            <w:tcW w:w="2410" w:type="dxa"/>
            <w:tcBorders>
              <w:top w:val="nil"/>
              <w:left w:val="nil"/>
              <w:bottom w:val="single" w:sz="4" w:space="0" w:color="auto"/>
              <w:right w:val="nil"/>
            </w:tcBorders>
            <w:shd w:val="clear" w:color="auto" w:fill="auto"/>
          </w:tcPr>
          <w:p w14:paraId="3664A682" w14:textId="32507908"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Other</w:t>
            </w:r>
            <w:r w:rsidR="002C0D23" w:rsidRPr="00734AB6">
              <w:rPr>
                <w:rFonts w:asciiTheme="majorHAnsi" w:hAnsiTheme="majorHAnsi" w:cs="Calibri"/>
                <w:b/>
              </w:rPr>
              <w:t>**</w:t>
            </w:r>
          </w:p>
        </w:tc>
        <w:tc>
          <w:tcPr>
            <w:tcW w:w="1809" w:type="dxa"/>
            <w:tcBorders>
              <w:top w:val="nil"/>
              <w:left w:val="nil"/>
              <w:bottom w:val="single" w:sz="4" w:space="0" w:color="auto"/>
              <w:right w:val="nil"/>
            </w:tcBorders>
            <w:shd w:val="clear" w:color="auto" w:fill="auto"/>
          </w:tcPr>
          <w:p w14:paraId="4E54AADC"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28 (12.79)</w:t>
            </w:r>
          </w:p>
        </w:tc>
        <w:tc>
          <w:tcPr>
            <w:tcW w:w="1310" w:type="dxa"/>
            <w:tcBorders>
              <w:top w:val="nil"/>
              <w:left w:val="nil"/>
              <w:bottom w:val="single" w:sz="4" w:space="0" w:color="auto"/>
              <w:right w:val="nil"/>
            </w:tcBorders>
            <w:shd w:val="clear" w:color="auto" w:fill="auto"/>
          </w:tcPr>
          <w:p w14:paraId="212B876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6 (2.74)</w:t>
            </w:r>
          </w:p>
        </w:tc>
        <w:tc>
          <w:tcPr>
            <w:tcW w:w="1275" w:type="dxa"/>
            <w:tcBorders>
              <w:top w:val="nil"/>
              <w:left w:val="nil"/>
              <w:bottom w:val="single" w:sz="4" w:space="0" w:color="auto"/>
              <w:right w:val="nil"/>
            </w:tcBorders>
            <w:shd w:val="clear" w:color="auto" w:fill="auto"/>
          </w:tcPr>
          <w:p w14:paraId="1DF626DA"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 (16.35)</w:t>
            </w:r>
          </w:p>
        </w:tc>
        <w:tc>
          <w:tcPr>
            <w:tcW w:w="1418" w:type="dxa"/>
            <w:tcBorders>
              <w:top w:val="nil"/>
              <w:left w:val="nil"/>
              <w:bottom w:val="single" w:sz="4" w:space="0" w:color="auto"/>
              <w:right w:val="nil"/>
            </w:tcBorders>
            <w:shd w:val="clear" w:color="auto" w:fill="auto"/>
          </w:tcPr>
          <w:p w14:paraId="073D480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10 (9.61)</w:t>
            </w:r>
          </w:p>
        </w:tc>
      </w:tr>
    </w:tbl>
    <w:p w14:paraId="19909604" w14:textId="77777777" w:rsidR="009C7702" w:rsidRPr="00734AB6" w:rsidRDefault="009C7702" w:rsidP="0099584D">
      <w:pPr>
        <w:widowControl w:val="0"/>
        <w:autoSpaceDE w:val="0"/>
        <w:autoSpaceDN w:val="0"/>
        <w:adjustRightInd w:val="0"/>
        <w:spacing w:after="0" w:line="360" w:lineRule="auto"/>
        <w:rPr>
          <w:rFonts w:asciiTheme="majorHAnsi" w:eastAsia="Calibri" w:hAnsiTheme="majorHAnsi" w:cs="Calibri"/>
          <w:b/>
        </w:rPr>
      </w:pPr>
      <w:r w:rsidRPr="00734AB6">
        <w:rPr>
          <w:rFonts w:asciiTheme="majorHAnsi" w:eastAsia="Calibri" w:hAnsiTheme="majorHAnsi" w:cs="Calibri"/>
          <w:b/>
        </w:rPr>
        <w:t>*</w:t>
      </w:r>
      <w:r w:rsidRPr="00734AB6">
        <w:rPr>
          <w:rFonts w:asciiTheme="majorHAnsi" w:eastAsia="Calibri" w:hAnsiTheme="majorHAnsi" w:cs="Calibri"/>
          <w:b/>
        </w:rPr>
        <w:tab/>
        <w:t>Numbers quoted (N) are frequency data</w:t>
      </w:r>
    </w:p>
    <w:p w14:paraId="543FF981" w14:textId="38AAE0B3" w:rsidR="002C0D23" w:rsidRPr="00734AB6" w:rsidRDefault="002C0D23" w:rsidP="0099584D">
      <w:pPr>
        <w:widowControl w:val="0"/>
        <w:autoSpaceDE w:val="0"/>
        <w:autoSpaceDN w:val="0"/>
        <w:adjustRightInd w:val="0"/>
        <w:spacing w:after="0" w:line="360" w:lineRule="auto"/>
        <w:rPr>
          <w:rFonts w:asciiTheme="majorHAnsi" w:eastAsia="Calibri" w:hAnsiTheme="majorHAnsi" w:cs="Calibri"/>
          <w:b/>
        </w:rPr>
      </w:pPr>
      <w:r w:rsidRPr="00734AB6">
        <w:rPr>
          <w:rFonts w:asciiTheme="majorHAnsi" w:eastAsia="Calibri" w:hAnsiTheme="majorHAnsi" w:cs="Calibri"/>
          <w:b/>
        </w:rPr>
        <w:t>**</w:t>
      </w:r>
      <w:r w:rsidRPr="00734AB6">
        <w:rPr>
          <w:rFonts w:asciiTheme="majorHAnsi" w:eastAsia="Calibri" w:hAnsiTheme="majorHAnsi" w:cs="Calibri"/>
          <w:b/>
        </w:rPr>
        <w:tab/>
        <w:t xml:space="preserve">See Appendix </w:t>
      </w:r>
      <w:r w:rsidR="006B4173" w:rsidRPr="00734AB6">
        <w:rPr>
          <w:rFonts w:asciiTheme="majorHAnsi" w:eastAsia="Calibri" w:hAnsiTheme="majorHAnsi" w:cs="Calibri"/>
          <w:b/>
        </w:rPr>
        <w:t>A(vii)</w:t>
      </w:r>
      <w:r w:rsidRPr="00734AB6">
        <w:rPr>
          <w:rFonts w:asciiTheme="majorHAnsi" w:eastAsia="Calibri" w:hAnsiTheme="majorHAnsi" w:cs="Calibri"/>
          <w:b/>
        </w:rPr>
        <w:t xml:space="preserve"> for full details</w:t>
      </w:r>
    </w:p>
    <w:p w14:paraId="5AD7D4F8" w14:textId="77777777" w:rsidR="009C7702" w:rsidRPr="00734AB6" w:rsidRDefault="009C7702" w:rsidP="003145E6">
      <w:pPr>
        <w:widowControl w:val="0"/>
        <w:autoSpaceDE w:val="0"/>
        <w:autoSpaceDN w:val="0"/>
        <w:adjustRightInd w:val="0"/>
        <w:spacing w:after="0" w:line="360" w:lineRule="auto"/>
        <w:ind w:firstLine="720"/>
        <w:rPr>
          <w:rFonts w:asciiTheme="majorHAnsi" w:eastAsia="Calibri" w:hAnsiTheme="majorHAnsi" w:cs="Calibri"/>
          <w:b/>
        </w:rPr>
      </w:pPr>
      <w:r w:rsidRPr="00734AB6">
        <w:rPr>
          <w:rFonts w:asciiTheme="majorHAnsi" w:eastAsia="Calibri" w:hAnsiTheme="majorHAnsi" w:cs="Calibri"/>
          <w:b/>
        </w:rPr>
        <w:t>Modafinil N = 219, Methylphenidate N = 104</w:t>
      </w:r>
    </w:p>
    <w:p w14:paraId="25120CCE" w14:textId="77777777" w:rsidR="009C7702" w:rsidRPr="00734AB6" w:rsidRDefault="009C7702" w:rsidP="0099584D">
      <w:pPr>
        <w:widowControl w:val="0"/>
        <w:autoSpaceDE w:val="0"/>
        <w:autoSpaceDN w:val="0"/>
        <w:adjustRightInd w:val="0"/>
        <w:spacing w:after="0" w:line="360" w:lineRule="auto"/>
        <w:rPr>
          <w:rFonts w:asciiTheme="majorHAnsi" w:eastAsia="Calibri" w:hAnsiTheme="majorHAnsi" w:cs="Calibri"/>
          <w:b/>
        </w:rPr>
      </w:pPr>
    </w:p>
    <w:p w14:paraId="40820517" w14:textId="77777777" w:rsidR="009C7702" w:rsidRPr="00734AB6" w:rsidRDefault="009C7702" w:rsidP="00391B50">
      <w:pPr>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Although the majority of modafinil users reported between one and five reasons for use (most commonly three reasons), some reported up to seven. The majority of the methylphenidate users reported between one and four reasons for use (most commonly four reasons). </w:t>
      </w:r>
    </w:p>
    <w:p w14:paraId="570A1D6B" w14:textId="77777777" w:rsidR="009C7702" w:rsidRPr="00734AB6" w:rsidRDefault="009C7702" w:rsidP="0099584D">
      <w:pPr>
        <w:spacing w:line="360" w:lineRule="auto"/>
        <w:ind w:firstLine="851"/>
        <w:rPr>
          <w:rFonts w:asciiTheme="majorHAnsi" w:eastAsia="Calibri" w:hAnsiTheme="majorHAnsi" w:cs="Calibri"/>
        </w:rPr>
      </w:pPr>
    </w:p>
    <w:p w14:paraId="3A177873" w14:textId="77777777" w:rsidR="009C7702" w:rsidRPr="00734AB6" w:rsidRDefault="009C7702" w:rsidP="0056046D">
      <w:pPr>
        <w:pStyle w:val="Heading5"/>
        <w:spacing w:after="240" w:line="360" w:lineRule="auto"/>
        <w:rPr>
          <w:b/>
          <w:color w:val="auto"/>
        </w:rPr>
      </w:pPr>
      <w:r w:rsidRPr="00734AB6">
        <w:rPr>
          <w:b/>
          <w:color w:val="auto"/>
        </w:rPr>
        <w:t>2.2.3.4.3</w:t>
      </w:r>
      <w:r w:rsidRPr="00734AB6">
        <w:rPr>
          <w:b/>
          <w:color w:val="auto"/>
        </w:rPr>
        <w:tab/>
        <w:t>Modafinil</w:t>
      </w:r>
    </w:p>
    <w:p w14:paraId="3174A0CE" w14:textId="77777777"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 xml:space="preserve">The following section reports findings relating solely to reported modafinil use. </w:t>
      </w:r>
    </w:p>
    <w:p w14:paraId="6249CE2F" w14:textId="77777777"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p>
    <w:p w14:paraId="4477C8A0" w14:textId="77777777" w:rsidR="009C7702" w:rsidRPr="00734AB6" w:rsidRDefault="009C7702" w:rsidP="0056046D">
      <w:pPr>
        <w:pStyle w:val="Heading6"/>
        <w:spacing w:after="240" w:line="360" w:lineRule="auto"/>
        <w:rPr>
          <w:b/>
          <w:color w:val="auto"/>
        </w:rPr>
      </w:pPr>
      <w:r w:rsidRPr="00734AB6">
        <w:rPr>
          <w:b/>
          <w:color w:val="auto"/>
        </w:rPr>
        <w:t>2.2.3.4.3.1</w:t>
      </w:r>
      <w:r w:rsidRPr="00734AB6">
        <w:rPr>
          <w:b/>
          <w:color w:val="auto"/>
        </w:rPr>
        <w:tab/>
        <w:t xml:space="preserve">Dosage </w:t>
      </w:r>
    </w:p>
    <w:p w14:paraId="42587D03" w14:textId="304F7220"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The most common reported dos</w:t>
      </w:r>
      <w:r w:rsidR="0018369C" w:rsidRPr="00734AB6">
        <w:rPr>
          <w:rFonts w:asciiTheme="majorHAnsi" w:eastAsia="Calibri" w:hAnsiTheme="majorHAnsi" w:cs="Calibri"/>
        </w:rPr>
        <w:t xml:space="preserve">es </w:t>
      </w:r>
      <w:r w:rsidR="004C3656" w:rsidRPr="00734AB6">
        <w:rPr>
          <w:rFonts w:asciiTheme="majorHAnsi" w:eastAsia="Calibri" w:hAnsiTheme="majorHAnsi" w:cs="Calibri"/>
        </w:rPr>
        <w:t xml:space="preserve">of modafinil </w:t>
      </w:r>
      <w:r w:rsidR="0018369C" w:rsidRPr="00734AB6">
        <w:rPr>
          <w:rFonts w:asciiTheme="majorHAnsi" w:eastAsia="Calibri" w:hAnsiTheme="majorHAnsi" w:cs="Calibri"/>
        </w:rPr>
        <w:t xml:space="preserve">were </w:t>
      </w:r>
      <w:r w:rsidR="004C3656" w:rsidRPr="00734AB6">
        <w:rPr>
          <w:rFonts w:asciiTheme="majorHAnsi" w:eastAsia="Calibri" w:hAnsiTheme="majorHAnsi" w:cs="Calibri"/>
        </w:rPr>
        <w:t>200mg (28.7</w:t>
      </w:r>
      <w:r w:rsidRPr="00734AB6">
        <w:rPr>
          <w:rFonts w:asciiTheme="majorHAnsi" w:eastAsia="Calibri" w:hAnsiTheme="majorHAnsi" w:cs="Calibri"/>
        </w:rPr>
        <w:t xml:space="preserve">%) and 100mg (22.8%). See Appendix </w:t>
      </w:r>
      <w:r w:rsidR="006B4173" w:rsidRPr="00734AB6">
        <w:rPr>
          <w:rFonts w:asciiTheme="majorHAnsi" w:eastAsia="Calibri" w:hAnsiTheme="majorHAnsi" w:cs="Calibri"/>
        </w:rPr>
        <w:t>A(viii)</w:t>
      </w:r>
      <w:r w:rsidRPr="00734AB6">
        <w:rPr>
          <w:rFonts w:asciiTheme="majorHAnsi" w:eastAsia="Calibri" w:hAnsiTheme="majorHAnsi" w:cs="Calibri"/>
        </w:rPr>
        <w:t xml:space="preserve"> for full details.</w:t>
      </w:r>
    </w:p>
    <w:p w14:paraId="57C0C297" w14:textId="77777777"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p>
    <w:p w14:paraId="18F60748" w14:textId="77777777" w:rsidR="009C7702" w:rsidRPr="00734AB6" w:rsidRDefault="009C7702" w:rsidP="0056046D">
      <w:pPr>
        <w:pStyle w:val="Heading6"/>
        <w:spacing w:after="240" w:line="360" w:lineRule="auto"/>
        <w:rPr>
          <w:b/>
          <w:color w:val="auto"/>
        </w:rPr>
      </w:pPr>
      <w:r w:rsidRPr="00734AB6">
        <w:rPr>
          <w:b/>
          <w:color w:val="auto"/>
        </w:rPr>
        <w:t>2.2.3.4.3.2</w:t>
      </w:r>
      <w:r w:rsidRPr="00734AB6">
        <w:rPr>
          <w:b/>
          <w:color w:val="auto"/>
        </w:rPr>
        <w:tab/>
        <w:t>Perceived effects and frequency of use of modafinil</w:t>
      </w:r>
    </w:p>
    <w:p w14:paraId="31820244" w14:textId="55BF737B"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 xml:space="preserve">The overall number of reported effects was calculated by summing the total number of boxes ticked in the perceived benefits and risks section of the questionnaire. Respondents taking modafinil on a daily basis reported the greatest number of both benefits and risks. The means </w:t>
      </w:r>
      <w:r w:rsidRPr="00734AB6">
        <w:rPr>
          <w:rFonts w:asciiTheme="majorHAnsi" w:eastAsia="Calibri" w:hAnsiTheme="majorHAnsi" w:cs="Calibri"/>
        </w:rPr>
        <w:lastRenderedPageBreak/>
        <w:t xml:space="preserve">and SDs are displayed in Table </w:t>
      </w:r>
      <w:r w:rsidR="009E23DC" w:rsidRPr="00734AB6">
        <w:rPr>
          <w:rFonts w:asciiTheme="majorHAnsi" w:eastAsia="Calibri" w:hAnsiTheme="majorHAnsi" w:cs="Calibri"/>
        </w:rPr>
        <w:t>2.4</w:t>
      </w:r>
      <w:r w:rsidRPr="00734AB6">
        <w:rPr>
          <w:rFonts w:asciiTheme="majorHAnsi" w:eastAsia="Calibri" w:hAnsiTheme="majorHAnsi" w:cs="Calibri"/>
        </w:rPr>
        <w:t xml:space="preserve">. </w:t>
      </w:r>
    </w:p>
    <w:p w14:paraId="639DAB84" w14:textId="77777777"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p>
    <w:p w14:paraId="077F77DF" w14:textId="77777777" w:rsidR="00107B09" w:rsidRPr="00734AB6" w:rsidRDefault="009C7702" w:rsidP="00536712">
      <w:pPr>
        <w:widowControl w:val="0"/>
        <w:tabs>
          <w:tab w:val="left" w:pos="993"/>
        </w:tabs>
        <w:autoSpaceDE w:val="0"/>
        <w:autoSpaceDN w:val="0"/>
        <w:adjustRightInd w:val="0"/>
        <w:spacing w:line="360" w:lineRule="auto"/>
        <w:ind w:left="993" w:hanging="993"/>
        <w:rPr>
          <w:rFonts w:asciiTheme="majorHAnsi" w:eastAsia="Calibri" w:hAnsiTheme="majorHAnsi" w:cs="Calibri"/>
          <w:b/>
        </w:rPr>
      </w:pPr>
      <w:r w:rsidRPr="00734AB6">
        <w:rPr>
          <w:rFonts w:asciiTheme="majorHAnsi" w:eastAsia="Calibri" w:hAnsiTheme="majorHAnsi" w:cs="Calibri"/>
          <w:b/>
        </w:rPr>
        <w:t xml:space="preserve">Table </w:t>
      </w:r>
      <w:r w:rsidR="009E23DC" w:rsidRPr="00734AB6">
        <w:rPr>
          <w:rFonts w:asciiTheme="majorHAnsi" w:eastAsia="Calibri" w:hAnsiTheme="majorHAnsi" w:cs="Calibri"/>
          <w:b/>
        </w:rPr>
        <w:t>2.4</w:t>
      </w:r>
      <w:r w:rsidR="00536712" w:rsidRPr="00734AB6">
        <w:rPr>
          <w:rFonts w:asciiTheme="majorHAnsi" w:eastAsia="Calibri" w:hAnsiTheme="majorHAnsi" w:cs="Calibri"/>
          <w:b/>
        </w:rPr>
        <w:t>.</w:t>
      </w:r>
      <w:r w:rsidR="00536712" w:rsidRPr="00734AB6">
        <w:rPr>
          <w:rFonts w:asciiTheme="majorHAnsi" w:eastAsia="Calibri" w:hAnsiTheme="majorHAnsi" w:cs="Calibri"/>
          <w:b/>
        </w:rPr>
        <w:tab/>
      </w:r>
      <w:r w:rsidRPr="00734AB6">
        <w:rPr>
          <w:rFonts w:asciiTheme="majorHAnsi" w:eastAsia="Calibri" w:hAnsiTheme="majorHAnsi" w:cs="Calibri"/>
          <w:b/>
        </w:rPr>
        <w:t xml:space="preserve">Means for perceived effects of modafinil.  </w:t>
      </w:r>
    </w:p>
    <w:p w14:paraId="32C9C55D" w14:textId="40264A0D" w:rsidR="009C7702" w:rsidRPr="00734AB6" w:rsidRDefault="009C7702" w:rsidP="00536712">
      <w:pPr>
        <w:widowControl w:val="0"/>
        <w:tabs>
          <w:tab w:val="left" w:pos="993"/>
        </w:tabs>
        <w:autoSpaceDE w:val="0"/>
        <w:autoSpaceDN w:val="0"/>
        <w:adjustRightInd w:val="0"/>
        <w:spacing w:line="360" w:lineRule="auto"/>
        <w:ind w:left="993" w:hanging="993"/>
        <w:rPr>
          <w:rFonts w:asciiTheme="majorHAnsi" w:eastAsia="Calibri" w:hAnsiTheme="majorHAnsi" w:cs="Calibri"/>
          <w:b/>
        </w:rPr>
      </w:pPr>
      <w:r w:rsidRPr="00734AB6">
        <w:rPr>
          <w:rFonts w:asciiTheme="majorHAnsi" w:eastAsia="Calibri" w:hAnsiTheme="majorHAnsi" w:cs="Calibri"/>
          <w:i/>
        </w:rPr>
        <w:t>Percentages relate to the number of respondents within each category of usage frequency</w:t>
      </w:r>
      <w:r w:rsidRPr="00734AB6">
        <w:rPr>
          <w:rFonts w:asciiTheme="majorHAnsi" w:eastAsia="Calibri" w:hAnsiTheme="majorHAnsi" w:cs="Calibri"/>
          <w:b/>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2268"/>
        <w:gridCol w:w="1985"/>
      </w:tblGrid>
      <w:tr w:rsidR="009C7702" w:rsidRPr="00734AB6" w14:paraId="37A9DEC4" w14:textId="77777777" w:rsidTr="00391B50">
        <w:tc>
          <w:tcPr>
            <w:tcW w:w="3402" w:type="dxa"/>
            <w:tcBorders>
              <w:bottom w:val="single" w:sz="4" w:space="0" w:color="auto"/>
            </w:tcBorders>
            <w:shd w:val="clear" w:color="auto" w:fill="auto"/>
          </w:tcPr>
          <w:p w14:paraId="01A55588" w14:textId="77777777" w:rsidR="009C7702" w:rsidRPr="00734AB6" w:rsidRDefault="009C7702" w:rsidP="007D40FD">
            <w:pPr>
              <w:widowControl w:val="0"/>
              <w:autoSpaceDE w:val="0"/>
              <w:autoSpaceDN w:val="0"/>
              <w:adjustRightInd w:val="0"/>
              <w:spacing w:after="0" w:line="360" w:lineRule="auto"/>
              <w:rPr>
                <w:rFonts w:asciiTheme="majorHAnsi" w:hAnsiTheme="majorHAnsi" w:cs="Calibri"/>
                <w:b/>
              </w:rPr>
            </w:pPr>
            <w:r w:rsidRPr="00734AB6">
              <w:rPr>
                <w:rFonts w:asciiTheme="majorHAnsi" w:hAnsiTheme="majorHAnsi" w:cs="Calibri"/>
                <w:b/>
              </w:rPr>
              <w:t xml:space="preserve">Frequency of </w:t>
            </w:r>
          </w:p>
          <w:p w14:paraId="3ECF0697" w14:textId="77777777" w:rsidR="009C7702" w:rsidRPr="00734AB6" w:rsidRDefault="009C7702" w:rsidP="007D40FD">
            <w:pPr>
              <w:widowControl w:val="0"/>
              <w:autoSpaceDE w:val="0"/>
              <w:autoSpaceDN w:val="0"/>
              <w:adjustRightInd w:val="0"/>
              <w:spacing w:after="0" w:line="360" w:lineRule="auto"/>
              <w:rPr>
                <w:rFonts w:asciiTheme="majorHAnsi" w:hAnsiTheme="majorHAnsi" w:cs="Calibri"/>
                <w:b/>
              </w:rPr>
            </w:pPr>
            <w:r w:rsidRPr="00734AB6">
              <w:rPr>
                <w:rFonts w:asciiTheme="majorHAnsi" w:hAnsiTheme="majorHAnsi" w:cs="Calibri"/>
                <w:b/>
              </w:rPr>
              <w:t>Modafinil use</w:t>
            </w:r>
          </w:p>
        </w:tc>
        <w:tc>
          <w:tcPr>
            <w:tcW w:w="2268" w:type="dxa"/>
            <w:tcBorders>
              <w:bottom w:val="single" w:sz="4" w:space="0" w:color="auto"/>
            </w:tcBorders>
            <w:shd w:val="clear" w:color="auto" w:fill="auto"/>
          </w:tcPr>
          <w:p w14:paraId="273CB3F0" w14:textId="77777777" w:rsidR="009C7702" w:rsidRPr="00734AB6" w:rsidRDefault="009C7702" w:rsidP="007D40FD">
            <w:pPr>
              <w:widowControl w:val="0"/>
              <w:autoSpaceDE w:val="0"/>
              <w:autoSpaceDN w:val="0"/>
              <w:adjustRightInd w:val="0"/>
              <w:spacing w:after="0" w:line="360" w:lineRule="auto"/>
              <w:rPr>
                <w:rFonts w:asciiTheme="majorHAnsi" w:hAnsiTheme="majorHAnsi" w:cs="Calibri"/>
                <w:b/>
              </w:rPr>
            </w:pPr>
            <w:r w:rsidRPr="00734AB6">
              <w:rPr>
                <w:rFonts w:asciiTheme="majorHAnsi" w:hAnsiTheme="majorHAnsi" w:cs="Calibri"/>
                <w:b/>
              </w:rPr>
              <w:t>% of respondents</w:t>
            </w:r>
          </w:p>
          <w:p w14:paraId="5ECFBE66" w14:textId="77777777" w:rsidR="009C7702" w:rsidRPr="00734AB6" w:rsidRDefault="009C7702" w:rsidP="007D40FD">
            <w:pPr>
              <w:widowControl w:val="0"/>
              <w:autoSpaceDE w:val="0"/>
              <w:autoSpaceDN w:val="0"/>
              <w:adjustRightInd w:val="0"/>
              <w:spacing w:after="0" w:line="360" w:lineRule="auto"/>
              <w:rPr>
                <w:rFonts w:asciiTheme="majorHAnsi" w:hAnsiTheme="majorHAnsi" w:cs="Calibri"/>
                <w:b/>
              </w:rPr>
            </w:pPr>
            <w:r w:rsidRPr="00734AB6">
              <w:rPr>
                <w:rFonts w:asciiTheme="majorHAnsi" w:hAnsiTheme="majorHAnsi" w:cs="Calibri"/>
                <w:b/>
              </w:rPr>
              <w:t>reporting frequency of modafinil use</w:t>
            </w:r>
          </w:p>
        </w:tc>
        <w:tc>
          <w:tcPr>
            <w:tcW w:w="1985" w:type="dxa"/>
            <w:tcBorders>
              <w:bottom w:val="single" w:sz="4" w:space="0" w:color="auto"/>
            </w:tcBorders>
            <w:shd w:val="clear" w:color="auto" w:fill="auto"/>
          </w:tcPr>
          <w:p w14:paraId="62C84271" w14:textId="77777777" w:rsidR="009C7702" w:rsidRPr="00734AB6" w:rsidRDefault="009C7702" w:rsidP="007D40FD">
            <w:pPr>
              <w:widowControl w:val="0"/>
              <w:autoSpaceDE w:val="0"/>
              <w:autoSpaceDN w:val="0"/>
              <w:adjustRightInd w:val="0"/>
              <w:spacing w:after="0" w:line="360" w:lineRule="auto"/>
              <w:rPr>
                <w:rFonts w:asciiTheme="majorHAnsi" w:hAnsiTheme="majorHAnsi" w:cs="Calibri"/>
                <w:b/>
              </w:rPr>
            </w:pPr>
            <w:r w:rsidRPr="00734AB6">
              <w:rPr>
                <w:rFonts w:asciiTheme="majorHAnsi" w:hAnsiTheme="majorHAnsi" w:cs="Calibri"/>
                <w:b/>
              </w:rPr>
              <w:t>Mean (SD) overall number of effects</w:t>
            </w:r>
          </w:p>
        </w:tc>
      </w:tr>
      <w:tr w:rsidR="009C7702" w:rsidRPr="00734AB6" w14:paraId="2F8F1C1B" w14:textId="77777777" w:rsidTr="00391B50">
        <w:tc>
          <w:tcPr>
            <w:tcW w:w="3402" w:type="dxa"/>
            <w:tcBorders>
              <w:bottom w:val="nil"/>
            </w:tcBorders>
            <w:shd w:val="clear" w:color="auto" w:fill="auto"/>
          </w:tcPr>
          <w:p w14:paraId="0AD3C665"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Every day</w:t>
            </w:r>
          </w:p>
        </w:tc>
        <w:tc>
          <w:tcPr>
            <w:tcW w:w="2268" w:type="dxa"/>
            <w:tcBorders>
              <w:bottom w:val="nil"/>
            </w:tcBorders>
            <w:shd w:val="clear" w:color="auto" w:fill="auto"/>
          </w:tcPr>
          <w:p w14:paraId="796EC537"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10.48%</w:t>
            </w:r>
          </w:p>
        </w:tc>
        <w:tc>
          <w:tcPr>
            <w:tcW w:w="1985" w:type="dxa"/>
            <w:tcBorders>
              <w:bottom w:val="nil"/>
            </w:tcBorders>
            <w:shd w:val="clear" w:color="auto" w:fill="auto"/>
          </w:tcPr>
          <w:p w14:paraId="2990B57C"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4.39 (0.27)</w:t>
            </w:r>
          </w:p>
        </w:tc>
      </w:tr>
      <w:tr w:rsidR="009C7702" w:rsidRPr="00734AB6" w14:paraId="7080A29B" w14:textId="77777777" w:rsidTr="00391B50">
        <w:tc>
          <w:tcPr>
            <w:tcW w:w="3402" w:type="dxa"/>
            <w:tcBorders>
              <w:top w:val="nil"/>
              <w:bottom w:val="nil"/>
            </w:tcBorders>
            <w:shd w:val="clear" w:color="auto" w:fill="auto"/>
          </w:tcPr>
          <w:p w14:paraId="20360B48"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Three or more days per week</w:t>
            </w:r>
          </w:p>
        </w:tc>
        <w:tc>
          <w:tcPr>
            <w:tcW w:w="2268" w:type="dxa"/>
            <w:tcBorders>
              <w:top w:val="nil"/>
              <w:bottom w:val="nil"/>
            </w:tcBorders>
            <w:shd w:val="clear" w:color="auto" w:fill="auto"/>
          </w:tcPr>
          <w:p w14:paraId="545B89F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30.48%</w:t>
            </w:r>
          </w:p>
        </w:tc>
        <w:tc>
          <w:tcPr>
            <w:tcW w:w="1985" w:type="dxa"/>
            <w:tcBorders>
              <w:top w:val="nil"/>
              <w:bottom w:val="nil"/>
            </w:tcBorders>
            <w:shd w:val="clear" w:color="auto" w:fill="auto"/>
          </w:tcPr>
          <w:p w14:paraId="56C8CD8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3.68 (0.17)</w:t>
            </w:r>
          </w:p>
        </w:tc>
      </w:tr>
      <w:tr w:rsidR="009C7702" w:rsidRPr="00734AB6" w14:paraId="072A437F" w14:textId="77777777" w:rsidTr="00391B50">
        <w:tc>
          <w:tcPr>
            <w:tcW w:w="3402" w:type="dxa"/>
            <w:tcBorders>
              <w:top w:val="nil"/>
              <w:bottom w:val="nil"/>
            </w:tcBorders>
            <w:shd w:val="clear" w:color="auto" w:fill="auto"/>
          </w:tcPr>
          <w:p w14:paraId="11EAFEDC"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Once or twice per week</w:t>
            </w:r>
          </w:p>
        </w:tc>
        <w:tc>
          <w:tcPr>
            <w:tcW w:w="2268" w:type="dxa"/>
            <w:tcBorders>
              <w:top w:val="nil"/>
              <w:bottom w:val="nil"/>
            </w:tcBorders>
            <w:shd w:val="clear" w:color="auto" w:fill="auto"/>
          </w:tcPr>
          <w:p w14:paraId="7F3FFCC8"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24.76%</w:t>
            </w:r>
          </w:p>
        </w:tc>
        <w:tc>
          <w:tcPr>
            <w:tcW w:w="1985" w:type="dxa"/>
            <w:tcBorders>
              <w:top w:val="nil"/>
              <w:bottom w:val="nil"/>
            </w:tcBorders>
            <w:shd w:val="clear" w:color="auto" w:fill="auto"/>
          </w:tcPr>
          <w:p w14:paraId="54D19411"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3.70 (0.19)</w:t>
            </w:r>
          </w:p>
        </w:tc>
      </w:tr>
      <w:tr w:rsidR="009C7702" w:rsidRPr="00734AB6" w14:paraId="60C9215E" w14:textId="77777777" w:rsidTr="00391B50">
        <w:tc>
          <w:tcPr>
            <w:tcW w:w="3402" w:type="dxa"/>
            <w:tcBorders>
              <w:top w:val="nil"/>
              <w:bottom w:val="nil"/>
            </w:tcBorders>
            <w:shd w:val="clear" w:color="auto" w:fill="auto"/>
          </w:tcPr>
          <w:p w14:paraId="7B6C0127"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Two or three times per month</w:t>
            </w:r>
          </w:p>
        </w:tc>
        <w:tc>
          <w:tcPr>
            <w:tcW w:w="2268" w:type="dxa"/>
            <w:tcBorders>
              <w:top w:val="nil"/>
              <w:bottom w:val="nil"/>
            </w:tcBorders>
            <w:shd w:val="clear" w:color="auto" w:fill="auto"/>
          </w:tcPr>
          <w:p w14:paraId="797520D6"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17.14%</w:t>
            </w:r>
          </w:p>
        </w:tc>
        <w:tc>
          <w:tcPr>
            <w:tcW w:w="1985" w:type="dxa"/>
            <w:tcBorders>
              <w:top w:val="nil"/>
              <w:bottom w:val="nil"/>
            </w:tcBorders>
            <w:shd w:val="clear" w:color="auto" w:fill="auto"/>
          </w:tcPr>
          <w:p w14:paraId="1D79B2B2"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3.17 (0.22)</w:t>
            </w:r>
          </w:p>
        </w:tc>
      </w:tr>
      <w:tr w:rsidR="009C7702" w:rsidRPr="00734AB6" w14:paraId="44CEDE7A" w14:textId="77777777" w:rsidTr="00391B50">
        <w:tc>
          <w:tcPr>
            <w:tcW w:w="3402" w:type="dxa"/>
            <w:tcBorders>
              <w:top w:val="nil"/>
            </w:tcBorders>
            <w:shd w:val="clear" w:color="auto" w:fill="auto"/>
          </w:tcPr>
          <w:p w14:paraId="1F11F0A9" w14:textId="77777777" w:rsidR="009C7702" w:rsidRPr="00734AB6" w:rsidRDefault="009C7702"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Six times or less per year</w:t>
            </w:r>
          </w:p>
        </w:tc>
        <w:tc>
          <w:tcPr>
            <w:tcW w:w="2268" w:type="dxa"/>
            <w:tcBorders>
              <w:top w:val="nil"/>
            </w:tcBorders>
            <w:shd w:val="clear" w:color="auto" w:fill="auto"/>
          </w:tcPr>
          <w:p w14:paraId="0E4A5140"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17.14%</w:t>
            </w:r>
          </w:p>
        </w:tc>
        <w:tc>
          <w:tcPr>
            <w:tcW w:w="1985" w:type="dxa"/>
            <w:tcBorders>
              <w:top w:val="nil"/>
            </w:tcBorders>
            <w:shd w:val="clear" w:color="auto" w:fill="auto"/>
          </w:tcPr>
          <w:p w14:paraId="541BAD29" w14:textId="77777777" w:rsidR="009C7702" w:rsidRPr="00734AB6" w:rsidRDefault="009C7702" w:rsidP="0099584D">
            <w:pPr>
              <w:widowControl w:val="0"/>
              <w:autoSpaceDE w:val="0"/>
              <w:autoSpaceDN w:val="0"/>
              <w:adjustRightInd w:val="0"/>
              <w:spacing w:line="360" w:lineRule="auto"/>
              <w:rPr>
                <w:rFonts w:asciiTheme="majorHAnsi" w:hAnsiTheme="majorHAnsi" w:cs="Calibri"/>
              </w:rPr>
            </w:pPr>
            <w:r w:rsidRPr="00734AB6">
              <w:rPr>
                <w:rFonts w:asciiTheme="majorHAnsi" w:hAnsiTheme="majorHAnsi" w:cs="Calibri"/>
              </w:rPr>
              <w:t>2.27 (0.22)</w:t>
            </w:r>
          </w:p>
        </w:tc>
      </w:tr>
    </w:tbl>
    <w:p w14:paraId="4F39CD54" w14:textId="77777777" w:rsidR="009C7702" w:rsidRPr="00734AB6" w:rsidRDefault="009C7702" w:rsidP="0099584D">
      <w:pPr>
        <w:spacing w:line="360" w:lineRule="auto"/>
        <w:rPr>
          <w:rFonts w:asciiTheme="majorHAnsi" w:eastAsia="Calibri" w:hAnsiTheme="majorHAnsi" w:cs="Arial"/>
        </w:rPr>
      </w:pPr>
    </w:p>
    <w:p w14:paraId="7786F5A4" w14:textId="40107ECF"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There was a significant main effect of frequency of modafinil use on the number of effects reported, F</w:t>
      </w:r>
      <w:r w:rsidRPr="00734AB6">
        <w:rPr>
          <w:rFonts w:asciiTheme="majorHAnsi" w:eastAsia="Calibri" w:hAnsiTheme="majorHAnsi" w:cs="Calibri"/>
          <w:vertAlign w:val="subscript"/>
        </w:rPr>
        <w:t>(4, 214)</w:t>
      </w:r>
      <w:r w:rsidRPr="00734AB6">
        <w:rPr>
          <w:rFonts w:asciiTheme="majorHAnsi" w:eastAsia="Calibri" w:hAnsiTheme="majorHAnsi" w:cs="Calibri"/>
        </w:rPr>
        <w:t xml:space="preserve"> =  6.91, MSE = 7.42, </w:t>
      </w:r>
      <w:r w:rsidRPr="00734AB6">
        <w:rPr>
          <w:rFonts w:asciiTheme="majorHAnsi" w:eastAsia="Calibri" w:hAnsiTheme="majorHAnsi" w:cs="Calibri"/>
          <w:i/>
        </w:rPr>
        <w:t>p</w:t>
      </w:r>
      <w:r w:rsidRPr="00734AB6">
        <w:rPr>
          <w:rFonts w:asciiTheme="majorHAnsi" w:eastAsia="Calibri" w:hAnsiTheme="majorHAnsi" w:cs="Calibri"/>
        </w:rPr>
        <w:t xml:space="preserve">&lt; .001,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0.114. Compared with the respondents </w:t>
      </w:r>
      <w:r w:rsidR="00052745" w:rsidRPr="00734AB6">
        <w:rPr>
          <w:rFonts w:asciiTheme="majorHAnsi" w:eastAsia="Calibri" w:hAnsiTheme="majorHAnsi"/>
        </w:rPr>
        <w:t>who’s</w:t>
      </w:r>
      <w:r w:rsidRPr="00734AB6">
        <w:rPr>
          <w:rFonts w:asciiTheme="majorHAnsi" w:eastAsia="Calibri" w:hAnsiTheme="majorHAnsi"/>
        </w:rPr>
        <w:t xml:space="preserve"> reported modafinil usage was six or fewer times per year, Bonferroni post hoc tests confirmed significant differences in the number of effects identified between those who reported taking modafinil once or twice per week, </w:t>
      </w:r>
      <w:r w:rsidRPr="00734AB6">
        <w:rPr>
          <w:rFonts w:asciiTheme="majorHAnsi" w:eastAsia="Calibri" w:hAnsiTheme="majorHAnsi"/>
          <w:i/>
        </w:rPr>
        <w:t>p</w:t>
      </w:r>
      <w:r w:rsidRPr="00734AB6">
        <w:rPr>
          <w:rFonts w:asciiTheme="majorHAnsi" w:eastAsia="Calibri" w:hAnsiTheme="majorHAnsi"/>
        </w:rPr>
        <w:t xml:space="preserve"> = .010, three times or more per week, </w:t>
      </w:r>
      <w:r w:rsidRPr="00734AB6">
        <w:rPr>
          <w:rFonts w:asciiTheme="majorHAnsi" w:eastAsia="Calibri" w:hAnsiTheme="majorHAnsi"/>
          <w:i/>
        </w:rPr>
        <w:t>p</w:t>
      </w:r>
      <w:r w:rsidRPr="00734AB6">
        <w:rPr>
          <w:rFonts w:asciiTheme="majorHAnsi" w:eastAsia="Calibri" w:hAnsiTheme="majorHAnsi"/>
        </w:rPr>
        <w:t xml:space="preserve"> = .007, and every day, </w:t>
      </w:r>
      <w:r w:rsidRPr="00734AB6">
        <w:rPr>
          <w:rFonts w:asciiTheme="majorHAnsi" w:eastAsia="Calibri" w:hAnsiTheme="majorHAnsi" w:cs="Calibri"/>
          <w:i/>
        </w:rPr>
        <w:t xml:space="preserve">p </w:t>
      </w:r>
      <w:r w:rsidRPr="00734AB6">
        <w:rPr>
          <w:rFonts w:asciiTheme="majorHAnsi" w:eastAsia="Calibri" w:hAnsiTheme="majorHAnsi" w:cs="Calibri"/>
        </w:rPr>
        <w:t xml:space="preserve">&lt; .001. A significant difference was also found in the number of benefits reported between those respondents who reported taking modafinil two or three times per month and those who reported taking it every day, </w:t>
      </w:r>
      <w:r w:rsidRPr="00734AB6">
        <w:rPr>
          <w:rFonts w:asciiTheme="majorHAnsi" w:eastAsia="Calibri" w:hAnsiTheme="majorHAnsi" w:cs="Calibri"/>
          <w:i/>
        </w:rPr>
        <w:t>p</w:t>
      </w:r>
      <w:r w:rsidRPr="00734AB6">
        <w:rPr>
          <w:rFonts w:asciiTheme="majorHAnsi" w:eastAsia="Calibri" w:hAnsiTheme="majorHAnsi" w:cs="Calibri"/>
        </w:rPr>
        <w:t xml:space="preserve"> = .006. A higher number of effects was reported by more frequent users of modafinil.</w:t>
      </w:r>
    </w:p>
    <w:p w14:paraId="0F8A8486" w14:textId="77777777"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respondents reported experiencing more immediate effects (mean = 4.99, SE = 0.14) than longer-lasting effects (mean = 2.07, SE = 0.10) and there was a significant main effect of timeframe of modafinil use, F</w:t>
      </w:r>
      <w:r w:rsidRPr="00734AB6">
        <w:rPr>
          <w:rFonts w:asciiTheme="majorHAnsi" w:eastAsia="Calibri" w:hAnsiTheme="majorHAnsi" w:cs="Calibri"/>
          <w:vertAlign w:val="subscript"/>
        </w:rPr>
        <w:t xml:space="preserve">(1, 214) </w:t>
      </w:r>
      <w:r w:rsidRPr="00734AB6">
        <w:rPr>
          <w:rFonts w:asciiTheme="majorHAnsi" w:eastAsia="Calibri" w:hAnsiTheme="majorHAnsi" w:cs="Calibri"/>
        </w:rPr>
        <w:t xml:space="preserve">= 465.21, MSE = 3.648, </w:t>
      </w:r>
      <w:r w:rsidRPr="00734AB6">
        <w:rPr>
          <w:rFonts w:asciiTheme="majorHAnsi" w:eastAsia="Calibri" w:hAnsiTheme="majorHAnsi" w:cs="Calibri"/>
          <w:i/>
        </w:rPr>
        <w:t xml:space="preserve">p </w:t>
      </w:r>
      <w:r w:rsidRPr="00734AB6">
        <w:rPr>
          <w:rFonts w:asciiTheme="majorHAnsi" w:eastAsia="Calibri" w:hAnsiTheme="majorHAnsi" w:cs="Calibri"/>
        </w:rPr>
        <w:t>&lt; .001, η</w:t>
      </w:r>
      <w:r w:rsidRPr="00734AB6">
        <w:rPr>
          <w:rFonts w:asciiTheme="majorHAnsi" w:eastAsia="Calibri" w:hAnsiTheme="majorHAnsi" w:cs="Calibri"/>
          <w:vertAlign w:val="subscript"/>
        </w:rPr>
        <w:t>p</w:t>
      </w:r>
      <w:r w:rsidRPr="00734AB6">
        <w:rPr>
          <w:rFonts w:asciiTheme="majorHAnsi" w:eastAsia="Calibri" w:hAnsiTheme="majorHAnsi" w:cs="Calibri"/>
          <w:vertAlign w:val="superscript"/>
        </w:rPr>
        <w:t>2</w:t>
      </w:r>
      <w:r w:rsidRPr="00734AB6">
        <w:rPr>
          <w:rFonts w:asciiTheme="majorHAnsi" w:eastAsia="Calibri" w:hAnsiTheme="majorHAnsi" w:cs="Calibri"/>
        </w:rPr>
        <w:t xml:space="preserve"> = 0.685. </w:t>
      </w:r>
    </w:p>
    <w:p w14:paraId="500ACA8A" w14:textId="77777777" w:rsidR="009C7702" w:rsidRPr="00734AB6" w:rsidRDefault="009C7702" w:rsidP="0099584D">
      <w:pPr>
        <w:widowControl w:val="0"/>
        <w:autoSpaceDE w:val="0"/>
        <w:autoSpaceDN w:val="0"/>
        <w:adjustRightInd w:val="0"/>
        <w:spacing w:after="0" w:line="360" w:lineRule="auto"/>
        <w:ind w:firstLine="720"/>
        <w:rPr>
          <w:rFonts w:asciiTheme="majorHAnsi" w:hAnsiTheme="majorHAnsi" w:cs="Calibri"/>
        </w:rPr>
      </w:pPr>
      <w:r w:rsidRPr="00734AB6">
        <w:rPr>
          <w:rFonts w:asciiTheme="majorHAnsi" w:eastAsia="Calibri" w:hAnsiTheme="majorHAnsi" w:cs="Calibri"/>
        </w:rPr>
        <w:t xml:space="preserve">The respondents reported more benefits (mean = 5.26, SE = 0.17) than risks (mean = 1.80, SE = 0.07). There was a significant main effect of </w:t>
      </w:r>
      <w:r w:rsidRPr="00734AB6">
        <w:rPr>
          <w:rFonts w:asciiTheme="majorHAnsi" w:hAnsiTheme="majorHAnsi" w:cs="Calibri"/>
        </w:rPr>
        <w:t>perceived benefits and risks on modafinil use, (</w:t>
      </w:r>
      <w:r w:rsidRPr="00734AB6">
        <w:rPr>
          <w:rFonts w:asciiTheme="majorHAnsi" w:hAnsiTheme="majorHAnsi" w:cs="Calibri"/>
          <w:i/>
        </w:rPr>
        <w:t>F</w:t>
      </w:r>
      <w:r w:rsidRPr="00734AB6">
        <w:rPr>
          <w:rFonts w:asciiTheme="majorHAnsi" w:hAnsiTheme="majorHAnsi" w:cs="Calibri"/>
          <w:vertAlign w:val="subscript"/>
        </w:rPr>
        <w:t xml:space="preserve">(4, 214) </w:t>
      </w:r>
      <w:r w:rsidRPr="00734AB6">
        <w:rPr>
          <w:rFonts w:asciiTheme="majorHAnsi" w:hAnsiTheme="majorHAnsi" w:cs="Calibri"/>
        </w:rPr>
        <w:t xml:space="preserve">= 379.3, </w:t>
      </w:r>
      <w:r w:rsidRPr="00734AB6">
        <w:rPr>
          <w:rFonts w:asciiTheme="majorHAnsi" w:hAnsiTheme="majorHAnsi" w:cs="Calibri"/>
          <w:i/>
        </w:rPr>
        <w:t>MSE</w:t>
      </w:r>
      <w:r w:rsidRPr="00734AB6">
        <w:rPr>
          <w:rFonts w:asciiTheme="majorHAnsi" w:hAnsiTheme="majorHAnsi" w:cs="Calibri"/>
        </w:rPr>
        <w:t xml:space="preserve"> = 6.264, </w:t>
      </w:r>
      <w:r w:rsidRPr="00734AB6">
        <w:rPr>
          <w:rFonts w:asciiTheme="majorHAnsi" w:hAnsiTheme="majorHAnsi" w:cs="Calibri"/>
          <w:i/>
        </w:rPr>
        <w:t xml:space="preserve">p </w:t>
      </w:r>
      <w:r w:rsidRPr="00734AB6">
        <w:rPr>
          <w:rFonts w:asciiTheme="majorHAnsi" w:hAnsiTheme="majorHAnsi" w:cs="Calibri"/>
        </w:rPr>
        <w:t xml:space="preserve">&lt; .001, </w:t>
      </w:r>
      <w:r w:rsidRPr="00734AB6">
        <w:rPr>
          <w:rFonts w:asciiTheme="majorHAnsi" w:hAnsiTheme="majorHAnsi"/>
        </w:rPr>
        <w:t>η</w:t>
      </w:r>
      <w:r w:rsidRPr="00734AB6">
        <w:rPr>
          <w:rFonts w:asciiTheme="majorHAnsi" w:hAnsiTheme="majorHAnsi"/>
          <w:vertAlign w:val="subscript"/>
        </w:rPr>
        <w:t>p</w:t>
      </w:r>
      <w:r w:rsidRPr="00734AB6">
        <w:rPr>
          <w:rFonts w:asciiTheme="majorHAnsi" w:hAnsiTheme="majorHAnsi"/>
          <w:vertAlign w:val="superscript"/>
        </w:rPr>
        <w:t>2</w:t>
      </w:r>
      <w:r w:rsidRPr="00734AB6">
        <w:rPr>
          <w:rFonts w:asciiTheme="majorHAnsi" w:hAnsiTheme="majorHAnsi"/>
        </w:rPr>
        <w:t xml:space="preserve"> =.639)</w:t>
      </w:r>
      <w:r w:rsidRPr="00734AB6">
        <w:rPr>
          <w:rFonts w:asciiTheme="majorHAnsi" w:hAnsiTheme="majorHAnsi" w:cs="Calibri"/>
        </w:rPr>
        <w:t xml:space="preserve">. </w:t>
      </w:r>
    </w:p>
    <w:p w14:paraId="4909035F" w14:textId="77777777" w:rsidR="009C7702" w:rsidRPr="00734AB6" w:rsidRDefault="009C7702" w:rsidP="0099584D">
      <w:pPr>
        <w:widowControl w:val="0"/>
        <w:autoSpaceDE w:val="0"/>
        <w:autoSpaceDN w:val="0"/>
        <w:adjustRightInd w:val="0"/>
        <w:spacing w:after="0" w:line="360" w:lineRule="auto"/>
        <w:ind w:firstLine="720"/>
        <w:rPr>
          <w:rFonts w:asciiTheme="majorHAnsi" w:hAnsiTheme="majorHAnsi" w:cs="Calibri"/>
        </w:rPr>
      </w:pPr>
    </w:p>
    <w:p w14:paraId="79D33B49" w14:textId="77777777" w:rsidR="009C7702" w:rsidRPr="00734AB6" w:rsidRDefault="009C7702" w:rsidP="0056046D">
      <w:pPr>
        <w:pStyle w:val="Heading6"/>
        <w:spacing w:after="240" w:line="360" w:lineRule="auto"/>
        <w:rPr>
          <w:b/>
          <w:color w:val="auto"/>
        </w:rPr>
      </w:pPr>
      <w:r w:rsidRPr="00734AB6">
        <w:rPr>
          <w:b/>
          <w:color w:val="auto"/>
        </w:rPr>
        <w:t>2.2.3.4.3.3</w:t>
      </w:r>
      <w:r w:rsidRPr="00734AB6">
        <w:rPr>
          <w:b/>
          <w:color w:val="auto"/>
        </w:rPr>
        <w:tab/>
        <w:t>Timeframe and frequency of use of modafinil</w:t>
      </w:r>
    </w:p>
    <w:p w14:paraId="37964F50" w14:textId="474879F6" w:rsidR="009C7702" w:rsidRPr="00734AB6" w:rsidRDefault="009C7702" w:rsidP="0099584D">
      <w:pPr>
        <w:spacing w:line="360" w:lineRule="auto"/>
        <w:ind w:firstLine="851"/>
        <w:rPr>
          <w:rFonts w:asciiTheme="majorHAnsi" w:hAnsiTheme="majorHAnsi"/>
        </w:rPr>
      </w:pPr>
      <w:r w:rsidRPr="00734AB6">
        <w:rPr>
          <w:rFonts w:asciiTheme="majorHAnsi" w:eastAsia="Calibri" w:hAnsiTheme="majorHAnsi" w:cs="Calibri"/>
        </w:rPr>
        <w:t>There was a significant interaction between timeframe and frequency of use of modafinil, F</w:t>
      </w:r>
      <w:r w:rsidRPr="00734AB6">
        <w:rPr>
          <w:rFonts w:asciiTheme="majorHAnsi" w:eastAsia="Calibri" w:hAnsiTheme="majorHAnsi" w:cs="Calibri"/>
          <w:vertAlign w:val="subscript"/>
        </w:rPr>
        <w:t>(4, 214)</w:t>
      </w:r>
      <w:r w:rsidRPr="00734AB6">
        <w:rPr>
          <w:rFonts w:asciiTheme="majorHAnsi" w:eastAsia="Calibri" w:hAnsiTheme="majorHAnsi" w:cs="Calibri"/>
        </w:rPr>
        <w:t xml:space="preserve"> = 2.53, MSE = 3.648, </w:t>
      </w:r>
      <w:r w:rsidRPr="00734AB6">
        <w:rPr>
          <w:rFonts w:asciiTheme="majorHAnsi" w:eastAsia="Calibri" w:hAnsiTheme="majorHAnsi" w:cs="Calibri"/>
          <w:i/>
        </w:rPr>
        <w:t>p</w:t>
      </w:r>
      <w:r w:rsidRPr="00734AB6">
        <w:rPr>
          <w:rFonts w:asciiTheme="majorHAnsi" w:eastAsia="Calibri" w:hAnsiTheme="majorHAnsi" w:cs="Calibri"/>
        </w:rPr>
        <w:t xml:space="preserve"> = .041,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0.045. Figure </w:t>
      </w:r>
      <w:r w:rsidR="00F244F9" w:rsidRPr="00734AB6">
        <w:rPr>
          <w:rFonts w:asciiTheme="majorHAnsi" w:eastAsia="Calibri" w:hAnsiTheme="majorHAnsi"/>
        </w:rPr>
        <w:t>2.</w:t>
      </w:r>
      <w:r w:rsidRPr="00734AB6">
        <w:rPr>
          <w:rFonts w:asciiTheme="majorHAnsi" w:eastAsia="Calibri" w:hAnsiTheme="majorHAnsi"/>
        </w:rPr>
        <w:t xml:space="preserve">1 shows that the number of </w:t>
      </w:r>
      <w:r w:rsidRPr="00734AB6">
        <w:rPr>
          <w:rFonts w:asciiTheme="majorHAnsi" w:eastAsia="Calibri" w:hAnsiTheme="majorHAnsi"/>
        </w:rPr>
        <w:lastRenderedPageBreak/>
        <w:t xml:space="preserve">immediate effects was reported as being greater with more frequent use of modafinil. Post-hoc within-subjects </w:t>
      </w:r>
      <w:r w:rsidRPr="00734AB6">
        <w:rPr>
          <w:rFonts w:asciiTheme="majorHAnsi" w:eastAsia="Calibri" w:hAnsiTheme="majorHAnsi"/>
          <w:i/>
          <w:iCs/>
        </w:rPr>
        <w:t>t</w:t>
      </w:r>
      <w:r w:rsidRPr="00734AB6">
        <w:rPr>
          <w:rFonts w:asciiTheme="majorHAnsi" w:eastAsia="Calibri" w:hAnsiTheme="majorHAnsi"/>
        </w:rPr>
        <w:t xml:space="preserve">-tests confirmed that the difference between </w:t>
      </w:r>
      <w:r w:rsidR="00DE3BDD" w:rsidRPr="00734AB6">
        <w:rPr>
          <w:rFonts w:asciiTheme="majorHAnsi" w:hAnsiTheme="majorHAnsi"/>
        </w:rPr>
        <w:t>immediate and longer-</w:t>
      </w:r>
      <w:r w:rsidRPr="00734AB6">
        <w:rPr>
          <w:rFonts w:asciiTheme="majorHAnsi" w:hAnsiTheme="majorHAnsi"/>
        </w:rPr>
        <w:t xml:space="preserve">lasting effects was significant for all five frequency of use groups (all </w:t>
      </w:r>
      <w:r w:rsidRPr="00734AB6">
        <w:rPr>
          <w:rFonts w:asciiTheme="majorHAnsi" w:hAnsiTheme="majorHAnsi"/>
          <w:i/>
        </w:rPr>
        <w:t>p</w:t>
      </w:r>
      <w:r w:rsidRPr="00734AB6">
        <w:rPr>
          <w:rFonts w:asciiTheme="majorHAnsi" w:hAnsiTheme="majorHAnsi"/>
        </w:rPr>
        <w:t>’s &lt; .04). The data presented in the 2 x 2 x 5 ANOVAs were not normally distributed. However, the overall pattern of the results remained the same after log transformati</w:t>
      </w:r>
      <w:r w:rsidR="00617EE9" w:rsidRPr="00734AB6">
        <w:rPr>
          <w:rFonts w:asciiTheme="majorHAnsi" w:hAnsiTheme="majorHAnsi"/>
        </w:rPr>
        <w:t xml:space="preserve">on of the ANOVAs (see Appendix </w:t>
      </w:r>
      <w:r w:rsidR="006B4173" w:rsidRPr="00734AB6">
        <w:rPr>
          <w:rFonts w:asciiTheme="majorHAnsi" w:hAnsiTheme="majorHAnsi"/>
        </w:rPr>
        <w:t xml:space="preserve">A(ix) </w:t>
      </w:r>
      <w:r w:rsidRPr="00734AB6">
        <w:rPr>
          <w:rFonts w:asciiTheme="majorHAnsi" w:hAnsiTheme="majorHAnsi"/>
        </w:rPr>
        <w:t>for the analysis).</w:t>
      </w:r>
    </w:p>
    <w:p w14:paraId="1C6D8A34" w14:textId="2F63630C" w:rsidR="009C7702" w:rsidRPr="00734AB6" w:rsidRDefault="009C7702" w:rsidP="0099584D">
      <w:pPr>
        <w:spacing w:line="360" w:lineRule="auto"/>
        <w:ind w:firstLine="851"/>
        <w:rPr>
          <w:rFonts w:asciiTheme="majorHAnsi" w:hAnsiTheme="majorHAnsi"/>
        </w:rPr>
      </w:pPr>
      <w:r w:rsidRPr="00734AB6">
        <w:rPr>
          <w:rFonts w:asciiTheme="majorHAnsi" w:hAnsiTheme="majorHAnsi" w:cs="Arial"/>
          <w:color w:val="000000"/>
        </w:rPr>
        <w:t xml:space="preserve">In order to determine the relative magnitude of the differences between the perceived immediate and longer-lasting effects, Cohen’s </w:t>
      </w:r>
      <w:r w:rsidRPr="00734AB6">
        <w:rPr>
          <w:rFonts w:asciiTheme="majorHAnsi" w:hAnsiTheme="majorHAnsi" w:cs="Arial"/>
          <w:i/>
          <w:iCs/>
          <w:color w:val="000000"/>
        </w:rPr>
        <w:t>d</w:t>
      </w:r>
      <w:r w:rsidRPr="00734AB6">
        <w:rPr>
          <w:rFonts w:asciiTheme="majorHAnsi" w:hAnsiTheme="majorHAnsi" w:cs="Arial"/>
          <w:color w:val="000000"/>
        </w:rPr>
        <w:t xml:space="preserve"> was calculated to establish the effect size for the difference for each frequency of use group</w:t>
      </w:r>
      <w:r w:rsidR="00986BAD" w:rsidRPr="00734AB6">
        <w:rPr>
          <w:rFonts w:asciiTheme="majorHAnsi" w:hAnsiTheme="majorHAnsi" w:cs="Arial"/>
          <w:color w:val="000000"/>
        </w:rPr>
        <w:t xml:space="preserve"> (see Table </w:t>
      </w:r>
      <w:r w:rsidR="009E23DC" w:rsidRPr="00734AB6">
        <w:rPr>
          <w:rFonts w:asciiTheme="majorHAnsi" w:hAnsiTheme="majorHAnsi" w:cs="Arial"/>
          <w:color w:val="000000"/>
        </w:rPr>
        <w:t>2.5</w:t>
      </w:r>
      <w:r w:rsidRPr="00734AB6">
        <w:rPr>
          <w:rFonts w:asciiTheme="majorHAnsi" w:hAnsiTheme="majorHAnsi" w:cs="Arial"/>
          <w:color w:val="000000"/>
        </w:rPr>
        <w:t xml:space="preserve"> for details).</w:t>
      </w:r>
      <w:r w:rsidRPr="00734AB6">
        <w:rPr>
          <w:rFonts w:asciiTheme="majorHAnsi" w:hAnsiTheme="majorHAnsi"/>
        </w:rPr>
        <w:t xml:space="preserve"> The results indicated that the effect size was smaller for both once or twice per week and six or fewer times a year than for all other frequency of use groups. The two-way interaction appears, therefore, to be due to a smaller difference between the reported immediate and longer-lasting effects in the most and least frequent use groups. Figure </w:t>
      </w:r>
      <w:r w:rsidR="00723DAF" w:rsidRPr="00734AB6">
        <w:rPr>
          <w:rFonts w:asciiTheme="majorHAnsi" w:hAnsiTheme="majorHAnsi"/>
        </w:rPr>
        <w:t>2.</w:t>
      </w:r>
      <w:r w:rsidRPr="00734AB6">
        <w:rPr>
          <w:rFonts w:asciiTheme="majorHAnsi" w:hAnsiTheme="majorHAnsi"/>
        </w:rPr>
        <w:t>1 suggests that every day users reported a higher number of long-term effects (risks and benefits combined) and those that reported a frequency of use of six times or fewer reported fewer immediate effects (both risks and benefits combined).</w:t>
      </w:r>
    </w:p>
    <w:p w14:paraId="0523AB1D" w14:textId="77777777" w:rsidR="00536712" w:rsidRPr="00734AB6" w:rsidRDefault="00536712" w:rsidP="0099584D">
      <w:pPr>
        <w:spacing w:line="360" w:lineRule="auto"/>
        <w:ind w:firstLine="851"/>
        <w:rPr>
          <w:rFonts w:asciiTheme="majorHAnsi" w:hAnsiTheme="majorHAnsi"/>
        </w:rPr>
      </w:pPr>
    </w:p>
    <w:p w14:paraId="315BB413" w14:textId="3CF10A5C" w:rsidR="009C7702" w:rsidRPr="00734AB6" w:rsidRDefault="009C7702" w:rsidP="00536712">
      <w:pPr>
        <w:widowControl w:val="0"/>
        <w:tabs>
          <w:tab w:val="left" w:pos="993"/>
        </w:tabs>
        <w:autoSpaceDE w:val="0"/>
        <w:autoSpaceDN w:val="0"/>
        <w:adjustRightInd w:val="0"/>
        <w:spacing w:line="360" w:lineRule="auto"/>
        <w:ind w:left="993" w:hanging="993"/>
        <w:rPr>
          <w:rFonts w:asciiTheme="majorHAnsi" w:hAnsiTheme="majorHAnsi"/>
          <w:b/>
        </w:rPr>
      </w:pPr>
      <w:r w:rsidRPr="00734AB6">
        <w:rPr>
          <w:rFonts w:asciiTheme="majorHAnsi" w:hAnsiTheme="majorHAnsi"/>
          <w:b/>
        </w:rPr>
        <w:t xml:space="preserve">Table </w:t>
      </w:r>
      <w:r w:rsidR="009E23DC" w:rsidRPr="00734AB6">
        <w:rPr>
          <w:rFonts w:asciiTheme="majorHAnsi" w:hAnsiTheme="majorHAnsi"/>
          <w:b/>
        </w:rPr>
        <w:t>2.5</w:t>
      </w:r>
      <w:r w:rsidRPr="00734AB6">
        <w:rPr>
          <w:rFonts w:asciiTheme="majorHAnsi" w:hAnsiTheme="majorHAnsi"/>
          <w:b/>
        </w:rPr>
        <w:t>.</w:t>
      </w:r>
      <w:r w:rsidRPr="00734AB6">
        <w:rPr>
          <w:rFonts w:asciiTheme="majorHAnsi" w:hAnsiTheme="majorHAnsi"/>
          <w:b/>
        </w:rPr>
        <w:tab/>
        <w:t xml:space="preserve">Cohen’s </w:t>
      </w:r>
      <w:r w:rsidRPr="00734AB6">
        <w:rPr>
          <w:rFonts w:asciiTheme="majorHAnsi" w:hAnsiTheme="majorHAnsi"/>
          <w:b/>
          <w:i/>
        </w:rPr>
        <w:t>d</w:t>
      </w:r>
      <w:r w:rsidRPr="00734AB6">
        <w:rPr>
          <w:rFonts w:asciiTheme="majorHAnsi" w:hAnsiTheme="majorHAnsi"/>
          <w:b/>
        </w:rPr>
        <w:t>’s for difference between immediate and longer-lasting effects by frequency of modafinil use</w:t>
      </w:r>
    </w:p>
    <w:tbl>
      <w:tblPr>
        <w:tblpPr w:leftFromText="180" w:rightFromText="180" w:vertAnchor="text" w:tblpY="1"/>
        <w:tblOverlap w:val="neve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56"/>
        <w:gridCol w:w="1701"/>
      </w:tblGrid>
      <w:tr w:rsidR="009C7702" w:rsidRPr="00734AB6" w14:paraId="5B2132C3" w14:textId="77777777" w:rsidTr="00F57118">
        <w:tc>
          <w:tcPr>
            <w:tcW w:w="3256" w:type="dxa"/>
            <w:tcBorders>
              <w:bottom w:val="single" w:sz="4" w:space="0" w:color="auto"/>
            </w:tcBorders>
          </w:tcPr>
          <w:p w14:paraId="261805CF"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Frequency of use</w:t>
            </w:r>
          </w:p>
        </w:tc>
        <w:tc>
          <w:tcPr>
            <w:tcW w:w="1701" w:type="dxa"/>
            <w:tcBorders>
              <w:bottom w:val="single" w:sz="4" w:space="0" w:color="auto"/>
            </w:tcBorders>
          </w:tcPr>
          <w:p w14:paraId="02A3A5ED" w14:textId="77777777" w:rsidR="009C7702" w:rsidRPr="00734AB6" w:rsidRDefault="009C7702" w:rsidP="0099584D">
            <w:pPr>
              <w:widowControl w:val="0"/>
              <w:autoSpaceDE w:val="0"/>
              <w:autoSpaceDN w:val="0"/>
              <w:adjustRightInd w:val="0"/>
              <w:spacing w:line="360" w:lineRule="auto"/>
              <w:rPr>
                <w:rFonts w:asciiTheme="majorHAnsi" w:hAnsiTheme="majorHAnsi"/>
                <w:b/>
                <w:i/>
              </w:rPr>
            </w:pPr>
            <w:r w:rsidRPr="00734AB6">
              <w:rPr>
                <w:rFonts w:asciiTheme="majorHAnsi" w:hAnsiTheme="majorHAnsi"/>
                <w:b/>
              </w:rPr>
              <w:t xml:space="preserve">Cohen’s </w:t>
            </w:r>
            <w:r w:rsidRPr="00734AB6">
              <w:rPr>
                <w:rFonts w:asciiTheme="majorHAnsi" w:hAnsiTheme="majorHAnsi"/>
                <w:b/>
                <w:i/>
              </w:rPr>
              <w:t>d</w:t>
            </w:r>
          </w:p>
        </w:tc>
      </w:tr>
      <w:tr w:rsidR="009C7702" w:rsidRPr="00734AB6" w14:paraId="1EABF259" w14:textId="77777777" w:rsidTr="00F57118">
        <w:tc>
          <w:tcPr>
            <w:tcW w:w="3256" w:type="dxa"/>
            <w:tcBorders>
              <w:bottom w:val="nil"/>
            </w:tcBorders>
          </w:tcPr>
          <w:p w14:paraId="23A54F7E"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Every day/almost every day</w:t>
            </w:r>
          </w:p>
        </w:tc>
        <w:tc>
          <w:tcPr>
            <w:tcW w:w="1701" w:type="dxa"/>
            <w:tcBorders>
              <w:bottom w:val="nil"/>
            </w:tcBorders>
          </w:tcPr>
          <w:p w14:paraId="17E7476E"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1.29</w:t>
            </w:r>
          </w:p>
        </w:tc>
      </w:tr>
      <w:tr w:rsidR="009C7702" w:rsidRPr="00734AB6" w14:paraId="114EC9E4" w14:textId="77777777" w:rsidTr="00F57118">
        <w:tc>
          <w:tcPr>
            <w:tcW w:w="3256" w:type="dxa"/>
            <w:tcBorders>
              <w:top w:val="nil"/>
              <w:bottom w:val="nil"/>
            </w:tcBorders>
          </w:tcPr>
          <w:p w14:paraId="457CFA54"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Three or more times per week</w:t>
            </w:r>
          </w:p>
        </w:tc>
        <w:tc>
          <w:tcPr>
            <w:tcW w:w="1701" w:type="dxa"/>
            <w:tcBorders>
              <w:top w:val="nil"/>
              <w:bottom w:val="nil"/>
            </w:tcBorders>
          </w:tcPr>
          <w:p w14:paraId="669C329E"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1.40</w:t>
            </w:r>
          </w:p>
        </w:tc>
      </w:tr>
      <w:tr w:rsidR="009C7702" w:rsidRPr="00734AB6" w14:paraId="55886C80" w14:textId="77777777" w:rsidTr="00F57118">
        <w:tc>
          <w:tcPr>
            <w:tcW w:w="3256" w:type="dxa"/>
            <w:tcBorders>
              <w:top w:val="nil"/>
              <w:bottom w:val="nil"/>
            </w:tcBorders>
          </w:tcPr>
          <w:p w14:paraId="16A3F849"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Once or twice per week</w:t>
            </w:r>
          </w:p>
        </w:tc>
        <w:tc>
          <w:tcPr>
            <w:tcW w:w="1701" w:type="dxa"/>
            <w:tcBorders>
              <w:top w:val="nil"/>
              <w:bottom w:val="nil"/>
            </w:tcBorders>
          </w:tcPr>
          <w:p w14:paraId="2B78D4CC"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1.23</w:t>
            </w:r>
          </w:p>
        </w:tc>
      </w:tr>
      <w:tr w:rsidR="009C7702" w:rsidRPr="00734AB6" w14:paraId="2ADFDA18" w14:textId="77777777" w:rsidTr="00F57118">
        <w:tc>
          <w:tcPr>
            <w:tcW w:w="3256" w:type="dxa"/>
            <w:tcBorders>
              <w:top w:val="nil"/>
              <w:bottom w:val="nil"/>
            </w:tcBorders>
          </w:tcPr>
          <w:p w14:paraId="6DB754E5"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Two or three times per month</w:t>
            </w:r>
          </w:p>
        </w:tc>
        <w:tc>
          <w:tcPr>
            <w:tcW w:w="1701" w:type="dxa"/>
            <w:tcBorders>
              <w:top w:val="nil"/>
              <w:bottom w:val="nil"/>
            </w:tcBorders>
          </w:tcPr>
          <w:p w14:paraId="2D40D2B3"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1.32</w:t>
            </w:r>
          </w:p>
        </w:tc>
      </w:tr>
      <w:tr w:rsidR="009C7702" w:rsidRPr="00734AB6" w14:paraId="13EC3014" w14:textId="77777777" w:rsidTr="00F57118">
        <w:tc>
          <w:tcPr>
            <w:tcW w:w="3256" w:type="dxa"/>
            <w:tcBorders>
              <w:top w:val="nil"/>
            </w:tcBorders>
          </w:tcPr>
          <w:p w14:paraId="68BEA5FB"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Six times or less per year</w:t>
            </w:r>
          </w:p>
        </w:tc>
        <w:tc>
          <w:tcPr>
            <w:tcW w:w="1701" w:type="dxa"/>
            <w:tcBorders>
              <w:top w:val="nil"/>
            </w:tcBorders>
          </w:tcPr>
          <w:p w14:paraId="74F27129"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1.00</w:t>
            </w:r>
          </w:p>
        </w:tc>
      </w:tr>
    </w:tbl>
    <w:p w14:paraId="66FD1E3E" w14:textId="77777777" w:rsidR="009C7702" w:rsidRPr="00734AB6" w:rsidRDefault="009C7702" w:rsidP="0099584D">
      <w:pPr>
        <w:spacing w:line="360" w:lineRule="auto"/>
        <w:ind w:firstLine="851"/>
        <w:rPr>
          <w:rFonts w:asciiTheme="majorHAnsi" w:hAnsiTheme="majorHAnsi"/>
        </w:rPr>
      </w:pPr>
      <w:r w:rsidRPr="00734AB6">
        <w:rPr>
          <w:rFonts w:asciiTheme="majorHAnsi" w:hAnsiTheme="majorHAnsi"/>
        </w:rPr>
        <w:br w:type="textWrapping" w:clear="all"/>
      </w:r>
    </w:p>
    <w:p w14:paraId="177E2C75" w14:textId="548D49BD" w:rsidR="009C7702" w:rsidRPr="00734AB6" w:rsidRDefault="00FE0452" w:rsidP="00E161A9">
      <w:pPr>
        <w:spacing w:line="360" w:lineRule="auto"/>
        <w:rPr>
          <w:rFonts w:asciiTheme="majorHAnsi" w:eastAsia="Calibri" w:hAnsiTheme="majorHAnsi"/>
        </w:rPr>
      </w:pPr>
      <w:r w:rsidRPr="00734AB6">
        <w:rPr>
          <w:rFonts w:asciiTheme="majorHAnsi" w:eastAsia="Calibri" w:hAnsiTheme="majorHAnsi"/>
          <w:noProof/>
          <w:lang w:eastAsia="en-GB"/>
        </w:rPr>
        <w:lastRenderedPageBreak/>
        <w:drawing>
          <wp:inline distT="0" distB="0" distL="0" distR="0" wp14:anchorId="6415E9C7" wp14:editId="188C2C54">
            <wp:extent cx="5407660" cy="52184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5218430"/>
                    </a:xfrm>
                    <a:prstGeom prst="rect">
                      <a:avLst/>
                    </a:prstGeom>
                    <a:noFill/>
                  </pic:spPr>
                </pic:pic>
              </a:graphicData>
            </a:graphic>
          </wp:inline>
        </w:drawing>
      </w:r>
    </w:p>
    <w:p w14:paraId="5E7C489D" w14:textId="1D946F32" w:rsidR="009C7702" w:rsidRPr="00734AB6" w:rsidRDefault="009C7702" w:rsidP="00E161A9">
      <w:pPr>
        <w:widowControl w:val="0"/>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t xml:space="preserve">Figure </w:t>
      </w:r>
      <w:r w:rsidR="00D063DF" w:rsidRPr="00734AB6">
        <w:rPr>
          <w:rFonts w:asciiTheme="majorHAnsi" w:eastAsia="Calibri" w:hAnsiTheme="majorHAnsi" w:cs="Calibri"/>
          <w:b/>
        </w:rPr>
        <w:t>2.</w:t>
      </w:r>
      <w:r w:rsidRPr="00734AB6">
        <w:rPr>
          <w:rFonts w:asciiTheme="majorHAnsi" w:eastAsia="Calibri" w:hAnsiTheme="majorHAnsi" w:cs="Calibri"/>
          <w:b/>
        </w:rPr>
        <w:t>1. The interaction between the reported immediate and longer-lasting effects and the reported frequency of use of modafinil.</w:t>
      </w:r>
    </w:p>
    <w:p w14:paraId="60FA8D25" w14:textId="77777777" w:rsidR="009C7702" w:rsidRPr="00734AB6" w:rsidRDefault="009C7702" w:rsidP="0099584D">
      <w:pPr>
        <w:widowControl w:val="0"/>
        <w:autoSpaceDE w:val="0"/>
        <w:autoSpaceDN w:val="0"/>
        <w:adjustRightInd w:val="0"/>
        <w:spacing w:after="0" w:line="360" w:lineRule="auto"/>
        <w:rPr>
          <w:rFonts w:asciiTheme="majorHAnsi" w:eastAsia="Calibri" w:hAnsiTheme="majorHAnsi" w:cs="Calibri"/>
          <w:b/>
        </w:rPr>
      </w:pPr>
    </w:p>
    <w:p w14:paraId="0705A3AE" w14:textId="77777777" w:rsidR="009C7702" w:rsidRPr="00734AB6" w:rsidRDefault="009C7702" w:rsidP="00E161A9">
      <w:pPr>
        <w:pStyle w:val="Heading6"/>
        <w:spacing w:after="240" w:line="360" w:lineRule="auto"/>
        <w:rPr>
          <w:b/>
          <w:color w:val="auto"/>
        </w:rPr>
      </w:pPr>
      <w:r w:rsidRPr="00734AB6">
        <w:rPr>
          <w:b/>
          <w:color w:val="auto"/>
        </w:rPr>
        <w:t>2.2.3.4.3.4</w:t>
      </w:r>
      <w:r w:rsidRPr="00734AB6">
        <w:rPr>
          <w:b/>
          <w:color w:val="auto"/>
        </w:rPr>
        <w:tab/>
        <w:t>Perceived benefits and risks and frequency of modafinil use</w:t>
      </w:r>
    </w:p>
    <w:p w14:paraId="7E64F883" w14:textId="7D269F31" w:rsidR="009C7702" w:rsidRPr="00734AB6" w:rsidRDefault="009C7702" w:rsidP="0099584D">
      <w:pPr>
        <w:widowControl w:val="0"/>
        <w:autoSpaceDE w:val="0"/>
        <w:autoSpaceDN w:val="0"/>
        <w:adjustRightInd w:val="0"/>
        <w:spacing w:after="0" w:line="360" w:lineRule="auto"/>
        <w:ind w:firstLine="720"/>
        <w:rPr>
          <w:rFonts w:asciiTheme="majorHAnsi" w:hAnsiTheme="majorHAnsi"/>
        </w:rPr>
      </w:pPr>
      <w:r w:rsidRPr="00734AB6">
        <w:rPr>
          <w:rFonts w:asciiTheme="majorHAnsi" w:eastAsia="Calibri" w:hAnsiTheme="majorHAnsi"/>
        </w:rPr>
        <w:t>There was a significant interaction between perceived benefits and risks and the reported frequency of use of modafinil, F</w:t>
      </w:r>
      <w:r w:rsidRPr="00734AB6">
        <w:rPr>
          <w:rFonts w:asciiTheme="majorHAnsi" w:eastAsia="Calibri" w:hAnsiTheme="majorHAnsi"/>
          <w:vertAlign w:val="subscript"/>
        </w:rPr>
        <w:t>(4, 214)</w:t>
      </w:r>
      <w:r w:rsidRPr="00734AB6">
        <w:rPr>
          <w:rFonts w:asciiTheme="majorHAnsi" w:eastAsia="Calibri" w:hAnsiTheme="majorHAnsi"/>
        </w:rPr>
        <w:t xml:space="preserve"> = 4.597, MSE = 6.264, </w:t>
      </w:r>
      <w:r w:rsidRPr="00734AB6">
        <w:rPr>
          <w:rFonts w:asciiTheme="majorHAnsi" w:eastAsia="Calibri" w:hAnsiTheme="majorHAnsi" w:cs="Calibri"/>
          <w:i/>
        </w:rPr>
        <w:t xml:space="preserve">p </w:t>
      </w:r>
      <w:r w:rsidRPr="00734AB6">
        <w:rPr>
          <w:rFonts w:asciiTheme="majorHAnsi" w:eastAsia="Calibri" w:hAnsiTheme="majorHAnsi" w:cs="Calibri"/>
        </w:rPr>
        <w:t xml:space="preserve">&lt; .001,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0.079, and this is plotted in Figure </w:t>
      </w:r>
      <w:r w:rsidR="00AD631E" w:rsidRPr="00734AB6">
        <w:rPr>
          <w:rFonts w:asciiTheme="majorHAnsi" w:eastAsia="Calibri" w:hAnsiTheme="majorHAnsi"/>
        </w:rPr>
        <w:t>2.</w:t>
      </w:r>
      <w:r w:rsidRPr="00734AB6">
        <w:rPr>
          <w:rFonts w:asciiTheme="majorHAnsi" w:eastAsia="Calibri" w:hAnsiTheme="majorHAnsi"/>
        </w:rPr>
        <w:t xml:space="preserve">2. </w:t>
      </w:r>
      <w:r w:rsidRPr="00734AB6">
        <w:rPr>
          <w:rFonts w:asciiTheme="majorHAnsi" w:hAnsiTheme="majorHAnsi"/>
        </w:rPr>
        <w:t xml:space="preserve">Post-hoc within-subjects </w:t>
      </w:r>
      <w:r w:rsidRPr="00734AB6">
        <w:rPr>
          <w:rFonts w:asciiTheme="majorHAnsi" w:hAnsiTheme="majorHAnsi"/>
          <w:i/>
          <w:iCs/>
        </w:rPr>
        <w:t>t</w:t>
      </w:r>
      <w:r w:rsidRPr="00734AB6">
        <w:rPr>
          <w:rFonts w:asciiTheme="majorHAnsi" w:hAnsiTheme="majorHAnsi"/>
        </w:rPr>
        <w:t xml:space="preserve">-tests confirmed that significantly more benefits than risks were reported for all five frequencies of use groups (all </w:t>
      </w:r>
      <w:r w:rsidRPr="00734AB6">
        <w:rPr>
          <w:rFonts w:asciiTheme="majorHAnsi" w:hAnsiTheme="majorHAnsi"/>
          <w:i/>
        </w:rPr>
        <w:t>p</w:t>
      </w:r>
      <w:r w:rsidRPr="00734AB6">
        <w:rPr>
          <w:rFonts w:asciiTheme="majorHAnsi" w:hAnsiTheme="majorHAnsi"/>
        </w:rPr>
        <w:t xml:space="preserve">’s &lt; .001). Cohen’s </w:t>
      </w:r>
      <w:r w:rsidRPr="00734AB6">
        <w:rPr>
          <w:rFonts w:asciiTheme="majorHAnsi" w:hAnsiTheme="majorHAnsi"/>
          <w:i/>
          <w:iCs/>
        </w:rPr>
        <w:t>d</w:t>
      </w:r>
      <w:r w:rsidRPr="00734AB6">
        <w:rPr>
          <w:rFonts w:asciiTheme="majorHAnsi" w:hAnsiTheme="majorHAnsi"/>
        </w:rPr>
        <w:t xml:space="preserve"> was calculated to establish the effect size for the difference between risks and benefits for each frequency of use group. The effect size was smallest for six or fewer times a year (see Table </w:t>
      </w:r>
      <w:r w:rsidR="009E23DC" w:rsidRPr="00734AB6">
        <w:rPr>
          <w:rFonts w:asciiTheme="majorHAnsi" w:hAnsiTheme="majorHAnsi"/>
        </w:rPr>
        <w:t>2.6</w:t>
      </w:r>
      <w:r w:rsidRPr="00734AB6">
        <w:rPr>
          <w:rFonts w:asciiTheme="majorHAnsi" w:hAnsiTheme="majorHAnsi"/>
        </w:rPr>
        <w:t xml:space="preserve">). </w:t>
      </w:r>
    </w:p>
    <w:p w14:paraId="029EC389" w14:textId="77777777" w:rsidR="009C7702" w:rsidRPr="00734AB6" w:rsidRDefault="009C7702" w:rsidP="0099584D">
      <w:pPr>
        <w:widowControl w:val="0"/>
        <w:autoSpaceDE w:val="0"/>
        <w:autoSpaceDN w:val="0"/>
        <w:adjustRightInd w:val="0"/>
        <w:spacing w:after="0" w:line="360" w:lineRule="auto"/>
        <w:ind w:firstLine="720"/>
        <w:rPr>
          <w:rFonts w:asciiTheme="majorHAnsi" w:hAnsiTheme="majorHAnsi"/>
        </w:rPr>
      </w:pPr>
    </w:p>
    <w:p w14:paraId="6B7201D2" w14:textId="77777777" w:rsidR="00536712" w:rsidRPr="00734AB6" w:rsidRDefault="00536712">
      <w:pPr>
        <w:rPr>
          <w:rFonts w:asciiTheme="majorHAnsi" w:hAnsiTheme="majorHAnsi"/>
          <w:b/>
        </w:rPr>
      </w:pPr>
      <w:r w:rsidRPr="00734AB6">
        <w:rPr>
          <w:rFonts w:asciiTheme="majorHAnsi" w:hAnsiTheme="majorHAnsi"/>
          <w:b/>
        </w:rPr>
        <w:br w:type="page"/>
      </w:r>
    </w:p>
    <w:p w14:paraId="1FC021AF" w14:textId="44682C23" w:rsidR="009C7702" w:rsidRPr="00734AB6" w:rsidRDefault="00986BAD" w:rsidP="00E161A9">
      <w:pPr>
        <w:widowControl w:val="0"/>
        <w:autoSpaceDE w:val="0"/>
        <w:autoSpaceDN w:val="0"/>
        <w:adjustRightInd w:val="0"/>
        <w:spacing w:line="360" w:lineRule="auto"/>
        <w:rPr>
          <w:rFonts w:asciiTheme="majorHAnsi" w:hAnsiTheme="majorHAnsi"/>
          <w:b/>
        </w:rPr>
      </w:pPr>
      <w:r w:rsidRPr="00734AB6">
        <w:rPr>
          <w:rFonts w:asciiTheme="majorHAnsi" w:hAnsiTheme="majorHAnsi"/>
          <w:b/>
        </w:rPr>
        <w:lastRenderedPageBreak/>
        <w:t xml:space="preserve">Table </w:t>
      </w:r>
      <w:r w:rsidR="009E23DC" w:rsidRPr="00734AB6">
        <w:rPr>
          <w:rFonts w:asciiTheme="majorHAnsi" w:hAnsiTheme="majorHAnsi"/>
          <w:b/>
        </w:rPr>
        <w:t>2.6</w:t>
      </w:r>
      <w:r w:rsidR="009C7702" w:rsidRPr="00734AB6">
        <w:rPr>
          <w:rFonts w:asciiTheme="majorHAnsi" w:hAnsiTheme="majorHAnsi"/>
          <w:b/>
        </w:rPr>
        <w:t>.</w:t>
      </w:r>
      <w:r w:rsidR="009C7702" w:rsidRPr="00734AB6">
        <w:rPr>
          <w:rFonts w:asciiTheme="majorHAnsi" w:hAnsiTheme="majorHAnsi"/>
          <w:b/>
        </w:rPr>
        <w:tab/>
        <w:t xml:space="preserve">Cohen’s </w:t>
      </w:r>
      <w:r w:rsidR="009C7702" w:rsidRPr="00734AB6">
        <w:rPr>
          <w:rFonts w:asciiTheme="majorHAnsi" w:hAnsiTheme="majorHAnsi"/>
          <w:b/>
          <w:i/>
        </w:rPr>
        <w:t>d</w:t>
      </w:r>
      <w:r w:rsidR="009C7702" w:rsidRPr="00734AB6">
        <w:rPr>
          <w:rFonts w:asciiTheme="majorHAnsi" w:hAnsiTheme="majorHAnsi"/>
          <w:b/>
        </w:rPr>
        <w:t>’s for frequency of use of modafinil</w:t>
      </w:r>
    </w:p>
    <w:tbl>
      <w:tblPr>
        <w:tblpPr w:leftFromText="180" w:rightFromText="180" w:vertAnchor="text" w:tblpY="1"/>
        <w:tblOverlap w:val="never"/>
        <w:tblW w:w="0" w:type="auto"/>
        <w:tblBorders>
          <w:top w:val="single" w:sz="4" w:space="0" w:color="auto"/>
          <w:bottom w:val="single" w:sz="4" w:space="0" w:color="auto"/>
        </w:tblBorders>
        <w:tblLook w:val="04A0" w:firstRow="1" w:lastRow="0" w:firstColumn="1" w:lastColumn="0" w:noHBand="0" w:noVBand="1"/>
      </w:tblPr>
      <w:tblGrid>
        <w:gridCol w:w="3256"/>
        <w:gridCol w:w="1701"/>
      </w:tblGrid>
      <w:tr w:rsidR="009C7702" w:rsidRPr="00734AB6" w14:paraId="2BF6D0E6" w14:textId="77777777" w:rsidTr="00A66AA6">
        <w:tc>
          <w:tcPr>
            <w:tcW w:w="3256" w:type="dxa"/>
            <w:tcBorders>
              <w:top w:val="single" w:sz="4" w:space="0" w:color="auto"/>
              <w:bottom w:val="single" w:sz="4" w:space="0" w:color="auto"/>
            </w:tcBorders>
          </w:tcPr>
          <w:p w14:paraId="28D8F1EC"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Frequency of use</w:t>
            </w:r>
          </w:p>
        </w:tc>
        <w:tc>
          <w:tcPr>
            <w:tcW w:w="1701" w:type="dxa"/>
            <w:tcBorders>
              <w:top w:val="single" w:sz="4" w:space="0" w:color="auto"/>
              <w:bottom w:val="single" w:sz="4" w:space="0" w:color="auto"/>
            </w:tcBorders>
          </w:tcPr>
          <w:p w14:paraId="25C5AFD2" w14:textId="77777777" w:rsidR="009C7702" w:rsidRPr="00734AB6" w:rsidRDefault="009C7702" w:rsidP="0099584D">
            <w:pPr>
              <w:widowControl w:val="0"/>
              <w:autoSpaceDE w:val="0"/>
              <w:autoSpaceDN w:val="0"/>
              <w:adjustRightInd w:val="0"/>
              <w:spacing w:line="360" w:lineRule="auto"/>
              <w:rPr>
                <w:rFonts w:asciiTheme="majorHAnsi" w:hAnsiTheme="majorHAnsi"/>
                <w:b/>
                <w:i/>
              </w:rPr>
            </w:pPr>
            <w:r w:rsidRPr="00734AB6">
              <w:rPr>
                <w:rFonts w:asciiTheme="majorHAnsi" w:hAnsiTheme="majorHAnsi"/>
                <w:b/>
              </w:rPr>
              <w:t xml:space="preserve">Cohen’s </w:t>
            </w:r>
            <w:r w:rsidRPr="00734AB6">
              <w:rPr>
                <w:rFonts w:asciiTheme="majorHAnsi" w:hAnsiTheme="majorHAnsi"/>
                <w:b/>
                <w:i/>
              </w:rPr>
              <w:t>d</w:t>
            </w:r>
          </w:p>
        </w:tc>
      </w:tr>
      <w:tr w:rsidR="009C7702" w:rsidRPr="00734AB6" w14:paraId="00B7E680" w14:textId="77777777" w:rsidTr="00A66AA6">
        <w:tc>
          <w:tcPr>
            <w:tcW w:w="3256" w:type="dxa"/>
            <w:tcBorders>
              <w:top w:val="single" w:sz="4" w:space="0" w:color="auto"/>
              <w:bottom w:val="nil"/>
            </w:tcBorders>
          </w:tcPr>
          <w:p w14:paraId="36B8D794"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Every day/almost every day</w:t>
            </w:r>
          </w:p>
        </w:tc>
        <w:tc>
          <w:tcPr>
            <w:tcW w:w="1701" w:type="dxa"/>
            <w:tcBorders>
              <w:top w:val="single" w:sz="4" w:space="0" w:color="auto"/>
              <w:bottom w:val="nil"/>
            </w:tcBorders>
          </w:tcPr>
          <w:p w14:paraId="6C33224D"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1.40</w:t>
            </w:r>
          </w:p>
        </w:tc>
      </w:tr>
      <w:tr w:rsidR="009C7702" w:rsidRPr="00734AB6" w14:paraId="73E96E0B" w14:textId="77777777" w:rsidTr="00A66AA6">
        <w:tc>
          <w:tcPr>
            <w:tcW w:w="3256" w:type="dxa"/>
            <w:tcBorders>
              <w:top w:val="nil"/>
              <w:bottom w:val="nil"/>
            </w:tcBorders>
          </w:tcPr>
          <w:p w14:paraId="2A128029"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Three or more times per week</w:t>
            </w:r>
          </w:p>
        </w:tc>
        <w:tc>
          <w:tcPr>
            <w:tcW w:w="1701" w:type="dxa"/>
            <w:tcBorders>
              <w:top w:val="nil"/>
              <w:bottom w:val="nil"/>
            </w:tcBorders>
          </w:tcPr>
          <w:p w14:paraId="22CB7F90"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1.48</w:t>
            </w:r>
          </w:p>
        </w:tc>
      </w:tr>
      <w:tr w:rsidR="009C7702" w:rsidRPr="00734AB6" w14:paraId="4121324D" w14:textId="77777777" w:rsidTr="00A66AA6">
        <w:tc>
          <w:tcPr>
            <w:tcW w:w="3256" w:type="dxa"/>
            <w:tcBorders>
              <w:top w:val="nil"/>
              <w:bottom w:val="nil"/>
            </w:tcBorders>
          </w:tcPr>
          <w:p w14:paraId="5D2FA36D"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Once or twice per week</w:t>
            </w:r>
          </w:p>
        </w:tc>
        <w:tc>
          <w:tcPr>
            <w:tcW w:w="1701" w:type="dxa"/>
            <w:tcBorders>
              <w:top w:val="nil"/>
              <w:bottom w:val="nil"/>
            </w:tcBorders>
          </w:tcPr>
          <w:p w14:paraId="079D85C3"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1.37</w:t>
            </w:r>
          </w:p>
        </w:tc>
      </w:tr>
      <w:tr w:rsidR="009C7702" w:rsidRPr="00734AB6" w14:paraId="04ABA861" w14:textId="77777777" w:rsidTr="00A66AA6">
        <w:tc>
          <w:tcPr>
            <w:tcW w:w="3256" w:type="dxa"/>
            <w:tcBorders>
              <w:top w:val="nil"/>
              <w:bottom w:val="nil"/>
            </w:tcBorders>
          </w:tcPr>
          <w:p w14:paraId="3193911C"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Two or three times per month</w:t>
            </w:r>
          </w:p>
        </w:tc>
        <w:tc>
          <w:tcPr>
            <w:tcW w:w="1701" w:type="dxa"/>
            <w:tcBorders>
              <w:top w:val="nil"/>
              <w:bottom w:val="nil"/>
            </w:tcBorders>
          </w:tcPr>
          <w:p w14:paraId="0532B08C"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1.46</w:t>
            </w:r>
          </w:p>
        </w:tc>
      </w:tr>
      <w:tr w:rsidR="009C7702" w:rsidRPr="00734AB6" w14:paraId="440E7E73" w14:textId="77777777" w:rsidTr="00A66AA6">
        <w:tc>
          <w:tcPr>
            <w:tcW w:w="3256" w:type="dxa"/>
            <w:tcBorders>
              <w:top w:val="nil"/>
              <w:bottom w:val="single" w:sz="4" w:space="0" w:color="auto"/>
            </w:tcBorders>
          </w:tcPr>
          <w:p w14:paraId="48674996" w14:textId="77777777" w:rsidR="009C7702" w:rsidRPr="00734AB6" w:rsidRDefault="009C7702" w:rsidP="0099584D">
            <w:pPr>
              <w:widowControl w:val="0"/>
              <w:autoSpaceDE w:val="0"/>
              <w:autoSpaceDN w:val="0"/>
              <w:adjustRightInd w:val="0"/>
              <w:spacing w:line="360" w:lineRule="auto"/>
              <w:rPr>
                <w:rFonts w:asciiTheme="majorHAnsi" w:hAnsiTheme="majorHAnsi"/>
                <w:b/>
              </w:rPr>
            </w:pPr>
            <w:r w:rsidRPr="00734AB6">
              <w:rPr>
                <w:rFonts w:asciiTheme="majorHAnsi" w:hAnsiTheme="majorHAnsi"/>
                <w:b/>
              </w:rPr>
              <w:t>Six times or less per year</w:t>
            </w:r>
          </w:p>
        </w:tc>
        <w:tc>
          <w:tcPr>
            <w:tcW w:w="1701" w:type="dxa"/>
            <w:tcBorders>
              <w:top w:val="nil"/>
              <w:bottom w:val="single" w:sz="4" w:space="0" w:color="auto"/>
            </w:tcBorders>
          </w:tcPr>
          <w:p w14:paraId="3D7EC9BF" w14:textId="77777777" w:rsidR="009C7702" w:rsidRPr="00734AB6" w:rsidRDefault="009C7702" w:rsidP="0099584D">
            <w:pPr>
              <w:widowControl w:val="0"/>
              <w:autoSpaceDE w:val="0"/>
              <w:autoSpaceDN w:val="0"/>
              <w:adjustRightInd w:val="0"/>
              <w:spacing w:line="360" w:lineRule="auto"/>
              <w:rPr>
                <w:rFonts w:asciiTheme="majorHAnsi" w:hAnsiTheme="majorHAnsi"/>
              </w:rPr>
            </w:pPr>
            <w:r w:rsidRPr="00734AB6">
              <w:rPr>
                <w:rFonts w:asciiTheme="majorHAnsi" w:hAnsiTheme="majorHAnsi"/>
              </w:rPr>
              <w:t>1.14</w:t>
            </w:r>
          </w:p>
        </w:tc>
      </w:tr>
    </w:tbl>
    <w:p w14:paraId="127FB817" w14:textId="6FB7EDEE" w:rsidR="009C7702" w:rsidRPr="00734AB6" w:rsidRDefault="009C7702" w:rsidP="0099584D">
      <w:pPr>
        <w:widowControl w:val="0"/>
        <w:autoSpaceDE w:val="0"/>
        <w:autoSpaceDN w:val="0"/>
        <w:adjustRightInd w:val="0"/>
        <w:spacing w:after="0" w:line="360" w:lineRule="auto"/>
        <w:ind w:firstLine="720"/>
        <w:rPr>
          <w:rFonts w:asciiTheme="majorHAnsi" w:hAnsiTheme="majorHAnsi"/>
        </w:rPr>
      </w:pPr>
      <w:r w:rsidRPr="00734AB6">
        <w:rPr>
          <w:rFonts w:asciiTheme="majorHAnsi" w:hAnsiTheme="majorHAnsi"/>
        </w:rPr>
        <w:br w:type="textWrapping" w:clear="all"/>
      </w:r>
    </w:p>
    <w:p w14:paraId="48C5F357" w14:textId="6E69E660" w:rsidR="009C7702" w:rsidRPr="00734AB6" w:rsidRDefault="009C7702" w:rsidP="0099584D">
      <w:pPr>
        <w:widowControl w:val="0"/>
        <w:autoSpaceDE w:val="0"/>
        <w:autoSpaceDN w:val="0"/>
        <w:adjustRightInd w:val="0"/>
        <w:spacing w:after="0" w:line="360" w:lineRule="auto"/>
        <w:ind w:firstLine="720"/>
        <w:rPr>
          <w:rFonts w:asciiTheme="majorHAnsi" w:hAnsiTheme="majorHAnsi"/>
        </w:rPr>
      </w:pPr>
      <w:r w:rsidRPr="00734AB6">
        <w:rPr>
          <w:rFonts w:asciiTheme="majorHAnsi" w:hAnsiTheme="majorHAnsi"/>
        </w:rPr>
        <w:t>Figure 2</w:t>
      </w:r>
      <w:r w:rsidR="00AD631E" w:rsidRPr="00734AB6">
        <w:rPr>
          <w:rFonts w:asciiTheme="majorHAnsi" w:hAnsiTheme="majorHAnsi"/>
        </w:rPr>
        <w:t>.2.</w:t>
      </w:r>
      <w:r w:rsidRPr="00734AB6">
        <w:rPr>
          <w:rFonts w:asciiTheme="majorHAnsi" w:hAnsiTheme="majorHAnsi"/>
        </w:rPr>
        <w:t xml:space="preserve"> </w:t>
      </w:r>
      <w:r w:rsidR="00536712" w:rsidRPr="00734AB6">
        <w:rPr>
          <w:rFonts w:asciiTheme="majorHAnsi" w:hAnsiTheme="majorHAnsi"/>
        </w:rPr>
        <w:t>demonstrates</w:t>
      </w:r>
      <w:r w:rsidRPr="00734AB6">
        <w:rPr>
          <w:rFonts w:asciiTheme="majorHAnsi" w:hAnsiTheme="majorHAnsi"/>
        </w:rPr>
        <w:t xml:space="preserve"> that the reported frequency of use of modafinil of less than once a month yielded a smaller difference between its perceived risks and benefits.</w:t>
      </w:r>
    </w:p>
    <w:p w14:paraId="30C90ED6" w14:textId="47AAC52D" w:rsidR="00DC6ADB" w:rsidRPr="00734AB6" w:rsidRDefault="00AA1FA2" w:rsidP="00DC6ADB">
      <w:pPr>
        <w:autoSpaceDE w:val="0"/>
        <w:autoSpaceDN w:val="0"/>
        <w:adjustRightInd w:val="0"/>
        <w:spacing w:after="0" w:line="240" w:lineRule="auto"/>
        <w:rPr>
          <w:rFonts w:asciiTheme="majorHAnsi" w:hAnsiTheme="majorHAnsi" w:cs="Times New Roman"/>
        </w:rPr>
      </w:pPr>
      <w:r w:rsidRPr="00734AB6">
        <w:rPr>
          <w:rFonts w:asciiTheme="majorHAnsi" w:eastAsia="Calibri" w:hAnsiTheme="majorHAnsi"/>
          <w:noProof/>
          <w:lang w:eastAsia="en-GB"/>
        </w:rPr>
        <w:drawing>
          <wp:inline distT="0" distB="0" distL="0" distR="0" wp14:anchorId="7D5B20F1" wp14:editId="2C0BB656">
            <wp:extent cx="5267325" cy="5248275"/>
            <wp:effectExtent l="0" t="0" r="9525" b="9525"/>
            <wp:docPr id="2" name="Picture 2" descr="C:\Users\Rachel T\Dropbox\PhD\THESI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 T\Dropbox\PhD\THESIS\Fig 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5248275"/>
                    </a:xfrm>
                    <a:prstGeom prst="rect">
                      <a:avLst/>
                    </a:prstGeom>
                    <a:noFill/>
                    <a:ln>
                      <a:noFill/>
                    </a:ln>
                  </pic:spPr>
                </pic:pic>
              </a:graphicData>
            </a:graphic>
          </wp:inline>
        </w:drawing>
      </w:r>
    </w:p>
    <w:p w14:paraId="2C4B07A7" w14:textId="77777777" w:rsidR="00DC6ADB" w:rsidRPr="00734AB6" w:rsidRDefault="00DC6ADB" w:rsidP="00DC6ADB">
      <w:pPr>
        <w:autoSpaceDE w:val="0"/>
        <w:autoSpaceDN w:val="0"/>
        <w:adjustRightInd w:val="0"/>
        <w:spacing w:after="0" w:line="240" w:lineRule="auto"/>
        <w:rPr>
          <w:rFonts w:asciiTheme="majorHAnsi" w:hAnsiTheme="majorHAnsi" w:cs="Times New Roman"/>
        </w:rPr>
      </w:pPr>
    </w:p>
    <w:p w14:paraId="6218316B" w14:textId="2C5D2B2C" w:rsidR="009C7702" w:rsidRPr="00734AB6" w:rsidRDefault="009C7702" w:rsidP="0099584D">
      <w:pPr>
        <w:widowControl w:val="0"/>
        <w:autoSpaceDE w:val="0"/>
        <w:autoSpaceDN w:val="0"/>
        <w:adjustRightInd w:val="0"/>
        <w:spacing w:after="0" w:line="360" w:lineRule="auto"/>
        <w:rPr>
          <w:rFonts w:asciiTheme="majorHAnsi" w:eastAsia="Calibri" w:hAnsiTheme="majorHAnsi"/>
          <w:b/>
        </w:rPr>
      </w:pPr>
      <w:r w:rsidRPr="00734AB6">
        <w:rPr>
          <w:rFonts w:asciiTheme="majorHAnsi" w:eastAsia="Calibri" w:hAnsiTheme="majorHAnsi"/>
          <w:b/>
        </w:rPr>
        <w:t xml:space="preserve">Figure </w:t>
      </w:r>
      <w:r w:rsidR="00AD631E" w:rsidRPr="00734AB6">
        <w:rPr>
          <w:rFonts w:asciiTheme="majorHAnsi" w:eastAsia="Calibri" w:hAnsiTheme="majorHAnsi"/>
          <w:b/>
        </w:rPr>
        <w:t>2.</w:t>
      </w:r>
      <w:r w:rsidRPr="00734AB6">
        <w:rPr>
          <w:rFonts w:asciiTheme="majorHAnsi" w:eastAsia="Calibri" w:hAnsiTheme="majorHAnsi"/>
          <w:b/>
        </w:rPr>
        <w:t xml:space="preserve">2.  </w:t>
      </w:r>
      <w:r w:rsidR="00D64F56" w:rsidRPr="00734AB6">
        <w:rPr>
          <w:rFonts w:asciiTheme="majorHAnsi" w:eastAsia="Calibri" w:hAnsiTheme="majorHAnsi"/>
          <w:b/>
        </w:rPr>
        <w:t>The i</w:t>
      </w:r>
      <w:r w:rsidRPr="00734AB6">
        <w:rPr>
          <w:rFonts w:asciiTheme="majorHAnsi" w:eastAsia="Calibri" w:hAnsiTheme="majorHAnsi"/>
          <w:b/>
        </w:rPr>
        <w:t>nteraction between the numbers of benefits and risks identified by respondents and the frequency of reported use of modafinil.</w:t>
      </w:r>
    </w:p>
    <w:p w14:paraId="304654CE" w14:textId="2948FD5A" w:rsidR="009C7702" w:rsidRPr="00734AB6" w:rsidRDefault="00536712" w:rsidP="004809B6">
      <w:pPr>
        <w:rPr>
          <w:b/>
        </w:rPr>
      </w:pPr>
      <w:r w:rsidRPr="00734AB6">
        <w:rPr>
          <w:b/>
        </w:rPr>
        <w:br w:type="page"/>
      </w:r>
      <w:r w:rsidR="009C7702" w:rsidRPr="00734AB6">
        <w:rPr>
          <w:b/>
        </w:rPr>
        <w:lastRenderedPageBreak/>
        <w:t>2.2.3.4.3.5</w:t>
      </w:r>
      <w:r w:rsidR="009C7702" w:rsidRPr="00734AB6">
        <w:rPr>
          <w:b/>
        </w:rPr>
        <w:tab/>
        <w:t xml:space="preserve">Timeframe and perceived benefits and risks of modafinil </w:t>
      </w:r>
    </w:p>
    <w:p w14:paraId="15303230" w14:textId="1D05E513"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cs="Calibri"/>
        </w:rPr>
      </w:pPr>
      <w:r w:rsidRPr="00734AB6">
        <w:rPr>
          <w:rFonts w:asciiTheme="majorHAnsi" w:eastAsia="Calibri" w:hAnsiTheme="majorHAnsi" w:cs="Calibri"/>
        </w:rPr>
        <w:t>The interaction between timeframe and perceived benefits and risks was also significant, F</w:t>
      </w:r>
      <w:r w:rsidRPr="00734AB6">
        <w:rPr>
          <w:rFonts w:asciiTheme="majorHAnsi" w:eastAsia="Calibri" w:hAnsiTheme="majorHAnsi" w:cs="Calibri"/>
          <w:vertAlign w:val="subscript"/>
        </w:rPr>
        <w:t xml:space="preserve">(1, 214) </w:t>
      </w:r>
      <w:r w:rsidRPr="00734AB6">
        <w:rPr>
          <w:rFonts w:asciiTheme="majorHAnsi" w:eastAsia="Calibri" w:hAnsiTheme="majorHAnsi" w:cs="Calibri"/>
        </w:rPr>
        <w:t xml:space="preserve">= 313.32, MSE = 2.739, </w:t>
      </w:r>
      <w:r w:rsidRPr="00734AB6">
        <w:rPr>
          <w:rFonts w:asciiTheme="majorHAnsi" w:eastAsia="Calibri" w:hAnsiTheme="majorHAnsi" w:cs="Calibri"/>
          <w:i/>
        </w:rPr>
        <w:t xml:space="preserve">p </w:t>
      </w:r>
      <w:r w:rsidRPr="00734AB6">
        <w:rPr>
          <w:rFonts w:asciiTheme="majorHAnsi" w:eastAsia="Calibri" w:hAnsiTheme="majorHAnsi" w:cs="Calibri"/>
        </w:rPr>
        <w:t xml:space="preserve">&lt; .001,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0.594</w:t>
      </w:r>
      <w:r w:rsidRPr="00734AB6">
        <w:rPr>
          <w:rFonts w:asciiTheme="majorHAnsi" w:eastAsia="Calibri" w:hAnsiTheme="majorHAnsi" w:cs="Calibri"/>
        </w:rPr>
        <w:t xml:space="preserve">, as shown in Figure </w:t>
      </w:r>
      <w:r w:rsidR="00AD631E" w:rsidRPr="00734AB6">
        <w:rPr>
          <w:rFonts w:asciiTheme="majorHAnsi" w:eastAsia="Calibri" w:hAnsiTheme="majorHAnsi" w:cs="Calibri"/>
        </w:rPr>
        <w:t>2.</w:t>
      </w:r>
      <w:r w:rsidRPr="00734AB6">
        <w:rPr>
          <w:rFonts w:asciiTheme="majorHAnsi" w:eastAsia="Calibri" w:hAnsiTheme="majorHAnsi" w:cs="Calibri"/>
        </w:rPr>
        <w:t xml:space="preserve">3. The reported immediate benefits were higher than the immediate risks </w:t>
      </w:r>
      <w:r w:rsidRPr="00734AB6">
        <w:rPr>
          <w:rFonts w:asciiTheme="majorHAnsi" w:hAnsiTheme="majorHAnsi" w:cs="Calibri"/>
        </w:rPr>
        <w:t>(mean</w:t>
      </w:r>
      <w:r w:rsidRPr="00734AB6">
        <w:rPr>
          <w:rFonts w:asciiTheme="majorHAnsi" w:hAnsiTheme="majorHAnsi" w:cs="Calibri"/>
          <w:vertAlign w:val="subscript"/>
        </w:rPr>
        <w:t>(benefit)</w:t>
      </w:r>
      <w:r w:rsidRPr="00734AB6">
        <w:rPr>
          <w:rFonts w:asciiTheme="majorHAnsi" w:hAnsiTheme="majorHAnsi" w:cs="Calibri"/>
        </w:rPr>
        <w:t xml:space="preserve"> = 7.77, SE = 0.24, mean</w:t>
      </w:r>
      <w:r w:rsidRPr="00734AB6">
        <w:rPr>
          <w:rFonts w:asciiTheme="majorHAnsi" w:hAnsiTheme="majorHAnsi" w:cs="Calibri"/>
          <w:vertAlign w:val="subscript"/>
        </w:rPr>
        <w:t>(risk)</w:t>
      </w:r>
      <w:r w:rsidRPr="00734AB6">
        <w:rPr>
          <w:rFonts w:asciiTheme="majorHAnsi" w:hAnsiTheme="majorHAnsi" w:cs="Calibri"/>
        </w:rPr>
        <w:t xml:space="preserve"> = 2.22, SE = 0.11, </w:t>
      </w:r>
      <w:r w:rsidRPr="00734AB6">
        <w:rPr>
          <w:rFonts w:asciiTheme="majorHAnsi" w:hAnsiTheme="majorHAnsi" w:cs="Calibri"/>
          <w:i/>
          <w:iCs/>
        </w:rPr>
        <w:t>t</w:t>
      </w:r>
      <w:r w:rsidRPr="00734AB6">
        <w:rPr>
          <w:rFonts w:asciiTheme="majorHAnsi" w:hAnsiTheme="majorHAnsi" w:cs="Calibri"/>
        </w:rPr>
        <w:t xml:space="preserve"> = 22.758, df = 218, </w:t>
      </w:r>
      <w:r w:rsidRPr="00734AB6">
        <w:rPr>
          <w:rFonts w:asciiTheme="majorHAnsi" w:hAnsiTheme="majorHAnsi" w:cs="Calibri"/>
          <w:i/>
          <w:iCs/>
        </w:rPr>
        <w:t>p</w:t>
      </w:r>
      <w:r w:rsidRPr="00734AB6">
        <w:rPr>
          <w:rFonts w:asciiTheme="majorHAnsi" w:hAnsiTheme="majorHAnsi" w:cs="Calibri"/>
        </w:rPr>
        <w:t xml:space="preserve"> &lt; .001, </w:t>
      </w:r>
      <w:r w:rsidRPr="00734AB6">
        <w:rPr>
          <w:rFonts w:asciiTheme="majorHAnsi" w:hAnsiTheme="majorHAnsi" w:cs="Calibri"/>
          <w:i/>
          <w:iCs/>
        </w:rPr>
        <w:t>d</w:t>
      </w:r>
      <w:r w:rsidRPr="00734AB6">
        <w:rPr>
          <w:rFonts w:asciiTheme="majorHAnsi" w:hAnsiTheme="majorHAnsi" w:cs="Calibri"/>
        </w:rPr>
        <w:t xml:space="preserve"> = 1.54). Longer-lasting benefits were also higher than longer-lasting risks (mean</w:t>
      </w:r>
      <w:r w:rsidRPr="00734AB6">
        <w:rPr>
          <w:rFonts w:asciiTheme="majorHAnsi" w:hAnsiTheme="majorHAnsi" w:cs="Calibri"/>
          <w:vertAlign w:val="subscript"/>
        </w:rPr>
        <w:t>(benefit)</w:t>
      </w:r>
      <w:r w:rsidRPr="00734AB6">
        <w:rPr>
          <w:rFonts w:asciiTheme="majorHAnsi" w:hAnsiTheme="majorHAnsi" w:cs="Calibri"/>
        </w:rPr>
        <w:t xml:space="preserve"> = 2.76, SE = 0.17, mean</w:t>
      </w:r>
      <w:r w:rsidRPr="00734AB6">
        <w:rPr>
          <w:rFonts w:asciiTheme="majorHAnsi" w:hAnsiTheme="majorHAnsi" w:cs="Calibri"/>
          <w:vertAlign w:val="subscript"/>
        </w:rPr>
        <w:t>(risk)</w:t>
      </w:r>
      <w:r w:rsidRPr="00734AB6">
        <w:rPr>
          <w:rFonts w:asciiTheme="majorHAnsi" w:hAnsiTheme="majorHAnsi" w:cs="Calibri"/>
        </w:rPr>
        <w:t xml:space="preserve"> = 1.38, SE = 0.06, </w:t>
      </w:r>
      <w:r w:rsidRPr="00734AB6">
        <w:rPr>
          <w:rFonts w:asciiTheme="majorHAnsi" w:hAnsiTheme="majorHAnsi" w:cs="Calibri"/>
          <w:i/>
          <w:iCs/>
        </w:rPr>
        <w:t>t</w:t>
      </w:r>
      <w:r w:rsidRPr="00734AB6">
        <w:rPr>
          <w:rFonts w:asciiTheme="majorHAnsi" w:hAnsiTheme="majorHAnsi" w:cs="Calibri"/>
        </w:rPr>
        <w:t xml:space="preserve"> = 8.111, df = 218, </w:t>
      </w:r>
      <w:r w:rsidRPr="00734AB6">
        <w:rPr>
          <w:rFonts w:asciiTheme="majorHAnsi" w:hAnsiTheme="majorHAnsi" w:cs="Calibri"/>
          <w:i/>
          <w:iCs/>
        </w:rPr>
        <w:t>p</w:t>
      </w:r>
      <w:r w:rsidRPr="00734AB6">
        <w:rPr>
          <w:rFonts w:asciiTheme="majorHAnsi" w:hAnsiTheme="majorHAnsi" w:cs="Calibri"/>
        </w:rPr>
        <w:t xml:space="preserve"> &lt; .001). The effect size for the difference between the immediate risks and benefits was higher (</w:t>
      </w:r>
      <w:r w:rsidRPr="00734AB6">
        <w:rPr>
          <w:rFonts w:asciiTheme="majorHAnsi" w:hAnsiTheme="majorHAnsi" w:cs="Calibri"/>
          <w:i/>
          <w:iCs/>
        </w:rPr>
        <w:t>d</w:t>
      </w:r>
      <w:r w:rsidRPr="00734AB6">
        <w:rPr>
          <w:rFonts w:asciiTheme="majorHAnsi" w:hAnsiTheme="majorHAnsi" w:cs="Calibri"/>
        </w:rPr>
        <w:t xml:space="preserve"> = 1.54) than the effect size for the longer-lasting risks and benefits (</w:t>
      </w:r>
      <w:r w:rsidRPr="00734AB6">
        <w:rPr>
          <w:rFonts w:asciiTheme="majorHAnsi" w:hAnsiTheme="majorHAnsi" w:cs="Calibri"/>
          <w:i/>
          <w:iCs/>
        </w:rPr>
        <w:t>d</w:t>
      </w:r>
      <w:r w:rsidRPr="00734AB6">
        <w:rPr>
          <w:rFonts w:asciiTheme="majorHAnsi" w:hAnsiTheme="majorHAnsi" w:cs="Calibri"/>
        </w:rPr>
        <w:t xml:space="preserve"> = 0.54). A table of the means and SEs for immediate and longer-lasting risks and benefits for both modafinil and methylphen</w:t>
      </w:r>
      <w:r w:rsidR="004D6F91" w:rsidRPr="00734AB6">
        <w:rPr>
          <w:rFonts w:asciiTheme="majorHAnsi" w:hAnsiTheme="majorHAnsi" w:cs="Calibri"/>
        </w:rPr>
        <w:t>idate can be found in App</w:t>
      </w:r>
      <w:r w:rsidR="007B3336" w:rsidRPr="00734AB6">
        <w:rPr>
          <w:rFonts w:asciiTheme="majorHAnsi" w:hAnsiTheme="majorHAnsi" w:cs="Calibri"/>
        </w:rPr>
        <w:t xml:space="preserve">endix </w:t>
      </w:r>
      <w:r w:rsidR="006B4173" w:rsidRPr="00734AB6">
        <w:rPr>
          <w:rFonts w:asciiTheme="majorHAnsi" w:hAnsiTheme="majorHAnsi" w:cs="Calibri"/>
        </w:rPr>
        <w:t>A(x)</w:t>
      </w:r>
      <w:r w:rsidRPr="00734AB6">
        <w:rPr>
          <w:rFonts w:asciiTheme="majorHAnsi" w:hAnsiTheme="majorHAnsi" w:cs="Calibri"/>
        </w:rPr>
        <w:t>.</w:t>
      </w:r>
    </w:p>
    <w:p w14:paraId="2B3FC1D2" w14:textId="06934F42" w:rsidR="00607DA2" w:rsidRPr="00734AB6" w:rsidRDefault="00FD1829" w:rsidP="00607DA2">
      <w:pPr>
        <w:autoSpaceDE w:val="0"/>
        <w:autoSpaceDN w:val="0"/>
        <w:adjustRightInd w:val="0"/>
        <w:spacing w:after="0" w:line="240" w:lineRule="auto"/>
        <w:rPr>
          <w:rFonts w:asciiTheme="majorHAnsi" w:hAnsiTheme="majorHAnsi" w:cs="Times New Roman"/>
        </w:rPr>
      </w:pPr>
      <w:r w:rsidRPr="00734AB6">
        <w:rPr>
          <w:rFonts w:asciiTheme="majorHAnsi" w:hAnsiTheme="majorHAnsi" w:cs="Times New Roman"/>
          <w:noProof/>
          <w:lang w:eastAsia="en-GB"/>
        </w:rPr>
        <w:drawing>
          <wp:inline distT="0" distB="0" distL="0" distR="0" wp14:anchorId="0DD39FBC" wp14:editId="44B2487A">
            <wp:extent cx="5504815" cy="432371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4815" cy="4323715"/>
                    </a:xfrm>
                    <a:prstGeom prst="rect">
                      <a:avLst/>
                    </a:prstGeom>
                    <a:noFill/>
                  </pic:spPr>
                </pic:pic>
              </a:graphicData>
            </a:graphic>
          </wp:inline>
        </w:drawing>
      </w:r>
    </w:p>
    <w:p w14:paraId="6D110103" w14:textId="77777777" w:rsidR="009C7702" w:rsidRPr="00734AB6" w:rsidRDefault="009C7702" w:rsidP="0099584D">
      <w:pPr>
        <w:autoSpaceDE w:val="0"/>
        <w:autoSpaceDN w:val="0"/>
        <w:adjustRightInd w:val="0"/>
        <w:spacing w:after="0" w:line="360" w:lineRule="auto"/>
        <w:rPr>
          <w:rFonts w:asciiTheme="majorHAnsi" w:eastAsia="Calibri" w:hAnsiTheme="majorHAnsi"/>
        </w:rPr>
      </w:pPr>
    </w:p>
    <w:p w14:paraId="4060B6AB" w14:textId="0631D0DD" w:rsidR="009C7702" w:rsidRPr="00734AB6" w:rsidRDefault="009C7702" w:rsidP="0099584D">
      <w:pPr>
        <w:widowControl w:val="0"/>
        <w:autoSpaceDE w:val="0"/>
        <w:autoSpaceDN w:val="0"/>
        <w:adjustRightInd w:val="0"/>
        <w:spacing w:after="0" w:line="360" w:lineRule="auto"/>
        <w:rPr>
          <w:rFonts w:asciiTheme="majorHAnsi" w:eastAsia="Calibri" w:hAnsiTheme="majorHAnsi" w:cs="Calibri"/>
          <w:b/>
        </w:rPr>
      </w:pPr>
      <w:r w:rsidRPr="00734AB6">
        <w:rPr>
          <w:rFonts w:asciiTheme="majorHAnsi" w:eastAsia="Calibri" w:hAnsiTheme="majorHAnsi" w:cs="Calibri"/>
          <w:b/>
        </w:rPr>
        <w:t xml:space="preserve">Figure </w:t>
      </w:r>
      <w:r w:rsidR="00AD631E" w:rsidRPr="00734AB6">
        <w:rPr>
          <w:rFonts w:asciiTheme="majorHAnsi" w:eastAsia="Calibri" w:hAnsiTheme="majorHAnsi" w:cs="Calibri"/>
          <w:b/>
        </w:rPr>
        <w:t>2.</w:t>
      </w:r>
      <w:r w:rsidRPr="00734AB6">
        <w:rPr>
          <w:rFonts w:asciiTheme="majorHAnsi" w:eastAsia="Calibri" w:hAnsiTheme="majorHAnsi" w:cs="Calibri"/>
          <w:b/>
        </w:rPr>
        <w:t>3. The interaction between the numbers of perceived benefits and risks and the immediate and longer-lasting effects for modafinil.</w:t>
      </w:r>
    </w:p>
    <w:p w14:paraId="594C8B39" w14:textId="77777777" w:rsidR="009C7702" w:rsidRPr="00734AB6" w:rsidRDefault="009C7702" w:rsidP="0099584D">
      <w:pPr>
        <w:widowControl w:val="0"/>
        <w:autoSpaceDE w:val="0"/>
        <w:autoSpaceDN w:val="0"/>
        <w:adjustRightInd w:val="0"/>
        <w:spacing w:after="0" w:line="360" w:lineRule="auto"/>
        <w:rPr>
          <w:rFonts w:asciiTheme="majorHAnsi" w:eastAsia="Calibri" w:hAnsiTheme="majorHAnsi" w:cs="Calibri"/>
          <w:b/>
        </w:rPr>
      </w:pPr>
    </w:p>
    <w:p w14:paraId="6885E006" w14:textId="77777777"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rPr>
      </w:pPr>
      <w:r w:rsidRPr="00734AB6">
        <w:rPr>
          <w:rFonts w:asciiTheme="majorHAnsi" w:eastAsia="Calibri" w:hAnsiTheme="majorHAnsi"/>
        </w:rPr>
        <w:t>The three-way interaction between perceived benefits and risks, timeframe and frequency of use of modafinil was not statistically significant, F</w:t>
      </w:r>
      <w:r w:rsidRPr="00734AB6">
        <w:rPr>
          <w:rFonts w:asciiTheme="majorHAnsi" w:eastAsia="Calibri" w:hAnsiTheme="majorHAnsi"/>
          <w:vertAlign w:val="subscript"/>
        </w:rPr>
        <w:t>(4, 214)</w:t>
      </w:r>
      <w:r w:rsidRPr="00734AB6">
        <w:rPr>
          <w:rFonts w:asciiTheme="majorHAnsi" w:eastAsia="Calibri" w:hAnsiTheme="majorHAnsi"/>
        </w:rPr>
        <w:t xml:space="preserve"> = 1.53, MSE = 2.739, </w:t>
      </w:r>
      <w:r w:rsidRPr="00734AB6">
        <w:rPr>
          <w:rFonts w:asciiTheme="majorHAnsi" w:eastAsia="Calibri" w:hAnsiTheme="majorHAnsi"/>
          <w:i/>
        </w:rPr>
        <w:t>p</w:t>
      </w:r>
      <w:r w:rsidRPr="00734AB6">
        <w:rPr>
          <w:rFonts w:asciiTheme="majorHAnsi" w:eastAsia="Calibri" w:hAnsiTheme="majorHAnsi"/>
        </w:rPr>
        <w:t xml:space="preserve"> = .195.</w:t>
      </w:r>
    </w:p>
    <w:p w14:paraId="72F0299B" w14:textId="77777777"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p>
    <w:p w14:paraId="027920F0" w14:textId="77777777" w:rsidR="009C7702" w:rsidRPr="00734AB6" w:rsidRDefault="009C7702" w:rsidP="00E161A9">
      <w:pPr>
        <w:pStyle w:val="Heading5"/>
        <w:spacing w:after="240" w:line="360" w:lineRule="auto"/>
        <w:rPr>
          <w:b/>
          <w:color w:val="auto"/>
        </w:rPr>
      </w:pPr>
      <w:r w:rsidRPr="00734AB6">
        <w:rPr>
          <w:b/>
          <w:color w:val="auto"/>
        </w:rPr>
        <w:t>2.2.3.4.4</w:t>
      </w:r>
      <w:r w:rsidRPr="00734AB6">
        <w:rPr>
          <w:b/>
          <w:color w:val="auto"/>
        </w:rPr>
        <w:tab/>
        <w:t>Methylphenidate</w:t>
      </w:r>
    </w:p>
    <w:p w14:paraId="7BF153F3" w14:textId="77777777" w:rsidR="009C7702" w:rsidRPr="00734AB6" w:rsidRDefault="009C7702" w:rsidP="0099584D">
      <w:pPr>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 xml:space="preserve">This section reports findings relating solely to reported methylphenidate use. </w:t>
      </w:r>
    </w:p>
    <w:p w14:paraId="742E9D65" w14:textId="77777777" w:rsidR="009C7702" w:rsidRPr="00734AB6" w:rsidRDefault="009C7702" w:rsidP="0099584D">
      <w:pPr>
        <w:autoSpaceDE w:val="0"/>
        <w:autoSpaceDN w:val="0"/>
        <w:adjustRightInd w:val="0"/>
        <w:spacing w:after="0" w:line="360" w:lineRule="auto"/>
        <w:ind w:firstLine="709"/>
        <w:rPr>
          <w:rFonts w:asciiTheme="majorHAnsi" w:eastAsia="Calibri" w:hAnsiTheme="majorHAnsi" w:cs="Calibri"/>
        </w:rPr>
      </w:pPr>
    </w:p>
    <w:p w14:paraId="3B590FDF" w14:textId="77777777" w:rsidR="009C7702" w:rsidRPr="00734AB6" w:rsidRDefault="009C7702" w:rsidP="00E161A9">
      <w:pPr>
        <w:pStyle w:val="Heading6"/>
        <w:spacing w:after="240" w:line="360" w:lineRule="auto"/>
        <w:rPr>
          <w:b/>
          <w:color w:val="auto"/>
        </w:rPr>
      </w:pPr>
      <w:r w:rsidRPr="00734AB6">
        <w:rPr>
          <w:b/>
          <w:color w:val="auto"/>
        </w:rPr>
        <w:t>2.2.3.4.4.1</w:t>
      </w:r>
      <w:r w:rsidRPr="00734AB6">
        <w:rPr>
          <w:b/>
          <w:color w:val="auto"/>
        </w:rPr>
        <w:tab/>
        <w:t>Dosage</w:t>
      </w:r>
    </w:p>
    <w:p w14:paraId="62C2B24E" w14:textId="50C5A779" w:rsidR="009C7702" w:rsidRPr="00734AB6" w:rsidRDefault="009C7702" w:rsidP="0099584D">
      <w:pPr>
        <w:spacing w:line="360" w:lineRule="auto"/>
        <w:ind w:firstLine="709"/>
        <w:rPr>
          <w:rFonts w:asciiTheme="majorHAnsi" w:hAnsiTheme="majorHAnsi"/>
        </w:rPr>
      </w:pPr>
      <w:r w:rsidRPr="00734AB6">
        <w:rPr>
          <w:rFonts w:asciiTheme="majorHAnsi" w:hAnsiTheme="majorHAnsi"/>
        </w:rPr>
        <w:t xml:space="preserve">The most commonly reported dosage of methylphenidate taken at any one time was 20mg (7.8%) and 10mg or less (4.9%). See Appendix </w:t>
      </w:r>
      <w:r w:rsidR="006B4173" w:rsidRPr="00734AB6">
        <w:rPr>
          <w:rFonts w:asciiTheme="majorHAnsi" w:hAnsiTheme="majorHAnsi"/>
        </w:rPr>
        <w:t>A(xi)</w:t>
      </w:r>
      <w:r w:rsidRPr="00734AB6">
        <w:rPr>
          <w:rFonts w:asciiTheme="majorHAnsi" w:hAnsiTheme="majorHAnsi"/>
        </w:rPr>
        <w:t xml:space="preserve"> for full details.</w:t>
      </w:r>
    </w:p>
    <w:p w14:paraId="623F416F" w14:textId="77777777" w:rsidR="009C7702" w:rsidRPr="00734AB6" w:rsidRDefault="009C7702" w:rsidP="0099584D">
      <w:pPr>
        <w:spacing w:line="360" w:lineRule="auto"/>
        <w:ind w:firstLine="709"/>
        <w:rPr>
          <w:rFonts w:asciiTheme="majorHAnsi" w:hAnsiTheme="majorHAnsi"/>
        </w:rPr>
      </w:pPr>
    </w:p>
    <w:p w14:paraId="2FBE3D21" w14:textId="77777777" w:rsidR="009C7702" w:rsidRPr="00734AB6" w:rsidRDefault="009C7702" w:rsidP="0099584D">
      <w:pPr>
        <w:pStyle w:val="Heading6"/>
        <w:spacing w:line="360" w:lineRule="auto"/>
        <w:rPr>
          <w:b/>
          <w:color w:val="auto"/>
        </w:rPr>
      </w:pPr>
      <w:r w:rsidRPr="00734AB6">
        <w:rPr>
          <w:b/>
          <w:color w:val="auto"/>
        </w:rPr>
        <w:t>2.2.3.4.4.2</w:t>
      </w:r>
      <w:r w:rsidRPr="00734AB6">
        <w:rPr>
          <w:b/>
          <w:color w:val="auto"/>
        </w:rPr>
        <w:tab/>
        <w:t>Perceived effects and frequency of use of methylphenidate</w:t>
      </w:r>
    </w:p>
    <w:p w14:paraId="303BF3DB" w14:textId="77777777" w:rsidR="009C7702" w:rsidRPr="00734AB6" w:rsidRDefault="009C7702" w:rsidP="0099584D">
      <w:pPr>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Respondents reported more benefits (mean = 4.68, SD = 0.28) than risks (mean = 2.71, SD = 0.27). There was a significant main effect of perceived benefits and risks on methylphenidate use, F</w:t>
      </w:r>
      <w:r w:rsidRPr="00734AB6">
        <w:rPr>
          <w:rFonts w:asciiTheme="majorHAnsi" w:eastAsia="Calibri" w:hAnsiTheme="majorHAnsi" w:cs="Calibri"/>
          <w:vertAlign w:val="subscript"/>
        </w:rPr>
        <w:t xml:space="preserve">(12, 99) </w:t>
      </w:r>
      <w:r w:rsidRPr="00734AB6">
        <w:rPr>
          <w:rFonts w:asciiTheme="majorHAnsi" w:eastAsia="Calibri" w:hAnsiTheme="majorHAnsi" w:cs="Calibri"/>
        </w:rPr>
        <w:t xml:space="preserve">= 33.989, MSE = 5.908, </w:t>
      </w:r>
      <w:r w:rsidRPr="00734AB6">
        <w:rPr>
          <w:rFonts w:asciiTheme="majorHAnsi" w:eastAsia="Calibri" w:hAnsiTheme="majorHAnsi" w:cs="Calibri"/>
          <w:i/>
        </w:rPr>
        <w:t xml:space="preserve">p </w:t>
      </w:r>
      <w:r w:rsidRPr="00734AB6">
        <w:rPr>
          <w:rFonts w:asciiTheme="majorHAnsi" w:eastAsia="Calibri" w:hAnsiTheme="majorHAnsi" w:cs="Calibri"/>
        </w:rPr>
        <w:t>&lt; .001,</w:t>
      </w:r>
      <w:r w:rsidRPr="00734AB6">
        <w:rPr>
          <w:rFonts w:asciiTheme="majorHAnsi" w:eastAsia="Calibri" w:hAnsiTheme="majorHAnsi"/>
        </w:rPr>
        <w:t xml:space="preserve">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.256.</w:t>
      </w:r>
      <w:r w:rsidRPr="00734AB6">
        <w:rPr>
          <w:rFonts w:asciiTheme="majorHAnsi" w:eastAsia="Calibri" w:hAnsiTheme="majorHAnsi" w:cs="Calibri"/>
        </w:rPr>
        <w:t xml:space="preserve"> </w:t>
      </w:r>
    </w:p>
    <w:p w14:paraId="0706DC5F" w14:textId="1CCB6E3A" w:rsidR="009C7702" w:rsidRPr="00734AB6" w:rsidRDefault="009C7702" w:rsidP="0099584D">
      <w:pPr>
        <w:widowControl w:val="0"/>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The main effect of frequency of use of methylphenidate was not significant, F</w:t>
      </w:r>
      <w:r w:rsidRPr="00734AB6">
        <w:rPr>
          <w:rFonts w:asciiTheme="majorHAnsi" w:eastAsia="Calibri" w:hAnsiTheme="majorHAnsi" w:cs="Calibri"/>
          <w:vertAlign w:val="subscript"/>
        </w:rPr>
        <w:t>(4, 99)</w:t>
      </w:r>
      <w:r w:rsidRPr="00734AB6">
        <w:rPr>
          <w:rFonts w:asciiTheme="majorHAnsi" w:eastAsia="Calibri" w:hAnsiTheme="majorHAnsi" w:cs="Calibri"/>
        </w:rPr>
        <w:t xml:space="preserve"> = 1.943, MSE = 9.873, </w:t>
      </w:r>
      <w:r w:rsidRPr="00734AB6">
        <w:rPr>
          <w:rFonts w:asciiTheme="majorHAnsi" w:eastAsia="Calibri" w:hAnsiTheme="majorHAnsi" w:cs="Calibri"/>
          <w:i/>
        </w:rPr>
        <w:t>p</w:t>
      </w:r>
      <w:r w:rsidRPr="00734AB6">
        <w:rPr>
          <w:rFonts w:asciiTheme="majorHAnsi" w:eastAsia="Calibri" w:hAnsiTheme="majorHAnsi" w:cs="Calibri"/>
        </w:rPr>
        <w:t xml:space="preserve"> = .109. The means and SDs are displayed in Table </w:t>
      </w:r>
      <w:r w:rsidR="009E23DC" w:rsidRPr="00734AB6">
        <w:rPr>
          <w:rFonts w:asciiTheme="majorHAnsi" w:eastAsia="Calibri" w:hAnsiTheme="majorHAnsi" w:cs="Calibri"/>
        </w:rPr>
        <w:t>2.7</w:t>
      </w:r>
      <w:r w:rsidRPr="00734AB6">
        <w:rPr>
          <w:rFonts w:asciiTheme="majorHAnsi" w:eastAsia="Calibri" w:hAnsiTheme="majorHAnsi" w:cs="Calibri"/>
        </w:rPr>
        <w:t xml:space="preserve">. </w:t>
      </w:r>
    </w:p>
    <w:p w14:paraId="2D40EAC0" w14:textId="77777777"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p>
    <w:p w14:paraId="2E7A911B" w14:textId="7E664ABE" w:rsidR="009C7702" w:rsidRPr="00734AB6" w:rsidRDefault="009C7702" w:rsidP="00E161A9">
      <w:pPr>
        <w:widowControl w:val="0"/>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t xml:space="preserve">Table </w:t>
      </w:r>
      <w:r w:rsidR="009E23DC" w:rsidRPr="00734AB6">
        <w:rPr>
          <w:rFonts w:asciiTheme="majorHAnsi" w:eastAsia="Calibri" w:hAnsiTheme="majorHAnsi" w:cs="Calibri"/>
          <w:b/>
        </w:rPr>
        <w:t>2.7</w:t>
      </w:r>
      <w:r w:rsidRPr="00734AB6">
        <w:rPr>
          <w:rFonts w:asciiTheme="majorHAnsi" w:eastAsia="Calibri" w:hAnsiTheme="majorHAnsi" w:cs="Calibri"/>
          <w:b/>
        </w:rPr>
        <w:t>. Frequency of Methylphenidate Use Means (SD)</w:t>
      </w:r>
    </w:p>
    <w:tbl>
      <w:tblPr>
        <w:tblW w:w="8222"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2693"/>
        <w:gridCol w:w="2552"/>
      </w:tblGrid>
      <w:tr w:rsidR="009C7702" w:rsidRPr="00734AB6" w14:paraId="674EF274" w14:textId="77777777" w:rsidTr="0099584D">
        <w:tc>
          <w:tcPr>
            <w:tcW w:w="2977" w:type="dxa"/>
            <w:tcBorders>
              <w:bottom w:val="single" w:sz="4" w:space="0" w:color="auto"/>
            </w:tcBorders>
            <w:shd w:val="clear" w:color="auto" w:fill="auto"/>
          </w:tcPr>
          <w:p w14:paraId="2F1D8BFB"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Frequency of methylphenidate use</w:t>
            </w:r>
          </w:p>
        </w:tc>
        <w:tc>
          <w:tcPr>
            <w:tcW w:w="2693" w:type="dxa"/>
            <w:tcBorders>
              <w:bottom w:val="single" w:sz="4" w:space="0" w:color="auto"/>
            </w:tcBorders>
            <w:shd w:val="clear" w:color="auto" w:fill="auto"/>
          </w:tcPr>
          <w:p w14:paraId="1B8FE77D"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 of respondents reporting frequency of methylphenidate use</w:t>
            </w:r>
          </w:p>
        </w:tc>
        <w:tc>
          <w:tcPr>
            <w:tcW w:w="2552" w:type="dxa"/>
            <w:tcBorders>
              <w:bottom w:val="single" w:sz="4" w:space="0" w:color="auto"/>
            </w:tcBorders>
            <w:shd w:val="clear" w:color="auto" w:fill="auto"/>
          </w:tcPr>
          <w:p w14:paraId="7AB06EF0"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Mean (SD)</w:t>
            </w:r>
          </w:p>
          <w:p w14:paraId="5D9CE6CB"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Overall number of effects</w:t>
            </w:r>
          </w:p>
        </w:tc>
      </w:tr>
      <w:tr w:rsidR="009C7702" w:rsidRPr="00734AB6" w14:paraId="276B0230" w14:textId="77777777" w:rsidTr="0099584D">
        <w:tc>
          <w:tcPr>
            <w:tcW w:w="2977" w:type="dxa"/>
            <w:tcBorders>
              <w:bottom w:val="nil"/>
            </w:tcBorders>
            <w:shd w:val="clear" w:color="auto" w:fill="auto"/>
          </w:tcPr>
          <w:p w14:paraId="5AB83DE1"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Every day</w:t>
            </w:r>
          </w:p>
        </w:tc>
        <w:tc>
          <w:tcPr>
            <w:tcW w:w="2693" w:type="dxa"/>
            <w:tcBorders>
              <w:bottom w:val="nil"/>
            </w:tcBorders>
            <w:shd w:val="clear" w:color="auto" w:fill="auto"/>
          </w:tcPr>
          <w:p w14:paraId="692AD699"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10.2%</w:t>
            </w:r>
          </w:p>
        </w:tc>
        <w:tc>
          <w:tcPr>
            <w:tcW w:w="2552" w:type="dxa"/>
            <w:tcBorders>
              <w:bottom w:val="nil"/>
            </w:tcBorders>
            <w:shd w:val="clear" w:color="auto" w:fill="auto"/>
          </w:tcPr>
          <w:p w14:paraId="2B77A112"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4.00 (0.45)</w:t>
            </w:r>
          </w:p>
        </w:tc>
      </w:tr>
      <w:tr w:rsidR="009C7702" w:rsidRPr="00734AB6" w14:paraId="57CC3A77" w14:textId="77777777" w:rsidTr="0099584D">
        <w:tc>
          <w:tcPr>
            <w:tcW w:w="2977" w:type="dxa"/>
            <w:tcBorders>
              <w:top w:val="nil"/>
              <w:bottom w:val="nil"/>
            </w:tcBorders>
            <w:shd w:val="clear" w:color="auto" w:fill="auto"/>
          </w:tcPr>
          <w:p w14:paraId="4F3FAC53"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Three or more days per week</w:t>
            </w:r>
          </w:p>
        </w:tc>
        <w:tc>
          <w:tcPr>
            <w:tcW w:w="2693" w:type="dxa"/>
            <w:tcBorders>
              <w:top w:val="nil"/>
              <w:bottom w:val="nil"/>
            </w:tcBorders>
            <w:shd w:val="clear" w:color="auto" w:fill="auto"/>
          </w:tcPr>
          <w:p w14:paraId="58C2D187"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4.08%</w:t>
            </w:r>
          </w:p>
        </w:tc>
        <w:tc>
          <w:tcPr>
            <w:tcW w:w="2552" w:type="dxa"/>
            <w:tcBorders>
              <w:top w:val="nil"/>
              <w:bottom w:val="nil"/>
            </w:tcBorders>
            <w:shd w:val="clear" w:color="auto" w:fill="auto"/>
          </w:tcPr>
          <w:p w14:paraId="44ED1F07"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2.80 (0.70)</w:t>
            </w:r>
          </w:p>
        </w:tc>
      </w:tr>
      <w:tr w:rsidR="009C7702" w:rsidRPr="00734AB6" w14:paraId="672855D6" w14:textId="77777777" w:rsidTr="0099584D">
        <w:tc>
          <w:tcPr>
            <w:tcW w:w="2977" w:type="dxa"/>
            <w:tcBorders>
              <w:top w:val="nil"/>
              <w:bottom w:val="nil"/>
            </w:tcBorders>
            <w:shd w:val="clear" w:color="auto" w:fill="auto"/>
          </w:tcPr>
          <w:p w14:paraId="50EBC8C9"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Once or twice per week</w:t>
            </w:r>
          </w:p>
        </w:tc>
        <w:tc>
          <w:tcPr>
            <w:tcW w:w="2693" w:type="dxa"/>
            <w:tcBorders>
              <w:top w:val="nil"/>
              <w:bottom w:val="nil"/>
            </w:tcBorders>
            <w:shd w:val="clear" w:color="auto" w:fill="auto"/>
          </w:tcPr>
          <w:p w14:paraId="0082B3E5"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9.18%</w:t>
            </w:r>
          </w:p>
        </w:tc>
        <w:tc>
          <w:tcPr>
            <w:tcW w:w="2552" w:type="dxa"/>
            <w:tcBorders>
              <w:top w:val="nil"/>
              <w:bottom w:val="nil"/>
            </w:tcBorders>
            <w:shd w:val="clear" w:color="auto" w:fill="auto"/>
          </w:tcPr>
          <w:p w14:paraId="313C08BF"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3.89 (0.52)</w:t>
            </w:r>
          </w:p>
        </w:tc>
      </w:tr>
      <w:tr w:rsidR="009C7702" w:rsidRPr="00734AB6" w14:paraId="5F490724" w14:textId="77777777" w:rsidTr="0099584D">
        <w:tc>
          <w:tcPr>
            <w:tcW w:w="2977" w:type="dxa"/>
            <w:tcBorders>
              <w:top w:val="nil"/>
              <w:bottom w:val="nil"/>
            </w:tcBorders>
            <w:shd w:val="clear" w:color="auto" w:fill="auto"/>
          </w:tcPr>
          <w:p w14:paraId="1171DEE8"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Two or three times per month</w:t>
            </w:r>
          </w:p>
        </w:tc>
        <w:tc>
          <w:tcPr>
            <w:tcW w:w="2693" w:type="dxa"/>
            <w:tcBorders>
              <w:top w:val="nil"/>
              <w:bottom w:val="nil"/>
            </w:tcBorders>
            <w:shd w:val="clear" w:color="auto" w:fill="auto"/>
          </w:tcPr>
          <w:p w14:paraId="58811224"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15.31%</w:t>
            </w:r>
          </w:p>
        </w:tc>
        <w:tc>
          <w:tcPr>
            <w:tcW w:w="2552" w:type="dxa"/>
            <w:tcBorders>
              <w:top w:val="nil"/>
              <w:bottom w:val="nil"/>
            </w:tcBorders>
            <w:shd w:val="clear" w:color="auto" w:fill="auto"/>
          </w:tcPr>
          <w:p w14:paraId="6AA1E131"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4.43 (0.42)</w:t>
            </w:r>
          </w:p>
        </w:tc>
      </w:tr>
      <w:tr w:rsidR="009C7702" w:rsidRPr="00734AB6" w14:paraId="40D63840" w14:textId="77777777" w:rsidTr="0099584D">
        <w:tc>
          <w:tcPr>
            <w:tcW w:w="2977" w:type="dxa"/>
            <w:tcBorders>
              <w:top w:val="nil"/>
            </w:tcBorders>
            <w:shd w:val="clear" w:color="auto" w:fill="auto"/>
          </w:tcPr>
          <w:p w14:paraId="0FA3D0F7"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Six times or less per year</w:t>
            </w:r>
          </w:p>
        </w:tc>
        <w:tc>
          <w:tcPr>
            <w:tcW w:w="2693" w:type="dxa"/>
            <w:tcBorders>
              <w:top w:val="nil"/>
            </w:tcBorders>
            <w:shd w:val="clear" w:color="auto" w:fill="auto"/>
          </w:tcPr>
          <w:p w14:paraId="1A9441E4"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61.23%</w:t>
            </w:r>
          </w:p>
        </w:tc>
        <w:tc>
          <w:tcPr>
            <w:tcW w:w="2552" w:type="dxa"/>
            <w:tcBorders>
              <w:top w:val="nil"/>
            </w:tcBorders>
            <w:shd w:val="clear" w:color="auto" w:fill="auto"/>
          </w:tcPr>
          <w:p w14:paraId="44B0771C"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3.36 (0.20)</w:t>
            </w:r>
          </w:p>
        </w:tc>
      </w:tr>
    </w:tbl>
    <w:p w14:paraId="7538C93C" w14:textId="77777777" w:rsidR="009C7702" w:rsidRPr="00734AB6" w:rsidRDefault="009C7702" w:rsidP="0099584D">
      <w:pPr>
        <w:autoSpaceDE w:val="0"/>
        <w:autoSpaceDN w:val="0"/>
        <w:adjustRightInd w:val="0"/>
        <w:spacing w:after="0" w:line="360" w:lineRule="auto"/>
        <w:rPr>
          <w:rFonts w:asciiTheme="majorHAnsi" w:eastAsia="Calibri" w:hAnsiTheme="majorHAnsi" w:cs="Calibri"/>
        </w:rPr>
      </w:pPr>
    </w:p>
    <w:p w14:paraId="1E8D08C5" w14:textId="77777777" w:rsidR="009C7702" w:rsidRPr="00734AB6" w:rsidRDefault="009C7702" w:rsidP="0099584D">
      <w:pPr>
        <w:autoSpaceDE w:val="0"/>
        <w:autoSpaceDN w:val="0"/>
        <w:adjustRightInd w:val="0"/>
        <w:spacing w:after="0" w:line="360" w:lineRule="auto"/>
        <w:rPr>
          <w:rFonts w:asciiTheme="majorHAnsi" w:eastAsia="Calibri" w:hAnsiTheme="majorHAnsi" w:cs="Calibri"/>
        </w:rPr>
      </w:pPr>
    </w:p>
    <w:p w14:paraId="23963EB7" w14:textId="77777777" w:rsidR="009C7702" w:rsidRPr="00734AB6" w:rsidRDefault="009C7702" w:rsidP="00E161A9">
      <w:pPr>
        <w:pStyle w:val="Heading6"/>
        <w:spacing w:after="240" w:line="360" w:lineRule="auto"/>
        <w:rPr>
          <w:b/>
          <w:color w:val="auto"/>
        </w:rPr>
      </w:pPr>
      <w:r w:rsidRPr="00734AB6">
        <w:rPr>
          <w:b/>
          <w:color w:val="auto"/>
        </w:rPr>
        <w:t>2.2.3.4.4.3</w:t>
      </w:r>
      <w:r w:rsidRPr="00734AB6">
        <w:rPr>
          <w:b/>
          <w:color w:val="auto"/>
        </w:rPr>
        <w:tab/>
        <w:t>Timeframe and frequency of use of methylphenidate</w:t>
      </w:r>
    </w:p>
    <w:p w14:paraId="55F0C174" w14:textId="77777777" w:rsidR="009C7702" w:rsidRPr="00734AB6" w:rsidRDefault="009C7702" w:rsidP="0099584D">
      <w:pPr>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cs="Calibri"/>
        </w:rPr>
        <w:t>Respondents reported more immediate effects (mean = 5.43, SD = 0.35) than longer-lasting effects (mean = 1.97, SD = 0.17). There was a significant main effect of timeframe on methylphenidate use, with more immediate effects reported than longer-lasting effects, F</w:t>
      </w:r>
      <w:r w:rsidRPr="00734AB6">
        <w:rPr>
          <w:rFonts w:asciiTheme="majorHAnsi" w:eastAsia="Calibri" w:hAnsiTheme="majorHAnsi" w:cs="Calibri"/>
          <w:vertAlign w:val="subscript"/>
        </w:rPr>
        <w:t>(1, 99)</w:t>
      </w:r>
      <w:r w:rsidRPr="00734AB6">
        <w:rPr>
          <w:rFonts w:asciiTheme="majorHAnsi" w:eastAsia="Calibri" w:hAnsiTheme="majorHAnsi" w:cs="Calibri"/>
        </w:rPr>
        <w:t xml:space="preserve"> = 103.361, MSE = 6.016, </w:t>
      </w:r>
      <w:r w:rsidRPr="00734AB6">
        <w:rPr>
          <w:rFonts w:asciiTheme="majorHAnsi" w:eastAsia="Calibri" w:hAnsiTheme="majorHAnsi" w:cs="Calibri"/>
          <w:i/>
        </w:rPr>
        <w:t xml:space="preserve">p </w:t>
      </w:r>
      <w:r w:rsidRPr="00734AB6">
        <w:rPr>
          <w:rFonts w:asciiTheme="majorHAnsi" w:eastAsia="Calibri" w:hAnsiTheme="majorHAnsi" w:cs="Calibri"/>
        </w:rPr>
        <w:t xml:space="preserve">&lt; .001,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w:t>
      </w:r>
      <w:r w:rsidRPr="00734AB6">
        <w:rPr>
          <w:rFonts w:asciiTheme="majorHAnsi" w:eastAsia="Calibri" w:hAnsiTheme="majorHAnsi" w:cs="Calibri"/>
        </w:rPr>
        <w:t xml:space="preserve">= </w:t>
      </w:r>
      <w:r w:rsidRPr="00734AB6">
        <w:rPr>
          <w:rFonts w:asciiTheme="majorHAnsi" w:eastAsia="Calibri" w:hAnsiTheme="majorHAnsi"/>
        </w:rPr>
        <w:t xml:space="preserve">0.511. </w:t>
      </w:r>
    </w:p>
    <w:p w14:paraId="103A6A37" w14:textId="4D8E2B37" w:rsidR="009C7702" w:rsidRPr="00734AB6" w:rsidRDefault="009C7702" w:rsidP="0099584D">
      <w:pPr>
        <w:widowControl w:val="0"/>
        <w:autoSpaceDE w:val="0"/>
        <w:autoSpaceDN w:val="0"/>
        <w:adjustRightInd w:val="0"/>
        <w:spacing w:after="0" w:line="360" w:lineRule="auto"/>
        <w:ind w:firstLine="720"/>
        <w:rPr>
          <w:rFonts w:asciiTheme="majorHAnsi" w:eastAsia="Calibri" w:hAnsiTheme="majorHAnsi"/>
        </w:rPr>
      </w:pPr>
      <w:r w:rsidRPr="00734AB6">
        <w:rPr>
          <w:rFonts w:asciiTheme="majorHAnsi" w:eastAsia="Calibri" w:hAnsiTheme="majorHAnsi" w:cs="Calibri"/>
        </w:rPr>
        <w:t>The interaction between timeframe and frequency of use of methylphenidate was not significant, F</w:t>
      </w:r>
      <w:r w:rsidRPr="00734AB6">
        <w:rPr>
          <w:rFonts w:asciiTheme="majorHAnsi" w:eastAsia="Calibri" w:hAnsiTheme="majorHAnsi" w:cs="Calibri"/>
          <w:vertAlign w:val="subscript"/>
        </w:rPr>
        <w:t>(4, 99)</w:t>
      </w:r>
      <w:r w:rsidRPr="00734AB6">
        <w:rPr>
          <w:rFonts w:asciiTheme="majorHAnsi" w:eastAsia="Calibri" w:hAnsiTheme="majorHAnsi" w:cs="Calibri"/>
        </w:rPr>
        <w:t xml:space="preserve"> = 1.013, MSE = 6.016, </w:t>
      </w:r>
      <w:r w:rsidRPr="00734AB6">
        <w:rPr>
          <w:rFonts w:asciiTheme="majorHAnsi" w:eastAsia="Calibri" w:hAnsiTheme="majorHAnsi" w:cs="Calibri"/>
          <w:i/>
        </w:rPr>
        <w:t>p</w:t>
      </w:r>
      <w:r w:rsidRPr="00734AB6">
        <w:rPr>
          <w:rFonts w:asciiTheme="majorHAnsi" w:eastAsia="Calibri" w:hAnsiTheme="majorHAnsi" w:cs="Calibri"/>
        </w:rPr>
        <w:t xml:space="preserve"> = .404. The interaction between perceived effects and frequency of use of methylphenidate was also not significant, F</w:t>
      </w:r>
      <w:r w:rsidRPr="00734AB6">
        <w:rPr>
          <w:rFonts w:asciiTheme="majorHAnsi" w:eastAsia="Calibri" w:hAnsiTheme="majorHAnsi" w:cs="Calibri"/>
          <w:vertAlign w:val="subscript"/>
        </w:rPr>
        <w:t>(4, 99)</w:t>
      </w:r>
      <w:r w:rsidRPr="00734AB6">
        <w:rPr>
          <w:rFonts w:asciiTheme="majorHAnsi" w:eastAsia="Calibri" w:hAnsiTheme="majorHAnsi" w:cs="Calibri"/>
        </w:rPr>
        <w:t xml:space="preserve"> = 0.785, MSE = 5.908, </w:t>
      </w:r>
      <w:r w:rsidRPr="00734AB6">
        <w:rPr>
          <w:rFonts w:asciiTheme="majorHAnsi" w:eastAsia="Calibri" w:hAnsiTheme="majorHAnsi" w:cs="Calibri"/>
          <w:i/>
        </w:rPr>
        <w:t>p</w:t>
      </w:r>
      <w:r w:rsidRPr="00734AB6">
        <w:rPr>
          <w:rFonts w:asciiTheme="majorHAnsi" w:eastAsia="Calibri" w:hAnsiTheme="majorHAnsi" w:cs="Calibri"/>
        </w:rPr>
        <w:t xml:space="preserve"> = </w:t>
      </w:r>
      <w:r w:rsidRPr="00734AB6">
        <w:rPr>
          <w:rFonts w:asciiTheme="majorHAnsi" w:eastAsia="Calibri" w:hAnsiTheme="majorHAnsi" w:cs="Calibri"/>
        </w:rPr>
        <w:lastRenderedPageBreak/>
        <w:t>.538. However, the interaction between timeframe and perceived effects was significant, F</w:t>
      </w:r>
      <w:r w:rsidRPr="00734AB6">
        <w:rPr>
          <w:rFonts w:asciiTheme="majorHAnsi" w:eastAsia="Calibri" w:hAnsiTheme="majorHAnsi" w:cs="Calibri"/>
          <w:vertAlign w:val="subscript"/>
        </w:rPr>
        <w:t>(1, 99)</w:t>
      </w:r>
      <w:r w:rsidRPr="00734AB6">
        <w:rPr>
          <w:rFonts w:asciiTheme="majorHAnsi" w:eastAsia="Calibri" w:hAnsiTheme="majorHAnsi" w:cs="Calibri"/>
        </w:rPr>
        <w:t xml:space="preserve"> = 46.936, MSE = 4.287, </w:t>
      </w:r>
      <w:r w:rsidRPr="00734AB6">
        <w:rPr>
          <w:rFonts w:asciiTheme="majorHAnsi" w:eastAsia="Calibri" w:hAnsiTheme="majorHAnsi" w:cs="Calibri"/>
          <w:i/>
        </w:rPr>
        <w:t xml:space="preserve">p </w:t>
      </w:r>
      <w:r w:rsidRPr="00734AB6">
        <w:rPr>
          <w:rFonts w:asciiTheme="majorHAnsi" w:eastAsia="Calibri" w:hAnsiTheme="majorHAnsi" w:cs="Calibri"/>
        </w:rPr>
        <w:t>&lt; .001,</w:t>
      </w:r>
      <w:r w:rsidRPr="00734AB6">
        <w:rPr>
          <w:rFonts w:asciiTheme="majorHAnsi" w:eastAsia="Calibri" w:hAnsiTheme="majorHAnsi"/>
        </w:rPr>
        <w:t xml:space="preserve">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0.32</w:t>
      </w:r>
      <w:r w:rsidRPr="00734AB6">
        <w:rPr>
          <w:rFonts w:asciiTheme="majorHAnsi" w:eastAsia="Calibri" w:hAnsiTheme="majorHAnsi" w:cs="Calibri"/>
        </w:rPr>
        <w:t>, indicating a pattern similar to modafinil of greater immediate benefits (</w:t>
      </w:r>
      <w:r w:rsidRPr="00734AB6">
        <w:rPr>
          <w:rFonts w:asciiTheme="majorHAnsi" w:eastAsia="Calibri" w:hAnsiTheme="majorHAnsi" w:cs="Calibri"/>
          <w:i/>
        </w:rPr>
        <w:t>d</w:t>
      </w:r>
      <w:r w:rsidRPr="00734AB6">
        <w:rPr>
          <w:rFonts w:asciiTheme="majorHAnsi" w:eastAsia="Calibri" w:hAnsiTheme="majorHAnsi" w:cs="Calibri"/>
        </w:rPr>
        <w:t xml:space="preserve"> = 0.97) with no difference between longer-lasting benefits and risks (</w:t>
      </w:r>
      <w:r w:rsidRPr="00734AB6">
        <w:rPr>
          <w:rFonts w:asciiTheme="majorHAnsi" w:eastAsia="Calibri" w:hAnsiTheme="majorHAnsi" w:cs="Calibri"/>
          <w:i/>
        </w:rPr>
        <w:t>d</w:t>
      </w:r>
      <w:r w:rsidRPr="00734AB6">
        <w:rPr>
          <w:rFonts w:asciiTheme="majorHAnsi" w:eastAsia="Calibri" w:hAnsiTheme="majorHAnsi" w:cs="Calibri"/>
        </w:rPr>
        <w:t xml:space="preserve"> = -0.10). </w:t>
      </w:r>
      <w:r w:rsidRPr="00734AB6">
        <w:rPr>
          <w:rFonts w:asciiTheme="majorHAnsi" w:eastAsia="Calibri" w:hAnsiTheme="majorHAnsi"/>
        </w:rPr>
        <w:t xml:space="preserve">The interaction is plotted in Figure </w:t>
      </w:r>
      <w:r w:rsidR="00AD631E" w:rsidRPr="00734AB6">
        <w:rPr>
          <w:rFonts w:asciiTheme="majorHAnsi" w:eastAsia="Calibri" w:hAnsiTheme="majorHAnsi"/>
        </w:rPr>
        <w:t>2.</w:t>
      </w:r>
      <w:r w:rsidRPr="00734AB6">
        <w:rPr>
          <w:rFonts w:asciiTheme="majorHAnsi" w:eastAsia="Calibri" w:hAnsiTheme="majorHAnsi"/>
        </w:rPr>
        <w:t xml:space="preserve">4. </w:t>
      </w:r>
    </w:p>
    <w:p w14:paraId="2C09891D" w14:textId="62297AE5" w:rsidR="009C7702" w:rsidRPr="00734AB6" w:rsidRDefault="00FD1829" w:rsidP="0099584D">
      <w:pPr>
        <w:autoSpaceDE w:val="0"/>
        <w:autoSpaceDN w:val="0"/>
        <w:adjustRightInd w:val="0"/>
        <w:spacing w:after="0" w:line="360" w:lineRule="auto"/>
        <w:rPr>
          <w:rFonts w:asciiTheme="majorHAnsi" w:eastAsia="Calibri" w:hAnsiTheme="majorHAnsi"/>
          <w:noProof/>
        </w:rPr>
      </w:pPr>
      <w:r w:rsidRPr="00734AB6">
        <w:rPr>
          <w:rFonts w:asciiTheme="majorHAnsi" w:eastAsia="Calibri" w:hAnsiTheme="majorHAnsi"/>
          <w:noProof/>
          <w:lang w:eastAsia="en-GB"/>
        </w:rPr>
        <w:drawing>
          <wp:inline distT="0" distB="0" distL="0" distR="0" wp14:anchorId="737C4AFC" wp14:editId="402B8F69">
            <wp:extent cx="5400040" cy="4314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314190"/>
                    </a:xfrm>
                    <a:prstGeom prst="rect">
                      <a:avLst/>
                    </a:prstGeom>
                    <a:noFill/>
                  </pic:spPr>
                </pic:pic>
              </a:graphicData>
            </a:graphic>
          </wp:inline>
        </w:drawing>
      </w:r>
    </w:p>
    <w:p w14:paraId="04DDDBCE" w14:textId="77777777" w:rsidR="009C7702" w:rsidRPr="00734AB6" w:rsidRDefault="009C7702" w:rsidP="0099584D">
      <w:pPr>
        <w:autoSpaceDE w:val="0"/>
        <w:autoSpaceDN w:val="0"/>
        <w:adjustRightInd w:val="0"/>
        <w:spacing w:after="0" w:line="360" w:lineRule="auto"/>
        <w:rPr>
          <w:rFonts w:asciiTheme="majorHAnsi" w:eastAsia="Calibri" w:hAnsiTheme="majorHAnsi"/>
        </w:rPr>
      </w:pPr>
    </w:p>
    <w:p w14:paraId="4E461F23" w14:textId="621CADD4" w:rsidR="009C7702" w:rsidRPr="00734AB6" w:rsidRDefault="009C7702" w:rsidP="0099584D">
      <w:pPr>
        <w:autoSpaceDE w:val="0"/>
        <w:autoSpaceDN w:val="0"/>
        <w:adjustRightInd w:val="0"/>
        <w:spacing w:after="0" w:line="360" w:lineRule="auto"/>
        <w:rPr>
          <w:rFonts w:asciiTheme="majorHAnsi" w:eastAsia="Calibri" w:hAnsiTheme="majorHAnsi" w:cs="Calibri"/>
          <w:b/>
        </w:rPr>
      </w:pPr>
      <w:r w:rsidRPr="00734AB6">
        <w:rPr>
          <w:rFonts w:asciiTheme="majorHAnsi" w:eastAsia="Calibri" w:hAnsiTheme="majorHAnsi" w:cs="Calibri"/>
          <w:b/>
        </w:rPr>
        <w:t xml:space="preserve">Figure </w:t>
      </w:r>
      <w:r w:rsidR="00AD631E" w:rsidRPr="00734AB6">
        <w:rPr>
          <w:rFonts w:asciiTheme="majorHAnsi" w:eastAsia="Calibri" w:hAnsiTheme="majorHAnsi" w:cs="Calibri"/>
          <w:b/>
        </w:rPr>
        <w:t>2.</w:t>
      </w:r>
      <w:r w:rsidRPr="00734AB6">
        <w:rPr>
          <w:rFonts w:asciiTheme="majorHAnsi" w:eastAsia="Calibri" w:hAnsiTheme="majorHAnsi" w:cs="Calibri"/>
          <w:b/>
        </w:rPr>
        <w:t>4. The interaction between the immediate and longer-lasting effects and the reported numbers of benefits and risks for methylphenidate.</w:t>
      </w:r>
    </w:p>
    <w:p w14:paraId="73256F7B" w14:textId="77777777" w:rsidR="009C7702" w:rsidRPr="00734AB6" w:rsidRDefault="009C7702" w:rsidP="0099584D">
      <w:pPr>
        <w:spacing w:line="360" w:lineRule="auto"/>
        <w:rPr>
          <w:rFonts w:asciiTheme="majorHAnsi" w:eastAsia="Calibri" w:hAnsiTheme="majorHAnsi" w:cs="Arial"/>
        </w:rPr>
      </w:pPr>
    </w:p>
    <w:p w14:paraId="7CDD4C47" w14:textId="77777777" w:rsidR="009C7702" w:rsidRPr="00734AB6" w:rsidRDefault="009C7702" w:rsidP="00E161A9">
      <w:pPr>
        <w:pStyle w:val="Heading6"/>
        <w:spacing w:after="240" w:line="360" w:lineRule="auto"/>
        <w:rPr>
          <w:b/>
          <w:color w:val="auto"/>
        </w:rPr>
      </w:pPr>
      <w:r w:rsidRPr="00734AB6">
        <w:rPr>
          <w:b/>
          <w:color w:val="auto"/>
        </w:rPr>
        <w:t>2.2.3.4.4.4</w:t>
      </w:r>
      <w:r w:rsidRPr="00734AB6">
        <w:rPr>
          <w:b/>
          <w:color w:val="auto"/>
        </w:rPr>
        <w:tab/>
        <w:t>Timeframe and perceived effects of methylphenidate</w:t>
      </w:r>
    </w:p>
    <w:p w14:paraId="50C44B62" w14:textId="77777777" w:rsidR="009C7702" w:rsidRPr="00734AB6" w:rsidRDefault="009C7702" w:rsidP="0099584D">
      <w:pPr>
        <w:autoSpaceDE w:val="0"/>
        <w:autoSpaceDN w:val="0"/>
        <w:adjustRightInd w:val="0"/>
        <w:spacing w:after="0" w:line="360" w:lineRule="auto"/>
        <w:ind w:firstLine="709"/>
        <w:rPr>
          <w:rFonts w:asciiTheme="majorHAnsi" w:eastAsia="Calibri" w:hAnsiTheme="majorHAnsi" w:cs="Calibri"/>
        </w:rPr>
      </w:pPr>
      <w:r w:rsidRPr="00734AB6">
        <w:rPr>
          <w:rFonts w:asciiTheme="majorHAnsi" w:eastAsia="Calibri" w:hAnsiTheme="majorHAnsi"/>
        </w:rPr>
        <w:t xml:space="preserve">The interaction between timeframe, perceived effects and frequency of use of </w:t>
      </w:r>
      <w:r w:rsidRPr="00734AB6">
        <w:rPr>
          <w:rFonts w:asciiTheme="majorHAnsi" w:eastAsia="Calibri" w:hAnsiTheme="majorHAnsi" w:cs="Calibri"/>
        </w:rPr>
        <w:t>methylphenidate</w:t>
      </w:r>
      <w:r w:rsidRPr="00734AB6">
        <w:rPr>
          <w:rFonts w:asciiTheme="majorHAnsi" w:eastAsia="Calibri" w:hAnsiTheme="majorHAnsi"/>
        </w:rPr>
        <w:t xml:space="preserve"> was not significant, F</w:t>
      </w:r>
      <w:r w:rsidRPr="00734AB6">
        <w:rPr>
          <w:rFonts w:asciiTheme="majorHAnsi" w:eastAsia="Calibri" w:hAnsiTheme="majorHAnsi"/>
          <w:vertAlign w:val="subscript"/>
        </w:rPr>
        <w:t>(4, 99)</w:t>
      </w:r>
      <w:r w:rsidRPr="00734AB6">
        <w:rPr>
          <w:rFonts w:asciiTheme="majorHAnsi" w:eastAsia="Calibri" w:hAnsiTheme="majorHAnsi"/>
        </w:rPr>
        <w:t xml:space="preserve"> = 0.087, MSE = 4.287, </w:t>
      </w:r>
      <w:r w:rsidRPr="00734AB6">
        <w:rPr>
          <w:rFonts w:asciiTheme="majorHAnsi" w:eastAsia="Calibri" w:hAnsiTheme="majorHAnsi" w:cs="Calibri"/>
          <w:i/>
        </w:rPr>
        <w:t>p</w:t>
      </w:r>
      <w:r w:rsidRPr="00734AB6">
        <w:rPr>
          <w:rFonts w:asciiTheme="majorHAnsi" w:eastAsia="Calibri" w:hAnsiTheme="majorHAnsi" w:cs="Calibri"/>
        </w:rPr>
        <w:t xml:space="preserve"> = .986. </w:t>
      </w:r>
    </w:p>
    <w:p w14:paraId="158CD7BB" w14:textId="77777777" w:rsidR="009C7702" w:rsidRPr="00734AB6" w:rsidRDefault="009C7702" w:rsidP="0099584D">
      <w:pPr>
        <w:autoSpaceDE w:val="0"/>
        <w:autoSpaceDN w:val="0"/>
        <w:adjustRightInd w:val="0"/>
        <w:spacing w:after="0" w:line="360" w:lineRule="auto"/>
        <w:ind w:firstLine="709"/>
        <w:rPr>
          <w:rFonts w:asciiTheme="majorHAnsi" w:eastAsia="Calibri" w:hAnsiTheme="majorHAnsi" w:cs="Calibri"/>
        </w:rPr>
      </w:pPr>
    </w:p>
    <w:p w14:paraId="573CCE57" w14:textId="77777777" w:rsidR="009C7702" w:rsidRPr="00734AB6" w:rsidRDefault="009C7702" w:rsidP="00E161A9">
      <w:pPr>
        <w:pStyle w:val="Heading5"/>
        <w:spacing w:after="240" w:line="360" w:lineRule="auto"/>
        <w:rPr>
          <w:b/>
          <w:color w:val="auto"/>
        </w:rPr>
      </w:pPr>
      <w:r w:rsidRPr="00734AB6">
        <w:rPr>
          <w:b/>
          <w:color w:val="auto"/>
        </w:rPr>
        <w:t>2.2.3.5</w:t>
      </w:r>
      <w:r w:rsidRPr="00734AB6">
        <w:rPr>
          <w:b/>
          <w:color w:val="auto"/>
        </w:rPr>
        <w:tab/>
        <w:t>Perceived dependency, safe dosage and use of other drugs</w:t>
      </w:r>
    </w:p>
    <w:p w14:paraId="52C4BC4A" w14:textId="5A8CBB41" w:rsidR="009C7702" w:rsidRPr="00734AB6" w:rsidRDefault="009C7702" w:rsidP="00E161A9">
      <w:pPr>
        <w:pStyle w:val="Heading6"/>
        <w:spacing w:after="240" w:line="360" w:lineRule="auto"/>
        <w:rPr>
          <w:b/>
          <w:color w:val="auto"/>
        </w:rPr>
      </w:pPr>
      <w:r w:rsidRPr="00734AB6">
        <w:rPr>
          <w:b/>
          <w:color w:val="auto"/>
        </w:rPr>
        <w:t>2.2.3.5.1</w:t>
      </w:r>
      <w:r w:rsidRPr="00734AB6">
        <w:rPr>
          <w:b/>
          <w:color w:val="auto"/>
        </w:rPr>
        <w:tab/>
      </w:r>
      <w:r w:rsidR="00136615" w:rsidRPr="00734AB6">
        <w:rPr>
          <w:b/>
          <w:color w:val="auto"/>
        </w:rPr>
        <w:t>Perceived d</w:t>
      </w:r>
      <w:r w:rsidRPr="00734AB6">
        <w:rPr>
          <w:b/>
          <w:color w:val="auto"/>
        </w:rPr>
        <w:t>ependency and safe dosage for modafinil and methylphenidate</w:t>
      </w:r>
    </w:p>
    <w:p w14:paraId="6078572B" w14:textId="473A435D" w:rsidR="009C7702" w:rsidRPr="00734AB6" w:rsidRDefault="009C7702" w:rsidP="0099584D">
      <w:pPr>
        <w:autoSpaceDE w:val="0"/>
        <w:autoSpaceDN w:val="0"/>
        <w:adjustRightInd w:val="0"/>
        <w:spacing w:after="0" w:line="360" w:lineRule="auto"/>
        <w:ind w:firstLine="992"/>
        <w:rPr>
          <w:rFonts w:asciiTheme="majorHAnsi" w:eastAsia="Calibri" w:hAnsiTheme="majorHAnsi" w:cs="Calibri"/>
        </w:rPr>
      </w:pPr>
      <w:r w:rsidRPr="00734AB6">
        <w:rPr>
          <w:rFonts w:asciiTheme="majorHAnsi" w:eastAsia="Calibri" w:hAnsiTheme="majorHAnsi" w:cs="Calibri"/>
        </w:rPr>
        <w:t xml:space="preserve">Only 5.5% of respondents reported feeling dependent on modafinil and only 6.7% of respondents reported feeling dependent on methylphenidate. In response to the question “How much modafinil/methylphenidate do you think it is safe to take at any one time”, the majority of </w:t>
      </w:r>
      <w:r w:rsidRPr="00734AB6">
        <w:rPr>
          <w:rFonts w:asciiTheme="majorHAnsi" w:eastAsia="Calibri" w:hAnsiTheme="majorHAnsi" w:cs="Calibri"/>
        </w:rPr>
        <w:lastRenderedPageBreak/>
        <w:t>respondents (50.7%) reported believing that a dose of 200mg of modafinil was safe to take at any one time (all frequency categories fo</w:t>
      </w:r>
      <w:r w:rsidR="00D20883" w:rsidRPr="00734AB6">
        <w:rPr>
          <w:rFonts w:asciiTheme="majorHAnsi" w:eastAsia="Calibri" w:hAnsiTheme="majorHAnsi" w:cs="Calibri"/>
        </w:rPr>
        <w:t xml:space="preserve">r modafinil are shown in Table </w:t>
      </w:r>
      <w:r w:rsidR="001C1152" w:rsidRPr="00734AB6">
        <w:rPr>
          <w:rFonts w:asciiTheme="majorHAnsi" w:eastAsia="Calibri" w:hAnsiTheme="majorHAnsi" w:cs="Calibri"/>
        </w:rPr>
        <w:t>2.8</w:t>
      </w:r>
      <w:r w:rsidRPr="00734AB6">
        <w:rPr>
          <w:rFonts w:asciiTheme="majorHAnsi" w:eastAsia="Calibri" w:hAnsiTheme="majorHAnsi" w:cs="Calibri"/>
        </w:rPr>
        <w:t xml:space="preserve">). </w:t>
      </w:r>
    </w:p>
    <w:p w14:paraId="03B5093B" w14:textId="77777777" w:rsidR="009C7702" w:rsidRPr="00734AB6" w:rsidRDefault="009C7702" w:rsidP="0099584D">
      <w:pPr>
        <w:autoSpaceDE w:val="0"/>
        <w:autoSpaceDN w:val="0"/>
        <w:adjustRightInd w:val="0"/>
        <w:spacing w:after="0" w:line="360" w:lineRule="auto"/>
        <w:ind w:firstLine="992"/>
        <w:rPr>
          <w:rFonts w:asciiTheme="majorHAnsi" w:eastAsia="Calibri" w:hAnsiTheme="majorHAnsi" w:cs="Calibri"/>
        </w:rPr>
      </w:pPr>
    </w:p>
    <w:p w14:paraId="532FD288" w14:textId="5AEB6BCC" w:rsidR="009C7702" w:rsidRPr="00734AB6" w:rsidRDefault="00D20883" w:rsidP="00E161A9">
      <w:pPr>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t xml:space="preserve">Table </w:t>
      </w:r>
      <w:r w:rsidR="001C1152" w:rsidRPr="00734AB6">
        <w:rPr>
          <w:rFonts w:asciiTheme="majorHAnsi" w:eastAsia="Calibri" w:hAnsiTheme="majorHAnsi" w:cs="Calibri"/>
          <w:b/>
        </w:rPr>
        <w:t>2.8</w:t>
      </w:r>
      <w:r w:rsidR="009C7702" w:rsidRPr="00734AB6">
        <w:rPr>
          <w:rFonts w:asciiTheme="majorHAnsi" w:eastAsia="Calibri" w:hAnsiTheme="majorHAnsi" w:cs="Calibri"/>
          <w:b/>
        </w:rPr>
        <w:t>. Perceived safe dosage for modafinil</w:t>
      </w:r>
    </w:p>
    <w:tbl>
      <w:tblPr>
        <w:tblW w:w="0" w:type="auto"/>
        <w:tblLook w:val="04A0" w:firstRow="1" w:lastRow="0" w:firstColumn="1" w:lastColumn="0" w:noHBand="0" w:noVBand="1"/>
      </w:tblPr>
      <w:tblGrid>
        <w:gridCol w:w="2093"/>
        <w:gridCol w:w="1559"/>
        <w:gridCol w:w="1843"/>
      </w:tblGrid>
      <w:tr w:rsidR="009C7702" w:rsidRPr="00734AB6" w14:paraId="78A13CD5" w14:textId="77777777" w:rsidTr="007C08F6">
        <w:tc>
          <w:tcPr>
            <w:tcW w:w="2093" w:type="dxa"/>
            <w:tcBorders>
              <w:left w:val="nil"/>
              <w:bottom w:val="single" w:sz="4" w:space="0" w:color="auto"/>
              <w:right w:val="nil"/>
            </w:tcBorders>
            <w:shd w:val="clear" w:color="auto" w:fill="auto"/>
          </w:tcPr>
          <w:p w14:paraId="6CAC8ACA"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Dosage</w:t>
            </w:r>
          </w:p>
        </w:tc>
        <w:tc>
          <w:tcPr>
            <w:tcW w:w="1559" w:type="dxa"/>
            <w:tcBorders>
              <w:left w:val="nil"/>
              <w:bottom w:val="single" w:sz="4" w:space="0" w:color="auto"/>
              <w:right w:val="nil"/>
            </w:tcBorders>
            <w:shd w:val="clear" w:color="auto" w:fill="auto"/>
          </w:tcPr>
          <w:p w14:paraId="325549FD"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Frequency</w:t>
            </w:r>
          </w:p>
        </w:tc>
        <w:tc>
          <w:tcPr>
            <w:tcW w:w="1843" w:type="dxa"/>
            <w:tcBorders>
              <w:left w:val="nil"/>
              <w:bottom w:val="single" w:sz="4" w:space="0" w:color="auto"/>
              <w:right w:val="nil"/>
            </w:tcBorders>
            <w:shd w:val="clear" w:color="auto" w:fill="auto"/>
          </w:tcPr>
          <w:p w14:paraId="0D044A40"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Percentage</w:t>
            </w:r>
          </w:p>
        </w:tc>
      </w:tr>
      <w:tr w:rsidR="009C7702" w:rsidRPr="00734AB6" w14:paraId="5883F2C6" w14:textId="77777777" w:rsidTr="007C08F6">
        <w:tc>
          <w:tcPr>
            <w:tcW w:w="2093" w:type="dxa"/>
            <w:tcBorders>
              <w:left w:val="nil"/>
              <w:bottom w:val="nil"/>
              <w:right w:val="nil"/>
            </w:tcBorders>
            <w:shd w:val="clear" w:color="auto" w:fill="auto"/>
          </w:tcPr>
          <w:p w14:paraId="5CA7B170"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50mg</w:t>
            </w:r>
          </w:p>
        </w:tc>
        <w:tc>
          <w:tcPr>
            <w:tcW w:w="1559" w:type="dxa"/>
            <w:tcBorders>
              <w:left w:val="nil"/>
              <w:bottom w:val="nil"/>
              <w:right w:val="nil"/>
            </w:tcBorders>
            <w:shd w:val="clear" w:color="auto" w:fill="auto"/>
          </w:tcPr>
          <w:p w14:paraId="284EEB7B"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4</w:t>
            </w:r>
          </w:p>
        </w:tc>
        <w:tc>
          <w:tcPr>
            <w:tcW w:w="1843" w:type="dxa"/>
            <w:tcBorders>
              <w:left w:val="nil"/>
              <w:bottom w:val="nil"/>
              <w:right w:val="nil"/>
            </w:tcBorders>
            <w:shd w:val="clear" w:color="auto" w:fill="auto"/>
          </w:tcPr>
          <w:p w14:paraId="76ACA6B2"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1.8%</w:t>
            </w:r>
          </w:p>
        </w:tc>
      </w:tr>
      <w:tr w:rsidR="009C7702" w:rsidRPr="00734AB6" w14:paraId="5034E44A" w14:textId="77777777" w:rsidTr="007C08F6">
        <w:tc>
          <w:tcPr>
            <w:tcW w:w="2093" w:type="dxa"/>
            <w:tcBorders>
              <w:top w:val="nil"/>
              <w:left w:val="nil"/>
              <w:bottom w:val="nil"/>
              <w:right w:val="nil"/>
            </w:tcBorders>
            <w:shd w:val="clear" w:color="auto" w:fill="auto"/>
          </w:tcPr>
          <w:p w14:paraId="5905765C"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100mg</w:t>
            </w:r>
          </w:p>
        </w:tc>
        <w:tc>
          <w:tcPr>
            <w:tcW w:w="1559" w:type="dxa"/>
            <w:tcBorders>
              <w:top w:val="nil"/>
              <w:left w:val="nil"/>
              <w:bottom w:val="nil"/>
              <w:right w:val="nil"/>
            </w:tcBorders>
            <w:shd w:val="clear" w:color="auto" w:fill="auto"/>
          </w:tcPr>
          <w:p w14:paraId="419A9EDC"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12</w:t>
            </w:r>
          </w:p>
        </w:tc>
        <w:tc>
          <w:tcPr>
            <w:tcW w:w="1843" w:type="dxa"/>
            <w:tcBorders>
              <w:top w:val="nil"/>
              <w:left w:val="nil"/>
              <w:bottom w:val="nil"/>
              <w:right w:val="nil"/>
            </w:tcBorders>
            <w:shd w:val="clear" w:color="auto" w:fill="auto"/>
          </w:tcPr>
          <w:p w14:paraId="63CD25ED"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5.5%</w:t>
            </w:r>
          </w:p>
        </w:tc>
      </w:tr>
      <w:tr w:rsidR="009C7702" w:rsidRPr="00734AB6" w14:paraId="11C394CD" w14:textId="77777777" w:rsidTr="007C08F6">
        <w:tc>
          <w:tcPr>
            <w:tcW w:w="2093" w:type="dxa"/>
            <w:tcBorders>
              <w:top w:val="nil"/>
              <w:left w:val="nil"/>
              <w:bottom w:val="nil"/>
              <w:right w:val="nil"/>
            </w:tcBorders>
            <w:shd w:val="clear" w:color="auto" w:fill="auto"/>
          </w:tcPr>
          <w:p w14:paraId="1826DA01"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200mg</w:t>
            </w:r>
          </w:p>
        </w:tc>
        <w:tc>
          <w:tcPr>
            <w:tcW w:w="1559" w:type="dxa"/>
            <w:tcBorders>
              <w:top w:val="nil"/>
              <w:left w:val="nil"/>
              <w:bottom w:val="nil"/>
              <w:right w:val="nil"/>
            </w:tcBorders>
            <w:shd w:val="clear" w:color="auto" w:fill="auto"/>
          </w:tcPr>
          <w:p w14:paraId="25861A27"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111</w:t>
            </w:r>
          </w:p>
        </w:tc>
        <w:tc>
          <w:tcPr>
            <w:tcW w:w="1843" w:type="dxa"/>
            <w:tcBorders>
              <w:top w:val="nil"/>
              <w:left w:val="nil"/>
              <w:bottom w:val="nil"/>
              <w:right w:val="nil"/>
            </w:tcBorders>
            <w:shd w:val="clear" w:color="auto" w:fill="auto"/>
          </w:tcPr>
          <w:p w14:paraId="24A61014"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50.7%</w:t>
            </w:r>
          </w:p>
        </w:tc>
      </w:tr>
      <w:tr w:rsidR="009C7702" w:rsidRPr="00734AB6" w14:paraId="0EB73DBF" w14:textId="77777777" w:rsidTr="004809B6">
        <w:tc>
          <w:tcPr>
            <w:tcW w:w="2093" w:type="dxa"/>
            <w:tcBorders>
              <w:top w:val="nil"/>
              <w:left w:val="nil"/>
              <w:right w:val="nil"/>
            </w:tcBorders>
            <w:shd w:val="clear" w:color="auto" w:fill="auto"/>
          </w:tcPr>
          <w:p w14:paraId="17304588"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Up to 400mg</w:t>
            </w:r>
          </w:p>
        </w:tc>
        <w:tc>
          <w:tcPr>
            <w:tcW w:w="1559" w:type="dxa"/>
            <w:tcBorders>
              <w:top w:val="nil"/>
              <w:left w:val="nil"/>
              <w:right w:val="nil"/>
            </w:tcBorders>
            <w:shd w:val="clear" w:color="auto" w:fill="auto"/>
          </w:tcPr>
          <w:p w14:paraId="31E829B4"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69</w:t>
            </w:r>
          </w:p>
        </w:tc>
        <w:tc>
          <w:tcPr>
            <w:tcW w:w="1843" w:type="dxa"/>
            <w:tcBorders>
              <w:top w:val="nil"/>
              <w:left w:val="nil"/>
              <w:right w:val="nil"/>
            </w:tcBorders>
            <w:shd w:val="clear" w:color="auto" w:fill="auto"/>
          </w:tcPr>
          <w:p w14:paraId="3294BA2E"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31.5%</w:t>
            </w:r>
          </w:p>
        </w:tc>
      </w:tr>
      <w:tr w:rsidR="009C7702" w:rsidRPr="00734AB6" w14:paraId="75D2A344" w14:textId="77777777" w:rsidTr="004809B6">
        <w:tc>
          <w:tcPr>
            <w:tcW w:w="2093" w:type="dxa"/>
            <w:tcBorders>
              <w:top w:val="nil"/>
              <w:left w:val="nil"/>
              <w:bottom w:val="single" w:sz="4" w:space="0" w:color="auto"/>
              <w:right w:val="nil"/>
            </w:tcBorders>
            <w:shd w:val="clear" w:color="auto" w:fill="auto"/>
          </w:tcPr>
          <w:p w14:paraId="26C8835B"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More than 400mg</w:t>
            </w:r>
          </w:p>
        </w:tc>
        <w:tc>
          <w:tcPr>
            <w:tcW w:w="1559" w:type="dxa"/>
            <w:tcBorders>
              <w:top w:val="nil"/>
              <w:left w:val="nil"/>
              <w:bottom w:val="single" w:sz="4" w:space="0" w:color="auto"/>
              <w:right w:val="nil"/>
            </w:tcBorders>
            <w:shd w:val="clear" w:color="auto" w:fill="auto"/>
          </w:tcPr>
          <w:p w14:paraId="75641205"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23</w:t>
            </w:r>
          </w:p>
        </w:tc>
        <w:tc>
          <w:tcPr>
            <w:tcW w:w="1843" w:type="dxa"/>
            <w:tcBorders>
              <w:top w:val="nil"/>
              <w:left w:val="nil"/>
              <w:bottom w:val="single" w:sz="4" w:space="0" w:color="auto"/>
              <w:right w:val="nil"/>
            </w:tcBorders>
            <w:shd w:val="clear" w:color="auto" w:fill="auto"/>
          </w:tcPr>
          <w:p w14:paraId="1B145376"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10.5%</w:t>
            </w:r>
          </w:p>
        </w:tc>
      </w:tr>
    </w:tbl>
    <w:p w14:paraId="2CCE59E5" w14:textId="77777777"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p>
    <w:p w14:paraId="035B7924" w14:textId="50765152"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There was no distinct majority for any dosage of methylphenidate and roughly similar numbers of respondents selected doses from 20mg to mo</w:t>
      </w:r>
      <w:r w:rsidR="001C1152" w:rsidRPr="00734AB6">
        <w:rPr>
          <w:rFonts w:asciiTheme="majorHAnsi" w:eastAsia="Calibri" w:hAnsiTheme="majorHAnsi" w:cs="Calibri"/>
        </w:rPr>
        <w:t>re than 60mg as shown in Table 2.9</w:t>
      </w:r>
      <w:r w:rsidRPr="00734AB6">
        <w:rPr>
          <w:rFonts w:asciiTheme="majorHAnsi" w:eastAsia="Calibri" w:hAnsiTheme="majorHAnsi" w:cs="Calibri"/>
        </w:rPr>
        <w:t>.</w:t>
      </w:r>
    </w:p>
    <w:p w14:paraId="67431079" w14:textId="77777777"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p>
    <w:p w14:paraId="12DBED38" w14:textId="27DA17BE" w:rsidR="009C7702" w:rsidRPr="00734AB6" w:rsidRDefault="009C7702" w:rsidP="00E161A9">
      <w:pPr>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t>Ta</w:t>
      </w:r>
      <w:r w:rsidR="00F82B4B" w:rsidRPr="00734AB6">
        <w:rPr>
          <w:rFonts w:asciiTheme="majorHAnsi" w:eastAsia="Calibri" w:hAnsiTheme="majorHAnsi" w:cs="Calibri"/>
          <w:b/>
        </w:rPr>
        <w:t xml:space="preserve">ble </w:t>
      </w:r>
      <w:r w:rsidR="001C1152" w:rsidRPr="00734AB6">
        <w:rPr>
          <w:rFonts w:asciiTheme="majorHAnsi" w:eastAsia="Calibri" w:hAnsiTheme="majorHAnsi" w:cs="Calibri"/>
          <w:b/>
        </w:rPr>
        <w:t>2.9</w:t>
      </w:r>
      <w:r w:rsidRPr="00734AB6">
        <w:rPr>
          <w:rFonts w:asciiTheme="majorHAnsi" w:eastAsia="Calibri" w:hAnsiTheme="majorHAnsi" w:cs="Calibri"/>
          <w:b/>
        </w:rPr>
        <w:t>. Perceived safe dosage for methylphenidate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93"/>
        <w:gridCol w:w="1559"/>
        <w:gridCol w:w="1701"/>
      </w:tblGrid>
      <w:tr w:rsidR="009C7702" w:rsidRPr="00734AB6" w14:paraId="007BFAD2" w14:textId="77777777" w:rsidTr="007C08F6">
        <w:tc>
          <w:tcPr>
            <w:tcW w:w="2093" w:type="dxa"/>
            <w:tcBorders>
              <w:bottom w:val="single" w:sz="4" w:space="0" w:color="auto"/>
            </w:tcBorders>
            <w:shd w:val="clear" w:color="auto" w:fill="auto"/>
          </w:tcPr>
          <w:p w14:paraId="1A28291B"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b/>
              </w:rPr>
              <w:t>Dosage</w:t>
            </w:r>
          </w:p>
        </w:tc>
        <w:tc>
          <w:tcPr>
            <w:tcW w:w="1559" w:type="dxa"/>
            <w:tcBorders>
              <w:bottom w:val="single" w:sz="4" w:space="0" w:color="auto"/>
            </w:tcBorders>
            <w:shd w:val="clear" w:color="auto" w:fill="auto"/>
          </w:tcPr>
          <w:p w14:paraId="11BDA749"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b/>
              </w:rPr>
              <w:t>Frequency</w:t>
            </w:r>
          </w:p>
        </w:tc>
        <w:tc>
          <w:tcPr>
            <w:tcW w:w="1701" w:type="dxa"/>
            <w:tcBorders>
              <w:bottom w:val="single" w:sz="4" w:space="0" w:color="auto"/>
            </w:tcBorders>
            <w:shd w:val="clear" w:color="auto" w:fill="auto"/>
          </w:tcPr>
          <w:p w14:paraId="33C75105"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b/>
              </w:rPr>
              <w:t>Percentage</w:t>
            </w:r>
          </w:p>
        </w:tc>
      </w:tr>
      <w:tr w:rsidR="009C7702" w:rsidRPr="00734AB6" w14:paraId="3FB7A5BD" w14:textId="77777777" w:rsidTr="007C08F6">
        <w:tc>
          <w:tcPr>
            <w:tcW w:w="2093" w:type="dxa"/>
            <w:tcBorders>
              <w:bottom w:val="nil"/>
            </w:tcBorders>
            <w:shd w:val="clear" w:color="auto" w:fill="auto"/>
          </w:tcPr>
          <w:p w14:paraId="2F520123"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None</w:t>
            </w:r>
          </w:p>
        </w:tc>
        <w:tc>
          <w:tcPr>
            <w:tcW w:w="1559" w:type="dxa"/>
            <w:tcBorders>
              <w:bottom w:val="nil"/>
            </w:tcBorders>
            <w:shd w:val="clear" w:color="auto" w:fill="auto"/>
          </w:tcPr>
          <w:p w14:paraId="7802740E"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6</w:t>
            </w:r>
          </w:p>
        </w:tc>
        <w:tc>
          <w:tcPr>
            <w:tcW w:w="1701" w:type="dxa"/>
            <w:tcBorders>
              <w:bottom w:val="nil"/>
            </w:tcBorders>
            <w:shd w:val="clear" w:color="auto" w:fill="auto"/>
          </w:tcPr>
          <w:p w14:paraId="112B2859"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5.8%</w:t>
            </w:r>
          </w:p>
        </w:tc>
      </w:tr>
      <w:tr w:rsidR="009C7702" w:rsidRPr="00734AB6" w14:paraId="6D5C69D8" w14:textId="77777777" w:rsidTr="007C08F6">
        <w:tc>
          <w:tcPr>
            <w:tcW w:w="2093" w:type="dxa"/>
            <w:tcBorders>
              <w:top w:val="nil"/>
              <w:bottom w:val="nil"/>
            </w:tcBorders>
            <w:shd w:val="clear" w:color="auto" w:fill="auto"/>
          </w:tcPr>
          <w:p w14:paraId="035E2179"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5mg</w:t>
            </w:r>
          </w:p>
        </w:tc>
        <w:tc>
          <w:tcPr>
            <w:tcW w:w="1559" w:type="dxa"/>
            <w:tcBorders>
              <w:top w:val="nil"/>
              <w:bottom w:val="nil"/>
            </w:tcBorders>
            <w:shd w:val="clear" w:color="auto" w:fill="auto"/>
          </w:tcPr>
          <w:p w14:paraId="4D36E251"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2</w:t>
            </w:r>
          </w:p>
        </w:tc>
        <w:tc>
          <w:tcPr>
            <w:tcW w:w="1701" w:type="dxa"/>
            <w:tcBorders>
              <w:top w:val="nil"/>
              <w:bottom w:val="nil"/>
            </w:tcBorders>
            <w:shd w:val="clear" w:color="auto" w:fill="auto"/>
          </w:tcPr>
          <w:p w14:paraId="4D952294"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1.9%</w:t>
            </w:r>
          </w:p>
        </w:tc>
      </w:tr>
      <w:tr w:rsidR="009C7702" w:rsidRPr="00734AB6" w14:paraId="7601E5D4" w14:textId="77777777" w:rsidTr="007C08F6">
        <w:tc>
          <w:tcPr>
            <w:tcW w:w="2093" w:type="dxa"/>
            <w:tcBorders>
              <w:top w:val="nil"/>
              <w:bottom w:val="nil"/>
            </w:tcBorders>
            <w:shd w:val="clear" w:color="auto" w:fill="auto"/>
          </w:tcPr>
          <w:p w14:paraId="0D557AC2"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10mg</w:t>
            </w:r>
          </w:p>
        </w:tc>
        <w:tc>
          <w:tcPr>
            <w:tcW w:w="1559" w:type="dxa"/>
            <w:tcBorders>
              <w:top w:val="nil"/>
              <w:bottom w:val="nil"/>
            </w:tcBorders>
            <w:shd w:val="clear" w:color="auto" w:fill="auto"/>
          </w:tcPr>
          <w:p w14:paraId="23531E8C"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7</w:t>
            </w:r>
          </w:p>
        </w:tc>
        <w:tc>
          <w:tcPr>
            <w:tcW w:w="1701" w:type="dxa"/>
            <w:tcBorders>
              <w:top w:val="nil"/>
              <w:bottom w:val="nil"/>
            </w:tcBorders>
            <w:shd w:val="clear" w:color="auto" w:fill="auto"/>
          </w:tcPr>
          <w:p w14:paraId="46C7B1EF"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6.7%</w:t>
            </w:r>
          </w:p>
        </w:tc>
      </w:tr>
      <w:tr w:rsidR="009C7702" w:rsidRPr="00734AB6" w14:paraId="534CACAA" w14:textId="77777777" w:rsidTr="007C08F6">
        <w:tc>
          <w:tcPr>
            <w:tcW w:w="2093" w:type="dxa"/>
            <w:tcBorders>
              <w:top w:val="nil"/>
              <w:bottom w:val="nil"/>
            </w:tcBorders>
            <w:shd w:val="clear" w:color="auto" w:fill="auto"/>
          </w:tcPr>
          <w:p w14:paraId="41DAE536"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20mg</w:t>
            </w:r>
          </w:p>
        </w:tc>
        <w:tc>
          <w:tcPr>
            <w:tcW w:w="1559" w:type="dxa"/>
            <w:tcBorders>
              <w:top w:val="nil"/>
              <w:bottom w:val="nil"/>
            </w:tcBorders>
            <w:shd w:val="clear" w:color="auto" w:fill="auto"/>
          </w:tcPr>
          <w:p w14:paraId="05981160"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19</w:t>
            </w:r>
          </w:p>
        </w:tc>
        <w:tc>
          <w:tcPr>
            <w:tcW w:w="1701" w:type="dxa"/>
            <w:tcBorders>
              <w:top w:val="nil"/>
              <w:bottom w:val="nil"/>
            </w:tcBorders>
            <w:shd w:val="clear" w:color="auto" w:fill="auto"/>
          </w:tcPr>
          <w:p w14:paraId="35DF51AA"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18.3%</w:t>
            </w:r>
          </w:p>
        </w:tc>
      </w:tr>
      <w:tr w:rsidR="009C7702" w:rsidRPr="00734AB6" w14:paraId="57FB5275" w14:textId="77777777" w:rsidTr="007C08F6">
        <w:tc>
          <w:tcPr>
            <w:tcW w:w="2093" w:type="dxa"/>
            <w:tcBorders>
              <w:top w:val="nil"/>
              <w:bottom w:val="nil"/>
            </w:tcBorders>
            <w:shd w:val="clear" w:color="auto" w:fill="auto"/>
          </w:tcPr>
          <w:p w14:paraId="3F88E1A8"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30mg</w:t>
            </w:r>
          </w:p>
        </w:tc>
        <w:tc>
          <w:tcPr>
            <w:tcW w:w="1559" w:type="dxa"/>
            <w:tcBorders>
              <w:top w:val="nil"/>
              <w:bottom w:val="nil"/>
            </w:tcBorders>
            <w:shd w:val="clear" w:color="auto" w:fill="auto"/>
          </w:tcPr>
          <w:p w14:paraId="0145B317"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13</w:t>
            </w:r>
          </w:p>
        </w:tc>
        <w:tc>
          <w:tcPr>
            <w:tcW w:w="1701" w:type="dxa"/>
            <w:tcBorders>
              <w:top w:val="nil"/>
              <w:bottom w:val="nil"/>
            </w:tcBorders>
            <w:shd w:val="clear" w:color="auto" w:fill="auto"/>
          </w:tcPr>
          <w:p w14:paraId="69F430A6"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12.5%</w:t>
            </w:r>
          </w:p>
        </w:tc>
      </w:tr>
      <w:tr w:rsidR="009C7702" w:rsidRPr="00734AB6" w14:paraId="38172573" w14:textId="77777777" w:rsidTr="007C08F6">
        <w:tc>
          <w:tcPr>
            <w:tcW w:w="2093" w:type="dxa"/>
            <w:tcBorders>
              <w:top w:val="nil"/>
              <w:bottom w:val="nil"/>
            </w:tcBorders>
            <w:shd w:val="clear" w:color="auto" w:fill="auto"/>
          </w:tcPr>
          <w:p w14:paraId="5F972500"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40mg</w:t>
            </w:r>
          </w:p>
        </w:tc>
        <w:tc>
          <w:tcPr>
            <w:tcW w:w="1559" w:type="dxa"/>
            <w:tcBorders>
              <w:top w:val="nil"/>
              <w:bottom w:val="nil"/>
            </w:tcBorders>
            <w:shd w:val="clear" w:color="auto" w:fill="auto"/>
          </w:tcPr>
          <w:p w14:paraId="44734A51"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15</w:t>
            </w:r>
          </w:p>
        </w:tc>
        <w:tc>
          <w:tcPr>
            <w:tcW w:w="1701" w:type="dxa"/>
            <w:tcBorders>
              <w:top w:val="nil"/>
              <w:bottom w:val="nil"/>
            </w:tcBorders>
            <w:shd w:val="clear" w:color="auto" w:fill="auto"/>
          </w:tcPr>
          <w:p w14:paraId="15F6CCAF"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14.4%</w:t>
            </w:r>
          </w:p>
        </w:tc>
      </w:tr>
      <w:tr w:rsidR="009C7702" w:rsidRPr="00734AB6" w14:paraId="6005C629" w14:textId="77777777" w:rsidTr="007C08F6">
        <w:tc>
          <w:tcPr>
            <w:tcW w:w="2093" w:type="dxa"/>
            <w:tcBorders>
              <w:top w:val="nil"/>
              <w:bottom w:val="nil"/>
            </w:tcBorders>
            <w:shd w:val="clear" w:color="auto" w:fill="auto"/>
          </w:tcPr>
          <w:p w14:paraId="6B047861"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50mg</w:t>
            </w:r>
          </w:p>
        </w:tc>
        <w:tc>
          <w:tcPr>
            <w:tcW w:w="1559" w:type="dxa"/>
            <w:tcBorders>
              <w:top w:val="nil"/>
              <w:bottom w:val="nil"/>
            </w:tcBorders>
            <w:shd w:val="clear" w:color="auto" w:fill="auto"/>
          </w:tcPr>
          <w:p w14:paraId="258B05A5"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12</w:t>
            </w:r>
          </w:p>
        </w:tc>
        <w:tc>
          <w:tcPr>
            <w:tcW w:w="1701" w:type="dxa"/>
            <w:tcBorders>
              <w:top w:val="nil"/>
              <w:bottom w:val="nil"/>
            </w:tcBorders>
            <w:shd w:val="clear" w:color="auto" w:fill="auto"/>
          </w:tcPr>
          <w:p w14:paraId="61644DB3"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11.5%</w:t>
            </w:r>
          </w:p>
        </w:tc>
      </w:tr>
      <w:tr w:rsidR="009C7702" w:rsidRPr="00734AB6" w14:paraId="6E37A2FA" w14:textId="77777777" w:rsidTr="007C08F6">
        <w:tc>
          <w:tcPr>
            <w:tcW w:w="2093" w:type="dxa"/>
            <w:tcBorders>
              <w:top w:val="nil"/>
              <w:bottom w:val="nil"/>
            </w:tcBorders>
            <w:shd w:val="clear" w:color="auto" w:fill="auto"/>
          </w:tcPr>
          <w:p w14:paraId="588FEF94"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60mg</w:t>
            </w:r>
          </w:p>
        </w:tc>
        <w:tc>
          <w:tcPr>
            <w:tcW w:w="1559" w:type="dxa"/>
            <w:tcBorders>
              <w:top w:val="nil"/>
              <w:bottom w:val="nil"/>
            </w:tcBorders>
            <w:shd w:val="clear" w:color="auto" w:fill="auto"/>
          </w:tcPr>
          <w:p w14:paraId="24E6F50E"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13</w:t>
            </w:r>
          </w:p>
        </w:tc>
        <w:tc>
          <w:tcPr>
            <w:tcW w:w="1701" w:type="dxa"/>
            <w:tcBorders>
              <w:top w:val="nil"/>
              <w:bottom w:val="nil"/>
            </w:tcBorders>
            <w:shd w:val="clear" w:color="auto" w:fill="auto"/>
          </w:tcPr>
          <w:p w14:paraId="4B53F054"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12.5%</w:t>
            </w:r>
          </w:p>
        </w:tc>
      </w:tr>
      <w:tr w:rsidR="009C7702" w:rsidRPr="00734AB6" w14:paraId="1466B1CD" w14:textId="77777777" w:rsidTr="007C08F6">
        <w:tc>
          <w:tcPr>
            <w:tcW w:w="2093" w:type="dxa"/>
            <w:tcBorders>
              <w:top w:val="nil"/>
            </w:tcBorders>
            <w:shd w:val="clear" w:color="auto" w:fill="auto"/>
          </w:tcPr>
          <w:p w14:paraId="67743034"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More than 60mg</w:t>
            </w:r>
          </w:p>
        </w:tc>
        <w:tc>
          <w:tcPr>
            <w:tcW w:w="1559" w:type="dxa"/>
            <w:tcBorders>
              <w:top w:val="nil"/>
            </w:tcBorders>
            <w:shd w:val="clear" w:color="auto" w:fill="auto"/>
          </w:tcPr>
          <w:p w14:paraId="6F6A1D92"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17</w:t>
            </w:r>
          </w:p>
        </w:tc>
        <w:tc>
          <w:tcPr>
            <w:tcW w:w="1701" w:type="dxa"/>
            <w:tcBorders>
              <w:top w:val="nil"/>
            </w:tcBorders>
            <w:shd w:val="clear" w:color="auto" w:fill="auto"/>
          </w:tcPr>
          <w:p w14:paraId="54FD4C58"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16.3%</w:t>
            </w:r>
          </w:p>
        </w:tc>
      </w:tr>
    </w:tbl>
    <w:p w14:paraId="42BFB32E" w14:textId="77777777"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p>
    <w:p w14:paraId="4F49BDE8" w14:textId="579DCF5E"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In response to the question “Would you be putting yourself in danger if you took modafinil?” a high majority (98.2%) of respondents answered ‘No’ to the options ‘Six times or less per year’ and ‘twice per month’, as well as ‘once per week’ (97.3%) and ‘Three or more times per </w:t>
      </w:r>
      <w:r w:rsidRPr="00734AB6">
        <w:rPr>
          <w:rFonts w:asciiTheme="majorHAnsi" w:eastAsia="Calibri" w:hAnsiTheme="majorHAnsi" w:cs="Calibri"/>
        </w:rPr>
        <w:lastRenderedPageBreak/>
        <w:t>week’ (85.4%). A slight majority of 53.9% felt that taking modafinil every day would not</w:t>
      </w:r>
      <w:r w:rsidR="00DF7E70" w:rsidRPr="00734AB6">
        <w:rPr>
          <w:rFonts w:asciiTheme="majorHAnsi" w:eastAsia="Calibri" w:hAnsiTheme="majorHAnsi" w:cs="Calibri"/>
        </w:rPr>
        <w:t xml:space="preserve"> put them in danger (see Table </w:t>
      </w:r>
      <w:r w:rsidR="00CC1029" w:rsidRPr="00734AB6">
        <w:rPr>
          <w:rFonts w:asciiTheme="majorHAnsi" w:eastAsia="Calibri" w:hAnsiTheme="majorHAnsi" w:cs="Calibri"/>
        </w:rPr>
        <w:t>2.10</w:t>
      </w:r>
      <w:r w:rsidRPr="00734AB6">
        <w:rPr>
          <w:rFonts w:asciiTheme="majorHAnsi" w:eastAsia="Calibri" w:hAnsiTheme="majorHAnsi" w:cs="Calibri"/>
        </w:rPr>
        <w:t xml:space="preserve">). </w:t>
      </w:r>
    </w:p>
    <w:p w14:paraId="5B075116" w14:textId="75E3C6E7"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r w:rsidRPr="00734AB6">
        <w:rPr>
          <w:rFonts w:asciiTheme="majorHAnsi" w:eastAsia="Calibri" w:hAnsiTheme="majorHAnsi" w:cs="Calibri"/>
        </w:rPr>
        <w:t xml:space="preserve">Taking methylphenidate every day was perceived as being dangerous (68%). A slight minority of respondents felt that it was safe to take methylphenidate three or more times per </w:t>
      </w:r>
      <w:r w:rsidR="00052745" w:rsidRPr="00734AB6">
        <w:rPr>
          <w:rFonts w:asciiTheme="majorHAnsi" w:eastAsia="Calibri" w:hAnsiTheme="majorHAnsi" w:cs="Calibri"/>
        </w:rPr>
        <w:t>week and</w:t>
      </w:r>
      <w:r w:rsidRPr="00734AB6">
        <w:rPr>
          <w:rFonts w:asciiTheme="majorHAnsi" w:eastAsia="Calibri" w:hAnsiTheme="majorHAnsi" w:cs="Calibri"/>
        </w:rPr>
        <w:t xml:space="preserve"> taking methylphenidate once per week to six times or less per year was perceived as being</w:t>
      </w:r>
      <w:r w:rsidR="00DF7E70" w:rsidRPr="00734AB6">
        <w:rPr>
          <w:rFonts w:asciiTheme="majorHAnsi" w:eastAsia="Calibri" w:hAnsiTheme="majorHAnsi" w:cs="Calibri"/>
        </w:rPr>
        <w:t xml:space="preserve"> safe (see Table </w:t>
      </w:r>
      <w:r w:rsidR="00CC1029" w:rsidRPr="00734AB6">
        <w:rPr>
          <w:rFonts w:asciiTheme="majorHAnsi" w:eastAsia="Calibri" w:hAnsiTheme="majorHAnsi" w:cs="Calibri"/>
        </w:rPr>
        <w:t>2.10</w:t>
      </w:r>
      <w:r w:rsidRPr="00734AB6">
        <w:rPr>
          <w:rFonts w:asciiTheme="majorHAnsi" w:eastAsia="Calibri" w:hAnsiTheme="majorHAnsi" w:cs="Calibri"/>
        </w:rPr>
        <w:t>).</w:t>
      </w:r>
    </w:p>
    <w:p w14:paraId="42BE90BC" w14:textId="77777777" w:rsidR="009C7702" w:rsidRPr="00734AB6" w:rsidRDefault="009C7702" w:rsidP="0099584D">
      <w:pPr>
        <w:autoSpaceDE w:val="0"/>
        <w:autoSpaceDN w:val="0"/>
        <w:adjustRightInd w:val="0"/>
        <w:spacing w:after="0" w:line="360" w:lineRule="auto"/>
        <w:ind w:firstLine="851"/>
        <w:rPr>
          <w:rFonts w:asciiTheme="majorHAnsi" w:eastAsia="Calibri" w:hAnsiTheme="majorHAnsi" w:cs="Calibri"/>
        </w:rPr>
      </w:pPr>
    </w:p>
    <w:p w14:paraId="23C34AAD" w14:textId="67E3547F" w:rsidR="009C7702" w:rsidRPr="00734AB6" w:rsidRDefault="00DF7E70" w:rsidP="004809B6">
      <w:pPr>
        <w:tabs>
          <w:tab w:val="left" w:pos="1134"/>
        </w:tabs>
        <w:autoSpaceDE w:val="0"/>
        <w:autoSpaceDN w:val="0"/>
        <w:adjustRightInd w:val="0"/>
        <w:spacing w:line="360" w:lineRule="auto"/>
        <w:rPr>
          <w:rFonts w:asciiTheme="majorHAnsi" w:eastAsia="Calibri" w:hAnsiTheme="majorHAnsi" w:cs="Calibri"/>
          <w:b/>
        </w:rPr>
      </w:pPr>
      <w:r w:rsidRPr="00734AB6">
        <w:rPr>
          <w:rFonts w:asciiTheme="majorHAnsi" w:eastAsia="Calibri" w:hAnsiTheme="majorHAnsi" w:cs="Calibri"/>
          <w:b/>
        </w:rPr>
        <w:t xml:space="preserve">Table </w:t>
      </w:r>
      <w:r w:rsidR="00CC1029" w:rsidRPr="00734AB6">
        <w:rPr>
          <w:rFonts w:asciiTheme="majorHAnsi" w:eastAsia="Calibri" w:hAnsiTheme="majorHAnsi" w:cs="Calibri"/>
          <w:b/>
        </w:rPr>
        <w:t>2.10</w:t>
      </w:r>
      <w:r w:rsidR="004809B6" w:rsidRPr="00734AB6">
        <w:rPr>
          <w:rFonts w:asciiTheme="majorHAnsi" w:eastAsia="Calibri" w:hAnsiTheme="majorHAnsi" w:cs="Calibri"/>
          <w:b/>
        </w:rPr>
        <w:t>.</w:t>
      </w:r>
      <w:r w:rsidR="004809B6" w:rsidRPr="00734AB6">
        <w:rPr>
          <w:rFonts w:asciiTheme="majorHAnsi" w:eastAsia="Calibri" w:hAnsiTheme="majorHAnsi" w:cs="Calibri"/>
          <w:b/>
        </w:rPr>
        <w:tab/>
      </w:r>
      <w:r w:rsidR="009C7702" w:rsidRPr="00734AB6">
        <w:rPr>
          <w:rFonts w:asciiTheme="majorHAnsi" w:eastAsia="Calibri" w:hAnsiTheme="majorHAnsi" w:cs="Calibri"/>
          <w:b/>
        </w:rPr>
        <w:t>Responses to the question asking whether respondents felt they would be putting themselves in danger by taking modafinil/ methylphenidate at different levels of frequency</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2268"/>
        <w:gridCol w:w="2409"/>
      </w:tblGrid>
      <w:tr w:rsidR="009C7702" w:rsidRPr="00734AB6" w14:paraId="1234FED2" w14:textId="77777777" w:rsidTr="004809B6">
        <w:tc>
          <w:tcPr>
            <w:tcW w:w="3261" w:type="dxa"/>
            <w:tcBorders>
              <w:bottom w:val="single" w:sz="4" w:space="0" w:color="auto"/>
            </w:tcBorders>
            <w:shd w:val="clear" w:color="auto" w:fill="auto"/>
          </w:tcPr>
          <w:p w14:paraId="1614822D"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Frequency of dose</w:t>
            </w:r>
          </w:p>
        </w:tc>
        <w:tc>
          <w:tcPr>
            <w:tcW w:w="2268" w:type="dxa"/>
            <w:tcBorders>
              <w:bottom w:val="single" w:sz="4" w:space="0" w:color="auto"/>
            </w:tcBorders>
            <w:shd w:val="clear" w:color="auto" w:fill="auto"/>
          </w:tcPr>
          <w:p w14:paraId="2BD2BC16"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Yes modafinil</w:t>
            </w:r>
          </w:p>
        </w:tc>
        <w:tc>
          <w:tcPr>
            <w:tcW w:w="2409" w:type="dxa"/>
            <w:tcBorders>
              <w:bottom w:val="single" w:sz="4" w:space="0" w:color="auto"/>
            </w:tcBorders>
            <w:shd w:val="clear" w:color="auto" w:fill="auto"/>
          </w:tcPr>
          <w:p w14:paraId="4E865343"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Yes methylphenidate</w:t>
            </w:r>
          </w:p>
        </w:tc>
      </w:tr>
      <w:tr w:rsidR="009C7702" w:rsidRPr="00734AB6" w14:paraId="5C372171" w14:textId="77777777" w:rsidTr="004809B6">
        <w:tc>
          <w:tcPr>
            <w:tcW w:w="3261" w:type="dxa"/>
            <w:tcBorders>
              <w:bottom w:val="nil"/>
            </w:tcBorders>
            <w:shd w:val="clear" w:color="auto" w:fill="auto"/>
          </w:tcPr>
          <w:p w14:paraId="16206AB9"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Every day</w:t>
            </w:r>
          </w:p>
        </w:tc>
        <w:tc>
          <w:tcPr>
            <w:tcW w:w="2268" w:type="dxa"/>
            <w:tcBorders>
              <w:bottom w:val="nil"/>
            </w:tcBorders>
            <w:shd w:val="clear" w:color="auto" w:fill="auto"/>
          </w:tcPr>
          <w:p w14:paraId="74AB0A07"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101 (46.1%)</w:t>
            </w:r>
          </w:p>
        </w:tc>
        <w:tc>
          <w:tcPr>
            <w:tcW w:w="2409" w:type="dxa"/>
            <w:tcBorders>
              <w:bottom w:val="nil"/>
            </w:tcBorders>
            <w:shd w:val="clear" w:color="auto" w:fill="auto"/>
          </w:tcPr>
          <w:p w14:paraId="60ACB20A"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rPr>
              <w:t>70 (68%)</w:t>
            </w:r>
          </w:p>
        </w:tc>
      </w:tr>
      <w:tr w:rsidR="009C7702" w:rsidRPr="00734AB6" w14:paraId="6A945714" w14:textId="77777777" w:rsidTr="004809B6">
        <w:tc>
          <w:tcPr>
            <w:tcW w:w="3261" w:type="dxa"/>
            <w:tcBorders>
              <w:top w:val="nil"/>
              <w:bottom w:val="nil"/>
            </w:tcBorders>
            <w:shd w:val="clear" w:color="auto" w:fill="auto"/>
          </w:tcPr>
          <w:p w14:paraId="4A0AD6E6"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3 or more times per week</w:t>
            </w:r>
          </w:p>
        </w:tc>
        <w:tc>
          <w:tcPr>
            <w:tcW w:w="2268" w:type="dxa"/>
            <w:tcBorders>
              <w:top w:val="nil"/>
              <w:bottom w:val="nil"/>
            </w:tcBorders>
            <w:shd w:val="clear" w:color="auto" w:fill="auto"/>
          </w:tcPr>
          <w:p w14:paraId="1CE31025"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32 (14.6%)</w:t>
            </w:r>
          </w:p>
        </w:tc>
        <w:tc>
          <w:tcPr>
            <w:tcW w:w="2409" w:type="dxa"/>
            <w:tcBorders>
              <w:top w:val="nil"/>
              <w:bottom w:val="nil"/>
            </w:tcBorders>
            <w:shd w:val="clear" w:color="auto" w:fill="auto"/>
          </w:tcPr>
          <w:p w14:paraId="4DEF2612"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rPr>
              <w:t>47 (45.2%)</w:t>
            </w:r>
          </w:p>
        </w:tc>
      </w:tr>
      <w:tr w:rsidR="009C7702" w:rsidRPr="00734AB6" w14:paraId="44CA1AA7" w14:textId="77777777" w:rsidTr="004809B6">
        <w:tc>
          <w:tcPr>
            <w:tcW w:w="3261" w:type="dxa"/>
            <w:tcBorders>
              <w:top w:val="nil"/>
              <w:bottom w:val="nil"/>
            </w:tcBorders>
            <w:shd w:val="clear" w:color="auto" w:fill="auto"/>
          </w:tcPr>
          <w:p w14:paraId="57DD9299"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Once per week</w:t>
            </w:r>
          </w:p>
        </w:tc>
        <w:tc>
          <w:tcPr>
            <w:tcW w:w="2268" w:type="dxa"/>
            <w:tcBorders>
              <w:top w:val="nil"/>
              <w:bottom w:val="nil"/>
            </w:tcBorders>
            <w:shd w:val="clear" w:color="auto" w:fill="auto"/>
          </w:tcPr>
          <w:p w14:paraId="6A4DECD8"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6 (2.7%)</w:t>
            </w:r>
          </w:p>
        </w:tc>
        <w:tc>
          <w:tcPr>
            <w:tcW w:w="2409" w:type="dxa"/>
            <w:tcBorders>
              <w:top w:val="nil"/>
              <w:bottom w:val="nil"/>
            </w:tcBorders>
            <w:shd w:val="clear" w:color="auto" w:fill="auto"/>
          </w:tcPr>
          <w:p w14:paraId="4A83FE93"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rPr>
              <w:t>17 (16.3%)</w:t>
            </w:r>
          </w:p>
        </w:tc>
      </w:tr>
      <w:tr w:rsidR="009C7702" w:rsidRPr="00734AB6" w14:paraId="1C5AF454" w14:textId="77777777" w:rsidTr="004809B6">
        <w:tc>
          <w:tcPr>
            <w:tcW w:w="3261" w:type="dxa"/>
            <w:tcBorders>
              <w:top w:val="nil"/>
              <w:bottom w:val="nil"/>
            </w:tcBorders>
            <w:shd w:val="clear" w:color="auto" w:fill="auto"/>
          </w:tcPr>
          <w:p w14:paraId="186D5CED"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Twice per month</w:t>
            </w:r>
          </w:p>
        </w:tc>
        <w:tc>
          <w:tcPr>
            <w:tcW w:w="2268" w:type="dxa"/>
            <w:tcBorders>
              <w:top w:val="nil"/>
              <w:bottom w:val="nil"/>
            </w:tcBorders>
            <w:shd w:val="clear" w:color="auto" w:fill="auto"/>
          </w:tcPr>
          <w:p w14:paraId="3692A4EC"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4 (1.8%)</w:t>
            </w:r>
          </w:p>
        </w:tc>
        <w:tc>
          <w:tcPr>
            <w:tcW w:w="2409" w:type="dxa"/>
            <w:tcBorders>
              <w:top w:val="nil"/>
              <w:bottom w:val="nil"/>
            </w:tcBorders>
            <w:shd w:val="clear" w:color="auto" w:fill="auto"/>
          </w:tcPr>
          <w:p w14:paraId="32CDCDBF"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rPr>
              <w:t>8 (7.7%)</w:t>
            </w:r>
          </w:p>
        </w:tc>
      </w:tr>
      <w:tr w:rsidR="009C7702" w:rsidRPr="00734AB6" w14:paraId="6BE0F461" w14:textId="77777777" w:rsidTr="004809B6">
        <w:tc>
          <w:tcPr>
            <w:tcW w:w="3261" w:type="dxa"/>
            <w:tcBorders>
              <w:top w:val="nil"/>
            </w:tcBorders>
            <w:shd w:val="clear" w:color="auto" w:fill="auto"/>
          </w:tcPr>
          <w:p w14:paraId="685BE91E" w14:textId="77777777" w:rsidR="009C7702" w:rsidRPr="00734AB6" w:rsidRDefault="009C7702" w:rsidP="0099584D">
            <w:pPr>
              <w:autoSpaceDE w:val="0"/>
              <w:autoSpaceDN w:val="0"/>
              <w:adjustRightInd w:val="0"/>
              <w:spacing w:line="360" w:lineRule="auto"/>
              <w:rPr>
                <w:rFonts w:asciiTheme="majorHAnsi" w:hAnsiTheme="majorHAnsi" w:cs="Calibri"/>
                <w:b/>
              </w:rPr>
            </w:pPr>
            <w:r w:rsidRPr="00734AB6">
              <w:rPr>
                <w:rFonts w:asciiTheme="majorHAnsi" w:hAnsiTheme="majorHAnsi" w:cs="Calibri"/>
                <w:b/>
              </w:rPr>
              <w:t>6 times or less per year</w:t>
            </w:r>
          </w:p>
        </w:tc>
        <w:tc>
          <w:tcPr>
            <w:tcW w:w="2268" w:type="dxa"/>
            <w:tcBorders>
              <w:top w:val="nil"/>
            </w:tcBorders>
            <w:shd w:val="clear" w:color="auto" w:fill="auto"/>
          </w:tcPr>
          <w:p w14:paraId="290B235A"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cs="Calibri"/>
              </w:rPr>
              <w:t>4 (1.8%)</w:t>
            </w:r>
          </w:p>
        </w:tc>
        <w:tc>
          <w:tcPr>
            <w:tcW w:w="2409" w:type="dxa"/>
            <w:tcBorders>
              <w:top w:val="nil"/>
            </w:tcBorders>
            <w:shd w:val="clear" w:color="auto" w:fill="auto"/>
          </w:tcPr>
          <w:p w14:paraId="2B580C69" w14:textId="77777777" w:rsidR="009C7702" w:rsidRPr="00734AB6" w:rsidRDefault="009C7702" w:rsidP="0099584D">
            <w:pPr>
              <w:autoSpaceDE w:val="0"/>
              <w:autoSpaceDN w:val="0"/>
              <w:adjustRightInd w:val="0"/>
              <w:spacing w:line="360" w:lineRule="auto"/>
              <w:rPr>
                <w:rFonts w:asciiTheme="majorHAnsi" w:hAnsiTheme="majorHAnsi" w:cs="Calibri"/>
              </w:rPr>
            </w:pPr>
            <w:r w:rsidRPr="00734AB6">
              <w:rPr>
                <w:rFonts w:asciiTheme="majorHAnsi" w:hAnsiTheme="majorHAnsi"/>
              </w:rPr>
              <w:t>5 (4.8%)</w:t>
            </w:r>
          </w:p>
        </w:tc>
      </w:tr>
    </w:tbl>
    <w:p w14:paraId="5BEAD462" w14:textId="77777777" w:rsidR="009C7702" w:rsidRPr="00734AB6" w:rsidRDefault="009C7702" w:rsidP="00E161A9">
      <w:pPr>
        <w:spacing w:line="360" w:lineRule="auto"/>
        <w:rPr>
          <w:rFonts w:asciiTheme="majorHAnsi" w:hAnsiTheme="majorHAnsi"/>
        </w:rPr>
      </w:pPr>
    </w:p>
    <w:p w14:paraId="5AE29BC0" w14:textId="77777777" w:rsidR="009C7702" w:rsidRPr="00734AB6" w:rsidRDefault="009C7702" w:rsidP="0099584D">
      <w:pPr>
        <w:pStyle w:val="Heading5"/>
        <w:spacing w:line="360" w:lineRule="auto"/>
        <w:rPr>
          <w:b/>
          <w:color w:val="auto"/>
        </w:rPr>
      </w:pPr>
      <w:r w:rsidRPr="00734AB6">
        <w:rPr>
          <w:b/>
          <w:color w:val="auto"/>
        </w:rPr>
        <w:t>2.2.3.4.6</w:t>
      </w:r>
      <w:r w:rsidRPr="00734AB6">
        <w:rPr>
          <w:b/>
          <w:color w:val="auto"/>
        </w:rPr>
        <w:tab/>
        <w:t>Drug use and perceived effects of modafinil and methylphenidate</w:t>
      </w:r>
    </w:p>
    <w:p w14:paraId="1B401E6A" w14:textId="77777777" w:rsidR="00A66AA6" w:rsidRPr="00734AB6" w:rsidRDefault="00A66AA6" w:rsidP="0099584D">
      <w:pPr>
        <w:spacing w:before="240" w:line="360" w:lineRule="auto"/>
        <w:ind w:firstLine="851"/>
        <w:rPr>
          <w:rFonts w:asciiTheme="majorHAnsi" w:eastAsia="Calibri" w:hAnsiTheme="majorHAnsi"/>
        </w:rPr>
      </w:pPr>
      <w:r w:rsidRPr="00734AB6">
        <w:rPr>
          <w:rFonts w:asciiTheme="majorHAnsi" w:eastAsia="Calibri" w:hAnsiTheme="majorHAnsi"/>
        </w:rPr>
        <w:t xml:space="preserve">Mann-Whiney U tests were performed to establish whether mental health diagnostic status and drug use had any impact on perceived effects of modafinil and methylphenidate. For this analysis, the total number of perceived risks was subtracted from the total number of perceived benefits. This created an index of benefits versus risks, with positive scores indicating that benefits outweighed risks. Mann-Whitney U tests were performed for both immediate and longer-lasting risks/benefits of modafinil and methylphenidate on the following questions: ‘Have you ever been diagnosed with a mental health condition?’, ‘Have you ever taken cannabis, ecstasy, speed or amphetamines?’ (referred to here as ‘lifetime use’) and ‘Have you taken cannabis, ecstasy, speed or amphetamines in the last year?’. </w:t>
      </w:r>
    </w:p>
    <w:p w14:paraId="427E0106" w14:textId="0A911918"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Using cannabis was not related to perceived effects of modafinil and methylphenidate (p’s &gt;0.1) for all comparisons. Using cocaine was related to greater immediate benefits from taking methylphenidate. Individuals who reported lifetime use of cocaine (mean = 1.40, SD = 3.03) experienced greater immediate benefits of methylphenidate than those with no lifetime use of cocaine (mean = 0.95, SD = 2.45). This difference was significant, U = 11205.5,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user</w:t>
      </w:r>
      <w:proofErr w:type="spellEnd"/>
      <w:r w:rsidRPr="00734AB6">
        <w:rPr>
          <w:rFonts w:asciiTheme="majorHAnsi" w:eastAsia="Calibri" w:hAnsiTheme="majorHAnsi" w:cs="Calibri"/>
        </w:rPr>
        <w:t xml:space="preserve"> = 119, </w:t>
      </w:r>
      <w:proofErr w:type="spellStart"/>
      <w:r w:rsidRPr="00734AB6">
        <w:rPr>
          <w:rFonts w:asciiTheme="majorHAnsi" w:eastAsia="Calibri" w:hAnsiTheme="majorHAnsi" w:cs="Calibri"/>
        </w:rPr>
        <w:lastRenderedPageBreak/>
        <w:t>N</w:t>
      </w:r>
      <w:r w:rsidRPr="00734AB6">
        <w:rPr>
          <w:rFonts w:asciiTheme="majorHAnsi" w:eastAsia="Calibri" w:hAnsiTheme="majorHAnsi" w:cs="Calibri"/>
          <w:i/>
          <w:vertAlign w:val="subscript"/>
        </w:rPr>
        <w:t>nonuser</w:t>
      </w:r>
      <w:proofErr w:type="spellEnd"/>
      <w:r w:rsidRPr="00734AB6">
        <w:rPr>
          <w:rFonts w:asciiTheme="majorHAnsi" w:eastAsia="Calibri" w:hAnsiTheme="majorHAnsi" w:cs="Calibri"/>
        </w:rPr>
        <w:t xml:space="preserve"> = 211, </w:t>
      </w:r>
      <w:r w:rsidRPr="00734AB6">
        <w:rPr>
          <w:rFonts w:asciiTheme="majorHAnsi" w:eastAsia="Calibri" w:hAnsiTheme="majorHAnsi" w:cs="Calibri"/>
          <w:i/>
        </w:rPr>
        <w:t>p</w:t>
      </w:r>
      <w:r w:rsidRPr="00734AB6">
        <w:rPr>
          <w:rFonts w:asciiTheme="majorHAnsi" w:eastAsia="Calibri" w:hAnsiTheme="majorHAnsi" w:cs="Calibri"/>
        </w:rPr>
        <w:t xml:space="preserve"> = 0.038. Using cocaine in the last year was not related to perceived effects of modafinil and methylphenidate (p’s</w:t>
      </w:r>
      <w:r w:rsidR="004C4F52" w:rsidRPr="00734AB6">
        <w:rPr>
          <w:rFonts w:asciiTheme="majorHAnsi" w:eastAsia="Calibri" w:hAnsiTheme="majorHAnsi" w:cs="Calibri"/>
        </w:rPr>
        <w:t xml:space="preserve"> </w:t>
      </w:r>
      <w:r w:rsidRPr="00734AB6">
        <w:rPr>
          <w:rFonts w:asciiTheme="majorHAnsi" w:eastAsia="Calibri" w:hAnsiTheme="majorHAnsi" w:cs="Calibri"/>
        </w:rPr>
        <w:t>&gt;</w:t>
      </w:r>
      <w:r w:rsidR="004C4F52" w:rsidRPr="00734AB6">
        <w:rPr>
          <w:rFonts w:asciiTheme="majorHAnsi" w:eastAsia="Calibri" w:hAnsiTheme="majorHAnsi" w:cs="Calibri"/>
        </w:rPr>
        <w:t xml:space="preserve"> </w:t>
      </w:r>
      <w:r w:rsidRPr="00734AB6">
        <w:rPr>
          <w:rFonts w:asciiTheme="majorHAnsi" w:eastAsia="Calibri" w:hAnsiTheme="majorHAnsi" w:cs="Calibri"/>
        </w:rPr>
        <w:t xml:space="preserve">0.15 for all comparisons). </w:t>
      </w:r>
    </w:p>
    <w:p w14:paraId="76FA08B6" w14:textId="5543C3BC"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Using amphetamines was related to greater </w:t>
      </w:r>
      <w:r w:rsidR="00052745" w:rsidRPr="00734AB6">
        <w:rPr>
          <w:rFonts w:asciiTheme="majorHAnsi" w:eastAsia="Calibri" w:hAnsiTheme="majorHAnsi" w:cs="Calibri"/>
        </w:rPr>
        <w:t xml:space="preserve">perceived </w:t>
      </w:r>
      <w:r w:rsidRPr="00734AB6">
        <w:rPr>
          <w:rFonts w:asciiTheme="majorHAnsi" w:eastAsia="Calibri" w:hAnsiTheme="majorHAnsi" w:cs="Calibri"/>
        </w:rPr>
        <w:t xml:space="preserve">immediate benefits of both modafinil and methylphenidate. Individuals who reported lifetime use of amphetamines (mean = 4.14, SD = 4.02) experienced greater immediate benefits of modafinil than those with no lifetime use of amphetamines (mean = 3.22, SD = 3.83). This difference was significant, U = 11337.0,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user</w:t>
      </w:r>
      <w:proofErr w:type="spellEnd"/>
      <w:r w:rsidRPr="00734AB6">
        <w:rPr>
          <w:rFonts w:asciiTheme="majorHAnsi" w:eastAsia="Calibri" w:hAnsiTheme="majorHAnsi" w:cs="Calibri"/>
        </w:rPr>
        <w:t xml:space="preserve"> = 133,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nonuser</w:t>
      </w:r>
      <w:proofErr w:type="spellEnd"/>
      <w:r w:rsidRPr="00734AB6">
        <w:rPr>
          <w:rFonts w:asciiTheme="majorHAnsi" w:eastAsia="Calibri" w:hAnsiTheme="majorHAnsi" w:cs="Calibri"/>
        </w:rPr>
        <w:t xml:space="preserve"> = 198, </w:t>
      </w:r>
      <w:r w:rsidRPr="00734AB6">
        <w:rPr>
          <w:rFonts w:asciiTheme="majorHAnsi" w:eastAsia="Calibri" w:hAnsiTheme="majorHAnsi" w:cs="Calibri"/>
          <w:i/>
        </w:rPr>
        <w:t>p</w:t>
      </w:r>
      <w:r w:rsidRPr="00734AB6">
        <w:rPr>
          <w:rFonts w:asciiTheme="majorHAnsi" w:eastAsia="Calibri" w:hAnsiTheme="majorHAnsi" w:cs="Calibri"/>
        </w:rPr>
        <w:t xml:space="preserve"> = .027. Individuals who reported lifetime use of amphetamines (mean = 2.05, SD = 3.40) reported experiencing greater immediate benefits of methylphenidate than those with no stated lifetime use of amphetamines (mean = 0.52, SD = 1.89). This difference was statistically significant, U = 9430.0,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user</w:t>
      </w:r>
      <w:proofErr w:type="spellEnd"/>
      <w:r w:rsidRPr="00734AB6">
        <w:rPr>
          <w:rFonts w:asciiTheme="majorHAnsi" w:eastAsia="Calibri" w:hAnsiTheme="majorHAnsi" w:cs="Calibri"/>
        </w:rPr>
        <w:t xml:space="preserve"> = 133,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nonuser</w:t>
      </w:r>
      <w:proofErr w:type="spellEnd"/>
      <w:r w:rsidRPr="00734AB6">
        <w:rPr>
          <w:rFonts w:asciiTheme="majorHAnsi" w:eastAsia="Calibri" w:hAnsiTheme="majorHAnsi" w:cs="Calibri"/>
        </w:rPr>
        <w:t xml:space="preserve"> = 198, </w:t>
      </w:r>
      <w:r w:rsidRPr="00734AB6">
        <w:rPr>
          <w:rFonts w:asciiTheme="majorHAnsi" w:eastAsia="Calibri" w:hAnsiTheme="majorHAnsi" w:cs="Calibri"/>
          <w:i/>
        </w:rPr>
        <w:t>p</w:t>
      </w:r>
      <w:r w:rsidRPr="00734AB6">
        <w:rPr>
          <w:rFonts w:asciiTheme="majorHAnsi" w:eastAsia="Calibri" w:hAnsiTheme="majorHAnsi" w:cs="Calibri"/>
        </w:rPr>
        <w:t xml:space="preserve"> &lt; .001. Lifetime</w:t>
      </w:r>
      <w:r w:rsidR="00210695" w:rsidRPr="00734AB6">
        <w:rPr>
          <w:rFonts w:asciiTheme="majorHAnsi" w:eastAsia="Calibri" w:hAnsiTheme="majorHAnsi" w:cs="Calibri"/>
        </w:rPr>
        <w:t xml:space="preserve"> reported</w:t>
      </w:r>
      <w:r w:rsidRPr="00734AB6">
        <w:rPr>
          <w:rFonts w:asciiTheme="majorHAnsi" w:eastAsia="Calibri" w:hAnsiTheme="majorHAnsi" w:cs="Calibri"/>
        </w:rPr>
        <w:t xml:space="preserve"> use of amphetamines was not related to </w:t>
      </w:r>
      <w:r w:rsidR="00052745" w:rsidRPr="00734AB6">
        <w:rPr>
          <w:rFonts w:asciiTheme="majorHAnsi" w:eastAsia="Calibri" w:hAnsiTheme="majorHAnsi" w:cs="Calibri"/>
        </w:rPr>
        <w:t xml:space="preserve">perceived </w:t>
      </w:r>
      <w:r w:rsidRPr="00734AB6">
        <w:rPr>
          <w:rFonts w:asciiTheme="majorHAnsi" w:eastAsia="Calibri" w:hAnsiTheme="majorHAnsi" w:cs="Calibri"/>
        </w:rPr>
        <w:t>longer-lasting effects of modafinil (</w:t>
      </w:r>
      <w:r w:rsidRPr="00734AB6">
        <w:rPr>
          <w:rFonts w:asciiTheme="majorHAnsi" w:eastAsia="Calibri" w:hAnsiTheme="majorHAnsi" w:cs="Calibri"/>
          <w:i/>
        </w:rPr>
        <w:t>p</w:t>
      </w:r>
      <w:r w:rsidRPr="00734AB6">
        <w:rPr>
          <w:rFonts w:asciiTheme="majorHAnsi" w:eastAsia="Calibri" w:hAnsiTheme="majorHAnsi" w:cs="Calibri"/>
        </w:rPr>
        <w:t xml:space="preserve"> = .95) and methylphenidate (</w:t>
      </w:r>
      <w:r w:rsidRPr="00734AB6">
        <w:rPr>
          <w:rFonts w:asciiTheme="majorHAnsi" w:eastAsia="Calibri" w:hAnsiTheme="majorHAnsi" w:cs="Calibri"/>
          <w:i/>
        </w:rPr>
        <w:t>p</w:t>
      </w:r>
      <w:r w:rsidRPr="00734AB6">
        <w:rPr>
          <w:rFonts w:asciiTheme="majorHAnsi" w:eastAsia="Calibri" w:hAnsiTheme="majorHAnsi" w:cs="Calibri"/>
        </w:rPr>
        <w:t xml:space="preserve"> = .33). Using amphetamines in the last year was related to greater</w:t>
      </w:r>
      <w:r w:rsidR="00052745" w:rsidRPr="00734AB6">
        <w:rPr>
          <w:rFonts w:asciiTheme="majorHAnsi" w:eastAsia="Calibri" w:hAnsiTheme="majorHAnsi" w:cs="Calibri"/>
        </w:rPr>
        <w:t xml:space="preserve"> perceived</w:t>
      </w:r>
      <w:r w:rsidRPr="00734AB6">
        <w:rPr>
          <w:rFonts w:asciiTheme="majorHAnsi" w:eastAsia="Calibri" w:hAnsiTheme="majorHAnsi" w:cs="Calibri"/>
        </w:rPr>
        <w:t xml:space="preserve"> immediate benefits of methylphenidate only. Individuals who reported using amphetamines in the last year (mean = 2.57, SD = 3.75) reported experiencing greater immediate benefits of methylphenidate than those with no recent use of amphetamines (mean = 0.77, SD = 2.36). This difference was significant, U = 4543.5,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user</w:t>
      </w:r>
      <w:proofErr w:type="spellEnd"/>
      <w:r w:rsidRPr="00734AB6">
        <w:rPr>
          <w:rFonts w:asciiTheme="majorHAnsi" w:eastAsia="Calibri" w:hAnsiTheme="majorHAnsi" w:cs="Calibri"/>
        </w:rPr>
        <w:t xml:space="preserve"> = 67,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nonuser</w:t>
      </w:r>
      <w:proofErr w:type="spellEnd"/>
      <w:r w:rsidRPr="00734AB6">
        <w:rPr>
          <w:rFonts w:asciiTheme="majorHAnsi" w:eastAsia="Calibri" w:hAnsiTheme="majorHAnsi" w:cs="Calibri"/>
        </w:rPr>
        <w:t xml:space="preserve"> = 195, p &lt; .001. All other comparisons for using amphetamines in the last year were not significant (all p’s &gt; 0.44).</w:t>
      </w:r>
    </w:p>
    <w:p w14:paraId="712D1D88" w14:textId="3ACE9B8A"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Using MDMA was related to greater</w:t>
      </w:r>
      <w:r w:rsidR="00052745" w:rsidRPr="00734AB6">
        <w:rPr>
          <w:rFonts w:asciiTheme="majorHAnsi" w:eastAsia="Calibri" w:hAnsiTheme="majorHAnsi" w:cs="Calibri"/>
        </w:rPr>
        <w:t xml:space="preserve"> perceived</w:t>
      </w:r>
      <w:r w:rsidRPr="00734AB6">
        <w:rPr>
          <w:rFonts w:asciiTheme="majorHAnsi" w:eastAsia="Calibri" w:hAnsiTheme="majorHAnsi" w:cs="Calibri"/>
        </w:rPr>
        <w:t xml:space="preserve"> immediate benefits and greater longer-lasting risks of methylphenidate. Individuals who reported lifetime use of MDMA (mean = 1.36, SD = 2.86) reported experiencing greater immediate benefits of methylphenidate than those with no lifetime use of MDMA (mean = 0.95, SD = 2.56). This difference was significant, U = 12473.5,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user</w:t>
      </w:r>
      <w:proofErr w:type="spellEnd"/>
      <w:r w:rsidRPr="00734AB6">
        <w:rPr>
          <w:rFonts w:asciiTheme="majorHAnsi" w:eastAsia="Calibri" w:hAnsiTheme="majorHAnsi" w:cs="Calibri"/>
        </w:rPr>
        <w:t xml:space="preserve"> = 141,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nonuser</w:t>
      </w:r>
      <w:proofErr w:type="spellEnd"/>
      <w:r w:rsidRPr="00734AB6">
        <w:rPr>
          <w:rFonts w:asciiTheme="majorHAnsi" w:eastAsia="Calibri" w:hAnsiTheme="majorHAnsi" w:cs="Calibri"/>
        </w:rPr>
        <w:t xml:space="preserve"> = 193, </w:t>
      </w:r>
      <w:r w:rsidRPr="00734AB6">
        <w:rPr>
          <w:rFonts w:asciiTheme="majorHAnsi" w:eastAsia="Calibri" w:hAnsiTheme="majorHAnsi" w:cs="Calibri"/>
          <w:i/>
        </w:rPr>
        <w:t>p</w:t>
      </w:r>
      <w:r w:rsidRPr="00734AB6">
        <w:rPr>
          <w:rFonts w:asciiTheme="majorHAnsi" w:eastAsia="Calibri" w:hAnsiTheme="majorHAnsi" w:cs="Calibri"/>
        </w:rPr>
        <w:t xml:space="preserve"> = .030. Individuals who reported lifetime use of MDMA (mean = -0.21, SD = 1.73) stated that they experienced greater longer-lasting risks of methylphenidate than those with no lifetime use of MDMA (mean = 0.02, SD = 0.82). This difference was significant, U = 11996.0,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user</w:t>
      </w:r>
      <w:proofErr w:type="spellEnd"/>
      <w:r w:rsidRPr="00734AB6">
        <w:rPr>
          <w:rFonts w:asciiTheme="majorHAnsi" w:eastAsia="Calibri" w:hAnsiTheme="majorHAnsi" w:cs="Calibri"/>
        </w:rPr>
        <w:t xml:space="preserve"> = 141, </w:t>
      </w:r>
      <w:proofErr w:type="spellStart"/>
      <w:r w:rsidRPr="00734AB6">
        <w:rPr>
          <w:rFonts w:asciiTheme="majorHAnsi" w:eastAsia="Calibri" w:hAnsiTheme="majorHAnsi" w:cs="Calibri"/>
        </w:rPr>
        <w:t>N</w:t>
      </w:r>
      <w:r w:rsidRPr="00734AB6">
        <w:rPr>
          <w:rFonts w:asciiTheme="majorHAnsi" w:eastAsia="Calibri" w:hAnsiTheme="majorHAnsi" w:cs="Calibri"/>
          <w:i/>
          <w:vertAlign w:val="subscript"/>
        </w:rPr>
        <w:t>nonuser</w:t>
      </w:r>
      <w:proofErr w:type="spellEnd"/>
      <w:r w:rsidRPr="00734AB6">
        <w:rPr>
          <w:rFonts w:asciiTheme="majorHAnsi" w:eastAsia="Calibri" w:hAnsiTheme="majorHAnsi" w:cs="Calibri"/>
        </w:rPr>
        <w:t xml:space="preserve"> = 193, </w:t>
      </w:r>
      <w:r w:rsidRPr="00734AB6">
        <w:rPr>
          <w:rFonts w:asciiTheme="majorHAnsi" w:eastAsia="Calibri" w:hAnsiTheme="majorHAnsi" w:cs="Calibri"/>
          <w:i/>
        </w:rPr>
        <w:t>p</w:t>
      </w:r>
      <w:r w:rsidRPr="00734AB6">
        <w:rPr>
          <w:rFonts w:asciiTheme="majorHAnsi" w:eastAsia="Calibri" w:hAnsiTheme="majorHAnsi" w:cs="Calibri"/>
        </w:rPr>
        <w:t xml:space="preserve"> = .018. Lifetime use of MDMA was not related to</w:t>
      </w:r>
      <w:r w:rsidR="00052745" w:rsidRPr="00734AB6">
        <w:rPr>
          <w:rFonts w:asciiTheme="majorHAnsi" w:eastAsia="Calibri" w:hAnsiTheme="majorHAnsi" w:cs="Calibri"/>
        </w:rPr>
        <w:t xml:space="preserve"> perceived</w:t>
      </w:r>
      <w:r w:rsidRPr="00734AB6">
        <w:rPr>
          <w:rFonts w:asciiTheme="majorHAnsi" w:eastAsia="Calibri" w:hAnsiTheme="majorHAnsi" w:cs="Calibri"/>
        </w:rPr>
        <w:t xml:space="preserve"> immediate (</w:t>
      </w:r>
      <w:r w:rsidRPr="00734AB6">
        <w:rPr>
          <w:rFonts w:asciiTheme="majorHAnsi" w:eastAsia="Calibri" w:hAnsiTheme="majorHAnsi" w:cs="Calibri"/>
          <w:i/>
        </w:rPr>
        <w:t>p</w:t>
      </w:r>
      <w:r w:rsidRPr="00734AB6">
        <w:rPr>
          <w:rFonts w:asciiTheme="majorHAnsi" w:eastAsia="Calibri" w:hAnsiTheme="majorHAnsi" w:cs="Calibri"/>
        </w:rPr>
        <w:t xml:space="preserve"> = .114) or longer-lasting (</w:t>
      </w:r>
      <w:r w:rsidRPr="00734AB6">
        <w:rPr>
          <w:rFonts w:asciiTheme="majorHAnsi" w:eastAsia="Calibri" w:hAnsiTheme="majorHAnsi" w:cs="Calibri"/>
          <w:i/>
        </w:rPr>
        <w:t>p</w:t>
      </w:r>
      <w:r w:rsidRPr="00734AB6">
        <w:rPr>
          <w:rFonts w:asciiTheme="majorHAnsi" w:eastAsia="Calibri" w:hAnsiTheme="majorHAnsi" w:cs="Calibri"/>
        </w:rPr>
        <w:t xml:space="preserve"> = .77) effects of modafinil. Use of MDMA in the last year was not related to perceived effects of modafinil or methylphenidate (p &gt; 0.1 for all comparisons). </w:t>
      </w:r>
    </w:p>
    <w:p w14:paraId="6AD2EE81" w14:textId="77777777" w:rsidR="009C7702" w:rsidRPr="00734AB6" w:rsidRDefault="009C7702" w:rsidP="0099584D">
      <w:pPr>
        <w:spacing w:before="240" w:line="360" w:lineRule="auto"/>
        <w:ind w:firstLine="851"/>
        <w:rPr>
          <w:rFonts w:asciiTheme="majorHAnsi" w:eastAsia="Calibri" w:hAnsiTheme="majorHAnsi" w:cs="Calibri"/>
        </w:rPr>
      </w:pPr>
    </w:p>
    <w:p w14:paraId="3914ADB2" w14:textId="77777777" w:rsidR="009C7702" w:rsidRPr="00734AB6" w:rsidRDefault="009C7702" w:rsidP="00E161A9">
      <w:pPr>
        <w:pStyle w:val="Heading4"/>
        <w:spacing w:after="240" w:line="360" w:lineRule="auto"/>
        <w:rPr>
          <w:b/>
          <w:i w:val="0"/>
          <w:color w:val="auto"/>
        </w:rPr>
      </w:pPr>
      <w:r w:rsidRPr="00734AB6">
        <w:rPr>
          <w:b/>
          <w:i w:val="0"/>
          <w:color w:val="auto"/>
        </w:rPr>
        <w:t>2.2.3.5</w:t>
      </w:r>
      <w:r w:rsidRPr="00734AB6">
        <w:rPr>
          <w:b/>
          <w:i w:val="0"/>
          <w:color w:val="auto"/>
        </w:rPr>
        <w:tab/>
        <w:t>Mental health</w:t>
      </w:r>
    </w:p>
    <w:p w14:paraId="7BF344F3" w14:textId="319E892F" w:rsidR="009C7702" w:rsidRPr="00734AB6" w:rsidRDefault="00052745"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Reported m</w:t>
      </w:r>
      <w:r w:rsidR="009C7702" w:rsidRPr="00734AB6">
        <w:rPr>
          <w:rFonts w:asciiTheme="majorHAnsi" w:eastAsia="Calibri" w:hAnsiTheme="majorHAnsi" w:cs="Calibri"/>
        </w:rPr>
        <w:t xml:space="preserve">ental health diagnostic status was related to longer-lasting effects of modafinil only. </w:t>
      </w:r>
      <w:r w:rsidR="009C7702" w:rsidRPr="00734AB6">
        <w:rPr>
          <w:rFonts w:asciiTheme="majorHAnsi" w:hAnsiTheme="majorHAnsi" w:cstheme="minorHAnsi"/>
        </w:rPr>
        <w:t xml:space="preserve">Individuals who reported a </w:t>
      </w:r>
      <w:r w:rsidR="009C7702" w:rsidRPr="00734AB6">
        <w:rPr>
          <w:rFonts w:asciiTheme="majorHAnsi" w:hAnsiTheme="majorHAnsi" w:cs="Calibri"/>
        </w:rPr>
        <w:t>psychiatric diagnosis reported</w:t>
      </w:r>
      <w:r w:rsidR="009C7702" w:rsidRPr="00734AB6">
        <w:rPr>
          <w:rFonts w:asciiTheme="majorHAnsi" w:hAnsiTheme="majorHAnsi" w:cstheme="minorHAnsi"/>
        </w:rPr>
        <w:t xml:space="preserve"> experiencing greater longer-lasting benefits of modafinil than those without a diagnosis (see Table </w:t>
      </w:r>
      <w:r w:rsidR="00CC1029" w:rsidRPr="00734AB6">
        <w:rPr>
          <w:rFonts w:asciiTheme="majorHAnsi" w:hAnsiTheme="majorHAnsi" w:cstheme="minorHAnsi"/>
        </w:rPr>
        <w:t>2.11</w:t>
      </w:r>
      <w:r w:rsidR="009C7702" w:rsidRPr="00734AB6">
        <w:rPr>
          <w:rFonts w:asciiTheme="majorHAnsi" w:hAnsiTheme="majorHAnsi" w:cstheme="minorHAnsi"/>
        </w:rPr>
        <w:t xml:space="preserve">). </w:t>
      </w:r>
      <w:r w:rsidR="009C7702" w:rsidRPr="00734AB6">
        <w:rPr>
          <w:rFonts w:asciiTheme="majorHAnsi" w:eastAsia="Calibri" w:hAnsiTheme="majorHAnsi" w:cs="Calibri"/>
        </w:rPr>
        <w:t xml:space="preserve">All other </w:t>
      </w:r>
      <w:r w:rsidR="009C7702" w:rsidRPr="00734AB6">
        <w:rPr>
          <w:rFonts w:asciiTheme="majorHAnsi" w:eastAsia="Calibri" w:hAnsiTheme="majorHAnsi" w:cs="Calibri"/>
        </w:rPr>
        <w:lastRenderedPageBreak/>
        <w:t>comparisons (i.e. longer-term risks/benefits of modafinil and methylphenidate, immediate risks/benefits of methylphenidate) were not significant (p’s</w:t>
      </w:r>
      <w:r w:rsidR="004C4F52" w:rsidRPr="00734AB6">
        <w:rPr>
          <w:rFonts w:asciiTheme="majorHAnsi" w:eastAsia="Calibri" w:hAnsiTheme="majorHAnsi" w:cs="Calibri"/>
        </w:rPr>
        <w:t xml:space="preserve"> </w:t>
      </w:r>
      <w:r w:rsidR="009C7702" w:rsidRPr="00734AB6">
        <w:rPr>
          <w:rFonts w:asciiTheme="majorHAnsi" w:eastAsia="Calibri" w:hAnsiTheme="majorHAnsi" w:cs="Calibri"/>
        </w:rPr>
        <w:t>&gt;</w:t>
      </w:r>
      <w:r w:rsidR="004C4F52" w:rsidRPr="00734AB6">
        <w:rPr>
          <w:rFonts w:asciiTheme="majorHAnsi" w:eastAsia="Calibri" w:hAnsiTheme="majorHAnsi" w:cs="Calibri"/>
        </w:rPr>
        <w:t xml:space="preserve"> </w:t>
      </w:r>
      <w:r w:rsidR="009C7702" w:rsidRPr="00734AB6">
        <w:rPr>
          <w:rFonts w:asciiTheme="majorHAnsi" w:eastAsia="Calibri" w:hAnsiTheme="majorHAnsi" w:cs="Calibri"/>
        </w:rPr>
        <w:t xml:space="preserve">0.17). </w:t>
      </w:r>
    </w:p>
    <w:p w14:paraId="3EA91557" w14:textId="77777777" w:rsidR="009C7702" w:rsidRPr="00734AB6" w:rsidRDefault="009C7702" w:rsidP="0099584D">
      <w:pPr>
        <w:spacing w:before="240" w:line="360" w:lineRule="auto"/>
        <w:ind w:firstLine="851"/>
        <w:rPr>
          <w:rFonts w:asciiTheme="majorHAnsi" w:eastAsia="Calibri" w:hAnsiTheme="majorHAnsi" w:cs="Calibri"/>
        </w:rPr>
      </w:pPr>
    </w:p>
    <w:p w14:paraId="77A47634" w14:textId="06DB0552" w:rsidR="009C7702" w:rsidRPr="00734AB6" w:rsidRDefault="00CC1029" w:rsidP="00E161A9">
      <w:pPr>
        <w:spacing w:line="360" w:lineRule="auto"/>
        <w:ind w:left="851" w:hanging="851"/>
        <w:rPr>
          <w:rFonts w:asciiTheme="majorHAnsi" w:hAnsiTheme="majorHAnsi"/>
          <w:b/>
        </w:rPr>
      </w:pPr>
      <w:r w:rsidRPr="00734AB6">
        <w:rPr>
          <w:rFonts w:asciiTheme="majorHAnsi" w:hAnsiTheme="majorHAnsi"/>
          <w:b/>
        </w:rPr>
        <w:t>Table 2.11</w:t>
      </w:r>
      <w:r w:rsidR="009C7702" w:rsidRPr="00734AB6">
        <w:rPr>
          <w:rFonts w:asciiTheme="majorHAnsi" w:hAnsiTheme="majorHAnsi"/>
          <w:b/>
        </w:rPr>
        <w:t xml:space="preserve">. </w:t>
      </w:r>
      <w:r w:rsidR="009C7702" w:rsidRPr="00734AB6">
        <w:rPr>
          <w:rFonts w:asciiTheme="majorHAnsi" w:hAnsiTheme="majorHAnsi"/>
          <w:b/>
        </w:rPr>
        <w:tab/>
        <w:t>Effects of mental health diagnosis on perceived effects of modafinil.</w:t>
      </w:r>
    </w:p>
    <w:tbl>
      <w:tblPr>
        <w:tblW w:w="8505" w:type="dxa"/>
        <w:tblLayout w:type="fixed"/>
        <w:tblLook w:val="04A0" w:firstRow="1" w:lastRow="0" w:firstColumn="1" w:lastColumn="0" w:noHBand="0" w:noVBand="1"/>
      </w:tblPr>
      <w:tblGrid>
        <w:gridCol w:w="1162"/>
        <w:gridCol w:w="1178"/>
        <w:gridCol w:w="1204"/>
        <w:gridCol w:w="992"/>
        <w:gridCol w:w="851"/>
        <w:gridCol w:w="1276"/>
        <w:gridCol w:w="992"/>
        <w:gridCol w:w="850"/>
      </w:tblGrid>
      <w:tr w:rsidR="009C7702" w:rsidRPr="00734AB6" w14:paraId="1BCDEC15" w14:textId="77777777" w:rsidTr="0099584D">
        <w:tc>
          <w:tcPr>
            <w:tcW w:w="1162" w:type="dxa"/>
            <w:tcBorders>
              <w:top w:val="single" w:sz="4" w:space="0" w:color="auto"/>
            </w:tcBorders>
            <w:shd w:val="clear" w:color="auto" w:fill="FFFFFF" w:themeFill="background1"/>
          </w:tcPr>
          <w:p w14:paraId="7B57B3A8" w14:textId="77777777" w:rsidR="009C7702" w:rsidRPr="00734AB6" w:rsidRDefault="009C7702" w:rsidP="0099584D">
            <w:pPr>
              <w:spacing w:before="240" w:line="360" w:lineRule="auto"/>
              <w:rPr>
                <w:rFonts w:asciiTheme="majorHAnsi" w:hAnsiTheme="majorHAnsi"/>
                <w:b/>
              </w:rPr>
            </w:pPr>
          </w:p>
        </w:tc>
        <w:tc>
          <w:tcPr>
            <w:tcW w:w="1178" w:type="dxa"/>
            <w:tcBorders>
              <w:top w:val="single" w:sz="4" w:space="0" w:color="auto"/>
              <w:bottom w:val="single" w:sz="4" w:space="0" w:color="auto"/>
            </w:tcBorders>
            <w:shd w:val="clear" w:color="auto" w:fill="FFFFFF" w:themeFill="background1"/>
          </w:tcPr>
          <w:p w14:paraId="6E941D27"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Yes/No***</w:t>
            </w:r>
            <w:r w:rsidRPr="00734AB6">
              <w:rPr>
                <w:rFonts w:asciiTheme="majorHAnsi" w:hAnsiTheme="majorHAnsi"/>
                <w:b/>
                <w:color w:val="FF0000"/>
              </w:rPr>
              <w:t xml:space="preserve"> </w:t>
            </w:r>
            <w:r w:rsidRPr="00734AB6">
              <w:rPr>
                <w:rFonts w:asciiTheme="majorHAnsi" w:hAnsiTheme="majorHAnsi"/>
                <w:b/>
              </w:rPr>
              <w:t>(N)</w:t>
            </w:r>
          </w:p>
        </w:tc>
        <w:tc>
          <w:tcPr>
            <w:tcW w:w="3047" w:type="dxa"/>
            <w:gridSpan w:val="3"/>
            <w:tcBorders>
              <w:top w:val="single" w:sz="4" w:space="0" w:color="auto"/>
              <w:bottom w:val="single" w:sz="4" w:space="0" w:color="auto"/>
            </w:tcBorders>
            <w:shd w:val="clear" w:color="auto" w:fill="FFFFFF" w:themeFill="background1"/>
          </w:tcPr>
          <w:p w14:paraId="432F5B60"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Immediate effects*</w:t>
            </w:r>
          </w:p>
        </w:tc>
        <w:tc>
          <w:tcPr>
            <w:tcW w:w="3118" w:type="dxa"/>
            <w:gridSpan w:val="3"/>
            <w:tcBorders>
              <w:top w:val="single" w:sz="4" w:space="0" w:color="auto"/>
              <w:bottom w:val="single" w:sz="4" w:space="0" w:color="auto"/>
            </w:tcBorders>
            <w:shd w:val="clear" w:color="auto" w:fill="FFFFFF" w:themeFill="background1"/>
          </w:tcPr>
          <w:p w14:paraId="0AD1559C"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Longer-lasting effects*</w:t>
            </w:r>
          </w:p>
        </w:tc>
      </w:tr>
      <w:tr w:rsidR="009C7702" w:rsidRPr="00734AB6" w14:paraId="737BF2B4" w14:textId="77777777" w:rsidTr="0099584D">
        <w:tc>
          <w:tcPr>
            <w:tcW w:w="1162" w:type="dxa"/>
            <w:shd w:val="clear" w:color="auto" w:fill="FFFFFF" w:themeFill="background1"/>
          </w:tcPr>
          <w:p w14:paraId="45E6B420" w14:textId="77777777" w:rsidR="009C7702" w:rsidRPr="00734AB6" w:rsidRDefault="009C7702" w:rsidP="0099584D">
            <w:pPr>
              <w:spacing w:before="240" w:line="360" w:lineRule="auto"/>
              <w:rPr>
                <w:rFonts w:asciiTheme="majorHAnsi" w:hAnsiTheme="majorHAnsi"/>
                <w:b/>
              </w:rPr>
            </w:pPr>
          </w:p>
        </w:tc>
        <w:tc>
          <w:tcPr>
            <w:tcW w:w="1178" w:type="dxa"/>
            <w:tcBorders>
              <w:top w:val="single" w:sz="4" w:space="0" w:color="auto"/>
              <w:bottom w:val="single" w:sz="4" w:space="0" w:color="auto"/>
            </w:tcBorders>
            <w:shd w:val="clear" w:color="auto" w:fill="FFFFFF" w:themeFill="background1"/>
          </w:tcPr>
          <w:p w14:paraId="3E9908F1" w14:textId="77777777" w:rsidR="009C7702" w:rsidRPr="00734AB6" w:rsidRDefault="009C7702" w:rsidP="0099584D">
            <w:pPr>
              <w:spacing w:before="240" w:line="360" w:lineRule="auto"/>
              <w:rPr>
                <w:rFonts w:asciiTheme="majorHAnsi" w:hAnsiTheme="majorHAnsi"/>
                <w:b/>
              </w:rPr>
            </w:pPr>
          </w:p>
        </w:tc>
        <w:tc>
          <w:tcPr>
            <w:tcW w:w="1204" w:type="dxa"/>
            <w:tcBorders>
              <w:top w:val="single" w:sz="4" w:space="0" w:color="auto"/>
              <w:bottom w:val="single" w:sz="4" w:space="0" w:color="auto"/>
            </w:tcBorders>
            <w:shd w:val="clear" w:color="auto" w:fill="FFFFFF" w:themeFill="background1"/>
          </w:tcPr>
          <w:p w14:paraId="0FF8CCD0"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 xml:space="preserve">Mean (SD) </w:t>
            </w:r>
          </w:p>
        </w:tc>
        <w:tc>
          <w:tcPr>
            <w:tcW w:w="992" w:type="dxa"/>
            <w:tcBorders>
              <w:top w:val="single" w:sz="4" w:space="0" w:color="auto"/>
              <w:bottom w:val="single" w:sz="4" w:space="0" w:color="auto"/>
            </w:tcBorders>
            <w:shd w:val="clear" w:color="auto" w:fill="FFFFFF" w:themeFill="background1"/>
          </w:tcPr>
          <w:p w14:paraId="56D5F112"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M-W**</w:t>
            </w:r>
          </w:p>
        </w:tc>
        <w:tc>
          <w:tcPr>
            <w:tcW w:w="851" w:type="dxa"/>
            <w:tcBorders>
              <w:top w:val="single" w:sz="4" w:space="0" w:color="auto"/>
              <w:bottom w:val="single" w:sz="4" w:space="0" w:color="auto"/>
            </w:tcBorders>
            <w:shd w:val="clear" w:color="auto" w:fill="FFFFFF" w:themeFill="background1"/>
          </w:tcPr>
          <w:p w14:paraId="688E3181" w14:textId="77777777" w:rsidR="009C7702" w:rsidRPr="00734AB6" w:rsidRDefault="009C7702" w:rsidP="0099584D">
            <w:pPr>
              <w:spacing w:before="240" w:line="360" w:lineRule="auto"/>
              <w:rPr>
                <w:rFonts w:asciiTheme="majorHAnsi" w:hAnsiTheme="majorHAnsi"/>
                <w:b/>
                <w:i/>
              </w:rPr>
            </w:pPr>
            <w:r w:rsidRPr="00734AB6">
              <w:rPr>
                <w:rFonts w:asciiTheme="majorHAnsi" w:hAnsiTheme="majorHAnsi"/>
                <w:b/>
                <w:i/>
              </w:rPr>
              <w:t xml:space="preserve">p </w:t>
            </w:r>
          </w:p>
        </w:tc>
        <w:tc>
          <w:tcPr>
            <w:tcW w:w="1276" w:type="dxa"/>
            <w:tcBorders>
              <w:top w:val="single" w:sz="4" w:space="0" w:color="auto"/>
              <w:bottom w:val="single" w:sz="4" w:space="0" w:color="auto"/>
            </w:tcBorders>
            <w:shd w:val="clear" w:color="auto" w:fill="FFFFFF" w:themeFill="background1"/>
          </w:tcPr>
          <w:p w14:paraId="320E0645"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Mean (SD)</w:t>
            </w:r>
          </w:p>
        </w:tc>
        <w:tc>
          <w:tcPr>
            <w:tcW w:w="992" w:type="dxa"/>
            <w:tcBorders>
              <w:top w:val="single" w:sz="4" w:space="0" w:color="auto"/>
              <w:bottom w:val="single" w:sz="4" w:space="0" w:color="auto"/>
            </w:tcBorders>
            <w:shd w:val="clear" w:color="auto" w:fill="FFFFFF" w:themeFill="background1"/>
          </w:tcPr>
          <w:p w14:paraId="5F1347D3"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M-W**</w:t>
            </w:r>
          </w:p>
        </w:tc>
        <w:tc>
          <w:tcPr>
            <w:tcW w:w="850" w:type="dxa"/>
            <w:tcBorders>
              <w:top w:val="single" w:sz="4" w:space="0" w:color="auto"/>
              <w:bottom w:val="single" w:sz="4" w:space="0" w:color="auto"/>
            </w:tcBorders>
            <w:shd w:val="clear" w:color="auto" w:fill="FFFFFF" w:themeFill="background1"/>
          </w:tcPr>
          <w:p w14:paraId="01B763CA" w14:textId="77777777" w:rsidR="009C7702" w:rsidRPr="00734AB6" w:rsidRDefault="009C7702" w:rsidP="0099584D">
            <w:pPr>
              <w:spacing w:before="240" w:line="360" w:lineRule="auto"/>
              <w:rPr>
                <w:rFonts w:asciiTheme="majorHAnsi" w:hAnsiTheme="majorHAnsi"/>
                <w:b/>
                <w:i/>
              </w:rPr>
            </w:pPr>
            <w:r w:rsidRPr="00734AB6">
              <w:rPr>
                <w:rFonts w:asciiTheme="majorHAnsi" w:hAnsiTheme="majorHAnsi"/>
                <w:b/>
                <w:i/>
              </w:rPr>
              <w:t>p</w:t>
            </w:r>
          </w:p>
        </w:tc>
      </w:tr>
      <w:tr w:rsidR="009C7702" w:rsidRPr="00734AB6" w14:paraId="04A03894" w14:textId="77777777" w:rsidTr="0099584D">
        <w:tc>
          <w:tcPr>
            <w:tcW w:w="1162" w:type="dxa"/>
            <w:vMerge w:val="restart"/>
            <w:tcBorders>
              <w:bottom w:val="single" w:sz="4" w:space="0" w:color="auto"/>
            </w:tcBorders>
            <w:shd w:val="clear" w:color="auto" w:fill="FFFFFF" w:themeFill="background1"/>
          </w:tcPr>
          <w:p w14:paraId="751AD7AE" w14:textId="77777777" w:rsidR="009C7702" w:rsidRPr="00734AB6" w:rsidRDefault="009C7702" w:rsidP="0099584D">
            <w:pPr>
              <w:spacing w:before="240" w:line="360" w:lineRule="auto"/>
              <w:rPr>
                <w:rFonts w:asciiTheme="majorHAnsi" w:hAnsiTheme="majorHAnsi"/>
                <w:b/>
              </w:rPr>
            </w:pPr>
            <w:r w:rsidRPr="00734AB6">
              <w:rPr>
                <w:rFonts w:asciiTheme="majorHAnsi" w:hAnsiTheme="majorHAnsi"/>
                <w:b/>
              </w:rPr>
              <w:t>Psychiatric diagnosis</w:t>
            </w:r>
          </w:p>
        </w:tc>
        <w:tc>
          <w:tcPr>
            <w:tcW w:w="1178" w:type="dxa"/>
            <w:tcBorders>
              <w:top w:val="single" w:sz="4" w:space="0" w:color="auto"/>
            </w:tcBorders>
            <w:shd w:val="clear" w:color="auto" w:fill="FFFFFF" w:themeFill="background1"/>
          </w:tcPr>
          <w:p w14:paraId="21D11B89"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Yes (48)</w:t>
            </w:r>
          </w:p>
        </w:tc>
        <w:tc>
          <w:tcPr>
            <w:tcW w:w="1204" w:type="dxa"/>
            <w:tcBorders>
              <w:top w:val="single" w:sz="4" w:space="0" w:color="auto"/>
            </w:tcBorders>
            <w:shd w:val="clear" w:color="auto" w:fill="FFFFFF" w:themeFill="background1"/>
          </w:tcPr>
          <w:p w14:paraId="6E1A0AD8"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5.10 (4.01)</w:t>
            </w:r>
          </w:p>
        </w:tc>
        <w:tc>
          <w:tcPr>
            <w:tcW w:w="992" w:type="dxa"/>
            <w:vMerge w:val="restart"/>
            <w:tcBorders>
              <w:top w:val="single" w:sz="4" w:space="0" w:color="auto"/>
            </w:tcBorders>
            <w:shd w:val="clear" w:color="auto" w:fill="FFFFFF" w:themeFill="background1"/>
            <w:vAlign w:val="center"/>
          </w:tcPr>
          <w:p w14:paraId="781EE385"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3737.5</w:t>
            </w:r>
          </w:p>
        </w:tc>
        <w:tc>
          <w:tcPr>
            <w:tcW w:w="851" w:type="dxa"/>
            <w:vMerge w:val="restart"/>
            <w:tcBorders>
              <w:top w:val="single" w:sz="4" w:space="0" w:color="auto"/>
            </w:tcBorders>
            <w:shd w:val="clear" w:color="auto" w:fill="FFFFFF" w:themeFill="background1"/>
            <w:vAlign w:val="center"/>
          </w:tcPr>
          <w:p w14:paraId="540B6A9D"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0.343</w:t>
            </w:r>
          </w:p>
        </w:tc>
        <w:tc>
          <w:tcPr>
            <w:tcW w:w="1276" w:type="dxa"/>
            <w:tcBorders>
              <w:top w:val="single" w:sz="4" w:space="0" w:color="auto"/>
            </w:tcBorders>
            <w:shd w:val="clear" w:color="auto" w:fill="FFFFFF" w:themeFill="background1"/>
          </w:tcPr>
          <w:p w14:paraId="5505E845"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1.98 (2.88)</w:t>
            </w:r>
          </w:p>
        </w:tc>
        <w:tc>
          <w:tcPr>
            <w:tcW w:w="992" w:type="dxa"/>
            <w:vMerge w:val="restart"/>
            <w:tcBorders>
              <w:top w:val="single" w:sz="4" w:space="0" w:color="auto"/>
              <w:bottom w:val="single" w:sz="4" w:space="0" w:color="auto"/>
            </w:tcBorders>
            <w:shd w:val="clear" w:color="auto" w:fill="FFFFFF" w:themeFill="background1"/>
            <w:vAlign w:val="center"/>
          </w:tcPr>
          <w:p w14:paraId="5EAC73BC"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3259.0</w:t>
            </w:r>
          </w:p>
        </w:tc>
        <w:tc>
          <w:tcPr>
            <w:tcW w:w="850" w:type="dxa"/>
            <w:vMerge w:val="restart"/>
            <w:tcBorders>
              <w:top w:val="single" w:sz="4" w:space="0" w:color="auto"/>
              <w:bottom w:val="single" w:sz="4" w:space="0" w:color="auto"/>
            </w:tcBorders>
            <w:shd w:val="clear" w:color="auto" w:fill="FFFFFF" w:themeFill="background1"/>
            <w:vAlign w:val="center"/>
          </w:tcPr>
          <w:p w14:paraId="18E0D6E1"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0.021</w:t>
            </w:r>
          </w:p>
        </w:tc>
      </w:tr>
      <w:tr w:rsidR="009C7702" w:rsidRPr="00734AB6" w14:paraId="2D6AD9FE" w14:textId="77777777" w:rsidTr="0099584D">
        <w:tc>
          <w:tcPr>
            <w:tcW w:w="1162" w:type="dxa"/>
            <w:vMerge/>
            <w:tcBorders>
              <w:bottom w:val="single" w:sz="4" w:space="0" w:color="auto"/>
            </w:tcBorders>
            <w:shd w:val="clear" w:color="auto" w:fill="BFBFBF" w:themeFill="background1" w:themeFillShade="BF"/>
          </w:tcPr>
          <w:p w14:paraId="11A73A25" w14:textId="77777777" w:rsidR="009C7702" w:rsidRPr="00734AB6" w:rsidRDefault="009C7702" w:rsidP="0099584D">
            <w:pPr>
              <w:spacing w:before="240" w:line="360" w:lineRule="auto"/>
              <w:rPr>
                <w:rFonts w:asciiTheme="majorHAnsi" w:hAnsiTheme="majorHAnsi"/>
                <w:b/>
              </w:rPr>
            </w:pPr>
          </w:p>
        </w:tc>
        <w:tc>
          <w:tcPr>
            <w:tcW w:w="1178" w:type="dxa"/>
            <w:tcBorders>
              <w:bottom w:val="single" w:sz="4" w:space="0" w:color="auto"/>
            </w:tcBorders>
          </w:tcPr>
          <w:p w14:paraId="576E4FA4"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No (171)</w:t>
            </w:r>
          </w:p>
        </w:tc>
        <w:tc>
          <w:tcPr>
            <w:tcW w:w="1204" w:type="dxa"/>
            <w:tcBorders>
              <w:bottom w:val="single" w:sz="4" w:space="0" w:color="auto"/>
            </w:tcBorders>
          </w:tcPr>
          <w:p w14:paraId="3DF23B3E"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5.65 (3.48)</w:t>
            </w:r>
          </w:p>
        </w:tc>
        <w:tc>
          <w:tcPr>
            <w:tcW w:w="992" w:type="dxa"/>
            <w:vMerge/>
            <w:tcBorders>
              <w:bottom w:val="single" w:sz="4" w:space="0" w:color="auto"/>
            </w:tcBorders>
            <w:vAlign w:val="center"/>
          </w:tcPr>
          <w:p w14:paraId="10D78C3F" w14:textId="77777777" w:rsidR="009C7702" w:rsidRPr="00734AB6" w:rsidRDefault="009C7702" w:rsidP="0099584D">
            <w:pPr>
              <w:spacing w:before="240" w:line="360" w:lineRule="auto"/>
              <w:rPr>
                <w:rFonts w:asciiTheme="majorHAnsi" w:hAnsiTheme="majorHAnsi"/>
              </w:rPr>
            </w:pPr>
          </w:p>
        </w:tc>
        <w:tc>
          <w:tcPr>
            <w:tcW w:w="851" w:type="dxa"/>
            <w:vMerge/>
            <w:tcBorders>
              <w:bottom w:val="single" w:sz="4" w:space="0" w:color="auto"/>
            </w:tcBorders>
            <w:vAlign w:val="center"/>
          </w:tcPr>
          <w:p w14:paraId="382C14BE" w14:textId="77777777" w:rsidR="009C7702" w:rsidRPr="00734AB6" w:rsidRDefault="009C7702" w:rsidP="0099584D">
            <w:pPr>
              <w:spacing w:before="240" w:line="360" w:lineRule="auto"/>
              <w:rPr>
                <w:rFonts w:asciiTheme="majorHAnsi" w:hAnsiTheme="majorHAnsi"/>
              </w:rPr>
            </w:pPr>
          </w:p>
        </w:tc>
        <w:tc>
          <w:tcPr>
            <w:tcW w:w="1276" w:type="dxa"/>
            <w:tcBorders>
              <w:bottom w:val="single" w:sz="4" w:space="0" w:color="auto"/>
            </w:tcBorders>
          </w:tcPr>
          <w:p w14:paraId="0E249E49" w14:textId="77777777" w:rsidR="009C7702" w:rsidRPr="00734AB6" w:rsidRDefault="009C7702" w:rsidP="0099584D">
            <w:pPr>
              <w:spacing w:before="240" w:line="360" w:lineRule="auto"/>
              <w:rPr>
                <w:rFonts w:asciiTheme="majorHAnsi" w:hAnsiTheme="majorHAnsi"/>
              </w:rPr>
            </w:pPr>
            <w:r w:rsidRPr="00734AB6">
              <w:rPr>
                <w:rFonts w:asciiTheme="majorHAnsi" w:hAnsiTheme="majorHAnsi"/>
              </w:rPr>
              <w:t>1.16 (2.28)</w:t>
            </w:r>
          </w:p>
        </w:tc>
        <w:tc>
          <w:tcPr>
            <w:tcW w:w="992" w:type="dxa"/>
            <w:vMerge/>
            <w:tcBorders>
              <w:bottom w:val="single" w:sz="4" w:space="0" w:color="auto"/>
            </w:tcBorders>
            <w:vAlign w:val="center"/>
          </w:tcPr>
          <w:p w14:paraId="2DD90128" w14:textId="77777777" w:rsidR="009C7702" w:rsidRPr="00734AB6" w:rsidRDefault="009C7702" w:rsidP="0099584D">
            <w:pPr>
              <w:spacing w:before="240" w:line="360" w:lineRule="auto"/>
              <w:rPr>
                <w:rFonts w:asciiTheme="majorHAnsi" w:hAnsiTheme="majorHAnsi"/>
              </w:rPr>
            </w:pPr>
          </w:p>
        </w:tc>
        <w:tc>
          <w:tcPr>
            <w:tcW w:w="850" w:type="dxa"/>
            <w:vMerge/>
            <w:tcBorders>
              <w:bottom w:val="single" w:sz="4" w:space="0" w:color="auto"/>
            </w:tcBorders>
            <w:vAlign w:val="center"/>
          </w:tcPr>
          <w:p w14:paraId="790E1C91" w14:textId="77777777" w:rsidR="009C7702" w:rsidRPr="00734AB6" w:rsidRDefault="009C7702" w:rsidP="0099584D">
            <w:pPr>
              <w:spacing w:before="240" w:line="360" w:lineRule="auto"/>
              <w:rPr>
                <w:rFonts w:asciiTheme="majorHAnsi" w:hAnsiTheme="majorHAnsi"/>
              </w:rPr>
            </w:pPr>
          </w:p>
        </w:tc>
      </w:tr>
    </w:tbl>
    <w:p w14:paraId="7739ADBA" w14:textId="77777777" w:rsidR="009C7702" w:rsidRPr="00734AB6" w:rsidRDefault="009C7702" w:rsidP="00DE4B2E">
      <w:pPr>
        <w:spacing w:before="240" w:after="0" w:line="360" w:lineRule="auto"/>
        <w:rPr>
          <w:rFonts w:asciiTheme="majorHAnsi" w:hAnsiTheme="majorHAnsi" w:cs="Calibri"/>
          <w:b/>
        </w:rPr>
      </w:pPr>
      <w:r w:rsidRPr="00734AB6">
        <w:rPr>
          <w:rFonts w:asciiTheme="majorHAnsi" w:hAnsiTheme="majorHAnsi" w:cs="Calibri"/>
          <w:b/>
        </w:rPr>
        <w:t>Respondents (N = 219)</w:t>
      </w:r>
    </w:p>
    <w:p w14:paraId="7ACAAB35" w14:textId="1D6AA8FD" w:rsidR="009C7702" w:rsidRPr="00734AB6" w:rsidRDefault="00E161A9" w:rsidP="00E161A9">
      <w:pPr>
        <w:tabs>
          <w:tab w:val="left" w:pos="567"/>
        </w:tabs>
        <w:spacing w:after="0" w:line="360" w:lineRule="auto"/>
        <w:ind w:left="567" w:hanging="567"/>
        <w:rPr>
          <w:rFonts w:asciiTheme="majorHAnsi" w:hAnsiTheme="majorHAnsi"/>
          <w:b/>
        </w:rPr>
      </w:pPr>
      <w:r w:rsidRPr="00734AB6">
        <w:rPr>
          <w:rFonts w:asciiTheme="majorHAnsi" w:hAnsiTheme="majorHAnsi"/>
          <w:b/>
        </w:rPr>
        <w:t>*</w:t>
      </w:r>
      <w:r w:rsidRPr="00734AB6">
        <w:rPr>
          <w:rFonts w:asciiTheme="majorHAnsi" w:hAnsiTheme="majorHAnsi"/>
          <w:b/>
        </w:rPr>
        <w:tab/>
      </w:r>
      <w:r w:rsidR="009C7702" w:rsidRPr="00734AB6">
        <w:rPr>
          <w:rFonts w:asciiTheme="majorHAnsi" w:hAnsiTheme="majorHAnsi"/>
          <w:b/>
        </w:rPr>
        <w:t xml:space="preserve">Scores reported are a ‘risk-benefit’ trade off calculated by subtracting the number of negative effects from the number of positive effects. </w:t>
      </w:r>
    </w:p>
    <w:p w14:paraId="4C170D29" w14:textId="1BEAA3C3" w:rsidR="009C7702" w:rsidRPr="00734AB6" w:rsidRDefault="00E161A9" w:rsidP="00E161A9">
      <w:pPr>
        <w:tabs>
          <w:tab w:val="left" w:pos="567"/>
        </w:tabs>
        <w:spacing w:after="0" w:line="360" w:lineRule="auto"/>
        <w:rPr>
          <w:rFonts w:asciiTheme="majorHAnsi" w:hAnsiTheme="majorHAnsi"/>
          <w:b/>
        </w:rPr>
      </w:pPr>
      <w:r w:rsidRPr="00734AB6">
        <w:rPr>
          <w:rFonts w:asciiTheme="majorHAnsi" w:hAnsiTheme="majorHAnsi"/>
          <w:b/>
        </w:rPr>
        <w:t>**</w:t>
      </w:r>
      <w:r w:rsidRPr="00734AB6">
        <w:rPr>
          <w:rFonts w:asciiTheme="majorHAnsi" w:hAnsiTheme="majorHAnsi"/>
          <w:b/>
        </w:rPr>
        <w:tab/>
      </w:r>
      <w:r w:rsidR="009C7702" w:rsidRPr="00734AB6">
        <w:rPr>
          <w:rFonts w:asciiTheme="majorHAnsi" w:hAnsiTheme="majorHAnsi"/>
          <w:b/>
        </w:rPr>
        <w:t>M-W = Mann-Whitney U</w:t>
      </w:r>
    </w:p>
    <w:p w14:paraId="2B60AFF1" w14:textId="07FC57F3" w:rsidR="009C7702" w:rsidRPr="00734AB6" w:rsidRDefault="00E161A9" w:rsidP="00E161A9">
      <w:pPr>
        <w:tabs>
          <w:tab w:val="left" w:pos="567"/>
        </w:tabs>
        <w:spacing w:after="0" w:line="360" w:lineRule="auto"/>
        <w:rPr>
          <w:rFonts w:asciiTheme="majorHAnsi" w:hAnsiTheme="majorHAnsi"/>
          <w:b/>
        </w:rPr>
      </w:pPr>
      <w:r w:rsidRPr="00734AB6">
        <w:rPr>
          <w:rFonts w:asciiTheme="majorHAnsi" w:hAnsiTheme="majorHAnsi"/>
          <w:b/>
        </w:rPr>
        <w:t>***</w:t>
      </w:r>
      <w:r w:rsidRPr="00734AB6">
        <w:rPr>
          <w:rFonts w:asciiTheme="majorHAnsi" w:hAnsiTheme="majorHAnsi"/>
          <w:b/>
        </w:rPr>
        <w:tab/>
      </w:r>
      <w:r w:rsidR="009C7702" w:rsidRPr="00734AB6">
        <w:rPr>
          <w:rFonts w:asciiTheme="majorHAnsi" w:hAnsiTheme="majorHAnsi"/>
          <w:b/>
        </w:rPr>
        <w:t>Yes/No indicates those who had not reported having had a psychiatric diagnosis.</w:t>
      </w:r>
    </w:p>
    <w:p w14:paraId="374A866B" w14:textId="77777777" w:rsidR="009C7702" w:rsidRPr="00734AB6" w:rsidRDefault="009C7702" w:rsidP="0099584D">
      <w:pPr>
        <w:spacing w:before="240" w:line="360" w:lineRule="auto"/>
        <w:ind w:firstLine="851"/>
        <w:rPr>
          <w:rFonts w:asciiTheme="majorHAnsi" w:eastAsia="Calibri" w:hAnsiTheme="majorHAnsi" w:cs="Calibri"/>
        </w:rPr>
      </w:pPr>
    </w:p>
    <w:p w14:paraId="411396DB" w14:textId="77777777" w:rsidR="009C7702" w:rsidRPr="00734AB6" w:rsidRDefault="009C7702" w:rsidP="0099584D">
      <w:pPr>
        <w:pStyle w:val="Heading4"/>
        <w:spacing w:line="360" w:lineRule="auto"/>
        <w:rPr>
          <w:b/>
          <w:i w:val="0"/>
          <w:color w:val="auto"/>
        </w:rPr>
      </w:pPr>
      <w:r w:rsidRPr="00734AB6">
        <w:rPr>
          <w:b/>
          <w:i w:val="0"/>
          <w:color w:val="auto"/>
        </w:rPr>
        <w:t>2.2.3.6</w:t>
      </w:r>
      <w:r w:rsidRPr="00734AB6">
        <w:rPr>
          <w:b/>
          <w:i w:val="0"/>
          <w:color w:val="auto"/>
        </w:rPr>
        <w:tab/>
        <w:t>PRMQ</w:t>
      </w:r>
    </w:p>
    <w:p w14:paraId="278F1D30" w14:textId="0B5BCE93"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In order to compare scores on the PRMQ for reported off-prescription modafinil and methylphenidate users, scores from respondents who reported only using modafinil (modafinil-only group, N = 148) were compared with those from respondents who reported using methylphenidate (methylphenidate group, N = 106) and may or may not also use modafinil. These groupings were used to allow comparison of these data to the groups used in Study 2. Means and SDs for scores on the Prospective, </w:t>
      </w:r>
      <w:r w:rsidR="00052745" w:rsidRPr="00734AB6">
        <w:rPr>
          <w:rFonts w:asciiTheme="majorHAnsi" w:eastAsia="Calibri" w:hAnsiTheme="majorHAnsi" w:cs="Calibri"/>
        </w:rPr>
        <w:t>Retrospective,</w:t>
      </w:r>
      <w:r w:rsidRPr="00734AB6">
        <w:rPr>
          <w:rFonts w:asciiTheme="majorHAnsi" w:eastAsia="Calibri" w:hAnsiTheme="majorHAnsi" w:cs="Calibri"/>
        </w:rPr>
        <w:t xml:space="preserve"> and total PRMQ scores for these two</w:t>
      </w:r>
      <w:r w:rsidR="000D64C8" w:rsidRPr="00734AB6">
        <w:rPr>
          <w:rFonts w:asciiTheme="majorHAnsi" w:eastAsia="Calibri" w:hAnsiTheme="majorHAnsi" w:cs="Calibri"/>
        </w:rPr>
        <w:t xml:space="preserve"> groups are detailed in Table </w:t>
      </w:r>
      <w:r w:rsidR="00CC1029" w:rsidRPr="00734AB6">
        <w:rPr>
          <w:rFonts w:asciiTheme="majorHAnsi" w:eastAsia="Calibri" w:hAnsiTheme="majorHAnsi" w:cs="Calibri"/>
        </w:rPr>
        <w:t>2.12</w:t>
      </w:r>
      <w:r w:rsidRPr="00734AB6">
        <w:rPr>
          <w:rFonts w:asciiTheme="majorHAnsi" w:eastAsia="Calibri" w:hAnsiTheme="majorHAnsi" w:cs="Calibri"/>
        </w:rPr>
        <w:t xml:space="preserve">, along with the normative data provided by Crawford et al. (2003). </w:t>
      </w:r>
    </w:p>
    <w:p w14:paraId="1D9640BF" w14:textId="77777777" w:rsidR="00C53EB3" w:rsidRPr="00734AB6" w:rsidRDefault="00C53EB3" w:rsidP="0099584D">
      <w:pPr>
        <w:spacing w:before="240" w:line="360" w:lineRule="auto"/>
        <w:ind w:firstLine="851"/>
        <w:rPr>
          <w:rFonts w:asciiTheme="majorHAnsi" w:eastAsia="Calibri" w:hAnsiTheme="majorHAnsi" w:cs="Calibri"/>
        </w:rPr>
      </w:pPr>
    </w:p>
    <w:p w14:paraId="4F51283B" w14:textId="77777777" w:rsidR="00DE4B2E" w:rsidRPr="00734AB6" w:rsidRDefault="00DE4B2E">
      <w:pPr>
        <w:rPr>
          <w:rFonts w:asciiTheme="majorHAnsi" w:eastAsia="Calibri" w:hAnsiTheme="majorHAnsi" w:cs="Calibri"/>
          <w:b/>
        </w:rPr>
      </w:pPr>
      <w:r w:rsidRPr="00734AB6">
        <w:rPr>
          <w:rFonts w:asciiTheme="majorHAnsi" w:eastAsia="Calibri" w:hAnsiTheme="majorHAnsi" w:cs="Calibri"/>
          <w:b/>
        </w:rPr>
        <w:br w:type="page"/>
      </w:r>
    </w:p>
    <w:p w14:paraId="385F74CF" w14:textId="65141AB3" w:rsidR="009C7702" w:rsidRPr="00734AB6" w:rsidRDefault="00CC1029" w:rsidP="0099584D">
      <w:pPr>
        <w:spacing w:before="240" w:line="360" w:lineRule="auto"/>
        <w:rPr>
          <w:rFonts w:asciiTheme="majorHAnsi" w:eastAsia="Calibri" w:hAnsiTheme="majorHAnsi" w:cs="Calibri"/>
          <w:b/>
        </w:rPr>
      </w:pPr>
      <w:r w:rsidRPr="00734AB6">
        <w:rPr>
          <w:rFonts w:asciiTheme="majorHAnsi" w:eastAsia="Calibri" w:hAnsiTheme="majorHAnsi" w:cs="Calibri"/>
          <w:b/>
        </w:rPr>
        <w:lastRenderedPageBreak/>
        <w:t>Table 2.12</w:t>
      </w:r>
      <w:r w:rsidR="009C7702" w:rsidRPr="00734AB6">
        <w:rPr>
          <w:rFonts w:asciiTheme="majorHAnsi" w:eastAsia="Calibri" w:hAnsiTheme="majorHAnsi" w:cs="Calibri"/>
          <w:b/>
        </w:rPr>
        <w:t>.</w:t>
      </w:r>
      <w:r w:rsidR="009C7702" w:rsidRPr="00734AB6">
        <w:rPr>
          <w:rFonts w:asciiTheme="majorHAnsi" w:eastAsia="Calibri" w:hAnsiTheme="majorHAnsi" w:cs="Calibri"/>
          <w:b/>
        </w:rPr>
        <w:tab/>
        <w:t>PRMQ Means and SDs for modafinil and methylphenidate and normative data.</w:t>
      </w:r>
    </w:p>
    <w:tbl>
      <w:tblPr>
        <w:tblW w:w="864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44"/>
        <w:gridCol w:w="1517"/>
        <w:gridCol w:w="850"/>
        <w:gridCol w:w="1418"/>
        <w:gridCol w:w="850"/>
        <w:gridCol w:w="1418"/>
        <w:gridCol w:w="850"/>
      </w:tblGrid>
      <w:tr w:rsidR="009C7702" w:rsidRPr="00734AB6" w14:paraId="46389A08" w14:textId="77777777" w:rsidTr="0099584D">
        <w:tc>
          <w:tcPr>
            <w:tcW w:w="1744" w:type="dxa"/>
          </w:tcPr>
          <w:p w14:paraId="4110EFC8" w14:textId="77777777" w:rsidR="009C7702" w:rsidRPr="00734AB6" w:rsidRDefault="009C7702" w:rsidP="0099584D">
            <w:pPr>
              <w:spacing w:before="240" w:line="360" w:lineRule="auto"/>
              <w:rPr>
                <w:rFonts w:asciiTheme="majorHAnsi" w:eastAsia="Calibri" w:hAnsiTheme="majorHAnsi" w:cs="Calibri"/>
                <w:b/>
              </w:rPr>
            </w:pPr>
          </w:p>
        </w:tc>
        <w:tc>
          <w:tcPr>
            <w:tcW w:w="2367" w:type="dxa"/>
            <w:gridSpan w:val="2"/>
          </w:tcPr>
          <w:p w14:paraId="41CBA98B"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Total PRMQ score</w:t>
            </w:r>
          </w:p>
        </w:tc>
        <w:tc>
          <w:tcPr>
            <w:tcW w:w="2268" w:type="dxa"/>
            <w:gridSpan w:val="2"/>
          </w:tcPr>
          <w:p w14:paraId="3D3403D3"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Prospective score</w:t>
            </w:r>
          </w:p>
        </w:tc>
        <w:tc>
          <w:tcPr>
            <w:tcW w:w="2268" w:type="dxa"/>
            <w:gridSpan w:val="2"/>
          </w:tcPr>
          <w:p w14:paraId="0F8396B0"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Retrospective score</w:t>
            </w:r>
          </w:p>
        </w:tc>
      </w:tr>
      <w:tr w:rsidR="009C7702" w:rsidRPr="00734AB6" w14:paraId="27E4E2D7" w14:textId="77777777" w:rsidTr="0099584D">
        <w:tc>
          <w:tcPr>
            <w:tcW w:w="1744" w:type="dxa"/>
            <w:tcBorders>
              <w:bottom w:val="single" w:sz="4" w:space="0" w:color="auto"/>
            </w:tcBorders>
          </w:tcPr>
          <w:p w14:paraId="0479F250" w14:textId="77777777" w:rsidR="009C7702" w:rsidRPr="00734AB6" w:rsidRDefault="009C7702" w:rsidP="0099584D">
            <w:pPr>
              <w:spacing w:before="240" w:line="360" w:lineRule="auto"/>
              <w:rPr>
                <w:rFonts w:asciiTheme="majorHAnsi" w:eastAsia="Calibri" w:hAnsiTheme="majorHAnsi" w:cs="Calibri"/>
                <w:b/>
              </w:rPr>
            </w:pPr>
          </w:p>
        </w:tc>
        <w:tc>
          <w:tcPr>
            <w:tcW w:w="1517" w:type="dxa"/>
            <w:tcBorders>
              <w:bottom w:val="single" w:sz="4" w:space="0" w:color="auto"/>
            </w:tcBorders>
          </w:tcPr>
          <w:p w14:paraId="55518C87"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Mean (SD)</w:t>
            </w:r>
          </w:p>
        </w:tc>
        <w:tc>
          <w:tcPr>
            <w:tcW w:w="850" w:type="dxa"/>
            <w:tcBorders>
              <w:bottom w:val="single" w:sz="4" w:space="0" w:color="auto"/>
            </w:tcBorders>
          </w:tcPr>
          <w:p w14:paraId="3488E9FD"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Range</w:t>
            </w:r>
          </w:p>
        </w:tc>
        <w:tc>
          <w:tcPr>
            <w:tcW w:w="1418" w:type="dxa"/>
            <w:tcBorders>
              <w:bottom w:val="single" w:sz="4" w:space="0" w:color="auto"/>
            </w:tcBorders>
          </w:tcPr>
          <w:p w14:paraId="03856BAD"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Mean (SD)</w:t>
            </w:r>
          </w:p>
        </w:tc>
        <w:tc>
          <w:tcPr>
            <w:tcW w:w="850" w:type="dxa"/>
            <w:tcBorders>
              <w:bottom w:val="single" w:sz="4" w:space="0" w:color="auto"/>
            </w:tcBorders>
          </w:tcPr>
          <w:p w14:paraId="30807A61"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Range</w:t>
            </w:r>
          </w:p>
        </w:tc>
        <w:tc>
          <w:tcPr>
            <w:tcW w:w="1418" w:type="dxa"/>
            <w:tcBorders>
              <w:bottom w:val="single" w:sz="4" w:space="0" w:color="auto"/>
            </w:tcBorders>
          </w:tcPr>
          <w:p w14:paraId="4BE3AD5C"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Mean (SD)</w:t>
            </w:r>
          </w:p>
        </w:tc>
        <w:tc>
          <w:tcPr>
            <w:tcW w:w="850" w:type="dxa"/>
            <w:tcBorders>
              <w:bottom w:val="single" w:sz="4" w:space="0" w:color="auto"/>
            </w:tcBorders>
          </w:tcPr>
          <w:p w14:paraId="787E7F41"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Range</w:t>
            </w:r>
          </w:p>
        </w:tc>
      </w:tr>
      <w:tr w:rsidR="009C7702" w:rsidRPr="00734AB6" w14:paraId="4246D612" w14:textId="77777777" w:rsidTr="0099584D">
        <w:tc>
          <w:tcPr>
            <w:tcW w:w="1744" w:type="dxa"/>
            <w:tcBorders>
              <w:bottom w:val="nil"/>
            </w:tcBorders>
          </w:tcPr>
          <w:p w14:paraId="12DF2042"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Modafinil-only</w:t>
            </w:r>
          </w:p>
        </w:tc>
        <w:tc>
          <w:tcPr>
            <w:tcW w:w="1517" w:type="dxa"/>
            <w:tcBorders>
              <w:bottom w:val="nil"/>
            </w:tcBorders>
          </w:tcPr>
          <w:p w14:paraId="14E548C4"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38.59 (9.99)</w:t>
            </w:r>
          </w:p>
        </w:tc>
        <w:tc>
          <w:tcPr>
            <w:tcW w:w="850" w:type="dxa"/>
            <w:tcBorders>
              <w:bottom w:val="nil"/>
            </w:tcBorders>
          </w:tcPr>
          <w:p w14:paraId="3B2530F0"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21-72</w:t>
            </w:r>
          </w:p>
        </w:tc>
        <w:tc>
          <w:tcPr>
            <w:tcW w:w="1418" w:type="dxa"/>
            <w:tcBorders>
              <w:bottom w:val="nil"/>
            </w:tcBorders>
          </w:tcPr>
          <w:p w14:paraId="1CD347B3"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21.08 (5.64)</w:t>
            </w:r>
          </w:p>
        </w:tc>
        <w:tc>
          <w:tcPr>
            <w:tcW w:w="850" w:type="dxa"/>
            <w:tcBorders>
              <w:bottom w:val="nil"/>
            </w:tcBorders>
          </w:tcPr>
          <w:p w14:paraId="70724FB4"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11-38</w:t>
            </w:r>
          </w:p>
        </w:tc>
        <w:tc>
          <w:tcPr>
            <w:tcW w:w="1418" w:type="dxa"/>
            <w:tcBorders>
              <w:bottom w:val="nil"/>
            </w:tcBorders>
          </w:tcPr>
          <w:p w14:paraId="6C6896A3"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17.51 (4.90)</w:t>
            </w:r>
          </w:p>
        </w:tc>
        <w:tc>
          <w:tcPr>
            <w:tcW w:w="850" w:type="dxa"/>
            <w:tcBorders>
              <w:bottom w:val="nil"/>
            </w:tcBorders>
          </w:tcPr>
          <w:p w14:paraId="0367DAF0"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9-35</w:t>
            </w:r>
          </w:p>
        </w:tc>
      </w:tr>
      <w:tr w:rsidR="009C7702" w:rsidRPr="00734AB6" w14:paraId="53F5FD21" w14:textId="77777777" w:rsidTr="0099584D">
        <w:tc>
          <w:tcPr>
            <w:tcW w:w="1744" w:type="dxa"/>
            <w:tcBorders>
              <w:top w:val="nil"/>
              <w:bottom w:val="nil"/>
            </w:tcBorders>
          </w:tcPr>
          <w:p w14:paraId="328F42D0"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Methylphenidate</w:t>
            </w:r>
          </w:p>
        </w:tc>
        <w:tc>
          <w:tcPr>
            <w:tcW w:w="1517" w:type="dxa"/>
            <w:tcBorders>
              <w:top w:val="nil"/>
              <w:bottom w:val="nil"/>
            </w:tcBorders>
          </w:tcPr>
          <w:p w14:paraId="3D02E9F9"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40.26 (13.51)</w:t>
            </w:r>
          </w:p>
        </w:tc>
        <w:tc>
          <w:tcPr>
            <w:tcW w:w="850" w:type="dxa"/>
            <w:tcBorders>
              <w:top w:val="nil"/>
              <w:bottom w:val="nil"/>
            </w:tcBorders>
          </w:tcPr>
          <w:p w14:paraId="33D6C914"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16-80</w:t>
            </w:r>
          </w:p>
        </w:tc>
        <w:tc>
          <w:tcPr>
            <w:tcW w:w="1418" w:type="dxa"/>
            <w:tcBorders>
              <w:top w:val="nil"/>
              <w:bottom w:val="nil"/>
            </w:tcBorders>
          </w:tcPr>
          <w:p w14:paraId="51ECD304"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21.76 (7.26)</w:t>
            </w:r>
          </w:p>
        </w:tc>
        <w:tc>
          <w:tcPr>
            <w:tcW w:w="850" w:type="dxa"/>
            <w:tcBorders>
              <w:top w:val="nil"/>
              <w:bottom w:val="nil"/>
            </w:tcBorders>
          </w:tcPr>
          <w:p w14:paraId="056816A0"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8-40</w:t>
            </w:r>
          </w:p>
        </w:tc>
        <w:tc>
          <w:tcPr>
            <w:tcW w:w="1418" w:type="dxa"/>
            <w:tcBorders>
              <w:top w:val="nil"/>
              <w:bottom w:val="nil"/>
            </w:tcBorders>
          </w:tcPr>
          <w:p w14:paraId="0538A742"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18.50 (6.77)</w:t>
            </w:r>
          </w:p>
        </w:tc>
        <w:tc>
          <w:tcPr>
            <w:tcW w:w="850" w:type="dxa"/>
            <w:tcBorders>
              <w:top w:val="nil"/>
              <w:bottom w:val="nil"/>
            </w:tcBorders>
          </w:tcPr>
          <w:p w14:paraId="69754C1E"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8-40</w:t>
            </w:r>
          </w:p>
        </w:tc>
      </w:tr>
      <w:tr w:rsidR="009C7702" w:rsidRPr="00734AB6" w14:paraId="6392B0A4" w14:textId="77777777" w:rsidTr="0099584D">
        <w:tc>
          <w:tcPr>
            <w:tcW w:w="1744" w:type="dxa"/>
            <w:tcBorders>
              <w:top w:val="nil"/>
            </w:tcBorders>
          </w:tcPr>
          <w:p w14:paraId="1EFCB9DA" w14:textId="77777777" w:rsidR="009C7702" w:rsidRPr="00734AB6" w:rsidRDefault="009C7702" w:rsidP="0099584D">
            <w:pPr>
              <w:spacing w:before="240" w:line="360" w:lineRule="auto"/>
              <w:rPr>
                <w:rFonts w:asciiTheme="majorHAnsi" w:eastAsia="Calibri" w:hAnsiTheme="majorHAnsi" w:cs="Calibri"/>
                <w:b/>
              </w:rPr>
            </w:pPr>
            <w:r w:rsidRPr="00734AB6">
              <w:rPr>
                <w:rFonts w:asciiTheme="majorHAnsi" w:eastAsia="Calibri" w:hAnsiTheme="majorHAnsi" w:cs="Calibri"/>
                <w:b/>
              </w:rPr>
              <w:t>Normative data</w:t>
            </w:r>
            <w:r w:rsidRPr="00734AB6">
              <w:rPr>
                <w:rStyle w:val="FootnoteReference"/>
                <w:rFonts w:asciiTheme="majorHAnsi" w:eastAsia="Calibri" w:hAnsiTheme="majorHAnsi" w:cs="Calibri"/>
                <w:b/>
              </w:rPr>
              <w:footnoteReference w:id="2"/>
            </w:r>
          </w:p>
        </w:tc>
        <w:tc>
          <w:tcPr>
            <w:tcW w:w="1517" w:type="dxa"/>
            <w:tcBorders>
              <w:top w:val="nil"/>
            </w:tcBorders>
          </w:tcPr>
          <w:p w14:paraId="60729205"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38.88 (9.15)</w:t>
            </w:r>
          </w:p>
        </w:tc>
        <w:tc>
          <w:tcPr>
            <w:tcW w:w="850" w:type="dxa"/>
            <w:tcBorders>
              <w:top w:val="nil"/>
            </w:tcBorders>
          </w:tcPr>
          <w:p w14:paraId="2658C201"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17-67</w:t>
            </w:r>
          </w:p>
        </w:tc>
        <w:tc>
          <w:tcPr>
            <w:tcW w:w="1418" w:type="dxa"/>
            <w:tcBorders>
              <w:top w:val="nil"/>
            </w:tcBorders>
          </w:tcPr>
          <w:p w14:paraId="36176154"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20.18 (4.91)</w:t>
            </w:r>
          </w:p>
        </w:tc>
        <w:tc>
          <w:tcPr>
            <w:tcW w:w="850" w:type="dxa"/>
            <w:tcBorders>
              <w:top w:val="nil"/>
            </w:tcBorders>
          </w:tcPr>
          <w:p w14:paraId="39FD9980"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8-35</w:t>
            </w:r>
          </w:p>
        </w:tc>
        <w:tc>
          <w:tcPr>
            <w:tcW w:w="1418" w:type="dxa"/>
            <w:tcBorders>
              <w:top w:val="nil"/>
            </w:tcBorders>
          </w:tcPr>
          <w:p w14:paraId="50F69000"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18.69 (4.98)</w:t>
            </w:r>
          </w:p>
        </w:tc>
        <w:tc>
          <w:tcPr>
            <w:tcW w:w="850" w:type="dxa"/>
            <w:tcBorders>
              <w:top w:val="nil"/>
            </w:tcBorders>
          </w:tcPr>
          <w:p w14:paraId="1DFF3B4D" w14:textId="77777777" w:rsidR="009C7702" w:rsidRPr="00734AB6" w:rsidRDefault="009C7702" w:rsidP="0099584D">
            <w:pPr>
              <w:spacing w:before="240" w:line="360" w:lineRule="auto"/>
              <w:rPr>
                <w:rFonts w:asciiTheme="majorHAnsi" w:eastAsia="Calibri" w:hAnsiTheme="majorHAnsi" w:cs="Calibri"/>
              </w:rPr>
            </w:pPr>
            <w:r w:rsidRPr="00734AB6">
              <w:rPr>
                <w:rFonts w:asciiTheme="majorHAnsi" w:eastAsia="Calibri" w:hAnsiTheme="majorHAnsi" w:cs="Calibri"/>
              </w:rPr>
              <w:t>8-33</w:t>
            </w:r>
          </w:p>
        </w:tc>
      </w:tr>
    </w:tbl>
    <w:p w14:paraId="0D8F8236" w14:textId="0885C10F" w:rsidR="009C7702" w:rsidRPr="00734AB6" w:rsidRDefault="009C7702" w:rsidP="0099584D">
      <w:pPr>
        <w:spacing w:before="240" w:line="360" w:lineRule="auto"/>
        <w:rPr>
          <w:rFonts w:asciiTheme="majorHAnsi" w:eastAsia="Calibri" w:hAnsiTheme="majorHAnsi" w:cs="Calibri"/>
          <w:b/>
        </w:rPr>
      </w:pPr>
    </w:p>
    <w:p w14:paraId="5583040B" w14:textId="36E08447"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Normative data provided by Crawford et al. (2003) in the form of </w:t>
      </w:r>
      <w:r w:rsidRPr="00734AB6">
        <w:rPr>
          <w:rFonts w:asciiTheme="majorHAnsi" w:eastAsia="Calibri" w:hAnsiTheme="majorHAnsi" w:cs="Calibri"/>
          <w:i/>
        </w:rPr>
        <w:t>t</w:t>
      </w:r>
      <w:r w:rsidRPr="00734AB6">
        <w:rPr>
          <w:rFonts w:asciiTheme="majorHAnsi" w:eastAsia="Calibri" w:hAnsiTheme="majorHAnsi" w:cs="Calibri"/>
        </w:rPr>
        <w:t>-scores was used, where scores below the mean (</w:t>
      </w:r>
      <w:r w:rsidRPr="00734AB6">
        <w:rPr>
          <w:rFonts w:asciiTheme="majorHAnsi" w:eastAsia="Calibri" w:hAnsiTheme="majorHAnsi" w:cs="Calibri"/>
          <w:i/>
        </w:rPr>
        <w:t>t</w:t>
      </w:r>
      <w:r w:rsidRPr="00734AB6">
        <w:rPr>
          <w:rFonts w:asciiTheme="majorHAnsi" w:eastAsia="Calibri" w:hAnsiTheme="majorHAnsi" w:cs="Calibri"/>
        </w:rPr>
        <w:t xml:space="preserve"> = 50, SD = 10) reflect poorer self-rated memory. The reported off-prescription modafinil users’ total PRMQ mean score is within the estimated population mean, their prospective mean score was 0.02 SDs below the population mean and their retrospective mean score was 0.01 SDs above the population mean. The reported off-prescription methylphenidate users’ total PRMQ mean score is 0.01 SDs below the population mean, their prospective mean score is 0.04 SDs below the population mean and their retrospective mean score is 0.01 SDs below the population mean. Using Crawford et al.’s critical values, it was found that there were no </w:t>
      </w:r>
      <w:r w:rsidR="00A66AA6" w:rsidRPr="00734AB6">
        <w:rPr>
          <w:rFonts w:asciiTheme="majorHAnsi" w:eastAsia="Calibri" w:hAnsiTheme="majorHAnsi" w:cs="Calibri"/>
        </w:rPr>
        <w:t>apparent</w:t>
      </w:r>
      <w:r w:rsidRPr="00734AB6">
        <w:rPr>
          <w:rFonts w:asciiTheme="majorHAnsi" w:eastAsia="Calibri" w:hAnsiTheme="majorHAnsi" w:cs="Calibri"/>
        </w:rPr>
        <w:t xml:space="preserve"> differences between CED users and population scores.</w:t>
      </w:r>
    </w:p>
    <w:p w14:paraId="1E3EFD34" w14:textId="77777777" w:rsidR="009C7702" w:rsidRPr="00734AB6" w:rsidRDefault="009C7702" w:rsidP="0099584D">
      <w:pPr>
        <w:spacing w:before="240" w:line="360" w:lineRule="auto"/>
        <w:rPr>
          <w:rFonts w:asciiTheme="majorHAnsi" w:eastAsia="Calibri" w:hAnsiTheme="majorHAnsi" w:cs="Calibri"/>
          <w:b/>
        </w:rPr>
      </w:pPr>
    </w:p>
    <w:p w14:paraId="71847A3F" w14:textId="77777777" w:rsidR="009C7702" w:rsidRPr="00734AB6" w:rsidRDefault="009C7702" w:rsidP="00C53EB3">
      <w:pPr>
        <w:pStyle w:val="Heading3"/>
        <w:spacing w:after="240" w:line="360" w:lineRule="auto"/>
        <w:rPr>
          <w:b/>
          <w:color w:val="auto"/>
          <w:sz w:val="22"/>
          <w:szCs w:val="22"/>
        </w:rPr>
      </w:pPr>
      <w:bookmarkStart w:id="44" w:name="_Toc29829405"/>
      <w:bookmarkStart w:id="45" w:name="_Toc48136338"/>
      <w:r w:rsidRPr="00734AB6">
        <w:rPr>
          <w:b/>
          <w:color w:val="auto"/>
          <w:sz w:val="22"/>
          <w:szCs w:val="22"/>
        </w:rPr>
        <w:t>2.2.4</w:t>
      </w:r>
      <w:r w:rsidRPr="00734AB6">
        <w:rPr>
          <w:b/>
          <w:color w:val="auto"/>
          <w:sz w:val="22"/>
          <w:szCs w:val="22"/>
        </w:rPr>
        <w:tab/>
        <w:t>Discussion</w:t>
      </w:r>
      <w:bookmarkEnd w:id="44"/>
      <w:bookmarkEnd w:id="45"/>
    </w:p>
    <w:p w14:paraId="0252B23C" w14:textId="2B634C60"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To the author’s knowledge, this is the first study to report multiple aspects of the off-prescription use of modafinil and methylphenidate from an international sample of respondents who frequent online forum communities. Many previous surveys have reported the off-prescription use of ADHD medications or prescription stimulants only (e.g. </w:t>
      </w:r>
      <w:proofErr w:type="spellStart"/>
      <w:r w:rsidRPr="00734AB6">
        <w:rPr>
          <w:rFonts w:asciiTheme="majorHAnsi" w:eastAsia="Calibri" w:hAnsiTheme="majorHAnsi" w:cs="Calibri"/>
        </w:rPr>
        <w:t>Rabiner</w:t>
      </w:r>
      <w:proofErr w:type="spellEnd"/>
      <w:r w:rsidRPr="00734AB6">
        <w:rPr>
          <w:rFonts w:asciiTheme="majorHAnsi" w:eastAsia="Calibri" w:hAnsiTheme="majorHAnsi" w:cs="Calibri"/>
        </w:rPr>
        <w:t xml:space="preserve"> et al., 2009; Ross et al., 2018), in some cases, without separating out differences between the prescription stimulants (McCabe et al., 2006), or only separating out the difference by class of drug (Holloway &amp; Bennett, 2012). Other surveys focused solely on pupils and students (Franke et al., 2011; Singh et al., 2014). Whilst these limitations may have suited the focus of each of the studies mentioned, </w:t>
      </w:r>
      <w:r w:rsidRPr="00734AB6">
        <w:rPr>
          <w:rFonts w:asciiTheme="majorHAnsi" w:eastAsia="Calibri" w:hAnsiTheme="majorHAnsi" w:cs="Calibri"/>
        </w:rPr>
        <w:lastRenderedPageBreak/>
        <w:t xml:space="preserve">the present study provides information on a much broader population of </w:t>
      </w:r>
      <w:r w:rsidR="00F31B18" w:rsidRPr="00734AB6">
        <w:rPr>
          <w:rFonts w:asciiTheme="majorHAnsi" w:eastAsia="Calibri" w:hAnsiTheme="majorHAnsi" w:cs="Calibri"/>
        </w:rPr>
        <w:t xml:space="preserve">reported off-prescription </w:t>
      </w:r>
      <w:r w:rsidR="00A66AA6" w:rsidRPr="00734AB6">
        <w:rPr>
          <w:rFonts w:asciiTheme="majorHAnsi" w:eastAsia="Calibri" w:hAnsiTheme="majorHAnsi" w:cs="Calibri"/>
        </w:rPr>
        <w:t>modafinil and methylphenidate</w:t>
      </w:r>
      <w:r w:rsidRPr="00734AB6">
        <w:rPr>
          <w:rFonts w:asciiTheme="majorHAnsi" w:eastAsia="Calibri" w:hAnsiTheme="majorHAnsi" w:cs="Calibri"/>
        </w:rPr>
        <w:t xml:space="preserve"> users. The current study used an online survey to investigate the patterns of off-prescription use of modafinil and methylphenidate among an international sample of individuals who were either visitors of </w:t>
      </w:r>
      <w:r w:rsidR="00136615" w:rsidRPr="00734AB6">
        <w:rPr>
          <w:rFonts w:asciiTheme="majorHAnsi" w:eastAsia="Calibri" w:hAnsiTheme="majorHAnsi" w:cs="Calibri"/>
        </w:rPr>
        <w:t xml:space="preserve">drug user and </w:t>
      </w:r>
      <w:r w:rsidRPr="00734AB6">
        <w:rPr>
          <w:rFonts w:asciiTheme="majorHAnsi" w:eastAsia="Calibri" w:hAnsiTheme="majorHAnsi" w:cs="Calibri"/>
        </w:rPr>
        <w:t xml:space="preserve">CED forums or student forums. The survey covered various aspects of off-prescription CED use including demographics, illicit drug use and mental health. The overall aim of the survey was to investigate the modafinil and methylphenidate users’ perceived experiences of these drugs and how this related to </w:t>
      </w:r>
      <w:r w:rsidR="00136615" w:rsidRPr="00734AB6">
        <w:rPr>
          <w:rFonts w:asciiTheme="majorHAnsi" w:eastAsia="Calibri" w:hAnsiTheme="majorHAnsi" w:cs="Calibri"/>
        </w:rPr>
        <w:t xml:space="preserve">their </w:t>
      </w:r>
      <w:r w:rsidRPr="00734AB6">
        <w:rPr>
          <w:rFonts w:asciiTheme="majorHAnsi" w:eastAsia="Calibri" w:hAnsiTheme="majorHAnsi" w:cs="Calibri"/>
        </w:rPr>
        <w:t>frequency of use. The results indicate that both modafinil and methylphenidate were perceived as having greater benefits than risks and a greater reported frequency of use of modafinil was found to result in greater reported benefits. However, the frequency of use of methylphenidate did not show any relationship with perceived effects of this drug.</w:t>
      </w:r>
    </w:p>
    <w:p w14:paraId="398C5847" w14:textId="1118B9D0" w:rsidR="009C7702" w:rsidRPr="00734AB6" w:rsidRDefault="009C7702" w:rsidP="0099584D">
      <w:pPr>
        <w:spacing w:line="360" w:lineRule="auto"/>
        <w:ind w:firstLine="851"/>
        <w:rPr>
          <w:rFonts w:asciiTheme="majorHAnsi" w:hAnsiTheme="majorHAnsi" w:cs="Calibri"/>
        </w:rPr>
      </w:pPr>
      <w:r w:rsidRPr="00734AB6">
        <w:rPr>
          <w:rFonts w:asciiTheme="majorHAnsi" w:eastAsia="Calibri" w:hAnsiTheme="majorHAnsi" w:cs="Calibri"/>
        </w:rPr>
        <w:t xml:space="preserve">By targeting specific </w:t>
      </w:r>
      <w:r w:rsidR="00136615" w:rsidRPr="00734AB6">
        <w:rPr>
          <w:rFonts w:asciiTheme="majorHAnsi" w:eastAsia="Calibri" w:hAnsiTheme="majorHAnsi" w:cs="Calibri"/>
        </w:rPr>
        <w:t xml:space="preserve">drug user and </w:t>
      </w:r>
      <w:r w:rsidRPr="00734AB6">
        <w:rPr>
          <w:rFonts w:asciiTheme="majorHAnsi" w:eastAsia="Calibri" w:hAnsiTheme="majorHAnsi" w:cs="Calibri"/>
        </w:rPr>
        <w:t xml:space="preserve">CED forum sites, 75% of respondents reported the use of either modafinil or methylphenidate. Many more respondents reported taking only modafinil than only methylphenidate which may reflect either easier access to modafinil than methylphenidate or a preference for modafinil over methylphenidate. </w:t>
      </w:r>
      <w:r w:rsidRPr="00734AB6">
        <w:rPr>
          <w:rFonts w:asciiTheme="majorHAnsi" w:hAnsiTheme="majorHAnsi" w:cs="Calibri"/>
        </w:rPr>
        <w:t xml:space="preserve">The majority of respondents reported themselves to be male, employed and university-educated. The </w:t>
      </w:r>
      <w:r w:rsidRPr="00734AB6">
        <w:rPr>
          <w:rFonts w:asciiTheme="majorHAnsi" w:hAnsiTheme="majorHAnsi" w:cstheme="minorHAnsi"/>
        </w:rPr>
        <w:t xml:space="preserve">perceived dependency on modafinil and methylphenidate was low, despite 10.48% of the sample using modafinil and 10.2% using methylphenidate </w:t>
      </w:r>
      <w:r w:rsidR="00136615" w:rsidRPr="00734AB6">
        <w:rPr>
          <w:rFonts w:asciiTheme="majorHAnsi" w:hAnsiTheme="majorHAnsi" w:cstheme="minorHAnsi"/>
        </w:rPr>
        <w:t xml:space="preserve">reportedly </w:t>
      </w:r>
      <w:r w:rsidRPr="00734AB6">
        <w:rPr>
          <w:rFonts w:asciiTheme="majorHAnsi" w:hAnsiTheme="majorHAnsi" w:cstheme="minorHAnsi"/>
        </w:rPr>
        <w:t xml:space="preserve">every day. Overall, modafinil was perceived to being a safe drug, even when taken three times or more per week. In comparison, regular use of methylphenidate was perceived as carrying a higher level of risk. This suggests that respondents were aware of the addictive potential of methylphenidate and this may also be reflected in the lower number of respondents who reported taking this drug. However, those who reported taking methylphenidate seemed unaware of what dose to take. Relatively equal numbers of individuals stated the perceived safe dosage of methylphenidate was 20mg to 60mg. </w:t>
      </w:r>
      <w:r w:rsidRPr="00734AB6">
        <w:rPr>
          <w:rFonts w:asciiTheme="majorHAnsi" w:eastAsia="Calibri" w:hAnsiTheme="majorHAnsi" w:cs="Calibri"/>
        </w:rPr>
        <w:t xml:space="preserve">Cognitive enhancing drug users may be unaware of the recommended dose of methylphenidate, or, higher doses may be perceived as safe by those who have developed tolerance to lower doses. Alternatively, it may be down to individual differences in how methylphenidate is experienced. Volkow and Swanson (2003) noted individual differences in the clinical use of methylphenidate in children with the effective dose ranging from 5mg to 20mg regardless of the size of the child. They also noted individual differences in methylphenidate’s effects on dopamine. Conversely, most respondents appear to be aware of the recommended dose range for modafinil of 200mg. </w:t>
      </w:r>
      <w:r w:rsidRPr="00734AB6">
        <w:rPr>
          <w:rFonts w:asciiTheme="majorHAnsi" w:hAnsiTheme="majorHAnsi" w:cs="Calibri"/>
        </w:rPr>
        <w:t>Although perceived dependency on modafinil was low, the link between frequency of use and perceived benefits suggest that there is a possibility that dependency may develop over time.</w:t>
      </w:r>
    </w:p>
    <w:p w14:paraId="58236347" w14:textId="45F4B7B8" w:rsidR="009C7702" w:rsidRPr="00734AB6" w:rsidRDefault="009C7702" w:rsidP="0099584D">
      <w:pPr>
        <w:widowControl w:val="0"/>
        <w:autoSpaceDE w:val="0"/>
        <w:autoSpaceDN w:val="0"/>
        <w:adjustRightInd w:val="0"/>
        <w:spacing w:after="0" w:line="360" w:lineRule="auto"/>
        <w:ind w:firstLine="709"/>
        <w:rPr>
          <w:rFonts w:asciiTheme="majorHAnsi" w:hAnsiTheme="majorHAnsi" w:cs="Calibri"/>
        </w:rPr>
      </w:pPr>
      <w:r w:rsidRPr="00734AB6">
        <w:rPr>
          <w:rFonts w:asciiTheme="majorHAnsi" w:hAnsiTheme="majorHAnsi" w:cstheme="minorHAnsi"/>
        </w:rPr>
        <w:t xml:space="preserve">The data show that more frequent reported use of modafinil led to </w:t>
      </w:r>
      <w:r w:rsidR="00D06FF8" w:rsidRPr="00734AB6">
        <w:rPr>
          <w:rFonts w:asciiTheme="majorHAnsi" w:hAnsiTheme="majorHAnsi" w:cstheme="minorHAnsi"/>
        </w:rPr>
        <w:t xml:space="preserve">greater </w:t>
      </w:r>
      <w:r w:rsidRPr="00734AB6">
        <w:rPr>
          <w:rFonts w:asciiTheme="majorHAnsi" w:hAnsiTheme="majorHAnsi" w:cstheme="minorHAnsi"/>
        </w:rPr>
        <w:t xml:space="preserve">perceived benefits. </w:t>
      </w:r>
      <w:r w:rsidRPr="00734AB6">
        <w:rPr>
          <w:rFonts w:asciiTheme="majorHAnsi" w:hAnsiTheme="majorHAnsi" w:cs="Calibri"/>
        </w:rPr>
        <w:t xml:space="preserve">It appears that the reported use of modafinil on at least a monthly basis resulted in a </w:t>
      </w:r>
      <w:r w:rsidRPr="00734AB6">
        <w:rPr>
          <w:rFonts w:asciiTheme="majorHAnsi" w:hAnsiTheme="majorHAnsi" w:cs="Calibri"/>
        </w:rPr>
        <w:lastRenderedPageBreak/>
        <w:t>higher number of reported benefits whilst reported risks remain low. A plausible explanation could be that more frequent reported use occurs as a consequence of greater perceived benefits since it seems unlikely that continued use would occur without experiencing the benefits of the drug. Chronic drug use is, however, known to lead to tolerance. This is caused, in part, by a reduction in receptor numbers (O’Brien, 2011) but this may not always be the case with modafinil. Nasr, Wendt and Steiner (2006) reported that long-term use of modafinil in patients with affective disorders did not induce tolerance. Therefore, it is plausible that continued, long-term use of modafinil could still provide these perceived benefits.</w:t>
      </w:r>
    </w:p>
    <w:p w14:paraId="60A47036" w14:textId="3C419999" w:rsidR="009C7702" w:rsidRPr="00734AB6" w:rsidRDefault="009C7702" w:rsidP="0099584D">
      <w:pPr>
        <w:widowControl w:val="0"/>
        <w:autoSpaceDE w:val="0"/>
        <w:autoSpaceDN w:val="0"/>
        <w:adjustRightInd w:val="0"/>
        <w:spacing w:after="0" w:line="360" w:lineRule="auto"/>
        <w:ind w:firstLine="709"/>
        <w:rPr>
          <w:rFonts w:asciiTheme="majorHAnsi" w:hAnsiTheme="majorHAnsi" w:cstheme="minorHAnsi"/>
        </w:rPr>
      </w:pPr>
      <w:r w:rsidRPr="00734AB6">
        <w:rPr>
          <w:rFonts w:asciiTheme="majorHAnsi" w:hAnsiTheme="majorHAnsi" w:cstheme="minorHAnsi"/>
        </w:rPr>
        <w:t>The data also show</w:t>
      </w:r>
      <w:r w:rsidR="0079131C" w:rsidRPr="00734AB6">
        <w:rPr>
          <w:rFonts w:asciiTheme="majorHAnsi" w:hAnsiTheme="majorHAnsi" w:cstheme="minorHAnsi"/>
        </w:rPr>
        <w:t>ed</w:t>
      </w:r>
      <w:r w:rsidRPr="00734AB6">
        <w:rPr>
          <w:rFonts w:asciiTheme="majorHAnsi" w:hAnsiTheme="majorHAnsi" w:cstheme="minorHAnsi"/>
        </w:rPr>
        <w:t xml:space="preserve"> that the perceived benefits of taking modafinil outweighed the perceived risks. The respondents reported significantly more benefits than risks. It is known that modafinil is well-tolerated and lacks the undesirable adverse effects of other stimulants (Schmitt &amp; Reith, 2011). It was, therefore, expected that the benefits would outweigh the risks based on the range of potential benefits that it offers, which include enhanced attention, comprehension and working memory (</w:t>
      </w:r>
      <w:proofErr w:type="spellStart"/>
      <w:r w:rsidRPr="00734AB6">
        <w:rPr>
          <w:rFonts w:asciiTheme="majorHAnsi" w:hAnsiTheme="majorHAnsi" w:cstheme="minorHAnsi"/>
        </w:rPr>
        <w:t>Gilleen</w:t>
      </w:r>
      <w:proofErr w:type="spellEnd"/>
      <w:r w:rsidRPr="00734AB6">
        <w:rPr>
          <w:rFonts w:asciiTheme="majorHAnsi" w:hAnsiTheme="majorHAnsi" w:cstheme="minorHAnsi"/>
        </w:rPr>
        <w:t xml:space="preserve"> et al., 2014), as well as alertness, vigilance and enhanced executive functions (Walsh, Randazzo, Stone &amp; Schweitzer, 2004). </w:t>
      </w:r>
    </w:p>
    <w:p w14:paraId="1F71A428" w14:textId="1B75D2DF" w:rsidR="009C7702" w:rsidRPr="00734AB6" w:rsidRDefault="009C7702" w:rsidP="0099584D">
      <w:pPr>
        <w:widowControl w:val="0"/>
        <w:autoSpaceDE w:val="0"/>
        <w:autoSpaceDN w:val="0"/>
        <w:adjustRightInd w:val="0"/>
        <w:spacing w:after="0" w:line="360" w:lineRule="auto"/>
        <w:ind w:firstLine="709"/>
        <w:rPr>
          <w:rFonts w:asciiTheme="majorHAnsi" w:hAnsiTheme="majorHAnsi" w:cstheme="minorHAnsi"/>
        </w:rPr>
      </w:pPr>
      <w:r w:rsidRPr="00734AB6">
        <w:rPr>
          <w:rFonts w:asciiTheme="majorHAnsi" w:hAnsiTheme="majorHAnsi" w:cs="Calibri"/>
        </w:rPr>
        <w:t>The p</w:t>
      </w:r>
      <w:r w:rsidR="006058BF" w:rsidRPr="00734AB6">
        <w:rPr>
          <w:rFonts w:asciiTheme="majorHAnsi" w:hAnsiTheme="majorHAnsi" w:cs="Calibri"/>
        </w:rPr>
        <w:t xml:space="preserve">erceived benefits also persisted </w:t>
      </w:r>
      <w:r w:rsidRPr="00734AB6">
        <w:rPr>
          <w:rFonts w:asciiTheme="majorHAnsi" w:hAnsiTheme="majorHAnsi" w:cs="Calibri"/>
        </w:rPr>
        <w:t xml:space="preserve">beyond immediate use of modafinil. </w:t>
      </w:r>
      <w:r w:rsidR="00B72C47" w:rsidRPr="00734AB6">
        <w:rPr>
          <w:rFonts w:asciiTheme="majorHAnsi" w:hAnsiTheme="majorHAnsi" w:cs="Calibri"/>
        </w:rPr>
        <w:t>Reported e</w:t>
      </w:r>
      <w:r w:rsidRPr="00734AB6">
        <w:rPr>
          <w:rFonts w:asciiTheme="majorHAnsi" w:hAnsiTheme="majorHAnsi" w:cs="Calibri"/>
        </w:rPr>
        <w:t>veryday use of modafinil resulted in higher reported longer-lasting effects. While relatively high effect sizes might be expected when exploring differences between immediate and longer-lasting effects of modafinil, it was not expected that there would be a higher reported level of longer-lasting effects in the ‘every day’ user group. To the author’s knowledge, modafinil has not been found to exhibit any significant positive neuroplastic changes in humans. It was, therefore, expected that modafinil’s positive effects would no longer be reported to be experienced when the drug has ceased to be active. This finding may, however, be explained by the pharmacokinetic profile of modafinil. As the half-life of modafinil is approximately 12-15 hours (Darwish</w:t>
      </w:r>
      <w:r w:rsidR="004E1F1D" w:rsidRPr="00734AB6">
        <w:rPr>
          <w:rFonts w:asciiTheme="majorHAnsi" w:hAnsiTheme="majorHAnsi" w:cs="Calibri"/>
        </w:rPr>
        <w:t xml:space="preserve"> et al.</w:t>
      </w:r>
      <w:r w:rsidRPr="00734AB6">
        <w:rPr>
          <w:rFonts w:asciiTheme="majorHAnsi" w:hAnsiTheme="majorHAnsi" w:cs="Calibri"/>
        </w:rPr>
        <w:t xml:space="preserve">, 2009; Robertson &amp; </w:t>
      </w:r>
      <w:proofErr w:type="spellStart"/>
      <w:r w:rsidRPr="00734AB6">
        <w:rPr>
          <w:rFonts w:asciiTheme="majorHAnsi" w:hAnsiTheme="majorHAnsi" w:cs="Calibri"/>
        </w:rPr>
        <w:t>Hellriegel</w:t>
      </w:r>
      <w:proofErr w:type="spellEnd"/>
      <w:r w:rsidRPr="00734AB6">
        <w:rPr>
          <w:rFonts w:asciiTheme="majorHAnsi" w:hAnsiTheme="majorHAnsi" w:cs="Calibri"/>
        </w:rPr>
        <w:t>, 2003), daily use of modafinil would result in a constant, and possibly increasing, plasma concentration of modafinil, which also suggests constant, higher levels of synaptic DA and NE (in addition to other neurotransmitters that are modulated by modafinil). Increased synaptic DA and NE have been associated with improved cognitive func</w:t>
      </w:r>
      <w:r w:rsidR="00547286" w:rsidRPr="00734AB6">
        <w:rPr>
          <w:rFonts w:asciiTheme="majorHAnsi" w:hAnsiTheme="majorHAnsi" w:cs="Calibri"/>
        </w:rPr>
        <w:t xml:space="preserve">tion (Logue &amp; Gould, 2014; </w:t>
      </w:r>
      <w:r w:rsidR="008D6212" w:rsidRPr="00734AB6">
        <w:rPr>
          <w:rFonts w:asciiTheme="majorHAnsi" w:hAnsiTheme="majorHAnsi" w:cs="Calibri"/>
        </w:rPr>
        <w:t>Wood</w:t>
      </w:r>
      <w:r w:rsidR="00547286" w:rsidRPr="00734AB6">
        <w:rPr>
          <w:rFonts w:asciiTheme="majorHAnsi" w:hAnsiTheme="majorHAnsi" w:cs="Calibri"/>
        </w:rPr>
        <w:t xml:space="preserve"> et al.,</w:t>
      </w:r>
      <w:r w:rsidRPr="00734AB6">
        <w:rPr>
          <w:rFonts w:asciiTheme="majorHAnsi" w:hAnsiTheme="majorHAnsi" w:cs="Calibri"/>
        </w:rPr>
        <w:t xml:space="preserve"> 2014). It would seem reasonable, therefore, to argue that everyday use would lead to greater reported long-term benefits as levels of modafinil would decline to approximately 25% (i.e. two half-lives) by the time the next dose was taken, resulting in increased concentrations of modafinil in the blood. </w:t>
      </w:r>
      <w:r w:rsidRPr="00734AB6">
        <w:rPr>
          <w:rFonts w:asciiTheme="majorHAnsi" w:hAnsiTheme="majorHAnsi" w:cstheme="minorHAnsi"/>
        </w:rPr>
        <w:t>Modafinil has also been found to have an effect on the glutamate receptors of the hippocampus at ascending doses (Ferraro et al., 1997) and may well have a supportive effect on long-term potentiation and positive neuroplastic changes which could also explain the increase in longer-lasting effects in the ‘everyday’ user group.</w:t>
      </w:r>
    </w:p>
    <w:p w14:paraId="65B35285" w14:textId="3F8E29FF"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lastRenderedPageBreak/>
        <w:t>The benefits of taking methylphenidate were also found to outweigh the risks and greater immediate (as compared with longer-lasting) effects were reported. The reported immediate benefits were much greater than the reported immediate risks, whilst there was no difference between longer-lasting benefits and risks. Again, this may be an expression of the pharmacokinetic profile of methylphenidate. As methylphenidate has a very short half-life of two to three hours (</w:t>
      </w:r>
      <w:proofErr w:type="spellStart"/>
      <w:r w:rsidRPr="00734AB6">
        <w:rPr>
          <w:rFonts w:asciiTheme="majorHAnsi" w:eastAsia="Calibri" w:hAnsiTheme="majorHAnsi" w:cs="Calibri"/>
        </w:rPr>
        <w:t>Kimko</w:t>
      </w:r>
      <w:proofErr w:type="spellEnd"/>
      <w:r w:rsidRPr="00734AB6">
        <w:rPr>
          <w:rFonts w:asciiTheme="majorHAnsi" w:eastAsia="Calibri" w:hAnsiTheme="majorHAnsi" w:cs="Calibri"/>
        </w:rPr>
        <w:t xml:space="preserve"> et al., 1999), it would seem reasonable that the effects of immediate-release methylphenidate would be seen over a shorter time period, following which the drug is eliminated from the body and therefore no longer-lasting effects would be present. However, to the author’s knowledge, there are only two studies that have carried out repeated dose trials of methylphenidate on healthy subjects. Gilbert</w:t>
      </w:r>
      <w:r w:rsidR="00696BEB" w:rsidRPr="00734AB6">
        <w:rPr>
          <w:rFonts w:asciiTheme="majorHAnsi" w:eastAsia="Calibri" w:hAnsiTheme="majorHAnsi" w:cs="Calibri"/>
        </w:rPr>
        <w:t>,</w:t>
      </w:r>
      <w:r w:rsidRPr="00734AB6">
        <w:rPr>
          <w:rFonts w:asciiTheme="majorHAnsi" w:eastAsia="Calibri" w:hAnsiTheme="majorHAnsi" w:cs="Calibri"/>
        </w:rPr>
        <w:t xml:space="preserve"> </w:t>
      </w:r>
      <w:r w:rsidR="00696BEB" w:rsidRPr="00734AB6">
        <w:rPr>
          <w:rFonts w:asciiTheme="majorHAnsi" w:eastAsia="Calibri" w:hAnsiTheme="majorHAnsi" w:cs="Calibri"/>
        </w:rPr>
        <w:t xml:space="preserve">Donnelly, Zimmer and </w:t>
      </w:r>
      <w:proofErr w:type="spellStart"/>
      <w:r w:rsidR="00696BEB" w:rsidRPr="00734AB6">
        <w:rPr>
          <w:rFonts w:asciiTheme="majorHAnsi" w:eastAsia="Calibri" w:hAnsiTheme="majorHAnsi" w:cs="Calibri"/>
        </w:rPr>
        <w:t>Kubis</w:t>
      </w:r>
      <w:proofErr w:type="spellEnd"/>
      <w:r w:rsidRPr="00734AB6">
        <w:rPr>
          <w:rFonts w:asciiTheme="majorHAnsi" w:eastAsia="Calibri" w:hAnsiTheme="majorHAnsi" w:cs="Calibri"/>
        </w:rPr>
        <w:t xml:space="preserve"> (1973) found only a reduction of fatigue following six weeks of d</w:t>
      </w:r>
      <w:r w:rsidR="00C50043" w:rsidRPr="00734AB6">
        <w:rPr>
          <w:rFonts w:asciiTheme="majorHAnsi" w:eastAsia="Calibri" w:hAnsiTheme="majorHAnsi" w:cs="Calibri"/>
        </w:rPr>
        <w:t xml:space="preserve">aily methylphenidate use. </w:t>
      </w:r>
      <w:proofErr w:type="spellStart"/>
      <w:r w:rsidR="00C50043" w:rsidRPr="00734AB6">
        <w:rPr>
          <w:rFonts w:asciiTheme="majorHAnsi" w:eastAsia="Calibri" w:hAnsiTheme="majorHAnsi" w:cs="Calibri"/>
        </w:rPr>
        <w:t>Gobbi</w:t>
      </w:r>
      <w:proofErr w:type="spellEnd"/>
      <w:r w:rsidR="00C50043" w:rsidRPr="00734AB6">
        <w:rPr>
          <w:rFonts w:asciiTheme="majorHAnsi" w:eastAsia="Calibri" w:hAnsiTheme="majorHAnsi" w:cs="Calibri"/>
        </w:rPr>
        <w:t xml:space="preserve">, Slater, Boucher, </w:t>
      </w:r>
      <w:proofErr w:type="spellStart"/>
      <w:r w:rsidR="00C50043" w:rsidRPr="00734AB6">
        <w:rPr>
          <w:rFonts w:asciiTheme="majorHAnsi" w:eastAsia="Calibri" w:hAnsiTheme="majorHAnsi" w:cs="Calibri"/>
        </w:rPr>
        <w:t>Debonnel</w:t>
      </w:r>
      <w:proofErr w:type="spellEnd"/>
      <w:r w:rsidR="00C50043" w:rsidRPr="00734AB6">
        <w:rPr>
          <w:rFonts w:asciiTheme="majorHAnsi" w:eastAsia="Calibri" w:hAnsiTheme="majorHAnsi" w:cs="Calibri"/>
        </w:rPr>
        <w:t xml:space="preserve"> and </w:t>
      </w:r>
      <w:proofErr w:type="spellStart"/>
      <w:r w:rsidR="00C50043" w:rsidRPr="00734AB6">
        <w:rPr>
          <w:rFonts w:asciiTheme="majorHAnsi" w:eastAsia="Calibri" w:hAnsiTheme="majorHAnsi" w:cs="Calibri"/>
        </w:rPr>
        <w:t>Blier</w:t>
      </w:r>
      <w:proofErr w:type="spellEnd"/>
      <w:r w:rsidR="00C50043" w:rsidRPr="00734AB6">
        <w:rPr>
          <w:rFonts w:asciiTheme="majorHAnsi" w:eastAsia="Calibri" w:hAnsiTheme="majorHAnsi" w:cs="Calibri"/>
        </w:rPr>
        <w:t xml:space="preserve"> </w:t>
      </w:r>
      <w:r w:rsidRPr="00734AB6">
        <w:rPr>
          <w:rFonts w:asciiTheme="majorHAnsi" w:eastAsia="Calibri" w:hAnsiTheme="majorHAnsi" w:cs="Calibri"/>
        </w:rPr>
        <w:t xml:space="preserve">(2003) reported one subjective effect of increased energy following one week of methylphenidate use. However, methylphenidate was used as a control by </w:t>
      </w:r>
      <w:proofErr w:type="spellStart"/>
      <w:r w:rsidRPr="00734AB6">
        <w:rPr>
          <w:rFonts w:asciiTheme="majorHAnsi" w:eastAsia="Calibri" w:hAnsiTheme="majorHAnsi" w:cs="Calibri"/>
        </w:rPr>
        <w:t>Gobbi</w:t>
      </w:r>
      <w:proofErr w:type="spellEnd"/>
      <w:r w:rsidRPr="00734AB6">
        <w:rPr>
          <w:rFonts w:asciiTheme="majorHAnsi" w:eastAsia="Calibri" w:hAnsiTheme="majorHAnsi" w:cs="Calibri"/>
        </w:rPr>
        <w:t xml:space="preserve"> et al.,</w:t>
      </w:r>
      <w:r w:rsidR="005F1410" w:rsidRPr="00734AB6">
        <w:rPr>
          <w:rFonts w:asciiTheme="majorHAnsi" w:eastAsia="Calibri" w:hAnsiTheme="majorHAnsi" w:cs="Calibri"/>
        </w:rPr>
        <w:t xml:space="preserve"> (2003)</w:t>
      </w:r>
      <w:r w:rsidRPr="00734AB6">
        <w:rPr>
          <w:rFonts w:asciiTheme="majorHAnsi" w:eastAsia="Calibri" w:hAnsiTheme="majorHAnsi" w:cs="Calibri"/>
        </w:rPr>
        <w:t xml:space="preserve"> as the focus of their paper was on another drug. The lack of reported longer-lasting effects of methylphenidate in the current study is consistent with the profile of the immediate-release formula. Nevertheless, a limitation of this study is that the survey did not include questions relating to methylphenidate formulations, whether extended- or immediate-release tablets were used. This would have an effect on the dosage used and the experience of the drug, for example, whether one 20mg extended-release dose was used or a single 20mg immediate-release dose, which would have a much stronger effect for a shorter period of time. Therefore, the findings in relation to methylphenidate must be treated with caution.  </w:t>
      </w:r>
    </w:p>
    <w:p w14:paraId="2B7196CD" w14:textId="106F8C17" w:rsidR="009C7702" w:rsidRPr="00734AB6" w:rsidRDefault="00B72C47" w:rsidP="0099584D">
      <w:pPr>
        <w:spacing w:line="360" w:lineRule="auto"/>
        <w:ind w:firstLine="851"/>
        <w:rPr>
          <w:rFonts w:asciiTheme="majorHAnsi" w:eastAsia="Calibri" w:hAnsiTheme="majorHAnsi" w:cs="Calibri"/>
        </w:rPr>
      </w:pPr>
      <w:r w:rsidRPr="00734AB6">
        <w:rPr>
          <w:rFonts w:asciiTheme="majorHAnsi" w:eastAsia="Calibri" w:hAnsiTheme="majorHAnsi" w:cs="Calibri"/>
        </w:rPr>
        <w:t>F</w:t>
      </w:r>
      <w:r w:rsidR="009C7702" w:rsidRPr="00734AB6">
        <w:rPr>
          <w:rFonts w:asciiTheme="majorHAnsi" w:eastAsia="Calibri" w:hAnsiTheme="majorHAnsi" w:cs="Calibri"/>
        </w:rPr>
        <w:t>rom the current results,</w:t>
      </w:r>
      <w:r w:rsidRPr="00734AB6">
        <w:rPr>
          <w:rFonts w:asciiTheme="majorHAnsi" w:eastAsia="Calibri" w:hAnsiTheme="majorHAnsi" w:cs="Calibri"/>
        </w:rPr>
        <w:t xml:space="preserve"> it would</w:t>
      </w:r>
      <w:r w:rsidR="007455D3" w:rsidRPr="00734AB6">
        <w:rPr>
          <w:rFonts w:asciiTheme="majorHAnsi" w:eastAsia="Calibri" w:hAnsiTheme="majorHAnsi" w:cs="Calibri"/>
        </w:rPr>
        <w:t xml:space="preserve"> </w:t>
      </w:r>
      <w:r w:rsidRPr="00734AB6">
        <w:rPr>
          <w:rFonts w:asciiTheme="majorHAnsi" w:eastAsia="Calibri" w:hAnsiTheme="majorHAnsi" w:cs="Calibri"/>
        </w:rPr>
        <w:t>seem</w:t>
      </w:r>
      <w:r w:rsidR="009C7702" w:rsidRPr="00734AB6">
        <w:rPr>
          <w:rFonts w:asciiTheme="majorHAnsi" w:eastAsia="Calibri" w:hAnsiTheme="majorHAnsi" w:cs="Calibri"/>
        </w:rPr>
        <w:t xml:space="preserve"> that the reported daily use of modafinil was found to provide the greatest perceived cognitive benefits, both immediate and longer-lasting, with a minor risk of adverse effects, whereas methylphenidate was perceived to be more of a ‘quick fix’ with no significant reported longer-lasting benefits. However, it should also be noted that the findings of online surveys can only provide a certain level of insight. The weakness of the survey method of investigation has already been discussed in the introduction of this chapter. Whilst this weakness must be acknowledged, the current study has offered useful insights into the perceived effects of both drugs and is comparable with the approach taken in other studies (Morgan,</w:t>
      </w:r>
      <w:r w:rsidR="00FC4AB4" w:rsidRPr="00734AB6">
        <w:rPr>
          <w:rFonts w:asciiTheme="majorHAnsi" w:eastAsia="Calibri" w:hAnsiTheme="majorHAnsi" w:cs="Calibri"/>
        </w:rPr>
        <w:t xml:space="preserve"> Noronha, </w:t>
      </w:r>
      <w:proofErr w:type="spellStart"/>
      <w:r w:rsidR="00FC4AB4" w:rsidRPr="00734AB6">
        <w:rPr>
          <w:rFonts w:asciiTheme="majorHAnsi" w:eastAsia="Calibri" w:hAnsiTheme="majorHAnsi" w:cs="Calibri"/>
        </w:rPr>
        <w:t>Muetzelfeldt</w:t>
      </w:r>
      <w:proofErr w:type="spellEnd"/>
      <w:r w:rsidR="00FC4AB4" w:rsidRPr="00734AB6">
        <w:rPr>
          <w:rFonts w:asciiTheme="majorHAnsi" w:eastAsia="Calibri" w:hAnsiTheme="majorHAnsi" w:cs="Calibri"/>
        </w:rPr>
        <w:t xml:space="preserve">, Fielding &amp; Curran, </w:t>
      </w:r>
      <w:r w:rsidR="009C7702" w:rsidRPr="00734AB6">
        <w:rPr>
          <w:rFonts w:asciiTheme="majorHAnsi" w:eastAsia="Calibri" w:hAnsiTheme="majorHAnsi" w:cs="Calibri"/>
        </w:rPr>
        <w:t xml:space="preserve">2013; Singh et al., 2014). </w:t>
      </w:r>
    </w:p>
    <w:p w14:paraId="3FB3122F" w14:textId="50D4E22C"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One-quarter of respondents reported having been diagnosed with a psychiatric condition and a large number of those stated that they were diagnosed with depression, anxiety or both. Prevalence of mental health problems varies from country to country, by </w:t>
      </w:r>
      <w:r w:rsidR="00F134F8">
        <w:rPr>
          <w:rFonts w:asciiTheme="majorHAnsi" w:eastAsia="Calibri" w:hAnsiTheme="majorHAnsi" w:cs="Calibri"/>
        </w:rPr>
        <w:t>gender</w:t>
      </w:r>
      <w:r w:rsidR="00BC6247" w:rsidRPr="00734AB6">
        <w:rPr>
          <w:rFonts w:asciiTheme="majorHAnsi" w:eastAsia="Calibri" w:hAnsiTheme="majorHAnsi" w:cs="Calibri"/>
        </w:rPr>
        <w:t xml:space="preserve"> </w:t>
      </w:r>
      <w:r w:rsidRPr="00734AB6">
        <w:rPr>
          <w:rFonts w:asciiTheme="majorHAnsi" w:eastAsia="Calibri" w:hAnsiTheme="majorHAnsi" w:cs="Calibri"/>
        </w:rPr>
        <w:t xml:space="preserve">and by age group making direct comparisons from this study to the general population difficult. Rates of diagnosis among CED users do, however, seem to be higher than the 17.9% (of all adults in the USA) stated in the 2015 National (USA) Survey on Drug Use and Mental Health (Bose et al., 2016). </w:t>
      </w:r>
      <w:r w:rsidRPr="00734AB6">
        <w:rPr>
          <w:rFonts w:asciiTheme="majorHAnsi" w:eastAsia="Calibri" w:hAnsiTheme="majorHAnsi" w:cs="Calibri"/>
        </w:rPr>
        <w:lastRenderedPageBreak/>
        <w:t xml:space="preserve">One possible reason for this finding could be self-medication for fatigue and confusion. It is believed that deficiencies in DA, NE and serotonin underpin major depressive disorder (Montgomery, 2008). As both modafinil and methylphenidate intake results in higher levels of both DA and NE, and modafinil intake also results in higher levels of serotonin, it seems quite possible that the benefits of these drugs experienced by individuals with a psychiatric disorder may be due to the poorer functioning of these neurotransmitter systems. As reported by Cools et al. (2008) and Finke et al. (2010), low baseline performers (who are believed to have lower rates of DA synthesis) demonstrate much greater cognitive-enhancing effects of modafinil and methylphenidate. It seems plausible that people with potentially dysfunctional DA and NE systems may also perceive these drugs as beneficial. </w:t>
      </w:r>
    </w:p>
    <w:p w14:paraId="53CD7B80" w14:textId="57F2098A"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finding that people with a psychiatric diagnosis reported reduced immediate benefits of modafinil was, therefore, surprising. Modafinil has shown some efficacy for treating depression (Price &amp; Taylor, 2005), although such studies usually involve daily administration of 200mg modafinil for six to eight weeks. The data reported in the current study are on the perceived effects of acute or one-off, non-prescribed use. One potential explanation for </w:t>
      </w:r>
      <w:r w:rsidR="00A130BC" w:rsidRPr="00734AB6">
        <w:rPr>
          <w:rFonts w:asciiTheme="majorHAnsi" w:eastAsia="Calibri" w:hAnsiTheme="majorHAnsi" w:cs="Calibri"/>
        </w:rPr>
        <w:t>the reported reduced immediate benefits</w:t>
      </w:r>
      <w:r w:rsidRPr="00734AB6">
        <w:rPr>
          <w:rFonts w:asciiTheme="majorHAnsi" w:eastAsia="Calibri" w:hAnsiTheme="majorHAnsi" w:cs="Calibri"/>
        </w:rPr>
        <w:t xml:space="preserve"> could be that the dysfunction in serotonergic, noradrenergic and dopaminergic systems associated with depression, anxiety and other psychiatric diagnoses (Dunlop &amp; </w:t>
      </w:r>
      <w:proofErr w:type="spellStart"/>
      <w:r w:rsidRPr="00734AB6">
        <w:rPr>
          <w:rFonts w:asciiTheme="majorHAnsi" w:eastAsia="Calibri" w:hAnsiTheme="majorHAnsi" w:cs="Calibri"/>
        </w:rPr>
        <w:t>Nemeroff</w:t>
      </w:r>
      <w:proofErr w:type="spellEnd"/>
      <w:r w:rsidRPr="00734AB6">
        <w:rPr>
          <w:rFonts w:asciiTheme="majorHAnsi" w:eastAsia="Calibri" w:hAnsiTheme="majorHAnsi" w:cs="Calibri"/>
        </w:rPr>
        <w:t xml:space="preserve">, 2007; Ressler &amp; </w:t>
      </w:r>
      <w:proofErr w:type="spellStart"/>
      <w:r w:rsidRPr="00734AB6">
        <w:rPr>
          <w:rFonts w:asciiTheme="majorHAnsi" w:eastAsia="Calibri" w:hAnsiTheme="majorHAnsi" w:cs="Calibri"/>
        </w:rPr>
        <w:t>Nemeroff</w:t>
      </w:r>
      <w:proofErr w:type="spellEnd"/>
      <w:r w:rsidRPr="00734AB6">
        <w:rPr>
          <w:rFonts w:asciiTheme="majorHAnsi" w:eastAsia="Calibri" w:hAnsiTheme="majorHAnsi" w:cs="Calibri"/>
        </w:rPr>
        <w:t>, 2000) attenuates, rather than enhances, the acute effects of modafinil. It is difficult to explore this explanation further without more detailed information on the psychiatric history of these respondents. There may also be interactions between some medications taken for anxiety or depression and modafinil, similar to the reduced subjective effects of MDMA reported by people taking selective s</w:t>
      </w:r>
      <w:r w:rsidR="00A9210E" w:rsidRPr="00734AB6">
        <w:rPr>
          <w:rFonts w:asciiTheme="majorHAnsi" w:eastAsia="Calibri" w:hAnsiTheme="majorHAnsi" w:cs="Calibri"/>
        </w:rPr>
        <w:t>erotonin reuptake inhibitors (</w:t>
      </w:r>
      <w:proofErr w:type="spellStart"/>
      <w:r w:rsidR="00A9210E" w:rsidRPr="00734AB6">
        <w:rPr>
          <w:rFonts w:asciiTheme="majorHAnsi" w:eastAsia="Calibri" w:hAnsiTheme="majorHAnsi" w:cs="Calibri"/>
        </w:rPr>
        <w:t>L</w:t>
      </w:r>
      <w:r w:rsidRPr="00734AB6">
        <w:rPr>
          <w:rFonts w:asciiTheme="majorHAnsi" w:eastAsia="Calibri" w:hAnsiTheme="majorHAnsi" w:cs="Calibri"/>
        </w:rPr>
        <w:t>i</w:t>
      </w:r>
      <w:r w:rsidR="00A9210E" w:rsidRPr="00734AB6">
        <w:rPr>
          <w:rFonts w:asciiTheme="majorHAnsi" w:eastAsia="Calibri" w:hAnsiTheme="majorHAnsi" w:cs="Calibri"/>
        </w:rPr>
        <w:t>e</w:t>
      </w:r>
      <w:r w:rsidRPr="00734AB6">
        <w:rPr>
          <w:rFonts w:asciiTheme="majorHAnsi" w:eastAsia="Calibri" w:hAnsiTheme="majorHAnsi" w:cs="Calibri"/>
        </w:rPr>
        <w:t>chti</w:t>
      </w:r>
      <w:proofErr w:type="spellEnd"/>
      <w:r w:rsidRPr="00734AB6">
        <w:rPr>
          <w:rFonts w:asciiTheme="majorHAnsi" w:eastAsia="Calibri" w:hAnsiTheme="majorHAnsi" w:cs="Calibri"/>
        </w:rPr>
        <w:t xml:space="preserve"> &amp; </w:t>
      </w:r>
      <w:proofErr w:type="spellStart"/>
      <w:r w:rsidRPr="00734AB6">
        <w:rPr>
          <w:rFonts w:asciiTheme="majorHAnsi" w:eastAsia="Calibri" w:hAnsiTheme="majorHAnsi" w:cs="Calibri"/>
        </w:rPr>
        <w:t>Vollenweider</w:t>
      </w:r>
      <w:proofErr w:type="spellEnd"/>
      <w:r w:rsidRPr="00734AB6">
        <w:rPr>
          <w:rFonts w:asciiTheme="majorHAnsi" w:eastAsia="Calibri" w:hAnsiTheme="majorHAnsi" w:cs="Calibri"/>
        </w:rPr>
        <w:t xml:space="preserve">, 2001). Again, detailed information on the current use of prescribed medication was not collected in the current study. However, it does seem plausible that the subjective effects of modafinil, a drug with a seemingly unique, complex and not fully understood pharmacological mechanism of action, may be influenced by pre-existing differences in the functioning of neurotransmitter systems and/or concurrent use of other drugs or medication. </w:t>
      </w:r>
    </w:p>
    <w:p w14:paraId="0D07C2F5" w14:textId="7E8F9D3C" w:rsidR="009C7702" w:rsidRPr="00734AB6" w:rsidRDefault="009C7702" w:rsidP="0099584D">
      <w:pPr>
        <w:spacing w:line="360" w:lineRule="auto"/>
        <w:ind w:firstLine="851"/>
        <w:rPr>
          <w:rFonts w:asciiTheme="majorHAnsi" w:eastAsia="Calibri" w:hAnsiTheme="majorHAnsi" w:cs="Calibri"/>
        </w:rPr>
      </w:pPr>
      <w:r w:rsidRPr="00734AB6">
        <w:rPr>
          <w:rFonts w:asciiTheme="majorHAnsi" w:hAnsiTheme="majorHAnsi" w:cs="Calibri"/>
        </w:rPr>
        <w:t xml:space="preserve">As would be expected from the recruitment of respondents via online drug user forums, the levels of reported illicit drug use in the sample were high. The </w:t>
      </w:r>
      <w:r w:rsidRPr="00734AB6">
        <w:rPr>
          <w:rFonts w:asciiTheme="majorHAnsi" w:eastAsia="Calibri" w:hAnsiTheme="majorHAnsi" w:cs="Calibri"/>
        </w:rPr>
        <w:t>reported lifetime use of cannabis was much higher than among the general population of Europe and America as represented by data from the European Monitoring Centre for Drugs and Drug Addiction (EMCDDA, 2013) and the National Institute of Drug Abuse (NIDA, 2015) from America. Comp</w:t>
      </w:r>
      <w:r w:rsidR="00B73FC0" w:rsidRPr="00734AB6">
        <w:rPr>
          <w:rFonts w:asciiTheme="majorHAnsi" w:eastAsia="Calibri" w:hAnsiTheme="majorHAnsi" w:cs="Calibri"/>
        </w:rPr>
        <w:t>ared with data from the EMCDDA and NIDA</w:t>
      </w:r>
      <w:r w:rsidRPr="00734AB6">
        <w:rPr>
          <w:rFonts w:asciiTheme="majorHAnsi" w:eastAsia="Calibri" w:hAnsiTheme="majorHAnsi" w:cs="Calibri"/>
        </w:rPr>
        <w:t>, the data from the survey reported in the current chapter reveal markedly higher illicit drug use in all four categories of illicit drugs. These findings are consistent with those of Ott and Biller-</w:t>
      </w:r>
      <w:proofErr w:type="spellStart"/>
      <w:r w:rsidRPr="00734AB6">
        <w:rPr>
          <w:rFonts w:asciiTheme="majorHAnsi" w:eastAsia="Calibri" w:hAnsiTheme="majorHAnsi" w:cs="Calibri"/>
        </w:rPr>
        <w:t>Andorno</w:t>
      </w:r>
      <w:proofErr w:type="spellEnd"/>
      <w:r w:rsidRPr="00734AB6">
        <w:rPr>
          <w:rFonts w:asciiTheme="majorHAnsi" w:eastAsia="Calibri" w:hAnsiTheme="majorHAnsi" w:cs="Calibri"/>
        </w:rPr>
        <w:t xml:space="preserve"> (2014) who reported very similar percentages of </w:t>
      </w:r>
      <w:r w:rsidRPr="00734AB6">
        <w:rPr>
          <w:rFonts w:asciiTheme="majorHAnsi" w:eastAsia="Calibri" w:hAnsiTheme="majorHAnsi" w:cs="Calibri"/>
        </w:rPr>
        <w:lastRenderedPageBreak/>
        <w:t xml:space="preserve">lifetime illicit drug use among CED users. A Swiss study of CED use also reported high levels of illicit drug use, although not as high as the data in the current study (Maier et al., 2016). </w:t>
      </w:r>
      <w:r w:rsidRPr="00734AB6">
        <w:rPr>
          <w:rFonts w:asciiTheme="majorHAnsi" w:hAnsiTheme="majorHAnsi" w:cs="Calibri"/>
        </w:rPr>
        <w:t xml:space="preserve">The findings of the current study may indicate, as suggested earlier, that illicit drug users are more likely to take CEDs since they report being more open to taking drugs in general. Conversely, </w:t>
      </w:r>
      <w:r w:rsidRPr="00734AB6">
        <w:rPr>
          <w:rFonts w:asciiTheme="majorHAnsi" w:eastAsia="Calibri" w:hAnsiTheme="majorHAnsi" w:cs="Calibri"/>
        </w:rPr>
        <w:t>although this may reflect the specific drug population targeted, it does suggest that those who are taking CEDs tend to use recreational drugs as well.</w:t>
      </w:r>
    </w:p>
    <w:p w14:paraId="7DCEE23A" w14:textId="66B296FB"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Cannabis use was not </w:t>
      </w:r>
      <w:r w:rsidR="00492DA9" w:rsidRPr="00734AB6">
        <w:rPr>
          <w:rFonts w:asciiTheme="majorHAnsi" w:eastAsia="Calibri" w:hAnsiTheme="majorHAnsi" w:cs="Calibri"/>
        </w:rPr>
        <w:t xml:space="preserve">found to be </w:t>
      </w:r>
      <w:r w:rsidRPr="00734AB6">
        <w:rPr>
          <w:rFonts w:asciiTheme="majorHAnsi" w:eastAsia="Calibri" w:hAnsiTheme="majorHAnsi" w:cs="Calibri"/>
        </w:rPr>
        <w:t xml:space="preserve">related to perceived effects of modafinil and methylphenidate. There is, therefore, no evidence from this study that people are using CEDs to ameliorate the sedative or impairing effects of smoking cannabis. Users of cocaine, MDMA and amphetamine reported more immediate benefits from methylphenidate. Amphetamine users also reported more immediate benefits of modafinil. The majority of these findings relate to lifetime use of the drug, not use in the last year, suggesting that this may be related to individual differences in the perceived effects of stimulant drugs. Users of recreational drugs do tend to show higher scores on some personality measures, such as impulsivity, sensation seeking and reward sensitivity (e.g. </w:t>
      </w:r>
      <w:proofErr w:type="spellStart"/>
      <w:r w:rsidRPr="00734AB6">
        <w:rPr>
          <w:rFonts w:asciiTheme="majorHAnsi" w:eastAsia="Calibri" w:hAnsiTheme="majorHAnsi" w:cs="Calibri"/>
        </w:rPr>
        <w:t>Daumann</w:t>
      </w:r>
      <w:proofErr w:type="spellEnd"/>
      <w:r w:rsidR="00FB5A18" w:rsidRPr="00734AB6">
        <w:rPr>
          <w:rFonts w:asciiTheme="majorHAnsi" w:eastAsia="Calibri" w:hAnsiTheme="majorHAnsi" w:cs="Calibri"/>
        </w:rPr>
        <w:t xml:space="preserve">, </w:t>
      </w:r>
      <w:proofErr w:type="spellStart"/>
      <w:r w:rsidR="00FB5A18" w:rsidRPr="00734AB6">
        <w:rPr>
          <w:rFonts w:asciiTheme="majorHAnsi" w:eastAsia="Calibri" w:hAnsiTheme="majorHAnsi" w:cs="Calibri"/>
        </w:rPr>
        <w:t>Pelz</w:t>
      </w:r>
      <w:proofErr w:type="spellEnd"/>
      <w:r w:rsidR="00FB5A18" w:rsidRPr="00734AB6">
        <w:rPr>
          <w:rFonts w:asciiTheme="majorHAnsi" w:eastAsia="Calibri" w:hAnsiTheme="majorHAnsi" w:cs="Calibri"/>
        </w:rPr>
        <w:t xml:space="preserve">, Becker, </w:t>
      </w:r>
      <w:proofErr w:type="spellStart"/>
      <w:r w:rsidR="00FB5A18" w:rsidRPr="00734AB6">
        <w:rPr>
          <w:rFonts w:asciiTheme="majorHAnsi" w:eastAsia="Calibri" w:hAnsiTheme="majorHAnsi" w:cs="Calibri"/>
        </w:rPr>
        <w:t>Tuchtenhagen</w:t>
      </w:r>
      <w:proofErr w:type="spellEnd"/>
      <w:r w:rsidR="00FB5A18" w:rsidRPr="00734AB6">
        <w:rPr>
          <w:rFonts w:asciiTheme="majorHAnsi" w:eastAsia="Calibri" w:hAnsiTheme="majorHAnsi" w:cs="Calibri"/>
        </w:rPr>
        <w:t xml:space="preserve"> &amp; </w:t>
      </w:r>
      <w:proofErr w:type="spellStart"/>
      <w:r w:rsidR="00FB5A18" w:rsidRPr="00734AB6">
        <w:rPr>
          <w:rFonts w:asciiTheme="majorHAnsi" w:eastAsia="Calibri" w:hAnsiTheme="majorHAnsi" w:cs="Calibri"/>
        </w:rPr>
        <w:t>Gouzoulis-Mayfrank</w:t>
      </w:r>
      <w:proofErr w:type="spellEnd"/>
      <w:r w:rsidR="00FB5A18" w:rsidRPr="00734AB6">
        <w:rPr>
          <w:rFonts w:asciiTheme="majorHAnsi" w:eastAsia="Calibri" w:hAnsiTheme="majorHAnsi" w:cs="Calibri"/>
        </w:rPr>
        <w:t>,</w:t>
      </w:r>
      <w:r w:rsidRPr="00734AB6">
        <w:rPr>
          <w:rFonts w:asciiTheme="majorHAnsi" w:eastAsia="Calibri" w:hAnsiTheme="majorHAnsi" w:cs="Calibri"/>
        </w:rPr>
        <w:t xml:space="preserve"> </w:t>
      </w:r>
      <w:r w:rsidR="00FB5A18" w:rsidRPr="00734AB6">
        <w:rPr>
          <w:rFonts w:asciiTheme="majorHAnsi" w:eastAsia="Calibri" w:hAnsiTheme="majorHAnsi" w:cs="Calibri"/>
        </w:rPr>
        <w:t xml:space="preserve">2001; Patton, Stanford &amp; Barratt, </w:t>
      </w:r>
      <w:r w:rsidRPr="00734AB6">
        <w:rPr>
          <w:rFonts w:asciiTheme="majorHAnsi" w:eastAsia="Calibri" w:hAnsiTheme="majorHAnsi" w:cs="Calibri"/>
        </w:rPr>
        <w:t>1995; Wills</w:t>
      </w:r>
      <w:r w:rsidR="00FB5A18" w:rsidRPr="00734AB6">
        <w:rPr>
          <w:rFonts w:asciiTheme="majorHAnsi" w:eastAsia="Calibri" w:hAnsiTheme="majorHAnsi" w:cs="Calibri"/>
        </w:rPr>
        <w:t>, Vaccaro &amp; McNamara,</w:t>
      </w:r>
      <w:r w:rsidRPr="00734AB6">
        <w:rPr>
          <w:rFonts w:asciiTheme="majorHAnsi" w:eastAsia="Calibri" w:hAnsiTheme="majorHAnsi" w:cs="Calibri"/>
        </w:rPr>
        <w:t xml:space="preserve"> 1994) and people who display these personality traits may also show enhanced responses to stimulant drugs. For example, Kirkpatrick</w:t>
      </w:r>
      <w:r w:rsidR="008047AD" w:rsidRPr="00734AB6">
        <w:rPr>
          <w:rFonts w:asciiTheme="majorHAnsi" w:eastAsia="Calibri" w:hAnsiTheme="majorHAnsi" w:cs="Calibri"/>
        </w:rPr>
        <w:t xml:space="preserve">, </w:t>
      </w:r>
      <w:proofErr w:type="spellStart"/>
      <w:r w:rsidR="008047AD" w:rsidRPr="00734AB6">
        <w:rPr>
          <w:rFonts w:asciiTheme="majorHAnsi" w:eastAsia="Calibri" w:hAnsiTheme="majorHAnsi" w:cs="Calibri"/>
        </w:rPr>
        <w:t>Johanson</w:t>
      </w:r>
      <w:proofErr w:type="spellEnd"/>
      <w:r w:rsidR="008047AD" w:rsidRPr="00734AB6">
        <w:rPr>
          <w:rFonts w:asciiTheme="majorHAnsi" w:eastAsia="Calibri" w:hAnsiTheme="majorHAnsi" w:cs="Calibri"/>
        </w:rPr>
        <w:t xml:space="preserve"> &amp; de Wit,</w:t>
      </w:r>
      <w:r w:rsidRPr="00734AB6">
        <w:rPr>
          <w:rFonts w:asciiTheme="majorHAnsi" w:eastAsia="Calibri" w:hAnsiTheme="majorHAnsi" w:cs="Calibri"/>
        </w:rPr>
        <w:t xml:space="preserve"> (2013) found that the personality traits of impulsivity, reward sensitivity and physical fearlessness (harm non-avoidance) predict subjective responses to amphetamines. Kelly et al. (2009) reported that people who score highly on sensation seeking also report greater subjective effects of amphetamine. The data from the current study appear to support these experimental studies. Enhanced subjective effects of CEDs were seen amongst recreational users of stimulant drugs outside of laboratory conditions. </w:t>
      </w:r>
    </w:p>
    <w:p w14:paraId="04C9D83D" w14:textId="6C571371"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finding that reported modafinil and methylphenidate off-prescription users did not rate themselves as poorer on prospective and retrospective memory compared to population norms suggests that this aspect of their cognitive performance is not causing these respondents problems. </w:t>
      </w:r>
      <w:r w:rsidR="00136615" w:rsidRPr="00734AB6">
        <w:rPr>
          <w:rFonts w:asciiTheme="majorHAnsi" w:eastAsia="Calibri" w:hAnsiTheme="majorHAnsi" w:cs="Calibri"/>
        </w:rPr>
        <w:t>Perhaps</w:t>
      </w:r>
      <w:r w:rsidRPr="00734AB6">
        <w:rPr>
          <w:rFonts w:asciiTheme="majorHAnsi" w:eastAsia="Calibri" w:hAnsiTheme="majorHAnsi" w:cs="Calibri"/>
        </w:rPr>
        <w:t xml:space="preserve"> the PRMQ was not the most appropriate questionnaire to use. The most commonly selected motivations for use were for attention and focus. It may be then that these are the cognitive processes which are experienced as poor. </w:t>
      </w:r>
      <w:proofErr w:type="spellStart"/>
      <w:r w:rsidRPr="00734AB6">
        <w:rPr>
          <w:rFonts w:asciiTheme="majorHAnsi" w:eastAsia="Calibri" w:hAnsiTheme="majorHAnsi" w:cs="Calibri"/>
        </w:rPr>
        <w:t>Ilieva</w:t>
      </w:r>
      <w:proofErr w:type="spellEnd"/>
      <w:r w:rsidRPr="00734AB6">
        <w:rPr>
          <w:rFonts w:asciiTheme="majorHAnsi" w:eastAsia="Calibri" w:hAnsiTheme="majorHAnsi" w:cs="Calibri"/>
        </w:rPr>
        <w:t xml:space="preserve"> and Farah (2015) reported low attention functioning and lower motivation in off-prescription users of ADHD mediations compared with controls using the </w:t>
      </w:r>
      <w:r w:rsidRPr="00734AB6">
        <w:rPr>
          <w:rFonts w:asciiTheme="majorHAnsi" w:hAnsiTheme="majorHAnsi"/>
        </w:rPr>
        <w:t xml:space="preserve">Murphy and Barkley </w:t>
      </w:r>
      <w:r w:rsidR="00C84193" w:rsidRPr="00734AB6">
        <w:rPr>
          <w:rFonts w:asciiTheme="majorHAnsi" w:hAnsiTheme="majorHAnsi"/>
        </w:rPr>
        <w:t>Diagnostic and Statistical Manual of Mental Disorders 4 (</w:t>
      </w:r>
      <w:r w:rsidRPr="00734AB6">
        <w:rPr>
          <w:rFonts w:asciiTheme="majorHAnsi" w:hAnsiTheme="majorHAnsi"/>
        </w:rPr>
        <w:t>DSM-IV</w:t>
      </w:r>
      <w:r w:rsidR="00C84193" w:rsidRPr="00734AB6">
        <w:rPr>
          <w:rFonts w:asciiTheme="majorHAnsi" w:hAnsiTheme="majorHAnsi"/>
        </w:rPr>
        <w:t>)</w:t>
      </w:r>
      <w:r w:rsidRPr="00734AB6">
        <w:rPr>
          <w:rFonts w:asciiTheme="majorHAnsi" w:hAnsiTheme="majorHAnsi"/>
        </w:rPr>
        <w:t xml:space="preserve"> ADHD Checklist (1995)</w:t>
      </w:r>
      <w:r w:rsidRPr="00734AB6">
        <w:rPr>
          <w:rFonts w:asciiTheme="majorHAnsi" w:eastAsia="Calibri" w:hAnsiTheme="majorHAnsi" w:cs="Calibri"/>
        </w:rPr>
        <w:t xml:space="preserve"> self-report measure and the </w:t>
      </w:r>
      <w:r w:rsidRPr="00734AB6">
        <w:rPr>
          <w:rFonts w:asciiTheme="majorHAnsi" w:hAnsiTheme="majorHAnsi"/>
        </w:rPr>
        <w:t xml:space="preserve">TOVA </w:t>
      </w:r>
      <w:r w:rsidR="00D14243" w:rsidRPr="00734AB6">
        <w:rPr>
          <w:rFonts w:asciiTheme="majorHAnsi" w:hAnsiTheme="majorHAnsi"/>
        </w:rPr>
        <w:t>(</w:t>
      </w:r>
      <w:r w:rsidRPr="00734AB6">
        <w:rPr>
          <w:rFonts w:asciiTheme="majorHAnsi" w:hAnsiTheme="majorHAnsi"/>
        </w:rPr>
        <w:t xml:space="preserve">Greenberg, 1990) </w:t>
      </w:r>
      <w:r w:rsidRPr="00734AB6">
        <w:rPr>
          <w:rFonts w:asciiTheme="majorHAnsi" w:eastAsia="Calibri" w:hAnsiTheme="majorHAnsi" w:cs="Calibri"/>
        </w:rPr>
        <w:t>objective measure. However, another very common motivation was ‘to get more done’</w:t>
      </w:r>
      <w:r w:rsidR="00492DA9" w:rsidRPr="00734AB6">
        <w:rPr>
          <w:rFonts w:asciiTheme="majorHAnsi" w:eastAsia="Calibri" w:hAnsiTheme="majorHAnsi" w:cs="Calibri"/>
        </w:rPr>
        <w:t>,</w:t>
      </w:r>
      <w:r w:rsidRPr="00734AB6">
        <w:rPr>
          <w:rFonts w:asciiTheme="majorHAnsi" w:eastAsia="Calibri" w:hAnsiTheme="majorHAnsi" w:cs="Calibri"/>
        </w:rPr>
        <w:t xml:space="preserve"> suggesting that without modafinil or methylphenidate, it was perceived that not enough was being accomplished. This may suggest a lack of motivation or an element of procrastination. This was also reported by </w:t>
      </w:r>
      <w:proofErr w:type="spellStart"/>
      <w:r w:rsidRPr="00734AB6">
        <w:rPr>
          <w:rFonts w:asciiTheme="majorHAnsi" w:eastAsia="Calibri" w:hAnsiTheme="majorHAnsi" w:cs="Calibri"/>
        </w:rPr>
        <w:t>Ilieva</w:t>
      </w:r>
      <w:proofErr w:type="spellEnd"/>
      <w:r w:rsidRPr="00734AB6">
        <w:rPr>
          <w:rFonts w:asciiTheme="majorHAnsi" w:eastAsia="Calibri" w:hAnsiTheme="majorHAnsi" w:cs="Calibri"/>
        </w:rPr>
        <w:t xml:space="preserve"> and Farah, following the TOVA, participants </w:t>
      </w:r>
      <w:r w:rsidRPr="00734AB6">
        <w:rPr>
          <w:rFonts w:asciiTheme="majorHAnsi" w:eastAsia="Calibri" w:hAnsiTheme="majorHAnsi" w:cs="Calibri"/>
        </w:rPr>
        <w:lastRenderedPageBreak/>
        <w:t xml:space="preserve">provided their self-reports on their motivation during the test and results showed that CED users reported lower motivation compared with controls. Additionally, Petersen, Norgaard and </w:t>
      </w:r>
      <w:proofErr w:type="spellStart"/>
      <w:r w:rsidRPr="00734AB6">
        <w:rPr>
          <w:rFonts w:asciiTheme="majorHAnsi" w:eastAsia="Calibri" w:hAnsiTheme="majorHAnsi" w:cs="Calibri"/>
        </w:rPr>
        <w:t>Taulsen</w:t>
      </w:r>
      <w:proofErr w:type="spellEnd"/>
      <w:r w:rsidRPr="00734AB6">
        <w:rPr>
          <w:rFonts w:asciiTheme="majorHAnsi" w:eastAsia="Calibri" w:hAnsiTheme="majorHAnsi" w:cs="Calibri"/>
        </w:rPr>
        <w:t xml:space="preserve"> (2015) reported that the 20 students they interviewed had reported using stimulants to prevent procrastination. Therefore, it seems likely that inattention and procrastination may be motivations for the off-prescription use of modafinil and methylphenidate. </w:t>
      </w:r>
    </w:p>
    <w:p w14:paraId="4E7957BA" w14:textId="65F8740A"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As previously discussed</w:t>
      </w:r>
      <w:r w:rsidR="00A130BC" w:rsidRPr="00734AB6">
        <w:rPr>
          <w:rFonts w:asciiTheme="majorHAnsi" w:eastAsia="Calibri" w:hAnsiTheme="majorHAnsi" w:cs="Calibri"/>
        </w:rPr>
        <w:t xml:space="preserve"> in Section 2.1</w:t>
      </w:r>
      <w:r w:rsidRPr="00734AB6">
        <w:rPr>
          <w:rFonts w:asciiTheme="majorHAnsi" w:eastAsia="Calibri" w:hAnsiTheme="majorHAnsi" w:cs="Calibri"/>
        </w:rPr>
        <w:t xml:space="preserve">, the use of a survey method has its limitations. This study recruited respondents specifically from </w:t>
      </w:r>
      <w:r w:rsidR="00E0713E" w:rsidRPr="00734AB6">
        <w:rPr>
          <w:rFonts w:asciiTheme="majorHAnsi" w:eastAsia="Calibri" w:hAnsiTheme="majorHAnsi" w:cs="Calibri"/>
        </w:rPr>
        <w:t xml:space="preserve">drug and </w:t>
      </w:r>
      <w:r w:rsidRPr="00734AB6">
        <w:rPr>
          <w:rFonts w:asciiTheme="majorHAnsi" w:eastAsia="Calibri" w:hAnsiTheme="majorHAnsi" w:cs="Calibri"/>
        </w:rPr>
        <w:t xml:space="preserve">CED forum sites and student forums, the sample was therefore, self-selecting and may only represent the profile and patterns of CED use of visitors of these sites. However, the intention of the current study was to learn more about CED users and the findings of this study, therefore, contribute to the knowledge and understanding of this section of the population. A further limitation is that the current study did not include questions testing for attentional problems as it is possible that there may be an element of self-medication by individuals with low baseline levels of DA and NE. Additionally, the survey did not include questions on alcohol use or routes of administration of modafinil and methylphenidate. However, to include more questions would have extended the length of the survey thus possibly deterring respondents. </w:t>
      </w:r>
    </w:p>
    <w:p w14:paraId="202763EC" w14:textId="226117FE"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To the author’s knowledge, this is the first piece of research to report a detailed </w:t>
      </w:r>
      <w:r w:rsidR="00B068FF" w:rsidRPr="00734AB6">
        <w:rPr>
          <w:rFonts w:asciiTheme="majorHAnsi" w:eastAsia="Calibri" w:hAnsiTheme="majorHAnsi" w:cs="Calibri"/>
        </w:rPr>
        <w:t>understanding</w:t>
      </w:r>
      <w:r w:rsidRPr="00734AB6">
        <w:rPr>
          <w:rFonts w:asciiTheme="majorHAnsi" w:eastAsia="Calibri" w:hAnsiTheme="majorHAnsi" w:cs="Calibri"/>
        </w:rPr>
        <w:t xml:space="preserve"> </w:t>
      </w:r>
      <w:r w:rsidR="00B068FF" w:rsidRPr="00734AB6">
        <w:rPr>
          <w:rFonts w:asciiTheme="majorHAnsi" w:eastAsia="Calibri" w:hAnsiTheme="majorHAnsi" w:cs="Calibri"/>
        </w:rPr>
        <w:t>of the</w:t>
      </w:r>
      <w:r w:rsidRPr="00734AB6">
        <w:rPr>
          <w:rFonts w:asciiTheme="majorHAnsi" w:eastAsia="Calibri" w:hAnsiTheme="majorHAnsi" w:cs="Calibri"/>
        </w:rPr>
        <w:t xml:space="preserve"> CED users’ profile and perceived experience of modafinil and methylphenidate. In sum, this study has provided insight into the profile of CED users who are, in this study, mostly male, </w:t>
      </w:r>
      <w:r w:rsidR="00BC6247" w:rsidRPr="00734AB6">
        <w:rPr>
          <w:rFonts w:asciiTheme="majorHAnsi" w:eastAsia="Calibri" w:hAnsiTheme="majorHAnsi" w:cs="Calibri"/>
        </w:rPr>
        <w:t>North American</w:t>
      </w:r>
      <w:r w:rsidRPr="00734AB6">
        <w:rPr>
          <w:rFonts w:asciiTheme="majorHAnsi" w:eastAsia="Calibri" w:hAnsiTheme="majorHAnsi" w:cs="Calibri"/>
        </w:rPr>
        <w:t xml:space="preserve"> or British, educated, employed and in their mid-20s. There is a pattern of recreational drug use associated with CED use and an association with psychiatric disorders, largely depression and anxiety. It was also revealing that daily use of modafinil was reported as providing the highest level of benefits and it may be possible that cognitive benefits of modafinil increase exponentially through daily use. It is interesting that this was not seen with reported methylphenidate use, suggesting that modafinil is being experienced differently. Overall, modafinil was perceived, by those who reported taking it, as safe, whereas methylphenidate was perceived as more dangerous and its benefits more of a ‘quick fix’. </w:t>
      </w:r>
    </w:p>
    <w:p w14:paraId="2231170C" w14:textId="3FA20078"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findings of this research</w:t>
      </w:r>
      <w:r w:rsidR="00EE74BA" w:rsidRPr="00734AB6">
        <w:rPr>
          <w:rFonts w:asciiTheme="majorHAnsi" w:eastAsia="Calibri" w:hAnsiTheme="majorHAnsi" w:cs="Calibri"/>
        </w:rPr>
        <w:t xml:space="preserve"> raise a further question,</w:t>
      </w:r>
      <w:r w:rsidRPr="00734AB6">
        <w:rPr>
          <w:rFonts w:asciiTheme="majorHAnsi" w:eastAsia="Calibri" w:hAnsiTheme="majorHAnsi" w:cs="Calibri"/>
        </w:rPr>
        <w:t xml:space="preserve"> </w:t>
      </w:r>
      <w:r w:rsidR="00646A32" w:rsidRPr="00734AB6">
        <w:rPr>
          <w:rFonts w:asciiTheme="majorHAnsi" w:eastAsia="Calibri" w:hAnsiTheme="majorHAnsi" w:cs="Calibri"/>
        </w:rPr>
        <w:t>namely</w:t>
      </w:r>
      <w:r w:rsidR="00E00ECF" w:rsidRPr="00734AB6">
        <w:rPr>
          <w:rFonts w:asciiTheme="majorHAnsi" w:eastAsia="Calibri" w:hAnsiTheme="majorHAnsi" w:cs="Calibri"/>
        </w:rPr>
        <w:t>,</w:t>
      </w:r>
      <w:r w:rsidR="00646A32" w:rsidRPr="00734AB6">
        <w:rPr>
          <w:rFonts w:asciiTheme="majorHAnsi" w:eastAsia="Calibri" w:hAnsiTheme="majorHAnsi" w:cs="Calibri"/>
        </w:rPr>
        <w:t xml:space="preserve"> </w:t>
      </w:r>
      <w:r w:rsidR="00EE74BA" w:rsidRPr="00734AB6">
        <w:rPr>
          <w:rFonts w:asciiTheme="majorHAnsi" w:eastAsia="Calibri" w:hAnsiTheme="majorHAnsi" w:cs="Calibri"/>
        </w:rPr>
        <w:t xml:space="preserve">whether individuals are using CEDs as a supportive treatment for psychiatric disorders. </w:t>
      </w:r>
      <w:r w:rsidR="00364736" w:rsidRPr="00734AB6">
        <w:rPr>
          <w:rFonts w:asciiTheme="majorHAnsi" w:eastAsia="Calibri" w:hAnsiTheme="majorHAnsi" w:cs="Calibri"/>
        </w:rPr>
        <w:t>Further, t</w:t>
      </w:r>
      <w:r w:rsidR="003817BE" w:rsidRPr="00734AB6">
        <w:rPr>
          <w:rFonts w:asciiTheme="majorHAnsi" w:eastAsia="Calibri" w:hAnsiTheme="majorHAnsi" w:cs="Calibri"/>
        </w:rPr>
        <w:t>he question</w:t>
      </w:r>
      <w:r w:rsidR="00364736" w:rsidRPr="00734AB6">
        <w:rPr>
          <w:rFonts w:asciiTheme="majorHAnsi" w:eastAsia="Calibri" w:hAnsiTheme="majorHAnsi" w:cs="Calibri"/>
        </w:rPr>
        <w:t xml:space="preserve"> as to whether</w:t>
      </w:r>
      <w:r w:rsidR="003817BE" w:rsidRPr="00734AB6">
        <w:rPr>
          <w:rFonts w:asciiTheme="majorHAnsi" w:eastAsia="Calibri" w:hAnsiTheme="majorHAnsi" w:cs="Calibri"/>
        </w:rPr>
        <w:t xml:space="preserve"> CED users are self-medicating for </w:t>
      </w:r>
      <w:r w:rsidR="00D37468" w:rsidRPr="00734AB6">
        <w:rPr>
          <w:rFonts w:asciiTheme="majorHAnsi" w:eastAsia="Calibri" w:hAnsiTheme="majorHAnsi" w:cs="Calibri"/>
        </w:rPr>
        <w:t>attentional and motivational problems</w:t>
      </w:r>
      <w:r w:rsidR="003817BE" w:rsidRPr="00734AB6">
        <w:rPr>
          <w:rFonts w:asciiTheme="majorHAnsi" w:eastAsia="Calibri" w:hAnsiTheme="majorHAnsi" w:cs="Calibri"/>
        </w:rPr>
        <w:t xml:space="preserve"> </w:t>
      </w:r>
      <w:r w:rsidR="00EE74BA" w:rsidRPr="00734AB6">
        <w:rPr>
          <w:rFonts w:asciiTheme="majorHAnsi" w:eastAsia="Calibri" w:hAnsiTheme="majorHAnsi" w:cs="Calibri"/>
        </w:rPr>
        <w:t xml:space="preserve">remains </w:t>
      </w:r>
      <w:r w:rsidR="003817BE" w:rsidRPr="00734AB6">
        <w:rPr>
          <w:rFonts w:asciiTheme="majorHAnsi" w:eastAsia="Calibri" w:hAnsiTheme="majorHAnsi" w:cs="Calibri"/>
        </w:rPr>
        <w:t xml:space="preserve">unanswered. </w:t>
      </w:r>
      <w:r w:rsidRPr="00734AB6">
        <w:rPr>
          <w:rFonts w:asciiTheme="majorHAnsi" w:eastAsia="Calibri" w:hAnsiTheme="majorHAnsi" w:cs="Calibri"/>
        </w:rPr>
        <w:t>The suggestion that modafinil may be experienced differently to methylphenidate warrants further investigation to understand whether modafinil and methylphenidate users are two distinct groups or if they are just part of one homogenous CED user group. The following chapter addresses the weaknesses of the current study and seeks to answer the questions raised in light of the findings of Study 1.</w:t>
      </w:r>
    </w:p>
    <w:p w14:paraId="2CE47E7A" w14:textId="77777777" w:rsidR="003D3765" w:rsidRPr="00734AB6" w:rsidRDefault="003D3765" w:rsidP="0099584D">
      <w:pPr>
        <w:spacing w:line="360" w:lineRule="auto"/>
        <w:ind w:firstLine="851"/>
        <w:rPr>
          <w:rFonts w:asciiTheme="majorHAnsi" w:eastAsia="Calibri" w:hAnsiTheme="majorHAnsi" w:cs="Calibri"/>
        </w:rPr>
      </w:pPr>
    </w:p>
    <w:p w14:paraId="504DF7AF" w14:textId="552997B2" w:rsidR="009C7702" w:rsidRPr="00734AB6" w:rsidRDefault="009C7702" w:rsidP="00C53EB3">
      <w:pPr>
        <w:pStyle w:val="Heading2"/>
        <w:spacing w:after="240" w:line="360" w:lineRule="auto"/>
        <w:rPr>
          <w:b/>
          <w:color w:val="auto"/>
          <w:sz w:val="22"/>
          <w:szCs w:val="22"/>
        </w:rPr>
      </w:pPr>
      <w:bookmarkStart w:id="46" w:name="_Toc48136339"/>
      <w:r w:rsidRPr="00734AB6">
        <w:rPr>
          <w:b/>
          <w:color w:val="auto"/>
          <w:sz w:val="22"/>
          <w:szCs w:val="22"/>
        </w:rPr>
        <w:t>2.3</w:t>
      </w:r>
      <w:r w:rsidRPr="00734AB6">
        <w:rPr>
          <w:b/>
          <w:color w:val="auto"/>
          <w:sz w:val="22"/>
          <w:szCs w:val="22"/>
        </w:rPr>
        <w:tab/>
      </w:r>
      <w:r w:rsidR="00146F19" w:rsidRPr="00734AB6">
        <w:rPr>
          <w:b/>
          <w:color w:val="auto"/>
          <w:sz w:val="22"/>
          <w:szCs w:val="22"/>
        </w:rPr>
        <w:t xml:space="preserve">Study 1b: </w:t>
      </w:r>
      <w:r w:rsidRPr="00734AB6">
        <w:rPr>
          <w:b/>
          <w:color w:val="auto"/>
          <w:sz w:val="22"/>
          <w:szCs w:val="22"/>
        </w:rPr>
        <w:t>Survey of London South Bank University students and staff.</w:t>
      </w:r>
      <w:bookmarkEnd w:id="46"/>
      <w:r w:rsidRPr="00734AB6">
        <w:rPr>
          <w:b/>
          <w:color w:val="auto"/>
          <w:sz w:val="22"/>
          <w:szCs w:val="22"/>
        </w:rPr>
        <w:t xml:space="preserve"> </w:t>
      </w:r>
    </w:p>
    <w:p w14:paraId="5A23C39F" w14:textId="77777777" w:rsidR="009C7702" w:rsidRPr="00734AB6" w:rsidRDefault="009C7702" w:rsidP="00C53EB3">
      <w:pPr>
        <w:pStyle w:val="Heading3"/>
        <w:spacing w:after="240" w:line="360" w:lineRule="auto"/>
        <w:rPr>
          <w:b/>
          <w:color w:val="auto"/>
          <w:sz w:val="22"/>
          <w:szCs w:val="22"/>
        </w:rPr>
      </w:pPr>
      <w:bookmarkStart w:id="47" w:name="_Toc48136340"/>
      <w:r w:rsidRPr="00734AB6">
        <w:rPr>
          <w:b/>
          <w:color w:val="auto"/>
          <w:sz w:val="22"/>
          <w:szCs w:val="22"/>
        </w:rPr>
        <w:t>2.3.1</w:t>
      </w:r>
      <w:r w:rsidRPr="00734AB6">
        <w:rPr>
          <w:b/>
          <w:color w:val="auto"/>
          <w:sz w:val="22"/>
          <w:szCs w:val="22"/>
        </w:rPr>
        <w:tab/>
        <w:t>Introduction</w:t>
      </w:r>
      <w:bookmarkEnd w:id="47"/>
    </w:p>
    <w:p w14:paraId="29149CCE" w14:textId="170C6BA0"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Although online surveys can provide very detailed and useful information, this information reflects that of a population of individuals who spend their time online. As such, this population may differ from the general population in relation to their views about CED use and their behaviours. Therefore, the findings of Study 1a may not reflect the broader population. </w:t>
      </w:r>
      <w:r w:rsidR="00D304DA" w:rsidRPr="00734AB6">
        <w:rPr>
          <w:rFonts w:asciiTheme="majorHAnsi" w:eastAsia="Calibri" w:hAnsiTheme="majorHAnsi" w:cs="Calibri"/>
        </w:rPr>
        <w:t>They</w:t>
      </w:r>
      <w:r w:rsidRPr="00734AB6">
        <w:rPr>
          <w:rFonts w:asciiTheme="majorHAnsi" w:eastAsia="Calibri" w:hAnsiTheme="majorHAnsi" w:cs="Calibri"/>
        </w:rPr>
        <w:t xml:space="preserve"> do, however, provide a greater understanding of this specific population and, with </w:t>
      </w:r>
      <w:r w:rsidR="00A130BC" w:rsidRPr="00734AB6">
        <w:rPr>
          <w:rFonts w:asciiTheme="majorHAnsi" w:eastAsia="Calibri" w:hAnsiTheme="majorHAnsi" w:cs="Calibri"/>
        </w:rPr>
        <w:t xml:space="preserve">the technical </w:t>
      </w:r>
      <w:r w:rsidRPr="00734AB6">
        <w:rPr>
          <w:rFonts w:asciiTheme="majorHAnsi" w:eastAsia="Calibri" w:hAnsiTheme="majorHAnsi" w:cs="Calibri"/>
        </w:rPr>
        <w:t xml:space="preserve">advances in our </w:t>
      </w:r>
      <w:r w:rsidR="00A130BC" w:rsidRPr="00734AB6">
        <w:rPr>
          <w:rFonts w:asciiTheme="majorHAnsi" w:eastAsia="Calibri" w:hAnsiTheme="majorHAnsi" w:cs="Calibri"/>
        </w:rPr>
        <w:t>information</w:t>
      </w:r>
      <w:r w:rsidRPr="00734AB6">
        <w:rPr>
          <w:rFonts w:asciiTheme="majorHAnsi" w:eastAsia="Calibri" w:hAnsiTheme="majorHAnsi" w:cs="Calibri"/>
        </w:rPr>
        <w:t xml:space="preserve"> age</w:t>
      </w:r>
      <w:r w:rsidR="008C23E8" w:rsidRPr="00734AB6">
        <w:rPr>
          <w:rFonts w:asciiTheme="majorHAnsi" w:eastAsia="Calibri" w:hAnsiTheme="majorHAnsi" w:cs="Calibri"/>
        </w:rPr>
        <w:t>, as discussed in Section 1.1,</w:t>
      </w:r>
      <w:r w:rsidR="0033077A" w:rsidRPr="00734AB6">
        <w:rPr>
          <w:rFonts w:asciiTheme="majorHAnsi" w:eastAsia="Calibri" w:hAnsiTheme="majorHAnsi" w:cs="Calibri"/>
        </w:rPr>
        <w:t xml:space="preserve"> </w:t>
      </w:r>
      <w:r w:rsidR="008C23E8" w:rsidRPr="00734AB6">
        <w:rPr>
          <w:rFonts w:asciiTheme="majorHAnsi" w:eastAsia="Calibri" w:hAnsiTheme="majorHAnsi" w:cs="Calibri"/>
        </w:rPr>
        <w:t>resulting in more affordable and accessible technology for online use,</w:t>
      </w:r>
      <w:r w:rsidR="00D9490A" w:rsidRPr="00734AB6">
        <w:rPr>
          <w:rFonts w:asciiTheme="majorHAnsi" w:eastAsia="Calibri" w:hAnsiTheme="majorHAnsi" w:cs="Calibri"/>
        </w:rPr>
        <w:t xml:space="preserve"> </w:t>
      </w:r>
      <w:r w:rsidRPr="00734AB6">
        <w:rPr>
          <w:rFonts w:asciiTheme="majorHAnsi" w:eastAsia="Calibri" w:hAnsiTheme="majorHAnsi" w:cs="Calibri"/>
        </w:rPr>
        <w:t xml:space="preserve">this population is likely to continue to grow in size and significance. Another significant population from which a greater understanding of CED use can be generated is the student population. A number of CED studies have surveyed university students (e.g. </w:t>
      </w:r>
      <w:proofErr w:type="spellStart"/>
      <w:r w:rsidRPr="00734AB6">
        <w:rPr>
          <w:rFonts w:asciiTheme="majorHAnsi" w:hAnsiTheme="majorHAnsi"/>
        </w:rPr>
        <w:t>Bossaer</w:t>
      </w:r>
      <w:proofErr w:type="spellEnd"/>
      <w:r w:rsidRPr="00734AB6">
        <w:rPr>
          <w:rFonts w:asciiTheme="majorHAnsi" w:hAnsiTheme="majorHAnsi"/>
        </w:rPr>
        <w:t xml:space="preserve"> et al. 2013; </w:t>
      </w:r>
      <w:r w:rsidRPr="00734AB6">
        <w:rPr>
          <w:rFonts w:asciiTheme="majorHAnsi" w:hAnsiTheme="majorHAnsi" w:cs="Calibri"/>
        </w:rPr>
        <w:t>McCabe</w:t>
      </w:r>
      <w:r w:rsidRPr="00734AB6">
        <w:rPr>
          <w:rFonts w:asciiTheme="majorHAnsi" w:eastAsia="Calibri" w:hAnsiTheme="majorHAnsi" w:cs="Calibri"/>
        </w:rPr>
        <w:t xml:space="preserve"> et al. 2006; Singh et al., 2014). As mentioned earlier, Singh et al. surveyed 104 universities, the majority of which were Russell Group universities and they reported a </w:t>
      </w:r>
      <w:r w:rsidR="00BB6CF0" w:rsidRPr="00734AB6">
        <w:rPr>
          <w:rFonts w:asciiTheme="majorHAnsi" w:eastAsia="Calibri" w:hAnsiTheme="majorHAnsi" w:cs="Calibri"/>
        </w:rPr>
        <w:t>17.1</w:t>
      </w:r>
      <w:r w:rsidRPr="00734AB6">
        <w:rPr>
          <w:rFonts w:asciiTheme="majorHAnsi" w:eastAsia="Calibri" w:hAnsiTheme="majorHAnsi" w:cs="Calibri"/>
        </w:rPr>
        <w:t>% lifetime use of Adderall, methylphenidate or modafinil</w:t>
      </w:r>
      <w:r w:rsidR="00E00ECF" w:rsidRPr="00734AB6">
        <w:rPr>
          <w:rFonts w:asciiTheme="majorHAnsi" w:eastAsia="Calibri" w:hAnsiTheme="majorHAnsi" w:cs="Calibri"/>
        </w:rPr>
        <w:t>. M</w:t>
      </w:r>
      <w:r w:rsidR="000B0542" w:rsidRPr="00734AB6">
        <w:rPr>
          <w:rFonts w:asciiTheme="majorHAnsi" w:eastAsia="Calibri" w:hAnsiTheme="majorHAnsi" w:cs="Calibri"/>
        </w:rPr>
        <w:t xml:space="preserve">odafinil use comprised of </w:t>
      </w:r>
      <w:r w:rsidR="00BB6CF0" w:rsidRPr="00734AB6">
        <w:rPr>
          <w:rFonts w:asciiTheme="majorHAnsi" w:eastAsia="Calibri" w:hAnsiTheme="majorHAnsi" w:cs="Calibri"/>
        </w:rPr>
        <w:t>8</w:t>
      </w:r>
      <w:r w:rsidR="000B0542" w:rsidRPr="00734AB6">
        <w:rPr>
          <w:rFonts w:asciiTheme="majorHAnsi" w:eastAsia="Calibri" w:hAnsiTheme="majorHAnsi" w:cs="Calibri"/>
        </w:rPr>
        <w:t xml:space="preserve">% (N = </w:t>
      </w:r>
      <w:r w:rsidR="00BB6CF0" w:rsidRPr="00734AB6">
        <w:rPr>
          <w:rFonts w:asciiTheme="majorHAnsi" w:eastAsia="Calibri" w:hAnsiTheme="majorHAnsi" w:cs="Calibri"/>
        </w:rPr>
        <w:t>70</w:t>
      </w:r>
      <w:r w:rsidR="000B0542" w:rsidRPr="00734AB6">
        <w:rPr>
          <w:rFonts w:asciiTheme="majorHAnsi" w:eastAsia="Calibri" w:hAnsiTheme="majorHAnsi" w:cs="Calibri"/>
        </w:rPr>
        <w:t xml:space="preserve">) </w:t>
      </w:r>
      <w:r w:rsidR="00BB6CF0" w:rsidRPr="00734AB6">
        <w:rPr>
          <w:rFonts w:asciiTheme="majorHAnsi" w:eastAsia="Calibri" w:hAnsiTheme="majorHAnsi" w:cs="Calibri"/>
        </w:rPr>
        <w:t>and methylphenidate use comprised of 5.9% (N = 52)</w:t>
      </w:r>
      <w:r w:rsidR="000B0542" w:rsidRPr="00734AB6">
        <w:rPr>
          <w:rFonts w:asciiTheme="majorHAnsi" w:eastAsia="Calibri" w:hAnsiTheme="majorHAnsi" w:cs="Calibri"/>
        </w:rPr>
        <w:t xml:space="preserve">. </w:t>
      </w:r>
      <w:r w:rsidRPr="00734AB6">
        <w:rPr>
          <w:rFonts w:asciiTheme="majorHAnsi" w:eastAsia="Calibri" w:hAnsiTheme="majorHAnsi" w:cs="Calibri"/>
        </w:rPr>
        <w:t xml:space="preserve">A survey of Cambridge students reported 10% lifetime use of CEDs (Varsity, 2009) and another survey reported 26% lifetime use of modafinil by Oxford students. The high reported use of CEDs in these prestigious universities may be related to the pressure to succeed in such highly competitive environments. It would, therefore, be useful to collect data from a sample of London South Bank University students and compare it with the findings of these studies in order to investigate differences in prevalence rates. It was therefore decided that this survey would be repeated within London South Bank University (LSBU) and that the data collected could then be compared with the that of </w:t>
      </w:r>
      <w:r w:rsidR="00E00ECF" w:rsidRPr="00734AB6">
        <w:rPr>
          <w:rFonts w:asciiTheme="majorHAnsi" w:eastAsia="Calibri" w:hAnsiTheme="majorHAnsi" w:cs="Calibri"/>
        </w:rPr>
        <w:t>Study 1a,</w:t>
      </w:r>
      <w:r w:rsidRPr="00734AB6">
        <w:rPr>
          <w:rFonts w:asciiTheme="majorHAnsi" w:eastAsia="Calibri" w:hAnsiTheme="majorHAnsi" w:cs="Calibri"/>
        </w:rPr>
        <w:t xml:space="preserve"> as well as with other surveys.</w:t>
      </w:r>
    </w:p>
    <w:p w14:paraId="5DEF8D60" w14:textId="77777777" w:rsidR="003D3765" w:rsidRPr="00734AB6" w:rsidRDefault="003D3765" w:rsidP="0099584D">
      <w:pPr>
        <w:spacing w:before="240" w:line="360" w:lineRule="auto"/>
        <w:ind w:firstLine="851"/>
        <w:rPr>
          <w:rFonts w:asciiTheme="majorHAnsi" w:eastAsia="Calibri" w:hAnsiTheme="majorHAnsi" w:cs="Calibri"/>
        </w:rPr>
      </w:pPr>
    </w:p>
    <w:p w14:paraId="16D04FD9" w14:textId="77777777" w:rsidR="009C7702" w:rsidRPr="00734AB6" w:rsidRDefault="009C7702" w:rsidP="0099584D">
      <w:pPr>
        <w:pStyle w:val="Heading3"/>
        <w:spacing w:line="360" w:lineRule="auto"/>
        <w:rPr>
          <w:b/>
          <w:color w:val="auto"/>
          <w:sz w:val="22"/>
          <w:szCs w:val="22"/>
        </w:rPr>
      </w:pPr>
      <w:bookmarkStart w:id="48" w:name="_Toc48136341"/>
      <w:r w:rsidRPr="00734AB6">
        <w:rPr>
          <w:b/>
          <w:color w:val="auto"/>
          <w:sz w:val="22"/>
          <w:szCs w:val="22"/>
        </w:rPr>
        <w:t>2.3.2</w:t>
      </w:r>
      <w:r w:rsidRPr="00734AB6">
        <w:rPr>
          <w:b/>
          <w:color w:val="auto"/>
          <w:sz w:val="22"/>
          <w:szCs w:val="22"/>
        </w:rPr>
        <w:tab/>
        <w:t>Method</w:t>
      </w:r>
      <w:bookmarkEnd w:id="48"/>
    </w:p>
    <w:p w14:paraId="5093F679" w14:textId="3B29902E"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The same survey as detailed in section 2.2.2 was advertised within LSBU, using posters, email notices, and via the Division of Psychology’s Research Participation Scheme (RPS) where points are accrued through study participation allowing students to use this system for their own studies. The survey was conducted between February 2017 and December 2019. A section of the survey focused on opinions about the off-prescription use of modafinil and methylphenidate. These data collected from this section of the survey were not reported in the first study as the responses would be coming from reported users of these drugs and therefore would be biased. </w:t>
      </w:r>
      <w:r w:rsidRPr="00734AB6">
        <w:rPr>
          <w:rFonts w:asciiTheme="majorHAnsi" w:eastAsia="Calibri" w:hAnsiTheme="majorHAnsi" w:cs="Calibri"/>
        </w:rPr>
        <w:lastRenderedPageBreak/>
        <w:t xml:space="preserve">Eight statements were presented separately for modafinil and methylphenidate with the options “strongly agree, agree, neither disagree nor agree, agree, and strongly agree”. The statements focused on whether it was safe to take modafinil/methylphenidate and whether it was fair. For example, “If my peers were taking modafinil/methylphenidate to help them achieve more I would feel pressured to do the same”. These statements were generated from the ethical concerns raised in the literature (e.g. Bostrom &amp; Sandberg, 2009; Farah et al., </w:t>
      </w:r>
      <w:r w:rsidR="006808EF" w:rsidRPr="00734AB6">
        <w:rPr>
          <w:rFonts w:asciiTheme="majorHAnsi" w:eastAsia="Calibri" w:hAnsiTheme="majorHAnsi" w:cs="Calibri"/>
        </w:rPr>
        <w:t xml:space="preserve">2004; </w:t>
      </w:r>
      <w:proofErr w:type="spellStart"/>
      <w:r w:rsidR="006808EF" w:rsidRPr="00734AB6">
        <w:rPr>
          <w:rFonts w:asciiTheme="majorHAnsi" w:eastAsia="Calibri" w:hAnsiTheme="majorHAnsi" w:cs="Calibri"/>
        </w:rPr>
        <w:t>Schelle</w:t>
      </w:r>
      <w:proofErr w:type="spellEnd"/>
      <w:r w:rsidR="006808EF" w:rsidRPr="00734AB6">
        <w:rPr>
          <w:rFonts w:asciiTheme="majorHAnsi" w:eastAsia="Calibri" w:hAnsiTheme="majorHAnsi" w:cs="Calibri"/>
        </w:rPr>
        <w:t xml:space="preserve"> et al.,</w:t>
      </w:r>
      <w:r w:rsidRPr="00734AB6">
        <w:rPr>
          <w:rFonts w:asciiTheme="majorHAnsi" w:eastAsia="Calibri" w:hAnsiTheme="majorHAnsi" w:cs="Calibri"/>
        </w:rPr>
        <w:t xml:space="preserve"> 2014; Singh et al., 2014). </w:t>
      </w:r>
    </w:p>
    <w:p w14:paraId="6D1D9874" w14:textId="77777777" w:rsidR="003D3765" w:rsidRPr="00734AB6" w:rsidRDefault="003D3765" w:rsidP="0099584D">
      <w:pPr>
        <w:spacing w:before="240" w:line="360" w:lineRule="auto"/>
        <w:ind w:firstLine="851"/>
        <w:rPr>
          <w:rFonts w:asciiTheme="majorHAnsi" w:eastAsia="Calibri" w:hAnsiTheme="majorHAnsi" w:cs="Calibri"/>
        </w:rPr>
      </w:pPr>
    </w:p>
    <w:p w14:paraId="5763541A" w14:textId="77777777" w:rsidR="009C7702" w:rsidRPr="00734AB6" w:rsidRDefault="009C7702" w:rsidP="0099584D">
      <w:pPr>
        <w:pStyle w:val="Heading3"/>
        <w:spacing w:line="360" w:lineRule="auto"/>
        <w:rPr>
          <w:b/>
          <w:color w:val="auto"/>
          <w:sz w:val="22"/>
          <w:szCs w:val="22"/>
        </w:rPr>
      </w:pPr>
      <w:bookmarkStart w:id="49" w:name="_Toc48136342"/>
      <w:r w:rsidRPr="00734AB6">
        <w:rPr>
          <w:b/>
          <w:color w:val="auto"/>
          <w:sz w:val="22"/>
          <w:szCs w:val="22"/>
        </w:rPr>
        <w:t>2.3.3</w:t>
      </w:r>
      <w:r w:rsidRPr="00734AB6">
        <w:rPr>
          <w:b/>
          <w:color w:val="auto"/>
          <w:sz w:val="22"/>
          <w:szCs w:val="22"/>
        </w:rPr>
        <w:tab/>
        <w:t>Results</w:t>
      </w:r>
      <w:bookmarkEnd w:id="49"/>
    </w:p>
    <w:p w14:paraId="189E429D" w14:textId="77777777"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A total of 285 respondents completed the survey of whom 55 (19.3%) were male and 230 (80.7%) were female, and the mean age was 24 years (SD = 8.45) with a range of 44 years (18-62). Of those who took part in the survey, 224 respondents signed up via the Division of Psychology’s RPS. There was a total of 19 (6.66%) reported modafinil off-prescription users and a total of 12 (4.21%) reported methylphenidate off-prescription users, which together totalled 28 (9.83%) reported users of either drug (3 respondents, 1.05%, reported using both drugs). Of these reported users of either drug, 9 (32.1%) were male and 19 (67.9%) were female, the mean age was 26 years (SD = 7.07). It was not, therefore, possible to repeat the analysis presented above from such a small sample of reported users of these drugs. Of those who had not reported taking modafinil or methylphenidate, 211 (74%) reported awareness of CEDs and when asked “If you could take a drug to increase your attention/concentration/memory, would you?” 16 (5.6%) responded “yes”, 27 (9.5%) responded “no” and 31 (10.9%) responded “maybe”.</w:t>
      </w:r>
    </w:p>
    <w:p w14:paraId="0A6E3A5C" w14:textId="3CA0DAAB" w:rsidR="009C7702" w:rsidRPr="00734AB6" w:rsidRDefault="009C7702" w:rsidP="0099584D">
      <w:pPr>
        <w:spacing w:before="240" w:line="360" w:lineRule="auto"/>
        <w:ind w:firstLine="851"/>
        <w:rPr>
          <w:rFonts w:asciiTheme="majorHAnsi" w:eastAsia="Calibri" w:hAnsiTheme="majorHAnsi" w:cs="Calibri"/>
        </w:rPr>
      </w:pPr>
      <w:r w:rsidRPr="00734AB6">
        <w:rPr>
          <w:rFonts w:asciiTheme="majorHAnsi" w:eastAsia="Calibri" w:hAnsiTheme="majorHAnsi" w:cs="Calibri"/>
        </w:rPr>
        <w:t>In response to the statement of opinions relating to modafinil, a total of 45 respondents completed this section following the removal of the data from the 21 respondents who had reported havi</w:t>
      </w:r>
      <w:r w:rsidR="00FC5D55" w:rsidRPr="00734AB6">
        <w:rPr>
          <w:rFonts w:asciiTheme="majorHAnsi" w:eastAsia="Calibri" w:hAnsiTheme="majorHAnsi" w:cs="Calibri"/>
        </w:rPr>
        <w:t xml:space="preserve">ng taken modafinil (see Table </w:t>
      </w:r>
      <w:r w:rsidR="00CC1029" w:rsidRPr="00734AB6">
        <w:rPr>
          <w:rFonts w:asciiTheme="majorHAnsi" w:eastAsia="Calibri" w:hAnsiTheme="majorHAnsi" w:cs="Calibri"/>
        </w:rPr>
        <w:t>2.13</w:t>
      </w:r>
      <w:r w:rsidRPr="00734AB6">
        <w:rPr>
          <w:rFonts w:asciiTheme="majorHAnsi" w:eastAsia="Calibri" w:hAnsiTheme="majorHAnsi" w:cs="Calibri"/>
        </w:rPr>
        <w:t>). These data are compared with those o</w:t>
      </w:r>
      <w:r w:rsidR="00457628" w:rsidRPr="00734AB6">
        <w:rPr>
          <w:rFonts w:asciiTheme="majorHAnsi" w:eastAsia="Calibri" w:hAnsiTheme="majorHAnsi" w:cs="Calibri"/>
        </w:rPr>
        <w:t xml:space="preserve">f Study 1a (N = 284) in Table </w:t>
      </w:r>
      <w:r w:rsidR="00CC1029" w:rsidRPr="00734AB6">
        <w:rPr>
          <w:rFonts w:asciiTheme="majorHAnsi" w:eastAsia="Calibri" w:hAnsiTheme="majorHAnsi" w:cs="Calibri"/>
        </w:rPr>
        <w:t>2.13</w:t>
      </w:r>
      <w:r w:rsidRPr="00734AB6">
        <w:rPr>
          <w:rFonts w:asciiTheme="majorHAnsi" w:eastAsia="Calibri" w:hAnsiTheme="majorHAnsi" w:cs="Calibri"/>
        </w:rPr>
        <w:t xml:space="preserve">. In response to the statements about safety, more university respondents (Study 1b) did not feel that it was safe to take modafinil (37.8%) than those who did (20%), whereas the forum users (Study 1a) took the opposite view with a high majority stating that they felt that it was safe (70.7%). Most university respondents (73.3%) did not feel pressured to take modafinil, nor did they feel that it would it affect their choices if their peers were taking it (62.2%). This was also the case, for the forum users, the majority of forum users did not feel pressured to take modafinil (54.9%), nor would it affect their choices if their peers were taking it (54.6%). However, the majority of </w:t>
      </w:r>
      <w:r w:rsidR="00D51E52" w:rsidRPr="00734AB6">
        <w:rPr>
          <w:rFonts w:asciiTheme="majorHAnsi" w:eastAsia="Calibri" w:hAnsiTheme="majorHAnsi" w:cs="Calibri"/>
        </w:rPr>
        <w:t xml:space="preserve">the </w:t>
      </w:r>
      <w:r w:rsidRPr="00734AB6">
        <w:rPr>
          <w:rFonts w:asciiTheme="majorHAnsi" w:eastAsia="Calibri" w:hAnsiTheme="majorHAnsi" w:cs="Calibri"/>
        </w:rPr>
        <w:t xml:space="preserve">university respondents felt that taking modafinil was cheating (46.6%) </w:t>
      </w:r>
      <w:r w:rsidR="00F31B18" w:rsidRPr="00734AB6">
        <w:rPr>
          <w:rFonts w:asciiTheme="majorHAnsi" w:eastAsia="Calibri" w:hAnsiTheme="majorHAnsi" w:cs="Calibri"/>
        </w:rPr>
        <w:t>and</w:t>
      </w:r>
      <w:r w:rsidRPr="00734AB6">
        <w:rPr>
          <w:rFonts w:asciiTheme="majorHAnsi" w:eastAsia="Calibri" w:hAnsiTheme="majorHAnsi" w:cs="Calibri"/>
        </w:rPr>
        <w:t xml:space="preserve"> 40% did not agree that there was nothing wrong with taking modafinil. </w:t>
      </w:r>
      <w:r w:rsidRPr="00734AB6">
        <w:rPr>
          <w:rFonts w:asciiTheme="majorHAnsi" w:eastAsia="Calibri" w:hAnsiTheme="majorHAnsi" w:cs="Calibri"/>
        </w:rPr>
        <w:lastRenderedPageBreak/>
        <w:t>Conversely, a high majority of forum users did not feel that taking modafinil was cheating (84.1%) and did agree that there was nothing wrong with taking modafinil (80.3%).</w:t>
      </w:r>
    </w:p>
    <w:p w14:paraId="3951C234" w14:textId="7498C354" w:rsidR="009C7702" w:rsidRPr="00734AB6" w:rsidRDefault="00457628" w:rsidP="0099584D">
      <w:pPr>
        <w:spacing w:line="360" w:lineRule="auto"/>
        <w:rPr>
          <w:rFonts w:asciiTheme="majorHAnsi" w:hAnsiTheme="majorHAnsi"/>
          <w:b/>
        </w:rPr>
      </w:pPr>
      <w:r w:rsidRPr="00734AB6">
        <w:rPr>
          <w:rFonts w:asciiTheme="majorHAnsi" w:hAnsiTheme="majorHAnsi"/>
          <w:b/>
        </w:rPr>
        <w:t xml:space="preserve">Table </w:t>
      </w:r>
      <w:r w:rsidR="00CC1029" w:rsidRPr="00734AB6">
        <w:rPr>
          <w:rFonts w:asciiTheme="majorHAnsi" w:hAnsiTheme="majorHAnsi"/>
          <w:b/>
        </w:rPr>
        <w:t>2.</w:t>
      </w:r>
      <w:r w:rsidRPr="00734AB6">
        <w:rPr>
          <w:rFonts w:asciiTheme="majorHAnsi" w:hAnsiTheme="majorHAnsi"/>
          <w:b/>
        </w:rPr>
        <w:t>13</w:t>
      </w:r>
      <w:r w:rsidR="009C7702" w:rsidRPr="00734AB6">
        <w:rPr>
          <w:rFonts w:asciiTheme="majorHAnsi" w:hAnsiTheme="majorHAnsi"/>
          <w:b/>
        </w:rPr>
        <w:t>. Comparisons of statements of opinions of the off-prescription use of modafinil between Study 1a and Study 1b</w:t>
      </w:r>
    </w:p>
    <w:tbl>
      <w:tblPr>
        <w:tblW w:w="85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86"/>
        <w:gridCol w:w="1276"/>
        <w:gridCol w:w="1134"/>
        <w:gridCol w:w="1275"/>
        <w:gridCol w:w="1134"/>
      </w:tblGrid>
      <w:tr w:rsidR="009C7702" w:rsidRPr="00734AB6" w14:paraId="67A22516" w14:textId="77777777" w:rsidTr="0099584D">
        <w:tc>
          <w:tcPr>
            <w:tcW w:w="3686" w:type="dxa"/>
            <w:tcBorders>
              <w:top w:val="single" w:sz="4" w:space="0" w:color="auto"/>
              <w:left w:val="nil"/>
              <w:bottom w:val="nil"/>
              <w:right w:val="nil"/>
            </w:tcBorders>
          </w:tcPr>
          <w:p w14:paraId="109409FA"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p>
        </w:tc>
        <w:tc>
          <w:tcPr>
            <w:tcW w:w="2410" w:type="dxa"/>
            <w:gridSpan w:val="2"/>
            <w:tcBorders>
              <w:top w:val="single" w:sz="4" w:space="0" w:color="auto"/>
              <w:left w:val="nil"/>
              <w:bottom w:val="nil"/>
              <w:right w:val="nil"/>
            </w:tcBorders>
          </w:tcPr>
          <w:p w14:paraId="1A4F816E"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Study 1b (N = 45)</w:t>
            </w:r>
          </w:p>
        </w:tc>
        <w:tc>
          <w:tcPr>
            <w:tcW w:w="2409" w:type="dxa"/>
            <w:gridSpan w:val="2"/>
            <w:tcBorders>
              <w:top w:val="single" w:sz="4" w:space="0" w:color="auto"/>
              <w:left w:val="nil"/>
              <w:bottom w:val="nil"/>
              <w:right w:val="nil"/>
            </w:tcBorders>
          </w:tcPr>
          <w:p w14:paraId="772528FB"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Study 1a (N = 284)</w:t>
            </w:r>
          </w:p>
        </w:tc>
      </w:tr>
      <w:tr w:rsidR="009C7702" w:rsidRPr="00734AB6" w14:paraId="467801E5" w14:textId="77777777" w:rsidTr="0099584D">
        <w:tc>
          <w:tcPr>
            <w:tcW w:w="3686" w:type="dxa"/>
            <w:tcBorders>
              <w:top w:val="nil"/>
              <w:left w:val="nil"/>
              <w:bottom w:val="single" w:sz="4" w:space="0" w:color="auto"/>
              <w:right w:val="nil"/>
            </w:tcBorders>
            <w:shd w:val="clear" w:color="auto" w:fill="auto"/>
          </w:tcPr>
          <w:p w14:paraId="5275993A"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p>
        </w:tc>
        <w:tc>
          <w:tcPr>
            <w:tcW w:w="1276" w:type="dxa"/>
            <w:tcBorders>
              <w:top w:val="nil"/>
              <w:left w:val="nil"/>
              <w:bottom w:val="single" w:sz="4" w:space="0" w:color="auto"/>
              <w:right w:val="nil"/>
            </w:tcBorders>
            <w:shd w:val="clear" w:color="auto" w:fill="auto"/>
          </w:tcPr>
          <w:p w14:paraId="048436EB"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Disagree or strongly disagree</w:t>
            </w:r>
          </w:p>
          <w:p w14:paraId="5F3B779D"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b/>
              </w:rPr>
              <w:t>N (%)</w:t>
            </w:r>
          </w:p>
        </w:tc>
        <w:tc>
          <w:tcPr>
            <w:tcW w:w="1134" w:type="dxa"/>
            <w:tcBorders>
              <w:top w:val="nil"/>
              <w:left w:val="nil"/>
              <w:bottom w:val="single" w:sz="4" w:space="0" w:color="auto"/>
              <w:right w:val="nil"/>
            </w:tcBorders>
            <w:shd w:val="clear" w:color="auto" w:fill="auto"/>
          </w:tcPr>
          <w:p w14:paraId="07689C41"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Agree or strongly agree</w:t>
            </w:r>
          </w:p>
          <w:p w14:paraId="533F1166"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b/>
              </w:rPr>
              <w:t>N (%)</w:t>
            </w:r>
          </w:p>
        </w:tc>
        <w:tc>
          <w:tcPr>
            <w:tcW w:w="1275" w:type="dxa"/>
            <w:tcBorders>
              <w:top w:val="nil"/>
              <w:left w:val="nil"/>
              <w:bottom w:val="single" w:sz="4" w:space="0" w:color="auto"/>
              <w:right w:val="nil"/>
            </w:tcBorders>
          </w:tcPr>
          <w:p w14:paraId="358B6134"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Disagree or strongly disagree</w:t>
            </w:r>
          </w:p>
          <w:p w14:paraId="3F1CD7FD"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N (%)</w:t>
            </w:r>
          </w:p>
        </w:tc>
        <w:tc>
          <w:tcPr>
            <w:tcW w:w="1134" w:type="dxa"/>
            <w:tcBorders>
              <w:top w:val="nil"/>
              <w:left w:val="nil"/>
              <w:bottom w:val="single" w:sz="4" w:space="0" w:color="auto"/>
              <w:right w:val="nil"/>
            </w:tcBorders>
          </w:tcPr>
          <w:p w14:paraId="5096E56B"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Agree or strongly agree</w:t>
            </w:r>
          </w:p>
          <w:p w14:paraId="47EC11E9" w14:textId="77777777" w:rsidR="009C7702" w:rsidRPr="00734AB6" w:rsidRDefault="009C7702" w:rsidP="0099584D">
            <w:pPr>
              <w:spacing w:line="360" w:lineRule="auto"/>
              <w:rPr>
                <w:rFonts w:asciiTheme="majorHAnsi" w:hAnsiTheme="majorHAnsi"/>
              </w:rPr>
            </w:pPr>
            <w:r w:rsidRPr="00734AB6">
              <w:rPr>
                <w:rFonts w:asciiTheme="majorHAnsi" w:hAnsiTheme="majorHAnsi"/>
                <w:b/>
              </w:rPr>
              <w:t>N (%)</w:t>
            </w:r>
          </w:p>
        </w:tc>
      </w:tr>
      <w:tr w:rsidR="009C7702" w:rsidRPr="00734AB6" w14:paraId="11EABF2F" w14:textId="77777777" w:rsidTr="0099584D">
        <w:tc>
          <w:tcPr>
            <w:tcW w:w="3686" w:type="dxa"/>
            <w:tcBorders>
              <w:top w:val="single" w:sz="4" w:space="0" w:color="auto"/>
              <w:left w:val="nil"/>
              <w:bottom w:val="nil"/>
              <w:right w:val="nil"/>
            </w:tcBorders>
            <w:shd w:val="clear" w:color="auto" w:fill="auto"/>
          </w:tcPr>
          <w:p w14:paraId="04ED7766"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 feel it is entirely safe for people to take modafinil for cognitive enhancement</w:t>
            </w:r>
          </w:p>
        </w:tc>
        <w:tc>
          <w:tcPr>
            <w:tcW w:w="1276" w:type="dxa"/>
            <w:tcBorders>
              <w:top w:val="single" w:sz="4" w:space="0" w:color="auto"/>
              <w:left w:val="nil"/>
              <w:bottom w:val="nil"/>
              <w:right w:val="nil"/>
            </w:tcBorders>
            <w:shd w:val="clear" w:color="auto" w:fill="auto"/>
          </w:tcPr>
          <w:p w14:paraId="250A494A"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17 (37.8)</w:t>
            </w:r>
          </w:p>
        </w:tc>
        <w:tc>
          <w:tcPr>
            <w:tcW w:w="1134" w:type="dxa"/>
            <w:tcBorders>
              <w:top w:val="single" w:sz="4" w:space="0" w:color="auto"/>
              <w:left w:val="nil"/>
              <w:bottom w:val="nil"/>
              <w:right w:val="nil"/>
            </w:tcBorders>
            <w:shd w:val="clear" w:color="auto" w:fill="auto"/>
          </w:tcPr>
          <w:p w14:paraId="16AA6F6E"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9 (20.0)</w:t>
            </w:r>
          </w:p>
        </w:tc>
        <w:tc>
          <w:tcPr>
            <w:tcW w:w="1275" w:type="dxa"/>
            <w:tcBorders>
              <w:top w:val="single" w:sz="4" w:space="0" w:color="auto"/>
              <w:left w:val="nil"/>
              <w:bottom w:val="nil"/>
              <w:right w:val="nil"/>
            </w:tcBorders>
          </w:tcPr>
          <w:p w14:paraId="238196BF"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31 (10.9)</w:t>
            </w:r>
          </w:p>
        </w:tc>
        <w:tc>
          <w:tcPr>
            <w:tcW w:w="1134" w:type="dxa"/>
            <w:tcBorders>
              <w:top w:val="single" w:sz="4" w:space="0" w:color="auto"/>
              <w:left w:val="nil"/>
              <w:bottom w:val="nil"/>
              <w:right w:val="nil"/>
            </w:tcBorders>
          </w:tcPr>
          <w:p w14:paraId="3D80D150"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201 (70.7)</w:t>
            </w:r>
          </w:p>
        </w:tc>
      </w:tr>
      <w:tr w:rsidR="009C7702" w:rsidRPr="00734AB6" w14:paraId="426C307B" w14:textId="77777777" w:rsidTr="0099584D">
        <w:tc>
          <w:tcPr>
            <w:tcW w:w="3686" w:type="dxa"/>
            <w:tcBorders>
              <w:top w:val="nil"/>
              <w:left w:val="nil"/>
              <w:bottom w:val="nil"/>
              <w:right w:val="nil"/>
            </w:tcBorders>
            <w:shd w:val="clear" w:color="auto" w:fill="auto"/>
          </w:tcPr>
          <w:p w14:paraId="75B52EB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 feel that taking modafinil for cognitive enhancement is dangerous</w:t>
            </w:r>
          </w:p>
        </w:tc>
        <w:tc>
          <w:tcPr>
            <w:tcW w:w="1276" w:type="dxa"/>
            <w:tcBorders>
              <w:top w:val="nil"/>
              <w:left w:val="nil"/>
              <w:bottom w:val="nil"/>
              <w:right w:val="nil"/>
            </w:tcBorders>
            <w:shd w:val="clear" w:color="auto" w:fill="auto"/>
          </w:tcPr>
          <w:p w14:paraId="42CED922"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16 (35.6)</w:t>
            </w:r>
          </w:p>
        </w:tc>
        <w:tc>
          <w:tcPr>
            <w:tcW w:w="1134" w:type="dxa"/>
            <w:tcBorders>
              <w:top w:val="nil"/>
              <w:left w:val="nil"/>
              <w:bottom w:val="nil"/>
              <w:right w:val="nil"/>
            </w:tcBorders>
            <w:shd w:val="clear" w:color="auto" w:fill="auto"/>
          </w:tcPr>
          <w:p w14:paraId="146CCA7E"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13 (28.9)</w:t>
            </w:r>
          </w:p>
        </w:tc>
        <w:tc>
          <w:tcPr>
            <w:tcW w:w="1275" w:type="dxa"/>
            <w:tcBorders>
              <w:top w:val="nil"/>
              <w:left w:val="nil"/>
              <w:right w:val="nil"/>
            </w:tcBorders>
          </w:tcPr>
          <w:p w14:paraId="2CA0EEC9"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221 (77.8)</w:t>
            </w:r>
          </w:p>
        </w:tc>
        <w:tc>
          <w:tcPr>
            <w:tcW w:w="1134" w:type="dxa"/>
            <w:tcBorders>
              <w:top w:val="nil"/>
              <w:left w:val="nil"/>
              <w:right w:val="nil"/>
            </w:tcBorders>
          </w:tcPr>
          <w:p w14:paraId="34F55289"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14 (5.0)</w:t>
            </w:r>
          </w:p>
        </w:tc>
      </w:tr>
      <w:tr w:rsidR="009C7702" w:rsidRPr="00734AB6" w14:paraId="32693E69" w14:textId="77777777" w:rsidTr="0099584D">
        <w:tc>
          <w:tcPr>
            <w:tcW w:w="3686" w:type="dxa"/>
            <w:tcBorders>
              <w:top w:val="nil"/>
              <w:left w:val="nil"/>
              <w:bottom w:val="nil"/>
              <w:right w:val="nil"/>
            </w:tcBorders>
            <w:shd w:val="clear" w:color="auto" w:fill="auto"/>
          </w:tcPr>
          <w:p w14:paraId="4B8CA8F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If my peers were taking modafinil to help them achieve more I would feel pressured to do the same</w:t>
            </w:r>
          </w:p>
        </w:tc>
        <w:tc>
          <w:tcPr>
            <w:tcW w:w="1276" w:type="dxa"/>
            <w:tcBorders>
              <w:top w:val="nil"/>
              <w:left w:val="nil"/>
              <w:bottom w:val="nil"/>
              <w:right w:val="nil"/>
            </w:tcBorders>
            <w:shd w:val="clear" w:color="auto" w:fill="auto"/>
          </w:tcPr>
          <w:p w14:paraId="6E39D94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33 (73.3)</w:t>
            </w:r>
          </w:p>
        </w:tc>
        <w:tc>
          <w:tcPr>
            <w:tcW w:w="1134" w:type="dxa"/>
            <w:tcBorders>
              <w:top w:val="nil"/>
              <w:left w:val="nil"/>
              <w:bottom w:val="nil"/>
              <w:right w:val="nil"/>
            </w:tcBorders>
            <w:shd w:val="clear" w:color="auto" w:fill="auto"/>
          </w:tcPr>
          <w:p w14:paraId="3C5052D4"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7 (15.6)</w:t>
            </w:r>
          </w:p>
        </w:tc>
        <w:tc>
          <w:tcPr>
            <w:tcW w:w="1275" w:type="dxa"/>
            <w:tcBorders>
              <w:left w:val="nil"/>
              <w:right w:val="nil"/>
            </w:tcBorders>
          </w:tcPr>
          <w:p w14:paraId="70865C1D"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156 (54.9)</w:t>
            </w:r>
          </w:p>
        </w:tc>
        <w:tc>
          <w:tcPr>
            <w:tcW w:w="1134" w:type="dxa"/>
            <w:tcBorders>
              <w:left w:val="nil"/>
              <w:right w:val="nil"/>
            </w:tcBorders>
          </w:tcPr>
          <w:p w14:paraId="6D88C137"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72 (25.4)</w:t>
            </w:r>
          </w:p>
        </w:tc>
      </w:tr>
      <w:tr w:rsidR="009C7702" w:rsidRPr="00734AB6" w14:paraId="2EE4276F" w14:textId="77777777" w:rsidTr="0099584D">
        <w:tc>
          <w:tcPr>
            <w:tcW w:w="3686" w:type="dxa"/>
            <w:tcBorders>
              <w:top w:val="nil"/>
              <w:left w:val="nil"/>
              <w:bottom w:val="nil"/>
              <w:right w:val="nil"/>
            </w:tcBorders>
            <w:shd w:val="clear" w:color="auto" w:fill="auto"/>
          </w:tcPr>
          <w:p w14:paraId="0A8C1D7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If my peers were taking modafinil to help them achieve it would not affect my choices</w:t>
            </w:r>
          </w:p>
        </w:tc>
        <w:tc>
          <w:tcPr>
            <w:tcW w:w="1276" w:type="dxa"/>
            <w:tcBorders>
              <w:top w:val="nil"/>
              <w:left w:val="nil"/>
              <w:bottom w:val="nil"/>
              <w:right w:val="nil"/>
            </w:tcBorders>
            <w:shd w:val="clear" w:color="auto" w:fill="auto"/>
          </w:tcPr>
          <w:p w14:paraId="3C53E1A2"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10 (22.2)</w:t>
            </w:r>
          </w:p>
        </w:tc>
        <w:tc>
          <w:tcPr>
            <w:tcW w:w="1134" w:type="dxa"/>
            <w:tcBorders>
              <w:top w:val="nil"/>
              <w:left w:val="nil"/>
              <w:bottom w:val="nil"/>
              <w:right w:val="nil"/>
            </w:tcBorders>
            <w:shd w:val="clear" w:color="auto" w:fill="auto"/>
          </w:tcPr>
          <w:p w14:paraId="7903D78B"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28 (62.2)</w:t>
            </w:r>
          </w:p>
        </w:tc>
        <w:tc>
          <w:tcPr>
            <w:tcW w:w="1275" w:type="dxa"/>
            <w:tcBorders>
              <w:left w:val="nil"/>
              <w:right w:val="nil"/>
            </w:tcBorders>
          </w:tcPr>
          <w:p w14:paraId="2370EB94"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82 (28.8)</w:t>
            </w:r>
          </w:p>
        </w:tc>
        <w:tc>
          <w:tcPr>
            <w:tcW w:w="1134" w:type="dxa"/>
            <w:tcBorders>
              <w:left w:val="nil"/>
              <w:right w:val="nil"/>
            </w:tcBorders>
          </w:tcPr>
          <w:p w14:paraId="3E0A5ED0"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155 (54.6)</w:t>
            </w:r>
          </w:p>
        </w:tc>
      </w:tr>
      <w:tr w:rsidR="009C7702" w:rsidRPr="00734AB6" w14:paraId="070A096D" w14:textId="77777777" w:rsidTr="0099584D">
        <w:tc>
          <w:tcPr>
            <w:tcW w:w="3686" w:type="dxa"/>
            <w:tcBorders>
              <w:top w:val="nil"/>
              <w:left w:val="nil"/>
              <w:bottom w:val="nil"/>
              <w:right w:val="nil"/>
            </w:tcBorders>
            <w:shd w:val="clear" w:color="auto" w:fill="auto"/>
          </w:tcPr>
          <w:p w14:paraId="01C986F3"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People should be able to take modafinil to help them succeed if they want to</w:t>
            </w:r>
          </w:p>
        </w:tc>
        <w:tc>
          <w:tcPr>
            <w:tcW w:w="1276" w:type="dxa"/>
            <w:tcBorders>
              <w:top w:val="nil"/>
              <w:left w:val="nil"/>
              <w:bottom w:val="nil"/>
              <w:right w:val="nil"/>
            </w:tcBorders>
            <w:shd w:val="clear" w:color="auto" w:fill="auto"/>
          </w:tcPr>
          <w:p w14:paraId="2B4ABF8B"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16 (35.5)</w:t>
            </w:r>
          </w:p>
        </w:tc>
        <w:tc>
          <w:tcPr>
            <w:tcW w:w="1134" w:type="dxa"/>
            <w:tcBorders>
              <w:top w:val="nil"/>
              <w:left w:val="nil"/>
              <w:bottom w:val="nil"/>
              <w:right w:val="nil"/>
            </w:tcBorders>
            <w:shd w:val="clear" w:color="auto" w:fill="auto"/>
          </w:tcPr>
          <w:p w14:paraId="6DA2F1DD"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16 (35.5)</w:t>
            </w:r>
          </w:p>
        </w:tc>
        <w:tc>
          <w:tcPr>
            <w:tcW w:w="1275" w:type="dxa"/>
            <w:tcBorders>
              <w:left w:val="nil"/>
              <w:right w:val="nil"/>
            </w:tcBorders>
          </w:tcPr>
          <w:p w14:paraId="1F25AF3C"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15 (5.3)</w:t>
            </w:r>
          </w:p>
        </w:tc>
        <w:tc>
          <w:tcPr>
            <w:tcW w:w="1134" w:type="dxa"/>
            <w:tcBorders>
              <w:left w:val="nil"/>
              <w:right w:val="nil"/>
            </w:tcBorders>
          </w:tcPr>
          <w:p w14:paraId="03C065B2"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248 (87.3)</w:t>
            </w:r>
          </w:p>
        </w:tc>
      </w:tr>
      <w:tr w:rsidR="009C7702" w:rsidRPr="00734AB6" w14:paraId="0A5D0EBF" w14:textId="77777777" w:rsidTr="00D44CB4">
        <w:tc>
          <w:tcPr>
            <w:tcW w:w="3686" w:type="dxa"/>
            <w:tcBorders>
              <w:top w:val="nil"/>
              <w:left w:val="nil"/>
              <w:bottom w:val="nil"/>
              <w:right w:val="nil"/>
            </w:tcBorders>
            <w:shd w:val="clear" w:color="auto" w:fill="auto"/>
          </w:tcPr>
          <w:p w14:paraId="27185113"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Taking modafinil to get ahead gives those individuals an unfair advantage</w:t>
            </w:r>
          </w:p>
        </w:tc>
        <w:tc>
          <w:tcPr>
            <w:tcW w:w="1276" w:type="dxa"/>
            <w:tcBorders>
              <w:top w:val="nil"/>
              <w:left w:val="nil"/>
              <w:bottom w:val="nil"/>
              <w:right w:val="nil"/>
            </w:tcBorders>
            <w:shd w:val="clear" w:color="auto" w:fill="auto"/>
          </w:tcPr>
          <w:p w14:paraId="6AEAFB66"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14 (31.1)</w:t>
            </w:r>
          </w:p>
        </w:tc>
        <w:tc>
          <w:tcPr>
            <w:tcW w:w="1134" w:type="dxa"/>
            <w:tcBorders>
              <w:top w:val="nil"/>
              <w:left w:val="nil"/>
              <w:bottom w:val="nil"/>
              <w:right w:val="nil"/>
            </w:tcBorders>
            <w:shd w:val="clear" w:color="auto" w:fill="auto"/>
          </w:tcPr>
          <w:p w14:paraId="53BB6C6B"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15 (33.3)</w:t>
            </w:r>
          </w:p>
        </w:tc>
        <w:tc>
          <w:tcPr>
            <w:tcW w:w="1275" w:type="dxa"/>
            <w:tcBorders>
              <w:left w:val="nil"/>
              <w:bottom w:val="nil"/>
              <w:right w:val="nil"/>
            </w:tcBorders>
          </w:tcPr>
          <w:p w14:paraId="583B2228"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210 (73.9)</w:t>
            </w:r>
          </w:p>
        </w:tc>
        <w:tc>
          <w:tcPr>
            <w:tcW w:w="1134" w:type="dxa"/>
            <w:tcBorders>
              <w:left w:val="nil"/>
              <w:bottom w:val="nil"/>
              <w:right w:val="nil"/>
            </w:tcBorders>
          </w:tcPr>
          <w:p w14:paraId="6F9A37D6"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33 (11.6)</w:t>
            </w:r>
          </w:p>
        </w:tc>
      </w:tr>
      <w:tr w:rsidR="009C7702" w:rsidRPr="00734AB6" w14:paraId="2D803291" w14:textId="77777777" w:rsidTr="00D44CB4">
        <w:tc>
          <w:tcPr>
            <w:tcW w:w="3686" w:type="dxa"/>
            <w:tcBorders>
              <w:top w:val="nil"/>
              <w:left w:val="nil"/>
              <w:bottom w:val="nil"/>
              <w:right w:val="nil"/>
            </w:tcBorders>
            <w:shd w:val="clear" w:color="auto" w:fill="auto"/>
          </w:tcPr>
          <w:p w14:paraId="2F0B6E8F"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People who take modafinil for cognitive enhancement are cheating</w:t>
            </w:r>
          </w:p>
        </w:tc>
        <w:tc>
          <w:tcPr>
            <w:tcW w:w="1276" w:type="dxa"/>
            <w:tcBorders>
              <w:top w:val="nil"/>
              <w:left w:val="nil"/>
              <w:bottom w:val="nil"/>
              <w:right w:val="nil"/>
            </w:tcBorders>
            <w:shd w:val="clear" w:color="auto" w:fill="auto"/>
          </w:tcPr>
          <w:p w14:paraId="649D2E2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10 (22.2)</w:t>
            </w:r>
          </w:p>
        </w:tc>
        <w:tc>
          <w:tcPr>
            <w:tcW w:w="1134" w:type="dxa"/>
            <w:tcBorders>
              <w:top w:val="nil"/>
              <w:left w:val="nil"/>
              <w:bottom w:val="nil"/>
              <w:right w:val="nil"/>
            </w:tcBorders>
            <w:shd w:val="clear" w:color="auto" w:fill="auto"/>
          </w:tcPr>
          <w:p w14:paraId="7CFF7B15"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21 (46.6)</w:t>
            </w:r>
          </w:p>
        </w:tc>
        <w:tc>
          <w:tcPr>
            <w:tcW w:w="1275" w:type="dxa"/>
            <w:tcBorders>
              <w:top w:val="nil"/>
              <w:left w:val="nil"/>
              <w:bottom w:val="nil"/>
              <w:right w:val="nil"/>
            </w:tcBorders>
          </w:tcPr>
          <w:p w14:paraId="7021BF53"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239 (84.1)</w:t>
            </w:r>
          </w:p>
        </w:tc>
        <w:tc>
          <w:tcPr>
            <w:tcW w:w="1134" w:type="dxa"/>
            <w:tcBorders>
              <w:top w:val="nil"/>
              <w:left w:val="nil"/>
              <w:bottom w:val="nil"/>
              <w:right w:val="nil"/>
            </w:tcBorders>
          </w:tcPr>
          <w:p w14:paraId="59B5C62B"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16 (5.6)</w:t>
            </w:r>
          </w:p>
        </w:tc>
      </w:tr>
      <w:tr w:rsidR="009C7702" w:rsidRPr="00734AB6" w14:paraId="72E176B5" w14:textId="77777777" w:rsidTr="00D44CB4">
        <w:tc>
          <w:tcPr>
            <w:tcW w:w="3686" w:type="dxa"/>
            <w:tcBorders>
              <w:top w:val="nil"/>
              <w:left w:val="nil"/>
              <w:bottom w:val="single" w:sz="4" w:space="0" w:color="auto"/>
              <w:right w:val="nil"/>
            </w:tcBorders>
            <w:shd w:val="clear" w:color="auto" w:fill="auto"/>
          </w:tcPr>
          <w:p w14:paraId="2A20C170" w14:textId="7D9BAEA9"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There is nothing wrong with people</w:t>
            </w:r>
            <w:r w:rsidR="00D44CB4" w:rsidRPr="00734AB6">
              <w:rPr>
                <w:rFonts w:asciiTheme="majorHAnsi" w:hAnsiTheme="majorHAnsi"/>
              </w:rPr>
              <w:t xml:space="preserve"> taking modafinil to get ahead</w:t>
            </w:r>
          </w:p>
        </w:tc>
        <w:tc>
          <w:tcPr>
            <w:tcW w:w="1276" w:type="dxa"/>
            <w:tcBorders>
              <w:top w:val="nil"/>
              <w:left w:val="nil"/>
              <w:bottom w:val="single" w:sz="4" w:space="0" w:color="auto"/>
              <w:right w:val="nil"/>
            </w:tcBorders>
            <w:shd w:val="clear" w:color="auto" w:fill="auto"/>
          </w:tcPr>
          <w:p w14:paraId="45A9BA95"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18 (40.0)</w:t>
            </w:r>
          </w:p>
        </w:tc>
        <w:tc>
          <w:tcPr>
            <w:tcW w:w="1134" w:type="dxa"/>
            <w:tcBorders>
              <w:top w:val="nil"/>
              <w:left w:val="nil"/>
              <w:bottom w:val="single" w:sz="4" w:space="0" w:color="auto"/>
              <w:right w:val="nil"/>
            </w:tcBorders>
            <w:shd w:val="clear" w:color="auto" w:fill="auto"/>
          </w:tcPr>
          <w:p w14:paraId="1B67B841"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11 (24.5)</w:t>
            </w:r>
          </w:p>
        </w:tc>
        <w:tc>
          <w:tcPr>
            <w:tcW w:w="1275" w:type="dxa"/>
            <w:tcBorders>
              <w:top w:val="nil"/>
              <w:left w:val="nil"/>
              <w:bottom w:val="single" w:sz="4" w:space="0" w:color="auto"/>
              <w:right w:val="nil"/>
            </w:tcBorders>
          </w:tcPr>
          <w:p w14:paraId="75144C15"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21 (7.4)</w:t>
            </w:r>
          </w:p>
        </w:tc>
        <w:tc>
          <w:tcPr>
            <w:tcW w:w="1134" w:type="dxa"/>
            <w:tcBorders>
              <w:top w:val="nil"/>
              <w:left w:val="nil"/>
              <w:bottom w:val="single" w:sz="4" w:space="0" w:color="auto"/>
              <w:right w:val="nil"/>
            </w:tcBorders>
          </w:tcPr>
          <w:p w14:paraId="26B7C3DB"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228 (80.3)</w:t>
            </w:r>
          </w:p>
        </w:tc>
      </w:tr>
    </w:tbl>
    <w:p w14:paraId="1B5AB62B" w14:textId="06BCC250" w:rsidR="009C7702" w:rsidRPr="00734AB6" w:rsidRDefault="00D44CB4" w:rsidP="00D44CB4">
      <w:pPr>
        <w:spacing w:line="360" w:lineRule="auto"/>
        <w:ind w:firstLine="851"/>
        <w:rPr>
          <w:rFonts w:asciiTheme="majorHAnsi" w:eastAsia="Calibri" w:hAnsiTheme="majorHAnsi" w:cs="Calibri"/>
        </w:rPr>
      </w:pPr>
      <w:r w:rsidRPr="00734AB6">
        <w:rPr>
          <w:rFonts w:asciiTheme="majorHAnsi" w:eastAsia="Calibri" w:hAnsiTheme="majorHAnsi" w:cs="Calibri"/>
        </w:rPr>
        <w:br w:type="page"/>
      </w:r>
      <w:r w:rsidR="009C7702" w:rsidRPr="00734AB6">
        <w:rPr>
          <w:rFonts w:asciiTheme="majorHAnsi" w:eastAsia="Calibri" w:hAnsiTheme="majorHAnsi" w:cs="Calibri"/>
        </w:rPr>
        <w:lastRenderedPageBreak/>
        <w:t>In response to the statements of opinions relating to methylphenidate, a total of 115 respondents completed this section following the removal of the data from the 18 respondents who had reported having tak</w:t>
      </w:r>
      <w:r w:rsidR="00457628" w:rsidRPr="00734AB6">
        <w:rPr>
          <w:rFonts w:asciiTheme="majorHAnsi" w:eastAsia="Calibri" w:hAnsiTheme="majorHAnsi" w:cs="Calibri"/>
        </w:rPr>
        <w:t xml:space="preserve">en methylphenidate (see Table </w:t>
      </w:r>
      <w:r w:rsidR="00CC1029" w:rsidRPr="00734AB6">
        <w:rPr>
          <w:rFonts w:asciiTheme="majorHAnsi" w:eastAsia="Calibri" w:hAnsiTheme="majorHAnsi" w:cs="Calibri"/>
        </w:rPr>
        <w:t>2.</w:t>
      </w:r>
      <w:r w:rsidR="00457628" w:rsidRPr="00734AB6">
        <w:rPr>
          <w:rFonts w:asciiTheme="majorHAnsi" w:eastAsia="Calibri" w:hAnsiTheme="majorHAnsi" w:cs="Calibri"/>
        </w:rPr>
        <w:t>14</w:t>
      </w:r>
      <w:r w:rsidR="009C7702" w:rsidRPr="00734AB6">
        <w:rPr>
          <w:rFonts w:asciiTheme="majorHAnsi" w:eastAsia="Calibri" w:hAnsiTheme="majorHAnsi" w:cs="Calibri"/>
        </w:rPr>
        <w:t>). As before, these data are compared with that o</w:t>
      </w:r>
      <w:r w:rsidR="00457628" w:rsidRPr="00734AB6">
        <w:rPr>
          <w:rFonts w:asciiTheme="majorHAnsi" w:eastAsia="Calibri" w:hAnsiTheme="majorHAnsi" w:cs="Calibri"/>
        </w:rPr>
        <w:t xml:space="preserve">f Study 1a (N = 311) in Table </w:t>
      </w:r>
      <w:r w:rsidR="00CC1029" w:rsidRPr="00734AB6">
        <w:rPr>
          <w:rFonts w:asciiTheme="majorHAnsi" w:eastAsia="Calibri" w:hAnsiTheme="majorHAnsi" w:cs="Calibri"/>
        </w:rPr>
        <w:t>2.</w:t>
      </w:r>
      <w:r w:rsidR="00457628" w:rsidRPr="00734AB6">
        <w:rPr>
          <w:rFonts w:asciiTheme="majorHAnsi" w:eastAsia="Calibri" w:hAnsiTheme="majorHAnsi" w:cs="Calibri"/>
        </w:rPr>
        <w:t>14</w:t>
      </w:r>
      <w:r w:rsidR="009C7702" w:rsidRPr="00734AB6">
        <w:rPr>
          <w:rFonts w:asciiTheme="majorHAnsi" w:eastAsia="Calibri" w:hAnsiTheme="majorHAnsi" w:cs="Calibri"/>
        </w:rPr>
        <w:t>. In response to the statements relating to safety, 43.9% of university respondents did not feel that it was safe to take methylphenidate and 48.7% felt that it was dangerous. The majority of forum users also did not feel that it was safe to take methylphenidate (42.1%), and 35.1% felt that it was dangerous. The majority of the university respondents did not feel pressurised to take methylphenidate (74.8%) and 65.2% reported that it would not affect their choices if their peers were taking it. This was also the case for the forum users, the majority of whom did not feel pressurised to take methylphenidate (64.9%) and 59.5% felt that it would not affect their choices. The majority of university respondents (49.6%) did not agree that there was nothing wrong with taking methylphenidate, whereas the majority of forum users (52.1%) did agree that there was nothing wrong with taking methylphenidate.</w:t>
      </w:r>
    </w:p>
    <w:p w14:paraId="020B57B5" w14:textId="77777777" w:rsidR="009C7702" w:rsidRPr="00734AB6" w:rsidRDefault="009C7702" w:rsidP="00D44CB4">
      <w:pPr>
        <w:tabs>
          <w:tab w:val="left" w:pos="6946"/>
        </w:tabs>
        <w:spacing w:line="360" w:lineRule="auto"/>
        <w:ind w:firstLine="851"/>
        <w:rPr>
          <w:rFonts w:asciiTheme="majorHAnsi" w:hAnsiTheme="majorHAnsi"/>
        </w:rPr>
      </w:pPr>
    </w:p>
    <w:p w14:paraId="7E0DC44B" w14:textId="77777777" w:rsidR="00D44CB4" w:rsidRPr="00734AB6" w:rsidRDefault="00D44CB4">
      <w:pPr>
        <w:rPr>
          <w:rFonts w:asciiTheme="majorHAnsi" w:hAnsiTheme="majorHAnsi"/>
          <w:b/>
        </w:rPr>
      </w:pPr>
      <w:r w:rsidRPr="00734AB6">
        <w:rPr>
          <w:rFonts w:asciiTheme="majorHAnsi" w:hAnsiTheme="majorHAnsi"/>
          <w:b/>
        </w:rPr>
        <w:br w:type="page"/>
      </w:r>
    </w:p>
    <w:p w14:paraId="08306431" w14:textId="1425828B" w:rsidR="009C7702" w:rsidRPr="00734AB6" w:rsidRDefault="00457628" w:rsidP="0099584D">
      <w:pPr>
        <w:spacing w:line="360" w:lineRule="auto"/>
        <w:rPr>
          <w:rFonts w:asciiTheme="majorHAnsi" w:hAnsiTheme="majorHAnsi"/>
          <w:b/>
        </w:rPr>
      </w:pPr>
      <w:r w:rsidRPr="00734AB6">
        <w:rPr>
          <w:rFonts w:asciiTheme="majorHAnsi" w:hAnsiTheme="majorHAnsi"/>
          <w:b/>
        </w:rPr>
        <w:lastRenderedPageBreak/>
        <w:t xml:space="preserve">Table </w:t>
      </w:r>
      <w:r w:rsidR="00CC1029" w:rsidRPr="00734AB6">
        <w:rPr>
          <w:rFonts w:asciiTheme="majorHAnsi" w:hAnsiTheme="majorHAnsi"/>
          <w:b/>
        </w:rPr>
        <w:t>2.</w:t>
      </w:r>
      <w:r w:rsidRPr="00734AB6">
        <w:rPr>
          <w:rFonts w:asciiTheme="majorHAnsi" w:hAnsiTheme="majorHAnsi"/>
          <w:b/>
        </w:rPr>
        <w:t>14</w:t>
      </w:r>
      <w:r w:rsidR="009C7702" w:rsidRPr="00734AB6">
        <w:rPr>
          <w:rFonts w:asciiTheme="majorHAnsi" w:hAnsiTheme="majorHAnsi"/>
          <w:b/>
        </w:rPr>
        <w:t>. Comparisons of statements of opinions of the off-prescription use of methylphenidate between Study 1a and Study 1b</w:t>
      </w:r>
    </w:p>
    <w:tbl>
      <w:tblPr>
        <w:tblW w:w="864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28"/>
        <w:gridCol w:w="1275"/>
        <w:gridCol w:w="1134"/>
        <w:gridCol w:w="1276"/>
        <w:gridCol w:w="1134"/>
      </w:tblGrid>
      <w:tr w:rsidR="009C7702" w:rsidRPr="00734AB6" w14:paraId="718E69AA" w14:textId="77777777" w:rsidTr="0099584D">
        <w:tc>
          <w:tcPr>
            <w:tcW w:w="3828" w:type="dxa"/>
            <w:tcBorders>
              <w:top w:val="single" w:sz="4" w:space="0" w:color="auto"/>
              <w:left w:val="nil"/>
              <w:bottom w:val="nil"/>
              <w:right w:val="nil"/>
            </w:tcBorders>
          </w:tcPr>
          <w:p w14:paraId="4380707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p>
        </w:tc>
        <w:tc>
          <w:tcPr>
            <w:tcW w:w="2409" w:type="dxa"/>
            <w:gridSpan w:val="2"/>
            <w:tcBorders>
              <w:top w:val="single" w:sz="4" w:space="0" w:color="auto"/>
              <w:left w:val="nil"/>
              <w:bottom w:val="nil"/>
              <w:right w:val="nil"/>
            </w:tcBorders>
          </w:tcPr>
          <w:p w14:paraId="316651D8" w14:textId="01F1987C"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 xml:space="preserve">Study 1b </w:t>
            </w:r>
            <w:r w:rsidR="00C11795" w:rsidRPr="00734AB6">
              <w:rPr>
                <w:rFonts w:asciiTheme="majorHAnsi" w:hAnsiTheme="majorHAnsi"/>
                <w:b/>
              </w:rPr>
              <w:t>(</w:t>
            </w:r>
            <w:r w:rsidRPr="00734AB6">
              <w:rPr>
                <w:rFonts w:asciiTheme="majorHAnsi" w:hAnsiTheme="majorHAnsi"/>
                <w:b/>
              </w:rPr>
              <w:t>N = 115</w:t>
            </w:r>
            <w:r w:rsidR="00C11795" w:rsidRPr="00734AB6">
              <w:rPr>
                <w:rFonts w:asciiTheme="majorHAnsi" w:hAnsiTheme="majorHAnsi"/>
                <w:b/>
              </w:rPr>
              <w:t>)</w:t>
            </w:r>
          </w:p>
        </w:tc>
        <w:tc>
          <w:tcPr>
            <w:tcW w:w="2410" w:type="dxa"/>
            <w:gridSpan w:val="2"/>
            <w:tcBorders>
              <w:top w:val="single" w:sz="4" w:space="0" w:color="auto"/>
              <w:left w:val="nil"/>
              <w:bottom w:val="nil"/>
              <w:right w:val="nil"/>
            </w:tcBorders>
          </w:tcPr>
          <w:p w14:paraId="3D5E9BDE" w14:textId="2C736FAA"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 xml:space="preserve">Study 1a </w:t>
            </w:r>
            <w:r w:rsidR="00C11795" w:rsidRPr="00734AB6">
              <w:rPr>
                <w:rFonts w:asciiTheme="majorHAnsi" w:hAnsiTheme="majorHAnsi"/>
                <w:b/>
              </w:rPr>
              <w:t>(</w:t>
            </w:r>
            <w:r w:rsidRPr="00734AB6">
              <w:rPr>
                <w:rFonts w:asciiTheme="majorHAnsi" w:hAnsiTheme="majorHAnsi"/>
                <w:b/>
              </w:rPr>
              <w:t>N = 311</w:t>
            </w:r>
            <w:r w:rsidR="00C11795" w:rsidRPr="00734AB6">
              <w:rPr>
                <w:rFonts w:asciiTheme="majorHAnsi" w:hAnsiTheme="majorHAnsi"/>
                <w:b/>
              </w:rPr>
              <w:t>)</w:t>
            </w:r>
          </w:p>
        </w:tc>
      </w:tr>
      <w:tr w:rsidR="009C7702" w:rsidRPr="00734AB6" w14:paraId="01AC1B69" w14:textId="77777777" w:rsidTr="0099584D">
        <w:tc>
          <w:tcPr>
            <w:tcW w:w="3828" w:type="dxa"/>
            <w:tcBorders>
              <w:top w:val="nil"/>
              <w:left w:val="nil"/>
              <w:bottom w:val="single" w:sz="4" w:space="0" w:color="auto"/>
              <w:right w:val="nil"/>
            </w:tcBorders>
          </w:tcPr>
          <w:p w14:paraId="7F788CAD"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p>
        </w:tc>
        <w:tc>
          <w:tcPr>
            <w:tcW w:w="1275" w:type="dxa"/>
            <w:tcBorders>
              <w:top w:val="nil"/>
              <w:left w:val="nil"/>
              <w:bottom w:val="single" w:sz="4" w:space="0" w:color="auto"/>
              <w:right w:val="nil"/>
            </w:tcBorders>
          </w:tcPr>
          <w:p w14:paraId="4EB9B4AB"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Disagree or strongly disagree</w:t>
            </w:r>
          </w:p>
          <w:p w14:paraId="4554ECA5"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N (%)</w:t>
            </w:r>
          </w:p>
        </w:tc>
        <w:tc>
          <w:tcPr>
            <w:tcW w:w="1134" w:type="dxa"/>
            <w:tcBorders>
              <w:top w:val="nil"/>
              <w:left w:val="nil"/>
              <w:bottom w:val="single" w:sz="4" w:space="0" w:color="auto"/>
              <w:right w:val="nil"/>
            </w:tcBorders>
          </w:tcPr>
          <w:p w14:paraId="66075EB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Agree or strongly agree</w:t>
            </w:r>
          </w:p>
          <w:p w14:paraId="43C88398"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N (%)</w:t>
            </w:r>
          </w:p>
        </w:tc>
        <w:tc>
          <w:tcPr>
            <w:tcW w:w="1276" w:type="dxa"/>
            <w:tcBorders>
              <w:top w:val="nil"/>
              <w:left w:val="nil"/>
              <w:bottom w:val="single" w:sz="4" w:space="0" w:color="auto"/>
              <w:right w:val="nil"/>
            </w:tcBorders>
          </w:tcPr>
          <w:p w14:paraId="7E6D2925"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Disagree or strongly disagree</w:t>
            </w:r>
          </w:p>
          <w:p w14:paraId="3CD062D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N (%)</w:t>
            </w:r>
          </w:p>
        </w:tc>
        <w:tc>
          <w:tcPr>
            <w:tcW w:w="1134" w:type="dxa"/>
            <w:tcBorders>
              <w:top w:val="nil"/>
              <w:left w:val="nil"/>
              <w:bottom w:val="single" w:sz="4" w:space="0" w:color="auto"/>
              <w:right w:val="nil"/>
            </w:tcBorders>
          </w:tcPr>
          <w:p w14:paraId="216D537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Agree or strongly agree</w:t>
            </w:r>
          </w:p>
          <w:p w14:paraId="7A289369"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b/>
              </w:rPr>
            </w:pPr>
            <w:r w:rsidRPr="00734AB6">
              <w:rPr>
                <w:rFonts w:asciiTheme="majorHAnsi" w:hAnsiTheme="majorHAnsi"/>
                <w:b/>
              </w:rPr>
              <w:t>N (%)</w:t>
            </w:r>
          </w:p>
        </w:tc>
      </w:tr>
      <w:tr w:rsidR="009C7702" w:rsidRPr="00734AB6" w14:paraId="41EAACB8" w14:textId="77777777" w:rsidTr="0099584D">
        <w:tc>
          <w:tcPr>
            <w:tcW w:w="3828" w:type="dxa"/>
            <w:tcBorders>
              <w:top w:val="single" w:sz="4" w:space="0" w:color="auto"/>
              <w:left w:val="nil"/>
              <w:bottom w:val="nil"/>
              <w:right w:val="nil"/>
            </w:tcBorders>
            <w:shd w:val="clear" w:color="auto" w:fill="auto"/>
          </w:tcPr>
          <w:p w14:paraId="42A42CCA"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 feel it is entirely safe for people to take methylphenidate for cognitive enhancement</w:t>
            </w:r>
          </w:p>
        </w:tc>
        <w:tc>
          <w:tcPr>
            <w:tcW w:w="1275" w:type="dxa"/>
            <w:tcBorders>
              <w:top w:val="single" w:sz="4" w:space="0" w:color="auto"/>
              <w:left w:val="nil"/>
              <w:bottom w:val="nil"/>
              <w:right w:val="nil"/>
            </w:tcBorders>
            <w:shd w:val="clear" w:color="auto" w:fill="auto"/>
          </w:tcPr>
          <w:p w14:paraId="2F570A38"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62 (43.9)</w:t>
            </w:r>
          </w:p>
        </w:tc>
        <w:tc>
          <w:tcPr>
            <w:tcW w:w="1134" w:type="dxa"/>
            <w:tcBorders>
              <w:top w:val="single" w:sz="4" w:space="0" w:color="auto"/>
              <w:left w:val="nil"/>
              <w:bottom w:val="nil"/>
              <w:right w:val="nil"/>
            </w:tcBorders>
            <w:shd w:val="clear" w:color="auto" w:fill="auto"/>
          </w:tcPr>
          <w:p w14:paraId="392FBFBD"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11 (9.6)</w:t>
            </w:r>
          </w:p>
        </w:tc>
        <w:tc>
          <w:tcPr>
            <w:tcW w:w="1276" w:type="dxa"/>
            <w:tcBorders>
              <w:top w:val="single" w:sz="4" w:space="0" w:color="auto"/>
              <w:left w:val="nil"/>
              <w:bottom w:val="nil"/>
              <w:right w:val="nil"/>
            </w:tcBorders>
          </w:tcPr>
          <w:p w14:paraId="77DB94BE"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131 (42.1)</w:t>
            </w:r>
          </w:p>
        </w:tc>
        <w:tc>
          <w:tcPr>
            <w:tcW w:w="1134" w:type="dxa"/>
            <w:tcBorders>
              <w:top w:val="single" w:sz="4" w:space="0" w:color="auto"/>
              <w:left w:val="nil"/>
              <w:bottom w:val="nil"/>
              <w:right w:val="nil"/>
            </w:tcBorders>
          </w:tcPr>
          <w:p w14:paraId="3DE62A1F"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76 (24.5)</w:t>
            </w:r>
          </w:p>
        </w:tc>
      </w:tr>
      <w:tr w:rsidR="009C7702" w:rsidRPr="00734AB6" w14:paraId="1D1AD9ED" w14:textId="77777777" w:rsidTr="0099584D">
        <w:tc>
          <w:tcPr>
            <w:tcW w:w="3828" w:type="dxa"/>
            <w:tcBorders>
              <w:top w:val="nil"/>
              <w:left w:val="nil"/>
              <w:bottom w:val="nil"/>
              <w:right w:val="nil"/>
            </w:tcBorders>
            <w:shd w:val="clear" w:color="auto" w:fill="auto"/>
          </w:tcPr>
          <w:p w14:paraId="62F0F74B" w14:textId="377EBD00"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 feel that taking methylphenidate for cog</w:t>
            </w:r>
            <w:r w:rsidR="00D44CB4" w:rsidRPr="00734AB6">
              <w:rPr>
                <w:rFonts w:asciiTheme="majorHAnsi" w:hAnsiTheme="majorHAnsi"/>
              </w:rPr>
              <w:t>nitive enhancement is dangerous</w:t>
            </w:r>
          </w:p>
        </w:tc>
        <w:tc>
          <w:tcPr>
            <w:tcW w:w="1275" w:type="dxa"/>
            <w:tcBorders>
              <w:top w:val="nil"/>
              <w:left w:val="nil"/>
              <w:bottom w:val="nil"/>
              <w:right w:val="nil"/>
            </w:tcBorders>
            <w:shd w:val="clear" w:color="auto" w:fill="auto"/>
          </w:tcPr>
          <w:p w14:paraId="514BDA07"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14 (12.2)</w:t>
            </w:r>
          </w:p>
        </w:tc>
        <w:tc>
          <w:tcPr>
            <w:tcW w:w="1134" w:type="dxa"/>
            <w:tcBorders>
              <w:top w:val="nil"/>
              <w:left w:val="nil"/>
              <w:bottom w:val="nil"/>
              <w:right w:val="nil"/>
            </w:tcBorders>
            <w:shd w:val="clear" w:color="auto" w:fill="auto"/>
          </w:tcPr>
          <w:p w14:paraId="65F819F4"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56 (48.7)</w:t>
            </w:r>
          </w:p>
        </w:tc>
        <w:tc>
          <w:tcPr>
            <w:tcW w:w="1276" w:type="dxa"/>
            <w:tcBorders>
              <w:top w:val="nil"/>
              <w:left w:val="nil"/>
              <w:bottom w:val="nil"/>
              <w:right w:val="nil"/>
            </w:tcBorders>
          </w:tcPr>
          <w:p w14:paraId="7A08968E"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74 (23.8)</w:t>
            </w:r>
          </w:p>
        </w:tc>
        <w:tc>
          <w:tcPr>
            <w:tcW w:w="1134" w:type="dxa"/>
            <w:tcBorders>
              <w:top w:val="nil"/>
              <w:left w:val="nil"/>
              <w:bottom w:val="nil"/>
              <w:right w:val="nil"/>
            </w:tcBorders>
          </w:tcPr>
          <w:p w14:paraId="3684BB86"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109 (35.1)</w:t>
            </w:r>
          </w:p>
        </w:tc>
      </w:tr>
      <w:tr w:rsidR="009C7702" w:rsidRPr="00734AB6" w14:paraId="55A3B2D2" w14:textId="77777777" w:rsidTr="0099584D">
        <w:tc>
          <w:tcPr>
            <w:tcW w:w="3828" w:type="dxa"/>
            <w:tcBorders>
              <w:top w:val="nil"/>
              <w:left w:val="nil"/>
              <w:bottom w:val="nil"/>
              <w:right w:val="nil"/>
            </w:tcBorders>
            <w:shd w:val="clear" w:color="auto" w:fill="auto"/>
          </w:tcPr>
          <w:p w14:paraId="2A270F33" w14:textId="33C6AFDE"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If my peers were taking methylphenidate to help them achieve more I would</w:t>
            </w:r>
            <w:r w:rsidR="00D44CB4" w:rsidRPr="00734AB6">
              <w:rPr>
                <w:rFonts w:asciiTheme="majorHAnsi" w:hAnsiTheme="majorHAnsi"/>
              </w:rPr>
              <w:t xml:space="preserve"> feel pressured to do the same</w:t>
            </w:r>
          </w:p>
        </w:tc>
        <w:tc>
          <w:tcPr>
            <w:tcW w:w="1275" w:type="dxa"/>
            <w:tcBorders>
              <w:top w:val="nil"/>
              <w:left w:val="nil"/>
              <w:bottom w:val="nil"/>
              <w:right w:val="nil"/>
            </w:tcBorders>
            <w:shd w:val="clear" w:color="auto" w:fill="auto"/>
          </w:tcPr>
          <w:p w14:paraId="377ED08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86 (74.8)</w:t>
            </w:r>
          </w:p>
        </w:tc>
        <w:tc>
          <w:tcPr>
            <w:tcW w:w="1134" w:type="dxa"/>
            <w:tcBorders>
              <w:top w:val="nil"/>
              <w:left w:val="nil"/>
              <w:bottom w:val="nil"/>
              <w:right w:val="nil"/>
            </w:tcBorders>
            <w:shd w:val="clear" w:color="auto" w:fill="auto"/>
          </w:tcPr>
          <w:p w14:paraId="17136D78"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21 (18.2)</w:t>
            </w:r>
          </w:p>
        </w:tc>
        <w:tc>
          <w:tcPr>
            <w:tcW w:w="1276" w:type="dxa"/>
            <w:tcBorders>
              <w:top w:val="nil"/>
              <w:left w:val="nil"/>
              <w:bottom w:val="nil"/>
              <w:right w:val="nil"/>
            </w:tcBorders>
          </w:tcPr>
          <w:p w14:paraId="5F5B4991"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202 (64.9)</w:t>
            </w:r>
          </w:p>
        </w:tc>
        <w:tc>
          <w:tcPr>
            <w:tcW w:w="1134" w:type="dxa"/>
            <w:tcBorders>
              <w:top w:val="nil"/>
              <w:left w:val="nil"/>
              <w:bottom w:val="nil"/>
              <w:right w:val="nil"/>
            </w:tcBorders>
          </w:tcPr>
          <w:p w14:paraId="4C2229A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48 (15.4)</w:t>
            </w:r>
          </w:p>
        </w:tc>
      </w:tr>
      <w:tr w:rsidR="009C7702" w:rsidRPr="00734AB6" w14:paraId="6B530F7B" w14:textId="77777777" w:rsidTr="0099584D">
        <w:tc>
          <w:tcPr>
            <w:tcW w:w="3828" w:type="dxa"/>
            <w:tcBorders>
              <w:top w:val="nil"/>
              <w:left w:val="nil"/>
              <w:bottom w:val="nil"/>
              <w:right w:val="nil"/>
            </w:tcBorders>
            <w:shd w:val="clear" w:color="auto" w:fill="auto"/>
          </w:tcPr>
          <w:p w14:paraId="040FF803"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If my peers were taking methylphenidate to help them achieve it would not affect my choices</w:t>
            </w:r>
            <w:r w:rsidRPr="00734AB6">
              <w:rPr>
                <w:rFonts w:asciiTheme="majorHAnsi" w:hAnsiTheme="majorHAnsi"/>
              </w:rPr>
              <w:tab/>
            </w:r>
          </w:p>
        </w:tc>
        <w:tc>
          <w:tcPr>
            <w:tcW w:w="1275" w:type="dxa"/>
            <w:tcBorders>
              <w:top w:val="nil"/>
              <w:left w:val="nil"/>
              <w:bottom w:val="nil"/>
              <w:right w:val="nil"/>
            </w:tcBorders>
            <w:shd w:val="clear" w:color="auto" w:fill="auto"/>
          </w:tcPr>
          <w:p w14:paraId="73AA36C5"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23 (20.0)</w:t>
            </w:r>
          </w:p>
        </w:tc>
        <w:tc>
          <w:tcPr>
            <w:tcW w:w="1134" w:type="dxa"/>
            <w:tcBorders>
              <w:top w:val="nil"/>
              <w:left w:val="nil"/>
              <w:bottom w:val="nil"/>
              <w:right w:val="nil"/>
            </w:tcBorders>
            <w:shd w:val="clear" w:color="auto" w:fill="auto"/>
          </w:tcPr>
          <w:p w14:paraId="64041FC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75 (65.2)</w:t>
            </w:r>
          </w:p>
        </w:tc>
        <w:tc>
          <w:tcPr>
            <w:tcW w:w="1276" w:type="dxa"/>
            <w:tcBorders>
              <w:top w:val="nil"/>
              <w:left w:val="nil"/>
              <w:bottom w:val="nil"/>
              <w:right w:val="nil"/>
            </w:tcBorders>
          </w:tcPr>
          <w:p w14:paraId="0D44B53F"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61 (19.6)</w:t>
            </w:r>
          </w:p>
        </w:tc>
        <w:tc>
          <w:tcPr>
            <w:tcW w:w="1134" w:type="dxa"/>
            <w:tcBorders>
              <w:top w:val="nil"/>
              <w:left w:val="nil"/>
              <w:bottom w:val="nil"/>
              <w:right w:val="nil"/>
            </w:tcBorders>
          </w:tcPr>
          <w:p w14:paraId="1FE9E717"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185 (59.5)</w:t>
            </w:r>
          </w:p>
        </w:tc>
      </w:tr>
      <w:tr w:rsidR="009C7702" w:rsidRPr="00734AB6" w14:paraId="7B224A35" w14:textId="77777777" w:rsidTr="0099584D">
        <w:tc>
          <w:tcPr>
            <w:tcW w:w="3828" w:type="dxa"/>
            <w:tcBorders>
              <w:top w:val="nil"/>
              <w:left w:val="nil"/>
              <w:bottom w:val="nil"/>
              <w:right w:val="nil"/>
            </w:tcBorders>
            <w:shd w:val="clear" w:color="auto" w:fill="auto"/>
          </w:tcPr>
          <w:p w14:paraId="6C85CF60"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People should be able to take methylphenidate to help them succeed if they want to</w:t>
            </w:r>
          </w:p>
        </w:tc>
        <w:tc>
          <w:tcPr>
            <w:tcW w:w="1275" w:type="dxa"/>
            <w:tcBorders>
              <w:top w:val="nil"/>
              <w:left w:val="nil"/>
              <w:bottom w:val="nil"/>
              <w:right w:val="nil"/>
            </w:tcBorders>
            <w:shd w:val="clear" w:color="auto" w:fill="auto"/>
          </w:tcPr>
          <w:p w14:paraId="64719314"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48 (41.8)</w:t>
            </w:r>
          </w:p>
        </w:tc>
        <w:tc>
          <w:tcPr>
            <w:tcW w:w="1134" w:type="dxa"/>
            <w:tcBorders>
              <w:top w:val="nil"/>
              <w:left w:val="nil"/>
              <w:bottom w:val="nil"/>
              <w:right w:val="nil"/>
            </w:tcBorders>
            <w:shd w:val="clear" w:color="auto" w:fill="auto"/>
          </w:tcPr>
          <w:p w14:paraId="7424542F"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29 (25.2)</w:t>
            </w:r>
          </w:p>
        </w:tc>
        <w:tc>
          <w:tcPr>
            <w:tcW w:w="1276" w:type="dxa"/>
            <w:tcBorders>
              <w:top w:val="nil"/>
              <w:left w:val="nil"/>
              <w:bottom w:val="nil"/>
              <w:right w:val="nil"/>
            </w:tcBorders>
          </w:tcPr>
          <w:p w14:paraId="30BE7AD3"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51 (16.4)</w:t>
            </w:r>
          </w:p>
        </w:tc>
        <w:tc>
          <w:tcPr>
            <w:tcW w:w="1134" w:type="dxa"/>
            <w:tcBorders>
              <w:top w:val="nil"/>
              <w:left w:val="nil"/>
              <w:bottom w:val="nil"/>
              <w:right w:val="nil"/>
            </w:tcBorders>
          </w:tcPr>
          <w:p w14:paraId="167AABE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185 (59.5)</w:t>
            </w:r>
          </w:p>
        </w:tc>
      </w:tr>
      <w:tr w:rsidR="009C7702" w:rsidRPr="00734AB6" w14:paraId="6C713AAF" w14:textId="77777777" w:rsidTr="0099584D">
        <w:tc>
          <w:tcPr>
            <w:tcW w:w="3828" w:type="dxa"/>
            <w:tcBorders>
              <w:top w:val="nil"/>
              <w:left w:val="nil"/>
              <w:bottom w:val="nil"/>
              <w:right w:val="nil"/>
            </w:tcBorders>
            <w:shd w:val="clear" w:color="auto" w:fill="auto"/>
          </w:tcPr>
          <w:p w14:paraId="6D85CC69"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Taking methylphenidate to get ahead gives those individuals an unfair advantage</w:t>
            </w:r>
          </w:p>
        </w:tc>
        <w:tc>
          <w:tcPr>
            <w:tcW w:w="1275" w:type="dxa"/>
            <w:tcBorders>
              <w:top w:val="nil"/>
              <w:left w:val="nil"/>
              <w:bottom w:val="nil"/>
              <w:right w:val="nil"/>
            </w:tcBorders>
            <w:shd w:val="clear" w:color="auto" w:fill="auto"/>
          </w:tcPr>
          <w:p w14:paraId="40FFCD68"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25 (21.8)</w:t>
            </w:r>
          </w:p>
        </w:tc>
        <w:tc>
          <w:tcPr>
            <w:tcW w:w="1134" w:type="dxa"/>
            <w:tcBorders>
              <w:top w:val="nil"/>
              <w:left w:val="nil"/>
              <w:bottom w:val="nil"/>
              <w:right w:val="nil"/>
            </w:tcBorders>
            <w:shd w:val="clear" w:color="auto" w:fill="auto"/>
          </w:tcPr>
          <w:p w14:paraId="3077F2F6"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60 (52.2)</w:t>
            </w:r>
          </w:p>
        </w:tc>
        <w:tc>
          <w:tcPr>
            <w:tcW w:w="1276" w:type="dxa"/>
            <w:tcBorders>
              <w:top w:val="nil"/>
              <w:left w:val="nil"/>
              <w:bottom w:val="nil"/>
              <w:right w:val="nil"/>
            </w:tcBorders>
          </w:tcPr>
          <w:p w14:paraId="04B09B97"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175 (56.3)</w:t>
            </w:r>
          </w:p>
        </w:tc>
        <w:tc>
          <w:tcPr>
            <w:tcW w:w="1134" w:type="dxa"/>
            <w:tcBorders>
              <w:top w:val="nil"/>
              <w:left w:val="nil"/>
              <w:bottom w:val="nil"/>
              <w:right w:val="nil"/>
            </w:tcBorders>
          </w:tcPr>
          <w:p w14:paraId="064DA9A1"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56 (18.1)</w:t>
            </w:r>
          </w:p>
        </w:tc>
      </w:tr>
      <w:tr w:rsidR="009C7702" w:rsidRPr="00734AB6" w14:paraId="42FB6370" w14:textId="77777777" w:rsidTr="0099584D">
        <w:tc>
          <w:tcPr>
            <w:tcW w:w="3828" w:type="dxa"/>
            <w:tcBorders>
              <w:top w:val="nil"/>
              <w:left w:val="nil"/>
              <w:bottom w:val="nil"/>
              <w:right w:val="nil"/>
            </w:tcBorders>
            <w:shd w:val="clear" w:color="auto" w:fill="auto"/>
          </w:tcPr>
          <w:p w14:paraId="4EE54A6D" w14:textId="2AC825F1" w:rsidR="009C7702" w:rsidRPr="00734AB6" w:rsidRDefault="009C7702" w:rsidP="0099584D">
            <w:pPr>
              <w:spacing w:before="120" w:after="120" w:line="360" w:lineRule="auto"/>
              <w:rPr>
                <w:rFonts w:asciiTheme="majorHAnsi" w:hAnsiTheme="majorHAnsi"/>
              </w:rPr>
            </w:pPr>
            <w:r w:rsidRPr="00734AB6">
              <w:rPr>
                <w:rFonts w:asciiTheme="majorHAnsi" w:hAnsiTheme="majorHAnsi"/>
              </w:rPr>
              <w:t>People who take methylphenidate for cogn</w:t>
            </w:r>
            <w:r w:rsidR="00D44CB4" w:rsidRPr="00734AB6">
              <w:rPr>
                <w:rFonts w:asciiTheme="majorHAnsi" w:hAnsiTheme="majorHAnsi"/>
              </w:rPr>
              <w:t>itive enhancement are cheating</w:t>
            </w:r>
          </w:p>
        </w:tc>
        <w:tc>
          <w:tcPr>
            <w:tcW w:w="1275" w:type="dxa"/>
            <w:tcBorders>
              <w:top w:val="nil"/>
              <w:left w:val="nil"/>
              <w:bottom w:val="nil"/>
              <w:right w:val="nil"/>
            </w:tcBorders>
            <w:shd w:val="clear" w:color="auto" w:fill="auto"/>
          </w:tcPr>
          <w:p w14:paraId="4D65255E"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36 (31.1)</w:t>
            </w:r>
          </w:p>
        </w:tc>
        <w:tc>
          <w:tcPr>
            <w:tcW w:w="1134" w:type="dxa"/>
            <w:tcBorders>
              <w:top w:val="nil"/>
              <w:left w:val="nil"/>
              <w:bottom w:val="nil"/>
              <w:right w:val="nil"/>
            </w:tcBorders>
            <w:shd w:val="clear" w:color="auto" w:fill="auto"/>
          </w:tcPr>
          <w:p w14:paraId="3C5764F6"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45 (39.1)</w:t>
            </w:r>
          </w:p>
        </w:tc>
        <w:tc>
          <w:tcPr>
            <w:tcW w:w="1276" w:type="dxa"/>
            <w:tcBorders>
              <w:top w:val="nil"/>
              <w:left w:val="nil"/>
              <w:bottom w:val="nil"/>
              <w:right w:val="nil"/>
            </w:tcBorders>
          </w:tcPr>
          <w:p w14:paraId="7FC8F4B9"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204 (65.6)</w:t>
            </w:r>
          </w:p>
        </w:tc>
        <w:tc>
          <w:tcPr>
            <w:tcW w:w="1134" w:type="dxa"/>
            <w:tcBorders>
              <w:top w:val="nil"/>
              <w:left w:val="nil"/>
              <w:bottom w:val="nil"/>
              <w:right w:val="nil"/>
            </w:tcBorders>
          </w:tcPr>
          <w:p w14:paraId="5B6168B9" w14:textId="77777777" w:rsidR="009C7702" w:rsidRPr="00734AB6" w:rsidRDefault="009C7702" w:rsidP="0099584D">
            <w:pPr>
              <w:spacing w:before="120" w:after="120" w:line="360" w:lineRule="auto"/>
              <w:rPr>
                <w:rFonts w:asciiTheme="majorHAnsi" w:hAnsiTheme="majorHAnsi"/>
              </w:rPr>
            </w:pPr>
            <w:r w:rsidRPr="00734AB6">
              <w:rPr>
                <w:rFonts w:asciiTheme="majorHAnsi" w:hAnsiTheme="majorHAnsi"/>
              </w:rPr>
              <w:t>38 (12.2)</w:t>
            </w:r>
          </w:p>
        </w:tc>
      </w:tr>
      <w:tr w:rsidR="009C7702" w:rsidRPr="00734AB6" w14:paraId="26A8BDB8" w14:textId="77777777" w:rsidTr="0099584D">
        <w:tc>
          <w:tcPr>
            <w:tcW w:w="3828" w:type="dxa"/>
            <w:tcBorders>
              <w:top w:val="nil"/>
              <w:left w:val="nil"/>
              <w:bottom w:val="single" w:sz="4" w:space="0" w:color="auto"/>
              <w:right w:val="nil"/>
            </w:tcBorders>
            <w:shd w:val="clear" w:color="auto" w:fill="auto"/>
          </w:tcPr>
          <w:p w14:paraId="41229E8C" w14:textId="31792740"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There is nothing wrong with people takin</w:t>
            </w:r>
            <w:r w:rsidR="00D44CB4" w:rsidRPr="00734AB6">
              <w:rPr>
                <w:rFonts w:asciiTheme="majorHAnsi" w:hAnsiTheme="majorHAnsi"/>
              </w:rPr>
              <w:t>g methylphenidate to get ahead</w:t>
            </w:r>
            <w:r w:rsidR="00D44CB4" w:rsidRPr="00734AB6">
              <w:rPr>
                <w:rFonts w:asciiTheme="majorHAnsi" w:hAnsiTheme="majorHAnsi"/>
              </w:rPr>
              <w:tab/>
            </w:r>
          </w:p>
        </w:tc>
        <w:tc>
          <w:tcPr>
            <w:tcW w:w="1275" w:type="dxa"/>
            <w:tcBorders>
              <w:top w:val="nil"/>
              <w:left w:val="nil"/>
              <w:bottom w:val="single" w:sz="4" w:space="0" w:color="auto"/>
              <w:right w:val="nil"/>
            </w:tcBorders>
            <w:shd w:val="clear" w:color="auto" w:fill="auto"/>
          </w:tcPr>
          <w:p w14:paraId="6829390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57 (49.6)</w:t>
            </w:r>
          </w:p>
        </w:tc>
        <w:tc>
          <w:tcPr>
            <w:tcW w:w="1134" w:type="dxa"/>
            <w:tcBorders>
              <w:top w:val="nil"/>
              <w:left w:val="nil"/>
              <w:bottom w:val="single" w:sz="4" w:space="0" w:color="auto"/>
              <w:right w:val="nil"/>
            </w:tcBorders>
            <w:shd w:val="clear" w:color="auto" w:fill="auto"/>
          </w:tcPr>
          <w:p w14:paraId="107E798C"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22 (19.1)</w:t>
            </w:r>
          </w:p>
        </w:tc>
        <w:tc>
          <w:tcPr>
            <w:tcW w:w="1276" w:type="dxa"/>
            <w:tcBorders>
              <w:top w:val="nil"/>
              <w:left w:val="nil"/>
              <w:bottom w:val="single" w:sz="4" w:space="0" w:color="auto"/>
              <w:right w:val="nil"/>
            </w:tcBorders>
          </w:tcPr>
          <w:p w14:paraId="5F09B0D2"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60 (19.3)</w:t>
            </w:r>
          </w:p>
        </w:tc>
        <w:tc>
          <w:tcPr>
            <w:tcW w:w="1134" w:type="dxa"/>
            <w:tcBorders>
              <w:top w:val="nil"/>
              <w:left w:val="nil"/>
              <w:bottom w:val="single" w:sz="4" w:space="0" w:color="auto"/>
              <w:right w:val="nil"/>
            </w:tcBorders>
          </w:tcPr>
          <w:p w14:paraId="11D154A3" w14:textId="77777777" w:rsidR="009C7702" w:rsidRPr="00734AB6" w:rsidRDefault="009C7702" w:rsidP="0099584D">
            <w:pPr>
              <w:tabs>
                <w:tab w:val="left" w:pos="2552"/>
                <w:tab w:val="left" w:pos="3402"/>
                <w:tab w:val="left" w:pos="4395"/>
              </w:tabs>
              <w:spacing w:before="120" w:after="120" w:line="360" w:lineRule="auto"/>
              <w:rPr>
                <w:rFonts w:asciiTheme="majorHAnsi" w:hAnsiTheme="majorHAnsi"/>
              </w:rPr>
            </w:pPr>
            <w:r w:rsidRPr="00734AB6">
              <w:rPr>
                <w:rFonts w:asciiTheme="majorHAnsi" w:hAnsiTheme="majorHAnsi"/>
              </w:rPr>
              <w:t>162 (52.1)</w:t>
            </w:r>
          </w:p>
        </w:tc>
      </w:tr>
    </w:tbl>
    <w:p w14:paraId="2F965EC8" w14:textId="77777777" w:rsidR="009C7702" w:rsidRPr="00734AB6" w:rsidRDefault="009C7702" w:rsidP="00C53EB3">
      <w:pPr>
        <w:pStyle w:val="Heading3"/>
        <w:spacing w:before="240" w:after="240" w:line="360" w:lineRule="auto"/>
        <w:rPr>
          <w:b/>
          <w:color w:val="auto"/>
          <w:sz w:val="22"/>
          <w:szCs w:val="22"/>
        </w:rPr>
      </w:pPr>
      <w:bookmarkStart w:id="50" w:name="_Toc48136343"/>
      <w:r w:rsidRPr="00734AB6">
        <w:rPr>
          <w:b/>
          <w:color w:val="auto"/>
          <w:sz w:val="22"/>
          <w:szCs w:val="22"/>
        </w:rPr>
        <w:lastRenderedPageBreak/>
        <w:t>2.3.4</w:t>
      </w:r>
      <w:r w:rsidRPr="00734AB6">
        <w:rPr>
          <w:b/>
          <w:color w:val="auto"/>
          <w:sz w:val="22"/>
          <w:szCs w:val="22"/>
        </w:rPr>
        <w:tab/>
        <w:t>Discussion</w:t>
      </w:r>
      <w:bookmarkEnd w:id="50"/>
    </w:p>
    <w:p w14:paraId="36BEF772" w14:textId="261C05E7"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In comparison with Study 1a, the majority of respondents were female, which may reflect the large number of respondents recruited via the LSBU Psychology Division’s RPS site, as the majority of psychology students at LSBU are female. The percentage of reported modafinil and methylphenidate off-prescription users in the university sample is in line with that reported by Singh et al. (2014). </w:t>
      </w:r>
      <w:r w:rsidR="00E0713E" w:rsidRPr="00734AB6">
        <w:rPr>
          <w:rFonts w:asciiTheme="majorHAnsi" w:eastAsia="Calibri" w:hAnsiTheme="majorHAnsi" w:cs="Calibri"/>
        </w:rPr>
        <w:t>O</w:t>
      </w:r>
      <w:r w:rsidRPr="00734AB6">
        <w:rPr>
          <w:rFonts w:asciiTheme="majorHAnsi" w:eastAsia="Calibri" w:hAnsiTheme="majorHAnsi" w:cs="Calibri"/>
        </w:rPr>
        <w:t xml:space="preserve">ff-prescription </w:t>
      </w:r>
      <w:r w:rsidR="00E0713E" w:rsidRPr="00734AB6">
        <w:rPr>
          <w:rFonts w:asciiTheme="majorHAnsi" w:eastAsia="Calibri" w:hAnsiTheme="majorHAnsi" w:cs="Calibri"/>
        </w:rPr>
        <w:t xml:space="preserve">reported </w:t>
      </w:r>
      <w:r w:rsidRPr="00734AB6">
        <w:rPr>
          <w:rFonts w:asciiTheme="majorHAnsi" w:eastAsia="Calibri" w:hAnsiTheme="majorHAnsi" w:cs="Calibri"/>
        </w:rPr>
        <w:t xml:space="preserve">use of modafinil in the current study is </w:t>
      </w:r>
      <w:r w:rsidR="007C70C6" w:rsidRPr="00734AB6">
        <w:rPr>
          <w:rFonts w:asciiTheme="majorHAnsi" w:eastAsia="Calibri" w:hAnsiTheme="majorHAnsi" w:cs="Calibri"/>
        </w:rPr>
        <w:t xml:space="preserve">somewhat </w:t>
      </w:r>
      <w:r w:rsidR="00074442" w:rsidRPr="00734AB6">
        <w:rPr>
          <w:rFonts w:asciiTheme="majorHAnsi" w:eastAsia="Calibri" w:hAnsiTheme="majorHAnsi" w:cs="Calibri"/>
        </w:rPr>
        <w:t>lower than</w:t>
      </w:r>
      <w:r w:rsidRPr="00734AB6">
        <w:rPr>
          <w:rFonts w:asciiTheme="majorHAnsi" w:eastAsia="Calibri" w:hAnsiTheme="majorHAnsi" w:cs="Calibri"/>
        </w:rPr>
        <w:t xml:space="preserve"> the reported use of modafinil for cognitive enhancement in their study</w:t>
      </w:r>
      <w:r w:rsidR="00074442" w:rsidRPr="00734AB6">
        <w:rPr>
          <w:rFonts w:asciiTheme="majorHAnsi" w:eastAsia="Calibri" w:hAnsiTheme="majorHAnsi" w:cs="Calibri"/>
        </w:rPr>
        <w:t xml:space="preserve">. </w:t>
      </w:r>
      <w:r w:rsidRPr="00734AB6">
        <w:rPr>
          <w:rFonts w:asciiTheme="majorHAnsi" w:eastAsia="Calibri" w:hAnsiTheme="majorHAnsi" w:cs="Calibri"/>
        </w:rPr>
        <w:t>The reported off-prescription use of methylphenidate in the current study was</w:t>
      </w:r>
      <w:r w:rsidR="00074442" w:rsidRPr="00734AB6">
        <w:rPr>
          <w:rFonts w:asciiTheme="majorHAnsi" w:eastAsia="Calibri" w:hAnsiTheme="majorHAnsi" w:cs="Calibri"/>
        </w:rPr>
        <w:t xml:space="preserve"> slightly</w:t>
      </w:r>
      <w:r w:rsidRPr="00734AB6">
        <w:rPr>
          <w:rFonts w:asciiTheme="majorHAnsi" w:eastAsia="Calibri" w:hAnsiTheme="majorHAnsi" w:cs="Calibri"/>
        </w:rPr>
        <w:t xml:space="preserve"> </w:t>
      </w:r>
      <w:r w:rsidR="00074442" w:rsidRPr="00734AB6">
        <w:rPr>
          <w:rFonts w:asciiTheme="majorHAnsi" w:eastAsia="Calibri" w:hAnsiTheme="majorHAnsi" w:cs="Calibri"/>
        </w:rPr>
        <w:t>lower than</w:t>
      </w:r>
      <w:r w:rsidR="007C70C6" w:rsidRPr="00734AB6">
        <w:rPr>
          <w:rFonts w:asciiTheme="majorHAnsi" w:eastAsia="Calibri" w:hAnsiTheme="majorHAnsi" w:cs="Calibri"/>
        </w:rPr>
        <w:t xml:space="preserve"> that reported by Singh et al</w:t>
      </w:r>
      <w:r w:rsidRPr="00734AB6">
        <w:rPr>
          <w:rFonts w:asciiTheme="majorHAnsi" w:eastAsia="Calibri" w:hAnsiTheme="majorHAnsi" w:cs="Calibri"/>
        </w:rPr>
        <w:t xml:space="preserve">. Whilst the reported use of modafinil and methylphenidate in the current study is in line with the 10% of Cambridge students reported by Varsity in 2009, it is still much lower than the reported modafinil use by 26% of Oxford students (Young-Powell &amp; Page, 2014). </w:t>
      </w:r>
      <w:r w:rsidR="00807F33" w:rsidRPr="00734AB6">
        <w:rPr>
          <w:rFonts w:asciiTheme="majorHAnsi" w:eastAsia="Calibri" w:hAnsiTheme="majorHAnsi" w:cs="Calibri"/>
        </w:rPr>
        <w:t xml:space="preserve">Although the study by Singh et al. involved mainly Russell Group universities, the Oxbridge universities are internationally recognised as being the most revered and, as the Cambridge study is 11 years old, it </w:t>
      </w:r>
      <w:r w:rsidR="007C70C6" w:rsidRPr="00734AB6">
        <w:rPr>
          <w:rFonts w:asciiTheme="majorHAnsi" w:eastAsia="Calibri" w:hAnsiTheme="majorHAnsi" w:cs="Calibri"/>
        </w:rPr>
        <w:t>is likely</w:t>
      </w:r>
      <w:r w:rsidR="00807F33" w:rsidRPr="00734AB6">
        <w:rPr>
          <w:rFonts w:asciiTheme="majorHAnsi" w:eastAsia="Calibri" w:hAnsiTheme="majorHAnsi" w:cs="Calibri"/>
        </w:rPr>
        <w:t xml:space="preserve"> that CED use may have increased since then.</w:t>
      </w:r>
    </w:p>
    <w:p w14:paraId="5727B39E" w14:textId="05F2FC97"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Comparisons of the responses to the statements of opinions questions relating to modafinil use between the university respondents (Study 1b) and the forum user respondents (Study 1a) revealed that both groups of respondents did not feel pressured to take modafinil, nor would it affect their choices if their peers were taking it. However, whilst a large majority of forum users felt that it was safe to use modafinil for cognitive enhancement, a </w:t>
      </w:r>
      <w:r w:rsidR="00CC5913" w:rsidRPr="00734AB6">
        <w:rPr>
          <w:rFonts w:asciiTheme="majorHAnsi" w:eastAsia="Calibri" w:hAnsiTheme="majorHAnsi" w:cs="Calibri"/>
        </w:rPr>
        <w:t>slight</w:t>
      </w:r>
      <w:r w:rsidRPr="00734AB6">
        <w:rPr>
          <w:rFonts w:asciiTheme="majorHAnsi" w:eastAsia="Calibri" w:hAnsiTheme="majorHAnsi" w:cs="Calibri"/>
        </w:rPr>
        <w:t xml:space="preserve"> majority of university respondents did not agree. Similarly, a large majority of forum user respondents felt that there is nothing wrong with people taking modafinil to get ahead and that taking modafinil for cognitive enhancement is not cheating whereas a </w:t>
      </w:r>
      <w:r w:rsidR="00CC5913" w:rsidRPr="00734AB6">
        <w:rPr>
          <w:rFonts w:asciiTheme="majorHAnsi" w:eastAsia="Calibri" w:hAnsiTheme="majorHAnsi" w:cs="Calibri"/>
        </w:rPr>
        <w:t>slight</w:t>
      </w:r>
      <w:r w:rsidRPr="00734AB6">
        <w:rPr>
          <w:rFonts w:asciiTheme="majorHAnsi" w:eastAsia="Calibri" w:hAnsiTheme="majorHAnsi" w:cs="Calibri"/>
        </w:rPr>
        <w:t xml:space="preserve"> majority of university respondents did not agree and did feel that it was cheating. The forum users would be likely to be biased in their opinions of the off-prescription use of modafinil and the much higher percentages of these respondents who indicated positive opinions of modafinil use for each of the statements may reflect this. Overall, it would seem then that although there is a clear majority of university respondents who do not agree with the use of modafinil for cognitive enhancement, this is not felt by all university respondents.</w:t>
      </w:r>
    </w:p>
    <w:p w14:paraId="2922A11F" w14:textId="4AAAF6F4" w:rsidR="009C7702" w:rsidRPr="00734AB6" w:rsidRDefault="009C7702" w:rsidP="0099584D">
      <w:pPr>
        <w:spacing w:line="360" w:lineRule="auto"/>
        <w:ind w:firstLine="851"/>
        <w:rPr>
          <w:rFonts w:asciiTheme="majorHAnsi" w:eastAsia="Calibri" w:hAnsiTheme="majorHAnsi" w:cs="Calibri"/>
          <w:color w:val="FF0000"/>
        </w:rPr>
      </w:pPr>
      <w:r w:rsidRPr="00734AB6">
        <w:rPr>
          <w:rFonts w:asciiTheme="majorHAnsi" w:eastAsia="Calibri" w:hAnsiTheme="majorHAnsi" w:cs="Calibri"/>
        </w:rPr>
        <w:t xml:space="preserve">Responses in relation to the statements of opinions relating to methylphenidate use show a different trend. The majority of both university and forum user respondents agreed that it is not safe to take methylphenidate for cognitive enhancement and that it is dangerous. As with the responses to modafinil, both groups of respondents did not feel pressured to take methylphenidate, nor would it affect their choices if their peers were taking it. However, the majority of university respondents did not feel that people should take methylphenidate to help them succeed, that it gives users an advantage and that it is wrong to take methylphenidate to </w:t>
      </w:r>
      <w:r w:rsidRPr="00734AB6">
        <w:rPr>
          <w:rFonts w:asciiTheme="majorHAnsi" w:eastAsia="Calibri" w:hAnsiTheme="majorHAnsi" w:cs="Calibri"/>
        </w:rPr>
        <w:lastRenderedPageBreak/>
        <w:t>get ahead. The majority of forum users had opposite opinions to the university respondents for all three of these points. Although the majority university respondents felt that taking methylphenidate for cognitive enhancement was cheating, this was a slight majority, whereas a larger majority of forum users disagreed with this statement. Overall</w:t>
      </w:r>
      <w:r w:rsidR="00B06FC4" w:rsidRPr="00734AB6">
        <w:rPr>
          <w:rFonts w:asciiTheme="majorHAnsi" w:eastAsia="Calibri" w:hAnsiTheme="majorHAnsi" w:cs="Calibri"/>
        </w:rPr>
        <w:t>,</w:t>
      </w:r>
      <w:r w:rsidRPr="00734AB6">
        <w:rPr>
          <w:rFonts w:asciiTheme="majorHAnsi" w:eastAsia="Calibri" w:hAnsiTheme="majorHAnsi" w:cs="Calibri"/>
        </w:rPr>
        <w:t xml:space="preserve"> then, the majority of university respondents did not agree with the use of methylphenidate for cognitive enhancement, that it was dangerous and unfair. The majority of forum users also felt that taking methylphenidate for cognitive enhancement was dangerous but they did not agree that it is unfair.</w:t>
      </w:r>
      <w:r w:rsidR="00F90ADC" w:rsidRPr="00734AB6">
        <w:rPr>
          <w:rFonts w:asciiTheme="majorHAnsi" w:eastAsia="Calibri" w:hAnsiTheme="majorHAnsi" w:cs="Calibri"/>
        </w:rPr>
        <w:t xml:space="preserve"> This supports the finding from Study 1a, that methylphenidate is perceived as dangerous.</w:t>
      </w:r>
    </w:p>
    <w:p w14:paraId="308BEB3E" w14:textId="301A63E6"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In support of the finding that reported modafinil and methylphenidate users do not feel that it is unfair to use these drugs for cognitive enhancement, Frank, </w:t>
      </w:r>
      <w:proofErr w:type="spellStart"/>
      <w:r w:rsidRPr="00734AB6">
        <w:rPr>
          <w:rFonts w:asciiTheme="majorHAnsi" w:eastAsia="Calibri" w:hAnsiTheme="majorHAnsi" w:cs="Calibri"/>
        </w:rPr>
        <w:t>Bonertz</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Christmann</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Engeser</w:t>
      </w:r>
      <w:proofErr w:type="spellEnd"/>
      <w:r w:rsidRPr="00734AB6">
        <w:rPr>
          <w:rFonts w:asciiTheme="majorHAnsi" w:eastAsia="Calibri" w:hAnsiTheme="majorHAnsi" w:cs="Calibri"/>
        </w:rPr>
        <w:t xml:space="preserve"> and </w:t>
      </w:r>
      <w:proofErr w:type="spellStart"/>
      <w:r w:rsidRPr="00734AB6">
        <w:rPr>
          <w:rFonts w:asciiTheme="majorHAnsi" w:eastAsia="Calibri" w:hAnsiTheme="majorHAnsi" w:cs="Calibri"/>
        </w:rPr>
        <w:t>Lieb</w:t>
      </w:r>
      <w:proofErr w:type="spellEnd"/>
      <w:r w:rsidRPr="00734AB6">
        <w:rPr>
          <w:rFonts w:asciiTheme="majorHAnsi" w:eastAsia="Calibri" w:hAnsiTheme="majorHAnsi" w:cs="Calibri"/>
        </w:rPr>
        <w:t xml:space="preserve"> (2012) in their German study, </w:t>
      </w:r>
      <w:r w:rsidR="00D44CB4" w:rsidRPr="00734AB6">
        <w:rPr>
          <w:rFonts w:asciiTheme="majorHAnsi" w:eastAsia="Calibri" w:hAnsiTheme="majorHAnsi" w:cs="Calibri"/>
        </w:rPr>
        <w:t>also found</w:t>
      </w:r>
      <w:r w:rsidR="00CC5913" w:rsidRPr="00734AB6">
        <w:rPr>
          <w:rFonts w:asciiTheme="majorHAnsi" w:eastAsia="Calibri" w:hAnsiTheme="majorHAnsi" w:cs="Calibri"/>
        </w:rPr>
        <w:t xml:space="preserve"> </w:t>
      </w:r>
      <w:r w:rsidRPr="00734AB6">
        <w:rPr>
          <w:rFonts w:asciiTheme="majorHAnsi" w:eastAsia="Calibri" w:hAnsiTheme="majorHAnsi" w:cs="Calibri"/>
        </w:rPr>
        <w:t xml:space="preserve">that reported users of CEDs felt that it was fair, compared with non-users who disagreed. Frank et al. also reported that success was more important to </w:t>
      </w:r>
      <w:r w:rsidR="00CC5913" w:rsidRPr="00734AB6">
        <w:rPr>
          <w:rFonts w:asciiTheme="majorHAnsi" w:eastAsia="Calibri" w:hAnsiTheme="majorHAnsi" w:cs="Calibri"/>
        </w:rPr>
        <w:t>the reported users of CEDs</w:t>
      </w:r>
      <w:r w:rsidRPr="00734AB6">
        <w:rPr>
          <w:rFonts w:asciiTheme="majorHAnsi" w:eastAsia="Calibri" w:hAnsiTheme="majorHAnsi" w:cs="Calibri"/>
        </w:rPr>
        <w:t xml:space="preserve"> than non-users. A Swiss study also supported this finding, Maier, </w:t>
      </w:r>
      <w:proofErr w:type="spellStart"/>
      <w:r w:rsidRPr="00734AB6">
        <w:rPr>
          <w:rFonts w:asciiTheme="majorHAnsi" w:eastAsia="Calibri" w:hAnsiTheme="majorHAnsi" w:cs="Calibri"/>
        </w:rPr>
        <w:t>Liakoni</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Schildmann</w:t>
      </w:r>
      <w:proofErr w:type="spellEnd"/>
      <w:r w:rsidRPr="00734AB6">
        <w:rPr>
          <w:rFonts w:asciiTheme="majorHAnsi" w:eastAsia="Calibri" w:hAnsiTheme="majorHAnsi" w:cs="Calibri"/>
        </w:rPr>
        <w:t xml:space="preserve">, Schaub and </w:t>
      </w:r>
      <w:proofErr w:type="spellStart"/>
      <w:r w:rsidRPr="00734AB6">
        <w:rPr>
          <w:rFonts w:asciiTheme="majorHAnsi" w:eastAsia="Calibri" w:hAnsiTheme="majorHAnsi" w:cs="Calibri"/>
        </w:rPr>
        <w:t>Liechti</w:t>
      </w:r>
      <w:proofErr w:type="spellEnd"/>
      <w:r w:rsidRPr="00734AB6">
        <w:rPr>
          <w:rFonts w:asciiTheme="majorHAnsi" w:eastAsia="Calibri" w:hAnsiTheme="majorHAnsi" w:cs="Calibri"/>
        </w:rPr>
        <w:t xml:space="preserve"> (2015) found that 24% of CED users compared with 11% of non-users were more likely to consider CED use as fair. Unlike the university respondents of the current study who did not feel pressured to take modafinil or methylphenidate if their peers were taking them, Maier et al.</w:t>
      </w:r>
      <w:r w:rsidR="00F05116" w:rsidRPr="00734AB6">
        <w:rPr>
          <w:rFonts w:asciiTheme="majorHAnsi" w:eastAsia="Calibri" w:hAnsiTheme="majorHAnsi" w:cs="Calibri"/>
        </w:rPr>
        <w:t xml:space="preserve"> (2015)</w:t>
      </w:r>
      <w:r w:rsidRPr="00734AB6">
        <w:rPr>
          <w:rFonts w:asciiTheme="majorHAnsi" w:eastAsia="Calibri" w:hAnsiTheme="majorHAnsi" w:cs="Calibri"/>
        </w:rPr>
        <w:t xml:space="preserve"> reported that only the non-users in their study felt that CED use might increase pressure to use CEDs. The opinion that taking methylphenidate for cognitive enhancement is unfair was also shared with the majority of 19 Australian university students who were interviewed by Bell, </w:t>
      </w:r>
      <w:r w:rsidR="00D75314" w:rsidRPr="00734AB6">
        <w:rPr>
          <w:rFonts w:asciiTheme="majorHAnsi" w:eastAsia="Calibri" w:hAnsiTheme="majorHAnsi" w:cs="Calibri"/>
        </w:rPr>
        <w:t>Partridge</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Lucke</w:t>
      </w:r>
      <w:proofErr w:type="spellEnd"/>
      <w:r w:rsidRPr="00734AB6">
        <w:rPr>
          <w:rFonts w:asciiTheme="majorHAnsi" w:eastAsia="Calibri" w:hAnsiTheme="majorHAnsi" w:cs="Calibri"/>
        </w:rPr>
        <w:t xml:space="preserve"> and Hall (2013) in a qualitative study. The opinions of the university respondents in the current study demonstrate that there is a commonly held view that CED use, at least in the university setting, is unfair and that it is cheating and this opinion was also reported by Frank et al.</w:t>
      </w:r>
      <w:r w:rsidR="00F05116" w:rsidRPr="00734AB6">
        <w:rPr>
          <w:rFonts w:asciiTheme="majorHAnsi" w:eastAsia="Calibri" w:hAnsiTheme="majorHAnsi" w:cs="Calibri"/>
        </w:rPr>
        <w:t xml:space="preserve"> (2012),</w:t>
      </w:r>
      <w:r w:rsidRPr="00734AB6">
        <w:rPr>
          <w:rFonts w:asciiTheme="majorHAnsi" w:eastAsia="Calibri" w:hAnsiTheme="majorHAnsi" w:cs="Calibri"/>
        </w:rPr>
        <w:t xml:space="preserve"> Maier et al.</w:t>
      </w:r>
      <w:r w:rsidR="00F05116" w:rsidRPr="00734AB6">
        <w:rPr>
          <w:rFonts w:asciiTheme="majorHAnsi" w:eastAsia="Calibri" w:hAnsiTheme="majorHAnsi" w:cs="Calibri"/>
        </w:rPr>
        <w:t xml:space="preserve"> (2015)</w:t>
      </w:r>
      <w:r w:rsidRPr="00734AB6">
        <w:rPr>
          <w:rFonts w:asciiTheme="majorHAnsi" w:eastAsia="Calibri" w:hAnsiTheme="majorHAnsi" w:cs="Calibri"/>
        </w:rPr>
        <w:t>, and Bell et al.</w:t>
      </w:r>
      <w:r w:rsidR="00F05116" w:rsidRPr="00734AB6">
        <w:rPr>
          <w:rFonts w:asciiTheme="majorHAnsi" w:eastAsia="Calibri" w:hAnsiTheme="majorHAnsi" w:cs="Calibri"/>
        </w:rPr>
        <w:t xml:space="preserve"> (2013)</w:t>
      </w:r>
      <w:r w:rsidRPr="00734AB6">
        <w:rPr>
          <w:rFonts w:asciiTheme="majorHAnsi" w:eastAsia="Calibri" w:hAnsiTheme="majorHAnsi" w:cs="Calibri"/>
        </w:rPr>
        <w:t>, demonstrating a common, internationally felt view.</w:t>
      </w:r>
    </w:p>
    <w:p w14:paraId="02CC8038" w14:textId="62B614CB" w:rsidR="009C7702" w:rsidRPr="00734AB6" w:rsidRDefault="009C7702"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opinions of the reported modafinil and methylphenidate users in the current study are likely to be biased and may be based on a number of underlying beliefs. DeSantis and </w:t>
      </w:r>
      <w:proofErr w:type="spellStart"/>
      <w:r w:rsidRPr="00734AB6">
        <w:rPr>
          <w:rFonts w:asciiTheme="majorHAnsi" w:eastAsia="Calibri" w:hAnsiTheme="majorHAnsi" w:cs="Calibri"/>
        </w:rPr>
        <w:t>Hane</w:t>
      </w:r>
      <w:proofErr w:type="spellEnd"/>
      <w:r w:rsidRPr="00734AB6">
        <w:rPr>
          <w:rFonts w:asciiTheme="majorHAnsi" w:eastAsia="Calibri" w:hAnsiTheme="majorHAnsi" w:cs="Calibri"/>
        </w:rPr>
        <w:t xml:space="preserve"> (2010) interviewed 175 undergraduate students who reported the illegal use of ADHD stimulants to investigate their justifications for using CEDs. Their study revealed four common perceptions or beliefs which they felt justified their illicit use of CEDs. By favourably comparing CEDs as ‘good’ pharmaceutical drugs to </w:t>
      </w:r>
      <w:r w:rsidR="00D44CB4" w:rsidRPr="00734AB6">
        <w:rPr>
          <w:rFonts w:asciiTheme="majorHAnsi" w:eastAsia="Calibri" w:hAnsiTheme="majorHAnsi" w:cs="Calibri"/>
        </w:rPr>
        <w:t xml:space="preserve">‘bad’ recreational </w:t>
      </w:r>
      <w:r w:rsidRPr="00734AB6">
        <w:rPr>
          <w:rFonts w:asciiTheme="majorHAnsi" w:eastAsia="Calibri" w:hAnsiTheme="majorHAnsi" w:cs="Calibri"/>
        </w:rPr>
        <w:t>drugs and by considering their use of CEDs to be only at specific times and therefore only taken in moderation</w:t>
      </w:r>
      <w:r w:rsidR="00E0713E" w:rsidRPr="00734AB6">
        <w:rPr>
          <w:rFonts w:asciiTheme="majorHAnsi" w:eastAsia="Calibri" w:hAnsiTheme="majorHAnsi" w:cs="Calibri"/>
        </w:rPr>
        <w:t>.</w:t>
      </w:r>
      <w:r w:rsidRPr="00734AB6">
        <w:rPr>
          <w:rFonts w:asciiTheme="majorHAnsi" w:eastAsia="Calibri" w:hAnsiTheme="majorHAnsi" w:cs="Calibri"/>
        </w:rPr>
        <w:t xml:space="preserve"> </w:t>
      </w:r>
      <w:r w:rsidR="00E0713E" w:rsidRPr="00734AB6">
        <w:rPr>
          <w:rFonts w:asciiTheme="majorHAnsi" w:eastAsia="Calibri" w:hAnsiTheme="majorHAnsi" w:cs="Calibri"/>
        </w:rPr>
        <w:t>B</w:t>
      </w:r>
      <w:r w:rsidRPr="00734AB6">
        <w:rPr>
          <w:rFonts w:asciiTheme="majorHAnsi" w:eastAsia="Calibri" w:hAnsiTheme="majorHAnsi" w:cs="Calibri"/>
        </w:rPr>
        <w:t xml:space="preserve">y perceiving ADHD stimulants as benign and harmless, these students considered their use as justifiable. However, the fourth reason given was self-medication as they felt that they probably had ADHD. Whilst DeSantis and </w:t>
      </w:r>
      <w:proofErr w:type="spellStart"/>
      <w:r w:rsidRPr="00734AB6">
        <w:rPr>
          <w:rFonts w:asciiTheme="majorHAnsi" w:eastAsia="Calibri" w:hAnsiTheme="majorHAnsi" w:cs="Calibri"/>
        </w:rPr>
        <w:t>Hane</w:t>
      </w:r>
      <w:proofErr w:type="spellEnd"/>
      <w:r w:rsidRPr="00734AB6">
        <w:rPr>
          <w:rFonts w:asciiTheme="majorHAnsi" w:eastAsia="Calibri" w:hAnsiTheme="majorHAnsi" w:cs="Calibri"/>
        </w:rPr>
        <w:t xml:space="preserve"> argued that their participants have trivialised ADHD as a periodic inability to concentrate, it is possible that these students in their sample are struggling with</w:t>
      </w:r>
      <w:r w:rsidR="00E0713E" w:rsidRPr="00734AB6">
        <w:rPr>
          <w:rFonts w:asciiTheme="majorHAnsi" w:eastAsia="Calibri" w:hAnsiTheme="majorHAnsi" w:cs="Calibri"/>
        </w:rPr>
        <w:t xml:space="preserve"> poor</w:t>
      </w:r>
      <w:r w:rsidRPr="00734AB6">
        <w:rPr>
          <w:rFonts w:asciiTheme="majorHAnsi" w:eastAsia="Calibri" w:hAnsiTheme="majorHAnsi" w:cs="Calibri"/>
        </w:rPr>
        <w:t xml:space="preserve"> concentration and other cognitive problems. Similarly, it may be that the reported modafinil and methylphenidate users in </w:t>
      </w:r>
      <w:r w:rsidRPr="00734AB6">
        <w:rPr>
          <w:rFonts w:asciiTheme="majorHAnsi" w:eastAsia="Calibri" w:hAnsiTheme="majorHAnsi" w:cs="Calibri"/>
        </w:rPr>
        <w:lastRenderedPageBreak/>
        <w:t xml:space="preserve">the current study also hold such beliefs and may also feel that they have problems with cognitive functioning. This, again, raises the question presented at the end of Study 1a, whether reported off-prescription modafinil and methylphenidate users are self-medicating for learning and attentional problems. Additionally, considering the views expressed by university students in relation to fairness in the current study, Study 2 will seek to explore whether off-prescription users of modafinil and methylphenidate are seeking to improve their good cognitive abilities or if they are self-medicating for poor cognitive performance. </w:t>
      </w:r>
    </w:p>
    <w:p w14:paraId="71E49898" w14:textId="77777777" w:rsidR="007C70C6" w:rsidRPr="00734AB6" w:rsidRDefault="007C70C6" w:rsidP="0099584D">
      <w:pPr>
        <w:spacing w:line="360" w:lineRule="auto"/>
        <w:ind w:firstLine="851"/>
        <w:rPr>
          <w:rFonts w:asciiTheme="majorHAnsi" w:eastAsia="Calibri" w:hAnsiTheme="majorHAnsi" w:cs="Calibri"/>
        </w:rPr>
      </w:pPr>
    </w:p>
    <w:p w14:paraId="0304CBA5" w14:textId="77777777" w:rsidR="00640164" w:rsidRPr="00734AB6" w:rsidRDefault="00640164">
      <w:pPr>
        <w:rPr>
          <w:rFonts w:asciiTheme="majorHAnsi" w:eastAsiaTheme="majorEastAsia" w:hAnsiTheme="majorHAnsi" w:cstheme="majorBidi"/>
          <w:b/>
        </w:rPr>
      </w:pPr>
      <w:bookmarkStart w:id="51" w:name="_Toc29829406"/>
      <w:r w:rsidRPr="00734AB6">
        <w:rPr>
          <w:b/>
        </w:rPr>
        <w:br w:type="page"/>
      </w:r>
    </w:p>
    <w:p w14:paraId="3229D882" w14:textId="77777777" w:rsidR="008E187E" w:rsidRPr="00734AB6" w:rsidRDefault="00146F19" w:rsidP="008E187E">
      <w:pPr>
        <w:pStyle w:val="Heading1"/>
        <w:spacing w:after="240" w:line="360" w:lineRule="auto"/>
        <w:ind w:left="709" w:hanging="709"/>
        <w:rPr>
          <w:b/>
          <w:color w:val="auto"/>
          <w:sz w:val="22"/>
          <w:szCs w:val="22"/>
        </w:rPr>
      </w:pPr>
      <w:bookmarkStart w:id="52" w:name="_Toc48136344"/>
      <w:r w:rsidRPr="00734AB6">
        <w:rPr>
          <w:b/>
          <w:color w:val="auto"/>
          <w:sz w:val="22"/>
          <w:szCs w:val="22"/>
        </w:rPr>
        <w:lastRenderedPageBreak/>
        <w:t>3</w:t>
      </w:r>
      <w:r w:rsidRPr="00734AB6">
        <w:rPr>
          <w:b/>
          <w:color w:val="auto"/>
          <w:sz w:val="22"/>
          <w:szCs w:val="22"/>
        </w:rPr>
        <w:tab/>
      </w:r>
      <w:r w:rsidR="008E187E" w:rsidRPr="00734AB6">
        <w:rPr>
          <w:b/>
          <w:color w:val="auto"/>
          <w:sz w:val="22"/>
          <w:szCs w:val="22"/>
        </w:rPr>
        <w:t>CHAPTER THREE</w:t>
      </w:r>
      <w:bookmarkEnd w:id="52"/>
    </w:p>
    <w:p w14:paraId="07FFD523" w14:textId="0A63B95D" w:rsidR="00772E06" w:rsidRPr="00734AB6" w:rsidRDefault="00146F19" w:rsidP="004408EA">
      <w:pPr>
        <w:spacing w:line="360" w:lineRule="auto"/>
        <w:ind w:left="1276" w:hanging="1276"/>
        <w:rPr>
          <w:b/>
        </w:rPr>
      </w:pPr>
      <w:r w:rsidRPr="00734AB6">
        <w:rPr>
          <w:b/>
        </w:rPr>
        <w:t>STUDY TWO:</w:t>
      </w:r>
      <w:r w:rsidRPr="00734AB6">
        <w:rPr>
          <w:b/>
        </w:rPr>
        <w:tab/>
        <w:t>EVERYDAY ATTENTION AND DRUG USE IN REPORTED OFF-PRESCRIPTION USERS OF MODAFINIL AND METHYLPHENIDATE, AN ONLINE SURVEY</w:t>
      </w:r>
      <w:bookmarkEnd w:id="51"/>
    </w:p>
    <w:p w14:paraId="7CA0604D" w14:textId="77777777" w:rsidR="00772E06" w:rsidRPr="00734AB6" w:rsidRDefault="00772E06" w:rsidP="004408EA">
      <w:pPr>
        <w:spacing w:line="360" w:lineRule="auto"/>
        <w:rPr>
          <w:rFonts w:asciiTheme="majorHAnsi" w:eastAsia="Calibri" w:hAnsiTheme="majorHAnsi"/>
          <w:b/>
        </w:rPr>
      </w:pPr>
    </w:p>
    <w:p w14:paraId="2F9B59D8" w14:textId="77777777" w:rsidR="00772E06" w:rsidRPr="00734AB6" w:rsidRDefault="00772E06" w:rsidP="00B471B3">
      <w:pPr>
        <w:pStyle w:val="Heading2"/>
        <w:spacing w:after="240" w:line="360" w:lineRule="auto"/>
        <w:rPr>
          <w:b/>
          <w:color w:val="auto"/>
          <w:sz w:val="22"/>
          <w:szCs w:val="22"/>
        </w:rPr>
      </w:pPr>
      <w:bookmarkStart w:id="53" w:name="_Toc29829407"/>
      <w:bookmarkStart w:id="54" w:name="_Toc48136345"/>
      <w:r w:rsidRPr="00734AB6">
        <w:rPr>
          <w:b/>
          <w:color w:val="auto"/>
          <w:sz w:val="22"/>
          <w:szCs w:val="22"/>
        </w:rPr>
        <w:t>3.1</w:t>
      </w:r>
      <w:r w:rsidRPr="00734AB6">
        <w:rPr>
          <w:b/>
          <w:color w:val="auto"/>
          <w:sz w:val="22"/>
          <w:szCs w:val="22"/>
        </w:rPr>
        <w:tab/>
        <w:t>Introduction</w:t>
      </w:r>
      <w:bookmarkEnd w:id="53"/>
      <w:bookmarkEnd w:id="54"/>
    </w:p>
    <w:p w14:paraId="24DDD6EA" w14:textId="3CE03574" w:rsidR="00772E06" w:rsidRPr="00734AB6" w:rsidRDefault="00772E06" w:rsidP="0099584D">
      <w:pPr>
        <w:spacing w:line="360" w:lineRule="auto"/>
        <w:ind w:firstLine="709"/>
        <w:rPr>
          <w:rFonts w:asciiTheme="majorHAnsi" w:hAnsiTheme="majorHAnsi"/>
        </w:rPr>
      </w:pPr>
      <w:r w:rsidRPr="00734AB6">
        <w:rPr>
          <w:rFonts w:asciiTheme="majorHAnsi" w:eastAsia="Calibri" w:hAnsiTheme="majorHAnsi" w:cs="Calibri"/>
        </w:rPr>
        <w:t xml:space="preserve">Following the results of Study 1, </w:t>
      </w:r>
      <w:r w:rsidR="00D470F8" w:rsidRPr="00734AB6">
        <w:rPr>
          <w:rFonts w:asciiTheme="majorHAnsi" w:eastAsia="Calibri" w:hAnsiTheme="majorHAnsi" w:cs="Calibri"/>
        </w:rPr>
        <w:t>the aim of Study 2 was to use a range of self-report questionnaires to explore whether self-medication may play a role in off-prescription use of modafinil and methylphenidate</w:t>
      </w:r>
      <w:r w:rsidRPr="00734AB6">
        <w:rPr>
          <w:rFonts w:asciiTheme="majorHAnsi" w:eastAsia="Calibri" w:hAnsiTheme="majorHAnsi" w:cs="Calibri"/>
        </w:rPr>
        <w:t xml:space="preserve">. Undiagnosed ADHD symptoms among college students have been noted previously by Garnier-Dykstra, </w:t>
      </w:r>
      <w:proofErr w:type="spellStart"/>
      <w:r w:rsidRPr="00734AB6">
        <w:rPr>
          <w:rFonts w:asciiTheme="majorHAnsi" w:eastAsia="Calibri" w:hAnsiTheme="majorHAnsi" w:cs="Calibri"/>
        </w:rPr>
        <w:t>Pinchevsky</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Caldeira</w:t>
      </w:r>
      <w:proofErr w:type="spellEnd"/>
      <w:r w:rsidRPr="00734AB6">
        <w:rPr>
          <w:rFonts w:asciiTheme="majorHAnsi" w:eastAsia="Calibri" w:hAnsiTheme="majorHAnsi" w:cs="Calibri"/>
        </w:rPr>
        <w:t xml:space="preserve">, Vincent and </w:t>
      </w:r>
      <w:proofErr w:type="spellStart"/>
      <w:r w:rsidRPr="00734AB6">
        <w:rPr>
          <w:rFonts w:asciiTheme="majorHAnsi" w:eastAsia="Calibri" w:hAnsiTheme="majorHAnsi" w:cs="Calibri"/>
        </w:rPr>
        <w:t>Arria</w:t>
      </w:r>
      <w:proofErr w:type="spellEnd"/>
      <w:r w:rsidRPr="00734AB6">
        <w:rPr>
          <w:rFonts w:asciiTheme="majorHAnsi" w:eastAsia="Calibri" w:hAnsiTheme="majorHAnsi" w:cs="Calibri"/>
        </w:rPr>
        <w:t xml:space="preserve"> (2010). Their study found over 10% of students who had no current ADHD diagnosis (N = 972) had high levels of ADHD symptoms. </w:t>
      </w:r>
      <w:r w:rsidRPr="00734AB6">
        <w:rPr>
          <w:rFonts w:asciiTheme="majorHAnsi" w:hAnsiTheme="majorHAnsi"/>
        </w:rPr>
        <w:t xml:space="preserve">Poulin (2007) used a six-item Ontario Child Health Study Hyperactivity Scale, including questions relating to inattention, which was completed by 12,990 adolescent students. </w:t>
      </w:r>
      <w:r w:rsidR="00D470F8" w:rsidRPr="00734AB6">
        <w:rPr>
          <w:rFonts w:asciiTheme="majorHAnsi" w:hAnsiTheme="majorHAnsi"/>
        </w:rPr>
        <w:t>Participants, all of whom were s</w:t>
      </w:r>
      <w:r w:rsidRPr="00734AB6">
        <w:rPr>
          <w:rFonts w:asciiTheme="majorHAnsi" w:hAnsiTheme="majorHAnsi"/>
        </w:rPr>
        <w:t xml:space="preserve">tudents also reported prescription and off-prescription use of methylphenidate. She reported that the estimated prevalence of exclusively non-medical use of methylphenidate was 6.2% and that 20.5% of this group tested positively for ADHD symptomatology on the ADHD screening test. She also stated that these respondents had a 2.3-fold independent increased likelihood of non-medical use of methylphenidate, compared with those in the group who tested negative on the ADHD screening test. This suggests that students may be self-medicating for ADHD symptoms. </w:t>
      </w:r>
    </w:p>
    <w:p w14:paraId="6D8A942A" w14:textId="7F774911" w:rsidR="00772E06" w:rsidRPr="00734AB6" w:rsidRDefault="00772E06" w:rsidP="0099584D">
      <w:pPr>
        <w:spacing w:line="360" w:lineRule="auto"/>
        <w:ind w:firstLine="709"/>
        <w:rPr>
          <w:rFonts w:asciiTheme="majorHAnsi" w:hAnsiTheme="majorHAnsi"/>
        </w:rPr>
      </w:pPr>
      <w:proofErr w:type="spellStart"/>
      <w:r w:rsidRPr="00734AB6">
        <w:rPr>
          <w:rFonts w:asciiTheme="majorHAnsi" w:hAnsiTheme="majorHAnsi"/>
        </w:rPr>
        <w:t>Ilieva</w:t>
      </w:r>
      <w:proofErr w:type="spellEnd"/>
      <w:r w:rsidRPr="00734AB6">
        <w:rPr>
          <w:rFonts w:asciiTheme="majorHAnsi" w:hAnsiTheme="majorHAnsi"/>
        </w:rPr>
        <w:t xml:space="preserve"> and Farah (2015) used the </w:t>
      </w:r>
      <w:r w:rsidR="001F3C37" w:rsidRPr="00734AB6">
        <w:rPr>
          <w:rFonts w:asciiTheme="majorHAnsi" w:hAnsiTheme="majorHAnsi"/>
        </w:rPr>
        <w:t xml:space="preserve">Barkley </w:t>
      </w:r>
      <w:r w:rsidRPr="00734AB6">
        <w:rPr>
          <w:rFonts w:asciiTheme="majorHAnsi" w:hAnsiTheme="majorHAnsi"/>
        </w:rPr>
        <w:t xml:space="preserve">and </w:t>
      </w:r>
      <w:r w:rsidR="001F3C37" w:rsidRPr="00734AB6">
        <w:rPr>
          <w:rFonts w:asciiTheme="majorHAnsi" w:hAnsiTheme="majorHAnsi"/>
        </w:rPr>
        <w:t xml:space="preserve">Murphy </w:t>
      </w:r>
      <w:r w:rsidR="009F6F08" w:rsidRPr="00734AB6">
        <w:rPr>
          <w:rFonts w:asciiTheme="majorHAnsi" w:hAnsiTheme="majorHAnsi"/>
        </w:rPr>
        <w:t>Current Symptom Scale (1998</w:t>
      </w:r>
      <w:r w:rsidRPr="00734AB6">
        <w:rPr>
          <w:rFonts w:asciiTheme="majorHAnsi" w:hAnsiTheme="majorHAnsi"/>
        </w:rPr>
        <w:t xml:space="preserve">) to measure symptoms of inattention and impulsivity and an objective measure known as the </w:t>
      </w:r>
      <w:r w:rsidR="00CB3D0D" w:rsidRPr="00734AB6">
        <w:rPr>
          <w:rFonts w:asciiTheme="majorHAnsi" w:hAnsiTheme="majorHAnsi"/>
        </w:rPr>
        <w:t>TOVA</w:t>
      </w:r>
      <w:r w:rsidRPr="00734AB6">
        <w:rPr>
          <w:rFonts w:asciiTheme="majorHAnsi" w:hAnsiTheme="majorHAnsi"/>
        </w:rPr>
        <w:t>. As discussed in Section 1.</w:t>
      </w:r>
      <w:r w:rsidR="00D9490A" w:rsidRPr="00734AB6">
        <w:rPr>
          <w:rFonts w:asciiTheme="majorHAnsi" w:hAnsiTheme="majorHAnsi"/>
        </w:rPr>
        <w:t>3</w:t>
      </w:r>
      <w:r w:rsidRPr="00734AB6">
        <w:rPr>
          <w:rFonts w:asciiTheme="majorHAnsi" w:hAnsiTheme="majorHAnsi"/>
        </w:rPr>
        <w:t xml:space="preserve">.1, the TOVA is a continuous performance test requiring participants to make a ‘go’ or ‘no go’ response to the presentation of a sequence of geometric figures. Their 128 participants, including 61 reported off-prescription stimulant users, completed this questionnaire and the TOVA test. The results of the </w:t>
      </w:r>
      <w:r w:rsidR="00461ACC" w:rsidRPr="00734AB6">
        <w:rPr>
          <w:rFonts w:asciiTheme="majorHAnsi" w:hAnsiTheme="majorHAnsi"/>
        </w:rPr>
        <w:t>questionnaire</w:t>
      </w:r>
      <w:r w:rsidRPr="00734AB6">
        <w:rPr>
          <w:rFonts w:asciiTheme="majorHAnsi" w:hAnsiTheme="majorHAnsi"/>
        </w:rPr>
        <w:t xml:space="preserve"> indicated that the off-prescription use of ADHD medication, including methylphenidate, related positively with subjectively perceived attention problems. The results of the TOVA indicated a higher number of omission errors among off-prescription users than controls but no other correlations or effects were significant, suggesting that off-prescription users were not more likely to perform in the clinical range but do display increased attentional problems on this objective test of attention. </w:t>
      </w:r>
    </w:p>
    <w:p w14:paraId="09582A95" w14:textId="617E8C66" w:rsidR="00772E06" w:rsidRPr="00734AB6" w:rsidRDefault="00772E06" w:rsidP="00730592">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In the workplace, ADHD </w:t>
      </w:r>
      <w:r w:rsidR="00C1195C" w:rsidRPr="00734AB6">
        <w:rPr>
          <w:rFonts w:asciiTheme="majorHAnsi" w:eastAsia="Calibri" w:hAnsiTheme="majorHAnsi" w:cs="Calibri"/>
        </w:rPr>
        <w:t xml:space="preserve">symptomology </w:t>
      </w:r>
      <w:r w:rsidRPr="00734AB6">
        <w:rPr>
          <w:rFonts w:asciiTheme="majorHAnsi" w:eastAsia="Calibri" w:hAnsiTheme="majorHAnsi" w:cs="Calibri"/>
        </w:rPr>
        <w:t>was noted in a broad range of employees from a number of private and public organisations by Rosario-Hern</w:t>
      </w:r>
      <w:r w:rsidR="006F4AD4" w:rsidRPr="00734AB6">
        <w:rPr>
          <w:rFonts w:asciiTheme="majorHAnsi" w:eastAsia="Calibri" w:hAnsiTheme="majorHAnsi" w:cs="Calibri"/>
        </w:rPr>
        <w:t>á</w:t>
      </w:r>
      <w:r w:rsidRPr="00734AB6">
        <w:rPr>
          <w:rFonts w:asciiTheme="majorHAnsi" w:eastAsia="Calibri" w:hAnsiTheme="majorHAnsi" w:cs="Calibri"/>
        </w:rPr>
        <w:t xml:space="preserve">ndez et al. (2020). They found that increased levels of ADHD symptoms had a detrimental effect on job performance and counterproductive work behaviour increased. Workplace CED use has also been documented </w:t>
      </w:r>
      <w:r w:rsidRPr="00734AB6">
        <w:rPr>
          <w:rFonts w:asciiTheme="majorHAnsi" w:eastAsia="Calibri" w:hAnsiTheme="majorHAnsi" w:cs="Calibri"/>
        </w:rPr>
        <w:lastRenderedPageBreak/>
        <w:t xml:space="preserve">several times in the literature (e.g. Bloomfield &amp; Dale, 2015; </w:t>
      </w:r>
      <w:proofErr w:type="spellStart"/>
      <w:r w:rsidRPr="00734AB6">
        <w:rPr>
          <w:rFonts w:asciiTheme="majorHAnsi" w:eastAsia="Calibri" w:hAnsiTheme="majorHAnsi" w:cs="Calibri"/>
        </w:rPr>
        <w:t>d’Angelo</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Savulich</w:t>
      </w:r>
      <w:proofErr w:type="spellEnd"/>
      <w:r w:rsidRPr="00734AB6">
        <w:rPr>
          <w:rFonts w:asciiTheme="majorHAnsi" w:eastAsia="Calibri" w:hAnsiTheme="majorHAnsi" w:cs="Calibri"/>
        </w:rPr>
        <w:t xml:space="preserve"> &amp; Sahakian, 2017; Leon, Harms &amp; Gilmer, 201</w:t>
      </w:r>
      <w:r w:rsidR="006F4AD4" w:rsidRPr="00734AB6">
        <w:rPr>
          <w:rFonts w:asciiTheme="majorHAnsi" w:eastAsia="Calibri" w:hAnsiTheme="majorHAnsi" w:cs="Calibri"/>
        </w:rPr>
        <w:t>9</w:t>
      </w:r>
      <w:r w:rsidRPr="00734AB6">
        <w:rPr>
          <w:rFonts w:asciiTheme="majorHAnsi" w:eastAsia="Calibri" w:hAnsiTheme="majorHAnsi" w:cs="Calibri"/>
        </w:rPr>
        <w:t>). That said, to the author’s knowledge, there is no documented association between problems with inattention, hyperactivity and impulsivity and the off-prescription use of CEDs, such as modafinil and methylphenidate, in the workplace. However, the off-prescription use of modafinil and methylphenidate in the workplace is not well documented</w:t>
      </w:r>
      <w:r w:rsidR="00C80EA8" w:rsidRPr="00734AB6">
        <w:rPr>
          <w:rFonts w:asciiTheme="majorHAnsi" w:eastAsia="Calibri" w:hAnsiTheme="majorHAnsi" w:cs="Calibri"/>
        </w:rPr>
        <w:t xml:space="preserve"> as many studies take place in a university setting</w:t>
      </w:r>
      <w:r w:rsidRPr="00734AB6">
        <w:rPr>
          <w:rFonts w:asciiTheme="majorHAnsi" w:eastAsia="Calibri" w:hAnsiTheme="majorHAnsi" w:cs="Calibri"/>
        </w:rPr>
        <w:t xml:space="preserve">. Recruiting respondents via online drug user forums allows access to a broader base of respondents. </w:t>
      </w:r>
      <w:r w:rsidR="00581739" w:rsidRPr="00734AB6">
        <w:rPr>
          <w:rFonts w:asciiTheme="majorHAnsi" w:eastAsia="Calibri" w:hAnsiTheme="majorHAnsi" w:cs="Calibri"/>
        </w:rPr>
        <w:t>Indeed, t</w:t>
      </w:r>
      <w:r w:rsidRPr="00734AB6">
        <w:rPr>
          <w:rFonts w:asciiTheme="majorHAnsi" w:eastAsia="Calibri" w:hAnsiTheme="majorHAnsi" w:cs="Calibri"/>
        </w:rPr>
        <w:t>his was seen in Study 1 where over 40% of modafinil and methylphenidate respondents</w:t>
      </w:r>
      <w:r w:rsidR="00730592" w:rsidRPr="00734AB6">
        <w:rPr>
          <w:rFonts w:asciiTheme="majorHAnsi" w:eastAsia="Calibri" w:hAnsiTheme="majorHAnsi" w:cs="Calibri"/>
        </w:rPr>
        <w:t xml:space="preserve"> were in full-time employment. </w:t>
      </w:r>
      <w:r w:rsidRPr="00734AB6">
        <w:rPr>
          <w:rFonts w:asciiTheme="majorHAnsi" w:eastAsia="Calibri" w:hAnsiTheme="majorHAnsi" w:cs="Calibri"/>
        </w:rPr>
        <w:t>A number of studies have also found associations between students’ off-prescription use of stimulants, such as methylphenidate, and either symptoms of inattention (</w:t>
      </w:r>
      <w:proofErr w:type="spellStart"/>
      <w:r w:rsidRPr="00734AB6">
        <w:rPr>
          <w:rFonts w:asciiTheme="majorHAnsi" w:eastAsia="Calibri" w:hAnsiTheme="majorHAnsi" w:cs="Calibri"/>
        </w:rPr>
        <w:t>Arria</w:t>
      </w:r>
      <w:proofErr w:type="spellEnd"/>
      <w:r w:rsidRPr="00734AB6">
        <w:rPr>
          <w:rFonts w:asciiTheme="majorHAnsi" w:eastAsia="Calibri" w:hAnsiTheme="majorHAnsi" w:cs="Calibri"/>
        </w:rPr>
        <w:t xml:space="preserve"> et al., 2011; </w:t>
      </w:r>
      <w:proofErr w:type="spellStart"/>
      <w:r w:rsidRPr="00734AB6">
        <w:rPr>
          <w:rFonts w:asciiTheme="majorHAnsi" w:eastAsia="Calibri" w:hAnsiTheme="majorHAnsi" w:cs="Calibri"/>
        </w:rPr>
        <w:t>Ilieva</w:t>
      </w:r>
      <w:proofErr w:type="spellEnd"/>
      <w:r w:rsidRPr="00734AB6">
        <w:rPr>
          <w:rFonts w:asciiTheme="majorHAnsi" w:eastAsia="Calibri" w:hAnsiTheme="majorHAnsi" w:cs="Calibri"/>
        </w:rPr>
        <w:t xml:space="preserve"> &amp; Farah, 2015; </w:t>
      </w:r>
      <w:proofErr w:type="spellStart"/>
      <w:r w:rsidRPr="00734AB6">
        <w:rPr>
          <w:rFonts w:asciiTheme="majorHAnsi" w:eastAsia="Calibri" w:hAnsiTheme="majorHAnsi" w:cs="Calibri"/>
        </w:rPr>
        <w:t>Rabiner</w:t>
      </w:r>
      <w:proofErr w:type="spellEnd"/>
      <w:r w:rsidRPr="00734AB6">
        <w:rPr>
          <w:rFonts w:asciiTheme="majorHAnsi" w:eastAsia="Calibri" w:hAnsiTheme="majorHAnsi" w:cs="Calibri"/>
        </w:rPr>
        <w:t xml:space="preserve"> et al., 2009) or positive scores on an ADHD test (Peterk</w:t>
      </w:r>
      <w:r w:rsidR="00E92A36" w:rsidRPr="00734AB6">
        <w:rPr>
          <w:rFonts w:asciiTheme="majorHAnsi" w:eastAsia="Calibri" w:hAnsiTheme="majorHAnsi" w:cs="Calibri"/>
        </w:rPr>
        <w:t>in, Crone, Sheridan &amp; Wise, 2011</w:t>
      </w:r>
      <w:r w:rsidRPr="00734AB6">
        <w:rPr>
          <w:rFonts w:asciiTheme="majorHAnsi" w:eastAsia="Calibri" w:hAnsiTheme="majorHAnsi" w:cs="Calibri"/>
        </w:rPr>
        <w:t xml:space="preserve">; Poulin, 2007). </w:t>
      </w:r>
    </w:p>
    <w:p w14:paraId="166657B2" w14:textId="7C1FC2DD" w:rsidR="00772E06" w:rsidRPr="00734AB6" w:rsidRDefault="00772E06" w:rsidP="0099584D">
      <w:pPr>
        <w:spacing w:line="360" w:lineRule="auto"/>
        <w:ind w:firstLine="851"/>
        <w:rPr>
          <w:rFonts w:asciiTheme="majorHAnsi" w:eastAsia="Calibri" w:hAnsiTheme="majorHAnsi" w:cs="Calibri"/>
          <w:b/>
        </w:rPr>
      </w:pPr>
      <w:r w:rsidRPr="00734AB6">
        <w:rPr>
          <w:rFonts w:asciiTheme="majorHAnsi" w:eastAsia="Calibri" w:hAnsiTheme="majorHAnsi" w:cs="Calibri"/>
        </w:rPr>
        <w:t xml:space="preserve">Both </w:t>
      </w:r>
      <w:proofErr w:type="spellStart"/>
      <w:r w:rsidRPr="00734AB6">
        <w:rPr>
          <w:rFonts w:asciiTheme="majorHAnsi" w:eastAsia="Calibri" w:hAnsiTheme="majorHAnsi" w:cs="Calibri"/>
        </w:rPr>
        <w:t>Arria</w:t>
      </w:r>
      <w:proofErr w:type="spellEnd"/>
      <w:r w:rsidRPr="00734AB6">
        <w:rPr>
          <w:rFonts w:asciiTheme="majorHAnsi" w:eastAsia="Calibri" w:hAnsiTheme="majorHAnsi" w:cs="Calibri"/>
        </w:rPr>
        <w:t xml:space="preserve"> et al. </w:t>
      </w:r>
      <w:r w:rsidR="00E92A36" w:rsidRPr="00734AB6">
        <w:rPr>
          <w:rFonts w:asciiTheme="majorHAnsi" w:eastAsia="Calibri" w:hAnsiTheme="majorHAnsi" w:cs="Calibri"/>
        </w:rPr>
        <w:t>(2011) and Peterkin et al. (2011</w:t>
      </w:r>
      <w:r w:rsidRPr="00734AB6">
        <w:rPr>
          <w:rFonts w:asciiTheme="majorHAnsi" w:eastAsia="Calibri" w:hAnsiTheme="majorHAnsi" w:cs="Calibri"/>
        </w:rPr>
        <w:t xml:space="preserve">) used the World Health Organisation (WHO) Adult ADHD Self-Report Scale (ASRS; Kessler et al., 2005) to assess ADHD symptoms. The ASRS is a standardized and well-validated tool for assessing adult ADHD symptoms (Gray, </w:t>
      </w:r>
      <w:proofErr w:type="spellStart"/>
      <w:r w:rsidRPr="00734AB6">
        <w:rPr>
          <w:rFonts w:asciiTheme="majorHAnsi" w:eastAsia="Calibri" w:hAnsiTheme="majorHAnsi" w:cs="Calibri"/>
        </w:rPr>
        <w:t>Woltering</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Mawjee</w:t>
      </w:r>
      <w:proofErr w:type="spellEnd"/>
      <w:r w:rsidRPr="00734AB6">
        <w:rPr>
          <w:rFonts w:asciiTheme="majorHAnsi" w:eastAsia="Calibri" w:hAnsiTheme="majorHAnsi" w:cs="Calibri"/>
        </w:rPr>
        <w:t xml:space="preserve"> &amp; </w:t>
      </w:r>
      <w:proofErr w:type="spellStart"/>
      <w:r w:rsidRPr="00734AB6">
        <w:rPr>
          <w:rFonts w:asciiTheme="majorHAnsi" w:eastAsia="Calibri" w:hAnsiTheme="majorHAnsi" w:cs="Calibri"/>
        </w:rPr>
        <w:t>Tannock</w:t>
      </w:r>
      <w:proofErr w:type="spellEnd"/>
      <w:r w:rsidRPr="00734AB6">
        <w:rPr>
          <w:rFonts w:asciiTheme="majorHAnsi" w:eastAsia="Calibri" w:hAnsiTheme="majorHAnsi" w:cs="Calibri"/>
        </w:rPr>
        <w:t xml:space="preserve">, 2014). It </w:t>
      </w:r>
      <w:r w:rsidRPr="00734AB6">
        <w:rPr>
          <w:rFonts w:asciiTheme="majorHAnsi" w:hAnsiTheme="majorHAnsi"/>
        </w:rPr>
        <w:t>was developed by two board-certified psychiatrists and the WHO advisory group of clinical experts in adult ADHD to assess ADHD symptoms in adults (Kessler et al.</w:t>
      </w:r>
      <w:r w:rsidR="00F05116" w:rsidRPr="00734AB6">
        <w:rPr>
          <w:rFonts w:asciiTheme="majorHAnsi" w:hAnsiTheme="majorHAnsi"/>
        </w:rPr>
        <w:t>, 2005</w:t>
      </w:r>
      <w:r w:rsidRPr="00734AB6">
        <w:rPr>
          <w:rFonts w:asciiTheme="majorHAnsi" w:hAnsiTheme="majorHAnsi"/>
        </w:rPr>
        <w:t xml:space="preserve">). One question was developed for each of the 18 </w:t>
      </w:r>
      <w:r w:rsidR="00C84193" w:rsidRPr="00734AB6">
        <w:rPr>
          <w:rFonts w:asciiTheme="majorHAnsi" w:hAnsiTheme="majorHAnsi"/>
        </w:rPr>
        <w:t>DSM-IV</w:t>
      </w:r>
      <w:r w:rsidRPr="00734AB6">
        <w:rPr>
          <w:rFonts w:asciiTheme="majorHAnsi" w:hAnsiTheme="majorHAnsi"/>
        </w:rPr>
        <w:t xml:space="preserve"> Criterion A symptoms and a further 11 questions were developed to reflect symptoms not in the DSM-IV but were believed by experts to be common expressions of adult ADHD. The questions cover problems with inattention, and hyperactivity and impulsivity equally. The ASRS is comprised of 18 items, the first six items of the scale, Part A, were designed to screen adults for ADHD and consist of three questions addressing inattention and three questions addressing hyperactivity and impulsivity. Frequency scores for items </w:t>
      </w:r>
      <w:r w:rsidR="008C3027" w:rsidRPr="00734AB6">
        <w:rPr>
          <w:rFonts w:asciiTheme="majorHAnsi" w:hAnsiTheme="majorHAnsi"/>
        </w:rPr>
        <w:t>seven</w:t>
      </w:r>
      <w:r w:rsidRPr="00734AB6">
        <w:rPr>
          <w:rFonts w:asciiTheme="majorHAnsi" w:hAnsiTheme="majorHAnsi"/>
        </w:rPr>
        <w:t xml:space="preserve"> onwards, Part B, are intended to provide additional information rather than serving as a diagnostic tool. </w:t>
      </w:r>
      <w:proofErr w:type="spellStart"/>
      <w:r w:rsidRPr="00734AB6">
        <w:rPr>
          <w:rFonts w:asciiTheme="majorHAnsi" w:hAnsiTheme="majorHAnsi"/>
        </w:rPr>
        <w:t>Arria</w:t>
      </w:r>
      <w:proofErr w:type="spellEnd"/>
      <w:r w:rsidRPr="00734AB6">
        <w:rPr>
          <w:rFonts w:asciiTheme="majorHAnsi" w:hAnsiTheme="majorHAnsi"/>
        </w:rPr>
        <w:t xml:space="preserve"> et al. argued that problems with inattention rather than hyperactivity and impulsivity are more likely to be associated with the non-prescription use of stimulants as they found a relationship between inattention and academic performance difficulties, but no relationship between hyperactivity and impulsivity and academic performance. </w:t>
      </w:r>
    </w:p>
    <w:p w14:paraId="5DD68A04" w14:textId="79C8C01C" w:rsidR="00772E06" w:rsidRPr="00734AB6" w:rsidRDefault="00772E06" w:rsidP="00730592">
      <w:pPr>
        <w:spacing w:line="360" w:lineRule="auto"/>
        <w:ind w:firstLine="709"/>
        <w:rPr>
          <w:rFonts w:asciiTheme="majorHAnsi" w:hAnsiTheme="majorHAnsi"/>
        </w:rPr>
      </w:pPr>
      <w:proofErr w:type="spellStart"/>
      <w:r w:rsidRPr="00734AB6">
        <w:rPr>
          <w:rFonts w:asciiTheme="majorHAnsi" w:hAnsiTheme="majorHAnsi"/>
        </w:rPr>
        <w:t>Arria</w:t>
      </w:r>
      <w:proofErr w:type="spellEnd"/>
      <w:r w:rsidRPr="00734AB6">
        <w:rPr>
          <w:rFonts w:asciiTheme="majorHAnsi" w:hAnsiTheme="majorHAnsi"/>
        </w:rPr>
        <w:t xml:space="preserve"> et al. (2011) asked 470 university students to provide information regarding off-prescription use of stimulants such as methylphenidate and their self-reported ratings on the ASRS. They found strong associations between the off-prescription use of stimulants and ADHD symptoms and these symptoms were related to inattention and not </w:t>
      </w:r>
      <w:r w:rsidR="00730592" w:rsidRPr="00734AB6">
        <w:rPr>
          <w:rFonts w:asciiTheme="majorHAnsi" w:hAnsiTheme="majorHAnsi"/>
        </w:rPr>
        <w:t xml:space="preserve">hyperactivity and impulsivity. </w:t>
      </w:r>
      <w:r w:rsidRPr="00734AB6">
        <w:rPr>
          <w:rFonts w:asciiTheme="majorHAnsi" w:hAnsiTheme="majorHAnsi"/>
        </w:rPr>
        <w:t xml:space="preserve">Similar results were previously reported by </w:t>
      </w:r>
      <w:proofErr w:type="spellStart"/>
      <w:r w:rsidRPr="00734AB6">
        <w:rPr>
          <w:rFonts w:asciiTheme="majorHAnsi" w:hAnsiTheme="majorHAnsi"/>
        </w:rPr>
        <w:t>Rabiner</w:t>
      </w:r>
      <w:proofErr w:type="spellEnd"/>
      <w:r w:rsidRPr="00734AB6">
        <w:rPr>
          <w:rFonts w:asciiTheme="majorHAnsi" w:hAnsiTheme="majorHAnsi"/>
        </w:rPr>
        <w:t xml:space="preserve"> et al. (2009). In this sample of 291 university students, 5.4% reported non-medical use of prescription stimulants and this was also associated with symptoms of inattention rather than hyperactivity-impulsivity. </w:t>
      </w:r>
    </w:p>
    <w:p w14:paraId="0A79A9D3" w14:textId="6AEEF1F6" w:rsidR="00772E06" w:rsidRPr="00734AB6" w:rsidRDefault="00E92A36" w:rsidP="0099584D">
      <w:pPr>
        <w:spacing w:line="360" w:lineRule="auto"/>
        <w:ind w:firstLine="709"/>
        <w:rPr>
          <w:rFonts w:asciiTheme="majorHAnsi" w:hAnsiTheme="majorHAnsi"/>
        </w:rPr>
      </w:pPr>
      <w:r w:rsidRPr="00734AB6">
        <w:rPr>
          <w:rFonts w:asciiTheme="majorHAnsi" w:hAnsiTheme="majorHAnsi"/>
        </w:rPr>
        <w:lastRenderedPageBreak/>
        <w:t>Peterkin et al. (2011</w:t>
      </w:r>
      <w:r w:rsidR="00772E06" w:rsidRPr="00734AB6">
        <w:rPr>
          <w:rFonts w:asciiTheme="majorHAnsi" w:hAnsiTheme="majorHAnsi"/>
        </w:rPr>
        <w:t>) used the ASRS Part A in their survey to investigate the possible link between the off-prescription use of ADHD medications such as methylphenidate and positive screening for ADHD symptoms. They analysed 184 North Virginia university student survey responses, comparing non-prescribed use of ADHD medications for academic purposes amongst those who did or did not screen positive for ADHD. Peterkin et al.</w:t>
      </w:r>
      <w:r w:rsidR="00F05116" w:rsidRPr="00734AB6">
        <w:rPr>
          <w:rFonts w:asciiTheme="majorHAnsi" w:hAnsiTheme="majorHAnsi"/>
        </w:rPr>
        <w:t xml:space="preserve"> (2011)</w:t>
      </w:r>
      <w:r w:rsidR="00772E06" w:rsidRPr="00734AB6">
        <w:rPr>
          <w:rFonts w:asciiTheme="majorHAnsi" w:hAnsiTheme="majorHAnsi"/>
        </w:rPr>
        <w:t xml:space="preserve"> noted that these misusers were found to be seven times more likely to be symptomatic for ADHD than those who were not misusers of ADHD medications. They found that, of the 39 respondents who reported misuse of ADHD medications for academic purposes, 77% tested positive for ADHD symptoms compared with just 10% of those who reported no misuse of ADHD medications. </w:t>
      </w:r>
    </w:p>
    <w:p w14:paraId="7874CC7B" w14:textId="024B057F"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Besides the possibility that modafinil and methylphenidate off-prescription users may be experiencing ADHD symptoms, it is also possible that they are experiencing an increased number of everyday cognitive lapses. The frequency with which an individual makes absentminded errors including perceptual, action and memory failures, referred to as</w:t>
      </w:r>
      <w:r w:rsidR="0058147F" w:rsidRPr="00734AB6">
        <w:rPr>
          <w:rFonts w:asciiTheme="majorHAnsi" w:eastAsia="Calibri" w:hAnsiTheme="majorHAnsi" w:cs="Calibri"/>
        </w:rPr>
        <w:t xml:space="preserve"> cognitive failures (Broadbent et al.,</w:t>
      </w:r>
      <w:r w:rsidRPr="00734AB6">
        <w:rPr>
          <w:rFonts w:asciiTheme="majorHAnsi" w:eastAsia="Calibri" w:hAnsiTheme="majorHAnsi" w:cs="Calibri"/>
        </w:rPr>
        <w:t xml:space="preserve"> 1982), has been found to vary. </w:t>
      </w:r>
      <w:r w:rsidR="0021111E" w:rsidRPr="00734AB6">
        <w:rPr>
          <w:rFonts w:asciiTheme="majorHAnsi" w:eastAsia="Calibri" w:hAnsiTheme="majorHAnsi" w:cs="Calibri"/>
        </w:rPr>
        <w:t xml:space="preserve">It is recognised that cognitive slips occur in everyday life but these slips have been found to have been greater in individuals with cognitive conditions such as dyslexia (Smith-Spark Fawcett, Nicolson and Fisk, 2004), ADHD (Kim Liu, </w:t>
      </w:r>
      <w:proofErr w:type="spellStart"/>
      <w:r w:rsidR="0021111E" w:rsidRPr="00734AB6">
        <w:rPr>
          <w:rFonts w:asciiTheme="majorHAnsi" w:eastAsia="Calibri" w:hAnsiTheme="majorHAnsi" w:cs="Calibri"/>
        </w:rPr>
        <w:t>Glizer</w:t>
      </w:r>
      <w:proofErr w:type="spellEnd"/>
      <w:r w:rsidR="0021111E" w:rsidRPr="00734AB6">
        <w:rPr>
          <w:rFonts w:asciiTheme="majorHAnsi" w:eastAsia="Calibri" w:hAnsiTheme="majorHAnsi" w:cs="Calibri"/>
        </w:rPr>
        <w:t xml:space="preserve">, </w:t>
      </w:r>
      <w:proofErr w:type="spellStart"/>
      <w:r w:rsidR="0021111E" w:rsidRPr="00734AB6">
        <w:rPr>
          <w:rFonts w:asciiTheme="majorHAnsi" w:eastAsia="Calibri" w:hAnsiTheme="majorHAnsi" w:cs="Calibri"/>
        </w:rPr>
        <w:t>Tannock</w:t>
      </w:r>
      <w:proofErr w:type="spellEnd"/>
      <w:r w:rsidR="0021111E" w:rsidRPr="00734AB6">
        <w:rPr>
          <w:rFonts w:asciiTheme="majorHAnsi" w:eastAsia="Calibri" w:hAnsiTheme="majorHAnsi" w:cs="Calibri"/>
        </w:rPr>
        <w:t xml:space="preserve"> and </w:t>
      </w:r>
      <w:proofErr w:type="spellStart"/>
      <w:r w:rsidR="0021111E" w:rsidRPr="00734AB6">
        <w:rPr>
          <w:rFonts w:asciiTheme="majorHAnsi" w:eastAsia="Calibri" w:hAnsiTheme="majorHAnsi" w:cs="Calibri"/>
        </w:rPr>
        <w:t>Woltering</w:t>
      </w:r>
      <w:proofErr w:type="spellEnd"/>
      <w:r w:rsidR="0021111E" w:rsidRPr="00734AB6">
        <w:rPr>
          <w:rFonts w:asciiTheme="majorHAnsi" w:eastAsia="Calibri" w:hAnsiTheme="majorHAnsi" w:cs="Calibri"/>
        </w:rPr>
        <w:t>, 2014) and Parkinson’s disease (</w:t>
      </w:r>
      <w:proofErr w:type="spellStart"/>
      <w:r w:rsidR="0021111E" w:rsidRPr="00734AB6">
        <w:rPr>
          <w:rFonts w:asciiTheme="majorHAnsi" w:eastAsia="Calibri" w:hAnsiTheme="majorHAnsi" w:cs="Calibri"/>
        </w:rPr>
        <w:t>Poliakoff</w:t>
      </w:r>
      <w:proofErr w:type="spellEnd"/>
      <w:r w:rsidR="0021111E" w:rsidRPr="00734AB6">
        <w:rPr>
          <w:rFonts w:asciiTheme="majorHAnsi" w:eastAsia="Calibri" w:hAnsiTheme="majorHAnsi" w:cs="Calibri"/>
        </w:rPr>
        <w:t xml:space="preserve"> &amp; Smith-Spark, 2008).</w:t>
      </w:r>
      <w:r w:rsidR="0021111E" w:rsidRPr="00734AB6">
        <w:rPr>
          <w:rFonts w:asciiTheme="majorHAnsi" w:eastAsia="Calibri" w:hAnsiTheme="majorHAnsi" w:cs="Calibri"/>
          <w:b/>
        </w:rPr>
        <w:t xml:space="preserve"> </w:t>
      </w:r>
      <w:r w:rsidRPr="00734AB6">
        <w:rPr>
          <w:rFonts w:asciiTheme="majorHAnsi" w:eastAsia="Calibri" w:hAnsiTheme="majorHAnsi" w:cs="Calibri"/>
        </w:rPr>
        <w:t>In the studies by Smith-Spark</w:t>
      </w:r>
      <w:r w:rsidR="00197B0A" w:rsidRPr="00734AB6">
        <w:rPr>
          <w:rFonts w:asciiTheme="majorHAnsi" w:eastAsia="Calibri" w:hAnsiTheme="majorHAnsi" w:cs="Calibri"/>
        </w:rPr>
        <w:t>,</w:t>
      </w:r>
      <w:r w:rsidR="0021111E" w:rsidRPr="00734AB6">
        <w:rPr>
          <w:rFonts w:asciiTheme="majorHAnsi" w:eastAsia="Calibri" w:hAnsiTheme="majorHAnsi" w:cs="Calibri"/>
        </w:rPr>
        <w:t xml:space="preserve"> et al.</w:t>
      </w:r>
      <w:r w:rsidR="00F05116" w:rsidRPr="00734AB6">
        <w:rPr>
          <w:rFonts w:asciiTheme="majorHAnsi" w:eastAsia="Calibri" w:hAnsiTheme="majorHAnsi" w:cs="Calibri"/>
        </w:rPr>
        <w:t xml:space="preserve"> (2004)</w:t>
      </w:r>
      <w:r w:rsidRPr="00734AB6">
        <w:rPr>
          <w:rFonts w:asciiTheme="majorHAnsi" w:eastAsia="Calibri" w:hAnsiTheme="majorHAnsi" w:cs="Calibri"/>
        </w:rPr>
        <w:t>, Kim,</w:t>
      </w:r>
      <w:r w:rsidR="0021111E" w:rsidRPr="00734AB6">
        <w:rPr>
          <w:rFonts w:asciiTheme="majorHAnsi" w:eastAsia="Calibri" w:hAnsiTheme="majorHAnsi" w:cs="Calibri"/>
        </w:rPr>
        <w:t xml:space="preserve"> et al.</w:t>
      </w:r>
      <w:r w:rsidR="00F05116" w:rsidRPr="00734AB6">
        <w:rPr>
          <w:rFonts w:asciiTheme="majorHAnsi" w:eastAsia="Calibri" w:hAnsiTheme="majorHAnsi" w:cs="Calibri"/>
        </w:rPr>
        <w:t xml:space="preserve"> (2014)</w:t>
      </w:r>
      <w:r w:rsidRPr="00734AB6">
        <w:rPr>
          <w:rFonts w:asciiTheme="majorHAnsi" w:eastAsia="Calibri" w:hAnsiTheme="majorHAnsi" w:cs="Calibri"/>
        </w:rPr>
        <w:t>,</w:t>
      </w:r>
      <w:r w:rsidR="0021111E" w:rsidRPr="00734AB6">
        <w:rPr>
          <w:rFonts w:asciiTheme="majorHAnsi" w:eastAsia="Calibri" w:hAnsiTheme="majorHAnsi" w:cs="Calibri"/>
        </w:rPr>
        <w:t xml:space="preserve"> and </w:t>
      </w:r>
      <w:proofErr w:type="spellStart"/>
      <w:r w:rsidR="0021111E" w:rsidRPr="00734AB6">
        <w:rPr>
          <w:rFonts w:asciiTheme="majorHAnsi" w:eastAsia="Calibri" w:hAnsiTheme="majorHAnsi" w:cs="Calibri"/>
        </w:rPr>
        <w:t>Poliakoff</w:t>
      </w:r>
      <w:proofErr w:type="spellEnd"/>
      <w:r w:rsidR="0021111E" w:rsidRPr="00734AB6">
        <w:rPr>
          <w:rFonts w:asciiTheme="majorHAnsi" w:eastAsia="Calibri" w:hAnsiTheme="majorHAnsi" w:cs="Calibri"/>
        </w:rPr>
        <w:t xml:space="preserve"> and Smith-Spark</w:t>
      </w:r>
      <w:r w:rsidR="00F05116" w:rsidRPr="00734AB6">
        <w:rPr>
          <w:rFonts w:asciiTheme="majorHAnsi" w:eastAsia="Calibri" w:hAnsiTheme="majorHAnsi" w:cs="Calibri"/>
        </w:rPr>
        <w:t xml:space="preserve"> (2008)</w:t>
      </w:r>
      <w:r w:rsidRPr="00734AB6">
        <w:rPr>
          <w:rFonts w:asciiTheme="majorHAnsi" w:eastAsia="Calibri" w:hAnsiTheme="majorHAnsi" w:cs="Calibri"/>
        </w:rPr>
        <w:t>, the Cognitive Failures Questionnaire (CFQ) was used to identify the level of cognitive slips in these groups of individuals.  The CFQ was developed by Broadbent et al.</w:t>
      </w:r>
      <w:r w:rsidR="00F05116" w:rsidRPr="00734AB6">
        <w:rPr>
          <w:rFonts w:asciiTheme="majorHAnsi" w:eastAsia="Calibri" w:hAnsiTheme="majorHAnsi" w:cs="Calibri"/>
        </w:rPr>
        <w:t xml:space="preserve"> (1982)</w:t>
      </w:r>
      <w:r w:rsidRPr="00734AB6">
        <w:rPr>
          <w:rFonts w:asciiTheme="majorHAnsi" w:eastAsia="Calibri" w:hAnsiTheme="majorHAnsi" w:cs="Calibri"/>
        </w:rPr>
        <w:t xml:space="preserve"> to evaluate the frequency with which cognitive failures occur in everyday life. The 25-item CFQ (Broadbent et al.</w:t>
      </w:r>
      <w:r w:rsidR="00F05116" w:rsidRPr="00734AB6">
        <w:rPr>
          <w:rFonts w:asciiTheme="majorHAnsi" w:eastAsia="Calibri" w:hAnsiTheme="majorHAnsi" w:cs="Calibri"/>
        </w:rPr>
        <w:t>, 1982</w:t>
      </w:r>
      <w:r w:rsidRPr="00734AB6">
        <w:rPr>
          <w:rFonts w:asciiTheme="majorHAnsi" w:eastAsia="Calibri" w:hAnsiTheme="majorHAnsi" w:cs="Calibri"/>
        </w:rPr>
        <w:t xml:space="preserve">) measures lapses in a broad range of cognitive functions within the past six months and has good external validity (e.g. de Paula, Costa, Miranda &amp; Romano-Silva, 2018; </w:t>
      </w:r>
      <w:proofErr w:type="spellStart"/>
      <w:r w:rsidRPr="00734AB6">
        <w:rPr>
          <w:rFonts w:asciiTheme="majorHAnsi" w:eastAsia="Calibri" w:hAnsiTheme="majorHAnsi" w:cs="Calibri"/>
        </w:rPr>
        <w:t>Ekici</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Uysal</w:t>
      </w:r>
      <w:proofErr w:type="spellEnd"/>
      <w:r w:rsidRPr="00734AB6">
        <w:rPr>
          <w:rFonts w:asciiTheme="majorHAnsi" w:eastAsia="Calibri" w:hAnsiTheme="majorHAnsi" w:cs="Calibri"/>
        </w:rPr>
        <w:t xml:space="preserve"> &amp; </w:t>
      </w:r>
      <w:proofErr w:type="spellStart"/>
      <w:r w:rsidRPr="00734AB6">
        <w:rPr>
          <w:rFonts w:asciiTheme="majorHAnsi" w:eastAsia="Calibri" w:hAnsiTheme="majorHAnsi" w:cs="Calibri"/>
        </w:rPr>
        <w:t>Altuntas</w:t>
      </w:r>
      <w:proofErr w:type="spellEnd"/>
      <w:r w:rsidRPr="00734AB6">
        <w:rPr>
          <w:rFonts w:asciiTheme="majorHAnsi" w:eastAsia="Calibri" w:hAnsiTheme="majorHAnsi" w:cs="Calibri"/>
        </w:rPr>
        <w:t>, 2016; Kim et al.</w:t>
      </w:r>
      <w:r w:rsidR="00F05116" w:rsidRPr="00734AB6">
        <w:rPr>
          <w:rFonts w:asciiTheme="majorHAnsi" w:eastAsia="Calibri" w:hAnsiTheme="majorHAnsi" w:cs="Calibri"/>
        </w:rPr>
        <w:t>, 2014</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Poliakoff</w:t>
      </w:r>
      <w:proofErr w:type="spellEnd"/>
      <w:r w:rsidRPr="00734AB6">
        <w:rPr>
          <w:rFonts w:asciiTheme="majorHAnsi" w:eastAsia="Calibri" w:hAnsiTheme="majorHAnsi" w:cs="Calibri"/>
        </w:rPr>
        <w:t xml:space="preserve"> &amp; Smith-Spark</w:t>
      </w:r>
      <w:r w:rsidR="00F05116" w:rsidRPr="00734AB6">
        <w:rPr>
          <w:rFonts w:asciiTheme="majorHAnsi" w:eastAsia="Calibri" w:hAnsiTheme="majorHAnsi" w:cs="Calibri"/>
        </w:rPr>
        <w:t>, 2008</w:t>
      </w:r>
      <w:r w:rsidRPr="00734AB6">
        <w:rPr>
          <w:rFonts w:asciiTheme="majorHAnsi" w:eastAsia="Calibri" w:hAnsiTheme="majorHAnsi" w:cs="Calibri"/>
        </w:rPr>
        <w:t>; Smith-Spark et al.</w:t>
      </w:r>
      <w:r w:rsidR="00F05116" w:rsidRPr="00734AB6">
        <w:rPr>
          <w:rFonts w:asciiTheme="majorHAnsi" w:eastAsia="Calibri" w:hAnsiTheme="majorHAnsi" w:cs="Calibri"/>
        </w:rPr>
        <w:t>, 2004</w:t>
      </w:r>
      <w:r w:rsidRPr="00734AB6">
        <w:rPr>
          <w:rFonts w:asciiTheme="majorHAnsi" w:eastAsia="Calibri" w:hAnsiTheme="majorHAnsi" w:cs="Calibri"/>
        </w:rPr>
        <w:t>; Wallace &amp; Vodanovich, 2003).</w:t>
      </w:r>
    </w:p>
    <w:p w14:paraId="33D579CE" w14:textId="4CFB5ECF"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Broadbent et al. (1982) argued that the CFQ provides a measure of general cognitive failure which is important for external validity, as the individual’s view of themselves is also shared by those who know them. Broadbent et al. did consider whether a total score or individual item score would be more appropriate by performing a factor analysis. However, the factors found could not be replicated and it was concluded that the CFQ’s structure is unidimensional, thus using a total score as representative. Subsequent to this, a number of other studies have attempted to identify factors within the CFQ (e.g. Larson, Alderton, </w:t>
      </w:r>
      <w:proofErr w:type="spellStart"/>
      <w:r w:rsidRPr="00734AB6">
        <w:rPr>
          <w:rFonts w:asciiTheme="majorHAnsi" w:eastAsia="Calibri" w:hAnsiTheme="majorHAnsi" w:cs="Calibri"/>
        </w:rPr>
        <w:t>Neideffer</w:t>
      </w:r>
      <w:proofErr w:type="spellEnd"/>
      <w:r w:rsidRPr="00734AB6">
        <w:rPr>
          <w:rFonts w:asciiTheme="majorHAnsi" w:eastAsia="Calibri" w:hAnsiTheme="majorHAnsi" w:cs="Calibri"/>
        </w:rPr>
        <w:t xml:space="preserve"> &amp; Underhill, 1997; </w:t>
      </w:r>
      <w:proofErr w:type="spellStart"/>
      <w:r w:rsidRPr="00734AB6">
        <w:rPr>
          <w:rFonts w:asciiTheme="majorHAnsi" w:eastAsia="Calibri" w:hAnsiTheme="majorHAnsi" w:cs="Calibri"/>
        </w:rPr>
        <w:t>Pollina</w:t>
      </w:r>
      <w:proofErr w:type="spellEnd"/>
      <w:r w:rsidRPr="00734AB6">
        <w:rPr>
          <w:rFonts w:asciiTheme="majorHAnsi" w:eastAsia="Calibri" w:hAnsiTheme="majorHAnsi" w:cs="Calibri"/>
        </w:rPr>
        <w:t xml:space="preserve">, Greene, </w:t>
      </w:r>
      <w:proofErr w:type="spellStart"/>
      <w:r w:rsidRPr="00734AB6">
        <w:rPr>
          <w:rFonts w:asciiTheme="majorHAnsi" w:eastAsia="Calibri" w:hAnsiTheme="majorHAnsi" w:cs="Calibri"/>
        </w:rPr>
        <w:t>Tunick</w:t>
      </w:r>
      <w:proofErr w:type="spellEnd"/>
      <w:r w:rsidRPr="00734AB6">
        <w:rPr>
          <w:rFonts w:asciiTheme="majorHAnsi" w:eastAsia="Calibri" w:hAnsiTheme="majorHAnsi" w:cs="Calibri"/>
        </w:rPr>
        <w:t xml:space="preserve"> &amp; Puckett, 1992; Wallace, </w:t>
      </w:r>
      <w:proofErr w:type="spellStart"/>
      <w:r w:rsidRPr="00734AB6">
        <w:rPr>
          <w:rFonts w:asciiTheme="majorHAnsi" w:eastAsia="Calibri" w:hAnsiTheme="majorHAnsi" w:cs="Calibri"/>
        </w:rPr>
        <w:t>Kass</w:t>
      </w:r>
      <w:proofErr w:type="spellEnd"/>
      <w:r w:rsidRPr="00734AB6">
        <w:rPr>
          <w:rFonts w:asciiTheme="majorHAnsi" w:eastAsia="Calibri" w:hAnsiTheme="majorHAnsi" w:cs="Calibri"/>
        </w:rPr>
        <w:t xml:space="preserve"> &amp; </w:t>
      </w:r>
      <w:proofErr w:type="spellStart"/>
      <w:r w:rsidRPr="00734AB6">
        <w:rPr>
          <w:rFonts w:asciiTheme="majorHAnsi" w:eastAsia="Calibri" w:hAnsiTheme="majorHAnsi" w:cs="Calibri"/>
        </w:rPr>
        <w:t>Stanny</w:t>
      </w:r>
      <w:proofErr w:type="spellEnd"/>
      <w:r w:rsidRPr="00734AB6">
        <w:rPr>
          <w:rFonts w:asciiTheme="majorHAnsi" w:eastAsia="Calibri" w:hAnsiTheme="majorHAnsi" w:cs="Calibri"/>
        </w:rPr>
        <w:t>, 2002) but there was no commonality between the studies on the factors themselves. That said, the only study which was retested and confirmed by confirmatory factor analysis (Wallace, 2004) was the analysis by Wallace et al. (2002) which found four factors, memory, distractibility, blunders and names. If off-</w:t>
      </w:r>
      <w:r w:rsidRPr="00734AB6">
        <w:rPr>
          <w:rFonts w:asciiTheme="majorHAnsi" w:eastAsia="Calibri" w:hAnsiTheme="majorHAnsi" w:cs="Calibri"/>
        </w:rPr>
        <w:lastRenderedPageBreak/>
        <w:t xml:space="preserve">prescription users of modafinil and methylphenidate are self-medicating for poor cognitive performance, it is likely that this is being experienced more broadly in their everyday lives. </w:t>
      </w:r>
    </w:p>
    <w:p w14:paraId="1FAE95B3" w14:textId="36824AED"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One of the most common motivations for using modafinil and methylphenidate in Study 1 was ‘to get more done’. Similar findings have been reported in other online studies, Fond et al. (2016) reported ‘increased academic performance’ as one of the main motivations for use of modafinil and methylphenidate amongst medical students.  Novak, </w:t>
      </w:r>
      <w:proofErr w:type="spellStart"/>
      <w:r w:rsidRPr="00734AB6">
        <w:rPr>
          <w:rFonts w:asciiTheme="majorHAnsi" w:eastAsia="Calibri" w:hAnsiTheme="majorHAnsi" w:cs="Calibri"/>
        </w:rPr>
        <w:t>Kroutil</w:t>
      </w:r>
      <w:proofErr w:type="spellEnd"/>
      <w:r w:rsidRPr="00734AB6">
        <w:rPr>
          <w:rFonts w:asciiTheme="majorHAnsi" w:eastAsia="Calibri" w:hAnsiTheme="majorHAnsi" w:cs="Calibri"/>
        </w:rPr>
        <w:t>, Williams and Van Brunt (2007) reported productivity as one of the main motive</w:t>
      </w:r>
      <w:r w:rsidR="002D2485" w:rsidRPr="00734AB6">
        <w:rPr>
          <w:rFonts w:asciiTheme="majorHAnsi" w:eastAsia="Calibri" w:hAnsiTheme="majorHAnsi" w:cs="Calibri"/>
        </w:rPr>
        <w:t>s</w:t>
      </w:r>
      <w:r w:rsidRPr="00734AB6">
        <w:rPr>
          <w:rFonts w:asciiTheme="majorHAnsi" w:eastAsia="Calibri" w:hAnsiTheme="majorHAnsi" w:cs="Calibri"/>
        </w:rPr>
        <w:t xml:space="preserve"> for the non-medical use of ADHD medications. A common barrier to accomplishing tasks is procrastinatory behaviour,</w:t>
      </w:r>
      <w:r w:rsidR="00260D28" w:rsidRPr="00734AB6">
        <w:rPr>
          <w:rFonts w:asciiTheme="majorHAnsi" w:eastAsia="Calibri" w:hAnsiTheme="majorHAnsi" w:cs="Calibri"/>
        </w:rPr>
        <w:t xml:space="preserve"> which Steel</w:t>
      </w:r>
      <w:r w:rsidRPr="00734AB6">
        <w:rPr>
          <w:rFonts w:asciiTheme="majorHAnsi" w:eastAsia="Calibri" w:hAnsiTheme="majorHAnsi" w:cs="Calibri"/>
        </w:rPr>
        <w:t xml:space="preserve"> (2007) defined as a conscious delay of a planned course of action even though this delay is likely to have negative outcomes. Procrastination is noted as a problem particularly for </w:t>
      </w:r>
      <w:r w:rsidR="0085615B" w:rsidRPr="00734AB6">
        <w:rPr>
          <w:rFonts w:asciiTheme="majorHAnsi" w:eastAsia="Calibri" w:hAnsiTheme="majorHAnsi" w:cs="Calibri"/>
        </w:rPr>
        <w:t xml:space="preserve">both </w:t>
      </w:r>
      <w:r w:rsidRPr="00734AB6">
        <w:rPr>
          <w:rFonts w:asciiTheme="majorHAnsi" w:eastAsia="Calibri" w:hAnsiTheme="majorHAnsi" w:cs="Calibri"/>
        </w:rPr>
        <w:t xml:space="preserve">students (Rabin, Fogel &amp; Nutter-Upham, 2011) and workers (Nguyen, Steel &amp; Ferrari, 2013). </w:t>
      </w:r>
    </w:p>
    <w:p w14:paraId="07B1C0E8" w14:textId="4B6EE3DA"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20-item General Procrastination Scale (</w:t>
      </w:r>
      <w:r w:rsidR="002D4D36" w:rsidRPr="00734AB6">
        <w:rPr>
          <w:rFonts w:asciiTheme="majorHAnsi" w:eastAsia="Calibri" w:hAnsiTheme="majorHAnsi" w:cs="Calibri"/>
        </w:rPr>
        <w:t xml:space="preserve">GPS, </w:t>
      </w:r>
      <w:r w:rsidRPr="00734AB6">
        <w:rPr>
          <w:rFonts w:asciiTheme="majorHAnsi" w:eastAsia="Calibri" w:hAnsiTheme="majorHAnsi" w:cs="Calibri"/>
        </w:rPr>
        <w:t xml:space="preserve">Lay, 1986) was developed to assess trait procrastinatory behaviour. Both Rabin et al. </w:t>
      </w:r>
      <w:r w:rsidR="00F05116" w:rsidRPr="00734AB6">
        <w:rPr>
          <w:rFonts w:asciiTheme="majorHAnsi" w:eastAsia="Calibri" w:hAnsiTheme="majorHAnsi" w:cs="Calibri"/>
        </w:rPr>
        <w:t xml:space="preserve">(2011) </w:t>
      </w:r>
      <w:r w:rsidRPr="00734AB6">
        <w:rPr>
          <w:rFonts w:asciiTheme="majorHAnsi" w:eastAsia="Calibri" w:hAnsiTheme="majorHAnsi" w:cs="Calibri"/>
        </w:rPr>
        <w:t>and Ferrari and Saunders (2006) used the GPS to assess levels of procrastination in their</w:t>
      </w:r>
      <w:r w:rsidR="00E631CF" w:rsidRPr="00734AB6">
        <w:rPr>
          <w:rFonts w:asciiTheme="majorHAnsi" w:eastAsia="Calibri" w:hAnsiTheme="majorHAnsi" w:cs="Calibri"/>
        </w:rPr>
        <w:t xml:space="preserve"> studies. Ferrari and Saunders</w:t>
      </w:r>
      <w:r w:rsidRPr="00734AB6">
        <w:rPr>
          <w:rFonts w:asciiTheme="majorHAnsi" w:eastAsia="Calibri" w:hAnsiTheme="majorHAnsi" w:cs="Calibri"/>
        </w:rPr>
        <w:t xml:space="preserve"> looked at the levels of procrastination in patients with ADHD compared </w:t>
      </w:r>
      <w:r w:rsidR="002D2485" w:rsidRPr="00734AB6">
        <w:rPr>
          <w:rFonts w:asciiTheme="majorHAnsi" w:eastAsia="Calibri" w:hAnsiTheme="majorHAnsi" w:cs="Calibri"/>
        </w:rPr>
        <w:t>with</w:t>
      </w:r>
      <w:r w:rsidRPr="00734AB6">
        <w:rPr>
          <w:rFonts w:asciiTheme="majorHAnsi" w:eastAsia="Calibri" w:hAnsiTheme="majorHAnsi" w:cs="Calibri"/>
        </w:rPr>
        <w:t xml:space="preserve"> healthy controls and found significantly higher rates of procrastination in the ADHD group compared with controls. Ferrari and Saunders’ study investigated the frequency of reported rates of procrastinatory behaviour in adults with and without ADHD. A total of 131 participants, 29 of whom were clinically diagnosed with ADHD, completed three standardized procrastination scales, the GPS, Mann’s (1982) Decisional Procrastination Scale (as cited in Ferrari, Johnson &amp; McCown, 1995) and McCown and Johnson’s (1989) Adult Inventory of Procrastination (as cited in Ferrari, Johnson &amp; McCown</w:t>
      </w:r>
      <w:r w:rsidR="00F05116" w:rsidRPr="00734AB6">
        <w:rPr>
          <w:rFonts w:asciiTheme="majorHAnsi" w:eastAsia="Calibri" w:hAnsiTheme="majorHAnsi" w:cs="Calibri"/>
        </w:rPr>
        <w:t>, 1995</w:t>
      </w:r>
      <w:r w:rsidRPr="00734AB6">
        <w:rPr>
          <w:rFonts w:asciiTheme="majorHAnsi" w:eastAsia="Calibri" w:hAnsiTheme="majorHAnsi" w:cs="Calibri"/>
        </w:rPr>
        <w:t xml:space="preserve">). Their findings indicated significantly higher levels of procrastination across all three scales, demonstrating both cognitive (i.e. indecision) and behavioural procrastination were associated with ADHD, and the authors suggested that such procrastinatory behaviour may be symptomatic of ADHD. </w:t>
      </w:r>
    </w:p>
    <w:p w14:paraId="494245B2" w14:textId="4211682F" w:rsidR="00772E06" w:rsidRPr="00734AB6" w:rsidRDefault="00772E06" w:rsidP="0099584D">
      <w:pPr>
        <w:spacing w:line="360" w:lineRule="auto"/>
        <w:ind w:firstLine="851"/>
        <w:rPr>
          <w:rFonts w:asciiTheme="majorHAnsi" w:eastAsia="Calibri" w:hAnsiTheme="majorHAnsi" w:cs="Calibri"/>
        </w:rPr>
      </w:pPr>
      <w:proofErr w:type="spellStart"/>
      <w:r w:rsidRPr="00734AB6">
        <w:rPr>
          <w:rFonts w:asciiTheme="majorHAnsi" w:eastAsia="Calibri" w:hAnsiTheme="majorHAnsi" w:cs="Calibri"/>
        </w:rPr>
        <w:t>Niermann</w:t>
      </w:r>
      <w:proofErr w:type="spellEnd"/>
      <w:r w:rsidRPr="00734AB6">
        <w:rPr>
          <w:rFonts w:asciiTheme="majorHAnsi" w:eastAsia="Calibri" w:hAnsiTheme="majorHAnsi" w:cs="Calibri"/>
        </w:rPr>
        <w:t xml:space="preserve"> and </w:t>
      </w:r>
      <w:proofErr w:type="spellStart"/>
      <w:r w:rsidRPr="00734AB6">
        <w:rPr>
          <w:rFonts w:asciiTheme="majorHAnsi" w:eastAsia="Calibri" w:hAnsiTheme="majorHAnsi" w:cs="Calibri"/>
        </w:rPr>
        <w:t>Scheres</w:t>
      </w:r>
      <w:proofErr w:type="spellEnd"/>
      <w:r w:rsidRPr="00734AB6">
        <w:rPr>
          <w:rFonts w:asciiTheme="majorHAnsi" w:eastAsia="Calibri" w:hAnsiTheme="majorHAnsi" w:cs="Calibri"/>
        </w:rPr>
        <w:t xml:space="preserve"> (2014) had similar findings. They recruited 54 university students who had tested positive on a self-report scale for ADHD in a pre-screening test for the study. Procrastination was measured using three procrastination scales, the Procrastination Assessment Scale for Students (Solomon &amp; </w:t>
      </w:r>
      <w:proofErr w:type="spellStart"/>
      <w:r w:rsidRPr="00734AB6">
        <w:rPr>
          <w:rFonts w:asciiTheme="majorHAnsi" w:eastAsia="Calibri" w:hAnsiTheme="majorHAnsi" w:cs="Calibri"/>
        </w:rPr>
        <w:t>Rothblum</w:t>
      </w:r>
      <w:proofErr w:type="spellEnd"/>
      <w:r w:rsidRPr="00734AB6">
        <w:rPr>
          <w:rFonts w:asciiTheme="majorHAnsi" w:eastAsia="Calibri" w:hAnsiTheme="majorHAnsi" w:cs="Calibri"/>
        </w:rPr>
        <w:t>, 1984), an academic procrastination measure (untitl</w:t>
      </w:r>
      <w:r w:rsidR="006712C5" w:rsidRPr="00734AB6">
        <w:rPr>
          <w:rFonts w:asciiTheme="majorHAnsi" w:eastAsia="Calibri" w:hAnsiTheme="majorHAnsi" w:cs="Calibri"/>
        </w:rPr>
        <w:t>ed) used previously by Ackerman</w:t>
      </w:r>
      <w:r w:rsidRPr="00734AB6">
        <w:rPr>
          <w:rFonts w:asciiTheme="majorHAnsi" w:eastAsia="Calibri" w:hAnsiTheme="majorHAnsi" w:cs="Calibri"/>
        </w:rPr>
        <w:t xml:space="preserve"> and Gross (2005) and the Pure Procrastination Scale (Steel, 2010). Their findings demonstrated that ADHD-related symptoms were associated with procrastination and that symptoms of inattention, but not hyperactivity or impulsivity, were positively correlated with procrastination.</w:t>
      </w:r>
    </w:p>
    <w:p w14:paraId="0E788719" w14:textId="77777777"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ASRS, CFQ and GPS all appear to be widely used, robust instruments which together measure a broad range of cognitive and behavioural problems. These questionnaires have </w:t>
      </w:r>
      <w:r w:rsidRPr="00734AB6">
        <w:rPr>
          <w:rFonts w:asciiTheme="majorHAnsi" w:eastAsia="Calibri" w:hAnsiTheme="majorHAnsi" w:cs="Calibri"/>
        </w:rPr>
        <w:lastRenderedPageBreak/>
        <w:t>therefore been selected for the current study to investigate whether reported modafinil and methylphenidate users may perceive themselves to be experiencing cognitive and behavioural problems and may therefore be using modafinil and methylphenidate to self-medicate.</w:t>
      </w:r>
    </w:p>
    <w:p w14:paraId="40E37DDC" w14:textId="4B56C0ED"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findings reported in Study 1 of the current thesis also revealed that more frequent reported use of modafinil resulted in increased perceived benefits although the reported risks remained relatively unchanged regardless of frequency of use of modafinil. This finding was not reported by methylphenidate users, suggesting that modafinil may be experienced differently. This also indicates that reported modafinil and methylphenidate users may be two distinct groups and not a single homogenous CED-us</w:t>
      </w:r>
      <w:r w:rsidR="00791139" w:rsidRPr="00734AB6">
        <w:rPr>
          <w:rFonts w:asciiTheme="majorHAnsi" w:eastAsia="Calibri" w:hAnsiTheme="majorHAnsi" w:cs="Calibri"/>
        </w:rPr>
        <w:t xml:space="preserve">er group as previously thought. As this finding has not been reported </w:t>
      </w:r>
      <w:r w:rsidRPr="00734AB6">
        <w:rPr>
          <w:rFonts w:asciiTheme="majorHAnsi" w:eastAsia="Calibri" w:hAnsiTheme="majorHAnsi" w:cs="Calibri"/>
        </w:rPr>
        <w:t xml:space="preserve">in </w:t>
      </w:r>
      <w:r w:rsidR="00791139" w:rsidRPr="00734AB6">
        <w:rPr>
          <w:rFonts w:asciiTheme="majorHAnsi" w:eastAsia="Calibri" w:hAnsiTheme="majorHAnsi" w:cs="Calibri"/>
        </w:rPr>
        <w:t xml:space="preserve">the </w:t>
      </w:r>
      <w:r w:rsidRPr="00734AB6">
        <w:rPr>
          <w:rFonts w:asciiTheme="majorHAnsi" w:eastAsia="Calibri" w:hAnsiTheme="majorHAnsi" w:cs="Calibri"/>
        </w:rPr>
        <w:t>literature</w:t>
      </w:r>
      <w:r w:rsidR="00791139" w:rsidRPr="00734AB6">
        <w:rPr>
          <w:rFonts w:asciiTheme="majorHAnsi" w:eastAsia="Calibri" w:hAnsiTheme="majorHAnsi" w:cs="Calibri"/>
        </w:rPr>
        <w:t xml:space="preserve"> before, </w:t>
      </w:r>
      <w:r w:rsidRPr="00734AB6">
        <w:rPr>
          <w:rFonts w:asciiTheme="majorHAnsi" w:eastAsia="Calibri" w:hAnsiTheme="majorHAnsi" w:cs="Calibri"/>
        </w:rPr>
        <w:t>one further aim of Study 2 was to investigate whether a relationship would emerge between the reported effects of modafinil and methylphenidate and the behaviours and abilities that these questionnaires assess.</w:t>
      </w:r>
    </w:p>
    <w:p w14:paraId="7260281A" w14:textId="77777777"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Study 1 also found a high percentage of respondents who reported having been diagnosed with a psychiatric condition and that this may suggest self-medication for the symptoms of anxiety and depression. The findings of Study 1 suggested that some individuals may be using modafinil and methylphenidate as a supportive treatment for depression and anxiety. This study therefore aimed to investigate in more detail what psychiatric diagnoses respondents report having received and what medications they may have been prescribed.</w:t>
      </w:r>
    </w:p>
    <w:p w14:paraId="6DEF5CB6" w14:textId="77777777"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current study also aimed to address some of the weaknesses of Study 1, namely, identifying routes of administration of modafinil and methylphenidate, the extent to which immediate- and prolonged-release methylphenidate formulations are used, the inclusion of questions on alcohol and nicotine use, concurrent use of psychiatric medications, and greater detail on psychiatric diagnoses. The current study also sought to attain greater understanding in relation to the type of qualifications respondents report that they are currently studying for. More detail in relation to a wider range of recreational drug use was also sought.</w:t>
      </w:r>
    </w:p>
    <w:p w14:paraId="12C4A848" w14:textId="77777777"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The current study had hypothesized that self-identified modafinil and methylphenidate users will score significantly higher on the CFQ, GPS and the inattention component of the ASRS compared with controls.</w:t>
      </w:r>
    </w:p>
    <w:p w14:paraId="1D7896DE" w14:textId="77777777" w:rsidR="00772E06" w:rsidRPr="00734AB6" w:rsidRDefault="00772E06" w:rsidP="0099584D">
      <w:pPr>
        <w:spacing w:line="360" w:lineRule="auto"/>
        <w:ind w:firstLine="851"/>
        <w:rPr>
          <w:rFonts w:asciiTheme="majorHAnsi" w:eastAsia="Calibri" w:hAnsiTheme="majorHAnsi" w:cs="Calibri"/>
        </w:rPr>
      </w:pPr>
    </w:p>
    <w:p w14:paraId="36408BC8" w14:textId="77777777" w:rsidR="00772E06" w:rsidRPr="00734AB6" w:rsidRDefault="00772E06" w:rsidP="00B471B3">
      <w:pPr>
        <w:pStyle w:val="Heading2"/>
        <w:spacing w:after="240" w:line="360" w:lineRule="auto"/>
        <w:rPr>
          <w:b/>
          <w:color w:val="auto"/>
          <w:sz w:val="22"/>
          <w:szCs w:val="22"/>
        </w:rPr>
      </w:pPr>
      <w:bookmarkStart w:id="55" w:name="_Toc48136346"/>
      <w:r w:rsidRPr="00734AB6">
        <w:rPr>
          <w:b/>
          <w:color w:val="auto"/>
          <w:sz w:val="22"/>
          <w:szCs w:val="22"/>
        </w:rPr>
        <w:t>3.2</w:t>
      </w:r>
      <w:r w:rsidRPr="00734AB6">
        <w:rPr>
          <w:b/>
          <w:color w:val="auto"/>
          <w:sz w:val="22"/>
          <w:szCs w:val="22"/>
        </w:rPr>
        <w:tab/>
        <w:t>Methods</w:t>
      </w:r>
      <w:bookmarkEnd w:id="55"/>
    </w:p>
    <w:p w14:paraId="653F35EB" w14:textId="77777777" w:rsidR="00772E06" w:rsidRPr="00734AB6" w:rsidRDefault="00772E06" w:rsidP="00B471B3">
      <w:pPr>
        <w:pStyle w:val="Heading3"/>
        <w:spacing w:after="240" w:line="360" w:lineRule="auto"/>
        <w:rPr>
          <w:b/>
          <w:color w:val="auto"/>
          <w:sz w:val="22"/>
          <w:szCs w:val="22"/>
        </w:rPr>
      </w:pPr>
      <w:bookmarkStart w:id="56" w:name="_Toc48136347"/>
      <w:r w:rsidRPr="00734AB6">
        <w:rPr>
          <w:b/>
          <w:color w:val="auto"/>
          <w:sz w:val="22"/>
          <w:szCs w:val="22"/>
        </w:rPr>
        <w:t>3.2.1</w:t>
      </w:r>
      <w:r w:rsidRPr="00734AB6">
        <w:rPr>
          <w:b/>
          <w:color w:val="auto"/>
          <w:sz w:val="22"/>
          <w:szCs w:val="22"/>
        </w:rPr>
        <w:tab/>
        <w:t>Respondents</w:t>
      </w:r>
      <w:bookmarkEnd w:id="56"/>
    </w:p>
    <w:p w14:paraId="45047667" w14:textId="6270FF58"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A convenience sample of respondents was recruited through the online forums </w:t>
      </w:r>
      <w:proofErr w:type="spellStart"/>
      <w:r w:rsidRPr="00734AB6">
        <w:rPr>
          <w:rFonts w:asciiTheme="majorHAnsi" w:eastAsia="Calibri" w:hAnsiTheme="majorHAnsi" w:cs="Calibri"/>
        </w:rPr>
        <w:t>Bluelight</w:t>
      </w:r>
      <w:proofErr w:type="spellEnd"/>
      <w:r w:rsidRPr="00734AB6">
        <w:rPr>
          <w:rFonts w:asciiTheme="majorHAnsi" w:eastAsia="Calibri" w:hAnsiTheme="majorHAnsi" w:cs="Calibri"/>
        </w:rPr>
        <w:t xml:space="preserve"> (</w:t>
      </w:r>
      <w:hyperlink r:id="rId18" w:history="1">
        <w:r w:rsidRPr="00734AB6">
          <w:rPr>
            <w:rStyle w:val="Hyperlink"/>
            <w:rFonts w:asciiTheme="majorHAnsi" w:eastAsia="Calibri" w:hAnsiTheme="majorHAnsi" w:cs="Calibri"/>
          </w:rPr>
          <w:t>https://www.bluelight.org</w:t>
        </w:r>
      </w:hyperlink>
      <w:r w:rsidRPr="00734AB6">
        <w:rPr>
          <w:rFonts w:asciiTheme="majorHAnsi" w:eastAsia="Calibri" w:hAnsiTheme="majorHAnsi" w:cs="Calibri"/>
        </w:rPr>
        <w:t>) and Reddit (</w:t>
      </w:r>
      <w:hyperlink r:id="rId19" w:history="1">
        <w:r w:rsidRPr="00734AB6">
          <w:rPr>
            <w:rStyle w:val="Hyperlink"/>
            <w:rFonts w:asciiTheme="majorHAnsi" w:eastAsia="Calibri" w:hAnsiTheme="majorHAnsi" w:cs="Calibri"/>
          </w:rPr>
          <w:t>https://www.reddit.com</w:t>
        </w:r>
      </w:hyperlink>
      <w:r w:rsidRPr="00734AB6">
        <w:rPr>
          <w:rFonts w:asciiTheme="majorHAnsi" w:eastAsia="Calibri" w:hAnsiTheme="majorHAnsi" w:cs="Calibri"/>
        </w:rPr>
        <w:t>). The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which were </w:t>
      </w:r>
      <w:r w:rsidRPr="00734AB6">
        <w:rPr>
          <w:rFonts w:asciiTheme="majorHAnsi" w:eastAsia="Calibri" w:hAnsiTheme="majorHAnsi" w:cs="Calibri"/>
        </w:rPr>
        <w:lastRenderedPageBreak/>
        <w:t xml:space="preserve">selected for Study 1 were selected again for consistency (see Appendix </w:t>
      </w:r>
      <w:r w:rsidR="006B4173" w:rsidRPr="00734AB6">
        <w:rPr>
          <w:rFonts w:asciiTheme="majorHAnsi" w:eastAsia="Calibri" w:hAnsiTheme="majorHAnsi" w:cs="Calibri"/>
        </w:rPr>
        <w:t>A(xii)</w:t>
      </w:r>
      <w:r w:rsidRPr="00734AB6">
        <w:rPr>
          <w:rFonts w:asciiTheme="majorHAnsi" w:eastAsia="Calibri" w:hAnsiTheme="majorHAnsi" w:cs="Calibri"/>
        </w:rPr>
        <w:t xml:space="preserve"> for details). In addition to these, three further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were selected for the recruitment of control participants, these were r/</w:t>
      </w:r>
      <w:proofErr w:type="spellStart"/>
      <w:r w:rsidRPr="00734AB6">
        <w:rPr>
          <w:rFonts w:asciiTheme="majorHAnsi" w:eastAsia="Calibri" w:hAnsiTheme="majorHAnsi" w:cs="Calibri"/>
        </w:rPr>
        <w:t>SampleSize</w:t>
      </w:r>
      <w:proofErr w:type="spellEnd"/>
      <w:r w:rsidRPr="00734AB6">
        <w:rPr>
          <w:rFonts w:asciiTheme="majorHAnsi" w:eastAsia="Calibri" w:hAnsiTheme="majorHAnsi" w:cs="Calibri"/>
        </w:rPr>
        <w:t>, r/</w:t>
      </w:r>
      <w:proofErr w:type="spellStart"/>
      <w:r w:rsidRPr="00734AB6">
        <w:rPr>
          <w:rFonts w:asciiTheme="majorHAnsi" w:eastAsia="Calibri" w:hAnsiTheme="majorHAnsi" w:cs="Calibri"/>
        </w:rPr>
        <w:t>GetSmarter</w:t>
      </w:r>
      <w:proofErr w:type="spellEnd"/>
      <w:r w:rsidRPr="00734AB6">
        <w:rPr>
          <w:rFonts w:asciiTheme="majorHAnsi" w:eastAsia="Calibri" w:hAnsiTheme="majorHAnsi" w:cs="Calibri"/>
        </w:rPr>
        <w:t xml:space="preserve"> and r/motivation. The first, r/</w:t>
      </w:r>
      <w:proofErr w:type="spellStart"/>
      <w:r w:rsidRPr="00734AB6">
        <w:rPr>
          <w:rFonts w:asciiTheme="majorHAnsi" w:eastAsia="Calibri" w:hAnsiTheme="majorHAnsi" w:cs="Calibri"/>
        </w:rPr>
        <w:t>SampleSize</w:t>
      </w:r>
      <w:proofErr w:type="spellEnd"/>
      <w:r w:rsidRPr="00734AB6">
        <w:rPr>
          <w:rFonts w:asciiTheme="majorHAnsi" w:eastAsia="Calibri" w:hAnsiTheme="majorHAnsi" w:cs="Calibri"/>
        </w:rPr>
        <w:t xml:space="preserve"> is a platform for researchers to post online surveys regardless of the topic. The remaining two, r/</w:t>
      </w:r>
      <w:proofErr w:type="spellStart"/>
      <w:r w:rsidRPr="00734AB6">
        <w:rPr>
          <w:rFonts w:asciiTheme="majorHAnsi" w:eastAsia="Calibri" w:hAnsiTheme="majorHAnsi" w:cs="Calibri"/>
        </w:rPr>
        <w:t>GetSmarter</w:t>
      </w:r>
      <w:proofErr w:type="spellEnd"/>
      <w:r w:rsidRPr="00734AB6">
        <w:rPr>
          <w:rFonts w:asciiTheme="majorHAnsi" w:eastAsia="Calibri" w:hAnsiTheme="majorHAnsi" w:cs="Calibri"/>
        </w:rPr>
        <w:t xml:space="preserve"> and r/motivation are devoted to the topics of improving memory and brain health and inspiration and motivation respectively. These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were chosen as they attract individuals who are interested in learning and the drive to accomplish but may not do this through the use of CEDs. They thus reflect a similar kind of respondent to the other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but represent individuals who are less likely to take CEDs. As with Study 1, these respondents were recruited by posting an advertisement with a link to the survey on all of the forum sites. No reward was offered for their participation. The survey was conducted between February 11</w:t>
      </w:r>
      <w:r w:rsidRPr="00734AB6">
        <w:rPr>
          <w:rFonts w:asciiTheme="majorHAnsi" w:eastAsia="Calibri" w:hAnsiTheme="majorHAnsi" w:cs="Calibri"/>
          <w:vertAlign w:val="superscript"/>
        </w:rPr>
        <w:t>th</w:t>
      </w:r>
      <w:r w:rsidRPr="00734AB6">
        <w:rPr>
          <w:rFonts w:asciiTheme="majorHAnsi" w:eastAsia="Calibri" w:hAnsiTheme="majorHAnsi" w:cs="Calibri"/>
        </w:rPr>
        <w:t xml:space="preserve"> 2018 and June 2</w:t>
      </w:r>
      <w:r w:rsidRPr="00734AB6">
        <w:rPr>
          <w:rFonts w:asciiTheme="majorHAnsi" w:eastAsia="Calibri" w:hAnsiTheme="majorHAnsi" w:cs="Calibri"/>
          <w:vertAlign w:val="superscript"/>
        </w:rPr>
        <w:t>nd</w:t>
      </w:r>
      <w:r w:rsidRPr="00734AB6">
        <w:rPr>
          <w:rFonts w:asciiTheme="majorHAnsi" w:eastAsia="Calibri" w:hAnsiTheme="majorHAnsi" w:cs="Calibri"/>
        </w:rPr>
        <w:t xml:space="preserve"> 2018 and, following preliminary analysis, further control participants were recruited between October 4</w:t>
      </w:r>
      <w:r w:rsidRPr="00734AB6">
        <w:rPr>
          <w:rFonts w:asciiTheme="majorHAnsi" w:eastAsia="Calibri" w:hAnsiTheme="majorHAnsi" w:cs="Calibri"/>
          <w:vertAlign w:val="superscript"/>
        </w:rPr>
        <w:t>th</w:t>
      </w:r>
      <w:r w:rsidRPr="00734AB6">
        <w:rPr>
          <w:rFonts w:asciiTheme="majorHAnsi" w:eastAsia="Calibri" w:hAnsiTheme="majorHAnsi" w:cs="Calibri"/>
        </w:rPr>
        <w:t xml:space="preserve"> 2018 and November 17</w:t>
      </w:r>
      <w:r w:rsidRPr="00734AB6">
        <w:rPr>
          <w:rFonts w:asciiTheme="majorHAnsi" w:eastAsia="Calibri" w:hAnsiTheme="majorHAnsi" w:cs="Calibri"/>
          <w:vertAlign w:val="superscript"/>
        </w:rPr>
        <w:t>th</w:t>
      </w:r>
      <w:r w:rsidRPr="00734AB6">
        <w:rPr>
          <w:rFonts w:asciiTheme="majorHAnsi" w:eastAsia="Calibri" w:hAnsiTheme="majorHAnsi" w:cs="Calibri"/>
        </w:rPr>
        <w:t xml:space="preserve"> 2018. Respondents included in the study had reported taking either modafinil </w:t>
      </w:r>
      <w:r w:rsidR="00614871" w:rsidRPr="00734AB6">
        <w:rPr>
          <w:rFonts w:asciiTheme="majorHAnsi" w:eastAsia="Calibri" w:hAnsiTheme="majorHAnsi" w:cs="Calibri"/>
        </w:rPr>
        <w:t xml:space="preserve">and/or </w:t>
      </w:r>
      <w:r w:rsidRPr="00734AB6">
        <w:rPr>
          <w:rFonts w:asciiTheme="majorHAnsi" w:eastAsia="Calibri" w:hAnsiTheme="majorHAnsi" w:cs="Calibri"/>
        </w:rPr>
        <w:t>methylphenidate or, in the case of the control group, reported never having taken either modafinil or methylphenidate. Anyone stating that they were under the age of 18 and/or under the influence of a psychoactive drug at the time of commencing the survey was excluded from the study.</w:t>
      </w:r>
    </w:p>
    <w:p w14:paraId="573F14D3" w14:textId="77777777" w:rsidR="00772E06" w:rsidRPr="00734AB6" w:rsidRDefault="00772E06" w:rsidP="0099584D">
      <w:pPr>
        <w:spacing w:line="360" w:lineRule="auto"/>
        <w:ind w:firstLine="709"/>
        <w:rPr>
          <w:rFonts w:asciiTheme="majorHAnsi" w:eastAsia="Calibri" w:hAnsiTheme="majorHAnsi" w:cs="Calibri"/>
        </w:rPr>
      </w:pPr>
    </w:p>
    <w:p w14:paraId="2A0EC077" w14:textId="77777777" w:rsidR="00772E06" w:rsidRPr="00734AB6" w:rsidRDefault="00772E06" w:rsidP="00B471B3">
      <w:pPr>
        <w:pStyle w:val="Heading3"/>
        <w:spacing w:after="240" w:line="360" w:lineRule="auto"/>
        <w:rPr>
          <w:b/>
          <w:color w:val="auto"/>
          <w:sz w:val="22"/>
          <w:szCs w:val="22"/>
        </w:rPr>
      </w:pPr>
      <w:bookmarkStart w:id="57" w:name="_Toc48136348"/>
      <w:r w:rsidRPr="00734AB6">
        <w:rPr>
          <w:b/>
          <w:color w:val="auto"/>
          <w:sz w:val="22"/>
          <w:szCs w:val="22"/>
        </w:rPr>
        <w:t>3.2.2</w:t>
      </w:r>
      <w:r w:rsidRPr="00734AB6">
        <w:rPr>
          <w:b/>
          <w:color w:val="auto"/>
          <w:sz w:val="22"/>
          <w:szCs w:val="22"/>
        </w:rPr>
        <w:tab/>
        <w:t>Materials</w:t>
      </w:r>
      <w:bookmarkEnd w:id="57"/>
    </w:p>
    <w:p w14:paraId="12FA5898" w14:textId="77777777" w:rsidR="00772E06" w:rsidRPr="00734AB6" w:rsidRDefault="00772E06" w:rsidP="0099584D">
      <w:pPr>
        <w:spacing w:line="360" w:lineRule="auto"/>
        <w:ind w:firstLine="851"/>
        <w:rPr>
          <w:rFonts w:asciiTheme="majorHAnsi" w:eastAsia="Calibri" w:hAnsiTheme="majorHAnsi" w:cs="Calibri"/>
        </w:rPr>
      </w:pPr>
      <w:r w:rsidRPr="00734AB6">
        <w:rPr>
          <w:rFonts w:asciiTheme="majorHAnsi" w:eastAsia="Calibri" w:hAnsiTheme="majorHAnsi" w:cs="Calibri"/>
        </w:rPr>
        <w:t xml:space="preserve">The survey was constructed to answer questions raised by Study 1 and focus on the self-reported cognitive performance of people who report taking CEDs. </w:t>
      </w:r>
      <w:proofErr w:type="spellStart"/>
      <w:r w:rsidRPr="00734AB6">
        <w:rPr>
          <w:rFonts w:asciiTheme="majorHAnsi" w:eastAsia="Calibri" w:hAnsiTheme="majorHAnsi" w:cs="Calibri"/>
        </w:rPr>
        <w:t>Qualtrics</w:t>
      </w:r>
      <w:r w:rsidRPr="00734AB6">
        <w:rPr>
          <w:rFonts w:asciiTheme="majorHAnsi" w:eastAsia="Calibri" w:hAnsiTheme="majorHAnsi" w:cs="Calibri"/>
          <w:vertAlign w:val="superscript"/>
        </w:rPr>
        <w:t>XM</w:t>
      </w:r>
      <w:proofErr w:type="spellEnd"/>
      <w:r w:rsidRPr="00734AB6">
        <w:rPr>
          <w:rFonts w:asciiTheme="majorHAnsi" w:eastAsia="Calibri" w:hAnsiTheme="majorHAnsi" w:cs="Calibri"/>
        </w:rPr>
        <w:t xml:space="preserve"> survey software was used to create the online survey and feedback was provided by 107 respondents. This resulted in the inclusion of a wider range recreational drugs for the recreational drugs questions. The presentation of an information sheet was followed by a consent form which required each statement to be clicked on to indicate informed consent. The questionnaire, which was divided into a number of sections (detailed below), then commenced and concluded with a debriefing page and the option to exit and submit the questionnaire or exit without submitting. In total, 99 questions were presented (although, depending on their responses, respondents were not necessarily required to answer every question). The estimated response time therefore varied from eight minutes to 30 minutes, depending on the respondents’ extent of knowledge and experience of use of the drugs.</w:t>
      </w:r>
    </w:p>
    <w:p w14:paraId="29257E03" w14:textId="77777777" w:rsidR="00772E06" w:rsidRPr="00734AB6" w:rsidRDefault="00772E06" w:rsidP="0099584D">
      <w:pPr>
        <w:spacing w:line="360" w:lineRule="auto"/>
        <w:ind w:firstLine="851"/>
        <w:rPr>
          <w:rFonts w:asciiTheme="majorHAnsi" w:eastAsia="Calibri" w:hAnsiTheme="majorHAnsi" w:cs="Calibri"/>
        </w:rPr>
      </w:pPr>
    </w:p>
    <w:p w14:paraId="1E5FF4CF" w14:textId="77777777" w:rsidR="00772E06" w:rsidRPr="00734AB6" w:rsidRDefault="00772E06" w:rsidP="00B471B3">
      <w:pPr>
        <w:pStyle w:val="Heading3"/>
        <w:spacing w:after="240" w:line="360" w:lineRule="auto"/>
        <w:rPr>
          <w:b/>
          <w:color w:val="auto"/>
          <w:sz w:val="22"/>
          <w:szCs w:val="22"/>
        </w:rPr>
      </w:pPr>
      <w:bookmarkStart w:id="58" w:name="_Toc48136349"/>
      <w:r w:rsidRPr="00734AB6">
        <w:rPr>
          <w:b/>
          <w:color w:val="auto"/>
          <w:sz w:val="22"/>
          <w:szCs w:val="22"/>
        </w:rPr>
        <w:lastRenderedPageBreak/>
        <w:t>3.2.3</w:t>
      </w:r>
      <w:r w:rsidRPr="00734AB6">
        <w:rPr>
          <w:b/>
          <w:color w:val="auto"/>
          <w:sz w:val="22"/>
          <w:szCs w:val="22"/>
        </w:rPr>
        <w:tab/>
        <w:t>Demographics</w:t>
      </w:r>
      <w:bookmarkEnd w:id="58"/>
    </w:p>
    <w:p w14:paraId="623F7A1F" w14:textId="16ED4DB4"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In order to </w:t>
      </w:r>
      <w:r w:rsidR="008628A3" w:rsidRPr="00734AB6">
        <w:rPr>
          <w:rFonts w:asciiTheme="majorHAnsi" w:eastAsia="Calibri" w:hAnsiTheme="majorHAnsi" w:cs="Calibri"/>
        </w:rPr>
        <w:t xml:space="preserve">ensure </w:t>
      </w:r>
      <w:r w:rsidRPr="00734AB6">
        <w:rPr>
          <w:rFonts w:asciiTheme="majorHAnsi" w:eastAsia="Calibri" w:hAnsiTheme="majorHAnsi" w:cs="Calibri"/>
        </w:rPr>
        <w:t xml:space="preserve">consistency with Study 1, demographic information was collected. In addition to the questions asked in Study 1 which covered age, </w:t>
      </w:r>
      <w:r w:rsidR="00F134F8">
        <w:rPr>
          <w:rFonts w:asciiTheme="majorHAnsi" w:eastAsia="Calibri" w:hAnsiTheme="majorHAnsi" w:cs="Calibri"/>
        </w:rPr>
        <w:t>gender</w:t>
      </w:r>
      <w:r w:rsidRPr="00734AB6">
        <w:rPr>
          <w:rFonts w:asciiTheme="majorHAnsi" w:eastAsia="Calibri" w:hAnsiTheme="majorHAnsi" w:cs="Calibri"/>
        </w:rPr>
        <w:t xml:space="preserve">, nationality, education and employment details, a question asking whether respondents were </w:t>
      </w:r>
      <w:r w:rsidR="00873A3B" w:rsidRPr="00734AB6">
        <w:rPr>
          <w:rFonts w:asciiTheme="majorHAnsi" w:eastAsia="Calibri" w:hAnsiTheme="majorHAnsi" w:cs="Calibri"/>
        </w:rPr>
        <w:t xml:space="preserve">currently </w:t>
      </w:r>
      <w:r w:rsidRPr="00734AB6">
        <w:rPr>
          <w:rFonts w:asciiTheme="majorHAnsi" w:eastAsia="Calibri" w:hAnsiTheme="majorHAnsi" w:cs="Calibri"/>
        </w:rPr>
        <w:t>engaged in study was presented, offering a broader range of responses to include vocational, continuing professional development and ‘high school/ A Level’ in addition to university degrees.</w:t>
      </w:r>
    </w:p>
    <w:p w14:paraId="383CD7B2" w14:textId="77777777" w:rsidR="00772E06" w:rsidRPr="00734AB6" w:rsidRDefault="00772E06" w:rsidP="0099584D">
      <w:pPr>
        <w:spacing w:line="360" w:lineRule="auto"/>
        <w:ind w:firstLine="709"/>
        <w:rPr>
          <w:rFonts w:asciiTheme="majorHAnsi" w:eastAsia="Calibri" w:hAnsiTheme="majorHAnsi" w:cs="Calibri"/>
        </w:rPr>
      </w:pPr>
    </w:p>
    <w:p w14:paraId="112B98BD" w14:textId="77777777" w:rsidR="00772E06" w:rsidRPr="00734AB6" w:rsidRDefault="00772E06" w:rsidP="00B471B3">
      <w:pPr>
        <w:pStyle w:val="Heading3"/>
        <w:spacing w:after="240" w:line="360" w:lineRule="auto"/>
        <w:rPr>
          <w:b/>
          <w:color w:val="auto"/>
          <w:sz w:val="22"/>
          <w:szCs w:val="22"/>
        </w:rPr>
      </w:pPr>
      <w:bookmarkStart w:id="59" w:name="_Toc48136350"/>
      <w:r w:rsidRPr="00734AB6">
        <w:rPr>
          <w:b/>
          <w:color w:val="auto"/>
          <w:sz w:val="22"/>
          <w:szCs w:val="22"/>
        </w:rPr>
        <w:t>3.2.4</w:t>
      </w:r>
      <w:r w:rsidRPr="00734AB6">
        <w:rPr>
          <w:b/>
          <w:color w:val="auto"/>
          <w:sz w:val="22"/>
          <w:szCs w:val="22"/>
        </w:rPr>
        <w:tab/>
        <w:t>Psychiatric health</w:t>
      </w:r>
      <w:bookmarkEnd w:id="59"/>
    </w:p>
    <w:p w14:paraId="508F52AA" w14:textId="77777777"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This section consisted of six questions, such as “Have you ever been diagnosed with a psychiatric condition?” and “What was the diagnosis?”. A list of 24 psychiatric conditions taken from the Diagnostic and Statistical Manual of Mental Disorders (American Psychiatric Association, 2013) was provided and ‘other’, allowing respondents to add any diagnosis not provided in the list. Further questions relating to prescribed medications were also provided along with the question “Have you ever been treated for a drug or alcohol problem?”.</w:t>
      </w:r>
    </w:p>
    <w:p w14:paraId="256332F4" w14:textId="77777777" w:rsidR="00772E06" w:rsidRPr="00734AB6" w:rsidRDefault="00772E06" w:rsidP="0099584D">
      <w:pPr>
        <w:spacing w:line="360" w:lineRule="auto"/>
        <w:ind w:firstLine="709"/>
        <w:rPr>
          <w:rFonts w:asciiTheme="majorHAnsi" w:eastAsia="Calibri" w:hAnsiTheme="majorHAnsi" w:cs="Calibri"/>
        </w:rPr>
      </w:pPr>
    </w:p>
    <w:p w14:paraId="69A68365" w14:textId="77777777" w:rsidR="00772E06" w:rsidRPr="00734AB6" w:rsidRDefault="00772E06" w:rsidP="00B471B3">
      <w:pPr>
        <w:pStyle w:val="Heading3"/>
        <w:spacing w:after="240" w:line="360" w:lineRule="auto"/>
        <w:rPr>
          <w:b/>
          <w:color w:val="auto"/>
          <w:sz w:val="22"/>
          <w:szCs w:val="22"/>
        </w:rPr>
      </w:pPr>
      <w:bookmarkStart w:id="60" w:name="_Toc48136351"/>
      <w:r w:rsidRPr="00734AB6">
        <w:rPr>
          <w:b/>
          <w:color w:val="auto"/>
          <w:sz w:val="22"/>
          <w:szCs w:val="22"/>
        </w:rPr>
        <w:t>3.2.5</w:t>
      </w:r>
      <w:r w:rsidRPr="00734AB6">
        <w:rPr>
          <w:b/>
          <w:color w:val="auto"/>
          <w:sz w:val="22"/>
          <w:szCs w:val="22"/>
        </w:rPr>
        <w:tab/>
        <w:t>Cannabis, Nicotine and Alcohol use</w:t>
      </w:r>
      <w:bookmarkEnd w:id="60"/>
    </w:p>
    <w:p w14:paraId="340BA1D8" w14:textId="2A3C2326"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This section comprised three sub-sections relating to cannabis, nicotine and alcohol use respectively. Seven </w:t>
      </w:r>
      <w:r w:rsidR="00873A3B" w:rsidRPr="00734AB6">
        <w:rPr>
          <w:rFonts w:asciiTheme="majorHAnsi" w:eastAsia="Calibri" w:hAnsiTheme="majorHAnsi" w:cs="Calibri"/>
        </w:rPr>
        <w:t>questions relating</w:t>
      </w:r>
      <w:r w:rsidRPr="00734AB6">
        <w:rPr>
          <w:rFonts w:asciiTheme="majorHAnsi" w:eastAsia="Calibri" w:hAnsiTheme="majorHAnsi" w:cs="Calibri"/>
        </w:rPr>
        <w:t xml:space="preserve"> to cannabis use were included, covering lifetime use of cannabis, whether respondents had a prescription for medicinal cannabis, their age of first use, frequency of use, type of cannabis used and method of administration. In the nicotine section, two questions were provided, covering frequency of use by type of product and length of time since last use. In the alcohol section, the Alcohol Use Disorders Identification Test (AUDIT; </w:t>
      </w:r>
      <w:proofErr w:type="spellStart"/>
      <w:r w:rsidRPr="00734AB6">
        <w:rPr>
          <w:rFonts w:asciiTheme="majorHAnsi" w:eastAsia="Calibri" w:hAnsiTheme="majorHAnsi" w:cs="Calibri"/>
        </w:rPr>
        <w:t>Babor</w:t>
      </w:r>
      <w:proofErr w:type="spellEnd"/>
      <w:r w:rsidRPr="00734AB6">
        <w:rPr>
          <w:rFonts w:asciiTheme="majorHAnsi" w:eastAsia="Calibri" w:hAnsiTheme="majorHAnsi" w:cs="Calibri"/>
        </w:rPr>
        <w:t xml:space="preserve">, de la Fuente, Saunders &amp; Grant, </w:t>
      </w:r>
      <w:r w:rsidR="00F22B8F" w:rsidRPr="00734AB6">
        <w:rPr>
          <w:rFonts w:asciiTheme="majorHAnsi" w:eastAsia="Calibri" w:hAnsiTheme="majorHAnsi" w:cs="Calibri"/>
        </w:rPr>
        <w:t>1992</w:t>
      </w:r>
      <w:r w:rsidRPr="00734AB6">
        <w:rPr>
          <w:rFonts w:asciiTheme="majorHAnsi" w:eastAsia="Calibri" w:hAnsiTheme="majorHAnsi" w:cs="Calibri"/>
        </w:rPr>
        <w:t>) was used. The AUDIT is a 10-item questionnaire created by the World Health Organisation (WHO) as a brief screening tool to identify individuals with hazardous and harmful alcohol use behaviour (</w:t>
      </w:r>
      <w:proofErr w:type="spellStart"/>
      <w:r w:rsidRPr="00734AB6">
        <w:rPr>
          <w:rFonts w:asciiTheme="majorHAnsi" w:eastAsia="Calibri" w:hAnsiTheme="majorHAnsi" w:cs="Calibri"/>
        </w:rPr>
        <w:t>Babor</w:t>
      </w:r>
      <w:proofErr w:type="spellEnd"/>
      <w:r w:rsidRPr="00734AB6">
        <w:rPr>
          <w:rFonts w:asciiTheme="majorHAnsi" w:eastAsia="Calibri" w:hAnsiTheme="majorHAnsi" w:cs="Calibri"/>
        </w:rPr>
        <w:t xml:space="preserve">, Higgins-Biddle, </w:t>
      </w:r>
      <w:proofErr w:type="spellStart"/>
      <w:r w:rsidRPr="00734AB6">
        <w:rPr>
          <w:rFonts w:asciiTheme="majorHAnsi" w:eastAsia="Calibri" w:hAnsiTheme="majorHAnsi" w:cs="Calibri"/>
        </w:rPr>
        <w:t>Saunder</w:t>
      </w:r>
      <w:proofErr w:type="spellEnd"/>
      <w:r w:rsidRPr="00734AB6">
        <w:rPr>
          <w:rFonts w:asciiTheme="majorHAnsi" w:eastAsia="Calibri" w:hAnsiTheme="majorHAnsi" w:cs="Calibri"/>
        </w:rPr>
        <w:t xml:space="preserve"> &amp; Monteiro, 2001). Questions are presented with a five-point Likert scale response and total scores range from zero to 40. Scores of between eight and 15 represent a medium level of self-reported alcohol problems and scores above 16 represent a high level of alcohol problems (</w:t>
      </w:r>
      <w:proofErr w:type="spellStart"/>
      <w:r w:rsidRPr="00734AB6">
        <w:rPr>
          <w:rFonts w:asciiTheme="majorHAnsi" w:eastAsia="Calibri" w:hAnsiTheme="majorHAnsi" w:cs="Calibri"/>
        </w:rPr>
        <w:t>Babor</w:t>
      </w:r>
      <w:proofErr w:type="spellEnd"/>
      <w:r w:rsidRPr="00734AB6">
        <w:rPr>
          <w:rFonts w:asciiTheme="majorHAnsi" w:eastAsia="Calibri" w:hAnsiTheme="majorHAnsi" w:cs="Calibri"/>
        </w:rPr>
        <w:t xml:space="preserve"> et al., 2001).</w:t>
      </w:r>
    </w:p>
    <w:p w14:paraId="3D4CA161" w14:textId="77777777" w:rsidR="00772E06" w:rsidRPr="00734AB6" w:rsidRDefault="00772E06" w:rsidP="0099584D">
      <w:pPr>
        <w:spacing w:line="360" w:lineRule="auto"/>
        <w:ind w:firstLine="709"/>
        <w:rPr>
          <w:rFonts w:asciiTheme="majorHAnsi" w:eastAsia="Calibri" w:hAnsiTheme="majorHAnsi" w:cs="Calibri"/>
        </w:rPr>
      </w:pPr>
    </w:p>
    <w:p w14:paraId="3FD7CBC6" w14:textId="77777777" w:rsidR="00772E06" w:rsidRPr="00734AB6" w:rsidRDefault="00772E06" w:rsidP="00B471B3">
      <w:pPr>
        <w:pStyle w:val="Heading3"/>
        <w:spacing w:after="240" w:line="360" w:lineRule="auto"/>
        <w:rPr>
          <w:b/>
          <w:color w:val="auto"/>
          <w:sz w:val="22"/>
          <w:szCs w:val="22"/>
        </w:rPr>
      </w:pPr>
      <w:bookmarkStart w:id="61" w:name="_Toc48136352"/>
      <w:r w:rsidRPr="00734AB6">
        <w:rPr>
          <w:b/>
          <w:color w:val="auto"/>
          <w:sz w:val="22"/>
          <w:szCs w:val="22"/>
        </w:rPr>
        <w:t>3.2.6</w:t>
      </w:r>
      <w:r w:rsidRPr="00734AB6">
        <w:rPr>
          <w:b/>
          <w:color w:val="auto"/>
          <w:sz w:val="22"/>
          <w:szCs w:val="22"/>
        </w:rPr>
        <w:tab/>
        <w:t>Usage of other Recreational Drugs</w:t>
      </w:r>
      <w:bookmarkEnd w:id="61"/>
    </w:p>
    <w:p w14:paraId="54B133FC" w14:textId="4044F04C"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Two questions comprised this section. The first question asked “How frequently in the past six months have you taken this drug”. This question was designed to identify what other </w:t>
      </w:r>
      <w:r w:rsidRPr="00734AB6">
        <w:rPr>
          <w:rFonts w:asciiTheme="majorHAnsi" w:hAnsiTheme="majorHAnsi"/>
        </w:rPr>
        <w:lastRenderedPageBreak/>
        <w:t xml:space="preserve">drugs respondents are taking recreationally or without a prescription. The second question asked “How long has it been since you last used this drug?” and was designed to provide finer details about the use of these drugs in respondents who do not use these drugs frequently. A list of 28 recreational drugs was provided (see Appendix </w:t>
      </w:r>
      <w:r w:rsidR="006B4173" w:rsidRPr="00734AB6">
        <w:rPr>
          <w:rFonts w:asciiTheme="majorHAnsi" w:hAnsiTheme="majorHAnsi"/>
        </w:rPr>
        <w:t>B(</w:t>
      </w:r>
      <w:proofErr w:type="spellStart"/>
      <w:r w:rsidR="006B4173" w:rsidRPr="00734AB6">
        <w:rPr>
          <w:rFonts w:asciiTheme="majorHAnsi" w:hAnsiTheme="majorHAnsi"/>
        </w:rPr>
        <w:t>i</w:t>
      </w:r>
      <w:proofErr w:type="spellEnd"/>
      <w:r w:rsidR="006B4173" w:rsidRPr="00734AB6">
        <w:rPr>
          <w:rFonts w:asciiTheme="majorHAnsi" w:hAnsiTheme="majorHAnsi"/>
        </w:rPr>
        <w:t>)</w:t>
      </w:r>
      <w:r w:rsidR="00087544" w:rsidRPr="00734AB6">
        <w:rPr>
          <w:rFonts w:asciiTheme="majorHAnsi" w:hAnsiTheme="majorHAnsi"/>
        </w:rPr>
        <w:t xml:space="preserve"> for the questionnaire</w:t>
      </w:r>
      <w:r w:rsidRPr="00734AB6">
        <w:rPr>
          <w:rFonts w:asciiTheme="majorHAnsi" w:hAnsiTheme="majorHAnsi"/>
        </w:rPr>
        <w:t xml:space="preserve">). This list was first created with known drugs included but, following feedback from the initial 107 respondents (not included in the study), additional drugs were included in the list. </w:t>
      </w:r>
    </w:p>
    <w:p w14:paraId="2D242835" w14:textId="77777777" w:rsidR="00772E06" w:rsidRPr="00734AB6" w:rsidRDefault="00772E06" w:rsidP="0099584D">
      <w:pPr>
        <w:spacing w:line="360" w:lineRule="auto"/>
        <w:ind w:firstLine="709"/>
        <w:rPr>
          <w:rFonts w:asciiTheme="majorHAnsi" w:hAnsiTheme="majorHAnsi"/>
        </w:rPr>
      </w:pPr>
    </w:p>
    <w:p w14:paraId="5F27550A" w14:textId="77777777" w:rsidR="00772E06" w:rsidRPr="00734AB6" w:rsidRDefault="00772E06" w:rsidP="00B471B3">
      <w:pPr>
        <w:pStyle w:val="Heading3"/>
        <w:spacing w:after="240" w:line="360" w:lineRule="auto"/>
        <w:rPr>
          <w:b/>
          <w:color w:val="auto"/>
          <w:sz w:val="22"/>
          <w:szCs w:val="22"/>
        </w:rPr>
      </w:pPr>
      <w:bookmarkStart w:id="62" w:name="_Toc48136353"/>
      <w:r w:rsidRPr="00734AB6">
        <w:rPr>
          <w:b/>
          <w:color w:val="auto"/>
          <w:sz w:val="22"/>
          <w:szCs w:val="22"/>
        </w:rPr>
        <w:t>3.2.7</w:t>
      </w:r>
      <w:r w:rsidRPr="00734AB6">
        <w:rPr>
          <w:b/>
          <w:color w:val="auto"/>
          <w:sz w:val="22"/>
          <w:szCs w:val="22"/>
        </w:rPr>
        <w:tab/>
        <w:t>Modafinil and Methylphenidate use</w:t>
      </w:r>
      <w:bookmarkEnd w:id="62"/>
    </w:p>
    <w:p w14:paraId="02F64E08"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These two sections were devoted to modafinil and methylphenidate use. The modafinil section consisted of eight questions and the methylphenidate section consisted of 10 questions. These questions covered lifetime use, age of first use and usual dosage</w:t>
      </w:r>
      <w:r w:rsidRPr="00734AB6">
        <w:rPr>
          <w:rStyle w:val="FootnoteReference"/>
          <w:rFonts w:asciiTheme="majorHAnsi" w:hAnsiTheme="majorHAnsi"/>
        </w:rPr>
        <w:footnoteReference w:id="3"/>
      </w:r>
      <w:r w:rsidRPr="00734AB6">
        <w:rPr>
          <w:rFonts w:asciiTheme="majorHAnsi" w:hAnsiTheme="majorHAnsi"/>
        </w:rPr>
        <w:t>. Maximum and minimum doses were asked for both drugs as well as the usual route of administration of the drug and for methylphenidate a question was also asked about whether immediate-release or extended release formulas were most commonly used.</w:t>
      </w:r>
    </w:p>
    <w:p w14:paraId="3E1C43E0" w14:textId="77777777" w:rsidR="00772E06" w:rsidRPr="00734AB6" w:rsidRDefault="00772E06" w:rsidP="0099584D">
      <w:pPr>
        <w:spacing w:line="360" w:lineRule="auto"/>
        <w:ind w:firstLine="709"/>
        <w:rPr>
          <w:rFonts w:asciiTheme="majorHAnsi" w:hAnsiTheme="majorHAnsi"/>
        </w:rPr>
      </w:pPr>
    </w:p>
    <w:p w14:paraId="5D64C057" w14:textId="77777777" w:rsidR="00772E06" w:rsidRPr="00734AB6" w:rsidRDefault="00772E06" w:rsidP="00B471B3">
      <w:pPr>
        <w:pStyle w:val="Heading3"/>
        <w:spacing w:after="240" w:line="360" w:lineRule="auto"/>
        <w:rPr>
          <w:b/>
          <w:color w:val="auto"/>
          <w:sz w:val="22"/>
          <w:szCs w:val="22"/>
        </w:rPr>
      </w:pPr>
      <w:bookmarkStart w:id="63" w:name="_Toc48136354"/>
      <w:r w:rsidRPr="00734AB6">
        <w:rPr>
          <w:b/>
          <w:color w:val="auto"/>
          <w:sz w:val="22"/>
          <w:szCs w:val="22"/>
        </w:rPr>
        <w:t>3.2.8</w:t>
      </w:r>
      <w:r w:rsidRPr="00734AB6">
        <w:rPr>
          <w:b/>
          <w:color w:val="auto"/>
          <w:sz w:val="22"/>
          <w:szCs w:val="22"/>
        </w:rPr>
        <w:tab/>
        <w:t>Adult ADHD Self Report Scale (ASRS-V1.1)</w:t>
      </w:r>
      <w:bookmarkEnd w:id="63"/>
    </w:p>
    <w:p w14:paraId="7D33C3E3" w14:textId="78548582"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ASRS (</w:t>
      </w:r>
      <w:r w:rsidR="0001095D" w:rsidRPr="00734AB6">
        <w:rPr>
          <w:rFonts w:asciiTheme="majorHAnsi" w:eastAsia="Calibri" w:hAnsiTheme="majorHAnsi" w:cs="Calibri"/>
        </w:rPr>
        <w:t>Kessler et al., 2005</w:t>
      </w:r>
      <w:r w:rsidRPr="00734AB6">
        <w:rPr>
          <w:rFonts w:asciiTheme="majorHAnsi" w:hAnsiTheme="majorHAnsi"/>
        </w:rPr>
        <w:t>) uses a five-point Likert scale response to indicate the frequency of occurrence of symptoms within the past six months with scores from 0 to four (never = 0, rarely = 1, sometimes = 2, often = 3 and very often = 4). A total score is not intended for screening purposes of this scale, rather, each number represents a position, shaded or uns</w:t>
      </w:r>
      <w:r w:rsidR="00AE62EE" w:rsidRPr="00734AB6">
        <w:rPr>
          <w:rFonts w:asciiTheme="majorHAnsi" w:hAnsiTheme="majorHAnsi"/>
        </w:rPr>
        <w:t xml:space="preserve">haded, on a grid (see Appendix </w:t>
      </w:r>
      <w:r w:rsidR="006B4173" w:rsidRPr="00734AB6">
        <w:rPr>
          <w:rFonts w:asciiTheme="majorHAnsi" w:hAnsiTheme="majorHAnsi"/>
        </w:rPr>
        <w:t>B(vii)</w:t>
      </w:r>
      <w:r w:rsidR="00606ADE" w:rsidRPr="00734AB6">
        <w:rPr>
          <w:rFonts w:asciiTheme="majorHAnsi" w:hAnsiTheme="majorHAnsi"/>
        </w:rPr>
        <w:t xml:space="preserve"> for details</w:t>
      </w:r>
      <w:r w:rsidRPr="00734AB6">
        <w:rPr>
          <w:rFonts w:asciiTheme="majorHAnsi" w:hAnsiTheme="majorHAnsi"/>
        </w:rPr>
        <w:t xml:space="preserve">). The paper questionnaire is designed with some of the response boxes shaded and if four or more marks appear in the shaded boxes of items one to six, this indicate symptoms highly consistent with ADHD. Whilst the shaded boxes were not visible to participants in the online survey, analysis was performed on the number of these responses marked. Items one to four and seven to 11, nine items in total, address inattention and all other items address hyperactivity </w:t>
      </w:r>
      <w:r w:rsidR="0001095D" w:rsidRPr="00734AB6">
        <w:rPr>
          <w:rFonts w:asciiTheme="majorHAnsi" w:hAnsiTheme="majorHAnsi"/>
        </w:rPr>
        <w:t>and impulsivity (Kessler et al.</w:t>
      </w:r>
      <w:r w:rsidR="00F05116" w:rsidRPr="00734AB6">
        <w:rPr>
          <w:rFonts w:asciiTheme="majorHAnsi" w:hAnsiTheme="majorHAnsi"/>
        </w:rPr>
        <w:t>, 2005</w:t>
      </w:r>
      <w:r w:rsidRPr="00734AB6">
        <w:rPr>
          <w:rFonts w:asciiTheme="majorHAnsi" w:hAnsiTheme="majorHAnsi"/>
        </w:rPr>
        <w:t>). It is important to state that the purpose of using this scale was not to attempt to diagnose ADHD in respondents and that this may only be done by qualified professionals</w:t>
      </w:r>
      <w:r w:rsidR="00704C13" w:rsidRPr="00734AB6">
        <w:rPr>
          <w:rFonts w:asciiTheme="majorHAnsi" w:hAnsiTheme="majorHAnsi"/>
        </w:rPr>
        <w:t>.</w:t>
      </w:r>
      <w:r w:rsidRPr="00734AB6">
        <w:rPr>
          <w:rFonts w:asciiTheme="majorHAnsi" w:hAnsiTheme="majorHAnsi"/>
        </w:rPr>
        <w:t xml:space="preserve"> </w:t>
      </w:r>
      <w:r w:rsidR="00704C13" w:rsidRPr="00734AB6">
        <w:rPr>
          <w:rFonts w:asciiTheme="majorHAnsi" w:hAnsiTheme="majorHAnsi"/>
        </w:rPr>
        <w:t>I</w:t>
      </w:r>
      <w:r w:rsidRPr="00734AB6">
        <w:rPr>
          <w:rFonts w:asciiTheme="majorHAnsi" w:hAnsiTheme="majorHAnsi"/>
        </w:rPr>
        <w:t>nstead</w:t>
      </w:r>
      <w:r w:rsidR="008B7FAD" w:rsidRPr="00734AB6">
        <w:rPr>
          <w:rFonts w:asciiTheme="majorHAnsi" w:hAnsiTheme="majorHAnsi"/>
        </w:rPr>
        <w:t>,</w:t>
      </w:r>
      <w:r w:rsidRPr="00734AB6">
        <w:rPr>
          <w:rFonts w:asciiTheme="majorHAnsi" w:hAnsiTheme="majorHAnsi"/>
        </w:rPr>
        <w:t xml:space="preserve"> </w:t>
      </w:r>
      <w:r w:rsidR="00704C13" w:rsidRPr="00734AB6">
        <w:rPr>
          <w:rFonts w:asciiTheme="majorHAnsi" w:hAnsiTheme="majorHAnsi"/>
        </w:rPr>
        <w:t>the ASRS</w:t>
      </w:r>
      <w:r w:rsidRPr="00734AB6">
        <w:rPr>
          <w:rFonts w:asciiTheme="majorHAnsi" w:hAnsiTheme="majorHAnsi"/>
        </w:rPr>
        <w:t xml:space="preserve"> was employed </w:t>
      </w:r>
      <w:r w:rsidR="00704C13" w:rsidRPr="00734AB6">
        <w:rPr>
          <w:rFonts w:asciiTheme="majorHAnsi" w:hAnsiTheme="majorHAnsi"/>
        </w:rPr>
        <w:t xml:space="preserve">in the current study </w:t>
      </w:r>
      <w:r w:rsidR="00606ADE" w:rsidRPr="00734AB6">
        <w:rPr>
          <w:rFonts w:asciiTheme="majorHAnsi" w:hAnsiTheme="majorHAnsi"/>
        </w:rPr>
        <w:t xml:space="preserve">simply </w:t>
      </w:r>
      <w:r w:rsidRPr="00734AB6">
        <w:rPr>
          <w:rFonts w:asciiTheme="majorHAnsi" w:hAnsiTheme="majorHAnsi"/>
        </w:rPr>
        <w:t xml:space="preserve">to identify whether, and to what degree, respondents perceived that they had problems with inattention, hyperactivity and impulsivity. </w:t>
      </w:r>
      <w:r w:rsidR="00704C13" w:rsidRPr="00734AB6">
        <w:rPr>
          <w:rFonts w:asciiTheme="majorHAnsi" w:hAnsiTheme="majorHAnsi"/>
        </w:rPr>
        <w:t>The items were presen</w:t>
      </w:r>
      <w:r w:rsidR="00A5612A" w:rsidRPr="00734AB6">
        <w:rPr>
          <w:rFonts w:asciiTheme="majorHAnsi" w:hAnsiTheme="majorHAnsi"/>
        </w:rPr>
        <w:t xml:space="preserve">ted without </w:t>
      </w:r>
      <w:r w:rsidR="009B107C" w:rsidRPr="00734AB6">
        <w:rPr>
          <w:rFonts w:asciiTheme="majorHAnsi" w:hAnsiTheme="majorHAnsi"/>
        </w:rPr>
        <w:t>any indication of what the questionnaire was measuring,</w:t>
      </w:r>
      <w:r w:rsidR="00A5612A" w:rsidRPr="00734AB6">
        <w:rPr>
          <w:rFonts w:asciiTheme="majorHAnsi" w:hAnsiTheme="majorHAnsi"/>
        </w:rPr>
        <w:t xml:space="preserve"> so respondents were </w:t>
      </w:r>
      <w:r w:rsidR="00A5612A" w:rsidRPr="00734AB6">
        <w:rPr>
          <w:rFonts w:asciiTheme="majorHAnsi" w:hAnsiTheme="majorHAnsi"/>
        </w:rPr>
        <w:lastRenderedPageBreak/>
        <w:t xml:space="preserve">unaware that they were completing an ADHD questionnaire. </w:t>
      </w:r>
      <w:r w:rsidRPr="00734AB6">
        <w:rPr>
          <w:rFonts w:asciiTheme="majorHAnsi" w:hAnsiTheme="majorHAnsi"/>
        </w:rPr>
        <w:t xml:space="preserve">The ASRS has been reported to have good test-retest reliability, with </w:t>
      </w:r>
      <w:proofErr w:type="spellStart"/>
      <w:r w:rsidRPr="00734AB6">
        <w:rPr>
          <w:rFonts w:asciiTheme="majorHAnsi" w:hAnsiTheme="majorHAnsi"/>
        </w:rPr>
        <w:t>Chronbach’s</w:t>
      </w:r>
      <w:proofErr w:type="spellEnd"/>
      <w:r w:rsidRPr="00734AB6">
        <w:rPr>
          <w:rFonts w:asciiTheme="majorHAnsi" w:hAnsiTheme="majorHAnsi"/>
        </w:rPr>
        <w:t xml:space="preserve"> alpha of 0.885, </w:t>
      </w:r>
      <w:r w:rsidRPr="00734AB6">
        <w:rPr>
          <w:rFonts w:asciiTheme="majorHAnsi" w:eastAsia="Calibri" w:hAnsiTheme="majorHAnsi" w:cs="Calibri"/>
        </w:rPr>
        <w:t>followed by a two</w:t>
      </w:r>
      <w:r w:rsidR="008B7FAD" w:rsidRPr="00734AB6">
        <w:rPr>
          <w:rFonts w:asciiTheme="majorHAnsi" w:eastAsia="Calibri" w:hAnsiTheme="majorHAnsi" w:cs="Calibri"/>
        </w:rPr>
        <w:t>-</w:t>
      </w:r>
      <w:r w:rsidRPr="00734AB6">
        <w:rPr>
          <w:rFonts w:asciiTheme="majorHAnsi" w:eastAsia="Calibri" w:hAnsiTheme="majorHAnsi" w:cs="Calibri"/>
        </w:rPr>
        <w:t xml:space="preserve">week test-retest reliability </w:t>
      </w:r>
      <w:proofErr w:type="spellStart"/>
      <w:r w:rsidRPr="00734AB6">
        <w:rPr>
          <w:rFonts w:asciiTheme="majorHAnsi" w:eastAsia="Calibri" w:hAnsiTheme="majorHAnsi" w:cs="Calibri"/>
        </w:rPr>
        <w:t>Chronbach’s</w:t>
      </w:r>
      <w:proofErr w:type="spellEnd"/>
      <w:r w:rsidRPr="00734AB6">
        <w:rPr>
          <w:rFonts w:asciiTheme="majorHAnsi" w:eastAsia="Calibri" w:hAnsiTheme="majorHAnsi" w:cs="Calibri"/>
        </w:rPr>
        <w:t xml:space="preserve"> alpha of 0.878, </w:t>
      </w:r>
      <w:r w:rsidRPr="00734AB6">
        <w:rPr>
          <w:rFonts w:asciiTheme="majorHAnsi" w:eastAsia="Calibri" w:hAnsiTheme="majorHAnsi" w:cs="Calibri"/>
          <w:i/>
        </w:rPr>
        <w:t>p</w:t>
      </w:r>
      <w:r w:rsidRPr="00734AB6">
        <w:rPr>
          <w:rFonts w:asciiTheme="majorHAnsi" w:eastAsia="Calibri" w:hAnsiTheme="majorHAnsi" w:cs="Calibri"/>
        </w:rPr>
        <w:t xml:space="preserve"> &lt; .001 (Kim, Lee &amp; </w:t>
      </w:r>
      <w:proofErr w:type="spellStart"/>
      <w:r w:rsidRPr="00734AB6">
        <w:rPr>
          <w:rFonts w:asciiTheme="majorHAnsi" w:eastAsia="Calibri" w:hAnsiTheme="majorHAnsi" w:cs="Calibri"/>
        </w:rPr>
        <w:t>Joung</w:t>
      </w:r>
      <w:proofErr w:type="spellEnd"/>
      <w:r w:rsidRPr="00734AB6">
        <w:rPr>
          <w:rFonts w:asciiTheme="majorHAnsi" w:eastAsia="Calibri" w:hAnsiTheme="majorHAnsi" w:cs="Calibri"/>
        </w:rPr>
        <w:t xml:space="preserve">, 2013). The </w:t>
      </w:r>
      <w:proofErr w:type="spellStart"/>
      <w:r w:rsidRPr="00734AB6">
        <w:rPr>
          <w:rFonts w:asciiTheme="majorHAnsi" w:eastAsia="Calibri" w:hAnsiTheme="majorHAnsi" w:cs="Calibri"/>
        </w:rPr>
        <w:t>Chronbach’s</w:t>
      </w:r>
      <w:proofErr w:type="spellEnd"/>
      <w:r w:rsidRPr="00734AB6">
        <w:rPr>
          <w:rFonts w:asciiTheme="majorHAnsi" w:eastAsia="Calibri" w:hAnsiTheme="majorHAnsi" w:cs="Calibri"/>
        </w:rPr>
        <w:t xml:space="preserve"> alpha for the current study was 0.85.</w:t>
      </w:r>
    </w:p>
    <w:p w14:paraId="45EEC616" w14:textId="77777777" w:rsidR="00772E06" w:rsidRPr="00734AB6" w:rsidRDefault="00772E06" w:rsidP="0099584D">
      <w:pPr>
        <w:spacing w:line="360" w:lineRule="auto"/>
        <w:ind w:firstLine="709"/>
        <w:rPr>
          <w:rFonts w:asciiTheme="majorHAnsi" w:hAnsiTheme="majorHAnsi"/>
        </w:rPr>
      </w:pPr>
    </w:p>
    <w:p w14:paraId="7432261C" w14:textId="77777777" w:rsidR="00772E06" w:rsidRPr="00734AB6" w:rsidRDefault="00772E06" w:rsidP="00B471B3">
      <w:pPr>
        <w:pStyle w:val="Heading3"/>
        <w:spacing w:after="240" w:line="360" w:lineRule="auto"/>
        <w:rPr>
          <w:b/>
          <w:color w:val="auto"/>
          <w:sz w:val="22"/>
          <w:szCs w:val="22"/>
        </w:rPr>
      </w:pPr>
      <w:bookmarkStart w:id="64" w:name="_Toc48136355"/>
      <w:r w:rsidRPr="00734AB6">
        <w:rPr>
          <w:b/>
          <w:color w:val="auto"/>
          <w:sz w:val="22"/>
          <w:szCs w:val="22"/>
        </w:rPr>
        <w:t>3.2.9</w:t>
      </w:r>
      <w:r w:rsidRPr="00734AB6">
        <w:rPr>
          <w:b/>
          <w:color w:val="auto"/>
          <w:sz w:val="22"/>
          <w:szCs w:val="22"/>
        </w:rPr>
        <w:tab/>
        <w:t>Cognitive Failures Questionnaire (CFQ)</w:t>
      </w:r>
      <w:bookmarkEnd w:id="64"/>
    </w:p>
    <w:p w14:paraId="42ED047F" w14:textId="1DBD171F"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The 25-item CFQ (Broadbent et al., 1982) is presented with a five-point Likert scale response with each response scored as ‘very often’ = 4, ‘quite often’ = 3, ‘occasionally’ = 2, ‘very rarely’ = 1 and ‘never’ = 0. Total scores range from 25 to 100, with higher scores indicating higher levels of susceptibility to cognitive slips. The questionnaire has good test-retest reliability. Broadbent et al.’s study reported two groups, one retesting after 21 weeks gave a correlation of </w:t>
      </w:r>
      <w:r w:rsidRPr="00734AB6">
        <w:rPr>
          <w:rFonts w:asciiTheme="majorHAnsi" w:eastAsia="Calibri" w:hAnsiTheme="majorHAnsi" w:cs="Calibri"/>
          <w:i/>
        </w:rPr>
        <w:t>r</w:t>
      </w:r>
      <w:r w:rsidRPr="00734AB6">
        <w:rPr>
          <w:rFonts w:asciiTheme="majorHAnsi" w:eastAsia="Calibri" w:hAnsiTheme="majorHAnsi" w:cs="Calibri"/>
        </w:rPr>
        <w:t xml:space="preserve"> = 0.824 (n = 57) and the other one retesting after 65 weeks gave a correlation of </w:t>
      </w:r>
      <w:r w:rsidRPr="00734AB6">
        <w:rPr>
          <w:rFonts w:asciiTheme="majorHAnsi" w:eastAsia="Calibri" w:hAnsiTheme="majorHAnsi" w:cs="Calibri"/>
          <w:i/>
        </w:rPr>
        <w:t>r</w:t>
      </w:r>
      <w:r w:rsidRPr="00734AB6">
        <w:rPr>
          <w:rFonts w:asciiTheme="majorHAnsi" w:eastAsia="Calibri" w:hAnsiTheme="majorHAnsi" w:cs="Calibri"/>
        </w:rPr>
        <w:t xml:space="preserve"> = 0.803 (n = 32). Additionally, Broadbent et al. reported the results of a sample of 98 women between the ages of 20 and 40 years, with the Coefficient alpha in this case being 0.89, demonstrating good internal consistency. The </w:t>
      </w:r>
      <w:proofErr w:type="spellStart"/>
      <w:r w:rsidRPr="00734AB6">
        <w:rPr>
          <w:rFonts w:asciiTheme="majorHAnsi" w:eastAsia="Calibri" w:hAnsiTheme="majorHAnsi" w:cs="Calibri"/>
        </w:rPr>
        <w:t>Chronbach’s</w:t>
      </w:r>
      <w:proofErr w:type="spellEnd"/>
      <w:r w:rsidRPr="00734AB6">
        <w:rPr>
          <w:rFonts w:asciiTheme="majorHAnsi" w:eastAsia="Calibri" w:hAnsiTheme="majorHAnsi" w:cs="Calibri"/>
        </w:rPr>
        <w:t xml:space="preserve"> alpha for the current study was 0.85.</w:t>
      </w:r>
    </w:p>
    <w:p w14:paraId="19D24D96" w14:textId="77777777" w:rsidR="00772E06" w:rsidRPr="00734AB6" w:rsidRDefault="00772E06" w:rsidP="0099584D">
      <w:pPr>
        <w:spacing w:line="360" w:lineRule="auto"/>
        <w:ind w:firstLine="709"/>
        <w:rPr>
          <w:rFonts w:asciiTheme="majorHAnsi" w:eastAsia="Calibri" w:hAnsiTheme="majorHAnsi" w:cs="Calibri"/>
        </w:rPr>
      </w:pPr>
    </w:p>
    <w:p w14:paraId="33F737FA" w14:textId="77777777" w:rsidR="00772E06" w:rsidRPr="00734AB6" w:rsidRDefault="00772E06" w:rsidP="00B471B3">
      <w:pPr>
        <w:pStyle w:val="Heading3"/>
        <w:spacing w:after="240" w:line="360" w:lineRule="auto"/>
        <w:rPr>
          <w:b/>
          <w:color w:val="auto"/>
          <w:sz w:val="22"/>
          <w:szCs w:val="22"/>
        </w:rPr>
      </w:pPr>
      <w:bookmarkStart w:id="65" w:name="_Toc48136356"/>
      <w:r w:rsidRPr="00734AB6">
        <w:rPr>
          <w:b/>
          <w:color w:val="auto"/>
          <w:sz w:val="22"/>
          <w:szCs w:val="22"/>
        </w:rPr>
        <w:t>3.2.10</w:t>
      </w:r>
      <w:r w:rsidRPr="00734AB6">
        <w:rPr>
          <w:b/>
          <w:color w:val="auto"/>
          <w:sz w:val="22"/>
          <w:szCs w:val="22"/>
        </w:rPr>
        <w:tab/>
        <w:t>General Procrastination Scale (GPS)</w:t>
      </w:r>
      <w:bookmarkEnd w:id="65"/>
    </w:p>
    <w:p w14:paraId="2E2B4C69" w14:textId="4AACEA88" w:rsidR="00772E06" w:rsidRPr="00734AB6" w:rsidRDefault="00772E06" w:rsidP="00B471B3">
      <w:pPr>
        <w:spacing w:before="240" w:line="360" w:lineRule="auto"/>
        <w:ind w:firstLine="851"/>
        <w:rPr>
          <w:rFonts w:asciiTheme="majorHAnsi" w:eastAsia="Calibri" w:hAnsiTheme="majorHAnsi" w:cs="Calibri"/>
        </w:rPr>
      </w:pPr>
      <w:r w:rsidRPr="00734AB6">
        <w:rPr>
          <w:rFonts w:asciiTheme="majorHAnsi" w:eastAsia="Calibri" w:hAnsiTheme="majorHAnsi" w:cs="Calibri"/>
        </w:rPr>
        <w:t xml:space="preserve">The 20-item </w:t>
      </w:r>
      <w:r w:rsidR="00F25D89" w:rsidRPr="00734AB6">
        <w:rPr>
          <w:rFonts w:asciiTheme="majorHAnsi" w:eastAsia="Calibri" w:hAnsiTheme="majorHAnsi" w:cs="Calibri"/>
        </w:rPr>
        <w:t>GPS</w:t>
      </w:r>
      <w:r w:rsidRPr="00734AB6">
        <w:rPr>
          <w:rFonts w:asciiTheme="majorHAnsi" w:eastAsia="Calibri" w:hAnsiTheme="majorHAnsi" w:cs="Calibri"/>
        </w:rPr>
        <w:t xml:space="preserve"> (Lay, 1986) is presented, again, with a five-point Likert scale response with each response scored as ‘extremely untrue’ = 1, ‘moderately untrue’ = 2, ‘neutral’ = 3, ‘moderately true’ = 4 and ‘extremely true’ = 5, although 10 of the items are reverse scored. Higher scores indicate higher levels of reported procrastination. Total scores range from 20 to 100 with higher scores indicating higher levels of procrastination. The GPS is a unidimensional questionnaire and this was confirmed by Sirois, Yang and </w:t>
      </w:r>
      <w:proofErr w:type="spellStart"/>
      <w:r w:rsidRPr="00734AB6">
        <w:rPr>
          <w:rFonts w:asciiTheme="majorHAnsi" w:eastAsia="Calibri" w:hAnsiTheme="majorHAnsi" w:cs="Calibri"/>
        </w:rPr>
        <w:t>Eerde</w:t>
      </w:r>
      <w:proofErr w:type="spellEnd"/>
      <w:r w:rsidRPr="00734AB6">
        <w:rPr>
          <w:rFonts w:asciiTheme="majorHAnsi" w:eastAsia="Calibri" w:hAnsiTheme="majorHAnsi" w:cs="Calibri"/>
        </w:rPr>
        <w:t xml:space="preserve"> (2019), with a coefficient alpha of 0.82 (Lay) and Ferrari (1989) reported good test-retest reliability of 0.80. The </w:t>
      </w:r>
      <w:proofErr w:type="spellStart"/>
      <w:r w:rsidRPr="00734AB6">
        <w:rPr>
          <w:rFonts w:asciiTheme="majorHAnsi" w:eastAsia="Calibri" w:hAnsiTheme="majorHAnsi" w:cs="Calibri"/>
        </w:rPr>
        <w:t>Chronbach’s</w:t>
      </w:r>
      <w:proofErr w:type="spellEnd"/>
      <w:r w:rsidRPr="00734AB6">
        <w:rPr>
          <w:rFonts w:asciiTheme="majorHAnsi" w:eastAsia="Calibri" w:hAnsiTheme="majorHAnsi" w:cs="Calibri"/>
        </w:rPr>
        <w:t xml:space="preserve"> alpha for the current study was 0.88.</w:t>
      </w:r>
    </w:p>
    <w:p w14:paraId="4E1F22C6" w14:textId="77777777" w:rsidR="00772E06" w:rsidRPr="00734AB6" w:rsidRDefault="00772E06" w:rsidP="0099584D">
      <w:pPr>
        <w:spacing w:line="360" w:lineRule="auto"/>
        <w:ind w:firstLine="851"/>
        <w:rPr>
          <w:rFonts w:asciiTheme="majorHAnsi" w:eastAsia="Calibri" w:hAnsiTheme="majorHAnsi" w:cs="Calibri"/>
        </w:rPr>
      </w:pPr>
    </w:p>
    <w:p w14:paraId="1B85DC79" w14:textId="77777777" w:rsidR="00772E06" w:rsidRPr="00734AB6" w:rsidRDefault="00772E06" w:rsidP="00B471B3">
      <w:pPr>
        <w:pStyle w:val="Heading3"/>
        <w:spacing w:after="240" w:line="360" w:lineRule="auto"/>
        <w:rPr>
          <w:b/>
          <w:color w:val="auto"/>
          <w:sz w:val="22"/>
          <w:szCs w:val="22"/>
        </w:rPr>
      </w:pPr>
      <w:bookmarkStart w:id="66" w:name="_Toc48136357"/>
      <w:r w:rsidRPr="00734AB6">
        <w:rPr>
          <w:b/>
          <w:color w:val="auto"/>
          <w:sz w:val="22"/>
          <w:szCs w:val="22"/>
        </w:rPr>
        <w:t>3.2.11</w:t>
      </w:r>
      <w:r w:rsidRPr="00734AB6">
        <w:rPr>
          <w:b/>
          <w:color w:val="auto"/>
          <w:sz w:val="22"/>
          <w:szCs w:val="22"/>
        </w:rPr>
        <w:tab/>
        <w:t>Questionnaire responses on modafinil and methylphenidate</w:t>
      </w:r>
      <w:bookmarkEnd w:id="66"/>
    </w:p>
    <w:p w14:paraId="7967DFED" w14:textId="446E57C1"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In order to assess the perceived effects of modafinil and methylphenidate on cognitive functions, additional questions were asked about the perceived effects of these two drugs on cognitive functions. For each question in each of the three questionnaires (i.e. the ASRS-V1.1, CFQ and GPS), an additional question was presented relating to the experience of modafinil and methylphenidate. This question asked whether the respondent felt that functioning in response </w:t>
      </w:r>
      <w:r w:rsidRPr="00734AB6">
        <w:rPr>
          <w:rFonts w:asciiTheme="majorHAnsi" w:hAnsiTheme="majorHAnsi"/>
        </w:rPr>
        <w:lastRenderedPageBreak/>
        <w:t xml:space="preserve">to each item on the questionnaires was improved or worsened after taking modafinil and methylphenidate with additional options of ‘not affected and ‘don’t know’ to select. For example, the question “How often do you have problems remembering appointments or obligations?” and under the sub-heading “without drugs” response options were never, rarely, sometimes, often and very often. Under the sub-headings “on modafinil” and “on methylphenidate” the response options were ‘more often’, ‘less often’, ‘not affected’ and ‘don’t know’. See Appendix </w:t>
      </w:r>
      <w:r w:rsidR="006B4173" w:rsidRPr="00734AB6">
        <w:rPr>
          <w:rFonts w:asciiTheme="majorHAnsi" w:hAnsiTheme="majorHAnsi"/>
        </w:rPr>
        <w:t>B(</w:t>
      </w:r>
      <w:proofErr w:type="spellStart"/>
      <w:r w:rsidR="006B4173" w:rsidRPr="00734AB6">
        <w:rPr>
          <w:rFonts w:asciiTheme="majorHAnsi" w:hAnsiTheme="majorHAnsi"/>
        </w:rPr>
        <w:t>i</w:t>
      </w:r>
      <w:proofErr w:type="spellEnd"/>
      <w:r w:rsidR="006B4173" w:rsidRPr="00734AB6">
        <w:rPr>
          <w:rFonts w:asciiTheme="majorHAnsi" w:hAnsiTheme="majorHAnsi"/>
        </w:rPr>
        <w:t>)</w:t>
      </w:r>
      <w:r w:rsidRPr="00734AB6">
        <w:rPr>
          <w:rFonts w:asciiTheme="majorHAnsi" w:hAnsiTheme="majorHAnsi"/>
        </w:rPr>
        <w:t xml:space="preserve"> for further details.</w:t>
      </w:r>
    </w:p>
    <w:p w14:paraId="21067C5D" w14:textId="77777777" w:rsidR="00772E06" w:rsidRPr="00734AB6" w:rsidRDefault="00772E06" w:rsidP="0099584D">
      <w:pPr>
        <w:spacing w:line="360" w:lineRule="auto"/>
        <w:ind w:firstLine="709"/>
        <w:rPr>
          <w:rFonts w:asciiTheme="majorHAnsi" w:hAnsiTheme="majorHAnsi"/>
        </w:rPr>
      </w:pPr>
    </w:p>
    <w:p w14:paraId="10DDB99B" w14:textId="77777777" w:rsidR="00772E06" w:rsidRPr="00734AB6" w:rsidRDefault="00772E06" w:rsidP="00B471B3">
      <w:pPr>
        <w:pStyle w:val="Heading3"/>
        <w:spacing w:after="240" w:line="360" w:lineRule="auto"/>
        <w:rPr>
          <w:b/>
          <w:color w:val="auto"/>
          <w:sz w:val="22"/>
          <w:szCs w:val="22"/>
        </w:rPr>
      </w:pPr>
      <w:bookmarkStart w:id="67" w:name="_Toc48136358"/>
      <w:r w:rsidRPr="00734AB6">
        <w:rPr>
          <w:b/>
          <w:color w:val="auto"/>
          <w:sz w:val="22"/>
          <w:szCs w:val="22"/>
        </w:rPr>
        <w:t>3.2.12</w:t>
      </w:r>
      <w:r w:rsidRPr="00734AB6">
        <w:rPr>
          <w:b/>
          <w:color w:val="auto"/>
          <w:sz w:val="22"/>
          <w:szCs w:val="22"/>
        </w:rPr>
        <w:tab/>
        <w:t>Design</w:t>
      </w:r>
      <w:bookmarkEnd w:id="67"/>
    </w:p>
    <w:p w14:paraId="25261D2B" w14:textId="50B21113" w:rsidR="00772E06" w:rsidRPr="00734AB6" w:rsidRDefault="00772E06" w:rsidP="0099584D">
      <w:pPr>
        <w:spacing w:line="360" w:lineRule="auto"/>
        <w:ind w:firstLine="709"/>
        <w:rPr>
          <w:rFonts w:asciiTheme="majorHAnsi" w:hAnsiTheme="majorHAnsi"/>
        </w:rPr>
      </w:pPr>
      <w:r w:rsidRPr="00734AB6">
        <w:rPr>
          <w:rFonts w:asciiTheme="majorHAnsi" w:eastAsia="Calibri" w:hAnsiTheme="majorHAnsi" w:cs="Calibri"/>
        </w:rPr>
        <w:t>An independent-samples design with three groups was used. The first group was a control group of respondents who reported never taking</w:t>
      </w:r>
      <w:r w:rsidR="00606ADE" w:rsidRPr="00734AB6">
        <w:rPr>
          <w:rFonts w:asciiTheme="majorHAnsi" w:eastAsia="Calibri" w:hAnsiTheme="majorHAnsi" w:cs="Calibri"/>
        </w:rPr>
        <w:t xml:space="preserve"> modafinil or methylphenidate. T</w:t>
      </w:r>
      <w:r w:rsidRPr="00734AB6">
        <w:rPr>
          <w:rFonts w:asciiTheme="majorHAnsi" w:eastAsia="Calibri" w:hAnsiTheme="majorHAnsi" w:cs="Calibri"/>
        </w:rPr>
        <w:t>he second group was a “modafinil-only” group who reported taking modafinil but not methylphenidate</w:t>
      </w:r>
      <w:r w:rsidR="00606ADE" w:rsidRPr="00734AB6">
        <w:rPr>
          <w:rFonts w:asciiTheme="majorHAnsi" w:eastAsia="Calibri" w:hAnsiTheme="majorHAnsi" w:cs="Calibri"/>
        </w:rPr>
        <w:t>.</w:t>
      </w:r>
      <w:r w:rsidRPr="00734AB6">
        <w:rPr>
          <w:rFonts w:asciiTheme="majorHAnsi" w:eastAsia="Calibri" w:hAnsiTheme="majorHAnsi" w:cs="Calibri"/>
        </w:rPr>
        <w:t xml:space="preserve"> </w:t>
      </w:r>
      <w:r w:rsidR="00606ADE" w:rsidRPr="00734AB6">
        <w:rPr>
          <w:rFonts w:asciiTheme="majorHAnsi" w:eastAsia="Calibri" w:hAnsiTheme="majorHAnsi" w:cs="Calibri"/>
        </w:rPr>
        <w:t>T</w:t>
      </w:r>
      <w:r w:rsidRPr="00734AB6">
        <w:rPr>
          <w:rFonts w:asciiTheme="majorHAnsi" w:eastAsia="Calibri" w:hAnsiTheme="majorHAnsi" w:cs="Calibri"/>
        </w:rPr>
        <w:t xml:space="preserve">he third group was a methylphenidate group who reported taking methylphenidate and may or may not have taken other CEDs (including modafinil). These groups </w:t>
      </w:r>
      <w:r w:rsidR="00E11A2F" w:rsidRPr="00734AB6">
        <w:rPr>
          <w:rFonts w:asciiTheme="majorHAnsi" w:eastAsia="Calibri" w:hAnsiTheme="majorHAnsi" w:cs="Calibri"/>
        </w:rPr>
        <w:t xml:space="preserve">are </w:t>
      </w:r>
      <w:r w:rsidRPr="00734AB6">
        <w:rPr>
          <w:rFonts w:asciiTheme="majorHAnsi" w:eastAsia="Calibri" w:hAnsiTheme="majorHAnsi" w:cs="Calibri"/>
        </w:rPr>
        <w:t>referred to by their names (modafinil-only, methylphenidate and control) in the remainder of this chapter. In order to investigate whether there was a difference in the kind of illicit drugs used and whether there was a pattern of illicit drug usage between reported modafinil and methylphenidate off-prescription users and controls, a</w:t>
      </w:r>
      <w:r w:rsidRPr="00734AB6">
        <w:rPr>
          <w:rFonts w:asciiTheme="majorHAnsi" w:hAnsiTheme="majorHAnsi"/>
        </w:rPr>
        <w:t xml:space="preserve"> three (group type) by five (drug type) by three (frequency of use) design was used. The three levels of group were modafinil-only, methylphenidate and controls and the five levels of drug type were stimulants, depressants, opium-related pain killers, hallucinogens and cognitive enhancers</w:t>
      </w:r>
      <w:r w:rsidR="009B107C" w:rsidRPr="00734AB6">
        <w:rPr>
          <w:rFonts w:asciiTheme="majorHAnsi" w:hAnsiTheme="majorHAnsi"/>
        </w:rPr>
        <w:t xml:space="preserve"> (see Appendix </w:t>
      </w:r>
      <w:r w:rsidR="00110C2F" w:rsidRPr="00734AB6">
        <w:rPr>
          <w:rFonts w:asciiTheme="majorHAnsi" w:hAnsiTheme="majorHAnsi"/>
        </w:rPr>
        <w:t>B(xii) for details)</w:t>
      </w:r>
      <w:r w:rsidRPr="00734AB6">
        <w:rPr>
          <w:rFonts w:asciiTheme="majorHAnsi" w:hAnsiTheme="majorHAnsi"/>
        </w:rPr>
        <w:t xml:space="preserve">. The three levels of frequency of use were once or more per week, less than once a week and never. </w:t>
      </w:r>
    </w:p>
    <w:p w14:paraId="4239B464" w14:textId="77777777" w:rsidR="00772E06" w:rsidRPr="00734AB6" w:rsidRDefault="00772E06" w:rsidP="0099584D">
      <w:pPr>
        <w:spacing w:line="360" w:lineRule="auto"/>
        <w:ind w:firstLine="709"/>
        <w:rPr>
          <w:rFonts w:asciiTheme="majorHAnsi" w:eastAsia="Calibri" w:hAnsiTheme="majorHAnsi" w:cs="Calibri"/>
        </w:rPr>
      </w:pPr>
    </w:p>
    <w:p w14:paraId="3ACA3BE4" w14:textId="77777777" w:rsidR="00772E06" w:rsidRPr="00734AB6" w:rsidRDefault="00772E06" w:rsidP="00B471B3">
      <w:pPr>
        <w:pStyle w:val="Heading3"/>
        <w:spacing w:after="240" w:line="360" w:lineRule="auto"/>
        <w:rPr>
          <w:b/>
          <w:color w:val="auto"/>
          <w:sz w:val="22"/>
          <w:szCs w:val="22"/>
        </w:rPr>
      </w:pPr>
      <w:bookmarkStart w:id="68" w:name="_Toc48136359"/>
      <w:r w:rsidRPr="00734AB6">
        <w:rPr>
          <w:b/>
          <w:color w:val="auto"/>
          <w:sz w:val="22"/>
          <w:szCs w:val="22"/>
        </w:rPr>
        <w:t>3.2.13</w:t>
      </w:r>
      <w:r w:rsidRPr="00734AB6">
        <w:rPr>
          <w:b/>
          <w:color w:val="auto"/>
          <w:sz w:val="22"/>
          <w:szCs w:val="22"/>
        </w:rPr>
        <w:tab/>
        <w:t>Procedure</w:t>
      </w:r>
      <w:bookmarkEnd w:id="68"/>
    </w:p>
    <w:p w14:paraId="7B687251" w14:textId="5C15FE26"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Ethical approval was granted for the study by the School of Applied Science Research Ethics Committee at London South Bank University (reference number SAS1733). With permission from the forum moderators, an advertisement and link to the survey was posted on the selected forum sites. The advertisement detailed the nature of the survey and invited individuals to participate if they had taken either modafinil or methylphenidate and also if they had not taken either drug. When clicked on, the link brought up an information sheet. This was followed by a consent form which had to be clicked on to indicate informed consent had been given and only then could the survey commence. </w:t>
      </w:r>
      <w:r w:rsidRPr="00734AB6">
        <w:rPr>
          <w:rStyle w:val="CommentReference"/>
          <w:rFonts w:asciiTheme="majorHAnsi" w:hAnsiTheme="majorHAnsi"/>
          <w:sz w:val="22"/>
          <w:szCs w:val="22"/>
        </w:rPr>
        <w:t>Demographics, psychiatric health</w:t>
      </w:r>
      <w:r w:rsidR="0023171D" w:rsidRPr="00734AB6">
        <w:rPr>
          <w:rStyle w:val="CommentReference"/>
          <w:rFonts w:asciiTheme="majorHAnsi" w:hAnsiTheme="majorHAnsi"/>
          <w:sz w:val="22"/>
          <w:szCs w:val="22"/>
        </w:rPr>
        <w:t xml:space="preserve"> status</w:t>
      </w:r>
      <w:r w:rsidRPr="00734AB6">
        <w:rPr>
          <w:rStyle w:val="CommentReference"/>
          <w:rFonts w:asciiTheme="majorHAnsi" w:hAnsiTheme="majorHAnsi"/>
          <w:sz w:val="22"/>
          <w:szCs w:val="22"/>
        </w:rPr>
        <w:t xml:space="preserve"> and drug use questions were presented first, followed by questions relating to modafinil and </w:t>
      </w:r>
      <w:r w:rsidRPr="00734AB6">
        <w:rPr>
          <w:rStyle w:val="CommentReference"/>
          <w:rFonts w:asciiTheme="majorHAnsi" w:hAnsiTheme="majorHAnsi"/>
          <w:sz w:val="22"/>
          <w:szCs w:val="22"/>
        </w:rPr>
        <w:lastRenderedPageBreak/>
        <w:t xml:space="preserve">methylphenidate use. </w:t>
      </w:r>
      <w:r w:rsidRPr="00734AB6">
        <w:rPr>
          <w:rFonts w:asciiTheme="majorHAnsi" w:eastAsia="Calibri" w:hAnsiTheme="majorHAnsi" w:cs="Calibri"/>
        </w:rPr>
        <w:t>Respondents who had not taken either modafinil or methylphenidate were not required to answer questions on CED usage and instead were directed straight to the questionnaires on cognitive performance, commencing with the ASRS questionnaire. The survey ended with an option to exit without submitting the individual’s responses or to exit with submitting responses.  Following this, a debriefing text was presented.</w:t>
      </w:r>
    </w:p>
    <w:p w14:paraId="70F67B1E" w14:textId="77777777" w:rsidR="00772E06" w:rsidRPr="00734AB6" w:rsidRDefault="00772E06" w:rsidP="0099584D">
      <w:pPr>
        <w:spacing w:line="360" w:lineRule="auto"/>
        <w:ind w:firstLine="709"/>
        <w:rPr>
          <w:rFonts w:asciiTheme="majorHAnsi" w:eastAsia="Calibri" w:hAnsiTheme="majorHAnsi" w:cs="Calibri"/>
        </w:rPr>
      </w:pPr>
    </w:p>
    <w:p w14:paraId="3ADE2B1B" w14:textId="77777777" w:rsidR="00772E06" w:rsidRPr="00734AB6" w:rsidRDefault="00772E06" w:rsidP="00B471B3">
      <w:pPr>
        <w:pStyle w:val="Heading2"/>
        <w:spacing w:after="240" w:line="360" w:lineRule="auto"/>
        <w:rPr>
          <w:b/>
          <w:color w:val="auto"/>
          <w:sz w:val="22"/>
          <w:szCs w:val="22"/>
        </w:rPr>
      </w:pPr>
      <w:bookmarkStart w:id="69" w:name="_Toc48136360"/>
      <w:r w:rsidRPr="00734AB6">
        <w:rPr>
          <w:b/>
          <w:color w:val="auto"/>
          <w:sz w:val="22"/>
          <w:szCs w:val="22"/>
        </w:rPr>
        <w:t>3.3</w:t>
      </w:r>
      <w:r w:rsidRPr="00734AB6">
        <w:rPr>
          <w:b/>
          <w:color w:val="auto"/>
          <w:sz w:val="22"/>
          <w:szCs w:val="22"/>
        </w:rPr>
        <w:tab/>
        <w:t>Results</w:t>
      </w:r>
      <w:bookmarkEnd w:id="69"/>
    </w:p>
    <w:p w14:paraId="7828725D" w14:textId="77777777" w:rsidR="00772E06" w:rsidRPr="00734AB6" w:rsidRDefault="00772E06" w:rsidP="00B471B3">
      <w:pPr>
        <w:pStyle w:val="Heading3"/>
        <w:spacing w:after="240" w:line="360" w:lineRule="auto"/>
        <w:rPr>
          <w:b/>
          <w:color w:val="auto"/>
          <w:sz w:val="22"/>
          <w:szCs w:val="22"/>
        </w:rPr>
      </w:pPr>
      <w:bookmarkStart w:id="70" w:name="_Toc48136361"/>
      <w:r w:rsidRPr="00734AB6">
        <w:rPr>
          <w:b/>
          <w:color w:val="auto"/>
          <w:sz w:val="22"/>
          <w:szCs w:val="22"/>
        </w:rPr>
        <w:t>3.3.1</w:t>
      </w:r>
      <w:r w:rsidRPr="00734AB6">
        <w:rPr>
          <w:b/>
          <w:color w:val="auto"/>
          <w:sz w:val="22"/>
          <w:szCs w:val="22"/>
        </w:rPr>
        <w:tab/>
        <w:t>Participant characteristics</w:t>
      </w:r>
      <w:bookmarkEnd w:id="70"/>
    </w:p>
    <w:p w14:paraId="42B84588" w14:textId="77777777" w:rsidR="00772E06" w:rsidRPr="00734AB6" w:rsidRDefault="00772E06" w:rsidP="0099584D">
      <w:pPr>
        <w:spacing w:line="360" w:lineRule="auto"/>
        <w:ind w:firstLine="709"/>
        <w:rPr>
          <w:rFonts w:asciiTheme="majorHAnsi" w:eastAsia="Calibri" w:hAnsiTheme="majorHAnsi" w:cs="Calibri"/>
        </w:rPr>
      </w:pPr>
      <w:r w:rsidRPr="00734AB6">
        <w:rPr>
          <w:rFonts w:asciiTheme="majorHAnsi" w:eastAsia="Calibri" w:hAnsiTheme="majorHAnsi" w:cs="Calibri"/>
        </w:rPr>
        <w:t>The final sample size was 249 following the removal of the data from 76 respondents who reported having been prescribed either modafinil or methylphenidate. Questions relating to psychiatric diagnosis and prescribed medications as well as the question in both the modafinil and methylphenidate section asking if the respondent had a prescription for either drug, made it possible to identify and exclude such respondents.</w:t>
      </w:r>
    </w:p>
    <w:p w14:paraId="3250540A" w14:textId="476D0935" w:rsidR="00772E06" w:rsidRPr="00734AB6" w:rsidRDefault="00772E06" w:rsidP="0099584D">
      <w:pPr>
        <w:spacing w:line="360" w:lineRule="auto"/>
        <w:ind w:firstLine="851"/>
        <w:rPr>
          <w:rFonts w:asciiTheme="majorHAnsi" w:hAnsiTheme="majorHAnsi"/>
        </w:rPr>
      </w:pPr>
      <w:r w:rsidRPr="00734AB6">
        <w:rPr>
          <w:rFonts w:asciiTheme="majorHAnsi" w:hAnsiTheme="majorHAnsi"/>
        </w:rPr>
        <w:t>Of the final sample size, 57% (N = 143) of respondents reported taking either modafinil or methylphenidate. A total of 35% (N = 86) of respondents reported that they took modafinil only and 23% (N = 57) indicated that they took methylphenidate and may or may not have taken other CEDs (8%, N = 19 reported taking methylphenidate only). The remaining 43% (N = 106) of respondents reported that they had not taken either modafinil or methylphenidate.</w:t>
      </w:r>
    </w:p>
    <w:p w14:paraId="2080DEDB" w14:textId="77777777" w:rsidR="00772E06" w:rsidRPr="00734AB6" w:rsidRDefault="00772E06" w:rsidP="0099584D">
      <w:pPr>
        <w:spacing w:line="360" w:lineRule="auto"/>
        <w:ind w:firstLine="851"/>
        <w:rPr>
          <w:rFonts w:asciiTheme="majorHAnsi" w:hAnsiTheme="majorHAnsi"/>
        </w:rPr>
      </w:pPr>
    </w:p>
    <w:p w14:paraId="0AF24E08" w14:textId="77777777" w:rsidR="00772E06" w:rsidRPr="00734AB6" w:rsidRDefault="00772E06" w:rsidP="00B471B3">
      <w:pPr>
        <w:pStyle w:val="Heading4"/>
        <w:spacing w:after="240" w:line="360" w:lineRule="auto"/>
        <w:rPr>
          <w:b/>
          <w:i w:val="0"/>
          <w:color w:val="auto"/>
        </w:rPr>
      </w:pPr>
      <w:r w:rsidRPr="00734AB6">
        <w:rPr>
          <w:b/>
          <w:i w:val="0"/>
          <w:color w:val="auto"/>
        </w:rPr>
        <w:t>3.3.1.1</w:t>
      </w:r>
      <w:r w:rsidRPr="00734AB6">
        <w:rPr>
          <w:b/>
          <w:i w:val="0"/>
          <w:color w:val="auto"/>
        </w:rPr>
        <w:tab/>
        <w:t>Demographic information</w:t>
      </w:r>
    </w:p>
    <w:p w14:paraId="0CA82D8D" w14:textId="2584B298" w:rsidR="00772E06" w:rsidRPr="00734AB6" w:rsidRDefault="00772E06" w:rsidP="00B471B3">
      <w:pPr>
        <w:pStyle w:val="Heading5"/>
        <w:spacing w:after="240" w:line="360" w:lineRule="auto"/>
        <w:rPr>
          <w:b/>
        </w:rPr>
      </w:pPr>
      <w:r w:rsidRPr="00734AB6">
        <w:rPr>
          <w:b/>
          <w:color w:val="auto"/>
        </w:rPr>
        <w:t>3.3.1.1.1</w:t>
      </w:r>
      <w:r w:rsidRPr="00734AB6">
        <w:rPr>
          <w:b/>
          <w:color w:val="auto"/>
        </w:rPr>
        <w:tab/>
      </w:r>
      <w:r w:rsidR="00F134F8">
        <w:rPr>
          <w:b/>
          <w:color w:val="auto"/>
        </w:rPr>
        <w:t>Gender</w:t>
      </w:r>
      <w:r w:rsidRPr="00734AB6">
        <w:rPr>
          <w:b/>
          <w:color w:val="auto"/>
        </w:rPr>
        <w:t>, age and nationality</w:t>
      </w:r>
    </w:p>
    <w:p w14:paraId="2AE826E2" w14:textId="51634D03"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majority of both the modafinil-only group and the methylphenidate group reported to be male whereas the control group reported roughly equal numbers of males compared with females (see Table </w:t>
      </w:r>
      <w:r w:rsidR="006348CB" w:rsidRPr="00734AB6">
        <w:rPr>
          <w:rFonts w:asciiTheme="majorHAnsi" w:hAnsiTheme="majorHAnsi"/>
        </w:rPr>
        <w:t>3.</w:t>
      </w:r>
      <w:r w:rsidR="004724AE" w:rsidRPr="00734AB6">
        <w:rPr>
          <w:rFonts w:asciiTheme="majorHAnsi" w:hAnsiTheme="majorHAnsi"/>
        </w:rPr>
        <w:t>1</w:t>
      </w:r>
      <w:r w:rsidRPr="00734AB6">
        <w:rPr>
          <w:rFonts w:asciiTheme="majorHAnsi" w:hAnsiTheme="majorHAnsi"/>
        </w:rPr>
        <w:t xml:space="preserve"> for details). </w:t>
      </w:r>
    </w:p>
    <w:p w14:paraId="27286978" w14:textId="77777777" w:rsidR="00772E06" w:rsidRPr="00734AB6" w:rsidRDefault="00772E06" w:rsidP="0099584D">
      <w:pPr>
        <w:spacing w:line="360" w:lineRule="auto"/>
        <w:ind w:firstLine="709"/>
        <w:rPr>
          <w:rFonts w:asciiTheme="majorHAnsi" w:hAnsiTheme="majorHAnsi"/>
        </w:rPr>
      </w:pPr>
    </w:p>
    <w:p w14:paraId="5462F15E" w14:textId="78D53471"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Table </w:t>
      </w:r>
      <w:r w:rsidR="004724AE" w:rsidRPr="00734AB6">
        <w:rPr>
          <w:rFonts w:asciiTheme="majorHAnsi" w:hAnsiTheme="majorHAnsi"/>
          <w:b/>
        </w:rPr>
        <w:t>3.1</w:t>
      </w:r>
      <w:r w:rsidRPr="00734AB6">
        <w:rPr>
          <w:rFonts w:asciiTheme="majorHAnsi" w:hAnsiTheme="majorHAnsi"/>
          <w:b/>
        </w:rPr>
        <w:t xml:space="preserve">. </w:t>
      </w:r>
      <w:r w:rsidR="00F134F8">
        <w:rPr>
          <w:rFonts w:asciiTheme="majorHAnsi" w:hAnsiTheme="majorHAnsi"/>
          <w:b/>
        </w:rPr>
        <w:t>Gender</w:t>
      </w:r>
      <w:r w:rsidR="00BC6247" w:rsidRPr="00734AB6">
        <w:rPr>
          <w:rFonts w:asciiTheme="majorHAnsi" w:hAnsiTheme="majorHAnsi"/>
          <w:b/>
        </w:rPr>
        <w:t xml:space="preserve"> </w:t>
      </w:r>
      <w:r w:rsidRPr="00734AB6">
        <w:rPr>
          <w:rFonts w:asciiTheme="majorHAnsi" w:hAnsiTheme="majorHAnsi"/>
          <w:b/>
        </w:rPr>
        <w:t>by group</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2268"/>
        <w:gridCol w:w="2410"/>
        <w:gridCol w:w="1559"/>
      </w:tblGrid>
      <w:tr w:rsidR="00772E06" w:rsidRPr="00734AB6" w14:paraId="5B03B216" w14:textId="77777777" w:rsidTr="00BC6247">
        <w:tc>
          <w:tcPr>
            <w:tcW w:w="2410" w:type="dxa"/>
            <w:tcBorders>
              <w:bottom w:val="single" w:sz="4" w:space="0" w:color="auto"/>
            </w:tcBorders>
          </w:tcPr>
          <w:p w14:paraId="72D275A4" w14:textId="77777777" w:rsidR="00772E06" w:rsidRPr="00734AB6" w:rsidRDefault="00772E06" w:rsidP="0099584D">
            <w:pPr>
              <w:tabs>
                <w:tab w:val="left" w:pos="993"/>
              </w:tabs>
              <w:spacing w:line="360" w:lineRule="auto"/>
              <w:rPr>
                <w:rFonts w:asciiTheme="majorHAnsi" w:hAnsiTheme="majorHAnsi"/>
              </w:rPr>
            </w:pPr>
          </w:p>
        </w:tc>
        <w:tc>
          <w:tcPr>
            <w:tcW w:w="2268" w:type="dxa"/>
            <w:tcBorders>
              <w:bottom w:val="single" w:sz="4" w:space="0" w:color="auto"/>
            </w:tcBorders>
          </w:tcPr>
          <w:p w14:paraId="0EF81442" w14:textId="569D8FAE" w:rsidR="00772E06" w:rsidRPr="00734AB6" w:rsidRDefault="00772E06" w:rsidP="00A1043D">
            <w:pPr>
              <w:spacing w:line="360" w:lineRule="auto"/>
              <w:rPr>
                <w:rFonts w:asciiTheme="majorHAnsi" w:hAnsiTheme="majorHAnsi"/>
                <w:b/>
              </w:rPr>
            </w:pPr>
            <w:r w:rsidRPr="00734AB6">
              <w:rPr>
                <w:rFonts w:asciiTheme="majorHAnsi" w:hAnsiTheme="majorHAnsi"/>
                <w:b/>
              </w:rPr>
              <w:t>Modafinil-only</w:t>
            </w:r>
            <w:r w:rsidR="00114F29" w:rsidRPr="00734AB6">
              <w:rPr>
                <w:rFonts w:asciiTheme="majorHAnsi" w:hAnsiTheme="majorHAnsi"/>
                <w:b/>
              </w:rPr>
              <w:t xml:space="preserve"> N</w:t>
            </w:r>
            <w:r w:rsidRPr="00734AB6">
              <w:rPr>
                <w:rFonts w:asciiTheme="majorHAnsi" w:hAnsiTheme="majorHAnsi"/>
                <w:b/>
              </w:rPr>
              <w:t xml:space="preserve"> </w:t>
            </w:r>
            <w:r w:rsidR="00114F29" w:rsidRPr="00734AB6">
              <w:rPr>
                <w:rFonts w:asciiTheme="majorHAnsi" w:hAnsiTheme="majorHAnsi"/>
                <w:b/>
              </w:rPr>
              <w:t>(</w:t>
            </w:r>
            <w:r w:rsidRPr="00734AB6">
              <w:rPr>
                <w:rFonts w:asciiTheme="majorHAnsi" w:hAnsiTheme="majorHAnsi"/>
                <w:b/>
              </w:rPr>
              <w:t>%</w:t>
            </w:r>
            <w:r w:rsidR="00114F29" w:rsidRPr="00734AB6">
              <w:rPr>
                <w:rFonts w:asciiTheme="majorHAnsi" w:hAnsiTheme="majorHAnsi"/>
                <w:b/>
              </w:rPr>
              <w:t>)</w:t>
            </w:r>
            <w:r w:rsidR="00A1043D" w:rsidRPr="00734AB6">
              <w:rPr>
                <w:rFonts w:asciiTheme="majorHAnsi" w:hAnsiTheme="majorHAnsi"/>
                <w:b/>
              </w:rPr>
              <w:t>*</w:t>
            </w:r>
          </w:p>
        </w:tc>
        <w:tc>
          <w:tcPr>
            <w:tcW w:w="2410" w:type="dxa"/>
            <w:tcBorders>
              <w:bottom w:val="single" w:sz="4" w:space="0" w:color="auto"/>
            </w:tcBorders>
          </w:tcPr>
          <w:p w14:paraId="5E2DEF3B" w14:textId="53D0B343" w:rsidR="00772E06" w:rsidRPr="00734AB6" w:rsidRDefault="00772E06" w:rsidP="00114F29">
            <w:pPr>
              <w:spacing w:line="360" w:lineRule="auto"/>
              <w:rPr>
                <w:rFonts w:asciiTheme="majorHAnsi" w:hAnsiTheme="majorHAnsi"/>
                <w:b/>
              </w:rPr>
            </w:pPr>
            <w:r w:rsidRPr="00734AB6">
              <w:rPr>
                <w:rFonts w:asciiTheme="majorHAnsi" w:hAnsiTheme="majorHAnsi"/>
                <w:b/>
              </w:rPr>
              <w:t>Methylphenidate</w:t>
            </w:r>
            <w:r w:rsidR="00A1043D" w:rsidRPr="00734AB6">
              <w:rPr>
                <w:rFonts w:asciiTheme="majorHAnsi" w:hAnsiTheme="majorHAnsi"/>
                <w:b/>
              </w:rPr>
              <w:t xml:space="preserve"> N (%)*</w:t>
            </w:r>
          </w:p>
        </w:tc>
        <w:tc>
          <w:tcPr>
            <w:tcW w:w="1559" w:type="dxa"/>
            <w:tcBorders>
              <w:bottom w:val="single" w:sz="4" w:space="0" w:color="auto"/>
            </w:tcBorders>
          </w:tcPr>
          <w:p w14:paraId="233FA0AC" w14:textId="49BE642F"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Control </w:t>
            </w:r>
            <w:r w:rsidR="00A1043D" w:rsidRPr="00734AB6">
              <w:rPr>
                <w:rFonts w:asciiTheme="majorHAnsi" w:hAnsiTheme="majorHAnsi"/>
                <w:b/>
              </w:rPr>
              <w:t>N (%)*</w:t>
            </w:r>
          </w:p>
        </w:tc>
      </w:tr>
      <w:tr w:rsidR="00772E06" w:rsidRPr="00734AB6" w14:paraId="70964D9F" w14:textId="77777777" w:rsidTr="00BC6247">
        <w:tc>
          <w:tcPr>
            <w:tcW w:w="2410" w:type="dxa"/>
            <w:tcBorders>
              <w:bottom w:val="nil"/>
            </w:tcBorders>
          </w:tcPr>
          <w:p w14:paraId="37D3DA66" w14:textId="77777777" w:rsidR="00772E06" w:rsidRPr="00734AB6" w:rsidRDefault="00772E06" w:rsidP="0099584D">
            <w:pPr>
              <w:spacing w:line="360" w:lineRule="auto"/>
              <w:rPr>
                <w:rFonts w:asciiTheme="majorHAnsi" w:hAnsiTheme="majorHAnsi"/>
              </w:rPr>
            </w:pPr>
            <w:r w:rsidRPr="00734AB6">
              <w:rPr>
                <w:rFonts w:asciiTheme="majorHAnsi" w:hAnsiTheme="majorHAnsi"/>
              </w:rPr>
              <w:t>Female</w:t>
            </w:r>
          </w:p>
        </w:tc>
        <w:tc>
          <w:tcPr>
            <w:tcW w:w="2268" w:type="dxa"/>
            <w:tcBorders>
              <w:bottom w:val="nil"/>
            </w:tcBorders>
          </w:tcPr>
          <w:p w14:paraId="556E3DD1" w14:textId="6517AF8D" w:rsidR="00772E06" w:rsidRPr="00734AB6" w:rsidRDefault="00114F29" w:rsidP="0099584D">
            <w:pPr>
              <w:spacing w:line="360" w:lineRule="auto"/>
              <w:rPr>
                <w:rFonts w:asciiTheme="majorHAnsi" w:hAnsiTheme="majorHAnsi"/>
              </w:rPr>
            </w:pPr>
            <w:r w:rsidRPr="00734AB6">
              <w:rPr>
                <w:rFonts w:asciiTheme="majorHAnsi" w:hAnsiTheme="majorHAnsi"/>
              </w:rPr>
              <w:t>16 (19.00)</w:t>
            </w:r>
          </w:p>
        </w:tc>
        <w:tc>
          <w:tcPr>
            <w:tcW w:w="2410" w:type="dxa"/>
            <w:tcBorders>
              <w:bottom w:val="nil"/>
            </w:tcBorders>
          </w:tcPr>
          <w:p w14:paraId="01464EB3" w14:textId="29B73E04" w:rsidR="00772E06" w:rsidRPr="00734AB6" w:rsidRDefault="00114F29" w:rsidP="0099584D">
            <w:pPr>
              <w:spacing w:line="360" w:lineRule="auto"/>
              <w:rPr>
                <w:rFonts w:asciiTheme="majorHAnsi" w:hAnsiTheme="majorHAnsi"/>
              </w:rPr>
            </w:pPr>
            <w:r w:rsidRPr="00734AB6">
              <w:rPr>
                <w:rFonts w:asciiTheme="majorHAnsi" w:hAnsiTheme="majorHAnsi"/>
              </w:rPr>
              <w:t>12 (21.00</w:t>
            </w:r>
            <w:r w:rsidR="00772E06" w:rsidRPr="00734AB6">
              <w:rPr>
                <w:rFonts w:asciiTheme="majorHAnsi" w:hAnsiTheme="majorHAnsi"/>
              </w:rPr>
              <w:t>)</w:t>
            </w:r>
          </w:p>
        </w:tc>
        <w:tc>
          <w:tcPr>
            <w:tcW w:w="1559" w:type="dxa"/>
            <w:tcBorders>
              <w:bottom w:val="nil"/>
            </w:tcBorders>
          </w:tcPr>
          <w:p w14:paraId="0145DF5B" w14:textId="4A075B08" w:rsidR="00772E06" w:rsidRPr="00734AB6" w:rsidRDefault="00114F29" w:rsidP="0099584D">
            <w:pPr>
              <w:spacing w:line="360" w:lineRule="auto"/>
              <w:rPr>
                <w:rFonts w:asciiTheme="majorHAnsi" w:hAnsiTheme="majorHAnsi"/>
              </w:rPr>
            </w:pPr>
            <w:r w:rsidRPr="00734AB6">
              <w:rPr>
                <w:rFonts w:asciiTheme="majorHAnsi" w:hAnsiTheme="majorHAnsi"/>
              </w:rPr>
              <w:t>46 (43.00</w:t>
            </w:r>
            <w:r w:rsidR="00772E06" w:rsidRPr="00734AB6">
              <w:rPr>
                <w:rFonts w:asciiTheme="majorHAnsi" w:hAnsiTheme="majorHAnsi"/>
              </w:rPr>
              <w:t>)</w:t>
            </w:r>
          </w:p>
        </w:tc>
      </w:tr>
      <w:tr w:rsidR="00772E06" w:rsidRPr="00734AB6" w14:paraId="757B03B4" w14:textId="77777777" w:rsidTr="00BC6247">
        <w:tc>
          <w:tcPr>
            <w:tcW w:w="2410" w:type="dxa"/>
            <w:tcBorders>
              <w:top w:val="nil"/>
              <w:bottom w:val="nil"/>
            </w:tcBorders>
          </w:tcPr>
          <w:p w14:paraId="512CAE81" w14:textId="77777777" w:rsidR="00772E06" w:rsidRPr="00734AB6" w:rsidRDefault="00772E06" w:rsidP="0099584D">
            <w:pPr>
              <w:spacing w:line="360" w:lineRule="auto"/>
              <w:rPr>
                <w:rFonts w:asciiTheme="majorHAnsi" w:hAnsiTheme="majorHAnsi"/>
              </w:rPr>
            </w:pPr>
            <w:r w:rsidRPr="00734AB6">
              <w:rPr>
                <w:rFonts w:asciiTheme="majorHAnsi" w:hAnsiTheme="majorHAnsi"/>
              </w:rPr>
              <w:t>Male</w:t>
            </w:r>
          </w:p>
        </w:tc>
        <w:tc>
          <w:tcPr>
            <w:tcW w:w="2268" w:type="dxa"/>
            <w:tcBorders>
              <w:top w:val="nil"/>
              <w:bottom w:val="nil"/>
            </w:tcBorders>
          </w:tcPr>
          <w:p w14:paraId="3A2F5F02" w14:textId="780B2F89" w:rsidR="00772E06" w:rsidRPr="00734AB6" w:rsidRDefault="00114F29" w:rsidP="0099584D">
            <w:pPr>
              <w:spacing w:line="360" w:lineRule="auto"/>
              <w:rPr>
                <w:rFonts w:asciiTheme="majorHAnsi" w:hAnsiTheme="majorHAnsi"/>
              </w:rPr>
            </w:pPr>
            <w:r w:rsidRPr="00734AB6">
              <w:rPr>
                <w:rFonts w:asciiTheme="majorHAnsi" w:hAnsiTheme="majorHAnsi"/>
              </w:rPr>
              <w:t>68 (79.00)</w:t>
            </w:r>
          </w:p>
        </w:tc>
        <w:tc>
          <w:tcPr>
            <w:tcW w:w="2410" w:type="dxa"/>
            <w:tcBorders>
              <w:top w:val="nil"/>
              <w:bottom w:val="nil"/>
            </w:tcBorders>
          </w:tcPr>
          <w:p w14:paraId="465CA8E4" w14:textId="7B421266" w:rsidR="00772E06" w:rsidRPr="00734AB6" w:rsidRDefault="00114F29" w:rsidP="0099584D">
            <w:pPr>
              <w:spacing w:line="360" w:lineRule="auto"/>
              <w:rPr>
                <w:rFonts w:asciiTheme="majorHAnsi" w:hAnsiTheme="majorHAnsi"/>
              </w:rPr>
            </w:pPr>
            <w:r w:rsidRPr="00734AB6">
              <w:rPr>
                <w:rFonts w:asciiTheme="majorHAnsi" w:hAnsiTheme="majorHAnsi"/>
              </w:rPr>
              <w:t>44 (77.00</w:t>
            </w:r>
            <w:r w:rsidR="00772E06" w:rsidRPr="00734AB6">
              <w:rPr>
                <w:rFonts w:asciiTheme="majorHAnsi" w:hAnsiTheme="majorHAnsi"/>
              </w:rPr>
              <w:t>)</w:t>
            </w:r>
          </w:p>
        </w:tc>
        <w:tc>
          <w:tcPr>
            <w:tcW w:w="1559" w:type="dxa"/>
            <w:tcBorders>
              <w:top w:val="nil"/>
              <w:bottom w:val="nil"/>
            </w:tcBorders>
          </w:tcPr>
          <w:p w14:paraId="6BC81282" w14:textId="0E87764C" w:rsidR="00772E06" w:rsidRPr="00734AB6" w:rsidRDefault="00114F29" w:rsidP="00114F29">
            <w:pPr>
              <w:spacing w:line="360" w:lineRule="auto"/>
              <w:rPr>
                <w:rFonts w:asciiTheme="majorHAnsi" w:hAnsiTheme="majorHAnsi"/>
              </w:rPr>
            </w:pPr>
            <w:r w:rsidRPr="00734AB6">
              <w:rPr>
                <w:rFonts w:asciiTheme="majorHAnsi" w:hAnsiTheme="majorHAnsi"/>
              </w:rPr>
              <w:t>58 (55.00</w:t>
            </w:r>
            <w:r w:rsidR="00772E06" w:rsidRPr="00734AB6">
              <w:rPr>
                <w:rFonts w:asciiTheme="majorHAnsi" w:hAnsiTheme="majorHAnsi"/>
              </w:rPr>
              <w:t>)</w:t>
            </w:r>
          </w:p>
        </w:tc>
      </w:tr>
      <w:tr w:rsidR="00772E06" w:rsidRPr="00734AB6" w14:paraId="191D1133" w14:textId="77777777" w:rsidTr="00BC6247">
        <w:tc>
          <w:tcPr>
            <w:tcW w:w="2410" w:type="dxa"/>
            <w:tcBorders>
              <w:top w:val="nil"/>
              <w:bottom w:val="single" w:sz="4" w:space="0" w:color="auto"/>
            </w:tcBorders>
          </w:tcPr>
          <w:p w14:paraId="0B4A019C" w14:textId="795CB4CE" w:rsidR="00772E06" w:rsidRPr="00734AB6" w:rsidRDefault="00772E06" w:rsidP="0099584D">
            <w:pPr>
              <w:spacing w:line="360" w:lineRule="auto"/>
              <w:rPr>
                <w:rFonts w:asciiTheme="majorHAnsi" w:hAnsiTheme="majorHAnsi"/>
              </w:rPr>
            </w:pPr>
            <w:r w:rsidRPr="00734AB6">
              <w:rPr>
                <w:rFonts w:asciiTheme="majorHAnsi" w:hAnsiTheme="majorHAnsi"/>
              </w:rPr>
              <w:lastRenderedPageBreak/>
              <w:t xml:space="preserve">Other </w:t>
            </w:r>
            <w:r w:rsidR="00F134F8">
              <w:rPr>
                <w:rFonts w:asciiTheme="majorHAnsi" w:hAnsiTheme="majorHAnsi"/>
              </w:rPr>
              <w:t>gender</w:t>
            </w:r>
            <w:r w:rsidR="00BC6247" w:rsidRPr="00734AB6">
              <w:rPr>
                <w:rFonts w:asciiTheme="majorHAnsi" w:hAnsiTheme="majorHAnsi"/>
              </w:rPr>
              <w:t xml:space="preserve"> </w:t>
            </w:r>
          </w:p>
        </w:tc>
        <w:tc>
          <w:tcPr>
            <w:tcW w:w="2268" w:type="dxa"/>
            <w:tcBorders>
              <w:top w:val="nil"/>
              <w:bottom w:val="single" w:sz="4" w:space="0" w:color="auto"/>
            </w:tcBorders>
          </w:tcPr>
          <w:p w14:paraId="312C82D5" w14:textId="602B86E4" w:rsidR="00772E06" w:rsidRPr="00734AB6" w:rsidRDefault="00772E06" w:rsidP="0099584D">
            <w:pPr>
              <w:spacing w:line="360" w:lineRule="auto"/>
              <w:rPr>
                <w:rFonts w:asciiTheme="majorHAnsi" w:hAnsiTheme="majorHAnsi"/>
              </w:rPr>
            </w:pPr>
            <w:r w:rsidRPr="00734AB6">
              <w:rPr>
                <w:rFonts w:asciiTheme="majorHAnsi" w:hAnsiTheme="majorHAnsi"/>
              </w:rPr>
              <w:t>2 (2</w:t>
            </w:r>
            <w:r w:rsidR="00114F29" w:rsidRPr="00734AB6">
              <w:rPr>
                <w:rFonts w:asciiTheme="majorHAnsi" w:hAnsiTheme="majorHAnsi"/>
              </w:rPr>
              <w:t>.00</w:t>
            </w:r>
            <w:r w:rsidRPr="00734AB6">
              <w:rPr>
                <w:rFonts w:asciiTheme="majorHAnsi" w:hAnsiTheme="majorHAnsi"/>
              </w:rPr>
              <w:t>)</w:t>
            </w:r>
          </w:p>
        </w:tc>
        <w:tc>
          <w:tcPr>
            <w:tcW w:w="2410" w:type="dxa"/>
            <w:tcBorders>
              <w:top w:val="nil"/>
              <w:bottom w:val="single" w:sz="4" w:space="0" w:color="auto"/>
            </w:tcBorders>
          </w:tcPr>
          <w:p w14:paraId="13A3F1F5" w14:textId="18664517" w:rsidR="00772E06" w:rsidRPr="00734AB6" w:rsidRDefault="00114F29" w:rsidP="0099584D">
            <w:pPr>
              <w:spacing w:line="360" w:lineRule="auto"/>
              <w:rPr>
                <w:rFonts w:asciiTheme="majorHAnsi" w:hAnsiTheme="majorHAnsi"/>
              </w:rPr>
            </w:pPr>
            <w:r w:rsidRPr="00734AB6">
              <w:rPr>
                <w:rFonts w:asciiTheme="majorHAnsi" w:hAnsiTheme="majorHAnsi"/>
              </w:rPr>
              <w:t>1 (2.00</w:t>
            </w:r>
            <w:r w:rsidR="00772E06" w:rsidRPr="00734AB6">
              <w:rPr>
                <w:rFonts w:asciiTheme="majorHAnsi" w:hAnsiTheme="majorHAnsi"/>
              </w:rPr>
              <w:t>)</w:t>
            </w:r>
          </w:p>
        </w:tc>
        <w:tc>
          <w:tcPr>
            <w:tcW w:w="1559" w:type="dxa"/>
            <w:tcBorders>
              <w:top w:val="nil"/>
              <w:bottom w:val="single" w:sz="4" w:space="0" w:color="auto"/>
            </w:tcBorders>
          </w:tcPr>
          <w:p w14:paraId="13860FE9" w14:textId="7DD207BD" w:rsidR="00772E06" w:rsidRPr="00734AB6" w:rsidRDefault="00772E06" w:rsidP="0099584D">
            <w:pPr>
              <w:spacing w:line="360" w:lineRule="auto"/>
              <w:rPr>
                <w:rFonts w:asciiTheme="majorHAnsi" w:hAnsiTheme="majorHAnsi"/>
              </w:rPr>
            </w:pPr>
            <w:r w:rsidRPr="00734AB6">
              <w:rPr>
                <w:rFonts w:asciiTheme="majorHAnsi" w:hAnsiTheme="majorHAnsi"/>
              </w:rPr>
              <w:t>2 (2</w:t>
            </w:r>
            <w:r w:rsidR="00114F29" w:rsidRPr="00734AB6">
              <w:rPr>
                <w:rFonts w:asciiTheme="majorHAnsi" w:hAnsiTheme="majorHAnsi"/>
              </w:rPr>
              <w:t>.00</w:t>
            </w:r>
            <w:r w:rsidRPr="00734AB6">
              <w:rPr>
                <w:rFonts w:asciiTheme="majorHAnsi" w:hAnsiTheme="majorHAnsi"/>
              </w:rPr>
              <w:t>)</w:t>
            </w:r>
          </w:p>
        </w:tc>
      </w:tr>
    </w:tbl>
    <w:p w14:paraId="0B2983CF" w14:textId="77777777" w:rsidR="00772E06" w:rsidRPr="00734AB6" w:rsidRDefault="00772E06"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and not to the whole sample</w:t>
      </w:r>
    </w:p>
    <w:p w14:paraId="52B24B1B" w14:textId="77777777" w:rsidR="00772E06" w:rsidRPr="00734AB6" w:rsidRDefault="00772E06" w:rsidP="0099584D">
      <w:pPr>
        <w:tabs>
          <w:tab w:val="left" w:pos="426"/>
        </w:tabs>
        <w:spacing w:line="360" w:lineRule="auto"/>
        <w:rPr>
          <w:rFonts w:asciiTheme="majorHAnsi" w:hAnsiTheme="majorHAnsi"/>
        </w:rPr>
      </w:pPr>
    </w:p>
    <w:p w14:paraId="1CF81969"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mean age for the modafinil-only group was 29 years (</w:t>
      </w:r>
      <w:r w:rsidRPr="00734AB6">
        <w:rPr>
          <w:rFonts w:asciiTheme="majorHAnsi" w:hAnsiTheme="majorHAnsi"/>
          <w:i/>
          <w:iCs/>
        </w:rPr>
        <w:t>SD</w:t>
      </w:r>
      <w:r w:rsidRPr="00734AB6">
        <w:rPr>
          <w:rFonts w:asciiTheme="majorHAnsi" w:hAnsiTheme="majorHAnsi"/>
        </w:rPr>
        <w:t xml:space="preserve"> = 9.91), with a range of 50 years (18 – 68), compared with the methylphenidate group, which was 25 years (</w:t>
      </w:r>
      <w:r w:rsidRPr="00734AB6">
        <w:rPr>
          <w:rFonts w:asciiTheme="majorHAnsi" w:hAnsiTheme="majorHAnsi"/>
          <w:i/>
        </w:rPr>
        <w:t>SD</w:t>
      </w:r>
      <w:r w:rsidRPr="00734AB6">
        <w:rPr>
          <w:rFonts w:asciiTheme="majorHAnsi" w:hAnsiTheme="majorHAnsi"/>
        </w:rPr>
        <w:t xml:space="preserve"> = 6.79), with a range of 25 years (18 – 43) and the control group which was 27 years (</w:t>
      </w:r>
      <w:r w:rsidRPr="00734AB6">
        <w:rPr>
          <w:rFonts w:asciiTheme="majorHAnsi" w:hAnsiTheme="majorHAnsi"/>
          <w:i/>
        </w:rPr>
        <w:t>SD</w:t>
      </w:r>
      <w:r w:rsidRPr="00734AB6">
        <w:rPr>
          <w:rFonts w:asciiTheme="majorHAnsi" w:hAnsiTheme="majorHAnsi"/>
        </w:rPr>
        <w:t xml:space="preserve"> = 8.61), with a range of 37 years (18 – 55). </w:t>
      </w:r>
    </w:p>
    <w:p w14:paraId="74F3995F" w14:textId="1F1CAEA1"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There was a roughly equal number of modafinil-only respondents who reported being </w:t>
      </w:r>
      <w:r w:rsidR="00BC6247" w:rsidRPr="00734AB6">
        <w:rPr>
          <w:rFonts w:asciiTheme="majorHAnsi" w:hAnsiTheme="majorHAnsi"/>
        </w:rPr>
        <w:t>North American</w:t>
      </w:r>
      <w:r w:rsidRPr="00734AB6">
        <w:rPr>
          <w:rFonts w:asciiTheme="majorHAnsi" w:hAnsiTheme="majorHAnsi"/>
        </w:rPr>
        <w:t xml:space="preserve"> or British whereas a greater number of the methylphenidate group reported being </w:t>
      </w:r>
      <w:r w:rsidR="00BC6247" w:rsidRPr="00734AB6">
        <w:rPr>
          <w:rFonts w:asciiTheme="majorHAnsi" w:hAnsiTheme="majorHAnsi"/>
        </w:rPr>
        <w:t>North American</w:t>
      </w:r>
      <w:r w:rsidRPr="00734AB6">
        <w:rPr>
          <w:rFonts w:asciiTheme="majorHAnsi" w:hAnsiTheme="majorHAnsi"/>
        </w:rPr>
        <w:t xml:space="preserve">s compared with those who reported being British. There was also a greater number of the control group who reported being </w:t>
      </w:r>
      <w:r w:rsidR="00BC6247" w:rsidRPr="00734AB6">
        <w:rPr>
          <w:rFonts w:asciiTheme="majorHAnsi" w:hAnsiTheme="majorHAnsi"/>
        </w:rPr>
        <w:t>North American</w:t>
      </w:r>
      <w:r w:rsidRPr="00734AB6">
        <w:rPr>
          <w:rFonts w:asciiTheme="majorHAnsi" w:hAnsiTheme="majorHAnsi"/>
        </w:rPr>
        <w:t xml:space="preserve"> compared with those who reported being British. See Table 3</w:t>
      </w:r>
      <w:r w:rsidR="004724AE" w:rsidRPr="00734AB6">
        <w:rPr>
          <w:rFonts w:asciiTheme="majorHAnsi" w:hAnsiTheme="majorHAnsi"/>
        </w:rPr>
        <w:t>.2</w:t>
      </w:r>
      <w:r w:rsidRPr="00734AB6">
        <w:rPr>
          <w:rFonts w:asciiTheme="majorHAnsi" w:hAnsiTheme="majorHAnsi"/>
        </w:rPr>
        <w:t xml:space="preserve"> for details of all nationalities.</w:t>
      </w:r>
    </w:p>
    <w:p w14:paraId="404FD59C" w14:textId="77777777" w:rsidR="00772E06" w:rsidRPr="00734AB6" w:rsidRDefault="00772E06" w:rsidP="0099584D">
      <w:pPr>
        <w:spacing w:line="360" w:lineRule="auto"/>
        <w:ind w:firstLine="709"/>
        <w:rPr>
          <w:rFonts w:asciiTheme="majorHAnsi" w:hAnsiTheme="majorHAnsi"/>
        </w:rPr>
      </w:pPr>
    </w:p>
    <w:p w14:paraId="51C2A480" w14:textId="4DD38A4A" w:rsidR="00772E06" w:rsidRPr="00734AB6" w:rsidRDefault="00772E06" w:rsidP="0099584D">
      <w:pPr>
        <w:spacing w:line="360" w:lineRule="auto"/>
        <w:rPr>
          <w:rFonts w:asciiTheme="majorHAnsi" w:hAnsiTheme="majorHAnsi"/>
        </w:rPr>
      </w:pPr>
      <w:r w:rsidRPr="00734AB6">
        <w:rPr>
          <w:rFonts w:asciiTheme="majorHAnsi" w:hAnsiTheme="majorHAnsi"/>
          <w:b/>
        </w:rPr>
        <w:t xml:space="preserve">Table </w:t>
      </w:r>
      <w:r w:rsidR="00316237" w:rsidRPr="00734AB6">
        <w:rPr>
          <w:rFonts w:asciiTheme="majorHAnsi" w:hAnsiTheme="majorHAnsi"/>
          <w:b/>
        </w:rPr>
        <w:t>3.</w:t>
      </w:r>
      <w:r w:rsidR="004724AE" w:rsidRPr="00734AB6">
        <w:rPr>
          <w:rFonts w:asciiTheme="majorHAnsi" w:hAnsiTheme="majorHAnsi"/>
          <w:b/>
        </w:rPr>
        <w:t>2</w:t>
      </w:r>
      <w:r w:rsidRPr="00734AB6">
        <w:rPr>
          <w:rFonts w:asciiTheme="majorHAnsi" w:hAnsiTheme="majorHAnsi"/>
          <w:b/>
        </w:rPr>
        <w:t>. Nationalities by group</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03"/>
        <w:gridCol w:w="2227"/>
        <w:gridCol w:w="2395"/>
        <w:gridCol w:w="1922"/>
      </w:tblGrid>
      <w:tr w:rsidR="00772E06" w:rsidRPr="00734AB6" w14:paraId="5EB37E0E" w14:textId="77777777" w:rsidTr="00772E06">
        <w:tc>
          <w:tcPr>
            <w:tcW w:w="2197" w:type="dxa"/>
            <w:tcBorders>
              <w:bottom w:val="single" w:sz="4" w:space="0" w:color="auto"/>
            </w:tcBorders>
          </w:tcPr>
          <w:p w14:paraId="332DB2BE" w14:textId="77777777" w:rsidR="00772E06" w:rsidRPr="00734AB6" w:rsidRDefault="00772E06" w:rsidP="0099584D">
            <w:pPr>
              <w:tabs>
                <w:tab w:val="left" w:pos="993"/>
              </w:tabs>
              <w:spacing w:line="360" w:lineRule="auto"/>
              <w:rPr>
                <w:rFonts w:asciiTheme="majorHAnsi" w:hAnsiTheme="majorHAnsi"/>
                <w:b/>
              </w:rPr>
            </w:pPr>
            <w:r w:rsidRPr="00734AB6">
              <w:rPr>
                <w:rFonts w:asciiTheme="majorHAnsi" w:hAnsiTheme="majorHAnsi"/>
                <w:b/>
              </w:rPr>
              <w:t>Nationality</w:t>
            </w:r>
          </w:p>
        </w:tc>
        <w:tc>
          <w:tcPr>
            <w:tcW w:w="2339" w:type="dxa"/>
            <w:tcBorders>
              <w:bottom w:val="single" w:sz="4" w:space="0" w:color="auto"/>
            </w:tcBorders>
          </w:tcPr>
          <w:p w14:paraId="7B2F009B" w14:textId="75DA6E77"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Modafinil-only </w:t>
            </w:r>
            <w:r w:rsidR="00A1043D" w:rsidRPr="00734AB6">
              <w:rPr>
                <w:rFonts w:asciiTheme="majorHAnsi" w:hAnsiTheme="majorHAnsi"/>
                <w:b/>
              </w:rPr>
              <w:t>N (%)*</w:t>
            </w:r>
          </w:p>
        </w:tc>
        <w:tc>
          <w:tcPr>
            <w:tcW w:w="2461" w:type="dxa"/>
            <w:tcBorders>
              <w:bottom w:val="single" w:sz="4" w:space="0" w:color="auto"/>
            </w:tcBorders>
          </w:tcPr>
          <w:p w14:paraId="5537357D" w14:textId="06872229"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Methylphenidate </w:t>
            </w:r>
            <w:r w:rsidR="00A1043D" w:rsidRPr="00734AB6">
              <w:rPr>
                <w:rFonts w:asciiTheme="majorHAnsi" w:hAnsiTheme="majorHAnsi"/>
                <w:b/>
              </w:rPr>
              <w:t>N (%)*</w:t>
            </w:r>
          </w:p>
        </w:tc>
        <w:tc>
          <w:tcPr>
            <w:tcW w:w="2029" w:type="dxa"/>
            <w:tcBorders>
              <w:bottom w:val="single" w:sz="4" w:space="0" w:color="auto"/>
            </w:tcBorders>
          </w:tcPr>
          <w:p w14:paraId="420BEDED" w14:textId="63553925"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Control </w:t>
            </w:r>
            <w:r w:rsidR="00A1043D" w:rsidRPr="00734AB6">
              <w:rPr>
                <w:rFonts w:asciiTheme="majorHAnsi" w:hAnsiTheme="majorHAnsi"/>
                <w:b/>
              </w:rPr>
              <w:t>N (%)*</w:t>
            </w:r>
          </w:p>
        </w:tc>
      </w:tr>
      <w:tr w:rsidR="00772E06" w:rsidRPr="00734AB6" w14:paraId="79EC254D" w14:textId="77777777" w:rsidTr="00772E06">
        <w:tc>
          <w:tcPr>
            <w:tcW w:w="2197" w:type="dxa"/>
            <w:tcBorders>
              <w:bottom w:val="nil"/>
            </w:tcBorders>
          </w:tcPr>
          <w:p w14:paraId="26F7BA93" w14:textId="77777777" w:rsidR="00772E06" w:rsidRPr="00734AB6" w:rsidRDefault="00772E06" w:rsidP="0099584D">
            <w:pPr>
              <w:spacing w:line="360" w:lineRule="auto"/>
              <w:rPr>
                <w:rFonts w:asciiTheme="majorHAnsi" w:hAnsiTheme="majorHAnsi"/>
                <w:b/>
                <w:u w:val="single"/>
              </w:rPr>
            </w:pPr>
            <w:r w:rsidRPr="00734AB6">
              <w:rPr>
                <w:rFonts w:asciiTheme="majorHAnsi" w:hAnsiTheme="majorHAnsi"/>
                <w:b/>
              </w:rPr>
              <w:t>North American</w:t>
            </w:r>
          </w:p>
        </w:tc>
        <w:tc>
          <w:tcPr>
            <w:tcW w:w="2339" w:type="dxa"/>
            <w:tcBorders>
              <w:bottom w:val="nil"/>
            </w:tcBorders>
          </w:tcPr>
          <w:p w14:paraId="08BD6AEE" w14:textId="77777777" w:rsidR="00772E06" w:rsidRPr="00734AB6" w:rsidRDefault="00772E06" w:rsidP="0099584D">
            <w:pPr>
              <w:spacing w:line="360" w:lineRule="auto"/>
              <w:rPr>
                <w:rFonts w:asciiTheme="majorHAnsi" w:hAnsiTheme="majorHAnsi"/>
              </w:rPr>
            </w:pPr>
            <w:r w:rsidRPr="00734AB6">
              <w:rPr>
                <w:rFonts w:asciiTheme="majorHAnsi" w:hAnsiTheme="majorHAnsi"/>
              </w:rPr>
              <w:t>24 (27.91)</w:t>
            </w:r>
          </w:p>
        </w:tc>
        <w:tc>
          <w:tcPr>
            <w:tcW w:w="2461" w:type="dxa"/>
            <w:tcBorders>
              <w:bottom w:val="nil"/>
            </w:tcBorders>
          </w:tcPr>
          <w:p w14:paraId="65BBD18C" w14:textId="77777777" w:rsidR="00772E06" w:rsidRPr="00734AB6" w:rsidRDefault="00772E06" w:rsidP="0099584D">
            <w:pPr>
              <w:spacing w:line="360" w:lineRule="auto"/>
              <w:rPr>
                <w:rFonts w:asciiTheme="majorHAnsi" w:hAnsiTheme="majorHAnsi"/>
              </w:rPr>
            </w:pPr>
            <w:r w:rsidRPr="00734AB6">
              <w:rPr>
                <w:rFonts w:asciiTheme="majorHAnsi" w:hAnsiTheme="majorHAnsi"/>
              </w:rPr>
              <w:t>20 (35.09)</w:t>
            </w:r>
          </w:p>
        </w:tc>
        <w:tc>
          <w:tcPr>
            <w:tcW w:w="2029" w:type="dxa"/>
            <w:tcBorders>
              <w:bottom w:val="nil"/>
            </w:tcBorders>
          </w:tcPr>
          <w:p w14:paraId="7162E4B0" w14:textId="77777777" w:rsidR="00772E06" w:rsidRPr="00734AB6" w:rsidRDefault="00772E06" w:rsidP="0099584D">
            <w:pPr>
              <w:spacing w:line="360" w:lineRule="auto"/>
              <w:rPr>
                <w:rFonts w:asciiTheme="majorHAnsi" w:hAnsiTheme="majorHAnsi"/>
              </w:rPr>
            </w:pPr>
            <w:r w:rsidRPr="00734AB6">
              <w:rPr>
                <w:rFonts w:asciiTheme="majorHAnsi" w:hAnsiTheme="majorHAnsi"/>
              </w:rPr>
              <w:t>38 (35.85)</w:t>
            </w:r>
          </w:p>
        </w:tc>
      </w:tr>
      <w:tr w:rsidR="00772E06" w:rsidRPr="00734AB6" w14:paraId="40E67C52" w14:textId="77777777" w:rsidTr="00772E06">
        <w:tc>
          <w:tcPr>
            <w:tcW w:w="2197" w:type="dxa"/>
            <w:tcBorders>
              <w:top w:val="nil"/>
              <w:bottom w:val="nil"/>
            </w:tcBorders>
          </w:tcPr>
          <w:p w14:paraId="735FF46E"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British</w:t>
            </w:r>
          </w:p>
        </w:tc>
        <w:tc>
          <w:tcPr>
            <w:tcW w:w="2339" w:type="dxa"/>
            <w:tcBorders>
              <w:top w:val="nil"/>
              <w:bottom w:val="nil"/>
            </w:tcBorders>
          </w:tcPr>
          <w:p w14:paraId="43310ABC" w14:textId="77777777" w:rsidR="00772E06" w:rsidRPr="00734AB6" w:rsidRDefault="00772E06" w:rsidP="0099584D">
            <w:pPr>
              <w:spacing w:line="360" w:lineRule="auto"/>
              <w:rPr>
                <w:rFonts w:asciiTheme="majorHAnsi" w:hAnsiTheme="majorHAnsi"/>
              </w:rPr>
            </w:pPr>
            <w:r w:rsidRPr="00734AB6">
              <w:rPr>
                <w:rFonts w:asciiTheme="majorHAnsi" w:hAnsiTheme="majorHAnsi"/>
              </w:rPr>
              <w:t>23 (26.75)</w:t>
            </w:r>
          </w:p>
        </w:tc>
        <w:tc>
          <w:tcPr>
            <w:tcW w:w="2461" w:type="dxa"/>
            <w:tcBorders>
              <w:top w:val="nil"/>
              <w:bottom w:val="nil"/>
            </w:tcBorders>
          </w:tcPr>
          <w:p w14:paraId="4B75A1FE" w14:textId="77777777" w:rsidR="00772E06" w:rsidRPr="00734AB6" w:rsidRDefault="00772E06" w:rsidP="0099584D">
            <w:pPr>
              <w:spacing w:line="360" w:lineRule="auto"/>
              <w:rPr>
                <w:rFonts w:asciiTheme="majorHAnsi" w:hAnsiTheme="majorHAnsi"/>
              </w:rPr>
            </w:pPr>
            <w:r w:rsidRPr="00734AB6">
              <w:rPr>
                <w:rFonts w:asciiTheme="majorHAnsi" w:hAnsiTheme="majorHAnsi"/>
              </w:rPr>
              <w:t>9 (15.79)</w:t>
            </w:r>
          </w:p>
        </w:tc>
        <w:tc>
          <w:tcPr>
            <w:tcW w:w="2029" w:type="dxa"/>
            <w:tcBorders>
              <w:top w:val="nil"/>
              <w:bottom w:val="nil"/>
            </w:tcBorders>
          </w:tcPr>
          <w:p w14:paraId="7AD462FD"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14 (13.21) </w:t>
            </w:r>
          </w:p>
        </w:tc>
      </w:tr>
      <w:tr w:rsidR="00772E06" w:rsidRPr="00734AB6" w14:paraId="019538F5" w14:textId="77777777" w:rsidTr="00772E06">
        <w:tc>
          <w:tcPr>
            <w:tcW w:w="2197" w:type="dxa"/>
            <w:tcBorders>
              <w:top w:val="nil"/>
              <w:bottom w:val="nil"/>
            </w:tcBorders>
          </w:tcPr>
          <w:p w14:paraId="653C2BBB"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Australian</w:t>
            </w:r>
          </w:p>
        </w:tc>
        <w:tc>
          <w:tcPr>
            <w:tcW w:w="2339" w:type="dxa"/>
            <w:tcBorders>
              <w:top w:val="nil"/>
              <w:bottom w:val="nil"/>
            </w:tcBorders>
          </w:tcPr>
          <w:p w14:paraId="50668BE2"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12 (13.95) </w:t>
            </w:r>
          </w:p>
        </w:tc>
        <w:tc>
          <w:tcPr>
            <w:tcW w:w="2461" w:type="dxa"/>
            <w:tcBorders>
              <w:top w:val="nil"/>
              <w:bottom w:val="nil"/>
            </w:tcBorders>
          </w:tcPr>
          <w:p w14:paraId="09114CF9" w14:textId="77777777" w:rsidR="00772E06" w:rsidRPr="00734AB6" w:rsidRDefault="00772E06" w:rsidP="0099584D">
            <w:pPr>
              <w:spacing w:line="360" w:lineRule="auto"/>
              <w:rPr>
                <w:rFonts w:asciiTheme="majorHAnsi" w:hAnsiTheme="majorHAnsi"/>
              </w:rPr>
            </w:pPr>
            <w:r w:rsidRPr="00734AB6">
              <w:rPr>
                <w:rFonts w:asciiTheme="majorHAnsi" w:hAnsiTheme="majorHAnsi"/>
              </w:rPr>
              <w:t>3 (5.26)</w:t>
            </w:r>
          </w:p>
        </w:tc>
        <w:tc>
          <w:tcPr>
            <w:tcW w:w="2029" w:type="dxa"/>
            <w:tcBorders>
              <w:top w:val="nil"/>
              <w:bottom w:val="nil"/>
            </w:tcBorders>
          </w:tcPr>
          <w:p w14:paraId="77C2A733"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9 (8.49) </w:t>
            </w:r>
          </w:p>
        </w:tc>
      </w:tr>
      <w:tr w:rsidR="00772E06" w:rsidRPr="00734AB6" w14:paraId="1C8A85F4" w14:textId="77777777" w:rsidTr="00772E06">
        <w:trPr>
          <w:trHeight w:val="304"/>
        </w:trPr>
        <w:tc>
          <w:tcPr>
            <w:tcW w:w="2197" w:type="dxa"/>
            <w:tcBorders>
              <w:top w:val="nil"/>
              <w:bottom w:val="nil"/>
            </w:tcBorders>
          </w:tcPr>
          <w:p w14:paraId="54B6B1FF" w14:textId="77777777" w:rsidR="00772E06" w:rsidRPr="00734AB6" w:rsidRDefault="00772E06" w:rsidP="0099584D">
            <w:pPr>
              <w:tabs>
                <w:tab w:val="left" w:pos="2127"/>
                <w:tab w:val="left" w:pos="5812"/>
              </w:tabs>
              <w:spacing w:line="360" w:lineRule="auto"/>
              <w:rPr>
                <w:rFonts w:asciiTheme="majorHAnsi" w:hAnsiTheme="majorHAnsi"/>
                <w:b/>
              </w:rPr>
            </w:pPr>
            <w:r w:rsidRPr="00734AB6">
              <w:rPr>
                <w:rFonts w:asciiTheme="majorHAnsi" w:hAnsiTheme="majorHAnsi"/>
                <w:b/>
              </w:rPr>
              <w:t>Canadian</w:t>
            </w:r>
          </w:p>
        </w:tc>
        <w:tc>
          <w:tcPr>
            <w:tcW w:w="2339" w:type="dxa"/>
            <w:tcBorders>
              <w:top w:val="nil"/>
              <w:bottom w:val="nil"/>
            </w:tcBorders>
          </w:tcPr>
          <w:p w14:paraId="7FD756CE" w14:textId="77777777" w:rsidR="00772E06" w:rsidRPr="00734AB6" w:rsidRDefault="00772E06" w:rsidP="0099584D">
            <w:pPr>
              <w:spacing w:line="360" w:lineRule="auto"/>
              <w:rPr>
                <w:rFonts w:asciiTheme="majorHAnsi" w:hAnsiTheme="majorHAnsi"/>
              </w:rPr>
            </w:pPr>
            <w:r w:rsidRPr="00734AB6">
              <w:rPr>
                <w:rFonts w:asciiTheme="majorHAnsi" w:hAnsiTheme="majorHAnsi"/>
              </w:rPr>
              <w:t>2 (2.33)</w:t>
            </w:r>
          </w:p>
        </w:tc>
        <w:tc>
          <w:tcPr>
            <w:tcW w:w="2461" w:type="dxa"/>
            <w:tcBorders>
              <w:top w:val="nil"/>
              <w:bottom w:val="nil"/>
            </w:tcBorders>
          </w:tcPr>
          <w:p w14:paraId="032A19F8" w14:textId="77777777" w:rsidR="00772E06" w:rsidRPr="00734AB6" w:rsidRDefault="00772E06" w:rsidP="0099584D">
            <w:pPr>
              <w:spacing w:line="360" w:lineRule="auto"/>
              <w:rPr>
                <w:rFonts w:asciiTheme="majorHAnsi" w:hAnsiTheme="majorHAnsi"/>
              </w:rPr>
            </w:pPr>
            <w:r w:rsidRPr="00734AB6">
              <w:rPr>
                <w:rFonts w:asciiTheme="majorHAnsi" w:hAnsiTheme="majorHAnsi"/>
              </w:rPr>
              <w:t>4 (7.02)</w:t>
            </w:r>
          </w:p>
        </w:tc>
        <w:tc>
          <w:tcPr>
            <w:tcW w:w="2029" w:type="dxa"/>
            <w:tcBorders>
              <w:top w:val="nil"/>
              <w:bottom w:val="nil"/>
            </w:tcBorders>
          </w:tcPr>
          <w:p w14:paraId="0132FFC3"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7 (6.60) </w:t>
            </w:r>
          </w:p>
        </w:tc>
      </w:tr>
      <w:tr w:rsidR="00772E06" w:rsidRPr="00734AB6" w14:paraId="7A9AB647" w14:textId="77777777" w:rsidTr="00772E06">
        <w:tc>
          <w:tcPr>
            <w:tcW w:w="2197" w:type="dxa"/>
            <w:tcBorders>
              <w:top w:val="nil"/>
              <w:bottom w:val="nil"/>
            </w:tcBorders>
          </w:tcPr>
          <w:p w14:paraId="0941AF44"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German</w:t>
            </w:r>
          </w:p>
        </w:tc>
        <w:tc>
          <w:tcPr>
            <w:tcW w:w="2339" w:type="dxa"/>
            <w:tcBorders>
              <w:top w:val="nil"/>
              <w:bottom w:val="nil"/>
            </w:tcBorders>
          </w:tcPr>
          <w:p w14:paraId="37ED6AEE" w14:textId="77777777" w:rsidR="00772E06" w:rsidRPr="00734AB6" w:rsidRDefault="00772E06" w:rsidP="0099584D">
            <w:pPr>
              <w:spacing w:line="360" w:lineRule="auto"/>
              <w:rPr>
                <w:rFonts w:asciiTheme="majorHAnsi" w:hAnsiTheme="majorHAnsi"/>
              </w:rPr>
            </w:pPr>
            <w:r w:rsidRPr="00734AB6">
              <w:rPr>
                <w:rFonts w:asciiTheme="majorHAnsi" w:hAnsiTheme="majorHAnsi"/>
              </w:rPr>
              <w:t>-</w:t>
            </w:r>
          </w:p>
        </w:tc>
        <w:tc>
          <w:tcPr>
            <w:tcW w:w="2461" w:type="dxa"/>
            <w:tcBorders>
              <w:top w:val="nil"/>
              <w:bottom w:val="nil"/>
            </w:tcBorders>
          </w:tcPr>
          <w:p w14:paraId="2A2BF687" w14:textId="77777777" w:rsidR="00772E06" w:rsidRPr="00734AB6" w:rsidRDefault="00772E06" w:rsidP="0099584D">
            <w:pPr>
              <w:spacing w:line="360" w:lineRule="auto"/>
              <w:rPr>
                <w:rFonts w:asciiTheme="majorHAnsi" w:hAnsiTheme="majorHAnsi"/>
              </w:rPr>
            </w:pPr>
            <w:r w:rsidRPr="00734AB6">
              <w:rPr>
                <w:rFonts w:asciiTheme="majorHAnsi" w:hAnsiTheme="majorHAnsi"/>
              </w:rPr>
              <w:t>8 (14.04)</w:t>
            </w:r>
          </w:p>
        </w:tc>
        <w:tc>
          <w:tcPr>
            <w:tcW w:w="2029" w:type="dxa"/>
            <w:tcBorders>
              <w:top w:val="nil"/>
              <w:bottom w:val="nil"/>
            </w:tcBorders>
          </w:tcPr>
          <w:p w14:paraId="739D74E7"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7 (6.60) </w:t>
            </w:r>
          </w:p>
        </w:tc>
      </w:tr>
      <w:tr w:rsidR="00772E06" w:rsidRPr="00734AB6" w14:paraId="30124C22" w14:textId="77777777" w:rsidTr="00772E06">
        <w:tc>
          <w:tcPr>
            <w:tcW w:w="2197" w:type="dxa"/>
            <w:tcBorders>
              <w:top w:val="nil"/>
              <w:bottom w:val="nil"/>
            </w:tcBorders>
          </w:tcPr>
          <w:p w14:paraId="1C4FC572"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Rest of Europe</w:t>
            </w:r>
          </w:p>
        </w:tc>
        <w:tc>
          <w:tcPr>
            <w:tcW w:w="2339" w:type="dxa"/>
            <w:tcBorders>
              <w:top w:val="nil"/>
              <w:bottom w:val="nil"/>
            </w:tcBorders>
          </w:tcPr>
          <w:p w14:paraId="3B565F6F"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11 (12.79) </w:t>
            </w:r>
          </w:p>
        </w:tc>
        <w:tc>
          <w:tcPr>
            <w:tcW w:w="2461" w:type="dxa"/>
            <w:tcBorders>
              <w:top w:val="nil"/>
              <w:bottom w:val="nil"/>
            </w:tcBorders>
          </w:tcPr>
          <w:p w14:paraId="7B9807ED" w14:textId="77777777" w:rsidR="00772E06" w:rsidRPr="00734AB6" w:rsidRDefault="00772E06" w:rsidP="0099584D">
            <w:pPr>
              <w:spacing w:line="360" w:lineRule="auto"/>
              <w:rPr>
                <w:rFonts w:asciiTheme="majorHAnsi" w:hAnsiTheme="majorHAnsi"/>
              </w:rPr>
            </w:pPr>
            <w:r w:rsidRPr="00734AB6">
              <w:rPr>
                <w:rFonts w:asciiTheme="majorHAnsi" w:hAnsiTheme="majorHAnsi"/>
              </w:rPr>
              <w:t>8 (14.04)</w:t>
            </w:r>
          </w:p>
        </w:tc>
        <w:tc>
          <w:tcPr>
            <w:tcW w:w="2029" w:type="dxa"/>
            <w:tcBorders>
              <w:top w:val="nil"/>
              <w:bottom w:val="nil"/>
            </w:tcBorders>
          </w:tcPr>
          <w:p w14:paraId="127510CD"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18 (16.98) </w:t>
            </w:r>
          </w:p>
        </w:tc>
      </w:tr>
      <w:tr w:rsidR="00772E06" w:rsidRPr="00734AB6" w14:paraId="4AB65CC3" w14:textId="77777777" w:rsidTr="00772E06">
        <w:tc>
          <w:tcPr>
            <w:tcW w:w="2197" w:type="dxa"/>
            <w:tcBorders>
              <w:top w:val="nil"/>
            </w:tcBorders>
          </w:tcPr>
          <w:p w14:paraId="48FF8F04"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Rest of world</w:t>
            </w:r>
            <w:r w:rsidRPr="00734AB6">
              <w:rPr>
                <w:rFonts w:asciiTheme="majorHAnsi" w:hAnsiTheme="majorHAnsi"/>
                <w:b/>
              </w:rPr>
              <w:tab/>
            </w:r>
          </w:p>
        </w:tc>
        <w:tc>
          <w:tcPr>
            <w:tcW w:w="2339" w:type="dxa"/>
            <w:tcBorders>
              <w:top w:val="nil"/>
            </w:tcBorders>
          </w:tcPr>
          <w:p w14:paraId="0F1E5E0E"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11 (12.79) </w:t>
            </w:r>
          </w:p>
        </w:tc>
        <w:tc>
          <w:tcPr>
            <w:tcW w:w="2461" w:type="dxa"/>
            <w:tcBorders>
              <w:top w:val="nil"/>
            </w:tcBorders>
          </w:tcPr>
          <w:p w14:paraId="1B0AEB25" w14:textId="77777777" w:rsidR="00772E06" w:rsidRPr="00734AB6" w:rsidRDefault="00772E06" w:rsidP="0099584D">
            <w:pPr>
              <w:spacing w:line="360" w:lineRule="auto"/>
              <w:rPr>
                <w:rFonts w:asciiTheme="majorHAnsi" w:hAnsiTheme="majorHAnsi"/>
              </w:rPr>
            </w:pPr>
            <w:r w:rsidRPr="00734AB6">
              <w:rPr>
                <w:rFonts w:asciiTheme="majorHAnsi" w:hAnsiTheme="majorHAnsi"/>
              </w:rPr>
              <w:t>4 (7.02)</w:t>
            </w:r>
          </w:p>
        </w:tc>
        <w:tc>
          <w:tcPr>
            <w:tcW w:w="2029" w:type="dxa"/>
            <w:tcBorders>
              <w:top w:val="nil"/>
            </w:tcBorders>
          </w:tcPr>
          <w:p w14:paraId="0CEBBCCB" w14:textId="77777777" w:rsidR="00772E06" w:rsidRPr="00734AB6" w:rsidRDefault="00772E06" w:rsidP="0099584D">
            <w:pPr>
              <w:spacing w:line="360" w:lineRule="auto"/>
              <w:rPr>
                <w:rFonts w:asciiTheme="majorHAnsi" w:hAnsiTheme="majorHAnsi"/>
              </w:rPr>
            </w:pPr>
            <w:r w:rsidRPr="00734AB6">
              <w:rPr>
                <w:rFonts w:asciiTheme="majorHAnsi" w:hAnsiTheme="majorHAnsi"/>
              </w:rPr>
              <w:t xml:space="preserve">9 (8.49) </w:t>
            </w:r>
          </w:p>
        </w:tc>
      </w:tr>
    </w:tbl>
    <w:p w14:paraId="51117457" w14:textId="77777777" w:rsidR="00772E06" w:rsidRPr="00734AB6" w:rsidRDefault="00772E06"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and not to the whole sample</w:t>
      </w:r>
    </w:p>
    <w:p w14:paraId="25A8FCBB" w14:textId="77777777" w:rsidR="00772E06" w:rsidRPr="00734AB6" w:rsidRDefault="00772E06" w:rsidP="0099584D">
      <w:pPr>
        <w:tabs>
          <w:tab w:val="left" w:pos="426"/>
        </w:tabs>
        <w:spacing w:line="360" w:lineRule="auto"/>
        <w:rPr>
          <w:rFonts w:asciiTheme="majorHAnsi" w:hAnsiTheme="majorHAnsi"/>
        </w:rPr>
      </w:pPr>
    </w:p>
    <w:p w14:paraId="5EF46494" w14:textId="77777777" w:rsidR="00772E06" w:rsidRPr="00734AB6" w:rsidRDefault="00772E06" w:rsidP="00B471B3">
      <w:pPr>
        <w:pStyle w:val="Heading5"/>
        <w:spacing w:after="240" w:line="360" w:lineRule="auto"/>
        <w:rPr>
          <w:b/>
          <w:color w:val="auto"/>
        </w:rPr>
      </w:pPr>
      <w:r w:rsidRPr="00734AB6">
        <w:rPr>
          <w:b/>
          <w:color w:val="auto"/>
        </w:rPr>
        <w:t>3.3.1.1.2</w:t>
      </w:r>
      <w:r w:rsidRPr="00734AB6">
        <w:rPr>
          <w:b/>
          <w:color w:val="auto"/>
        </w:rPr>
        <w:tab/>
        <w:t>Level of education</w:t>
      </w:r>
    </w:p>
    <w:p w14:paraId="60C36904" w14:textId="67EADFAD"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Within the modafinil-only group, the majority of respondents </w:t>
      </w:r>
      <w:r w:rsidR="00446874" w:rsidRPr="00734AB6">
        <w:rPr>
          <w:rFonts w:asciiTheme="majorHAnsi" w:hAnsiTheme="majorHAnsi"/>
        </w:rPr>
        <w:t xml:space="preserve">stated that they </w:t>
      </w:r>
      <w:r w:rsidRPr="00734AB6">
        <w:rPr>
          <w:rFonts w:asciiTheme="majorHAnsi" w:hAnsiTheme="majorHAnsi"/>
        </w:rPr>
        <w:t xml:space="preserve">were university educated (72%, N = 62), and this was also the case for the control group, 55% (N = 58) of whom were university educated. In contrast, </w:t>
      </w:r>
      <w:r w:rsidR="00D95A08" w:rsidRPr="00734AB6">
        <w:rPr>
          <w:rFonts w:asciiTheme="majorHAnsi" w:hAnsiTheme="majorHAnsi"/>
        </w:rPr>
        <w:t xml:space="preserve">the majority of the methylphenidate group (56%, N = 32) reported that they were educated to the age of 18 years, </w:t>
      </w:r>
      <w:r w:rsidR="0090762F" w:rsidRPr="00734AB6">
        <w:rPr>
          <w:rFonts w:asciiTheme="majorHAnsi" w:hAnsiTheme="majorHAnsi"/>
        </w:rPr>
        <w:t>and just</w:t>
      </w:r>
      <w:r w:rsidR="00D95A08" w:rsidRPr="00734AB6">
        <w:rPr>
          <w:rFonts w:asciiTheme="majorHAnsi" w:hAnsiTheme="majorHAnsi"/>
        </w:rPr>
        <w:t xml:space="preserve"> </w:t>
      </w:r>
      <w:r w:rsidRPr="00734AB6">
        <w:rPr>
          <w:rFonts w:asciiTheme="majorHAnsi" w:hAnsiTheme="majorHAnsi"/>
        </w:rPr>
        <w:t xml:space="preserve">40% (N = 23) of </w:t>
      </w:r>
      <w:r w:rsidRPr="00734AB6">
        <w:rPr>
          <w:rFonts w:asciiTheme="majorHAnsi" w:hAnsiTheme="majorHAnsi"/>
        </w:rPr>
        <w:lastRenderedPageBreak/>
        <w:t xml:space="preserve">respondents in </w:t>
      </w:r>
      <w:r w:rsidR="00D95A08" w:rsidRPr="00734AB6">
        <w:rPr>
          <w:rFonts w:asciiTheme="majorHAnsi" w:hAnsiTheme="majorHAnsi"/>
        </w:rPr>
        <w:t xml:space="preserve">the methylphenidate </w:t>
      </w:r>
      <w:r w:rsidRPr="00734AB6">
        <w:rPr>
          <w:rFonts w:asciiTheme="majorHAnsi" w:hAnsiTheme="majorHAnsi"/>
        </w:rPr>
        <w:t>group reported hav</w:t>
      </w:r>
      <w:r w:rsidR="0090762F" w:rsidRPr="00734AB6">
        <w:rPr>
          <w:rFonts w:asciiTheme="majorHAnsi" w:hAnsiTheme="majorHAnsi"/>
        </w:rPr>
        <w:t>ing received university degrees</w:t>
      </w:r>
      <w:r w:rsidRPr="00734AB6">
        <w:rPr>
          <w:rFonts w:asciiTheme="majorHAnsi" w:hAnsiTheme="majorHAnsi"/>
        </w:rPr>
        <w:t xml:space="preserve"> (see Figure </w:t>
      </w:r>
      <w:r w:rsidR="00AD631E" w:rsidRPr="00734AB6">
        <w:rPr>
          <w:rFonts w:asciiTheme="majorHAnsi" w:hAnsiTheme="majorHAnsi"/>
        </w:rPr>
        <w:t>3.</w:t>
      </w:r>
      <w:r w:rsidRPr="00734AB6">
        <w:rPr>
          <w:rFonts w:asciiTheme="majorHAnsi" w:hAnsiTheme="majorHAnsi"/>
        </w:rPr>
        <w:t>1 for full details).</w:t>
      </w:r>
    </w:p>
    <w:p w14:paraId="43A0A3D5" w14:textId="77777777" w:rsidR="00772E06" w:rsidRPr="00734AB6" w:rsidRDefault="00772E06" w:rsidP="0099584D">
      <w:pPr>
        <w:spacing w:line="360" w:lineRule="auto"/>
        <w:ind w:firstLine="709"/>
        <w:rPr>
          <w:rFonts w:asciiTheme="majorHAnsi" w:hAnsiTheme="majorHAnsi"/>
        </w:rPr>
      </w:pPr>
    </w:p>
    <w:p w14:paraId="04B9F301" w14:textId="77777777" w:rsidR="00772E06" w:rsidRPr="00734AB6" w:rsidRDefault="00772E06" w:rsidP="0099584D">
      <w:pPr>
        <w:spacing w:line="360" w:lineRule="auto"/>
        <w:rPr>
          <w:rFonts w:asciiTheme="majorHAnsi" w:hAnsiTheme="majorHAnsi"/>
        </w:rPr>
      </w:pPr>
      <w:r w:rsidRPr="00734AB6">
        <w:rPr>
          <w:rFonts w:asciiTheme="majorHAnsi" w:hAnsiTheme="majorHAnsi"/>
          <w:noProof/>
          <w:color w:val="2E74B5"/>
          <w:lang w:eastAsia="en-GB"/>
        </w:rPr>
        <w:drawing>
          <wp:inline distT="0" distB="0" distL="0" distR="0" wp14:anchorId="0C3F8C39" wp14:editId="1C295C06">
            <wp:extent cx="1828800" cy="2658745"/>
            <wp:effectExtent l="0" t="0" r="0"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34AB6">
        <w:rPr>
          <w:rFonts w:asciiTheme="majorHAnsi" w:hAnsiTheme="majorHAnsi"/>
          <w:noProof/>
          <w:lang w:eastAsia="en-GB"/>
        </w:rPr>
        <w:drawing>
          <wp:inline distT="0" distB="0" distL="0" distR="0" wp14:anchorId="13A5413E" wp14:editId="18DE1DC9">
            <wp:extent cx="1847850" cy="2658745"/>
            <wp:effectExtent l="0" t="0" r="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34AB6">
        <w:rPr>
          <w:rFonts w:asciiTheme="majorHAnsi" w:hAnsiTheme="majorHAnsi"/>
          <w:noProof/>
          <w:lang w:eastAsia="en-GB"/>
        </w:rPr>
        <w:drawing>
          <wp:inline distT="0" distB="0" distL="0" distR="0" wp14:anchorId="24808965" wp14:editId="7FAAE279">
            <wp:extent cx="1809750" cy="2658745"/>
            <wp:effectExtent l="0" t="0" r="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AC31EC" w14:textId="1F2F2554"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Figure </w:t>
      </w:r>
      <w:r w:rsidR="00AD631E" w:rsidRPr="00734AB6">
        <w:rPr>
          <w:rFonts w:asciiTheme="majorHAnsi" w:hAnsiTheme="majorHAnsi"/>
          <w:b/>
        </w:rPr>
        <w:t>3.</w:t>
      </w:r>
      <w:r w:rsidRPr="00734AB6">
        <w:rPr>
          <w:rFonts w:asciiTheme="majorHAnsi" w:hAnsiTheme="majorHAnsi"/>
          <w:b/>
        </w:rPr>
        <w:t>1. Education level by group</w:t>
      </w:r>
    </w:p>
    <w:p w14:paraId="25040C4B" w14:textId="77777777" w:rsidR="00772E06" w:rsidRPr="00734AB6" w:rsidRDefault="00772E06" w:rsidP="0099584D">
      <w:pPr>
        <w:spacing w:line="360" w:lineRule="auto"/>
        <w:rPr>
          <w:rFonts w:asciiTheme="majorHAnsi" w:hAnsiTheme="majorHAnsi"/>
          <w:b/>
        </w:rPr>
      </w:pPr>
    </w:p>
    <w:p w14:paraId="27585FE8" w14:textId="5B81D8B2" w:rsidR="00772E06" w:rsidRPr="00734AB6" w:rsidRDefault="00772E06" w:rsidP="00B471B3">
      <w:pPr>
        <w:pStyle w:val="Heading5"/>
        <w:spacing w:after="240" w:line="360" w:lineRule="auto"/>
        <w:rPr>
          <w:b/>
          <w:color w:val="auto"/>
        </w:rPr>
      </w:pPr>
      <w:r w:rsidRPr="00734AB6">
        <w:rPr>
          <w:b/>
          <w:color w:val="auto"/>
        </w:rPr>
        <w:t>3.3.1.1.3</w:t>
      </w:r>
      <w:r w:rsidRPr="00734AB6">
        <w:rPr>
          <w:b/>
          <w:color w:val="auto"/>
        </w:rPr>
        <w:tab/>
        <w:t xml:space="preserve">Current </w:t>
      </w:r>
      <w:r w:rsidR="004724AE" w:rsidRPr="00734AB6">
        <w:rPr>
          <w:b/>
          <w:color w:val="auto"/>
        </w:rPr>
        <w:t>educational status</w:t>
      </w:r>
    </w:p>
    <w:p w14:paraId="046405C7" w14:textId="1F22F847"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In the modafinil-only group, 48% (N = 41) of respondents stated that they were currently studying for a qualification, of which 16% (N = 14) reported having been educated to either 16 years or 18 years. The majority (42%, N = 36) reported that they were studying for a university degree. This was also the case with the methylphenidate group, 58% (N = 33) of respondents reported that they were currently studying for a qualification, of which 40% (N = 23) reported having been educated to 16 years or 18 years. A total of 39% (N = 22) reported that they were studying for a university degree. The control group also demonstrated this trend, 25% (N = 27) reported that they were currently studying for a qualification, of which 18% (N = 19) comprised those who reported having been educated to 16 years or 18 years. A total of 20% (N = 21) reported that they were studying for a degree (see Table </w:t>
      </w:r>
      <w:r w:rsidR="00316237" w:rsidRPr="00734AB6">
        <w:rPr>
          <w:rFonts w:asciiTheme="majorHAnsi" w:hAnsiTheme="majorHAnsi"/>
        </w:rPr>
        <w:t>3.</w:t>
      </w:r>
      <w:r w:rsidR="00F20606" w:rsidRPr="00734AB6">
        <w:rPr>
          <w:rFonts w:asciiTheme="majorHAnsi" w:hAnsiTheme="majorHAnsi"/>
        </w:rPr>
        <w:t>3</w:t>
      </w:r>
      <w:r w:rsidR="00316237" w:rsidRPr="00734AB6">
        <w:rPr>
          <w:rFonts w:asciiTheme="majorHAnsi" w:hAnsiTheme="majorHAnsi"/>
        </w:rPr>
        <w:t xml:space="preserve"> for</w:t>
      </w:r>
      <w:r w:rsidRPr="00734AB6">
        <w:rPr>
          <w:rFonts w:asciiTheme="majorHAnsi" w:hAnsiTheme="majorHAnsi"/>
        </w:rPr>
        <w:t xml:space="preserve"> full details of respondents reporting their current studies). </w:t>
      </w:r>
    </w:p>
    <w:p w14:paraId="0C3E4324" w14:textId="77777777" w:rsidR="00772E06" w:rsidRPr="00734AB6" w:rsidRDefault="00772E06" w:rsidP="0099584D">
      <w:pPr>
        <w:spacing w:line="360" w:lineRule="auto"/>
        <w:ind w:firstLine="709"/>
        <w:rPr>
          <w:rFonts w:asciiTheme="majorHAnsi" w:hAnsiTheme="majorHAnsi"/>
        </w:rPr>
      </w:pPr>
    </w:p>
    <w:p w14:paraId="66C3181E" w14:textId="77777777" w:rsidR="00606ADE" w:rsidRPr="00734AB6" w:rsidRDefault="00606ADE">
      <w:pPr>
        <w:rPr>
          <w:rFonts w:asciiTheme="majorHAnsi" w:hAnsiTheme="majorHAnsi"/>
          <w:b/>
        </w:rPr>
      </w:pPr>
      <w:r w:rsidRPr="00734AB6">
        <w:rPr>
          <w:rFonts w:asciiTheme="majorHAnsi" w:hAnsiTheme="majorHAnsi"/>
          <w:b/>
        </w:rPr>
        <w:br w:type="page"/>
      </w:r>
    </w:p>
    <w:p w14:paraId="4BA2771F" w14:textId="44114CFB"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 xml:space="preserve">Table </w:t>
      </w:r>
      <w:r w:rsidR="00316237" w:rsidRPr="00734AB6">
        <w:rPr>
          <w:rFonts w:asciiTheme="majorHAnsi" w:hAnsiTheme="majorHAnsi"/>
          <w:b/>
        </w:rPr>
        <w:t>3.</w:t>
      </w:r>
      <w:r w:rsidR="00F20606" w:rsidRPr="00734AB6">
        <w:rPr>
          <w:rFonts w:asciiTheme="majorHAnsi" w:hAnsiTheme="majorHAnsi"/>
          <w:b/>
        </w:rPr>
        <w:t>3</w:t>
      </w:r>
      <w:r w:rsidRPr="00734AB6">
        <w:rPr>
          <w:rFonts w:asciiTheme="majorHAnsi" w:hAnsiTheme="majorHAnsi"/>
          <w:b/>
        </w:rPr>
        <w:t>. Currently studying for a qualification</w:t>
      </w:r>
    </w:p>
    <w:tbl>
      <w:tblPr>
        <w:tblW w:w="7655" w:type="dxa"/>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1560"/>
        <w:gridCol w:w="1842"/>
        <w:gridCol w:w="1418"/>
      </w:tblGrid>
      <w:tr w:rsidR="00772E06" w:rsidRPr="00734AB6" w14:paraId="1D85E905" w14:textId="77777777" w:rsidTr="00426F8A">
        <w:trPr>
          <w:trHeight w:val="281"/>
        </w:trPr>
        <w:tc>
          <w:tcPr>
            <w:tcW w:w="2835" w:type="dxa"/>
          </w:tcPr>
          <w:p w14:paraId="32C0BF32" w14:textId="77777777" w:rsidR="00772E06" w:rsidRPr="00734AB6" w:rsidRDefault="00772E06" w:rsidP="0099584D">
            <w:pPr>
              <w:tabs>
                <w:tab w:val="left" w:pos="1985"/>
                <w:tab w:val="left" w:pos="5812"/>
              </w:tabs>
              <w:spacing w:line="360" w:lineRule="auto"/>
              <w:rPr>
                <w:rFonts w:asciiTheme="majorHAnsi" w:hAnsiTheme="majorHAnsi"/>
                <w:b/>
              </w:rPr>
            </w:pPr>
          </w:p>
        </w:tc>
        <w:tc>
          <w:tcPr>
            <w:tcW w:w="1560" w:type="dxa"/>
          </w:tcPr>
          <w:p w14:paraId="3E0DD687" w14:textId="77777777" w:rsidR="00426F8A" w:rsidRPr="00734AB6" w:rsidRDefault="00772E06" w:rsidP="0099584D">
            <w:pPr>
              <w:spacing w:line="360" w:lineRule="auto"/>
              <w:rPr>
                <w:rFonts w:asciiTheme="majorHAnsi" w:hAnsiTheme="majorHAnsi"/>
                <w:b/>
              </w:rPr>
            </w:pPr>
            <w:r w:rsidRPr="00734AB6">
              <w:rPr>
                <w:rFonts w:asciiTheme="majorHAnsi" w:hAnsiTheme="majorHAnsi"/>
                <w:b/>
              </w:rPr>
              <w:t xml:space="preserve">Modafinil-only </w:t>
            </w:r>
          </w:p>
          <w:p w14:paraId="2773C053" w14:textId="33EBC984"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c>
          <w:tcPr>
            <w:tcW w:w="1842" w:type="dxa"/>
          </w:tcPr>
          <w:p w14:paraId="3A9A57CA" w14:textId="77777777" w:rsidR="00426F8A" w:rsidRPr="00734AB6" w:rsidRDefault="00772E06" w:rsidP="0099584D">
            <w:pPr>
              <w:spacing w:line="360" w:lineRule="auto"/>
              <w:rPr>
                <w:rFonts w:asciiTheme="majorHAnsi" w:hAnsiTheme="majorHAnsi"/>
                <w:b/>
              </w:rPr>
            </w:pPr>
            <w:r w:rsidRPr="00734AB6">
              <w:rPr>
                <w:rFonts w:asciiTheme="majorHAnsi" w:hAnsiTheme="majorHAnsi"/>
                <w:b/>
              </w:rPr>
              <w:t xml:space="preserve">Methylphenidate </w:t>
            </w:r>
          </w:p>
          <w:p w14:paraId="1EA5FDDB" w14:textId="4E26B580"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c>
          <w:tcPr>
            <w:tcW w:w="1418" w:type="dxa"/>
          </w:tcPr>
          <w:p w14:paraId="6FA19791" w14:textId="77777777" w:rsidR="00426F8A" w:rsidRPr="00734AB6" w:rsidRDefault="00772E06" w:rsidP="0099584D">
            <w:pPr>
              <w:spacing w:line="360" w:lineRule="auto"/>
              <w:rPr>
                <w:rFonts w:asciiTheme="majorHAnsi" w:hAnsiTheme="majorHAnsi"/>
                <w:b/>
              </w:rPr>
            </w:pPr>
            <w:r w:rsidRPr="00734AB6">
              <w:rPr>
                <w:rFonts w:asciiTheme="majorHAnsi" w:hAnsiTheme="majorHAnsi"/>
                <w:b/>
              </w:rPr>
              <w:t xml:space="preserve">Control </w:t>
            </w:r>
          </w:p>
          <w:p w14:paraId="61087BE5" w14:textId="25409B81"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r>
      <w:tr w:rsidR="00772E06" w:rsidRPr="00734AB6" w14:paraId="47B8F3B3" w14:textId="77777777" w:rsidTr="00426F8A">
        <w:tc>
          <w:tcPr>
            <w:tcW w:w="2835" w:type="dxa"/>
            <w:tcBorders>
              <w:bottom w:val="single" w:sz="4" w:space="0" w:color="auto"/>
            </w:tcBorders>
          </w:tcPr>
          <w:p w14:paraId="35491CB7" w14:textId="77777777" w:rsidR="00772E06" w:rsidRPr="00734AB6" w:rsidRDefault="00772E06" w:rsidP="0099584D">
            <w:pPr>
              <w:tabs>
                <w:tab w:val="left" w:pos="1985"/>
                <w:tab w:val="left" w:pos="5812"/>
              </w:tabs>
              <w:spacing w:line="360" w:lineRule="auto"/>
              <w:rPr>
                <w:rFonts w:asciiTheme="majorHAnsi" w:hAnsiTheme="majorHAnsi"/>
                <w:b/>
              </w:rPr>
            </w:pPr>
            <w:r w:rsidRPr="00734AB6">
              <w:rPr>
                <w:rFonts w:asciiTheme="majorHAnsi" w:hAnsiTheme="majorHAnsi"/>
                <w:b/>
              </w:rPr>
              <w:t>Currently studying for a qualification</w:t>
            </w:r>
          </w:p>
        </w:tc>
        <w:tc>
          <w:tcPr>
            <w:tcW w:w="1560" w:type="dxa"/>
            <w:tcBorders>
              <w:bottom w:val="single" w:sz="4" w:space="0" w:color="auto"/>
            </w:tcBorders>
          </w:tcPr>
          <w:p w14:paraId="50DF5F49" w14:textId="77777777" w:rsidR="00772E06" w:rsidRPr="00734AB6" w:rsidRDefault="00772E06" w:rsidP="0099584D">
            <w:pPr>
              <w:spacing w:line="360" w:lineRule="auto"/>
              <w:rPr>
                <w:rFonts w:asciiTheme="majorHAnsi" w:hAnsiTheme="majorHAnsi"/>
              </w:rPr>
            </w:pPr>
          </w:p>
        </w:tc>
        <w:tc>
          <w:tcPr>
            <w:tcW w:w="1842" w:type="dxa"/>
            <w:tcBorders>
              <w:bottom w:val="single" w:sz="4" w:space="0" w:color="auto"/>
            </w:tcBorders>
          </w:tcPr>
          <w:p w14:paraId="24576650" w14:textId="77777777" w:rsidR="00772E06" w:rsidRPr="00734AB6" w:rsidRDefault="00772E06" w:rsidP="0099584D">
            <w:pPr>
              <w:spacing w:line="360" w:lineRule="auto"/>
              <w:rPr>
                <w:rFonts w:asciiTheme="majorHAnsi" w:hAnsiTheme="majorHAnsi"/>
              </w:rPr>
            </w:pPr>
          </w:p>
        </w:tc>
        <w:tc>
          <w:tcPr>
            <w:tcW w:w="1418" w:type="dxa"/>
            <w:tcBorders>
              <w:bottom w:val="single" w:sz="4" w:space="0" w:color="auto"/>
            </w:tcBorders>
          </w:tcPr>
          <w:p w14:paraId="47FCC907" w14:textId="77777777" w:rsidR="00772E06" w:rsidRPr="00734AB6" w:rsidRDefault="00772E06" w:rsidP="0099584D">
            <w:pPr>
              <w:spacing w:line="360" w:lineRule="auto"/>
              <w:rPr>
                <w:rFonts w:asciiTheme="majorHAnsi" w:hAnsiTheme="majorHAnsi"/>
              </w:rPr>
            </w:pPr>
          </w:p>
        </w:tc>
      </w:tr>
      <w:tr w:rsidR="00772E06" w:rsidRPr="00734AB6" w14:paraId="535CD958" w14:textId="77777777" w:rsidTr="00426F8A">
        <w:trPr>
          <w:trHeight w:val="304"/>
        </w:trPr>
        <w:tc>
          <w:tcPr>
            <w:tcW w:w="2835" w:type="dxa"/>
            <w:tcBorders>
              <w:bottom w:val="nil"/>
            </w:tcBorders>
          </w:tcPr>
          <w:p w14:paraId="1D69F1EC" w14:textId="77777777" w:rsidR="00772E06" w:rsidRPr="00734AB6" w:rsidRDefault="00772E06" w:rsidP="0099584D">
            <w:pPr>
              <w:spacing w:line="360" w:lineRule="auto"/>
              <w:rPr>
                <w:rFonts w:asciiTheme="majorHAnsi" w:hAnsiTheme="majorHAnsi"/>
              </w:rPr>
            </w:pPr>
            <w:r w:rsidRPr="00734AB6">
              <w:rPr>
                <w:rFonts w:asciiTheme="majorHAnsi" w:hAnsiTheme="majorHAnsi"/>
              </w:rPr>
              <w:t>Yes</w:t>
            </w:r>
            <w:r w:rsidRPr="00734AB6">
              <w:rPr>
                <w:rFonts w:asciiTheme="majorHAnsi" w:hAnsiTheme="majorHAnsi"/>
              </w:rPr>
              <w:tab/>
            </w:r>
          </w:p>
        </w:tc>
        <w:tc>
          <w:tcPr>
            <w:tcW w:w="1560" w:type="dxa"/>
            <w:tcBorders>
              <w:bottom w:val="nil"/>
            </w:tcBorders>
          </w:tcPr>
          <w:p w14:paraId="0472A0B0" w14:textId="3B8A06BA" w:rsidR="00772E06" w:rsidRPr="00734AB6" w:rsidRDefault="004D6644" w:rsidP="0099584D">
            <w:pPr>
              <w:spacing w:line="360" w:lineRule="auto"/>
              <w:rPr>
                <w:rFonts w:asciiTheme="majorHAnsi" w:hAnsiTheme="majorHAnsi"/>
              </w:rPr>
            </w:pPr>
            <w:r w:rsidRPr="00734AB6">
              <w:rPr>
                <w:rFonts w:asciiTheme="majorHAnsi" w:hAnsiTheme="majorHAnsi"/>
              </w:rPr>
              <w:t>41 (47.67</w:t>
            </w:r>
            <w:r w:rsidR="00772E06" w:rsidRPr="00734AB6">
              <w:rPr>
                <w:rFonts w:asciiTheme="majorHAnsi" w:hAnsiTheme="majorHAnsi"/>
              </w:rPr>
              <w:t>)</w:t>
            </w:r>
          </w:p>
        </w:tc>
        <w:tc>
          <w:tcPr>
            <w:tcW w:w="1842" w:type="dxa"/>
            <w:tcBorders>
              <w:bottom w:val="nil"/>
            </w:tcBorders>
          </w:tcPr>
          <w:p w14:paraId="3C8B2B06" w14:textId="7FCEF181" w:rsidR="00772E06" w:rsidRPr="00734AB6" w:rsidRDefault="004D6644" w:rsidP="004D6644">
            <w:pPr>
              <w:spacing w:line="360" w:lineRule="auto"/>
              <w:rPr>
                <w:rFonts w:asciiTheme="majorHAnsi" w:hAnsiTheme="majorHAnsi"/>
              </w:rPr>
            </w:pPr>
            <w:r w:rsidRPr="00734AB6">
              <w:rPr>
                <w:rFonts w:asciiTheme="majorHAnsi" w:hAnsiTheme="majorHAnsi"/>
              </w:rPr>
              <w:t>33 (57.90</w:t>
            </w:r>
            <w:r w:rsidR="00772E06" w:rsidRPr="00734AB6">
              <w:rPr>
                <w:rFonts w:asciiTheme="majorHAnsi" w:hAnsiTheme="majorHAnsi"/>
              </w:rPr>
              <w:t>)</w:t>
            </w:r>
          </w:p>
        </w:tc>
        <w:tc>
          <w:tcPr>
            <w:tcW w:w="1418" w:type="dxa"/>
            <w:tcBorders>
              <w:bottom w:val="nil"/>
            </w:tcBorders>
          </w:tcPr>
          <w:p w14:paraId="41FE49AA" w14:textId="7C6F8985" w:rsidR="00772E06" w:rsidRPr="00734AB6" w:rsidRDefault="004D6644" w:rsidP="0099584D">
            <w:pPr>
              <w:spacing w:line="360" w:lineRule="auto"/>
              <w:rPr>
                <w:rFonts w:asciiTheme="majorHAnsi" w:hAnsiTheme="majorHAnsi"/>
              </w:rPr>
            </w:pPr>
            <w:r w:rsidRPr="00734AB6">
              <w:rPr>
                <w:rFonts w:asciiTheme="majorHAnsi" w:hAnsiTheme="majorHAnsi"/>
              </w:rPr>
              <w:t>27 (</w:t>
            </w:r>
            <w:r w:rsidR="00772E06" w:rsidRPr="00734AB6">
              <w:rPr>
                <w:rFonts w:asciiTheme="majorHAnsi" w:hAnsiTheme="majorHAnsi"/>
              </w:rPr>
              <w:t>2</w:t>
            </w:r>
            <w:r w:rsidRPr="00734AB6">
              <w:rPr>
                <w:rFonts w:asciiTheme="majorHAnsi" w:hAnsiTheme="majorHAnsi"/>
              </w:rPr>
              <w:t>5.47</w:t>
            </w:r>
            <w:r w:rsidR="00772E06" w:rsidRPr="00734AB6">
              <w:rPr>
                <w:rFonts w:asciiTheme="majorHAnsi" w:hAnsiTheme="majorHAnsi"/>
              </w:rPr>
              <w:t>)</w:t>
            </w:r>
          </w:p>
        </w:tc>
      </w:tr>
      <w:tr w:rsidR="00772E06" w:rsidRPr="00734AB6" w14:paraId="1E5D73B7" w14:textId="77777777" w:rsidTr="00426F8A">
        <w:tc>
          <w:tcPr>
            <w:tcW w:w="2835" w:type="dxa"/>
            <w:tcBorders>
              <w:top w:val="nil"/>
            </w:tcBorders>
          </w:tcPr>
          <w:p w14:paraId="2C0AF5F6" w14:textId="77777777" w:rsidR="00772E06" w:rsidRPr="00734AB6" w:rsidRDefault="00772E06" w:rsidP="0099584D">
            <w:pPr>
              <w:spacing w:line="360" w:lineRule="auto"/>
              <w:rPr>
                <w:rFonts w:asciiTheme="majorHAnsi" w:hAnsiTheme="majorHAnsi"/>
              </w:rPr>
            </w:pPr>
            <w:r w:rsidRPr="00734AB6">
              <w:rPr>
                <w:rFonts w:asciiTheme="majorHAnsi" w:hAnsiTheme="majorHAnsi"/>
              </w:rPr>
              <w:t>No</w:t>
            </w:r>
          </w:p>
        </w:tc>
        <w:tc>
          <w:tcPr>
            <w:tcW w:w="1560" w:type="dxa"/>
            <w:tcBorders>
              <w:top w:val="nil"/>
            </w:tcBorders>
          </w:tcPr>
          <w:p w14:paraId="3B8AB4E9" w14:textId="4F8253A0" w:rsidR="00772E06" w:rsidRPr="00734AB6" w:rsidRDefault="004D6644" w:rsidP="0099584D">
            <w:pPr>
              <w:spacing w:line="360" w:lineRule="auto"/>
              <w:rPr>
                <w:rFonts w:asciiTheme="majorHAnsi" w:hAnsiTheme="majorHAnsi"/>
              </w:rPr>
            </w:pPr>
            <w:r w:rsidRPr="00734AB6">
              <w:rPr>
                <w:rFonts w:asciiTheme="majorHAnsi" w:hAnsiTheme="majorHAnsi"/>
              </w:rPr>
              <w:t>45 (52.33</w:t>
            </w:r>
            <w:r w:rsidR="00772E06" w:rsidRPr="00734AB6">
              <w:rPr>
                <w:rFonts w:asciiTheme="majorHAnsi" w:hAnsiTheme="majorHAnsi"/>
              </w:rPr>
              <w:t>)</w:t>
            </w:r>
          </w:p>
        </w:tc>
        <w:tc>
          <w:tcPr>
            <w:tcW w:w="1842" w:type="dxa"/>
            <w:tcBorders>
              <w:top w:val="nil"/>
            </w:tcBorders>
          </w:tcPr>
          <w:p w14:paraId="534B209D" w14:textId="3F606813" w:rsidR="00772E06" w:rsidRPr="00734AB6" w:rsidRDefault="004D6644" w:rsidP="0099584D">
            <w:pPr>
              <w:spacing w:line="360" w:lineRule="auto"/>
              <w:rPr>
                <w:rFonts w:asciiTheme="majorHAnsi" w:hAnsiTheme="majorHAnsi"/>
              </w:rPr>
            </w:pPr>
            <w:r w:rsidRPr="00734AB6">
              <w:rPr>
                <w:rFonts w:asciiTheme="majorHAnsi" w:hAnsiTheme="majorHAnsi"/>
              </w:rPr>
              <w:t>24 (42.11</w:t>
            </w:r>
            <w:r w:rsidR="00772E06" w:rsidRPr="00734AB6">
              <w:rPr>
                <w:rFonts w:asciiTheme="majorHAnsi" w:hAnsiTheme="majorHAnsi"/>
              </w:rPr>
              <w:t>)</w:t>
            </w:r>
          </w:p>
        </w:tc>
        <w:tc>
          <w:tcPr>
            <w:tcW w:w="1418" w:type="dxa"/>
            <w:tcBorders>
              <w:top w:val="nil"/>
            </w:tcBorders>
          </w:tcPr>
          <w:p w14:paraId="042F1C4D" w14:textId="5F60D3E8" w:rsidR="00772E06" w:rsidRPr="00734AB6" w:rsidRDefault="004D6644" w:rsidP="0099584D">
            <w:pPr>
              <w:spacing w:line="360" w:lineRule="auto"/>
              <w:rPr>
                <w:rFonts w:asciiTheme="majorHAnsi" w:hAnsiTheme="majorHAnsi"/>
              </w:rPr>
            </w:pPr>
            <w:r w:rsidRPr="00734AB6">
              <w:rPr>
                <w:rFonts w:asciiTheme="majorHAnsi" w:hAnsiTheme="majorHAnsi"/>
              </w:rPr>
              <w:t>79 (74.53</w:t>
            </w:r>
            <w:r w:rsidR="00772E06" w:rsidRPr="00734AB6">
              <w:rPr>
                <w:rFonts w:asciiTheme="majorHAnsi" w:hAnsiTheme="majorHAnsi"/>
              </w:rPr>
              <w:t>)</w:t>
            </w:r>
          </w:p>
        </w:tc>
      </w:tr>
      <w:tr w:rsidR="00772E06" w:rsidRPr="00734AB6" w14:paraId="349D4F06" w14:textId="77777777" w:rsidTr="00426F8A">
        <w:tc>
          <w:tcPr>
            <w:tcW w:w="2835" w:type="dxa"/>
            <w:tcBorders>
              <w:bottom w:val="single" w:sz="4" w:space="0" w:color="auto"/>
            </w:tcBorders>
          </w:tcPr>
          <w:p w14:paraId="022D00BC"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b/>
              </w:rPr>
              <w:t>Course type</w:t>
            </w:r>
          </w:p>
        </w:tc>
        <w:tc>
          <w:tcPr>
            <w:tcW w:w="1560" w:type="dxa"/>
            <w:tcBorders>
              <w:bottom w:val="single" w:sz="4" w:space="0" w:color="auto"/>
            </w:tcBorders>
          </w:tcPr>
          <w:p w14:paraId="1381EA31" w14:textId="77777777" w:rsidR="00772E06" w:rsidRPr="00734AB6" w:rsidRDefault="00772E06" w:rsidP="0099584D">
            <w:pPr>
              <w:spacing w:line="360" w:lineRule="auto"/>
              <w:rPr>
                <w:rFonts w:asciiTheme="majorHAnsi" w:hAnsiTheme="majorHAnsi"/>
              </w:rPr>
            </w:pPr>
          </w:p>
        </w:tc>
        <w:tc>
          <w:tcPr>
            <w:tcW w:w="1842" w:type="dxa"/>
            <w:tcBorders>
              <w:bottom w:val="single" w:sz="4" w:space="0" w:color="auto"/>
            </w:tcBorders>
          </w:tcPr>
          <w:p w14:paraId="7A020EA0" w14:textId="77777777" w:rsidR="00772E06" w:rsidRPr="00734AB6" w:rsidRDefault="00772E06" w:rsidP="0099584D">
            <w:pPr>
              <w:spacing w:line="360" w:lineRule="auto"/>
              <w:rPr>
                <w:rFonts w:asciiTheme="majorHAnsi" w:hAnsiTheme="majorHAnsi"/>
              </w:rPr>
            </w:pPr>
          </w:p>
        </w:tc>
        <w:tc>
          <w:tcPr>
            <w:tcW w:w="1418" w:type="dxa"/>
            <w:tcBorders>
              <w:bottom w:val="single" w:sz="4" w:space="0" w:color="auto"/>
            </w:tcBorders>
          </w:tcPr>
          <w:p w14:paraId="3BF80324" w14:textId="77777777" w:rsidR="00772E06" w:rsidRPr="00734AB6" w:rsidRDefault="00772E06" w:rsidP="0099584D">
            <w:pPr>
              <w:spacing w:line="360" w:lineRule="auto"/>
              <w:rPr>
                <w:rFonts w:asciiTheme="majorHAnsi" w:hAnsiTheme="majorHAnsi"/>
              </w:rPr>
            </w:pPr>
          </w:p>
        </w:tc>
      </w:tr>
      <w:tr w:rsidR="00772E06" w:rsidRPr="00734AB6" w14:paraId="2A17083F" w14:textId="77777777" w:rsidTr="00426F8A">
        <w:tc>
          <w:tcPr>
            <w:tcW w:w="2835" w:type="dxa"/>
            <w:tcBorders>
              <w:bottom w:val="nil"/>
            </w:tcBorders>
          </w:tcPr>
          <w:p w14:paraId="11ED75F2"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rPr>
              <w:t>Vocational</w:t>
            </w:r>
          </w:p>
        </w:tc>
        <w:tc>
          <w:tcPr>
            <w:tcW w:w="1560" w:type="dxa"/>
            <w:tcBorders>
              <w:bottom w:val="nil"/>
            </w:tcBorders>
          </w:tcPr>
          <w:p w14:paraId="5DD27371" w14:textId="2D957053" w:rsidR="00772E06" w:rsidRPr="00734AB6" w:rsidRDefault="004D6644" w:rsidP="0099584D">
            <w:pPr>
              <w:spacing w:line="360" w:lineRule="auto"/>
              <w:rPr>
                <w:rFonts w:asciiTheme="majorHAnsi" w:hAnsiTheme="majorHAnsi"/>
              </w:rPr>
            </w:pPr>
            <w:r w:rsidRPr="00734AB6">
              <w:rPr>
                <w:rFonts w:asciiTheme="majorHAnsi" w:hAnsiTheme="majorHAnsi"/>
              </w:rPr>
              <w:t>2 (2.33</w:t>
            </w:r>
            <w:r w:rsidR="00772E06" w:rsidRPr="00734AB6">
              <w:rPr>
                <w:rFonts w:asciiTheme="majorHAnsi" w:hAnsiTheme="majorHAnsi"/>
              </w:rPr>
              <w:t xml:space="preserve">) </w:t>
            </w:r>
          </w:p>
        </w:tc>
        <w:tc>
          <w:tcPr>
            <w:tcW w:w="1842" w:type="dxa"/>
            <w:tcBorders>
              <w:bottom w:val="nil"/>
            </w:tcBorders>
          </w:tcPr>
          <w:p w14:paraId="6DA3AE88" w14:textId="0DC2E097" w:rsidR="00772E06" w:rsidRPr="00734AB6" w:rsidRDefault="004D6644" w:rsidP="0099584D">
            <w:pPr>
              <w:spacing w:line="360" w:lineRule="auto"/>
              <w:rPr>
                <w:rFonts w:asciiTheme="majorHAnsi" w:hAnsiTheme="majorHAnsi"/>
              </w:rPr>
            </w:pPr>
            <w:r w:rsidRPr="00734AB6">
              <w:rPr>
                <w:rFonts w:asciiTheme="majorHAnsi" w:hAnsiTheme="majorHAnsi"/>
              </w:rPr>
              <w:t>2 (3.51</w:t>
            </w:r>
            <w:r w:rsidR="00772E06" w:rsidRPr="00734AB6">
              <w:rPr>
                <w:rFonts w:asciiTheme="majorHAnsi" w:hAnsiTheme="majorHAnsi"/>
              </w:rPr>
              <w:t>)</w:t>
            </w:r>
          </w:p>
        </w:tc>
        <w:tc>
          <w:tcPr>
            <w:tcW w:w="1418" w:type="dxa"/>
            <w:tcBorders>
              <w:bottom w:val="nil"/>
            </w:tcBorders>
          </w:tcPr>
          <w:p w14:paraId="3B6B9A9B" w14:textId="77777777" w:rsidR="00772E06" w:rsidRPr="00734AB6" w:rsidRDefault="00772E06" w:rsidP="0099584D">
            <w:pPr>
              <w:spacing w:line="360" w:lineRule="auto"/>
              <w:rPr>
                <w:rFonts w:asciiTheme="majorHAnsi" w:hAnsiTheme="majorHAnsi"/>
              </w:rPr>
            </w:pPr>
            <w:r w:rsidRPr="00734AB6">
              <w:rPr>
                <w:rFonts w:asciiTheme="majorHAnsi" w:hAnsiTheme="majorHAnsi"/>
              </w:rPr>
              <w:t>-</w:t>
            </w:r>
          </w:p>
        </w:tc>
      </w:tr>
      <w:tr w:rsidR="00772E06" w:rsidRPr="00734AB6" w14:paraId="7C33DF90" w14:textId="77777777" w:rsidTr="00426F8A">
        <w:tc>
          <w:tcPr>
            <w:tcW w:w="2835" w:type="dxa"/>
            <w:tcBorders>
              <w:top w:val="nil"/>
              <w:bottom w:val="nil"/>
            </w:tcBorders>
          </w:tcPr>
          <w:p w14:paraId="50A42DDB"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rPr>
              <w:t>CPD</w:t>
            </w:r>
          </w:p>
        </w:tc>
        <w:tc>
          <w:tcPr>
            <w:tcW w:w="1560" w:type="dxa"/>
            <w:tcBorders>
              <w:top w:val="nil"/>
              <w:bottom w:val="nil"/>
            </w:tcBorders>
          </w:tcPr>
          <w:p w14:paraId="458003A6" w14:textId="1A2193FF" w:rsidR="00772E06" w:rsidRPr="00734AB6" w:rsidRDefault="004D6644" w:rsidP="0099584D">
            <w:pPr>
              <w:spacing w:line="360" w:lineRule="auto"/>
              <w:rPr>
                <w:rFonts w:asciiTheme="majorHAnsi" w:hAnsiTheme="majorHAnsi"/>
              </w:rPr>
            </w:pPr>
            <w:r w:rsidRPr="00734AB6">
              <w:rPr>
                <w:rFonts w:asciiTheme="majorHAnsi" w:hAnsiTheme="majorHAnsi"/>
              </w:rPr>
              <w:t>3 (3.49</w:t>
            </w:r>
            <w:r w:rsidR="00772E06" w:rsidRPr="00734AB6">
              <w:rPr>
                <w:rFonts w:asciiTheme="majorHAnsi" w:hAnsiTheme="majorHAnsi"/>
              </w:rPr>
              <w:t>)</w:t>
            </w:r>
          </w:p>
        </w:tc>
        <w:tc>
          <w:tcPr>
            <w:tcW w:w="1842" w:type="dxa"/>
            <w:tcBorders>
              <w:top w:val="nil"/>
              <w:bottom w:val="nil"/>
            </w:tcBorders>
          </w:tcPr>
          <w:p w14:paraId="5B18D005" w14:textId="5E2F3039" w:rsidR="00772E06" w:rsidRPr="00734AB6" w:rsidRDefault="004D6644" w:rsidP="0099584D">
            <w:pPr>
              <w:spacing w:line="360" w:lineRule="auto"/>
              <w:rPr>
                <w:rFonts w:asciiTheme="majorHAnsi" w:hAnsiTheme="majorHAnsi"/>
              </w:rPr>
            </w:pPr>
            <w:r w:rsidRPr="00734AB6">
              <w:rPr>
                <w:rFonts w:asciiTheme="majorHAnsi" w:hAnsiTheme="majorHAnsi"/>
              </w:rPr>
              <w:t>3 (5.26</w:t>
            </w:r>
            <w:r w:rsidR="00772E06" w:rsidRPr="00734AB6">
              <w:rPr>
                <w:rFonts w:asciiTheme="majorHAnsi" w:hAnsiTheme="majorHAnsi"/>
              </w:rPr>
              <w:t>)</w:t>
            </w:r>
          </w:p>
        </w:tc>
        <w:tc>
          <w:tcPr>
            <w:tcW w:w="1418" w:type="dxa"/>
            <w:tcBorders>
              <w:top w:val="nil"/>
              <w:bottom w:val="nil"/>
            </w:tcBorders>
          </w:tcPr>
          <w:p w14:paraId="61F12C0D" w14:textId="77777777" w:rsidR="00772E06" w:rsidRPr="00734AB6" w:rsidRDefault="00772E06" w:rsidP="0099584D">
            <w:pPr>
              <w:spacing w:line="360" w:lineRule="auto"/>
              <w:rPr>
                <w:rFonts w:asciiTheme="majorHAnsi" w:hAnsiTheme="majorHAnsi"/>
              </w:rPr>
            </w:pPr>
            <w:r w:rsidRPr="00734AB6">
              <w:rPr>
                <w:rFonts w:asciiTheme="majorHAnsi" w:hAnsiTheme="majorHAnsi"/>
              </w:rPr>
              <w:t>-</w:t>
            </w:r>
          </w:p>
        </w:tc>
      </w:tr>
      <w:tr w:rsidR="00772E06" w:rsidRPr="00734AB6" w14:paraId="06AB58B1" w14:textId="77777777" w:rsidTr="00426F8A">
        <w:tc>
          <w:tcPr>
            <w:tcW w:w="2835" w:type="dxa"/>
            <w:tcBorders>
              <w:top w:val="nil"/>
              <w:bottom w:val="nil"/>
            </w:tcBorders>
          </w:tcPr>
          <w:p w14:paraId="6D148647"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rPr>
              <w:t>A Levels</w:t>
            </w:r>
          </w:p>
        </w:tc>
        <w:tc>
          <w:tcPr>
            <w:tcW w:w="1560" w:type="dxa"/>
            <w:tcBorders>
              <w:top w:val="nil"/>
              <w:bottom w:val="nil"/>
            </w:tcBorders>
          </w:tcPr>
          <w:p w14:paraId="47705272" w14:textId="77777777" w:rsidR="00772E06" w:rsidRPr="00734AB6" w:rsidRDefault="00772E06" w:rsidP="0099584D">
            <w:pPr>
              <w:spacing w:line="360" w:lineRule="auto"/>
              <w:rPr>
                <w:rFonts w:asciiTheme="majorHAnsi" w:hAnsiTheme="majorHAnsi"/>
              </w:rPr>
            </w:pPr>
            <w:r w:rsidRPr="00734AB6">
              <w:rPr>
                <w:rFonts w:asciiTheme="majorHAnsi" w:hAnsiTheme="majorHAnsi"/>
              </w:rPr>
              <w:t>-</w:t>
            </w:r>
          </w:p>
        </w:tc>
        <w:tc>
          <w:tcPr>
            <w:tcW w:w="1842" w:type="dxa"/>
            <w:tcBorders>
              <w:top w:val="nil"/>
              <w:bottom w:val="nil"/>
            </w:tcBorders>
          </w:tcPr>
          <w:p w14:paraId="3B17B49C" w14:textId="41C027CF" w:rsidR="00772E06" w:rsidRPr="00734AB6" w:rsidRDefault="004D6644" w:rsidP="0099584D">
            <w:pPr>
              <w:spacing w:line="360" w:lineRule="auto"/>
              <w:rPr>
                <w:rFonts w:asciiTheme="majorHAnsi" w:hAnsiTheme="majorHAnsi"/>
              </w:rPr>
            </w:pPr>
            <w:r w:rsidRPr="00734AB6">
              <w:rPr>
                <w:rFonts w:asciiTheme="majorHAnsi" w:hAnsiTheme="majorHAnsi"/>
              </w:rPr>
              <w:t>6 (10.53</w:t>
            </w:r>
            <w:r w:rsidR="00772E06" w:rsidRPr="00734AB6">
              <w:rPr>
                <w:rFonts w:asciiTheme="majorHAnsi" w:hAnsiTheme="majorHAnsi"/>
              </w:rPr>
              <w:t xml:space="preserve">) </w:t>
            </w:r>
          </w:p>
        </w:tc>
        <w:tc>
          <w:tcPr>
            <w:tcW w:w="1418" w:type="dxa"/>
            <w:tcBorders>
              <w:top w:val="nil"/>
              <w:bottom w:val="nil"/>
            </w:tcBorders>
          </w:tcPr>
          <w:p w14:paraId="17788C4E" w14:textId="0BC63E81" w:rsidR="00772E06" w:rsidRPr="00734AB6" w:rsidRDefault="004D6644" w:rsidP="0099584D">
            <w:pPr>
              <w:spacing w:line="360" w:lineRule="auto"/>
              <w:rPr>
                <w:rFonts w:asciiTheme="majorHAnsi" w:hAnsiTheme="majorHAnsi"/>
              </w:rPr>
            </w:pPr>
            <w:r w:rsidRPr="00734AB6">
              <w:rPr>
                <w:rFonts w:asciiTheme="majorHAnsi" w:hAnsiTheme="majorHAnsi"/>
              </w:rPr>
              <w:t>6 (5.66</w:t>
            </w:r>
            <w:r w:rsidR="00772E06" w:rsidRPr="00734AB6">
              <w:rPr>
                <w:rFonts w:asciiTheme="majorHAnsi" w:hAnsiTheme="majorHAnsi"/>
              </w:rPr>
              <w:t>)</w:t>
            </w:r>
          </w:p>
        </w:tc>
      </w:tr>
      <w:tr w:rsidR="00772E06" w:rsidRPr="00734AB6" w14:paraId="4F07F765" w14:textId="77777777" w:rsidTr="00426F8A">
        <w:tc>
          <w:tcPr>
            <w:tcW w:w="2835" w:type="dxa"/>
            <w:tcBorders>
              <w:top w:val="nil"/>
              <w:bottom w:val="nil"/>
            </w:tcBorders>
          </w:tcPr>
          <w:p w14:paraId="7676354C"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rPr>
              <w:t>University Bachelor's Programme</w:t>
            </w:r>
          </w:p>
        </w:tc>
        <w:tc>
          <w:tcPr>
            <w:tcW w:w="1560" w:type="dxa"/>
            <w:tcBorders>
              <w:top w:val="nil"/>
              <w:bottom w:val="nil"/>
            </w:tcBorders>
          </w:tcPr>
          <w:p w14:paraId="2FE78AE3" w14:textId="7A1EE342" w:rsidR="00772E06" w:rsidRPr="00734AB6" w:rsidRDefault="004D6644" w:rsidP="0099584D">
            <w:pPr>
              <w:spacing w:line="360" w:lineRule="auto"/>
              <w:rPr>
                <w:rFonts w:asciiTheme="majorHAnsi" w:hAnsiTheme="majorHAnsi"/>
              </w:rPr>
            </w:pPr>
            <w:r w:rsidRPr="00734AB6">
              <w:rPr>
                <w:rFonts w:asciiTheme="majorHAnsi" w:hAnsiTheme="majorHAnsi"/>
              </w:rPr>
              <w:t>18 (20.93</w:t>
            </w:r>
            <w:r w:rsidR="00772E06" w:rsidRPr="00734AB6">
              <w:rPr>
                <w:rFonts w:asciiTheme="majorHAnsi" w:hAnsiTheme="majorHAnsi"/>
              </w:rPr>
              <w:t>)</w:t>
            </w:r>
          </w:p>
        </w:tc>
        <w:tc>
          <w:tcPr>
            <w:tcW w:w="1842" w:type="dxa"/>
            <w:tcBorders>
              <w:top w:val="nil"/>
              <w:bottom w:val="nil"/>
            </w:tcBorders>
          </w:tcPr>
          <w:p w14:paraId="60C7FE0E" w14:textId="02982CAE" w:rsidR="00772E06" w:rsidRPr="00734AB6" w:rsidRDefault="004D6644" w:rsidP="0099584D">
            <w:pPr>
              <w:spacing w:line="360" w:lineRule="auto"/>
              <w:rPr>
                <w:rFonts w:asciiTheme="majorHAnsi" w:hAnsiTheme="majorHAnsi"/>
              </w:rPr>
            </w:pPr>
            <w:r w:rsidRPr="00734AB6">
              <w:rPr>
                <w:rFonts w:asciiTheme="majorHAnsi" w:hAnsiTheme="majorHAnsi"/>
              </w:rPr>
              <w:t>14 (24.56</w:t>
            </w:r>
            <w:r w:rsidR="00772E06" w:rsidRPr="00734AB6">
              <w:rPr>
                <w:rFonts w:asciiTheme="majorHAnsi" w:hAnsiTheme="majorHAnsi"/>
              </w:rPr>
              <w:t>)</w:t>
            </w:r>
          </w:p>
        </w:tc>
        <w:tc>
          <w:tcPr>
            <w:tcW w:w="1418" w:type="dxa"/>
            <w:tcBorders>
              <w:top w:val="nil"/>
              <w:bottom w:val="nil"/>
            </w:tcBorders>
          </w:tcPr>
          <w:p w14:paraId="736A45E2" w14:textId="300D8769" w:rsidR="00772E06" w:rsidRPr="00734AB6" w:rsidRDefault="004D6644" w:rsidP="004D6644">
            <w:pPr>
              <w:spacing w:line="360" w:lineRule="auto"/>
              <w:rPr>
                <w:rFonts w:asciiTheme="majorHAnsi" w:hAnsiTheme="majorHAnsi"/>
              </w:rPr>
            </w:pPr>
            <w:r w:rsidRPr="00734AB6">
              <w:rPr>
                <w:rFonts w:asciiTheme="majorHAnsi" w:hAnsiTheme="majorHAnsi"/>
              </w:rPr>
              <w:t>18 (16.98</w:t>
            </w:r>
            <w:r w:rsidR="00772E06" w:rsidRPr="00734AB6">
              <w:rPr>
                <w:rFonts w:asciiTheme="majorHAnsi" w:hAnsiTheme="majorHAnsi"/>
              </w:rPr>
              <w:t>)</w:t>
            </w:r>
          </w:p>
        </w:tc>
      </w:tr>
      <w:tr w:rsidR="00772E06" w:rsidRPr="00734AB6" w14:paraId="3EC7AD43" w14:textId="77777777" w:rsidTr="00426F8A">
        <w:tc>
          <w:tcPr>
            <w:tcW w:w="2835" w:type="dxa"/>
            <w:tcBorders>
              <w:top w:val="nil"/>
              <w:bottom w:val="nil"/>
            </w:tcBorders>
          </w:tcPr>
          <w:p w14:paraId="7FAAC71D"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rPr>
              <w:t>University Master's Programme</w:t>
            </w:r>
          </w:p>
        </w:tc>
        <w:tc>
          <w:tcPr>
            <w:tcW w:w="1560" w:type="dxa"/>
            <w:tcBorders>
              <w:top w:val="nil"/>
              <w:bottom w:val="nil"/>
            </w:tcBorders>
          </w:tcPr>
          <w:p w14:paraId="55A5932D" w14:textId="30F080DC" w:rsidR="00772E06" w:rsidRPr="00734AB6" w:rsidRDefault="004D6644" w:rsidP="0099584D">
            <w:pPr>
              <w:spacing w:line="360" w:lineRule="auto"/>
              <w:rPr>
                <w:rFonts w:asciiTheme="majorHAnsi" w:hAnsiTheme="majorHAnsi"/>
              </w:rPr>
            </w:pPr>
            <w:r w:rsidRPr="00734AB6">
              <w:rPr>
                <w:rFonts w:asciiTheme="majorHAnsi" w:hAnsiTheme="majorHAnsi"/>
              </w:rPr>
              <w:t>11 (12.79</w:t>
            </w:r>
            <w:r w:rsidR="00772E06" w:rsidRPr="00734AB6">
              <w:rPr>
                <w:rFonts w:asciiTheme="majorHAnsi" w:hAnsiTheme="majorHAnsi"/>
              </w:rPr>
              <w:t>)</w:t>
            </w:r>
          </w:p>
        </w:tc>
        <w:tc>
          <w:tcPr>
            <w:tcW w:w="1842" w:type="dxa"/>
            <w:tcBorders>
              <w:top w:val="nil"/>
              <w:bottom w:val="nil"/>
            </w:tcBorders>
          </w:tcPr>
          <w:p w14:paraId="4C0C1810" w14:textId="71AAE6C7" w:rsidR="00772E06" w:rsidRPr="00734AB6" w:rsidRDefault="004D6644" w:rsidP="0099584D">
            <w:pPr>
              <w:spacing w:line="360" w:lineRule="auto"/>
              <w:rPr>
                <w:rFonts w:asciiTheme="majorHAnsi" w:hAnsiTheme="majorHAnsi"/>
              </w:rPr>
            </w:pPr>
            <w:r w:rsidRPr="00734AB6">
              <w:rPr>
                <w:rFonts w:asciiTheme="majorHAnsi" w:hAnsiTheme="majorHAnsi"/>
              </w:rPr>
              <w:t>5 (8.77</w:t>
            </w:r>
            <w:r w:rsidR="00772E06" w:rsidRPr="00734AB6">
              <w:rPr>
                <w:rFonts w:asciiTheme="majorHAnsi" w:hAnsiTheme="majorHAnsi"/>
              </w:rPr>
              <w:t>)</w:t>
            </w:r>
          </w:p>
        </w:tc>
        <w:tc>
          <w:tcPr>
            <w:tcW w:w="1418" w:type="dxa"/>
            <w:tcBorders>
              <w:top w:val="nil"/>
              <w:bottom w:val="nil"/>
            </w:tcBorders>
          </w:tcPr>
          <w:p w14:paraId="0703FB2D" w14:textId="0CF9C368" w:rsidR="00772E06" w:rsidRPr="00734AB6" w:rsidRDefault="004D6644" w:rsidP="0099584D">
            <w:pPr>
              <w:spacing w:line="360" w:lineRule="auto"/>
              <w:rPr>
                <w:rFonts w:asciiTheme="majorHAnsi" w:hAnsiTheme="majorHAnsi"/>
              </w:rPr>
            </w:pPr>
            <w:r w:rsidRPr="00734AB6">
              <w:rPr>
                <w:rFonts w:asciiTheme="majorHAnsi" w:hAnsiTheme="majorHAnsi"/>
              </w:rPr>
              <w:t>3 (2.83</w:t>
            </w:r>
            <w:r w:rsidR="00772E06" w:rsidRPr="00734AB6">
              <w:rPr>
                <w:rFonts w:asciiTheme="majorHAnsi" w:hAnsiTheme="majorHAnsi"/>
              </w:rPr>
              <w:t>)</w:t>
            </w:r>
          </w:p>
        </w:tc>
      </w:tr>
      <w:tr w:rsidR="00772E06" w:rsidRPr="00734AB6" w14:paraId="6B002ED0" w14:textId="77777777" w:rsidTr="00426F8A">
        <w:tc>
          <w:tcPr>
            <w:tcW w:w="2835" w:type="dxa"/>
            <w:tcBorders>
              <w:top w:val="nil"/>
            </w:tcBorders>
          </w:tcPr>
          <w:p w14:paraId="0D4EBADC" w14:textId="77777777" w:rsidR="00772E06" w:rsidRPr="00734AB6" w:rsidRDefault="00772E06" w:rsidP="0099584D">
            <w:pPr>
              <w:tabs>
                <w:tab w:val="left" w:pos="993"/>
                <w:tab w:val="left" w:pos="5812"/>
              </w:tabs>
              <w:spacing w:line="360" w:lineRule="auto"/>
              <w:rPr>
                <w:rFonts w:asciiTheme="majorHAnsi" w:hAnsiTheme="majorHAnsi"/>
                <w:b/>
              </w:rPr>
            </w:pPr>
            <w:r w:rsidRPr="00734AB6">
              <w:rPr>
                <w:rFonts w:asciiTheme="majorHAnsi" w:hAnsiTheme="majorHAnsi"/>
              </w:rPr>
              <w:t>Doctoral Studies</w:t>
            </w:r>
          </w:p>
        </w:tc>
        <w:tc>
          <w:tcPr>
            <w:tcW w:w="1560" w:type="dxa"/>
            <w:tcBorders>
              <w:top w:val="nil"/>
            </w:tcBorders>
          </w:tcPr>
          <w:p w14:paraId="20634365" w14:textId="67E743F2" w:rsidR="00772E06" w:rsidRPr="00734AB6" w:rsidRDefault="004D6644" w:rsidP="0099584D">
            <w:pPr>
              <w:spacing w:line="360" w:lineRule="auto"/>
              <w:rPr>
                <w:rFonts w:asciiTheme="majorHAnsi" w:hAnsiTheme="majorHAnsi"/>
              </w:rPr>
            </w:pPr>
            <w:r w:rsidRPr="00734AB6">
              <w:rPr>
                <w:rFonts w:asciiTheme="majorHAnsi" w:hAnsiTheme="majorHAnsi"/>
              </w:rPr>
              <w:t>7 (8.14</w:t>
            </w:r>
            <w:r w:rsidR="00772E06" w:rsidRPr="00734AB6">
              <w:rPr>
                <w:rFonts w:asciiTheme="majorHAnsi" w:hAnsiTheme="majorHAnsi"/>
              </w:rPr>
              <w:t>)</w:t>
            </w:r>
          </w:p>
        </w:tc>
        <w:tc>
          <w:tcPr>
            <w:tcW w:w="1842" w:type="dxa"/>
            <w:tcBorders>
              <w:top w:val="nil"/>
            </w:tcBorders>
          </w:tcPr>
          <w:p w14:paraId="1B1D3962" w14:textId="1055B704" w:rsidR="00772E06" w:rsidRPr="00734AB6" w:rsidRDefault="004D6644" w:rsidP="0099584D">
            <w:pPr>
              <w:spacing w:line="360" w:lineRule="auto"/>
              <w:rPr>
                <w:rFonts w:asciiTheme="majorHAnsi" w:hAnsiTheme="majorHAnsi"/>
              </w:rPr>
            </w:pPr>
            <w:r w:rsidRPr="00734AB6">
              <w:rPr>
                <w:rFonts w:asciiTheme="majorHAnsi" w:hAnsiTheme="majorHAnsi"/>
              </w:rPr>
              <w:t>3 (5.26</w:t>
            </w:r>
            <w:r w:rsidR="00772E06" w:rsidRPr="00734AB6">
              <w:rPr>
                <w:rFonts w:asciiTheme="majorHAnsi" w:hAnsiTheme="majorHAnsi"/>
              </w:rPr>
              <w:t>)</w:t>
            </w:r>
          </w:p>
        </w:tc>
        <w:tc>
          <w:tcPr>
            <w:tcW w:w="1418" w:type="dxa"/>
            <w:tcBorders>
              <w:top w:val="nil"/>
            </w:tcBorders>
          </w:tcPr>
          <w:p w14:paraId="4B2F2736" w14:textId="77777777" w:rsidR="00772E06" w:rsidRPr="00734AB6" w:rsidRDefault="00772E06" w:rsidP="0099584D">
            <w:pPr>
              <w:spacing w:line="360" w:lineRule="auto"/>
              <w:rPr>
                <w:rFonts w:asciiTheme="majorHAnsi" w:hAnsiTheme="majorHAnsi"/>
              </w:rPr>
            </w:pPr>
            <w:r w:rsidRPr="00734AB6">
              <w:rPr>
                <w:rFonts w:asciiTheme="majorHAnsi" w:hAnsiTheme="majorHAnsi"/>
              </w:rPr>
              <w:t>-</w:t>
            </w:r>
          </w:p>
        </w:tc>
      </w:tr>
    </w:tbl>
    <w:p w14:paraId="0110C67F" w14:textId="77777777" w:rsidR="00772E06" w:rsidRPr="00734AB6" w:rsidRDefault="00772E06"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and not to the whole sample</w:t>
      </w:r>
    </w:p>
    <w:p w14:paraId="0E45CEA0" w14:textId="77777777" w:rsidR="00B471B3" w:rsidRPr="00734AB6" w:rsidRDefault="00B471B3" w:rsidP="0099584D">
      <w:pPr>
        <w:tabs>
          <w:tab w:val="left" w:pos="426"/>
        </w:tabs>
        <w:spacing w:line="360" w:lineRule="auto"/>
        <w:rPr>
          <w:rFonts w:asciiTheme="majorHAnsi" w:hAnsiTheme="majorHAnsi"/>
        </w:rPr>
      </w:pPr>
    </w:p>
    <w:p w14:paraId="7B9B9D05" w14:textId="77777777" w:rsidR="00772E06" w:rsidRPr="00734AB6" w:rsidRDefault="00772E06" w:rsidP="00B471B3">
      <w:pPr>
        <w:pStyle w:val="Heading5"/>
        <w:spacing w:after="240" w:line="360" w:lineRule="auto"/>
        <w:rPr>
          <w:b/>
          <w:color w:val="auto"/>
        </w:rPr>
      </w:pPr>
      <w:r w:rsidRPr="00734AB6">
        <w:rPr>
          <w:b/>
          <w:color w:val="auto"/>
        </w:rPr>
        <w:t>3.3.1.1.4</w:t>
      </w:r>
      <w:r w:rsidRPr="00734AB6">
        <w:rPr>
          <w:b/>
          <w:color w:val="auto"/>
        </w:rPr>
        <w:tab/>
        <w:t>Employment</w:t>
      </w:r>
    </w:p>
    <w:p w14:paraId="1BE3D370" w14:textId="628BC0AB" w:rsidR="00772E06" w:rsidRPr="00734AB6" w:rsidRDefault="00772E06" w:rsidP="0099584D">
      <w:pPr>
        <w:spacing w:before="240" w:line="360" w:lineRule="auto"/>
        <w:ind w:firstLine="709"/>
        <w:rPr>
          <w:rFonts w:asciiTheme="majorHAnsi" w:hAnsiTheme="majorHAnsi"/>
        </w:rPr>
      </w:pPr>
      <w:r w:rsidRPr="00734AB6">
        <w:rPr>
          <w:rFonts w:asciiTheme="majorHAnsi" w:hAnsiTheme="majorHAnsi"/>
        </w:rPr>
        <w:t>The majority of modafinil-only respondents reported being in employment (70%, N = 60), with 50% (N = 43) of respondents stating they were in full-time employment and 20% (N = 17) stating they were in part-time employment and just 29% (N =25) reported that they were unemployed. The majority of the self-identified unemployed respondents stated that they were studying</w:t>
      </w:r>
      <w:r w:rsidR="00B34DB8" w:rsidRPr="00734AB6">
        <w:rPr>
          <w:rFonts w:asciiTheme="majorHAnsi" w:hAnsiTheme="majorHAnsi"/>
        </w:rPr>
        <w:t xml:space="preserve"> currently</w:t>
      </w:r>
      <w:r w:rsidRPr="00734AB6">
        <w:rPr>
          <w:rFonts w:asciiTheme="majorHAnsi" w:hAnsiTheme="majorHAnsi"/>
        </w:rPr>
        <w:t xml:space="preserve"> (21%, N = 18). Further details on the study status of the unemployed respondents can be found in Figure </w:t>
      </w:r>
      <w:r w:rsidR="00AD631E" w:rsidRPr="00734AB6">
        <w:rPr>
          <w:rFonts w:asciiTheme="majorHAnsi" w:hAnsiTheme="majorHAnsi"/>
        </w:rPr>
        <w:t>3.</w:t>
      </w:r>
      <w:r w:rsidRPr="00734AB6">
        <w:rPr>
          <w:rFonts w:asciiTheme="majorHAnsi" w:hAnsiTheme="majorHAnsi"/>
        </w:rPr>
        <w:t xml:space="preserve">2. The majority of the methylphenidate respondents also reported being in employment (54%, N = 31), 35% (N = 20) reported being in full-time employment and 19% (N = 11) reported being in part-time employment and </w:t>
      </w:r>
      <w:r w:rsidR="007F71C4" w:rsidRPr="00734AB6">
        <w:rPr>
          <w:rFonts w:asciiTheme="majorHAnsi" w:hAnsiTheme="majorHAnsi"/>
        </w:rPr>
        <w:t>44</w:t>
      </w:r>
      <w:r w:rsidRPr="00734AB6">
        <w:rPr>
          <w:rFonts w:asciiTheme="majorHAnsi" w:hAnsiTheme="majorHAnsi"/>
        </w:rPr>
        <w:t xml:space="preserve">% (N = 25) reported being unemployed. The majority of reported unemployed methylphenidate users stated that they were studying (16%, N = 17). The majority of the control group reported being employed (65%, N = 69), 45% (N = 48) of whom stated that they were in full-time employment </w:t>
      </w:r>
      <w:r w:rsidRPr="00734AB6">
        <w:rPr>
          <w:rFonts w:asciiTheme="majorHAnsi" w:hAnsiTheme="majorHAnsi"/>
        </w:rPr>
        <w:lastRenderedPageBreak/>
        <w:t xml:space="preserve">and 20% (N = 21) </w:t>
      </w:r>
      <w:r w:rsidR="00426F8A" w:rsidRPr="00734AB6">
        <w:rPr>
          <w:rFonts w:asciiTheme="majorHAnsi" w:hAnsiTheme="majorHAnsi"/>
        </w:rPr>
        <w:t xml:space="preserve">of </w:t>
      </w:r>
      <w:r w:rsidRPr="00734AB6">
        <w:rPr>
          <w:rFonts w:asciiTheme="majorHAnsi" w:hAnsiTheme="majorHAnsi"/>
        </w:rPr>
        <w:t>respondents stated that they were in part-time employment, and 31% (N = 33) reported being unemployed. The majority of reported unemployed control group respondents stated that they were not studying (19%, N = 20).</w:t>
      </w:r>
    </w:p>
    <w:p w14:paraId="0E33300E" w14:textId="77777777" w:rsidR="00772E06" w:rsidRPr="00734AB6" w:rsidRDefault="00772E06" w:rsidP="0099584D">
      <w:pPr>
        <w:spacing w:before="240" w:line="360" w:lineRule="auto"/>
        <w:ind w:firstLine="709"/>
        <w:rPr>
          <w:rFonts w:asciiTheme="majorHAnsi" w:hAnsiTheme="majorHAnsi"/>
        </w:rPr>
      </w:pPr>
    </w:p>
    <w:p w14:paraId="5CC73DAF" w14:textId="079CC3F1" w:rsidR="00772E06" w:rsidRPr="00734AB6" w:rsidRDefault="007F71C4" w:rsidP="0099584D">
      <w:pPr>
        <w:spacing w:after="0" w:line="360" w:lineRule="auto"/>
        <w:rPr>
          <w:rFonts w:asciiTheme="majorHAnsi" w:hAnsiTheme="majorHAnsi"/>
          <w:noProof/>
        </w:rPr>
      </w:pPr>
      <w:r w:rsidRPr="00734AB6">
        <w:rPr>
          <w:rFonts w:asciiTheme="majorHAnsi" w:hAnsiTheme="majorHAnsi"/>
          <w:noProof/>
          <w:lang w:eastAsia="en-GB"/>
        </w:rPr>
        <w:drawing>
          <wp:inline distT="0" distB="0" distL="0" distR="0" wp14:anchorId="394FF90F" wp14:editId="6A7A1EC4">
            <wp:extent cx="1933575" cy="33528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72E06" w:rsidRPr="00734AB6">
        <w:rPr>
          <w:rFonts w:asciiTheme="majorHAnsi" w:hAnsiTheme="majorHAnsi"/>
          <w:noProof/>
          <w:lang w:eastAsia="en-GB"/>
        </w:rPr>
        <w:drawing>
          <wp:inline distT="0" distB="0" distL="0" distR="0" wp14:anchorId="5EC4A719" wp14:editId="75838709">
            <wp:extent cx="1924050" cy="334899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72E06" w:rsidRPr="00734AB6">
        <w:rPr>
          <w:rFonts w:asciiTheme="majorHAnsi" w:hAnsiTheme="majorHAnsi"/>
          <w:noProof/>
          <w:lang w:eastAsia="en-GB"/>
        </w:rPr>
        <w:drawing>
          <wp:inline distT="0" distB="0" distL="0" distR="0" wp14:anchorId="05EB7A91" wp14:editId="51E0564F">
            <wp:extent cx="1609725" cy="33528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96500B" w14:textId="43BE20A1" w:rsidR="00772E06" w:rsidRPr="00734AB6" w:rsidRDefault="00FA67E0" w:rsidP="00426F8A">
      <w:pPr>
        <w:tabs>
          <w:tab w:val="left" w:pos="426"/>
        </w:tabs>
        <w:spacing w:before="240" w:after="0" w:line="360" w:lineRule="auto"/>
        <w:rPr>
          <w:rFonts w:asciiTheme="majorHAnsi" w:hAnsiTheme="majorHAnsi"/>
          <w:b/>
          <w:noProof/>
        </w:rPr>
      </w:pPr>
      <w:r w:rsidRPr="00734AB6">
        <w:rPr>
          <w:rFonts w:asciiTheme="majorHAnsi" w:hAnsiTheme="majorHAnsi"/>
          <w:b/>
          <w:noProof/>
        </w:rPr>
        <w:t>*</w:t>
      </w:r>
      <w:r w:rsidRPr="00734AB6">
        <w:rPr>
          <w:rFonts w:asciiTheme="majorHAnsi" w:hAnsiTheme="majorHAnsi"/>
          <w:b/>
          <w:noProof/>
        </w:rPr>
        <w:tab/>
        <w:t>Percentages relate to group</w:t>
      </w:r>
    </w:p>
    <w:p w14:paraId="3B899E4C" w14:textId="63F7ADF3" w:rsidR="00772E06" w:rsidRPr="00734AB6" w:rsidRDefault="00772E06" w:rsidP="00B471B3">
      <w:pPr>
        <w:spacing w:line="360" w:lineRule="auto"/>
        <w:rPr>
          <w:rFonts w:asciiTheme="majorHAnsi" w:hAnsiTheme="majorHAnsi"/>
          <w:b/>
          <w:noProof/>
        </w:rPr>
      </w:pPr>
      <w:r w:rsidRPr="00734AB6">
        <w:rPr>
          <w:rFonts w:asciiTheme="majorHAnsi" w:hAnsiTheme="majorHAnsi"/>
          <w:b/>
          <w:noProof/>
        </w:rPr>
        <w:t xml:space="preserve">Figure </w:t>
      </w:r>
      <w:r w:rsidR="00AD631E" w:rsidRPr="00734AB6">
        <w:rPr>
          <w:rFonts w:asciiTheme="majorHAnsi" w:hAnsiTheme="majorHAnsi"/>
          <w:b/>
          <w:noProof/>
        </w:rPr>
        <w:t>3.</w:t>
      </w:r>
      <w:r w:rsidRPr="00734AB6">
        <w:rPr>
          <w:rFonts w:asciiTheme="majorHAnsi" w:hAnsiTheme="majorHAnsi"/>
          <w:b/>
          <w:noProof/>
        </w:rPr>
        <w:t xml:space="preserve">2. Study status of unemployed respondents </w:t>
      </w:r>
    </w:p>
    <w:p w14:paraId="298A9D75" w14:textId="77777777" w:rsidR="00772E06" w:rsidRPr="00734AB6" w:rsidRDefault="00772E06" w:rsidP="0099584D">
      <w:pPr>
        <w:spacing w:after="0" w:line="360" w:lineRule="auto"/>
        <w:rPr>
          <w:rFonts w:asciiTheme="majorHAnsi" w:hAnsiTheme="majorHAnsi"/>
          <w:b/>
        </w:rPr>
      </w:pPr>
    </w:p>
    <w:p w14:paraId="45C74ECC" w14:textId="77777777" w:rsidR="00772E06" w:rsidRPr="00734AB6" w:rsidRDefault="00772E06" w:rsidP="00B471B3">
      <w:pPr>
        <w:pStyle w:val="Heading4"/>
        <w:spacing w:after="240" w:line="360" w:lineRule="auto"/>
        <w:rPr>
          <w:b/>
          <w:i w:val="0"/>
          <w:color w:val="auto"/>
        </w:rPr>
      </w:pPr>
      <w:r w:rsidRPr="00734AB6">
        <w:rPr>
          <w:b/>
          <w:i w:val="0"/>
          <w:color w:val="auto"/>
        </w:rPr>
        <w:t>3.3.1.2</w:t>
      </w:r>
      <w:r w:rsidRPr="00734AB6">
        <w:rPr>
          <w:b/>
          <w:i w:val="0"/>
          <w:color w:val="auto"/>
        </w:rPr>
        <w:tab/>
        <w:t>Mental Health</w:t>
      </w:r>
    </w:p>
    <w:p w14:paraId="0A26B1EB" w14:textId="1C5A2731"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Of the modafinil-only respondents, 33% (N = 28) reported having been diagnosed with a psychiatric disorder. The most commonly reported </w:t>
      </w:r>
      <w:r w:rsidR="00CB5B5B" w:rsidRPr="00734AB6">
        <w:rPr>
          <w:rFonts w:asciiTheme="majorHAnsi" w:hAnsiTheme="majorHAnsi"/>
        </w:rPr>
        <w:t xml:space="preserve">mental health </w:t>
      </w:r>
      <w:r w:rsidRPr="00734AB6">
        <w:rPr>
          <w:rFonts w:asciiTheme="majorHAnsi" w:hAnsiTheme="majorHAnsi"/>
        </w:rPr>
        <w:t>conditions were depression (22%, N = 19) and anxiety (16%, N = 14), and 13% (N = 11) reported having been diagnosed with both depression and anxiety. This was also the case with the methylphenidate group, with 28% (N = 16) respondents reporting that they had been diagnosed with a psychiatric disorder. The most commonly reported conditions were, again, depression (33%, N = 19) and anxiety (25%, N = 14), and 18% (N = 10) reported having been diagnosed with both depression and anxiety. Similarly, 38% (N = 40) of the control respondents who reported having been diagnosed with a psychiatric condition, most commonly reported a diagnosis of anxiety (29%, N = 31) and depression (25%, N = 27), and 21% (N = 22) reported having been diagnosed with both depression and anxiety. Full de</w:t>
      </w:r>
      <w:r w:rsidR="00F66F9A" w:rsidRPr="00734AB6">
        <w:rPr>
          <w:rFonts w:asciiTheme="majorHAnsi" w:hAnsiTheme="majorHAnsi"/>
        </w:rPr>
        <w:t xml:space="preserve">tails can be found in Appendix </w:t>
      </w:r>
      <w:r w:rsidR="006B4173" w:rsidRPr="00734AB6">
        <w:rPr>
          <w:rFonts w:asciiTheme="majorHAnsi" w:hAnsiTheme="majorHAnsi"/>
        </w:rPr>
        <w:t>B(viii)</w:t>
      </w:r>
      <w:r w:rsidRPr="00734AB6">
        <w:rPr>
          <w:rFonts w:asciiTheme="majorHAnsi" w:hAnsiTheme="majorHAnsi"/>
        </w:rPr>
        <w:t xml:space="preserve">. </w:t>
      </w:r>
    </w:p>
    <w:p w14:paraId="098434A1" w14:textId="6FF6905C" w:rsidR="00772E06" w:rsidRPr="00734AB6" w:rsidRDefault="00772E06" w:rsidP="0099584D">
      <w:pPr>
        <w:spacing w:line="360" w:lineRule="auto"/>
        <w:ind w:firstLine="709"/>
        <w:rPr>
          <w:rFonts w:asciiTheme="majorHAnsi" w:hAnsiTheme="majorHAnsi"/>
        </w:rPr>
      </w:pPr>
      <w:r w:rsidRPr="00734AB6">
        <w:rPr>
          <w:rFonts w:asciiTheme="majorHAnsi" w:hAnsiTheme="majorHAnsi"/>
        </w:rPr>
        <w:lastRenderedPageBreak/>
        <w:t>In the modafinil-only group, 15% (N = 13) reported currently taking medication for a psychiatric disorder, similarly 14% (N = 8) of the methylphenidate group reported that they were currently taking psychiatric medications and a slightly higher percentage, 21% (N = 22) of the control group report currently taking psychiatric medi</w:t>
      </w:r>
      <w:r w:rsidR="00FA67E0" w:rsidRPr="00734AB6">
        <w:rPr>
          <w:rFonts w:asciiTheme="majorHAnsi" w:hAnsiTheme="majorHAnsi"/>
        </w:rPr>
        <w:t>c</w:t>
      </w:r>
      <w:r w:rsidRPr="00734AB6">
        <w:rPr>
          <w:rFonts w:asciiTheme="majorHAnsi" w:hAnsiTheme="majorHAnsi"/>
        </w:rPr>
        <w:t xml:space="preserve">ations. </w:t>
      </w:r>
    </w:p>
    <w:p w14:paraId="2FE3B711"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In response to the question “Have you ever been treated for a drug or alcohol problem?” 2% (N = 2) of the modafinil-only group, 12% (N = 7) of the methylphenidate group and 4% (N = 4) of the control group stated that they had, and 4% (N = 4) of methylphenidate respondents and 1% (N = 1) of control respondents stated that they were still receiving treatment.</w:t>
      </w:r>
    </w:p>
    <w:p w14:paraId="4DF2D1F4" w14:textId="77777777" w:rsidR="00772E06" w:rsidRPr="00734AB6" w:rsidRDefault="00772E06" w:rsidP="0099584D">
      <w:pPr>
        <w:spacing w:line="360" w:lineRule="auto"/>
        <w:ind w:firstLine="709"/>
        <w:rPr>
          <w:rFonts w:asciiTheme="majorHAnsi" w:hAnsiTheme="majorHAnsi"/>
        </w:rPr>
      </w:pPr>
    </w:p>
    <w:p w14:paraId="776D621E" w14:textId="77777777" w:rsidR="00772E06" w:rsidRPr="00734AB6" w:rsidRDefault="00772E06" w:rsidP="00B471B3">
      <w:pPr>
        <w:pStyle w:val="Heading4"/>
        <w:spacing w:after="240" w:line="360" w:lineRule="auto"/>
        <w:rPr>
          <w:b/>
          <w:i w:val="0"/>
          <w:color w:val="auto"/>
        </w:rPr>
      </w:pPr>
      <w:r w:rsidRPr="00734AB6">
        <w:rPr>
          <w:b/>
          <w:i w:val="0"/>
          <w:color w:val="auto"/>
        </w:rPr>
        <w:t>3.3.1.3</w:t>
      </w:r>
      <w:r w:rsidRPr="00734AB6">
        <w:rPr>
          <w:b/>
          <w:i w:val="0"/>
          <w:color w:val="auto"/>
        </w:rPr>
        <w:tab/>
        <w:t>Cannabis, Nicotine and Alcohol</w:t>
      </w:r>
    </w:p>
    <w:p w14:paraId="3A5A08FE" w14:textId="77777777" w:rsidR="00772E06" w:rsidRPr="00734AB6" w:rsidRDefault="00772E06" w:rsidP="00B471B3">
      <w:pPr>
        <w:pStyle w:val="Heading5"/>
        <w:spacing w:after="240" w:line="360" w:lineRule="auto"/>
        <w:rPr>
          <w:b/>
          <w:color w:val="auto"/>
        </w:rPr>
      </w:pPr>
      <w:r w:rsidRPr="00734AB6">
        <w:rPr>
          <w:b/>
          <w:color w:val="auto"/>
        </w:rPr>
        <w:t>3.3.1.3.1</w:t>
      </w:r>
      <w:r w:rsidRPr="00734AB6">
        <w:rPr>
          <w:b/>
          <w:color w:val="auto"/>
        </w:rPr>
        <w:tab/>
        <w:t>Cannabis</w:t>
      </w:r>
    </w:p>
    <w:p w14:paraId="2B17C7EC"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highest level of lifetime use of cannabis was reported in the methylphenidate group, with 98% (N = 56) reporting having taken cannabis. This was followed by 81% (N = 70) of modafinil-only group, compared with 60% (N = 64) of the control group. </w:t>
      </w:r>
    </w:p>
    <w:p w14:paraId="4A5D85CC" w14:textId="49BBFDAF" w:rsidR="00772E06" w:rsidRPr="00734AB6" w:rsidRDefault="00446874" w:rsidP="0099584D">
      <w:pPr>
        <w:spacing w:line="360" w:lineRule="auto"/>
        <w:ind w:firstLine="709"/>
        <w:rPr>
          <w:rFonts w:asciiTheme="majorHAnsi" w:hAnsiTheme="majorHAnsi"/>
        </w:rPr>
      </w:pPr>
      <w:r w:rsidRPr="00734AB6">
        <w:rPr>
          <w:rFonts w:asciiTheme="majorHAnsi" w:hAnsiTheme="majorHAnsi"/>
        </w:rPr>
        <w:t>The reported a</w:t>
      </w:r>
      <w:r w:rsidR="00772E06" w:rsidRPr="00734AB6">
        <w:rPr>
          <w:rFonts w:asciiTheme="majorHAnsi" w:hAnsiTheme="majorHAnsi"/>
        </w:rPr>
        <w:t xml:space="preserve">ge of first use of cannabis was roughly the same between the modafinil-only group (18 years, </w:t>
      </w:r>
      <w:r w:rsidR="00772E06" w:rsidRPr="00734AB6">
        <w:rPr>
          <w:rFonts w:asciiTheme="majorHAnsi" w:hAnsiTheme="majorHAnsi"/>
          <w:i/>
        </w:rPr>
        <w:t>SD</w:t>
      </w:r>
      <w:r w:rsidR="00772E06" w:rsidRPr="00734AB6">
        <w:rPr>
          <w:rFonts w:asciiTheme="majorHAnsi" w:hAnsiTheme="majorHAnsi"/>
        </w:rPr>
        <w:t xml:space="preserve"> = 3.28), the methylphenidate group (17 years, </w:t>
      </w:r>
      <w:r w:rsidR="00772E06" w:rsidRPr="00734AB6">
        <w:rPr>
          <w:rFonts w:asciiTheme="majorHAnsi" w:hAnsiTheme="majorHAnsi"/>
          <w:i/>
        </w:rPr>
        <w:t>SD</w:t>
      </w:r>
      <w:r w:rsidR="00772E06" w:rsidRPr="00734AB6">
        <w:rPr>
          <w:rFonts w:asciiTheme="majorHAnsi" w:hAnsiTheme="majorHAnsi"/>
        </w:rPr>
        <w:t xml:space="preserve"> = 1.85) and the control group (17 years, </w:t>
      </w:r>
      <w:r w:rsidR="00772E06" w:rsidRPr="00734AB6">
        <w:rPr>
          <w:rFonts w:asciiTheme="majorHAnsi" w:hAnsiTheme="majorHAnsi"/>
          <w:i/>
        </w:rPr>
        <w:t>SD</w:t>
      </w:r>
      <w:r w:rsidR="00772E06" w:rsidRPr="00734AB6">
        <w:rPr>
          <w:rFonts w:asciiTheme="majorHAnsi" w:hAnsiTheme="majorHAnsi"/>
        </w:rPr>
        <w:t xml:space="preserve"> = 3.73). </w:t>
      </w:r>
    </w:p>
    <w:p w14:paraId="00E2AD84"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Only 2% (N = 2) of the control group, 2% (N = 2) of the modafinil-only group and 1% (N = 1) of the methylphenidate group reported having a prescription for medicinal cannabis. </w:t>
      </w:r>
    </w:p>
    <w:p w14:paraId="13276298" w14:textId="4568A337"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majority of modafinil-only respondents (36%, N = 31) reported having not taken cannabis in the past six months, and this was also the case with the control group (20%, N = 21), whereas the methylphenidate group percentages for frequency of use were roughly equal between usage ‘every day/almost every day’ (21%, N = 12), ‘3 to 4 times per week’ (19%, N = 11), ‘up to 3 times in total’ (21%, N = 12) and none (18%, N = 10). Full details are presented in Table </w:t>
      </w:r>
      <w:r w:rsidR="001D6E58" w:rsidRPr="00734AB6">
        <w:rPr>
          <w:rFonts w:asciiTheme="majorHAnsi" w:hAnsiTheme="majorHAnsi"/>
        </w:rPr>
        <w:t>3.</w:t>
      </w:r>
      <w:r w:rsidR="00F20606" w:rsidRPr="00734AB6">
        <w:rPr>
          <w:rFonts w:asciiTheme="majorHAnsi" w:hAnsiTheme="majorHAnsi"/>
        </w:rPr>
        <w:t>4</w:t>
      </w:r>
      <w:r w:rsidRPr="00734AB6">
        <w:rPr>
          <w:rFonts w:asciiTheme="majorHAnsi" w:hAnsiTheme="majorHAnsi"/>
        </w:rPr>
        <w:t>.</w:t>
      </w:r>
    </w:p>
    <w:p w14:paraId="68FE1930" w14:textId="77777777" w:rsidR="00772E06" w:rsidRPr="00734AB6" w:rsidRDefault="00772E06" w:rsidP="0099584D">
      <w:pPr>
        <w:spacing w:line="360" w:lineRule="auto"/>
        <w:ind w:firstLine="709"/>
        <w:rPr>
          <w:rFonts w:asciiTheme="majorHAnsi" w:hAnsiTheme="majorHAnsi"/>
        </w:rPr>
      </w:pPr>
    </w:p>
    <w:p w14:paraId="4C7AB971" w14:textId="77777777" w:rsidR="00FA67E0" w:rsidRPr="00734AB6" w:rsidRDefault="00FA67E0">
      <w:pPr>
        <w:rPr>
          <w:rFonts w:asciiTheme="majorHAnsi" w:hAnsiTheme="majorHAnsi"/>
          <w:b/>
        </w:rPr>
      </w:pPr>
      <w:r w:rsidRPr="00734AB6">
        <w:rPr>
          <w:rFonts w:asciiTheme="majorHAnsi" w:hAnsiTheme="majorHAnsi"/>
          <w:b/>
        </w:rPr>
        <w:br w:type="page"/>
      </w:r>
    </w:p>
    <w:p w14:paraId="77194613" w14:textId="610D0B63"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 xml:space="preserve">Table </w:t>
      </w:r>
      <w:r w:rsidR="001D6E58" w:rsidRPr="00734AB6">
        <w:rPr>
          <w:rFonts w:asciiTheme="majorHAnsi" w:hAnsiTheme="majorHAnsi"/>
          <w:b/>
        </w:rPr>
        <w:t>3.</w:t>
      </w:r>
      <w:r w:rsidR="00F20606" w:rsidRPr="00734AB6">
        <w:rPr>
          <w:rFonts w:asciiTheme="majorHAnsi" w:hAnsiTheme="majorHAnsi"/>
          <w:b/>
        </w:rPr>
        <w:t>4</w:t>
      </w:r>
      <w:r w:rsidRPr="00734AB6">
        <w:rPr>
          <w:rFonts w:asciiTheme="majorHAnsi" w:hAnsiTheme="majorHAnsi"/>
          <w:b/>
        </w:rPr>
        <w:t>. Frequency of use of cannabis within the last six months</w:t>
      </w:r>
    </w:p>
    <w:tbl>
      <w:tblPr>
        <w:tblW w:w="8647" w:type="dxa"/>
        <w:tblBorders>
          <w:top w:val="single" w:sz="4" w:space="0" w:color="auto"/>
          <w:bottom w:val="single" w:sz="4" w:space="0" w:color="auto"/>
          <w:insideH w:val="single" w:sz="4" w:space="0" w:color="auto"/>
        </w:tblBorders>
        <w:tblLook w:val="04A0" w:firstRow="1" w:lastRow="0" w:firstColumn="1" w:lastColumn="0" w:noHBand="0" w:noVBand="1"/>
      </w:tblPr>
      <w:tblGrid>
        <w:gridCol w:w="3544"/>
        <w:gridCol w:w="1701"/>
        <w:gridCol w:w="1843"/>
        <w:gridCol w:w="1559"/>
      </w:tblGrid>
      <w:tr w:rsidR="00772E06" w:rsidRPr="00734AB6" w14:paraId="514FA3DC" w14:textId="77777777" w:rsidTr="00594D41">
        <w:tc>
          <w:tcPr>
            <w:tcW w:w="3544" w:type="dxa"/>
            <w:tcBorders>
              <w:bottom w:val="single" w:sz="4" w:space="0" w:color="auto"/>
            </w:tcBorders>
          </w:tcPr>
          <w:p w14:paraId="1FA2442F" w14:textId="77777777" w:rsidR="00772E06" w:rsidRPr="00734AB6" w:rsidRDefault="00772E06" w:rsidP="0099584D">
            <w:pPr>
              <w:tabs>
                <w:tab w:val="left" w:pos="5812"/>
              </w:tabs>
              <w:spacing w:line="360" w:lineRule="auto"/>
              <w:rPr>
                <w:rFonts w:asciiTheme="majorHAnsi" w:hAnsiTheme="majorHAnsi" w:cs="Arial"/>
                <w:b/>
                <w:bCs/>
                <w:color w:val="000000"/>
              </w:rPr>
            </w:pPr>
            <w:r w:rsidRPr="00734AB6">
              <w:rPr>
                <w:rFonts w:asciiTheme="majorHAnsi" w:hAnsiTheme="majorHAnsi" w:cs="Arial"/>
                <w:b/>
                <w:bCs/>
                <w:color w:val="000000"/>
              </w:rPr>
              <w:t>In the past six months, how regularly have you taken cannabis?</w:t>
            </w:r>
          </w:p>
        </w:tc>
        <w:tc>
          <w:tcPr>
            <w:tcW w:w="1701" w:type="dxa"/>
            <w:tcBorders>
              <w:bottom w:val="single" w:sz="4" w:space="0" w:color="auto"/>
            </w:tcBorders>
          </w:tcPr>
          <w:p w14:paraId="2F1E8D87"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Modafinil-only</w:t>
            </w:r>
          </w:p>
          <w:p w14:paraId="42282E56" w14:textId="5BA6D180"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c>
          <w:tcPr>
            <w:tcW w:w="1843" w:type="dxa"/>
            <w:tcBorders>
              <w:bottom w:val="single" w:sz="4" w:space="0" w:color="auto"/>
            </w:tcBorders>
          </w:tcPr>
          <w:p w14:paraId="1A867F39"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Methylphenidate</w:t>
            </w:r>
          </w:p>
          <w:p w14:paraId="34CB695A" w14:textId="439E6301"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c>
          <w:tcPr>
            <w:tcW w:w="1559" w:type="dxa"/>
            <w:tcBorders>
              <w:bottom w:val="single" w:sz="4" w:space="0" w:color="auto"/>
            </w:tcBorders>
          </w:tcPr>
          <w:p w14:paraId="7A956BA5" w14:textId="3DCDB3C2"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Control </w:t>
            </w:r>
            <w:r w:rsidR="00A1043D" w:rsidRPr="00734AB6">
              <w:rPr>
                <w:rFonts w:asciiTheme="majorHAnsi" w:hAnsiTheme="majorHAnsi"/>
                <w:b/>
              </w:rPr>
              <w:t>N (%)*</w:t>
            </w:r>
          </w:p>
        </w:tc>
      </w:tr>
      <w:tr w:rsidR="00772E06" w:rsidRPr="00734AB6" w14:paraId="6F97CA65" w14:textId="77777777" w:rsidTr="00594D41">
        <w:tc>
          <w:tcPr>
            <w:tcW w:w="3544" w:type="dxa"/>
            <w:tcBorders>
              <w:bottom w:val="nil"/>
            </w:tcBorders>
          </w:tcPr>
          <w:p w14:paraId="774DFFC4" w14:textId="77777777" w:rsidR="00772E06" w:rsidRPr="00734AB6" w:rsidRDefault="00772E06" w:rsidP="0099584D">
            <w:pPr>
              <w:tabs>
                <w:tab w:val="left" w:pos="5812"/>
              </w:tabs>
              <w:spacing w:line="360" w:lineRule="auto"/>
              <w:rPr>
                <w:rFonts w:asciiTheme="majorHAnsi" w:hAnsiTheme="majorHAnsi" w:cs="Arial"/>
                <w:b/>
                <w:bCs/>
                <w:color w:val="000000"/>
              </w:rPr>
            </w:pPr>
            <w:r w:rsidRPr="00734AB6">
              <w:rPr>
                <w:rFonts w:asciiTheme="majorHAnsi" w:hAnsiTheme="majorHAnsi"/>
                <w:b/>
              </w:rPr>
              <w:t>Every day/ almost every day</w:t>
            </w:r>
          </w:p>
        </w:tc>
        <w:tc>
          <w:tcPr>
            <w:tcW w:w="1701" w:type="dxa"/>
            <w:tcBorders>
              <w:bottom w:val="nil"/>
            </w:tcBorders>
          </w:tcPr>
          <w:p w14:paraId="065A0209" w14:textId="0A0DD3BF" w:rsidR="00772E06" w:rsidRPr="00734AB6" w:rsidRDefault="00227732" w:rsidP="0099584D">
            <w:pPr>
              <w:spacing w:line="360" w:lineRule="auto"/>
              <w:rPr>
                <w:rFonts w:asciiTheme="majorHAnsi" w:hAnsiTheme="majorHAnsi"/>
              </w:rPr>
            </w:pPr>
            <w:r w:rsidRPr="00734AB6">
              <w:rPr>
                <w:rFonts w:asciiTheme="majorHAnsi" w:hAnsiTheme="majorHAnsi"/>
              </w:rPr>
              <w:t>8 (9.30</w:t>
            </w:r>
            <w:r w:rsidR="00772E06" w:rsidRPr="00734AB6">
              <w:rPr>
                <w:rFonts w:asciiTheme="majorHAnsi" w:hAnsiTheme="majorHAnsi"/>
              </w:rPr>
              <w:t>)</w:t>
            </w:r>
          </w:p>
        </w:tc>
        <w:tc>
          <w:tcPr>
            <w:tcW w:w="1843" w:type="dxa"/>
            <w:tcBorders>
              <w:bottom w:val="nil"/>
            </w:tcBorders>
          </w:tcPr>
          <w:p w14:paraId="460CC240" w14:textId="0B7D0148" w:rsidR="00772E06" w:rsidRPr="00734AB6" w:rsidRDefault="00227732" w:rsidP="00227732">
            <w:pPr>
              <w:spacing w:line="360" w:lineRule="auto"/>
              <w:rPr>
                <w:rFonts w:asciiTheme="majorHAnsi" w:hAnsiTheme="majorHAnsi"/>
              </w:rPr>
            </w:pPr>
            <w:r w:rsidRPr="00734AB6">
              <w:rPr>
                <w:rFonts w:asciiTheme="majorHAnsi" w:hAnsiTheme="majorHAnsi"/>
              </w:rPr>
              <w:t>12 (</w:t>
            </w:r>
            <w:r w:rsidR="00772E06" w:rsidRPr="00734AB6">
              <w:rPr>
                <w:rFonts w:asciiTheme="majorHAnsi" w:hAnsiTheme="majorHAnsi"/>
              </w:rPr>
              <w:t>21.05)</w:t>
            </w:r>
          </w:p>
        </w:tc>
        <w:tc>
          <w:tcPr>
            <w:tcW w:w="1559" w:type="dxa"/>
            <w:tcBorders>
              <w:bottom w:val="nil"/>
            </w:tcBorders>
          </w:tcPr>
          <w:p w14:paraId="7284E6D1" w14:textId="6D106686" w:rsidR="00772E06" w:rsidRPr="00734AB6" w:rsidRDefault="00227732" w:rsidP="0099584D">
            <w:pPr>
              <w:spacing w:line="360" w:lineRule="auto"/>
              <w:rPr>
                <w:rFonts w:asciiTheme="majorHAnsi" w:hAnsiTheme="majorHAnsi"/>
              </w:rPr>
            </w:pPr>
            <w:r w:rsidRPr="00734AB6">
              <w:rPr>
                <w:rFonts w:asciiTheme="majorHAnsi" w:hAnsiTheme="majorHAnsi"/>
              </w:rPr>
              <w:t>9 (</w:t>
            </w:r>
            <w:r w:rsidR="00772E06" w:rsidRPr="00734AB6">
              <w:rPr>
                <w:rFonts w:asciiTheme="majorHAnsi" w:hAnsiTheme="majorHAnsi"/>
              </w:rPr>
              <w:t>8</w:t>
            </w:r>
            <w:r w:rsidRPr="00734AB6">
              <w:rPr>
                <w:rFonts w:asciiTheme="majorHAnsi" w:hAnsiTheme="majorHAnsi"/>
              </w:rPr>
              <w:t>.49</w:t>
            </w:r>
            <w:r w:rsidR="00772E06" w:rsidRPr="00734AB6">
              <w:rPr>
                <w:rFonts w:asciiTheme="majorHAnsi" w:hAnsiTheme="majorHAnsi"/>
              </w:rPr>
              <w:t>)</w:t>
            </w:r>
          </w:p>
        </w:tc>
      </w:tr>
      <w:tr w:rsidR="00772E06" w:rsidRPr="00734AB6" w14:paraId="73120C42" w14:textId="77777777" w:rsidTr="00594D41">
        <w:tc>
          <w:tcPr>
            <w:tcW w:w="3544" w:type="dxa"/>
            <w:tcBorders>
              <w:top w:val="nil"/>
              <w:bottom w:val="nil"/>
            </w:tcBorders>
          </w:tcPr>
          <w:p w14:paraId="2D3C893E" w14:textId="77777777" w:rsidR="00772E06" w:rsidRPr="00734AB6" w:rsidRDefault="00772E06" w:rsidP="0099584D">
            <w:pPr>
              <w:tabs>
                <w:tab w:val="left" w:pos="5812"/>
              </w:tabs>
              <w:autoSpaceDE w:val="0"/>
              <w:autoSpaceDN w:val="0"/>
              <w:adjustRightInd w:val="0"/>
              <w:spacing w:line="360" w:lineRule="auto"/>
              <w:rPr>
                <w:rFonts w:asciiTheme="majorHAnsi" w:hAnsiTheme="majorHAnsi"/>
                <w:b/>
              </w:rPr>
            </w:pPr>
            <w:r w:rsidRPr="00734AB6">
              <w:rPr>
                <w:rFonts w:asciiTheme="majorHAnsi" w:hAnsiTheme="majorHAnsi"/>
                <w:b/>
              </w:rPr>
              <w:t>3-4 times per week</w:t>
            </w:r>
          </w:p>
        </w:tc>
        <w:tc>
          <w:tcPr>
            <w:tcW w:w="1701" w:type="dxa"/>
            <w:tcBorders>
              <w:top w:val="nil"/>
              <w:bottom w:val="nil"/>
            </w:tcBorders>
          </w:tcPr>
          <w:p w14:paraId="0669CF71" w14:textId="391C8E3F" w:rsidR="00772E06" w:rsidRPr="00734AB6" w:rsidRDefault="00772E06" w:rsidP="0099584D">
            <w:pPr>
              <w:spacing w:line="360" w:lineRule="auto"/>
              <w:rPr>
                <w:rFonts w:asciiTheme="majorHAnsi" w:hAnsiTheme="majorHAnsi"/>
              </w:rPr>
            </w:pPr>
            <w:r w:rsidRPr="00734AB6">
              <w:rPr>
                <w:rFonts w:asciiTheme="majorHAnsi" w:hAnsiTheme="majorHAnsi"/>
              </w:rPr>
              <w:t>5</w:t>
            </w:r>
            <w:r w:rsidR="00227732" w:rsidRPr="00734AB6">
              <w:rPr>
                <w:rFonts w:asciiTheme="majorHAnsi" w:hAnsiTheme="majorHAnsi"/>
              </w:rPr>
              <w:t xml:space="preserve"> (5.81</w:t>
            </w:r>
            <w:r w:rsidRPr="00734AB6">
              <w:rPr>
                <w:rFonts w:asciiTheme="majorHAnsi" w:hAnsiTheme="majorHAnsi"/>
              </w:rPr>
              <w:t>)</w:t>
            </w:r>
          </w:p>
        </w:tc>
        <w:tc>
          <w:tcPr>
            <w:tcW w:w="1843" w:type="dxa"/>
            <w:tcBorders>
              <w:top w:val="nil"/>
              <w:bottom w:val="nil"/>
            </w:tcBorders>
          </w:tcPr>
          <w:p w14:paraId="2447D335" w14:textId="74A98C98" w:rsidR="00772E06" w:rsidRPr="00734AB6" w:rsidRDefault="00227732" w:rsidP="0099584D">
            <w:pPr>
              <w:spacing w:line="360" w:lineRule="auto"/>
              <w:rPr>
                <w:rFonts w:asciiTheme="majorHAnsi" w:hAnsiTheme="majorHAnsi"/>
              </w:rPr>
            </w:pPr>
            <w:r w:rsidRPr="00734AB6">
              <w:rPr>
                <w:rFonts w:asciiTheme="majorHAnsi" w:hAnsiTheme="majorHAnsi"/>
              </w:rPr>
              <w:t>11 (19.30</w:t>
            </w:r>
            <w:r w:rsidR="00772E06" w:rsidRPr="00734AB6">
              <w:rPr>
                <w:rFonts w:asciiTheme="majorHAnsi" w:hAnsiTheme="majorHAnsi"/>
              </w:rPr>
              <w:t>)</w:t>
            </w:r>
          </w:p>
        </w:tc>
        <w:tc>
          <w:tcPr>
            <w:tcW w:w="1559" w:type="dxa"/>
            <w:tcBorders>
              <w:top w:val="nil"/>
              <w:bottom w:val="nil"/>
            </w:tcBorders>
          </w:tcPr>
          <w:p w14:paraId="727E51B9" w14:textId="5A255B1E" w:rsidR="00772E06" w:rsidRPr="00734AB6" w:rsidRDefault="00227732" w:rsidP="0099584D">
            <w:pPr>
              <w:spacing w:line="360" w:lineRule="auto"/>
              <w:rPr>
                <w:rFonts w:asciiTheme="majorHAnsi" w:hAnsiTheme="majorHAnsi"/>
              </w:rPr>
            </w:pPr>
            <w:r w:rsidRPr="00734AB6">
              <w:rPr>
                <w:rFonts w:asciiTheme="majorHAnsi" w:hAnsiTheme="majorHAnsi"/>
              </w:rPr>
              <w:t>7 (6.60</w:t>
            </w:r>
            <w:r w:rsidR="00772E06" w:rsidRPr="00734AB6">
              <w:rPr>
                <w:rFonts w:asciiTheme="majorHAnsi" w:hAnsiTheme="majorHAnsi"/>
              </w:rPr>
              <w:t>)</w:t>
            </w:r>
          </w:p>
        </w:tc>
      </w:tr>
      <w:tr w:rsidR="00772E06" w:rsidRPr="00734AB6" w14:paraId="5AE7288B" w14:textId="77777777" w:rsidTr="00594D41">
        <w:tc>
          <w:tcPr>
            <w:tcW w:w="3544" w:type="dxa"/>
            <w:tcBorders>
              <w:top w:val="nil"/>
              <w:bottom w:val="nil"/>
            </w:tcBorders>
          </w:tcPr>
          <w:p w14:paraId="166D291B" w14:textId="77777777" w:rsidR="00772E06" w:rsidRPr="00734AB6" w:rsidRDefault="00772E06" w:rsidP="0099584D">
            <w:pPr>
              <w:tabs>
                <w:tab w:val="left" w:pos="2835"/>
                <w:tab w:val="left" w:pos="5812"/>
              </w:tabs>
              <w:spacing w:line="360" w:lineRule="auto"/>
              <w:rPr>
                <w:rFonts w:asciiTheme="majorHAnsi" w:hAnsiTheme="majorHAnsi"/>
                <w:b/>
              </w:rPr>
            </w:pPr>
            <w:r w:rsidRPr="00734AB6">
              <w:rPr>
                <w:rFonts w:asciiTheme="majorHAnsi" w:hAnsiTheme="majorHAnsi"/>
                <w:b/>
              </w:rPr>
              <w:t>Once per week</w:t>
            </w:r>
          </w:p>
        </w:tc>
        <w:tc>
          <w:tcPr>
            <w:tcW w:w="1701" w:type="dxa"/>
            <w:tcBorders>
              <w:top w:val="nil"/>
              <w:bottom w:val="nil"/>
            </w:tcBorders>
          </w:tcPr>
          <w:p w14:paraId="74CE9E4A" w14:textId="12C6F513" w:rsidR="00772E06" w:rsidRPr="00734AB6" w:rsidRDefault="00227732" w:rsidP="0099584D">
            <w:pPr>
              <w:spacing w:line="360" w:lineRule="auto"/>
              <w:rPr>
                <w:rFonts w:asciiTheme="majorHAnsi" w:hAnsiTheme="majorHAnsi"/>
              </w:rPr>
            </w:pPr>
            <w:r w:rsidRPr="00734AB6">
              <w:rPr>
                <w:rFonts w:asciiTheme="majorHAnsi" w:hAnsiTheme="majorHAnsi"/>
              </w:rPr>
              <w:t>8 (9.30</w:t>
            </w:r>
            <w:r w:rsidR="00772E06" w:rsidRPr="00734AB6">
              <w:rPr>
                <w:rFonts w:asciiTheme="majorHAnsi" w:hAnsiTheme="majorHAnsi"/>
              </w:rPr>
              <w:t>)</w:t>
            </w:r>
          </w:p>
        </w:tc>
        <w:tc>
          <w:tcPr>
            <w:tcW w:w="1843" w:type="dxa"/>
            <w:tcBorders>
              <w:top w:val="nil"/>
              <w:bottom w:val="nil"/>
            </w:tcBorders>
          </w:tcPr>
          <w:p w14:paraId="359B608A" w14:textId="4CA03C0A" w:rsidR="00772E06" w:rsidRPr="00734AB6" w:rsidRDefault="00227732" w:rsidP="0099584D">
            <w:pPr>
              <w:spacing w:line="360" w:lineRule="auto"/>
              <w:rPr>
                <w:rFonts w:asciiTheme="majorHAnsi" w:hAnsiTheme="majorHAnsi"/>
              </w:rPr>
            </w:pPr>
            <w:r w:rsidRPr="00734AB6">
              <w:rPr>
                <w:rFonts w:asciiTheme="majorHAnsi" w:hAnsiTheme="majorHAnsi"/>
              </w:rPr>
              <w:t>4 (7.02</w:t>
            </w:r>
            <w:r w:rsidR="00772E06" w:rsidRPr="00734AB6">
              <w:rPr>
                <w:rFonts w:asciiTheme="majorHAnsi" w:hAnsiTheme="majorHAnsi"/>
              </w:rPr>
              <w:t>)</w:t>
            </w:r>
          </w:p>
        </w:tc>
        <w:tc>
          <w:tcPr>
            <w:tcW w:w="1559" w:type="dxa"/>
            <w:tcBorders>
              <w:top w:val="nil"/>
              <w:bottom w:val="nil"/>
            </w:tcBorders>
          </w:tcPr>
          <w:p w14:paraId="24D35817" w14:textId="5CF578EE" w:rsidR="00772E06" w:rsidRPr="00734AB6" w:rsidRDefault="00227732" w:rsidP="0099584D">
            <w:pPr>
              <w:spacing w:line="360" w:lineRule="auto"/>
              <w:rPr>
                <w:rFonts w:asciiTheme="majorHAnsi" w:hAnsiTheme="majorHAnsi"/>
              </w:rPr>
            </w:pPr>
            <w:r w:rsidRPr="00734AB6">
              <w:rPr>
                <w:rFonts w:asciiTheme="majorHAnsi" w:hAnsiTheme="majorHAnsi"/>
              </w:rPr>
              <w:t>7 (6.60</w:t>
            </w:r>
            <w:r w:rsidR="00772E06" w:rsidRPr="00734AB6">
              <w:rPr>
                <w:rFonts w:asciiTheme="majorHAnsi" w:hAnsiTheme="majorHAnsi"/>
              </w:rPr>
              <w:t>)</w:t>
            </w:r>
          </w:p>
        </w:tc>
      </w:tr>
      <w:tr w:rsidR="00772E06" w:rsidRPr="00734AB6" w14:paraId="0C205ED2" w14:textId="77777777" w:rsidTr="00594D41">
        <w:tc>
          <w:tcPr>
            <w:tcW w:w="3544" w:type="dxa"/>
            <w:tcBorders>
              <w:top w:val="nil"/>
              <w:bottom w:val="nil"/>
            </w:tcBorders>
          </w:tcPr>
          <w:p w14:paraId="710B538E" w14:textId="77777777" w:rsidR="00772E06" w:rsidRPr="00734AB6" w:rsidRDefault="00772E06" w:rsidP="0099584D">
            <w:pPr>
              <w:tabs>
                <w:tab w:val="left" w:pos="2835"/>
                <w:tab w:val="left" w:pos="5812"/>
              </w:tabs>
              <w:spacing w:line="360" w:lineRule="auto"/>
              <w:rPr>
                <w:rFonts w:asciiTheme="majorHAnsi" w:hAnsiTheme="majorHAnsi"/>
                <w:b/>
              </w:rPr>
            </w:pPr>
            <w:r w:rsidRPr="00734AB6">
              <w:rPr>
                <w:rFonts w:asciiTheme="majorHAnsi" w:hAnsiTheme="majorHAnsi"/>
                <w:b/>
              </w:rPr>
              <w:t>1-2 times per month</w:t>
            </w:r>
          </w:p>
        </w:tc>
        <w:tc>
          <w:tcPr>
            <w:tcW w:w="1701" w:type="dxa"/>
            <w:tcBorders>
              <w:top w:val="nil"/>
              <w:bottom w:val="nil"/>
            </w:tcBorders>
          </w:tcPr>
          <w:p w14:paraId="5A91607A" w14:textId="2E0C6301" w:rsidR="00772E06" w:rsidRPr="00734AB6" w:rsidRDefault="00227732" w:rsidP="0099584D">
            <w:pPr>
              <w:spacing w:line="360" w:lineRule="auto"/>
              <w:rPr>
                <w:rFonts w:asciiTheme="majorHAnsi" w:hAnsiTheme="majorHAnsi"/>
              </w:rPr>
            </w:pPr>
            <w:r w:rsidRPr="00734AB6">
              <w:rPr>
                <w:rFonts w:asciiTheme="majorHAnsi" w:hAnsiTheme="majorHAnsi"/>
              </w:rPr>
              <w:t>6 (6.98</w:t>
            </w:r>
            <w:r w:rsidR="00772E06" w:rsidRPr="00734AB6">
              <w:rPr>
                <w:rFonts w:asciiTheme="majorHAnsi" w:hAnsiTheme="majorHAnsi"/>
              </w:rPr>
              <w:t>)</w:t>
            </w:r>
          </w:p>
        </w:tc>
        <w:tc>
          <w:tcPr>
            <w:tcW w:w="1843" w:type="dxa"/>
            <w:tcBorders>
              <w:top w:val="nil"/>
              <w:bottom w:val="nil"/>
            </w:tcBorders>
          </w:tcPr>
          <w:p w14:paraId="162F05C2" w14:textId="740ADE21" w:rsidR="00772E06" w:rsidRPr="00734AB6" w:rsidRDefault="00227732" w:rsidP="0099584D">
            <w:pPr>
              <w:spacing w:line="360" w:lineRule="auto"/>
              <w:rPr>
                <w:rFonts w:asciiTheme="majorHAnsi" w:hAnsiTheme="majorHAnsi"/>
              </w:rPr>
            </w:pPr>
            <w:r w:rsidRPr="00734AB6">
              <w:rPr>
                <w:rFonts w:asciiTheme="majorHAnsi" w:hAnsiTheme="majorHAnsi"/>
              </w:rPr>
              <w:t>7 (12.28</w:t>
            </w:r>
            <w:r w:rsidR="00772E06" w:rsidRPr="00734AB6">
              <w:rPr>
                <w:rFonts w:asciiTheme="majorHAnsi" w:hAnsiTheme="majorHAnsi"/>
              </w:rPr>
              <w:t>)</w:t>
            </w:r>
          </w:p>
        </w:tc>
        <w:tc>
          <w:tcPr>
            <w:tcW w:w="1559" w:type="dxa"/>
            <w:tcBorders>
              <w:top w:val="nil"/>
              <w:bottom w:val="nil"/>
            </w:tcBorders>
          </w:tcPr>
          <w:p w14:paraId="24FCAA5C" w14:textId="7FEE6792" w:rsidR="00772E06" w:rsidRPr="00734AB6" w:rsidRDefault="00227732" w:rsidP="0099584D">
            <w:pPr>
              <w:spacing w:line="360" w:lineRule="auto"/>
              <w:rPr>
                <w:rFonts w:asciiTheme="majorHAnsi" w:hAnsiTheme="majorHAnsi"/>
              </w:rPr>
            </w:pPr>
            <w:r w:rsidRPr="00734AB6">
              <w:rPr>
                <w:rFonts w:asciiTheme="majorHAnsi" w:hAnsiTheme="majorHAnsi"/>
              </w:rPr>
              <w:t>7 (6.60</w:t>
            </w:r>
            <w:r w:rsidR="00772E06" w:rsidRPr="00734AB6">
              <w:rPr>
                <w:rFonts w:asciiTheme="majorHAnsi" w:hAnsiTheme="majorHAnsi"/>
              </w:rPr>
              <w:t>)</w:t>
            </w:r>
          </w:p>
        </w:tc>
      </w:tr>
      <w:tr w:rsidR="00772E06" w:rsidRPr="00734AB6" w14:paraId="65E66E13" w14:textId="77777777" w:rsidTr="00594D41">
        <w:tc>
          <w:tcPr>
            <w:tcW w:w="3544" w:type="dxa"/>
            <w:tcBorders>
              <w:top w:val="nil"/>
              <w:bottom w:val="nil"/>
            </w:tcBorders>
          </w:tcPr>
          <w:p w14:paraId="50E25822" w14:textId="77777777" w:rsidR="00772E06" w:rsidRPr="00734AB6" w:rsidRDefault="00772E06" w:rsidP="0099584D">
            <w:pPr>
              <w:tabs>
                <w:tab w:val="left" w:pos="2835"/>
                <w:tab w:val="left" w:pos="5812"/>
              </w:tabs>
              <w:spacing w:line="360" w:lineRule="auto"/>
              <w:rPr>
                <w:rFonts w:asciiTheme="majorHAnsi" w:hAnsiTheme="majorHAnsi"/>
                <w:b/>
              </w:rPr>
            </w:pPr>
            <w:r w:rsidRPr="00734AB6">
              <w:rPr>
                <w:rFonts w:asciiTheme="majorHAnsi" w:hAnsiTheme="majorHAnsi"/>
                <w:b/>
              </w:rPr>
              <w:t>Up to 3 times in total</w:t>
            </w:r>
          </w:p>
        </w:tc>
        <w:tc>
          <w:tcPr>
            <w:tcW w:w="1701" w:type="dxa"/>
            <w:tcBorders>
              <w:top w:val="nil"/>
              <w:bottom w:val="nil"/>
            </w:tcBorders>
          </w:tcPr>
          <w:p w14:paraId="165BF2E3" w14:textId="51F96C51" w:rsidR="00772E06" w:rsidRPr="00734AB6" w:rsidRDefault="00227732" w:rsidP="00227732">
            <w:pPr>
              <w:spacing w:line="360" w:lineRule="auto"/>
              <w:rPr>
                <w:rFonts w:asciiTheme="majorHAnsi" w:hAnsiTheme="majorHAnsi"/>
              </w:rPr>
            </w:pPr>
            <w:r w:rsidRPr="00734AB6">
              <w:rPr>
                <w:rFonts w:asciiTheme="majorHAnsi" w:hAnsiTheme="majorHAnsi"/>
              </w:rPr>
              <w:t>12 (13.95</w:t>
            </w:r>
            <w:r w:rsidR="00772E06" w:rsidRPr="00734AB6">
              <w:rPr>
                <w:rFonts w:asciiTheme="majorHAnsi" w:hAnsiTheme="majorHAnsi"/>
              </w:rPr>
              <w:t>)</w:t>
            </w:r>
          </w:p>
        </w:tc>
        <w:tc>
          <w:tcPr>
            <w:tcW w:w="1843" w:type="dxa"/>
            <w:tcBorders>
              <w:top w:val="nil"/>
              <w:bottom w:val="nil"/>
            </w:tcBorders>
          </w:tcPr>
          <w:p w14:paraId="60819C78" w14:textId="0E83248E" w:rsidR="00772E06" w:rsidRPr="00734AB6" w:rsidRDefault="00227732" w:rsidP="0099584D">
            <w:pPr>
              <w:spacing w:line="360" w:lineRule="auto"/>
              <w:rPr>
                <w:rFonts w:asciiTheme="majorHAnsi" w:hAnsiTheme="majorHAnsi"/>
              </w:rPr>
            </w:pPr>
            <w:r w:rsidRPr="00734AB6">
              <w:rPr>
                <w:rFonts w:asciiTheme="majorHAnsi" w:hAnsiTheme="majorHAnsi"/>
              </w:rPr>
              <w:t>12 (</w:t>
            </w:r>
            <w:r w:rsidR="00772E06" w:rsidRPr="00734AB6">
              <w:rPr>
                <w:rFonts w:asciiTheme="majorHAnsi" w:hAnsiTheme="majorHAnsi"/>
              </w:rPr>
              <w:t>2</w:t>
            </w:r>
            <w:r w:rsidRPr="00734AB6">
              <w:rPr>
                <w:rFonts w:asciiTheme="majorHAnsi" w:hAnsiTheme="majorHAnsi"/>
              </w:rPr>
              <w:t>1.05</w:t>
            </w:r>
            <w:r w:rsidR="00772E06" w:rsidRPr="00734AB6">
              <w:rPr>
                <w:rFonts w:asciiTheme="majorHAnsi" w:hAnsiTheme="majorHAnsi"/>
              </w:rPr>
              <w:t>)</w:t>
            </w:r>
          </w:p>
        </w:tc>
        <w:tc>
          <w:tcPr>
            <w:tcW w:w="1559" w:type="dxa"/>
            <w:tcBorders>
              <w:top w:val="nil"/>
              <w:bottom w:val="nil"/>
            </w:tcBorders>
          </w:tcPr>
          <w:p w14:paraId="675C95A9" w14:textId="624F50A1" w:rsidR="00772E06" w:rsidRPr="00734AB6" w:rsidRDefault="00227732" w:rsidP="0099584D">
            <w:pPr>
              <w:spacing w:line="360" w:lineRule="auto"/>
              <w:rPr>
                <w:rFonts w:asciiTheme="majorHAnsi" w:hAnsiTheme="majorHAnsi"/>
              </w:rPr>
            </w:pPr>
            <w:r w:rsidRPr="00734AB6">
              <w:rPr>
                <w:rFonts w:asciiTheme="majorHAnsi" w:hAnsiTheme="majorHAnsi"/>
              </w:rPr>
              <w:t>13 (12.26</w:t>
            </w:r>
            <w:r w:rsidR="00772E06" w:rsidRPr="00734AB6">
              <w:rPr>
                <w:rFonts w:asciiTheme="majorHAnsi" w:hAnsiTheme="majorHAnsi"/>
              </w:rPr>
              <w:t>)</w:t>
            </w:r>
          </w:p>
        </w:tc>
      </w:tr>
      <w:tr w:rsidR="00772E06" w:rsidRPr="00734AB6" w14:paraId="6F9665A8" w14:textId="77777777" w:rsidTr="00594D41">
        <w:tc>
          <w:tcPr>
            <w:tcW w:w="3544" w:type="dxa"/>
            <w:tcBorders>
              <w:top w:val="nil"/>
            </w:tcBorders>
          </w:tcPr>
          <w:p w14:paraId="5419CE81" w14:textId="77777777" w:rsidR="00772E06" w:rsidRPr="00734AB6" w:rsidRDefault="00772E06" w:rsidP="0099584D">
            <w:pPr>
              <w:tabs>
                <w:tab w:val="left" w:pos="2835"/>
                <w:tab w:val="left" w:pos="5812"/>
              </w:tabs>
              <w:spacing w:line="360" w:lineRule="auto"/>
              <w:rPr>
                <w:rFonts w:asciiTheme="majorHAnsi" w:hAnsiTheme="majorHAnsi"/>
                <w:b/>
              </w:rPr>
            </w:pPr>
            <w:r w:rsidRPr="00734AB6">
              <w:rPr>
                <w:rFonts w:asciiTheme="majorHAnsi" w:hAnsiTheme="majorHAnsi"/>
                <w:b/>
              </w:rPr>
              <w:t>None</w:t>
            </w:r>
            <w:r w:rsidRPr="00734AB6">
              <w:rPr>
                <w:rFonts w:asciiTheme="majorHAnsi" w:hAnsiTheme="majorHAnsi"/>
                <w:b/>
              </w:rPr>
              <w:tab/>
            </w:r>
          </w:p>
        </w:tc>
        <w:tc>
          <w:tcPr>
            <w:tcW w:w="1701" w:type="dxa"/>
            <w:tcBorders>
              <w:top w:val="nil"/>
            </w:tcBorders>
          </w:tcPr>
          <w:p w14:paraId="7D141183" w14:textId="6155853F" w:rsidR="00772E06" w:rsidRPr="00734AB6" w:rsidRDefault="00772E06" w:rsidP="0099584D">
            <w:pPr>
              <w:spacing w:line="360" w:lineRule="auto"/>
              <w:rPr>
                <w:rFonts w:asciiTheme="majorHAnsi" w:hAnsiTheme="majorHAnsi"/>
              </w:rPr>
            </w:pPr>
            <w:r w:rsidRPr="00734AB6">
              <w:rPr>
                <w:rFonts w:asciiTheme="majorHAnsi" w:hAnsiTheme="majorHAnsi"/>
              </w:rPr>
              <w:t>3</w:t>
            </w:r>
            <w:r w:rsidR="00227732" w:rsidRPr="00734AB6">
              <w:rPr>
                <w:rFonts w:asciiTheme="majorHAnsi" w:hAnsiTheme="majorHAnsi"/>
              </w:rPr>
              <w:t>1 (36.05</w:t>
            </w:r>
            <w:r w:rsidRPr="00734AB6">
              <w:rPr>
                <w:rFonts w:asciiTheme="majorHAnsi" w:hAnsiTheme="majorHAnsi"/>
              </w:rPr>
              <w:t>)</w:t>
            </w:r>
          </w:p>
        </w:tc>
        <w:tc>
          <w:tcPr>
            <w:tcW w:w="1843" w:type="dxa"/>
            <w:tcBorders>
              <w:top w:val="nil"/>
            </w:tcBorders>
          </w:tcPr>
          <w:p w14:paraId="05F0C8F4" w14:textId="25BEB069" w:rsidR="00772E06" w:rsidRPr="00734AB6" w:rsidRDefault="00227732" w:rsidP="0099584D">
            <w:pPr>
              <w:spacing w:line="360" w:lineRule="auto"/>
              <w:rPr>
                <w:rFonts w:asciiTheme="majorHAnsi" w:hAnsiTheme="majorHAnsi"/>
              </w:rPr>
            </w:pPr>
            <w:r w:rsidRPr="00734AB6">
              <w:rPr>
                <w:rFonts w:asciiTheme="majorHAnsi" w:hAnsiTheme="majorHAnsi"/>
              </w:rPr>
              <w:t>10 (17.54</w:t>
            </w:r>
            <w:r w:rsidR="00772E06" w:rsidRPr="00734AB6">
              <w:rPr>
                <w:rFonts w:asciiTheme="majorHAnsi" w:hAnsiTheme="majorHAnsi"/>
              </w:rPr>
              <w:t>)</w:t>
            </w:r>
          </w:p>
        </w:tc>
        <w:tc>
          <w:tcPr>
            <w:tcW w:w="1559" w:type="dxa"/>
            <w:tcBorders>
              <w:top w:val="nil"/>
            </w:tcBorders>
          </w:tcPr>
          <w:p w14:paraId="0159DD96" w14:textId="612991C4" w:rsidR="00772E06" w:rsidRPr="00734AB6" w:rsidRDefault="00B63383" w:rsidP="0099584D">
            <w:pPr>
              <w:spacing w:line="360" w:lineRule="auto"/>
              <w:rPr>
                <w:rFonts w:asciiTheme="majorHAnsi" w:hAnsiTheme="majorHAnsi"/>
              </w:rPr>
            </w:pPr>
            <w:r w:rsidRPr="00734AB6">
              <w:rPr>
                <w:rFonts w:asciiTheme="majorHAnsi" w:hAnsiTheme="majorHAnsi"/>
              </w:rPr>
              <w:t>21 (19.81</w:t>
            </w:r>
            <w:r w:rsidR="00772E06" w:rsidRPr="00734AB6">
              <w:rPr>
                <w:rFonts w:asciiTheme="majorHAnsi" w:hAnsiTheme="majorHAnsi"/>
              </w:rPr>
              <w:t>)</w:t>
            </w:r>
          </w:p>
        </w:tc>
      </w:tr>
    </w:tbl>
    <w:p w14:paraId="77C6D7A3" w14:textId="77777777" w:rsidR="00772E06" w:rsidRPr="00734AB6" w:rsidRDefault="00772E06"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 refers to group only</w:t>
      </w:r>
    </w:p>
    <w:p w14:paraId="224B8C77" w14:textId="77777777" w:rsidR="00772E06" w:rsidRPr="00734AB6" w:rsidRDefault="00772E06" w:rsidP="0099584D">
      <w:pPr>
        <w:tabs>
          <w:tab w:val="left" w:pos="426"/>
        </w:tabs>
        <w:spacing w:line="360" w:lineRule="auto"/>
        <w:rPr>
          <w:rFonts w:asciiTheme="majorHAnsi" w:hAnsiTheme="majorHAnsi"/>
        </w:rPr>
      </w:pPr>
    </w:p>
    <w:p w14:paraId="47587BA2" w14:textId="5E810D1F"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most common type of cannabis used was reported to be ‘normal weed’ by the modafinil-only group (65%, N = 56), the methylphenidate group (74%, N = 42), and the control group (44%</w:t>
      </w:r>
      <w:r w:rsidR="00271D50" w:rsidRPr="00734AB6">
        <w:rPr>
          <w:rFonts w:asciiTheme="majorHAnsi" w:hAnsiTheme="majorHAnsi"/>
        </w:rPr>
        <w:t xml:space="preserve">, N = 47). Please see Appendix </w:t>
      </w:r>
      <w:r w:rsidR="006B4173" w:rsidRPr="00734AB6">
        <w:rPr>
          <w:rFonts w:asciiTheme="majorHAnsi" w:hAnsiTheme="majorHAnsi"/>
        </w:rPr>
        <w:t>B(ix)</w:t>
      </w:r>
      <w:r w:rsidRPr="00734AB6">
        <w:rPr>
          <w:rFonts w:asciiTheme="majorHAnsi" w:hAnsiTheme="majorHAnsi"/>
        </w:rPr>
        <w:t xml:space="preserve"> for full details.</w:t>
      </w:r>
    </w:p>
    <w:p w14:paraId="288BDDDB" w14:textId="385FB607"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most common route of administration of cannabis was reported as a ‘joint’ by the modafinil-only group (55%, N = 47), the methylphenidate group (65%, N = 37), and the control group (48%, N = 51). Full de</w:t>
      </w:r>
      <w:r w:rsidR="00416CAB" w:rsidRPr="00734AB6">
        <w:rPr>
          <w:rFonts w:asciiTheme="majorHAnsi" w:hAnsiTheme="majorHAnsi"/>
        </w:rPr>
        <w:t xml:space="preserve">tails can be found in Appendix </w:t>
      </w:r>
      <w:r w:rsidR="006B4173" w:rsidRPr="00734AB6">
        <w:rPr>
          <w:rFonts w:asciiTheme="majorHAnsi" w:hAnsiTheme="majorHAnsi"/>
        </w:rPr>
        <w:t>B(x)</w:t>
      </w:r>
      <w:r w:rsidRPr="00734AB6">
        <w:rPr>
          <w:rFonts w:asciiTheme="majorHAnsi" w:hAnsiTheme="majorHAnsi"/>
        </w:rPr>
        <w:t>.</w:t>
      </w:r>
    </w:p>
    <w:p w14:paraId="18CAD288" w14:textId="77777777" w:rsidR="00772E06" w:rsidRPr="00734AB6" w:rsidRDefault="00772E06" w:rsidP="0099584D">
      <w:pPr>
        <w:spacing w:line="360" w:lineRule="auto"/>
        <w:ind w:firstLine="709"/>
        <w:rPr>
          <w:rFonts w:asciiTheme="majorHAnsi" w:hAnsiTheme="majorHAnsi"/>
        </w:rPr>
      </w:pPr>
    </w:p>
    <w:p w14:paraId="37FB792F" w14:textId="77777777" w:rsidR="00772E06" w:rsidRPr="00734AB6" w:rsidRDefault="00772E06" w:rsidP="00594D41">
      <w:pPr>
        <w:pStyle w:val="Heading5"/>
        <w:spacing w:after="240" w:line="360" w:lineRule="auto"/>
        <w:rPr>
          <w:b/>
          <w:color w:val="auto"/>
        </w:rPr>
      </w:pPr>
      <w:r w:rsidRPr="00734AB6">
        <w:rPr>
          <w:b/>
          <w:color w:val="auto"/>
        </w:rPr>
        <w:t>3.3.1.3.2</w:t>
      </w:r>
      <w:r w:rsidRPr="00734AB6">
        <w:rPr>
          <w:b/>
          <w:color w:val="auto"/>
        </w:rPr>
        <w:tab/>
        <w:t>Nicotine</w:t>
      </w:r>
    </w:p>
    <w:p w14:paraId="4564C861"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Due to a technical error in Qualtrics, responses were only collected in the ‘every day/almost every day’ option for the frequency of use question and the ‘today’ options for the</w:t>
      </w:r>
      <w:r w:rsidRPr="00734AB6">
        <w:rPr>
          <w:rStyle w:val="CommentReference"/>
          <w:rFonts w:asciiTheme="majorHAnsi" w:hAnsiTheme="majorHAnsi"/>
          <w:sz w:val="22"/>
          <w:szCs w:val="22"/>
        </w:rPr>
        <w:t xml:space="preserve"> question </w:t>
      </w:r>
      <w:r w:rsidRPr="00734AB6">
        <w:rPr>
          <w:rFonts w:asciiTheme="majorHAnsi" w:hAnsiTheme="majorHAnsi"/>
        </w:rPr>
        <w:t xml:space="preserve">relating to the length of time since nicotine was last used. The modafinil-only group reported the highest level of everyday use of nicotine (53%, N = 46), followed closely by the methylphenidate group (42%, N = 24) compared with controls (21%, N = 22). The most common form of nicotine used was vaping in the modafinil-only group (36%, N = 31) and in the methylphenidate group (30%, N = 17) compared with the control group who reported cigarettes as the most common form of nicotine used (11%, N = 11). </w:t>
      </w:r>
    </w:p>
    <w:p w14:paraId="466815F1" w14:textId="5C81DE95"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For the modafinil-only group, </w:t>
      </w:r>
      <w:r w:rsidR="00446874" w:rsidRPr="00734AB6">
        <w:rPr>
          <w:rFonts w:asciiTheme="majorHAnsi" w:hAnsiTheme="majorHAnsi"/>
        </w:rPr>
        <w:t xml:space="preserve">reported </w:t>
      </w:r>
      <w:r w:rsidRPr="00734AB6">
        <w:rPr>
          <w:rFonts w:asciiTheme="majorHAnsi" w:hAnsiTheme="majorHAnsi"/>
        </w:rPr>
        <w:t>frequency of use of nicotine in the past six months was most commonly for ‘vaping’ (36%, N = 31), whereas there was a roughly equal number of controls reporting daily cigarette use (10%, N =11) and dail</w:t>
      </w:r>
      <w:r w:rsidR="00543F36" w:rsidRPr="00734AB6">
        <w:rPr>
          <w:rFonts w:asciiTheme="majorHAnsi" w:hAnsiTheme="majorHAnsi"/>
        </w:rPr>
        <w:t xml:space="preserve">y use of ‘vaping’ (8%, N = 8). Due to </w:t>
      </w:r>
      <w:r w:rsidR="00543F36" w:rsidRPr="00734AB6">
        <w:rPr>
          <w:rFonts w:asciiTheme="majorHAnsi" w:hAnsiTheme="majorHAnsi"/>
        </w:rPr>
        <w:lastRenderedPageBreak/>
        <w:t>the technical error in Qualtrics, t</w:t>
      </w:r>
      <w:r w:rsidRPr="00734AB6">
        <w:rPr>
          <w:rFonts w:asciiTheme="majorHAnsi" w:hAnsiTheme="majorHAnsi"/>
        </w:rPr>
        <w:t>he methylphenidate group did not answer this question. For the second question, the modafinil-only group most commonly reported using cigarettes ‘today’ compared to all other products (29%, N = 25). This was also true of the methylphenidate group (23%, N = 13) and the control group (12%, N = 13). Full de</w:t>
      </w:r>
      <w:r w:rsidR="00CD3550" w:rsidRPr="00734AB6">
        <w:rPr>
          <w:rFonts w:asciiTheme="majorHAnsi" w:hAnsiTheme="majorHAnsi"/>
        </w:rPr>
        <w:t xml:space="preserve">tails can be found in Appendix </w:t>
      </w:r>
      <w:r w:rsidR="006B4173" w:rsidRPr="00734AB6">
        <w:rPr>
          <w:rFonts w:asciiTheme="majorHAnsi" w:hAnsiTheme="majorHAnsi"/>
        </w:rPr>
        <w:t>B(xi)</w:t>
      </w:r>
      <w:r w:rsidRPr="00734AB6">
        <w:rPr>
          <w:rFonts w:asciiTheme="majorHAnsi" w:hAnsiTheme="majorHAnsi"/>
        </w:rPr>
        <w:t>.</w:t>
      </w:r>
    </w:p>
    <w:p w14:paraId="221E9D30" w14:textId="77777777" w:rsidR="00772E06" w:rsidRPr="00734AB6" w:rsidRDefault="00772E06" w:rsidP="0099584D">
      <w:pPr>
        <w:spacing w:line="360" w:lineRule="auto"/>
        <w:ind w:firstLine="709"/>
        <w:rPr>
          <w:rFonts w:asciiTheme="majorHAnsi" w:hAnsiTheme="majorHAnsi"/>
        </w:rPr>
      </w:pPr>
    </w:p>
    <w:p w14:paraId="0B80FDBA" w14:textId="77777777" w:rsidR="00772E06" w:rsidRPr="00734AB6" w:rsidRDefault="00772E06" w:rsidP="00594D41">
      <w:pPr>
        <w:pStyle w:val="Heading5"/>
        <w:spacing w:after="240" w:line="360" w:lineRule="auto"/>
        <w:rPr>
          <w:b/>
          <w:color w:val="auto"/>
        </w:rPr>
      </w:pPr>
      <w:r w:rsidRPr="00734AB6">
        <w:rPr>
          <w:b/>
          <w:color w:val="auto"/>
        </w:rPr>
        <w:t>3.3.1.3.3</w:t>
      </w:r>
      <w:r w:rsidRPr="00734AB6">
        <w:rPr>
          <w:b/>
          <w:color w:val="auto"/>
        </w:rPr>
        <w:tab/>
        <w:t>Alcohol</w:t>
      </w:r>
    </w:p>
    <w:p w14:paraId="6E928064"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Total scores on the AUDIT were highest in the control group, with a mean of 13.96 (</w:t>
      </w:r>
      <w:r w:rsidRPr="00734AB6">
        <w:rPr>
          <w:rFonts w:asciiTheme="majorHAnsi" w:hAnsiTheme="majorHAnsi"/>
          <w:i/>
        </w:rPr>
        <w:t>SD</w:t>
      </w:r>
      <w:r w:rsidRPr="00734AB6">
        <w:rPr>
          <w:rFonts w:asciiTheme="majorHAnsi" w:hAnsiTheme="majorHAnsi"/>
        </w:rPr>
        <w:t xml:space="preserve"> = 4.71), this was followed by the methylphenidate group, the mean total score was 7.30 (</w:t>
      </w:r>
      <w:r w:rsidRPr="00734AB6">
        <w:rPr>
          <w:rFonts w:asciiTheme="majorHAnsi" w:hAnsiTheme="majorHAnsi"/>
          <w:i/>
        </w:rPr>
        <w:t>SD</w:t>
      </w:r>
      <w:r w:rsidRPr="00734AB6">
        <w:rPr>
          <w:rFonts w:asciiTheme="majorHAnsi" w:hAnsiTheme="majorHAnsi"/>
        </w:rPr>
        <w:t xml:space="preserve"> = 5.08) and the modafinil group had the lowest total score, the mean was 6.40 (</w:t>
      </w:r>
      <w:r w:rsidRPr="00734AB6">
        <w:rPr>
          <w:rFonts w:asciiTheme="majorHAnsi" w:hAnsiTheme="majorHAnsi"/>
          <w:i/>
        </w:rPr>
        <w:t>SD</w:t>
      </w:r>
      <w:r w:rsidRPr="00734AB6">
        <w:rPr>
          <w:rFonts w:asciiTheme="majorHAnsi" w:hAnsiTheme="majorHAnsi"/>
        </w:rPr>
        <w:t xml:space="preserve"> = 4.44). </w:t>
      </w:r>
    </w:p>
    <w:p w14:paraId="05546289" w14:textId="77777777" w:rsidR="00772E06" w:rsidRPr="00734AB6" w:rsidRDefault="00772E06" w:rsidP="0099584D">
      <w:pPr>
        <w:spacing w:line="360" w:lineRule="auto"/>
        <w:ind w:firstLine="709"/>
        <w:rPr>
          <w:rFonts w:asciiTheme="majorHAnsi" w:hAnsiTheme="majorHAnsi"/>
        </w:rPr>
      </w:pPr>
    </w:p>
    <w:p w14:paraId="1154CBF5" w14:textId="77777777" w:rsidR="00772E06" w:rsidRPr="00734AB6" w:rsidRDefault="00772E06" w:rsidP="00594D41">
      <w:pPr>
        <w:pStyle w:val="Heading4"/>
        <w:spacing w:after="240" w:line="360" w:lineRule="auto"/>
        <w:rPr>
          <w:b/>
          <w:i w:val="0"/>
          <w:color w:val="auto"/>
        </w:rPr>
      </w:pPr>
      <w:r w:rsidRPr="00734AB6">
        <w:rPr>
          <w:b/>
          <w:i w:val="0"/>
          <w:color w:val="auto"/>
        </w:rPr>
        <w:t>3.3.1.4</w:t>
      </w:r>
      <w:r w:rsidRPr="00734AB6">
        <w:rPr>
          <w:b/>
          <w:i w:val="0"/>
          <w:color w:val="auto"/>
        </w:rPr>
        <w:tab/>
        <w:t>Other Recreational Drugs</w:t>
      </w:r>
    </w:p>
    <w:p w14:paraId="7D213397" w14:textId="77777777" w:rsidR="00772E06" w:rsidRPr="00734AB6" w:rsidRDefault="00772E06" w:rsidP="00594D41">
      <w:pPr>
        <w:pStyle w:val="Heading5"/>
        <w:spacing w:after="240" w:line="360" w:lineRule="auto"/>
        <w:rPr>
          <w:b/>
          <w:color w:val="auto"/>
        </w:rPr>
      </w:pPr>
      <w:r w:rsidRPr="00734AB6">
        <w:rPr>
          <w:b/>
          <w:color w:val="auto"/>
        </w:rPr>
        <w:t>3.3.1.4.1</w:t>
      </w:r>
      <w:r w:rsidRPr="00734AB6">
        <w:rPr>
          <w:b/>
          <w:color w:val="auto"/>
        </w:rPr>
        <w:tab/>
        <w:t>Frequency of recreational drug use within the past six months</w:t>
      </w:r>
    </w:p>
    <w:p w14:paraId="7DC533E5" w14:textId="773AB0EC" w:rsidR="00772E06" w:rsidRPr="00734AB6" w:rsidRDefault="00772E06" w:rsidP="0099584D">
      <w:pPr>
        <w:spacing w:line="360" w:lineRule="auto"/>
        <w:ind w:firstLine="709"/>
        <w:rPr>
          <w:rFonts w:asciiTheme="majorHAnsi" w:hAnsiTheme="majorHAnsi"/>
        </w:rPr>
      </w:pPr>
      <w:r w:rsidRPr="00734AB6">
        <w:rPr>
          <w:rFonts w:asciiTheme="majorHAnsi" w:hAnsiTheme="majorHAnsi"/>
        </w:rPr>
        <w:t>Due to issues with small Ns in each of the frequencies of use variables, it was decided to collapse the</w:t>
      </w:r>
      <w:r w:rsidR="00B17CF0" w:rsidRPr="00734AB6">
        <w:rPr>
          <w:rFonts w:asciiTheme="majorHAnsi" w:hAnsiTheme="majorHAnsi"/>
        </w:rPr>
        <w:t xml:space="preserve"> dr</w:t>
      </w:r>
      <w:r w:rsidR="007545D2" w:rsidRPr="00734AB6">
        <w:rPr>
          <w:rFonts w:asciiTheme="majorHAnsi" w:hAnsiTheme="majorHAnsi"/>
        </w:rPr>
        <w:t xml:space="preserve">ug categories (see Appendix </w:t>
      </w:r>
      <w:r w:rsidR="006B4173" w:rsidRPr="00734AB6">
        <w:rPr>
          <w:rFonts w:asciiTheme="majorHAnsi" w:hAnsiTheme="majorHAnsi"/>
        </w:rPr>
        <w:t xml:space="preserve">B(xii) </w:t>
      </w:r>
      <w:r w:rsidRPr="00734AB6">
        <w:rPr>
          <w:rFonts w:asciiTheme="majorHAnsi" w:hAnsiTheme="majorHAnsi"/>
        </w:rPr>
        <w:t>for full details). This resulted in five categories, namely, stimulants, depressants, opium-related pain killers, hallucinogens and cognitive enhancers for each of the two questions. Frequency of use categories were also condensed, “every day/almost every day”, “3-4 times per week” and “once per week” were condensed to form the category “once or more per week”. The categories “1-2 times per month” and “up to 3 times in total” were condensed to form the category “less than once a week” and, for the “never” category, the mean N for each drug category was used.</w:t>
      </w:r>
    </w:p>
    <w:p w14:paraId="1164C4C4" w14:textId="3CEB8F2D" w:rsidR="00772E06" w:rsidRPr="00734AB6" w:rsidRDefault="00772E06" w:rsidP="0099584D">
      <w:pPr>
        <w:spacing w:line="360" w:lineRule="auto"/>
        <w:ind w:firstLine="567"/>
        <w:rPr>
          <w:rFonts w:asciiTheme="majorHAnsi" w:hAnsiTheme="majorHAnsi"/>
        </w:rPr>
      </w:pPr>
      <w:r w:rsidRPr="00734AB6">
        <w:rPr>
          <w:rFonts w:asciiTheme="majorHAnsi" w:hAnsiTheme="majorHAnsi"/>
        </w:rPr>
        <w:t xml:space="preserve">As this was a three by five by three design, a log-linear test was conducted as the log-linear test allows for more levels than a Chi-Square test. The analysis produced a final model with a likelihood ratio of </w:t>
      </w:r>
      <w:r w:rsidRPr="00734AB6">
        <w:rPr>
          <w:rFonts w:asciiTheme="majorHAnsi" w:hAnsiTheme="majorHAnsi"/>
          <w:lang w:val="el-GR"/>
        </w:rPr>
        <w:t>χ</w:t>
      </w:r>
      <w:r w:rsidRPr="00734AB6">
        <w:rPr>
          <w:rFonts w:asciiTheme="majorHAnsi" w:hAnsiTheme="majorHAnsi"/>
          <w:vertAlign w:val="superscript"/>
        </w:rPr>
        <w:t>2</w:t>
      </w:r>
      <w:r w:rsidRPr="00734AB6">
        <w:rPr>
          <w:rFonts w:asciiTheme="majorHAnsi" w:hAnsiTheme="majorHAnsi"/>
        </w:rPr>
        <w:t xml:space="preserve">= 0.00, </w:t>
      </w:r>
      <w:r w:rsidRPr="00734AB6">
        <w:rPr>
          <w:rFonts w:asciiTheme="majorHAnsi" w:hAnsiTheme="majorHAnsi"/>
          <w:i/>
        </w:rPr>
        <w:t xml:space="preserve">p </w:t>
      </w:r>
      <w:r w:rsidRPr="00734AB6">
        <w:rPr>
          <w:rFonts w:asciiTheme="majorHAnsi" w:hAnsiTheme="majorHAnsi"/>
        </w:rPr>
        <w:t xml:space="preserve">= </w:t>
      </w:r>
      <w:proofErr w:type="spellStart"/>
      <w:r w:rsidRPr="00734AB6">
        <w:rPr>
          <w:rFonts w:asciiTheme="majorHAnsi" w:hAnsiTheme="majorHAnsi"/>
        </w:rPr>
        <w:t>n.s</w:t>
      </w:r>
      <w:proofErr w:type="spellEnd"/>
      <w:r w:rsidRPr="00734AB6">
        <w:rPr>
          <w:rFonts w:asciiTheme="majorHAnsi" w:hAnsiTheme="majorHAnsi"/>
        </w:rPr>
        <w:t xml:space="preserve">., indicating that the model fits the data well. This model indicated that the three-way interaction was significant (group type*drug type*frequency of use, </w:t>
      </w:r>
      <w:r w:rsidRPr="00734AB6">
        <w:rPr>
          <w:rFonts w:asciiTheme="majorHAnsi" w:hAnsiTheme="majorHAnsi"/>
          <w:lang w:val="el-GR"/>
        </w:rPr>
        <w:t>χ</w:t>
      </w:r>
      <w:r w:rsidRPr="00734AB6">
        <w:rPr>
          <w:rFonts w:asciiTheme="majorHAnsi" w:hAnsiTheme="majorHAnsi"/>
          <w:vertAlign w:val="superscript"/>
        </w:rPr>
        <w:t xml:space="preserve">2 </w:t>
      </w:r>
      <w:r w:rsidRPr="00734AB6">
        <w:rPr>
          <w:rFonts w:asciiTheme="majorHAnsi" w:hAnsiTheme="majorHAnsi"/>
        </w:rPr>
        <w:t xml:space="preserve">= 27.76, </w:t>
      </w:r>
      <w:r w:rsidRPr="00734AB6">
        <w:rPr>
          <w:rFonts w:asciiTheme="majorHAnsi" w:hAnsiTheme="majorHAnsi"/>
          <w:i/>
        </w:rPr>
        <w:t>p</w:t>
      </w:r>
      <w:r w:rsidRPr="00734AB6">
        <w:rPr>
          <w:rFonts w:asciiTheme="majorHAnsi" w:hAnsiTheme="majorHAnsi"/>
        </w:rPr>
        <w:t xml:space="preserve"> = .034). To break this down further, separate Chi-square tests were performed on the modafinil-only, methylphenidate and control groups, the drug types and frequency of use. </w:t>
      </w:r>
    </w:p>
    <w:p w14:paraId="61DD4E52" w14:textId="77777777" w:rsidR="00772E06" w:rsidRPr="00734AB6" w:rsidRDefault="00772E06" w:rsidP="0099584D">
      <w:pPr>
        <w:spacing w:line="360" w:lineRule="auto"/>
        <w:ind w:firstLine="567"/>
        <w:rPr>
          <w:rFonts w:asciiTheme="majorHAnsi" w:hAnsiTheme="majorHAnsi"/>
        </w:rPr>
      </w:pPr>
      <w:r w:rsidRPr="00734AB6">
        <w:rPr>
          <w:rFonts w:asciiTheme="majorHAnsi" w:hAnsiTheme="majorHAnsi"/>
        </w:rPr>
        <w:t xml:space="preserve">The Chi-square analysis found that there was no significant association for group type (modafinil-only, methylphenidate and control) and drug type (stimulants, depressants, opium-related pain killers, hallucinogens and cognitive enhancers), </w:t>
      </w:r>
      <w:r w:rsidRPr="00734AB6">
        <w:rPr>
          <w:rFonts w:asciiTheme="majorHAnsi" w:hAnsiTheme="majorHAnsi"/>
          <w:lang w:val="el-GR"/>
        </w:rPr>
        <w:t>χ</w:t>
      </w:r>
      <w:r w:rsidRPr="00734AB6">
        <w:rPr>
          <w:rFonts w:asciiTheme="majorHAnsi" w:hAnsiTheme="majorHAnsi"/>
          <w:vertAlign w:val="superscript"/>
        </w:rPr>
        <w:t xml:space="preserve">2 </w:t>
      </w:r>
      <w:r w:rsidRPr="00734AB6">
        <w:rPr>
          <w:rFonts w:asciiTheme="majorHAnsi" w:hAnsiTheme="majorHAnsi"/>
        </w:rPr>
        <w:t>(</w:t>
      </w:r>
      <w:r w:rsidRPr="00734AB6">
        <w:rPr>
          <w:rFonts w:asciiTheme="majorHAnsi" w:hAnsiTheme="majorHAnsi"/>
          <w:vertAlign w:val="subscript"/>
        </w:rPr>
        <w:t>8, 249</w:t>
      </w:r>
      <w:r w:rsidRPr="00734AB6">
        <w:rPr>
          <w:rFonts w:asciiTheme="majorHAnsi" w:hAnsiTheme="majorHAnsi"/>
        </w:rPr>
        <w:t xml:space="preserve">) = 12.93, </w:t>
      </w:r>
      <w:r w:rsidRPr="00734AB6">
        <w:rPr>
          <w:rFonts w:asciiTheme="majorHAnsi" w:hAnsiTheme="majorHAnsi"/>
          <w:i/>
        </w:rPr>
        <w:t>p</w:t>
      </w:r>
      <w:r w:rsidRPr="00734AB6">
        <w:rPr>
          <w:rFonts w:asciiTheme="majorHAnsi" w:hAnsiTheme="majorHAnsi"/>
        </w:rPr>
        <w:t xml:space="preserve">  = .114. Reported modafinil-only users, methylphenidate users and controls were not more likely to use any particular drug type.  </w:t>
      </w:r>
    </w:p>
    <w:p w14:paraId="021285B2" w14:textId="4659CFD3" w:rsidR="00772E06" w:rsidRPr="00734AB6" w:rsidRDefault="00772E06" w:rsidP="0099584D">
      <w:pPr>
        <w:spacing w:line="360" w:lineRule="auto"/>
        <w:ind w:firstLine="567"/>
        <w:rPr>
          <w:rFonts w:asciiTheme="majorHAnsi" w:hAnsiTheme="majorHAnsi"/>
        </w:rPr>
      </w:pPr>
      <w:r w:rsidRPr="00734AB6">
        <w:rPr>
          <w:rFonts w:asciiTheme="majorHAnsi" w:hAnsiTheme="majorHAnsi"/>
        </w:rPr>
        <w:lastRenderedPageBreak/>
        <w:t xml:space="preserve">The Chi-square analysis found that there was a significant association for group type and frequency of use, </w:t>
      </w:r>
      <w:r w:rsidRPr="00734AB6">
        <w:rPr>
          <w:rFonts w:asciiTheme="majorHAnsi" w:hAnsiTheme="majorHAnsi"/>
          <w:lang w:val="el-GR"/>
        </w:rPr>
        <w:t>χ</w:t>
      </w:r>
      <w:r w:rsidRPr="00734AB6">
        <w:rPr>
          <w:rFonts w:asciiTheme="majorHAnsi" w:hAnsiTheme="majorHAnsi"/>
          <w:vertAlign w:val="superscript"/>
        </w:rPr>
        <w:t>2</w:t>
      </w:r>
      <w:r w:rsidRPr="00734AB6">
        <w:rPr>
          <w:rFonts w:asciiTheme="majorHAnsi" w:hAnsiTheme="majorHAnsi"/>
        </w:rPr>
        <w:t>(</w:t>
      </w:r>
      <w:r w:rsidRPr="00734AB6">
        <w:rPr>
          <w:rFonts w:asciiTheme="majorHAnsi" w:hAnsiTheme="majorHAnsi"/>
          <w:vertAlign w:val="subscript"/>
        </w:rPr>
        <w:t>4, 249</w:t>
      </w:r>
      <w:r w:rsidRPr="00734AB6">
        <w:rPr>
          <w:rFonts w:asciiTheme="majorHAnsi" w:hAnsiTheme="majorHAnsi"/>
        </w:rPr>
        <w:t>)</w:t>
      </w:r>
      <w:r w:rsidRPr="00734AB6">
        <w:rPr>
          <w:rFonts w:asciiTheme="majorHAnsi" w:hAnsiTheme="majorHAnsi"/>
          <w:vertAlign w:val="superscript"/>
        </w:rPr>
        <w:t xml:space="preserve"> </w:t>
      </w:r>
      <w:r w:rsidRPr="00734AB6">
        <w:rPr>
          <w:rFonts w:asciiTheme="majorHAnsi" w:hAnsiTheme="majorHAnsi"/>
        </w:rPr>
        <w:t xml:space="preserve">= 98.74, </w:t>
      </w:r>
      <w:r w:rsidRPr="00734AB6">
        <w:rPr>
          <w:rFonts w:asciiTheme="majorHAnsi" w:hAnsiTheme="majorHAnsi"/>
          <w:i/>
        </w:rPr>
        <w:t>p</w:t>
      </w:r>
      <w:r w:rsidRPr="00734AB6">
        <w:rPr>
          <w:rFonts w:asciiTheme="majorHAnsi" w:hAnsiTheme="majorHAnsi"/>
        </w:rPr>
        <w:t xml:space="preserve"> &lt; .001. </w:t>
      </w:r>
      <w:r w:rsidR="00446874" w:rsidRPr="00734AB6">
        <w:rPr>
          <w:rFonts w:asciiTheme="majorHAnsi" w:hAnsiTheme="majorHAnsi"/>
        </w:rPr>
        <w:t>Reported u</w:t>
      </w:r>
      <w:r w:rsidRPr="00734AB6">
        <w:rPr>
          <w:rFonts w:asciiTheme="majorHAnsi" w:hAnsiTheme="majorHAnsi"/>
        </w:rPr>
        <w:t xml:space="preserve">se of recreational drugs once or more times per week was more likely in the modafinil-only group and less likely in the methylphenidate and control groups. Whereas </w:t>
      </w:r>
      <w:r w:rsidR="00446874" w:rsidRPr="00734AB6">
        <w:rPr>
          <w:rFonts w:asciiTheme="majorHAnsi" w:hAnsiTheme="majorHAnsi"/>
        </w:rPr>
        <w:t xml:space="preserve">reported </w:t>
      </w:r>
      <w:r w:rsidRPr="00734AB6">
        <w:rPr>
          <w:rFonts w:asciiTheme="majorHAnsi" w:hAnsiTheme="majorHAnsi"/>
        </w:rPr>
        <w:t xml:space="preserve">use of recreational drugs less than once per week was more likely in the methylphenidate and modafinil-only groups and less likely in the control group. The control group were more likely to have never used recreational drugs and the modafinil-only and methylphenidate groups were more likely to have used recreational drugs. However, Cramer’s V was .17 indicating that this was a weak association. </w:t>
      </w:r>
    </w:p>
    <w:p w14:paraId="1B9FB257" w14:textId="3E1C8524" w:rsidR="00772E06" w:rsidRPr="00734AB6" w:rsidRDefault="00772E06" w:rsidP="0099584D">
      <w:pPr>
        <w:spacing w:line="360" w:lineRule="auto"/>
        <w:ind w:firstLine="567"/>
        <w:rPr>
          <w:rFonts w:asciiTheme="majorHAnsi" w:hAnsiTheme="majorHAnsi"/>
        </w:rPr>
      </w:pPr>
      <w:r w:rsidRPr="00734AB6">
        <w:rPr>
          <w:rFonts w:asciiTheme="majorHAnsi" w:hAnsiTheme="majorHAnsi"/>
        </w:rPr>
        <w:t xml:space="preserve">A further Chi-square analysis that there was a significant association between frequency of use and drug type </w:t>
      </w:r>
      <w:r w:rsidRPr="00734AB6">
        <w:rPr>
          <w:rFonts w:asciiTheme="majorHAnsi" w:hAnsiTheme="majorHAnsi"/>
          <w:lang w:val="el-GR"/>
        </w:rPr>
        <w:t>χ</w:t>
      </w:r>
      <w:r w:rsidRPr="00734AB6">
        <w:rPr>
          <w:rFonts w:asciiTheme="majorHAnsi" w:hAnsiTheme="majorHAnsi"/>
          <w:vertAlign w:val="superscript"/>
        </w:rPr>
        <w:t>2</w:t>
      </w:r>
      <w:r w:rsidRPr="00734AB6">
        <w:rPr>
          <w:rFonts w:asciiTheme="majorHAnsi" w:hAnsiTheme="majorHAnsi"/>
        </w:rPr>
        <w:t>(</w:t>
      </w:r>
      <w:r w:rsidRPr="00734AB6">
        <w:rPr>
          <w:rFonts w:asciiTheme="majorHAnsi" w:hAnsiTheme="majorHAnsi"/>
          <w:vertAlign w:val="subscript"/>
        </w:rPr>
        <w:t>8, 249</w:t>
      </w:r>
      <w:r w:rsidRPr="00734AB6">
        <w:rPr>
          <w:rFonts w:asciiTheme="majorHAnsi" w:hAnsiTheme="majorHAnsi"/>
        </w:rPr>
        <w:t>)</w:t>
      </w:r>
      <w:r w:rsidRPr="00734AB6">
        <w:rPr>
          <w:rFonts w:asciiTheme="majorHAnsi" w:hAnsiTheme="majorHAnsi"/>
          <w:vertAlign w:val="superscript"/>
        </w:rPr>
        <w:t xml:space="preserve"> </w:t>
      </w:r>
      <w:r w:rsidRPr="00734AB6">
        <w:rPr>
          <w:rFonts w:asciiTheme="majorHAnsi" w:hAnsiTheme="majorHAnsi"/>
        </w:rPr>
        <w:t xml:space="preserve">= 181.62, </w:t>
      </w:r>
      <w:r w:rsidRPr="00734AB6">
        <w:rPr>
          <w:rFonts w:asciiTheme="majorHAnsi" w:hAnsiTheme="majorHAnsi"/>
          <w:i/>
        </w:rPr>
        <w:t>p</w:t>
      </w:r>
      <w:r w:rsidRPr="00734AB6">
        <w:rPr>
          <w:rFonts w:asciiTheme="majorHAnsi" w:hAnsiTheme="majorHAnsi"/>
        </w:rPr>
        <w:t xml:space="preserve"> &lt; .001. Stimulants were more likely to be used once or more time per week and all other drug types were less likely to be used once or more times per week</w:t>
      </w:r>
      <w:r w:rsidR="00676CF9" w:rsidRPr="00734AB6">
        <w:rPr>
          <w:rFonts w:asciiTheme="majorHAnsi" w:hAnsiTheme="majorHAnsi"/>
        </w:rPr>
        <w:t>. S</w:t>
      </w:r>
      <w:r w:rsidRPr="00734AB6">
        <w:rPr>
          <w:rFonts w:asciiTheme="majorHAnsi" w:hAnsiTheme="majorHAnsi"/>
        </w:rPr>
        <w:t xml:space="preserve">timulants </w:t>
      </w:r>
      <w:r w:rsidR="00543F36" w:rsidRPr="00734AB6">
        <w:rPr>
          <w:rFonts w:asciiTheme="majorHAnsi" w:hAnsiTheme="majorHAnsi"/>
        </w:rPr>
        <w:t>were</w:t>
      </w:r>
      <w:r w:rsidR="00676CF9" w:rsidRPr="00734AB6">
        <w:rPr>
          <w:rFonts w:asciiTheme="majorHAnsi" w:hAnsiTheme="majorHAnsi"/>
        </w:rPr>
        <w:t xml:space="preserve"> </w:t>
      </w:r>
      <w:r w:rsidRPr="00734AB6">
        <w:rPr>
          <w:rFonts w:asciiTheme="majorHAnsi" w:hAnsiTheme="majorHAnsi"/>
        </w:rPr>
        <w:t>also more likely to be used less than once per week and all other drug types were less likely to be used less than once per week. It was more likely that opium-related pain killers and depressants were never used compared with all other drug types. Cramer’s V was .23 indicating that this was a weak association.</w:t>
      </w:r>
    </w:p>
    <w:p w14:paraId="588981AF" w14:textId="77777777" w:rsidR="00772E06" w:rsidRPr="00734AB6" w:rsidRDefault="00772E06" w:rsidP="0099584D">
      <w:pPr>
        <w:spacing w:line="360" w:lineRule="auto"/>
        <w:ind w:firstLine="567"/>
        <w:rPr>
          <w:rFonts w:asciiTheme="majorHAnsi" w:hAnsiTheme="majorHAnsi"/>
        </w:rPr>
      </w:pPr>
    </w:p>
    <w:p w14:paraId="2E40EB65" w14:textId="77777777" w:rsidR="00772E06" w:rsidRPr="00734AB6" w:rsidRDefault="00772E06" w:rsidP="00594D41">
      <w:pPr>
        <w:pStyle w:val="Heading5"/>
        <w:spacing w:after="240" w:line="360" w:lineRule="auto"/>
        <w:rPr>
          <w:b/>
          <w:color w:val="auto"/>
        </w:rPr>
      </w:pPr>
      <w:r w:rsidRPr="00734AB6">
        <w:rPr>
          <w:b/>
          <w:color w:val="auto"/>
        </w:rPr>
        <w:t>3.3.1.4.2</w:t>
      </w:r>
      <w:r w:rsidRPr="00734AB6">
        <w:rPr>
          <w:b/>
          <w:color w:val="auto"/>
        </w:rPr>
        <w:tab/>
        <w:t>Length of time since last use of recreational drugs</w:t>
      </w:r>
    </w:p>
    <w:p w14:paraId="0B934CD9" w14:textId="0B2486C5" w:rsidR="00772E06" w:rsidRPr="00734AB6" w:rsidRDefault="00772E06" w:rsidP="0099584D">
      <w:pPr>
        <w:spacing w:line="360" w:lineRule="auto"/>
        <w:ind w:firstLine="709"/>
        <w:rPr>
          <w:rFonts w:asciiTheme="majorHAnsi" w:hAnsiTheme="majorHAnsi"/>
        </w:rPr>
      </w:pPr>
      <w:r w:rsidRPr="00734AB6">
        <w:rPr>
          <w:rFonts w:asciiTheme="majorHAnsi" w:hAnsiTheme="majorHAnsi"/>
        </w:rPr>
        <w:t>This question provided a finer level of detail about reported recreational drug use, but only in those who reported less frequent use of recreational drugs. Therefore</w:t>
      </w:r>
      <w:r w:rsidR="00B75BBF" w:rsidRPr="00734AB6">
        <w:rPr>
          <w:rFonts w:asciiTheme="majorHAnsi" w:hAnsiTheme="majorHAnsi"/>
        </w:rPr>
        <w:t>,</w:t>
      </w:r>
      <w:r w:rsidRPr="00734AB6">
        <w:rPr>
          <w:rFonts w:asciiTheme="majorHAnsi" w:hAnsiTheme="majorHAnsi"/>
        </w:rPr>
        <w:t xml:space="preserve"> these data are of less relevance to the central focus of this thesis and so have not been reported here and ca</w:t>
      </w:r>
      <w:r w:rsidR="00B17CF0" w:rsidRPr="00734AB6">
        <w:rPr>
          <w:rFonts w:asciiTheme="majorHAnsi" w:hAnsiTheme="majorHAnsi"/>
        </w:rPr>
        <w:t>n i</w:t>
      </w:r>
      <w:r w:rsidR="004B47E6" w:rsidRPr="00734AB6">
        <w:rPr>
          <w:rFonts w:asciiTheme="majorHAnsi" w:hAnsiTheme="majorHAnsi"/>
        </w:rPr>
        <w:t xml:space="preserve">nstead be found in Appendix </w:t>
      </w:r>
      <w:r w:rsidR="006B4173" w:rsidRPr="00734AB6">
        <w:rPr>
          <w:rFonts w:asciiTheme="majorHAnsi" w:hAnsiTheme="majorHAnsi"/>
        </w:rPr>
        <w:t>B(xii)</w:t>
      </w:r>
      <w:r w:rsidRPr="00734AB6">
        <w:rPr>
          <w:rFonts w:asciiTheme="majorHAnsi" w:hAnsiTheme="majorHAnsi"/>
        </w:rPr>
        <w:t>.</w:t>
      </w:r>
    </w:p>
    <w:p w14:paraId="2CF7DB6D" w14:textId="77777777" w:rsidR="00772E06" w:rsidRPr="00734AB6" w:rsidRDefault="00772E06" w:rsidP="0099584D">
      <w:pPr>
        <w:spacing w:line="360" w:lineRule="auto"/>
        <w:ind w:firstLine="709"/>
        <w:rPr>
          <w:rFonts w:asciiTheme="majorHAnsi" w:hAnsiTheme="majorHAnsi"/>
        </w:rPr>
      </w:pPr>
    </w:p>
    <w:p w14:paraId="3BA9C016" w14:textId="77777777" w:rsidR="00772E06" w:rsidRPr="00734AB6" w:rsidRDefault="00772E06" w:rsidP="00594D41">
      <w:pPr>
        <w:pStyle w:val="Heading4"/>
        <w:spacing w:after="240" w:line="360" w:lineRule="auto"/>
        <w:rPr>
          <w:b/>
          <w:i w:val="0"/>
          <w:color w:val="auto"/>
        </w:rPr>
      </w:pPr>
      <w:r w:rsidRPr="00734AB6">
        <w:rPr>
          <w:b/>
          <w:i w:val="0"/>
          <w:color w:val="auto"/>
        </w:rPr>
        <w:t>3.3.1.5</w:t>
      </w:r>
      <w:r w:rsidRPr="00734AB6">
        <w:rPr>
          <w:b/>
          <w:i w:val="0"/>
          <w:color w:val="auto"/>
        </w:rPr>
        <w:tab/>
        <w:t>Modafinil and Methylphenidate</w:t>
      </w:r>
    </w:p>
    <w:p w14:paraId="7A3ADD83" w14:textId="77777777" w:rsidR="00772E06" w:rsidRPr="00734AB6" w:rsidRDefault="00772E06" w:rsidP="00594D41">
      <w:pPr>
        <w:pStyle w:val="Heading5"/>
        <w:spacing w:after="240" w:line="360" w:lineRule="auto"/>
        <w:rPr>
          <w:b/>
          <w:color w:val="auto"/>
        </w:rPr>
      </w:pPr>
      <w:r w:rsidRPr="00734AB6">
        <w:rPr>
          <w:b/>
          <w:color w:val="auto"/>
        </w:rPr>
        <w:t>3.3.1.5.1</w:t>
      </w:r>
      <w:r w:rsidRPr="00734AB6">
        <w:rPr>
          <w:b/>
          <w:color w:val="auto"/>
        </w:rPr>
        <w:tab/>
        <w:t>Modafinil only</w:t>
      </w:r>
    </w:p>
    <w:p w14:paraId="3F50DC68"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mean age of first use of modafinil reported by the modafinil-only group was 27 years (</w:t>
      </w:r>
      <w:r w:rsidRPr="00734AB6">
        <w:rPr>
          <w:rFonts w:asciiTheme="majorHAnsi" w:hAnsiTheme="majorHAnsi"/>
          <w:i/>
        </w:rPr>
        <w:t>SD</w:t>
      </w:r>
      <w:r w:rsidRPr="00734AB6">
        <w:rPr>
          <w:rFonts w:asciiTheme="majorHAnsi" w:hAnsiTheme="majorHAnsi"/>
        </w:rPr>
        <w:t xml:space="preserve"> = 9.47) with a range of 47 years (16 – 63). The only route of administration reported by this group was by swallowing a pill. </w:t>
      </w:r>
    </w:p>
    <w:p w14:paraId="1C245853" w14:textId="3CA74BF2"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most common dosage taken in any day was reported by 34% (N = 29) to be 200mg (see Table </w:t>
      </w:r>
      <w:r w:rsidR="001D6E58" w:rsidRPr="00734AB6">
        <w:rPr>
          <w:rFonts w:asciiTheme="majorHAnsi" w:hAnsiTheme="majorHAnsi"/>
        </w:rPr>
        <w:t>3.</w:t>
      </w:r>
      <w:r w:rsidR="00BE3132" w:rsidRPr="00734AB6">
        <w:rPr>
          <w:rFonts w:asciiTheme="majorHAnsi" w:hAnsiTheme="majorHAnsi"/>
        </w:rPr>
        <w:t>5</w:t>
      </w:r>
      <w:r w:rsidRPr="00734AB6">
        <w:rPr>
          <w:rFonts w:asciiTheme="majorHAnsi" w:hAnsiTheme="majorHAnsi"/>
        </w:rPr>
        <w:t xml:space="preserve"> for full details). </w:t>
      </w:r>
    </w:p>
    <w:p w14:paraId="395D3A20" w14:textId="77777777" w:rsidR="00772E06" w:rsidRPr="00734AB6" w:rsidRDefault="00772E06" w:rsidP="0099584D">
      <w:pPr>
        <w:spacing w:line="360" w:lineRule="auto"/>
        <w:ind w:firstLine="709"/>
        <w:rPr>
          <w:rFonts w:asciiTheme="majorHAnsi" w:hAnsiTheme="majorHAnsi"/>
        </w:rPr>
      </w:pPr>
    </w:p>
    <w:p w14:paraId="3232AC36" w14:textId="77777777" w:rsidR="00543F36" w:rsidRPr="00734AB6" w:rsidRDefault="00543F36">
      <w:pPr>
        <w:rPr>
          <w:rFonts w:asciiTheme="majorHAnsi" w:hAnsiTheme="majorHAnsi"/>
          <w:b/>
        </w:rPr>
      </w:pPr>
      <w:r w:rsidRPr="00734AB6">
        <w:rPr>
          <w:rFonts w:asciiTheme="majorHAnsi" w:hAnsiTheme="majorHAnsi"/>
          <w:b/>
        </w:rPr>
        <w:br w:type="page"/>
      </w:r>
    </w:p>
    <w:p w14:paraId="488BAC86" w14:textId="672C868D"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 xml:space="preserve">Table </w:t>
      </w:r>
      <w:r w:rsidR="001D6E58" w:rsidRPr="00734AB6">
        <w:rPr>
          <w:rFonts w:asciiTheme="majorHAnsi" w:hAnsiTheme="majorHAnsi"/>
          <w:b/>
        </w:rPr>
        <w:t>3.</w:t>
      </w:r>
      <w:r w:rsidR="00BE3132" w:rsidRPr="00734AB6">
        <w:rPr>
          <w:rFonts w:asciiTheme="majorHAnsi" w:hAnsiTheme="majorHAnsi"/>
          <w:b/>
        </w:rPr>
        <w:t>5</w:t>
      </w:r>
      <w:r w:rsidRPr="00734AB6">
        <w:rPr>
          <w:rFonts w:asciiTheme="majorHAnsi" w:hAnsiTheme="majorHAnsi"/>
          <w:b/>
        </w:rPr>
        <w:t>. Dosage levels of reported modafinil use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89"/>
        <w:gridCol w:w="2131"/>
      </w:tblGrid>
      <w:tr w:rsidR="00772E06" w:rsidRPr="00734AB6" w14:paraId="51CC0B52" w14:textId="77777777" w:rsidTr="0090762F">
        <w:tc>
          <w:tcPr>
            <w:tcW w:w="2689" w:type="dxa"/>
            <w:tcBorders>
              <w:bottom w:val="single" w:sz="4" w:space="0" w:color="auto"/>
              <w:right w:val="nil"/>
            </w:tcBorders>
          </w:tcPr>
          <w:p w14:paraId="316674C9"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Dosage</w:t>
            </w:r>
          </w:p>
        </w:tc>
        <w:tc>
          <w:tcPr>
            <w:tcW w:w="2131" w:type="dxa"/>
            <w:tcBorders>
              <w:left w:val="nil"/>
              <w:bottom w:val="single" w:sz="4" w:space="0" w:color="auto"/>
            </w:tcBorders>
          </w:tcPr>
          <w:p w14:paraId="429B1045" w14:textId="1F9A636A"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r>
      <w:tr w:rsidR="00772E06" w:rsidRPr="00734AB6" w14:paraId="39860C51" w14:textId="77777777" w:rsidTr="00772E06">
        <w:tc>
          <w:tcPr>
            <w:tcW w:w="2689" w:type="dxa"/>
            <w:tcBorders>
              <w:bottom w:val="nil"/>
              <w:right w:val="nil"/>
            </w:tcBorders>
          </w:tcPr>
          <w:p w14:paraId="1BDB23FB"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Less than 50mg</w:t>
            </w:r>
          </w:p>
        </w:tc>
        <w:tc>
          <w:tcPr>
            <w:tcW w:w="2131" w:type="dxa"/>
            <w:tcBorders>
              <w:left w:val="nil"/>
              <w:bottom w:val="nil"/>
            </w:tcBorders>
          </w:tcPr>
          <w:p w14:paraId="410009D5" w14:textId="667A1C80" w:rsidR="00772E06" w:rsidRPr="00734AB6" w:rsidRDefault="00B63383" w:rsidP="0099584D">
            <w:pPr>
              <w:spacing w:line="360" w:lineRule="auto"/>
              <w:rPr>
                <w:rFonts w:asciiTheme="majorHAnsi" w:hAnsiTheme="majorHAnsi"/>
              </w:rPr>
            </w:pPr>
            <w:r w:rsidRPr="00734AB6">
              <w:rPr>
                <w:rFonts w:asciiTheme="majorHAnsi" w:hAnsiTheme="majorHAnsi"/>
              </w:rPr>
              <w:t>1 (1.16</w:t>
            </w:r>
            <w:r w:rsidR="00772E06" w:rsidRPr="00734AB6">
              <w:rPr>
                <w:rFonts w:asciiTheme="majorHAnsi" w:hAnsiTheme="majorHAnsi"/>
              </w:rPr>
              <w:t>)</w:t>
            </w:r>
          </w:p>
        </w:tc>
      </w:tr>
      <w:tr w:rsidR="00772E06" w:rsidRPr="00734AB6" w14:paraId="1647F460" w14:textId="77777777" w:rsidTr="00772E06">
        <w:tc>
          <w:tcPr>
            <w:tcW w:w="2689" w:type="dxa"/>
            <w:tcBorders>
              <w:top w:val="nil"/>
              <w:bottom w:val="nil"/>
              <w:right w:val="nil"/>
            </w:tcBorders>
          </w:tcPr>
          <w:p w14:paraId="66935464"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50mg</w:t>
            </w:r>
          </w:p>
        </w:tc>
        <w:tc>
          <w:tcPr>
            <w:tcW w:w="2131" w:type="dxa"/>
            <w:tcBorders>
              <w:top w:val="nil"/>
              <w:left w:val="nil"/>
              <w:bottom w:val="nil"/>
            </w:tcBorders>
          </w:tcPr>
          <w:p w14:paraId="3D197FC8" w14:textId="3B6C91C1" w:rsidR="00772E06" w:rsidRPr="00734AB6" w:rsidRDefault="00B63383" w:rsidP="00B63383">
            <w:pPr>
              <w:spacing w:line="360" w:lineRule="auto"/>
              <w:rPr>
                <w:rFonts w:asciiTheme="majorHAnsi" w:hAnsiTheme="majorHAnsi"/>
              </w:rPr>
            </w:pPr>
            <w:r w:rsidRPr="00734AB6">
              <w:rPr>
                <w:rFonts w:asciiTheme="majorHAnsi" w:hAnsiTheme="majorHAnsi"/>
              </w:rPr>
              <w:t>13 (</w:t>
            </w:r>
            <w:r w:rsidR="00772E06" w:rsidRPr="00734AB6">
              <w:rPr>
                <w:rFonts w:asciiTheme="majorHAnsi" w:hAnsiTheme="majorHAnsi"/>
              </w:rPr>
              <w:t>15.12)</w:t>
            </w:r>
          </w:p>
        </w:tc>
      </w:tr>
      <w:tr w:rsidR="00772E06" w:rsidRPr="00734AB6" w14:paraId="17948C0B" w14:textId="77777777" w:rsidTr="00772E06">
        <w:tc>
          <w:tcPr>
            <w:tcW w:w="2689" w:type="dxa"/>
            <w:tcBorders>
              <w:top w:val="nil"/>
              <w:bottom w:val="nil"/>
              <w:right w:val="nil"/>
            </w:tcBorders>
          </w:tcPr>
          <w:p w14:paraId="6176BCBF"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100mg</w:t>
            </w:r>
          </w:p>
        </w:tc>
        <w:tc>
          <w:tcPr>
            <w:tcW w:w="2131" w:type="dxa"/>
            <w:tcBorders>
              <w:top w:val="nil"/>
              <w:left w:val="nil"/>
              <w:bottom w:val="nil"/>
            </w:tcBorders>
          </w:tcPr>
          <w:p w14:paraId="2333DC3B" w14:textId="2BEF406B" w:rsidR="00772E06" w:rsidRPr="00734AB6" w:rsidRDefault="00B63383" w:rsidP="00B63383">
            <w:pPr>
              <w:spacing w:line="360" w:lineRule="auto"/>
              <w:rPr>
                <w:rFonts w:asciiTheme="majorHAnsi" w:hAnsiTheme="majorHAnsi"/>
              </w:rPr>
            </w:pPr>
            <w:r w:rsidRPr="00734AB6">
              <w:rPr>
                <w:rFonts w:asciiTheme="majorHAnsi" w:hAnsiTheme="majorHAnsi"/>
              </w:rPr>
              <w:t>28 (</w:t>
            </w:r>
            <w:r w:rsidR="00772E06" w:rsidRPr="00734AB6">
              <w:rPr>
                <w:rFonts w:asciiTheme="majorHAnsi" w:hAnsiTheme="majorHAnsi"/>
              </w:rPr>
              <w:t>32.56)</w:t>
            </w:r>
          </w:p>
        </w:tc>
      </w:tr>
      <w:tr w:rsidR="00772E06" w:rsidRPr="00734AB6" w14:paraId="5914EF54" w14:textId="77777777" w:rsidTr="00772E06">
        <w:tc>
          <w:tcPr>
            <w:tcW w:w="2689" w:type="dxa"/>
            <w:tcBorders>
              <w:top w:val="nil"/>
              <w:bottom w:val="nil"/>
              <w:right w:val="nil"/>
            </w:tcBorders>
          </w:tcPr>
          <w:p w14:paraId="38CD35D9"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150mg</w:t>
            </w:r>
          </w:p>
        </w:tc>
        <w:tc>
          <w:tcPr>
            <w:tcW w:w="2131" w:type="dxa"/>
            <w:tcBorders>
              <w:top w:val="nil"/>
              <w:left w:val="nil"/>
              <w:bottom w:val="nil"/>
            </w:tcBorders>
          </w:tcPr>
          <w:p w14:paraId="339793FC" w14:textId="0D699C4B" w:rsidR="00772E06" w:rsidRPr="00734AB6" w:rsidRDefault="00B63383" w:rsidP="00B63383">
            <w:pPr>
              <w:spacing w:line="360" w:lineRule="auto"/>
              <w:rPr>
                <w:rFonts w:asciiTheme="majorHAnsi" w:hAnsiTheme="majorHAnsi"/>
              </w:rPr>
            </w:pPr>
            <w:r w:rsidRPr="00734AB6">
              <w:rPr>
                <w:rFonts w:asciiTheme="majorHAnsi" w:hAnsiTheme="majorHAnsi"/>
              </w:rPr>
              <w:t>7 (8.14</w:t>
            </w:r>
            <w:r w:rsidR="00772E06" w:rsidRPr="00734AB6">
              <w:rPr>
                <w:rFonts w:asciiTheme="majorHAnsi" w:hAnsiTheme="majorHAnsi"/>
              </w:rPr>
              <w:t>)</w:t>
            </w:r>
          </w:p>
        </w:tc>
      </w:tr>
      <w:tr w:rsidR="00772E06" w:rsidRPr="00734AB6" w14:paraId="21D8A08F" w14:textId="77777777" w:rsidTr="00772E06">
        <w:tc>
          <w:tcPr>
            <w:tcW w:w="2689" w:type="dxa"/>
            <w:tcBorders>
              <w:top w:val="nil"/>
              <w:bottom w:val="nil"/>
              <w:right w:val="nil"/>
            </w:tcBorders>
          </w:tcPr>
          <w:p w14:paraId="132E5FFB"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200mg</w:t>
            </w:r>
          </w:p>
        </w:tc>
        <w:tc>
          <w:tcPr>
            <w:tcW w:w="2131" w:type="dxa"/>
            <w:tcBorders>
              <w:top w:val="nil"/>
              <w:left w:val="nil"/>
              <w:bottom w:val="nil"/>
            </w:tcBorders>
          </w:tcPr>
          <w:p w14:paraId="7524DA53" w14:textId="73B0D18D" w:rsidR="00772E06" w:rsidRPr="00734AB6" w:rsidRDefault="00B63383" w:rsidP="00B63383">
            <w:pPr>
              <w:spacing w:line="360" w:lineRule="auto"/>
              <w:rPr>
                <w:rFonts w:asciiTheme="majorHAnsi" w:hAnsiTheme="majorHAnsi"/>
              </w:rPr>
            </w:pPr>
            <w:r w:rsidRPr="00734AB6">
              <w:rPr>
                <w:rFonts w:asciiTheme="majorHAnsi" w:hAnsiTheme="majorHAnsi"/>
              </w:rPr>
              <w:t>29 (33.72</w:t>
            </w:r>
            <w:r w:rsidR="00772E06" w:rsidRPr="00734AB6">
              <w:rPr>
                <w:rFonts w:asciiTheme="majorHAnsi" w:hAnsiTheme="majorHAnsi"/>
              </w:rPr>
              <w:t>)</w:t>
            </w:r>
          </w:p>
        </w:tc>
      </w:tr>
      <w:tr w:rsidR="00772E06" w:rsidRPr="00734AB6" w14:paraId="725F6466" w14:textId="77777777" w:rsidTr="00772E06">
        <w:tc>
          <w:tcPr>
            <w:tcW w:w="2689" w:type="dxa"/>
            <w:tcBorders>
              <w:top w:val="nil"/>
              <w:bottom w:val="nil"/>
              <w:right w:val="nil"/>
            </w:tcBorders>
          </w:tcPr>
          <w:p w14:paraId="0E9451EA"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300mg</w:t>
            </w:r>
          </w:p>
        </w:tc>
        <w:tc>
          <w:tcPr>
            <w:tcW w:w="2131" w:type="dxa"/>
            <w:tcBorders>
              <w:top w:val="nil"/>
              <w:left w:val="nil"/>
              <w:bottom w:val="nil"/>
            </w:tcBorders>
          </w:tcPr>
          <w:p w14:paraId="6B1727D1" w14:textId="2238EC8B" w:rsidR="00772E06" w:rsidRPr="00734AB6" w:rsidRDefault="00B63383" w:rsidP="0099584D">
            <w:pPr>
              <w:spacing w:line="360" w:lineRule="auto"/>
              <w:rPr>
                <w:rFonts w:asciiTheme="majorHAnsi" w:hAnsiTheme="majorHAnsi"/>
              </w:rPr>
            </w:pPr>
            <w:r w:rsidRPr="00734AB6">
              <w:rPr>
                <w:rFonts w:asciiTheme="majorHAnsi" w:hAnsiTheme="majorHAnsi"/>
              </w:rPr>
              <w:t>3 (3.49</w:t>
            </w:r>
            <w:r w:rsidR="00772E06" w:rsidRPr="00734AB6">
              <w:rPr>
                <w:rFonts w:asciiTheme="majorHAnsi" w:hAnsiTheme="majorHAnsi"/>
              </w:rPr>
              <w:t>)</w:t>
            </w:r>
          </w:p>
        </w:tc>
      </w:tr>
      <w:tr w:rsidR="00772E06" w:rsidRPr="00734AB6" w14:paraId="07E95C19" w14:textId="77777777" w:rsidTr="00772E06">
        <w:tc>
          <w:tcPr>
            <w:tcW w:w="2689" w:type="dxa"/>
            <w:tcBorders>
              <w:top w:val="nil"/>
              <w:bottom w:val="nil"/>
              <w:right w:val="nil"/>
            </w:tcBorders>
          </w:tcPr>
          <w:p w14:paraId="509B9769"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400mg</w:t>
            </w:r>
          </w:p>
        </w:tc>
        <w:tc>
          <w:tcPr>
            <w:tcW w:w="2131" w:type="dxa"/>
            <w:tcBorders>
              <w:top w:val="nil"/>
              <w:left w:val="nil"/>
              <w:bottom w:val="nil"/>
            </w:tcBorders>
          </w:tcPr>
          <w:p w14:paraId="7C0C88CF" w14:textId="58EEF39B" w:rsidR="00772E06" w:rsidRPr="00734AB6" w:rsidRDefault="00B63383" w:rsidP="0099584D">
            <w:pPr>
              <w:spacing w:line="360" w:lineRule="auto"/>
              <w:rPr>
                <w:rFonts w:asciiTheme="majorHAnsi" w:hAnsiTheme="majorHAnsi"/>
              </w:rPr>
            </w:pPr>
            <w:r w:rsidRPr="00734AB6">
              <w:rPr>
                <w:rFonts w:asciiTheme="majorHAnsi" w:hAnsiTheme="majorHAnsi"/>
              </w:rPr>
              <w:t>4 (4.65</w:t>
            </w:r>
            <w:r w:rsidR="00772E06" w:rsidRPr="00734AB6">
              <w:rPr>
                <w:rFonts w:asciiTheme="majorHAnsi" w:hAnsiTheme="majorHAnsi"/>
              </w:rPr>
              <w:t>)</w:t>
            </w:r>
          </w:p>
        </w:tc>
      </w:tr>
      <w:tr w:rsidR="00772E06" w:rsidRPr="00734AB6" w14:paraId="613D77C5" w14:textId="77777777" w:rsidTr="00772E06">
        <w:tc>
          <w:tcPr>
            <w:tcW w:w="2689" w:type="dxa"/>
            <w:tcBorders>
              <w:top w:val="nil"/>
              <w:right w:val="nil"/>
            </w:tcBorders>
          </w:tcPr>
          <w:p w14:paraId="1E7ED7F7"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More than 500mg</w:t>
            </w:r>
          </w:p>
        </w:tc>
        <w:tc>
          <w:tcPr>
            <w:tcW w:w="2131" w:type="dxa"/>
            <w:tcBorders>
              <w:top w:val="nil"/>
              <w:left w:val="nil"/>
            </w:tcBorders>
          </w:tcPr>
          <w:p w14:paraId="032FF101" w14:textId="4904478A" w:rsidR="00772E06" w:rsidRPr="00734AB6" w:rsidRDefault="00B63383" w:rsidP="0099584D">
            <w:pPr>
              <w:spacing w:line="360" w:lineRule="auto"/>
              <w:rPr>
                <w:rFonts w:asciiTheme="majorHAnsi" w:hAnsiTheme="majorHAnsi"/>
              </w:rPr>
            </w:pPr>
            <w:r w:rsidRPr="00734AB6">
              <w:rPr>
                <w:rFonts w:asciiTheme="majorHAnsi" w:hAnsiTheme="majorHAnsi"/>
              </w:rPr>
              <w:t>1 (1.16</w:t>
            </w:r>
            <w:r w:rsidR="00772E06" w:rsidRPr="00734AB6">
              <w:rPr>
                <w:rFonts w:asciiTheme="majorHAnsi" w:hAnsiTheme="majorHAnsi"/>
              </w:rPr>
              <w:t>)</w:t>
            </w:r>
          </w:p>
        </w:tc>
      </w:tr>
    </w:tbl>
    <w:p w14:paraId="0E28BA8E" w14:textId="77777777" w:rsidR="00772E06" w:rsidRPr="00734AB6" w:rsidRDefault="00772E06"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 refers to group only</w:t>
      </w:r>
    </w:p>
    <w:p w14:paraId="4B8998FA" w14:textId="77777777" w:rsidR="00772E06" w:rsidRPr="00734AB6" w:rsidRDefault="00772E06" w:rsidP="0099584D">
      <w:pPr>
        <w:spacing w:line="360" w:lineRule="auto"/>
        <w:ind w:firstLine="709"/>
        <w:rPr>
          <w:rFonts w:asciiTheme="majorHAnsi" w:hAnsiTheme="majorHAnsi"/>
        </w:rPr>
      </w:pPr>
    </w:p>
    <w:p w14:paraId="78BE7BEB" w14:textId="5E1EC0E3"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There was almost an equal split between those who reported always taking the same dose (52%, N = 45) and those who </w:t>
      </w:r>
      <w:r w:rsidR="00446874" w:rsidRPr="00734AB6">
        <w:rPr>
          <w:rFonts w:asciiTheme="majorHAnsi" w:hAnsiTheme="majorHAnsi"/>
        </w:rPr>
        <w:t>reported</w:t>
      </w:r>
      <w:r w:rsidRPr="00734AB6">
        <w:rPr>
          <w:rFonts w:asciiTheme="majorHAnsi" w:hAnsiTheme="majorHAnsi"/>
        </w:rPr>
        <w:t xml:space="preserve"> not always tak</w:t>
      </w:r>
      <w:r w:rsidR="00446874" w:rsidRPr="00734AB6">
        <w:rPr>
          <w:rFonts w:asciiTheme="majorHAnsi" w:hAnsiTheme="majorHAnsi"/>
        </w:rPr>
        <w:t>ing</w:t>
      </w:r>
      <w:r w:rsidRPr="00734AB6">
        <w:rPr>
          <w:rFonts w:asciiTheme="majorHAnsi" w:hAnsiTheme="majorHAnsi"/>
        </w:rPr>
        <w:t xml:space="preserve"> the same dose (48%, N = 41). </w:t>
      </w:r>
    </w:p>
    <w:p w14:paraId="3EA4E30D" w14:textId="71DB877D"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most commonly reported maximum dose taken was 200mg (42%, N = 36). This was followed by 400mg (19%, N = 16) and 100mg (16%, N = 14). The most commonly reported minimum dose was 50mg (36%, N = 31), followed by 100mg (29%, N = 25) and less than 50</w:t>
      </w:r>
      <w:r w:rsidR="00090267" w:rsidRPr="00734AB6">
        <w:rPr>
          <w:rFonts w:asciiTheme="majorHAnsi" w:hAnsiTheme="majorHAnsi"/>
        </w:rPr>
        <w:t>mg (17%, N = 15), s</w:t>
      </w:r>
      <w:r w:rsidR="004B47E6" w:rsidRPr="00734AB6">
        <w:rPr>
          <w:rFonts w:asciiTheme="majorHAnsi" w:hAnsiTheme="majorHAnsi"/>
        </w:rPr>
        <w:t xml:space="preserve">ee Appendix </w:t>
      </w:r>
      <w:r w:rsidR="006B4173" w:rsidRPr="00734AB6">
        <w:rPr>
          <w:rFonts w:asciiTheme="majorHAnsi" w:hAnsiTheme="majorHAnsi"/>
        </w:rPr>
        <w:t>B(xiii)</w:t>
      </w:r>
      <w:r w:rsidRPr="00734AB6">
        <w:rPr>
          <w:rFonts w:asciiTheme="majorHAnsi" w:hAnsiTheme="majorHAnsi"/>
        </w:rPr>
        <w:t xml:space="preserve"> for full details</w:t>
      </w:r>
      <w:r w:rsidR="00090267" w:rsidRPr="00734AB6">
        <w:rPr>
          <w:rFonts w:asciiTheme="majorHAnsi" w:hAnsiTheme="majorHAnsi"/>
        </w:rPr>
        <w:t>.</w:t>
      </w:r>
    </w:p>
    <w:p w14:paraId="56A74D27" w14:textId="77777777" w:rsidR="00772E06" w:rsidRPr="00734AB6" w:rsidRDefault="00772E06" w:rsidP="0099584D">
      <w:pPr>
        <w:spacing w:line="360" w:lineRule="auto"/>
        <w:ind w:firstLine="709"/>
        <w:rPr>
          <w:rFonts w:asciiTheme="majorHAnsi" w:hAnsiTheme="majorHAnsi"/>
        </w:rPr>
      </w:pPr>
    </w:p>
    <w:p w14:paraId="6B47AC6E" w14:textId="77777777" w:rsidR="00772E06" w:rsidRPr="00734AB6" w:rsidRDefault="00772E06" w:rsidP="00594D41">
      <w:pPr>
        <w:pStyle w:val="Heading5"/>
        <w:spacing w:after="240" w:line="360" w:lineRule="auto"/>
        <w:rPr>
          <w:b/>
          <w:color w:val="auto"/>
        </w:rPr>
      </w:pPr>
      <w:r w:rsidRPr="00734AB6">
        <w:rPr>
          <w:b/>
          <w:color w:val="auto"/>
        </w:rPr>
        <w:t>3.3.1.5.2</w:t>
      </w:r>
      <w:r w:rsidRPr="00734AB6">
        <w:rPr>
          <w:b/>
          <w:color w:val="auto"/>
        </w:rPr>
        <w:tab/>
        <w:t>Methylphenidate</w:t>
      </w:r>
    </w:p>
    <w:p w14:paraId="37AEDAF1" w14:textId="5F9458C9"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mean age of first use of methylphenidate was 21 years (</w:t>
      </w:r>
      <w:r w:rsidRPr="00734AB6">
        <w:rPr>
          <w:rFonts w:asciiTheme="majorHAnsi" w:hAnsiTheme="majorHAnsi"/>
          <w:i/>
        </w:rPr>
        <w:t>SD</w:t>
      </w:r>
      <w:r w:rsidRPr="00734AB6">
        <w:rPr>
          <w:rFonts w:asciiTheme="majorHAnsi" w:hAnsiTheme="majorHAnsi"/>
        </w:rPr>
        <w:t xml:space="preserve"> = 6.15) with a range of 29 years (13 – 42). The most common dosage, reported by 25% (N = 14) of this group, was 20mg (see Table </w:t>
      </w:r>
      <w:r w:rsidR="00C26A8A" w:rsidRPr="00734AB6">
        <w:rPr>
          <w:rFonts w:asciiTheme="majorHAnsi" w:hAnsiTheme="majorHAnsi"/>
        </w:rPr>
        <w:t>3.</w:t>
      </w:r>
      <w:r w:rsidR="00BE3132" w:rsidRPr="00734AB6">
        <w:rPr>
          <w:rFonts w:asciiTheme="majorHAnsi" w:hAnsiTheme="majorHAnsi"/>
        </w:rPr>
        <w:t>6</w:t>
      </w:r>
      <w:r w:rsidRPr="00734AB6">
        <w:rPr>
          <w:rFonts w:asciiTheme="majorHAnsi" w:hAnsiTheme="majorHAnsi"/>
        </w:rPr>
        <w:t xml:space="preserve"> for full details). </w:t>
      </w:r>
    </w:p>
    <w:p w14:paraId="4A122771" w14:textId="77777777" w:rsidR="00772E06" w:rsidRPr="00734AB6" w:rsidRDefault="00772E06" w:rsidP="0099584D">
      <w:pPr>
        <w:spacing w:line="360" w:lineRule="auto"/>
        <w:ind w:firstLine="709"/>
        <w:rPr>
          <w:rFonts w:asciiTheme="majorHAnsi" w:hAnsiTheme="majorHAnsi"/>
        </w:rPr>
      </w:pPr>
    </w:p>
    <w:p w14:paraId="30E979D8" w14:textId="77777777" w:rsidR="00543F36" w:rsidRPr="00734AB6" w:rsidRDefault="00543F36">
      <w:pPr>
        <w:rPr>
          <w:rFonts w:asciiTheme="majorHAnsi" w:hAnsiTheme="majorHAnsi"/>
          <w:b/>
        </w:rPr>
      </w:pPr>
      <w:r w:rsidRPr="00734AB6">
        <w:rPr>
          <w:rFonts w:asciiTheme="majorHAnsi" w:hAnsiTheme="majorHAnsi"/>
          <w:b/>
        </w:rPr>
        <w:br w:type="page"/>
      </w:r>
    </w:p>
    <w:p w14:paraId="357FF65D" w14:textId="5D05570D"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 xml:space="preserve">Table </w:t>
      </w:r>
      <w:r w:rsidR="00C26A8A" w:rsidRPr="00734AB6">
        <w:rPr>
          <w:rFonts w:asciiTheme="majorHAnsi" w:hAnsiTheme="majorHAnsi"/>
          <w:b/>
        </w:rPr>
        <w:t>3.</w:t>
      </w:r>
      <w:r w:rsidR="00BE3132" w:rsidRPr="00734AB6">
        <w:rPr>
          <w:rFonts w:asciiTheme="majorHAnsi" w:hAnsiTheme="majorHAnsi"/>
          <w:b/>
        </w:rPr>
        <w:t>6</w:t>
      </w:r>
      <w:r w:rsidRPr="00734AB6">
        <w:rPr>
          <w:rFonts w:asciiTheme="majorHAnsi" w:hAnsiTheme="majorHAnsi"/>
          <w:b/>
        </w:rPr>
        <w:t>. Dosage levels of reported methylphenidate use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89"/>
        <w:gridCol w:w="2131"/>
      </w:tblGrid>
      <w:tr w:rsidR="00772E06" w:rsidRPr="00734AB6" w14:paraId="79F975BE" w14:textId="77777777" w:rsidTr="0090762F">
        <w:tc>
          <w:tcPr>
            <w:tcW w:w="2689" w:type="dxa"/>
            <w:tcBorders>
              <w:bottom w:val="single" w:sz="4" w:space="0" w:color="auto"/>
              <w:right w:val="nil"/>
            </w:tcBorders>
          </w:tcPr>
          <w:p w14:paraId="091B1F3C"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Dosage</w:t>
            </w:r>
          </w:p>
        </w:tc>
        <w:tc>
          <w:tcPr>
            <w:tcW w:w="2131" w:type="dxa"/>
            <w:tcBorders>
              <w:left w:val="nil"/>
              <w:bottom w:val="single" w:sz="4" w:space="0" w:color="auto"/>
            </w:tcBorders>
          </w:tcPr>
          <w:p w14:paraId="708A0547" w14:textId="5EB6068A" w:rsidR="00772E06" w:rsidRPr="00734AB6" w:rsidRDefault="00A1043D" w:rsidP="0099584D">
            <w:pPr>
              <w:spacing w:line="360" w:lineRule="auto"/>
              <w:rPr>
                <w:rFonts w:asciiTheme="majorHAnsi" w:hAnsiTheme="majorHAnsi"/>
                <w:b/>
              </w:rPr>
            </w:pPr>
            <w:r w:rsidRPr="00734AB6">
              <w:rPr>
                <w:rFonts w:asciiTheme="majorHAnsi" w:hAnsiTheme="majorHAnsi"/>
                <w:b/>
              </w:rPr>
              <w:t>N (%)*</w:t>
            </w:r>
          </w:p>
        </w:tc>
      </w:tr>
      <w:tr w:rsidR="00772E06" w:rsidRPr="00734AB6" w14:paraId="0CE52873" w14:textId="77777777" w:rsidTr="00772E06">
        <w:tc>
          <w:tcPr>
            <w:tcW w:w="2689" w:type="dxa"/>
            <w:tcBorders>
              <w:bottom w:val="nil"/>
              <w:right w:val="nil"/>
            </w:tcBorders>
          </w:tcPr>
          <w:p w14:paraId="7226EB16"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Less than 10mg</w:t>
            </w:r>
          </w:p>
        </w:tc>
        <w:tc>
          <w:tcPr>
            <w:tcW w:w="2131" w:type="dxa"/>
            <w:tcBorders>
              <w:left w:val="nil"/>
              <w:bottom w:val="nil"/>
            </w:tcBorders>
          </w:tcPr>
          <w:p w14:paraId="5A15AEF1" w14:textId="4F001CAF" w:rsidR="00772E06" w:rsidRPr="00734AB6" w:rsidRDefault="00F16123" w:rsidP="0099584D">
            <w:pPr>
              <w:spacing w:line="360" w:lineRule="auto"/>
              <w:rPr>
                <w:rFonts w:asciiTheme="majorHAnsi" w:hAnsiTheme="majorHAnsi"/>
              </w:rPr>
            </w:pPr>
            <w:r w:rsidRPr="00734AB6">
              <w:rPr>
                <w:rFonts w:asciiTheme="majorHAnsi" w:hAnsiTheme="majorHAnsi"/>
              </w:rPr>
              <w:t>3 (5.26</w:t>
            </w:r>
            <w:r w:rsidR="00772E06" w:rsidRPr="00734AB6">
              <w:rPr>
                <w:rFonts w:asciiTheme="majorHAnsi" w:hAnsiTheme="majorHAnsi"/>
              </w:rPr>
              <w:t>)</w:t>
            </w:r>
          </w:p>
        </w:tc>
      </w:tr>
      <w:tr w:rsidR="00772E06" w:rsidRPr="00734AB6" w14:paraId="61DC912B" w14:textId="77777777" w:rsidTr="00772E06">
        <w:tc>
          <w:tcPr>
            <w:tcW w:w="2689" w:type="dxa"/>
            <w:tcBorders>
              <w:top w:val="nil"/>
              <w:bottom w:val="nil"/>
              <w:right w:val="nil"/>
            </w:tcBorders>
          </w:tcPr>
          <w:p w14:paraId="4E4D6F89"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10mg</w:t>
            </w:r>
          </w:p>
        </w:tc>
        <w:tc>
          <w:tcPr>
            <w:tcW w:w="2131" w:type="dxa"/>
            <w:tcBorders>
              <w:top w:val="nil"/>
              <w:left w:val="nil"/>
              <w:bottom w:val="nil"/>
            </w:tcBorders>
          </w:tcPr>
          <w:p w14:paraId="0BBCB79C" w14:textId="126F9EE7" w:rsidR="00772E06" w:rsidRPr="00734AB6" w:rsidRDefault="00F16123" w:rsidP="0099584D">
            <w:pPr>
              <w:spacing w:line="360" w:lineRule="auto"/>
              <w:rPr>
                <w:rFonts w:asciiTheme="majorHAnsi" w:hAnsiTheme="majorHAnsi"/>
              </w:rPr>
            </w:pPr>
            <w:r w:rsidRPr="00734AB6">
              <w:rPr>
                <w:rFonts w:asciiTheme="majorHAnsi" w:hAnsiTheme="majorHAnsi"/>
              </w:rPr>
              <w:t>12 (21.05</w:t>
            </w:r>
            <w:r w:rsidR="00772E06" w:rsidRPr="00734AB6">
              <w:rPr>
                <w:rFonts w:asciiTheme="majorHAnsi" w:hAnsiTheme="majorHAnsi"/>
              </w:rPr>
              <w:t>)</w:t>
            </w:r>
          </w:p>
        </w:tc>
      </w:tr>
      <w:tr w:rsidR="00772E06" w:rsidRPr="00734AB6" w14:paraId="2CB02CD2" w14:textId="77777777" w:rsidTr="00772E06">
        <w:tc>
          <w:tcPr>
            <w:tcW w:w="2689" w:type="dxa"/>
            <w:tcBorders>
              <w:top w:val="nil"/>
              <w:bottom w:val="nil"/>
              <w:right w:val="nil"/>
            </w:tcBorders>
          </w:tcPr>
          <w:p w14:paraId="65BA12FC"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20mg</w:t>
            </w:r>
          </w:p>
        </w:tc>
        <w:tc>
          <w:tcPr>
            <w:tcW w:w="2131" w:type="dxa"/>
            <w:tcBorders>
              <w:top w:val="nil"/>
              <w:left w:val="nil"/>
              <w:bottom w:val="nil"/>
            </w:tcBorders>
          </w:tcPr>
          <w:p w14:paraId="2E772AC2" w14:textId="436AFEC6" w:rsidR="00772E06" w:rsidRPr="00734AB6" w:rsidRDefault="00F16123" w:rsidP="0099584D">
            <w:pPr>
              <w:spacing w:line="360" w:lineRule="auto"/>
              <w:rPr>
                <w:rFonts w:asciiTheme="majorHAnsi" w:hAnsiTheme="majorHAnsi"/>
              </w:rPr>
            </w:pPr>
            <w:r w:rsidRPr="00734AB6">
              <w:rPr>
                <w:rFonts w:asciiTheme="majorHAnsi" w:hAnsiTheme="majorHAnsi"/>
              </w:rPr>
              <w:t>14 (24.56</w:t>
            </w:r>
            <w:r w:rsidR="00772E06" w:rsidRPr="00734AB6">
              <w:rPr>
                <w:rFonts w:asciiTheme="majorHAnsi" w:hAnsiTheme="majorHAnsi"/>
              </w:rPr>
              <w:t>)</w:t>
            </w:r>
          </w:p>
        </w:tc>
      </w:tr>
      <w:tr w:rsidR="00772E06" w:rsidRPr="00734AB6" w14:paraId="109A2734" w14:textId="77777777" w:rsidTr="00772E06">
        <w:tc>
          <w:tcPr>
            <w:tcW w:w="2689" w:type="dxa"/>
            <w:tcBorders>
              <w:top w:val="nil"/>
              <w:bottom w:val="nil"/>
              <w:right w:val="nil"/>
            </w:tcBorders>
          </w:tcPr>
          <w:p w14:paraId="7DB42DAE" w14:textId="3336A52F" w:rsidR="00772E06" w:rsidRPr="00734AB6" w:rsidRDefault="00772E06" w:rsidP="0099584D">
            <w:pPr>
              <w:spacing w:line="360" w:lineRule="auto"/>
              <w:rPr>
                <w:rFonts w:asciiTheme="majorHAnsi" w:hAnsiTheme="majorHAnsi"/>
                <w:b/>
              </w:rPr>
            </w:pPr>
            <w:r w:rsidRPr="00734AB6">
              <w:rPr>
                <w:rFonts w:asciiTheme="majorHAnsi" w:hAnsiTheme="majorHAnsi"/>
                <w:b/>
              </w:rPr>
              <w:t>30mg</w:t>
            </w:r>
          </w:p>
        </w:tc>
        <w:tc>
          <w:tcPr>
            <w:tcW w:w="2131" w:type="dxa"/>
            <w:tcBorders>
              <w:top w:val="nil"/>
              <w:left w:val="nil"/>
              <w:bottom w:val="nil"/>
            </w:tcBorders>
          </w:tcPr>
          <w:p w14:paraId="044971AA" w14:textId="7962DFC3" w:rsidR="00772E06" w:rsidRPr="00734AB6" w:rsidRDefault="00F16123" w:rsidP="0099584D">
            <w:pPr>
              <w:spacing w:line="360" w:lineRule="auto"/>
              <w:rPr>
                <w:rFonts w:asciiTheme="majorHAnsi" w:hAnsiTheme="majorHAnsi"/>
              </w:rPr>
            </w:pPr>
            <w:r w:rsidRPr="00734AB6">
              <w:rPr>
                <w:rFonts w:asciiTheme="majorHAnsi" w:hAnsiTheme="majorHAnsi"/>
              </w:rPr>
              <w:t>9 (15.79</w:t>
            </w:r>
            <w:r w:rsidR="00772E06" w:rsidRPr="00734AB6">
              <w:rPr>
                <w:rFonts w:asciiTheme="majorHAnsi" w:hAnsiTheme="majorHAnsi"/>
              </w:rPr>
              <w:t>)</w:t>
            </w:r>
          </w:p>
        </w:tc>
      </w:tr>
      <w:tr w:rsidR="00772E06" w:rsidRPr="00734AB6" w14:paraId="306BAB45" w14:textId="77777777" w:rsidTr="00772E06">
        <w:tc>
          <w:tcPr>
            <w:tcW w:w="2689" w:type="dxa"/>
            <w:tcBorders>
              <w:top w:val="nil"/>
              <w:bottom w:val="nil"/>
              <w:right w:val="nil"/>
            </w:tcBorders>
          </w:tcPr>
          <w:p w14:paraId="04DEC252"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40mg</w:t>
            </w:r>
          </w:p>
        </w:tc>
        <w:tc>
          <w:tcPr>
            <w:tcW w:w="2131" w:type="dxa"/>
            <w:tcBorders>
              <w:top w:val="nil"/>
              <w:left w:val="nil"/>
              <w:bottom w:val="nil"/>
            </w:tcBorders>
          </w:tcPr>
          <w:p w14:paraId="70D181C1" w14:textId="5DAF0F29" w:rsidR="00772E06" w:rsidRPr="00734AB6" w:rsidRDefault="00F16123" w:rsidP="0099584D">
            <w:pPr>
              <w:spacing w:line="360" w:lineRule="auto"/>
              <w:rPr>
                <w:rFonts w:asciiTheme="majorHAnsi" w:hAnsiTheme="majorHAnsi"/>
              </w:rPr>
            </w:pPr>
            <w:r w:rsidRPr="00734AB6">
              <w:rPr>
                <w:rFonts w:asciiTheme="majorHAnsi" w:hAnsiTheme="majorHAnsi"/>
              </w:rPr>
              <w:t>6 (10.53</w:t>
            </w:r>
            <w:r w:rsidR="00772E06" w:rsidRPr="00734AB6">
              <w:rPr>
                <w:rFonts w:asciiTheme="majorHAnsi" w:hAnsiTheme="majorHAnsi"/>
              </w:rPr>
              <w:t>)</w:t>
            </w:r>
          </w:p>
        </w:tc>
      </w:tr>
      <w:tr w:rsidR="00772E06" w:rsidRPr="00734AB6" w14:paraId="6955A4A7" w14:textId="77777777" w:rsidTr="00772E06">
        <w:tc>
          <w:tcPr>
            <w:tcW w:w="2689" w:type="dxa"/>
            <w:tcBorders>
              <w:top w:val="nil"/>
              <w:bottom w:val="nil"/>
              <w:right w:val="nil"/>
            </w:tcBorders>
          </w:tcPr>
          <w:p w14:paraId="2D964E1C"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50mg</w:t>
            </w:r>
          </w:p>
        </w:tc>
        <w:tc>
          <w:tcPr>
            <w:tcW w:w="2131" w:type="dxa"/>
            <w:tcBorders>
              <w:top w:val="nil"/>
              <w:left w:val="nil"/>
              <w:bottom w:val="nil"/>
            </w:tcBorders>
          </w:tcPr>
          <w:p w14:paraId="7A3F4C0E" w14:textId="0DADA317" w:rsidR="00772E06" w:rsidRPr="00734AB6" w:rsidRDefault="00F16123" w:rsidP="0099584D">
            <w:pPr>
              <w:spacing w:line="360" w:lineRule="auto"/>
              <w:rPr>
                <w:rFonts w:asciiTheme="majorHAnsi" w:hAnsiTheme="majorHAnsi"/>
              </w:rPr>
            </w:pPr>
            <w:r w:rsidRPr="00734AB6">
              <w:rPr>
                <w:rFonts w:asciiTheme="majorHAnsi" w:hAnsiTheme="majorHAnsi"/>
              </w:rPr>
              <w:t>8 (14.04</w:t>
            </w:r>
            <w:r w:rsidR="00772E06" w:rsidRPr="00734AB6">
              <w:rPr>
                <w:rFonts w:asciiTheme="majorHAnsi" w:hAnsiTheme="majorHAnsi"/>
              </w:rPr>
              <w:t>)</w:t>
            </w:r>
          </w:p>
        </w:tc>
      </w:tr>
      <w:tr w:rsidR="00772E06" w:rsidRPr="00734AB6" w14:paraId="509272EC" w14:textId="77777777" w:rsidTr="00772E06">
        <w:tc>
          <w:tcPr>
            <w:tcW w:w="2689" w:type="dxa"/>
            <w:tcBorders>
              <w:top w:val="nil"/>
              <w:bottom w:val="nil"/>
              <w:right w:val="nil"/>
            </w:tcBorders>
          </w:tcPr>
          <w:p w14:paraId="159A8658"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60mg</w:t>
            </w:r>
          </w:p>
        </w:tc>
        <w:tc>
          <w:tcPr>
            <w:tcW w:w="2131" w:type="dxa"/>
            <w:tcBorders>
              <w:top w:val="nil"/>
              <w:left w:val="nil"/>
              <w:bottom w:val="nil"/>
            </w:tcBorders>
          </w:tcPr>
          <w:p w14:paraId="6420921E" w14:textId="0D20F80C" w:rsidR="00772E06" w:rsidRPr="00734AB6" w:rsidRDefault="00F16123" w:rsidP="0099584D">
            <w:pPr>
              <w:spacing w:line="360" w:lineRule="auto"/>
              <w:rPr>
                <w:rFonts w:asciiTheme="majorHAnsi" w:hAnsiTheme="majorHAnsi"/>
              </w:rPr>
            </w:pPr>
            <w:r w:rsidRPr="00734AB6">
              <w:rPr>
                <w:rFonts w:asciiTheme="majorHAnsi" w:hAnsiTheme="majorHAnsi"/>
              </w:rPr>
              <w:t>2 (3.51</w:t>
            </w:r>
            <w:r w:rsidR="00772E06" w:rsidRPr="00734AB6">
              <w:rPr>
                <w:rFonts w:asciiTheme="majorHAnsi" w:hAnsiTheme="majorHAnsi"/>
              </w:rPr>
              <w:t>)</w:t>
            </w:r>
          </w:p>
        </w:tc>
      </w:tr>
      <w:tr w:rsidR="00772E06" w:rsidRPr="00734AB6" w14:paraId="4C577D17" w14:textId="77777777" w:rsidTr="00772E06">
        <w:trPr>
          <w:trHeight w:val="587"/>
        </w:trPr>
        <w:tc>
          <w:tcPr>
            <w:tcW w:w="2689" w:type="dxa"/>
            <w:tcBorders>
              <w:top w:val="nil"/>
              <w:bottom w:val="nil"/>
              <w:right w:val="nil"/>
            </w:tcBorders>
          </w:tcPr>
          <w:p w14:paraId="1D4FA266"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70mg</w:t>
            </w:r>
          </w:p>
        </w:tc>
        <w:tc>
          <w:tcPr>
            <w:tcW w:w="2131" w:type="dxa"/>
            <w:tcBorders>
              <w:top w:val="nil"/>
              <w:left w:val="nil"/>
              <w:bottom w:val="nil"/>
            </w:tcBorders>
          </w:tcPr>
          <w:p w14:paraId="1315F4A8" w14:textId="588B7774" w:rsidR="00772E06" w:rsidRPr="00734AB6" w:rsidRDefault="00F16123" w:rsidP="0099584D">
            <w:pPr>
              <w:spacing w:line="360" w:lineRule="auto"/>
              <w:rPr>
                <w:rFonts w:asciiTheme="majorHAnsi" w:hAnsiTheme="majorHAnsi"/>
              </w:rPr>
            </w:pPr>
            <w:r w:rsidRPr="00734AB6">
              <w:rPr>
                <w:rFonts w:asciiTheme="majorHAnsi" w:hAnsiTheme="majorHAnsi"/>
              </w:rPr>
              <w:t>1 (1.75</w:t>
            </w:r>
            <w:r w:rsidR="00772E06" w:rsidRPr="00734AB6">
              <w:rPr>
                <w:rFonts w:asciiTheme="majorHAnsi" w:hAnsiTheme="majorHAnsi"/>
              </w:rPr>
              <w:t>)</w:t>
            </w:r>
          </w:p>
        </w:tc>
      </w:tr>
      <w:tr w:rsidR="00772E06" w:rsidRPr="00734AB6" w14:paraId="3C0B5E11" w14:textId="77777777" w:rsidTr="00772E06">
        <w:tc>
          <w:tcPr>
            <w:tcW w:w="2689" w:type="dxa"/>
            <w:tcBorders>
              <w:top w:val="nil"/>
              <w:right w:val="nil"/>
            </w:tcBorders>
          </w:tcPr>
          <w:p w14:paraId="5366ADB3"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80mg</w:t>
            </w:r>
          </w:p>
        </w:tc>
        <w:tc>
          <w:tcPr>
            <w:tcW w:w="2131" w:type="dxa"/>
            <w:tcBorders>
              <w:top w:val="nil"/>
              <w:left w:val="nil"/>
            </w:tcBorders>
          </w:tcPr>
          <w:p w14:paraId="25229DC5" w14:textId="214D45CD" w:rsidR="00772E06" w:rsidRPr="00734AB6" w:rsidRDefault="00F16123" w:rsidP="0099584D">
            <w:pPr>
              <w:spacing w:line="360" w:lineRule="auto"/>
              <w:rPr>
                <w:rFonts w:asciiTheme="majorHAnsi" w:hAnsiTheme="majorHAnsi"/>
              </w:rPr>
            </w:pPr>
            <w:r w:rsidRPr="00734AB6">
              <w:rPr>
                <w:rFonts w:asciiTheme="majorHAnsi" w:hAnsiTheme="majorHAnsi"/>
              </w:rPr>
              <w:t>2 (3.51</w:t>
            </w:r>
            <w:r w:rsidR="00772E06" w:rsidRPr="00734AB6">
              <w:rPr>
                <w:rFonts w:asciiTheme="majorHAnsi" w:hAnsiTheme="majorHAnsi"/>
              </w:rPr>
              <w:t>)</w:t>
            </w:r>
          </w:p>
        </w:tc>
      </w:tr>
    </w:tbl>
    <w:p w14:paraId="1B24814D" w14:textId="77777777" w:rsidR="00772E06" w:rsidRPr="00734AB6" w:rsidRDefault="00772E06"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 refers to group only</w:t>
      </w:r>
    </w:p>
    <w:p w14:paraId="6281399E" w14:textId="77777777" w:rsidR="00772E06" w:rsidRPr="00734AB6" w:rsidRDefault="00772E06" w:rsidP="0099584D">
      <w:pPr>
        <w:spacing w:line="360" w:lineRule="auto"/>
        <w:ind w:firstLine="709"/>
        <w:rPr>
          <w:rFonts w:asciiTheme="majorHAnsi" w:hAnsiTheme="majorHAnsi"/>
        </w:rPr>
      </w:pPr>
    </w:p>
    <w:p w14:paraId="128C49A7" w14:textId="3BD1CC68"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most commonly reported maximum dose of 30mg was reported by 23% (N = 13), followed by 50mg (18%, N = 10) and 40mg (16%, N = 9). The most commonly reported minimum dose was 10mg (42%, N = 24), followed by less than 10mg (28%, N = 16) and 20mg (18%, N = 10. The majority of respondents reported that they did not always take the same dose (70%, N = 40). There were slightly more respondents who reported most commonly taking extended-release formulas (42%, N = 24) compared with those who reported most commonly taking immediate-release formulas (33%, N = 19) and 25% (N = 14) reported that they were unaware of the type of formula they most commonly took. The most frequently used brand was Ritalin and the most common route of administration was reported to be swallowing a pill, although 14% reported snorting methylphenidate. Full de</w:t>
      </w:r>
      <w:r w:rsidR="004B47E6" w:rsidRPr="00734AB6">
        <w:rPr>
          <w:rFonts w:asciiTheme="majorHAnsi" w:hAnsiTheme="majorHAnsi"/>
        </w:rPr>
        <w:t xml:space="preserve">tails can be found in Appendix </w:t>
      </w:r>
      <w:r w:rsidR="006B4173" w:rsidRPr="00734AB6">
        <w:rPr>
          <w:rFonts w:asciiTheme="majorHAnsi" w:hAnsiTheme="majorHAnsi"/>
        </w:rPr>
        <w:t>B(xiv)</w:t>
      </w:r>
      <w:r w:rsidRPr="00734AB6">
        <w:rPr>
          <w:rFonts w:asciiTheme="majorHAnsi" w:hAnsiTheme="majorHAnsi"/>
        </w:rPr>
        <w:t>.</w:t>
      </w:r>
    </w:p>
    <w:p w14:paraId="2AF24AAF" w14:textId="77777777" w:rsidR="00772E06" w:rsidRPr="00734AB6" w:rsidRDefault="00772E06" w:rsidP="0099584D">
      <w:pPr>
        <w:spacing w:line="360" w:lineRule="auto"/>
        <w:ind w:firstLine="709"/>
        <w:rPr>
          <w:rFonts w:asciiTheme="majorHAnsi" w:hAnsiTheme="majorHAnsi"/>
        </w:rPr>
      </w:pPr>
    </w:p>
    <w:p w14:paraId="2C27EC33" w14:textId="77777777" w:rsidR="00772E06" w:rsidRPr="00734AB6" w:rsidRDefault="00772E06" w:rsidP="00594D41">
      <w:pPr>
        <w:pStyle w:val="Heading3"/>
        <w:spacing w:after="240" w:line="360" w:lineRule="auto"/>
        <w:rPr>
          <w:b/>
          <w:color w:val="auto"/>
          <w:sz w:val="22"/>
          <w:szCs w:val="22"/>
        </w:rPr>
      </w:pPr>
      <w:bookmarkStart w:id="71" w:name="_Toc48136362"/>
      <w:r w:rsidRPr="00734AB6">
        <w:rPr>
          <w:b/>
          <w:color w:val="auto"/>
          <w:sz w:val="22"/>
          <w:szCs w:val="22"/>
        </w:rPr>
        <w:t>3.3.2</w:t>
      </w:r>
      <w:r w:rsidRPr="00734AB6">
        <w:rPr>
          <w:b/>
          <w:color w:val="auto"/>
          <w:sz w:val="22"/>
          <w:szCs w:val="22"/>
        </w:rPr>
        <w:tab/>
        <w:t>Self-reports of cognition</w:t>
      </w:r>
      <w:bookmarkEnd w:id="71"/>
    </w:p>
    <w:p w14:paraId="129D2517" w14:textId="77777777" w:rsidR="00772E06" w:rsidRPr="00734AB6" w:rsidRDefault="00772E06" w:rsidP="00594D41">
      <w:pPr>
        <w:pStyle w:val="Heading4"/>
        <w:spacing w:after="240" w:line="360" w:lineRule="auto"/>
        <w:rPr>
          <w:b/>
          <w:i w:val="0"/>
          <w:color w:val="auto"/>
        </w:rPr>
      </w:pPr>
      <w:r w:rsidRPr="00734AB6">
        <w:rPr>
          <w:b/>
          <w:i w:val="0"/>
          <w:color w:val="auto"/>
        </w:rPr>
        <w:t>3.3.2.1</w:t>
      </w:r>
      <w:r w:rsidRPr="00734AB6">
        <w:rPr>
          <w:b/>
          <w:i w:val="0"/>
          <w:color w:val="auto"/>
        </w:rPr>
        <w:tab/>
        <w:t>Adult ADHD Self Report Scale</w:t>
      </w:r>
    </w:p>
    <w:p w14:paraId="31A49E8D" w14:textId="02DA114D" w:rsidR="00772E06" w:rsidRPr="00734AB6" w:rsidRDefault="00F43E18" w:rsidP="0099584D">
      <w:pPr>
        <w:spacing w:line="360" w:lineRule="auto"/>
        <w:ind w:firstLine="709"/>
        <w:rPr>
          <w:rFonts w:asciiTheme="majorHAnsi" w:hAnsiTheme="majorHAnsi"/>
        </w:rPr>
      </w:pPr>
      <w:r w:rsidRPr="00734AB6">
        <w:rPr>
          <w:rFonts w:asciiTheme="majorHAnsi" w:hAnsiTheme="majorHAnsi"/>
        </w:rPr>
        <w:t>Due to an error on Qualtrics, t</w:t>
      </w:r>
      <w:r w:rsidR="00772E06" w:rsidRPr="00734AB6">
        <w:rPr>
          <w:rFonts w:asciiTheme="majorHAnsi" w:hAnsiTheme="majorHAnsi"/>
        </w:rPr>
        <w:t xml:space="preserve">wenty-two control respondents and one methylphenidate respondent did not answer the first question and their data were therefore removed from the analysis for this section. Scoring for Part A revealed that 34% (N = 29) of the modafinil-only </w:t>
      </w:r>
      <w:r w:rsidR="00772E06" w:rsidRPr="00734AB6">
        <w:rPr>
          <w:rFonts w:asciiTheme="majorHAnsi" w:hAnsiTheme="majorHAnsi"/>
        </w:rPr>
        <w:lastRenderedPageBreak/>
        <w:t xml:space="preserve">respondents, 49% (N = 28) of the methylphenidate respondents and 11% (N = 12) of the control respondents scored at the level indicating symptoms highly consistent with ADHD. </w:t>
      </w:r>
    </w:p>
    <w:p w14:paraId="13634DBC" w14:textId="02D65A7E"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 Kruskal-Wallis test was performed on the complete ASRS under three conditions of group type. </w:t>
      </w:r>
      <w:r w:rsidR="00B51FD0" w:rsidRPr="00734AB6">
        <w:rPr>
          <w:rFonts w:asciiTheme="majorHAnsi" w:hAnsiTheme="majorHAnsi"/>
        </w:rPr>
        <w:t xml:space="preserve">To avoid Type 1 errors, a Bonferroni correction was applied to the </w:t>
      </w:r>
      <w:r w:rsidR="00B51FD0" w:rsidRPr="00734AB6">
        <w:rPr>
          <w:rFonts w:asciiTheme="majorHAnsi" w:hAnsiTheme="majorHAnsi" w:cs="Calibri"/>
        </w:rPr>
        <w:t>α</w:t>
      </w:r>
      <w:r w:rsidR="00B51FD0" w:rsidRPr="00734AB6">
        <w:rPr>
          <w:rFonts w:asciiTheme="majorHAnsi" w:hAnsiTheme="majorHAnsi"/>
        </w:rPr>
        <w:t>-level, resulting in a corrected critical value of .025.</w:t>
      </w:r>
      <w:r w:rsidR="00F43E18" w:rsidRPr="00734AB6">
        <w:rPr>
          <w:rFonts w:asciiTheme="majorHAnsi" w:hAnsiTheme="majorHAnsi"/>
        </w:rPr>
        <w:t xml:space="preserve"> </w:t>
      </w:r>
      <w:r w:rsidRPr="00734AB6">
        <w:rPr>
          <w:rFonts w:asciiTheme="majorHAnsi" w:hAnsiTheme="majorHAnsi"/>
        </w:rPr>
        <w:t xml:space="preserve">The differences between the mean ranks of 126.32 (methylphenidate), 119.84 (modafinil-only) and 95.28 (control) were significant, with </w:t>
      </w:r>
      <w:r w:rsidRPr="00734AB6">
        <w:rPr>
          <w:rFonts w:asciiTheme="majorHAnsi" w:hAnsiTheme="majorHAnsi"/>
          <w:i/>
        </w:rPr>
        <w:t>H(</w:t>
      </w:r>
      <w:r w:rsidRPr="00734AB6">
        <w:rPr>
          <w:rFonts w:asciiTheme="majorHAnsi" w:hAnsiTheme="majorHAnsi"/>
          <w:i/>
          <w:vertAlign w:val="subscript"/>
        </w:rPr>
        <w:t>2</w:t>
      </w:r>
      <w:r w:rsidRPr="00734AB6">
        <w:rPr>
          <w:rFonts w:asciiTheme="majorHAnsi" w:hAnsiTheme="majorHAnsi"/>
          <w:i/>
        </w:rPr>
        <w:t>)</w:t>
      </w:r>
      <w:r w:rsidR="00B51FD0" w:rsidRPr="00734AB6">
        <w:rPr>
          <w:rFonts w:asciiTheme="majorHAnsi" w:hAnsiTheme="majorHAnsi"/>
        </w:rPr>
        <w:t xml:space="preserve"> = 9.58</w:t>
      </w:r>
      <w:r w:rsidRPr="00734AB6">
        <w:rPr>
          <w:rFonts w:asciiTheme="majorHAnsi" w:hAnsiTheme="majorHAnsi"/>
        </w:rPr>
        <w:t xml:space="preserve">, </w:t>
      </w:r>
      <w:r w:rsidRPr="00734AB6">
        <w:rPr>
          <w:rFonts w:asciiTheme="majorHAnsi" w:hAnsiTheme="majorHAnsi"/>
          <w:i/>
        </w:rPr>
        <w:t>p</w:t>
      </w:r>
      <w:r w:rsidRPr="00734AB6">
        <w:rPr>
          <w:rFonts w:asciiTheme="majorHAnsi" w:hAnsiTheme="majorHAnsi"/>
        </w:rPr>
        <w:t xml:space="preserve"> = .008.</w:t>
      </w:r>
    </w:p>
    <w:p w14:paraId="63A9D5D9" w14:textId="675C2746" w:rsidR="00772E06" w:rsidRPr="00734AB6" w:rsidRDefault="00772E06" w:rsidP="0099584D">
      <w:pPr>
        <w:spacing w:line="360" w:lineRule="auto"/>
        <w:ind w:firstLine="709"/>
        <w:rPr>
          <w:rFonts w:asciiTheme="majorHAnsi" w:hAnsiTheme="majorHAnsi"/>
        </w:rPr>
      </w:pPr>
      <w:r w:rsidRPr="00734AB6">
        <w:rPr>
          <w:rFonts w:asciiTheme="majorHAnsi" w:hAnsiTheme="majorHAnsi"/>
          <w:i/>
        </w:rPr>
        <w:t>Post hoc</w:t>
      </w:r>
      <w:r w:rsidRPr="00734AB6">
        <w:rPr>
          <w:rFonts w:asciiTheme="majorHAnsi" w:hAnsiTheme="majorHAnsi"/>
        </w:rPr>
        <w:t xml:space="preserve"> Mann-Whitney U tests revealed that both the modafinil-only scores and the methylphenidate scores were significantly higher compared with the control group scores (see Tables </w:t>
      </w:r>
      <w:r w:rsidR="00C26A8A" w:rsidRPr="00734AB6">
        <w:rPr>
          <w:rFonts w:asciiTheme="majorHAnsi" w:hAnsiTheme="majorHAnsi"/>
        </w:rPr>
        <w:t>3.</w:t>
      </w:r>
      <w:r w:rsidR="00BE3132" w:rsidRPr="00734AB6">
        <w:rPr>
          <w:rFonts w:asciiTheme="majorHAnsi" w:hAnsiTheme="majorHAnsi"/>
        </w:rPr>
        <w:t>7</w:t>
      </w:r>
      <w:r w:rsidRPr="00734AB6">
        <w:rPr>
          <w:rFonts w:asciiTheme="majorHAnsi" w:hAnsiTheme="majorHAnsi"/>
        </w:rPr>
        <w:t xml:space="preserve"> and </w:t>
      </w:r>
      <w:r w:rsidR="00C26A8A" w:rsidRPr="00734AB6">
        <w:rPr>
          <w:rFonts w:asciiTheme="majorHAnsi" w:hAnsiTheme="majorHAnsi"/>
        </w:rPr>
        <w:t>3.</w:t>
      </w:r>
      <w:r w:rsidR="00BE3132" w:rsidRPr="00734AB6">
        <w:rPr>
          <w:rFonts w:asciiTheme="majorHAnsi" w:hAnsiTheme="majorHAnsi"/>
        </w:rPr>
        <w:t>8</w:t>
      </w:r>
      <w:r w:rsidRPr="00734AB6">
        <w:rPr>
          <w:rFonts w:asciiTheme="majorHAnsi" w:hAnsiTheme="majorHAnsi"/>
        </w:rPr>
        <w:t xml:space="preserve"> for full details). There was no significant difference in scores between the modafinil-only group and the methylphenidate group (see Table </w:t>
      </w:r>
      <w:r w:rsidR="00C26A8A" w:rsidRPr="00734AB6">
        <w:rPr>
          <w:rFonts w:asciiTheme="majorHAnsi" w:hAnsiTheme="majorHAnsi"/>
        </w:rPr>
        <w:t>3.</w:t>
      </w:r>
      <w:r w:rsidR="00BE3132" w:rsidRPr="00734AB6">
        <w:rPr>
          <w:rFonts w:asciiTheme="majorHAnsi" w:hAnsiTheme="majorHAnsi"/>
        </w:rPr>
        <w:t>9</w:t>
      </w:r>
      <w:r w:rsidRPr="00734AB6">
        <w:rPr>
          <w:rFonts w:asciiTheme="majorHAnsi" w:hAnsiTheme="majorHAnsi"/>
        </w:rPr>
        <w:t xml:space="preserve"> for full details). </w:t>
      </w:r>
    </w:p>
    <w:p w14:paraId="057DDAA6" w14:textId="77777777" w:rsidR="00772E06" w:rsidRPr="00734AB6" w:rsidRDefault="00772E06" w:rsidP="0099584D">
      <w:pPr>
        <w:spacing w:line="360" w:lineRule="auto"/>
        <w:ind w:firstLine="709"/>
        <w:rPr>
          <w:rFonts w:asciiTheme="majorHAnsi" w:hAnsiTheme="majorHAnsi"/>
        </w:rPr>
      </w:pPr>
    </w:p>
    <w:p w14:paraId="4839CC99" w14:textId="5651366D"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Table </w:t>
      </w:r>
      <w:r w:rsidR="00C26A8A" w:rsidRPr="00734AB6">
        <w:rPr>
          <w:rFonts w:asciiTheme="majorHAnsi" w:hAnsiTheme="majorHAnsi"/>
          <w:b/>
        </w:rPr>
        <w:t>3.</w:t>
      </w:r>
      <w:r w:rsidR="00BE3132" w:rsidRPr="00734AB6">
        <w:rPr>
          <w:rFonts w:asciiTheme="majorHAnsi" w:hAnsiTheme="majorHAnsi"/>
          <w:b/>
        </w:rPr>
        <w:t>7</w:t>
      </w:r>
      <w:r w:rsidRPr="00734AB6">
        <w:rPr>
          <w:rFonts w:asciiTheme="majorHAnsi" w:hAnsiTheme="majorHAnsi"/>
          <w:b/>
        </w:rPr>
        <w:t xml:space="preserve">. Effects of group type (methylphenidate and controls) on ASRS scores </w:t>
      </w:r>
    </w:p>
    <w:tbl>
      <w:tblPr>
        <w:tblW w:w="0" w:type="auto"/>
        <w:tblLook w:val="04A0" w:firstRow="1" w:lastRow="0" w:firstColumn="1" w:lastColumn="0" w:noHBand="0" w:noVBand="1"/>
      </w:tblPr>
      <w:tblGrid>
        <w:gridCol w:w="1843"/>
        <w:gridCol w:w="1701"/>
        <w:gridCol w:w="1985"/>
        <w:gridCol w:w="1134"/>
        <w:gridCol w:w="1134"/>
      </w:tblGrid>
      <w:tr w:rsidR="00772E06" w:rsidRPr="00734AB6" w14:paraId="0B77E694" w14:textId="77777777" w:rsidTr="00772E06">
        <w:tc>
          <w:tcPr>
            <w:tcW w:w="1843" w:type="dxa"/>
            <w:tcBorders>
              <w:left w:val="nil"/>
              <w:bottom w:val="nil"/>
              <w:right w:val="nil"/>
            </w:tcBorders>
          </w:tcPr>
          <w:p w14:paraId="6C6AEF8F" w14:textId="77777777" w:rsidR="00772E06" w:rsidRPr="00734AB6" w:rsidRDefault="00772E06" w:rsidP="0099584D">
            <w:pPr>
              <w:spacing w:before="120" w:after="120" w:line="360" w:lineRule="auto"/>
              <w:rPr>
                <w:rFonts w:asciiTheme="majorHAnsi" w:hAnsiTheme="majorHAnsi"/>
                <w:b/>
              </w:rPr>
            </w:pPr>
          </w:p>
        </w:tc>
        <w:tc>
          <w:tcPr>
            <w:tcW w:w="1701" w:type="dxa"/>
            <w:tcBorders>
              <w:left w:val="nil"/>
              <w:right w:val="nil"/>
            </w:tcBorders>
          </w:tcPr>
          <w:p w14:paraId="5D7522F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985" w:type="dxa"/>
            <w:tcBorders>
              <w:left w:val="nil"/>
              <w:right w:val="nil"/>
            </w:tcBorders>
          </w:tcPr>
          <w:p w14:paraId="71CADAF5"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ASRS</w:t>
            </w:r>
          </w:p>
        </w:tc>
        <w:tc>
          <w:tcPr>
            <w:tcW w:w="1134" w:type="dxa"/>
            <w:tcBorders>
              <w:left w:val="nil"/>
              <w:right w:val="nil"/>
            </w:tcBorders>
          </w:tcPr>
          <w:p w14:paraId="0E3ECD90" w14:textId="77777777" w:rsidR="00772E06" w:rsidRPr="00734AB6" w:rsidRDefault="00772E06" w:rsidP="0099584D">
            <w:pPr>
              <w:spacing w:before="120" w:after="120" w:line="360" w:lineRule="auto"/>
              <w:rPr>
                <w:rFonts w:asciiTheme="majorHAnsi" w:hAnsiTheme="majorHAnsi"/>
                <w:b/>
              </w:rPr>
            </w:pPr>
          </w:p>
        </w:tc>
        <w:tc>
          <w:tcPr>
            <w:tcW w:w="1134" w:type="dxa"/>
            <w:tcBorders>
              <w:left w:val="nil"/>
              <w:right w:val="nil"/>
            </w:tcBorders>
          </w:tcPr>
          <w:p w14:paraId="1A60B7CD" w14:textId="77777777" w:rsidR="00772E06" w:rsidRPr="00734AB6" w:rsidRDefault="00772E06" w:rsidP="0099584D">
            <w:pPr>
              <w:spacing w:before="120" w:after="120" w:line="360" w:lineRule="auto"/>
              <w:rPr>
                <w:rFonts w:asciiTheme="majorHAnsi" w:hAnsiTheme="majorHAnsi"/>
                <w:b/>
              </w:rPr>
            </w:pPr>
          </w:p>
        </w:tc>
      </w:tr>
      <w:tr w:rsidR="00772E06" w:rsidRPr="00734AB6" w14:paraId="6F054534" w14:textId="77777777" w:rsidTr="00772E06">
        <w:tc>
          <w:tcPr>
            <w:tcW w:w="1843" w:type="dxa"/>
            <w:tcBorders>
              <w:top w:val="nil"/>
              <w:left w:val="nil"/>
              <w:bottom w:val="nil"/>
              <w:right w:val="nil"/>
            </w:tcBorders>
          </w:tcPr>
          <w:p w14:paraId="11D56A99"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Group</w:t>
            </w:r>
          </w:p>
        </w:tc>
        <w:tc>
          <w:tcPr>
            <w:tcW w:w="1701" w:type="dxa"/>
            <w:tcBorders>
              <w:left w:val="nil"/>
              <w:bottom w:val="single" w:sz="4" w:space="0" w:color="auto"/>
              <w:right w:val="nil"/>
            </w:tcBorders>
          </w:tcPr>
          <w:p w14:paraId="43673737" w14:textId="77777777" w:rsidR="00772E06" w:rsidRPr="00734AB6" w:rsidRDefault="00772E06" w:rsidP="0099584D">
            <w:pPr>
              <w:spacing w:before="120" w:after="120" w:line="360" w:lineRule="auto"/>
              <w:rPr>
                <w:rFonts w:asciiTheme="majorHAnsi" w:hAnsiTheme="majorHAnsi"/>
                <w:b/>
              </w:rPr>
            </w:pPr>
          </w:p>
        </w:tc>
        <w:tc>
          <w:tcPr>
            <w:tcW w:w="1985" w:type="dxa"/>
            <w:tcBorders>
              <w:left w:val="nil"/>
              <w:bottom w:val="single" w:sz="4" w:space="0" w:color="auto"/>
              <w:right w:val="nil"/>
            </w:tcBorders>
          </w:tcPr>
          <w:p w14:paraId="69BE0555"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left w:val="nil"/>
              <w:bottom w:val="single" w:sz="4" w:space="0" w:color="auto"/>
              <w:right w:val="nil"/>
            </w:tcBorders>
          </w:tcPr>
          <w:p w14:paraId="39DF6B3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34" w:type="dxa"/>
            <w:tcBorders>
              <w:left w:val="nil"/>
              <w:bottom w:val="single" w:sz="4" w:space="0" w:color="auto"/>
              <w:right w:val="nil"/>
            </w:tcBorders>
          </w:tcPr>
          <w:p w14:paraId="4B21E970"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29B55E04" w14:textId="77777777" w:rsidTr="00772E06">
        <w:tc>
          <w:tcPr>
            <w:tcW w:w="1843" w:type="dxa"/>
            <w:tcBorders>
              <w:top w:val="nil"/>
              <w:left w:val="nil"/>
              <w:bottom w:val="nil"/>
              <w:right w:val="nil"/>
            </w:tcBorders>
          </w:tcPr>
          <w:p w14:paraId="383CBBBA" w14:textId="77777777" w:rsidR="00772E06" w:rsidRPr="00734AB6" w:rsidRDefault="00772E06" w:rsidP="0099584D">
            <w:pPr>
              <w:spacing w:before="120" w:after="120" w:line="360" w:lineRule="auto"/>
              <w:rPr>
                <w:rFonts w:asciiTheme="majorHAnsi" w:hAnsiTheme="majorHAnsi"/>
              </w:rPr>
            </w:pPr>
          </w:p>
        </w:tc>
        <w:tc>
          <w:tcPr>
            <w:tcW w:w="1701" w:type="dxa"/>
            <w:tcBorders>
              <w:left w:val="nil"/>
              <w:bottom w:val="nil"/>
              <w:right w:val="nil"/>
            </w:tcBorders>
          </w:tcPr>
          <w:p w14:paraId="0CFA8E56" w14:textId="77777777" w:rsidR="00772E06" w:rsidRPr="00734AB6" w:rsidRDefault="00772E06" w:rsidP="0099584D">
            <w:pPr>
              <w:spacing w:before="120" w:after="120" w:line="360" w:lineRule="auto"/>
              <w:rPr>
                <w:rFonts w:asciiTheme="majorHAnsi" w:hAnsiTheme="majorHAnsi"/>
              </w:rPr>
            </w:pPr>
          </w:p>
        </w:tc>
        <w:tc>
          <w:tcPr>
            <w:tcW w:w="1985" w:type="dxa"/>
            <w:tcBorders>
              <w:left w:val="nil"/>
              <w:bottom w:val="nil"/>
              <w:right w:val="nil"/>
            </w:tcBorders>
          </w:tcPr>
          <w:p w14:paraId="033342D3"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60975A5D"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29728718" w14:textId="77777777" w:rsidR="00772E06" w:rsidRPr="00734AB6" w:rsidRDefault="00772E06" w:rsidP="0099584D">
            <w:pPr>
              <w:spacing w:before="120" w:after="120" w:line="360" w:lineRule="auto"/>
              <w:rPr>
                <w:rFonts w:asciiTheme="majorHAnsi" w:hAnsiTheme="majorHAnsi"/>
              </w:rPr>
            </w:pPr>
          </w:p>
        </w:tc>
      </w:tr>
      <w:tr w:rsidR="00772E06" w:rsidRPr="00734AB6" w14:paraId="7ABB7A2E" w14:textId="77777777" w:rsidTr="00772E06">
        <w:tc>
          <w:tcPr>
            <w:tcW w:w="1843" w:type="dxa"/>
            <w:tcBorders>
              <w:top w:val="nil"/>
              <w:left w:val="nil"/>
              <w:bottom w:val="nil"/>
              <w:right w:val="nil"/>
            </w:tcBorders>
          </w:tcPr>
          <w:p w14:paraId="2DE47F12"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Methylphenidate</w:t>
            </w:r>
          </w:p>
        </w:tc>
        <w:tc>
          <w:tcPr>
            <w:tcW w:w="1701" w:type="dxa"/>
            <w:tcBorders>
              <w:top w:val="nil"/>
              <w:left w:val="nil"/>
              <w:bottom w:val="nil"/>
              <w:right w:val="nil"/>
            </w:tcBorders>
          </w:tcPr>
          <w:p w14:paraId="31EB912F"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57</w:t>
            </w:r>
          </w:p>
        </w:tc>
        <w:tc>
          <w:tcPr>
            <w:tcW w:w="1985" w:type="dxa"/>
            <w:tcBorders>
              <w:top w:val="nil"/>
              <w:left w:val="nil"/>
              <w:bottom w:val="nil"/>
              <w:right w:val="nil"/>
            </w:tcBorders>
          </w:tcPr>
          <w:p w14:paraId="352D8208"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6.84 (3.56)</w:t>
            </w:r>
          </w:p>
        </w:tc>
        <w:tc>
          <w:tcPr>
            <w:tcW w:w="1134" w:type="dxa"/>
            <w:tcBorders>
              <w:top w:val="nil"/>
              <w:left w:val="nil"/>
              <w:bottom w:val="nil"/>
              <w:right w:val="nil"/>
            </w:tcBorders>
          </w:tcPr>
          <w:p w14:paraId="2DE22B19"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589C2EC7" w14:textId="77777777" w:rsidR="00772E06" w:rsidRPr="00734AB6" w:rsidRDefault="00772E06" w:rsidP="0099584D">
            <w:pPr>
              <w:spacing w:before="120" w:after="120" w:line="360" w:lineRule="auto"/>
              <w:rPr>
                <w:rFonts w:asciiTheme="majorHAnsi" w:hAnsiTheme="majorHAnsi"/>
              </w:rPr>
            </w:pPr>
          </w:p>
        </w:tc>
      </w:tr>
      <w:tr w:rsidR="00772E06" w:rsidRPr="00734AB6" w14:paraId="572B0684" w14:textId="77777777" w:rsidTr="00772E06">
        <w:tc>
          <w:tcPr>
            <w:tcW w:w="1843" w:type="dxa"/>
            <w:tcBorders>
              <w:top w:val="nil"/>
              <w:left w:val="nil"/>
              <w:bottom w:val="nil"/>
              <w:right w:val="nil"/>
            </w:tcBorders>
          </w:tcPr>
          <w:p w14:paraId="054B3A84" w14:textId="77777777" w:rsidR="00772E06" w:rsidRPr="00734AB6" w:rsidRDefault="00772E06" w:rsidP="0099584D">
            <w:pPr>
              <w:spacing w:before="120" w:after="120" w:line="360" w:lineRule="auto"/>
              <w:rPr>
                <w:rFonts w:asciiTheme="majorHAnsi" w:hAnsiTheme="majorHAnsi"/>
              </w:rPr>
            </w:pPr>
          </w:p>
        </w:tc>
        <w:tc>
          <w:tcPr>
            <w:tcW w:w="1701" w:type="dxa"/>
            <w:tcBorders>
              <w:top w:val="nil"/>
              <w:left w:val="nil"/>
              <w:bottom w:val="nil"/>
              <w:right w:val="nil"/>
            </w:tcBorders>
          </w:tcPr>
          <w:p w14:paraId="32107A8C" w14:textId="77777777" w:rsidR="00772E06" w:rsidRPr="00734AB6" w:rsidRDefault="00772E06" w:rsidP="0099584D">
            <w:pPr>
              <w:spacing w:before="120" w:after="120" w:line="360" w:lineRule="auto"/>
              <w:rPr>
                <w:rFonts w:asciiTheme="majorHAnsi" w:hAnsiTheme="majorHAnsi"/>
              </w:rPr>
            </w:pPr>
          </w:p>
        </w:tc>
        <w:tc>
          <w:tcPr>
            <w:tcW w:w="1985" w:type="dxa"/>
            <w:tcBorders>
              <w:top w:val="nil"/>
              <w:left w:val="nil"/>
              <w:bottom w:val="nil"/>
              <w:right w:val="nil"/>
            </w:tcBorders>
          </w:tcPr>
          <w:p w14:paraId="3D3A2739"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7AFF91C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1702.50</w:t>
            </w:r>
          </w:p>
        </w:tc>
        <w:tc>
          <w:tcPr>
            <w:tcW w:w="1134" w:type="dxa"/>
            <w:tcBorders>
              <w:top w:val="nil"/>
              <w:left w:val="nil"/>
              <w:bottom w:val="nil"/>
              <w:right w:val="nil"/>
            </w:tcBorders>
          </w:tcPr>
          <w:p w14:paraId="3988FBA7"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.006</w:t>
            </w:r>
          </w:p>
        </w:tc>
      </w:tr>
      <w:tr w:rsidR="00772E06" w:rsidRPr="00734AB6" w14:paraId="20713069" w14:textId="77777777" w:rsidTr="00772E06">
        <w:tc>
          <w:tcPr>
            <w:tcW w:w="1843" w:type="dxa"/>
            <w:tcBorders>
              <w:top w:val="nil"/>
              <w:left w:val="nil"/>
              <w:bottom w:val="single" w:sz="4" w:space="0" w:color="auto"/>
              <w:right w:val="nil"/>
            </w:tcBorders>
          </w:tcPr>
          <w:p w14:paraId="28A5CF6B"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Controls</w:t>
            </w:r>
          </w:p>
        </w:tc>
        <w:tc>
          <w:tcPr>
            <w:tcW w:w="1701" w:type="dxa"/>
            <w:tcBorders>
              <w:top w:val="nil"/>
              <w:left w:val="nil"/>
              <w:bottom w:val="single" w:sz="4" w:space="0" w:color="auto"/>
              <w:right w:val="nil"/>
            </w:tcBorders>
          </w:tcPr>
          <w:p w14:paraId="7C131110"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82</w:t>
            </w:r>
          </w:p>
        </w:tc>
        <w:tc>
          <w:tcPr>
            <w:tcW w:w="1985" w:type="dxa"/>
            <w:tcBorders>
              <w:top w:val="nil"/>
              <w:left w:val="nil"/>
              <w:bottom w:val="single" w:sz="4" w:space="0" w:color="auto"/>
              <w:right w:val="nil"/>
            </w:tcBorders>
          </w:tcPr>
          <w:p w14:paraId="028280D0" w14:textId="77777777" w:rsidR="00772E06" w:rsidRPr="00734AB6" w:rsidRDefault="00772E06" w:rsidP="0099584D">
            <w:pPr>
              <w:spacing w:before="120" w:after="120" w:line="360" w:lineRule="auto"/>
              <w:ind w:left="-95"/>
              <w:rPr>
                <w:rFonts w:asciiTheme="majorHAnsi" w:hAnsiTheme="majorHAnsi"/>
              </w:rPr>
            </w:pPr>
            <w:r w:rsidRPr="00734AB6">
              <w:rPr>
                <w:rFonts w:asciiTheme="majorHAnsi" w:hAnsiTheme="majorHAnsi"/>
              </w:rPr>
              <w:t>5.29 (2.41)</w:t>
            </w:r>
          </w:p>
        </w:tc>
        <w:tc>
          <w:tcPr>
            <w:tcW w:w="1134" w:type="dxa"/>
            <w:tcBorders>
              <w:top w:val="nil"/>
              <w:left w:val="nil"/>
              <w:bottom w:val="single" w:sz="4" w:space="0" w:color="auto"/>
              <w:right w:val="nil"/>
            </w:tcBorders>
          </w:tcPr>
          <w:p w14:paraId="6394518D"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single" w:sz="4" w:space="0" w:color="auto"/>
              <w:right w:val="nil"/>
            </w:tcBorders>
          </w:tcPr>
          <w:p w14:paraId="4C096B96" w14:textId="77777777" w:rsidR="00772E06" w:rsidRPr="00734AB6" w:rsidRDefault="00772E06" w:rsidP="0099584D">
            <w:pPr>
              <w:spacing w:before="120" w:after="120" w:line="360" w:lineRule="auto"/>
              <w:rPr>
                <w:rFonts w:asciiTheme="majorHAnsi" w:hAnsiTheme="majorHAnsi"/>
              </w:rPr>
            </w:pPr>
          </w:p>
        </w:tc>
      </w:tr>
    </w:tbl>
    <w:p w14:paraId="315AFA98" w14:textId="77777777" w:rsidR="00772E06" w:rsidRPr="00734AB6" w:rsidRDefault="00772E06" w:rsidP="0099584D">
      <w:pPr>
        <w:spacing w:line="360" w:lineRule="auto"/>
        <w:ind w:firstLine="709"/>
        <w:rPr>
          <w:rFonts w:asciiTheme="majorHAnsi" w:hAnsiTheme="majorHAnsi"/>
        </w:rPr>
      </w:pPr>
    </w:p>
    <w:p w14:paraId="5661001C" w14:textId="77777777" w:rsidR="00594D41" w:rsidRPr="00734AB6" w:rsidRDefault="00594D41" w:rsidP="0099584D">
      <w:pPr>
        <w:spacing w:line="360" w:lineRule="auto"/>
        <w:ind w:firstLine="709"/>
        <w:rPr>
          <w:rFonts w:asciiTheme="majorHAnsi" w:hAnsiTheme="majorHAnsi"/>
        </w:rPr>
      </w:pPr>
    </w:p>
    <w:p w14:paraId="39D135B3" w14:textId="77777777" w:rsidR="00F43E18" w:rsidRPr="00734AB6" w:rsidRDefault="00F43E18">
      <w:pPr>
        <w:rPr>
          <w:rFonts w:asciiTheme="majorHAnsi" w:hAnsiTheme="majorHAnsi"/>
          <w:b/>
        </w:rPr>
      </w:pPr>
      <w:r w:rsidRPr="00734AB6">
        <w:rPr>
          <w:rFonts w:asciiTheme="majorHAnsi" w:hAnsiTheme="majorHAnsi"/>
          <w:b/>
        </w:rPr>
        <w:br w:type="page"/>
      </w:r>
    </w:p>
    <w:p w14:paraId="0A4C79E1" w14:textId="4D43B706"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 xml:space="preserve">Table </w:t>
      </w:r>
      <w:r w:rsidR="00C26A8A" w:rsidRPr="00734AB6">
        <w:rPr>
          <w:rFonts w:asciiTheme="majorHAnsi" w:hAnsiTheme="majorHAnsi"/>
          <w:b/>
        </w:rPr>
        <w:t>3.</w:t>
      </w:r>
      <w:r w:rsidR="00BE3132" w:rsidRPr="00734AB6">
        <w:rPr>
          <w:rFonts w:asciiTheme="majorHAnsi" w:hAnsiTheme="majorHAnsi"/>
          <w:b/>
        </w:rPr>
        <w:t>8</w:t>
      </w:r>
      <w:r w:rsidRPr="00734AB6">
        <w:rPr>
          <w:rFonts w:asciiTheme="majorHAnsi" w:hAnsiTheme="majorHAnsi"/>
          <w:b/>
        </w:rPr>
        <w:t xml:space="preserve">. Effects of group type (modafinil-only and controls) on ASRS scores </w:t>
      </w:r>
    </w:p>
    <w:tbl>
      <w:tblPr>
        <w:tblW w:w="0" w:type="auto"/>
        <w:tblLook w:val="04A0" w:firstRow="1" w:lastRow="0" w:firstColumn="1" w:lastColumn="0" w:noHBand="0" w:noVBand="1"/>
      </w:tblPr>
      <w:tblGrid>
        <w:gridCol w:w="1838"/>
        <w:gridCol w:w="1706"/>
        <w:gridCol w:w="1980"/>
        <w:gridCol w:w="1134"/>
        <w:gridCol w:w="1134"/>
      </w:tblGrid>
      <w:tr w:rsidR="00772E06" w:rsidRPr="00734AB6" w14:paraId="45F78295" w14:textId="77777777" w:rsidTr="00772E06">
        <w:tc>
          <w:tcPr>
            <w:tcW w:w="1838" w:type="dxa"/>
            <w:tcBorders>
              <w:left w:val="nil"/>
              <w:bottom w:val="nil"/>
              <w:right w:val="nil"/>
            </w:tcBorders>
          </w:tcPr>
          <w:p w14:paraId="32EC6C5B" w14:textId="77777777" w:rsidR="00772E06" w:rsidRPr="00734AB6" w:rsidRDefault="00772E06" w:rsidP="0099584D">
            <w:pPr>
              <w:spacing w:before="120" w:after="120" w:line="360" w:lineRule="auto"/>
              <w:rPr>
                <w:rFonts w:asciiTheme="majorHAnsi" w:hAnsiTheme="majorHAnsi"/>
                <w:b/>
              </w:rPr>
            </w:pPr>
          </w:p>
        </w:tc>
        <w:tc>
          <w:tcPr>
            <w:tcW w:w="1706" w:type="dxa"/>
            <w:tcBorders>
              <w:left w:val="nil"/>
              <w:right w:val="nil"/>
            </w:tcBorders>
          </w:tcPr>
          <w:p w14:paraId="33059AB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980" w:type="dxa"/>
            <w:tcBorders>
              <w:left w:val="nil"/>
              <w:right w:val="nil"/>
            </w:tcBorders>
          </w:tcPr>
          <w:p w14:paraId="790CB557"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ASRS</w:t>
            </w:r>
          </w:p>
        </w:tc>
        <w:tc>
          <w:tcPr>
            <w:tcW w:w="1134" w:type="dxa"/>
            <w:tcBorders>
              <w:left w:val="nil"/>
              <w:right w:val="nil"/>
            </w:tcBorders>
          </w:tcPr>
          <w:p w14:paraId="7795D585" w14:textId="77777777" w:rsidR="00772E06" w:rsidRPr="00734AB6" w:rsidRDefault="00772E06" w:rsidP="0099584D">
            <w:pPr>
              <w:spacing w:before="120" w:after="120" w:line="360" w:lineRule="auto"/>
              <w:rPr>
                <w:rFonts w:asciiTheme="majorHAnsi" w:hAnsiTheme="majorHAnsi"/>
                <w:b/>
              </w:rPr>
            </w:pPr>
          </w:p>
        </w:tc>
        <w:tc>
          <w:tcPr>
            <w:tcW w:w="1134" w:type="dxa"/>
            <w:tcBorders>
              <w:left w:val="nil"/>
              <w:right w:val="nil"/>
            </w:tcBorders>
          </w:tcPr>
          <w:p w14:paraId="4A2D4687" w14:textId="77777777" w:rsidR="00772E06" w:rsidRPr="00734AB6" w:rsidRDefault="00772E06" w:rsidP="0099584D">
            <w:pPr>
              <w:spacing w:before="120" w:after="120" w:line="360" w:lineRule="auto"/>
              <w:rPr>
                <w:rFonts w:asciiTheme="majorHAnsi" w:hAnsiTheme="majorHAnsi"/>
                <w:b/>
              </w:rPr>
            </w:pPr>
          </w:p>
        </w:tc>
      </w:tr>
      <w:tr w:rsidR="00772E06" w:rsidRPr="00734AB6" w14:paraId="46704F92" w14:textId="77777777" w:rsidTr="00772E06">
        <w:tc>
          <w:tcPr>
            <w:tcW w:w="1838" w:type="dxa"/>
            <w:tcBorders>
              <w:top w:val="nil"/>
              <w:left w:val="nil"/>
              <w:bottom w:val="nil"/>
              <w:right w:val="nil"/>
            </w:tcBorders>
          </w:tcPr>
          <w:p w14:paraId="43596A4A"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Group</w:t>
            </w:r>
          </w:p>
        </w:tc>
        <w:tc>
          <w:tcPr>
            <w:tcW w:w="1706" w:type="dxa"/>
            <w:tcBorders>
              <w:left w:val="nil"/>
              <w:bottom w:val="single" w:sz="4" w:space="0" w:color="auto"/>
              <w:right w:val="nil"/>
            </w:tcBorders>
          </w:tcPr>
          <w:p w14:paraId="584F82C1" w14:textId="77777777" w:rsidR="00772E06" w:rsidRPr="00734AB6" w:rsidRDefault="00772E06" w:rsidP="0099584D">
            <w:pPr>
              <w:spacing w:before="120" w:after="120" w:line="360" w:lineRule="auto"/>
              <w:rPr>
                <w:rFonts w:asciiTheme="majorHAnsi" w:hAnsiTheme="majorHAnsi"/>
                <w:b/>
              </w:rPr>
            </w:pPr>
          </w:p>
        </w:tc>
        <w:tc>
          <w:tcPr>
            <w:tcW w:w="1980" w:type="dxa"/>
            <w:tcBorders>
              <w:left w:val="nil"/>
              <w:bottom w:val="single" w:sz="4" w:space="0" w:color="auto"/>
              <w:right w:val="nil"/>
            </w:tcBorders>
          </w:tcPr>
          <w:p w14:paraId="7D581933"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left w:val="nil"/>
              <w:bottom w:val="single" w:sz="4" w:space="0" w:color="auto"/>
              <w:right w:val="nil"/>
            </w:tcBorders>
          </w:tcPr>
          <w:p w14:paraId="37CBB9BB"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34" w:type="dxa"/>
            <w:tcBorders>
              <w:left w:val="nil"/>
              <w:bottom w:val="single" w:sz="4" w:space="0" w:color="auto"/>
              <w:right w:val="nil"/>
            </w:tcBorders>
          </w:tcPr>
          <w:p w14:paraId="1DA10CAF"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6BF30807" w14:textId="77777777" w:rsidTr="00772E06">
        <w:tc>
          <w:tcPr>
            <w:tcW w:w="1838" w:type="dxa"/>
            <w:tcBorders>
              <w:top w:val="nil"/>
              <w:left w:val="nil"/>
              <w:bottom w:val="nil"/>
              <w:right w:val="nil"/>
            </w:tcBorders>
          </w:tcPr>
          <w:p w14:paraId="5DA95E24" w14:textId="77777777" w:rsidR="00772E06" w:rsidRPr="00734AB6" w:rsidRDefault="00772E06" w:rsidP="0099584D">
            <w:pPr>
              <w:spacing w:before="120" w:after="120" w:line="360" w:lineRule="auto"/>
              <w:rPr>
                <w:rFonts w:asciiTheme="majorHAnsi" w:hAnsiTheme="majorHAnsi"/>
                <w:b/>
              </w:rPr>
            </w:pPr>
          </w:p>
        </w:tc>
        <w:tc>
          <w:tcPr>
            <w:tcW w:w="1706" w:type="dxa"/>
            <w:tcBorders>
              <w:left w:val="nil"/>
              <w:bottom w:val="nil"/>
              <w:right w:val="nil"/>
            </w:tcBorders>
          </w:tcPr>
          <w:p w14:paraId="458D7D92" w14:textId="77777777" w:rsidR="00772E06" w:rsidRPr="00734AB6" w:rsidRDefault="00772E06" w:rsidP="0099584D">
            <w:pPr>
              <w:spacing w:before="120" w:after="120" w:line="360" w:lineRule="auto"/>
              <w:rPr>
                <w:rFonts w:asciiTheme="majorHAnsi" w:hAnsiTheme="majorHAnsi"/>
              </w:rPr>
            </w:pPr>
          </w:p>
        </w:tc>
        <w:tc>
          <w:tcPr>
            <w:tcW w:w="1980" w:type="dxa"/>
            <w:tcBorders>
              <w:left w:val="nil"/>
              <w:bottom w:val="nil"/>
              <w:right w:val="nil"/>
            </w:tcBorders>
          </w:tcPr>
          <w:p w14:paraId="6017127E"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702D5E69"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178BDEE7" w14:textId="77777777" w:rsidR="00772E06" w:rsidRPr="00734AB6" w:rsidRDefault="00772E06" w:rsidP="0099584D">
            <w:pPr>
              <w:spacing w:before="120" w:after="120" w:line="360" w:lineRule="auto"/>
              <w:rPr>
                <w:rFonts w:asciiTheme="majorHAnsi" w:hAnsiTheme="majorHAnsi"/>
              </w:rPr>
            </w:pPr>
          </w:p>
        </w:tc>
      </w:tr>
      <w:tr w:rsidR="00772E06" w:rsidRPr="00734AB6" w14:paraId="5F06E366" w14:textId="77777777" w:rsidTr="00772E06">
        <w:tc>
          <w:tcPr>
            <w:tcW w:w="1838" w:type="dxa"/>
            <w:tcBorders>
              <w:top w:val="nil"/>
              <w:left w:val="nil"/>
              <w:bottom w:val="nil"/>
              <w:right w:val="nil"/>
            </w:tcBorders>
          </w:tcPr>
          <w:p w14:paraId="6587D2A7"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Modafinil-only</w:t>
            </w:r>
          </w:p>
        </w:tc>
        <w:tc>
          <w:tcPr>
            <w:tcW w:w="1706" w:type="dxa"/>
            <w:tcBorders>
              <w:top w:val="nil"/>
              <w:left w:val="nil"/>
              <w:bottom w:val="nil"/>
              <w:right w:val="nil"/>
            </w:tcBorders>
          </w:tcPr>
          <w:p w14:paraId="26A92FE7"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85</w:t>
            </w:r>
          </w:p>
        </w:tc>
        <w:tc>
          <w:tcPr>
            <w:tcW w:w="1980" w:type="dxa"/>
            <w:tcBorders>
              <w:top w:val="nil"/>
              <w:left w:val="nil"/>
              <w:bottom w:val="nil"/>
              <w:right w:val="nil"/>
            </w:tcBorders>
          </w:tcPr>
          <w:p w14:paraId="439F8596"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6.48 (3.37)</w:t>
            </w:r>
          </w:p>
        </w:tc>
        <w:tc>
          <w:tcPr>
            <w:tcW w:w="1134" w:type="dxa"/>
            <w:tcBorders>
              <w:top w:val="nil"/>
              <w:left w:val="nil"/>
              <w:bottom w:val="nil"/>
              <w:right w:val="nil"/>
            </w:tcBorders>
          </w:tcPr>
          <w:p w14:paraId="59D4AF12"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4F4D2EBD" w14:textId="77777777" w:rsidR="00772E06" w:rsidRPr="00734AB6" w:rsidRDefault="00772E06" w:rsidP="0099584D">
            <w:pPr>
              <w:spacing w:before="120" w:after="120" w:line="360" w:lineRule="auto"/>
              <w:rPr>
                <w:rFonts w:asciiTheme="majorHAnsi" w:hAnsiTheme="majorHAnsi"/>
              </w:rPr>
            </w:pPr>
          </w:p>
        </w:tc>
      </w:tr>
      <w:tr w:rsidR="00772E06" w:rsidRPr="00734AB6" w14:paraId="7D002898" w14:textId="77777777" w:rsidTr="00772E06">
        <w:tc>
          <w:tcPr>
            <w:tcW w:w="1838" w:type="dxa"/>
            <w:tcBorders>
              <w:top w:val="nil"/>
              <w:left w:val="nil"/>
              <w:bottom w:val="nil"/>
              <w:right w:val="nil"/>
            </w:tcBorders>
          </w:tcPr>
          <w:p w14:paraId="264E989F" w14:textId="77777777" w:rsidR="00772E06" w:rsidRPr="00734AB6" w:rsidRDefault="00772E06" w:rsidP="0099584D">
            <w:pPr>
              <w:spacing w:before="120" w:after="120" w:line="360" w:lineRule="auto"/>
              <w:rPr>
                <w:rFonts w:asciiTheme="majorHAnsi" w:hAnsiTheme="majorHAnsi"/>
                <w:b/>
              </w:rPr>
            </w:pPr>
          </w:p>
        </w:tc>
        <w:tc>
          <w:tcPr>
            <w:tcW w:w="1706" w:type="dxa"/>
            <w:tcBorders>
              <w:top w:val="nil"/>
              <w:left w:val="nil"/>
              <w:bottom w:val="nil"/>
              <w:right w:val="nil"/>
            </w:tcBorders>
          </w:tcPr>
          <w:p w14:paraId="3041DA10" w14:textId="77777777" w:rsidR="00772E06" w:rsidRPr="00734AB6" w:rsidRDefault="00772E06" w:rsidP="0099584D">
            <w:pPr>
              <w:spacing w:before="120" w:after="120" w:line="360" w:lineRule="auto"/>
              <w:rPr>
                <w:rFonts w:asciiTheme="majorHAnsi" w:hAnsiTheme="majorHAnsi"/>
              </w:rPr>
            </w:pPr>
          </w:p>
        </w:tc>
        <w:tc>
          <w:tcPr>
            <w:tcW w:w="1980" w:type="dxa"/>
            <w:tcBorders>
              <w:top w:val="nil"/>
              <w:left w:val="nil"/>
              <w:bottom w:val="nil"/>
              <w:right w:val="nil"/>
            </w:tcBorders>
          </w:tcPr>
          <w:p w14:paraId="69576A88"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599ED1A0"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2707.50</w:t>
            </w:r>
          </w:p>
        </w:tc>
        <w:tc>
          <w:tcPr>
            <w:tcW w:w="1134" w:type="dxa"/>
            <w:tcBorders>
              <w:top w:val="nil"/>
              <w:left w:val="nil"/>
              <w:bottom w:val="nil"/>
              <w:right w:val="nil"/>
            </w:tcBorders>
          </w:tcPr>
          <w:p w14:paraId="3CDCC862"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.012</w:t>
            </w:r>
          </w:p>
        </w:tc>
      </w:tr>
      <w:tr w:rsidR="00772E06" w:rsidRPr="00734AB6" w14:paraId="092AF9EE" w14:textId="77777777" w:rsidTr="00772E06">
        <w:tc>
          <w:tcPr>
            <w:tcW w:w="1838" w:type="dxa"/>
            <w:tcBorders>
              <w:top w:val="nil"/>
              <w:left w:val="nil"/>
              <w:bottom w:val="single" w:sz="4" w:space="0" w:color="auto"/>
              <w:right w:val="nil"/>
            </w:tcBorders>
          </w:tcPr>
          <w:p w14:paraId="0A225CFD"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Controls</w:t>
            </w:r>
          </w:p>
        </w:tc>
        <w:tc>
          <w:tcPr>
            <w:tcW w:w="1706" w:type="dxa"/>
            <w:tcBorders>
              <w:top w:val="nil"/>
              <w:left w:val="nil"/>
              <w:bottom w:val="single" w:sz="4" w:space="0" w:color="auto"/>
              <w:right w:val="nil"/>
            </w:tcBorders>
          </w:tcPr>
          <w:p w14:paraId="6355FC7F"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82</w:t>
            </w:r>
          </w:p>
        </w:tc>
        <w:tc>
          <w:tcPr>
            <w:tcW w:w="1980" w:type="dxa"/>
            <w:tcBorders>
              <w:top w:val="nil"/>
              <w:left w:val="nil"/>
              <w:bottom w:val="single" w:sz="4" w:space="0" w:color="auto"/>
              <w:right w:val="nil"/>
            </w:tcBorders>
          </w:tcPr>
          <w:p w14:paraId="74C482E1"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5.29 (2.41)</w:t>
            </w:r>
          </w:p>
        </w:tc>
        <w:tc>
          <w:tcPr>
            <w:tcW w:w="1134" w:type="dxa"/>
            <w:tcBorders>
              <w:top w:val="nil"/>
              <w:left w:val="nil"/>
              <w:bottom w:val="single" w:sz="4" w:space="0" w:color="auto"/>
              <w:right w:val="nil"/>
            </w:tcBorders>
          </w:tcPr>
          <w:p w14:paraId="31DDDD69"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single" w:sz="4" w:space="0" w:color="auto"/>
              <w:right w:val="nil"/>
            </w:tcBorders>
          </w:tcPr>
          <w:p w14:paraId="2783DFBC" w14:textId="77777777" w:rsidR="00772E06" w:rsidRPr="00734AB6" w:rsidRDefault="00772E06" w:rsidP="0099584D">
            <w:pPr>
              <w:spacing w:before="120" w:after="120" w:line="360" w:lineRule="auto"/>
              <w:rPr>
                <w:rFonts w:asciiTheme="majorHAnsi" w:hAnsiTheme="majorHAnsi"/>
              </w:rPr>
            </w:pPr>
          </w:p>
        </w:tc>
      </w:tr>
    </w:tbl>
    <w:p w14:paraId="50C2CFA4" w14:textId="77777777" w:rsidR="00772E06" w:rsidRPr="00734AB6" w:rsidRDefault="00772E06" w:rsidP="0099584D">
      <w:pPr>
        <w:spacing w:line="360" w:lineRule="auto"/>
        <w:ind w:firstLine="709"/>
        <w:rPr>
          <w:rFonts w:asciiTheme="majorHAnsi" w:hAnsiTheme="majorHAnsi"/>
        </w:rPr>
      </w:pPr>
    </w:p>
    <w:p w14:paraId="624E08A3" w14:textId="77777777" w:rsidR="00594D41" w:rsidRPr="00734AB6" w:rsidRDefault="00594D41" w:rsidP="0099584D">
      <w:pPr>
        <w:spacing w:line="360" w:lineRule="auto"/>
        <w:ind w:firstLine="709"/>
        <w:rPr>
          <w:rFonts w:asciiTheme="majorHAnsi" w:hAnsiTheme="majorHAnsi"/>
        </w:rPr>
      </w:pPr>
    </w:p>
    <w:p w14:paraId="5CA4988C" w14:textId="7656FF99"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Table </w:t>
      </w:r>
      <w:r w:rsidR="00C26A8A" w:rsidRPr="00734AB6">
        <w:rPr>
          <w:rFonts w:asciiTheme="majorHAnsi" w:hAnsiTheme="majorHAnsi"/>
          <w:b/>
        </w:rPr>
        <w:t>3.</w:t>
      </w:r>
      <w:r w:rsidR="00BE3132" w:rsidRPr="00734AB6">
        <w:rPr>
          <w:rFonts w:asciiTheme="majorHAnsi" w:hAnsiTheme="majorHAnsi"/>
          <w:b/>
        </w:rPr>
        <w:t>9</w:t>
      </w:r>
      <w:r w:rsidRPr="00734AB6">
        <w:rPr>
          <w:rFonts w:asciiTheme="majorHAnsi" w:hAnsiTheme="majorHAnsi"/>
          <w:b/>
        </w:rPr>
        <w:t xml:space="preserve">. Effects of group type (modafinil-only and methylphenidate) on ASRS scores </w:t>
      </w:r>
    </w:p>
    <w:tbl>
      <w:tblPr>
        <w:tblW w:w="0" w:type="auto"/>
        <w:tblLook w:val="04A0" w:firstRow="1" w:lastRow="0" w:firstColumn="1" w:lastColumn="0" w:noHBand="0" w:noVBand="1"/>
      </w:tblPr>
      <w:tblGrid>
        <w:gridCol w:w="1838"/>
        <w:gridCol w:w="1706"/>
        <w:gridCol w:w="1980"/>
        <w:gridCol w:w="1134"/>
        <w:gridCol w:w="1134"/>
      </w:tblGrid>
      <w:tr w:rsidR="00772E06" w:rsidRPr="00734AB6" w14:paraId="1A51D27B" w14:textId="77777777" w:rsidTr="00772E06">
        <w:tc>
          <w:tcPr>
            <w:tcW w:w="1838" w:type="dxa"/>
            <w:tcBorders>
              <w:left w:val="nil"/>
              <w:bottom w:val="nil"/>
              <w:right w:val="nil"/>
            </w:tcBorders>
          </w:tcPr>
          <w:p w14:paraId="317D2820" w14:textId="77777777" w:rsidR="00772E06" w:rsidRPr="00734AB6" w:rsidRDefault="00772E06" w:rsidP="0099584D">
            <w:pPr>
              <w:spacing w:before="120" w:after="120" w:line="360" w:lineRule="auto"/>
              <w:rPr>
                <w:rFonts w:asciiTheme="majorHAnsi" w:hAnsiTheme="majorHAnsi"/>
                <w:b/>
              </w:rPr>
            </w:pPr>
          </w:p>
        </w:tc>
        <w:tc>
          <w:tcPr>
            <w:tcW w:w="1706" w:type="dxa"/>
            <w:tcBorders>
              <w:left w:val="nil"/>
              <w:right w:val="nil"/>
            </w:tcBorders>
          </w:tcPr>
          <w:p w14:paraId="2979115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980" w:type="dxa"/>
            <w:tcBorders>
              <w:left w:val="nil"/>
              <w:right w:val="nil"/>
            </w:tcBorders>
          </w:tcPr>
          <w:p w14:paraId="249C1067"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ASRS</w:t>
            </w:r>
          </w:p>
        </w:tc>
        <w:tc>
          <w:tcPr>
            <w:tcW w:w="1134" w:type="dxa"/>
            <w:tcBorders>
              <w:left w:val="nil"/>
              <w:right w:val="nil"/>
            </w:tcBorders>
          </w:tcPr>
          <w:p w14:paraId="122DFD50" w14:textId="77777777" w:rsidR="00772E06" w:rsidRPr="00734AB6" w:rsidRDefault="00772E06" w:rsidP="0099584D">
            <w:pPr>
              <w:spacing w:before="120" w:after="120" w:line="360" w:lineRule="auto"/>
              <w:rPr>
                <w:rFonts w:asciiTheme="majorHAnsi" w:hAnsiTheme="majorHAnsi"/>
                <w:b/>
              </w:rPr>
            </w:pPr>
          </w:p>
        </w:tc>
        <w:tc>
          <w:tcPr>
            <w:tcW w:w="1134" w:type="dxa"/>
            <w:tcBorders>
              <w:left w:val="nil"/>
              <w:right w:val="nil"/>
            </w:tcBorders>
          </w:tcPr>
          <w:p w14:paraId="095B9AE4" w14:textId="77777777" w:rsidR="00772E06" w:rsidRPr="00734AB6" w:rsidRDefault="00772E06" w:rsidP="0099584D">
            <w:pPr>
              <w:spacing w:before="120" w:after="120" w:line="360" w:lineRule="auto"/>
              <w:rPr>
                <w:rFonts w:asciiTheme="majorHAnsi" w:hAnsiTheme="majorHAnsi"/>
                <w:b/>
              </w:rPr>
            </w:pPr>
          </w:p>
        </w:tc>
      </w:tr>
      <w:tr w:rsidR="00772E06" w:rsidRPr="00734AB6" w14:paraId="08EF8458" w14:textId="77777777" w:rsidTr="00772E06">
        <w:tc>
          <w:tcPr>
            <w:tcW w:w="1838" w:type="dxa"/>
            <w:tcBorders>
              <w:top w:val="nil"/>
              <w:left w:val="nil"/>
              <w:bottom w:val="nil"/>
              <w:right w:val="nil"/>
            </w:tcBorders>
          </w:tcPr>
          <w:p w14:paraId="50046E42"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Group</w:t>
            </w:r>
          </w:p>
        </w:tc>
        <w:tc>
          <w:tcPr>
            <w:tcW w:w="1706" w:type="dxa"/>
            <w:tcBorders>
              <w:left w:val="nil"/>
              <w:bottom w:val="single" w:sz="4" w:space="0" w:color="auto"/>
              <w:right w:val="nil"/>
            </w:tcBorders>
          </w:tcPr>
          <w:p w14:paraId="5506AEF2" w14:textId="77777777" w:rsidR="00772E06" w:rsidRPr="00734AB6" w:rsidRDefault="00772E06" w:rsidP="0099584D">
            <w:pPr>
              <w:spacing w:before="120" w:after="120" w:line="360" w:lineRule="auto"/>
              <w:rPr>
                <w:rFonts w:asciiTheme="majorHAnsi" w:hAnsiTheme="majorHAnsi"/>
                <w:b/>
              </w:rPr>
            </w:pPr>
          </w:p>
        </w:tc>
        <w:tc>
          <w:tcPr>
            <w:tcW w:w="1980" w:type="dxa"/>
            <w:tcBorders>
              <w:left w:val="nil"/>
              <w:bottom w:val="single" w:sz="4" w:space="0" w:color="auto"/>
              <w:right w:val="nil"/>
            </w:tcBorders>
          </w:tcPr>
          <w:p w14:paraId="7C725300"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left w:val="nil"/>
              <w:bottom w:val="single" w:sz="4" w:space="0" w:color="auto"/>
              <w:right w:val="nil"/>
            </w:tcBorders>
          </w:tcPr>
          <w:p w14:paraId="48E7261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34" w:type="dxa"/>
            <w:tcBorders>
              <w:left w:val="nil"/>
              <w:bottom w:val="single" w:sz="4" w:space="0" w:color="auto"/>
              <w:right w:val="nil"/>
            </w:tcBorders>
          </w:tcPr>
          <w:p w14:paraId="66ACA980"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5020D529" w14:textId="77777777" w:rsidTr="00772E06">
        <w:tc>
          <w:tcPr>
            <w:tcW w:w="1838" w:type="dxa"/>
            <w:tcBorders>
              <w:top w:val="nil"/>
              <w:left w:val="nil"/>
              <w:bottom w:val="nil"/>
              <w:right w:val="nil"/>
            </w:tcBorders>
          </w:tcPr>
          <w:p w14:paraId="67B4EC92" w14:textId="77777777" w:rsidR="00772E06" w:rsidRPr="00734AB6" w:rsidRDefault="00772E06" w:rsidP="0099584D">
            <w:pPr>
              <w:spacing w:before="120" w:after="120" w:line="360" w:lineRule="auto"/>
              <w:rPr>
                <w:rFonts w:asciiTheme="majorHAnsi" w:hAnsiTheme="majorHAnsi"/>
                <w:b/>
              </w:rPr>
            </w:pPr>
          </w:p>
        </w:tc>
        <w:tc>
          <w:tcPr>
            <w:tcW w:w="1706" w:type="dxa"/>
            <w:tcBorders>
              <w:left w:val="nil"/>
              <w:bottom w:val="nil"/>
              <w:right w:val="nil"/>
            </w:tcBorders>
          </w:tcPr>
          <w:p w14:paraId="22E49D9E" w14:textId="77777777" w:rsidR="00772E06" w:rsidRPr="00734AB6" w:rsidRDefault="00772E06" w:rsidP="0099584D">
            <w:pPr>
              <w:spacing w:before="120" w:after="120" w:line="360" w:lineRule="auto"/>
              <w:rPr>
                <w:rFonts w:asciiTheme="majorHAnsi" w:hAnsiTheme="majorHAnsi"/>
              </w:rPr>
            </w:pPr>
          </w:p>
        </w:tc>
        <w:tc>
          <w:tcPr>
            <w:tcW w:w="1980" w:type="dxa"/>
            <w:tcBorders>
              <w:left w:val="nil"/>
              <w:bottom w:val="nil"/>
              <w:right w:val="nil"/>
            </w:tcBorders>
          </w:tcPr>
          <w:p w14:paraId="377F848D"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320CDA02"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32144ED3" w14:textId="77777777" w:rsidR="00772E06" w:rsidRPr="00734AB6" w:rsidRDefault="00772E06" w:rsidP="0099584D">
            <w:pPr>
              <w:spacing w:before="120" w:after="120" w:line="360" w:lineRule="auto"/>
              <w:rPr>
                <w:rFonts w:asciiTheme="majorHAnsi" w:hAnsiTheme="majorHAnsi"/>
              </w:rPr>
            </w:pPr>
          </w:p>
        </w:tc>
      </w:tr>
      <w:tr w:rsidR="00772E06" w:rsidRPr="00734AB6" w14:paraId="207A6060" w14:textId="77777777" w:rsidTr="00772E06">
        <w:tc>
          <w:tcPr>
            <w:tcW w:w="1838" w:type="dxa"/>
            <w:tcBorders>
              <w:top w:val="nil"/>
              <w:left w:val="nil"/>
              <w:bottom w:val="nil"/>
              <w:right w:val="nil"/>
            </w:tcBorders>
          </w:tcPr>
          <w:p w14:paraId="169E5DF0"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Modafinil-only</w:t>
            </w:r>
          </w:p>
        </w:tc>
        <w:tc>
          <w:tcPr>
            <w:tcW w:w="1706" w:type="dxa"/>
            <w:tcBorders>
              <w:top w:val="nil"/>
              <w:left w:val="nil"/>
              <w:bottom w:val="nil"/>
              <w:right w:val="nil"/>
            </w:tcBorders>
          </w:tcPr>
          <w:p w14:paraId="54868412"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85</w:t>
            </w:r>
          </w:p>
        </w:tc>
        <w:tc>
          <w:tcPr>
            <w:tcW w:w="1980" w:type="dxa"/>
            <w:tcBorders>
              <w:top w:val="nil"/>
              <w:left w:val="nil"/>
              <w:bottom w:val="nil"/>
              <w:right w:val="nil"/>
            </w:tcBorders>
          </w:tcPr>
          <w:p w14:paraId="4785961B"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6.48 (3.37)</w:t>
            </w:r>
          </w:p>
        </w:tc>
        <w:tc>
          <w:tcPr>
            <w:tcW w:w="1134" w:type="dxa"/>
            <w:tcBorders>
              <w:top w:val="nil"/>
              <w:left w:val="nil"/>
              <w:bottom w:val="nil"/>
              <w:right w:val="nil"/>
            </w:tcBorders>
          </w:tcPr>
          <w:p w14:paraId="6ADC7567"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2690EA54" w14:textId="77777777" w:rsidR="00772E06" w:rsidRPr="00734AB6" w:rsidRDefault="00772E06" w:rsidP="0099584D">
            <w:pPr>
              <w:spacing w:before="120" w:after="120" w:line="360" w:lineRule="auto"/>
              <w:rPr>
                <w:rFonts w:asciiTheme="majorHAnsi" w:hAnsiTheme="majorHAnsi"/>
              </w:rPr>
            </w:pPr>
          </w:p>
        </w:tc>
      </w:tr>
      <w:tr w:rsidR="00772E06" w:rsidRPr="00734AB6" w14:paraId="5E84FE10" w14:textId="77777777" w:rsidTr="00772E06">
        <w:tc>
          <w:tcPr>
            <w:tcW w:w="1838" w:type="dxa"/>
            <w:tcBorders>
              <w:top w:val="nil"/>
              <w:left w:val="nil"/>
              <w:bottom w:val="nil"/>
              <w:right w:val="nil"/>
            </w:tcBorders>
          </w:tcPr>
          <w:p w14:paraId="11CFFDC6" w14:textId="77777777" w:rsidR="00772E06" w:rsidRPr="00734AB6" w:rsidRDefault="00772E06" w:rsidP="0099584D">
            <w:pPr>
              <w:spacing w:before="120" w:after="120" w:line="360" w:lineRule="auto"/>
              <w:rPr>
                <w:rFonts w:asciiTheme="majorHAnsi" w:hAnsiTheme="majorHAnsi"/>
                <w:b/>
              </w:rPr>
            </w:pPr>
          </w:p>
        </w:tc>
        <w:tc>
          <w:tcPr>
            <w:tcW w:w="1706" w:type="dxa"/>
            <w:tcBorders>
              <w:top w:val="nil"/>
              <w:left w:val="nil"/>
              <w:bottom w:val="nil"/>
              <w:right w:val="nil"/>
            </w:tcBorders>
          </w:tcPr>
          <w:p w14:paraId="73473F90" w14:textId="77777777" w:rsidR="00772E06" w:rsidRPr="00734AB6" w:rsidRDefault="00772E06" w:rsidP="0099584D">
            <w:pPr>
              <w:spacing w:before="120" w:after="120" w:line="360" w:lineRule="auto"/>
              <w:rPr>
                <w:rFonts w:asciiTheme="majorHAnsi" w:hAnsiTheme="majorHAnsi"/>
              </w:rPr>
            </w:pPr>
          </w:p>
        </w:tc>
        <w:tc>
          <w:tcPr>
            <w:tcW w:w="1980" w:type="dxa"/>
            <w:tcBorders>
              <w:top w:val="nil"/>
              <w:left w:val="nil"/>
              <w:bottom w:val="nil"/>
              <w:right w:val="nil"/>
            </w:tcBorders>
          </w:tcPr>
          <w:p w14:paraId="0F5E5EB8"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32645F6F"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2269.00</w:t>
            </w:r>
          </w:p>
        </w:tc>
        <w:tc>
          <w:tcPr>
            <w:tcW w:w="1134" w:type="dxa"/>
            <w:tcBorders>
              <w:top w:val="nil"/>
              <w:left w:val="nil"/>
              <w:bottom w:val="nil"/>
              <w:right w:val="nil"/>
            </w:tcBorders>
          </w:tcPr>
          <w:p w14:paraId="4FADEDB4"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.521</w:t>
            </w:r>
          </w:p>
        </w:tc>
      </w:tr>
      <w:tr w:rsidR="00772E06" w:rsidRPr="00734AB6" w14:paraId="12AFAEC5" w14:textId="77777777" w:rsidTr="00772E06">
        <w:tc>
          <w:tcPr>
            <w:tcW w:w="1838" w:type="dxa"/>
            <w:tcBorders>
              <w:top w:val="nil"/>
              <w:left w:val="nil"/>
              <w:bottom w:val="single" w:sz="4" w:space="0" w:color="auto"/>
              <w:right w:val="nil"/>
            </w:tcBorders>
          </w:tcPr>
          <w:p w14:paraId="2F13865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Methylphenidate</w:t>
            </w:r>
          </w:p>
        </w:tc>
        <w:tc>
          <w:tcPr>
            <w:tcW w:w="1706" w:type="dxa"/>
            <w:tcBorders>
              <w:top w:val="nil"/>
              <w:left w:val="nil"/>
              <w:bottom w:val="single" w:sz="4" w:space="0" w:color="auto"/>
              <w:right w:val="nil"/>
            </w:tcBorders>
          </w:tcPr>
          <w:p w14:paraId="1B15082E"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82</w:t>
            </w:r>
          </w:p>
        </w:tc>
        <w:tc>
          <w:tcPr>
            <w:tcW w:w="1980" w:type="dxa"/>
            <w:tcBorders>
              <w:top w:val="nil"/>
              <w:left w:val="nil"/>
              <w:bottom w:val="single" w:sz="4" w:space="0" w:color="auto"/>
              <w:right w:val="nil"/>
            </w:tcBorders>
          </w:tcPr>
          <w:p w14:paraId="10E78104"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6.84 (3.56)</w:t>
            </w:r>
          </w:p>
        </w:tc>
        <w:tc>
          <w:tcPr>
            <w:tcW w:w="1134" w:type="dxa"/>
            <w:tcBorders>
              <w:top w:val="nil"/>
              <w:left w:val="nil"/>
              <w:bottom w:val="single" w:sz="4" w:space="0" w:color="auto"/>
              <w:right w:val="nil"/>
            </w:tcBorders>
          </w:tcPr>
          <w:p w14:paraId="1C4D21B0"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single" w:sz="4" w:space="0" w:color="auto"/>
              <w:right w:val="nil"/>
            </w:tcBorders>
          </w:tcPr>
          <w:p w14:paraId="56122F5C" w14:textId="77777777" w:rsidR="00772E06" w:rsidRPr="00734AB6" w:rsidRDefault="00772E06" w:rsidP="0099584D">
            <w:pPr>
              <w:spacing w:before="120" w:after="120" w:line="360" w:lineRule="auto"/>
              <w:rPr>
                <w:rFonts w:asciiTheme="majorHAnsi" w:hAnsiTheme="majorHAnsi"/>
              </w:rPr>
            </w:pPr>
          </w:p>
        </w:tc>
      </w:tr>
    </w:tbl>
    <w:p w14:paraId="78D086F1" w14:textId="77777777" w:rsidR="00772E06" w:rsidRPr="00734AB6" w:rsidRDefault="00772E06" w:rsidP="0099584D">
      <w:pPr>
        <w:spacing w:line="360" w:lineRule="auto"/>
        <w:ind w:firstLine="709"/>
        <w:rPr>
          <w:rFonts w:asciiTheme="majorHAnsi" w:hAnsiTheme="majorHAnsi"/>
        </w:rPr>
      </w:pPr>
    </w:p>
    <w:p w14:paraId="72D5C169" w14:textId="6E022DC0"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 Kruskal-Wallis test was performed on the complete ASRS inattentive scores under three conditions of group type. </w:t>
      </w:r>
      <w:r w:rsidR="00B51FD0" w:rsidRPr="00734AB6">
        <w:rPr>
          <w:rFonts w:asciiTheme="majorHAnsi" w:hAnsiTheme="majorHAnsi"/>
        </w:rPr>
        <w:t xml:space="preserve">To avoid Type 1 errors the Bonferroni correction was again used, resulting in a critical value of .025. </w:t>
      </w:r>
      <w:r w:rsidRPr="00734AB6">
        <w:rPr>
          <w:rFonts w:asciiTheme="majorHAnsi" w:hAnsiTheme="majorHAnsi"/>
        </w:rPr>
        <w:t xml:space="preserve">The differences between the mean ranks of 130.32 (methylphenidate), 127.39 (modafinil-only) and 86.37 (control) were significant, with </w:t>
      </w:r>
      <w:r w:rsidRPr="00734AB6">
        <w:rPr>
          <w:rFonts w:asciiTheme="majorHAnsi" w:hAnsiTheme="majorHAnsi"/>
          <w:i/>
        </w:rPr>
        <w:t>H(</w:t>
      </w:r>
      <w:r w:rsidRPr="00734AB6">
        <w:rPr>
          <w:rFonts w:asciiTheme="majorHAnsi" w:hAnsiTheme="majorHAnsi"/>
          <w:i/>
          <w:vertAlign w:val="subscript"/>
        </w:rPr>
        <w:t>2</w:t>
      </w:r>
      <w:r w:rsidRPr="00734AB6">
        <w:rPr>
          <w:rFonts w:asciiTheme="majorHAnsi" w:hAnsiTheme="majorHAnsi"/>
          <w:i/>
        </w:rPr>
        <w:t>)</w:t>
      </w:r>
      <w:r w:rsidR="00B51FD0" w:rsidRPr="00734AB6">
        <w:rPr>
          <w:rFonts w:asciiTheme="majorHAnsi" w:hAnsiTheme="majorHAnsi"/>
        </w:rPr>
        <w:t xml:space="preserve"> = 22.49</w:t>
      </w:r>
      <w:r w:rsidRPr="00734AB6">
        <w:rPr>
          <w:rFonts w:asciiTheme="majorHAnsi" w:hAnsiTheme="majorHAnsi"/>
        </w:rPr>
        <w:t xml:space="preserve">, </w:t>
      </w:r>
      <w:r w:rsidRPr="00734AB6">
        <w:rPr>
          <w:rFonts w:asciiTheme="majorHAnsi" w:hAnsiTheme="majorHAnsi"/>
          <w:i/>
        </w:rPr>
        <w:t>p</w:t>
      </w:r>
      <w:r w:rsidRPr="00734AB6">
        <w:rPr>
          <w:rFonts w:asciiTheme="majorHAnsi" w:hAnsiTheme="majorHAnsi"/>
        </w:rPr>
        <w:t xml:space="preserve"> &lt; .001.</w:t>
      </w:r>
    </w:p>
    <w:p w14:paraId="0D69CEB6" w14:textId="6F01E212" w:rsidR="00772E06" w:rsidRPr="00734AB6" w:rsidRDefault="00772E06" w:rsidP="0099584D">
      <w:pPr>
        <w:spacing w:line="360" w:lineRule="auto"/>
        <w:ind w:firstLine="709"/>
        <w:rPr>
          <w:rFonts w:asciiTheme="majorHAnsi" w:hAnsiTheme="majorHAnsi"/>
        </w:rPr>
      </w:pPr>
      <w:r w:rsidRPr="00734AB6">
        <w:rPr>
          <w:rFonts w:asciiTheme="majorHAnsi" w:hAnsiTheme="majorHAnsi"/>
          <w:i/>
        </w:rPr>
        <w:t>Post hoc</w:t>
      </w:r>
      <w:r w:rsidRPr="00734AB6">
        <w:rPr>
          <w:rFonts w:asciiTheme="majorHAnsi" w:hAnsiTheme="majorHAnsi"/>
        </w:rPr>
        <w:t xml:space="preserve"> Mann-Whitney U tests revealed that both the modafinil-only scores and the methylphenidate scores were significantly higher compared with the control group scores (see Tables </w:t>
      </w:r>
      <w:r w:rsidR="00C26A8A" w:rsidRPr="00734AB6">
        <w:rPr>
          <w:rFonts w:asciiTheme="majorHAnsi" w:hAnsiTheme="majorHAnsi"/>
        </w:rPr>
        <w:t>3.</w:t>
      </w:r>
      <w:r w:rsidR="00BE3132" w:rsidRPr="00734AB6">
        <w:rPr>
          <w:rFonts w:asciiTheme="majorHAnsi" w:hAnsiTheme="majorHAnsi"/>
        </w:rPr>
        <w:t>10</w:t>
      </w:r>
      <w:r w:rsidRPr="00734AB6">
        <w:rPr>
          <w:rFonts w:asciiTheme="majorHAnsi" w:hAnsiTheme="majorHAnsi"/>
        </w:rPr>
        <w:t xml:space="preserve"> and </w:t>
      </w:r>
      <w:r w:rsidR="00C26A8A" w:rsidRPr="00734AB6">
        <w:rPr>
          <w:rFonts w:asciiTheme="majorHAnsi" w:hAnsiTheme="majorHAnsi"/>
        </w:rPr>
        <w:t>3.</w:t>
      </w:r>
      <w:r w:rsidR="00BE3132" w:rsidRPr="00734AB6">
        <w:rPr>
          <w:rFonts w:asciiTheme="majorHAnsi" w:hAnsiTheme="majorHAnsi"/>
        </w:rPr>
        <w:t>11</w:t>
      </w:r>
      <w:r w:rsidRPr="00734AB6">
        <w:rPr>
          <w:rFonts w:asciiTheme="majorHAnsi" w:hAnsiTheme="majorHAnsi"/>
        </w:rPr>
        <w:t xml:space="preserve"> for full details). </w:t>
      </w:r>
    </w:p>
    <w:p w14:paraId="2F2BCF72" w14:textId="77777777" w:rsidR="00772E06" w:rsidRPr="00734AB6" w:rsidRDefault="00772E06" w:rsidP="0099584D">
      <w:pPr>
        <w:spacing w:line="360" w:lineRule="auto"/>
        <w:ind w:firstLine="709"/>
        <w:rPr>
          <w:rFonts w:asciiTheme="majorHAnsi" w:hAnsiTheme="majorHAnsi"/>
        </w:rPr>
      </w:pPr>
    </w:p>
    <w:p w14:paraId="3EC20C26" w14:textId="6F29545E"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 xml:space="preserve">Table </w:t>
      </w:r>
      <w:r w:rsidR="008E56D3" w:rsidRPr="00734AB6">
        <w:rPr>
          <w:rFonts w:asciiTheme="majorHAnsi" w:hAnsiTheme="majorHAnsi"/>
          <w:b/>
        </w:rPr>
        <w:t>3.</w:t>
      </w:r>
      <w:r w:rsidRPr="00734AB6">
        <w:rPr>
          <w:rFonts w:asciiTheme="majorHAnsi" w:hAnsiTheme="majorHAnsi"/>
          <w:b/>
        </w:rPr>
        <w:t>1</w:t>
      </w:r>
      <w:r w:rsidR="00BE3132" w:rsidRPr="00734AB6">
        <w:rPr>
          <w:rFonts w:asciiTheme="majorHAnsi" w:hAnsiTheme="majorHAnsi"/>
          <w:b/>
        </w:rPr>
        <w:t>0</w:t>
      </w:r>
      <w:r w:rsidRPr="00734AB6">
        <w:rPr>
          <w:rFonts w:asciiTheme="majorHAnsi" w:hAnsiTheme="majorHAnsi"/>
          <w:b/>
        </w:rPr>
        <w:t xml:space="preserve">. Effects of the methylphenidate and control groups on ASRS inattentive scores </w:t>
      </w:r>
    </w:p>
    <w:tbl>
      <w:tblPr>
        <w:tblW w:w="0" w:type="auto"/>
        <w:tblLook w:val="04A0" w:firstRow="1" w:lastRow="0" w:firstColumn="1" w:lastColumn="0" w:noHBand="0" w:noVBand="1"/>
      </w:tblPr>
      <w:tblGrid>
        <w:gridCol w:w="1905"/>
        <w:gridCol w:w="1843"/>
        <w:gridCol w:w="1843"/>
        <w:gridCol w:w="1134"/>
        <w:gridCol w:w="1134"/>
      </w:tblGrid>
      <w:tr w:rsidR="00772E06" w:rsidRPr="00734AB6" w14:paraId="4B78C307" w14:textId="77777777" w:rsidTr="00772E06">
        <w:tc>
          <w:tcPr>
            <w:tcW w:w="1905" w:type="dxa"/>
            <w:tcBorders>
              <w:left w:val="nil"/>
              <w:bottom w:val="nil"/>
              <w:right w:val="nil"/>
            </w:tcBorders>
          </w:tcPr>
          <w:p w14:paraId="3558EF70" w14:textId="77777777" w:rsidR="00772E06" w:rsidRPr="00734AB6" w:rsidRDefault="00772E06" w:rsidP="0099584D">
            <w:pPr>
              <w:spacing w:before="120" w:after="120" w:line="360" w:lineRule="auto"/>
              <w:rPr>
                <w:rFonts w:asciiTheme="majorHAnsi" w:hAnsiTheme="majorHAnsi"/>
                <w:b/>
              </w:rPr>
            </w:pPr>
          </w:p>
        </w:tc>
        <w:tc>
          <w:tcPr>
            <w:tcW w:w="1843" w:type="dxa"/>
            <w:tcBorders>
              <w:left w:val="nil"/>
              <w:right w:val="nil"/>
            </w:tcBorders>
          </w:tcPr>
          <w:p w14:paraId="2FE6692A"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843" w:type="dxa"/>
            <w:tcBorders>
              <w:left w:val="nil"/>
              <w:right w:val="nil"/>
            </w:tcBorders>
          </w:tcPr>
          <w:p w14:paraId="355D430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ASRS</w:t>
            </w:r>
          </w:p>
        </w:tc>
        <w:tc>
          <w:tcPr>
            <w:tcW w:w="1134" w:type="dxa"/>
            <w:tcBorders>
              <w:left w:val="nil"/>
              <w:right w:val="nil"/>
            </w:tcBorders>
          </w:tcPr>
          <w:p w14:paraId="55E23EE9" w14:textId="77777777" w:rsidR="00772E06" w:rsidRPr="00734AB6" w:rsidRDefault="00772E06" w:rsidP="0099584D">
            <w:pPr>
              <w:spacing w:before="120" w:after="120" w:line="360" w:lineRule="auto"/>
              <w:rPr>
                <w:rFonts w:asciiTheme="majorHAnsi" w:hAnsiTheme="majorHAnsi"/>
                <w:b/>
              </w:rPr>
            </w:pPr>
          </w:p>
        </w:tc>
        <w:tc>
          <w:tcPr>
            <w:tcW w:w="1134" w:type="dxa"/>
            <w:tcBorders>
              <w:left w:val="nil"/>
              <w:right w:val="nil"/>
            </w:tcBorders>
          </w:tcPr>
          <w:p w14:paraId="63944DC7" w14:textId="77777777" w:rsidR="00772E06" w:rsidRPr="00734AB6" w:rsidRDefault="00772E06" w:rsidP="0099584D">
            <w:pPr>
              <w:spacing w:before="120" w:after="120" w:line="360" w:lineRule="auto"/>
              <w:rPr>
                <w:rFonts w:asciiTheme="majorHAnsi" w:hAnsiTheme="majorHAnsi"/>
                <w:b/>
              </w:rPr>
            </w:pPr>
          </w:p>
        </w:tc>
      </w:tr>
      <w:tr w:rsidR="00772E06" w:rsidRPr="00734AB6" w14:paraId="48C84632" w14:textId="77777777" w:rsidTr="00772E06">
        <w:tc>
          <w:tcPr>
            <w:tcW w:w="1905" w:type="dxa"/>
            <w:tcBorders>
              <w:top w:val="nil"/>
              <w:left w:val="nil"/>
              <w:bottom w:val="nil"/>
              <w:right w:val="nil"/>
            </w:tcBorders>
          </w:tcPr>
          <w:p w14:paraId="72DEC76B"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Group</w:t>
            </w:r>
          </w:p>
        </w:tc>
        <w:tc>
          <w:tcPr>
            <w:tcW w:w="1843" w:type="dxa"/>
            <w:tcBorders>
              <w:left w:val="nil"/>
              <w:bottom w:val="single" w:sz="4" w:space="0" w:color="auto"/>
              <w:right w:val="nil"/>
            </w:tcBorders>
          </w:tcPr>
          <w:p w14:paraId="679558F1" w14:textId="77777777" w:rsidR="00772E06" w:rsidRPr="00734AB6" w:rsidRDefault="00772E06" w:rsidP="0099584D">
            <w:pPr>
              <w:spacing w:before="120" w:after="120" w:line="360" w:lineRule="auto"/>
              <w:rPr>
                <w:rFonts w:asciiTheme="majorHAnsi" w:hAnsiTheme="majorHAnsi"/>
                <w:b/>
              </w:rPr>
            </w:pPr>
          </w:p>
        </w:tc>
        <w:tc>
          <w:tcPr>
            <w:tcW w:w="1843" w:type="dxa"/>
            <w:tcBorders>
              <w:left w:val="nil"/>
              <w:bottom w:val="single" w:sz="4" w:space="0" w:color="auto"/>
              <w:right w:val="nil"/>
            </w:tcBorders>
          </w:tcPr>
          <w:p w14:paraId="6782062A"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left w:val="nil"/>
              <w:bottom w:val="single" w:sz="4" w:space="0" w:color="auto"/>
              <w:right w:val="nil"/>
            </w:tcBorders>
          </w:tcPr>
          <w:p w14:paraId="023379B0"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34" w:type="dxa"/>
            <w:tcBorders>
              <w:left w:val="nil"/>
              <w:bottom w:val="single" w:sz="4" w:space="0" w:color="auto"/>
              <w:right w:val="nil"/>
            </w:tcBorders>
          </w:tcPr>
          <w:p w14:paraId="0BD01528"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131B8C2F" w14:textId="77777777" w:rsidTr="00772E06">
        <w:tc>
          <w:tcPr>
            <w:tcW w:w="1905" w:type="dxa"/>
            <w:tcBorders>
              <w:top w:val="nil"/>
              <w:left w:val="nil"/>
              <w:bottom w:val="nil"/>
              <w:right w:val="nil"/>
            </w:tcBorders>
          </w:tcPr>
          <w:p w14:paraId="4639D282"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Methylphenidate</w:t>
            </w:r>
          </w:p>
        </w:tc>
        <w:tc>
          <w:tcPr>
            <w:tcW w:w="1843" w:type="dxa"/>
            <w:tcBorders>
              <w:left w:val="nil"/>
              <w:bottom w:val="nil"/>
              <w:right w:val="nil"/>
            </w:tcBorders>
          </w:tcPr>
          <w:p w14:paraId="334D946D"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57</w:t>
            </w:r>
          </w:p>
        </w:tc>
        <w:tc>
          <w:tcPr>
            <w:tcW w:w="1843" w:type="dxa"/>
            <w:tcBorders>
              <w:left w:val="nil"/>
              <w:bottom w:val="nil"/>
              <w:right w:val="nil"/>
            </w:tcBorders>
          </w:tcPr>
          <w:p w14:paraId="4243F336"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4.53 (2.39)</w:t>
            </w:r>
          </w:p>
        </w:tc>
        <w:tc>
          <w:tcPr>
            <w:tcW w:w="1134" w:type="dxa"/>
            <w:tcBorders>
              <w:left w:val="nil"/>
              <w:bottom w:val="nil"/>
              <w:right w:val="nil"/>
            </w:tcBorders>
          </w:tcPr>
          <w:p w14:paraId="43D641BF"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0DA52225" w14:textId="77777777" w:rsidR="00772E06" w:rsidRPr="00734AB6" w:rsidRDefault="00772E06" w:rsidP="0099584D">
            <w:pPr>
              <w:spacing w:before="120" w:after="120" w:line="360" w:lineRule="auto"/>
              <w:rPr>
                <w:rFonts w:asciiTheme="majorHAnsi" w:hAnsiTheme="majorHAnsi"/>
              </w:rPr>
            </w:pPr>
          </w:p>
        </w:tc>
      </w:tr>
      <w:tr w:rsidR="00772E06" w:rsidRPr="00734AB6" w14:paraId="70134CEF" w14:textId="77777777" w:rsidTr="00772E06">
        <w:tc>
          <w:tcPr>
            <w:tcW w:w="1905" w:type="dxa"/>
            <w:tcBorders>
              <w:top w:val="nil"/>
              <w:left w:val="nil"/>
              <w:bottom w:val="nil"/>
              <w:right w:val="nil"/>
            </w:tcBorders>
          </w:tcPr>
          <w:p w14:paraId="22DD9708" w14:textId="77777777" w:rsidR="00772E06" w:rsidRPr="00734AB6" w:rsidRDefault="00772E06" w:rsidP="0099584D">
            <w:pPr>
              <w:spacing w:before="120" w:after="120" w:line="360" w:lineRule="auto"/>
              <w:rPr>
                <w:rFonts w:asciiTheme="majorHAnsi" w:hAnsiTheme="majorHAnsi"/>
                <w:b/>
              </w:rPr>
            </w:pPr>
          </w:p>
        </w:tc>
        <w:tc>
          <w:tcPr>
            <w:tcW w:w="1843" w:type="dxa"/>
            <w:tcBorders>
              <w:top w:val="nil"/>
              <w:left w:val="nil"/>
              <w:bottom w:val="nil"/>
              <w:right w:val="nil"/>
            </w:tcBorders>
          </w:tcPr>
          <w:p w14:paraId="29F7CAF9" w14:textId="77777777" w:rsidR="00772E06" w:rsidRPr="00734AB6" w:rsidRDefault="00772E06" w:rsidP="0099584D">
            <w:pPr>
              <w:spacing w:before="120" w:after="120" w:line="360" w:lineRule="auto"/>
              <w:rPr>
                <w:rFonts w:asciiTheme="majorHAnsi" w:hAnsiTheme="majorHAnsi"/>
              </w:rPr>
            </w:pPr>
          </w:p>
        </w:tc>
        <w:tc>
          <w:tcPr>
            <w:tcW w:w="1843" w:type="dxa"/>
            <w:tcBorders>
              <w:top w:val="nil"/>
              <w:left w:val="nil"/>
              <w:bottom w:val="nil"/>
              <w:right w:val="nil"/>
            </w:tcBorders>
          </w:tcPr>
          <w:p w14:paraId="22328DB9"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0873AED4"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1472.0</w:t>
            </w:r>
          </w:p>
        </w:tc>
        <w:tc>
          <w:tcPr>
            <w:tcW w:w="1134" w:type="dxa"/>
            <w:tcBorders>
              <w:top w:val="nil"/>
              <w:left w:val="nil"/>
              <w:bottom w:val="nil"/>
              <w:right w:val="nil"/>
            </w:tcBorders>
          </w:tcPr>
          <w:p w14:paraId="5906AC78"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&lt;.001</w:t>
            </w:r>
          </w:p>
        </w:tc>
      </w:tr>
      <w:tr w:rsidR="00772E06" w:rsidRPr="00734AB6" w14:paraId="46EFD18F" w14:textId="77777777" w:rsidTr="00772E06">
        <w:tc>
          <w:tcPr>
            <w:tcW w:w="1905" w:type="dxa"/>
            <w:tcBorders>
              <w:top w:val="nil"/>
              <w:left w:val="nil"/>
              <w:bottom w:val="single" w:sz="4" w:space="0" w:color="auto"/>
              <w:right w:val="nil"/>
            </w:tcBorders>
          </w:tcPr>
          <w:p w14:paraId="2F7B68C2"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Controls</w:t>
            </w:r>
          </w:p>
        </w:tc>
        <w:tc>
          <w:tcPr>
            <w:tcW w:w="1843" w:type="dxa"/>
            <w:tcBorders>
              <w:top w:val="nil"/>
              <w:left w:val="nil"/>
              <w:bottom w:val="single" w:sz="4" w:space="0" w:color="auto"/>
              <w:right w:val="nil"/>
            </w:tcBorders>
          </w:tcPr>
          <w:p w14:paraId="2C6E9EBD"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83</w:t>
            </w:r>
          </w:p>
        </w:tc>
        <w:tc>
          <w:tcPr>
            <w:tcW w:w="1843" w:type="dxa"/>
            <w:tcBorders>
              <w:top w:val="nil"/>
              <w:left w:val="nil"/>
              <w:bottom w:val="single" w:sz="4" w:space="0" w:color="auto"/>
              <w:right w:val="nil"/>
            </w:tcBorders>
          </w:tcPr>
          <w:p w14:paraId="2ACC7E58"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2.99 (1.55)</w:t>
            </w:r>
          </w:p>
        </w:tc>
        <w:tc>
          <w:tcPr>
            <w:tcW w:w="1134" w:type="dxa"/>
            <w:tcBorders>
              <w:top w:val="nil"/>
              <w:left w:val="nil"/>
              <w:bottom w:val="single" w:sz="4" w:space="0" w:color="auto"/>
              <w:right w:val="nil"/>
            </w:tcBorders>
          </w:tcPr>
          <w:p w14:paraId="0217CCF7"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single" w:sz="4" w:space="0" w:color="auto"/>
              <w:right w:val="nil"/>
            </w:tcBorders>
          </w:tcPr>
          <w:p w14:paraId="661ECEC9" w14:textId="77777777" w:rsidR="00772E06" w:rsidRPr="00734AB6" w:rsidRDefault="00772E06" w:rsidP="0099584D">
            <w:pPr>
              <w:spacing w:before="120" w:after="120" w:line="360" w:lineRule="auto"/>
              <w:rPr>
                <w:rFonts w:asciiTheme="majorHAnsi" w:hAnsiTheme="majorHAnsi"/>
              </w:rPr>
            </w:pPr>
          </w:p>
        </w:tc>
      </w:tr>
    </w:tbl>
    <w:p w14:paraId="794731F0" w14:textId="77777777" w:rsidR="00772E06" w:rsidRPr="00734AB6" w:rsidRDefault="00772E06" w:rsidP="0099584D">
      <w:pPr>
        <w:spacing w:line="360" w:lineRule="auto"/>
        <w:rPr>
          <w:rFonts w:asciiTheme="majorHAnsi" w:hAnsiTheme="majorHAnsi"/>
          <w:b/>
        </w:rPr>
      </w:pPr>
    </w:p>
    <w:p w14:paraId="3B53BFF8" w14:textId="77777777" w:rsidR="00772E06" w:rsidRPr="00734AB6" w:rsidRDefault="00772E06" w:rsidP="0099584D">
      <w:pPr>
        <w:spacing w:line="360" w:lineRule="auto"/>
        <w:rPr>
          <w:rFonts w:asciiTheme="majorHAnsi" w:hAnsiTheme="majorHAnsi"/>
          <w:b/>
        </w:rPr>
      </w:pPr>
    </w:p>
    <w:p w14:paraId="16F869A2" w14:textId="57D98A22"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Table </w:t>
      </w:r>
      <w:r w:rsidR="00C26A8A" w:rsidRPr="00734AB6">
        <w:rPr>
          <w:rFonts w:asciiTheme="majorHAnsi" w:hAnsiTheme="majorHAnsi"/>
          <w:b/>
        </w:rPr>
        <w:t>3.</w:t>
      </w:r>
      <w:r w:rsidRPr="00734AB6">
        <w:rPr>
          <w:rFonts w:asciiTheme="majorHAnsi" w:hAnsiTheme="majorHAnsi"/>
          <w:b/>
        </w:rPr>
        <w:t>1</w:t>
      </w:r>
      <w:r w:rsidR="00BE3132" w:rsidRPr="00734AB6">
        <w:rPr>
          <w:rFonts w:asciiTheme="majorHAnsi" w:hAnsiTheme="majorHAnsi"/>
          <w:b/>
        </w:rPr>
        <w:t>1</w:t>
      </w:r>
      <w:r w:rsidRPr="00734AB6">
        <w:rPr>
          <w:rFonts w:asciiTheme="majorHAnsi" w:hAnsiTheme="majorHAnsi"/>
          <w:b/>
        </w:rPr>
        <w:t xml:space="preserve">. Effects of the modafinil-only and control groups on ASRS inattentive scores </w:t>
      </w:r>
    </w:p>
    <w:tbl>
      <w:tblPr>
        <w:tblW w:w="0" w:type="auto"/>
        <w:tblLook w:val="04A0" w:firstRow="1" w:lastRow="0" w:firstColumn="1" w:lastColumn="0" w:noHBand="0" w:noVBand="1"/>
      </w:tblPr>
      <w:tblGrid>
        <w:gridCol w:w="1838"/>
        <w:gridCol w:w="1843"/>
        <w:gridCol w:w="1843"/>
        <w:gridCol w:w="1134"/>
        <w:gridCol w:w="1134"/>
      </w:tblGrid>
      <w:tr w:rsidR="00772E06" w:rsidRPr="00734AB6" w14:paraId="7ACD4B4B" w14:textId="77777777" w:rsidTr="00772E06">
        <w:tc>
          <w:tcPr>
            <w:tcW w:w="1838" w:type="dxa"/>
            <w:tcBorders>
              <w:left w:val="nil"/>
              <w:bottom w:val="nil"/>
              <w:right w:val="nil"/>
            </w:tcBorders>
          </w:tcPr>
          <w:p w14:paraId="52F92BD7" w14:textId="77777777" w:rsidR="00772E06" w:rsidRPr="00734AB6" w:rsidRDefault="00772E06" w:rsidP="0099584D">
            <w:pPr>
              <w:spacing w:before="120" w:after="120" w:line="360" w:lineRule="auto"/>
              <w:rPr>
                <w:rFonts w:asciiTheme="majorHAnsi" w:hAnsiTheme="majorHAnsi"/>
                <w:b/>
              </w:rPr>
            </w:pPr>
          </w:p>
        </w:tc>
        <w:tc>
          <w:tcPr>
            <w:tcW w:w="1843" w:type="dxa"/>
            <w:tcBorders>
              <w:left w:val="nil"/>
              <w:right w:val="nil"/>
            </w:tcBorders>
          </w:tcPr>
          <w:p w14:paraId="3C13B597"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843" w:type="dxa"/>
            <w:tcBorders>
              <w:left w:val="nil"/>
              <w:right w:val="nil"/>
            </w:tcBorders>
          </w:tcPr>
          <w:p w14:paraId="5B2A3D91"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ASRS</w:t>
            </w:r>
          </w:p>
        </w:tc>
        <w:tc>
          <w:tcPr>
            <w:tcW w:w="1134" w:type="dxa"/>
            <w:tcBorders>
              <w:left w:val="nil"/>
              <w:right w:val="nil"/>
            </w:tcBorders>
          </w:tcPr>
          <w:p w14:paraId="7E88CA19" w14:textId="77777777" w:rsidR="00772E06" w:rsidRPr="00734AB6" w:rsidRDefault="00772E06" w:rsidP="0099584D">
            <w:pPr>
              <w:spacing w:before="120" w:after="120" w:line="360" w:lineRule="auto"/>
              <w:rPr>
                <w:rFonts w:asciiTheme="majorHAnsi" w:hAnsiTheme="majorHAnsi"/>
                <w:b/>
              </w:rPr>
            </w:pPr>
          </w:p>
        </w:tc>
        <w:tc>
          <w:tcPr>
            <w:tcW w:w="1134" w:type="dxa"/>
            <w:tcBorders>
              <w:left w:val="nil"/>
              <w:right w:val="nil"/>
            </w:tcBorders>
          </w:tcPr>
          <w:p w14:paraId="60BE2CE6" w14:textId="77777777" w:rsidR="00772E06" w:rsidRPr="00734AB6" w:rsidRDefault="00772E06" w:rsidP="0099584D">
            <w:pPr>
              <w:spacing w:before="120" w:after="120" w:line="360" w:lineRule="auto"/>
              <w:rPr>
                <w:rFonts w:asciiTheme="majorHAnsi" w:hAnsiTheme="majorHAnsi"/>
                <w:b/>
              </w:rPr>
            </w:pPr>
          </w:p>
        </w:tc>
      </w:tr>
      <w:tr w:rsidR="00772E06" w:rsidRPr="00734AB6" w14:paraId="1DC42575" w14:textId="77777777" w:rsidTr="00772E06">
        <w:tc>
          <w:tcPr>
            <w:tcW w:w="1838" w:type="dxa"/>
            <w:tcBorders>
              <w:top w:val="nil"/>
              <w:left w:val="nil"/>
              <w:bottom w:val="nil"/>
              <w:right w:val="nil"/>
            </w:tcBorders>
          </w:tcPr>
          <w:p w14:paraId="30CE70FC"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Group</w:t>
            </w:r>
          </w:p>
        </w:tc>
        <w:tc>
          <w:tcPr>
            <w:tcW w:w="1843" w:type="dxa"/>
            <w:tcBorders>
              <w:left w:val="nil"/>
              <w:bottom w:val="single" w:sz="4" w:space="0" w:color="auto"/>
              <w:right w:val="nil"/>
            </w:tcBorders>
          </w:tcPr>
          <w:p w14:paraId="7AD14D62" w14:textId="77777777" w:rsidR="00772E06" w:rsidRPr="00734AB6" w:rsidRDefault="00772E06" w:rsidP="0099584D">
            <w:pPr>
              <w:spacing w:before="120" w:after="120" w:line="360" w:lineRule="auto"/>
              <w:rPr>
                <w:rFonts w:asciiTheme="majorHAnsi" w:hAnsiTheme="majorHAnsi"/>
                <w:b/>
              </w:rPr>
            </w:pPr>
          </w:p>
        </w:tc>
        <w:tc>
          <w:tcPr>
            <w:tcW w:w="1843" w:type="dxa"/>
            <w:tcBorders>
              <w:left w:val="nil"/>
              <w:bottom w:val="single" w:sz="4" w:space="0" w:color="auto"/>
              <w:right w:val="nil"/>
            </w:tcBorders>
          </w:tcPr>
          <w:p w14:paraId="4A92A0A3"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left w:val="nil"/>
              <w:bottom w:val="single" w:sz="4" w:space="0" w:color="auto"/>
              <w:right w:val="nil"/>
            </w:tcBorders>
          </w:tcPr>
          <w:p w14:paraId="762966C0"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34" w:type="dxa"/>
            <w:tcBorders>
              <w:left w:val="nil"/>
              <w:bottom w:val="single" w:sz="4" w:space="0" w:color="auto"/>
              <w:right w:val="nil"/>
            </w:tcBorders>
          </w:tcPr>
          <w:p w14:paraId="2D57D647"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479C4D59" w14:textId="77777777" w:rsidTr="00772E06">
        <w:tc>
          <w:tcPr>
            <w:tcW w:w="1838" w:type="dxa"/>
            <w:tcBorders>
              <w:top w:val="nil"/>
              <w:left w:val="nil"/>
              <w:bottom w:val="nil"/>
              <w:right w:val="nil"/>
            </w:tcBorders>
          </w:tcPr>
          <w:p w14:paraId="08DDADCF" w14:textId="77777777" w:rsidR="00772E06" w:rsidRPr="00734AB6" w:rsidRDefault="00772E06" w:rsidP="0099584D">
            <w:pPr>
              <w:spacing w:before="120" w:after="120" w:line="360" w:lineRule="auto"/>
              <w:rPr>
                <w:rFonts w:asciiTheme="majorHAnsi" w:hAnsiTheme="majorHAnsi"/>
                <w:b/>
              </w:rPr>
            </w:pPr>
          </w:p>
        </w:tc>
        <w:tc>
          <w:tcPr>
            <w:tcW w:w="1843" w:type="dxa"/>
            <w:tcBorders>
              <w:left w:val="nil"/>
              <w:bottom w:val="nil"/>
              <w:right w:val="nil"/>
            </w:tcBorders>
          </w:tcPr>
          <w:p w14:paraId="3B61896F" w14:textId="77777777" w:rsidR="00772E06" w:rsidRPr="00734AB6" w:rsidRDefault="00772E06" w:rsidP="0099584D">
            <w:pPr>
              <w:spacing w:before="120" w:after="120" w:line="360" w:lineRule="auto"/>
              <w:rPr>
                <w:rFonts w:asciiTheme="majorHAnsi" w:hAnsiTheme="majorHAnsi"/>
              </w:rPr>
            </w:pPr>
          </w:p>
        </w:tc>
        <w:tc>
          <w:tcPr>
            <w:tcW w:w="1843" w:type="dxa"/>
            <w:tcBorders>
              <w:left w:val="nil"/>
              <w:bottom w:val="nil"/>
              <w:right w:val="nil"/>
            </w:tcBorders>
          </w:tcPr>
          <w:p w14:paraId="27E239BF"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2CCE26BC" w14:textId="77777777" w:rsidR="00772E06" w:rsidRPr="00734AB6" w:rsidRDefault="00772E06" w:rsidP="0099584D">
            <w:pPr>
              <w:spacing w:before="120" w:after="120" w:line="360" w:lineRule="auto"/>
              <w:rPr>
                <w:rFonts w:asciiTheme="majorHAnsi" w:hAnsiTheme="majorHAnsi"/>
              </w:rPr>
            </w:pPr>
          </w:p>
        </w:tc>
        <w:tc>
          <w:tcPr>
            <w:tcW w:w="1134" w:type="dxa"/>
            <w:tcBorders>
              <w:left w:val="nil"/>
              <w:bottom w:val="nil"/>
              <w:right w:val="nil"/>
            </w:tcBorders>
          </w:tcPr>
          <w:p w14:paraId="7BB0C5AC" w14:textId="77777777" w:rsidR="00772E06" w:rsidRPr="00734AB6" w:rsidRDefault="00772E06" w:rsidP="0099584D">
            <w:pPr>
              <w:spacing w:before="120" w:after="120" w:line="360" w:lineRule="auto"/>
              <w:rPr>
                <w:rFonts w:asciiTheme="majorHAnsi" w:hAnsiTheme="majorHAnsi"/>
              </w:rPr>
            </w:pPr>
          </w:p>
        </w:tc>
      </w:tr>
      <w:tr w:rsidR="00772E06" w:rsidRPr="00734AB6" w14:paraId="6EFD4606" w14:textId="77777777" w:rsidTr="00772E06">
        <w:tc>
          <w:tcPr>
            <w:tcW w:w="1838" w:type="dxa"/>
            <w:tcBorders>
              <w:top w:val="nil"/>
              <w:left w:val="nil"/>
              <w:bottom w:val="nil"/>
              <w:right w:val="nil"/>
            </w:tcBorders>
          </w:tcPr>
          <w:p w14:paraId="52501E88"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Modafinil-only</w:t>
            </w:r>
          </w:p>
        </w:tc>
        <w:tc>
          <w:tcPr>
            <w:tcW w:w="1843" w:type="dxa"/>
            <w:tcBorders>
              <w:top w:val="nil"/>
              <w:left w:val="nil"/>
              <w:bottom w:val="nil"/>
              <w:right w:val="nil"/>
            </w:tcBorders>
          </w:tcPr>
          <w:p w14:paraId="66B02105"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85</w:t>
            </w:r>
          </w:p>
        </w:tc>
        <w:tc>
          <w:tcPr>
            <w:tcW w:w="1843" w:type="dxa"/>
            <w:tcBorders>
              <w:top w:val="nil"/>
              <w:left w:val="nil"/>
              <w:bottom w:val="nil"/>
              <w:right w:val="nil"/>
            </w:tcBorders>
          </w:tcPr>
          <w:p w14:paraId="0DEF9FF3"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4.31 (2.19)</w:t>
            </w:r>
          </w:p>
        </w:tc>
        <w:tc>
          <w:tcPr>
            <w:tcW w:w="1134" w:type="dxa"/>
            <w:tcBorders>
              <w:top w:val="nil"/>
              <w:left w:val="nil"/>
              <w:bottom w:val="nil"/>
              <w:right w:val="nil"/>
            </w:tcBorders>
          </w:tcPr>
          <w:p w14:paraId="3CD7ECAB"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429F2939" w14:textId="77777777" w:rsidR="00772E06" w:rsidRPr="00734AB6" w:rsidRDefault="00772E06" w:rsidP="0099584D">
            <w:pPr>
              <w:spacing w:before="120" w:after="120" w:line="360" w:lineRule="auto"/>
              <w:rPr>
                <w:rFonts w:asciiTheme="majorHAnsi" w:hAnsiTheme="majorHAnsi"/>
              </w:rPr>
            </w:pPr>
          </w:p>
        </w:tc>
      </w:tr>
      <w:tr w:rsidR="00772E06" w:rsidRPr="00734AB6" w14:paraId="01E166FA" w14:textId="77777777" w:rsidTr="00772E06">
        <w:tc>
          <w:tcPr>
            <w:tcW w:w="1838" w:type="dxa"/>
            <w:tcBorders>
              <w:top w:val="nil"/>
              <w:left w:val="nil"/>
              <w:bottom w:val="nil"/>
              <w:right w:val="nil"/>
            </w:tcBorders>
          </w:tcPr>
          <w:p w14:paraId="0574379D" w14:textId="77777777" w:rsidR="00772E06" w:rsidRPr="00734AB6" w:rsidRDefault="00772E06" w:rsidP="0099584D">
            <w:pPr>
              <w:spacing w:before="120" w:after="120" w:line="360" w:lineRule="auto"/>
              <w:rPr>
                <w:rFonts w:asciiTheme="majorHAnsi" w:hAnsiTheme="majorHAnsi"/>
                <w:b/>
              </w:rPr>
            </w:pPr>
          </w:p>
        </w:tc>
        <w:tc>
          <w:tcPr>
            <w:tcW w:w="1843" w:type="dxa"/>
            <w:tcBorders>
              <w:top w:val="nil"/>
              <w:left w:val="nil"/>
              <w:bottom w:val="nil"/>
              <w:right w:val="nil"/>
            </w:tcBorders>
          </w:tcPr>
          <w:p w14:paraId="56863702" w14:textId="77777777" w:rsidR="00772E06" w:rsidRPr="00734AB6" w:rsidRDefault="00772E06" w:rsidP="0099584D">
            <w:pPr>
              <w:spacing w:before="120" w:after="120" w:line="360" w:lineRule="auto"/>
              <w:rPr>
                <w:rFonts w:asciiTheme="majorHAnsi" w:hAnsiTheme="majorHAnsi"/>
              </w:rPr>
            </w:pPr>
          </w:p>
        </w:tc>
        <w:tc>
          <w:tcPr>
            <w:tcW w:w="1843" w:type="dxa"/>
            <w:tcBorders>
              <w:top w:val="nil"/>
              <w:left w:val="nil"/>
              <w:bottom w:val="nil"/>
              <w:right w:val="nil"/>
            </w:tcBorders>
          </w:tcPr>
          <w:p w14:paraId="75F931AC"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nil"/>
              <w:right w:val="nil"/>
            </w:tcBorders>
          </w:tcPr>
          <w:p w14:paraId="73F38D8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2211.0</w:t>
            </w:r>
          </w:p>
        </w:tc>
        <w:tc>
          <w:tcPr>
            <w:tcW w:w="1134" w:type="dxa"/>
            <w:tcBorders>
              <w:top w:val="nil"/>
              <w:left w:val="nil"/>
              <w:bottom w:val="nil"/>
              <w:right w:val="nil"/>
            </w:tcBorders>
          </w:tcPr>
          <w:p w14:paraId="6189E34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&lt; .001</w:t>
            </w:r>
          </w:p>
        </w:tc>
      </w:tr>
      <w:tr w:rsidR="00772E06" w:rsidRPr="00734AB6" w14:paraId="73EE317A" w14:textId="77777777" w:rsidTr="00772E06">
        <w:tc>
          <w:tcPr>
            <w:tcW w:w="1838" w:type="dxa"/>
            <w:tcBorders>
              <w:top w:val="nil"/>
              <w:left w:val="nil"/>
              <w:bottom w:val="single" w:sz="4" w:space="0" w:color="auto"/>
              <w:right w:val="nil"/>
            </w:tcBorders>
          </w:tcPr>
          <w:p w14:paraId="3F38372C"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Controls</w:t>
            </w:r>
          </w:p>
        </w:tc>
        <w:tc>
          <w:tcPr>
            <w:tcW w:w="1843" w:type="dxa"/>
            <w:tcBorders>
              <w:top w:val="nil"/>
              <w:left w:val="nil"/>
              <w:bottom w:val="single" w:sz="4" w:space="0" w:color="auto"/>
              <w:right w:val="nil"/>
            </w:tcBorders>
          </w:tcPr>
          <w:p w14:paraId="6AA96F39"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83</w:t>
            </w:r>
          </w:p>
        </w:tc>
        <w:tc>
          <w:tcPr>
            <w:tcW w:w="1843" w:type="dxa"/>
            <w:tcBorders>
              <w:top w:val="nil"/>
              <w:left w:val="nil"/>
              <w:bottom w:val="single" w:sz="4" w:space="0" w:color="auto"/>
              <w:right w:val="nil"/>
            </w:tcBorders>
          </w:tcPr>
          <w:p w14:paraId="011CBF31"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2.99 (1.55)</w:t>
            </w:r>
          </w:p>
        </w:tc>
        <w:tc>
          <w:tcPr>
            <w:tcW w:w="1134" w:type="dxa"/>
            <w:tcBorders>
              <w:top w:val="nil"/>
              <w:left w:val="nil"/>
              <w:bottom w:val="single" w:sz="4" w:space="0" w:color="auto"/>
              <w:right w:val="nil"/>
            </w:tcBorders>
          </w:tcPr>
          <w:p w14:paraId="46DF7A57" w14:textId="77777777" w:rsidR="00772E06" w:rsidRPr="00734AB6" w:rsidRDefault="00772E06" w:rsidP="0099584D">
            <w:pPr>
              <w:spacing w:before="120" w:after="120" w:line="360" w:lineRule="auto"/>
              <w:rPr>
                <w:rFonts w:asciiTheme="majorHAnsi" w:hAnsiTheme="majorHAnsi"/>
              </w:rPr>
            </w:pPr>
          </w:p>
        </w:tc>
        <w:tc>
          <w:tcPr>
            <w:tcW w:w="1134" w:type="dxa"/>
            <w:tcBorders>
              <w:top w:val="nil"/>
              <w:left w:val="nil"/>
              <w:bottom w:val="single" w:sz="4" w:space="0" w:color="auto"/>
              <w:right w:val="nil"/>
            </w:tcBorders>
          </w:tcPr>
          <w:p w14:paraId="066536A6" w14:textId="77777777" w:rsidR="00772E06" w:rsidRPr="00734AB6" w:rsidRDefault="00772E06" w:rsidP="0099584D">
            <w:pPr>
              <w:spacing w:before="120" w:after="120" w:line="360" w:lineRule="auto"/>
              <w:rPr>
                <w:rFonts w:asciiTheme="majorHAnsi" w:hAnsiTheme="majorHAnsi"/>
              </w:rPr>
            </w:pPr>
          </w:p>
        </w:tc>
      </w:tr>
    </w:tbl>
    <w:p w14:paraId="13ED17D9" w14:textId="77777777" w:rsidR="00772E06" w:rsidRPr="00734AB6" w:rsidRDefault="00772E06" w:rsidP="0099584D">
      <w:pPr>
        <w:spacing w:line="360" w:lineRule="auto"/>
        <w:ind w:firstLine="709"/>
        <w:rPr>
          <w:rFonts w:asciiTheme="majorHAnsi" w:hAnsiTheme="majorHAnsi"/>
        </w:rPr>
      </w:pPr>
    </w:p>
    <w:p w14:paraId="09B8A37F" w14:textId="30B5DE1C"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 Kruskal-Wallis test was performed on the ASRS hyperactive/impulsive scores under three conditions of group type. The differences between the mean ranks of 116.82 (methylphenidate), 107.05 (modafinil-only) and 117.90 (control) were not significant, with </w:t>
      </w:r>
      <w:r w:rsidRPr="00734AB6">
        <w:rPr>
          <w:rFonts w:asciiTheme="majorHAnsi" w:hAnsiTheme="majorHAnsi"/>
          <w:i/>
        </w:rPr>
        <w:t>H(</w:t>
      </w:r>
      <w:r w:rsidRPr="00734AB6">
        <w:rPr>
          <w:rFonts w:asciiTheme="majorHAnsi" w:hAnsiTheme="majorHAnsi"/>
          <w:i/>
          <w:vertAlign w:val="subscript"/>
        </w:rPr>
        <w:t>2</w:t>
      </w:r>
      <w:r w:rsidRPr="00734AB6">
        <w:rPr>
          <w:rFonts w:asciiTheme="majorHAnsi" w:hAnsiTheme="majorHAnsi"/>
          <w:i/>
        </w:rPr>
        <w:t>)</w:t>
      </w:r>
      <w:r w:rsidR="00B51FD0" w:rsidRPr="00734AB6">
        <w:rPr>
          <w:rFonts w:asciiTheme="majorHAnsi" w:hAnsiTheme="majorHAnsi"/>
        </w:rPr>
        <w:t xml:space="preserve"> = 1.41</w:t>
      </w:r>
      <w:r w:rsidRPr="00734AB6">
        <w:rPr>
          <w:rFonts w:asciiTheme="majorHAnsi" w:hAnsiTheme="majorHAnsi"/>
        </w:rPr>
        <w:t xml:space="preserve">, </w:t>
      </w:r>
      <w:r w:rsidRPr="00734AB6">
        <w:rPr>
          <w:rFonts w:asciiTheme="majorHAnsi" w:hAnsiTheme="majorHAnsi"/>
          <w:i/>
        </w:rPr>
        <w:t>p</w:t>
      </w:r>
      <w:r w:rsidRPr="00734AB6">
        <w:rPr>
          <w:rFonts w:asciiTheme="majorHAnsi" w:hAnsiTheme="majorHAnsi"/>
        </w:rPr>
        <w:t xml:space="preserve">  = .494.</w:t>
      </w:r>
    </w:p>
    <w:p w14:paraId="0B64F371" w14:textId="77777777" w:rsidR="00772E06" w:rsidRPr="00734AB6" w:rsidRDefault="00772E06" w:rsidP="0099584D">
      <w:pPr>
        <w:spacing w:line="360" w:lineRule="auto"/>
        <w:ind w:firstLine="709"/>
        <w:rPr>
          <w:rFonts w:asciiTheme="majorHAnsi" w:hAnsiTheme="majorHAnsi"/>
        </w:rPr>
      </w:pPr>
    </w:p>
    <w:p w14:paraId="3ADBE149" w14:textId="77777777" w:rsidR="00772E06" w:rsidRPr="00734AB6" w:rsidRDefault="00772E06" w:rsidP="00594D41">
      <w:pPr>
        <w:pStyle w:val="Heading4"/>
        <w:spacing w:after="240" w:line="360" w:lineRule="auto"/>
        <w:rPr>
          <w:b/>
          <w:i w:val="0"/>
          <w:color w:val="auto"/>
        </w:rPr>
      </w:pPr>
      <w:r w:rsidRPr="00734AB6">
        <w:rPr>
          <w:b/>
          <w:i w:val="0"/>
          <w:color w:val="auto"/>
        </w:rPr>
        <w:t>3.3.2.2</w:t>
      </w:r>
      <w:r w:rsidRPr="00734AB6">
        <w:rPr>
          <w:b/>
          <w:i w:val="0"/>
          <w:color w:val="auto"/>
        </w:rPr>
        <w:tab/>
        <w:t>Cognitive Failures Questionnaire</w:t>
      </w:r>
    </w:p>
    <w:p w14:paraId="205E7FF1" w14:textId="545DCD97" w:rsidR="00772E06" w:rsidRPr="00734AB6" w:rsidRDefault="00776C43" w:rsidP="0099584D">
      <w:pPr>
        <w:spacing w:line="360" w:lineRule="auto"/>
        <w:ind w:firstLine="709"/>
        <w:rPr>
          <w:rFonts w:asciiTheme="majorHAnsi" w:hAnsiTheme="majorHAnsi"/>
        </w:rPr>
      </w:pPr>
      <w:r w:rsidRPr="00734AB6">
        <w:rPr>
          <w:rFonts w:asciiTheme="majorHAnsi" w:hAnsiTheme="majorHAnsi"/>
        </w:rPr>
        <w:t>Due to a Qualtrics error, n</w:t>
      </w:r>
      <w:r w:rsidR="00772E06" w:rsidRPr="00734AB6">
        <w:rPr>
          <w:rFonts w:asciiTheme="majorHAnsi" w:hAnsiTheme="majorHAnsi"/>
        </w:rPr>
        <w:t xml:space="preserve">o control participants answered the first question. To resolve this issue, the four-factor model proposed by Wallace et al. (2002) was used and the mean score for all other items of the Distractibility factor was used to replace the missing score. A factor analysis was then performed to assess the robustness of this approach. The principal component </w:t>
      </w:r>
      <w:r w:rsidR="00772E06" w:rsidRPr="00734AB6">
        <w:rPr>
          <w:rFonts w:asciiTheme="majorHAnsi" w:hAnsiTheme="majorHAnsi"/>
        </w:rPr>
        <w:lastRenderedPageBreak/>
        <w:t xml:space="preserve">analysis using a varimax rotation revealed six factors with all items loading on a factor and only two items loading two factors. </w:t>
      </w:r>
      <w:r w:rsidR="00DA7027" w:rsidRPr="00734AB6">
        <w:rPr>
          <w:rFonts w:asciiTheme="majorHAnsi" w:hAnsiTheme="majorHAnsi"/>
        </w:rPr>
        <w:t>Additionally, Wallace et al.’s</w:t>
      </w:r>
      <w:r w:rsidR="00446874" w:rsidRPr="00734AB6">
        <w:rPr>
          <w:rFonts w:asciiTheme="majorHAnsi" w:hAnsiTheme="majorHAnsi"/>
        </w:rPr>
        <w:t xml:space="preserve"> (2002)</w:t>
      </w:r>
      <w:r w:rsidR="00772E06" w:rsidRPr="00734AB6">
        <w:rPr>
          <w:rFonts w:asciiTheme="majorHAnsi" w:hAnsiTheme="majorHAnsi"/>
        </w:rPr>
        <w:t xml:space="preserve"> Distractibility factor consisted of nine items and the current factor analysis identified one factor comprising of seven of the same items, including item one, the unanswered question. As this factor consists of most of the same items, it would seem likely that the mean score for all other items would provide an accurate estimate of the missing response. The factor analysis and scree</w:t>
      </w:r>
      <w:r w:rsidR="00D51381" w:rsidRPr="00734AB6">
        <w:rPr>
          <w:rFonts w:asciiTheme="majorHAnsi" w:hAnsiTheme="majorHAnsi"/>
        </w:rPr>
        <w:t xml:space="preserve"> plot can be found in Appendix </w:t>
      </w:r>
      <w:r w:rsidR="006B4173" w:rsidRPr="00734AB6">
        <w:rPr>
          <w:rFonts w:asciiTheme="majorHAnsi" w:hAnsiTheme="majorHAnsi"/>
        </w:rPr>
        <w:t>B(xv)</w:t>
      </w:r>
      <w:r w:rsidR="00772E06" w:rsidRPr="00734AB6">
        <w:rPr>
          <w:rFonts w:asciiTheme="majorHAnsi" w:hAnsiTheme="majorHAnsi"/>
        </w:rPr>
        <w:t>.</w:t>
      </w:r>
    </w:p>
    <w:p w14:paraId="645F12E5" w14:textId="64540C4D"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 Kruskal-Wallis test was performed on the CFQ scores under three conditions of group type. </w:t>
      </w:r>
      <w:r w:rsidR="00776C43" w:rsidRPr="00734AB6">
        <w:rPr>
          <w:rFonts w:asciiTheme="majorHAnsi" w:hAnsiTheme="majorHAnsi"/>
        </w:rPr>
        <w:t>To avoid Type 1 errors the Bonferroni correction was used, resulting in a critical value of .025.</w:t>
      </w:r>
      <w:r w:rsidR="00F43E18" w:rsidRPr="00734AB6">
        <w:rPr>
          <w:rFonts w:asciiTheme="majorHAnsi" w:hAnsiTheme="majorHAnsi"/>
        </w:rPr>
        <w:t xml:space="preserve"> </w:t>
      </w:r>
      <w:r w:rsidRPr="00734AB6">
        <w:rPr>
          <w:rFonts w:asciiTheme="majorHAnsi" w:hAnsiTheme="majorHAnsi"/>
        </w:rPr>
        <w:t xml:space="preserve">The differences between the mean ranks of 72.41 (methylphenidate), 82.76 (modafinil-only) and 187.55 (control) were significant, with </w:t>
      </w:r>
      <w:r w:rsidRPr="00734AB6">
        <w:rPr>
          <w:rFonts w:asciiTheme="majorHAnsi" w:hAnsiTheme="majorHAnsi"/>
          <w:i/>
        </w:rPr>
        <w:t>H(</w:t>
      </w:r>
      <w:r w:rsidRPr="00734AB6">
        <w:rPr>
          <w:rFonts w:asciiTheme="majorHAnsi" w:hAnsiTheme="majorHAnsi"/>
          <w:i/>
          <w:vertAlign w:val="subscript"/>
        </w:rPr>
        <w:t>2</w:t>
      </w:r>
      <w:r w:rsidRPr="00734AB6">
        <w:rPr>
          <w:rFonts w:asciiTheme="majorHAnsi" w:hAnsiTheme="majorHAnsi"/>
          <w:i/>
        </w:rPr>
        <w:t>)</w:t>
      </w:r>
      <w:r w:rsidRPr="00734AB6">
        <w:rPr>
          <w:rFonts w:asciiTheme="majorHAnsi" w:hAnsiTheme="majorHAnsi"/>
        </w:rPr>
        <w:t xml:space="preserve"> = 139.95, </w:t>
      </w:r>
      <w:r w:rsidRPr="00734AB6">
        <w:rPr>
          <w:rFonts w:asciiTheme="majorHAnsi" w:hAnsiTheme="majorHAnsi"/>
          <w:i/>
        </w:rPr>
        <w:t>p</w:t>
      </w:r>
      <w:r w:rsidRPr="00734AB6">
        <w:rPr>
          <w:rFonts w:asciiTheme="majorHAnsi" w:hAnsiTheme="majorHAnsi"/>
        </w:rPr>
        <w:t xml:space="preserve"> &lt; .001.</w:t>
      </w:r>
    </w:p>
    <w:p w14:paraId="2E64CCEF" w14:textId="731A3907" w:rsidR="00772E06" w:rsidRPr="00734AB6" w:rsidRDefault="00772E06" w:rsidP="0099584D">
      <w:pPr>
        <w:spacing w:line="360" w:lineRule="auto"/>
        <w:ind w:firstLine="709"/>
        <w:rPr>
          <w:rFonts w:asciiTheme="majorHAnsi" w:hAnsiTheme="majorHAnsi"/>
        </w:rPr>
      </w:pPr>
      <w:r w:rsidRPr="00734AB6">
        <w:rPr>
          <w:rFonts w:asciiTheme="majorHAnsi" w:hAnsiTheme="majorHAnsi"/>
          <w:i/>
        </w:rPr>
        <w:t>Post hoc</w:t>
      </w:r>
      <w:r w:rsidRPr="00734AB6">
        <w:rPr>
          <w:rFonts w:asciiTheme="majorHAnsi" w:hAnsiTheme="majorHAnsi"/>
        </w:rPr>
        <w:t xml:space="preserve"> Mann-Whitney U tests revealed that both the modafinil-only scores and the methylphenidate scores were significantly lower compared with the control group scores (see Tables </w:t>
      </w:r>
      <w:r w:rsidR="00CD417E" w:rsidRPr="00734AB6">
        <w:rPr>
          <w:rFonts w:asciiTheme="majorHAnsi" w:hAnsiTheme="majorHAnsi"/>
        </w:rPr>
        <w:t>3.</w:t>
      </w:r>
      <w:r w:rsidR="008E56D3" w:rsidRPr="00734AB6">
        <w:rPr>
          <w:rFonts w:asciiTheme="majorHAnsi" w:hAnsiTheme="majorHAnsi"/>
        </w:rPr>
        <w:t>12</w:t>
      </w:r>
      <w:r w:rsidRPr="00734AB6">
        <w:rPr>
          <w:rFonts w:asciiTheme="majorHAnsi" w:hAnsiTheme="majorHAnsi"/>
        </w:rPr>
        <w:t xml:space="preserve"> and </w:t>
      </w:r>
      <w:r w:rsidR="00CD417E" w:rsidRPr="00734AB6">
        <w:rPr>
          <w:rFonts w:asciiTheme="majorHAnsi" w:hAnsiTheme="majorHAnsi"/>
        </w:rPr>
        <w:t>3.</w:t>
      </w:r>
      <w:r w:rsidR="008E56D3" w:rsidRPr="00734AB6">
        <w:rPr>
          <w:rFonts w:asciiTheme="majorHAnsi" w:hAnsiTheme="majorHAnsi"/>
        </w:rPr>
        <w:t>13</w:t>
      </w:r>
      <w:r w:rsidRPr="00734AB6">
        <w:rPr>
          <w:rFonts w:asciiTheme="majorHAnsi" w:hAnsiTheme="majorHAnsi"/>
        </w:rPr>
        <w:t xml:space="preserve"> for full details). </w:t>
      </w:r>
    </w:p>
    <w:p w14:paraId="6C16BC52" w14:textId="77777777" w:rsidR="00772E06" w:rsidRPr="00734AB6" w:rsidRDefault="00772E06" w:rsidP="0099584D">
      <w:pPr>
        <w:spacing w:line="360" w:lineRule="auto"/>
        <w:ind w:firstLine="709"/>
        <w:rPr>
          <w:rFonts w:asciiTheme="majorHAnsi" w:hAnsiTheme="majorHAnsi"/>
        </w:rPr>
      </w:pPr>
    </w:p>
    <w:p w14:paraId="3F438B47" w14:textId="76A94102" w:rsidR="00772E06" w:rsidRPr="00734AB6" w:rsidRDefault="00772E06" w:rsidP="0099584D">
      <w:pPr>
        <w:spacing w:before="120" w:line="360" w:lineRule="auto"/>
        <w:rPr>
          <w:rFonts w:asciiTheme="majorHAnsi" w:hAnsiTheme="majorHAnsi"/>
        </w:rPr>
      </w:pPr>
      <w:r w:rsidRPr="00734AB6">
        <w:rPr>
          <w:rFonts w:asciiTheme="majorHAnsi" w:hAnsiTheme="majorHAnsi"/>
          <w:b/>
        </w:rPr>
        <w:t xml:space="preserve">Table </w:t>
      </w:r>
      <w:r w:rsidR="00CD417E" w:rsidRPr="00734AB6">
        <w:rPr>
          <w:rFonts w:asciiTheme="majorHAnsi" w:hAnsiTheme="majorHAnsi"/>
          <w:b/>
        </w:rPr>
        <w:t>3.</w:t>
      </w:r>
      <w:r w:rsidR="008E56D3" w:rsidRPr="00734AB6">
        <w:rPr>
          <w:rFonts w:asciiTheme="majorHAnsi" w:hAnsiTheme="majorHAnsi"/>
          <w:b/>
        </w:rPr>
        <w:t>12</w:t>
      </w:r>
      <w:r w:rsidRPr="00734AB6">
        <w:rPr>
          <w:rFonts w:asciiTheme="majorHAnsi" w:hAnsiTheme="majorHAnsi"/>
          <w:b/>
        </w:rPr>
        <w:t xml:space="preserve">. Post hoc Mann-Whitney U test on methylphenidate and control group CFQ scores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1701"/>
        <w:gridCol w:w="1701"/>
        <w:gridCol w:w="1134"/>
        <w:gridCol w:w="1148"/>
      </w:tblGrid>
      <w:tr w:rsidR="00772E06" w:rsidRPr="00734AB6" w14:paraId="57A9B7F6" w14:textId="77777777" w:rsidTr="008E56D3">
        <w:tc>
          <w:tcPr>
            <w:tcW w:w="1843" w:type="dxa"/>
            <w:tcBorders>
              <w:bottom w:val="single" w:sz="4" w:space="0" w:color="auto"/>
            </w:tcBorders>
          </w:tcPr>
          <w:p w14:paraId="1D42F571" w14:textId="72DF4F82" w:rsidR="00772E06" w:rsidRPr="00734AB6" w:rsidRDefault="008E56D3" w:rsidP="0099584D">
            <w:pPr>
              <w:spacing w:before="120" w:after="120" w:line="360" w:lineRule="auto"/>
              <w:rPr>
                <w:rFonts w:asciiTheme="majorHAnsi" w:hAnsiTheme="majorHAnsi"/>
                <w:b/>
              </w:rPr>
            </w:pPr>
            <w:r w:rsidRPr="00734AB6">
              <w:rPr>
                <w:rFonts w:asciiTheme="majorHAnsi" w:hAnsiTheme="majorHAnsi"/>
                <w:b/>
              </w:rPr>
              <w:t>Group</w:t>
            </w:r>
          </w:p>
        </w:tc>
        <w:tc>
          <w:tcPr>
            <w:tcW w:w="1701" w:type="dxa"/>
            <w:tcBorders>
              <w:bottom w:val="single" w:sz="4" w:space="0" w:color="auto"/>
            </w:tcBorders>
          </w:tcPr>
          <w:p w14:paraId="2CCEB0F1"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701" w:type="dxa"/>
          </w:tcPr>
          <w:p w14:paraId="1066CC92"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CFQ</w:t>
            </w:r>
          </w:p>
        </w:tc>
        <w:tc>
          <w:tcPr>
            <w:tcW w:w="1134" w:type="dxa"/>
          </w:tcPr>
          <w:p w14:paraId="52C2A74C" w14:textId="77777777" w:rsidR="00772E06" w:rsidRPr="00734AB6" w:rsidRDefault="00772E06" w:rsidP="0099584D">
            <w:pPr>
              <w:spacing w:before="120" w:after="120" w:line="360" w:lineRule="auto"/>
              <w:rPr>
                <w:rFonts w:asciiTheme="majorHAnsi" w:hAnsiTheme="majorHAnsi"/>
                <w:b/>
              </w:rPr>
            </w:pPr>
          </w:p>
        </w:tc>
        <w:tc>
          <w:tcPr>
            <w:tcW w:w="1148" w:type="dxa"/>
          </w:tcPr>
          <w:p w14:paraId="1098F989" w14:textId="77777777" w:rsidR="00772E06" w:rsidRPr="00734AB6" w:rsidRDefault="00772E06" w:rsidP="0099584D">
            <w:pPr>
              <w:spacing w:before="120" w:after="120" w:line="360" w:lineRule="auto"/>
              <w:rPr>
                <w:rFonts w:asciiTheme="majorHAnsi" w:hAnsiTheme="majorHAnsi"/>
                <w:b/>
              </w:rPr>
            </w:pPr>
          </w:p>
        </w:tc>
      </w:tr>
      <w:tr w:rsidR="00772E06" w:rsidRPr="00734AB6" w14:paraId="64ACBE4E" w14:textId="77777777" w:rsidTr="008E56D3">
        <w:tc>
          <w:tcPr>
            <w:tcW w:w="1843" w:type="dxa"/>
            <w:tcBorders>
              <w:top w:val="single" w:sz="4" w:space="0" w:color="auto"/>
              <w:bottom w:val="nil"/>
            </w:tcBorders>
          </w:tcPr>
          <w:p w14:paraId="2503453D" w14:textId="461D735B" w:rsidR="00772E06" w:rsidRPr="00734AB6" w:rsidRDefault="00772E06" w:rsidP="0099584D">
            <w:pPr>
              <w:spacing w:before="120" w:after="120" w:line="360" w:lineRule="auto"/>
              <w:rPr>
                <w:rFonts w:asciiTheme="majorHAnsi" w:hAnsiTheme="majorHAnsi"/>
                <w:b/>
              </w:rPr>
            </w:pPr>
          </w:p>
        </w:tc>
        <w:tc>
          <w:tcPr>
            <w:tcW w:w="1701" w:type="dxa"/>
            <w:tcBorders>
              <w:top w:val="single" w:sz="4" w:space="0" w:color="auto"/>
              <w:bottom w:val="nil"/>
            </w:tcBorders>
          </w:tcPr>
          <w:p w14:paraId="09840C15" w14:textId="77777777" w:rsidR="00772E06" w:rsidRPr="00734AB6" w:rsidRDefault="00772E06" w:rsidP="0099584D">
            <w:pPr>
              <w:spacing w:before="120" w:after="120" w:line="360" w:lineRule="auto"/>
              <w:rPr>
                <w:rFonts w:asciiTheme="majorHAnsi" w:hAnsiTheme="majorHAnsi"/>
                <w:b/>
              </w:rPr>
            </w:pPr>
          </w:p>
        </w:tc>
        <w:tc>
          <w:tcPr>
            <w:tcW w:w="1701" w:type="dxa"/>
            <w:tcBorders>
              <w:bottom w:val="single" w:sz="4" w:space="0" w:color="auto"/>
            </w:tcBorders>
          </w:tcPr>
          <w:p w14:paraId="29D029B8"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bottom w:val="single" w:sz="4" w:space="0" w:color="auto"/>
            </w:tcBorders>
          </w:tcPr>
          <w:p w14:paraId="31DD322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48" w:type="dxa"/>
            <w:tcBorders>
              <w:bottom w:val="single" w:sz="4" w:space="0" w:color="auto"/>
            </w:tcBorders>
          </w:tcPr>
          <w:p w14:paraId="0DD94EB2"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7B812C5B" w14:textId="77777777" w:rsidTr="00772E06">
        <w:tc>
          <w:tcPr>
            <w:tcW w:w="1843" w:type="dxa"/>
            <w:tcBorders>
              <w:top w:val="nil"/>
              <w:bottom w:val="nil"/>
            </w:tcBorders>
          </w:tcPr>
          <w:p w14:paraId="520DA6A7"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Methylphenidate</w:t>
            </w:r>
          </w:p>
        </w:tc>
        <w:tc>
          <w:tcPr>
            <w:tcW w:w="1701" w:type="dxa"/>
            <w:tcBorders>
              <w:top w:val="nil"/>
              <w:bottom w:val="nil"/>
            </w:tcBorders>
          </w:tcPr>
          <w:p w14:paraId="70BF3938"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57</w:t>
            </w:r>
          </w:p>
        </w:tc>
        <w:tc>
          <w:tcPr>
            <w:tcW w:w="1701" w:type="dxa"/>
            <w:tcBorders>
              <w:bottom w:val="nil"/>
            </w:tcBorders>
          </w:tcPr>
          <w:p w14:paraId="73031067"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54.35 (13.49)</w:t>
            </w:r>
          </w:p>
        </w:tc>
        <w:tc>
          <w:tcPr>
            <w:tcW w:w="1134" w:type="dxa"/>
            <w:tcBorders>
              <w:bottom w:val="nil"/>
            </w:tcBorders>
          </w:tcPr>
          <w:p w14:paraId="57993162" w14:textId="77777777" w:rsidR="00772E06" w:rsidRPr="00734AB6" w:rsidRDefault="00772E06" w:rsidP="0099584D">
            <w:pPr>
              <w:spacing w:before="120" w:after="120" w:line="360" w:lineRule="auto"/>
              <w:rPr>
                <w:rFonts w:asciiTheme="majorHAnsi" w:hAnsiTheme="majorHAnsi"/>
              </w:rPr>
            </w:pPr>
          </w:p>
        </w:tc>
        <w:tc>
          <w:tcPr>
            <w:tcW w:w="1148" w:type="dxa"/>
            <w:tcBorders>
              <w:bottom w:val="nil"/>
            </w:tcBorders>
          </w:tcPr>
          <w:p w14:paraId="2B086115" w14:textId="77777777" w:rsidR="00772E06" w:rsidRPr="00734AB6" w:rsidRDefault="00772E06" w:rsidP="0099584D">
            <w:pPr>
              <w:spacing w:before="120" w:after="120" w:line="360" w:lineRule="auto"/>
              <w:rPr>
                <w:rFonts w:asciiTheme="majorHAnsi" w:hAnsiTheme="majorHAnsi"/>
              </w:rPr>
            </w:pPr>
          </w:p>
        </w:tc>
      </w:tr>
      <w:tr w:rsidR="00772E06" w:rsidRPr="00734AB6" w14:paraId="6F1EE61F" w14:textId="77777777" w:rsidTr="00772E06">
        <w:tc>
          <w:tcPr>
            <w:tcW w:w="1843" w:type="dxa"/>
            <w:tcBorders>
              <w:top w:val="nil"/>
              <w:bottom w:val="nil"/>
            </w:tcBorders>
          </w:tcPr>
          <w:p w14:paraId="258F9513" w14:textId="77777777" w:rsidR="00772E06" w:rsidRPr="00734AB6" w:rsidRDefault="00772E06" w:rsidP="0099584D">
            <w:pPr>
              <w:spacing w:before="120" w:after="120" w:line="360" w:lineRule="auto"/>
              <w:rPr>
                <w:rFonts w:asciiTheme="majorHAnsi" w:hAnsiTheme="majorHAnsi"/>
                <w:b/>
              </w:rPr>
            </w:pPr>
          </w:p>
        </w:tc>
        <w:tc>
          <w:tcPr>
            <w:tcW w:w="1701" w:type="dxa"/>
            <w:tcBorders>
              <w:top w:val="nil"/>
              <w:bottom w:val="nil"/>
            </w:tcBorders>
          </w:tcPr>
          <w:p w14:paraId="1056B0AE" w14:textId="77777777" w:rsidR="00772E06" w:rsidRPr="00734AB6" w:rsidRDefault="00772E06" w:rsidP="0099584D">
            <w:pPr>
              <w:spacing w:before="120" w:after="120" w:line="360" w:lineRule="auto"/>
              <w:rPr>
                <w:rFonts w:asciiTheme="majorHAnsi" w:hAnsiTheme="majorHAnsi"/>
              </w:rPr>
            </w:pPr>
          </w:p>
        </w:tc>
        <w:tc>
          <w:tcPr>
            <w:tcW w:w="1701" w:type="dxa"/>
            <w:tcBorders>
              <w:top w:val="nil"/>
              <w:bottom w:val="nil"/>
            </w:tcBorders>
          </w:tcPr>
          <w:p w14:paraId="68C4AE38" w14:textId="77777777" w:rsidR="00772E06" w:rsidRPr="00734AB6" w:rsidRDefault="00772E06" w:rsidP="0099584D">
            <w:pPr>
              <w:spacing w:before="120" w:after="120" w:line="360" w:lineRule="auto"/>
              <w:rPr>
                <w:rFonts w:asciiTheme="majorHAnsi" w:hAnsiTheme="majorHAnsi"/>
              </w:rPr>
            </w:pPr>
          </w:p>
        </w:tc>
        <w:tc>
          <w:tcPr>
            <w:tcW w:w="1134" w:type="dxa"/>
            <w:tcBorders>
              <w:top w:val="nil"/>
              <w:bottom w:val="nil"/>
            </w:tcBorders>
          </w:tcPr>
          <w:p w14:paraId="5C5C7E39"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316.50</w:t>
            </w:r>
          </w:p>
        </w:tc>
        <w:tc>
          <w:tcPr>
            <w:tcW w:w="1148" w:type="dxa"/>
            <w:tcBorders>
              <w:top w:val="nil"/>
              <w:bottom w:val="nil"/>
            </w:tcBorders>
          </w:tcPr>
          <w:p w14:paraId="63632F6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&lt; .001</w:t>
            </w:r>
          </w:p>
        </w:tc>
      </w:tr>
      <w:tr w:rsidR="00772E06" w:rsidRPr="00734AB6" w14:paraId="697075A1" w14:textId="77777777" w:rsidTr="00772E06">
        <w:tc>
          <w:tcPr>
            <w:tcW w:w="1843" w:type="dxa"/>
            <w:tcBorders>
              <w:top w:val="nil"/>
              <w:bottom w:val="single" w:sz="4" w:space="0" w:color="auto"/>
            </w:tcBorders>
          </w:tcPr>
          <w:p w14:paraId="0F6F33B1"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Controls</w:t>
            </w:r>
          </w:p>
        </w:tc>
        <w:tc>
          <w:tcPr>
            <w:tcW w:w="1701" w:type="dxa"/>
            <w:tcBorders>
              <w:top w:val="nil"/>
              <w:bottom w:val="single" w:sz="4" w:space="0" w:color="auto"/>
            </w:tcBorders>
          </w:tcPr>
          <w:p w14:paraId="381ECDA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106</w:t>
            </w:r>
          </w:p>
        </w:tc>
        <w:tc>
          <w:tcPr>
            <w:tcW w:w="1701" w:type="dxa"/>
            <w:tcBorders>
              <w:top w:val="nil"/>
              <w:bottom w:val="single" w:sz="4" w:space="0" w:color="auto"/>
            </w:tcBorders>
          </w:tcPr>
          <w:p w14:paraId="10C4CDB9"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85.28 (13.06)</w:t>
            </w:r>
          </w:p>
        </w:tc>
        <w:tc>
          <w:tcPr>
            <w:tcW w:w="1134" w:type="dxa"/>
            <w:tcBorders>
              <w:top w:val="nil"/>
              <w:bottom w:val="single" w:sz="4" w:space="0" w:color="auto"/>
            </w:tcBorders>
          </w:tcPr>
          <w:p w14:paraId="6914F950" w14:textId="77777777" w:rsidR="00772E06" w:rsidRPr="00734AB6" w:rsidRDefault="00772E06" w:rsidP="0099584D">
            <w:pPr>
              <w:spacing w:before="120" w:after="120" w:line="360" w:lineRule="auto"/>
              <w:rPr>
                <w:rFonts w:asciiTheme="majorHAnsi" w:hAnsiTheme="majorHAnsi"/>
              </w:rPr>
            </w:pPr>
          </w:p>
        </w:tc>
        <w:tc>
          <w:tcPr>
            <w:tcW w:w="1148" w:type="dxa"/>
            <w:tcBorders>
              <w:top w:val="nil"/>
              <w:bottom w:val="single" w:sz="4" w:space="0" w:color="auto"/>
            </w:tcBorders>
          </w:tcPr>
          <w:p w14:paraId="64AD5A5C" w14:textId="77777777" w:rsidR="00772E06" w:rsidRPr="00734AB6" w:rsidRDefault="00772E06" w:rsidP="0099584D">
            <w:pPr>
              <w:spacing w:before="120" w:after="120" w:line="360" w:lineRule="auto"/>
              <w:rPr>
                <w:rFonts w:asciiTheme="majorHAnsi" w:hAnsiTheme="majorHAnsi"/>
              </w:rPr>
            </w:pPr>
          </w:p>
        </w:tc>
      </w:tr>
    </w:tbl>
    <w:p w14:paraId="3124B689" w14:textId="77777777" w:rsidR="00594D41" w:rsidRPr="00734AB6" w:rsidRDefault="00594D41" w:rsidP="0099584D">
      <w:pPr>
        <w:spacing w:line="360" w:lineRule="auto"/>
        <w:ind w:firstLine="709"/>
        <w:rPr>
          <w:rFonts w:asciiTheme="majorHAnsi" w:hAnsiTheme="majorHAnsi"/>
        </w:rPr>
      </w:pPr>
    </w:p>
    <w:p w14:paraId="10C9A640" w14:textId="066AAA01" w:rsidR="00772E06" w:rsidRPr="00734AB6" w:rsidRDefault="00772E06" w:rsidP="0099584D">
      <w:pPr>
        <w:spacing w:before="120" w:line="360" w:lineRule="auto"/>
        <w:rPr>
          <w:rFonts w:asciiTheme="majorHAnsi" w:hAnsiTheme="majorHAnsi"/>
        </w:rPr>
      </w:pPr>
      <w:r w:rsidRPr="00734AB6">
        <w:rPr>
          <w:rFonts w:asciiTheme="majorHAnsi" w:hAnsiTheme="majorHAnsi"/>
          <w:b/>
        </w:rPr>
        <w:t xml:space="preserve">Table </w:t>
      </w:r>
      <w:r w:rsidR="00CD417E" w:rsidRPr="00734AB6">
        <w:rPr>
          <w:rFonts w:asciiTheme="majorHAnsi" w:hAnsiTheme="majorHAnsi"/>
          <w:b/>
        </w:rPr>
        <w:t>3.</w:t>
      </w:r>
      <w:r w:rsidR="008E56D3" w:rsidRPr="00734AB6">
        <w:rPr>
          <w:rFonts w:asciiTheme="majorHAnsi" w:hAnsiTheme="majorHAnsi"/>
          <w:b/>
        </w:rPr>
        <w:t>13</w:t>
      </w:r>
      <w:r w:rsidRPr="00734AB6">
        <w:rPr>
          <w:rFonts w:asciiTheme="majorHAnsi" w:hAnsiTheme="majorHAnsi"/>
          <w:b/>
        </w:rPr>
        <w:t>. Post hoc Mann-Whitney U test on modafinil and control group CFQ scores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1701"/>
        <w:gridCol w:w="1701"/>
        <w:gridCol w:w="1134"/>
        <w:gridCol w:w="1134"/>
        <w:gridCol w:w="14"/>
      </w:tblGrid>
      <w:tr w:rsidR="00772E06" w:rsidRPr="00734AB6" w14:paraId="63AFB439" w14:textId="77777777" w:rsidTr="008E56D3">
        <w:trPr>
          <w:gridAfter w:val="1"/>
          <w:wAfter w:w="14" w:type="dxa"/>
        </w:trPr>
        <w:tc>
          <w:tcPr>
            <w:tcW w:w="1843" w:type="dxa"/>
            <w:tcBorders>
              <w:bottom w:val="single" w:sz="4" w:space="0" w:color="auto"/>
            </w:tcBorders>
          </w:tcPr>
          <w:p w14:paraId="22FB9582" w14:textId="06746D8B" w:rsidR="00772E06" w:rsidRPr="00734AB6" w:rsidRDefault="008E56D3" w:rsidP="0099584D">
            <w:pPr>
              <w:spacing w:before="120" w:after="120" w:line="360" w:lineRule="auto"/>
              <w:rPr>
                <w:rFonts w:asciiTheme="majorHAnsi" w:hAnsiTheme="majorHAnsi"/>
                <w:b/>
              </w:rPr>
            </w:pPr>
            <w:r w:rsidRPr="00734AB6">
              <w:rPr>
                <w:rFonts w:asciiTheme="majorHAnsi" w:hAnsiTheme="majorHAnsi"/>
                <w:b/>
              </w:rPr>
              <w:t>Group</w:t>
            </w:r>
          </w:p>
        </w:tc>
        <w:tc>
          <w:tcPr>
            <w:tcW w:w="1701" w:type="dxa"/>
            <w:tcBorders>
              <w:bottom w:val="single" w:sz="4" w:space="0" w:color="auto"/>
            </w:tcBorders>
          </w:tcPr>
          <w:p w14:paraId="28A34EC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701" w:type="dxa"/>
          </w:tcPr>
          <w:p w14:paraId="1C12FF9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CFQ</w:t>
            </w:r>
          </w:p>
        </w:tc>
        <w:tc>
          <w:tcPr>
            <w:tcW w:w="1134" w:type="dxa"/>
          </w:tcPr>
          <w:p w14:paraId="1FE50E84" w14:textId="77777777" w:rsidR="00772E06" w:rsidRPr="00734AB6" w:rsidRDefault="00772E06" w:rsidP="0099584D">
            <w:pPr>
              <w:spacing w:before="120" w:after="120" w:line="360" w:lineRule="auto"/>
              <w:rPr>
                <w:rFonts w:asciiTheme="majorHAnsi" w:hAnsiTheme="majorHAnsi"/>
                <w:b/>
              </w:rPr>
            </w:pPr>
          </w:p>
        </w:tc>
        <w:tc>
          <w:tcPr>
            <w:tcW w:w="1134" w:type="dxa"/>
          </w:tcPr>
          <w:p w14:paraId="316AA7AF" w14:textId="77777777" w:rsidR="00772E06" w:rsidRPr="00734AB6" w:rsidRDefault="00772E06" w:rsidP="0099584D">
            <w:pPr>
              <w:spacing w:before="120" w:after="120" w:line="360" w:lineRule="auto"/>
              <w:rPr>
                <w:rFonts w:asciiTheme="majorHAnsi" w:hAnsiTheme="majorHAnsi"/>
                <w:b/>
              </w:rPr>
            </w:pPr>
          </w:p>
        </w:tc>
      </w:tr>
      <w:tr w:rsidR="00772E06" w:rsidRPr="00734AB6" w14:paraId="34BEAB98" w14:textId="77777777" w:rsidTr="008E56D3">
        <w:trPr>
          <w:gridAfter w:val="1"/>
          <w:wAfter w:w="14" w:type="dxa"/>
        </w:trPr>
        <w:tc>
          <w:tcPr>
            <w:tcW w:w="1843" w:type="dxa"/>
            <w:tcBorders>
              <w:top w:val="single" w:sz="4" w:space="0" w:color="auto"/>
              <w:bottom w:val="nil"/>
            </w:tcBorders>
          </w:tcPr>
          <w:p w14:paraId="66A1CBC4" w14:textId="36B986C8" w:rsidR="00772E06" w:rsidRPr="00734AB6" w:rsidRDefault="00772E06" w:rsidP="0099584D">
            <w:pPr>
              <w:spacing w:before="120" w:after="120" w:line="360" w:lineRule="auto"/>
              <w:rPr>
                <w:rFonts w:asciiTheme="majorHAnsi" w:hAnsiTheme="majorHAnsi"/>
                <w:b/>
              </w:rPr>
            </w:pPr>
          </w:p>
        </w:tc>
        <w:tc>
          <w:tcPr>
            <w:tcW w:w="1701" w:type="dxa"/>
            <w:tcBorders>
              <w:top w:val="single" w:sz="4" w:space="0" w:color="auto"/>
              <w:bottom w:val="nil"/>
            </w:tcBorders>
          </w:tcPr>
          <w:p w14:paraId="68130EF8" w14:textId="77777777" w:rsidR="00772E06" w:rsidRPr="00734AB6" w:rsidRDefault="00772E06" w:rsidP="0099584D">
            <w:pPr>
              <w:spacing w:before="120" w:after="120" w:line="360" w:lineRule="auto"/>
              <w:rPr>
                <w:rFonts w:asciiTheme="majorHAnsi" w:hAnsiTheme="majorHAnsi"/>
                <w:b/>
              </w:rPr>
            </w:pPr>
          </w:p>
        </w:tc>
        <w:tc>
          <w:tcPr>
            <w:tcW w:w="1701" w:type="dxa"/>
            <w:tcBorders>
              <w:bottom w:val="single" w:sz="4" w:space="0" w:color="auto"/>
            </w:tcBorders>
          </w:tcPr>
          <w:p w14:paraId="3E322818"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bottom w:val="single" w:sz="4" w:space="0" w:color="auto"/>
            </w:tcBorders>
          </w:tcPr>
          <w:p w14:paraId="2538FF0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34" w:type="dxa"/>
            <w:tcBorders>
              <w:bottom w:val="single" w:sz="4" w:space="0" w:color="auto"/>
            </w:tcBorders>
          </w:tcPr>
          <w:p w14:paraId="169D89DD"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6952B002" w14:textId="77777777" w:rsidTr="00772E06">
        <w:tc>
          <w:tcPr>
            <w:tcW w:w="1843" w:type="dxa"/>
            <w:tcBorders>
              <w:top w:val="nil"/>
              <w:bottom w:val="nil"/>
            </w:tcBorders>
          </w:tcPr>
          <w:p w14:paraId="11C9A490"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Modafinil-only</w:t>
            </w:r>
          </w:p>
        </w:tc>
        <w:tc>
          <w:tcPr>
            <w:tcW w:w="1701" w:type="dxa"/>
            <w:tcBorders>
              <w:top w:val="nil"/>
              <w:bottom w:val="nil"/>
            </w:tcBorders>
          </w:tcPr>
          <w:p w14:paraId="7FBAE095"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86</w:t>
            </w:r>
          </w:p>
        </w:tc>
        <w:tc>
          <w:tcPr>
            <w:tcW w:w="1701" w:type="dxa"/>
            <w:tcBorders>
              <w:top w:val="nil"/>
              <w:bottom w:val="nil"/>
            </w:tcBorders>
          </w:tcPr>
          <w:p w14:paraId="3F469DC7"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56.77 (14.25)</w:t>
            </w:r>
          </w:p>
        </w:tc>
        <w:tc>
          <w:tcPr>
            <w:tcW w:w="1134" w:type="dxa"/>
            <w:tcBorders>
              <w:top w:val="nil"/>
              <w:bottom w:val="nil"/>
            </w:tcBorders>
          </w:tcPr>
          <w:p w14:paraId="131FB9A1" w14:textId="77777777" w:rsidR="00772E06" w:rsidRPr="00734AB6" w:rsidRDefault="00772E06" w:rsidP="0099584D">
            <w:pPr>
              <w:spacing w:before="120" w:after="120" w:line="360" w:lineRule="auto"/>
              <w:rPr>
                <w:rFonts w:asciiTheme="majorHAnsi" w:hAnsiTheme="majorHAnsi"/>
              </w:rPr>
            </w:pPr>
          </w:p>
        </w:tc>
        <w:tc>
          <w:tcPr>
            <w:tcW w:w="1148" w:type="dxa"/>
            <w:gridSpan w:val="2"/>
            <w:tcBorders>
              <w:top w:val="nil"/>
              <w:bottom w:val="nil"/>
            </w:tcBorders>
          </w:tcPr>
          <w:p w14:paraId="43212344" w14:textId="77777777" w:rsidR="00772E06" w:rsidRPr="00734AB6" w:rsidRDefault="00772E06" w:rsidP="0099584D">
            <w:pPr>
              <w:spacing w:before="120" w:after="120" w:line="360" w:lineRule="auto"/>
              <w:rPr>
                <w:rFonts w:asciiTheme="majorHAnsi" w:hAnsiTheme="majorHAnsi"/>
              </w:rPr>
            </w:pPr>
          </w:p>
        </w:tc>
      </w:tr>
      <w:tr w:rsidR="00772E06" w:rsidRPr="00734AB6" w14:paraId="5EF50E75" w14:textId="77777777" w:rsidTr="00772E06">
        <w:tc>
          <w:tcPr>
            <w:tcW w:w="1843" w:type="dxa"/>
            <w:tcBorders>
              <w:top w:val="nil"/>
              <w:bottom w:val="nil"/>
            </w:tcBorders>
          </w:tcPr>
          <w:p w14:paraId="2437216F" w14:textId="77777777" w:rsidR="00772E06" w:rsidRPr="00734AB6" w:rsidRDefault="00772E06" w:rsidP="0099584D">
            <w:pPr>
              <w:spacing w:before="120" w:after="120" w:line="360" w:lineRule="auto"/>
              <w:rPr>
                <w:rFonts w:asciiTheme="majorHAnsi" w:hAnsiTheme="majorHAnsi"/>
                <w:b/>
              </w:rPr>
            </w:pPr>
          </w:p>
        </w:tc>
        <w:tc>
          <w:tcPr>
            <w:tcW w:w="1701" w:type="dxa"/>
            <w:tcBorders>
              <w:top w:val="nil"/>
              <w:bottom w:val="nil"/>
            </w:tcBorders>
          </w:tcPr>
          <w:p w14:paraId="720A5798" w14:textId="77777777" w:rsidR="00772E06" w:rsidRPr="00734AB6" w:rsidRDefault="00772E06" w:rsidP="0099584D">
            <w:pPr>
              <w:spacing w:before="120" w:after="120" w:line="360" w:lineRule="auto"/>
              <w:rPr>
                <w:rFonts w:asciiTheme="majorHAnsi" w:hAnsiTheme="majorHAnsi"/>
              </w:rPr>
            </w:pPr>
          </w:p>
        </w:tc>
        <w:tc>
          <w:tcPr>
            <w:tcW w:w="1701" w:type="dxa"/>
            <w:tcBorders>
              <w:top w:val="nil"/>
              <w:bottom w:val="nil"/>
            </w:tcBorders>
          </w:tcPr>
          <w:p w14:paraId="11CF4BDF" w14:textId="77777777" w:rsidR="00772E06" w:rsidRPr="00734AB6" w:rsidRDefault="00772E06" w:rsidP="0099584D">
            <w:pPr>
              <w:spacing w:before="120" w:after="120" w:line="360" w:lineRule="auto"/>
              <w:rPr>
                <w:rFonts w:asciiTheme="majorHAnsi" w:hAnsiTheme="majorHAnsi"/>
              </w:rPr>
            </w:pPr>
          </w:p>
        </w:tc>
        <w:tc>
          <w:tcPr>
            <w:tcW w:w="1134" w:type="dxa"/>
            <w:tcBorders>
              <w:top w:val="nil"/>
              <w:bottom w:val="nil"/>
            </w:tcBorders>
          </w:tcPr>
          <w:p w14:paraId="589E61FB"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632.50</w:t>
            </w:r>
          </w:p>
        </w:tc>
        <w:tc>
          <w:tcPr>
            <w:tcW w:w="1148" w:type="dxa"/>
            <w:gridSpan w:val="2"/>
            <w:tcBorders>
              <w:top w:val="nil"/>
              <w:bottom w:val="nil"/>
            </w:tcBorders>
          </w:tcPr>
          <w:p w14:paraId="4F21CE52"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&lt; .001</w:t>
            </w:r>
          </w:p>
        </w:tc>
      </w:tr>
      <w:tr w:rsidR="00772E06" w:rsidRPr="00734AB6" w14:paraId="2511F3DA" w14:textId="77777777" w:rsidTr="00772E06">
        <w:trPr>
          <w:gridAfter w:val="1"/>
          <w:wAfter w:w="14" w:type="dxa"/>
        </w:trPr>
        <w:tc>
          <w:tcPr>
            <w:tcW w:w="1843" w:type="dxa"/>
            <w:tcBorders>
              <w:top w:val="nil"/>
              <w:bottom w:val="single" w:sz="4" w:space="0" w:color="auto"/>
            </w:tcBorders>
          </w:tcPr>
          <w:p w14:paraId="7A38833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lastRenderedPageBreak/>
              <w:t>Controls</w:t>
            </w:r>
          </w:p>
        </w:tc>
        <w:tc>
          <w:tcPr>
            <w:tcW w:w="1701" w:type="dxa"/>
            <w:tcBorders>
              <w:top w:val="nil"/>
              <w:bottom w:val="single" w:sz="4" w:space="0" w:color="auto"/>
            </w:tcBorders>
          </w:tcPr>
          <w:p w14:paraId="650E66E3"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106</w:t>
            </w:r>
          </w:p>
        </w:tc>
        <w:tc>
          <w:tcPr>
            <w:tcW w:w="1701" w:type="dxa"/>
            <w:tcBorders>
              <w:top w:val="nil"/>
              <w:bottom w:val="single" w:sz="4" w:space="0" w:color="auto"/>
            </w:tcBorders>
          </w:tcPr>
          <w:p w14:paraId="748DFC30"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85.28 (13.06)</w:t>
            </w:r>
          </w:p>
        </w:tc>
        <w:tc>
          <w:tcPr>
            <w:tcW w:w="1134" w:type="dxa"/>
            <w:tcBorders>
              <w:top w:val="nil"/>
              <w:bottom w:val="single" w:sz="4" w:space="0" w:color="auto"/>
            </w:tcBorders>
          </w:tcPr>
          <w:p w14:paraId="0610A298" w14:textId="77777777" w:rsidR="00772E06" w:rsidRPr="00734AB6" w:rsidRDefault="00772E06" w:rsidP="0099584D">
            <w:pPr>
              <w:spacing w:before="120" w:after="120" w:line="360" w:lineRule="auto"/>
              <w:rPr>
                <w:rFonts w:asciiTheme="majorHAnsi" w:hAnsiTheme="majorHAnsi"/>
              </w:rPr>
            </w:pPr>
          </w:p>
        </w:tc>
        <w:tc>
          <w:tcPr>
            <w:tcW w:w="1134" w:type="dxa"/>
            <w:tcBorders>
              <w:top w:val="nil"/>
              <w:bottom w:val="single" w:sz="4" w:space="0" w:color="auto"/>
            </w:tcBorders>
          </w:tcPr>
          <w:p w14:paraId="473A5D16" w14:textId="77777777" w:rsidR="00772E06" w:rsidRPr="00734AB6" w:rsidRDefault="00772E06" w:rsidP="0099584D">
            <w:pPr>
              <w:spacing w:before="120" w:after="120" w:line="360" w:lineRule="auto"/>
              <w:rPr>
                <w:rFonts w:asciiTheme="majorHAnsi" w:hAnsiTheme="majorHAnsi"/>
              </w:rPr>
            </w:pPr>
          </w:p>
        </w:tc>
      </w:tr>
    </w:tbl>
    <w:p w14:paraId="2C598302" w14:textId="77777777" w:rsidR="00446874" w:rsidRPr="00734AB6" w:rsidRDefault="00446874" w:rsidP="00594D41">
      <w:pPr>
        <w:pStyle w:val="Heading4"/>
        <w:spacing w:after="240" w:line="360" w:lineRule="auto"/>
        <w:rPr>
          <w:b/>
          <w:i w:val="0"/>
          <w:color w:val="auto"/>
        </w:rPr>
      </w:pPr>
    </w:p>
    <w:p w14:paraId="649509C9" w14:textId="2DA4F50B" w:rsidR="00772E06" w:rsidRPr="00734AB6" w:rsidRDefault="00772E06" w:rsidP="00594D41">
      <w:pPr>
        <w:pStyle w:val="Heading4"/>
        <w:spacing w:after="240" w:line="360" w:lineRule="auto"/>
        <w:rPr>
          <w:b/>
          <w:i w:val="0"/>
          <w:color w:val="auto"/>
        </w:rPr>
      </w:pPr>
      <w:r w:rsidRPr="00734AB6">
        <w:rPr>
          <w:b/>
          <w:i w:val="0"/>
          <w:color w:val="auto"/>
        </w:rPr>
        <w:t>3.3.2.3</w:t>
      </w:r>
      <w:r w:rsidRPr="00734AB6">
        <w:rPr>
          <w:b/>
          <w:i w:val="0"/>
          <w:color w:val="auto"/>
        </w:rPr>
        <w:tab/>
        <w:t>General Procrastination Scale</w:t>
      </w:r>
    </w:p>
    <w:p w14:paraId="44A54B58" w14:textId="2138BDC5" w:rsidR="00772E06" w:rsidRPr="00734AB6" w:rsidRDefault="00776C43" w:rsidP="0099584D">
      <w:pPr>
        <w:spacing w:line="360" w:lineRule="auto"/>
        <w:ind w:firstLine="709"/>
        <w:rPr>
          <w:rFonts w:asciiTheme="majorHAnsi" w:hAnsiTheme="majorHAnsi"/>
        </w:rPr>
      </w:pPr>
      <w:r w:rsidRPr="00734AB6">
        <w:rPr>
          <w:rFonts w:asciiTheme="majorHAnsi" w:hAnsiTheme="majorHAnsi"/>
        </w:rPr>
        <w:t>Due to a Qualtrics error, a</w:t>
      </w:r>
      <w:r w:rsidR="00772E06" w:rsidRPr="00734AB6">
        <w:rPr>
          <w:rFonts w:asciiTheme="majorHAnsi" w:hAnsiTheme="majorHAnsi"/>
        </w:rPr>
        <w:t>ll respondents who reported using either modafinil or methylphenidate did not answer the first question, therefore Question 1 was removed from the analysis.</w:t>
      </w:r>
    </w:p>
    <w:p w14:paraId="14485B51" w14:textId="5555076F"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 Kruskal-Wallis test was performed on the GPS scores under three conditions of group type. </w:t>
      </w:r>
      <w:r w:rsidR="00776C43" w:rsidRPr="00734AB6">
        <w:rPr>
          <w:rFonts w:asciiTheme="majorHAnsi" w:hAnsiTheme="majorHAnsi"/>
        </w:rPr>
        <w:t>To avoid Type 1 errors the Bonferroni correction was used, resulting in a critical value of .025.</w:t>
      </w:r>
      <w:r w:rsidRPr="00734AB6">
        <w:rPr>
          <w:rFonts w:asciiTheme="majorHAnsi" w:hAnsiTheme="majorHAnsi"/>
        </w:rPr>
        <w:t xml:space="preserve">The differences between the mean ranks of 150.51 (methylphenidate), 131.73 (modafinil-only) and 105.83 (control) were significant, with </w:t>
      </w:r>
      <w:r w:rsidRPr="00734AB6">
        <w:rPr>
          <w:rFonts w:asciiTheme="majorHAnsi" w:hAnsiTheme="majorHAnsi"/>
          <w:i/>
        </w:rPr>
        <w:t>H(</w:t>
      </w:r>
      <w:r w:rsidRPr="00734AB6">
        <w:rPr>
          <w:rFonts w:asciiTheme="majorHAnsi" w:hAnsiTheme="majorHAnsi"/>
          <w:i/>
          <w:vertAlign w:val="subscript"/>
        </w:rPr>
        <w:t>2</w:t>
      </w:r>
      <w:r w:rsidRPr="00734AB6">
        <w:rPr>
          <w:rFonts w:asciiTheme="majorHAnsi" w:hAnsiTheme="majorHAnsi"/>
          <w:i/>
        </w:rPr>
        <w:t>)</w:t>
      </w:r>
      <w:r w:rsidR="00776C43" w:rsidRPr="00734AB6">
        <w:rPr>
          <w:rFonts w:asciiTheme="majorHAnsi" w:hAnsiTheme="majorHAnsi"/>
        </w:rPr>
        <w:t xml:space="preserve"> = 15.42</w:t>
      </w:r>
      <w:r w:rsidRPr="00734AB6">
        <w:rPr>
          <w:rFonts w:asciiTheme="majorHAnsi" w:hAnsiTheme="majorHAnsi"/>
        </w:rPr>
        <w:t xml:space="preserve">, </w:t>
      </w:r>
      <w:r w:rsidRPr="00734AB6">
        <w:rPr>
          <w:rFonts w:asciiTheme="majorHAnsi" w:hAnsiTheme="majorHAnsi"/>
          <w:i/>
        </w:rPr>
        <w:t>p</w:t>
      </w:r>
      <w:r w:rsidRPr="00734AB6">
        <w:rPr>
          <w:rFonts w:asciiTheme="majorHAnsi" w:hAnsiTheme="majorHAnsi"/>
        </w:rPr>
        <w:t xml:space="preserve"> &lt; .001.</w:t>
      </w:r>
    </w:p>
    <w:p w14:paraId="36E3FEEE" w14:textId="3CDF15D3" w:rsidR="00772E06" w:rsidRPr="00734AB6" w:rsidRDefault="00772E06" w:rsidP="0099584D">
      <w:pPr>
        <w:spacing w:line="360" w:lineRule="auto"/>
        <w:ind w:firstLine="709"/>
        <w:rPr>
          <w:rFonts w:asciiTheme="majorHAnsi" w:hAnsiTheme="majorHAnsi"/>
        </w:rPr>
      </w:pPr>
      <w:r w:rsidRPr="00734AB6">
        <w:rPr>
          <w:rFonts w:asciiTheme="majorHAnsi" w:hAnsiTheme="majorHAnsi"/>
          <w:i/>
        </w:rPr>
        <w:t>Post hoc</w:t>
      </w:r>
      <w:r w:rsidRPr="00734AB6">
        <w:rPr>
          <w:rFonts w:asciiTheme="majorHAnsi" w:hAnsiTheme="majorHAnsi"/>
        </w:rPr>
        <w:t xml:space="preserve"> Mann-Whitney U tests revealed that both the modafinil-only scores and the methylphenidate scores were significantly higher compared with the control group scores (see Tables </w:t>
      </w:r>
      <w:r w:rsidR="00CD417E" w:rsidRPr="00734AB6">
        <w:rPr>
          <w:rFonts w:asciiTheme="majorHAnsi" w:hAnsiTheme="majorHAnsi"/>
        </w:rPr>
        <w:t>3.</w:t>
      </w:r>
      <w:r w:rsidRPr="00734AB6">
        <w:rPr>
          <w:rFonts w:asciiTheme="majorHAnsi" w:hAnsiTheme="majorHAnsi"/>
        </w:rPr>
        <w:t>1</w:t>
      </w:r>
      <w:r w:rsidR="008E56D3" w:rsidRPr="00734AB6">
        <w:rPr>
          <w:rFonts w:asciiTheme="majorHAnsi" w:hAnsiTheme="majorHAnsi"/>
        </w:rPr>
        <w:t>4</w:t>
      </w:r>
      <w:r w:rsidRPr="00734AB6">
        <w:rPr>
          <w:rFonts w:asciiTheme="majorHAnsi" w:hAnsiTheme="majorHAnsi"/>
        </w:rPr>
        <w:t xml:space="preserve"> and </w:t>
      </w:r>
      <w:r w:rsidR="00CD417E" w:rsidRPr="00734AB6">
        <w:rPr>
          <w:rFonts w:asciiTheme="majorHAnsi" w:hAnsiTheme="majorHAnsi"/>
        </w:rPr>
        <w:t>3.</w:t>
      </w:r>
      <w:r w:rsidR="008E56D3" w:rsidRPr="00734AB6">
        <w:rPr>
          <w:rFonts w:asciiTheme="majorHAnsi" w:hAnsiTheme="majorHAnsi"/>
        </w:rPr>
        <w:t>15</w:t>
      </w:r>
      <w:r w:rsidRPr="00734AB6">
        <w:rPr>
          <w:rFonts w:asciiTheme="majorHAnsi" w:hAnsiTheme="majorHAnsi"/>
        </w:rPr>
        <w:t xml:space="preserve"> for full details). </w:t>
      </w:r>
    </w:p>
    <w:p w14:paraId="63B7B565" w14:textId="77777777" w:rsidR="00772E06" w:rsidRPr="00734AB6" w:rsidRDefault="00772E06" w:rsidP="0099584D">
      <w:pPr>
        <w:spacing w:line="360" w:lineRule="auto"/>
        <w:ind w:firstLine="709"/>
        <w:rPr>
          <w:rFonts w:asciiTheme="majorHAnsi" w:hAnsiTheme="majorHAnsi"/>
        </w:rPr>
      </w:pPr>
    </w:p>
    <w:p w14:paraId="19B6C1BB" w14:textId="4813DDA5" w:rsidR="00772E06" w:rsidRPr="00734AB6" w:rsidRDefault="00772E06" w:rsidP="0099584D">
      <w:pPr>
        <w:spacing w:line="360" w:lineRule="auto"/>
        <w:rPr>
          <w:rFonts w:asciiTheme="majorHAnsi" w:hAnsiTheme="majorHAnsi"/>
        </w:rPr>
      </w:pPr>
      <w:r w:rsidRPr="00734AB6">
        <w:rPr>
          <w:rFonts w:asciiTheme="majorHAnsi" w:hAnsiTheme="majorHAnsi"/>
          <w:b/>
        </w:rPr>
        <w:t xml:space="preserve">Table </w:t>
      </w:r>
      <w:r w:rsidR="00CD417E" w:rsidRPr="00734AB6">
        <w:rPr>
          <w:rFonts w:asciiTheme="majorHAnsi" w:hAnsiTheme="majorHAnsi"/>
          <w:b/>
        </w:rPr>
        <w:t>3.</w:t>
      </w:r>
      <w:r w:rsidRPr="00734AB6">
        <w:rPr>
          <w:rFonts w:asciiTheme="majorHAnsi" w:hAnsiTheme="majorHAnsi"/>
          <w:b/>
        </w:rPr>
        <w:t>1</w:t>
      </w:r>
      <w:r w:rsidR="008E56D3" w:rsidRPr="00734AB6">
        <w:rPr>
          <w:rFonts w:asciiTheme="majorHAnsi" w:hAnsiTheme="majorHAnsi"/>
          <w:b/>
        </w:rPr>
        <w:t>4</w:t>
      </w:r>
      <w:r w:rsidRPr="00734AB6">
        <w:rPr>
          <w:rFonts w:asciiTheme="majorHAnsi" w:hAnsiTheme="majorHAnsi"/>
          <w:b/>
        </w:rPr>
        <w:t>. Post hoc Mann-Whitney U test on methylphenidate and control group GPS scores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701"/>
        <w:gridCol w:w="1559"/>
        <w:gridCol w:w="1134"/>
        <w:gridCol w:w="1148"/>
      </w:tblGrid>
      <w:tr w:rsidR="00772E06" w:rsidRPr="00734AB6" w14:paraId="6CDC132D" w14:textId="77777777" w:rsidTr="008E56D3">
        <w:tc>
          <w:tcPr>
            <w:tcW w:w="1985" w:type="dxa"/>
            <w:tcBorders>
              <w:top w:val="single" w:sz="4" w:space="0" w:color="auto"/>
              <w:bottom w:val="single" w:sz="4" w:space="0" w:color="auto"/>
            </w:tcBorders>
          </w:tcPr>
          <w:p w14:paraId="1332D4D7" w14:textId="2277B431" w:rsidR="00772E06" w:rsidRPr="00734AB6" w:rsidRDefault="008E56D3" w:rsidP="0099584D">
            <w:pPr>
              <w:spacing w:before="120" w:after="120" w:line="360" w:lineRule="auto"/>
              <w:rPr>
                <w:rFonts w:asciiTheme="majorHAnsi" w:hAnsiTheme="majorHAnsi"/>
                <w:b/>
              </w:rPr>
            </w:pPr>
            <w:r w:rsidRPr="00734AB6">
              <w:rPr>
                <w:rFonts w:asciiTheme="majorHAnsi" w:hAnsiTheme="majorHAnsi"/>
                <w:b/>
              </w:rPr>
              <w:t>Group</w:t>
            </w:r>
          </w:p>
        </w:tc>
        <w:tc>
          <w:tcPr>
            <w:tcW w:w="1701" w:type="dxa"/>
            <w:tcBorders>
              <w:bottom w:val="single" w:sz="4" w:space="0" w:color="auto"/>
            </w:tcBorders>
          </w:tcPr>
          <w:p w14:paraId="201BEE89"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559" w:type="dxa"/>
          </w:tcPr>
          <w:p w14:paraId="6A9ABA9C"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GPS</w:t>
            </w:r>
          </w:p>
        </w:tc>
        <w:tc>
          <w:tcPr>
            <w:tcW w:w="1134" w:type="dxa"/>
          </w:tcPr>
          <w:p w14:paraId="4CF5DF64" w14:textId="77777777" w:rsidR="00772E06" w:rsidRPr="00734AB6" w:rsidRDefault="00772E06" w:rsidP="0099584D">
            <w:pPr>
              <w:spacing w:before="120" w:after="120" w:line="360" w:lineRule="auto"/>
              <w:rPr>
                <w:rFonts w:asciiTheme="majorHAnsi" w:hAnsiTheme="majorHAnsi"/>
                <w:b/>
              </w:rPr>
            </w:pPr>
          </w:p>
        </w:tc>
        <w:tc>
          <w:tcPr>
            <w:tcW w:w="1148" w:type="dxa"/>
          </w:tcPr>
          <w:p w14:paraId="0F87EEAD" w14:textId="77777777" w:rsidR="00772E06" w:rsidRPr="00734AB6" w:rsidRDefault="00772E06" w:rsidP="0099584D">
            <w:pPr>
              <w:spacing w:before="120" w:after="120" w:line="360" w:lineRule="auto"/>
              <w:rPr>
                <w:rFonts w:asciiTheme="majorHAnsi" w:hAnsiTheme="majorHAnsi"/>
                <w:b/>
              </w:rPr>
            </w:pPr>
          </w:p>
        </w:tc>
      </w:tr>
      <w:tr w:rsidR="00772E06" w:rsidRPr="00734AB6" w14:paraId="07B8F3A6" w14:textId="77777777" w:rsidTr="008E56D3">
        <w:tc>
          <w:tcPr>
            <w:tcW w:w="1985" w:type="dxa"/>
            <w:tcBorders>
              <w:top w:val="single" w:sz="4" w:space="0" w:color="auto"/>
              <w:bottom w:val="nil"/>
            </w:tcBorders>
          </w:tcPr>
          <w:p w14:paraId="51D88541" w14:textId="462F5FB6" w:rsidR="00772E06" w:rsidRPr="00734AB6" w:rsidRDefault="00772E06" w:rsidP="0099584D">
            <w:pPr>
              <w:spacing w:before="120" w:after="120" w:line="360" w:lineRule="auto"/>
              <w:rPr>
                <w:rFonts w:asciiTheme="majorHAnsi" w:hAnsiTheme="majorHAnsi"/>
                <w:b/>
              </w:rPr>
            </w:pPr>
          </w:p>
        </w:tc>
        <w:tc>
          <w:tcPr>
            <w:tcW w:w="1701" w:type="dxa"/>
            <w:tcBorders>
              <w:top w:val="single" w:sz="4" w:space="0" w:color="auto"/>
              <w:bottom w:val="nil"/>
            </w:tcBorders>
          </w:tcPr>
          <w:p w14:paraId="7A7CFBA1" w14:textId="77777777" w:rsidR="00772E06" w:rsidRPr="00734AB6" w:rsidRDefault="00772E06" w:rsidP="0099584D">
            <w:pPr>
              <w:spacing w:before="120" w:after="120" w:line="360" w:lineRule="auto"/>
              <w:rPr>
                <w:rFonts w:asciiTheme="majorHAnsi" w:hAnsiTheme="majorHAnsi"/>
                <w:b/>
              </w:rPr>
            </w:pPr>
          </w:p>
        </w:tc>
        <w:tc>
          <w:tcPr>
            <w:tcW w:w="1559" w:type="dxa"/>
            <w:tcBorders>
              <w:bottom w:val="single" w:sz="4" w:space="0" w:color="auto"/>
            </w:tcBorders>
          </w:tcPr>
          <w:p w14:paraId="27CE5AB5"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bottom w:val="single" w:sz="4" w:space="0" w:color="auto"/>
            </w:tcBorders>
          </w:tcPr>
          <w:p w14:paraId="327A981D"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1148" w:type="dxa"/>
            <w:tcBorders>
              <w:bottom w:val="single" w:sz="4" w:space="0" w:color="auto"/>
            </w:tcBorders>
          </w:tcPr>
          <w:p w14:paraId="242A5984"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5C045F5D" w14:textId="77777777" w:rsidTr="00772E06">
        <w:tc>
          <w:tcPr>
            <w:tcW w:w="1985" w:type="dxa"/>
            <w:tcBorders>
              <w:top w:val="nil"/>
              <w:bottom w:val="nil"/>
            </w:tcBorders>
          </w:tcPr>
          <w:p w14:paraId="5D67E0D9"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Methylphenidate</w:t>
            </w:r>
          </w:p>
        </w:tc>
        <w:tc>
          <w:tcPr>
            <w:tcW w:w="1701" w:type="dxa"/>
            <w:tcBorders>
              <w:top w:val="nil"/>
              <w:bottom w:val="nil"/>
            </w:tcBorders>
          </w:tcPr>
          <w:p w14:paraId="7529D1D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57</w:t>
            </w:r>
          </w:p>
        </w:tc>
        <w:tc>
          <w:tcPr>
            <w:tcW w:w="1559" w:type="dxa"/>
            <w:tcBorders>
              <w:bottom w:val="nil"/>
            </w:tcBorders>
          </w:tcPr>
          <w:p w14:paraId="60647D0C"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64.65 (13.37)</w:t>
            </w:r>
          </w:p>
        </w:tc>
        <w:tc>
          <w:tcPr>
            <w:tcW w:w="1134" w:type="dxa"/>
            <w:tcBorders>
              <w:bottom w:val="nil"/>
            </w:tcBorders>
          </w:tcPr>
          <w:p w14:paraId="0A1E2215" w14:textId="77777777" w:rsidR="00772E06" w:rsidRPr="00734AB6" w:rsidRDefault="00772E06" w:rsidP="0099584D">
            <w:pPr>
              <w:spacing w:before="120" w:after="120" w:line="360" w:lineRule="auto"/>
              <w:rPr>
                <w:rFonts w:asciiTheme="majorHAnsi" w:hAnsiTheme="majorHAnsi"/>
              </w:rPr>
            </w:pPr>
          </w:p>
        </w:tc>
        <w:tc>
          <w:tcPr>
            <w:tcW w:w="1148" w:type="dxa"/>
            <w:tcBorders>
              <w:bottom w:val="nil"/>
            </w:tcBorders>
          </w:tcPr>
          <w:p w14:paraId="410E489C" w14:textId="77777777" w:rsidR="00772E06" w:rsidRPr="00734AB6" w:rsidRDefault="00772E06" w:rsidP="0099584D">
            <w:pPr>
              <w:spacing w:before="120" w:after="120" w:line="360" w:lineRule="auto"/>
              <w:rPr>
                <w:rFonts w:asciiTheme="majorHAnsi" w:hAnsiTheme="majorHAnsi"/>
              </w:rPr>
            </w:pPr>
          </w:p>
        </w:tc>
      </w:tr>
      <w:tr w:rsidR="00772E06" w:rsidRPr="00734AB6" w14:paraId="18F2908E" w14:textId="77777777" w:rsidTr="00772E06">
        <w:tc>
          <w:tcPr>
            <w:tcW w:w="1985" w:type="dxa"/>
            <w:tcBorders>
              <w:top w:val="nil"/>
              <w:bottom w:val="nil"/>
            </w:tcBorders>
          </w:tcPr>
          <w:p w14:paraId="2ECB52B2" w14:textId="77777777" w:rsidR="00772E06" w:rsidRPr="00734AB6" w:rsidRDefault="00772E06" w:rsidP="0099584D">
            <w:pPr>
              <w:spacing w:before="120" w:after="120" w:line="360" w:lineRule="auto"/>
              <w:rPr>
                <w:rFonts w:asciiTheme="majorHAnsi" w:hAnsiTheme="majorHAnsi"/>
                <w:b/>
              </w:rPr>
            </w:pPr>
          </w:p>
        </w:tc>
        <w:tc>
          <w:tcPr>
            <w:tcW w:w="1701" w:type="dxa"/>
            <w:tcBorders>
              <w:top w:val="nil"/>
              <w:bottom w:val="nil"/>
            </w:tcBorders>
          </w:tcPr>
          <w:p w14:paraId="49303D52" w14:textId="77777777" w:rsidR="00772E06" w:rsidRPr="00734AB6" w:rsidRDefault="00772E06" w:rsidP="0099584D">
            <w:pPr>
              <w:spacing w:before="120" w:after="120" w:line="360" w:lineRule="auto"/>
              <w:rPr>
                <w:rFonts w:asciiTheme="majorHAnsi" w:hAnsiTheme="majorHAnsi"/>
              </w:rPr>
            </w:pPr>
          </w:p>
        </w:tc>
        <w:tc>
          <w:tcPr>
            <w:tcW w:w="1559" w:type="dxa"/>
            <w:tcBorders>
              <w:top w:val="nil"/>
              <w:bottom w:val="nil"/>
            </w:tcBorders>
          </w:tcPr>
          <w:p w14:paraId="5AAD57A4" w14:textId="77777777" w:rsidR="00772E06" w:rsidRPr="00734AB6" w:rsidRDefault="00772E06" w:rsidP="0099584D">
            <w:pPr>
              <w:spacing w:before="120" w:after="120" w:line="360" w:lineRule="auto"/>
              <w:rPr>
                <w:rFonts w:asciiTheme="majorHAnsi" w:hAnsiTheme="majorHAnsi"/>
              </w:rPr>
            </w:pPr>
          </w:p>
        </w:tc>
        <w:tc>
          <w:tcPr>
            <w:tcW w:w="1134" w:type="dxa"/>
            <w:tcBorders>
              <w:top w:val="nil"/>
              <w:bottom w:val="nil"/>
            </w:tcBorders>
          </w:tcPr>
          <w:p w14:paraId="47081B26"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1947.0</w:t>
            </w:r>
          </w:p>
        </w:tc>
        <w:tc>
          <w:tcPr>
            <w:tcW w:w="1148" w:type="dxa"/>
            <w:tcBorders>
              <w:top w:val="nil"/>
              <w:bottom w:val="nil"/>
            </w:tcBorders>
          </w:tcPr>
          <w:p w14:paraId="1D066237"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&lt; .001</w:t>
            </w:r>
          </w:p>
        </w:tc>
      </w:tr>
      <w:tr w:rsidR="00772E06" w:rsidRPr="00734AB6" w14:paraId="0E1DC154" w14:textId="77777777" w:rsidTr="00772E06">
        <w:tc>
          <w:tcPr>
            <w:tcW w:w="1985" w:type="dxa"/>
            <w:tcBorders>
              <w:top w:val="nil"/>
              <w:bottom w:val="single" w:sz="4" w:space="0" w:color="auto"/>
            </w:tcBorders>
          </w:tcPr>
          <w:p w14:paraId="2CA05062"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Controls</w:t>
            </w:r>
          </w:p>
        </w:tc>
        <w:tc>
          <w:tcPr>
            <w:tcW w:w="1701" w:type="dxa"/>
            <w:tcBorders>
              <w:top w:val="nil"/>
              <w:bottom w:val="single" w:sz="4" w:space="0" w:color="auto"/>
            </w:tcBorders>
          </w:tcPr>
          <w:p w14:paraId="1D388D4E"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106</w:t>
            </w:r>
          </w:p>
        </w:tc>
        <w:tc>
          <w:tcPr>
            <w:tcW w:w="1559" w:type="dxa"/>
            <w:tcBorders>
              <w:top w:val="nil"/>
              <w:bottom w:val="single" w:sz="4" w:space="0" w:color="auto"/>
            </w:tcBorders>
          </w:tcPr>
          <w:p w14:paraId="1D91AAAD"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56.11 (13.47)</w:t>
            </w:r>
          </w:p>
        </w:tc>
        <w:tc>
          <w:tcPr>
            <w:tcW w:w="1134" w:type="dxa"/>
            <w:tcBorders>
              <w:top w:val="nil"/>
              <w:bottom w:val="single" w:sz="4" w:space="0" w:color="auto"/>
            </w:tcBorders>
          </w:tcPr>
          <w:p w14:paraId="784D714E" w14:textId="77777777" w:rsidR="00772E06" w:rsidRPr="00734AB6" w:rsidRDefault="00772E06" w:rsidP="0099584D">
            <w:pPr>
              <w:spacing w:before="120" w:after="120" w:line="360" w:lineRule="auto"/>
              <w:rPr>
                <w:rFonts w:asciiTheme="majorHAnsi" w:hAnsiTheme="majorHAnsi"/>
              </w:rPr>
            </w:pPr>
          </w:p>
        </w:tc>
        <w:tc>
          <w:tcPr>
            <w:tcW w:w="1148" w:type="dxa"/>
            <w:tcBorders>
              <w:top w:val="nil"/>
              <w:bottom w:val="single" w:sz="4" w:space="0" w:color="auto"/>
            </w:tcBorders>
          </w:tcPr>
          <w:p w14:paraId="4E00C1F5" w14:textId="77777777" w:rsidR="00772E06" w:rsidRPr="00734AB6" w:rsidRDefault="00772E06" w:rsidP="0099584D">
            <w:pPr>
              <w:spacing w:before="120" w:after="120" w:line="360" w:lineRule="auto"/>
              <w:rPr>
                <w:rFonts w:asciiTheme="majorHAnsi" w:hAnsiTheme="majorHAnsi"/>
              </w:rPr>
            </w:pPr>
          </w:p>
        </w:tc>
      </w:tr>
    </w:tbl>
    <w:p w14:paraId="268E6785" w14:textId="77777777" w:rsidR="00772E06" w:rsidRPr="00734AB6" w:rsidRDefault="00772E06" w:rsidP="0099584D">
      <w:pPr>
        <w:spacing w:line="360" w:lineRule="auto"/>
        <w:rPr>
          <w:rFonts w:asciiTheme="majorHAnsi" w:hAnsiTheme="majorHAnsi"/>
          <w:color w:val="2E74B5"/>
        </w:rPr>
      </w:pPr>
    </w:p>
    <w:p w14:paraId="687B768A" w14:textId="77777777" w:rsidR="00594D41" w:rsidRPr="00734AB6" w:rsidRDefault="00594D41" w:rsidP="0099584D">
      <w:pPr>
        <w:spacing w:line="360" w:lineRule="auto"/>
        <w:rPr>
          <w:rFonts w:asciiTheme="majorHAnsi" w:hAnsiTheme="majorHAnsi"/>
          <w:color w:val="2E74B5"/>
        </w:rPr>
      </w:pPr>
    </w:p>
    <w:p w14:paraId="40260F0A" w14:textId="3FCE1758" w:rsidR="00772E06" w:rsidRPr="00734AB6" w:rsidRDefault="00772E06" w:rsidP="0099584D">
      <w:pPr>
        <w:spacing w:line="360" w:lineRule="auto"/>
        <w:rPr>
          <w:rFonts w:asciiTheme="majorHAnsi" w:hAnsiTheme="majorHAnsi"/>
        </w:rPr>
      </w:pPr>
      <w:r w:rsidRPr="00734AB6">
        <w:rPr>
          <w:rFonts w:asciiTheme="majorHAnsi" w:hAnsiTheme="majorHAnsi"/>
          <w:b/>
        </w:rPr>
        <w:t xml:space="preserve">Table </w:t>
      </w:r>
      <w:r w:rsidR="00CD417E" w:rsidRPr="00734AB6">
        <w:rPr>
          <w:rFonts w:asciiTheme="majorHAnsi" w:hAnsiTheme="majorHAnsi"/>
          <w:b/>
        </w:rPr>
        <w:t>3.</w:t>
      </w:r>
      <w:r w:rsidR="008E56D3" w:rsidRPr="00734AB6">
        <w:rPr>
          <w:rFonts w:asciiTheme="majorHAnsi" w:hAnsiTheme="majorHAnsi"/>
          <w:b/>
        </w:rPr>
        <w:t>15</w:t>
      </w:r>
      <w:r w:rsidRPr="00734AB6">
        <w:rPr>
          <w:rFonts w:asciiTheme="majorHAnsi" w:hAnsiTheme="majorHAnsi"/>
          <w:b/>
        </w:rPr>
        <w:t>. Post hoc Mann-Whitney U test on modafinil-only and control group GPS scores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701"/>
        <w:gridCol w:w="1559"/>
        <w:gridCol w:w="1134"/>
        <w:gridCol w:w="764"/>
      </w:tblGrid>
      <w:tr w:rsidR="00772E06" w:rsidRPr="00734AB6" w14:paraId="2FD4BCB4" w14:textId="77777777" w:rsidTr="008E56D3">
        <w:tc>
          <w:tcPr>
            <w:tcW w:w="1985" w:type="dxa"/>
            <w:tcBorders>
              <w:top w:val="single" w:sz="4" w:space="0" w:color="auto"/>
              <w:bottom w:val="single" w:sz="4" w:space="0" w:color="auto"/>
            </w:tcBorders>
          </w:tcPr>
          <w:p w14:paraId="0F1BD58B" w14:textId="2C326A96" w:rsidR="00772E06" w:rsidRPr="00734AB6" w:rsidRDefault="008E56D3" w:rsidP="0099584D">
            <w:pPr>
              <w:spacing w:before="120" w:after="120" w:line="360" w:lineRule="auto"/>
              <w:rPr>
                <w:rFonts w:asciiTheme="majorHAnsi" w:hAnsiTheme="majorHAnsi"/>
                <w:b/>
              </w:rPr>
            </w:pPr>
            <w:r w:rsidRPr="00734AB6">
              <w:rPr>
                <w:rFonts w:asciiTheme="majorHAnsi" w:hAnsiTheme="majorHAnsi"/>
                <w:b/>
              </w:rPr>
              <w:t>Group</w:t>
            </w:r>
          </w:p>
        </w:tc>
        <w:tc>
          <w:tcPr>
            <w:tcW w:w="1701" w:type="dxa"/>
            <w:tcBorders>
              <w:bottom w:val="single" w:sz="4" w:space="0" w:color="auto"/>
            </w:tcBorders>
          </w:tcPr>
          <w:p w14:paraId="39DBDFFB"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N</w:t>
            </w:r>
          </w:p>
        </w:tc>
        <w:tc>
          <w:tcPr>
            <w:tcW w:w="1559" w:type="dxa"/>
          </w:tcPr>
          <w:p w14:paraId="432C79A6"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GPS</w:t>
            </w:r>
          </w:p>
        </w:tc>
        <w:tc>
          <w:tcPr>
            <w:tcW w:w="1134" w:type="dxa"/>
          </w:tcPr>
          <w:p w14:paraId="1C43AA80" w14:textId="77777777" w:rsidR="00772E06" w:rsidRPr="00734AB6" w:rsidRDefault="00772E06" w:rsidP="0099584D">
            <w:pPr>
              <w:spacing w:before="120" w:after="120" w:line="360" w:lineRule="auto"/>
              <w:rPr>
                <w:rFonts w:asciiTheme="majorHAnsi" w:hAnsiTheme="majorHAnsi"/>
                <w:b/>
              </w:rPr>
            </w:pPr>
          </w:p>
        </w:tc>
        <w:tc>
          <w:tcPr>
            <w:tcW w:w="764" w:type="dxa"/>
          </w:tcPr>
          <w:p w14:paraId="6AF0B821" w14:textId="77777777" w:rsidR="00772E06" w:rsidRPr="00734AB6" w:rsidRDefault="00772E06" w:rsidP="0099584D">
            <w:pPr>
              <w:spacing w:before="120" w:after="120" w:line="360" w:lineRule="auto"/>
              <w:rPr>
                <w:rFonts w:asciiTheme="majorHAnsi" w:hAnsiTheme="majorHAnsi"/>
                <w:b/>
              </w:rPr>
            </w:pPr>
          </w:p>
        </w:tc>
      </w:tr>
      <w:tr w:rsidR="00772E06" w:rsidRPr="00734AB6" w14:paraId="1126BE23" w14:textId="77777777" w:rsidTr="008E56D3">
        <w:tc>
          <w:tcPr>
            <w:tcW w:w="1985" w:type="dxa"/>
            <w:tcBorders>
              <w:top w:val="single" w:sz="4" w:space="0" w:color="auto"/>
              <w:bottom w:val="nil"/>
            </w:tcBorders>
          </w:tcPr>
          <w:p w14:paraId="0F5822D4" w14:textId="3C51E106" w:rsidR="00772E06" w:rsidRPr="00734AB6" w:rsidRDefault="00772E06" w:rsidP="0099584D">
            <w:pPr>
              <w:spacing w:before="120" w:after="120" w:line="360" w:lineRule="auto"/>
              <w:rPr>
                <w:rFonts w:asciiTheme="majorHAnsi" w:hAnsiTheme="majorHAnsi"/>
                <w:b/>
              </w:rPr>
            </w:pPr>
          </w:p>
        </w:tc>
        <w:tc>
          <w:tcPr>
            <w:tcW w:w="1701" w:type="dxa"/>
            <w:tcBorders>
              <w:top w:val="single" w:sz="4" w:space="0" w:color="auto"/>
              <w:bottom w:val="nil"/>
            </w:tcBorders>
          </w:tcPr>
          <w:p w14:paraId="433CE5E6" w14:textId="77777777" w:rsidR="00772E06" w:rsidRPr="00734AB6" w:rsidRDefault="00772E06" w:rsidP="0099584D">
            <w:pPr>
              <w:spacing w:before="120" w:after="120" w:line="360" w:lineRule="auto"/>
              <w:rPr>
                <w:rFonts w:asciiTheme="majorHAnsi" w:hAnsiTheme="majorHAnsi"/>
                <w:b/>
              </w:rPr>
            </w:pPr>
          </w:p>
        </w:tc>
        <w:tc>
          <w:tcPr>
            <w:tcW w:w="1559" w:type="dxa"/>
            <w:tcBorders>
              <w:bottom w:val="single" w:sz="4" w:space="0" w:color="auto"/>
            </w:tcBorders>
          </w:tcPr>
          <w:p w14:paraId="124C7BF4"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Mean (</w:t>
            </w:r>
            <w:r w:rsidRPr="00734AB6">
              <w:rPr>
                <w:rFonts w:asciiTheme="majorHAnsi" w:hAnsiTheme="majorHAnsi"/>
                <w:b/>
                <w:i/>
              </w:rPr>
              <w:t>SD</w:t>
            </w:r>
            <w:r w:rsidRPr="00734AB6">
              <w:rPr>
                <w:rFonts w:asciiTheme="majorHAnsi" w:hAnsiTheme="majorHAnsi"/>
                <w:b/>
              </w:rPr>
              <w:t>)</w:t>
            </w:r>
          </w:p>
        </w:tc>
        <w:tc>
          <w:tcPr>
            <w:tcW w:w="1134" w:type="dxa"/>
            <w:tcBorders>
              <w:bottom w:val="single" w:sz="4" w:space="0" w:color="auto"/>
            </w:tcBorders>
          </w:tcPr>
          <w:p w14:paraId="1B3BF97D"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M-W</w:t>
            </w:r>
          </w:p>
        </w:tc>
        <w:tc>
          <w:tcPr>
            <w:tcW w:w="764" w:type="dxa"/>
            <w:tcBorders>
              <w:bottom w:val="single" w:sz="4" w:space="0" w:color="auto"/>
            </w:tcBorders>
          </w:tcPr>
          <w:p w14:paraId="66DEEC93" w14:textId="77777777" w:rsidR="00772E06" w:rsidRPr="00734AB6" w:rsidRDefault="00772E06" w:rsidP="0099584D">
            <w:pPr>
              <w:spacing w:before="120" w:after="120" w:line="360" w:lineRule="auto"/>
              <w:rPr>
                <w:rFonts w:asciiTheme="majorHAnsi" w:hAnsiTheme="majorHAnsi"/>
                <w:b/>
                <w:i/>
              </w:rPr>
            </w:pPr>
            <w:r w:rsidRPr="00734AB6">
              <w:rPr>
                <w:rFonts w:asciiTheme="majorHAnsi" w:hAnsiTheme="majorHAnsi"/>
                <w:b/>
                <w:i/>
              </w:rPr>
              <w:t>p</w:t>
            </w:r>
          </w:p>
        </w:tc>
      </w:tr>
      <w:tr w:rsidR="00772E06" w:rsidRPr="00734AB6" w14:paraId="506CBC80" w14:textId="77777777" w:rsidTr="00772E06">
        <w:tc>
          <w:tcPr>
            <w:tcW w:w="1985" w:type="dxa"/>
            <w:tcBorders>
              <w:top w:val="nil"/>
              <w:bottom w:val="nil"/>
            </w:tcBorders>
          </w:tcPr>
          <w:p w14:paraId="16590C6D"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Modafinil-only</w:t>
            </w:r>
          </w:p>
        </w:tc>
        <w:tc>
          <w:tcPr>
            <w:tcW w:w="1701" w:type="dxa"/>
            <w:tcBorders>
              <w:top w:val="nil"/>
              <w:bottom w:val="nil"/>
            </w:tcBorders>
          </w:tcPr>
          <w:p w14:paraId="713E5E8D"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86</w:t>
            </w:r>
          </w:p>
        </w:tc>
        <w:tc>
          <w:tcPr>
            <w:tcW w:w="1559" w:type="dxa"/>
            <w:tcBorders>
              <w:bottom w:val="nil"/>
            </w:tcBorders>
          </w:tcPr>
          <w:p w14:paraId="00BE46D4"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61.06 (13.14)</w:t>
            </w:r>
          </w:p>
        </w:tc>
        <w:tc>
          <w:tcPr>
            <w:tcW w:w="1134" w:type="dxa"/>
            <w:tcBorders>
              <w:bottom w:val="nil"/>
            </w:tcBorders>
          </w:tcPr>
          <w:p w14:paraId="1EAFF362" w14:textId="77777777" w:rsidR="00772E06" w:rsidRPr="00734AB6" w:rsidRDefault="00772E06" w:rsidP="0099584D">
            <w:pPr>
              <w:spacing w:before="120" w:after="120" w:line="360" w:lineRule="auto"/>
              <w:rPr>
                <w:rFonts w:asciiTheme="majorHAnsi" w:hAnsiTheme="majorHAnsi"/>
              </w:rPr>
            </w:pPr>
          </w:p>
        </w:tc>
        <w:tc>
          <w:tcPr>
            <w:tcW w:w="764" w:type="dxa"/>
            <w:tcBorders>
              <w:bottom w:val="nil"/>
            </w:tcBorders>
          </w:tcPr>
          <w:p w14:paraId="5F18AB33" w14:textId="77777777" w:rsidR="00772E06" w:rsidRPr="00734AB6" w:rsidRDefault="00772E06" w:rsidP="0099584D">
            <w:pPr>
              <w:spacing w:before="120" w:after="120" w:line="360" w:lineRule="auto"/>
              <w:rPr>
                <w:rFonts w:asciiTheme="majorHAnsi" w:hAnsiTheme="majorHAnsi"/>
              </w:rPr>
            </w:pPr>
          </w:p>
        </w:tc>
      </w:tr>
      <w:tr w:rsidR="00772E06" w:rsidRPr="00734AB6" w14:paraId="5BCE1842" w14:textId="77777777" w:rsidTr="00772E06">
        <w:tc>
          <w:tcPr>
            <w:tcW w:w="1985" w:type="dxa"/>
            <w:tcBorders>
              <w:top w:val="nil"/>
              <w:bottom w:val="nil"/>
            </w:tcBorders>
          </w:tcPr>
          <w:p w14:paraId="76884B1F" w14:textId="77777777" w:rsidR="00772E06" w:rsidRPr="00734AB6" w:rsidRDefault="00772E06" w:rsidP="0099584D">
            <w:pPr>
              <w:spacing w:before="120" w:after="120" w:line="360" w:lineRule="auto"/>
              <w:rPr>
                <w:rFonts w:asciiTheme="majorHAnsi" w:hAnsiTheme="majorHAnsi"/>
                <w:b/>
              </w:rPr>
            </w:pPr>
          </w:p>
        </w:tc>
        <w:tc>
          <w:tcPr>
            <w:tcW w:w="1701" w:type="dxa"/>
            <w:tcBorders>
              <w:top w:val="nil"/>
              <w:bottom w:val="nil"/>
            </w:tcBorders>
          </w:tcPr>
          <w:p w14:paraId="65B6CF2F" w14:textId="77777777" w:rsidR="00772E06" w:rsidRPr="00734AB6" w:rsidRDefault="00772E06" w:rsidP="0099584D">
            <w:pPr>
              <w:spacing w:before="120" w:after="120" w:line="360" w:lineRule="auto"/>
              <w:rPr>
                <w:rFonts w:asciiTheme="majorHAnsi" w:hAnsiTheme="majorHAnsi"/>
              </w:rPr>
            </w:pPr>
          </w:p>
        </w:tc>
        <w:tc>
          <w:tcPr>
            <w:tcW w:w="1559" w:type="dxa"/>
            <w:tcBorders>
              <w:top w:val="nil"/>
              <w:bottom w:val="nil"/>
            </w:tcBorders>
          </w:tcPr>
          <w:p w14:paraId="31371FB5" w14:textId="77777777" w:rsidR="00772E06" w:rsidRPr="00734AB6" w:rsidRDefault="00772E06" w:rsidP="0099584D">
            <w:pPr>
              <w:spacing w:before="120" w:after="120" w:line="360" w:lineRule="auto"/>
              <w:rPr>
                <w:rFonts w:asciiTheme="majorHAnsi" w:hAnsiTheme="majorHAnsi"/>
              </w:rPr>
            </w:pPr>
          </w:p>
        </w:tc>
        <w:tc>
          <w:tcPr>
            <w:tcW w:w="1134" w:type="dxa"/>
            <w:tcBorders>
              <w:top w:val="nil"/>
              <w:bottom w:val="nil"/>
            </w:tcBorders>
          </w:tcPr>
          <w:p w14:paraId="2AC8303B"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3599.5</w:t>
            </w:r>
          </w:p>
        </w:tc>
        <w:tc>
          <w:tcPr>
            <w:tcW w:w="764" w:type="dxa"/>
            <w:tcBorders>
              <w:top w:val="nil"/>
              <w:bottom w:val="nil"/>
            </w:tcBorders>
          </w:tcPr>
          <w:p w14:paraId="5CEF1A3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0.012</w:t>
            </w:r>
          </w:p>
        </w:tc>
      </w:tr>
      <w:tr w:rsidR="00772E06" w:rsidRPr="00734AB6" w14:paraId="7C576D43" w14:textId="77777777" w:rsidTr="00772E06">
        <w:tc>
          <w:tcPr>
            <w:tcW w:w="1985" w:type="dxa"/>
            <w:tcBorders>
              <w:top w:val="nil"/>
              <w:bottom w:val="single" w:sz="4" w:space="0" w:color="auto"/>
            </w:tcBorders>
          </w:tcPr>
          <w:p w14:paraId="0C85791E" w14:textId="77777777" w:rsidR="00772E06" w:rsidRPr="00734AB6" w:rsidRDefault="00772E06" w:rsidP="0099584D">
            <w:pPr>
              <w:spacing w:before="120" w:after="120" w:line="360" w:lineRule="auto"/>
              <w:rPr>
                <w:rFonts w:asciiTheme="majorHAnsi" w:hAnsiTheme="majorHAnsi"/>
                <w:b/>
              </w:rPr>
            </w:pPr>
            <w:r w:rsidRPr="00734AB6">
              <w:rPr>
                <w:rFonts w:asciiTheme="majorHAnsi" w:hAnsiTheme="majorHAnsi"/>
                <w:b/>
              </w:rPr>
              <w:t>Controls</w:t>
            </w:r>
          </w:p>
        </w:tc>
        <w:tc>
          <w:tcPr>
            <w:tcW w:w="1701" w:type="dxa"/>
            <w:tcBorders>
              <w:top w:val="nil"/>
              <w:bottom w:val="single" w:sz="4" w:space="0" w:color="auto"/>
            </w:tcBorders>
          </w:tcPr>
          <w:p w14:paraId="77841EE7"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N = 106</w:t>
            </w:r>
          </w:p>
        </w:tc>
        <w:tc>
          <w:tcPr>
            <w:tcW w:w="1559" w:type="dxa"/>
            <w:tcBorders>
              <w:top w:val="nil"/>
              <w:bottom w:val="single" w:sz="4" w:space="0" w:color="auto"/>
            </w:tcBorders>
          </w:tcPr>
          <w:p w14:paraId="22A28E2A" w14:textId="77777777" w:rsidR="00772E06" w:rsidRPr="00734AB6" w:rsidRDefault="00772E06" w:rsidP="0099584D">
            <w:pPr>
              <w:spacing w:before="120" w:after="120" w:line="360" w:lineRule="auto"/>
              <w:rPr>
                <w:rFonts w:asciiTheme="majorHAnsi" w:hAnsiTheme="majorHAnsi"/>
              </w:rPr>
            </w:pPr>
            <w:r w:rsidRPr="00734AB6">
              <w:rPr>
                <w:rFonts w:asciiTheme="majorHAnsi" w:hAnsiTheme="majorHAnsi"/>
              </w:rPr>
              <w:t>56.11 (13.47)</w:t>
            </w:r>
          </w:p>
        </w:tc>
        <w:tc>
          <w:tcPr>
            <w:tcW w:w="1134" w:type="dxa"/>
            <w:tcBorders>
              <w:top w:val="nil"/>
              <w:bottom w:val="single" w:sz="4" w:space="0" w:color="auto"/>
            </w:tcBorders>
          </w:tcPr>
          <w:p w14:paraId="513499AE" w14:textId="77777777" w:rsidR="00772E06" w:rsidRPr="00734AB6" w:rsidRDefault="00772E06" w:rsidP="0099584D">
            <w:pPr>
              <w:spacing w:before="120" w:after="120" w:line="360" w:lineRule="auto"/>
              <w:rPr>
                <w:rFonts w:asciiTheme="majorHAnsi" w:hAnsiTheme="majorHAnsi"/>
              </w:rPr>
            </w:pPr>
          </w:p>
        </w:tc>
        <w:tc>
          <w:tcPr>
            <w:tcW w:w="764" w:type="dxa"/>
            <w:tcBorders>
              <w:top w:val="nil"/>
              <w:bottom w:val="single" w:sz="4" w:space="0" w:color="auto"/>
            </w:tcBorders>
          </w:tcPr>
          <w:p w14:paraId="69F8796E" w14:textId="77777777" w:rsidR="00772E06" w:rsidRPr="00734AB6" w:rsidRDefault="00772E06" w:rsidP="0099584D">
            <w:pPr>
              <w:spacing w:before="120" w:after="120" w:line="360" w:lineRule="auto"/>
              <w:rPr>
                <w:rFonts w:asciiTheme="majorHAnsi" w:hAnsiTheme="majorHAnsi"/>
              </w:rPr>
            </w:pPr>
          </w:p>
        </w:tc>
      </w:tr>
    </w:tbl>
    <w:p w14:paraId="4107B0A8" w14:textId="373E47D7" w:rsidR="00772E06" w:rsidRPr="00734AB6" w:rsidRDefault="00772E06" w:rsidP="0099584D">
      <w:pPr>
        <w:spacing w:line="360" w:lineRule="auto"/>
        <w:rPr>
          <w:rFonts w:asciiTheme="majorHAnsi" w:hAnsiTheme="majorHAnsi"/>
          <w:color w:val="2E74B5"/>
        </w:rPr>
      </w:pPr>
    </w:p>
    <w:p w14:paraId="6B56DEE4" w14:textId="77777777" w:rsidR="008F7167" w:rsidRPr="00734AB6" w:rsidRDefault="008F7167" w:rsidP="0099584D">
      <w:pPr>
        <w:spacing w:line="360" w:lineRule="auto"/>
        <w:rPr>
          <w:rFonts w:asciiTheme="majorHAnsi" w:hAnsiTheme="majorHAnsi"/>
          <w:color w:val="2E74B5"/>
        </w:rPr>
      </w:pPr>
    </w:p>
    <w:p w14:paraId="5F10E6AF" w14:textId="77777777" w:rsidR="00772E06" w:rsidRPr="00734AB6" w:rsidRDefault="00772E06" w:rsidP="00594D41">
      <w:pPr>
        <w:pStyle w:val="Heading4"/>
        <w:spacing w:after="240" w:line="360" w:lineRule="auto"/>
        <w:rPr>
          <w:b/>
          <w:i w:val="0"/>
          <w:color w:val="auto"/>
        </w:rPr>
      </w:pPr>
      <w:r w:rsidRPr="00734AB6">
        <w:rPr>
          <w:b/>
          <w:i w:val="0"/>
          <w:color w:val="auto"/>
        </w:rPr>
        <w:t>3.3.2.4</w:t>
      </w:r>
      <w:r w:rsidRPr="00734AB6">
        <w:rPr>
          <w:b/>
          <w:i w:val="0"/>
          <w:color w:val="auto"/>
        </w:rPr>
        <w:tab/>
        <w:t>Questionnaire responses when using modafinil and methylphenidate</w:t>
      </w:r>
    </w:p>
    <w:p w14:paraId="266EB69F" w14:textId="14B2C1AD" w:rsidR="00772E06" w:rsidRPr="00734AB6" w:rsidRDefault="00772E06" w:rsidP="0099584D">
      <w:pPr>
        <w:spacing w:line="360" w:lineRule="auto"/>
        <w:rPr>
          <w:rFonts w:asciiTheme="majorHAnsi" w:hAnsiTheme="majorHAnsi"/>
        </w:rPr>
      </w:pPr>
      <w:r w:rsidRPr="00734AB6">
        <w:rPr>
          <w:rFonts w:asciiTheme="majorHAnsi" w:hAnsiTheme="majorHAnsi"/>
        </w:rPr>
        <w:t xml:space="preserve">The responses of ‘better’ or ‘worse’ in relation to the ASRS, CFQ and GPS when respondents are using modafinil and methylphenidate were analysed. A three-way log-linear test was conducted, the analysis produced </w:t>
      </w:r>
      <w:r w:rsidRPr="00734AB6">
        <w:rPr>
          <w:rFonts w:asciiTheme="majorHAnsi" w:eastAsiaTheme="minorEastAsia" w:hAnsiTheme="majorHAnsi"/>
        </w:rPr>
        <w:t xml:space="preserve">a final model with a likelihood ratio of </w:t>
      </w:r>
      <w:r w:rsidRPr="00734AB6">
        <w:rPr>
          <w:rFonts w:asciiTheme="majorHAnsi" w:eastAsiaTheme="minorEastAsia" w:hAnsiTheme="majorHAnsi"/>
          <w:lang w:val="el-GR"/>
        </w:rPr>
        <w:t>χ</w:t>
      </w:r>
      <w:r w:rsidRPr="00734AB6">
        <w:rPr>
          <w:rFonts w:asciiTheme="majorHAnsi" w:eastAsiaTheme="minorEastAsia" w:hAnsiTheme="majorHAnsi"/>
          <w:vertAlign w:val="superscript"/>
        </w:rPr>
        <w:t>2</w:t>
      </w:r>
      <w:r w:rsidRPr="00734AB6">
        <w:rPr>
          <w:rFonts w:asciiTheme="majorHAnsi" w:eastAsiaTheme="minorEastAsia" w:hAnsiTheme="majorHAnsi"/>
        </w:rPr>
        <w:t xml:space="preserve">= </w:t>
      </w:r>
      <w:r w:rsidRPr="00734AB6">
        <w:rPr>
          <w:rFonts w:asciiTheme="majorHAnsi" w:hAnsiTheme="majorHAnsi"/>
        </w:rPr>
        <w:t>8.32</w:t>
      </w:r>
      <w:r w:rsidRPr="00734AB6">
        <w:rPr>
          <w:rFonts w:asciiTheme="majorHAnsi" w:eastAsiaTheme="minorEastAsia" w:hAnsiTheme="majorHAnsi"/>
        </w:rPr>
        <w:t xml:space="preserve">, </w:t>
      </w:r>
      <w:r w:rsidRPr="00734AB6">
        <w:rPr>
          <w:rFonts w:asciiTheme="majorHAnsi" w:eastAsiaTheme="minorEastAsia" w:hAnsiTheme="majorHAnsi"/>
          <w:i/>
          <w:iCs/>
        </w:rPr>
        <w:t xml:space="preserve">p </w:t>
      </w:r>
      <w:r w:rsidRPr="00734AB6">
        <w:rPr>
          <w:rFonts w:asciiTheme="majorHAnsi" w:eastAsiaTheme="minorEastAsia" w:hAnsiTheme="majorHAnsi"/>
        </w:rPr>
        <w:t>= .2</w:t>
      </w:r>
      <w:r w:rsidRPr="00734AB6">
        <w:rPr>
          <w:rFonts w:asciiTheme="majorHAnsi" w:hAnsiTheme="majorHAnsi"/>
        </w:rPr>
        <w:t>16</w:t>
      </w:r>
      <w:r w:rsidRPr="00734AB6">
        <w:rPr>
          <w:rFonts w:asciiTheme="majorHAnsi" w:eastAsiaTheme="minorEastAsia" w:hAnsiTheme="majorHAnsi"/>
        </w:rPr>
        <w:t>, with the three-way interaction removed</w:t>
      </w:r>
      <w:r w:rsidRPr="00734AB6">
        <w:rPr>
          <w:rFonts w:asciiTheme="majorHAnsi" w:hAnsiTheme="majorHAnsi"/>
        </w:rPr>
        <w:t>, indicating that the model fits the data well.</w:t>
      </w:r>
      <w:r w:rsidRPr="00734AB6">
        <w:rPr>
          <w:rFonts w:asciiTheme="majorHAnsi" w:eastAsiaTheme="minorEastAsia" w:hAnsiTheme="majorHAnsi"/>
        </w:rPr>
        <w:t xml:space="preserve"> </w:t>
      </w:r>
      <w:r w:rsidRPr="00734AB6">
        <w:rPr>
          <w:rFonts w:asciiTheme="majorHAnsi" w:hAnsiTheme="majorHAnsi"/>
        </w:rPr>
        <w:t>Three groups</w:t>
      </w:r>
      <w:r w:rsidR="004437EE" w:rsidRPr="00734AB6">
        <w:rPr>
          <w:rFonts w:asciiTheme="majorHAnsi" w:hAnsiTheme="majorHAnsi"/>
        </w:rPr>
        <w:t>, group type, questionnaire type and valence of outcome</w:t>
      </w:r>
      <w:r w:rsidR="00F457D9" w:rsidRPr="00734AB6">
        <w:rPr>
          <w:rFonts w:asciiTheme="majorHAnsi" w:hAnsiTheme="majorHAnsi"/>
        </w:rPr>
        <w:t>,</w:t>
      </w:r>
      <w:r w:rsidRPr="00734AB6">
        <w:rPr>
          <w:rFonts w:asciiTheme="majorHAnsi" w:hAnsiTheme="majorHAnsi"/>
        </w:rPr>
        <w:t xml:space="preserve"> were analysed</w:t>
      </w:r>
      <w:r w:rsidR="004437EE" w:rsidRPr="00734AB6">
        <w:rPr>
          <w:rFonts w:asciiTheme="majorHAnsi" w:hAnsiTheme="majorHAnsi"/>
        </w:rPr>
        <w:t>.</w:t>
      </w:r>
      <w:r w:rsidRPr="00734AB6">
        <w:rPr>
          <w:rFonts w:asciiTheme="majorHAnsi" w:hAnsiTheme="majorHAnsi"/>
        </w:rPr>
        <w:t xml:space="preserve"> </w:t>
      </w:r>
      <w:r w:rsidR="004437EE" w:rsidRPr="00734AB6">
        <w:rPr>
          <w:rFonts w:asciiTheme="majorHAnsi" w:hAnsiTheme="majorHAnsi"/>
        </w:rPr>
        <w:t>G</w:t>
      </w:r>
      <w:r w:rsidRPr="00734AB6">
        <w:rPr>
          <w:rFonts w:asciiTheme="majorHAnsi" w:hAnsiTheme="majorHAnsi"/>
        </w:rPr>
        <w:t>roup type</w:t>
      </w:r>
      <w:r w:rsidR="004437EE" w:rsidRPr="00734AB6">
        <w:rPr>
          <w:rFonts w:asciiTheme="majorHAnsi" w:hAnsiTheme="majorHAnsi"/>
        </w:rPr>
        <w:t xml:space="preserve"> had</w:t>
      </w:r>
      <w:r w:rsidRPr="00734AB6">
        <w:rPr>
          <w:rFonts w:asciiTheme="majorHAnsi" w:hAnsiTheme="majorHAnsi"/>
        </w:rPr>
        <w:t xml:space="preserve"> two levels, modafinil-only and methylphenidate. </w:t>
      </w:r>
      <w:r w:rsidR="004437EE" w:rsidRPr="00734AB6">
        <w:rPr>
          <w:rFonts w:asciiTheme="majorHAnsi" w:hAnsiTheme="majorHAnsi"/>
        </w:rPr>
        <w:t>Q</w:t>
      </w:r>
      <w:r w:rsidRPr="00734AB6">
        <w:rPr>
          <w:rFonts w:asciiTheme="majorHAnsi" w:hAnsiTheme="majorHAnsi"/>
        </w:rPr>
        <w:t xml:space="preserve">uestionnaire type </w:t>
      </w:r>
      <w:r w:rsidR="004437EE" w:rsidRPr="00734AB6">
        <w:rPr>
          <w:rFonts w:asciiTheme="majorHAnsi" w:hAnsiTheme="majorHAnsi"/>
        </w:rPr>
        <w:t>had</w:t>
      </w:r>
      <w:r w:rsidRPr="00734AB6">
        <w:rPr>
          <w:rFonts w:asciiTheme="majorHAnsi" w:hAnsiTheme="majorHAnsi"/>
        </w:rPr>
        <w:t xml:space="preserve"> three levels, ASRS, CFQ and GPS. </w:t>
      </w:r>
      <w:r w:rsidR="004437EE" w:rsidRPr="00734AB6">
        <w:rPr>
          <w:rFonts w:asciiTheme="majorHAnsi" w:hAnsiTheme="majorHAnsi"/>
        </w:rPr>
        <w:t>Valence of outcome</w:t>
      </w:r>
      <w:r w:rsidRPr="00734AB6">
        <w:rPr>
          <w:rFonts w:asciiTheme="majorHAnsi" w:hAnsiTheme="majorHAnsi"/>
        </w:rPr>
        <w:t xml:space="preserve"> </w:t>
      </w:r>
      <w:r w:rsidR="004437EE" w:rsidRPr="00734AB6">
        <w:rPr>
          <w:rFonts w:asciiTheme="majorHAnsi" w:hAnsiTheme="majorHAnsi"/>
        </w:rPr>
        <w:t>had</w:t>
      </w:r>
      <w:r w:rsidRPr="00734AB6">
        <w:rPr>
          <w:rFonts w:asciiTheme="majorHAnsi" w:hAnsiTheme="majorHAnsi"/>
        </w:rPr>
        <w:t xml:space="preserve"> three levels, improved, </w:t>
      </w:r>
      <w:r w:rsidR="008F7167" w:rsidRPr="00734AB6">
        <w:rPr>
          <w:rFonts w:asciiTheme="majorHAnsi" w:hAnsiTheme="majorHAnsi"/>
        </w:rPr>
        <w:t>worsened,</w:t>
      </w:r>
      <w:r w:rsidRPr="00734AB6">
        <w:rPr>
          <w:rFonts w:asciiTheme="majorHAnsi" w:hAnsiTheme="majorHAnsi"/>
        </w:rPr>
        <w:t xml:space="preserve"> and not affected. </w:t>
      </w:r>
      <w:r w:rsidRPr="00734AB6">
        <w:rPr>
          <w:rFonts w:asciiTheme="majorHAnsi" w:eastAsiaTheme="minorEastAsia" w:hAnsiTheme="majorHAnsi"/>
        </w:rPr>
        <w:t>The model indicated that the two-way interactions were significant (</w:t>
      </w:r>
      <w:r w:rsidRPr="00734AB6">
        <w:rPr>
          <w:rFonts w:asciiTheme="majorHAnsi" w:hAnsiTheme="majorHAnsi"/>
        </w:rPr>
        <w:t>group type*questionnaire type</w:t>
      </w:r>
      <w:r w:rsidRPr="00734AB6">
        <w:rPr>
          <w:rFonts w:asciiTheme="majorHAnsi" w:eastAsiaTheme="minorEastAsia" w:hAnsiTheme="majorHAnsi"/>
        </w:rPr>
        <w:t xml:space="preserve">, </w:t>
      </w:r>
      <w:r w:rsidRPr="00734AB6">
        <w:rPr>
          <w:rFonts w:asciiTheme="majorHAnsi" w:eastAsiaTheme="minorEastAsia" w:hAnsiTheme="majorHAnsi"/>
          <w:lang w:val="el-GR"/>
        </w:rPr>
        <w:t>χ</w:t>
      </w:r>
      <w:r w:rsidRPr="00734AB6">
        <w:rPr>
          <w:rFonts w:asciiTheme="majorHAnsi" w:eastAsiaTheme="minorEastAsia" w:hAnsiTheme="majorHAnsi"/>
          <w:vertAlign w:val="superscript"/>
        </w:rPr>
        <w:t>2</w:t>
      </w:r>
      <w:r w:rsidRPr="00734AB6">
        <w:rPr>
          <w:rFonts w:asciiTheme="majorHAnsi" w:eastAsiaTheme="minorEastAsia" w:hAnsiTheme="majorHAnsi"/>
        </w:rPr>
        <w:t xml:space="preserve"> = </w:t>
      </w:r>
      <w:r w:rsidRPr="00734AB6">
        <w:rPr>
          <w:rFonts w:asciiTheme="majorHAnsi" w:hAnsiTheme="majorHAnsi"/>
        </w:rPr>
        <w:t>29.97</w:t>
      </w:r>
      <w:r w:rsidRPr="00734AB6">
        <w:rPr>
          <w:rFonts w:asciiTheme="majorHAnsi" w:eastAsiaTheme="minorEastAsia" w:hAnsiTheme="majorHAnsi"/>
        </w:rPr>
        <w:t xml:space="preserve">, </w:t>
      </w:r>
      <w:r w:rsidRPr="00734AB6">
        <w:rPr>
          <w:rFonts w:asciiTheme="majorHAnsi" w:eastAsiaTheme="minorEastAsia" w:hAnsiTheme="majorHAnsi"/>
          <w:i/>
          <w:iCs/>
        </w:rPr>
        <w:t xml:space="preserve">p </w:t>
      </w:r>
      <w:r w:rsidRPr="00734AB6">
        <w:rPr>
          <w:rFonts w:asciiTheme="majorHAnsi" w:hAnsiTheme="majorHAnsi"/>
        </w:rPr>
        <w:t>&lt; .001, questionnaire type*experience type</w:t>
      </w:r>
      <w:r w:rsidRPr="00734AB6">
        <w:rPr>
          <w:rFonts w:asciiTheme="majorHAnsi" w:eastAsiaTheme="minorEastAsia" w:hAnsiTheme="majorHAnsi"/>
        </w:rPr>
        <w:t xml:space="preserve">, </w:t>
      </w:r>
      <w:r w:rsidRPr="00734AB6">
        <w:rPr>
          <w:rFonts w:asciiTheme="majorHAnsi" w:eastAsiaTheme="minorEastAsia" w:hAnsiTheme="majorHAnsi"/>
          <w:lang w:val="el-GR"/>
        </w:rPr>
        <w:t>χ</w:t>
      </w:r>
      <w:r w:rsidRPr="00734AB6">
        <w:rPr>
          <w:rFonts w:asciiTheme="majorHAnsi" w:eastAsiaTheme="minorEastAsia" w:hAnsiTheme="majorHAnsi"/>
          <w:vertAlign w:val="superscript"/>
        </w:rPr>
        <w:t>2</w:t>
      </w:r>
      <w:r w:rsidRPr="00734AB6">
        <w:rPr>
          <w:rFonts w:asciiTheme="majorHAnsi" w:eastAsiaTheme="minorEastAsia" w:hAnsiTheme="majorHAnsi"/>
        </w:rPr>
        <w:t xml:space="preserve"> = </w:t>
      </w:r>
      <w:r w:rsidRPr="00734AB6">
        <w:rPr>
          <w:rFonts w:asciiTheme="majorHAnsi" w:hAnsiTheme="majorHAnsi"/>
        </w:rPr>
        <w:t>334.37</w:t>
      </w:r>
      <w:r w:rsidRPr="00734AB6">
        <w:rPr>
          <w:rFonts w:asciiTheme="majorHAnsi" w:eastAsiaTheme="minorEastAsia" w:hAnsiTheme="majorHAnsi"/>
        </w:rPr>
        <w:t xml:space="preserve">, </w:t>
      </w:r>
      <w:r w:rsidRPr="00734AB6">
        <w:rPr>
          <w:rFonts w:asciiTheme="majorHAnsi" w:eastAsiaTheme="minorEastAsia" w:hAnsiTheme="majorHAnsi"/>
          <w:i/>
          <w:iCs/>
        </w:rPr>
        <w:t xml:space="preserve">p </w:t>
      </w:r>
      <w:r w:rsidRPr="00734AB6">
        <w:rPr>
          <w:rFonts w:asciiTheme="majorHAnsi" w:hAnsiTheme="majorHAnsi"/>
        </w:rPr>
        <w:t>&lt; .001</w:t>
      </w:r>
      <w:r w:rsidRPr="00734AB6">
        <w:rPr>
          <w:rFonts w:asciiTheme="majorHAnsi" w:eastAsiaTheme="minorEastAsia" w:hAnsiTheme="majorHAnsi"/>
        </w:rPr>
        <w:t>). To break this down further, separate Chi-square tests were performed on</w:t>
      </w:r>
      <w:r w:rsidRPr="00734AB6">
        <w:rPr>
          <w:rFonts w:asciiTheme="majorHAnsi" w:hAnsiTheme="majorHAnsi"/>
        </w:rPr>
        <w:t xml:space="preserve"> the modafinil-only and methylphenidate groups and the questionnaire type and reported valence of outcome. </w:t>
      </w:r>
    </w:p>
    <w:p w14:paraId="0060AC96" w14:textId="37D6A5B3" w:rsidR="00772E06" w:rsidRPr="00734AB6" w:rsidRDefault="00772E06" w:rsidP="0099584D">
      <w:pPr>
        <w:spacing w:line="360" w:lineRule="auto"/>
        <w:ind w:firstLine="720"/>
        <w:rPr>
          <w:rFonts w:asciiTheme="majorHAnsi" w:hAnsiTheme="majorHAnsi"/>
        </w:rPr>
      </w:pPr>
      <w:r w:rsidRPr="00734AB6">
        <w:rPr>
          <w:rFonts w:asciiTheme="majorHAnsi" w:hAnsiTheme="majorHAnsi"/>
        </w:rPr>
        <w:t xml:space="preserve">The means and SDs for the modafinil-only and methylphenidate groups are reported in Table </w:t>
      </w:r>
      <w:r w:rsidR="00CD417E" w:rsidRPr="00734AB6">
        <w:rPr>
          <w:rFonts w:asciiTheme="majorHAnsi" w:hAnsiTheme="majorHAnsi"/>
        </w:rPr>
        <w:t>3.</w:t>
      </w:r>
      <w:r w:rsidR="008E56D3" w:rsidRPr="00734AB6">
        <w:rPr>
          <w:rFonts w:asciiTheme="majorHAnsi" w:hAnsiTheme="majorHAnsi"/>
        </w:rPr>
        <w:t>16</w:t>
      </w:r>
      <w:r w:rsidRPr="00734AB6">
        <w:rPr>
          <w:rFonts w:asciiTheme="majorHAnsi" w:hAnsiTheme="majorHAnsi"/>
        </w:rPr>
        <w:t>.</w:t>
      </w:r>
    </w:p>
    <w:p w14:paraId="17C99A29" w14:textId="77777777" w:rsidR="00772E06" w:rsidRPr="00734AB6" w:rsidRDefault="00772E06" w:rsidP="0099584D">
      <w:pPr>
        <w:spacing w:line="360" w:lineRule="auto"/>
        <w:rPr>
          <w:rFonts w:asciiTheme="majorHAnsi" w:hAnsiTheme="majorHAnsi"/>
        </w:rPr>
      </w:pPr>
    </w:p>
    <w:p w14:paraId="2C2BDC0E" w14:textId="426A6E02" w:rsidR="00772E06" w:rsidRPr="00734AB6" w:rsidRDefault="00772E06" w:rsidP="0099584D">
      <w:pPr>
        <w:spacing w:line="360" w:lineRule="auto"/>
        <w:rPr>
          <w:rFonts w:asciiTheme="majorHAnsi" w:hAnsiTheme="majorHAnsi"/>
          <w:b/>
        </w:rPr>
      </w:pPr>
      <w:r w:rsidRPr="00734AB6">
        <w:rPr>
          <w:rFonts w:asciiTheme="majorHAnsi" w:hAnsiTheme="majorHAnsi"/>
          <w:b/>
        </w:rPr>
        <w:t xml:space="preserve">Table </w:t>
      </w:r>
      <w:r w:rsidR="00CD417E" w:rsidRPr="00734AB6">
        <w:rPr>
          <w:rFonts w:asciiTheme="majorHAnsi" w:hAnsiTheme="majorHAnsi"/>
          <w:b/>
        </w:rPr>
        <w:t>3.</w:t>
      </w:r>
      <w:r w:rsidR="008E56D3" w:rsidRPr="00734AB6">
        <w:rPr>
          <w:rFonts w:asciiTheme="majorHAnsi" w:hAnsiTheme="majorHAnsi"/>
          <w:b/>
        </w:rPr>
        <w:t>16</w:t>
      </w:r>
      <w:r w:rsidRPr="00734AB6">
        <w:rPr>
          <w:rFonts w:asciiTheme="majorHAnsi" w:hAnsiTheme="majorHAnsi"/>
          <w:b/>
        </w:rPr>
        <w:t>.</w:t>
      </w:r>
      <w:r w:rsidRPr="00734AB6">
        <w:rPr>
          <w:rFonts w:asciiTheme="majorHAnsi" w:hAnsiTheme="majorHAnsi"/>
          <w:b/>
        </w:rPr>
        <w:tab/>
        <w:t>Questionnaire type on modafinil and methylphenidate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46"/>
        <w:gridCol w:w="1417"/>
        <w:gridCol w:w="1843"/>
        <w:gridCol w:w="1985"/>
      </w:tblGrid>
      <w:tr w:rsidR="00772E06" w:rsidRPr="00734AB6" w14:paraId="18D30066" w14:textId="77777777" w:rsidTr="00772E06">
        <w:tc>
          <w:tcPr>
            <w:tcW w:w="846" w:type="dxa"/>
            <w:tcBorders>
              <w:bottom w:val="single" w:sz="4" w:space="0" w:color="auto"/>
            </w:tcBorders>
          </w:tcPr>
          <w:p w14:paraId="29A5E008" w14:textId="77777777" w:rsidR="00772E06" w:rsidRPr="00734AB6" w:rsidRDefault="00772E06" w:rsidP="0099584D">
            <w:pPr>
              <w:spacing w:line="360" w:lineRule="auto"/>
              <w:rPr>
                <w:rFonts w:asciiTheme="majorHAnsi" w:hAnsiTheme="majorHAnsi"/>
                <w:b/>
              </w:rPr>
            </w:pPr>
          </w:p>
        </w:tc>
        <w:tc>
          <w:tcPr>
            <w:tcW w:w="1417" w:type="dxa"/>
            <w:tcBorders>
              <w:bottom w:val="single" w:sz="4" w:space="0" w:color="auto"/>
            </w:tcBorders>
          </w:tcPr>
          <w:p w14:paraId="5B9061E1" w14:textId="77777777" w:rsidR="00772E06" w:rsidRPr="00734AB6" w:rsidRDefault="00772E06" w:rsidP="0099584D">
            <w:pPr>
              <w:spacing w:line="360" w:lineRule="auto"/>
              <w:rPr>
                <w:rFonts w:asciiTheme="majorHAnsi" w:hAnsiTheme="majorHAnsi"/>
                <w:b/>
              </w:rPr>
            </w:pPr>
          </w:p>
        </w:tc>
        <w:tc>
          <w:tcPr>
            <w:tcW w:w="1843" w:type="dxa"/>
            <w:tcBorders>
              <w:bottom w:val="single" w:sz="4" w:space="0" w:color="auto"/>
            </w:tcBorders>
          </w:tcPr>
          <w:p w14:paraId="4D07DFCF"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Modafinil-only</w:t>
            </w:r>
          </w:p>
          <w:p w14:paraId="4221F7B1"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Mean (SD)</w:t>
            </w:r>
          </w:p>
        </w:tc>
        <w:tc>
          <w:tcPr>
            <w:tcW w:w="1985" w:type="dxa"/>
            <w:tcBorders>
              <w:bottom w:val="single" w:sz="4" w:space="0" w:color="auto"/>
            </w:tcBorders>
          </w:tcPr>
          <w:p w14:paraId="2C2825EE"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Methylphenidate</w:t>
            </w:r>
          </w:p>
          <w:p w14:paraId="1B43F321"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Mean (SD)</w:t>
            </w:r>
          </w:p>
        </w:tc>
      </w:tr>
      <w:tr w:rsidR="00772E06" w:rsidRPr="00734AB6" w14:paraId="56B2322E" w14:textId="77777777" w:rsidTr="00772E06">
        <w:tc>
          <w:tcPr>
            <w:tcW w:w="846" w:type="dxa"/>
            <w:tcBorders>
              <w:bottom w:val="nil"/>
            </w:tcBorders>
          </w:tcPr>
          <w:p w14:paraId="71C30080"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CFQ</w:t>
            </w:r>
          </w:p>
        </w:tc>
        <w:tc>
          <w:tcPr>
            <w:tcW w:w="1417" w:type="dxa"/>
            <w:tcBorders>
              <w:bottom w:val="nil"/>
            </w:tcBorders>
          </w:tcPr>
          <w:p w14:paraId="60F71839"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Better</w:t>
            </w:r>
          </w:p>
        </w:tc>
        <w:tc>
          <w:tcPr>
            <w:tcW w:w="1843" w:type="dxa"/>
            <w:tcBorders>
              <w:bottom w:val="nil"/>
            </w:tcBorders>
          </w:tcPr>
          <w:p w14:paraId="026927F0" w14:textId="77777777" w:rsidR="00772E06" w:rsidRPr="00734AB6" w:rsidRDefault="00772E06" w:rsidP="0099584D">
            <w:pPr>
              <w:spacing w:line="360" w:lineRule="auto"/>
              <w:rPr>
                <w:rFonts w:asciiTheme="majorHAnsi" w:hAnsiTheme="majorHAnsi"/>
              </w:rPr>
            </w:pPr>
            <w:r w:rsidRPr="00734AB6">
              <w:rPr>
                <w:rFonts w:asciiTheme="majorHAnsi" w:hAnsiTheme="majorHAnsi"/>
              </w:rPr>
              <w:t>7.52 (5.11)</w:t>
            </w:r>
          </w:p>
        </w:tc>
        <w:tc>
          <w:tcPr>
            <w:tcW w:w="1985" w:type="dxa"/>
            <w:tcBorders>
              <w:bottom w:val="nil"/>
            </w:tcBorders>
          </w:tcPr>
          <w:p w14:paraId="172DE4E0" w14:textId="77777777" w:rsidR="00772E06" w:rsidRPr="00734AB6" w:rsidRDefault="00772E06" w:rsidP="0099584D">
            <w:pPr>
              <w:spacing w:line="360" w:lineRule="auto"/>
              <w:rPr>
                <w:rFonts w:asciiTheme="majorHAnsi" w:hAnsiTheme="majorHAnsi"/>
              </w:rPr>
            </w:pPr>
            <w:r w:rsidRPr="00734AB6">
              <w:rPr>
                <w:rFonts w:asciiTheme="majorHAnsi" w:hAnsiTheme="majorHAnsi"/>
              </w:rPr>
              <w:t>7.19 (6.36)</w:t>
            </w:r>
          </w:p>
        </w:tc>
      </w:tr>
      <w:tr w:rsidR="00772E06" w:rsidRPr="00734AB6" w14:paraId="328FAB7C" w14:textId="77777777" w:rsidTr="00772E06">
        <w:tc>
          <w:tcPr>
            <w:tcW w:w="846" w:type="dxa"/>
            <w:tcBorders>
              <w:top w:val="nil"/>
              <w:bottom w:val="nil"/>
            </w:tcBorders>
          </w:tcPr>
          <w:p w14:paraId="0D3BE029" w14:textId="77777777" w:rsidR="00772E06" w:rsidRPr="00734AB6" w:rsidRDefault="00772E06" w:rsidP="0099584D">
            <w:pPr>
              <w:spacing w:line="360" w:lineRule="auto"/>
              <w:rPr>
                <w:rFonts w:asciiTheme="majorHAnsi" w:hAnsiTheme="majorHAnsi"/>
                <w:b/>
              </w:rPr>
            </w:pPr>
          </w:p>
        </w:tc>
        <w:tc>
          <w:tcPr>
            <w:tcW w:w="1417" w:type="dxa"/>
            <w:tcBorders>
              <w:top w:val="nil"/>
              <w:bottom w:val="nil"/>
            </w:tcBorders>
          </w:tcPr>
          <w:p w14:paraId="4D134961"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Worse</w:t>
            </w:r>
          </w:p>
        </w:tc>
        <w:tc>
          <w:tcPr>
            <w:tcW w:w="1843" w:type="dxa"/>
            <w:tcBorders>
              <w:top w:val="nil"/>
              <w:bottom w:val="nil"/>
            </w:tcBorders>
          </w:tcPr>
          <w:p w14:paraId="77F2E8D3" w14:textId="77777777" w:rsidR="00772E06" w:rsidRPr="00734AB6" w:rsidRDefault="00772E06" w:rsidP="0099584D">
            <w:pPr>
              <w:spacing w:line="360" w:lineRule="auto"/>
              <w:rPr>
                <w:rFonts w:asciiTheme="majorHAnsi" w:hAnsiTheme="majorHAnsi"/>
              </w:rPr>
            </w:pPr>
            <w:r w:rsidRPr="00734AB6">
              <w:rPr>
                <w:rFonts w:asciiTheme="majorHAnsi" w:hAnsiTheme="majorHAnsi"/>
              </w:rPr>
              <w:t>1.47 (1.80)</w:t>
            </w:r>
          </w:p>
        </w:tc>
        <w:tc>
          <w:tcPr>
            <w:tcW w:w="1985" w:type="dxa"/>
            <w:tcBorders>
              <w:top w:val="nil"/>
              <w:bottom w:val="nil"/>
            </w:tcBorders>
          </w:tcPr>
          <w:p w14:paraId="3CDAD7A5" w14:textId="77777777" w:rsidR="00772E06" w:rsidRPr="00734AB6" w:rsidRDefault="00772E06" w:rsidP="0099584D">
            <w:pPr>
              <w:spacing w:line="360" w:lineRule="auto"/>
              <w:rPr>
                <w:rFonts w:asciiTheme="majorHAnsi" w:hAnsiTheme="majorHAnsi"/>
              </w:rPr>
            </w:pPr>
            <w:r w:rsidRPr="00734AB6">
              <w:rPr>
                <w:rFonts w:asciiTheme="majorHAnsi" w:hAnsiTheme="majorHAnsi"/>
              </w:rPr>
              <w:t>1.75 (2.25)</w:t>
            </w:r>
          </w:p>
        </w:tc>
      </w:tr>
      <w:tr w:rsidR="00772E06" w:rsidRPr="00734AB6" w14:paraId="5318245A" w14:textId="77777777" w:rsidTr="00772E06">
        <w:tc>
          <w:tcPr>
            <w:tcW w:w="846" w:type="dxa"/>
            <w:tcBorders>
              <w:top w:val="nil"/>
              <w:bottom w:val="single" w:sz="4" w:space="0" w:color="auto"/>
            </w:tcBorders>
          </w:tcPr>
          <w:p w14:paraId="4CB28605" w14:textId="77777777" w:rsidR="00772E06" w:rsidRPr="00734AB6" w:rsidRDefault="00772E06" w:rsidP="0099584D">
            <w:pPr>
              <w:spacing w:line="360" w:lineRule="auto"/>
              <w:rPr>
                <w:rFonts w:asciiTheme="majorHAnsi" w:hAnsiTheme="majorHAnsi"/>
                <w:b/>
              </w:rPr>
            </w:pPr>
          </w:p>
        </w:tc>
        <w:tc>
          <w:tcPr>
            <w:tcW w:w="1417" w:type="dxa"/>
            <w:tcBorders>
              <w:top w:val="nil"/>
              <w:bottom w:val="single" w:sz="4" w:space="0" w:color="auto"/>
            </w:tcBorders>
          </w:tcPr>
          <w:p w14:paraId="77CC3CB6"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Not affected</w:t>
            </w:r>
          </w:p>
        </w:tc>
        <w:tc>
          <w:tcPr>
            <w:tcW w:w="1843" w:type="dxa"/>
            <w:tcBorders>
              <w:top w:val="nil"/>
              <w:bottom w:val="single" w:sz="4" w:space="0" w:color="auto"/>
            </w:tcBorders>
          </w:tcPr>
          <w:p w14:paraId="71421C95" w14:textId="77777777" w:rsidR="00772E06" w:rsidRPr="00734AB6" w:rsidRDefault="00772E06" w:rsidP="0099584D">
            <w:pPr>
              <w:spacing w:line="360" w:lineRule="auto"/>
              <w:rPr>
                <w:rFonts w:asciiTheme="majorHAnsi" w:hAnsiTheme="majorHAnsi"/>
              </w:rPr>
            </w:pPr>
            <w:r w:rsidRPr="00734AB6">
              <w:rPr>
                <w:rFonts w:asciiTheme="majorHAnsi" w:hAnsiTheme="majorHAnsi"/>
              </w:rPr>
              <w:t>11.09 (7.34)</w:t>
            </w:r>
          </w:p>
        </w:tc>
        <w:tc>
          <w:tcPr>
            <w:tcW w:w="1985" w:type="dxa"/>
            <w:tcBorders>
              <w:top w:val="nil"/>
              <w:bottom w:val="single" w:sz="4" w:space="0" w:color="auto"/>
            </w:tcBorders>
          </w:tcPr>
          <w:p w14:paraId="104F73BF" w14:textId="77777777" w:rsidR="00772E06" w:rsidRPr="00734AB6" w:rsidRDefault="00772E06" w:rsidP="0099584D">
            <w:pPr>
              <w:spacing w:line="360" w:lineRule="auto"/>
              <w:rPr>
                <w:rFonts w:asciiTheme="majorHAnsi" w:hAnsiTheme="majorHAnsi"/>
              </w:rPr>
            </w:pPr>
            <w:r w:rsidRPr="00734AB6">
              <w:rPr>
                <w:rFonts w:asciiTheme="majorHAnsi" w:hAnsiTheme="majorHAnsi"/>
              </w:rPr>
              <w:t>9.54 (7.94)</w:t>
            </w:r>
          </w:p>
        </w:tc>
      </w:tr>
      <w:tr w:rsidR="00772E06" w:rsidRPr="00734AB6" w14:paraId="46CCC981" w14:textId="77777777" w:rsidTr="00772E06">
        <w:tc>
          <w:tcPr>
            <w:tcW w:w="846" w:type="dxa"/>
            <w:tcBorders>
              <w:bottom w:val="nil"/>
            </w:tcBorders>
          </w:tcPr>
          <w:p w14:paraId="603772DA"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GPS</w:t>
            </w:r>
          </w:p>
        </w:tc>
        <w:tc>
          <w:tcPr>
            <w:tcW w:w="1417" w:type="dxa"/>
            <w:tcBorders>
              <w:bottom w:val="nil"/>
            </w:tcBorders>
          </w:tcPr>
          <w:p w14:paraId="4A3DED16"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Better</w:t>
            </w:r>
          </w:p>
        </w:tc>
        <w:tc>
          <w:tcPr>
            <w:tcW w:w="1843" w:type="dxa"/>
            <w:tcBorders>
              <w:bottom w:val="nil"/>
            </w:tcBorders>
          </w:tcPr>
          <w:p w14:paraId="44BD414E" w14:textId="77777777" w:rsidR="00772E06" w:rsidRPr="00734AB6" w:rsidRDefault="00772E06" w:rsidP="0099584D">
            <w:pPr>
              <w:spacing w:line="360" w:lineRule="auto"/>
              <w:rPr>
                <w:rFonts w:asciiTheme="majorHAnsi" w:hAnsiTheme="majorHAnsi"/>
              </w:rPr>
            </w:pPr>
            <w:r w:rsidRPr="00734AB6">
              <w:rPr>
                <w:rFonts w:asciiTheme="majorHAnsi" w:hAnsiTheme="majorHAnsi"/>
              </w:rPr>
              <w:t>5.79 (3.49)</w:t>
            </w:r>
          </w:p>
        </w:tc>
        <w:tc>
          <w:tcPr>
            <w:tcW w:w="1985" w:type="dxa"/>
            <w:tcBorders>
              <w:bottom w:val="nil"/>
            </w:tcBorders>
          </w:tcPr>
          <w:p w14:paraId="2B7F1EC9" w14:textId="77777777" w:rsidR="00772E06" w:rsidRPr="00734AB6" w:rsidRDefault="00772E06" w:rsidP="0099584D">
            <w:pPr>
              <w:spacing w:line="360" w:lineRule="auto"/>
              <w:rPr>
                <w:rFonts w:asciiTheme="majorHAnsi" w:hAnsiTheme="majorHAnsi"/>
              </w:rPr>
            </w:pPr>
            <w:r w:rsidRPr="00734AB6">
              <w:rPr>
                <w:rFonts w:asciiTheme="majorHAnsi" w:hAnsiTheme="majorHAnsi"/>
              </w:rPr>
              <w:t>6.05 (3.74)</w:t>
            </w:r>
          </w:p>
        </w:tc>
      </w:tr>
      <w:tr w:rsidR="00772E06" w:rsidRPr="00734AB6" w14:paraId="18623A37" w14:textId="77777777" w:rsidTr="00772E06">
        <w:tc>
          <w:tcPr>
            <w:tcW w:w="846" w:type="dxa"/>
            <w:tcBorders>
              <w:top w:val="nil"/>
              <w:bottom w:val="nil"/>
            </w:tcBorders>
          </w:tcPr>
          <w:p w14:paraId="395B3474" w14:textId="77777777" w:rsidR="00772E06" w:rsidRPr="00734AB6" w:rsidRDefault="00772E06" w:rsidP="0099584D">
            <w:pPr>
              <w:spacing w:line="360" w:lineRule="auto"/>
              <w:rPr>
                <w:rFonts w:asciiTheme="majorHAnsi" w:hAnsiTheme="majorHAnsi"/>
                <w:b/>
              </w:rPr>
            </w:pPr>
          </w:p>
        </w:tc>
        <w:tc>
          <w:tcPr>
            <w:tcW w:w="1417" w:type="dxa"/>
            <w:tcBorders>
              <w:top w:val="nil"/>
              <w:bottom w:val="nil"/>
            </w:tcBorders>
          </w:tcPr>
          <w:p w14:paraId="7AF810C4"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Worse</w:t>
            </w:r>
          </w:p>
        </w:tc>
        <w:tc>
          <w:tcPr>
            <w:tcW w:w="1843" w:type="dxa"/>
            <w:tcBorders>
              <w:top w:val="nil"/>
              <w:bottom w:val="nil"/>
            </w:tcBorders>
          </w:tcPr>
          <w:p w14:paraId="19A82C1C" w14:textId="77777777" w:rsidR="00772E06" w:rsidRPr="00734AB6" w:rsidRDefault="00772E06" w:rsidP="0099584D">
            <w:pPr>
              <w:spacing w:line="360" w:lineRule="auto"/>
              <w:rPr>
                <w:rFonts w:asciiTheme="majorHAnsi" w:hAnsiTheme="majorHAnsi"/>
              </w:rPr>
            </w:pPr>
            <w:r w:rsidRPr="00734AB6">
              <w:rPr>
                <w:rFonts w:asciiTheme="majorHAnsi" w:hAnsiTheme="majorHAnsi"/>
              </w:rPr>
              <w:t>3.43 (2.04)</w:t>
            </w:r>
          </w:p>
        </w:tc>
        <w:tc>
          <w:tcPr>
            <w:tcW w:w="1985" w:type="dxa"/>
            <w:tcBorders>
              <w:top w:val="nil"/>
              <w:bottom w:val="nil"/>
            </w:tcBorders>
          </w:tcPr>
          <w:p w14:paraId="63B10037" w14:textId="77777777" w:rsidR="00772E06" w:rsidRPr="00734AB6" w:rsidRDefault="00772E06" w:rsidP="0099584D">
            <w:pPr>
              <w:spacing w:line="360" w:lineRule="auto"/>
              <w:rPr>
                <w:rFonts w:asciiTheme="majorHAnsi" w:hAnsiTheme="majorHAnsi"/>
              </w:rPr>
            </w:pPr>
            <w:r w:rsidRPr="00734AB6">
              <w:rPr>
                <w:rFonts w:asciiTheme="majorHAnsi" w:hAnsiTheme="majorHAnsi"/>
              </w:rPr>
              <w:t>3.04 (2.15)</w:t>
            </w:r>
          </w:p>
        </w:tc>
      </w:tr>
      <w:tr w:rsidR="00772E06" w:rsidRPr="00734AB6" w14:paraId="4BC31058" w14:textId="77777777" w:rsidTr="00772E06">
        <w:tc>
          <w:tcPr>
            <w:tcW w:w="846" w:type="dxa"/>
            <w:tcBorders>
              <w:top w:val="nil"/>
              <w:bottom w:val="single" w:sz="4" w:space="0" w:color="auto"/>
            </w:tcBorders>
          </w:tcPr>
          <w:p w14:paraId="0B60099B" w14:textId="77777777" w:rsidR="00772E06" w:rsidRPr="00734AB6" w:rsidRDefault="00772E06" w:rsidP="0099584D">
            <w:pPr>
              <w:spacing w:line="360" w:lineRule="auto"/>
              <w:rPr>
                <w:rFonts w:asciiTheme="majorHAnsi" w:hAnsiTheme="majorHAnsi"/>
                <w:b/>
              </w:rPr>
            </w:pPr>
          </w:p>
        </w:tc>
        <w:tc>
          <w:tcPr>
            <w:tcW w:w="1417" w:type="dxa"/>
            <w:tcBorders>
              <w:top w:val="nil"/>
              <w:bottom w:val="single" w:sz="4" w:space="0" w:color="auto"/>
            </w:tcBorders>
          </w:tcPr>
          <w:p w14:paraId="7E5D2691"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Not affected</w:t>
            </w:r>
          </w:p>
        </w:tc>
        <w:tc>
          <w:tcPr>
            <w:tcW w:w="1843" w:type="dxa"/>
            <w:tcBorders>
              <w:top w:val="nil"/>
              <w:bottom w:val="single" w:sz="4" w:space="0" w:color="auto"/>
            </w:tcBorders>
          </w:tcPr>
          <w:p w14:paraId="569D8FC5" w14:textId="77777777" w:rsidR="00772E06" w:rsidRPr="00734AB6" w:rsidRDefault="00772E06" w:rsidP="0099584D">
            <w:pPr>
              <w:spacing w:line="360" w:lineRule="auto"/>
              <w:rPr>
                <w:rFonts w:asciiTheme="majorHAnsi" w:hAnsiTheme="majorHAnsi"/>
              </w:rPr>
            </w:pPr>
            <w:r w:rsidRPr="00734AB6">
              <w:rPr>
                <w:rFonts w:asciiTheme="majorHAnsi" w:hAnsiTheme="majorHAnsi"/>
              </w:rPr>
              <w:t>6.92 (5.84)</w:t>
            </w:r>
          </w:p>
        </w:tc>
        <w:tc>
          <w:tcPr>
            <w:tcW w:w="1985" w:type="dxa"/>
            <w:tcBorders>
              <w:top w:val="nil"/>
              <w:bottom w:val="single" w:sz="4" w:space="0" w:color="auto"/>
            </w:tcBorders>
          </w:tcPr>
          <w:p w14:paraId="75A16596" w14:textId="77777777" w:rsidR="00772E06" w:rsidRPr="00734AB6" w:rsidRDefault="00772E06" w:rsidP="0099584D">
            <w:pPr>
              <w:spacing w:line="360" w:lineRule="auto"/>
              <w:rPr>
                <w:rFonts w:asciiTheme="majorHAnsi" w:hAnsiTheme="majorHAnsi"/>
              </w:rPr>
            </w:pPr>
            <w:r w:rsidRPr="00734AB6">
              <w:rPr>
                <w:rFonts w:asciiTheme="majorHAnsi" w:hAnsiTheme="majorHAnsi"/>
              </w:rPr>
              <w:t>5.79 (5.85)</w:t>
            </w:r>
          </w:p>
        </w:tc>
      </w:tr>
      <w:tr w:rsidR="00772E06" w:rsidRPr="00734AB6" w14:paraId="0D926AAF" w14:textId="77777777" w:rsidTr="00772E06">
        <w:tc>
          <w:tcPr>
            <w:tcW w:w="846" w:type="dxa"/>
            <w:tcBorders>
              <w:bottom w:val="nil"/>
            </w:tcBorders>
          </w:tcPr>
          <w:p w14:paraId="1556ECB1"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lastRenderedPageBreak/>
              <w:t>ASRS</w:t>
            </w:r>
          </w:p>
        </w:tc>
        <w:tc>
          <w:tcPr>
            <w:tcW w:w="1417" w:type="dxa"/>
            <w:tcBorders>
              <w:bottom w:val="nil"/>
            </w:tcBorders>
          </w:tcPr>
          <w:p w14:paraId="42C30B48"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Better</w:t>
            </w:r>
          </w:p>
        </w:tc>
        <w:tc>
          <w:tcPr>
            <w:tcW w:w="1843" w:type="dxa"/>
            <w:tcBorders>
              <w:bottom w:val="nil"/>
            </w:tcBorders>
          </w:tcPr>
          <w:p w14:paraId="4F949FD9" w14:textId="77777777" w:rsidR="00772E06" w:rsidRPr="00734AB6" w:rsidRDefault="00772E06" w:rsidP="0099584D">
            <w:pPr>
              <w:spacing w:line="360" w:lineRule="auto"/>
              <w:rPr>
                <w:rFonts w:asciiTheme="majorHAnsi" w:hAnsiTheme="majorHAnsi"/>
              </w:rPr>
            </w:pPr>
            <w:r w:rsidRPr="00734AB6">
              <w:rPr>
                <w:rFonts w:asciiTheme="majorHAnsi" w:hAnsiTheme="majorHAnsi"/>
              </w:rPr>
              <w:t>6.21 (2.94)</w:t>
            </w:r>
          </w:p>
        </w:tc>
        <w:tc>
          <w:tcPr>
            <w:tcW w:w="1985" w:type="dxa"/>
            <w:tcBorders>
              <w:bottom w:val="nil"/>
            </w:tcBorders>
          </w:tcPr>
          <w:p w14:paraId="13C527BE" w14:textId="77777777" w:rsidR="00772E06" w:rsidRPr="00734AB6" w:rsidRDefault="00772E06" w:rsidP="0099584D">
            <w:pPr>
              <w:spacing w:line="360" w:lineRule="auto"/>
              <w:rPr>
                <w:rFonts w:asciiTheme="majorHAnsi" w:hAnsiTheme="majorHAnsi"/>
              </w:rPr>
            </w:pPr>
            <w:r w:rsidRPr="00734AB6">
              <w:rPr>
                <w:rFonts w:asciiTheme="majorHAnsi" w:hAnsiTheme="majorHAnsi"/>
              </w:rPr>
              <w:t>6.05 (4.32)</w:t>
            </w:r>
          </w:p>
        </w:tc>
      </w:tr>
      <w:tr w:rsidR="00772E06" w:rsidRPr="00734AB6" w14:paraId="455BDE8E" w14:textId="77777777" w:rsidTr="00772E06">
        <w:tc>
          <w:tcPr>
            <w:tcW w:w="846" w:type="dxa"/>
            <w:tcBorders>
              <w:top w:val="nil"/>
              <w:bottom w:val="nil"/>
            </w:tcBorders>
          </w:tcPr>
          <w:p w14:paraId="45137A10" w14:textId="77777777" w:rsidR="00772E06" w:rsidRPr="00734AB6" w:rsidRDefault="00772E06" w:rsidP="0099584D">
            <w:pPr>
              <w:spacing w:line="360" w:lineRule="auto"/>
              <w:rPr>
                <w:rFonts w:asciiTheme="majorHAnsi" w:hAnsiTheme="majorHAnsi"/>
                <w:b/>
              </w:rPr>
            </w:pPr>
          </w:p>
        </w:tc>
        <w:tc>
          <w:tcPr>
            <w:tcW w:w="1417" w:type="dxa"/>
            <w:tcBorders>
              <w:top w:val="nil"/>
              <w:bottom w:val="nil"/>
            </w:tcBorders>
          </w:tcPr>
          <w:p w14:paraId="173EA463"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Worse</w:t>
            </w:r>
          </w:p>
        </w:tc>
        <w:tc>
          <w:tcPr>
            <w:tcW w:w="1843" w:type="dxa"/>
            <w:tcBorders>
              <w:top w:val="nil"/>
              <w:bottom w:val="nil"/>
            </w:tcBorders>
          </w:tcPr>
          <w:p w14:paraId="59352502" w14:textId="77777777" w:rsidR="00772E06" w:rsidRPr="00734AB6" w:rsidRDefault="00772E06" w:rsidP="0099584D">
            <w:pPr>
              <w:spacing w:line="360" w:lineRule="auto"/>
              <w:rPr>
                <w:rFonts w:asciiTheme="majorHAnsi" w:hAnsiTheme="majorHAnsi"/>
              </w:rPr>
            </w:pPr>
            <w:r w:rsidRPr="00734AB6">
              <w:rPr>
                <w:rFonts w:asciiTheme="majorHAnsi" w:hAnsiTheme="majorHAnsi"/>
              </w:rPr>
              <w:t>3.04 (2.15)</w:t>
            </w:r>
          </w:p>
        </w:tc>
        <w:tc>
          <w:tcPr>
            <w:tcW w:w="1985" w:type="dxa"/>
            <w:tcBorders>
              <w:top w:val="nil"/>
              <w:bottom w:val="nil"/>
            </w:tcBorders>
          </w:tcPr>
          <w:p w14:paraId="66D99CA9" w14:textId="77777777" w:rsidR="00772E06" w:rsidRPr="00734AB6" w:rsidRDefault="00772E06" w:rsidP="0099584D">
            <w:pPr>
              <w:spacing w:line="360" w:lineRule="auto"/>
              <w:rPr>
                <w:rFonts w:asciiTheme="majorHAnsi" w:hAnsiTheme="majorHAnsi"/>
              </w:rPr>
            </w:pPr>
            <w:r w:rsidRPr="00734AB6">
              <w:rPr>
                <w:rFonts w:asciiTheme="majorHAnsi" w:hAnsiTheme="majorHAnsi"/>
              </w:rPr>
              <w:t>3.54 (2.87)</w:t>
            </w:r>
          </w:p>
        </w:tc>
      </w:tr>
      <w:tr w:rsidR="00772E06" w:rsidRPr="00734AB6" w14:paraId="7E138FC7" w14:textId="77777777" w:rsidTr="00772E06">
        <w:tc>
          <w:tcPr>
            <w:tcW w:w="846" w:type="dxa"/>
            <w:tcBorders>
              <w:top w:val="nil"/>
            </w:tcBorders>
          </w:tcPr>
          <w:p w14:paraId="7075BB49" w14:textId="77777777" w:rsidR="00772E06" w:rsidRPr="00734AB6" w:rsidRDefault="00772E06" w:rsidP="0099584D">
            <w:pPr>
              <w:spacing w:line="360" w:lineRule="auto"/>
              <w:rPr>
                <w:rFonts w:asciiTheme="majorHAnsi" w:hAnsiTheme="majorHAnsi"/>
                <w:b/>
              </w:rPr>
            </w:pPr>
          </w:p>
        </w:tc>
        <w:tc>
          <w:tcPr>
            <w:tcW w:w="1417" w:type="dxa"/>
            <w:tcBorders>
              <w:top w:val="nil"/>
            </w:tcBorders>
          </w:tcPr>
          <w:p w14:paraId="6F9EC738" w14:textId="77777777" w:rsidR="00772E06" w:rsidRPr="00734AB6" w:rsidRDefault="00772E06" w:rsidP="0099584D">
            <w:pPr>
              <w:spacing w:line="360" w:lineRule="auto"/>
              <w:rPr>
                <w:rFonts w:asciiTheme="majorHAnsi" w:hAnsiTheme="majorHAnsi"/>
                <w:b/>
              </w:rPr>
            </w:pPr>
            <w:r w:rsidRPr="00734AB6">
              <w:rPr>
                <w:rFonts w:asciiTheme="majorHAnsi" w:hAnsiTheme="majorHAnsi"/>
                <w:b/>
              </w:rPr>
              <w:t>Not affected</w:t>
            </w:r>
          </w:p>
        </w:tc>
        <w:tc>
          <w:tcPr>
            <w:tcW w:w="1843" w:type="dxa"/>
            <w:tcBorders>
              <w:top w:val="nil"/>
            </w:tcBorders>
          </w:tcPr>
          <w:p w14:paraId="394D982B" w14:textId="77777777" w:rsidR="00772E06" w:rsidRPr="00734AB6" w:rsidRDefault="00772E06" w:rsidP="0099584D">
            <w:pPr>
              <w:spacing w:line="360" w:lineRule="auto"/>
              <w:rPr>
                <w:rFonts w:asciiTheme="majorHAnsi" w:hAnsiTheme="majorHAnsi"/>
              </w:rPr>
            </w:pPr>
            <w:r w:rsidRPr="00734AB6">
              <w:rPr>
                <w:rFonts w:asciiTheme="majorHAnsi" w:hAnsiTheme="majorHAnsi"/>
              </w:rPr>
              <w:t>6.85 (4.05)</w:t>
            </w:r>
          </w:p>
        </w:tc>
        <w:tc>
          <w:tcPr>
            <w:tcW w:w="1985" w:type="dxa"/>
            <w:tcBorders>
              <w:top w:val="nil"/>
            </w:tcBorders>
          </w:tcPr>
          <w:p w14:paraId="70D387F4" w14:textId="77777777" w:rsidR="00772E06" w:rsidRPr="00734AB6" w:rsidRDefault="00772E06" w:rsidP="0099584D">
            <w:pPr>
              <w:spacing w:line="360" w:lineRule="auto"/>
              <w:rPr>
                <w:rFonts w:asciiTheme="majorHAnsi" w:hAnsiTheme="majorHAnsi"/>
              </w:rPr>
            </w:pPr>
            <w:r w:rsidRPr="00734AB6">
              <w:rPr>
                <w:rFonts w:asciiTheme="majorHAnsi" w:hAnsiTheme="majorHAnsi"/>
              </w:rPr>
              <w:t>5.21 (5.28)</w:t>
            </w:r>
          </w:p>
        </w:tc>
      </w:tr>
    </w:tbl>
    <w:p w14:paraId="4F7FB41C" w14:textId="77777777" w:rsidR="00772E06" w:rsidRPr="00734AB6" w:rsidRDefault="00772E06" w:rsidP="0099584D">
      <w:pPr>
        <w:spacing w:line="360" w:lineRule="auto"/>
        <w:ind w:firstLine="720"/>
        <w:rPr>
          <w:rFonts w:asciiTheme="majorHAnsi" w:hAnsiTheme="majorHAnsi"/>
        </w:rPr>
      </w:pPr>
    </w:p>
    <w:p w14:paraId="712D88E2" w14:textId="77777777" w:rsidR="00772E06" w:rsidRPr="00734AB6" w:rsidRDefault="00772E06" w:rsidP="0099584D">
      <w:pPr>
        <w:spacing w:line="360" w:lineRule="auto"/>
        <w:ind w:firstLine="720"/>
        <w:rPr>
          <w:rFonts w:asciiTheme="majorHAnsi" w:hAnsiTheme="majorHAnsi"/>
        </w:rPr>
      </w:pPr>
      <w:r w:rsidRPr="00734AB6">
        <w:rPr>
          <w:rFonts w:asciiTheme="majorHAnsi" w:hAnsiTheme="majorHAnsi"/>
        </w:rPr>
        <w:t xml:space="preserve">The Chi-square analysis found that there was a significant association between group type and questionnaire type, </w:t>
      </w:r>
      <w:r w:rsidRPr="00734AB6">
        <w:rPr>
          <w:rFonts w:asciiTheme="majorHAnsi" w:hAnsiTheme="majorHAnsi"/>
          <w:lang w:val="el-GR"/>
        </w:rPr>
        <w:t>χ</w:t>
      </w:r>
      <w:r w:rsidRPr="00734AB6">
        <w:rPr>
          <w:rFonts w:asciiTheme="majorHAnsi" w:hAnsiTheme="majorHAnsi"/>
          <w:vertAlign w:val="superscript"/>
        </w:rPr>
        <w:t>2</w:t>
      </w:r>
      <w:r w:rsidRPr="00734AB6">
        <w:rPr>
          <w:rFonts w:asciiTheme="majorHAnsi" w:hAnsiTheme="majorHAnsi"/>
        </w:rPr>
        <w:t>(</w:t>
      </w:r>
      <w:r w:rsidRPr="00734AB6">
        <w:rPr>
          <w:rFonts w:asciiTheme="majorHAnsi" w:hAnsiTheme="majorHAnsi"/>
          <w:vertAlign w:val="subscript"/>
        </w:rPr>
        <w:t>2, 249</w:t>
      </w:r>
      <w:r w:rsidRPr="00734AB6">
        <w:rPr>
          <w:rFonts w:asciiTheme="majorHAnsi" w:hAnsiTheme="majorHAnsi"/>
        </w:rPr>
        <w:t xml:space="preserve">) = 29.40, </w:t>
      </w:r>
      <w:r w:rsidRPr="00734AB6">
        <w:rPr>
          <w:rFonts w:asciiTheme="majorHAnsi" w:hAnsiTheme="majorHAnsi"/>
          <w:i/>
        </w:rPr>
        <w:t>p</w:t>
      </w:r>
      <w:r w:rsidRPr="00734AB6">
        <w:rPr>
          <w:rFonts w:asciiTheme="majorHAnsi" w:hAnsiTheme="majorHAnsi"/>
        </w:rPr>
        <w:t xml:space="preserve"> &lt; .001. The modafinil-only group were more likely to report a valence of outcome on modafinil with the CFQ compared with the ASRS and GPS and compared with the methylphenidate group. The most commonly reported valence of outcome on modafinil was ‘not affected’. However, Cramer’s V was .057 indicating that this was a weak association. </w:t>
      </w:r>
    </w:p>
    <w:p w14:paraId="7AE949D2" w14:textId="77777777" w:rsidR="00772E06" w:rsidRPr="00734AB6" w:rsidRDefault="00772E06" w:rsidP="0099584D">
      <w:pPr>
        <w:spacing w:line="360" w:lineRule="auto"/>
        <w:ind w:firstLine="720"/>
        <w:rPr>
          <w:rFonts w:asciiTheme="majorHAnsi" w:hAnsiTheme="majorHAnsi"/>
        </w:rPr>
      </w:pPr>
      <w:r w:rsidRPr="00734AB6">
        <w:rPr>
          <w:rFonts w:asciiTheme="majorHAnsi" w:hAnsiTheme="majorHAnsi"/>
        </w:rPr>
        <w:t xml:space="preserve">The Chi-square analysis found that there was a significant association between questionnaire type and reported valence of outcome, </w:t>
      </w:r>
      <w:r w:rsidRPr="00734AB6">
        <w:rPr>
          <w:rFonts w:asciiTheme="majorHAnsi" w:hAnsiTheme="majorHAnsi"/>
          <w:lang w:val="el-GR"/>
        </w:rPr>
        <w:t>χ</w:t>
      </w:r>
      <w:r w:rsidRPr="00734AB6">
        <w:rPr>
          <w:rFonts w:asciiTheme="majorHAnsi" w:hAnsiTheme="majorHAnsi"/>
          <w:vertAlign w:val="superscript"/>
        </w:rPr>
        <w:t>2</w:t>
      </w:r>
      <w:r w:rsidRPr="00734AB6">
        <w:rPr>
          <w:rFonts w:asciiTheme="majorHAnsi" w:hAnsiTheme="majorHAnsi"/>
        </w:rPr>
        <w:t>(</w:t>
      </w:r>
      <w:r w:rsidRPr="00734AB6">
        <w:rPr>
          <w:rFonts w:asciiTheme="majorHAnsi" w:hAnsiTheme="majorHAnsi"/>
          <w:vertAlign w:val="subscript"/>
        </w:rPr>
        <w:t>4, 249</w:t>
      </w:r>
      <w:r w:rsidRPr="00734AB6">
        <w:rPr>
          <w:rFonts w:asciiTheme="majorHAnsi" w:hAnsiTheme="majorHAnsi"/>
        </w:rPr>
        <w:t xml:space="preserve">) = 314.87, </w:t>
      </w:r>
      <w:r w:rsidRPr="00734AB6">
        <w:rPr>
          <w:rFonts w:asciiTheme="majorHAnsi" w:hAnsiTheme="majorHAnsi"/>
          <w:i/>
        </w:rPr>
        <w:t>p</w:t>
      </w:r>
      <w:r w:rsidRPr="00734AB6">
        <w:rPr>
          <w:rFonts w:asciiTheme="majorHAnsi" w:hAnsiTheme="majorHAnsi"/>
        </w:rPr>
        <w:t xml:space="preserve"> &lt; .001. The modafinil-only and methylphenidate groups were more likely to report no effects via the CFQ whilst on modafinil and methylphenidate compared to the ASRS and GPS. The most commonly reported valence of outcome on modafinil for the GPS was ‘not affected’ although this was only slightly higher than ‘better’, whereas on methylphenidate the most common valence of outcome for the GPS was better, but this was only slightly higher than ‘not affected’. For the ASRS, the most commonly reported valence of outcome on modafinil was ‘not affected’, but again, this was only slightly higher than ‘better’, whereas on methylphenidate the most common valence of outcome was ‘better’, but again, this was only slightly higher than ‘not affected’. However, Cramer’s V was .117, indicating that this was a weak association.</w:t>
      </w:r>
    </w:p>
    <w:p w14:paraId="62C20A14" w14:textId="77777777" w:rsidR="00772E06" w:rsidRPr="00734AB6" w:rsidRDefault="00772E06" w:rsidP="0099584D">
      <w:pPr>
        <w:spacing w:line="360" w:lineRule="auto"/>
        <w:ind w:firstLine="720"/>
        <w:rPr>
          <w:rFonts w:asciiTheme="majorHAnsi" w:hAnsiTheme="majorHAnsi"/>
        </w:rPr>
      </w:pPr>
    </w:p>
    <w:p w14:paraId="490986CB" w14:textId="77777777" w:rsidR="00772E06" w:rsidRPr="00734AB6" w:rsidRDefault="00772E06" w:rsidP="00594D41">
      <w:pPr>
        <w:pStyle w:val="Heading2"/>
        <w:spacing w:after="240" w:line="360" w:lineRule="auto"/>
        <w:rPr>
          <w:b/>
          <w:color w:val="auto"/>
          <w:sz w:val="22"/>
          <w:szCs w:val="22"/>
        </w:rPr>
      </w:pPr>
      <w:bookmarkStart w:id="72" w:name="_Toc48136363"/>
      <w:r w:rsidRPr="00734AB6">
        <w:rPr>
          <w:b/>
          <w:color w:val="auto"/>
          <w:sz w:val="22"/>
          <w:szCs w:val="22"/>
        </w:rPr>
        <w:t>3.4</w:t>
      </w:r>
      <w:r w:rsidRPr="00734AB6">
        <w:rPr>
          <w:b/>
          <w:color w:val="auto"/>
          <w:sz w:val="22"/>
          <w:szCs w:val="22"/>
        </w:rPr>
        <w:tab/>
        <w:t>Discussion</w:t>
      </w:r>
      <w:bookmarkEnd w:id="72"/>
    </w:p>
    <w:p w14:paraId="0D84F84F" w14:textId="61328E27" w:rsidR="00772E06" w:rsidRPr="00734AB6" w:rsidRDefault="00772E06" w:rsidP="0099584D">
      <w:pPr>
        <w:spacing w:line="360" w:lineRule="auto"/>
        <w:ind w:firstLine="709"/>
        <w:rPr>
          <w:rFonts w:asciiTheme="majorHAnsi" w:hAnsiTheme="majorHAnsi"/>
        </w:rPr>
      </w:pPr>
      <w:r w:rsidRPr="00734AB6">
        <w:rPr>
          <w:rFonts w:asciiTheme="majorHAnsi" w:hAnsiTheme="majorHAnsi"/>
        </w:rPr>
        <w:t>This study used an online survey to further investigate the self-reported cognitive performance of reported off-prescription user</w:t>
      </w:r>
      <w:r w:rsidR="002D2485" w:rsidRPr="00734AB6">
        <w:rPr>
          <w:rFonts w:asciiTheme="majorHAnsi" w:hAnsiTheme="majorHAnsi"/>
        </w:rPr>
        <w:t>s</w:t>
      </w:r>
      <w:r w:rsidRPr="00734AB6">
        <w:rPr>
          <w:rFonts w:asciiTheme="majorHAnsi" w:hAnsiTheme="majorHAnsi"/>
        </w:rPr>
        <w:t xml:space="preserve"> of modafinil and methylphenidate </w:t>
      </w:r>
      <w:r w:rsidRPr="00734AB6">
        <w:rPr>
          <w:rFonts w:asciiTheme="majorHAnsi" w:hAnsiTheme="majorHAnsi" w:cs="Calibri"/>
        </w:rPr>
        <w:t xml:space="preserve">among an international sample of individuals who were either visitors of CED forums, student forums and other non-CED forums. In line with Study 1, this survey covered various aspects of off-prescription use, including demographics, psychiatric health and illicit drug use, but this study also included cannabis use, nicotine and alcohol use. The overall aim of this study was to investigate </w:t>
      </w:r>
      <w:r w:rsidRPr="00734AB6">
        <w:rPr>
          <w:rFonts w:asciiTheme="majorHAnsi" w:hAnsiTheme="majorHAnsi"/>
        </w:rPr>
        <w:t xml:space="preserve">whether reported off-prescription users of modafinil and methylphenidate perceive that they have poorer cognitive performance for which they may be self-medicating. This was achieved through the use of the ASRS, CFQ and GPS. The results indicate that both the modafinil-only and methylphenidate groups reported significantly greater symptoms of inattention and </w:t>
      </w:r>
      <w:r w:rsidRPr="00734AB6">
        <w:rPr>
          <w:rFonts w:asciiTheme="majorHAnsi" w:hAnsiTheme="majorHAnsi"/>
        </w:rPr>
        <w:lastRenderedPageBreak/>
        <w:t xml:space="preserve">procrastination compared with the control group, and significantly lower cognitive failures relating to everyday memory, distractibility, blunders and names compared with the control group. </w:t>
      </w:r>
    </w:p>
    <w:p w14:paraId="4136AB04" w14:textId="20655D5A"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Consistent with Study 1, many more respondents reported taking only modafinil than only methylphenidate and again, this may be due to easier access to modafinil than methylphenidate, with a greater number of websites offering access to modafinil than to methylphenidate </w:t>
      </w:r>
      <w:r w:rsidR="005F79F1" w:rsidRPr="00734AB6">
        <w:rPr>
          <w:rFonts w:asciiTheme="majorHAnsi" w:hAnsiTheme="majorHAnsi"/>
        </w:rPr>
        <w:t>(</w:t>
      </w:r>
      <w:proofErr w:type="spellStart"/>
      <w:r w:rsidR="005F79F1" w:rsidRPr="00734AB6">
        <w:rPr>
          <w:rFonts w:asciiTheme="majorHAnsi" w:hAnsiTheme="majorHAnsi"/>
        </w:rPr>
        <w:t>Hockenhull</w:t>
      </w:r>
      <w:proofErr w:type="spellEnd"/>
      <w:r w:rsidR="005F79F1" w:rsidRPr="00734AB6">
        <w:rPr>
          <w:rFonts w:asciiTheme="majorHAnsi" w:hAnsiTheme="majorHAnsi"/>
        </w:rPr>
        <w:t>, Wood &amp; Dargan, 2020</w:t>
      </w:r>
      <w:r w:rsidRPr="00734AB6">
        <w:rPr>
          <w:rFonts w:asciiTheme="majorHAnsi" w:hAnsiTheme="majorHAnsi"/>
        </w:rPr>
        <w:t>). The heavier penalty for possession of methylphenidate in Britain (</w:t>
      </w:r>
      <w:r w:rsidRPr="00734AB6">
        <w:rPr>
          <w:rFonts w:asciiTheme="majorHAnsi" w:hAnsiTheme="majorHAnsi" w:cs="Calibri"/>
        </w:rPr>
        <w:t>Drugs penalties, n.d.</w:t>
      </w:r>
      <w:r w:rsidRPr="00734AB6">
        <w:rPr>
          <w:rFonts w:asciiTheme="majorHAnsi" w:hAnsiTheme="majorHAnsi"/>
        </w:rPr>
        <w:t xml:space="preserve">) and in America (Yeh, 2011) may also be a factor. The majority of both the modafinil-only and methylphenidate groups were male, which again is consistent with Study 1, compared with the roughly equal split between males and females in the control group. It was unclear from the results of Study 1 whether the high majority of males was an artefact of recruiting via online forums. As the control group in the current study </w:t>
      </w:r>
      <w:r w:rsidR="00CA29E7" w:rsidRPr="00734AB6">
        <w:rPr>
          <w:rFonts w:asciiTheme="majorHAnsi" w:hAnsiTheme="majorHAnsi"/>
        </w:rPr>
        <w:t>were</w:t>
      </w:r>
      <w:r w:rsidRPr="00734AB6">
        <w:rPr>
          <w:rFonts w:asciiTheme="majorHAnsi" w:hAnsiTheme="majorHAnsi"/>
        </w:rPr>
        <w:t xml:space="preserve"> also recruited via online forums, this suggests that males are, in fact, more likely to use CEDs. In support of this finding, a higher majority of CED-using males was also reported in earlier studies (Frank et al., 2011; McCabe et al., 2006; </w:t>
      </w:r>
      <w:proofErr w:type="spellStart"/>
      <w:r w:rsidRPr="00734AB6">
        <w:rPr>
          <w:rFonts w:asciiTheme="majorHAnsi" w:hAnsiTheme="majorHAnsi"/>
        </w:rPr>
        <w:t>Rabiner</w:t>
      </w:r>
      <w:proofErr w:type="spellEnd"/>
      <w:r w:rsidRPr="00734AB6">
        <w:rPr>
          <w:rFonts w:asciiTheme="majorHAnsi" w:hAnsiTheme="majorHAnsi"/>
        </w:rPr>
        <w:t xml:space="preserve"> et al., 2009). The majority of respondents were </w:t>
      </w:r>
      <w:r w:rsidR="00BC6247" w:rsidRPr="00734AB6">
        <w:rPr>
          <w:rFonts w:asciiTheme="majorHAnsi" w:hAnsiTheme="majorHAnsi"/>
        </w:rPr>
        <w:t>North American</w:t>
      </w:r>
      <w:r w:rsidRPr="00734AB6">
        <w:rPr>
          <w:rFonts w:asciiTheme="majorHAnsi" w:hAnsiTheme="majorHAnsi"/>
        </w:rPr>
        <w:t xml:space="preserve"> and British which was also seen in Study 1. However, greater numbers of British than </w:t>
      </w:r>
      <w:r w:rsidR="00BC6247" w:rsidRPr="00734AB6">
        <w:rPr>
          <w:rFonts w:asciiTheme="majorHAnsi" w:hAnsiTheme="majorHAnsi"/>
        </w:rPr>
        <w:t>North American</w:t>
      </w:r>
      <w:r w:rsidRPr="00734AB6">
        <w:rPr>
          <w:rFonts w:asciiTheme="majorHAnsi" w:hAnsiTheme="majorHAnsi"/>
        </w:rPr>
        <w:t xml:space="preserve">s were reported in the modafinil-only group and this may be due to the </w:t>
      </w:r>
      <w:r w:rsidR="00B3236D" w:rsidRPr="00734AB6">
        <w:rPr>
          <w:rFonts w:asciiTheme="majorHAnsi" w:hAnsiTheme="majorHAnsi"/>
        </w:rPr>
        <w:t xml:space="preserve">easier </w:t>
      </w:r>
      <w:r w:rsidRPr="00734AB6">
        <w:rPr>
          <w:rFonts w:asciiTheme="majorHAnsi" w:hAnsiTheme="majorHAnsi"/>
        </w:rPr>
        <w:t>access to modafini</w:t>
      </w:r>
      <w:r w:rsidR="00DA7027" w:rsidRPr="00734AB6">
        <w:rPr>
          <w:rFonts w:asciiTheme="majorHAnsi" w:hAnsiTheme="majorHAnsi"/>
        </w:rPr>
        <w:t>l in Britain (</w:t>
      </w:r>
      <w:proofErr w:type="spellStart"/>
      <w:r w:rsidR="00DA7027" w:rsidRPr="00734AB6">
        <w:rPr>
          <w:rFonts w:asciiTheme="majorHAnsi" w:hAnsiTheme="majorHAnsi"/>
        </w:rPr>
        <w:t>Hockenhull</w:t>
      </w:r>
      <w:proofErr w:type="spellEnd"/>
      <w:r w:rsidR="00DA7027" w:rsidRPr="00734AB6">
        <w:rPr>
          <w:rFonts w:asciiTheme="majorHAnsi" w:hAnsiTheme="majorHAnsi"/>
        </w:rPr>
        <w:t xml:space="preserve"> et al.</w:t>
      </w:r>
      <w:r w:rsidR="00F05116" w:rsidRPr="00734AB6">
        <w:rPr>
          <w:rFonts w:asciiTheme="majorHAnsi" w:hAnsiTheme="majorHAnsi"/>
        </w:rPr>
        <w:t>, 2020</w:t>
      </w:r>
      <w:r w:rsidRPr="00734AB6">
        <w:rPr>
          <w:rFonts w:asciiTheme="majorHAnsi" w:hAnsiTheme="majorHAnsi"/>
        </w:rPr>
        <w:t xml:space="preserve">). The majority of modafinil-only and control respondents reported having been awarded with a university degree whilst the majority of the methylphenidate group reported having been educated to 18 years. However, the majority of reported methylphenidate users also stated that they are currently studying for a qualification. Roughly half of the modafinil-only group reported that they were currently studying whereas the majority of controls reported that they were not studying. This suggests that modafinil-only and methylphenidate respondents may be using modafinil and methylphenidate specifically for study purposes rather than for work, or that students are more likely to use modafinil and </w:t>
      </w:r>
      <w:proofErr w:type="spellStart"/>
      <w:r w:rsidRPr="00734AB6">
        <w:rPr>
          <w:rFonts w:asciiTheme="majorHAnsi" w:hAnsiTheme="majorHAnsi"/>
        </w:rPr>
        <w:t>methylpenidate</w:t>
      </w:r>
      <w:proofErr w:type="spellEnd"/>
      <w:r w:rsidRPr="00734AB6">
        <w:rPr>
          <w:rFonts w:asciiTheme="majorHAnsi" w:hAnsiTheme="majorHAnsi"/>
        </w:rPr>
        <w:t xml:space="preserve">. However, the literature so far has focused mostly on student use. One study advertised in the </w:t>
      </w:r>
      <w:proofErr w:type="spellStart"/>
      <w:r w:rsidRPr="00734AB6">
        <w:rPr>
          <w:rFonts w:asciiTheme="majorHAnsi" w:hAnsiTheme="majorHAnsi"/>
        </w:rPr>
        <w:t>Handelslblatt</w:t>
      </w:r>
      <w:proofErr w:type="spellEnd"/>
      <w:r w:rsidRPr="00734AB6">
        <w:rPr>
          <w:rFonts w:asciiTheme="majorHAnsi" w:hAnsiTheme="majorHAnsi"/>
        </w:rPr>
        <w:t xml:space="preserve">, a leading German economics publication collected data from office workers, students and unemployed respondents in relation to a wide range of legal and illicit cognitive enhancers (Dietz et al., 2016). Although the majority of respondents were office workers rather than students, </w:t>
      </w:r>
      <w:proofErr w:type="spellStart"/>
      <w:r w:rsidRPr="00734AB6">
        <w:rPr>
          <w:rFonts w:asciiTheme="majorHAnsi" w:hAnsiTheme="majorHAnsi"/>
        </w:rPr>
        <w:t>Deitz</w:t>
      </w:r>
      <w:proofErr w:type="spellEnd"/>
      <w:r w:rsidRPr="00734AB6">
        <w:rPr>
          <w:rFonts w:asciiTheme="majorHAnsi" w:hAnsiTheme="majorHAnsi"/>
        </w:rPr>
        <w:t xml:space="preserve"> et al.’s </w:t>
      </w:r>
      <w:r w:rsidR="00F05116" w:rsidRPr="00734AB6">
        <w:rPr>
          <w:rFonts w:asciiTheme="majorHAnsi" w:hAnsiTheme="majorHAnsi"/>
        </w:rPr>
        <w:t xml:space="preserve">(2016) </w:t>
      </w:r>
      <w:r w:rsidRPr="00734AB6">
        <w:rPr>
          <w:rFonts w:asciiTheme="majorHAnsi" w:hAnsiTheme="majorHAnsi"/>
        </w:rPr>
        <w:t xml:space="preserve">study did not identify the percentage of each group who were using off-prescription cognitive enhancers such as modafinil and methylphenidate. To the author’s knowledge, only Study 1 and the current study have looked at the off-prescription use of modafinil and methylphenidate more broadly across students, the employed and unemployed. The data from the current study suggests that off-prescription use of modafinil and methylphenidate is more common amongst students than other online forum users. Whilst this suggests that modafinil and methylphenidate are being used as study drugs, </w:t>
      </w:r>
      <w:r w:rsidRPr="00734AB6">
        <w:rPr>
          <w:rFonts w:asciiTheme="majorHAnsi" w:hAnsiTheme="majorHAnsi"/>
        </w:rPr>
        <w:lastRenderedPageBreak/>
        <w:t xml:space="preserve">there is a lack of research on the use of CEDs in the workplace or amongst the unemployed and this should be a focus of future research.  </w:t>
      </w:r>
    </w:p>
    <w:p w14:paraId="694B9AC2" w14:textId="77777777"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percentages of respondents who reported a psychiatric diagnosis were roughly equal between groups, although highest amongst the controls. Study 1 interpreted the rates of psychiatric diagnosis as being higher amongst CED users. However, the findings of the current study suggest that this may instead reflect a feature of those who use online forums, or at least the forum sites targeted in Study 1 and in the current study. The use of social media platforms has been associated with depression and anxiety (e.g. </w:t>
      </w:r>
      <w:proofErr w:type="spellStart"/>
      <w:r w:rsidRPr="00734AB6">
        <w:rPr>
          <w:rFonts w:asciiTheme="majorHAnsi" w:hAnsiTheme="majorHAnsi"/>
        </w:rPr>
        <w:t>Kross</w:t>
      </w:r>
      <w:proofErr w:type="spellEnd"/>
      <w:r w:rsidRPr="00734AB6">
        <w:rPr>
          <w:rFonts w:asciiTheme="majorHAnsi" w:hAnsiTheme="majorHAnsi"/>
        </w:rPr>
        <w:t xml:space="preserve"> et al., 2013; Lin et al., 2016; Primack et al., 2017). As Shelton, Lo and </w:t>
      </w:r>
      <w:proofErr w:type="spellStart"/>
      <w:r w:rsidRPr="00734AB6">
        <w:rPr>
          <w:rFonts w:asciiTheme="majorHAnsi" w:hAnsiTheme="majorHAnsi"/>
        </w:rPr>
        <w:t>Nardi</w:t>
      </w:r>
      <w:proofErr w:type="spellEnd"/>
      <w:r w:rsidRPr="00734AB6">
        <w:rPr>
          <w:rFonts w:asciiTheme="majorHAnsi" w:hAnsiTheme="majorHAnsi"/>
        </w:rPr>
        <w:t xml:space="preserve"> (2015) found, the anonymity offered by forum sites such as Reddit allow users the disinhibition and open disclosure without the accountability and for those with psychiatric disorders who may experience the stigmatisms associated, this may provide an attractive platform through which to engage with others. Some reported modafinil and methylphenidate users state that they are still taking psychiatric medications and these may impair their cognitive abilities and may also interact with modafinil and methylphenidate. A higher percentage of reported methylphenidate users stated that they had been diagnosed with a drug or alcohol problem. This may suggest that people who are more likely to experience problematic drug use are more drawn to using methylphenidate than modafinil or that methylphenidate users are more likely to engage in recreational drug than modafinil users and controls. </w:t>
      </w:r>
    </w:p>
    <w:p w14:paraId="147CEA4F" w14:textId="5CF387BC"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Lifetime use of cannabis was higher for both the modafinil-only and methylphenidate groups compared with controls, and this was highest in the methylphenidate group. Additionally, a higher percentage of reported methylphenidate users indicated regular cannabis use compared </w:t>
      </w:r>
      <w:r w:rsidR="002D2485" w:rsidRPr="00734AB6">
        <w:rPr>
          <w:rFonts w:asciiTheme="majorHAnsi" w:hAnsiTheme="majorHAnsi"/>
        </w:rPr>
        <w:t>with</w:t>
      </w:r>
      <w:r w:rsidRPr="00734AB6">
        <w:rPr>
          <w:rFonts w:asciiTheme="majorHAnsi" w:hAnsiTheme="majorHAnsi"/>
        </w:rPr>
        <w:t xml:space="preserve"> the modafinil-only and control groups, which also suggests greater recreational drug use in the methylphenidate group. McCabe</w:t>
      </w:r>
      <w:r w:rsidR="00583793" w:rsidRPr="00734AB6">
        <w:rPr>
          <w:rFonts w:asciiTheme="majorHAnsi" w:hAnsiTheme="majorHAnsi"/>
        </w:rPr>
        <w:t xml:space="preserve"> et al.</w:t>
      </w:r>
      <w:r w:rsidRPr="00734AB6">
        <w:rPr>
          <w:rFonts w:asciiTheme="majorHAnsi" w:hAnsiTheme="majorHAnsi"/>
        </w:rPr>
        <w:t xml:space="preserve"> (2006) also found that, compared with non-users, students who reported illicit use of prescription stimulants were much more likely to use other drugs such as marijuana and cocaine. However, this may only be true of methylphenidate users. The findings of the current study revealed that the reported use of stimulants, cocaine and the use of cannabis within the past six months between off-prescription modafinil users and controls were very similar.</w:t>
      </w:r>
    </w:p>
    <w:p w14:paraId="17358669" w14:textId="758A4A27" w:rsidR="00772E06" w:rsidRPr="00734AB6" w:rsidRDefault="00772E06" w:rsidP="0099584D">
      <w:pPr>
        <w:spacing w:line="360" w:lineRule="auto"/>
        <w:ind w:firstLine="709"/>
        <w:rPr>
          <w:rFonts w:asciiTheme="majorHAnsi" w:hAnsiTheme="majorHAnsi"/>
        </w:rPr>
      </w:pPr>
      <w:r w:rsidRPr="00734AB6">
        <w:rPr>
          <w:rFonts w:asciiTheme="majorHAnsi" w:hAnsiTheme="majorHAnsi"/>
        </w:rPr>
        <w:t>Although little data w</w:t>
      </w:r>
      <w:r w:rsidR="00654B36" w:rsidRPr="00734AB6">
        <w:rPr>
          <w:rFonts w:asciiTheme="majorHAnsi" w:hAnsiTheme="majorHAnsi"/>
        </w:rPr>
        <w:t>ere</w:t>
      </w:r>
      <w:r w:rsidRPr="00734AB6">
        <w:rPr>
          <w:rFonts w:asciiTheme="majorHAnsi" w:hAnsiTheme="majorHAnsi"/>
        </w:rPr>
        <w:t xml:space="preserve"> gleaned from respondents in relation to nicotine, it was apparent that the modafinil-only group had the highest level of everyday use of nicotine </w:t>
      </w:r>
      <w:r w:rsidR="002D2485" w:rsidRPr="00734AB6">
        <w:rPr>
          <w:rFonts w:asciiTheme="majorHAnsi" w:hAnsiTheme="majorHAnsi"/>
        </w:rPr>
        <w:t xml:space="preserve">and </w:t>
      </w:r>
      <w:r w:rsidRPr="00734AB6">
        <w:rPr>
          <w:rFonts w:asciiTheme="majorHAnsi" w:hAnsiTheme="majorHAnsi"/>
        </w:rPr>
        <w:t>tended towards vaping</w:t>
      </w:r>
      <w:r w:rsidR="002D2485" w:rsidRPr="00734AB6">
        <w:rPr>
          <w:rFonts w:asciiTheme="majorHAnsi" w:hAnsiTheme="majorHAnsi"/>
        </w:rPr>
        <w:t>,</w:t>
      </w:r>
      <w:r w:rsidRPr="00734AB6">
        <w:rPr>
          <w:rFonts w:asciiTheme="majorHAnsi" w:hAnsiTheme="majorHAnsi"/>
        </w:rPr>
        <w:t xml:space="preserve"> but also reported smoking ‘today’ which may suggest that this group alternates between smoking and vaping. The methylphenidate group also reported similarly high levels of everyday use of nicotine and also reported smoking ‘today’. The control group, on the other hand, reported much lower levels of ‘everyday’ and ‘today’ nicotine use. Based on these </w:t>
      </w:r>
      <w:r w:rsidRPr="00734AB6">
        <w:rPr>
          <w:rFonts w:asciiTheme="majorHAnsi" w:hAnsiTheme="majorHAnsi"/>
        </w:rPr>
        <w:lastRenderedPageBreak/>
        <w:t xml:space="preserve">findings, it would seem that reported off-prescription modafinil and methylphenidate users tend to use nicotine on a daily basis, possibly for the cognitive enhancing effects it provides. </w:t>
      </w:r>
      <w:proofErr w:type="spellStart"/>
      <w:r w:rsidRPr="00734AB6">
        <w:rPr>
          <w:rFonts w:asciiTheme="majorHAnsi" w:hAnsiTheme="majorHAnsi"/>
        </w:rPr>
        <w:t>Heishman</w:t>
      </w:r>
      <w:proofErr w:type="spellEnd"/>
      <w:r w:rsidRPr="00734AB6">
        <w:rPr>
          <w:rFonts w:asciiTheme="majorHAnsi" w:hAnsiTheme="majorHAnsi"/>
        </w:rPr>
        <w:t xml:space="preserve">, </w:t>
      </w:r>
      <w:proofErr w:type="spellStart"/>
      <w:r w:rsidRPr="00734AB6">
        <w:rPr>
          <w:rFonts w:asciiTheme="majorHAnsi" w:hAnsiTheme="majorHAnsi"/>
        </w:rPr>
        <w:t>Kleykamp</w:t>
      </w:r>
      <w:proofErr w:type="spellEnd"/>
      <w:r w:rsidRPr="00734AB6">
        <w:rPr>
          <w:rFonts w:asciiTheme="majorHAnsi" w:hAnsiTheme="majorHAnsi"/>
        </w:rPr>
        <w:t xml:space="preserve"> and Singleton (2010) demonstrated that the effects of nicotine are likely to provide true cognitive enhancement rather than an artefact of withdrawal or classical conditioning in smokers, as previously suspected.</w:t>
      </w:r>
    </w:p>
    <w:p w14:paraId="7B7215F9" w14:textId="31C901EB" w:rsidR="00772E06" w:rsidRPr="00734AB6" w:rsidRDefault="00772E06" w:rsidP="0099584D">
      <w:pPr>
        <w:spacing w:line="360" w:lineRule="auto"/>
        <w:ind w:firstLine="709"/>
        <w:rPr>
          <w:rFonts w:asciiTheme="majorHAnsi" w:hAnsiTheme="majorHAnsi"/>
        </w:rPr>
      </w:pPr>
      <w:r w:rsidRPr="00734AB6">
        <w:rPr>
          <w:rFonts w:asciiTheme="majorHAnsi" w:hAnsiTheme="majorHAnsi"/>
        </w:rPr>
        <w:t>Scores on the AUDIT for the modafinil-only and methylpheni</w:t>
      </w:r>
      <w:r w:rsidR="00CA29E7" w:rsidRPr="00734AB6">
        <w:rPr>
          <w:rFonts w:asciiTheme="majorHAnsi" w:hAnsiTheme="majorHAnsi"/>
        </w:rPr>
        <w:t>date groups were low compared with</w:t>
      </w:r>
      <w:r w:rsidRPr="00734AB6">
        <w:rPr>
          <w:rFonts w:asciiTheme="majorHAnsi" w:hAnsiTheme="majorHAnsi"/>
        </w:rPr>
        <w:t xml:space="preserve"> controls suggesting that reported modafinil and methylphenidate users are not inclined to consume much alcohol. This finding also suggests that methylphenidate users are not more likely to engage in alcohol use than modafinil users, as </w:t>
      </w:r>
      <w:r w:rsidR="00F457D9" w:rsidRPr="00734AB6">
        <w:rPr>
          <w:rFonts w:asciiTheme="majorHAnsi" w:hAnsiTheme="majorHAnsi"/>
        </w:rPr>
        <w:t>proposed earlier</w:t>
      </w:r>
      <w:r w:rsidRPr="00734AB6">
        <w:rPr>
          <w:rFonts w:asciiTheme="majorHAnsi" w:hAnsiTheme="majorHAnsi"/>
        </w:rPr>
        <w:t>. The modafinil-only group were more likely to use recreational drugs on a regular weekly basis, but this was not evident for the methylphenidate group, again suggesting that methylphenidate users are not more likely to engage in recreational drug use than modafinil users, as previously suggested. However, whilst the frequency</w:t>
      </w:r>
      <w:r w:rsidR="00F074FA" w:rsidRPr="00734AB6">
        <w:rPr>
          <w:rFonts w:asciiTheme="majorHAnsi" w:hAnsiTheme="majorHAnsi"/>
        </w:rPr>
        <w:t xml:space="preserve"> of</w:t>
      </w:r>
      <w:r w:rsidRPr="00734AB6">
        <w:rPr>
          <w:rFonts w:asciiTheme="majorHAnsi" w:hAnsiTheme="majorHAnsi"/>
        </w:rPr>
        <w:t xml:space="preserve"> reported recreational drug use in </w:t>
      </w:r>
      <w:r w:rsidR="00D067CF" w:rsidRPr="00734AB6">
        <w:rPr>
          <w:rFonts w:asciiTheme="majorHAnsi" w:hAnsiTheme="majorHAnsi"/>
        </w:rPr>
        <w:t>the methylphenidate</w:t>
      </w:r>
      <w:r w:rsidRPr="00734AB6">
        <w:rPr>
          <w:rFonts w:asciiTheme="majorHAnsi" w:hAnsiTheme="majorHAnsi"/>
        </w:rPr>
        <w:t xml:space="preserve"> group w</w:t>
      </w:r>
      <w:r w:rsidR="00D72B4F" w:rsidRPr="00734AB6">
        <w:rPr>
          <w:rFonts w:asciiTheme="majorHAnsi" w:hAnsiTheme="majorHAnsi"/>
        </w:rPr>
        <w:t>as</w:t>
      </w:r>
      <w:r w:rsidRPr="00734AB6">
        <w:rPr>
          <w:rFonts w:asciiTheme="majorHAnsi" w:hAnsiTheme="majorHAnsi"/>
        </w:rPr>
        <w:t xml:space="preserve"> low, the findings still </w:t>
      </w:r>
      <w:r w:rsidR="00D067CF" w:rsidRPr="00734AB6">
        <w:rPr>
          <w:rFonts w:asciiTheme="majorHAnsi" w:hAnsiTheme="majorHAnsi"/>
        </w:rPr>
        <w:t xml:space="preserve">present an element of risk </w:t>
      </w:r>
      <w:r w:rsidR="00D72B4F" w:rsidRPr="00734AB6">
        <w:rPr>
          <w:rFonts w:asciiTheme="majorHAnsi" w:hAnsiTheme="majorHAnsi"/>
        </w:rPr>
        <w:t>in relation to potential</w:t>
      </w:r>
      <w:r w:rsidRPr="00734AB6">
        <w:rPr>
          <w:rFonts w:asciiTheme="majorHAnsi" w:hAnsiTheme="majorHAnsi"/>
        </w:rPr>
        <w:t xml:space="preserve"> </w:t>
      </w:r>
      <w:r w:rsidR="00D72B4F" w:rsidRPr="00734AB6">
        <w:rPr>
          <w:rFonts w:asciiTheme="majorHAnsi" w:hAnsiTheme="majorHAnsi"/>
        </w:rPr>
        <w:t>drug interactions among</w:t>
      </w:r>
      <w:r w:rsidRPr="00734AB6">
        <w:rPr>
          <w:rFonts w:asciiTheme="majorHAnsi" w:hAnsiTheme="majorHAnsi"/>
        </w:rPr>
        <w:t xml:space="preserve"> those who use methylphenidate for cognitive enhancement. Not surprisingly, stimulants were reported as the more frequently used class of drug amongst the modafinil and methylphenidate groups</w:t>
      </w:r>
      <w:r w:rsidR="00D72B4F" w:rsidRPr="00734AB6">
        <w:rPr>
          <w:rFonts w:asciiTheme="majorHAnsi" w:hAnsiTheme="majorHAnsi"/>
        </w:rPr>
        <w:t>,</w:t>
      </w:r>
      <w:r w:rsidRPr="00734AB6">
        <w:rPr>
          <w:rFonts w:asciiTheme="majorHAnsi" w:hAnsiTheme="majorHAnsi"/>
        </w:rPr>
        <w:t xml:space="preserve"> </w:t>
      </w:r>
      <w:r w:rsidR="00D72B4F" w:rsidRPr="00734AB6">
        <w:rPr>
          <w:rFonts w:asciiTheme="majorHAnsi" w:hAnsiTheme="majorHAnsi"/>
        </w:rPr>
        <w:t>although this was also reported amongst</w:t>
      </w:r>
      <w:r w:rsidRPr="00734AB6">
        <w:rPr>
          <w:rFonts w:asciiTheme="majorHAnsi" w:hAnsiTheme="majorHAnsi"/>
        </w:rPr>
        <w:t xml:space="preserve"> controls. </w:t>
      </w:r>
      <w:r w:rsidR="00D72B4F" w:rsidRPr="00734AB6">
        <w:rPr>
          <w:rFonts w:asciiTheme="majorHAnsi" w:hAnsiTheme="majorHAnsi"/>
        </w:rPr>
        <w:t>T</w:t>
      </w:r>
      <w:r w:rsidRPr="00734AB6">
        <w:rPr>
          <w:rFonts w:asciiTheme="majorHAnsi" w:hAnsiTheme="majorHAnsi"/>
        </w:rPr>
        <w:t xml:space="preserve">he fact that methylphenidate and modafinil are both psychostimulants suggests that those who consume these drugs perceive benefits from stimulant drugs. Additionally, as mentioned in Chapter 2, users of recreational drugs tend to score higher on personality </w:t>
      </w:r>
      <w:r w:rsidRPr="00734AB6">
        <w:rPr>
          <w:rFonts w:asciiTheme="majorHAnsi" w:eastAsia="Calibri" w:hAnsiTheme="majorHAnsi" w:cs="Calibri"/>
        </w:rPr>
        <w:t xml:space="preserve">traits of impulsivity, reward sensitivity and physical fearlessness. Specifically, these traits were found to predict subjective responses to amphetamines (Kelly et al., 2009). </w:t>
      </w:r>
      <w:r w:rsidRPr="00734AB6">
        <w:rPr>
          <w:rFonts w:asciiTheme="majorHAnsi" w:hAnsiTheme="majorHAnsi"/>
        </w:rPr>
        <w:t>The loglinear findings of the current study were significant and</w:t>
      </w:r>
      <w:r w:rsidR="002D2485" w:rsidRPr="00734AB6">
        <w:rPr>
          <w:rFonts w:asciiTheme="majorHAnsi" w:hAnsiTheme="majorHAnsi"/>
        </w:rPr>
        <w:t>,</w:t>
      </w:r>
      <w:r w:rsidRPr="00734AB6">
        <w:rPr>
          <w:rFonts w:asciiTheme="majorHAnsi" w:hAnsiTheme="majorHAnsi"/>
        </w:rPr>
        <w:t xml:space="preserve"> although the association was weak</w:t>
      </w:r>
      <w:r w:rsidR="002D2485" w:rsidRPr="00734AB6">
        <w:rPr>
          <w:rFonts w:asciiTheme="majorHAnsi" w:hAnsiTheme="majorHAnsi"/>
        </w:rPr>
        <w:t>,</w:t>
      </w:r>
      <w:r w:rsidRPr="00734AB6">
        <w:rPr>
          <w:rFonts w:asciiTheme="majorHAnsi" w:hAnsiTheme="majorHAnsi"/>
        </w:rPr>
        <w:t xml:space="preserve"> it can only explain a small amount of the variance, other unknown factors will have also contributed to this.</w:t>
      </w:r>
    </w:p>
    <w:p w14:paraId="62C1FB9F" w14:textId="59F1F4B6"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data in relation to modafinil use is consistent with, and supports, the findings of Study 1 which stated that reported users of modafinil appear to be aware of the safe dosage of modafinil. However, the data in relation to methylphenidate use demonstrates a different trend compared with study one, particularly in relation to dosage level. The findings of Study 1 revealed no distinct majority in relation to perceived safe dosage for methylphenidate and that roughly similar percentages of respondents selected dosages from 20mg to 60mg. The current study found that the most common dosage was 20mg and the most common maximum dosage was 30mg, demonstrating a safer pattern of reported use than Study 1. The age of first use of methylphenidate appears to be several years younger than that reported for modafinil. This may suggest that methylphenidate is being accessed during university study and probably most commonly accessed through a friend, as found in Study 1, especially in America. In a</w:t>
      </w:r>
      <w:r w:rsidR="00BC6247" w:rsidRPr="00734AB6">
        <w:rPr>
          <w:rFonts w:asciiTheme="majorHAnsi" w:hAnsiTheme="majorHAnsi"/>
        </w:rPr>
        <w:t xml:space="preserve"> North American</w:t>
      </w:r>
      <w:r w:rsidRPr="00734AB6">
        <w:rPr>
          <w:rFonts w:asciiTheme="majorHAnsi" w:hAnsiTheme="majorHAnsi"/>
        </w:rPr>
        <w:t xml:space="preserve"> qualitative study by </w:t>
      </w:r>
      <w:proofErr w:type="spellStart"/>
      <w:r w:rsidRPr="00734AB6">
        <w:rPr>
          <w:rFonts w:asciiTheme="majorHAnsi" w:hAnsiTheme="majorHAnsi"/>
        </w:rPr>
        <w:t>Aikins</w:t>
      </w:r>
      <w:proofErr w:type="spellEnd"/>
      <w:r w:rsidRPr="00734AB6">
        <w:rPr>
          <w:rFonts w:asciiTheme="majorHAnsi" w:hAnsiTheme="majorHAnsi"/>
        </w:rPr>
        <w:t xml:space="preserve"> (2011)</w:t>
      </w:r>
      <w:r w:rsidR="00CA29E7" w:rsidRPr="00734AB6">
        <w:rPr>
          <w:rFonts w:asciiTheme="majorHAnsi" w:hAnsiTheme="majorHAnsi"/>
        </w:rPr>
        <w:t>,</w:t>
      </w:r>
      <w:r w:rsidRPr="00734AB6">
        <w:rPr>
          <w:rFonts w:asciiTheme="majorHAnsi" w:hAnsiTheme="majorHAnsi"/>
        </w:rPr>
        <w:t xml:space="preserve"> university residence halls and friends with </w:t>
      </w:r>
      <w:r w:rsidRPr="00734AB6">
        <w:rPr>
          <w:rFonts w:asciiTheme="majorHAnsi" w:hAnsiTheme="majorHAnsi"/>
        </w:rPr>
        <w:lastRenderedPageBreak/>
        <w:t>prescriptions were reported as two common ways to access drugs such as methylphenidate. McCabe</w:t>
      </w:r>
      <w:r w:rsidR="00583793" w:rsidRPr="00734AB6">
        <w:rPr>
          <w:rFonts w:asciiTheme="majorHAnsi" w:hAnsiTheme="majorHAnsi"/>
        </w:rPr>
        <w:t xml:space="preserve"> et al. </w:t>
      </w:r>
      <w:r w:rsidRPr="00734AB6">
        <w:rPr>
          <w:rFonts w:asciiTheme="majorHAnsi" w:hAnsiTheme="majorHAnsi"/>
        </w:rPr>
        <w:t xml:space="preserve">(2006) also found that </w:t>
      </w:r>
      <w:r w:rsidR="00BC6247" w:rsidRPr="00734AB6">
        <w:rPr>
          <w:rFonts w:asciiTheme="majorHAnsi" w:hAnsiTheme="majorHAnsi"/>
        </w:rPr>
        <w:t>North American</w:t>
      </w:r>
      <w:r w:rsidRPr="00734AB6">
        <w:rPr>
          <w:rFonts w:asciiTheme="majorHAnsi" w:hAnsiTheme="majorHAnsi"/>
        </w:rPr>
        <w:t xml:space="preserve"> undergraduate students most commonly access prescription stimulants such as methylphenidate via their friends and peers.  The findings from Study 1 also found that methylphenidate was most commonly accessed via someone else’s prescription or a friend. A fair proportion of respondents in the current study did not know whether they were taking extended or immediate release methylphenidate formulas. This may suggest a lack of knowledge about the drug that they are taking off-prescription. Although most respondents reported swallowing a pill, there were some who reported snorting methylphenidate, which is suggestive of problematic drug use amongst methylphenidate users as it increases the risk of abuse liability and dependence due to the rapid increase in serum concentration of the drug (</w:t>
      </w:r>
      <w:proofErr w:type="spellStart"/>
      <w:r w:rsidRPr="00734AB6">
        <w:rPr>
          <w:rFonts w:asciiTheme="majorHAnsi" w:hAnsiTheme="majorHAnsi"/>
        </w:rPr>
        <w:t>Teter</w:t>
      </w:r>
      <w:proofErr w:type="spellEnd"/>
      <w:r w:rsidR="00583793" w:rsidRPr="00734AB6">
        <w:rPr>
          <w:rFonts w:asciiTheme="majorHAnsi" w:hAnsiTheme="majorHAnsi"/>
        </w:rPr>
        <w:t xml:space="preserve"> et al.,</w:t>
      </w:r>
      <w:r w:rsidRPr="00734AB6">
        <w:rPr>
          <w:rFonts w:asciiTheme="majorHAnsi" w:hAnsiTheme="majorHAnsi"/>
        </w:rPr>
        <w:t xml:space="preserve"> 2006; Volkow &amp; Swanson, 2003). Previous studies have also noted an element of reported snorting of prescription stimulants (Garn</w:t>
      </w:r>
      <w:r w:rsidR="000E4415" w:rsidRPr="00734AB6">
        <w:rPr>
          <w:rFonts w:asciiTheme="majorHAnsi" w:hAnsiTheme="majorHAnsi"/>
        </w:rPr>
        <w:t>ier-Dykstra et al., 2010</w:t>
      </w:r>
      <w:r w:rsidR="00DA7027" w:rsidRPr="00734AB6">
        <w:rPr>
          <w:rFonts w:asciiTheme="majorHAnsi" w:hAnsiTheme="majorHAnsi"/>
        </w:rPr>
        <w:t xml:space="preserve">; </w:t>
      </w:r>
      <w:proofErr w:type="spellStart"/>
      <w:r w:rsidR="00DA7027" w:rsidRPr="00734AB6">
        <w:rPr>
          <w:rFonts w:asciiTheme="majorHAnsi" w:hAnsiTheme="majorHAnsi"/>
        </w:rPr>
        <w:t>Teter</w:t>
      </w:r>
      <w:proofErr w:type="spellEnd"/>
      <w:r w:rsidR="00DA7027" w:rsidRPr="00734AB6">
        <w:rPr>
          <w:rFonts w:asciiTheme="majorHAnsi" w:hAnsiTheme="majorHAnsi"/>
        </w:rPr>
        <w:t xml:space="preserve"> et al.</w:t>
      </w:r>
      <w:r w:rsidR="00F05116" w:rsidRPr="00734AB6">
        <w:rPr>
          <w:rFonts w:asciiTheme="majorHAnsi" w:hAnsiTheme="majorHAnsi"/>
        </w:rPr>
        <w:t>, 2006</w:t>
      </w:r>
      <w:r w:rsidRPr="00734AB6">
        <w:rPr>
          <w:rFonts w:asciiTheme="majorHAnsi" w:hAnsiTheme="majorHAnsi"/>
        </w:rPr>
        <w:t>).</w:t>
      </w:r>
    </w:p>
    <w:p w14:paraId="46DF00DE" w14:textId="0D44AAFD" w:rsidR="00772E06" w:rsidRPr="00734AB6" w:rsidRDefault="00772E06" w:rsidP="0099584D">
      <w:pPr>
        <w:spacing w:line="360" w:lineRule="auto"/>
        <w:ind w:firstLine="709"/>
        <w:rPr>
          <w:rFonts w:asciiTheme="majorHAnsi" w:hAnsiTheme="majorHAnsi"/>
        </w:rPr>
      </w:pPr>
      <w:r w:rsidRPr="00734AB6">
        <w:rPr>
          <w:rFonts w:asciiTheme="majorHAnsi" w:hAnsiTheme="majorHAnsi"/>
        </w:rPr>
        <w:t>Scoring on Part A of the ASRS revealed that both the modafinil-only group and the methylphenidate group reported symptoms highly consistent with ADHD and this was not found for the control group. These are self-reported perceptions of respondents and as such may over-reflect or under-reflect prevalence rates of ADHD and, therefore, it is important to note that the use of this scale was not intended for diagnostic purposes. However, this finding does suggest that reported modafinil and methylphenidate respondents perceive that they have difficulties with attention that may be similar to those experienced by people with a diagnosis of ADHD. This finding is consi</w:t>
      </w:r>
      <w:r w:rsidR="00E92A36" w:rsidRPr="00734AB6">
        <w:rPr>
          <w:rFonts w:asciiTheme="majorHAnsi" w:hAnsiTheme="majorHAnsi"/>
        </w:rPr>
        <w:t>stent with Peterkin et al. (2011</w:t>
      </w:r>
      <w:r w:rsidRPr="00734AB6">
        <w:rPr>
          <w:rFonts w:asciiTheme="majorHAnsi" w:hAnsiTheme="majorHAnsi"/>
        </w:rPr>
        <w:t xml:space="preserve">) who used the ASRS Part A in their study. They found that a high majority of students who reported off-prescription use of ADHD medications tested positive for ADHD symptoms. Additionally, the off-prescription users of ADHD medications were seven times more likely to be symptomatic for ADHD than those who did not use these mediations off-prescription. </w:t>
      </w:r>
    </w:p>
    <w:p w14:paraId="74311305" w14:textId="00FE7222"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analysis of the full ASRS questionnaire scoring revealed that both the methylphenidate and modafinil-only group scores were significantly higher compared </w:t>
      </w:r>
      <w:r w:rsidR="002D2485" w:rsidRPr="00734AB6">
        <w:rPr>
          <w:rFonts w:asciiTheme="majorHAnsi" w:hAnsiTheme="majorHAnsi"/>
        </w:rPr>
        <w:t>with</w:t>
      </w:r>
      <w:r w:rsidRPr="00734AB6">
        <w:rPr>
          <w:rFonts w:asciiTheme="majorHAnsi" w:hAnsiTheme="majorHAnsi"/>
        </w:rPr>
        <w:t xml:space="preserve"> the control group scores. In addition, when comparing the inattentive item scores for each group, both the modafinil-only and methylphenidate groups scored significantly higher compared with controls. Analysis of the hyperactive/impulsive items demonstrated no significant difference between these groups. Findings from the scoring of Part A, the complete 18-item questionnaire and the inattentive items in this study support the first hypothesis, that reported modafinil and methylphenidate users will score significantly higher on the ASRS compared with controls, particularly for the inattentive component. This is consistent with the findings reported by </w:t>
      </w:r>
      <w:proofErr w:type="spellStart"/>
      <w:r w:rsidRPr="00734AB6">
        <w:rPr>
          <w:rFonts w:asciiTheme="majorHAnsi" w:hAnsiTheme="majorHAnsi"/>
        </w:rPr>
        <w:t>Arria</w:t>
      </w:r>
      <w:proofErr w:type="spellEnd"/>
      <w:r w:rsidRPr="00734AB6">
        <w:rPr>
          <w:rFonts w:asciiTheme="majorHAnsi" w:hAnsiTheme="majorHAnsi"/>
        </w:rPr>
        <w:t xml:space="preserve"> et al. (2011). Their findings demonstrated a strong link between non-medical prescription stimulant use and symptoms consistent with ADHD, specifically symptoms of inattention rather </w:t>
      </w:r>
      <w:r w:rsidRPr="00734AB6">
        <w:rPr>
          <w:rFonts w:asciiTheme="majorHAnsi" w:hAnsiTheme="majorHAnsi"/>
        </w:rPr>
        <w:lastRenderedPageBreak/>
        <w:t xml:space="preserve">than hyperactivity and impulsivity. Similarly, </w:t>
      </w:r>
      <w:proofErr w:type="spellStart"/>
      <w:r w:rsidRPr="00734AB6">
        <w:rPr>
          <w:rFonts w:asciiTheme="majorHAnsi" w:hAnsiTheme="majorHAnsi"/>
        </w:rPr>
        <w:t>Rabiner</w:t>
      </w:r>
      <w:proofErr w:type="spellEnd"/>
      <w:r w:rsidRPr="00734AB6">
        <w:rPr>
          <w:rFonts w:asciiTheme="majorHAnsi" w:hAnsiTheme="majorHAnsi"/>
        </w:rPr>
        <w:t xml:space="preserve"> et al. (2009) also reported an association between off-prescription use of stimulants and symptoms of ADHD. They reported that students scoring high on attention difficulties were almost twice as likely to be non-medical users of ADHD medications as students scoring lower on attention difficulties. Add</w:t>
      </w:r>
      <w:r w:rsidR="00CA29E7" w:rsidRPr="00734AB6">
        <w:rPr>
          <w:rFonts w:asciiTheme="majorHAnsi" w:hAnsiTheme="majorHAnsi"/>
        </w:rPr>
        <w:t>itionally, hyperactive/</w:t>
      </w:r>
      <w:r w:rsidRPr="00734AB6">
        <w:rPr>
          <w:rFonts w:asciiTheme="majorHAnsi" w:hAnsiTheme="majorHAnsi"/>
        </w:rPr>
        <w:t xml:space="preserve">impulsive symptoms were not found to predict non-medical ADHD use. Poulin’s (2007) study also found an association between non-medical use of prescription stimulants and a positive ADHD screening test. However, Poulin did not report distinguishing between scores of inattention and scores of hyperactivity and impulsivity. </w:t>
      </w:r>
      <w:proofErr w:type="spellStart"/>
      <w:r w:rsidRPr="00734AB6">
        <w:rPr>
          <w:rFonts w:asciiTheme="majorHAnsi" w:hAnsiTheme="majorHAnsi"/>
        </w:rPr>
        <w:t>Ilieva</w:t>
      </w:r>
      <w:proofErr w:type="spellEnd"/>
      <w:r w:rsidRPr="00734AB6">
        <w:rPr>
          <w:rFonts w:asciiTheme="majorHAnsi" w:hAnsiTheme="majorHAnsi"/>
        </w:rPr>
        <w:t xml:space="preserve"> and Farah (2015) also reported a relationship between non-prescribed stimulant use and attentional problems. As discussed in Section 3.1, they used the TOVA (Greenberg, 1990) as their objective measure and the Barkley </w:t>
      </w:r>
      <w:r w:rsidR="009F6F08" w:rsidRPr="00734AB6">
        <w:rPr>
          <w:rFonts w:asciiTheme="majorHAnsi" w:hAnsiTheme="majorHAnsi"/>
        </w:rPr>
        <w:t>and Murphy Current Symptom Scale (1998</w:t>
      </w:r>
      <w:r w:rsidRPr="00734AB6">
        <w:rPr>
          <w:rFonts w:asciiTheme="majorHAnsi" w:hAnsiTheme="majorHAnsi"/>
        </w:rPr>
        <w:t>) as their subjective measure. The results of their objective test revealed that the subjectively-rated attentional problems were disproportionally greater than the objective dysfunction. Perhaps then, the self-reports in the current study and those of the studies reviewed here reflect a level of attentional problems but they may not be as severe as they are perceived to be. This will be explored further as a focus of Study 3, when both self-reports and objective measures will be used to assess whether poor cognitive function is perceived and measured in off-prescription users of modafinil and methylphenidate.</w:t>
      </w:r>
    </w:p>
    <w:p w14:paraId="19B3A6DF" w14:textId="5D81E02B"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findings of the current study in relation to the CFQ are surprising. Both the modafinil-only and methylphenidate groups scored significantly lower on the CFQ compared with the control group. The second hypothesis was therefore not supported. If the CFQ is perceived in relation to the factors identified by Wallace et al. (2002), this would suggest that reported off-prescription users of modafinil and methylphenidate do not have problems with memory, distractibility, blunders and names. In fact, it would suggest that these off-prescription CED users have improved memory, they are less distracted, they make less blunders and remember names better than other online forum users. One possible explanation might be that, as found in Study 1, more regular use, at least of modafinil, is related to greater perceived benefits and this may account for some of the reported results on the CFQ. </w:t>
      </w:r>
      <w:r w:rsidR="00173D5B" w:rsidRPr="00734AB6">
        <w:rPr>
          <w:rFonts w:asciiTheme="majorHAnsi" w:hAnsiTheme="majorHAnsi"/>
        </w:rPr>
        <w:t>However this explanation would only explain lower CFQ scores in the modafinil group and possibly</w:t>
      </w:r>
      <w:r w:rsidR="00C01A4C" w:rsidRPr="00734AB6">
        <w:rPr>
          <w:rFonts w:asciiTheme="majorHAnsi" w:hAnsiTheme="majorHAnsi"/>
        </w:rPr>
        <w:t xml:space="preserve"> only </w:t>
      </w:r>
      <w:proofErr w:type="spellStart"/>
      <w:r w:rsidR="00C01A4C" w:rsidRPr="00734AB6">
        <w:rPr>
          <w:rFonts w:asciiTheme="majorHAnsi" w:hAnsiTheme="majorHAnsi"/>
        </w:rPr>
        <w:t>amonst</w:t>
      </w:r>
      <w:proofErr w:type="spellEnd"/>
      <w:r w:rsidR="00C01A4C" w:rsidRPr="00734AB6">
        <w:rPr>
          <w:rFonts w:asciiTheme="majorHAnsi" w:hAnsiTheme="majorHAnsi"/>
        </w:rPr>
        <w:t xml:space="preserve"> those who use moda</w:t>
      </w:r>
      <w:r w:rsidR="00173D5B" w:rsidRPr="00734AB6">
        <w:rPr>
          <w:rFonts w:asciiTheme="majorHAnsi" w:hAnsiTheme="majorHAnsi"/>
        </w:rPr>
        <w:t>fin</w:t>
      </w:r>
      <w:r w:rsidR="00C01A4C" w:rsidRPr="00734AB6">
        <w:rPr>
          <w:rFonts w:asciiTheme="majorHAnsi" w:hAnsiTheme="majorHAnsi"/>
        </w:rPr>
        <w:t>i</w:t>
      </w:r>
      <w:r w:rsidR="00173D5B" w:rsidRPr="00734AB6">
        <w:rPr>
          <w:rFonts w:asciiTheme="majorHAnsi" w:hAnsiTheme="majorHAnsi"/>
        </w:rPr>
        <w:t>l every day</w:t>
      </w:r>
      <w:r w:rsidRPr="00734AB6">
        <w:rPr>
          <w:rFonts w:asciiTheme="majorHAnsi" w:hAnsiTheme="majorHAnsi"/>
        </w:rPr>
        <w:t>. Another possible explanation is that those who may be self-medicating might be doing so for problems with attention but not the problems which the CFQ tests for. Previously, the CFQ has been used to measure the cognitive performance of groups such as those with traumatic brain injury (</w:t>
      </w:r>
      <w:proofErr w:type="spellStart"/>
      <w:r w:rsidRPr="00734AB6">
        <w:rPr>
          <w:rFonts w:asciiTheme="majorHAnsi" w:hAnsiTheme="majorHAnsi"/>
        </w:rPr>
        <w:t>Dockree</w:t>
      </w:r>
      <w:proofErr w:type="spellEnd"/>
      <w:r w:rsidR="00A6012F" w:rsidRPr="00734AB6">
        <w:rPr>
          <w:rFonts w:asciiTheme="majorHAnsi" w:hAnsiTheme="majorHAnsi"/>
        </w:rPr>
        <w:t xml:space="preserve"> et al.</w:t>
      </w:r>
      <w:r w:rsidRPr="00734AB6">
        <w:rPr>
          <w:rFonts w:asciiTheme="majorHAnsi" w:hAnsiTheme="majorHAnsi"/>
        </w:rPr>
        <w:t>, 2006), Parkinson’s disease patients (</w:t>
      </w:r>
      <w:proofErr w:type="spellStart"/>
      <w:r w:rsidRPr="00734AB6">
        <w:rPr>
          <w:rFonts w:asciiTheme="majorHAnsi" w:hAnsiTheme="majorHAnsi"/>
        </w:rPr>
        <w:t>Poliakoff</w:t>
      </w:r>
      <w:proofErr w:type="spellEnd"/>
      <w:r w:rsidRPr="00734AB6">
        <w:rPr>
          <w:rFonts w:asciiTheme="majorHAnsi" w:hAnsiTheme="majorHAnsi"/>
        </w:rPr>
        <w:t xml:space="preserve"> &amp; Smith-Spark</w:t>
      </w:r>
      <w:r w:rsidR="00572135" w:rsidRPr="00734AB6">
        <w:rPr>
          <w:rFonts w:asciiTheme="majorHAnsi" w:hAnsiTheme="majorHAnsi"/>
        </w:rPr>
        <w:t>, 2008</w:t>
      </w:r>
      <w:r w:rsidRPr="00734AB6">
        <w:rPr>
          <w:rFonts w:asciiTheme="majorHAnsi" w:hAnsiTheme="majorHAnsi"/>
        </w:rPr>
        <w:t>) and Dyslexic students (Smith-Spark et al., 2004) amongst others. Self-report questionnaires focusing on attention may be better attuned to probing these issues.</w:t>
      </w:r>
    </w:p>
    <w:p w14:paraId="1C157CD3" w14:textId="368520B4"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Additionally, those who report taking modafinil and methylphenidate off-prescription and do not report doing so to ameliorate any attention or poor cognitive performance problems, may </w:t>
      </w:r>
      <w:r w:rsidRPr="00734AB6">
        <w:rPr>
          <w:rFonts w:asciiTheme="majorHAnsi" w:hAnsiTheme="majorHAnsi"/>
        </w:rPr>
        <w:lastRenderedPageBreak/>
        <w:t>be using these drug</w:t>
      </w:r>
      <w:r w:rsidR="00572135" w:rsidRPr="00734AB6">
        <w:rPr>
          <w:rFonts w:asciiTheme="majorHAnsi" w:hAnsiTheme="majorHAnsi"/>
        </w:rPr>
        <w:t>s</w:t>
      </w:r>
      <w:r w:rsidRPr="00734AB6">
        <w:rPr>
          <w:rFonts w:asciiTheme="majorHAnsi" w:hAnsiTheme="majorHAnsi"/>
        </w:rPr>
        <w:t xml:space="preserve"> to </w:t>
      </w:r>
      <w:r w:rsidR="00572135" w:rsidRPr="00734AB6">
        <w:rPr>
          <w:rFonts w:asciiTheme="majorHAnsi" w:hAnsiTheme="majorHAnsi"/>
        </w:rPr>
        <w:t>“</w:t>
      </w:r>
      <w:r w:rsidRPr="00734AB6">
        <w:rPr>
          <w:rFonts w:asciiTheme="majorHAnsi" w:hAnsiTheme="majorHAnsi"/>
        </w:rPr>
        <w:t>get ahead</w:t>
      </w:r>
      <w:r w:rsidR="00572135" w:rsidRPr="00734AB6">
        <w:rPr>
          <w:rFonts w:asciiTheme="majorHAnsi" w:hAnsiTheme="majorHAnsi"/>
        </w:rPr>
        <w:t>”</w:t>
      </w:r>
      <w:r w:rsidRPr="00734AB6">
        <w:rPr>
          <w:rFonts w:asciiTheme="majorHAnsi" w:hAnsiTheme="majorHAnsi"/>
        </w:rPr>
        <w:t>. The high percentages of reported modafinil users in particular who were awarded degrees or currently studying would suggest that this may be likely. Although the majority of controls were university educated, they were not studying and the majority of unemployed controls were not studying. Whereas the majority of unemployed reported modafinil and methylphenidate users were studying. Studying and being tested on a regular basis, have been found to imp</w:t>
      </w:r>
      <w:r w:rsidR="004B3CEF" w:rsidRPr="00734AB6">
        <w:rPr>
          <w:rFonts w:asciiTheme="majorHAnsi" w:hAnsiTheme="majorHAnsi"/>
        </w:rPr>
        <w:t>rove long-term retention (Roedi</w:t>
      </w:r>
      <w:r w:rsidRPr="00734AB6">
        <w:rPr>
          <w:rFonts w:asciiTheme="majorHAnsi" w:hAnsiTheme="majorHAnsi"/>
        </w:rPr>
        <w:t xml:space="preserve">ger &amp; </w:t>
      </w:r>
      <w:proofErr w:type="spellStart"/>
      <w:r w:rsidRPr="00734AB6">
        <w:rPr>
          <w:rFonts w:asciiTheme="majorHAnsi" w:hAnsiTheme="majorHAnsi"/>
        </w:rPr>
        <w:t>Nestojko</w:t>
      </w:r>
      <w:proofErr w:type="spellEnd"/>
      <w:r w:rsidRPr="00734AB6">
        <w:rPr>
          <w:rFonts w:asciiTheme="majorHAnsi" w:hAnsiTheme="majorHAnsi"/>
        </w:rPr>
        <w:t>, 2015). Perhaps then, the lower scores on the CFQ for both the modafinil-only and methylphenidate groups compared with the control group reflects the cognitive benefits of studying and being tested whilst working towards a qualification.</w:t>
      </w:r>
    </w:p>
    <w:p w14:paraId="7F626CE3" w14:textId="10541E5C"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Analysis of the scores on the GPS revealed, as predicted, that both the modafinil-only and methylphenidate groups scored significantly higher than the control group. The third hypothesis was therefore supported. This supports the findings of Ferrari and Saunders (2006) and </w:t>
      </w:r>
      <w:proofErr w:type="spellStart"/>
      <w:r w:rsidRPr="00734AB6">
        <w:rPr>
          <w:rFonts w:asciiTheme="majorHAnsi" w:hAnsiTheme="majorHAnsi"/>
        </w:rPr>
        <w:t>Niermann</w:t>
      </w:r>
      <w:proofErr w:type="spellEnd"/>
      <w:r w:rsidRPr="00734AB6">
        <w:rPr>
          <w:rFonts w:asciiTheme="majorHAnsi" w:hAnsiTheme="majorHAnsi"/>
        </w:rPr>
        <w:t xml:space="preserve"> and </w:t>
      </w:r>
      <w:proofErr w:type="spellStart"/>
      <w:r w:rsidRPr="00734AB6">
        <w:rPr>
          <w:rFonts w:asciiTheme="majorHAnsi" w:hAnsiTheme="majorHAnsi"/>
        </w:rPr>
        <w:t>Scheres</w:t>
      </w:r>
      <w:proofErr w:type="spellEnd"/>
      <w:r w:rsidRPr="00734AB6">
        <w:rPr>
          <w:rFonts w:asciiTheme="majorHAnsi" w:hAnsiTheme="majorHAnsi"/>
        </w:rPr>
        <w:t xml:space="preserve"> (2014). Ferrari and Saunders tested clinically diagnosed ADHD participants, demonstrating empirically that adults with a clinical diagnosis of ADHD also demonstrate procrastination. </w:t>
      </w:r>
      <w:proofErr w:type="spellStart"/>
      <w:r w:rsidRPr="00734AB6">
        <w:rPr>
          <w:rFonts w:asciiTheme="majorHAnsi" w:hAnsiTheme="majorHAnsi"/>
        </w:rPr>
        <w:t>Niermann</w:t>
      </w:r>
      <w:proofErr w:type="spellEnd"/>
      <w:r w:rsidRPr="00734AB6">
        <w:rPr>
          <w:rFonts w:asciiTheme="majorHAnsi" w:hAnsiTheme="majorHAnsi"/>
        </w:rPr>
        <w:t xml:space="preserve"> and </w:t>
      </w:r>
      <w:proofErr w:type="spellStart"/>
      <w:r w:rsidRPr="00734AB6">
        <w:rPr>
          <w:rFonts w:asciiTheme="majorHAnsi" w:hAnsiTheme="majorHAnsi"/>
        </w:rPr>
        <w:t>Scheres</w:t>
      </w:r>
      <w:proofErr w:type="spellEnd"/>
      <w:r w:rsidRPr="00734AB6">
        <w:rPr>
          <w:rFonts w:asciiTheme="majorHAnsi" w:hAnsiTheme="majorHAnsi"/>
        </w:rPr>
        <w:t xml:space="preserve">, on the other hand, used a self-report screening tool for ADHD as did the current study. Nevertheless, this does suggest an association between symptoms of ADHD and procrastination. Additionally, </w:t>
      </w:r>
      <w:proofErr w:type="spellStart"/>
      <w:r w:rsidRPr="00734AB6">
        <w:rPr>
          <w:rFonts w:asciiTheme="majorHAnsi" w:hAnsiTheme="majorHAnsi"/>
        </w:rPr>
        <w:t>Niermann</w:t>
      </w:r>
      <w:proofErr w:type="spellEnd"/>
      <w:r w:rsidRPr="00734AB6">
        <w:rPr>
          <w:rFonts w:asciiTheme="majorHAnsi" w:hAnsiTheme="majorHAnsi"/>
        </w:rPr>
        <w:t xml:space="preserve"> and </w:t>
      </w:r>
      <w:proofErr w:type="spellStart"/>
      <w:r w:rsidRPr="00734AB6">
        <w:rPr>
          <w:rFonts w:asciiTheme="majorHAnsi" w:hAnsiTheme="majorHAnsi"/>
        </w:rPr>
        <w:t>Scheres</w:t>
      </w:r>
      <w:proofErr w:type="spellEnd"/>
      <w:r w:rsidR="006403E9" w:rsidRPr="00734AB6">
        <w:rPr>
          <w:rFonts w:asciiTheme="majorHAnsi" w:hAnsiTheme="majorHAnsi"/>
        </w:rPr>
        <w:t xml:space="preserve"> (2014)</w:t>
      </w:r>
      <w:r w:rsidRPr="00734AB6">
        <w:rPr>
          <w:rFonts w:asciiTheme="majorHAnsi" w:hAnsiTheme="majorHAnsi"/>
        </w:rPr>
        <w:t xml:space="preserve"> reported that procrastination was only associated with ADHD symptoms of inattention and not hyperactivity and impulsivity. This is consistent with the earlier finding that the ASRS subscale of inattention was significantly higher in the modafinil-only and methylphenidate groups but not the subscale of hyperactivity and impulsivity.</w:t>
      </w:r>
    </w:p>
    <w:p w14:paraId="7DF8302E" w14:textId="5A81B44D" w:rsidR="00772E06" w:rsidRPr="00734AB6" w:rsidRDefault="00772E06" w:rsidP="0099584D">
      <w:pPr>
        <w:spacing w:line="360" w:lineRule="auto"/>
        <w:ind w:firstLine="709"/>
        <w:rPr>
          <w:rFonts w:asciiTheme="majorHAnsi" w:hAnsiTheme="majorHAnsi"/>
        </w:rPr>
      </w:pPr>
      <w:r w:rsidRPr="00734AB6">
        <w:rPr>
          <w:rFonts w:asciiTheme="majorHAnsi" w:hAnsiTheme="majorHAnsi"/>
        </w:rPr>
        <w:t>The analysis of the relationship between the reported effects of modafinil and methylphenidate and the behaviours and abilities assessed via the ASRS, CFQ and GPS demonstrated the whilst on modafinil and methylphenidate, respondents were not likely to report any effect via the CFQ, but they were likely to report effects via the ASRS and GPS. This is consistent with the analyses of the performance on these questionnaires as discussed earlier. Modafinil and methylphenidate do not appear to improve behaviours and problems highlighted in the CFQ but the modafinil-only and methylphenidate groups scored lower on this questionnaire anyway, demonstrating fewer problems relating to everyday cognitive failures. This would suggest ceiling effects as, if the performance on the CFQ was already good, improvement via the use of modafinil or methylphenidate would not expect to be seen. Modafinil and methylphenidate do appear to improve problems highlighted in the ASRS and GPS, and analyses of performance on these questionnaires demonstrated significant reported problems with inattention and procrastination.</w:t>
      </w:r>
      <w:r w:rsidR="006021CC" w:rsidRPr="00734AB6">
        <w:rPr>
          <w:rFonts w:asciiTheme="majorHAnsi" w:hAnsiTheme="majorHAnsi"/>
        </w:rPr>
        <w:t xml:space="preserve"> However, </w:t>
      </w:r>
      <w:r w:rsidR="00F47AB9" w:rsidRPr="00734AB6">
        <w:rPr>
          <w:rFonts w:asciiTheme="majorHAnsi" w:hAnsiTheme="majorHAnsi"/>
        </w:rPr>
        <w:t xml:space="preserve">it is important to note that </w:t>
      </w:r>
      <w:r w:rsidR="006021CC" w:rsidRPr="00734AB6">
        <w:rPr>
          <w:rFonts w:asciiTheme="majorHAnsi" w:hAnsiTheme="majorHAnsi"/>
        </w:rPr>
        <w:t>the difference between</w:t>
      </w:r>
      <w:r w:rsidR="00F47AB9" w:rsidRPr="00734AB6">
        <w:rPr>
          <w:rFonts w:asciiTheme="majorHAnsi" w:hAnsiTheme="majorHAnsi"/>
        </w:rPr>
        <w:t xml:space="preserve"> reports of</w:t>
      </w:r>
      <w:r w:rsidR="006021CC" w:rsidRPr="00734AB6">
        <w:rPr>
          <w:rFonts w:asciiTheme="majorHAnsi" w:hAnsiTheme="majorHAnsi"/>
        </w:rPr>
        <w:t xml:space="preserve"> </w:t>
      </w:r>
      <w:r w:rsidR="00EA37BA" w:rsidRPr="00734AB6">
        <w:rPr>
          <w:rFonts w:asciiTheme="majorHAnsi" w:hAnsiTheme="majorHAnsi"/>
        </w:rPr>
        <w:t>‘better’ and ‘not affected’ was very sma</w:t>
      </w:r>
      <w:r w:rsidR="000A33B3" w:rsidRPr="00734AB6">
        <w:rPr>
          <w:rFonts w:asciiTheme="majorHAnsi" w:hAnsiTheme="majorHAnsi"/>
        </w:rPr>
        <w:t>ll and</w:t>
      </w:r>
      <w:r w:rsidR="00F47AB9" w:rsidRPr="00734AB6">
        <w:rPr>
          <w:rFonts w:asciiTheme="majorHAnsi" w:hAnsiTheme="majorHAnsi"/>
        </w:rPr>
        <w:t>, in the case of modafinil</w:t>
      </w:r>
      <w:r w:rsidR="000A33B3" w:rsidRPr="00734AB6">
        <w:rPr>
          <w:rFonts w:asciiTheme="majorHAnsi" w:hAnsiTheme="majorHAnsi"/>
        </w:rPr>
        <w:t xml:space="preserve"> for all three questionnaires, </w:t>
      </w:r>
      <w:r w:rsidR="00F47AB9" w:rsidRPr="00734AB6">
        <w:rPr>
          <w:rFonts w:asciiTheme="majorHAnsi" w:hAnsiTheme="majorHAnsi"/>
        </w:rPr>
        <w:t xml:space="preserve">reports of </w:t>
      </w:r>
      <w:r w:rsidR="000A33B3" w:rsidRPr="00734AB6">
        <w:rPr>
          <w:rFonts w:asciiTheme="majorHAnsi" w:hAnsiTheme="majorHAnsi"/>
        </w:rPr>
        <w:t>‘not affected’</w:t>
      </w:r>
      <w:r w:rsidR="00F47AB9" w:rsidRPr="00734AB6">
        <w:rPr>
          <w:rFonts w:asciiTheme="majorHAnsi" w:hAnsiTheme="majorHAnsi"/>
        </w:rPr>
        <w:t xml:space="preserve"> were</w:t>
      </w:r>
      <w:r w:rsidR="000A33B3" w:rsidRPr="00734AB6">
        <w:rPr>
          <w:rFonts w:asciiTheme="majorHAnsi" w:hAnsiTheme="majorHAnsi"/>
        </w:rPr>
        <w:t xml:space="preserve"> greater than</w:t>
      </w:r>
      <w:r w:rsidR="00F47AB9" w:rsidRPr="00734AB6">
        <w:rPr>
          <w:rFonts w:asciiTheme="majorHAnsi" w:hAnsiTheme="majorHAnsi"/>
        </w:rPr>
        <w:t xml:space="preserve"> reports of</w:t>
      </w:r>
      <w:r w:rsidR="000A33B3" w:rsidRPr="00734AB6">
        <w:rPr>
          <w:rFonts w:asciiTheme="majorHAnsi" w:hAnsiTheme="majorHAnsi"/>
        </w:rPr>
        <w:t xml:space="preserve"> ‘better’. This adaptation to </w:t>
      </w:r>
      <w:r w:rsidR="000A33B3" w:rsidRPr="00734AB6">
        <w:rPr>
          <w:rFonts w:asciiTheme="majorHAnsi" w:hAnsiTheme="majorHAnsi"/>
        </w:rPr>
        <w:lastRenderedPageBreak/>
        <w:t>these questionnaires was novel and relied on participants’ retrospective self-reporting of drug-induced changes. Lab-based drug administration studies are a better way of measuring precisely</w:t>
      </w:r>
      <w:r w:rsidR="00C01A4C" w:rsidRPr="00734AB6">
        <w:rPr>
          <w:rFonts w:asciiTheme="majorHAnsi" w:hAnsiTheme="majorHAnsi"/>
        </w:rPr>
        <w:t>,</w:t>
      </w:r>
      <w:r w:rsidR="000A33B3" w:rsidRPr="00734AB6">
        <w:rPr>
          <w:rFonts w:asciiTheme="majorHAnsi" w:hAnsiTheme="majorHAnsi"/>
        </w:rPr>
        <w:t xml:space="preserve"> what aspects of cognition are improved.</w:t>
      </w:r>
    </w:p>
    <w:p w14:paraId="355D4E52" w14:textId="64FA8E62"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While giving important insights into the self-rated cognitive performance of off-prescription users of modafinil and methylphenidate, the current study does, however, have a number of weaknesses. In addition to the usual weaknesses of online surveys which were discussed in </w:t>
      </w:r>
      <w:r w:rsidR="002A003B" w:rsidRPr="00734AB6">
        <w:rPr>
          <w:rFonts w:asciiTheme="majorHAnsi" w:hAnsiTheme="majorHAnsi"/>
        </w:rPr>
        <w:t>S</w:t>
      </w:r>
      <w:r w:rsidR="00F05857" w:rsidRPr="00734AB6">
        <w:rPr>
          <w:rFonts w:asciiTheme="majorHAnsi" w:hAnsiTheme="majorHAnsi"/>
        </w:rPr>
        <w:t>ection 2.1</w:t>
      </w:r>
      <w:r w:rsidRPr="00734AB6">
        <w:rPr>
          <w:rFonts w:asciiTheme="majorHAnsi" w:hAnsiTheme="majorHAnsi"/>
        </w:rPr>
        <w:t>, the current study did not collect responses in relation to full details of nicotine use for the methylphenidate group, due to a Qualtrics error. However, the data that w</w:t>
      </w:r>
      <w:r w:rsidR="002A003B" w:rsidRPr="00734AB6">
        <w:rPr>
          <w:rFonts w:asciiTheme="majorHAnsi" w:hAnsiTheme="majorHAnsi"/>
        </w:rPr>
        <w:t>ere</w:t>
      </w:r>
      <w:r w:rsidRPr="00734AB6">
        <w:rPr>
          <w:rFonts w:asciiTheme="majorHAnsi" w:hAnsiTheme="majorHAnsi"/>
        </w:rPr>
        <w:t xml:space="preserve"> collected provided an insight into the daily use of nicotine possibly for further cognitive enhancement. Additionally, the data in relation to detailed nicotine use were not the main focus of this study and therefore do not have a bearing on the main findings reported here. Of greater significance is the fact that self-reports of cognitive and behavioural performance are subjective perceptions and this must be taken into consideration when interpreting the results. Objective measures are required to provide robust support to the key findings of the current study. Moreover, the subtle differences in reported methylphenidate use between Studies 1 and 2 reflect the variable nature of online data collection and this must also be taken into consideration.</w:t>
      </w:r>
    </w:p>
    <w:p w14:paraId="57927222" w14:textId="2BCBD29D" w:rsidR="00772E06"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To conclude, this study reports the findings of an online survey advertised on drug-user and other forum sites on the reported off-prescription use of modafinil and methylphenidate and the possible association between symptoms of ADHD and reported modafinil and methylphenidate use. Consistent with Study 1, the profile of the reported off-prescription modafinil and methylphenidate user, at least those who frequent English language online forums, is likely to be male, in their mid to late twenties, university educated, </w:t>
      </w:r>
      <w:r w:rsidR="00BC6247" w:rsidRPr="00734AB6">
        <w:rPr>
          <w:rFonts w:asciiTheme="majorHAnsi" w:hAnsiTheme="majorHAnsi"/>
        </w:rPr>
        <w:t>North American</w:t>
      </w:r>
      <w:r w:rsidRPr="00734AB6">
        <w:rPr>
          <w:rFonts w:asciiTheme="majorHAnsi" w:hAnsiTheme="majorHAnsi"/>
        </w:rPr>
        <w:t xml:space="preserve"> or British, currently studying and employed. Equal frequencies of reported psychiatric diagnoses were seen in all three groups and this may reflect a commonality amongst online forum users rather than reported use of modafinil and methylphenidate as previously thought. More frequent recreational drug use was seen in the modafinil-only group and stimulants were more likely to be more frequently used than any other class of drug. Performance on the ASRS revealed that a much higher percentage of reported modafinil and methylphenidate users compared with controls scored at the level indicating symptoms highly consistent with ADHD. The reported modafinil and methylphenidate users also rated themselves has having significantly greater ADHD symptoms of inattention and procrastination compared with the control group, but these self-reports may not be as severe as they are perceived to be. </w:t>
      </w:r>
      <w:r w:rsidR="00A94891" w:rsidRPr="00734AB6">
        <w:rPr>
          <w:rFonts w:asciiTheme="majorHAnsi" w:hAnsiTheme="majorHAnsi"/>
        </w:rPr>
        <w:t xml:space="preserve">Performance on the GPS revealed that a much higher percentage of modafinil and methylphenidate users rated themselves as having high levels of procrastination compared with the control group. Performance on the CFQ however, indicated that modafinil and methylphenidate users rated themselves as having lower </w:t>
      </w:r>
      <w:r w:rsidR="00A94891" w:rsidRPr="00734AB6">
        <w:rPr>
          <w:rFonts w:asciiTheme="majorHAnsi" w:hAnsiTheme="majorHAnsi"/>
        </w:rPr>
        <w:lastRenderedPageBreak/>
        <w:t>cognitive failures compared with controls</w:t>
      </w:r>
      <w:r w:rsidR="001079A3" w:rsidRPr="00734AB6">
        <w:rPr>
          <w:rFonts w:asciiTheme="majorHAnsi" w:hAnsiTheme="majorHAnsi"/>
        </w:rPr>
        <w:t>. T</w:t>
      </w:r>
      <w:r w:rsidR="007E1B7C" w:rsidRPr="00734AB6">
        <w:rPr>
          <w:rFonts w:asciiTheme="majorHAnsi" w:hAnsiTheme="majorHAnsi"/>
        </w:rPr>
        <w:t xml:space="preserve">his may be a reflection of more frequent use of modafinil or an indication that </w:t>
      </w:r>
      <w:r w:rsidR="001079A3" w:rsidRPr="00734AB6">
        <w:rPr>
          <w:rFonts w:asciiTheme="majorHAnsi" w:hAnsiTheme="majorHAnsi"/>
        </w:rPr>
        <w:t xml:space="preserve">those who may be self-medicating are doing so for </w:t>
      </w:r>
      <w:r w:rsidR="00CD251D" w:rsidRPr="00734AB6">
        <w:rPr>
          <w:rFonts w:asciiTheme="majorHAnsi" w:hAnsiTheme="majorHAnsi"/>
        </w:rPr>
        <w:t xml:space="preserve">problems with </w:t>
      </w:r>
      <w:r w:rsidR="001079A3" w:rsidRPr="00734AB6">
        <w:rPr>
          <w:rFonts w:asciiTheme="majorHAnsi" w:hAnsiTheme="majorHAnsi"/>
        </w:rPr>
        <w:t xml:space="preserve">attention and not for </w:t>
      </w:r>
      <w:r w:rsidR="00CD251D" w:rsidRPr="00734AB6">
        <w:rPr>
          <w:rFonts w:asciiTheme="majorHAnsi" w:hAnsiTheme="majorHAnsi"/>
        </w:rPr>
        <w:t xml:space="preserve">problems which the CFQ tests for. </w:t>
      </w:r>
      <w:r w:rsidRPr="00734AB6">
        <w:rPr>
          <w:rFonts w:asciiTheme="majorHAnsi" w:hAnsiTheme="majorHAnsi"/>
        </w:rPr>
        <w:t xml:space="preserve">Additionally, the reported effects of modafinil and methylphenidate appeared, subjectively, to improve the behaviours and problems assessed via the ASRS and GPS, namely inattention and procrastination but not in relation to the behaviours and problems assessed via the CFQ, everyday cognitive failures. </w:t>
      </w:r>
    </w:p>
    <w:p w14:paraId="7A5F9DE3" w14:textId="13C5DA92" w:rsidR="009C7702" w:rsidRPr="00734AB6" w:rsidRDefault="00772E06" w:rsidP="0099584D">
      <w:pPr>
        <w:spacing w:line="360" w:lineRule="auto"/>
        <w:ind w:firstLine="709"/>
        <w:rPr>
          <w:rFonts w:asciiTheme="majorHAnsi" w:hAnsiTheme="majorHAnsi"/>
        </w:rPr>
      </w:pPr>
      <w:r w:rsidRPr="00734AB6">
        <w:rPr>
          <w:rFonts w:asciiTheme="majorHAnsi" w:hAnsiTheme="majorHAnsi"/>
        </w:rPr>
        <w:t xml:space="preserve">The symptoms of inattention perceived in reported modafinil and methylphenidate users required further investigation through the use of objective measures and self-reports, and this will be the focus of Study 3. A self-report questionnaire probing inattention will be included in the next study, and the question as to whether self-reported levels of inattention may not be as severe as they are perceived to be will also be addressed. </w:t>
      </w:r>
    </w:p>
    <w:p w14:paraId="41C49CF0" w14:textId="77777777" w:rsidR="003D3765" w:rsidRPr="00734AB6" w:rsidRDefault="003D3765" w:rsidP="0099584D">
      <w:pPr>
        <w:spacing w:line="360" w:lineRule="auto"/>
        <w:ind w:firstLine="709"/>
        <w:rPr>
          <w:rFonts w:asciiTheme="majorHAnsi" w:hAnsiTheme="majorHAnsi"/>
        </w:rPr>
      </w:pPr>
    </w:p>
    <w:p w14:paraId="620A679D" w14:textId="77777777" w:rsidR="00640164" w:rsidRPr="00734AB6" w:rsidRDefault="00640164">
      <w:pPr>
        <w:rPr>
          <w:rFonts w:asciiTheme="majorHAnsi" w:eastAsiaTheme="majorEastAsia" w:hAnsiTheme="majorHAnsi" w:cstheme="majorBidi"/>
          <w:b/>
        </w:rPr>
      </w:pPr>
      <w:r w:rsidRPr="00734AB6">
        <w:rPr>
          <w:b/>
        </w:rPr>
        <w:br w:type="page"/>
      </w:r>
    </w:p>
    <w:p w14:paraId="16491501" w14:textId="77DBE5A9" w:rsidR="004408EA" w:rsidRPr="00734AB6" w:rsidRDefault="004676EF" w:rsidP="004408EA">
      <w:pPr>
        <w:pStyle w:val="Heading1"/>
        <w:spacing w:after="240" w:line="360" w:lineRule="auto"/>
        <w:ind w:left="709" w:hanging="709"/>
        <w:rPr>
          <w:b/>
          <w:color w:val="auto"/>
          <w:sz w:val="22"/>
          <w:szCs w:val="22"/>
        </w:rPr>
      </w:pPr>
      <w:bookmarkStart w:id="73" w:name="_Toc48136364"/>
      <w:r w:rsidRPr="00734AB6">
        <w:rPr>
          <w:b/>
          <w:color w:val="auto"/>
          <w:sz w:val="22"/>
          <w:szCs w:val="22"/>
        </w:rPr>
        <w:lastRenderedPageBreak/>
        <w:t>4</w:t>
      </w:r>
      <w:r w:rsidRPr="00734AB6">
        <w:rPr>
          <w:b/>
          <w:color w:val="auto"/>
          <w:sz w:val="22"/>
          <w:szCs w:val="22"/>
        </w:rPr>
        <w:tab/>
      </w:r>
      <w:r w:rsidR="004408EA" w:rsidRPr="00734AB6">
        <w:rPr>
          <w:b/>
          <w:color w:val="auto"/>
          <w:sz w:val="22"/>
          <w:szCs w:val="22"/>
        </w:rPr>
        <w:t>CHAPTER 4</w:t>
      </w:r>
      <w:bookmarkEnd w:id="73"/>
    </w:p>
    <w:p w14:paraId="61F78BC9" w14:textId="0CB787A8" w:rsidR="004676EF" w:rsidRPr="00734AB6" w:rsidRDefault="004676EF" w:rsidP="004408EA">
      <w:pPr>
        <w:spacing w:line="360" w:lineRule="auto"/>
        <w:ind w:left="1560" w:hanging="1560"/>
        <w:rPr>
          <w:b/>
        </w:rPr>
      </w:pPr>
      <w:r w:rsidRPr="00734AB6">
        <w:rPr>
          <w:b/>
        </w:rPr>
        <w:t>STUDY THREE:</w:t>
      </w:r>
      <w:r w:rsidRPr="00734AB6">
        <w:rPr>
          <w:b/>
        </w:rPr>
        <w:tab/>
        <w:t>THE COGNITIVE PERFORMANCE OF THE OFF-PRESCRIPTION USERS OF MODAFINIL AND METHYLPHENIDATE, WITHOUT</w:t>
      </w:r>
      <w:r w:rsidR="00620095" w:rsidRPr="00734AB6">
        <w:rPr>
          <w:b/>
        </w:rPr>
        <w:t xml:space="preserve"> CURRENT</w:t>
      </w:r>
      <w:r w:rsidRPr="00734AB6">
        <w:rPr>
          <w:b/>
        </w:rPr>
        <w:t xml:space="preserve"> ENHANCEMENT</w:t>
      </w:r>
    </w:p>
    <w:p w14:paraId="5475A5AF" w14:textId="77777777" w:rsidR="00E62593" w:rsidRPr="00734AB6" w:rsidRDefault="00E62593" w:rsidP="0099584D">
      <w:pPr>
        <w:spacing w:line="360" w:lineRule="auto"/>
        <w:rPr>
          <w:rFonts w:asciiTheme="majorHAnsi" w:hAnsiTheme="majorHAnsi"/>
        </w:rPr>
      </w:pPr>
    </w:p>
    <w:p w14:paraId="62CD0E7E" w14:textId="77777777" w:rsidR="00650528" w:rsidRPr="00734AB6" w:rsidRDefault="00650528" w:rsidP="00594D41">
      <w:pPr>
        <w:pStyle w:val="Heading2"/>
        <w:spacing w:after="240" w:line="360" w:lineRule="auto"/>
        <w:rPr>
          <w:b/>
          <w:color w:val="auto"/>
          <w:sz w:val="22"/>
          <w:szCs w:val="22"/>
        </w:rPr>
      </w:pPr>
      <w:bookmarkStart w:id="74" w:name="_Toc48136365"/>
      <w:r w:rsidRPr="00734AB6">
        <w:rPr>
          <w:b/>
          <w:color w:val="auto"/>
          <w:sz w:val="22"/>
          <w:szCs w:val="22"/>
        </w:rPr>
        <w:t>4.1</w:t>
      </w:r>
      <w:r w:rsidRPr="00734AB6">
        <w:rPr>
          <w:b/>
          <w:color w:val="auto"/>
          <w:sz w:val="22"/>
          <w:szCs w:val="22"/>
        </w:rPr>
        <w:tab/>
        <w:t>Introduction</w:t>
      </w:r>
      <w:bookmarkEnd w:id="74"/>
    </w:p>
    <w:p w14:paraId="6FB1D608" w14:textId="473F3252" w:rsidR="00650528" w:rsidRPr="00734AB6" w:rsidRDefault="00650528" w:rsidP="00650528">
      <w:pPr>
        <w:spacing w:line="360" w:lineRule="auto"/>
        <w:ind w:firstLine="709"/>
        <w:rPr>
          <w:rFonts w:asciiTheme="majorHAnsi" w:eastAsia="Calibri" w:hAnsiTheme="majorHAnsi"/>
        </w:rPr>
      </w:pPr>
      <w:r w:rsidRPr="00734AB6">
        <w:rPr>
          <w:rFonts w:asciiTheme="majorHAnsi" w:eastAsia="Calibri" w:hAnsiTheme="majorHAnsi"/>
        </w:rPr>
        <w:t xml:space="preserve">The findings of Study 1 suggested that modafinil is experienced differently to methylphenidate as more frequent reported use of modafinil led to greater perceived benefits, but this </w:t>
      </w:r>
      <w:r w:rsidR="0029547C" w:rsidRPr="00734AB6">
        <w:rPr>
          <w:rFonts w:asciiTheme="majorHAnsi" w:eastAsia="Calibri" w:hAnsiTheme="majorHAnsi"/>
        </w:rPr>
        <w:t xml:space="preserve">pattern </w:t>
      </w:r>
      <w:r w:rsidRPr="00734AB6">
        <w:rPr>
          <w:rFonts w:asciiTheme="majorHAnsi" w:eastAsia="Calibri" w:hAnsiTheme="majorHAnsi"/>
        </w:rPr>
        <w:t xml:space="preserve">was not seen with reported methylphenidate use. The results of Study 2 revealed that reported off-prescription users of </w:t>
      </w:r>
      <w:r w:rsidR="00125BED" w:rsidRPr="00734AB6">
        <w:rPr>
          <w:rFonts w:asciiTheme="majorHAnsi" w:eastAsia="Calibri" w:hAnsiTheme="majorHAnsi"/>
        </w:rPr>
        <w:t xml:space="preserve">both </w:t>
      </w:r>
      <w:r w:rsidRPr="00734AB6">
        <w:rPr>
          <w:rFonts w:asciiTheme="majorHAnsi" w:eastAsia="Calibri" w:hAnsiTheme="majorHAnsi"/>
        </w:rPr>
        <w:t>modafinil and methylphenidate indicated higher frequencies of problems with inattention, consistent with a diagnosis of ADHD, and procrastination.</w:t>
      </w:r>
      <w:r w:rsidR="00125BED" w:rsidRPr="00734AB6">
        <w:rPr>
          <w:rFonts w:asciiTheme="majorHAnsi" w:eastAsia="Calibri" w:hAnsiTheme="majorHAnsi"/>
        </w:rPr>
        <w:t xml:space="preserve"> These symptoms appear, subjectively, to have been alleviated via the use of modafinil and methylphenidate. </w:t>
      </w:r>
      <w:r w:rsidRPr="00734AB6">
        <w:rPr>
          <w:rFonts w:asciiTheme="majorHAnsi" w:eastAsia="Calibri" w:hAnsiTheme="majorHAnsi"/>
        </w:rPr>
        <w:t xml:space="preserve"> </w:t>
      </w:r>
      <w:r w:rsidR="00125BED" w:rsidRPr="00734AB6">
        <w:rPr>
          <w:rFonts w:asciiTheme="majorHAnsi" w:eastAsia="Calibri" w:hAnsiTheme="majorHAnsi"/>
        </w:rPr>
        <w:t>It appears</w:t>
      </w:r>
      <w:r w:rsidR="0029547C" w:rsidRPr="00734AB6">
        <w:rPr>
          <w:rFonts w:asciiTheme="majorHAnsi" w:eastAsia="Calibri" w:hAnsiTheme="majorHAnsi"/>
        </w:rPr>
        <w:t xml:space="preserve"> from these two studies</w:t>
      </w:r>
      <w:r w:rsidR="00125BED" w:rsidRPr="00734AB6">
        <w:rPr>
          <w:rFonts w:asciiTheme="majorHAnsi" w:eastAsia="Calibri" w:hAnsiTheme="majorHAnsi"/>
        </w:rPr>
        <w:t xml:space="preserve">, therefore, that the greater perceived benefits of modafinil may not be due to poorer self-reported cognitive performance amongst modafinil, as compared </w:t>
      </w:r>
      <w:r w:rsidR="009E5664" w:rsidRPr="00734AB6">
        <w:rPr>
          <w:rFonts w:asciiTheme="majorHAnsi" w:eastAsia="Calibri" w:hAnsiTheme="majorHAnsi"/>
        </w:rPr>
        <w:t>with</w:t>
      </w:r>
      <w:r w:rsidR="00125BED" w:rsidRPr="00734AB6">
        <w:rPr>
          <w:rFonts w:asciiTheme="majorHAnsi" w:eastAsia="Calibri" w:hAnsiTheme="majorHAnsi"/>
        </w:rPr>
        <w:t xml:space="preserve"> methylphenidate, users. </w:t>
      </w:r>
      <w:r w:rsidR="00D33B45" w:rsidRPr="00734AB6">
        <w:rPr>
          <w:rFonts w:asciiTheme="majorHAnsi" w:eastAsia="Calibri" w:hAnsiTheme="majorHAnsi"/>
        </w:rPr>
        <w:t>To follow up on this, it is necessary to determine</w:t>
      </w:r>
      <w:r w:rsidRPr="00734AB6">
        <w:rPr>
          <w:rFonts w:asciiTheme="majorHAnsi" w:eastAsia="Calibri" w:hAnsiTheme="majorHAnsi"/>
        </w:rPr>
        <w:t xml:space="preserve"> whether these subjectively-perceived self-reports reflect poorer cognitive performance</w:t>
      </w:r>
      <w:r w:rsidR="00D33B45" w:rsidRPr="00734AB6">
        <w:rPr>
          <w:rFonts w:asciiTheme="majorHAnsi" w:eastAsia="Calibri" w:hAnsiTheme="majorHAnsi"/>
        </w:rPr>
        <w:t xml:space="preserve"> when measured objectively</w:t>
      </w:r>
      <w:r w:rsidRPr="00734AB6">
        <w:rPr>
          <w:rFonts w:asciiTheme="majorHAnsi" w:eastAsia="Calibri" w:hAnsiTheme="majorHAnsi"/>
        </w:rPr>
        <w:t xml:space="preserve">. Although, to the author’s knowledge, there are no </w:t>
      </w:r>
      <w:r w:rsidR="004A1ACE" w:rsidRPr="00734AB6">
        <w:rPr>
          <w:rFonts w:asciiTheme="majorHAnsi" w:eastAsia="Calibri" w:hAnsiTheme="majorHAnsi"/>
        </w:rPr>
        <w:t xml:space="preserve">established </w:t>
      </w:r>
      <w:r w:rsidRPr="00734AB6">
        <w:rPr>
          <w:rFonts w:asciiTheme="majorHAnsi" w:eastAsia="Calibri" w:hAnsiTheme="majorHAnsi"/>
        </w:rPr>
        <w:t xml:space="preserve">objective experimental tests measuring levels of procrastination, there are a number of well-established tasks measuring the cognitive performance of executive functions such as focused, sustained attention. </w:t>
      </w:r>
      <w:r w:rsidR="00125BED" w:rsidRPr="00734AB6">
        <w:rPr>
          <w:rFonts w:asciiTheme="majorHAnsi" w:eastAsia="Calibri" w:hAnsiTheme="majorHAnsi"/>
        </w:rPr>
        <w:t>Poorer perceived ability to stay focused on task goals could, perhaps, underly the lower scores on bo</w:t>
      </w:r>
      <w:r w:rsidR="004F79BC" w:rsidRPr="00734AB6">
        <w:rPr>
          <w:rFonts w:asciiTheme="majorHAnsi" w:eastAsia="Calibri" w:hAnsiTheme="majorHAnsi"/>
        </w:rPr>
        <w:t>th the ASRS and GPS in Study 2. The questionnaires in Study 2 were used to identify respondents’ perceptions of their cognitive functions, revealing that these respondents perceived themselves as having problems with inattention and procrastination as measured by the ASRS and GPS respectively. The ASRS measures attention, impulsivity and hyperactivity whereas the BRIEF-A measures a broad range of executive functions</w:t>
      </w:r>
      <w:r w:rsidR="003B0AC0" w:rsidRPr="00734AB6">
        <w:rPr>
          <w:rFonts w:asciiTheme="majorHAnsi" w:eastAsia="Calibri" w:hAnsiTheme="majorHAnsi"/>
        </w:rPr>
        <w:t xml:space="preserve">, including those covered in Section 1.1.1, </w:t>
      </w:r>
      <w:r w:rsidR="004F79BC" w:rsidRPr="00734AB6">
        <w:rPr>
          <w:rFonts w:asciiTheme="majorHAnsi" w:eastAsia="Calibri" w:hAnsiTheme="majorHAnsi"/>
        </w:rPr>
        <w:t>and provides nine individual measures in addition to three broader measures.</w:t>
      </w:r>
    </w:p>
    <w:p w14:paraId="2F9071C5" w14:textId="11F6815C" w:rsidR="00650528" w:rsidRPr="00734AB6" w:rsidRDefault="00650528" w:rsidP="00E3141E">
      <w:pPr>
        <w:spacing w:line="360" w:lineRule="auto"/>
        <w:ind w:firstLine="851"/>
        <w:rPr>
          <w:rFonts w:asciiTheme="majorHAnsi" w:eastAsia="Calibri" w:hAnsiTheme="majorHAnsi"/>
        </w:rPr>
      </w:pPr>
      <w:r w:rsidRPr="00734AB6">
        <w:rPr>
          <w:rFonts w:asciiTheme="majorHAnsi" w:eastAsia="Calibri" w:hAnsiTheme="majorHAnsi"/>
        </w:rPr>
        <w:t xml:space="preserve">In a study investigating executive function performance in children with high and low attentional skills, Scope, Empson and </w:t>
      </w:r>
      <w:r w:rsidR="00BC6247" w:rsidRPr="00734AB6">
        <w:rPr>
          <w:rFonts w:asciiTheme="majorHAnsi" w:eastAsia="Calibri" w:hAnsiTheme="majorHAnsi"/>
        </w:rPr>
        <w:t>Mc</w:t>
      </w:r>
      <w:r w:rsidRPr="00734AB6">
        <w:rPr>
          <w:rFonts w:asciiTheme="majorHAnsi" w:eastAsia="Calibri" w:hAnsiTheme="majorHAnsi"/>
        </w:rPr>
        <w:t xml:space="preserve">Hale (2010) found that, although </w:t>
      </w:r>
      <w:r w:rsidR="00D33B45" w:rsidRPr="00734AB6">
        <w:rPr>
          <w:rFonts w:asciiTheme="majorHAnsi" w:eastAsia="Calibri" w:hAnsiTheme="majorHAnsi"/>
        </w:rPr>
        <w:t>all</w:t>
      </w:r>
      <w:r w:rsidRPr="00734AB6">
        <w:rPr>
          <w:rFonts w:asciiTheme="majorHAnsi" w:eastAsia="Calibri" w:hAnsiTheme="majorHAnsi"/>
        </w:rPr>
        <w:t xml:space="preserve"> scores were within the typical range on the standardized tasks, the low attentional skills group performed significantly poorer on most of the tasks of executive function. </w:t>
      </w:r>
      <w:r w:rsidR="00D33B45" w:rsidRPr="00734AB6">
        <w:rPr>
          <w:rFonts w:asciiTheme="majorHAnsi" w:eastAsia="Calibri" w:hAnsiTheme="majorHAnsi"/>
        </w:rPr>
        <w:t>More specifically</w:t>
      </w:r>
      <w:r w:rsidRPr="00734AB6">
        <w:rPr>
          <w:rFonts w:asciiTheme="majorHAnsi" w:eastAsia="Calibri" w:hAnsiTheme="majorHAnsi"/>
        </w:rPr>
        <w:t xml:space="preserve">, Scope et al. </w:t>
      </w:r>
      <w:r w:rsidR="00057A81" w:rsidRPr="00734AB6">
        <w:rPr>
          <w:rFonts w:asciiTheme="majorHAnsi" w:eastAsia="Calibri" w:hAnsiTheme="majorHAnsi"/>
        </w:rPr>
        <w:t xml:space="preserve">(2010) </w:t>
      </w:r>
      <w:r w:rsidRPr="00734AB6">
        <w:rPr>
          <w:rFonts w:asciiTheme="majorHAnsi" w:eastAsia="Calibri" w:hAnsiTheme="majorHAnsi"/>
        </w:rPr>
        <w:t xml:space="preserve">reported that the differences between the two groups related to working memory and inhibitory control and that this supported the concept of a continuum of attentional skills (Connor, 1997), with varying levels of severity across the population. It would seem then that tasks measuring focused, sustained attention, working memory and inhibition would be most </w:t>
      </w:r>
      <w:r w:rsidRPr="00734AB6">
        <w:rPr>
          <w:rFonts w:asciiTheme="majorHAnsi" w:eastAsia="Calibri" w:hAnsiTheme="majorHAnsi"/>
        </w:rPr>
        <w:lastRenderedPageBreak/>
        <w:t xml:space="preserve">appropriate in the </w:t>
      </w:r>
      <w:r w:rsidR="00873CF4" w:rsidRPr="00734AB6">
        <w:rPr>
          <w:rFonts w:asciiTheme="majorHAnsi" w:eastAsia="Calibri" w:hAnsiTheme="majorHAnsi"/>
        </w:rPr>
        <w:t xml:space="preserve">follow-up </w:t>
      </w:r>
      <w:r w:rsidRPr="00734AB6">
        <w:rPr>
          <w:rFonts w:asciiTheme="majorHAnsi" w:eastAsia="Calibri" w:hAnsiTheme="majorHAnsi"/>
        </w:rPr>
        <w:t xml:space="preserve">objective assessment of the subjectively-reported symptoms of ADHD in reported off-prescription users of modafinil and methylphenidate. It has been argued that working memory is, in part an attentional construct as working memory assists in the maintenance and execution of tasks in spite of interference from automatic, habitual responses (Kane, </w:t>
      </w:r>
      <w:proofErr w:type="spellStart"/>
      <w:r w:rsidRPr="00734AB6">
        <w:rPr>
          <w:rFonts w:asciiTheme="majorHAnsi" w:eastAsia="Calibri" w:hAnsiTheme="majorHAnsi"/>
        </w:rPr>
        <w:t>Bleckley</w:t>
      </w:r>
      <w:proofErr w:type="spellEnd"/>
      <w:r w:rsidRPr="00734AB6">
        <w:rPr>
          <w:rFonts w:asciiTheme="majorHAnsi" w:eastAsia="Calibri" w:hAnsiTheme="majorHAnsi"/>
        </w:rPr>
        <w:t xml:space="preserve">, Conway &amp; Engle, 2001; Meier, </w:t>
      </w:r>
      <w:proofErr w:type="spellStart"/>
      <w:r w:rsidRPr="00734AB6">
        <w:rPr>
          <w:rFonts w:asciiTheme="majorHAnsi" w:eastAsia="Calibri" w:hAnsiTheme="majorHAnsi"/>
        </w:rPr>
        <w:t>Smeekens</w:t>
      </w:r>
      <w:proofErr w:type="spellEnd"/>
      <w:r w:rsidRPr="00734AB6">
        <w:rPr>
          <w:rFonts w:asciiTheme="majorHAnsi" w:eastAsia="Calibri" w:hAnsiTheme="majorHAnsi"/>
        </w:rPr>
        <w:t xml:space="preserve">, Silvia, </w:t>
      </w:r>
      <w:proofErr w:type="spellStart"/>
      <w:r w:rsidRPr="00734AB6">
        <w:rPr>
          <w:rFonts w:asciiTheme="majorHAnsi" w:eastAsia="Calibri" w:hAnsiTheme="majorHAnsi"/>
        </w:rPr>
        <w:t>Kwapil</w:t>
      </w:r>
      <w:proofErr w:type="spellEnd"/>
      <w:r w:rsidRPr="00734AB6">
        <w:rPr>
          <w:rFonts w:asciiTheme="majorHAnsi" w:eastAsia="Calibri" w:hAnsiTheme="majorHAnsi"/>
        </w:rPr>
        <w:t xml:space="preserve"> &amp; Kane, 2018; Unsworth, Schrock &amp; Engle, 2004). </w:t>
      </w:r>
      <w:r w:rsidR="00085AE4" w:rsidRPr="00734AB6">
        <w:rPr>
          <w:rFonts w:asciiTheme="majorHAnsi" w:eastAsia="Calibri" w:hAnsiTheme="majorHAnsi"/>
        </w:rPr>
        <w:t>Therefore</w:t>
      </w:r>
      <w:r w:rsidR="00873CF4" w:rsidRPr="00734AB6">
        <w:rPr>
          <w:rFonts w:asciiTheme="majorHAnsi" w:eastAsia="Calibri" w:hAnsiTheme="majorHAnsi"/>
        </w:rPr>
        <w:t>,</w:t>
      </w:r>
      <w:r w:rsidR="00085AE4" w:rsidRPr="00734AB6">
        <w:rPr>
          <w:rFonts w:asciiTheme="majorHAnsi" w:eastAsia="Calibri" w:hAnsiTheme="majorHAnsi"/>
        </w:rPr>
        <w:t xml:space="preserve"> tasks measuring attention may also measure working memory. </w:t>
      </w:r>
      <w:r w:rsidRPr="00734AB6">
        <w:rPr>
          <w:rFonts w:asciiTheme="majorHAnsi" w:eastAsia="Calibri" w:hAnsiTheme="majorHAnsi"/>
        </w:rPr>
        <w:t xml:space="preserve">Additionally, by using tasks involving goal maintenance, procrastination may also be tested </w:t>
      </w:r>
      <w:r w:rsidR="00873CF4" w:rsidRPr="00734AB6">
        <w:rPr>
          <w:rFonts w:asciiTheme="majorHAnsi" w:eastAsia="Calibri" w:hAnsiTheme="majorHAnsi"/>
        </w:rPr>
        <w:t>(</w:t>
      </w:r>
      <w:r w:rsidRPr="00734AB6">
        <w:rPr>
          <w:rFonts w:asciiTheme="majorHAnsi" w:eastAsia="Calibri" w:hAnsiTheme="majorHAnsi"/>
        </w:rPr>
        <w:t>to a certain extent</w:t>
      </w:r>
      <w:r w:rsidR="00873CF4" w:rsidRPr="00734AB6">
        <w:rPr>
          <w:rFonts w:asciiTheme="majorHAnsi" w:eastAsia="Calibri" w:hAnsiTheme="majorHAnsi"/>
        </w:rPr>
        <w:t>)</w:t>
      </w:r>
      <w:r w:rsidRPr="00734AB6">
        <w:rPr>
          <w:rFonts w:asciiTheme="majorHAnsi" w:eastAsia="Calibri" w:hAnsiTheme="majorHAnsi"/>
        </w:rPr>
        <w:t xml:space="preserve"> as it is believed that procrastination is apparent not only in delaying the initiation of goals, but also in goal maintenance failure (</w:t>
      </w:r>
      <w:proofErr w:type="spellStart"/>
      <w:r w:rsidRPr="00734AB6">
        <w:rPr>
          <w:rFonts w:asciiTheme="majorHAnsi" w:eastAsia="Calibri" w:hAnsiTheme="majorHAnsi"/>
        </w:rPr>
        <w:t>Svartdal</w:t>
      </w:r>
      <w:proofErr w:type="spellEnd"/>
      <w:r w:rsidRPr="00734AB6">
        <w:rPr>
          <w:rFonts w:asciiTheme="majorHAnsi" w:eastAsia="Calibri" w:hAnsiTheme="majorHAnsi"/>
        </w:rPr>
        <w:t xml:space="preserve">, </w:t>
      </w:r>
      <w:proofErr w:type="spellStart"/>
      <w:r w:rsidRPr="00734AB6">
        <w:rPr>
          <w:rFonts w:asciiTheme="majorHAnsi" w:eastAsia="Calibri" w:hAnsiTheme="majorHAnsi"/>
        </w:rPr>
        <w:t>Klingsieck</w:t>
      </w:r>
      <w:proofErr w:type="spellEnd"/>
      <w:r w:rsidRPr="00734AB6">
        <w:rPr>
          <w:rFonts w:asciiTheme="majorHAnsi" w:eastAsia="Calibri" w:hAnsiTheme="majorHAnsi"/>
        </w:rPr>
        <w:t xml:space="preserve">, Steel &amp; </w:t>
      </w:r>
      <w:proofErr w:type="spellStart"/>
      <w:r w:rsidRPr="00734AB6">
        <w:rPr>
          <w:rFonts w:asciiTheme="majorHAnsi" w:eastAsia="Calibri" w:hAnsiTheme="majorHAnsi"/>
        </w:rPr>
        <w:t>Gamst-Klaussen</w:t>
      </w:r>
      <w:proofErr w:type="spellEnd"/>
      <w:r w:rsidRPr="00734AB6">
        <w:rPr>
          <w:rFonts w:asciiTheme="majorHAnsi" w:eastAsia="Calibri" w:hAnsiTheme="majorHAnsi"/>
        </w:rPr>
        <w:t>, 2020). T</w:t>
      </w:r>
      <w:r w:rsidR="00754FB3">
        <w:rPr>
          <w:rFonts w:asciiTheme="majorHAnsi" w:eastAsia="Calibri" w:hAnsiTheme="majorHAnsi"/>
        </w:rPr>
        <w:t>hree</w:t>
      </w:r>
      <w:r w:rsidRPr="00734AB6">
        <w:rPr>
          <w:rFonts w:asciiTheme="majorHAnsi" w:eastAsia="Calibri" w:hAnsiTheme="majorHAnsi"/>
        </w:rPr>
        <w:t xml:space="preserve"> tests involving goal maintenance, measuring focused, sustained attention, working memory and inhibition of inappropriate responses</w:t>
      </w:r>
      <w:r w:rsidR="00873CF4" w:rsidRPr="00734AB6">
        <w:rPr>
          <w:rFonts w:asciiTheme="majorHAnsi" w:eastAsia="Calibri" w:hAnsiTheme="majorHAnsi"/>
        </w:rPr>
        <w:t xml:space="preserve"> were used in Study 3 and</w:t>
      </w:r>
      <w:r w:rsidRPr="00734AB6">
        <w:rPr>
          <w:rFonts w:asciiTheme="majorHAnsi" w:eastAsia="Calibri" w:hAnsiTheme="majorHAnsi"/>
        </w:rPr>
        <w:t xml:space="preserve"> are discussed in the following paragraphs.</w:t>
      </w:r>
    </w:p>
    <w:p w14:paraId="53695780" w14:textId="218E7BE4" w:rsidR="00650528" w:rsidRPr="00734AB6" w:rsidRDefault="00650528" w:rsidP="00650528">
      <w:pPr>
        <w:spacing w:line="360" w:lineRule="auto"/>
        <w:ind w:firstLine="709"/>
        <w:rPr>
          <w:rFonts w:asciiTheme="majorHAnsi" w:eastAsia="Calibri" w:hAnsiTheme="majorHAnsi"/>
        </w:rPr>
      </w:pPr>
      <w:r w:rsidRPr="00734AB6">
        <w:rPr>
          <w:rFonts w:asciiTheme="majorHAnsi" w:eastAsia="Calibri" w:hAnsiTheme="majorHAnsi"/>
        </w:rPr>
        <w:t xml:space="preserve">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is a well-established test measuring pre-potent response inhibition, the ability to suppress automatic, externally-driven responses in favour of conscious, internally-driven responses (</w:t>
      </w:r>
      <w:r w:rsidR="000B34DB" w:rsidRPr="00734AB6">
        <w:rPr>
          <w:rFonts w:asciiTheme="majorHAnsi" w:eastAsia="Calibri" w:hAnsiTheme="majorHAnsi"/>
        </w:rPr>
        <w:t xml:space="preserve">Hallett, 1978; </w:t>
      </w:r>
      <w:proofErr w:type="spellStart"/>
      <w:r w:rsidRPr="00734AB6">
        <w:rPr>
          <w:rFonts w:asciiTheme="majorHAnsi" w:eastAsia="Calibri" w:hAnsiTheme="majorHAnsi"/>
        </w:rPr>
        <w:t>Massen</w:t>
      </w:r>
      <w:proofErr w:type="spellEnd"/>
      <w:r w:rsidRPr="00734AB6">
        <w:rPr>
          <w:rFonts w:asciiTheme="majorHAnsi" w:eastAsia="Calibri" w:hAnsiTheme="majorHAnsi"/>
        </w:rPr>
        <w:t xml:space="preserve">, 2004; Munoz &amp; </w:t>
      </w:r>
      <w:proofErr w:type="spellStart"/>
      <w:r w:rsidRPr="00734AB6">
        <w:rPr>
          <w:rFonts w:asciiTheme="majorHAnsi" w:eastAsia="Calibri" w:hAnsiTheme="majorHAnsi"/>
        </w:rPr>
        <w:t>Everling</w:t>
      </w:r>
      <w:proofErr w:type="spellEnd"/>
      <w:r w:rsidRPr="00734AB6">
        <w:rPr>
          <w:rFonts w:asciiTheme="majorHAnsi" w:eastAsia="Calibri" w:hAnsiTheme="majorHAnsi"/>
        </w:rPr>
        <w:t>, 2004</w:t>
      </w:r>
      <w:r w:rsidR="00DC44B5" w:rsidRPr="00734AB6">
        <w:rPr>
          <w:rFonts w:asciiTheme="majorHAnsi" w:eastAsia="Calibri" w:hAnsiTheme="majorHAnsi"/>
        </w:rPr>
        <w:t>)</w:t>
      </w:r>
      <w:r w:rsidRPr="00734AB6">
        <w:rPr>
          <w:rFonts w:asciiTheme="majorHAnsi" w:eastAsia="Calibri" w:hAnsiTheme="majorHAnsi"/>
        </w:rPr>
        <w:t xml:space="preserve">. The term saccade is used to describe quick, simultaneous movements of both eyes rather than the smooth pursuit eye movements. Prosaccades are saccades towards a target whereas </w:t>
      </w:r>
      <w:proofErr w:type="spellStart"/>
      <w:r w:rsidRPr="00734AB6">
        <w:rPr>
          <w:rFonts w:asciiTheme="majorHAnsi" w:eastAsia="Calibri" w:hAnsiTheme="majorHAnsi"/>
        </w:rPr>
        <w:t>antisaccades</w:t>
      </w:r>
      <w:proofErr w:type="spellEnd"/>
      <w:r w:rsidRPr="00734AB6">
        <w:rPr>
          <w:rFonts w:asciiTheme="majorHAnsi" w:eastAsia="Calibri" w:hAnsiTheme="majorHAnsi"/>
        </w:rPr>
        <w:t xml:space="preserve"> are saccades in the opposite direction of a target. </w:t>
      </w:r>
      <w:r w:rsidR="00A0233F" w:rsidRPr="00734AB6">
        <w:rPr>
          <w:rFonts w:asciiTheme="majorHAnsi" w:eastAsia="Calibri" w:hAnsiTheme="majorHAnsi"/>
        </w:rPr>
        <w:t xml:space="preserve">Prosaccades are executed constantly in everyday life in order to focus on stimuli whereas </w:t>
      </w:r>
      <w:proofErr w:type="spellStart"/>
      <w:r w:rsidR="00A0233F" w:rsidRPr="00734AB6">
        <w:rPr>
          <w:rFonts w:asciiTheme="majorHAnsi" w:eastAsia="Calibri" w:hAnsiTheme="majorHAnsi"/>
        </w:rPr>
        <w:t>antisaccades</w:t>
      </w:r>
      <w:proofErr w:type="spellEnd"/>
      <w:r w:rsidR="00A0233F" w:rsidRPr="00734AB6">
        <w:rPr>
          <w:rFonts w:asciiTheme="majorHAnsi" w:eastAsia="Calibri" w:hAnsiTheme="majorHAnsi"/>
        </w:rPr>
        <w:t xml:space="preserve"> are argued not to be a function of daily life as the desire to look away from a stimulus into blank space is not a natural action. Thus, executing the </w:t>
      </w:r>
      <w:proofErr w:type="spellStart"/>
      <w:r w:rsidR="00A0233F" w:rsidRPr="00734AB6">
        <w:rPr>
          <w:rFonts w:asciiTheme="majorHAnsi" w:eastAsia="Calibri" w:hAnsiTheme="majorHAnsi"/>
        </w:rPr>
        <w:t>antisaccade</w:t>
      </w:r>
      <w:proofErr w:type="spellEnd"/>
      <w:r w:rsidR="00A0233F" w:rsidRPr="00734AB6">
        <w:rPr>
          <w:rFonts w:asciiTheme="majorHAnsi" w:eastAsia="Calibri" w:hAnsiTheme="majorHAnsi"/>
        </w:rPr>
        <w:t xml:space="preserve"> task requires a strong top-down, goal-oriented executive load</w:t>
      </w:r>
      <w:r w:rsidR="002F42BC" w:rsidRPr="00734AB6">
        <w:rPr>
          <w:rFonts w:asciiTheme="majorHAnsi" w:eastAsia="Calibri" w:hAnsiTheme="majorHAnsi"/>
        </w:rPr>
        <w:t xml:space="preserve"> (</w:t>
      </w:r>
      <w:r w:rsidR="000D455E" w:rsidRPr="00734AB6">
        <w:rPr>
          <w:rFonts w:asciiTheme="majorHAnsi" w:eastAsia="Calibri" w:hAnsiTheme="majorHAnsi"/>
        </w:rPr>
        <w:t xml:space="preserve">Munoz &amp; </w:t>
      </w:r>
      <w:proofErr w:type="spellStart"/>
      <w:r w:rsidR="000D455E" w:rsidRPr="00734AB6">
        <w:rPr>
          <w:rFonts w:asciiTheme="majorHAnsi" w:eastAsia="Calibri" w:hAnsiTheme="majorHAnsi"/>
        </w:rPr>
        <w:t>Everling</w:t>
      </w:r>
      <w:proofErr w:type="spellEnd"/>
      <w:r w:rsidR="000D455E" w:rsidRPr="00734AB6">
        <w:rPr>
          <w:rFonts w:asciiTheme="majorHAnsi" w:eastAsia="Calibri" w:hAnsiTheme="majorHAnsi"/>
        </w:rPr>
        <w:t>, 2004)</w:t>
      </w:r>
      <w:r w:rsidR="00A0233F" w:rsidRPr="00734AB6">
        <w:rPr>
          <w:rFonts w:asciiTheme="majorHAnsi" w:eastAsia="Calibri" w:hAnsiTheme="majorHAnsi"/>
        </w:rPr>
        <w:t xml:space="preserve">. </w:t>
      </w:r>
      <w:r w:rsidRPr="00734AB6">
        <w:rPr>
          <w:rFonts w:asciiTheme="majorHAnsi" w:eastAsia="Calibri" w:hAnsiTheme="majorHAnsi"/>
        </w:rPr>
        <w:t xml:space="preserve">The task consists of two phases, the prosaccade phase and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phase. In the prosaccade phase the participant is required to look at a target which appears either to the left or right of the central fixation point, once the fixation has disappeared. In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phase</w:t>
      </w:r>
      <w:r w:rsidR="00C01A4C" w:rsidRPr="00734AB6">
        <w:rPr>
          <w:rFonts w:asciiTheme="majorHAnsi" w:eastAsia="Calibri" w:hAnsiTheme="majorHAnsi"/>
        </w:rPr>
        <w:t>,</w:t>
      </w:r>
      <w:r w:rsidRPr="00734AB6">
        <w:rPr>
          <w:rFonts w:asciiTheme="majorHAnsi" w:eastAsia="Calibri" w:hAnsiTheme="majorHAnsi"/>
        </w:rPr>
        <w:t xml:space="preserve"> the participant is required to resist looking at the target and look towards an empty region of space in the opposite, mirror </w:t>
      </w:r>
      <w:r w:rsidR="00E8162B" w:rsidRPr="00734AB6">
        <w:rPr>
          <w:rFonts w:asciiTheme="majorHAnsi" w:eastAsia="Calibri" w:hAnsiTheme="majorHAnsi"/>
        </w:rPr>
        <w:t xml:space="preserve">image </w:t>
      </w:r>
      <w:r w:rsidRPr="00734AB6">
        <w:rPr>
          <w:rFonts w:asciiTheme="majorHAnsi" w:eastAsia="Calibri" w:hAnsiTheme="majorHAnsi"/>
        </w:rPr>
        <w:t xml:space="preserve">position instead. In both phases, the participant is required to work as quickly and accurately as possible. In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phase</w:t>
      </w:r>
      <w:r w:rsidR="00C01A4C" w:rsidRPr="00734AB6">
        <w:rPr>
          <w:rFonts w:asciiTheme="majorHAnsi" w:eastAsia="Calibri" w:hAnsiTheme="majorHAnsi"/>
        </w:rPr>
        <w:t>,</w:t>
      </w:r>
      <w:r w:rsidRPr="00734AB6">
        <w:rPr>
          <w:rFonts w:asciiTheme="majorHAnsi" w:eastAsia="Calibri" w:hAnsiTheme="majorHAnsi"/>
        </w:rPr>
        <w:t xml:space="preserve"> the pre-potent automatic response to produce a prosaccade is met with a deliberate suppressing response, these responses have been argued to function as parallel neural processes (</w:t>
      </w:r>
      <w:proofErr w:type="spellStart"/>
      <w:r w:rsidRPr="00734AB6">
        <w:rPr>
          <w:rFonts w:asciiTheme="majorHAnsi" w:eastAsia="Calibri" w:hAnsiTheme="majorHAnsi"/>
        </w:rPr>
        <w:t>Masse</w:t>
      </w:r>
      <w:r w:rsidR="00AB53B6" w:rsidRPr="00734AB6">
        <w:rPr>
          <w:rFonts w:asciiTheme="majorHAnsi" w:eastAsia="Calibri" w:hAnsiTheme="majorHAnsi"/>
        </w:rPr>
        <w:t>n</w:t>
      </w:r>
      <w:proofErr w:type="spellEnd"/>
      <w:r w:rsidR="00057A81" w:rsidRPr="00734AB6">
        <w:rPr>
          <w:rFonts w:asciiTheme="majorHAnsi" w:eastAsia="Calibri" w:hAnsiTheme="majorHAnsi"/>
        </w:rPr>
        <w:t>, 2004</w:t>
      </w:r>
      <w:r w:rsidR="00AB53B6" w:rsidRPr="00734AB6">
        <w:rPr>
          <w:rFonts w:asciiTheme="majorHAnsi" w:eastAsia="Calibri" w:hAnsiTheme="majorHAnsi"/>
        </w:rPr>
        <w:t xml:space="preserve">; </w:t>
      </w:r>
      <w:proofErr w:type="spellStart"/>
      <w:r w:rsidR="00AB53B6" w:rsidRPr="00734AB6">
        <w:rPr>
          <w:rFonts w:asciiTheme="majorHAnsi" w:eastAsia="Calibri" w:hAnsiTheme="majorHAnsi"/>
        </w:rPr>
        <w:t>Noorani</w:t>
      </w:r>
      <w:proofErr w:type="spellEnd"/>
      <w:r w:rsidR="00AB53B6" w:rsidRPr="00734AB6">
        <w:rPr>
          <w:rFonts w:asciiTheme="majorHAnsi" w:eastAsia="Calibri" w:hAnsiTheme="majorHAnsi"/>
        </w:rPr>
        <w:t xml:space="preserve"> &amp; Carpenter, 2012). Whether </w:t>
      </w:r>
      <w:proofErr w:type="spellStart"/>
      <w:r w:rsidR="00AB53B6" w:rsidRPr="00734AB6">
        <w:rPr>
          <w:rFonts w:asciiTheme="majorHAnsi" w:eastAsia="Calibri" w:hAnsiTheme="majorHAnsi"/>
        </w:rPr>
        <w:t>antisaccade</w:t>
      </w:r>
      <w:proofErr w:type="spellEnd"/>
      <w:r w:rsidR="00AB53B6" w:rsidRPr="00734AB6">
        <w:rPr>
          <w:rFonts w:asciiTheme="majorHAnsi" w:eastAsia="Calibri" w:hAnsiTheme="majorHAnsi"/>
        </w:rPr>
        <w:t xml:space="preserve"> errors or correct </w:t>
      </w:r>
      <w:proofErr w:type="spellStart"/>
      <w:r w:rsidR="00AB53B6" w:rsidRPr="00734AB6">
        <w:rPr>
          <w:rFonts w:asciiTheme="majorHAnsi" w:eastAsia="Calibri" w:hAnsiTheme="majorHAnsi"/>
        </w:rPr>
        <w:t>antisaccades</w:t>
      </w:r>
      <w:proofErr w:type="spellEnd"/>
      <w:r w:rsidR="00AB53B6" w:rsidRPr="00734AB6">
        <w:rPr>
          <w:rFonts w:asciiTheme="majorHAnsi" w:eastAsia="Calibri" w:hAnsiTheme="majorHAnsi"/>
        </w:rPr>
        <w:t xml:space="preserve"> will be produced will depend</w:t>
      </w:r>
      <w:r w:rsidR="00A0233F" w:rsidRPr="00734AB6">
        <w:rPr>
          <w:rFonts w:asciiTheme="majorHAnsi" w:eastAsia="Calibri" w:hAnsiTheme="majorHAnsi"/>
        </w:rPr>
        <w:t xml:space="preserve"> on which of these processes is faster</w:t>
      </w:r>
      <w:r w:rsidRPr="00734AB6">
        <w:rPr>
          <w:rFonts w:asciiTheme="majorHAnsi" w:eastAsia="Calibri" w:hAnsiTheme="majorHAnsi"/>
        </w:rPr>
        <w:t xml:space="preserve">. </w:t>
      </w:r>
      <w:proofErr w:type="spellStart"/>
      <w:r w:rsidRPr="00734AB6">
        <w:rPr>
          <w:rFonts w:asciiTheme="majorHAnsi" w:eastAsia="Calibri" w:hAnsiTheme="majorHAnsi"/>
        </w:rPr>
        <w:t>Noorani</w:t>
      </w:r>
      <w:proofErr w:type="spellEnd"/>
      <w:r w:rsidRPr="00734AB6">
        <w:rPr>
          <w:rFonts w:asciiTheme="majorHAnsi" w:eastAsia="Calibri" w:hAnsiTheme="majorHAnsi"/>
        </w:rPr>
        <w:t xml:space="preserve"> and Carpenter also argue for an additional process in suppressing this response which they refer to as a stop unit. Although the frontal eye fields (FEF) and superior colliculus are believed to be involved in executing the saccade</w:t>
      </w:r>
      <w:r w:rsidR="00A0233F" w:rsidRPr="00734AB6">
        <w:rPr>
          <w:rFonts w:asciiTheme="majorHAnsi" w:eastAsia="Calibri" w:hAnsiTheme="majorHAnsi"/>
        </w:rPr>
        <w:t xml:space="preserve"> (</w:t>
      </w:r>
      <w:r w:rsidR="00AB53B6" w:rsidRPr="00734AB6">
        <w:rPr>
          <w:rFonts w:asciiTheme="majorHAnsi" w:eastAsia="Calibri" w:hAnsiTheme="majorHAnsi"/>
        </w:rPr>
        <w:t xml:space="preserve">Munoz &amp; </w:t>
      </w:r>
      <w:proofErr w:type="spellStart"/>
      <w:r w:rsidR="00AB53B6" w:rsidRPr="00734AB6">
        <w:rPr>
          <w:rFonts w:asciiTheme="majorHAnsi" w:eastAsia="Calibri" w:hAnsiTheme="majorHAnsi"/>
        </w:rPr>
        <w:t>Everling</w:t>
      </w:r>
      <w:proofErr w:type="spellEnd"/>
      <w:r w:rsidR="006403E9" w:rsidRPr="00734AB6">
        <w:rPr>
          <w:rFonts w:asciiTheme="majorHAnsi" w:eastAsia="Calibri" w:hAnsiTheme="majorHAnsi"/>
        </w:rPr>
        <w:t>, 2004</w:t>
      </w:r>
      <w:r w:rsidR="00A0233F" w:rsidRPr="00734AB6">
        <w:rPr>
          <w:rFonts w:asciiTheme="majorHAnsi" w:eastAsia="Calibri" w:hAnsiTheme="majorHAnsi"/>
        </w:rPr>
        <w:t>)</w:t>
      </w:r>
      <w:r w:rsidRPr="00734AB6">
        <w:rPr>
          <w:rFonts w:asciiTheme="majorHAnsi" w:eastAsia="Calibri" w:hAnsiTheme="majorHAnsi"/>
        </w:rPr>
        <w:t xml:space="preserve">, the supplementary motor area and </w:t>
      </w:r>
      <w:r w:rsidR="00F27EEC" w:rsidRPr="00734AB6">
        <w:rPr>
          <w:rFonts w:asciiTheme="majorHAnsi" w:eastAsia="Calibri" w:hAnsiTheme="majorHAnsi"/>
        </w:rPr>
        <w:t>DLPFC</w:t>
      </w:r>
      <w:r w:rsidRPr="00734AB6">
        <w:rPr>
          <w:rFonts w:asciiTheme="majorHAnsi" w:eastAsia="Calibri" w:hAnsiTheme="majorHAnsi"/>
        </w:rPr>
        <w:t xml:space="preserve"> are believed to be responsible for saccade inhibition (Munoz &amp; </w:t>
      </w:r>
      <w:proofErr w:type="spellStart"/>
      <w:r w:rsidRPr="00734AB6">
        <w:rPr>
          <w:rFonts w:asciiTheme="majorHAnsi" w:eastAsia="Calibri" w:hAnsiTheme="majorHAnsi"/>
        </w:rPr>
        <w:t>Everling</w:t>
      </w:r>
      <w:proofErr w:type="spellEnd"/>
      <w:r w:rsidR="006403E9" w:rsidRPr="00734AB6">
        <w:rPr>
          <w:rFonts w:asciiTheme="majorHAnsi" w:eastAsia="Calibri" w:hAnsiTheme="majorHAnsi"/>
        </w:rPr>
        <w:t>, 2004</w:t>
      </w:r>
      <w:r w:rsidRPr="00734AB6">
        <w:rPr>
          <w:rFonts w:asciiTheme="majorHAnsi" w:eastAsia="Calibri" w:hAnsiTheme="majorHAnsi"/>
        </w:rPr>
        <w:t xml:space="preserve">; </w:t>
      </w:r>
      <w:proofErr w:type="spellStart"/>
      <w:r w:rsidRPr="00734AB6">
        <w:rPr>
          <w:rFonts w:asciiTheme="majorHAnsi" w:eastAsia="Calibri" w:hAnsiTheme="majorHAnsi"/>
        </w:rPr>
        <w:t>Noorani</w:t>
      </w:r>
      <w:proofErr w:type="spellEnd"/>
      <w:r w:rsidRPr="00734AB6">
        <w:rPr>
          <w:rFonts w:asciiTheme="majorHAnsi" w:eastAsia="Calibri" w:hAnsiTheme="majorHAnsi"/>
        </w:rPr>
        <w:t xml:space="preserve"> &amp; Carpenter</w:t>
      </w:r>
      <w:r w:rsidR="006403E9" w:rsidRPr="00734AB6">
        <w:rPr>
          <w:rFonts w:asciiTheme="majorHAnsi" w:eastAsia="Calibri" w:hAnsiTheme="majorHAnsi"/>
        </w:rPr>
        <w:t>, 2012</w:t>
      </w:r>
      <w:r w:rsidRPr="00734AB6">
        <w:rPr>
          <w:rFonts w:asciiTheme="majorHAnsi" w:eastAsia="Calibri" w:hAnsiTheme="majorHAnsi"/>
        </w:rPr>
        <w:t xml:space="preserve">). The DLPFC is associated with executive functions, including working memory and focused attention (Curtis &amp; </w:t>
      </w:r>
      <w:proofErr w:type="spellStart"/>
      <w:r w:rsidRPr="00734AB6">
        <w:rPr>
          <w:rFonts w:asciiTheme="majorHAnsi" w:eastAsia="Calibri" w:hAnsiTheme="majorHAnsi"/>
        </w:rPr>
        <w:t>D’Esposito</w:t>
      </w:r>
      <w:proofErr w:type="spellEnd"/>
      <w:r w:rsidRPr="00734AB6">
        <w:rPr>
          <w:rFonts w:asciiTheme="majorHAnsi" w:eastAsia="Calibri" w:hAnsiTheme="majorHAnsi"/>
        </w:rPr>
        <w:t xml:space="preserve">, 2003). </w:t>
      </w:r>
      <w:r w:rsidRPr="00734AB6">
        <w:rPr>
          <w:rFonts w:asciiTheme="majorHAnsi" w:eastAsia="Calibri" w:hAnsiTheme="majorHAnsi"/>
        </w:rPr>
        <w:lastRenderedPageBreak/>
        <w:t xml:space="preserve">The cognitive processes underlying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include inhibition, working memory and attention (Hutton, 2008). Therefore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is a powerful and very specific tool with which to measure executive functions, specifically the ability to inhibit automatic responses.</w:t>
      </w:r>
      <w:r w:rsidR="00D7055E" w:rsidRPr="00734AB6">
        <w:rPr>
          <w:rFonts w:asciiTheme="majorHAnsi" w:eastAsia="Calibri" w:hAnsiTheme="majorHAnsi"/>
        </w:rPr>
        <w:t xml:space="preserve"> </w:t>
      </w:r>
      <w:proofErr w:type="spellStart"/>
      <w:r w:rsidR="00D7055E" w:rsidRPr="00734AB6">
        <w:rPr>
          <w:rFonts w:asciiTheme="majorHAnsi" w:eastAsia="Calibri" w:hAnsiTheme="majorHAnsi"/>
        </w:rPr>
        <w:t>Futher</w:t>
      </w:r>
      <w:proofErr w:type="spellEnd"/>
      <w:r w:rsidR="00D7055E" w:rsidRPr="00734AB6">
        <w:rPr>
          <w:rFonts w:asciiTheme="majorHAnsi" w:eastAsia="Calibri" w:hAnsiTheme="majorHAnsi"/>
        </w:rPr>
        <w:t xml:space="preserve">, the </w:t>
      </w:r>
      <w:proofErr w:type="spellStart"/>
      <w:r w:rsidR="00D7055E" w:rsidRPr="00734AB6">
        <w:rPr>
          <w:rFonts w:asciiTheme="majorHAnsi" w:eastAsia="Calibri" w:hAnsiTheme="majorHAnsi"/>
        </w:rPr>
        <w:t>antisaccade</w:t>
      </w:r>
      <w:proofErr w:type="spellEnd"/>
      <w:r w:rsidR="00D7055E" w:rsidRPr="00734AB6">
        <w:rPr>
          <w:rFonts w:asciiTheme="majorHAnsi" w:eastAsia="Calibri" w:hAnsiTheme="majorHAnsi"/>
        </w:rPr>
        <w:t xml:space="preserve"> task is sensitive to group differences and effects of drugs. </w:t>
      </w:r>
      <w:proofErr w:type="spellStart"/>
      <w:r w:rsidR="00987D95" w:rsidRPr="00734AB6">
        <w:rPr>
          <w:rFonts w:asciiTheme="majorHAnsi" w:eastAsia="Calibri" w:hAnsiTheme="majorHAnsi"/>
        </w:rPr>
        <w:t>Schwerdtfeger</w:t>
      </w:r>
      <w:proofErr w:type="spellEnd"/>
      <w:r w:rsidR="00987D95" w:rsidRPr="00734AB6">
        <w:rPr>
          <w:rFonts w:asciiTheme="majorHAnsi" w:eastAsia="Calibri" w:hAnsiTheme="majorHAnsi"/>
        </w:rPr>
        <w:t xml:space="preserve"> et al. (2013) found that adults with ADHD demonstrated greater activation in the DLPFC during </w:t>
      </w:r>
      <w:proofErr w:type="spellStart"/>
      <w:r w:rsidR="00987D95" w:rsidRPr="00734AB6">
        <w:rPr>
          <w:rFonts w:asciiTheme="majorHAnsi" w:eastAsia="Calibri" w:hAnsiTheme="majorHAnsi"/>
        </w:rPr>
        <w:t>antisaccade</w:t>
      </w:r>
      <w:proofErr w:type="spellEnd"/>
      <w:r w:rsidR="00987D95" w:rsidRPr="00734AB6">
        <w:rPr>
          <w:rFonts w:asciiTheme="majorHAnsi" w:eastAsia="Calibri" w:hAnsiTheme="majorHAnsi"/>
        </w:rPr>
        <w:t xml:space="preserve"> responses and demonstrated longer reactions times compared with controls. Rycroft et al. (</w:t>
      </w:r>
      <w:r w:rsidR="00313B61" w:rsidRPr="00734AB6">
        <w:rPr>
          <w:rFonts w:asciiTheme="majorHAnsi" w:eastAsia="Calibri" w:hAnsiTheme="majorHAnsi"/>
        </w:rPr>
        <w:t xml:space="preserve">2007) </w:t>
      </w:r>
      <w:r w:rsidR="00F70AEB" w:rsidRPr="00734AB6">
        <w:rPr>
          <w:rFonts w:asciiTheme="majorHAnsi" w:eastAsia="Calibri" w:hAnsiTheme="majorHAnsi"/>
        </w:rPr>
        <w:t>found that both nicotine and modafinil reduced the response latency for correct saccades.</w:t>
      </w:r>
    </w:p>
    <w:p w14:paraId="6C0FF24C" w14:textId="77777777" w:rsidR="00BF6EAC" w:rsidRPr="00734AB6" w:rsidRDefault="00650528" w:rsidP="00BF6EAC">
      <w:pPr>
        <w:spacing w:line="360" w:lineRule="auto"/>
        <w:ind w:firstLine="709"/>
        <w:rPr>
          <w:rFonts w:asciiTheme="majorHAnsi" w:eastAsia="Calibri" w:hAnsiTheme="majorHAnsi"/>
        </w:rPr>
      </w:pPr>
      <w:r w:rsidRPr="00734AB6">
        <w:rPr>
          <w:rFonts w:asciiTheme="majorHAnsi" w:eastAsia="Calibri" w:hAnsiTheme="majorHAnsi"/>
        </w:rPr>
        <w:t xml:space="preserve">The Eriksen flanker task, first devised by Eriksen and Eriksen </w:t>
      </w:r>
      <w:r w:rsidR="00F44E7E" w:rsidRPr="00734AB6">
        <w:rPr>
          <w:rFonts w:asciiTheme="majorHAnsi" w:eastAsia="Calibri" w:hAnsiTheme="majorHAnsi"/>
        </w:rPr>
        <w:t>(</w:t>
      </w:r>
      <w:r w:rsidRPr="00734AB6">
        <w:rPr>
          <w:rFonts w:asciiTheme="majorHAnsi" w:eastAsia="Calibri" w:hAnsiTheme="majorHAnsi"/>
        </w:rPr>
        <w:t>1974</w:t>
      </w:r>
      <w:r w:rsidR="00F44E7E" w:rsidRPr="00734AB6">
        <w:rPr>
          <w:rFonts w:asciiTheme="majorHAnsi" w:eastAsia="Calibri" w:hAnsiTheme="majorHAnsi"/>
        </w:rPr>
        <w:t>)</w:t>
      </w:r>
      <w:r w:rsidRPr="00734AB6">
        <w:rPr>
          <w:rFonts w:asciiTheme="majorHAnsi" w:eastAsia="Calibri" w:hAnsiTheme="majorHAnsi"/>
        </w:rPr>
        <w:t xml:space="preserve"> is a well-established test of inhibition and focused attention. The task involves the presentation of seven horizontally presented letters, the participant is instructed to focus on the central letter only (the target) and to press one key if the target is </w:t>
      </w:r>
      <w:r w:rsidR="00F44E7E" w:rsidRPr="00734AB6">
        <w:rPr>
          <w:rFonts w:asciiTheme="majorHAnsi" w:eastAsia="Calibri" w:hAnsiTheme="majorHAnsi"/>
        </w:rPr>
        <w:t xml:space="preserve">either the letter </w:t>
      </w:r>
      <w:r w:rsidRPr="00734AB6">
        <w:rPr>
          <w:rFonts w:asciiTheme="majorHAnsi" w:eastAsia="Calibri" w:hAnsiTheme="majorHAnsi"/>
        </w:rPr>
        <w:t>H or K and another key if the target is S or C. In different conditions, the target is flanked by congruent or incongruent letters. An adaptation of this task uses arrows instead of letters in three different conditions (</w:t>
      </w:r>
      <w:proofErr w:type="spellStart"/>
      <w:r w:rsidRPr="00734AB6">
        <w:rPr>
          <w:rFonts w:asciiTheme="majorHAnsi" w:eastAsia="Calibri" w:hAnsiTheme="majorHAnsi"/>
        </w:rPr>
        <w:t>Ridderinkhof</w:t>
      </w:r>
      <w:proofErr w:type="spellEnd"/>
      <w:r w:rsidRPr="00734AB6">
        <w:rPr>
          <w:rFonts w:asciiTheme="majorHAnsi" w:eastAsia="Calibri" w:hAnsiTheme="majorHAnsi"/>
        </w:rPr>
        <w:t xml:space="preserve"> &amp; van der </w:t>
      </w:r>
      <w:proofErr w:type="spellStart"/>
      <w:r w:rsidRPr="00734AB6">
        <w:rPr>
          <w:rFonts w:asciiTheme="majorHAnsi" w:eastAsia="Calibri" w:hAnsiTheme="majorHAnsi"/>
        </w:rPr>
        <w:t>Molen</w:t>
      </w:r>
      <w:proofErr w:type="spellEnd"/>
      <w:r w:rsidRPr="00734AB6">
        <w:rPr>
          <w:rFonts w:asciiTheme="majorHAnsi" w:eastAsia="Calibri" w:hAnsiTheme="majorHAnsi"/>
        </w:rPr>
        <w:t xml:space="preserve">, 1995). In the congruent condition, the target is flanked by arrows pointing in the same direction as the target. In the incongruent condition, the target is flanked by arrows pointing in different directions to the target. In the neutral condition, the target is flanked by diamond shapes. The participant must work as quickly and accurately as possible by pressing one key when the target is pointing left and another key when the target is pointing right. The task becomes more challenging in the incongruent condition when the goal action is met with interference from conflicting response impulses, resulting in longer latencies and a greater number of errors compared with the congruent condition (Gratton, Coles &amp; </w:t>
      </w:r>
      <w:proofErr w:type="spellStart"/>
      <w:r w:rsidRPr="00734AB6">
        <w:rPr>
          <w:rFonts w:asciiTheme="majorHAnsi" w:eastAsia="Calibri" w:hAnsiTheme="majorHAnsi"/>
        </w:rPr>
        <w:t>Donchin</w:t>
      </w:r>
      <w:proofErr w:type="spellEnd"/>
      <w:r w:rsidRPr="00734AB6">
        <w:rPr>
          <w:rFonts w:asciiTheme="majorHAnsi" w:eastAsia="Calibri" w:hAnsiTheme="majorHAnsi"/>
        </w:rPr>
        <w:t xml:space="preserve">, 1992; Sanders &amp; </w:t>
      </w:r>
      <w:proofErr w:type="spellStart"/>
      <w:r w:rsidRPr="00734AB6">
        <w:rPr>
          <w:rFonts w:asciiTheme="majorHAnsi" w:eastAsia="Calibri" w:hAnsiTheme="majorHAnsi"/>
        </w:rPr>
        <w:t>Lamers</w:t>
      </w:r>
      <w:proofErr w:type="spellEnd"/>
      <w:r w:rsidRPr="00734AB6">
        <w:rPr>
          <w:rFonts w:asciiTheme="majorHAnsi" w:eastAsia="Calibri" w:hAnsiTheme="majorHAnsi"/>
        </w:rPr>
        <w:t xml:space="preserve">, 2002). One theory explaining cognitive control when faced with conflict such as this, is the conflict monitor control system, proposed by </w:t>
      </w:r>
      <w:proofErr w:type="spellStart"/>
      <w:r w:rsidRPr="00734AB6">
        <w:rPr>
          <w:rFonts w:asciiTheme="majorHAnsi" w:eastAsia="Calibri" w:hAnsiTheme="majorHAnsi"/>
        </w:rPr>
        <w:t>Botvinick</w:t>
      </w:r>
      <w:proofErr w:type="spellEnd"/>
      <w:r w:rsidRPr="00734AB6">
        <w:rPr>
          <w:rFonts w:asciiTheme="majorHAnsi" w:eastAsia="Calibri" w:hAnsiTheme="majorHAnsi"/>
        </w:rPr>
        <w:t xml:space="preserve">, Braver, </w:t>
      </w:r>
      <w:proofErr w:type="spellStart"/>
      <w:r w:rsidRPr="00734AB6">
        <w:rPr>
          <w:rFonts w:asciiTheme="majorHAnsi" w:eastAsia="Calibri" w:hAnsiTheme="majorHAnsi"/>
        </w:rPr>
        <w:t>Barch</w:t>
      </w:r>
      <w:proofErr w:type="spellEnd"/>
      <w:r w:rsidRPr="00734AB6">
        <w:rPr>
          <w:rFonts w:asciiTheme="majorHAnsi" w:eastAsia="Calibri" w:hAnsiTheme="majorHAnsi"/>
        </w:rPr>
        <w:t>, Carter and Cohen (2001). This theory proposes that the ACC functions as a monitor, detecting the level of task conflict and the DLPFC acts as the controller by modulating attentional control to the target. The conflict monitor control system provides a good explanation of how inhibition and focused attention operate during the flanker task.</w:t>
      </w:r>
      <w:r w:rsidR="000A2883" w:rsidRPr="00734AB6">
        <w:rPr>
          <w:rFonts w:asciiTheme="majorHAnsi" w:eastAsia="Calibri" w:hAnsiTheme="majorHAnsi"/>
        </w:rPr>
        <w:t xml:space="preserve"> </w:t>
      </w:r>
      <w:r w:rsidR="00F44E7E" w:rsidRPr="00734AB6">
        <w:rPr>
          <w:rFonts w:asciiTheme="majorHAnsi" w:eastAsia="Calibri" w:hAnsiTheme="majorHAnsi"/>
        </w:rPr>
        <w:t xml:space="preserve">The Eriksen flanker task is also sensitive to the effect of nicotine, </w:t>
      </w:r>
      <w:r w:rsidR="00AB53B6" w:rsidRPr="00734AB6">
        <w:rPr>
          <w:rFonts w:asciiTheme="majorHAnsi" w:eastAsia="Calibri" w:hAnsiTheme="majorHAnsi"/>
        </w:rPr>
        <w:t>for example,</w:t>
      </w:r>
      <w:r w:rsidR="00F44E7E" w:rsidRPr="00734AB6">
        <w:rPr>
          <w:rFonts w:asciiTheme="majorHAnsi" w:eastAsia="Calibri" w:hAnsiTheme="majorHAnsi"/>
        </w:rPr>
        <w:t xml:space="preserve"> Franken, van </w:t>
      </w:r>
      <w:proofErr w:type="spellStart"/>
      <w:r w:rsidR="00F44E7E" w:rsidRPr="00734AB6">
        <w:rPr>
          <w:rFonts w:asciiTheme="majorHAnsi" w:eastAsia="Calibri" w:hAnsiTheme="majorHAnsi"/>
        </w:rPr>
        <w:t>Strien</w:t>
      </w:r>
      <w:proofErr w:type="spellEnd"/>
      <w:r w:rsidR="00F44E7E" w:rsidRPr="00734AB6">
        <w:rPr>
          <w:rFonts w:asciiTheme="majorHAnsi" w:eastAsia="Calibri" w:hAnsiTheme="majorHAnsi"/>
        </w:rPr>
        <w:t xml:space="preserve"> and </w:t>
      </w:r>
      <w:proofErr w:type="spellStart"/>
      <w:r w:rsidR="00F44E7E" w:rsidRPr="00734AB6">
        <w:rPr>
          <w:rFonts w:asciiTheme="majorHAnsi" w:eastAsia="Calibri" w:hAnsiTheme="majorHAnsi"/>
        </w:rPr>
        <w:t>Kuijpers</w:t>
      </w:r>
      <w:proofErr w:type="spellEnd"/>
      <w:r w:rsidR="00F44E7E" w:rsidRPr="00734AB6">
        <w:rPr>
          <w:rFonts w:asciiTheme="majorHAnsi" w:eastAsia="Calibri" w:hAnsiTheme="majorHAnsi"/>
        </w:rPr>
        <w:t xml:space="preserve"> (2019) finding that smokers demonstrated increased error rates on incongruent trials and suggested that cognitive deficits may contribute to </w:t>
      </w:r>
      <w:proofErr w:type="spellStart"/>
      <w:r w:rsidR="00F44E7E" w:rsidRPr="00734AB6">
        <w:rPr>
          <w:rFonts w:asciiTheme="majorHAnsi" w:eastAsia="Calibri" w:hAnsiTheme="majorHAnsi"/>
        </w:rPr>
        <w:t>persistant</w:t>
      </w:r>
      <w:proofErr w:type="spellEnd"/>
      <w:r w:rsidR="00F44E7E" w:rsidRPr="00734AB6">
        <w:rPr>
          <w:rFonts w:asciiTheme="majorHAnsi" w:eastAsia="Calibri" w:hAnsiTheme="majorHAnsi"/>
        </w:rPr>
        <w:t xml:space="preserve"> smoking behaviour.</w:t>
      </w:r>
      <w:r w:rsidR="003C1C7C" w:rsidRPr="00734AB6">
        <w:rPr>
          <w:rFonts w:asciiTheme="majorHAnsi" w:eastAsia="Calibri" w:hAnsiTheme="majorHAnsi"/>
        </w:rPr>
        <w:t xml:space="preserve"> </w:t>
      </w:r>
    </w:p>
    <w:p w14:paraId="40F5FEB2" w14:textId="38CD6417" w:rsidR="00BF6EAC" w:rsidRDefault="00BF6EAC" w:rsidP="00BF6EAC">
      <w:pPr>
        <w:spacing w:line="360" w:lineRule="auto"/>
        <w:ind w:firstLine="709"/>
        <w:rPr>
          <w:rFonts w:asciiTheme="majorHAnsi" w:eastAsia="Calibri" w:hAnsiTheme="majorHAnsi"/>
        </w:rPr>
      </w:pPr>
      <w:r w:rsidRPr="00734AB6">
        <w:rPr>
          <w:rFonts w:asciiTheme="majorHAnsi" w:eastAsia="Calibri" w:hAnsiTheme="majorHAnsi"/>
        </w:rPr>
        <w:t xml:space="preserve">Both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and the arrow flanker task measure the ability to maintain task goals and inhibit distractors, although in slightly different ways. In addition to task goal maintenance, the flanker requires some </w:t>
      </w:r>
      <w:r w:rsidR="00087160" w:rsidRPr="00734AB6">
        <w:rPr>
          <w:rFonts w:asciiTheme="majorHAnsi" w:eastAsia="Calibri" w:hAnsiTheme="majorHAnsi"/>
        </w:rPr>
        <w:t>low-</w:t>
      </w:r>
      <w:r w:rsidRPr="00734AB6">
        <w:rPr>
          <w:rFonts w:asciiTheme="majorHAnsi" w:eastAsia="Calibri" w:hAnsiTheme="majorHAnsi"/>
        </w:rPr>
        <w:t xml:space="preserve">level perceptual processes and is affected by </w:t>
      </w:r>
      <w:r w:rsidR="00087160" w:rsidRPr="00734AB6">
        <w:rPr>
          <w:rFonts w:asciiTheme="majorHAnsi" w:eastAsia="Calibri" w:hAnsiTheme="majorHAnsi"/>
        </w:rPr>
        <w:t xml:space="preserve">key </w:t>
      </w:r>
      <w:r w:rsidRPr="00734AB6">
        <w:rPr>
          <w:rFonts w:asciiTheme="majorHAnsi" w:eastAsia="Calibri" w:hAnsiTheme="majorHAnsi"/>
        </w:rPr>
        <w:t xml:space="preserve">pressing speed.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only requires eye movements </w:t>
      </w:r>
      <w:r w:rsidR="00087160" w:rsidRPr="00734AB6">
        <w:rPr>
          <w:rFonts w:asciiTheme="majorHAnsi" w:eastAsia="Calibri" w:hAnsiTheme="majorHAnsi"/>
        </w:rPr>
        <w:t>therefore</w:t>
      </w:r>
      <w:r w:rsidRPr="00734AB6">
        <w:rPr>
          <w:rFonts w:asciiTheme="majorHAnsi" w:eastAsia="Calibri" w:hAnsiTheme="majorHAnsi"/>
        </w:rPr>
        <w:t xml:space="preserve"> the load on perceptual processes is very low and </w:t>
      </w:r>
      <w:r w:rsidR="00087160" w:rsidRPr="00734AB6">
        <w:rPr>
          <w:rFonts w:asciiTheme="majorHAnsi" w:eastAsia="Calibri" w:hAnsiTheme="majorHAnsi"/>
        </w:rPr>
        <w:t xml:space="preserve">motor control, </w:t>
      </w:r>
      <w:r w:rsidRPr="00734AB6">
        <w:rPr>
          <w:rFonts w:asciiTheme="majorHAnsi" w:eastAsia="Calibri" w:hAnsiTheme="majorHAnsi"/>
        </w:rPr>
        <w:t xml:space="preserve">the ability to </w:t>
      </w:r>
      <w:r w:rsidR="00087160" w:rsidRPr="00734AB6">
        <w:rPr>
          <w:rFonts w:asciiTheme="majorHAnsi" w:eastAsia="Calibri" w:hAnsiTheme="majorHAnsi"/>
        </w:rPr>
        <w:t>press keys</w:t>
      </w:r>
      <w:r w:rsidRPr="00734AB6">
        <w:rPr>
          <w:rFonts w:asciiTheme="majorHAnsi" w:eastAsia="Calibri" w:hAnsiTheme="majorHAnsi"/>
        </w:rPr>
        <w:t xml:space="preserve"> quickly</w:t>
      </w:r>
      <w:r w:rsidR="00087160" w:rsidRPr="00734AB6">
        <w:rPr>
          <w:rFonts w:asciiTheme="majorHAnsi" w:eastAsia="Calibri" w:hAnsiTheme="majorHAnsi"/>
        </w:rPr>
        <w:t>,</w:t>
      </w:r>
      <w:r w:rsidRPr="00734AB6">
        <w:rPr>
          <w:rFonts w:asciiTheme="majorHAnsi" w:eastAsia="Calibri" w:hAnsiTheme="majorHAnsi"/>
        </w:rPr>
        <w:t xml:space="preserve"> is not </w:t>
      </w:r>
      <w:r w:rsidRPr="00734AB6">
        <w:rPr>
          <w:rFonts w:asciiTheme="majorHAnsi" w:eastAsia="Calibri" w:hAnsiTheme="majorHAnsi"/>
        </w:rPr>
        <w:lastRenderedPageBreak/>
        <w:t xml:space="preserve">relevant.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measures the ability to inhibit a prepotent response instead of a learned response such as striking a key in response to the appearance of a number.</w:t>
      </w:r>
      <w:r w:rsidR="00087160" w:rsidRPr="00734AB6">
        <w:rPr>
          <w:rFonts w:asciiTheme="majorHAnsi" w:eastAsia="Calibri" w:hAnsiTheme="majorHAnsi"/>
        </w:rPr>
        <w:t xml:space="preserve"> </w:t>
      </w:r>
      <w:r w:rsidR="00234F0D" w:rsidRPr="00734AB6">
        <w:rPr>
          <w:rFonts w:asciiTheme="majorHAnsi" w:eastAsia="Calibri" w:hAnsiTheme="majorHAnsi"/>
        </w:rPr>
        <w:t>Other commonly used tests such as the CANTAB (</w:t>
      </w:r>
      <w:r w:rsidR="00234F0D" w:rsidRPr="00734AB6">
        <w:rPr>
          <w:rFonts w:asciiTheme="majorHAnsi" w:hAnsiTheme="majorHAnsi"/>
        </w:rPr>
        <w:t xml:space="preserve">Cambridge Cognition Ltd., n.d.), although more limited in its range of measures of inhibition, may otherwise have also been suitable, however they were not available. </w:t>
      </w:r>
      <w:r w:rsidR="00087160" w:rsidRPr="00734AB6">
        <w:rPr>
          <w:rFonts w:asciiTheme="majorHAnsi" w:eastAsia="Calibri" w:hAnsiTheme="majorHAnsi"/>
        </w:rPr>
        <w:t xml:space="preserve">For these reasons, the </w:t>
      </w:r>
      <w:proofErr w:type="spellStart"/>
      <w:r w:rsidR="00087160" w:rsidRPr="00734AB6">
        <w:rPr>
          <w:rFonts w:asciiTheme="majorHAnsi" w:eastAsia="Calibri" w:hAnsiTheme="majorHAnsi"/>
        </w:rPr>
        <w:t>antisaccade</w:t>
      </w:r>
      <w:proofErr w:type="spellEnd"/>
      <w:r w:rsidR="00087160" w:rsidRPr="00734AB6">
        <w:rPr>
          <w:rFonts w:asciiTheme="majorHAnsi" w:eastAsia="Calibri" w:hAnsiTheme="majorHAnsi"/>
        </w:rPr>
        <w:t xml:space="preserve"> and the flanker task were chosen </w:t>
      </w:r>
      <w:r w:rsidRPr="00734AB6">
        <w:rPr>
          <w:rFonts w:asciiTheme="majorHAnsi" w:eastAsia="Calibri" w:hAnsiTheme="majorHAnsi"/>
        </w:rPr>
        <w:t xml:space="preserve">as they measure </w:t>
      </w:r>
      <w:r w:rsidR="00087160" w:rsidRPr="00734AB6">
        <w:rPr>
          <w:rFonts w:asciiTheme="majorHAnsi" w:eastAsia="Calibri" w:hAnsiTheme="majorHAnsi"/>
        </w:rPr>
        <w:t>goal maintenance, measuring focused, sustained attention, working memory and inhibition of inappropriate responses as indicated earlier</w:t>
      </w:r>
      <w:r w:rsidR="00234F0D" w:rsidRPr="00734AB6">
        <w:rPr>
          <w:rFonts w:asciiTheme="majorHAnsi" w:eastAsia="Calibri" w:hAnsiTheme="majorHAnsi"/>
        </w:rPr>
        <w:t xml:space="preserve">. </w:t>
      </w:r>
    </w:p>
    <w:p w14:paraId="1770E65C" w14:textId="77777777" w:rsidR="00754FB3" w:rsidRPr="00734AB6" w:rsidRDefault="00754FB3" w:rsidP="00754FB3">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A well-known and widely used task measuring sustained attention is the Sustained Attention to Response Task (SART, Robertson, Manley, Andrade, Baddeley &amp; </w:t>
      </w:r>
      <w:proofErr w:type="spellStart"/>
      <w:r w:rsidRPr="00734AB6">
        <w:rPr>
          <w:rFonts w:asciiTheme="majorHAnsi" w:eastAsia="Calibri" w:hAnsiTheme="majorHAnsi" w:cs="Calibri"/>
        </w:rPr>
        <w:t>Yiend</w:t>
      </w:r>
      <w:proofErr w:type="spellEnd"/>
      <w:r w:rsidRPr="00734AB6">
        <w:rPr>
          <w:rFonts w:asciiTheme="majorHAnsi" w:eastAsia="Calibri" w:hAnsiTheme="majorHAnsi" w:cs="Calibri"/>
        </w:rPr>
        <w:t xml:space="preserve">, 1997, see </w:t>
      </w:r>
      <w:proofErr w:type="spellStart"/>
      <w:r w:rsidRPr="00734AB6">
        <w:rPr>
          <w:rFonts w:asciiTheme="majorHAnsi" w:eastAsia="Calibri" w:hAnsiTheme="majorHAnsi" w:cs="Calibri"/>
        </w:rPr>
        <w:t>Smilek</w:t>
      </w:r>
      <w:proofErr w:type="spellEnd"/>
      <w:r w:rsidRPr="00734AB6">
        <w:rPr>
          <w:rFonts w:asciiTheme="majorHAnsi" w:eastAsia="Calibri" w:hAnsiTheme="majorHAnsi" w:cs="Calibri"/>
        </w:rPr>
        <w:t xml:space="preserve">, Carriere &amp; Cheyne, 2010 for a review). The task uses a continuous performance paradigm which involves pressing a keyboard key every time a number (between one and nine) appears in the centre of the computer screen except for the number three (the target). Participants must work quickly and accurately, in equal measure, but they must also withhold responding on the appearance of the target. An important element of the SART is that it encourages attentional drift due to the repetitive, habitual nature of responding to non-target stimuli (Manly et al., 2003). The SART requires continuous, sustained attention as well as withholding of the endogenous habitual, motor response on appearance of the infrequent target. The SART is recognised to be a test sensitive to sustained attention deficits (Manley et al.; Robertson et al.; Smallwood, </w:t>
      </w:r>
      <w:proofErr w:type="spellStart"/>
      <w:r w:rsidRPr="00734AB6">
        <w:rPr>
          <w:rFonts w:asciiTheme="majorHAnsi" w:eastAsia="Calibri" w:hAnsiTheme="majorHAnsi" w:cs="Calibri"/>
        </w:rPr>
        <w:t>Riby</w:t>
      </w:r>
      <w:proofErr w:type="spellEnd"/>
      <w:r w:rsidRPr="00734AB6">
        <w:rPr>
          <w:rFonts w:asciiTheme="majorHAnsi" w:eastAsia="Calibri" w:hAnsiTheme="majorHAnsi" w:cs="Calibri"/>
        </w:rPr>
        <w:t>, Heim &amp; Davies, 2006; Smallwood et al., 2004) and therefore appears to be an appropriate tool with which to measure focused, sustained attention.</w:t>
      </w:r>
    </w:p>
    <w:p w14:paraId="637E0B09" w14:textId="45389FE0" w:rsidR="00650528" w:rsidRPr="00734AB6" w:rsidRDefault="00AB53B6" w:rsidP="00F44E7E">
      <w:pPr>
        <w:spacing w:line="360" w:lineRule="auto"/>
        <w:ind w:firstLine="709"/>
        <w:rPr>
          <w:rFonts w:asciiTheme="majorHAnsi" w:eastAsia="Calibri" w:hAnsiTheme="majorHAnsi"/>
        </w:rPr>
      </w:pPr>
      <w:r w:rsidRPr="00734AB6">
        <w:rPr>
          <w:rFonts w:asciiTheme="majorHAnsi" w:eastAsia="Calibri" w:hAnsiTheme="majorHAnsi"/>
        </w:rPr>
        <w:t>In addition to these</w:t>
      </w:r>
      <w:r w:rsidR="00F44E7E" w:rsidRPr="00734AB6">
        <w:rPr>
          <w:rFonts w:asciiTheme="majorHAnsi" w:eastAsia="Calibri" w:hAnsiTheme="majorHAnsi"/>
        </w:rPr>
        <w:t xml:space="preserve"> objective test</w:t>
      </w:r>
      <w:r w:rsidR="006C10F6" w:rsidRPr="00734AB6">
        <w:rPr>
          <w:rFonts w:asciiTheme="majorHAnsi" w:eastAsia="Calibri" w:hAnsiTheme="majorHAnsi"/>
        </w:rPr>
        <w:t>s</w:t>
      </w:r>
      <w:r w:rsidR="00F44E7E" w:rsidRPr="00734AB6">
        <w:rPr>
          <w:rFonts w:asciiTheme="majorHAnsi" w:eastAsia="Calibri" w:hAnsiTheme="majorHAnsi"/>
        </w:rPr>
        <w:t xml:space="preserve">, the Behaviour Rating Inventory of Executive Function – Adult Version (BRIEF-A) </w:t>
      </w:r>
      <w:r w:rsidR="006C10F6" w:rsidRPr="00734AB6">
        <w:rPr>
          <w:rFonts w:asciiTheme="majorHAnsi" w:eastAsia="Calibri" w:hAnsiTheme="majorHAnsi"/>
        </w:rPr>
        <w:t xml:space="preserve">was chosen as it </w:t>
      </w:r>
      <w:r w:rsidR="00F44E7E" w:rsidRPr="00734AB6">
        <w:rPr>
          <w:rFonts w:asciiTheme="majorHAnsi" w:eastAsia="Calibri" w:hAnsiTheme="majorHAnsi"/>
        </w:rPr>
        <w:t xml:space="preserve">is a standardized self-report measure of an adult’s (aged 18 to 90) views of their own executive functions as experienced in their everyday life (Roth, </w:t>
      </w:r>
      <w:proofErr w:type="spellStart"/>
      <w:r w:rsidR="00F44E7E" w:rsidRPr="00734AB6">
        <w:rPr>
          <w:rFonts w:asciiTheme="majorHAnsi" w:eastAsia="Calibri" w:hAnsiTheme="majorHAnsi"/>
        </w:rPr>
        <w:t>Isquith</w:t>
      </w:r>
      <w:proofErr w:type="spellEnd"/>
      <w:r w:rsidR="00F44E7E" w:rsidRPr="00734AB6">
        <w:rPr>
          <w:rFonts w:asciiTheme="majorHAnsi" w:eastAsia="Calibri" w:hAnsiTheme="majorHAnsi"/>
        </w:rPr>
        <w:t xml:space="preserve"> &amp; </w:t>
      </w:r>
      <w:proofErr w:type="spellStart"/>
      <w:r w:rsidR="00F44E7E" w:rsidRPr="00734AB6">
        <w:rPr>
          <w:rFonts w:asciiTheme="majorHAnsi" w:eastAsia="Calibri" w:hAnsiTheme="majorHAnsi"/>
        </w:rPr>
        <w:t>Gioia</w:t>
      </w:r>
      <w:proofErr w:type="spellEnd"/>
      <w:r w:rsidR="00F44E7E" w:rsidRPr="00734AB6">
        <w:rPr>
          <w:rFonts w:asciiTheme="majorHAnsi" w:eastAsia="Calibri" w:hAnsiTheme="majorHAnsi"/>
        </w:rPr>
        <w:t>, 2005</w:t>
      </w:r>
      <w:r w:rsidR="004F79BC" w:rsidRPr="00734AB6">
        <w:rPr>
          <w:rFonts w:asciiTheme="majorHAnsi" w:eastAsia="Calibri" w:hAnsiTheme="majorHAnsi"/>
        </w:rPr>
        <w:t xml:space="preserve">). </w:t>
      </w:r>
      <w:r w:rsidR="00650528" w:rsidRPr="00734AB6">
        <w:rPr>
          <w:rFonts w:asciiTheme="majorHAnsi" w:eastAsia="Calibri" w:hAnsiTheme="majorHAnsi"/>
        </w:rPr>
        <w:t>The objective measures in the current study assess attention, working memory and inhib</w:t>
      </w:r>
      <w:r w:rsidR="00C01A4C" w:rsidRPr="00734AB6">
        <w:rPr>
          <w:rFonts w:asciiTheme="majorHAnsi" w:eastAsia="Calibri" w:hAnsiTheme="majorHAnsi"/>
        </w:rPr>
        <w:t>ition and the BRIEF-A provides</w:t>
      </w:r>
      <w:r w:rsidR="00650528" w:rsidRPr="00734AB6">
        <w:rPr>
          <w:rFonts w:asciiTheme="majorHAnsi" w:eastAsia="Calibri" w:hAnsiTheme="majorHAnsi"/>
        </w:rPr>
        <w:t xml:space="preserve"> self-report measures these functions in addition to other executive functions. Therefore, in order to understand whether self-reports of levels of cognitive functions map on to performance on objective measures of cognition, it seemed reasonable to include a robust self-report measure</w:t>
      </w:r>
      <w:r w:rsidR="00F44E7E" w:rsidRPr="00734AB6">
        <w:rPr>
          <w:rFonts w:asciiTheme="majorHAnsi" w:eastAsia="Calibri" w:hAnsiTheme="majorHAnsi"/>
        </w:rPr>
        <w:t xml:space="preserve"> of executive functioning</w:t>
      </w:r>
      <w:r w:rsidR="00650528" w:rsidRPr="00734AB6">
        <w:rPr>
          <w:rFonts w:asciiTheme="majorHAnsi" w:eastAsia="Calibri" w:hAnsiTheme="majorHAnsi"/>
        </w:rPr>
        <w:t xml:space="preserve">. Additionally, </w:t>
      </w:r>
      <w:proofErr w:type="spellStart"/>
      <w:r w:rsidR="00650528" w:rsidRPr="00734AB6">
        <w:rPr>
          <w:rFonts w:asciiTheme="majorHAnsi" w:eastAsia="Calibri" w:hAnsiTheme="majorHAnsi"/>
        </w:rPr>
        <w:t>Weyandt</w:t>
      </w:r>
      <w:proofErr w:type="spellEnd"/>
      <w:r w:rsidR="00650528" w:rsidRPr="00734AB6">
        <w:rPr>
          <w:rFonts w:asciiTheme="majorHAnsi" w:eastAsia="Calibri" w:hAnsiTheme="majorHAnsi"/>
        </w:rPr>
        <w:t xml:space="preserve"> et al. (2013) noted that a number of studies investigating the performance of university students with ADHD using neuropsychological tasks have produced mixed findings (e.g. </w:t>
      </w:r>
      <w:proofErr w:type="spellStart"/>
      <w:r w:rsidR="00650528" w:rsidRPr="00734AB6">
        <w:rPr>
          <w:rFonts w:asciiTheme="majorHAnsi" w:eastAsia="Calibri" w:hAnsiTheme="majorHAnsi"/>
        </w:rPr>
        <w:t>Boonstra</w:t>
      </w:r>
      <w:proofErr w:type="spellEnd"/>
      <w:r w:rsidR="00650528" w:rsidRPr="00734AB6">
        <w:rPr>
          <w:rFonts w:asciiTheme="majorHAnsi" w:eastAsia="Calibri" w:hAnsiTheme="majorHAnsi"/>
        </w:rPr>
        <w:t xml:space="preserve"> et al., 2005; Grant &amp; Berg, 1948, Greenberg, 1990; </w:t>
      </w:r>
      <w:proofErr w:type="spellStart"/>
      <w:r w:rsidR="00650528" w:rsidRPr="00734AB6">
        <w:rPr>
          <w:rFonts w:asciiTheme="majorHAnsi" w:eastAsia="Calibri" w:hAnsiTheme="majorHAnsi"/>
        </w:rPr>
        <w:t>Weyandt</w:t>
      </w:r>
      <w:proofErr w:type="spellEnd"/>
      <w:r w:rsidR="00650528" w:rsidRPr="00734AB6">
        <w:rPr>
          <w:rFonts w:asciiTheme="majorHAnsi" w:eastAsia="Calibri" w:hAnsiTheme="majorHAnsi"/>
        </w:rPr>
        <w:t xml:space="preserve"> et al, 1998). They suggested that this may be due to the type of task used and the dependent </w:t>
      </w:r>
      <w:r w:rsidR="00476D69" w:rsidRPr="00734AB6">
        <w:rPr>
          <w:rFonts w:asciiTheme="majorHAnsi" w:eastAsia="Calibri" w:hAnsiTheme="majorHAnsi"/>
        </w:rPr>
        <w:t>variables employed</w:t>
      </w:r>
      <w:r w:rsidR="00650528" w:rsidRPr="00734AB6">
        <w:rPr>
          <w:rFonts w:asciiTheme="majorHAnsi" w:eastAsia="Calibri" w:hAnsiTheme="majorHAnsi"/>
        </w:rPr>
        <w:t xml:space="preserve"> and they argued that both lab-based (experimental) and non-lab based (self-report) measures should be used. </w:t>
      </w:r>
    </w:p>
    <w:p w14:paraId="757A310E" w14:textId="77777777" w:rsidR="00650528" w:rsidRPr="00734AB6" w:rsidRDefault="00650528" w:rsidP="00650528">
      <w:pPr>
        <w:spacing w:line="360" w:lineRule="auto"/>
        <w:ind w:firstLine="709"/>
        <w:rPr>
          <w:rFonts w:asciiTheme="majorHAnsi" w:eastAsia="Calibri" w:hAnsiTheme="majorHAnsi"/>
        </w:rPr>
      </w:pPr>
      <w:r w:rsidRPr="00734AB6">
        <w:rPr>
          <w:rFonts w:asciiTheme="majorHAnsi" w:eastAsia="Calibri" w:hAnsiTheme="majorHAnsi"/>
        </w:rPr>
        <w:t xml:space="preserve">The BRIEF-A consists of 75 items belonging to one of nine, non-overlapping scales which measure different aspects of executive functioning, these are: Inhibit, Shift, Emotional Control, </w:t>
      </w:r>
      <w:r w:rsidRPr="00734AB6">
        <w:rPr>
          <w:rFonts w:asciiTheme="majorHAnsi" w:eastAsia="Calibri" w:hAnsiTheme="majorHAnsi"/>
        </w:rPr>
        <w:lastRenderedPageBreak/>
        <w:t xml:space="preserve">Self-Monitor, Initiate, Working Memory, Plan/Organise, Task Monitor and Organisation of Materials. The first four of these scales comprise the Behavioural Regulation Index (BRI) which reflect affective behavioural responses. The remaining five scales comprise the Metacognition Index (MI) which reflects cognitive control. Together the scores on the MI and BRI form the Global Executive Composite (GEC) which is a summary score reflecting the individual’s level of executive function or dysfunction. </w:t>
      </w:r>
    </w:p>
    <w:p w14:paraId="6BB8EFA7" w14:textId="51CB779A" w:rsidR="00650528" w:rsidRPr="00734AB6" w:rsidRDefault="00650528" w:rsidP="00650528">
      <w:pPr>
        <w:spacing w:line="360" w:lineRule="auto"/>
        <w:ind w:firstLine="709"/>
        <w:rPr>
          <w:rFonts w:asciiTheme="majorHAnsi" w:eastAsia="Calibri" w:hAnsiTheme="majorHAnsi"/>
        </w:rPr>
      </w:pPr>
      <w:r w:rsidRPr="00734AB6">
        <w:rPr>
          <w:rFonts w:asciiTheme="majorHAnsi" w:eastAsia="Calibri" w:hAnsiTheme="majorHAnsi"/>
        </w:rPr>
        <w:t>The Inhibit scale measures the ability to resist impulses and stop behaviours which may not be appropriate in certain situations, or which do not serve specific goals, but are more aligned with immediate gratification</w:t>
      </w:r>
      <w:r w:rsidR="00394CA4" w:rsidRPr="00734AB6">
        <w:rPr>
          <w:rFonts w:asciiTheme="majorHAnsi" w:eastAsia="Calibri" w:hAnsiTheme="majorHAnsi"/>
        </w:rPr>
        <w:t xml:space="preserve"> and relates to the executive function of behavioural response inhibition which was detailed in Section 1.1.1.2</w:t>
      </w:r>
      <w:r w:rsidRPr="00734AB6">
        <w:rPr>
          <w:rFonts w:asciiTheme="majorHAnsi" w:eastAsia="Calibri" w:hAnsiTheme="majorHAnsi"/>
        </w:rPr>
        <w:t>. The Shift scale measures the ability to move cognitively from one concept or problem to another and may be reflected in flexible problem solving, shifting attention or adapting to changes in routine</w:t>
      </w:r>
      <w:r w:rsidR="00394CA4" w:rsidRPr="00734AB6">
        <w:rPr>
          <w:rFonts w:asciiTheme="majorHAnsi" w:eastAsia="Calibri" w:hAnsiTheme="majorHAnsi"/>
        </w:rPr>
        <w:t xml:space="preserve"> and relates to the executive function of cognitive flexibility as detailed in Section 1.1.1.3</w:t>
      </w:r>
      <w:r w:rsidRPr="00734AB6">
        <w:rPr>
          <w:rFonts w:asciiTheme="majorHAnsi" w:eastAsia="Calibri" w:hAnsiTheme="majorHAnsi"/>
        </w:rPr>
        <w:t>. The Emotional Control scale measures the ability to modulate emotional responses whilst remaining effective</w:t>
      </w:r>
      <w:r w:rsidR="00394CA4" w:rsidRPr="00734AB6">
        <w:rPr>
          <w:rFonts w:asciiTheme="majorHAnsi" w:eastAsia="Calibri" w:hAnsiTheme="majorHAnsi"/>
        </w:rPr>
        <w:t xml:space="preserve"> and relates to the executive function of emotional regulation as detailed in Section 1.1.1.4</w:t>
      </w:r>
      <w:r w:rsidRPr="00734AB6">
        <w:rPr>
          <w:rFonts w:asciiTheme="majorHAnsi" w:eastAsia="Calibri" w:hAnsiTheme="majorHAnsi"/>
        </w:rPr>
        <w:t>. The Self-Monitor scale assesses the ability to observe one’s own behaviour and its effect on others, using this feedback to alter behaviours accordingly</w:t>
      </w:r>
      <w:r w:rsidR="00394CA4" w:rsidRPr="00734AB6">
        <w:rPr>
          <w:rFonts w:asciiTheme="majorHAnsi" w:eastAsia="Calibri" w:hAnsiTheme="majorHAnsi"/>
        </w:rPr>
        <w:t>. This Self-Monitor scale relates to self-regulation as discussed in Section 1.1.1</w:t>
      </w:r>
      <w:r w:rsidRPr="00734AB6">
        <w:rPr>
          <w:rFonts w:asciiTheme="majorHAnsi" w:eastAsia="Calibri" w:hAnsiTheme="majorHAnsi"/>
        </w:rPr>
        <w:t>. The Initiate scale relates to the ability to start tasks and produce ideas or problem-solve independently. Individuals who are disorganised, for example, may feel overwhelmed with large tasks. The Working Memory scale measures the ability to hold information in the mind whilst manipulating it or completing a task</w:t>
      </w:r>
      <w:r w:rsidR="00394CA4" w:rsidRPr="00734AB6">
        <w:rPr>
          <w:rFonts w:asciiTheme="majorHAnsi" w:eastAsia="Calibri" w:hAnsiTheme="majorHAnsi"/>
        </w:rPr>
        <w:t xml:space="preserve"> and relates to the executive function of working memory as discussed in Section 1.1.1.1</w:t>
      </w:r>
      <w:r w:rsidRPr="00734AB6">
        <w:rPr>
          <w:rFonts w:asciiTheme="majorHAnsi" w:eastAsia="Calibri" w:hAnsiTheme="majorHAnsi"/>
        </w:rPr>
        <w:t xml:space="preserve">. The Plan/Organise scale assesses the ability to manage both existing and future tasks within a situation. The Task Monitor scale relates to the ability to maintain awareness of previous successes and failures and relate them to a relevant situation, to learn from experience. Finally, the Organisation of Materials scale assesses the ability to be organised in everyday life, including the work environment and home life. </w:t>
      </w:r>
    </w:p>
    <w:p w14:paraId="30CEC664" w14:textId="77777777" w:rsidR="00650528" w:rsidRPr="00734AB6" w:rsidRDefault="00650528" w:rsidP="00650528">
      <w:pPr>
        <w:spacing w:line="360" w:lineRule="auto"/>
        <w:ind w:firstLine="709"/>
        <w:rPr>
          <w:rFonts w:asciiTheme="majorHAnsi" w:hAnsiTheme="majorHAnsi"/>
        </w:rPr>
      </w:pPr>
      <w:r w:rsidRPr="00734AB6">
        <w:rPr>
          <w:rFonts w:asciiTheme="majorHAnsi" w:hAnsiTheme="majorHAnsi"/>
        </w:rPr>
        <w:t>The BRIEF-A has three validity scales designed to detect potential bias in the self-report. The Negativity scale measures whether the participant is responding in an unusually negative way. The Infrequency scale measures whether the participant is responding in an atypical manner, which may suggest that the participant is displaying either haphazard or extreme responding. The Inconsistency scale measures whether the participant is responding inconsistently to similar statements. The BRIEF-A is reported to have good test-retest reliability with alpha coefficients ranging between .82 and .93 across all scales over a four-week period (</w:t>
      </w:r>
      <w:proofErr w:type="spellStart"/>
      <w:r w:rsidRPr="00734AB6">
        <w:rPr>
          <w:rFonts w:asciiTheme="majorHAnsi" w:hAnsiTheme="majorHAnsi"/>
        </w:rPr>
        <w:t>Weyandt</w:t>
      </w:r>
      <w:proofErr w:type="spellEnd"/>
      <w:r w:rsidRPr="00734AB6">
        <w:rPr>
          <w:rFonts w:asciiTheme="majorHAnsi" w:hAnsiTheme="majorHAnsi"/>
        </w:rPr>
        <w:t xml:space="preserve"> et al., 2013).</w:t>
      </w:r>
    </w:p>
    <w:p w14:paraId="079DB363" w14:textId="11D9CBED" w:rsidR="00650528" w:rsidRPr="00734AB6" w:rsidRDefault="00650528" w:rsidP="00650528">
      <w:pPr>
        <w:spacing w:line="360" w:lineRule="auto"/>
        <w:ind w:firstLine="709"/>
        <w:rPr>
          <w:rFonts w:asciiTheme="majorHAnsi" w:eastAsia="Calibri" w:hAnsiTheme="majorHAnsi"/>
        </w:rPr>
      </w:pPr>
      <w:proofErr w:type="spellStart"/>
      <w:r w:rsidRPr="00734AB6">
        <w:rPr>
          <w:rFonts w:asciiTheme="majorHAnsi" w:eastAsia="Calibri" w:hAnsiTheme="majorHAnsi"/>
        </w:rPr>
        <w:lastRenderedPageBreak/>
        <w:t>Weyandt</w:t>
      </w:r>
      <w:proofErr w:type="spellEnd"/>
      <w:r w:rsidRPr="00734AB6">
        <w:rPr>
          <w:rFonts w:asciiTheme="majorHAnsi" w:eastAsia="Calibri" w:hAnsiTheme="majorHAnsi"/>
        </w:rPr>
        <w:t xml:space="preserve"> et al. (2013) investigated the performance of university students with and without an ADHD diagnosis using the BRIEF-A as one of their measures. Their findings indicated that the students with ADHD reported significantly more difficulties on all sub-scales of the BRIEF-A compared with the students without ADHD. However, only three scales reached the clinically significant range as indicated by the BRIEF-A standardization sample (Roth et al. 2005).  </w:t>
      </w:r>
    </w:p>
    <w:p w14:paraId="47F79443" w14:textId="0BD8AAD0" w:rsidR="00650528" w:rsidRPr="00734AB6" w:rsidRDefault="00476D69" w:rsidP="00650528">
      <w:pPr>
        <w:spacing w:line="360" w:lineRule="auto"/>
        <w:ind w:firstLine="709"/>
        <w:rPr>
          <w:rFonts w:asciiTheme="majorHAnsi" w:eastAsia="Calibri" w:hAnsiTheme="majorHAnsi"/>
        </w:rPr>
      </w:pPr>
      <w:r w:rsidRPr="00734AB6">
        <w:rPr>
          <w:rFonts w:asciiTheme="majorHAnsi" w:eastAsia="Calibri" w:hAnsiTheme="majorHAnsi"/>
        </w:rPr>
        <w:t xml:space="preserve">The self-report data from Studies 1 and 2 have indicated that reported off-prescription users of modafinil and methylphenidate may be self-medicating for attention and learning problems. </w:t>
      </w:r>
      <w:r w:rsidR="00650528" w:rsidRPr="00734AB6">
        <w:rPr>
          <w:rFonts w:asciiTheme="majorHAnsi" w:eastAsia="Calibri" w:hAnsiTheme="majorHAnsi"/>
        </w:rPr>
        <w:t xml:space="preserve">The </w:t>
      </w:r>
      <w:proofErr w:type="spellStart"/>
      <w:r w:rsidR="00650528" w:rsidRPr="00734AB6">
        <w:rPr>
          <w:rFonts w:asciiTheme="majorHAnsi" w:eastAsia="Calibri" w:hAnsiTheme="majorHAnsi"/>
        </w:rPr>
        <w:t>antisaccade</w:t>
      </w:r>
      <w:proofErr w:type="spellEnd"/>
      <w:r w:rsidR="00650528" w:rsidRPr="00734AB6">
        <w:rPr>
          <w:rFonts w:asciiTheme="majorHAnsi" w:eastAsia="Calibri" w:hAnsiTheme="majorHAnsi"/>
        </w:rPr>
        <w:t xml:space="preserve"> task, the Erikson flanker task and the BRIEF-A are all noted to be robust tools, as reviewed above, and together measure various aspects of executive functioning via objective and subjective measures. Therefore</w:t>
      </w:r>
      <w:r w:rsidR="004C5281" w:rsidRPr="00734AB6">
        <w:rPr>
          <w:rFonts w:asciiTheme="majorHAnsi" w:eastAsia="Calibri" w:hAnsiTheme="majorHAnsi"/>
        </w:rPr>
        <w:t>,</w:t>
      </w:r>
      <w:r w:rsidR="00650528" w:rsidRPr="00734AB6">
        <w:rPr>
          <w:rFonts w:asciiTheme="majorHAnsi" w:eastAsia="Calibri" w:hAnsiTheme="majorHAnsi"/>
        </w:rPr>
        <w:t xml:space="preserve"> these measures </w:t>
      </w:r>
      <w:r w:rsidR="004C5281" w:rsidRPr="00734AB6">
        <w:rPr>
          <w:rFonts w:asciiTheme="majorHAnsi" w:eastAsia="Calibri" w:hAnsiTheme="majorHAnsi"/>
        </w:rPr>
        <w:t xml:space="preserve">were administered in Study 3 </w:t>
      </w:r>
      <w:r w:rsidR="00650528" w:rsidRPr="00734AB6">
        <w:rPr>
          <w:rFonts w:asciiTheme="majorHAnsi" w:eastAsia="Calibri" w:hAnsiTheme="majorHAnsi"/>
        </w:rPr>
        <w:t>to investigate whether the cognitive functions of reported off-prescription users of modafinil and methylphenidate are poorer compared with controls over both laboratory and everyday settings.</w:t>
      </w:r>
    </w:p>
    <w:p w14:paraId="7FFFAA20" w14:textId="14EBB77D" w:rsidR="00650528" w:rsidRPr="00734AB6" w:rsidRDefault="00650528" w:rsidP="00650528">
      <w:pPr>
        <w:spacing w:line="360" w:lineRule="auto"/>
        <w:ind w:firstLine="709"/>
        <w:rPr>
          <w:rFonts w:asciiTheme="majorHAnsi" w:eastAsia="Calibri" w:hAnsiTheme="majorHAnsi"/>
        </w:rPr>
      </w:pPr>
      <w:r w:rsidRPr="00734AB6">
        <w:rPr>
          <w:rFonts w:asciiTheme="majorHAnsi" w:eastAsia="Calibri" w:hAnsiTheme="majorHAnsi"/>
        </w:rPr>
        <w:t>The current study ha</w:t>
      </w:r>
      <w:r w:rsidR="00095854" w:rsidRPr="00734AB6">
        <w:rPr>
          <w:rFonts w:asciiTheme="majorHAnsi" w:eastAsia="Calibri" w:hAnsiTheme="majorHAnsi"/>
        </w:rPr>
        <w:t>d</w:t>
      </w:r>
      <w:r w:rsidR="004C5281" w:rsidRPr="00734AB6">
        <w:rPr>
          <w:rFonts w:asciiTheme="majorHAnsi" w:eastAsia="Calibri" w:hAnsiTheme="majorHAnsi"/>
        </w:rPr>
        <w:t xml:space="preserve"> three</w:t>
      </w:r>
      <w:r w:rsidRPr="00734AB6">
        <w:rPr>
          <w:rFonts w:asciiTheme="majorHAnsi" w:eastAsia="Calibri" w:hAnsiTheme="majorHAnsi"/>
        </w:rPr>
        <w:t xml:space="preserve"> hypotheses, 1) off-prescription users of modafinil and methylphenidate </w:t>
      </w:r>
      <w:r w:rsidR="00A7610E" w:rsidRPr="00734AB6">
        <w:rPr>
          <w:rFonts w:asciiTheme="majorHAnsi" w:eastAsia="Calibri" w:hAnsiTheme="majorHAnsi"/>
        </w:rPr>
        <w:t xml:space="preserve">will have higher rates of </w:t>
      </w:r>
      <w:proofErr w:type="spellStart"/>
      <w:r w:rsidR="00A7610E" w:rsidRPr="00734AB6">
        <w:rPr>
          <w:rFonts w:asciiTheme="majorHAnsi" w:eastAsia="Calibri" w:hAnsiTheme="majorHAnsi"/>
        </w:rPr>
        <w:t>antisaccade</w:t>
      </w:r>
      <w:proofErr w:type="spellEnd"/>
      <w:r w:rsidR="00A7610E" w:rsidRPr="00734AB6">
        <w:rPr>
          <w:rFonts w:asciiTheme="majorHAnsi" w:eastAsia="Calibri" w:hAnsiTheme="majorHAnsi"/>
        </w:rPr>
        <w:t xml:space="preserve"> errors</w:t>
      </w:r>
      <w:r w:rsidRPr="00734AB6">
        <w:rPr>
          <w:rFonts w:asciiTheme="majorHAnsi" w:eastAsia="Calibri" w:hAnsiTheme="majorHAnsi"/>
        </w:rPr>
        <w:t xml:space="preserve"> on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task compared with controls, 2) off-prescription users of modafinil and methylphenidate </w:t>
      </w:r>
      <w:r w:rsidR="00A7610E" w:rsidRPr="00734AB6">
        <w:rPr>
          <w:rFonts w:asciiTheme="majorHAnsi" w:eastAsia="Calibri" w:hAnsiTheme="majorHAnsi"/>
        </w:rPr>
        <w:t>will have higher errors on incongruent trials of</w:t>
      </w:r>
      <w:r w:rsidRPr="00734AB6">
        <w:rPr>
          <w:rFonts w:asciiTheme="majorHAnsi" w:eastAsia="Calibri" w:hAnsiTheme="majorHAnsi"/>
        </w:rPr>
        <w:t xml:space="preserve"> the flanker task, and 3) reported off-prescription users of modafinil and methylphenidate w</w:t>
      </w:r>
      <w:r w:rsidR="00095854" w:rsidRPr="00734AB6">
        <w:rPr>
          <w:rFonts w:asciiTheme="majorHAnsi" w:eastAsia="Calibri" w:hAnsiTheme="majorHAnsi"/>
        </w:rPr>
        <w:t>ould</w:t>
      </w:r>
      <w:r w:rsidRPr="00734AB6">
        <w:rPr>
          <w:rFonts w:asciiTheme="majorHAnsi" w:eastAsia="Calibri" w:hAnsiTheme="majorHAnsi"/>
        </w:rPr>
        <w:t xml:space="preserve"> score significantly higher scores on each of the BRIEF-A scales, particularly the Inhibit and Working Memory scales, compared with controls.</w:t>
      </w:r>
    </w:p>
    <w:p w14:paraId="0E2E7B06" w14:textId="6B294029" w:rsidR="00650528" w:rsidRPr="00734AB6" w:rsidRDefault="00650528" w:rsidP="00650528">
      <w:pPr>
        <w:spacing w:line="360" w:lineRule="auto"/>
        <w:ind w:firstLine="709"/>
        <w:rPr>
          <w:rFonts w:asciiTheme="majorHAnsi" w:eastAsia="Calibri" w:hAnsiTheme="majorHAnsi"/>
        </w:rPr>
      </w:pPr>
      <w:r w:rsidRPr="00734AB6">
        <w:rPr>
          <w:rFonts w:asciiTheme="majorHAnsi" w:eastAsia="Calibri" w:hAnsiTheme="majorHAnsi"/>
        </w:rPr>
        <w:t>Both Studies 1 and 2 found relatively high levels of reported recreational drug use in CED users and reports of having received a psychiatric diagnosis. Therefore</w:t>
      </w:r>
      <w:r w:rsidR="00095854" w:rsidRPr="00734AB6">
        <w:rPr>
          <w:rFonts w:asciiTheme="majorHAnsi" w:eastAsia="Calibri" w:hAnsiTheme="majorHAnsi"/>
        </w:rPr>
        <w:t>,</w:t>
      </w:r>
      <w:r w:rsidRPr="00734AB6">
        <w:rPr>
          <w:rFonts w:asciiTheme="majorHAnsi" w:eastAsia="Calibri" w:hAnsiTheme="majorHAnsi"/>
        </w:rPr>
        <w:t xml:space="preserve"> the current study also aim</w:t>
      </w:r>
      <w:r w:rsidR="00095854" w:rsidRPr="00734AB6">
        <w:rPr>
          <w:rFonts w:asciiTheme="majorHAnsi" w:eastAsia="Calibri" w:hAnsiTheme="majorHAnsi"/>
        </w:rPr>
        <w:t>ed</w:t>
      </w:r>
      <w:r w:rsidRPr="00734AB6">
        <w:rPr>
          <w:rFonts w:asciiTheme="majorHAnsi" w:eastAsia="Calibri" w:hAnsiTheme="majorHAnsi"/>
        </w:rPr>
        <w:t xml:space="preserve"> to investigate whether these trends continue to be seen in the current sample compared with controls. Likewise, the current study aim</w:t>
      </w:r>
      <w:r w:rsidR="00095854" w:rsidRPr="00734AB6">
        <w:rPr>
          <w:rFonts w:asciiTheme="majorHAnsi" w:eastAsia="Calibri" w:hAnsiTheme="majorHAnsi"/>
        </w:rPr>
        <w:t>ed</w:t>
      </w:r>
      <w:r w:rsidRPr="00734AB6">
        <w:rPr>
          <w:rFonts w:asciiTheme="majorHAnsi" w:eastAsia="Calibri" w:hAnsiTheme="majorHAnsi"/>
        </w:rPr>
        <w:t xml:space="preserve"> to collect modafinil and methylphenidate use and demographic data for the same purposes.</w:t>
      </w:r>
    </w:p>
    <w:p w14:paraId="28325026" w14:textId="77777777" w:rsidR="00650528" w:rsidRPr="00734AB6" w:rsidRDefault="00650528" w:rsidP="00650528">
      <w:pPr>
        <w:spacing w:line="360" w:lineRule="auto"/>
        <w:ind w:firstLine="709"/>
        <w:rPr>
          <w:rFonts w:asciiTheme="majorHAnsi" w:eastAsia="Calibri" w:hAnsiTheme="majorHAnsi"/>
        </w:rPr>
      </w:pPr>
    </w:p>
    <w:p w14:paraId="2D3999C6" w14:textId="77777777" w:rsidR="00650528" w:rsidRPr="00734AB6" w:rsidRDefault="00650528" w:rsidP="00594D41">
      <w:pPr>
        <w:pStyle w:val="Heading2"/>
        <w:spacing w:after="240" w:line="360" w:lineRule="auto"/>
        <w:rPr>
          <w:b/>
          <w:color w:val="auto"/>
          <w:sz w:val="22"/>
          <w:szCs w:val="22"/>
        </w:rPr>
      </w:pPr>
      <w:bookmarkStart w:id="75" w:name="_Toc48136366"/>
      <w:r w:rsidRPr="00734AB6">
        <w:rPr>
          <w:b/>
          <w:color w:val="auto"/>
          <w:sz w:val="22"/>
          <w:szCs w:val="22"/>
        </w:rPr>
        <w:t>4.2</w:t>
      </w:r>
      <w:r w:rsidRPr="00734AB6">
        <w:rPr>
          <w:b/>
          <w:color w:val="auto"/>
          <w:sz w:val="22"/>
          <w:szCs w:val="22"/>
        </w:rPr>
        <w:tab/>
        <w:t>Methods</w:t>
      </w:r>
      <w:bookmarkEnd w:id="75"/>
    </w:p>
    <w:p w14:paraId="15CCFDD9" w14:textId="77777777" w:rsidR="00650528" w:rsidRPr="00734AB6" w:rsidRDefault="00650528" w:rsidP="00594D41">
      <w:pPr>
        <w:pStyle w:val="Heading3"/>
        <w:spacing w:after="240" w:line="360" w:lineRule="auto"/>
        <w:rPr>
          <w:b/>
          <w:color w:val="auto"/>
          <w:sz w:val="22"/>
          <w:szCs w:val="22"/>
        </w:rPr>
      </w:pPr>
      <w:bookmarkStart w:id="76" w:name="_Toc48136367"/>
      <w:r w:rsidRPr="00734AB6">
        <w:rPr>
          <w:b/>
          <w:color w:val="auto"/>
          <w:sz w:val="22"/>
          <w:szCs w:val="22"/>
        </w:rPr>
        <w:t>4.2.1</w:t>
      </w:r>
      <w:r w:rsidRPr="00734AB6">
        <w:rPr>
          <w:b/>
          <w:color w:val="auto"/>
          <w:sz w:val="22"/>
          <w:szCs w:val="22"/>
        </w:rPr>
        <w:tab/>
        <w:t>Participants</w:t>
      </w:r>
      <w:bookmarkEnd w:id="76"/>
    </w:p>
    <w:p w14:paraId="74333B28" w14:textId="267A6521"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A convenience sample of respondents was recruited through online forums </w:t>
      </w:r>
      <w:proofErr w:type="spellStart"/>
      <w:r w:rsidRPr="00734AB6">
        <w:rPr>
          <w:rFonts w:asciiTheme="majorHAnsi" w:eastAsia="Calibri" w:hAnsiTheme="majorHAnsi" w:cs="Calibri"/>
        </w:rPr>
        <w:t>Bluelight</w:t>
      </w:r>
      <w:proofErr w:type="spellEnd"/>
      <w:r w:rsidRPr="00734AB6">
        <w:rPr>
          <w:rFonts w:asciiTheme="majorHAnsi" w:eastAsia="Calibri" w:hAnsiTheme="majorHAnsi" w:cs="Calibri"/>
        </w:rPr>
        <w:t xml:space="preserve"> (</w:t>
      </w:r>
      <w:hyperlink r:id="rId26" w:history="1">
        <w:r w:rsidRPr="00734AB6">
          <w:rPr>
            <w:rStyle w:val="Hyperlink"/>
            <w:rFonts w:asciiTheme="majorHAnsi" w:eastAsia="Calibri" w:hAnsiTheme="majorHAnsi" w:cs="Calibri"/>
            <w:color w:val="auto"/>
          </w:rPr>
          <w:t>https://www.bluelight.org</w:t>
        </w:r>
      </w:hyperlink>
      <w:r w:rsidRPr="00734AB6">
        <w:rPr>
          <w:rFonts w:asciiTheme="majorHAnsi" w:eastAsia="Calibri" w:hAnsiTheme="majorHAnsi" w:cs="Calibri"/>
        </w:rPr>
        <w:t>) and Reddit (</w:t>
      </w:r>
      <w:hyperlink r:id="rId27" w:history="1">
        <w:r w:rsidRPr="00734AB6">
          <w:rPr>
            <w:rStyle w:val="Hyperlink"/>
            <w:rFonts w:asciiTheme="majorHAnsi" w:eastAsia="Calibri" w:hAnsiTheme="majorHAnsi" w:cs="Calibri"/>
            <w:color w:val="auto"/>
          </w:rPr>
          <w:t>https://www.reddit.com</w:t>
        </w:r>
      </w:hyperlink>
      <w:r w:rsidRPr="00734AB6">
        <w:rPr>
          <w:rFonts w:asciiTheme="majorHAnsi" w:eastAsia="Calibri" w:hAnsiTheme="majorHAnsi" w:cs="Calibri"/>
        </w:rPr>
        <w:t>). The sub-</w:t>
      </w:r>
      <w:proofErr w:type="spellStart"/>
      <w:r w:rsidRPr="00734AB6">
        <w:rPr>
          <w:rFonts w:asciiTheme="majorHAnsi" w:eastAsia="Calibri" w:hAnsiTheme="majorHAnsi" w:cs="Calibri"/>
        </w:rPr>
        <w:t>Reddits</w:t>
      </w:r>
      <w:proofErr w:type="spellEnd"/>
      <w:r w:rsidRPr="00734AB6">
        <w:rPr>
          <w:rFonts w:asciiTheme="majorHAnsi" w:eastAsia="Calibri" w:hAnsiTheme="majorHAnsi" w:cs="Calibri"/>
        </w:rPr>
        <w:t xml:space="preserve"> which were selected for Study 1 were selected again for consistency (see Appendix A(xii) for details). As with Studies 1 and 2, the respondents were recruited by posting an advertisement on all of the forum sites. The advertisement asked them to provide an email address to contact for participation details. A reward of £15 in Amazon vouchers was offered for their participation. Recruitment and testing were conducted between February 2019 and Decem</w:t>
      </w:r>
      <w:r w:rsidR="00117A3E" w:rsidRPr="00734AB6">
        <w:rPr>
          <w:rFonts w:asciiTheme="majorHAnsi" w:eastAsia="Calibri" w:hAnsiTheme="majorHAnsi" w:cs="Calibri"/>
        </w:rPr>
        <w:t>ber 2019. The inclusion criterion</w:t>
      </w:r>
      <w:r w:rsidRPr="00734AB6">
        <w:rPr>
          <w:rFonts w:asciiTheme="majorHAnsi" w:eastAsia="Calibri" w:hAnsiTheme="majorHAnsi" w:cs="Calibri"/>
        </w:rPr>
        <w:t xml:space="preserve"> for </w:t>
      </w:r>
      <w:r w:rsidRPr="00734AB6">
        <w:rPr>
          <w:rFonts w:asciiTheme="majorHAnsi" w:eastAsia="Calibri" w:hAnsiTheme="majorHAnsi" w:cs="Calibri"/>
        </w:rPr>
        <w:lastRenderedPageBreak/>
        <w:t>the experimental group were that they had to be users of either modafinil or methylphenidate. The exclusion criteria for all participants were being under the age of 18</w:t>
      </w:r>
      <w:r w:rsidR="00DE6172" w:rsidRPr="00734AB6">
        <w:rPr>
          <w:rFonts w:asciiTheme="majorHAnsi" w:eastAsia="Calibri" w:hAnsiTheme="majorHAnsi" w:cs="Calibri"/>
        </w:rPr>
        <w:t>,</w:t>
      </w:r>
      <w:r w:rsidRPr="00734AB6">
        <w:rPr>
          <w:rFonts w:asciiTheme="majorHAnsi" w:eastAsia="Calibri" w:hAnsiTheme="majorHAnsi" w:cs="Calibri"/>
        </w:rPr>
        <w:t xml:space="preserve"> being under the influence of a psychoactive drug at the time of commencing the study</w:t>
      </w:r>
      <w:r w:rsidR="00DE6172" w:rsidRPr="00734AB6">
        <w:rPr>
          <w:rFonts w:asciiTheme="majorHAnsi" w:eastAsia="Calibri" w:hAnsiTheme="majorHAnsi" w:cs="Calibri"/>
        </w:rPr>
        <w:t xml:space="preserve"> and a diagnosis of ADHD and/or a legitimate prescription for modafinil or methylphenidate</w:t>
      </w:r>
      <w:r w:rsidRPr="00734AB6">
        <w:rPr>
          <w:rFonts w:asciiTheme="majorHAnsi" w:eastAsia="Calibri" w:hAnsiTheme="majorHAnsi" w:cs="Calibri"/>
        </w:rPr>
        <w:t xml:space="preserve">. </w:t>
      </w:r>
      <w:r w:rsidR="004C5281" w:rsidRPr="00734AB6">
        <w:rPr>
          <w:rFonts w:asciiTheme="majorHAnsi" w:eastAsia="Calibri" w:hAnsiTheme="majorHAnsi" w:cs="Calibri"/>
        </w:rPr>
        <w:t xml:space="preserve">Experimental group participants were also instructed to avoid taking modafinil and/or methylphenidate for 24 hours before testing. </w:t>
      </w:r>
      <w:r w:rsidRPr="00734AB6">
        <w:rPr>
          <w:rFonts w:asciiTheme="majorHAnsi" w:eastAsia="Calibri" w:hAnsiTheme="majorHAnsi" w:cs="Calibri"/>
        </w:rPr>
        <w:t xml:space="preserve">A list of pseudonyms and email addresses which would not identify potential participants was collected during the recruitment phase of Study 2 via the same </w:t>
      </w:r>
      <w:proofErr w:type="spellStart"/>
      <w:r w:rsidRPr="00734AB6">
        <w:rPr>
          <w:rFonts w:asciiTheme="majorHAnsi" w:eastAsia="Calibri" w:hAnsiTheme="majorHAnsi" w:cs="Calibri"/>
        </w:rPr>
        <w:t>Bluelight</w:t>
      </w:r>
      <w:proofErr w:type="spellEnd"/>
      <w:r w:rsidRPr="00734AB6">
        <w:rPr>
          <w:rFonts w:asciiTheme="majorHAnsi" w:eastAsia="Calibri" w:hAnsiTheme="majorHAnsi" w:cs="Calibri"/>
        </w:rPr>
        <w:t xml:space="preserve"> and Reddit platforms (see Appendix C(</w:t>
      </w:r>
      <w:proofErr w:type="spellStart"/>
      <w:r w:rsidRPr="00734AB6">
        <w:rPr>
          <w:rFonts w:asciiTheme="majorHAnsi" w:eastAsia="Calibri" w:hAnsiTheme="majorHAnsi" w:cs="Calibri"/>
        </w:rPr>
        <w:t>i</w:t>
      </w:r>
      <w:proofErr w:type="spellEnd"/>
      <w:r w:rsidRPr="00734AB6">
        <w:rPr>
          <w:rFonts w:asciiTheme="majorHAnsi" w:eastAsia="Calibri" w:hAnsiTheme="majorHAnsi" w:cs="Calibri"/>
        </w:rPr>
        <w:t xml:space="preserve">) for details of the advertisement). Ethical approval for the collection of the contact details of potential participants was granted by the School of Applied Science Research Ethics Committee at London South Bank University, (reference number SAS 1733). Potential participants who submitted their contact details during the recruitment phase of Study 2 were contacted and provided with information relating to the study. Potential participants would then make contact via the email address provided. </w:t>
      </w:r>
    </w:p>
    <w:p w14:paraId="6C7158C0" w14:textId="77777777"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The control group were recruited from within London South Bank University either via advertisements on posters placed around the University campus or through the Research Participation Scheme (RPS) within the Division of Psychology. </w:t>
      </w:r>
    </w:p>
    <w:p w14:paraId="5366BB41" w14:textId="507641F0" w:rsidR="00650528" w:rsidRPr="00734AB6" w:rsidRDefault="00650528" w:rsidP="00650528">
      <w:pPr>
        <w:spacing w:line="360" w:lineRule="auto"/>
        <w:ind w:firstLine="709"/>
        <w:rPr>
          <w:rFonts w:asciiTheme="majorHAnsi" w:hAnsiTheme="majorHAnsi"/>
        </w:rPr>
      </w:pPr>
      <w:r w:rsidRPr="00734AB6">
        <w:rPr>
          <w:rFonts w:asciiTheme="majorHAnsi" w:hAnsiTheme="majorHAnsi"/>
        </w:rPr>
        <w:t>The majority of CED users were male (76.6%) whereas the majority of the control group were female (76.74%). The mean age for the CED-user group was 29.72 years (SD = 8.75) with a range of 50 years (18 – 68). This was also roughly the same as the control group where the mean age was 28.74 (SD = 11.71) with a range of 39 years (18 – 57). The reported nationality of the majority of participants in the CED-user group (61.7%) and in the control group (53.5%) were British. See Appendix C(ii) for details. The number of university</w:t>
      </w:r>
      <w:r w:rsidR="001029F0" w:rsidRPr="00734AB6">
        <w:rPr>
          <w:rFonts w:asciiTheme="majorHAnsi" w:hAnsiTheme="majorHAnsi"/>
        </w:rPr>
        <w:t>-</w:t>
      </w:r>
      <w:r w:rsidRPr="00734AB6">
        <w:rPr>
          <w:rFonts w:asciiTheme="majorHAnsi" w:hAnsiTheme="majorHAnsi"/>
        </w:rPr>
        <w:t>educated CED-users was much higher than that of the control group (see section 4.3.4.1).</w:t>
      </w:r>
    </w:p>
    <w:p w14:paraId="272A900C" w14:textId="77777777" w:rsidR="00650528" w:rsidRPr="00734AB6" w:rsidRDefault="00650528" w:rsidP="00650528">
      <w:pPr>
        <w:spacing w:line="360" w:lineRule="auto"/>
        <w:ind w:firstLine="709"/>
        <w:rPr>
          <w:rFonts w:asciiTheme="majorHAnsi" w:eastAsia="Calibri" w:hAnsiTheme="majorHAnsi" w:cs="Calibri"/>
        </w:rPr>
      </w:pPr>
    </w:p>
    <w:p w14:paraId="26E4D143" w14:textId="77777777" w:rsidR="00650528" w:rsidRPr="00734AB6" w:rsidRDefault="00650528" w:rsidP="00594D41">
      <w:pPr>
        <w:pStyle w:val="Heading3"/>
        <w:spacing w:after="240" w:line="360" w:lineRule="auto"/>
        <w:rPr>
          <w:b/>
          <w:color w:val="auto"/>
          <w:sz w:val="22"/>
          <w:szCs w:val="22"/>
        </w:rPr>
      </w:pPr>
      <w:bookmarkStart w:id="77" w:name="_Toc48136368"/>
      <w:r w:rsidRPr="00734AB6">
        <w:rPr>
          <w:b/>
          <w:color w:val="auto"/>
          <w:sz w:val="22"/>
          <w:szCs w:val="22"/>
        </w:rPr>
        <w:t>4.2.2</w:t>
      </w:r>
      <w:r w:rsidRPr="00734AB6">
        <w:rPr>
          <w:b/>
          <w:color w:val="auto"/>
          <w:sz w:val="22"/>
          <w:szCs w:val="22"/>
        </w:rPr>
        <w:tab/>
        <w:t>Materials</w:t>
      </w:r>
      <w:r w:rsidRPr="00734AB6">
        <w:rPr>
          <w:rStyle w:val="FootnoteReference"/>
          <w:b/>
          <w:color w:val="auto"/>
          <w:sz w:val="22"/>
          <w:szCs w:val="22"/>
        </w:rPr>
        <w:footnoteReference w:id="4"/>
      </w:r>
      <w:bookmarkEnd w:id="77"/>
    </w:p>
    <w:p w14:paraId="333CB3F5" w14:textId="77777777" w:rsidR="00650528" w:rsidRPr="00734AB6" w:rsidRDefault="00650528" w:rsidP="00594D41">
      <w:pPr>
        <w:pStyle w:val="Heading3"/>
        <w:spacing w:after="240" w:line="360" w:lineRule="auto"/>
        <w:rPr>
          <w:b/>
          <w:color w:val="auto"/>
          <w:sz w:val="22"/>
          <w:szCs w:val="22"/>
        </w:rPr>
      </w:pPr>
      <w:bookmarkStart w:id="78" w:name="_Toc48136369"/>
      <w:r w:rsidRPr="00734AB6">
        <w:rPr>
          <w:b/>
          <w:color w:val="auto"/>
          <w:sz w:val="22"/>
          <w:szCs w:val="22"/>
        </w:rPr>
        <w:t>4.2.3</w:t>
      </w:r>
      <w:r w:rsidRPr="00734AB6">
        <w:rPr>
          <w:b/>
          <w:color w:val="auto"/>
          <w:sz w:val="22"/>
          <w:szCs w:val="22"/>
        </w:rPr>
        <w:tab/>
        <w:t>Demographics, psychiatric health and drug use questionnaire</w:t>
      </w:r>
      <w:bookmarkEnd w:id="78"/>
    </w:p>
    <w:p w14:paraId="6F106EA1" w14:textId="03165059" w:rsidR="00650528" w:rsidRPr="00734AB6" w:rsidRDefault="00650528" w:rsidP="003C4D29">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In order to </w:t>
      </w:r>
      <w:r w:rsidR="001029F0" w:rsidRPr="00734AB6">
        <w:rPr>
          <w:rFonts w:asciiTheme="majorHAnsi" w:eastAsia="Calibri" w:hAnsiTheme="majorHAnsi" w:cs="Calibri"/>
        </w:rPr>
        <w:t xml:space="preserve">maintain </w:t>
      </w:r>
      <w:r w:rsidRPr="00734AB6">
        <w:rPr>
          <w:rFonts w:asciiTheme="majorHAnsi" w:eastAsia="Calibri" w:hAnsiTheme="majorHAnsi" w:cs="Calibri"/>
        </w:rPr>
        <w:t xml:space="preserve">consistency with Studies 1 and 2, demographic information was collected via a short paper-based questionnaire which covered age, </w:t>
      </w:r>
      <w:r w:rsidR="00F134F8">
        <w:rPr>
          <w:rFonts w:asciiTheme="majorHAnsi" w:eastAsia="Calibri" w:hAnsiTheme="majorHAnsi" w:cs="Calibri"/>
        </w:rPr>
        <w:t>gender</w:t>
      </w:r>
      <w:r w:rsidRPr="00734AB6">
        <w:rPr>
          <w:rFonts w:asciiTheme="majorHAnsi" w:eastAsia="Calibri" w:hAnsiTheme="majorHAnsi" w:cs="Calibri"/>
        </w:rPr>
        <w:t xml:space="preserve">, nationality, education, current study status, and employment details. Questions relating to psychiatric diagnosis were also included and a free text box was provided for participants to detail what </w:t>
      </w:r>
      <w:r w:rsidRPr="00734AB6">
        <w:rPr>
          <w:rFonts w:asciiTheme="majorHAnsi" w:eastAsia="Calibri" w:hAnsiTheme="majorHAnsi" w:cs="Calibri"/>
        </w:rPr>
        <w:lastRenderedPageBreak/>
        <w:t>diagnoses they have had. A question asking whether the participant had ever been treated for a drug or alcohol problem preceded the drug use questions relating to cannabis, modafinil and methylphenidate use. The questions covered frequency of use and length of time since last use (see Appendix C(iii) for details of the questionnaire). A free text box was presented for participants to provide details of what drugs (including alcohol) they have consumed, again, asking the frequency of use within the past six months and</w:t>
      </w:r>
      <w:r w:rsidR="003C4D29" w:rsidRPr="00734AB6">
        <w:rPr>
          <w:rFonts w:asciiTheme="majorHAnsi" w:eastAsia="Calibri" w:hAnsiTheme="majorHAnsi" w:cs="Calibri"/>
        </w:rPr>
        <w:t xml:space="preserve"> length of time since last use.</w:t>
      </w:r>
    </w:p>
    <w:p w14:paraId="6E8EFB00" w14:textId="77777777" w:rsidR="00650528" w:rsidRPr="00734AB6" w:rsidRDefault="00650528" w:rsidP="00650528">
      <w:pPr>
        <w:spacing w:line="360" w:lineRule="auto"/>
        <w:ind w:firstLine="709"/>
        <w:rPr>
          <w:rFonts w:asciiTheme="majorHAnsi" w:eastAsia="Calibri" w:hAnsiTheme="majorHAnsi" w:cs="Calibri"/>
        </w:rPr>
      </w:pPr>
    </w:p>
    <w:p w14:paraId="7E4015E0" w14:textId="77777777" w:rsidR="00650528" w:rsidRPr="00734AB6" w:rsidRDefault="00650528" w:rsidP="0055368A">
      <w:pPr>
        <w:pStyle w:val="Heading3"/>
        <w:spacing w:after="240" w:line="360" w:lineRule="auto"/>
        <w:rPr>
          <w:b/>
          <w:color w:val="auto"/>
          <w:sz w:val="22"/>
          <w:szCs w:val="22"/>
        </w:rPr>
      </w:pPr>
      <w:bookmarkStart w:id="79" w:name="_Toc48136370"/>
      <w:r w:rsidRPr="00734AB6">
        <w:rPr>
          <w:b/>
          <w:color w:val="auto"/>
          <w:sz w:val="22"/>
          <w:szCs w:val="22"/>
        </w:rPr>
        <w:t>4.2.4</w:t>
      </w:r>
      <w:r w:rsidRPr="00734AB6">
        <w:rPr>
          <w:b/>
          <w:color w:val="auto"/>
          <w:sz w:val="22"/>
          <w:szCs w:val="22"/>
        </w:rPr>
        <w:tab/>
      </w:r>
      <w:proofErr w:type="spellStart"/>
      <w:r w:rsidRPr="00734AB6">
        <w:rPr>
          <w:b/>
          <w:color w:val="auto"/>
          <w:sz w:val="22"/>
          <w:szCs w:val="22"/>
        </w:rPr>
        <w:t>Antisaccade</w:t>
      </w:r>
      <w:proofErr w:type="spellEnd"/>
      <w:r w:rsidRPr="00734AB6">
        <w:rPr>
          <w:b/>
          <w:color w:val="auto"/>
          <w:sz w:val="22"/>
          <w:szCs w:val="22"/>
        </w:rPr>
        <w:t xml:space="preserve"> task</w:t>
      </w:r>
      <w:bookmarkEnd w:id="79"/>
    </w:p>
    <w:p w14:paraId="7B941B59" w14:textId="6CE82C0D"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Participants sat approximate</w:t>
      </w:r>
      <w:r w:rsidR="004C5281" w:rsidRPr="00734AB6">
        <w:rPr>
          <w:rFonts w:asciiTheme="majorHAnsi" w:eastAsia="Calibri" w:hAnsiTheme="majorHAnsi" w:cs="Calibri"/>
        </w:rPr>
        <w:t>ly 70 cm in front of a 24.5”</w:t>
      </w:r>
      <w:r w:rsidRPr="00734AB6">
        <w:rPr>
          <w:rFonts w:asciiTheme="majorHAnsi" w:eastAsia="Calibri" w:hAnsiTheme="majorHAnsi" w:cs="Calibri"/>
        </w:rPr>
        <w:t xml:space="preserve"> monitor and a chin rest was used to prevent head movements. Their eye movements were recorded with an </w:t>
      </w:r>
      <w:proofErr w:type="spellStart"/>
      <w:r w:rsidRPr="00734AB6">
        <w:rPr>
          <w:rFonts w:asciiTheme="majorHAnsi" w:eastAsia="Calibri" w:hAnsiTheme="majorHAnsi" w:cs="Calibri"/>
        </w:rPr>
        <w:t>Eyelink</w:t>
      </w:r>
      <w:proofErr w:type="spellEnd"/>
      <w:r w:rsidRPr="00734AB6">
        <w:rPr>
          <w:rFonts w:asciiTheme="majorHAnsi" w:eastAsia="Calibri" w:hAnsiTheme="majorHAnsi" w:cs="Calibri"/>
        </w:rPr>
        <w:t xml:space="preserve"> 1000 Desktop </w:t>
      </w:r>
      <w:proofErr w:type="spellStart"/>
      <w:r w:rsidRPr="00734AB6">
        <w:rPr>
          <w:rFonts w:asciiTheme="majorHAnsi" w:eastAsia="Calibri" w:hAnsiTheme="majorHAnsi" w:cs="Calibri"/>
        </w:rPr>
        <w:t>eyetracker</w:t>
      </w:r>
      <w:proofErr w:type="spellEnd"/>
      <w:r w:rsidRPr="00734AB6">
        <w:rPr>
          <w:rFonts w:asciiTheme="majorHAnsi" w:eastAsia="Calibri" w:hAnsiTheme="majorHAnsi" w:cs="Calibri"/>
        </w:rPr>
        <w:t xml:space="preserve"> (SR-Research, Ontario, Canada). Participants were instructed to focus on a small red circle (subtending approximately 0.5°), the central fixation stimulus, in the middle of the screen. They were advised that this circle would move to the left and right of the screen and to follow it with their eyes for the first half of the task. The central fixation target would appear at random intervals between 1,000 and 1,500 milliseconds (</w:t>
      </w:r>
      <w:proofErr w:type="spellStart"/>
      <w:r w:rsidRPr="00734AB6">
        <w:rPr>
          <w:rFonts w:asciiTheme="majorHAnsi" w:eastAsia="Calibri" w:hAnsiTheme="majorHAnsi" w:cs="Calibri"/>
        </w:rPr>
        <w:t>ms</w:t>
      </w:r>
      <w:proofErr w:type="spellEnd"/>
      <w:r w:rsidRPr="00734AB6">
        <w:rPr>
          <w:rFonts w:asciiTheme="majorHAnsi" w:eastAsia="Calibri" w:hAnsiTheme="majorHAnsi" w:cs="Calibri"/>
        </w:rPr>
        <w:t xml:space="preserve">), following which it would disappear for 200ms and be replaced by a peripheral target (a red circle of the same size). The peripheral target appeared in one of four positions, 4° and 8° to the left and right of the fixation. This process was repeated for 48 prosaccade trials. Following this, participants were instructed that for the second half of the task they must resist looking at the peripheral target, but instead position their gaze in the mirror image location for each trial. There were 48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trials in the second half of the task. The performance measures for this task were the number of prosaccade and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errors, latency for correct prosaccades and </w:t>
      </w:r>
      <w:proofErr w:type="spellStart"/>
      <w:r w:rsidRPr="00734AB6">
        <w:rPr>
          <w:rFonts w:asciiTheme="majorHAnsi" w:eastAsia="Calibri" w:hAnsiTheme="majorHAnsi" w:cs="Calibri"/>
        </w:rPr>
        <w:t>antisaccades</w:t>
      </w:r>
      <w:proofErr w:type="spellEnd"/>
      <w:r w:rsidRPr="00734AB6">
        <w:rPr>
          <w:rFonts w:asciiTheme="majorHAnsi" w:eastAsia="Calibri" w:hAnsiTheme="majorHAnsi" w:cs="Calibri"/>
        </w:rPr>
        <w:t xml:space="preserve">, latency for prosaccade and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errors and the time taken to correct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errors.</w:t>
      </w:r>
    </w:p>
    <w:p w14:paraId="7BEA119A" w14:textId="77777777" w:rsidR="00650528" w:rsidRPr="00734AB6" w:rsidRDefault="00650528" w:rsidP="00650528">
      <w:pPr>
        <w:spacing w:line="360" w:lineRule="auto"/>
        <w:ind w:firstLine="709"/>
        <w:rPr>
          <w:rFonts w:asciiTheme="majorHAnsi" w:eastAsia="Calibri" w:hAnsiTheme="majorHAnsi" w:cs="Calibri"/>
        </w:rPr>
      </w:pPr>
    </w:p>
    <w:p w14:paraId="5DB22CEA" w14:textId="77777777" w:rsidR="00650528" w:rsidRPr="00734AB6" w:rsidRDefault="00650528" w:rsidP="0055368A">
      <w:pPr>
        <w:pStyle w:val="Heading3"/>
        <w:spacing w:after="240" w:line="360" w:lineRule="auto"/>
        <w:rPr>
          <w:b/>
          <w:color w:val="auto"/>
          <w:sz w:val="22"/>
          <w:szCs w:val="22"/>
        </w:rPr>
      </w:pPr>
      <w:bookmarkStart w:id="80" w:name="_Toc48136371"/>
      <w:r w:rsidRPr="00734AB6">
        <w:rPr>
          <w:b/>
          <w:color w:val="auto"/>
          <w:sz w:val="22"/>
          <w:szCs w:val="22"/>
        </w:rPr>
        <w:t>4.2.5</w:t>
      </w:r>
      <w:r w:rsidRPr="00734AB6">
        <w:rPr>
          <w:b/>
          <w:color w:val="auto"/>
          <w:sz w:val="22"/>
          <w:szCs w:val="22"/>
        </w:rPr>
        <w:tab/>
        <w:t>Arrow Flanker task</w:t>
      </w:r>
      <w:bookmarkEnd w:id="80"/>
    </w:p>
    <w:p w14:paraId="17720379" w14:textId="010D85F1"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The Arrow Flanker task using E-Prime 3.0 software was accessed via Psychology Software Tools. (</w:t>
      </w:r>
      <w:hyperlink r:id="rId28" w:history="1">
        <w:r w:rsidRPr="00734AB6">
          <w:rPr>
            <w:rStyle w:val="Hyperlink"/>
            <w:rFonts w:asciiTheme="majorHAnsi" w:eastAsia="Calibri" w:hAnsiTheme="majorHAnsi" w:cs="Calibri"/>
            <w:color w:val="auto"/>
          </w:rPr>
          <w:t>https://pstnet.com/</w:t>
        </w:r>
      </w:hyperlink>
      <w:r w:rsidRPr="00734AB6">
        <w:rPr>
          <w:rFonts w:asciiTheme="majorHAnsi" w:eastAsia="Calibri" w:hAnsiTheme="majorHAnsi" w:cs="Calibri"/>
        </w:rPr>
        <w:t>). Participants sat in front of a monitor, approximately 40 cm away. Stimuli were presented in the centre of the screen in a black font, font size 18, with a white background. The stimuli consisted of five horizontally presented arrows which, in a congruent trial, pointed in the same direction (i.e. “&gt; &gt; &gt; &gt; &gt;”) and in the incongruent trial pointed in different directions (i.e. “&gt; &gt; &lt; &gt; &lt;”) and in the neutral trial, a single central arrow was presented with two diamond shapes on either side (i.e. “XX</w:t>
      </w:r>
      <w:r w:rsidR="00CA7212" w:rsidRPr="00734AB6">
        <w:rPr>
          <w:rFonts w:asciiTheme="majorHAnsi" w:eastAsia="Calibri" w:hAnsiTheme="majorHAnsi" w:cs="Calibri"/>
        </w:rPr>
        <w:t>&gt;</w:t>
      </w:r>
      <w:r w:rsidRPr="00734AB6">
        <w:rPr>
          <w:rFonts w:asciiTheme="majorHAnsi" w:eastAsia="Calibri" w:hAnsiTheme="majorHAnsi" w:cs="Calibri"/>
        </w:rPr>
        <w:t xml:space="preserve">XX”). Participants were instructed to focus on the central arrow only and to press the numeric keyboard numbers one </w:t>
      </w:r>
      <w:r w:rsidR="00CA7212" w:rsidRPr="00734AB6">
        <w:rPr>
          <w:rFonts w:asciiTheme="majorHAnsi" w:eastAsia="Calibri" w:hAnsiTheme="majorHAnsi" w:cs="Calibri"/>
        </w:rPr>
        <w:t>or</w:t>
      </w:r>
      <w:r w:rsidRPr="00734AB6">
        <w:rPr>
          <w:rFonts w:asciiTheme="majorHAnsi" w:eastAsia="Calibri" w:hAnsiTheme="majorHAnsi" w:cs="Calibri"/>
        </w:rPr>
        <w:t xml:space="preserve"> two when the arrow pointed left </w:t>
      </w:r>
      <w:r w:rsidR="00CA7212" w:rsidRPr="00734AB6">
        <w:rPr>
          <w:rFonts w:asciiTheme="majorHAnsi" w:eastAsia="Calibri" w:hAnsiTheme="majorHAnsi" w:cs="Calibri"/>
        </w:rPr>
        <w:t xml:space="preserve">or </w:t>
      </w:r>
      <w:r w:rsidRPr="00734AB6">
        <w:rPr>
          <w:rFonts w:asciiTheme="majorHAnsi" w:eastAsia="Calibri" w:hAnsiTheme="majorHAnsi" w:cs="Calibri"/>
        </w:rPr>
        <w:t xml:space="preserve">right respectively. A practice block of 14 trials was followed by 120 randomly </w:t>
      </w:r>
      <w:r w:rsidRPr="00734AB6">
        <w:rPr>
          <w:rFonts w:asciiTheme="majorHAnsi" w:eastAsia="Calibri" w:hAnsiTheme="majorHAnsi" w:cs="Calibri"/>
        </w:rPr>
        <w:lastRenderedPageBreak/>
        <w:t xml:space="preserve">presented congruent, incongruent and neutral experimental trials presented in a fixed order. For each trial, the stimulus was presented for a maximum of 1,500 </w:t>
      </w:r>
      <w:proofErr w:type="spellStart"/>
      <w:r w:rsidRPr="00734AB6">
        <w:rPr>
          <w:rFonts w:asciiTheme="majorHAnsi" w:eastAsia="Calibri" w:hAnsiTheme="majorHAnsi" w:cs="Calibri"/>
        </w:rPr>
        <w:t>ms</w:t>
      </w:r>
      <w:proofErr w:type="spellEnd"/>
      <w:r w:rsidRPr="00734AB6">
        <w:rPr>
          <w:rFonts w:asciiTheme="majorHAnsi" w:eastAsia="Calibri" w:hAnsiTheme="majorHAnsi" w:cs="Calibri"/>
        </w:rPr>
        <w:t xml:space="preserve"> with a 1000 </w:t>
      </w:r>
      <w:proofErr w:type="spellStart"/>
      <w:r w:rsidRPr="00734AB6">
        <w:rPr>
          <w:rFonts w:asciiTheme="majorHAnsi" w:eastAsia="Calibri" w:hAnsiTheme="majorHAnsi" w:cs="Calibri"/>
        </w:rPr>
        <w:t>ms</w:t>
      </w:r>
      <w:proofErr w:type="spellEnd"/>
      <w:r w:rsidRPr="00734AB6">
        <w:rPr>
          <w:rFonts w:asciiTheme="majorHAnsi" w:eastAsia="Calibri" w:hAnsiTheme="majorHAnsi" w:cs="Calibri"/>
        </w:rPr>
        <w:t xml:space="preserve"> blank interval. There were seven performance measures, namely, the numbers of correct congruent, incongruent and neutral trials, response latency for correct congruent, incongruent and neutral trials and the difference in response latency between the incongruent and congruent trials.</w:t>
      </w:r>
    </w:p>
    <w:p w14:paraId="0BFBF31B" w14:textId="4BA6CA11" w:rsidR="00650528" w:rsidRDefault="00650528" w:rsidP="00650528">
      <w:pPr>
        <w:spacing w:line="360" w:lineRule="auto"/>
        <w:ind w:firstLine="709"/>
        <w:rPr>
          <w:rFonts w:asciiTheme="majorHAnsi" w:eastAsia="Calibri" w:hAnsiTheme="majorHAnsi" w:cs="Calibri"/>
        </w:rPr>
      </w:pPr>
    </w:p>
    <w:p w14:paraId="58A2BE6C" w14:textId="1B3E4AD8" w:rsidR="00754FB3" w:rsidRDefault="00754FB3" w:rsidP="00754FB3">
      <w:pPr>
        <w:pStyle w:val="Heading3"/>
        <w:spacing w:line="480" w:lineRule="auto"/>
        <w:rPr>
          <w:rFonts w:eastAsia="Calibri"/>
          <w:b/>
          <w:bCs/>
          <w:color w:val="auto"/>
          <w:sz w:val="22"/>
          <w:szCs w:val="22"/>
        </w:rPr>
      </w:pPr>
      <w:r w:rsidRPr="00754FB3">
        <w:rPr>
          <w:rFonts w:eastAsia="Calibri"/>
          <w:b/>
          <w:bCs/>
          <w:color w:val="auto"/>
          <w:sz w:val="22"/>
          <w:szCs w:val="22"/>
        </w:rPr>
        <w:t>4.2.6</w:t>
      </w:r>
      <w:r w:rsidRPr="00754FB3">
        <w:rPr>
          <w:rFonts w:eastAsia="Calibri"/>
          <w:b/>
          <w:bCs/>
          <w:color w:val="auto"/>
          <w:sz w:val="22"/>
          <w:szCs w:val="22"/>
        </w:rPr>
        <w:tab/>
        <w:t xml:space="preserve">Sustained Attention to </w:t>
      </w:r>
      <w:r>
        <w:rPr>
          <w:rFonts w:eastAsia="Calibri"/>
          <w:b/>
          <w:bCs/>
          <w:color w:val="auto"/>
          <w:sz w:val="22"/>
          <w:szCs w:val="22"/>
        </w:rPr>
        <w:t>Respond Test (SART)</w:t>
      </w:r>
    </w:p>
    <w:p w14:paraId="419231F2" w14:textId="77777777" w:rsidR="00754FB3" w:rsidRPr="00734AB6" w:rsidRDefault="00754FB3" w:rsidP="00754FB3">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The SART using E-Prime 3.0 software was accessed via </w:t>
      </w:r>
      <w:proofErr w:type="spellStart"/>
      <w:r w:rsidRPr="00734AB6">
        <w:rPr>
          <w:rFonts w:asciiTheme="majorHAnsi" w:eastAsia="Calibri" w:hAnsiTheme="majorHAnsi" w:cs="Calibri"/>
        </w:rPr>
        <w:t>Inquisit</w:t>
      </w:r>
      <w:proofErr w:type="spellEnd"/>
      <w:r w:rsidRPr="00734AB6">
        <w:rPr>
          <w:rFonts w:asciiTheme="majorHAnsi" w:eastAsia="Calibri" w:hAnsiTheme="majorHAnsi" w:cs="Calibri"/>
        </w:rPr>
        <w:t xml:space="preserve"> (</w:t>
      </w:r>
      <w:hyperlink r:id="rId29" w:history="1">
        <w:r w:rsidRPr="00734AB6">
          <w:rPr>
            <w:rStyle w:val="Hyperlink"/>
            <w:rFonts w:asciiTheme="majorHAnsi" w:hAnsiTheme="majorHAnsi"/>
          </w:rPr>
          <w:t>https://www.millisecond.com/</w:t>
        </w:r>
      </w:hyperlink>
      <w:r w:rsidRPr="00734AB6">
        <w:rPr>
          <w:rFonts w:asciiTheme="majorHAnsi" w:eastAsia="Calibri" w:hAnsiTheme="majorHAnsi" w:cs="Calibri"/>
        </w:rPr>
        <w:t xml:space="preserve">). Participants sat in front of a monitor, approximately 40 cm away. The stimuli consisted of digits one to nine, each randomly presented 25 times (totalling 225 single digits) in the centre of the screen in a black font with a white background. Each digit was presented in font sizes 48, 72, 94, 100 and 120. Each stimulus was presented for 250 </w:t>
      </w:r>
      <w:proofErr w:type="spellStart"/>
      <w:r w:rsidRPr="00734AB6">
        <w:rPr>
          <w:rFonts w:asciiTheme="majorHAnsi" w:eastAsia="Calibri" w:hAnsiTheme="majorHAnsi" w:cs="Calibri"/>
        </w:rPr>
        <w:t>ms</w:t>
      </w:r>
      <w:proofErr w:type="spellEnd"/>
      <w:r w:rsidRPr="00734AB6">
        <w:rPr>
          <w:rFonts w:asciiTheme="majorHAnsi" w:eastAsia="Calibri" w:hAnsiTheme="majorHAnsi" w:cs="Calibri"/>
        </w:rPr>
        <w:t xml:space="preserve"> which was then replaced by a mask in the form of an X inside a circle, for 900 </w:t>
      </w:r>
      <w:proofErr w:type="spellStart"/>
      <w:r w:rsidRPr="00734AB6">
        <w:rPr>
          <w:rFonts w:asciiTheme="majorHAnsi" w:eastAsia="Calibri" w:hAnsiTheme="majorHAnsi" w:cs="Calibri"/>
        </w:rPr>
        <w:t>ms</w:t>
      </w:r>
      <w:proofErr w:type="spellEnd"/>
      <w:r w:rsidRPr="00734AB6">
        <w:rPr>
          <w:rFonts w:asciiTheme="majorHAnsi" w:eastAsia="Calibri" w:hAnsiTheme="majorHAnsi" w:cs="Calibri"/>
        </w:rPr>
        <w:t>. Participants were instructed to focus on the central of the screen and to press the F key every time a number appeared on the screen except for the number three, which they should not respond to. Participants were asked to work as quickly and as accurately as possible. A practice block of 18 stimuli, including two targets, was followed by the task which lasted for 4.3 minutes. There were 5 performance measures, namely, the numbers of correct and error trials, response latency for correct trials, the response latency for the four presses prior to correctly withheld responses and the four presses prior to error responses. Robertson et al (1997) demonstrated that subjects had significantly shorter response latencies prior to error responses, indicating a waning of attention to response. Subjects also had longer response latencies following error responses, demonstrating a return to sustained attention to response.</w:t>
      </w:r>
    </w:p>
    <w:p w14:paraId="6A4940E5" w14:textId="77777777" w:rsidR="00754FB3" w:rsidRPr="00754FB3" w:rsidRDefault="00754FB3" w:rsidP="00754FB3"/>
    <w:p w14:paraId="5BAA047C" w14:textId="77B1FC35" w:rsidR="00650528" w:rsidRPr="00734AB6" w:rsidRDefault="00650528" w:rsidP="0055368A">
      <w:pPr>
        <w:pStyle w:val="Heading3"/>
        <w:spacing w:after="240" w:line="360" w:lineRule="auto"/>
        <w:rPr>
          <w:b/>
          <w:color w:val="auto"/>
          <w:sz w:val="22"/>
          <w:szCs w:val="22"/>
        </w:rPr>
      </w:pPr>
      <w:bookmarkStart w:id="81" w:name="_Toc48136372"/>
      <w:r w:rsidRPr="00734AB6">
        <w:rPr>
          <w:b/>
          <w:color w:val="auto"/>
          <w:sz w:val="22"/>
          <w:szCs w:val="22"/>
        </w:rPr>
        <w:t>4.2.</w:t>
      </w:r>
      <w:r w:rsidR="00754FB3">
        <w:rPr>
          <w:b/>
          <w:color w:val="auto"/>
          <w:sz w:val="22"/>
          <w:szCs w:val="22"/>
        </w:rPr>
        <w:t>7</w:t>
      </w:r>
      <w:r w:rsidRPr="00734AB6">
        <w:rPr>
          <w:b/>
          <w:color w:val="auto"/>
          <w:sz w:val="22"/>
          <w:szCs w:val="22"/>
        </w:rPr>
        <w:tab/>
      </w:r>
      <w:r w:rsidR="003C4D29" w:rsidRPr="00734AB6">
        <w:rPr>
          <w:rFonts w:eastAsia="Calibri"/>
          <w:b/>
          <w:color w:val="auto"/>
          <w:sz w:val="22"/>
        </w:rPr>
        <w:t>Behaviour Rating Inventory of Executive Function – Adult Version</w:t>
      </w:r>
      <w:bookmarkEnd w:id="81"/>
    </w:p>
    <w:p w14:paraId="247AF34C" w14:textId="55BDB858" w:rsidR="00650528" w:rsidRPr="00734AB6" w:rsidRDefault="00650528" w:rsidP="00650528">
      <w:pPr>
        <w:spacing w:line="360" w:lineRule="auto"/>
        <w:ind w:firstLine="709"/>
        <w:rPr>
          <w:rFonts w:asciiTheme="majorHAnsi" w:hAnsiTheme="majorHAnsi"/>
        </w:rPr>
      </w:pPr>
      <w:r w:rsidRPr="00734AB6">
        <w:rPr>
          <w:rFonts w:asciiTheme="majorHAnsi" w:hAnsiTheme="majorHAnsi"/>
        </w:rPr>
        <w:t xml:space="preserve">The BRIEF-A </w:t>
      </w:r>
      <w:r w:rsidR="00F0200D" w:rsidRPr="00734AB6">
        <w:rPr>
          <w:rFonts w:asciiTheme="majorHAnsi" w:hAnsiTheme="majorHAnsi"/>
        </w:rPr>
        <w:t>(</w:t>
      </w:r>
      <w:r w:rsidR="000A4ED2" w:rsidRPr="00734AB6">
        <w:rPr>
          <w:rFonts w:asciiTheme="majorHAnsi" w:eastAsia="Calibri" w:hAnsiTheme="majorHAnsi"/>
        </w:rPr>
        <w:t>Roth et al., 2005</w:t>
      </w:r>
      <w:r w:rsidR="00F0200D" w:rsidRPr="00734AB6">
        <w:rPr>
          <w:rFonts w:asciiTheme="majorHAnsi" w:hAnsiTheme="majorHAnsi"/>
        </w:rPr>
        <w:t xml:space="preserve">) </w:t>
      </w:r>
      <w:r w:rsidRPr="00734AB6">
        <w:rPr>
          <w:rFonts w:asciiTheme="majorHAnsi" w:hAnsiTheme="majorHAnsi"/>
        </w:rPr>
        <w:t>is a paper</w:t>
      </w:r>
      <w:r w:rsidR="00F0200D" w:rsidRPr="00734AB6">
        <w:rPr>
          <w:rFonts w:asciiTheme="majorHAnsi" w:hAnsiTheme="majorHAnsi"/>
        </w:rPr>
        <w:t>-</w:t>
      </w:r>
      <w:r w:rsidRPr="00734AB6">
        <w:rPr>
          <w:rFonts w:asciiTheme="majorHAnsi" w:hAnsiTheme="majorHAnsi"/>
        </w:rPr>
        <w:t>based questionnaire and the items are presented as statements reflecting problem behaviours, for example “I forget instructions easily”. The response options of “never”, “sometimes” and “often” are provided for each statement to indicate whether these behaviours have been a problem for the participant within the past month. Scores are produced for each of the sub-scales as well as the BRI, MI and GEC. Normative data indicates each of these scales has a mean of 50 and a standard deviation of 10 (Roth et al.</w:t>
      </w:r>
      <w:r w:rsidR="00F0200D" w:rsidRPr="00734AB6">
        <w:rPr>
          <w:rFonts w:asciiTheme="majorHAnsi" w:hAnsiTheme="majorHAnsi"/>
        </w:rPr>
        <w:t>,</w:t>
      </w:r>
      <w:r w:rsidRPr="00734AB6">
        <w:rPr>
          <w:rFonts w:asciiTheme="majorHAnsi" w:hAnsiTheme="majorHAnsi"/>
        </w:rPr>
        <w:t xml:space="preserve"> 2005). Scores at or greater than 65 are considered clinically significant.</w:t>
      </w:r>
    </w:p>
    <w:p w14:paraId="1BD473D1" w14:textId="77777777" w:rsidR="00650528" w:rsidRPr="00734AB6" w:rsidRDefault="00650528" w:rsidP="00650528">
      <w:pPr>
        <w:spacing w:line="360" w:lineRule="auto"/>
        <w:ind w:firstLine="709"/>
        <w:rPr>
          <w:rFonts w:asciiTheme="majorHAnsi" w:hAnsiTheme="majorHAnsi"/>
        </w:rPr>
      </w:pPr>
    </w:p>
    <w:p w14:paraId="406BDE29" w14:textId="6F8AAE71" w:rsidR="00650528" w:rsidRPr="00734AB6" w:rsidRDefault="00650528" w:rsidP="0055368A">
      <w:pPr>
        <w:pStyle w:val="Heading3"/>
        <w:spacing w:after="240" w:line="360" w:lineRule="auto"/>
        <w:rPr>
          <w:b/>
          <w:color w:val="auto"/>
          <w:sz w:val="22"/>
          <w:szCs w:val="22"/>
        </w:rPr>
      </w:pPr>
      <w:bookmarkStart w:id="82" w:name="_Toc48136373"/>
      <w:r w:rsidRPr="00734AB6">
        <w:rPr>
          <w:b/>
          <w:color w:val="auto"/>
          <w:sz w:val="22"/>
          <w:szCs w:val="22"/>
        </w:rPr>
        <w:lastRenderedPageBreak/>
        <w:t>4.2.</w:t>
      </w:r>
      <w:r w:rsidR="00754FB3">
        <w:rPr>
          <w:b/>
          <w:color w:val="auto"/>
          <w:sz w:val="22"/>
          <w:szCs w:val="22"/>
        </w:rPr>
        <w:t>8</w:t>
      </w:r>
      <w:r w:rsidRPr="00734AB6">
        <w:rPr>
          <w:b/>
          <w:color w:val="auto"/>
          <w:sz w:val="22"/>
          <w:szCs w:val="22"/>
        </w:rPr>
        <w:tab/>
        <w:t>Design</w:t>
      </w:r>
      <w:bookmarkEnd w:id="82"/>
    </w:p>
    <w:p w14:paraId="05369E72" w14:textId="720C1128"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An independent samples design with two groups was used. The first group was a control group of respondents who reported never having taken modafinil or methylphenidate; the second group was a CED-user group who reported use of modafinil or methylphenidate at least 10 times within the past year. </w:t>
      </w:r>
      <w:r w:rsidR="004017FD" w:rsidRPr="00734AB6">
        <w:rPr>
          <w:rFonts w:asciiTheme="majorHAnsi" w:eastAsia="Calibri" w:hAnsiTheme="majorHAnsi" w:cs="Calibri"/>
        </w:rPr>
        <w:t xml:space="preserve">These groups will be referred to by their names (CED-user and control) in the remainder of this chapter. </w:t>
      </w:r>
      <w:r w:rsidRPr="00734AB6">
        <w:rPr>
          <w:rFonts w:asciiTheme="majorHAnsi" w:eastAsia="Calibri" w:hAnsiTheme="majorHAnsi" w:cs="Calibri"/>
        </w:rPr>
        <w:t xml:space="preserve">Outliers exceeding 2.11 standard deviations for variables within the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and Arrow Flanker tasks and the BRIEF-A were removed (see Appendix C(vii) for details). </w:t>
      </w:r>
      <w:r w:rsidR="000A4ED2" w:rsidRPr="00734AB6">
        <w:rPr>
          <w:rFonts w:asciiTheme="majorHAnsi" w:eastAsia="Calibri" w:hAnsiTheme="majorHAnsi" w:cs="Calibri"/>
        </w:rPr>
        <w:t>T</w:t>
      </w:r>
      <w:r w:rsidRPr="00734AB6">
        <w:rPr>
          <w:rFonts w:asciiTheme="majorHAnsi" w:hAnsiTheme="majorHAnsi"/>
        </w:rPr>
        <w:t>he number of university</w:t>
      </w:r>
      <w:r w:rsidR="00BE3A82" w:rsidRPr="00734AB6">
        <w:rPr>
          <w:rFonts w:asciiTheme="majorHAnsi" w:hAnsiTheme="majorHAnsi"/>
        </w:rPr>
        <w:t>-</w:t>
      </w:r>
      <w:r w:rsidRPr="00734AB6">
        <w:rPr>
          <w:rFonts w:asciiTheme="majorHAnsi" w:hAnsiTheme="majorHAnsi"/>
        </w:rPr>
        <w:t>educated CED-users was much higher than that of the control group. As a result</w:t>
      </w:r>
      <w:r w:rsidR="00BE3A82" w:rsidRPr="00734AB6">
        <w:rPr>
          <w:rFonts w:asciiTheme="majorHAnsi" w:hAnsiTheme="majorHAnsi"/>
        </w:rPr>
        <w:t>,</w:t>
      </w:r>
      <w:r w:rsidRPr="00734AB6">
        <w:rPr>
          <w:rFonts w:asciiTheme="majorHAnsi" w:hAnsiTheme="majorHAnsi"/>
        </w:rPr>
        <w:t xml:space="preserve"> level of education was included in the </w:t>
      </w:r>
      <w:proofErr w:type="spellStart"/>
      <w:r w:rsidRPr="00734AB6">
        <w:rPr>
          <w:rFonts w:asciiTheme="majorHAnsi" w:hAnsiTheme="majorHAnsi"/>
        </w:rPr>
        <w:t>antisaccade</w:t>
      </w:r>
      <w:proofErr w:type="spellEnd"/>
      <w:r w:rsidRPr="00734AB6">
        <w:rPr>
          <w:rFonts w:asciiTheme="majorHAnsi" w:hAnsiTheme="majorHAnsi"/>
        </w:rPr>
        <w:t>, Arrow Flanker and BRIEF-A analyses as a covariate.</w:t>
      </w:r>
    </w:p>
    <w:p w14:paraId="419BD4C1" w14:textId="06DFBFAB" w:rsidR="004017FD"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A series of one-way related ANCOVAs were used to investigate the effect of group type (CED-user and control) on each of the seven</w:t>
      </w:r>
      <w:r w:rsidR="00AA2559" w:rsidRPr="00734AB6">
        <w:rPr>
          <w:rFonts w:asciiTheme="majorHAnsi" w:eastAsia="Calibri" w:hAnsiTheme="majorHAnsi" w:cs="Calibri"/>
        </w:rPr>
        <w:t>,</w:t>
      </w:r>
      <w:r w:rsidRPr="00734AB6">
        <w:rPr>
          <w:rFonts w:asciiTheme="majorHAnsi" w:eastAsia="Calibri" w:hAnsiTheme="majorHAnsi" w:cs="Calibri"/>
        </w:rPr>
        <w:t xml:space="preserve"> previously mentioned, measures of the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task. Bonferroni corrections were applied, resulting in</w:t>
      </w:r>
      <w:r w:rsidR="00BE3A82" w:rsidRPr="00734AB6">
        <w:rPr>
          <w:rFonts w:asciiTheme="majorHAnsi" w:eastAsia="Calibri" w:hAnsiTheme="majorHAnsi" w:cs="Calibri"/>
        </w:rPr>
        <w:t xml:space="preserve"> a</w:t>
      </w:r>
      <w:r w:rsidRPr="00734AB6">
        <w:rPr>
          <w:rFonts w:asciiTheme="majorHAnsi" w:eastAsia="Calibri" w:hAnsiTheme="majorHAnsi" w:cs="Calibri"/>
        </w:rPr>
        <w:t xml:space="preserve"> </w:t>
      </w:r>
      <w:r w:rsidRPr="00734AB6">
        <w:rPr>
          <w:rFonts w:asciiTheme="majorHAnsi" w:eastAsia="Calibri" w:hAnsiTheme="majorHAnsi" w:cs="Calibri"/>
          <w:i/>
        </w:rPr>
        <w:t>p</w:t>
      </w:r>
      <w:r w:rsidR="00BE3A82" w:rsidRPr="00734AB6">
        <w:rPr>
          <w:rFonts w:asciiTheme="majorHAnsi" w:eastAsia="Calibri" w:hAnsiTheme="majorHAnsi" w:cs="Calibri"/>
        </w:rPr>
        <w:t>-</w:t>
      </w:r>
      <w:r w:rsidRPr="00734AB6">
        <w:rPr>
          <w:rFonts w:asciiTheme="majorHAnsi" w:eastAsia="Calibri" w:hAnsiTheme="majorHAnsi" w:cs="Calibri"/>
        </w:rPr>
        <w:t xml:space="preserve">value of .007. </w:t>
      </w:r>
    </w:p>
    <w:p w14:paraId="1B691CD6" w14:textId="50C8BD31" w:rsidR="00650528" w:rsidRPr="00734AB6" w:rsidRDefault="00650528" w:rsidP="00650528">
      <w:pPr>
        <w:spacing w:line="360" w:lineRule="auto"/>
        <w:ind w:firstLine="709"/>
        <w:rPr>
          <w:rFonts w:asciiTheme="majorHAnsi" w:hAnsiTheme="majorHAnsi"/>
        </w:rPr>
      </w:pPr>
      <w:r w:rsidRPr="00734AB6">
        <w:rPr>
          <w:rFonts w:asciiTheme="majorHAnsi" w:hAnsiTheme="majorHAnsi"/>
        </w:rPr>
        <w:t>For the Arrow Flanker, two-way mixed design, 2</w:t>
      </w:r>
      <w:r w:rsidR="00AA2559" w:rsidRPr="00734AB6">
        <w:rPr>
          <w:rFonts w:asciiTheme="majorHAnsi" w:hAnsiTheme="majorHAnsi"/>
        </w:rPr>
        <w:t xml:space="preserve"> </w:t>
      </w:r>
      <w:r w:rsidRPr="00734AB6">
        <w:rPr>
          <w:rFonts w:asciiTheme="majorHAnsi" w:hAnsiTheme="majorHAnsi"/>
        </w:rPr>
        <w:t xml:space="preserve">(group type: CED user vs. control) x 3 (trial type: congruent, incongruent and neutral) </w:t>
      </w:r>
      <w:r w:rsidR="004017FD" w:rsidRPr="00734AB6">
        <w:rPr>
          <w:rFonts w:asciiTheme="majorHAnsi" w:hAnsiTheme="majorHAnsi"/>
        </w:rPr>
        <w:t xml:space="preserve">ANCOVAS were used to investigate the effect of group type on </w:t>
      </w:r>
      <w:r w:rsidR="004017FD" w:rsidRPr="00734AB6">
        <w:rPr>
          <w:rFonts w:asciiTheme="majorHAnsi" w:eastAsia="Calibri" w:hAnsiTheme="majorHAnsi" w:cs="Calibri"/>
        </w:rPr>
        <w:t xml:space="preserve">latency for correct congruent, incongruent and neutral trials and the number of correct congruent, incongruent and neutral trials. A one-way ANCOVA was also used to investigate the effect of group type on the difference in response latency between the incongruent and congruent trials. </w:t>
      </w:r>
      <w:r w:rsidRPr="00734AB6">
        <w:rPr>
          <w:rFonts w:asciiTheme="majorHAnsi" w:eastAsia="Calibri" w:hAnsiTheme="majorHAnsi" w:cs="Calibri"/>
        </w:rPr>
        <w:t xml:space="preserve"> </w:t>
      </w:r>
    </w:p>
    <w:p w14:paraId="2A83F1AB" w14:textId="77777777"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For the BRIEF-A, three MANCOVAs were performed to investigate the effect of group type on the scores for the four BRI subsets and the five MI subsets. Independent samples </w:t>
      </w:r>
      <w:r w:rsidRPr="00734AB6">
        <w:rPr>
          <w:rFonts w:asciiTheme="majorHAnsi" w:eastAsia="Calibri" w:hAnsiTheme="majorHAnsi" w:cs="Calibri"/>
          <w:i/>
        </w:rPr>
        <w:t>t</w:t>
      </w:r>
      <w:r w:rsidRPr="00734AB6">
        <w:rPr>
          <w:rFonts w:asciiTheme="majorHAnsi" w:eastAsia="Calibri" w:hAnsiTheme="majorHAnsi" w:cs="Calibri"/>
        </w:rPr>
        <w:t xml:space="preserve">-tests were also performed on the BRI, MI and GEC. </w:t>
      </w:r>
    </w:p>
    <w:p w14:paraId="22DB023E" w14:textId="77777777" w:rsidR="00650528" w:rsidRPr="00734AB6" w:rsidRDefault="00650528" w:rsidP="00650528">
      <w:pPr>
        <w:spacing w:line="360" w:lineRule="auto"/>
        <w:ind w:firstLine="709"/>
        <w:rPr>
          <w:rFonts w:asciiTheme="majorHAnsi" w:eastAsia="Calibri" w:hAnsiTheme="majorHAnsi" w:cs="Calibri"/>
        </w:rPr>
      </w:pPr>
    </w:p>
    <w:p w14:paraId="46F1C530" w14:textId="2F10F422" w:rsidR="00650528" w:rsidRPr="00734AB6" w:rsidRDefault="00650528" w:rsidP="0055368A">
      <w:pPr>
        <w:pStyle w:val="Heading3"/>
        <w:spacing w:after="240" w:line="360" w:lineRule="auto"/>
        <w:rPr>
          <w:b/>
          <w:color w:val="auto"/>
          <w:sz w:val="22"/>
          <w:szCs w:val="22"/>
        </w:rPr>
      </w:pPr>
      <w:bookmarkStart w:id="83" w:name="_Toc48136374"/>
      <w:r w:rsidRPr="00734AB6">
        <w:rPr>
          <w:b/>
          <w:color w:val="auto"/>
          <w:sz w:val="22"/>
          <w:szCs w:val="22"/>
        </w:rPr>
        <w:t>4.2.</w:t>
      </w:r>
      <w:r w:rsidR="00754FB3">
        <w:rPr>
          <w:b/>
          <w:color w:val="auto"/>
          <w:sz w:val="22"/>
          <w:szCs w:val="22"/>
        </w:rPr>
        <w:t>9</w:t>
      </w:r>
      <w:r w:rsidRPr="00734AB6">
        <w:rPr>
          <w:b/>
          <w:color w:val="auto"/>
          <w:sz w:val="22"/>
          <w:szCs w:val="22"/>
        </w:rPr>
        <w:tab/>
        <w:t>Procedure</w:t>
      </w:r>
      <w:bookmarkEnd w:id="83"/>
    </w:p>
    <w:p w14:paraId="442692E9" w14:textId="121907B5"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 xml:space="preserve">Ethical approval was granted for the study by the School of Applied Science Research Ethics Committee at London South Bank University (reference number SAS1834). With permission from the forum moderators, an advertisement for the study was posted on the selected forum sites. The advertisement provided information about who would and would not be eligible to participate. It explained that this was a lab-based study about the use of CEDs, where the study would take place, the reward for participation, and contact details to use for further information. The advertisement also advised that those interested should use a pseudonym and an email address that would not identify them in any way. Individuals who were interested were emailed the information sheet which explained what the experiment would </w:t>
      </w:r>
      <w:r w:rsidRPr="00734AB6">
        <w:rPr>
          <w:rFonts w:asciiTheme="majorHAnsi" w:eastAsia="Calibri" w:hAnsiTheme="majorHAnsi" w:cs="Calibri"/>
        </w:rPr>
        <w:lastRenderedPageBreak/>
        <w:t>involve and asked participants to refrain from taking recreational and off-prescription CEDs for 24 hours before testing (see Appendix C(</w:t>
      </w:r>
      <w:r w:rsidR="00475257">
        <w:rPr>
          <w:rFonts w:asciiTheme="majorHAnsi" w:eastAsia="Calibri" w:hAnsiTheme="majorHAnsi" w:cs="Calibri"/>
        </w:rPr>
        <w:t>viii</w:t>
      </w:r>
      <w:r w:rsidRPr="00734AB6">
        <w:rPr>
          <w:rFonts w:asciiTheme="majorHAnsi" w:eastAsia="Calibri" w:hAnsiTheme="majorHAnsi" w:cs="Calibri"/>
        </w:rPr>
        <w:t>) for full details). On the day of testing the participant was presented with a consent form (see Appendix C(</w:t>
      </w:r>
      <w:r w:rsidR="00475257">
        <w:rPr>
          <w:rFonts w:asciiTheme="majorHAnsi" w:eastAsia="Calibri" w:hAnsiTheme="majorHAnsi" w:cs="Calibri"/>
        </w:rPr>
        <w:t>i</w:t>
      </w:r>
      <w:r w:rsidRPr="00734AB6">
        <w:rPr>
          <w:rFonts w:asciiTheme="majorHAnsi" w:eastAsia="Calibri" w:hAnsiTheme="majorHAnsi" w:cs="Calibri"/>
        </w:rPr>
        <w:t xml:space="preserve">x) for details) which they were required to sign. Following this the demographics and drug use questionnaire was presented and once completed the participant was given instructions for the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task as explained earlier. </w:t>
      </w:r>
      <w:r w:rsidR="005E4F0A" w:rsidRPr="00734AB6">
        <w:rPr>
          <w:rFonts w:asciiTheme="majorHAnsi" w:eastAsia="Calibri" w:hAnsiTheme="majorHAnsi" w:cs="Calibri"/>
        </w:rPr>
        <w:t xml:space="preserve">Following the </w:t>
      </w:r>
      <w:proofErr w:type="spellStart"/>
      <w:r w:rsidR="005E4F0A">
        <w:rPr>
          <w:rFonts w:asciiTheme="majorHAnsi" w:eastAsia="Calibri" w:hAnsiTheme="majorHAnsi" w:cs="Calibri"/>
        </w:rPr>
        <w:t>antisaccade</w:t>
      </w:r>
      <w:proofErr w:type="spellEnd"/>
      <w:r w:rsidR="005E4F0A" w:rsidRPr="00734AB6">
        <w:rPr>
          <w:rFonts w:asciiTheme="majorHAnsi" w:eastAsia="Calibri" w:hAnsiTheme="majorHAnsi" w:cs="Calibri"/>
        </w:rPr>
        <w:t xml:space="preserve"> t</w:t>
      </w:r>
      <w:r w:rsidR="005E4F0A">
        <w:rPr>
          <w:rFonts w:asciiTheme="majorHAnsi" w:eastAsia="Calibri" w:hAnsiTheme="majorHAnsi" w:cs="Calibri"/>
        </w:rPr>
        <w:t>ask</w:t>
      </w:r>
      <w:r w:rsidR="005E4F0A" w:rsidRPr="00734AB6">
        <w:rPr>
          <w:rFonts w:asciiTheme="majorHAnsi" w:eastAsia="Calibri" w:hAnsiTheme="majorHAnsi" w:cs="Calibri"/>
        </w:rPr>
        <w:t>, participants were presented with the SART test and were given a practice run before taking the SART test.  There was then a short break while the arrow flanker test was set up.</w:t>
      </w:r>
      <w:r w:rsidR="005E4F0A">
        <w:rPr>
          <w:rFonts w:asciiTheme="majorHAnsi" w:eastAsia="Calibri" w:hAnsiTheme="majorHAnsi" w:cs="Calibri"/>
        </w:rPr>
        <w:t xml:space="preserve"> </w:t>
      </w:r>
      <w:r w:rsidRPr="00734AB6">
        <w:rPr>
          <w:rFonts w:asciiTheme="majorHAnsi" w:eastAsia="Calibri" w:hAnsiTheme="majorHAnsi" w:cs="Calibri"/>
        </w:rPr>
        <w:t xml:space="preserve">Once this task was completed the participant was positioned in front of another computer monitor and provided instructions for the arrow flanker task. A practice round of 14 trials preceded the experimental part of the task as explained earlier. On completion of this task the participant was given the BRIEF-A form to complete and given instructions on how to complete the form. The debriefing sheet (see Appendix C(x) for details) and Amazon vouchers were provided once the BRIEF-A was completed. </w:t>
      </w:r>
    </w:p>
    <w:p w14:paraId="16DED1A2" w14:textId="77777777" w:rsidR="00650528" w:rsidRPr="00734AB6" w:rsidRDefault="00650528" w:rsidP="00650528">
      <w:pPr>
        <w:spacing w:line="360" w:lineRule="auto"/>
        <w:ind w:firstLine="709"/>
        <w:rPr>
          <w:rFonts w:asciiTheme="majorHAnsi" w:eastAsia="Calibri" w:hAnsiTheme="majorHAnsi" w:cs="Calibri"/>
        </w:rPr>
      </w:pPr>
    </w:p>
    <w:p w14:paraId="7D1CF749" w14:textId="77777777" w:rsidR="00650528" w:rsidRPr="00734AB6" w:rsidRDefault="00650528" w:rsidP="0055368A">
      <w:pPr>
        <w:pStyle w:val="Heading2"/>
        <w:spacing w:after="240" w:line="360" w:lineRule="auto"/>
        <w:rPr>
          <w:b/>
          <w:color w:val="auto"/>
          <w:sz w:val="22"/>
          <w:szCs w:val="22"/>
        </w:rPr>
      </w:pPr>
      <w:bookmarkStart w:id="84" w:name="_Toc48136375"/>
      <w:r w:rsidRPr="00734AB6">
        <w:rPr>
          <w:b/>
          <w:color w:val="auto"/>
          <w:sz w:val="22"/>
          <w:szCs w:val="22"/>
        </w:rPr>
        <w:t>4.3</w:t>
      </w:r>
      <w:r w:rsidRPr="00734AB6">
        <w:rPr>
          <w:b/>
          <w:color w:val="auto"/>
          <w:sz w:val="22"/>
          <w:szCs w:val="22"/>
        </w:rPr>
        <w:tab/>
        <w:t>Results</w:t>
      </w:r>
      <w:bookmarkEnd w:id="84"/>
    </w:p>
    <w:p w14:paraId="5B4797A4" w14:textId="4DB520D3" w:rsidR="00650528" w:rsidRPr="00734AB6" w:rsidRDefault="00650528" w:rsidP="00650528">
      <w:pPr>
        <w:spacing w:line="360" w:lineRule="auto"/>
        <w:ind w:firstLine="709"/>
        <w:rPr>
          <w:rFonts w:asciiTheme="majorHAnsi" w:eastAsia="Calibri" w:hAnsiTheme="majorHAnsi" w:cs="Calibri"/>
        </w:rPr>
      </w:pPr>
      <w:r w:rsidRPr="00734AB6">
        <w:rPr>
          <w:rFonts w:asciiTheme="majorHAnsi" w:eastAsia="Calibri" w:hAnsiTheme="majorHAnsi" w:cs="Calibri"/>
        </w:rPr>
        <w:t>A total o</w:t>
      </w:r>
      <w:r w:rsidR="006B7994" w:rsidRPr="00734AB6">
        <w:rPr>
          <w:rFonts w:asciiTheme="majorHAnsi" w:eastAsia="Calibri" w:hAnsiTheme="majorHAnsi" w:cs="Calibri"/>
        </w:rPr>
        <w:t>f 90 participants completed the</w:t>
      </w:r>
      <w:r w:rsidRPr="00734AB6">
        <w:rPr>
          <w:rFonts w:asciiTheme="majorHAnsi" w:eastAsia="Calibri" w:hAnsiTheme="majorHAnsi" w:cs="Calibri"/>
        </w:rPr>
        <w:t xml:space="preserve"> study, of which 43 were controls and 47 identified themselves as modafinil and/or methylphenidate (CED) users. Of the 47 CED users, 28 were reported modafinil-only users, six were reported methylphenidate-only users and 13 were reported users of both modafinil and methylphenidate. </w:t>
      </w:r>
    </w:p>
    <w:p w14:paraId="1686C60B" w14:textId="77777777" w:rsidR="00391969" w:rsidRPr="00734AB6" w:rsidRDefault="00391969" w:rsidP="00650528">
      <w:pPr>
        <w:spacing w:line="360" w:lineRule="auto"/>
        <w:ind w:firstLine="709"/>
        <w:rPr>
          <w:rFonts w:asciiTheme="majorHAnsi" w:eastAsia="Calibri" w:hAnsiTheme="majorHAnsi" w:cs="Calibri"/>
        </w:rPr>
      </w:pPr>
    </w:p>
    <w:p w14:paraId="7BFAAE12" w14:textId="567C6EDE" w:rsidR="00391969" w:rsidRPr="00734AB6" w:rsidRDefault="00391969" w:rsidP="00391969">
      <w:pPr>
        <w:pStyle w:val="Heading3"/>
        <w:spacing w:after="240" w:line="360" w:lineRule="auto"/>
        <w:rPr>
          <w:b/>
          <w:color w:val="auto"/>
          <w:sz w:val="22"/>
        </w:rPr>
      </w:pPr>
      <w:bookmarkStart w:id="85" w:name="_Toc48136376"/>
      <w:r w:rsidRPr="00734AB6">
        <w:rPr>
          <w:b/>
          <w:color w:val="auto"/>
          <w:sz w:val="22"/>
        </w:rPr>
        <w:t>4.3.1</w:t>
      </w:r>
      <w:r w:rsidRPr="00734AB6">
        <w:rPr>
          <w:b/>
          <w:color w:val="auto"/>
          <w:sz w:val="22"/>
        </w:rPr>
        <w:tab/>
        <w:t>Level of education</w:t>
      </w:r>
      <w:bookmarkEnd w:id="85"/>
    </w:p>
    <w:p w14:paraId="5AF4F1E2" w14:textId="4D3F1DA7" w:rsidR="00391969" w:rsidRPr="00734AB6" w:rsidRDefault="00391969" w:rsidP="00391969">
      <w:pPr>
        <w:spacing w:line="360" w:lineRule="auto"/>
        <w:ind w:firstLine="709"/>
        <w:rPr>
          <w:rFonts w:asciiTheme="majorHAnsi" w:hAnsiTheme="majorHAnsi"/>
        </w:rPr>
      </w:pPr>
      <w:r w:rsidRPr="00734AB6">
        <w:rPr>
          <w:rFonts w:asciiTheme="majorHAnsi" w:hAnsiTheme="majorHAnsi"/>
        </w:rPr>
        <w:t xml:space="preserve">The majority of the CED-user group </w:t>
      </w:r>
      <w:r w:rsidR="008F7167" w:rsidRPr="00734AB6">
        <w:rPr>
          <w:rFonts w:asciiTheme="majorHAnsi" w:hAnsiTheme="majorHAnsi"/>
        </w:rPr>
        <w:t xml:space="preserve">reported that they </w:t>
      </w:r>
      <w:r w:rsidRPr="00734AB6">
        <w:rPr>
          <w:rFonts w:asciiTheme="majorHAnsi" w:hAnsiTheme="majorHAnsi"/>
        </w:rPr>
        <w:t>were university educated (68%, N = 32). The majority of the control group, on the other hand,</w:t>
      </w:r>
      <w:r w:rsidR="008F7167" w:rsidRPr="00734AB6">
        <w:rPr>
          <w:rFonts w:asciiTheme="majorHAnsi" w:hAnsiTheme="majorHAnsi"/>
        </w:rPr>
        <w:t xml:space="preserve"> reported that they</w:t>
      </w:r>
      <w:r w:rsidRPr="00734AB6">
        <w:rPr>
          <w:rFonts w:asciiTheme="majorHAnsi" w:hAnsiTheme="majorHAnsi"/>
        </w:rPr>
        <w:t xml:space="preserve"> were educated to 18 years of age (65%, N = 28). See Appendix C(</w:t>
      </w:r>
      <w:r w:rsidR="005E4F0A">
        <w:rPr>
          <w:rFonts w:asciiTheme="majorHAnsi" w:hAnsiTheme="majorHAnsi"/>
        </w:rPr>
        <w:t>i</w:t>
      </w:r>
      <w:r w:rsidRPr="00734AB6">
        <w:rPr>
          <w:rFonts w:asciiTheme="majorHAnsi" w:hAnsiTheme="majorHAnsi"/>
        </w:rPr>
        <w:t>v) for full details.</w:t>
      </w:r>
    </w:p>
    <w:p w14:paraId="01F042FF" w14:textId="77777777" w:rsidR="00391969" w:rsidRPr="00734AB6" w:rsidRDefault="00391969" w:rsidP="00391969">
      <w:pPr>
        <w:spacing w:line="360" w:lineRule="auto"/>
        <w:ind w:firstLine="709"/>
        <w:rPr>
          <w:rFonts w:asciiTheme="majorHAnsi" w:hAnsiTheme="majorHAnsi"/>
        </w:rPr>
      </w:pPr>
    </w:p>
    <w:p w14:paraId="7946E695" w14:textId="648770AC" w:rsidR="00391969" w:rsidRPr="00734AB6" w:rsidRDefault="00391969" w:rsidP="00391969">
      <w:pPr>
        <w:pStyle w:val="Heading3"/>
        <w:spacing w:after="240" w:line="360" w:lineRule="auto"/>
        <w:rPr>
          <w:b/>
          <w:color w:val="auto"/>
          <w:sz w:val="22"/>
        </w:rPr>
      </w:pPr>
      <w:bookmarkStart w:id="86" w:name="_Toc48136377"/>
      <w:r w:rsidRPr="00734AB6">
        <w:rPr>
          <w:b/>
          <w:color w:val="auto"/>
          <w:sz w:val="22"/>
        </w:rPr>
        <w:t>4.3.2</w:t>
      </w:r>
      <w:r w:rsidRPr="00734AB6">
        <w:rPr>
          <w:b/>
          <w:color w:val="auto"/>
          <w:sz w:val="22"/>
        </w:rPr>
        <w:tab/>
        <w:t>Current studies</w:t>
      </w:r>
      <w:bookmarkEnd w:id="86"/>
    </w:p>
    <w:p w14:paraId="3008D9F1" w14:textId="09616491" w:rsidR="00391969" w:rsidRPr="00734AB6" w:rsidRDefault="00391969" w:rsidP="00391969">
      <w:pPr>
        <w:spacing w:line="360" w:lineRule="auto"/>
        <w:ind w:firstLine="709"/>
        <w:rPr>
          <w:rFonts w:asciiTheme="majorHAnsi" w:hAnsiTheme="majorHAnsi"/>
        </w:rPr>
      </w:pPr>
      <w:r w:rsidRPr="00734AB6">
        <w:rPr>
          <w:rFonts w:asciiTheme="majorHAnsi" w:hAnsiTheme="majorHAnsi"/>
        </w:rPr>
        <w:t>In the CED-user group, 51% (N = 24) of participants stated that they were currently studying for a qualification, the majority of whom stated that they were studying for a degree. In the control group, 88% (N = 38) of participants stated that they were currently studying for a qualification, the majority of whom, again, stated that they were studying for a degree. Full details can be found in Appendix C(v).</w:t>
      </w:r>
    </w:p>
    <w:p w14:paraId="5E9DCE09" w14:textId="77777777" w:rsidR="00391969" w:rsidRPr="00734AB6" w:rsidRDefault="00391969" w:rsidP="00391969">
      <w:pPr>
        <w:spacing w:line="360" w:lineRule="auto"/>
        <w:ind w:firstLine="709"/>
        <w:rPr>
          <w:rFonts w:asciiTheme="majorHAnsi" w:hAnsiTheme="majorHAnsi"/>
        </w:rPr>
      </w:pPr>
    </w:p>
    <w:p w14:paraId="66F62727" w14:textId="33944789" w:rsidR="00391969" w:rsidRPr="00734AB6" w:rsidRDefault="00391969" w:rsidP="00391969">
      <w:pPr>
        <w:pStyle w:val="Heading3"/>
        <w:spacing w:after="240" w:line="360" w:lineRule="auto"/>
        <w:rPr>
          <w:b/>
          <w:color w:val="auto"/>
          <w:sz w:val="22"/>
        </w:rPr>
      </w:pPr>
      <w:bookmarkStart w:id="87" w:name="_Toc48136378"/>
      <w:r w:rsidRPr="00734AB6">
        <w:rPr>
          <w:b/>
          <w:color w:val="auto"/>
          <w:sz w:val="22"/>
        </w:rPr>
        <w:lastRenderedPageBreak/>
        <w:t>4.3.4</w:t>
      </w:r>
      <w:r w:rsidRPr="00734AB6">
        <w:rPr>
          <w:b/>
          <w:color w:val="auto"/>
          <w:sz w:val="22"/>
        </w:rPr>
        <w:tab/>
        <w:t>Employment</w:t>
      </w:r>
      <w:bookmarkEnd w:id="87"/>
    </w:p>
    <w:p w14:paraId="0C48F4FD" w14:textId="785BBA6E" w:rsidR="00391969" w:rsidRPr="00734AB6" w:rsidRDefault="00391969" w:rsidP="00391969">
      <w:pPr>
        <w:spacing w:before="240" w:line="360" w:lineRule="auto"/>
        <w:ind w:firstLine="709"/>
        <w:rPr>
          <w:rFonts w:asciiTheme="majorHAnsi" w:hAnsiTheme="majorHAnsi"/>
        </w:rPr>
      </w:pPr>
      <w:r w:rsidRPr="00734AB6">
        <w:rPr>
          <w:rFonts w:asciiTheme="majorHAnsi" w:hAnsiTheme="majorHAnsi"/>
        </w:rPr>
        <w:t>The majority of the CED-user group reported being in employment (77%, N = 36). The majority of the control group also reported being employed (67.4%, N = 29). See Appendix C(vi) for full details.</w:t>
      </w:r>
    </w:p>
    <w:p w14:paraId="7914301D" w14:textId="77777777" w:rsidR="00391969" w:rsidRPr="00734AB6" w:rsidRDefault="00391969" w:rsidP="00391969"/>
    <w:p w14:paraId="3F29D78A" w14:textId="0E8A4406" w:rsidR="005F76C6" w:rsidRPr="00734AB6" w:rsidRDefault="005F76C6" w:rsidP="005F76C6">
      <w:pPr>
        <w:pStyle w:val="Heading3"/>
        <w:spacing w:after="240" w:line="360" w:lineRule="auto"/>
        <w:rPr>
          <w:b/>
          <w:color w:val="auto"/>
          <w:sz w:val="22"/>
          <w:szCs w:val="22"/>
        </w:rPr>
      </w:pPr>
      <w:bookmarkStart w:id="88" w:name="_Toc48136379"/>
      <w:r w:rsidRPr="00734AB6">
        <w:rPr>
          <w:b/>
          <w:color w:val="auto"/>
          <w:sz w:val="22"/>
          <w:szCs w:val="22"/>
        </w:rPr>
        <w:t>4.3.5</w:t>
      </w:r>
      <w:r w:rsidRPr="00734AB6">
        <w:rPr>
          <w:b/>
          <w:color w:val="auto"/>
          <w:sz w:val="22"/>
          <w:szCs w:val="22"/>
        </w:rPr>
        <w:tab/>
        <w:t>Mental Health</w:t>
      </w:r>
      <w:bookmarkEnd w:id="88"/>
    </w:p>
    <w:p w14:paraId="433E9124" w14:textId="4CAD9837" w:rsidR="005F76C6" w:rsidRPr="00734AB6" w:rsidRDefault="005F76C6" w:rsidP="005F76C6">
      <w:pPr>
        <w:spacing w:line="360" w:lineRule="auto"/>
        <w:ind w:firstLine="709"/>
        <w:rPr>
          <w:rFonts w:asciiTheme="majorHAnsi" w:hAnsiTheme="majorHAnsi"/>
        </w:rPr>
      </w:pPr>
      <w:r w:rsidRPr="00734AB6">
        <w:rPr>
          <w:rFonts w:asciiTheme="majorHAnsi" w:hAnsiTheme="majorHAnsi"/>
        </w:rPr>
        <w:t>Within the CED-user group, 21% (N = 10) reported having been diagnosed with a psychiatric disorder and the most commonly reported condition was depression (13%, N = 6). Within the control group, 9% (N = 4) reported having been diagnosed with a psychiatric disorder of depression or anxiety. See Appendix C(xi) for full details.</w:t>
      </w:r>
    </w:p>
    <w:p w14:paraId="5252DAE8" w14:textId="77777777" w:rsidR="005F76C6" w:rsidRPr="00734AB6" w:rsidRDefault="005F76C6" w:rsidP="005F76C6">
      <w:pPr>
        <w:spacing w:line="360" w:lineRule="auto"/>
        <w:ind w:firstLine="709"/>
        <w:rPr>
          <w:rFonts w:asciiTheme="majorHAnsi" w:hAnsiTheme="majorHAnsi"/>
        </w:rPr>
      </w:pPr>
    </w:p>
    <w:p w14:paraId="4FA4E566" w14:textId="3113DABC" w:rsidR="005F76C6" w:rsidRPr="00734AB6" w:rsidRDefault="005F76C6" w:rsidP="005F76C6">
      <w:pPr>
        <w:pStyle w:val="Heading3"/>
        <w:spacing w:after="240" w:line="360" w:lineRule="auto"/>
        <w:rPr>
          <w:b/>
          <w:color w:val="auto"/>
          <w:sz w:val="22"/>
          <w:szCs w:val="22"/>
        </w:rPr>
      </w:pPr>
      <w:bookmarkStart w:id="89" w:name="_Toc48136380"/>
      <w:r w:rsidRPr="00734AB6">
        <w:rPr>
          <w:b/>
          <w:color w:val="auto"/>
          <w:sz w:val="22"/>
          <w:szCs w:val="22"/>
        </w:rPr>
        <w:t>4.3.6</w:t>
      </w:r>
      <w:r w:rsidRPr="00734AB6">
        <w:rPr>
          <w:b/>
          <w:color w:val="auto"/>
          <w:sz w:val="22"/>
          <w:szCs w:val="22"/>
        </w:rPr>
        <w:tab/>
        <w:t>Cannabis, modafinil and methylphenidate</w:t>
      </w:r>
      <w:bookmarkEnd w:id="89"/>
    </w:p>
    <w:p w14:paraId="04016236" w14:textId="65F82D4D" w:rsidR="005F76C6" w:rsidRPr="00734AB6" w:rsidRDefault="005F76C6" w:rsidP="005F76C6">
      <w:pPr>
        <w:pStyle w:val="Heading4"/>
        <w:spacing w:after="240" w:line="360" w:lineRule="auto"/>
        <w:rPr>
          <w:b/>
          <w:i w:val="0"/>
          <w:color w:val="auto"/>
        </w:rPr>
      </w:pPr>
      <w:r w:rsidRPr="00734AB6">
        <w:rPr>
          <w:b/>
          <w:i w:val="0"/>
          <w:color w:val="auto"/>
        </w:rPr>
        <w:t>4.3.6.1</w:t>
      </w:r>
      <w:r w:rsidRPr="00734AB6">
        <w:rPr>
          <w:b/>
          <w:i w:val="0"/>
          <w:color w:val="auto"/>
        </w:rPr>
        <w:tab/>
        <w:t>Cannabis</w:t>
      </w:r>
    </w:p>
    <w:p w14:paraId="44215129" w14:textId="589E9EA4" w:rsidR="005F76C6" w:rsidRPr="00734AB6" w:rsidRDefault="005F76C6" w:rsidP="005F76C6">
      <w:pPr>
        <w:spacing w:line="360" w:lineRule="auto"/>
        <w:ind w:firstLine="709"/>
        <w:rPr>
          <w:rFonts w:asciiTheme="majorHAnsi" w:hAnsiTheme="majorHAnsi"/>
        </w:rPr>
      </w:pPr>
      <w:r w:rsidRPr="00734AB6">
        <w:rPr>
          <w:rFonts w:asciiTheme="majorHAnsi" w:hAnsiTheme="majorHAnsi"/>
        </w:rPr>
        <w:t xml:space="preserve">The highest level of </w:t>
      </w:r>
      <w:r w:rsidR="008F7167" w:rsidRPr="00734AB6">
        <w:rPr>
          <w:rFonts w:asciiTheme="majorHAnsi" w:hAnsiTheme="majorHAnsi"/>
        </w:rPr>
        <w:t xml:space="preserve">reported </w:t>
      </w:r>
      <w:r w:rsidRPr="00734AB6">
        <w:rPr>
          <w:rFonts w:asciiTheme="majorHAnsi" w:hAnsiTheme="majorHAnsi"/>
        </w:rPr>
        <w:t>lifetime use of cannabis was in the CED-user group, of whom 87% (N = 41) reported having taken cannabis compared with 40% (N = 17) of the control group. Full details of reported cannabis use can be found in Appendix C(xii).</w:t>
      </w:r>
    </w:p>
    <w:p w14:paraId="4D337DCA" w14:textId="77777777" w:rsidR="005F76C6" w:rsidRPr="00734AB6" w:rsidRDefault="005F76C6" w:rsidP="005F76C6">
      <w:pPr>
        <w:spacing w:line="360" w:lineRule="auto"/>
        <w:ind w:firstLine="709"/>
        <w:rPr>
          <w:rFonts w:asciiTheme="majorHAnsi" w:hAnsiTheme="majorHAnsi"/>
        </w:rPr>
      </w:pPr>
    </w:p>
    <w:p w14:paraId="4B6D9DCD" w14:textId="6E35C493" w:rsidR="005F76C6" w:rsidRPr="00734AB6" w:rsidRDefault="005F76C6" w:rsidP="005F76C6">
      <w:pPr>
        <w:pStyle w:val="Heading4"/>
        <w:spacing w:after="240" w:line="360" w:lineRule="auto"/>
        <w:rPr>
          <w:b/>
          <w:i w:val="0"/>
          <w:color w:val="auto"/>
        </w:rPr>
      </w:pPr>
      <w:r w:rsidRPr="00734AB6">
        <w:rPr>
          <w:b/>
          <w:i w:val="0"/>
          <w:color w:val="auto"/>
        </w:rPr>
        <w:t>4.3.6.2</w:t>
      </w:r>
      <w:r w:rsidRPr="00734AB6">
        <w:rPr>
          <w:b/>
          <w:i w:val="0"/>
          <w:color w:val="auto"/>
        </w:rPr>
        <w:tab/>
        <w:t>Modafinil</w:t>
      </w:r>
    </w:p>
    <w:p w14:paraId="474B9F22" w14:textId="435FACA3" w:rsidR="005F76C6" w:rsidRPr="00734AB6" w:rsidRDefault="005F76C6" w:rsidP="005F76C6">
      <w:pPr>
        <w:spacing w:line="360" w:lineRule="auto"/>
        <w:ind w:firstLine="709"/>
        <w:rPr>
          <w:rFonts w:asciiTheme="majorHAnsi" w:hAnsiTheme="majorHAnsi"/>
        </w:rPr>
      </w:pPr>
      <w:r w:rsidRPr="00734AB6">
        <w:rPr>
          <w:rFonts w:asciiTheme="majorHAnsi" w:hAnsiTheme="majorHAnsi"/>
        </w:rPr>
        <w:t xml:space="preserve">A total of 87% (N = 41) of CED-users stated that they had taken modafinil. The mean age of first use of modafinil was 25 years (SD = 5.64). The reported frequencies of use of modafinil </w:t>
      </w:r>
      <w:r w:rsidR="002C02AF" w:rsidRPr="00734AB6">
        <w:rPr>
          <w:rFonts w:asciiTheme="majorHAnsi" w:hAnsiTheme="majorHAnsi"/>
        </w:rPr>
        <w:t>are detailed in Table 4.1</w:t>
      </w:r>
      <w:r w:rsidRPr="00734AB6">
        <w:rPr>
          <w:rFonts w:asciiTheme="majorHAnsi" w:hAnsiTheme="majorHAnsi"/>
        </w:rPr>
        <w:t>. Full details of reported modafinil use are found in Appendix C(xi</w:t>
      </w:r>
      <w:r w:rsidR="00475257">
        <w:rPr>
          <w:rFonts w:asciiTheme="majorHAnsi" w:hAnsiTheme="majorHAnsi"/>
        </w:rPr>
        <w:t>ii</w:t>
      </w:r>
      <w:r w:rsidRPr="00734AB6">
        <w:rPr>
          <w:rFonts w:asciiTheme="majorHAnsi" w:hAnsiTheme="majorHAnsi"/>
        </w:rPr>
        <w:t xml:space="preserve">). </w:t>
      </w:r>
    </w:p>
    <w:p w14:paraId="3B24B724" w14:textId="58243D0D" w:rsidR="005F76C6" w:rsidRPr="00734AB6" w:rsidRDefault="005F76C6" w:rsidP="005F76C6">
      <w:pPr>
        <w:tabs>
          <w:tab w:val="left" w:pos="1134"/>
        </w:tabs>
        <w:spacing w:line="360" w:lineRule="auto"/>
        <w:rPr>
          <w:rFonts w:asciiTheme="majorHAnsi" w:hAnsiTheme="majorHAnsi"/>
          <w:b/>
        </w:rPr>
      </w:pPr>
      <w:r w:rsidRPr="00734AB6">
        <w:rPr>
          <w:rFonts w:asciiTheme="majorHAnsi" w:hAnsiTheme="majorHAnsi"/>
          <w:b/>
        </w:rPr>
        <w:t xml:space="preserve">Table </w:t>
      </w:r>
      <w:r w:rsidR="002C02AF" w:rsidRPr="00734AB6">
        <w:rPr>
          <w:rFonts w:asciiTheme="majorHAnsi" w:hAnsiTheme="majorHAnsi"/>
          <w:b/>
        </w:rPr>
        <w:t>4.1</w:t>
      </w:r>
      <w:r w:rsidRPr="00734AB6">
        <w:rPr>
          <w:rFonts w:asciiTheme="majorHAnsi" w:hAnsiTheme="majorHAnsi"/>
          <w:b/>
        </w:rPr>
        <w:t>.</w:t>
      </w:r>
      <w:r w:rsidRPr="00734AB6">
        <w:rPr>
          <w:rFonts w:asciiTheme="majorHAnsi" w:hAnsiTheme="majorHAnsi"/>
          <w:b/>
        </w:rPr>
        <w:tab/>
        <w:t>Frequency of modafinil use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2409"/>
      </w:tblGrid>
      <w:tr w:rsidR="005F76C6" w:rsidRPr="00734AB6" w14:paraId="249632D5" w14:textId="77777777" w:rsidTr="001B2178">
        <w:tc>
          <w:tcPr>
            <w:tcW w:w="3828" w:type="dxa"/>
            <w:tcBorders>
              <w:bottom w:val="single" w:sz="4" w:space="0" w:color="auto"/>
            </w:tcBorders>
            <w:shd w:val="clear" w:color="auto" w:fill="auto"/>
          </w:tcPr>
          <w:p w14:paraId="0A92A71D"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Frequency of use within the past six months</w:t>
            </w:r>
          </w:p>
        </w:tc>
        <w:tc>
          <w:tcPr>
            <w:tcW w:w="2409" w:type="dxa"/>
            <w:tcBorders>
              <w:bottom w:val="single" w:sz="4" w:space="0" w:color="auto"/>
            </w:tcBorders>
          </w:tcPr>
          <w:p w14:paraId="3721BE81"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b/>
              </w:rPr>
              <w:t>CED user group N (%)*</w:t>
            </w:r>
          </w:p>
        </w:tc>
      </w:tr>
      <w:tr w:rsidR="005F76C6" w:rsidRPr="00734AB6" w14:paraId="74310E0B" w14:textId="77777777" w:rsidTr="001B2178">
        <w:tc>
          <w:tcPr>
            <w:tcW w:w="3828" w:type="dxa"/>
            <w:tcBorders>
              <w:bottom w:val="nil"/>
            </w:tcBorders>
            <w:shd w:val="clear" w:color="auto" w:fill="auto"/>
          </w:tcPr>
          <w:p w14:paraId="3128D24C"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Every day</w:t>
            </w:r>
          </w:p>
        </w:tc>
        <w:tc>
          <w:tcPr>
            <w:tcW w:w="2409" w:type="dxa"/>
            <w:tcBorders>
              <w:bottom w:val="nil"/>
            </w:tcBorders>
          </w:tcPr>
          <w:p w14:paraId="06187AF0" w14:textId="77777777" w:rsidR="005F76C6" w:rsidRPr="00734AB6" w:rsidRDefault="005F76C6" w:rsidP="001B2178">
            <w:pPr>
              <w:spacing w:line="360" w:lineRule="auto"/>
              <w:rPr>
                <w:rFonts w:asciiTheme="majorHAnsi" w:hAnsiTheme="majorHAnsi"/>
              </w:rPr>
            </w:pPr>
            <w:r w:rsidRPr="00734AB6">
              <w:rPr>
                <w:rFonts w:asciiTheme="majorHAnsi" w:hAnsiTheme="majorHAnsi"/>
              </w:rPr>
              <w:t>7   (17.1)</w:t>
            </w:r>
          </w:p>
        </w:tc>
      </w:tr>
      <w:tr w:rsidR="005F76C6" w:rsidRPr="00734AB6" w14:paraId="15D369B5" w14:textId="77777777" w:rsidTr="001B2178">
        <w:tc>
          <w:tcPr>
            <w:tcW w:w="3828" w:type="dxa"/>
            <w:tcBorders>
              <w:top w:val="nil"/>
              <w:bottom w:val="nil"/>
            </w:tcBorders>
            <w:shd w:val="clear" w:color="auto" w:fill="auto"/>
          </w:tcPr>
          <w:p w14:paraId="18F4B96E"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Three or more days per week</w:t>
            </w:r>
          </w:p>
        </w:tc>
        <w:tc>
          <w:tcPr>
            <w:tcW w:w="2409" w:type="dxa"/>
            <w:tcBorders>
              <w:top w:val="nil"/>
              <w:bottom w:val="nil"/>
            </w:tcBorders>
          </w:tcPr>
          <w:p w14:paraId="7F7A6721" w14:textId="77777777" w:rsidR="005F76C6" w:rsidRPr="00734AB6" w:rsidRDefault="005F76C6" w:rsidP="001B2178">
            <w:pPr>
              <w:spacing w:line="360" w:lineRule="auto"/>
              <w:rPr>
                <w:rFonts w:asciiTheme="majorHAnsi" w:hAnsiTheme="majorHAnsi"/>
              </w:rPr>
            </w:pPr>
            <w:r w:rsidRPr="00734AB6">
              <w:rPr>
                <w:rFonts w:asciiTheme="majorHAnsi" w:hAnsiTheme="majorHAnsi"/>
              </w:rPr>
              <w:t>4   (9.8)</w:t>
            </w:r>
          </w:p>
        </w:tc>
      </w:tr>
      <w:tr w:rsidR="005F76C6" w:rsidRPr="00734AB6" w14:paraId="02D47B34" w14:textId="77777777" w:rsidTr="001B2178">
        <w:tc>
          <w:tcPr>
            <w:tcW w:w="3828" w:type="dxa"/>
            <w:tcBorders>
              <w:top w:val="nil"/>
              <w:bottom w:val="nil"/>
            </w:tcBorders>
            <w:shd w:val="clear" w:color="auto" w:fill="auto"/>
          </w:tcPr>
          <w:p w14:paraId="6A8AFD06"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Once or twice per week</w:t>
            </w:r>
          </w:p>
        </w:tc>
        <w:tc>
          <w:tcPr>
            <w:tcW w:w="2409" w:type="dxa"/>
            <w:tcBorders>
              <w:top w:val="nil"/>
              <w:bottom w:val="nil"/>
            </w:tcBorders>
          </w:tcPr>
          <w:p w14:paraId="7119B8D3" w14:textId="77777777" w:rsidR="005F76C6" w:rsidRPr="00734AB6" w:rsidRDefault="005F76C6" w:rsidP="001B2178">
            <w:pPr>
              <w:spacing w:line="360" w:lineRule="auto"/>
              <w:rPr>
                <w:rFonts w:asciiTheme="majorHAnsi" w:hAnsiTheme="majorHAnsi"/>
              </w:rPr>
            </w:pPr>
            <w:r w:rsidRPr="00734AB6">
              <w:rPr>
                <w:rFonts w:asciiTheme="majorHAnsi" w:hAnsiTheme="majorHAnsi"/>
              </w:rPr>
              <w:t>13 (31.7)</w:t>
            </w:r>
          </w:p>
        </w:tc>
      </w:tr>
      <w:tr w:rsidR="005F76C6" w:rsidRPr="00734AB6" w14:paraId="49405288" w14:textId="77777777" w:rsidTr="001B2178">
        <w:tc>
          <w:tcPr>
            <w:tcW w:w="3828" w:type="dxa"/>
            <w:tcBorders>
              <w:top w:val="nil"/>
              <w:bottom w:val="nil"/>
            </w:tcBorders>
            <w:shd w:val="clear" w:color="auto" w:fill="auto"/>
          </w:tcPr>
          <w:p w14:paraId="2C8739CE"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Two or three times per month</w:t>
            </w:r>
          </w:p>
        </w:tc>
        <w:tc>
          <w:tcPr>
            <w:tcW w:w="2409" w:type="dxa"/>
            <w:tcBorders>
              <w:top w:val="nil"/>
              <w:bottom w:val="nil"/>
            </w:tcBorders>
          </w:tcPr>
          <w:p w14:paraId="5AC16B5A" w14:textId="77777777" w:rsidR="005F76C6" w:rsidRPr="00734AB6" w:rsidRDefault="005F76C6" w:rsidP="001B2178">
            <w:pPr>
              <w:spacing w:line="360" w:lineRule="auto"/>
              <w:rPr>
                <w:rFonts w:asciiTheme="majorHAnsi" w:hAnsiTheme="majorHAnsi"/>
              </w:rPr>
            </w:pPr>
            <w:r w:rsidRPr="00734AB6">
              <w:rPr>
                <w:rFonts w:asciiTheme="majorHAnsi" w:hAnsiTheme="majorHAnsi"/>
              </w:rPr>
              <w:t>8   (19.5)</w:t>
            </w:r>
          </w:p>
        </w:tc>
      </w:tr>
      <w:tr w:rsidR="005F76C6" w:rsidRPr="00734AB6" w14:paraId="76898DBE" w14:textId="77777777" w:rsidTr="001B2178">
        <w:tc>
          <w:tcPr>
            <w:tcW w:w="3828" w:type="dxa"/>
            <w:tcBorders>
              <w:top w:val="nil"/>
            </w:tcBorders>
            <w:shd w:val="clear" w:color="auto" w:fill="auto"/>
          </w:tcPr>
          <w:p w14:paraId="43AB0864" w14:textId="77777777" w:rsidR="005F76C6" w:rsidRPr="00734AB6" w:rsidRDefault="005F76C6" w:rsidP="001B2178">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lastRenderedPageBreak/>
              <w:t>Six times or less per year</w:t>
            </w:r>
          </w:p>
        </w:tc>
        <w:tc>
          <w:tcPr>
            <w:tcW w:w="2409" w:type="dxa"/>
            <w:tcBorders>
              <w:top w:val="nil"/>
            </w:tcBorders>
          </w:tcPr>
          <w:p w14:paraId="136DCE21" w14:textId="77777777" w:rsidR="005F76C6" w:rsidRPr="00734AB6" w:rsidRDefault="005F76C6" w:rsidP="001B2178">
            <w:pPr>
              <w:spacing w:line="360" w:lineRule="auto"/>
              <w:rPr>
                <w:rFonts w:asciiTheme="majorHAnsi" w:hAnsiTheme="majorHAnsi"/>
              </w:rPr>
            </w:pPr>
            <w:r w:rsidRPr="00734AB6">
              <w:rPr>
                <w:rFonts w:asciiTheme="majorHAnsi" w:hAnsiTheme="majorHAnsi"/>
              </w:rPr>
              <w:t>5   (12.2)</w:t>
            </w:r>
          </w:p>
        </w:tc>
      </w:tr>
    </w:tbl>
    <w:p w14:paraId="160FB65A" w14:textId="77777777" w:rsidR="005F76C6" w:rsidRPr="00734AB6" w:rsidRDefault="005F76C6" w:rsidP="005F76C6">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73D345C7" w14:textId="77777777" w:rsidR="005F76C6" w:rsidRPr="00734AB6" w:rsidRDefault="005F76C6" w:rsidP="005F76C6">
      <w:pPr>
        <w:spacing w:line="360" w:lineRule="auto"/>
        <w:ind w:firstLine="709"/>
        <w:rPr>
          <w:rFonts w:asciiTheme="majorHAnsi" w:hAnsiTheme="majorHAnsi"/>
        </w:rPr>
      </w:pPr>
    </w:p>
    <w:p w14:paraId="0B28CE25" w14:textId="208A72C8" w:rsidR="005F76C6" w:rsidRPr="00734AB6" w:rsidRDefault="005F76C6" w:rsidP="005F76C6">
      <w:pPr>
        <w:pStyle w:val="Heading4"/>
        <w:spacing w:after="240" w:line="360" w:lineRule="auto"/>
        <w:rPr>
          <w:b/>
          <w:i w:val="0"/>
          <w:color w:val="auto"/>
        </w:rPr>
      </w:pPr>
      <w:r w:rsidRPr="00734AB6">
        <w:rPr>
          <w:b/>
          <w:i w:val="0"/>
          <w:color w:val="auto"/>
        </w:rPr>
        <w:t>4.3.6.3</w:t>
      </w:r>
      <w:r w:rsidRPr="00734AB6">
        <w:rPr>
          <w:b/>
          <w:i w:val="0"/>
          <w:color w:val="auto"/>
        </w:rPr>
        <w:tab/>
        <w:t>Methylphenidate</w:t>
      </w:r>
    </w:p>
    <w:p w14:paraId="377915D1" w14:textId="3B679C09" w:rsidR="005F76C6" w:rsidRPr="00734AB6" w:rsidRDefault="005F76C6" w:rsidP="005F76C6">
      <w:pPr>
        <w:spacing w:line="360" w:lineRule="auto"/>
        <w:ind w:firstLine="709"/>
        <w:rPr>
          <w:rFonts w:asciiTheme="majorHAnsi" w:hAnsiTheme="majorHAnsi"/>
        </w:rPr>
      </w:pPr>
      <w:r w:rsidRPr="00734AB6">
        <w:rPr>
          <w:rFonts w:asciiTheme="majorHAnsi" w:hAnsiTheme="majorHAnsi"/>
        </w:rPr>
        <w:t xml:space="preserve">Within the CED-user group, 40% (N = 19) of CED-users stated that they had taken methylphenidate. The mean age of </w:t>
      </w:r>
      <w:r w:rsidR="008F7167" w:rsidRPr="00734AB6">
        <w:rPr>
          <w:rFonts w:asciiTheme="majorHAnsi" w:hAnsiTheme="majorHAnsi"/>
        </w:rPr>
        <w:t xml:space="preserve">reported </w:t>
      </w:r>
      <w:r w:rsidRPr="00734AB6">
        <w:rPr>
          <w:rFonts w:asciiTheme="majorHAnsi" w:hAnsiTheme="majorHAnsi"/>
        </w:rPr>
        <w:t>first use of methylphenidate was 22 years (SD = 6.05).  See Appendix C(x</w:t>
      </w:r>
      <w:r w:rsidR="00475257">
        <w:rPr>
          <w:rFonts w:asciiTheme="majorHAnsi" w:hAnsiTheme="majorHAnsi"/>
        </w:rPr>
        <w:t>iii</w:t>
      </w:r>
      <w:r w:rsidRPr="00734AB6">
        <w:rPr>
          <w:rFonts w:asciiTheme="majorHAnsi" w:hAnsiTheme="majorHAnsi"/>
        </w:rPr>
        <w:t xml:space="preserve">) for full details.  </w:t>
      </w:r>
    </w:p>
    <w:p w14:paraId="3B46CB7E" w14:textId="77777777" w:rsidR="005F76C6" w:rsidRPr="00734AB6" w:rsidRDefault="005F76C6" w:rsidP="005F76C6">
      <w:pPr>
        <w:spacing w:line="360" w:lineRule="auto"/>
        <w:ind w:firstLine="709"/>
        <w:rPr>
          <w:rFonts w:asciiTheme="majorHAnsi" w:hAnsiTheme="majorHAnsi"/>
        </w:rPr>
      </w:pPr>
    </w:p>
    <w:p w14:paraId="25F96F13" w14:textId="21A9F47F" w:rsidR="005F76C6" w:rsidRPr="00734AB6" w:rsidRDefault="005F76C6" w:rsidP="005F76C6">
      <w:pPr>
        <w:pStyle w:val="Heading3"/>
        <w:spacing w:after="240" w:line="360" w:lineRule="auto"/>
        <w:rPr>
          <w:b/>
          <w:color w:val="auto"/>
          <w:sz w:val="22"/>
          <w:szCs w:val="22"/>
        </w:rPr>
      </w:pPr>
      <w:bookmarkStart w:id="90" w:name="_Toc48136381"/>
      <w:r w:rsidRPr="00734AB6">
        <w:rPr>
          <w:b/>
          <w:color w:val="auto"/>
          <w:sz w:val="22"/>
          <w:szCs w:val="22"/>
        </w:rPr>
        <w:t>4.3.7</w:t>
      </w:r>
      <w:r w:rsidRPr="00734AB6">
        <w:rPr>
          <w:b/>
          <w:color w:val="auto"/>
          <w:sz w:val="22"/>
          <w:szCs w:val="22"/>
        </w:rPr>
        <w:tab/>
        <w:t>Alcohol and nicotine</w:t>
      </w:r>
      <w:bookmarkEnd w:id="90"/>
    </w:p>
    <w:p w14:paraId="6D26FE9F" w14:textId="236E68C1" w:rsidR="005F76C6" w:rsidRPr="00734AB6" w:rsidRDefault="005F76C6" w:rsidP="005F76C6">
      <w:pPr>
        <w:pStyle w:val="Heading4"/>
        <w:spacing w:after="240" w:line="360" w:lineRule="auto"/>
        <w:rPr>
          <w:b/>
          <w:i w:val="0"/>
          <w:color w:val="auto"/>
        </w:rPr>
      </w:pPr>
      <w:r w:rsidRPr="00734AB6">
        <w:rPr>
          <w:b/>
          <w:i w:val="0"/>
          <w:color w:val="auto"/>
        </w:rPr>
        <w:t>4.3.7.1</w:t>
      </w:r>
      <w:r w:rsidRPr="00734AB6">
        <w:rPr>
          <w:b/>
          <w:i w:val="0"/>
          <w:color w:val="auto"/>
        </w:rPr>
        <w:tab/>
        <w:t xml:space="preserve"> Alcohol use was higher in the CED-user group</w:t>
      </w:r>
    </w:p>
    <w:p w14:paraId="0C0307FC" w14:textId="10D9D8E5" w:rsidR="005F76C6" w:rsidRPr="00734AB6" w:rsidRDefault="005F76C6" w:rsidP="005F76C6">
      <w:pPr>
        <w:spacing w:line="360" w:lineRule="auto"/>
        <w:ind w:firstLine="709"/>
        <w:rPr>
          <w:rFonts w:asciiTheme="majorHAnsi" w:hAnsiTheme="majorHAnsi"/>
        </w:rPr>
      </w:pPr>
      <w:r w:rsidRPr="00734AB6">
        <w:rPr>
          <w:rFonts w:asciiTheme="majorHAnsi" w:hAnsiTheme="majorHAnsi"/>
        </w:rPr>
        <w:t>A greater number of the CED-user group (47%, N = 22) compared with controls (28%, N = 12) reported that they had consumed alcohol at least once a week within the past six months and a greater number of the CED-user group (62%, N = 29) compared with controls (35%, N = 15) reported having consumed alcohol within the last week. See Appendix C(xv) for full details.</w:t>
      </w:r>
    </w:p>
    <w:p w14:paraId="6B560983" w14:textId="77777777" w:rsidR="005F76C6" w:rsidRPr="00734AB6" w:rsidRDefault="005F76C6" w:rsidP="005F76C6">
      <w:pPr>
        <w:spacing w:line="360" w:lineRule="auto"/>
        <w:ind w:firstLine="709"/>
        <w:rPr>
          <w:rFonts w:asciiTheme="majorHAnsi" w:hAnsiTheme="majorHAnsi"/>
        </w:rPr>
      </w:pPr>
    </w:p>
    <w:p w14:paraId="5EB7E4EB" w14:textId="1725318F" w:rsidR="005F76C6" w:rsidRPr="00734AB6" w:rsidRDefault="005F76C6" w:rsidP="005F76C6">
      <w:pPr>
        <w:pStyle w:val="Heading4"/>
        <w:spacing w:after="240" w:line="360" w:lineRule="auto"/>
        <w:rPr>
          <w:b/>
          <w:i w:val="0"/>
          <w:color w:val="auto"/>
        </w:rPr>
      </w:pPr>
      <w:r w:rsidRPr="00734AB6">
        <w:rPr>
          <w:b/>
          <w:i w:val="0"/>
          <w:color w:val="auto"/>
        </w:rPr>
        <w:t>4.3.7.2</w:t>
      </w:r>
      <w:r w:rsidRPr="00734AB6">
        <w:rPr>
          <w:b/>
          <w:i w:val="0"/>
          <w:color w:val="auto"/>
        </w:rPr>
        <w:tab/>
        <w:t xml:space="preserve"> Nicotine</w:t>
      </w:r>
    </w:p>
    <w:p w14:paraId="4FD5EECD" w14:textId="2BAC10EF" w:rsidR="005F76C6" w:rsidRPr="00734AB6" w:rsidRDefault="005F76C6" w:rsidP="005F76C6">
      <w:pPr>
        <w:spacing w:line="360" w:lineRule="auto"/>
        <w:ind w:firstLine="709"/>
        <w:rPr>
          <w:rFonts w:asciiTheme="majorHAnsi" w:hAnsiTheme="majorHAnsi"/>
        </w:rPr>
      </w:pPr>
      <w:r w:rsidRPr="00734AB6">
        <w:rPr>
          <w:rFonts w:asciiTheme="majorHAnsi" w:hAnsiTheme="majorHAnsi"/>
        </w:rPr>
        <w:t>The majority of both the CED-user group (57%, N = 27) and the control group (53%, N = 23) reported that they had not taken nicotine within the past six months. See Appendix C(xvi) for full details.</w:t>
      </w:r>
    </w:p>
    <w:p w14:paraId="5D3709BC" w14:textId="77777777" w:rsidR="005F76C6" w:rsidRPr="00734AB6" w:rsidRDefault="005F76C6" w:rsidP="005F76C6">
      <w:pPr>
        <w:spacing w:line="360" w:lineRule="auto"/>
        <w:ind w:firstLine="709"/>
        <w:rPr>
          <w:rFonts w:asciiTheme="majorHAnsi" w:hAnsiTheme="majorHAnsi"/>
        </w:rPr>
      </w:pPr>
    </w:p>
    <w:p w14:paraId="237D5447" w14:textId="3A75BE7E" w:rsidR="005F76C6" w:rsidRPr="00734AB6" w:rsidRDefault="005F76C6" w:rsidP="005F76C6">
      <w:pPr>
        <w:pStyle w:val="Heading3"/>
        <w:spacing w:after="240" w:line="360" w:lineRule="auto"/>
        <w:rPr>
          <w:b/>
          <w:color w:val="auto"/>
          <w:sz w:val="22"/>
          <w:szCs w:val="22"/>
        </w:rPr>
      </w:pPr>
      <w:bookmarkStart w:id="91" w:name="_Toc48136382"/>
      <w:r w:rsidRPr="00734AB6">
        <w:rPr>
          <w:b/>
          <w:color w:val="auto"/>
          <w:sz w:val="22"/>
          <w:szCs w:val="22"/>
        </w:rPr>
        <w:t>4.3.8</w:t>
      </w:r>
      <w:r w:rsidRPr="00734AB6">
        <w:rPr>
          <w:b/>
          <w:color w:val="auto"/>
          <w:sz w:val="22"/>
          <w:szCs w:val="22"/>
        </w:rPr>
        <w:tab/>
        <w:t>Other recreational drugs</w:t>
      </w:r>
      <w:bookmarkEnd w:id="91"/>
    </w:p>
    <w:p w14:paraId="1A16FF9D" w14:textId="03127652" w:rsidR="005F76C6" w:rsidRPr="00734AB6" w:rsidRDefault="005F76C6" w:rsidP="005F76C6">
      <w:pPr>
        <w:spacing w:line="360" w:lineRule="auto"/>
        <w:ind w:firstLine="709"/>
        <w:rPr>
          <w:rFonts w:asciiTheme="majorHAnsi" w:hAnsiTheme="majorHAnsi"/>
        </w:rPr>
      </w:pPr>
      <w:r w:rsidRPr="00734AB6">
        <w:rPr>
          <w:rFonts w:asciiTheme="majorHAnsi" w:hAnsiTheme="majorHAnsi"/>
        </w:rPr>
        <w:t>Due to the range of drugs provided by participants and issues with small Ns in each of the variables, it was decided to collapse the drug categories. This resulted in five categories, namely, stimulants, depressants, opium-related pain killers, hallucinogens and cognitive enhancers for both frequency of use and length of time since last use. There was much greater reported use of drugs by the CED-user group in all categories compared with controls.  There was greater reported use of stimulants by both groups compared to all other drug categories. Full details of the reported recreational drug use can be found in Appendix C(xvii).</w:t>
      </w:r>
    </w:p>
    <w:p w14:paraId="61F2EAE2" w14:textId="77777777" w:rsidR="005F76C6" w:rsidRPr="00734AB6" w:rsidRDefault="005F76C6" w:rsidP="00391969"/>
    <w:p w14:paraId="3A8A12D2" w14:textId="3DD29BFD" w:rsidR="00B74BFE" w:rsidRPr="00734AB6" w:rsidRDefault="006B7994" w:rsidP="006B7994">
      <w:pPr>
        <w:pStyle w:val="Heading3"/>
        <w:spacing w:after="240" w:line="360" w:lineRule="auto"/>
        <w:rPr>
          <w:b/>
          <w:color w:val="auto"/>
          <w:sz w:val="22"/>
          <w:szCs w:val="22"/>
        </w:rPr>
      </w:pPr>
      <w:bookmarkStart w:id="92" w:name="_Toc48136383"/>
      <w:r w:rsidRPr="00734AB6">
        <w:rPr>
          <w:b/>
          <w:color w:val="auto"/>
          <w:sz w:val="22"/>
          <w:szCs w:val="22"/>
        </w:rPr>
        <w:lastRenderedPageBreak/>
        <w:t>4.3.</w:t>
      </w:r>
      <w:r w:rsidR="005F76C6" w:rsidRPr="00734AB6">
        <w:rPr>
          <w:b/>
          <w:color w:val="auto"/>
          <w:sz w:val="22"/>
          <w:szCs w:val="22"/>
        </w:rPr>
        <w:t>9</w:t>
      </w:r>
      <w:r w:rsidRPr="00734AB6">
        <w:rPr>
          <w:b/>
          <w:color w:val="auto"/>
          <w:sz w:val="22"/>
          <w:szCs w:val="22"/>
        </w:rPr>
        <w:tab/>
      </w:r>
      <w:proofErr w:type="spellStart"/>
      <w:r w:rsidRPr="00734AB6">
        <w:rPr>
          <w:b/>
          <w:color w:val="auto"/>
          <w:sz w:val="22"/>
          <w:szCs w:val="22"/>
        </w:rPr>
        <w:t>Antisaccade</w:t>
      </w:r>
      <w:proofErr w:type="spellEnd"/>
      <w:r w:rsidRPr="00734AB6">
        <w:rPr>
          <w:b/>
          <w:color w:val="auto"/>
          <w:sz w:val="22"/>
          <w:szCs w:val="22"/>
        </w:rPr>
        <w:t xml:space="preserve"> task</w:t>
      </w:r>
      <w:bookmarkEnd w:id="92"/>
    </w:p>
    <w:p w14:paraId="3E86E99C" w14:textId="7EA894F1" w:rsidR="006B7994" w:rsidRPr="00734AB6" w:rsidRDefault="00B74BFE" w:rsidP="005F76C6">
      <w:pPr>
        <w:spacing w:line="360" w:lineRule="auto"/>
        <w:ind w:firstLine="851"/>
      </w:pPr>
      <w:r w:rsidRPr="00734AB6">
        <w:t xml:space="preserve">Prosaccade measures are presented first, followed by </w:t>
      </w:r>
      <w:proofErr w:type="spellStart"/>
      <w:r w:rsidRPr="00734AB6">
        <w:t>antisaccade</w:t>
      </w:r>
      <w:proofErr w:type="spellEnd"/>
      <w:r w:rsidRPr="00734AB6">
        <w:t xml:space="preserve"> measures, in order to identify group differences on automatic, prepotent responses and responses that require top-down or executive control.</w:t>
      </w:r>
    </w:p>
    <w:p w14:paraId="1B38ADDA" w14:textId="77777777" w:rsidR="005F76C6" w:rsidRPr="00734AB6" w:rsidRDefault="005F76C6" w:rsidP="005F76C6">
      <w:pPr>
        <w:spacing w:line="360" w:lineRule="auto"/>
        <w:ind w:firstLine="851"/>
      </w:pPr>
    </w:p>
    <w:p w14:paraId="58BCDF36" w14:textId="301AEFA6" w:rsidR="006B7994" w:rsidRPr="00734AB6" w:rsidRDefault="006B7994" w:rsidP="006B7994">
      <w:pPr>
        <w:pStyle w:val="Heading4"/>
        <w:spacing w:after="240" w:line="360" w:lineRule="auto"/>
        <w:rPr>
          <w:b/>
          <w:i w:val="0"/>
          <w:color w:val="auto"/>
        </w:rPr>
      </w:pPr>
      <w:r w:rsidRPr="00734AB6">
        <w:rPr>
          <w:b/>
          <w:i w:val="0"/>
          <w:color w:val="auto"/>
        </w:rPr>
        <w:t>4.3.</w:t>
      </w:r>
      <w:r w:rsidR="005F76C6" w:rsidRPr="00734AB6">
        <w:rPr>
          <w:b/>
          <w:i w:val="0"/>
          <w:color w:val="auto"/>
        </w:rPr>
        <w:t>9</w:t>
      </w:r>
      <w:r w:rsidRPr="00734AB6">
        <w:rPr>
          <w:b/>
          <w:i w:val="0"/>
          <w:color w:val="auto"/>
        </w:rPr>
        <w:t>.1</w:t>
      </w:r>
      <w:r w:rsidRPr="00734AB6">
        <w:rPr>
          <w:b/>
          <w:i w:val="0"/>
          <w:color w:val="auto"/>
        </w:rPr>
        <w:tab/>
        <w:t>Prosaccade measures</w:t>
      </w:r>
    </w:p>
    <w:p w14:paraId="60CBF6C7" w14:textId="117DF625" w:rsidR="006B7994" w:rsidRPr="00734AB6" w:rsidRDefault="006B7994" w:rsidP="006B7994">
      <w:pPr>
        <w:spacing w:line="360" w:lineRule="auto"/>
        <w:ind w:firstLine="851"/>
        <w:rPr>
          <w:rFonts w:asciiTheme="majorHAnsi" w:eastAsia="Calibri" w:hAnsiTheme="majorHAnsi"/>
        </w:rPr>
      </w:pPr>
      <w:r w:rsidRPr="00734AB6">
        <w:rPr>
          <w:rFonts w:asciiTheme="majorHAnsi" w:eastAsia="Calibri" w:hAnsiTheme="majorHAnsi"/>
        </w:rPr>
        <w:t>The means and SDs for response latencies for the prosaccade measures are displayed in Tabl</w:t>
      </w:r>
      <w:r w:rsidR="009D706A" w:rsidRPr="00734AB6">
        <w:rPr>
          <w:rFonts w:asciiTheme="majorHAnsi" w:eastAsia="Calibri" w:hAnsiTheme="majorHAnsi"/>
        </w:rPr>
        <w:t>e 4.2</w:t>
      </w:r>
      <w:r w:rsidRPr="00734AB6">
        <w:rPr>
          <w:rFonts w:asciiTheme="majorHAnsi" w:eastAsia="Calibri" w:hAnsiTheme="majorHAnsi"/>
        </w:rPr>
        <w:t xml:space="preserve">. </w:t>
      </w:r>
    </w:p>
    <w:p w14:paraId="6D2297B7" w14:textId="77777777" w:rsidR="00650528" w:rsidRPr="00734AB6" w:rsidRDefault="00650528" w:rsidP="00650528">
      <w:pPr>
        <w:spacing w:line="360" w:lineRule="auto"/>
        <w:ind w:firstLine="851"/>
        <w:rPr>
          <w:rFonts w:asciiTheme="majorHAnsi" w:eastAsia="Calibri" w:hAnsiTheme="majorHAnsi"/>
        </w:rPr>
      </w:pPr>
    </w:p>
    <w:p w14:paraId="632336D2" w14:textId="6D1DD74C" w:rsidR="00650528" w:rsidRPr="00734AB6" w:rsidRDefault="009D706A" w:rsidP="00650528">
      <w:pPr>
        <w:spacing w:line="360" w:lineRule="auto"/>
        <w:rPr>
          <w:rFonts w:asciiTheme="majorHAnsi" w:eastAsia="Calibri" w:hAnsiTheme="majorHAnsi"/>
          <w:b/>
        </w:rPr>
      </w:pPr>
      <w:r w:rsidRPr="00734AB6">
        <w:rPr>
          <w:rFonts w:asciiTheme="majorHAnsi" w:eastAsia="Calibri" w:hAnsiTheme="majorHAnsi"/>
          <w:b/>
        </w:rPr>
        <w:t>Table 4.2</w:t>
      </w:r>
      <w:r w:rsidR="00650528" w:rsidRPr="00734AB6">
        <w:rPr>
          <w:rFonts w:asciiTheme="majorHAnsi" w:eastAsia="Calibri" w:hAnsiTheme="majorHAnsi"/>
          <w:b/>
        </w:rPr>
        <w:t>. Means and SEs for prosaccade measures</w:t>
      </w:r>
    </w:p>
    <w:tbl>
      <w:tblPr>
        <w:tblStyle w:val="TableGrid"/>
        <w:tblW w:w="7797" w:type="dxa"/>
        <w:tblBorders>
          <w:left w:val="none" w:sz="0" w:space="0" w:color="auto"/>
          <w:right w:val="none" w:sz="0" w:space="0" w:color="auto"/>
          <w:insideV w:val="none" w:sz="0" w:space="0" w:color="auto"/>
        </w:tblBorders>
        <w:tblLook w:val="04A0" w:firstRow="1" w:lastRow="0" w:firstColumn="1" w:lastColumn="0" w:noHBand="0" w:noVBand="1"/>
      </w:tblPr>
      <w:tblGrid>
        <w:gridCol w:w="1696"/>
        <w:gridCol w:w="2132"/>
        <w:gridCol w:w="1984"/>
        <w:gridCol w:w="1985"/>
      </w:tblGrid>
      <w:tr w:rsidR="00650528" w:rsidRPr="00734AB6" w14:paraId="5506E2D1" w14:textId="77777777" w:rsidTr="00E161A9">
        <w:tc>
          <w:tcPr>
            <w:tcW w:w="1696" w:type="dxa"/>
            <w:tcBorders>
              <w:bottom w:val="single" w:sz="4" w:space="0" w:color="auto"/>
            </w:tcBorders>
          </w:tcPr>
          <w:p w14:paraId="58FB137E" w14:textId="77777777" w:rsidR="00650528" w:rsidRPr="00734AB6" w:rsidRDefault="00650528" w:rsidP="00E161A9">
            <w:pPr>
              <w:spacing w:line="360" w:lineRule="auto"/>
              <w:rPr>
                <w:rFonts w:asciiTheme="majorHAnsi" w:eastAsia="Calibri" w:hAnsiTheme="majorHAnsi"/>
                <w:b/>
              </w:rPr>
            </w:pPr>
          </w:p>
        </w:tc>
        <w:tc>
          <w:tcPr>
            <w:tcW w:w="2132" w:type="dxa"/>
            <w:tcBorders>
              <w:bottom w:val="single" w:sz="4" w:space="0" w:color="auto"/>
            </w:tcBorders>
          </w:tcPr>
          <w:p w14:paraId="3327B69F"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 xml:space="preserve">Prosaccade correct response latency* </w:t>
            </w:r>
          </w:p>
          <w:p w14:paraId="1595B02E"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mean (SE)</w:t>
            </w:r>
          </w:p>
        </w:tc>
        <w:tc>
          <w:tcPr>
            <w:tcW w:w="1984" w:type="dxa"/>
            <w:tcBorders>
              <w:bottom w:val="single" w:sz="4" w:space="0" w:color="auto"/>
            </w:tcBorders>
          </w:tcPr>
          <w:p w14:paraId="2A9493F4"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 xml:space="preserve">Prosaccade error response latency* </w:t>
            </w:r>
          </w:p>
          <w:p w14:paraId="20FCB6CF"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mean (SE)</w:t>
            </w:r>
          </w:p>
        </w:tc>
        <w:tc>
          <w:tcPr>
            <w:tcW w:w="1985" w:type="dxa"/>
            <w:tcBorders>
              <w:bottom w:val="single" w:sz="4" w:space="0" w:color="auto"/>
            </w:tcBorders>
          </w:tcPr>
          <w:p w14:paraId="19FDDB66"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 xml:space="preserve">Number of Prosaccade errors </w:t>
            </w:r>
          </w:p>
          <w:p w14:paraId="3AD6945F"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mean (SE)</w:t>
            </w:r>
          </w:p>
        </w:tc>
      </w:tr>
      <w:tr w:rsidR="00650528" w:rsidRPr="00734AB6" w14:paraId="55609AB3" w14:textId="77777777" w:rsidTr="00E161A9">
        <w:tc>
          <w:tcPr>
            <w:tcW w:w="1696" w:type="dxa"/>
            <w:tcBorders>
              <w:bottom w:val="nil"/>
            </w:tcBorders>
          </w:tcPr>
          <w:p w14:paraId="043851C2"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CED-user group</w:t>
            </w:r>
          </w:p>
        </w:tc>
        <w:tc>
          <w:tcPr>
            <w:tcW w:w="2132" w:type="dxa"/>
            <w:tcBorders>
              <w:bottom w:val="nil"/>
            </w:tcBorders>
          </w:tcPr>
          <w:p w14:paraId="7FA52D2E" w14:textId="77777777" w:rsidR="00650528" w:rsidRPr="00734AB6" w:rsidRDefault="00650528" w:rsidP="00E161A9">
            <w:pPr>
              <w:spacing w:line="360" w:lineRule="auto"/>
              <w:rPr>
                <w:rFonts w:asciiTheme="majorHAnsi" w:eastAsia="Calibri" w:hAnsiTheme="majorHAnsi"/>
              </w:rPr>
            </w:pPr>
            <w:r w:rsidRPr="00734AB6">
              <w:rPr>
                <w:rFonts w:asciiTheme="majorHAnsi" w:eastAsia="Calibri" w:hAnsiTheme="majorHAnsi"/>
              </w:rPr>
              <w:t xml:space="preserve">137.77 (5.23) </w:t>
            </w:r>
          </w:p>
        </w:tc>
        <w:tc>
          <w:tcPr>
            <w:tcW w:w="1984" w:type="dxa"/>
            <w:tcBorders>
              <w:bottom w:val="nil"/>
            </w:tcBorders>
          </w:tcPr>
          <w:p w14:paraId="7EC33644" w14:textId="77777777" w:rsidR="00650528" w:rsidRPr="00734AB6" w:rsidRDefault="00650528" w:rsidP="00E161A9">
            <w:pPr>
              <w:spacing w:line="360" w:lineRule="auto"/>
              <w:rPr>
                <w:rFonts w:asciiTheme="majorHAnsi" w:eastAsia="Calibri" w:hAnsiTheme="majorHAnsi"/>
              </w:rPr>
            </w:pPr>
            <w:r w:rsidRPr="00734AB6">
              <w:rPr>
                <w:rFonts w:asciiTheme="majorHAnsi" w:eastAsia="Calibri" w:hAnsiTheme="majorHAnsi"/>
              </w:rPr>
              <w:t>85.20 (11.37)</w:t>
            </w:r>
          </w:p>
        </w:tc>
        <w:tc>
          <w:tcPr>
            <w:tcW w:w="1985" w:type="dxa"/>
            <w:tcBorders>
              <w:bottom w:val="nil"/>
            </w:tcBorders>
          </w:tcPr>
          <w:p w14:paraId="2205D8F3" w14:textId="77777777" w:rsidR="00650528" w:rsidRPr="00734AB6" w:rsidRDefault="00650528" w:rsidP="00E161A9">
            <w:pPr>
              <w:spacing w:line="360" w:lineRule="auto"/>
              <w:rPr>
                <w:rFonts w:asciiTheme="majorHAnsi" w:eastAsia="Calibri" w:hAnsiTheme="majorHAnsi"/>
              </w:rPr>
            </w:pPr>
            <w:r w:rsidRPr="00734AB6">
              <w:rPr>
                <w:rFonts w:asciiTheme="majorHAnsi" w:eastAsia="Calibri" w:hAnsiTheme="majorHAnsi"/>
              </w:rPr>
              <w:t>4.52 (0.59)</w:t>
            </w:r>
          </w:p>
        </w:tc>
      </w:tr>
      <w:tr w:rsidR="00650528" w:rsidRPr="00734AB6" w14:paraId="3891FE66" w14:textId="77777777" w:rsidTr="00E161A9">
        <w:tc>
          <w:tcPr>
            <w:tcW w:w="1696" w:type="dxa"/>
            <w:tcBorders>
              <w:top w:val="nil"/>
            </w:tcBorders>
          </w:tcPr>
          <w:p w14:paraId="761B963F" w14:textId="77777777" w:rsidR="00650528" w:rsidRPr="00734AB6" w:rsidRDefault="00650528" w:rsidP="00E161A9">
            <w:pPr>
              <w:spacing w:line="360" w:lineRule="auto"/>
              <w:rPr>
                <w:rFonts w:asciiTheme="majorHAnsi" w:eastAsia="Calibri" w:hAnsiTheme="majorHAnsi"/>
                <w:b/>
              </w:rPr>
            </w:pPr>
            <w:r w:rsidRPr="00734AB6">
              <w:rPr>
                <w:rFonts w:asciiTheme="majorHAnsi" w:eastAsia="Calibri" w:hAnsiTheme="majorHAnsi"/>
                <w:b/>
              </w:rPr>
              <w:t>Control group</w:t>
            </w:r>
          </w:p>
        </w:tc>
        <w:tc>
          <w:tcPr>
            <w:tcW w:w="2132" w:type="dxa"/>
            <w:tcBorders>
              <w:top w:val="nil"/>
            </w:tcBorders>
          </w:tcPr>
          <w:p w14:paraId="1B5FEB32" w14:textId="77777777" w:rsidR="00650528" w:rsidRPr="00734AB6" w:rsidRDefault="00650528" w:rsidP="00E161A9">
            <w:pPr>
              <w:spacing w:line="360" w:lineRule="auto"/>
              <w:rPr>
                <w:rFonts w:asciiTheme="majorHAnsi" w:eastAsia="Calibri" w:hAnsiTheme="majorHAnsi"/>
              </w:rPr>
            </w:pPr>
            <w:r w:rsidRPr="00734AB6">
              <w:rPr>
                <w:rFonts w:asciiTheme="majorHAnsi" w:eastAsia="Calibri" w:hAnsiTheme="majorHAnsi"/>
              </w:rPr>
              <w:t>143.50 (5.49)</w:t>
            </w:r>
          </w:p>
        </w:tc>
        <w:tc>
          <w:tcPr>
            <w:tcW w:w="1984" w:type="dxa"/>
            <w:tcBorders>
              <w:top w:val="nil"/>
            </w:tcBorders>
          </w:tcPr>
          <w:p w14:paraId="49CE9DD4" w14:textId="77777777" w:rsidR="00650528" w:rsidRPr="00734AB6" w:rsidRDefault="00650528" w:rsidP="00E161A9">
            <w:pPr>
              <w:spacing w:line="360" w:lineRule="auto"/>
              <w:rPr>
                <w:rFonts w:asciiTheme="majorHAnsi" w:eastAsia="Calibri" w:hAnsiTheme="majorHAnsi"/>
              </w:rPr>
            </w:pPr>
            <w:r w:rsidRPr="00734AB6">
              <w:rPr>
                <w:rFonts w:asciiTheme="majorHAnsi" w:eastAsia="Calibri" w:hAnsiTheme="majorHAnsi"/>
              </w:rPr>
              <w:t>79.69 (11.52)</w:t>
            </w:r>
          </w:p>
        </w:tc>
        <w:tc>
          <w:tcPr>
            <w:tcW w:w="1985" w:type="dxa"/>
            <w:tcBorders>
              <w:top w:val="nil"/>
            </w:tcBorders>
          </w:tcPr>
          <w:p w14:paraId="16899E7E" w14:textId="77777777" w:rsidR="00650528" w:rsidRPr="00734AB6" w:rsidRDefault="00650528" w:rsidP="00E161A9">
            <w:pPr>
              <w:spacing w:line="360" w:lineRule="auto"/>
              <w:rPr>
                <w:rFonts w:asciiTheme="majorHAnsi" w:eastAsia="Calibri" w:hAnsiTheme="majorHAnsi"/>
              </w:rPr>
            </w:pPr>
            <w:r w:rsidRPr="00734AB6">
              <w:rPr>
                <w:rFonts w:asciiTheme="majorHAnsi" w:eastAsia="Calibri" w:hAnsiTheme="majorHAnsi"/>
              </w:rPr>
              <w:t>4.46 (0.62)</w:t>
            </w:r>
          </w:p>
        </w:tc>
      </w:tr>
    </w:tbl>
    <w:p w14:paraId="53D9527D" w14:textId="77777777" w:rsidR="00650528" w:rsidRPr="00734AB6" w:rsidRDefault="00650528" w:rsidP="00650528">
      <w:pPr>
        <w:spacing w:line="360" w:lineRule="auto"/>
        <w:rPr>
          <w:rFonts w:asciiTheme="majorHAnsi" w:eastAsia="Calibri" w:hAnsiTheme="majorHAnsi"/>
        </w:rPr>
      </w:pPr>
      <w:r w:rsidRPr="00734AB6">
        <w:rPr>
          <w:rFonts w:asciiTheme="majorHAnsi" w:eastAsia="Calibri" w:hAnsiTheme="majorHAnsi"/>
        </w:rPr>
        <w:t>*</w:t>
      </w:r>
      <w:r w:rsidRPr="00734AB6">
        <w:rPr>
          <w:rFonts w:asciiTheme="majorHAnsi" w:eastAsia="Calibri" w:hAnsiTheme="majorHAnsi"/>
        </w:rPr>
        <w:tab/>
        <w:t>Latency is reported in milliseconds</w:t>
      </w:r>
    </w:p>
    <w:p w14:paraId="533E7188" w14:textId="77777777" w:rsidR="00650528" w:rsidRPr="00734AB6" w:rsidRDefault="00650528" w:rsidP="00650528">
      <w:pPr>
        <w:spacing w:line="360" w:lineRule="auto"/>
        <w:ind w:firstLine="851"/>
        <w:rPr>
          <w:rFonts w:asciiTheme="majorHAnsi" w:eastAsia="Calibri" w:hAnsiTheme="majorHAnsi"/>
        </w:rPr>
      </w:pPr>
    </w:p>
    <w:p w14:paraId="5EE5368C" w14:textId="7126F6DF" w:rsidR="006B7994" w:rsidRPr="00734AB6" w:rsidRDefault="008959A6" w:rsidP="006B7994">
      <w:pPr>
        <w:spacing w:line="360" w:lineRule="auto"/>
        <w:ind w:firstLine="851"/>
        <w:rPr>
          <w:rFonts w:asciiTheme="majorHAnsi" w:eastAsia="Calibri" w:hAnsiTheme="majorHAnsi"/>
        </w:rPr>
      </w:pPr>
      <w:r w:rsidRPr="00734AB6">
        <w:rPr>
          <w:rFonts w:asciiTheme="majorHAnsi" w:eastAsia="Calibri" w:hAnsiTheme="majorHAnsi"/>
        </w:rPr>
        <w:t xml:space="preserve">The following are the results of one-way related ANCOVAs. </w:t>
      </w:r>
      <w:r w:rsidR="006B7994" w:rsidRPr="00734AB6">
        <w:rPr>
          <w:rFonts w:asciiTheme="majorHAnsi" w:eastAsia="Calibri" w:hAnsiTheme="majorHAnsi"/>
        </w:rPr>
        <w:t xml:space="preserve">Group type did not have a significant effect on the response latency for correct prosaccades, </w:t>
      </w:r>
      <w:r w:rsidR="006B7994" w:rsidRPr="00734AB6">
        <w:rPr>
          <w:rFonts w:asciiTheme="majorHAnsi" w:eastAsia="Calibri" w:hAnsiTheme="majorHAnsi"/>
          <w:i/>
        </w:rPr>
        <w:t>F</w:t>
      </w:r>
      <w:r w:rsidR="006B7994" w:rsidRPr="00734AB6">
        <w:rPr>
          <w:rFonts w:asciiTheme="majorHAnsi" w:eastAsia="Calibri" w:hAnsiTheme="majorHAnsi"/>
        </w:rPr>
        <w:t>(</w:t>
      </w:r>
      <w:r w:rsidR="006B7994" w:rsidRPr="00734AB6">
        <w:rPr>
          <w:rFonts w:asciiTheme="majorHAnsi" w:eastAsia="Calibri" w:hAnsiTheme="majorHAnsi"/>
          <w:vertAlign w:val="subscript"/>
        </w:rPr>
        <w:t>1,85</w:t>
      </w:r>
      <w:r w:rsidR="006B7994" w:rsidRPr="00734AB6">
        <w:rPr>
          <w:rFonts w:asciiTheme="majorHAnsi" w:eastAsia="Calibri" w:hAnsiTheme="majorHAnsi"/>
        </w:rPr>
        <w:t xml:space="preserve">) = 0.54, </w:t>
      </w:r>
      <w:r w:rsidR="006B7994" w:rsidRPr="00734AB6">
        <w:rPr>
          <w:rFonts w:asciiTheme="majorHAnsi" w:eastAsia="Calibri" w:hAnsiTheme="majorHAnsi"/>
          <w:i/>
        </w:rPr>
        <w:t>p</w:t>
      </w:r>
      <w:r w:rsidR="006B7994" w:rsidRPr="00734AB6">
        <w:rPr>
          <w:rFonts w:asciiTheme="majorHAnsi" w:eastAsia="Calibri" w:hAnsiTheme="majorHAnsi"/>
        </w:rPr>
        <w:t xml:space="preserve"> = .464, η</w:t>
      </w:r>
      <w:r w:rsidR="006B7994" w:rsidRPr="00734AB6">
        <w:rPr>
          <w:rFonts w:asciiTheme="majorHAnsi" w:eastAsia="Calibri" w:hAnsiTheme="majorHAnsi"/>
          <w:vertAlign w:val="subscript"/>
        </w:rPr>
        <w:t>p</w:t>
      </w:r>
      <w:r w:rsidR="006B7994" w:rsidRPr="00734AB6">
        <w:rPr>
          <w:rFonts w:asciiTheme="majorHAnsi" w:eastAsia="Calibri" w:hAnsiTheme="majorHAnsi"/>
          <w:vertAlign w:val="superscript"/>
        </w:rPr>
        <w:t>2</w:t>
      </w:r>
      <w:r w:rsidR="006B7994" w:rsidRPr="00734AB6">
        <w:rPr>
          <w:rFonts w:asciiTheme="majorHAnsi" w:eastAsia="Calibri" w:hAnsiTheme="majorHAnsi"/>
        </w:rPr>
        <w:t xml:space="preserve"> = .006. Group type also did not have a significant effect on the response latency for prosaccade errors, </w:t>
      </w:r>
      <w:r w:rsidR="006B7994" w:rsidRPr="00734AB6">
        <w:rPr>
          <w:rFonts w:asciiTheme="majorHAnsi" w:eastAsia="Calibri" w:hAnsiTheme="majorHAnsi"/>
          <w:i/>
        </w:rPr>
        <w:t>F</w:t>
      </w:r>
      <w:r w:rsidR="006B7994" w:rsidRPr="00734AB6">
        <w:rPr>
          <w:rFonts w:asciiTheme="majorHAnsi" w:eastAsia="Calibri" w:hAnsiTheme="majorHAnsi"/>
        </w:rPr>
        <w:t>(</w:t>
      </w:r>
      <w:r w:rsidR="006B7994" w:rsidRPr="00734AB6">
        <w:rPr>
          <w:rFonts w:asciiTheme="majorHAnsi" w:eastAsia="Calibri" w:hAnsiTheme="majorHAnsi"/>
          <w:vertAlign w:val="subscript"/>
        </w:rPr>
        <w:t>1,78</w:t>
      </w:r>
      <w:r w:rsidR="006B7994" w:rsidRPr="00734AB6">
        <w:rPr>
          <w:rFonts w:asciiTheme="majorHAnsi" w:eastAsia="Calibri" w:hAnsiTheme="majorHAnsi"/>
        </w:rPr>
        <w:t xml:space="preserve">) = 0.112, </w:t>
      </w:r>
      <w:r w:rsidR="006B7994" w:rsidRPr="00734AB6">
        <w:rPr>
          <w:rFonts w:asciiTheme="majorHAnsi" w:eastAsia="Calibri" w:hAnsiTheme="majorHAnsi"/>
          <w:i/>
        </w:rPr>
        <w:t>p</w:t>
      </w:r>
      <w:r w:rsidR="006B7994" w:rsidRPr="00734AB6">
        <w:rPr>
          <w:rFonts w:asciiTheme="majorHAnsi" w:eastAsia="Calibri" w:hAnsiTheme="majorHAnsi"/>
        </w:rPr>
        <w:t xml:space="preserve"> = .739, η</w:t>
      </w:r>
      <w:r w:rsidR="006B7994" w:rsidRPr="00734AB6">
        <w:rPr>
          <w:rFonts w:asciiTheme="majorHAnsi" w:eastAsia="Calibri" w:hAnsiTheme="majorHAnsi"/>
          <w:vertAlign w:val="subscript"/>
        </w:rPr>
        <w:t>p</w:t>
      </w:r>
      <w:r w:rsidR="006B7994" w:rsidRPr="00734AB6">
        <w:rPr>
          <w:rFonts w:asciiTheme="majorHAnsi" w:eastAsia="Calibri" w:hAnsiTheme="majorHAnsi"/>
          <w:vertAlign w:val="superscript"/>
        </w:rPr>
        <w:t>2</w:t>
      </w:r>
      <w:r w:rsidR="006B7994" w:rsidRPr="00734AB6">
        <w:rPr>
          <w:rFonts w:asciiTheme="majorHAnsi" w:eastAsia="Calibri" w:hAnsiTheme="majorHAnsi"/>
        </w:rPr>
        <w:t xml:space="preserve"> = .001. </w:t>
      </w:r>
    </w:p>
    <w:p w14:paraId="71D5778A" w14:textId="77777777" w:rsidR="00690EC5" w:rsidRPr="00734AB6" w:rsidRDefault="00690EC5" w:rsidP="00690EC5">
      <w:pPr>
        <w:spacing w:line="360" w:lineRule="auto"/>
        <w:ind w:firstLine="851"/>
        <w:rPr>
          <w:rFonts w:asciiTheme="majorHAnsi" w:eastAsia="Calibri" w:hAnsiTheme="majorHAnsi"/>
        </w:rPr>
      </w:pPr>
      <w:r w:rsidRPr="00734AB6">
        <w:rPr>
          <w:rFonts w:asciiTheme="majorHAnsi" w:hAnsiTheme="majorHAnsi"/>
        </w:rPr>
        <w:t>Group type did not have an effect on the</w:t>
      </w:r>
      <w:r w:rsidRPr="00734AB6">
        <w:rPr>
          <w:rFonts w:asciiTheme="majorHAnsi" w:eastAsia="Calibri" w:hAnsiTheme="majorHAnsi"/>
        </w:rPr>
        <w:t xml:space="preserve"> number of prosaccade errors,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1,85</w:t>
      </w:r>
      <w:r w:rsidRPr="00734AB6">
        <w:rPr>
          <w:rFonts w:asciiTheme="majorHAnsi" w:eastAsia="Calibri" w:hAnsiTheme="majorHAnsi"/>
        </w:rPr>
        <w:t xml:space="preserve">) = 0.04, </w:t>
      </w:r>
      <w:r w:rsidRPr="00734AB6">
        <w:rPr>
          <w:rFonts w:asciiTheme="majorHAnsi" w:eastAsia="Calibri" w:hAnsiTheme="majorHAnsi"/>
          <w:i/>
        </w:rPr>
        <w:t>p</w:t>
      </w:r>
      <w:r w:rsidRPr="00734AB6">
        <w:rPr>
          <w:rFonts w:asciiTheme="majorHAnsi" w:eastAsia="Calibri" w:hAnsiTheme="majorHAnsi"/>
        </w:rPr>
        <w:t xml:space="preserve"> = .948,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&lt; .001.</w:t>
      </w:r>
    </w:p>
    <w:p w14:paraId="1A6A9458" w14:textId="58814233" w:rsidR="006B7994" w:rsidRPr="00734AB6" w:rsidRDefault="006B7994" w:rsidP="006B7994">
      <w:pPr>
        <w:spacing w:line="360" w:lineRule="auto"/>
        <w:ind w:firstLine="851"/>
        <w:rPr>
          <w:rFonts w:asciiTheme="majorHAnsi" w:eastAsia="Calibri" w:hAnsiTheme="majorHAnsi"/>
        </w:rPr>
      </w:pPr>
    </w:p>
    <w:p w14:paraId="05C9B4A3" w14:textId="77777777" w:rsidR="006B7994" w:rsidRPr="00734AB6" w:rsidRDefault="006B7994" w:rsidP="006B7994">
      <w:pPr>
        <w:spacing w:line="360" w:lineRule="auto"/>
        <w:ind w:firstLine="851"/>
        <w:rPr>
          <w:rFonts w:asciiTheme="majorHAnsi" w:eastAsia="Calibri" w:hAnsiTheme="majorHAnsi"/>
        </w:rPr>
      </w:pPr>
    </w:p>
    <w:p w14:paraId="26237B54" w14:textId="08DC230D" w:rsidR="006B7994" w:rsidRPr="00734AB6" w:rsidRDefault="006B7994" w:rsidP="006B7994">
      <w:pPr>
        <w:pStyle w:val="Heading4"/>
        <w:spacing w:after="240" w:line="360" w:lineRule="auto"/>
        <w:rPr>
          <w:b/>
          <w:i w:val="0"/>
          <w:color w:val="auto"/>
        </w:rPr>
      </w:pPr>
      <w:r w:rsidRPr="00734AB6">
        <w:rPr>
          <w:b/>
          <w:i w:val="0"/>
          <w:color w:val="auto"/>
        </w:rPr>
        <w:t>4.3.</w:t>
      </w:r>
      <w:r w:rsidR="005F76C6" w:rsidRPr="00734AB6">
        <w:rPr>
          <w:b/>
          <w:i w:val="0"/>
          <w:color w:val="auto"/>
        </w:rPr>
        <w:t>9</w:t>
      </w:r>
      <w:r w:rsidRPr="00734AB6">
        <w:rPr>
          <w:b/>
          <w:i w:val="0"/>
          <w:color w:val="auto"/>
        </w:rPr>
        <w:t>.2.</w:t>
      </w:r>
      <w:r w:rsidRPr="00734AB6">
        <w:rPr>
          <w:b/>
          <w:i w:val="0"/>
          <w:color w:val="auto"/>
        </w:rPr>
        <w:tab/>
      </w:r>
      <w:proofErr w:type="spellStart"/>
      <w:r w:rsidRPr="00734AB6">
        <w:rPr>
          <w:b/>
          <w:i w:val="0"/>
          <w:color w:val="auto"/>
        </w:rPr>
        <w:t>Antisaccade</w:t>
      </w:r>
      <w:proofErr w:type="spellEnd"/>
      <w:r w:rsidRPr="00734AB6">
        <w:rPr>
          <w:b/>
          <w:i w:val="0"/>
          <w:color w:val="auto"/>
        </w:rPr>
        <w:t xml:space="preserve"> measures</w:t>
      </w:r>
    </w:p>
    <w:p w14:paraId="3A3EFC24" w14:textId="2AC0F2E7" w:rsidR="006B7994" w:rsidRPr="00734AB6" w:rsidRDefault="006B7994" w:rsidP="006B7994">
      <w:pPr>
        <w:spacing w:line="360" w:lineRule="auto"/>
        <w:ind w:firstLine="851"/>
        <w:rPr>
          <w:rFonts w:asciiTheme="majorHAnsi" w:eastAsia="Calibri" w:hAnsiTheme="majorHAnsi"/>
        </w:rPr>
      </w:pPr>
      <w:r w:rsidRPr="00734AB6">
        <w:rPr>
          <w:rFonts w:asciiTheme="majorHAnsi" w:eastAsia="Calibri" w:hAnsiTheme="majorHAnsi"/>
        </w:rPr>
        <w:t xml:space="preserve">The means and SDs for response latencies and numbers of errors for the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mea</w:t>
      </w:r>
      <w:r w:rsidR="009D706A" w:rsidRPr="00734AB6">
        <w:rPr>
          <w:rFonts w:asciiTheme="majorHAnsi" w:eastAsia="Calibri" w:hAnsiTheme="majorHAnsi"/>
        </w:rPr>
        <w:t>sures are displayed in Table 4.3</w:t>
      </w:r>
      <w:r w:rsidRPr="00734AB6">
        <w:rPr>
          <w:rFonts w:asciiTheme="majorHAnsi" w:eastAsia="Calibri" w:hAnsiTheme="majorHAnsi"/>
        </w:rPr>
        <w:t xml:space="preserve">. </w:t>
      </w:r>
    </w:p>
    <w:p w14:paraId="3B04E86D" w14:textId="77777777" w:rsidR="00650528" w:rsidRPr="00734AB6" w:rsidRDefault="00650528" w:rsidP="00650528">
      <w:pPr>
        <w:spacing w:line="360" w:lineRule="auto"/>
        <w:ind w:firstLine="851"/>
        <w:rPr>
          <w:rFonts w:asciiTheme="majorHAnsi" w:eastAsia="Calibri" w:hAnsiTheme="majorHAnsi"/>
        </w:rPr>
      </w:pPr>
    </w:p>
    <w:p w14:paraId="46557B2F" w14:textId="178254F0" w:rsidR="00650528" w:rsidRPr="00734AB6" w:rsidRDefault="009D706A" w:rsidP="00650528">
      <w:pPr>
        <w:spacing w:line="360" w:lineRule="auto"/>
        <w:rPr>
          <w:rFonts w:asciiTheme="majorHAnsi" w:eastAsia="Calibri" w:hAnsiTheme="majorHAnsi"/>
          <w:b/>
        </w:rPr>
      </w:pPr>
      <w:r w:rsidRPr="00734AB6">
        <w:rPr>
          <w:rFonts w:asciiTheme="majorHAnsi" w:eastAsia="Calibri" w:hAnsiTheme="majorHAnsi"/>
          <w:b/>
        </w:rPr>
        <w:lastRenderedPageBreak/>
        <w:t>Table 4.3</w:t>
      </w:r>
      <w:r w:rsidR="00650528" w:rsidRPr="00734AB6">
        <w:rPr>
          <w:rFonts w:asciiTheme="majorHAnsi" w:eastAsia="Calibri" w:hAnsiTheme="majorHAnsi"/>
          <w:b/>
        </w:rPr>
        <w:t xml:space="preserve">. Means and SEs for </w:t>
      </w:r>
      <w:proofErr w:type="spellStart"/>
      <w:r w:rsidR="00650528" w:rsidRPr="00734AB6">
        <w:rPr>
          <w:rFonts w:asciiTheme="majorHAnsi" w:eastAsia="Calibri" w:hAnsiTheme="majorHAnsi"/>
          <w:b/>
        </w:rPr>
        <w:t>antisaccade</w:t>
      </w:r>
      <w:proofErr w:type="spellEnd"/>
      <w:r w:rsidR="00650528" w:rsidRPr="00734AB6">
        <w:rPr>
          <w:rFonts w:asciiTheme="majorHAnsi" w:eastAsia="Calibri" w:hAnsiTheme="majorHAnsi"/>
          <w:b/>
        </w:rPr>
        <w:t xml:space="preserve"> measures</w:t>
      </w:r>
    </w:p>
    <w:tbl>
      <w:tblPr>
        <w:tblStyle w:val="TableGrid"/>
        <w:tblW w:w="8787"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985"/>
        <w:gridCol w:w="1942"/>
        <w:gridCol w:w="1874"/>
        <w:gridCol w:w="1710"/>
      </w:tblGrid>
      <w:tr w:rsidR="00EA0F0B" w:rsidRPr="00734AB6" w14:paraId="2F010DB0" w14:textId="531CE400" w:rsidTr="00EA0F0B">
        <w:tc>
          <w:tcPr>
            <w:tcW w:w="1276" w:type="dxa"/>
            <w:tcBorders>
              <w:bottom w:val="single" w:sz="4" w:space="0" w:color="auto"/>
            </w:tcBorders>
          </w:tcPr>
          <w:p w14:paraId="58638EE4" w14:textId="77777777" w:rsidR="00EA0F0B" w:rsidRPr="00734AB6" w:rsidRDefault="00EA0F0B" w:rsidP="00E161A9">
            <w:pPr>
              <w:spacing w:line="360" w:lineRule="auto"/>
              <w:rPr>
                <w:rFonts w:asciiTheme="majorHAnsi" w:eastAsia="Calibri" w:hAnsiTheme="majorHAnsi"/>
                <w:b/>
              </w:rPr>
            </w:pPr>
          </w:p>
        </w:tc>
        <w:tc>
          <w:tcPr>
            <w:tcW w:w="1985" w:type="dxa"/>
            <w:tcBorders>
              <w:bottom w:val="single" w:sz="4" w:space="0" w:color="auto"/>
            </w:tcBorders>
          </w:tcPr>
          <w:p w14:paraId="7E6DB257" w14:textId="77777777" w:rsidR="00EA0F0B" w:rsidRPr="00734AB6" w:rsidRDefault="00EA0F0B" w:rsidP="00E161A9">
            <w:pPr>
              <w:spacing w:line="360" w:lineRule="auto"/>
              <w:rPr>
                <w:rFonts w:asciiTheme="majorHAnsi" w:hAnsiTheme="majorHAnsi"/>
              </w:rPr>
            </w:pPr>
            <w:proofErr w:type="spellStart"/>
            <w:r w:rsidRPr="00734AB6">
              <w:rPr>
                <w:rFonts w:asciiTheme="majorHAnsi" w:eastAsia="Calibri" w:hAnsiTheme="majorHAnsi"/>
                <w:b/>
              </w:rPr>
              <w:t>Antisaccade</w:t>
            </w:r>
            <w:proofErr w:type="spellEnd"/>
            <w:r w:rsidRPr="00734AB6">
              <w:rPr>
                <w:rFonts w:asciiTheme="majorHAnsi" w:eastAsia="Calibri" w:hAnsiTheme="majorHAnsi"/>
                <w:b/>
              </w:rPr>
              <w:t xml:space="preserve"> correct response latency* mean (SE)</w:t>
            </w:r>
          </w:p>
        </w:tc>
        <w:tc>
          <w:tcPr>
            <w:tcW w:w="1942" w:type="dxa"/>
            <w:tcBorders>
              <w:bottom w:val="single" w:sz="4" w:space="0" w:color="auto"/>
            </w:tcBorders>
          </w:tcPr>
          <w:p w14:paraId="515FBAED" w14:textId="77777777" w:rsidR="00EA0F0B" w:rsidRPr="00734AB6" w:rsidRDefault="00EA0F0B" w:rsidP="00E161A9">
            <w:pPr>
              <w:spacing w:line="360" w:lineRule="auto"/>
              <w:rPr>
                <w:rFonts w:asciiTheme="majorHAnsi" w:hAnsiTheme="majorHAnsi"/>
              </w:rPr>
            </w:pPr>
            <w:proofErr w:type="spellStart"/>
            <w:r w:rsidRPr="00734AB6">
              <w:rPr>
                <w:rFonts w:asciiTheme="majorHAnsi" w:eastAsia="Calibri" w:hAnsiTheme="majorHAnsi"/>
                <w:b/>
              </w:rPr>
              <w:t>Antisaccade</w:t>
            </w:r>
            <w:proofErr w:type="spellEnd"/>
            <w:r w:rsidRPr="00734AB6">
              <w:rPr>
                <w:rFonts w:asciiTheme="majorHAnsi" w:eastAsia="Calibri" w:hAnsiTheme="majorHAnsi"/>
                <w:b/>
              </w:rPr>
              <w:t xml:space="preserve"> error response latency* mean (SE)</w:t>
            </w:r>
          </w:p>
        </w:tc>
        <w:tc>
          <w:tcPr>
            <w:tcW w:w="1874" w:type="dxa"/>
            <w:tcBorders>
              <w:bottom w:val="single" w:sz="4" w:space="0" w:color="auto"/>
            </w:tcBorders>
          </w:tcPr>
          <w:p w14:paraId="6092F1BC" w14:textId="77777777" w:rsidR="00EA0F0B" w:rsidRPr="00734AB6" w:rsidRDefault="00EA0F0B" w:rsidP="00E161A9">
            <w:pPr>
              <w:spacing w:line="360" w:lineRule="auto"/>
              <w:rPr>
                <w:rFonts w:asciiTheme="majorHAnsi" w:eastAsia="Calibri" w:hAnsiTheme="majorHAnsi"/>
                <w:b/>
              </w:rPr>
            </w:pPr>
            <w:r w:rsidRPr="00734AB6">
              <w:rPr>
                <w:rFonts w:asciiTheme="majorHAnsi" w:eastAsia="Calibri" w:hAnsiTheme="majorHAnsi"/>
                <w:b/>
              </w:rPr>
              <w:t xml:space="preserve">Number of </w:t>
            </w:r>
            <w:proofErr w:type="spellStart"/>
            <w:r w:rsidRPr="00734AB6">
              <w:rPr>
                <w:rFonts w:asciiTheme="majorHAnsi" w:eastAsia="Calibri" w:hAnsiTheme="majorHAnsi"/>
                <w:b/>
              </w:rPr>
              <w:t>Antisaccade</w:t>
            </w:r>
            <w:proofErr w:type="spellEnd"/>
            <w:r w:rsidRPr="00734AB6">
              <w:rPr>
                <w:rFonts w:asciiTheme="majorHAnsi" w:eastAsia="Calibri" w:hAnsiTheme="majorHAnsi"/>
                <w:b/>
              </w:rPr>
              <w:t xml:space="preserve"> errors </w:t>
            </w:r>
          </w:p>
          <w:p w14:paraId="005098C2" w14:textId="77777777" w:rsidR="00EA0F0B" w:rsidRPr="00734AB6" w:rsidRDefault="00EA0F0B" w:rsidP="00E161A9">
            <w:pPr>
              <w:spacing w:line="360" w:lineRule="auto"/>
              <w:rPr>
                <w:rFonts w:asciiTheme="majorHAnsi" w:hAnsiTheme="majorHAnsi"/>
              </w:rPr>
            </w:pPr>
            <w:r w:rsidRPr="00734AB6">
              <w:rPr>
                <w:rFonts w:asciiTheme="majorHAnsi" w:eastAsia="Calibri" w:hAnsiTheme="majorHAnsi"/>
                <w:b/>
              </w:rPr>
              <w:t>mean (SE)</w:t>
            </w:r>
          </w:p>
        </w:tc>
        <w:tc>
          <w:tcPr>
            <w:tcW w:w="1710" w:type="dxa"/>
            <w:tcBorders>
              <w:bottom w:val="single" w:sz="4" w:space="0" w:color="auto"/>
            </w:tcBorders>
          </w:tcPr>
          <w:p w14:paraId="1663C84B" w14:textId="512C8B1A" w:rsidR="00EA0F0B" w:rsidRPr="00734AB6" w:rsidRDefault="00EA0F0B" w:rsidP="00E161A9">
            <w:pPr>
              <w:spacing w:line="360" w:lineRule="auto"/>
              <w:rPr>
                <w:rFonts w:asciiTheme="majorHAnsi" w:eastAsia="Calibri" w:hAnsiTheme="majorHAnsi"/>
                <w:b/>
              </w:rPr>
            </w:pPr>
            <w:r w:rsidRPr="00734AB6">
              <w:rPr>
                <w:rFonts w:asciiTheme="majorHAnsi" w:eastAsia="Calibri" w:hAnsiTheme="majorHAnsi"/>
                <w:b/>
              </w:rPr>
              <w:t>Response latency to correct errors mean (SE)</w:t>
            </w:r>
          </w:p>
        </w:tc>
      </w:tr>
      <w:tr w:rsidR="00EA0F0B" w:rsidRPr="00734AB6" w14:paraId="08BD4942" w14:textId="0D079521" w:rsidTr="00EA0F0B">
        <w:tc>
          <w:tcPr>
            <w:tcW w:w="1276" w:type="dxa"/>
            <w:tcBorders>
              <w:top w:val="single" w:sz="4" w:space="0" w:color="auto"/>
              <w:bottom w:val="nil"/>
            </w:tcBorders>
          </w:tcPr>
          <w:p w14:paraId="5676F028" w14:textId="77777777" w:rsidR="00EA0F0B" w:rsidRPr="00734AB6" w:rsidRDefault="00EA0F0B" w:rsidP="00E161A9">
            <w:pPr>
              <w:spacing w:line="360" w:lineRule="auto"/>
              <w:rPr>
                <w:rFonts w:asciiTheme="majorHAnsi" w:eastAsia="Calibri" w:hAnsiTheme="majorHAnsi"/>
                <w:b/>
              </w:rPr>
            </w:pPr>
            <w:r w:rsidRPr="00734AB6">
              <w:rPr>
                <w:rFonts w:asciiTheme="majorHAnsi" w:eastAsia="Calibri" w:hAnsiTheme="majorHAnsi"/>
                <w:b/>
              </w:rPr>
              <w:t>CED-user group</w:t>
            </w:r>
          </w:p>
        </w:tc>
        <w:tc>
          <w:tcPr>
            <w:tcW w:w="1985" w:type="dxa"/>
            <w:tcBorders>
              <w:bottom w:val="nil"/>
            </w:tcBorders>
          </w:tcPr>
          <w:p w14:paraId="2BE800E1" w14:textId="77777777" w:rsidR="00EA0F0B" w:rsidRPr="00734AB6" w:rsidRDefault="00EA0F0B" w:rsidP="00E161A9">
            <w:pPr>
              <w:spacing w:line="360" w:lineRule="auto"/>
              <w:rPr>
                <w:rFonts w:asciiTheme="majorHAnsi" w:hAnsiTheme="majorHAnsi"/>
              </w:rPr>
            </w:pPr>
            <w:r w:rsidRPr="00734AB6">
              <w:rPr>
                <w:rFonts w:asciiTheme="majorHAnsi" w:eastAsia="Calibri" w:hAnsiTheme="majorHAnsi"/>
              </w:rPr>
              <w:t>227.69 (11.53)</w:t>
            </w:r>
          </w:p>
        </w:tc>
        <w:tc>
          <w:tcPr>
            <w:tcW w:w="1942" w:type="dxa"/>
            <w:tcBorders>
              <w:bottom w:val="nil"/>
            </w:tcBorders>
          </w:tcPr>
          <w:p w14:paraId="7E76831D" w14:textId="09EAF667" w:rsidR="00EA0F0B" w:rsidRPr="00734AB6" w:rsidRDefault="00EA0F0B" w:rsidP="00E161A9">
            <w:pPr>
              <w:spacing w:line="360" w:lineRule="auto"/>
              <w:rPr>
                <w:rFonts w:asciiTheme="majorHAnsi" w:hAnsiTheme="majorHAnsi"/>
              </w:rPr>
            </w:pPr>
            <w:r w:rsidRPr="00734AB6">
              <w:rPr>
                <w:rFonts w:asciiTheme="majorHAnsi" w:hAnsiTheme="majorHAnsi"/>
              </w:rPr>
              <w:t>150.55 (6.6</w:t>
            </w:r>
            <w:r w:rsidR="007649BB" w:rsidRPr="00734AB6">
              <w:rPr>
                <w:rFonts w:asciiTheme="majorHAnsi" w:hAnsiTheme="majorHAnsi"/>
              </w:rPr>
              <w:t>0</w:t>
            </w:r>
            <w:r w:rsidRPr="00734AB6">
              <w:rPr>
                <w:rFonts w:asciiTheme="majorHAnsi" w:hAnsiTheme="majorHAnsi"/>
              </w:rPr>
              <w:t>)</w:t>
            </w:r>
          </w:p>
        </w:tc>
        <w:tc>
          <w:tcPr>
            <w:tcW w:w="1874" w:type="dxa"/>
            <w:tcBorders>
              <w:bottom w:val="nil"/>
            </w:tcBorders>
          </w:tcPr>
          <w:p w14:paraId="2390E566" w14:textId="77777777" w:rsidR="00EA0F0B" w:rsidRPr="00734AB6" w:rsidRDefault="00EA0F0B" w:rsidP="00E161A9">
            <w:pPr>
              <w:spacing w:line="360" w:lineRule="auto"/>
              <w:rPr>
                <w:rFonts w:asciiTheme="majorHAnsi" w:hAnsiTheme="majorHAnsi"/>
              </w:rPr>
            </w:pPr>
            <w:r w:rsidRPr="00734AB6">
              <w:rPr>
                <w:rFonts w:asciiTheme="majorHAnsi" w:eastAsia="Calibri" w:hAnsiTheme="majorHAnsi"/>
              </w:rPr>
              <w:t>18.76 (1.36)</w:t>
            </w:r>
          </w:p>
        </w:tc>
        <w:tc>
          <w:tcPr>
            <w:tcW w:w="1710" w:type="dxa"/>
            <w:tcBorders>
              <w:bottom w:val="nil"/>
            </w:tcBorders>
          </w:tcPr>
          <w:p w14:paraId="76F0C915" w14:textId="64D40C54" w:rsidR="00EA0F0B" w:rsidRPr="00734AB6" w:rsidRDefault="00BF2FF2" w:rsidP="00E161A9">
            <w:pPr>
              <w:spacing w:line="360" w:lineRule="auto"/>
              <w:rPr>
                <w:rFonts w:asciiTheme="majorHAnsi" w:eastAsia="Calibri" w:hAnsiTheme="majorHAnsi"/>
              </w:rPr>
            </w:pPr>
            <w:r w:rsidRPr="00734AB6">
              <w:rPr>
                <w:rFonts w:asciiTheme="majorHAnsi" w:eastAsia="Calibri" w:hAnsiTheme="majorHAnsi"/>
              </w:rPr>
              <w:t>173.23 (7.94)</w:t>
            </w:r>
          </w:p>
        </w:tc>
      </w:tr>
      <w:tr w:rsidR="00EA0F0B" w:rsidRPr="00734AB6" w14:paraId="002BAF60" w14:textId="0E5F3061" w:rsidTr="00EA0F0B">
        <w:tc>
          <w:tcPr>
            <w:tcW w:w="1276" w:type="dxa"/>
            <w:tcBorders>
              <w:top w:val="nil"/>
            </w:tcBorders>
          </w:tcPr>
          <w:p w14:paraId="60B01C3A" w14:textId="77777777" w:rsidR="00EA0F0B" w:rsidRPr="00734AB6" w:rsidRDefault="00EA0F0B" w:rsidP="00E161A9">
            <w:pPr>
              <w:spacing w:line="360" w:lineRule="auto"/>
              <w:rPr>
                <w:rFonts w:asciiTheme="majorHAnsi" w:eastAsia="Calibri" w:hAnsiTheme="majorHAnsi"/>
                <w:b/>
              </w:rPr>
            </w:pPr>
            <w:r w:rsidRPr="00734AB6">
              <w:rPr>
                <w:rFonts w:asciiTheme="majorHAnsi" w:eastAsia="Calibri" w:hAnsiTheme="majorHAnsi"/>
                <w:b/>
              </w:rPr>
              <w:t>Control group</w:t>
            </w:r>
          </w:p>
        </w:tc>
        <w:tc>
          <w:tcPr>
            <w:tcW w:w="1985" w:type="dxa"/>
            <w:tcBorders>
              <w:top w:val="nil"/>
            </w:tcBorders>
          </w:tcPr>
          <w:p w14:paraId="5F37C033" w14:textId="77777777" w:rsidR="00EA0F0B" w:rsidRPr="00734AB6" w:rsidRDefault="00EA0F0B" w:rsidP="00E161A9">
            <w:pPr>
              <w:spacing w:line="360" w:lineRule="auto"/>
              <w:rPr>
                <w:rFonts w:asciiTheme="majorHAnsi" w:eastAsia="Calibri" w:hAnsiTheme="majorHAnsi"/>
              </w:rPr>
            </w:pPr>
            <w:r w:rsidRPr="00734AB6">
              <w:rPr>
                <w:rFonts w:asciiTheme="majorHAnsi" w:eastAsia="Calibri" w:hAnsiTheme="majorHAnsi"/>
              </w:rPr>
              <w:t>260.58 (12.10)</w:t>
            </w:r>
          </w:p>
        </w:tc>
        <w:tc>
          <w:tcPr>
            <w:tcW w:w="1942" w:type="dxa"/>
            <w:tcBorders>
              <w:top w:val="nil"/>
            </w:tcBorders>
          </w:tcPr>
          <w:p w14:paraId="78D54A47" w14:textId="15FB7C40" w:rsidR="00EA0F0B" w:rsidRPr="00734AB6" w:rsidRDefault="00EA0F0B" w:rsidP="00E161A9">
            <w:pPr>
              <w:spacing w:line="360" w:lineRule="auto"/>
              <w:rPr>
                <w:rFonts w:asciiTheme="majorHAnsi" w:hAnsiTheme="majorHAnsi"/>
              </w:rPr>
            </w:pPr>
            <w:r w:rsidRPr="00734AB6">
              <w:rPr>
                <w:rFonts w:asciiTheme="majorHAnsi" w:hAnsiTheme="majorHAnsi"/>
              </w:rPr>
              <w:t>175.55 (7.1</w:t>
            </w:r>
            <w:r w:rsidR="007649BB" w:rsidRPr="00734AB6">
              <w:rPr>
                <w:rFonts w:asciiTheme="majorHAnsi" w:hAnsiTheme="majorHAnsi"/>
              </w:rPr>
              <w:t>0</w:t>
            </w:r>
            <w:r w:rsidRPr="00734AB6">
              <w:rPr>
                <w:rFonts w:asciiTheme="majorHAnsi" w:hAnsiTheme="majorHAnsi"/>
              </w:rPr>
              <w:t>)</w:t>
            </w:r>
          </w:p>
        </w:tc>
        <w:tc>
          <w:tcPr>
            <w:tcW w:w="1874" w:type="dxa"/>
            <w:tcBorders>
              <w:top w:val="nil"/>
            </w:tcBorders>
          </w:tcPr>
          <w:p w14:paraId="298F7942" w14:textId="77777777" w:rsidR="00EA0F0B" w:rsidRPr="00734AB6" w:rsidRDefault="00EA0F0B" w:rsidP="00E161A9">
            <w:pPr>
              <w:spacing w:line="360" w:lineRule="auto"/>
              <w:rPr>
                <w:rFonts w:asciiTheme="majorHAnsi" w:hAnsiTheme="majorHAnsi"/>
              </w:rPr>
            </w:pPr>
            <w:r w:rsidRPr="00734AB6">
              <w:rPr>
                <w:rFonts w:asciiTheme="majorHAnsi" w:eastAsia="Calibri" w:hAnsiTheme="majorHAnsi"/>
              </w:rPr>
              <w:t>19.36 (1.43)</w:t>
            </w:r>
          </w:p>
        </w:tc>
        <w:tc>
          <w:tcPr>
            <w:tcW w:w="1710" w:type="dxa"/>
            <w:tcBorders>
              <w:top w:val="nil"/>
            </w:tcBorders>
          </w:tcPr>
          <w:p w14:paraId="74CFB58D" w14:textId="5C59E451" w:rsidR="00EA0F0B" w:rsidRPr="00734AB6" w:rsidRDefault="00BF2FF2" w:rsidP="00E161A9">
            <w:pPr>
              <w:spacing w:line="360" w:lineRule="auto"/>
              <w:rPr>
                <w:rFonts w:asciiTheme="majorHAnsi" w:eastAsia="Calibri" w:hAnsiTheme="majorHAnsi"/>
              </w:rPr>
            </w:pPr>
            <w:r w:rsidRPr="00734AB6">
              <w:rPr>
                <w:rFonts w:asciiTheme="majorHAnsi" w:eastAsia="Calibri" w:hAnsiTheme="majorHAnsi"/>
              </w:rPr>
              <w:t>224.93 (</w:t>
            </w:r>
            <w:r w:rsidR="008C58C9" w:rsidRPr="00734AB6">
              <w:rPr>
                <w:rFonts w:asciiTheme="majorHAnsi" w:eastAsia="Calibri" w:hAnsiTheme="majorHAnsi"/>
              </w:rPr>
              <w:t>8.54)</w:t>
            </w:r>
          </w:p>
        </w:tc>
      </w:tr>
    </w:tbl>
    <w:p w14:paraId="26F3938C" w14:textId="77777777" w:rsidR="00650528" w:rsidRPr="00734AB6" w:rsidRDefault="00650528" w:rsidP="00650528">
      <w:pPr>
        <w:spacing w:line="360" w:lineRule="auto"/>
        <w:rPr>
          <w:rFonts w:asciiTheme="majorHAnsi" w:eastAsia="Calibri" w:hAnsiTheme="majorHAnsi"/>
        </w:rPr>
      </w:pPr>
      <w:r w:rsidRPr="00734AB6">
        <w:rPr>
          <w:rFonts w:asciiTheme="majorHAnsi" w:eastAsia="Calibri" w:hAnsiTheme="majorHAnsi"/>
        </w:rPr>
        <w:t>*</w:t>
      </w:r>
      <w:r w:rsidRPr="00734AB6">
        <w:rPr>
          <w:rFonts w:asciiTheme="majorHAnsi" w:eastAsia="Calibri" w:hAnsiTheme="majorHAnsi"/>
        </w:rPr>
        <w:tab/>
        <w:t>Latency is reported in milliseconds</w:t>
      </w:r>
    </w:p>
    <w:p w14:paraId="69703900" w14:textId="77777777" w:rsidR="00650528" w:rsidRPr="00734AB6" w:rsidRDefault="00650528" w:rsidP="00650528">
      <w:pPr>
        <w:spacing w:line="360" w:lineRule="auto"/>
        <w:ind w:firstLine="993"/>
        <w:rPr>
          <w:rFonts w:asciiTheme="majorHAnsi" w:eastAsia="Calibri" w:hAnsiTheme="majorHAnsi"/>
        </w:rPr>
      </w:pPr>
    </w:p>
    <w:p w14:paraId="6E423552" w14:textId="10D7C55F" w:rsidR="00B819ED" w:rsidRPr="00734AB6" w:rsidRDefault="00B819ED" w:rsidP="00B819ED">
      <w:pPr>
        <w:spacing w:line="360" w:lineRule="auto"/>
        <w:ind w:firstLine="993"/>
        <w:rPr>
          <w:rFonts w:asciiTheme="majorHAnsi" w:eastAsia="Calibri" w:hAnsiTheme="majorHAnsi"/>
        </w:rPr>
      </w:pPr>
      <w:r w:rsidRPr="00734AB6">
        <w:rPr>
          <w:rFonts w:asciiTheme="majorHAnsi" w:eastAsia="Calibri" w:hAnsiTheme="majorHAnsi"/>
        </w:rPr>
        <w:t xml:space="preserve">Group type did not have a significant effect on the latency for correct </w:t>
      </w:r>
      <w:proofErr w:type="spellStart"/>
      <w:r w:rsidRPr="00734AB6">
        <w:rPr>
          <w:rFonts w:asciiTheme="majorHAnsi" w:eastAsia="Calibri" w:hAnsiTheme="majorHAnsi"/>
        </w:rPr>
        <w:t>antisaccades</w:t>
      </w:r>
      <w:proofErr w:type="spellEnd"/>
      <w:r w:rsidRPr="00734AB6">
        <w:rPr>
          <w:rFonts w:asciiTheme="majorHAnsi" w:eastAsia="Calibri" w:hAnsiTheme="majorHAnsi"/>
        </w:rPr>
        <w:t xml:space="preserve">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1,85</w:t>
      </w:r>
      <w:r w:rsidRPr="00734AB6">
        <w:rPr>
          <w:rFonts w:asciiTheme="majorHAnsi" w:eastAsia="Calibri" w:hAnsiTheme="majorHAnsi"/>
        </w:rPr>
        <w:t xml:space="preserve">) = 3.67, </w:t>
      </w:r>
      <w:r w:rsidRPr="00734AB6">
        <w:rPr>
          <w:rFonts w:asciiTheme="majorHAnsi" w:eastAsia="Calibri" w:hAnsiTheme="majorHAnsi"/>
          <w:i/>
        </w:rPr>
        <w:t>p</w:t>
      </w:r>
      <w:r w:rsidRPr="00734AB6">
        <w:rPr>
          <w:rFonts w:asciiTheme="majorHAnsi" w:eastAsia="Calibri" w:hAnsiTheme="majorHAnsi"/>
        </w:rPr>
        <w:t xml:space="preserve"> = .059,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.041. However, </w:t>
      </w:r>
      <w:r w:rsidRPr="00734AB6">
        <w:rPr>
          <w:rFonts w:asciiTheme="majorHAnsi" w:hAnsiTheme="majorHAnsi"/>
        </w:rPr>
        <w:t xml:space="preserve">there was a significant effect of group type on the latency for </w:t>
      </w:r>
      <w:proofErr w:type="spellStart"/>
      <w:r w:rsidRPr="00734AB6">
        <w:rPr>
          <w:rFonts w:asciiTheme="majorHAnsi" w:hAnsiTheme="majorHAnsi"/>
        </w:rPr>
        <w:t>antisaccade</w:t>
      </w:r>
      <w:proofErr w:type="spellEnd"/>
      <w:r w:rsidRPr="00734AB6">
        <w:rPr>
          <w:rFonts w:asciiTheme="majorHAnsi" w:hAnsiTheme="majorHAnsi"/>
        </w:rPr>
        <w:t xml:space="preserve"> errors, </w:t>
      </w:r>
      <w:r w:rsidRPr="00734AB6">
        <w:rPr>
          <w:rFonts w:asciiTheme="majorHAnsi" w:hAnsiTheme="majorHAnsi"/>
          <w:i/>
        </w:rPr>
        <w:t>F</w:t>
      </w:r>
      <w:r w:rsidRPr="00734AB6">
        <w:rPr>
          <w:rFonts w:asciiTheme="majorHAnsi" w:hAnsiTheme="majorHAnsi"/>
        </w:rPr>
        <w:t>(</w:t>
      </w:r>
      <w:r w:rsidRPr="00734AB6">
        <w:rPr>
          <w:rFonts w:asciiTheme="majorHAnsi" w:hAnsiTheme="majorHAnsi"/>
          <w:vertAlign w:val="subscript"/>
        </w:rPr>
        <w:t>1,83</w:t>
      </w:r>
      <w:r w:rsidRPr="00734AB6">
        <w:rPr>
          <w:rFonts w:asciiTheme="majorHAnsi" w:hAnsiTheme="majorHAnsi"/>
        </w:rPr>
        <w:t xml:space="preserve">) = 6.31, </w:t>
      </w:r>
      <w:r w:rsidRPr="00734AB6">
        <w:rPr>
          <w:rFonts w:asciiTheme="majorHAnsi" w:hAnsiTheme="majorHAnsi"/>
          <w:i/>
        </w:rPr>
        <w:t>p</w:t>
      </w:r>
      <w:r w:rsidRPr="00734AB6">
        <w:rPr>
          <w:rFonts w:asciiTheme="majorHAnsi" w:hAnsiTheme="majorHAnsi"/>
        </w:rPr>
        <w:t xml:space="preserve"> = .014,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w:t>
      </w:r>
      <w:r w:rsidRPr="00734AB6">
        <w:rPr>
          <w:rFonts w:asciiTheme="majorHAnsi" w:hAnsiTheme="majorHAnsi"/>
        </w:rPr>
        <w:t xml:space="preserve">.071, with the CED-user group having faster response latencies for </w:t>
      </w:r>
      <w:proofErr w:type="spellStart"/>
      <w:r w:rsidRPr="00734AB6">
        <w:rPr>
          <w:rFonts w:asciiTheme="majorHAnsi" w:hAnsiTheme="majorHAnsi"/>
        </w:rPr>
        <w:t>antisaccade</w:t>
      </w:r>
      <w:proofErr w:type="spellEnd"/>
      <w:r w:rsidRPr="00734AB6">
        <w:rPr>
          <w:rFonts w:asciiTheme="majorHAnsi" w:hAnsiTheme="majorHAnsi"/>
        </w:rPr>
        <w:t xml:space="preserve"> errors compared with controls. </w:t>
      </w:r>
      <w:r w:rsidRPr="00734AB6">
        <w:rPr>
          <w:rFonts w:asciiTheme="majorHAnsi" w:eastAsia="Calibri" w:hAnsiTheme="majorHAnsi"/>
        </w:rPr>
        <w:t xml:space="preserve">The CED-user group took significantly less time to make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errors compared with controls </w:t>
      </w:r>
      <w:r w:rsidR="009D706A" w:rsidRPr="00734AB6">
        <w:rPr>
          <w:rFonts w:asciiTheme="majorHAnsi" w:eastAsia="Calibri" w:hAnsiTheme="majorHAnsi"/>
        </w:rPr>
        <w:t>(see Table 4.3</w:t>
      </w:r>
      <w:r w:rsidRPr="00734AB6">
        <w:rPr>
          <w:rFonts w:asciiTheme="majorHAnsi" w:eastAsia="Calibri" w:hAnsiTheme="majorHAnsi"/>
        </w:rPr>
        <w:t xml:space="preserve">).  There was a significant effect of group type on the time taken to correct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errors,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1,83</w:t>
      </w:r>
      <w:r w:rsidRPr="00734AB6">
        <w:rPr>
          <w:rFonts w:asciiTheme="majorHAnsi" w:eastAsia="Calibri" w:hAnsiTheme="majorHAnsi"/>
        </w:rPr>
        <w:t xml:space="preserve">) = 18.68, </w:t>
      </w:r>
      <w:r w:rsidRPr="00734AB6">
        <w:rPr>
          <w:rFonts w:asciiTheme="majorHAnsi" w:eastAsia="Calibri" w:hAnsiTheme="majorHAnsi"/>
          <w:i/>
        </w:rPr>
        <w:t>p</w:t>
      </w:r>
      <w:r w:rsidRPr="00734AB6">
        <w:rPr>
          <w:rFonts w:asciiTheme="majorHAnsi" w:eastAsia="Calibri" w:hAnsiTheme="majorHAnsi"/>
        </w:rPr>
        <w:t xml:space="preserve"> &lt; .001,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.184, again with the CED-user group having faster error</w:t>
      </w:r>
      <w:r w:rsidR="008B19B0" w:rsidRPr="00734AB6">
        <w:rPr>
          <w:rFonts w:asciiTheme="majorHAnsi" w:eastAsia="Calibri" w:hAnsiTheme="majorHAnsi"/>
        </w:rPr>
        <w:t xml:space="preserve"> correction latencies compared with</w:t>
      </w:r>
      <w:r w:rsidRPr="00734AB6">
        <w:rPr>
          <w:rFonts w:asciiTheme="majorHAnsi" w:eastAsia="Calibri" w:hAnsiTheme="majorHAnsi"/>
        </w:rPr>
        <w:t xml:space="preserve"> controls</w:t>
      </w:r>
      <w:r w:rsidR="008B19B0" w:rsidRPr="00734AB6">
        <w:rPr>
          <w:rFonts w:asciiTheme="majorHAnsi" w:eastAsia="Calibri" w:hAnsiTheme="majorHAnsi"/>
        </w:rPr>
        <w:t>.</w:t>
      </w:r>
    </w:p>
    <w:p w14:paraId="7D048345" w14:textId="77777777" w:rsidR="00B819ED" w:rsidRPr="00734AB6" w:rsidRDefault="00B819ED" w:rsidP="00B819ED">
      <w:pPr>
        <w:spacing w:line="360" w:lineRule="auto"/>
        <w:rPr>
          <w:rFonts w:asciiTheme="majorHAnsi" w:eastAsia="Calibri" w:hAnsiTheme="majorHAnsi"/>
        </w:rPr>
      </w:pPr>
    </w:p>
    <w:p w14:paraId="1147A6BF" w14:textId="312CF144" w:rsidR="00650528" w:rsidRPr="00734AB6" w:rsidRDefault="00B819ED" w:rsidP="002C02AF">
      <w:pPr>
        <w:spacing w:line="360" w:lineRule="auto"/>
        <w:ind w:firstLine="851"/>
        <w:rPr>
          <w:rFonts w:asciiTheme="majorHAnsi" w:eastAsia="Calibri" w:hAnsiTheme="majorHAnsi"/>
        </w:rPr>
      </w:pPr>
      <w:r w:rsidRPr="00734AB6">
        <w:rPr>
          <w:rFonts w:asciiTheme="majorHAnsi" w:eastAsia="Calibri" w:hAnsiTheme="majorHAnsi"/>
        </w:rPr>
        <w:t xml:space="preserve">Group type did not have a significant effect on the number of </w:t>
      </w:r>
      <w:proofErr w:type="spellStart"/>
      <w:r w:rsidRPr="00734AB6">
        <w:rPr>
          <w:rFonts w:asciiTheme="majorHAnsi" w:eastAsia="Calibri" w:hAnsiTheme="majorHAnsi"/>
        </w:rPr>
        <w:t>antisaccade</w:t>
      </w:r>
      <w:proofErr w:type="spellEnd"/>
      <w:r w:rsidRPr="00734AB6">
        <w:rPr>
          <w:rFonts w:asciiTheme="majorHAnsi" w:eastAsia="Calibri" w:hAnsiTheme="majorHAnsi"/>
        </w:rPr>
        <w:t xml:space="preserve"> errors,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1,85</w:t>
      </w:r>
      <w:r w:rsidRPr="00734AB6">
        <w:rPr>
          <w:rFonts w:asciiTheme="majorHAnsi" w:eastAsia="Calibri" w:hAnsiTheme="majorHAnsi"/>
        </w:rPr>
        <w:t xml:space="preserve">) = 0.09, </w:t>
      </w:r>
      <w:r w:rsidRPr="00734AB6">
        <w:rPr>
          <w:rFonts w:asciiTheme="majorHAnsi" w:eastAsia="Calibri" w:hAnsiTheme="majorHAnsi"/>
          <w:i/>
        </w:rPr>
        <w:t>p</w:t>
      </w:r>
      <w:r w:rsidRPr="00734AB6">
        <w:rPr>
          <w:rFonts w:asciiTheme="majorHAnsi" w:eastAsia="Calibri" w:hAnsiTheme="majorHAnsi"/>
        </w:rPr>
        <w:t xml:space="preserve"> = .770,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.001. </w:t>
      </w:r>
      <w:r w:rsidR="00650528" w:rsidRPr="00734AB6">
        <w:rPr>
          <w:rFonts w:asciiTheme="majorHAnsi" w:eastAsia="Calibri" w:hAnsiTheme="majorHAnsi"/>
        </w:rPr>
        <w:t xml:space="preserve">. </w:t>
      </w:r>
    </w:p>
    <w:p w14:paraId="04D49687" w14:textId="77777777" w:rsidR="00650528" w:rsidRPr="00734AB6" w:rsidRDefault="00650528" w:rsidP="00650528">
      <w:pPr>
        <w:spacing w:line="360" w:lineRule="auto"/>
        <w:rPr>
          <w:rFonts w:asciiTheme="majorHAnsi" w:eastAsia="Calibri" w:hAnsiTheme="majorHAnsi"/>
        </w:rPr>
      </w:pPr>
    </w:p>
    <w:p w14:paraId="6A9F61CD" w14:textId="322C910C" w:rsidR="00650528" w:rsidRPr="00734AB6" w:rsidRDefault="00650528" w:rsidP="0055368A">
      <w:pPr>
        <w:pStyle w:val="Heading3"/>
        <w:spacing w:after="240" w:line="360" w:lineRule="auto"/>
        <w:rPr>
          <w:b/>
          <w:color w:val="auto"/>
          <w:sz w:val="22"/>
          <w:szCs w:val="22"/>
        </w:rPr>
      </w:pPr>
      <w:bookmarkStart w:id="93" w:name="_Toc48136384"/>
      <w:r w:rsidRPr="00734AB6">
        <w:rPr>
          <w:b/>
          <w:color w:val="auto"/>
          <w:sz w:val="22"/>
          <w:szCs w:val="22"/>
        </w:rPr>
        <w:t>4.3.</w:t>
      </w:r>
      <w:r w:rsidR="005F76C6" w:rsidRPr="00734AB6">
        <w:rPr>
          <w:b/>
          <w:color w:val="auto"/>
          <w:sz w:val="22"/>
          <w:szCs w:val="22"/>
        </w:rPr>
        <w:t>10</w:t>
      </w:r>
      <w:r w:rsidRPr="00734AB6">
        <w:rPr>
          <w:b/>
          <w:color w:val="auto"/>
          <w:sz w:val="22"/>
          <w:szCs w:val="22"/>
        </w:rPr>
        <w:tab/>
        <w:t>Arrow Flanker task</w:t>
      </w:r>
      <w:bookmarkEnd w:id="93"/>
    </w:p>
    <w:p w14:paraId="1AAD0F7F" w14:textId="053C96EF" w:rsidR="00C10F91" w:rsidRPr="00734AB6" w:rsidRDefault="00C10F91" w:rsidP="002C02AF">
      <w:pPr>
        <w:spacing w:line="360" w:lineRule="auto"/>
        <w:ind w:firstLine="851"/>
        <w:rPr>
          <w:rFonts w:asciiTheme="majorHAnsi" w:eastAsia="Calibri" w:hAnsiTheme="majorHAnsi"/>
        </w:rPr>
      </w:pPr>
      <w:r w:rsidRPr="00734AB6">
        <w:rPr>
          <w:rFonts w:asciiTheme="majorHAnsi" w:eastAsia="Calibri" w:hAnsiTheme="majorHAnsi"/>
        </w:rPr>
        <w:t>The means and</w:t>
      </w:r>
      <w:r w:rsidR="00421F0A" w:rsidRPr="00734AB6">
        <w:rPr>
          <w:rFonts w:asciiTheme="majorHAnsi" w:eastAsia="Calibri" w:hAnsiTheme="majorHAnsi"/>
        </w:rPr>
        <w:t xml:space="preserve"> SE</w:t>
      </w:r>
      <w:r w:rsidRPr="00734AB6">
        <w:rPr>
          <w:rFonts w:asciiTheme="majorHAnsi" w:eastAsia="Calibri" w:hAnsiTheme="majorHAnsi"/>
        </w:rPr>
        <w:t xml:space="preserve">s for correct response latencies and </w:t>
      </w:r>
      <w:r w:rsidR="00421F0A" w:rsidRPr="00734AB6">
        <w:rPr>
          <w:rFonts w:asciiTheme="majorHAnsi" w:eastAsia="Calibri" w:hAnsiTheme="majorHAnsi"/>
        </w:rPr>
        <w:t xml:space="preserve">mean difference in </w:t>
      </w:r>
      <w:r w:rsidR="00330504" w:rsidRPr="00734AB6">
        <w:rPr>
          <w:rFonts w:asciiTheme="majorHAnsi" w:eastAsia="Calibri" w:hAnsiTheme="majorHAnsi"/>
        </w:rPr>
        <w:t>response latency</w:t>
      </w:r>
      <w:r w:rsidR="00421F0A" w:rsidRPr="00734AB6">
        <w:rPr>
          <w:rFonts w:asciiTheme="majorHAnsi" w:eastAsia="Calibri" w:hAnsiTheme="majorHAnsi"/>
        </w:rPr>
        <w:t xml:space="preserve"> </w:t>
      </w:r>
      <w:r w:rsidR="00330504" w:rsidRPr="00734AB6">
        <w:rPr>
          <w:rFonts w:asciiTheme="majorHAnsi" w:eastAsia="Calibri" w:hAnsiTheme="majorHAnsi"/>
        </w:rPr>
        <w:t xml:space="preserve">between congruent and incongruent trials </w:t>
      </w:r>
      <w:r w:rsidRPr="00734AB6">
        <w:rPr>
          <w:rFonts w:asciiTheme="majorHAnsi" w:eastAsia="Calibri" w:hAnsiTheme="majorHAnsi"/>
        </w:rPr>
        <w:t>for the arrow flanker measures are displayed in Table 4.3.</w:t>
      </w:r>
    </w:p>
    <w:p w14:paraId="5BD54EA1" w14:textId="77777777" w:rsidR="00B14482" w:rsidRPr="00734AB6" w:rsidRDefault="00B14482" w:rsidP="00650528">
      <w:pPr>
        <w:spacing w:line="360" w:lineRule="auto"/>
        <w:ind w:firstLine="993"/>
        <w:rPr>
          <w:rFonts w:asciiTheme="majorHAnsi" w:eastAsia="Calibri" w:hAnsiTheme="majorHAnsi"/>
        </w:rPr>
      </w:pPr>
    </w:p>
    <w:p w14:paraId="2FB7E75B" w14:textId="08744215" w:rsidR="00C10F91" w:rsidRPr="00734AB6" w:rsidRDefault="00C10F91" w:rsidP="00C10F91">
      <w:pPr>
        <w:spacing w:line="360" w:lineRule="auto"/>
        <w:rPr>
          <w:rFonts w:asciiTheme="majorHAnsi" w:eastAsia="Calibri" w:hAnsiTheme="majorHAnsi"/>
          <w:b/>
        </w:rPr>
      </w:pPr>
      <w:r w:rsidRPr="00734AB6">
        <w:rPr>
          <w:rFonts w:asciiTheme="majorHAnsi" w:eastAsia="Calibri" w:hAnsiTheme="majorHAnsi"/>
          <w:b/>
        </w:rPr>
        <w:t>Table 4.3. Means and SEs for arrow flanker measures</w:t>
      </w:r>
    </w:p>
    <w:tbl>
      <w:tblPr>
        <w:tblStyle w:val="TableGrid"/>
        <w:tblW w:w="8647" w:type="dxa"/>
        <w:tblBorders>
          <w:left w:val="none" w:sz="0" w:space="0" w:color="auto"/>
          <w:right w:val="none" w:sz="0" w:space="0" w:color="auto"/>
          <w:insideV w:val="none" w:sz="0" w:space="0" w:color="auto"/>
        </w:tblBorders>
        <w:tblLook w:val="04A0" w:firstRow="1" w:lastRow="0" w:firstColumn="1" w:lastColumn="0" w:noHBand="0" w:noVBand="1"/>
      </w:tblPr>
      <w:tblGrid>
        <w:gridCol w:w="1244"/>
        <w:gridCol w:w="1918"/>
        <w:gridCol w:w="1890"/>
        <w:gridCol w:w="1815"/>
        <w:gridCol w:w="1780"/>
      </w:tblGrid>
      <w:tr w:rsidR="00330504" w:rsidRPr="00734AB6" w14:paraId="4AFA4932" w14:textId="5D429A6B" w:rsidTr="00330504">
        <w:tc>
          <w:tcPr>
            <w:tcW w:w="1244" w:type="dxa"/>
            <w:tcBorders>
              <w:bottom w:val="single" w:sz="4" w:space="0" w:color="auto"/>
            </w:tcBorders>
          </w:tcPr>
          <w:p w14:paraId="3D3355FE" w14:textId="77777777" w:rsidR="00330504" w:rsidRPr="00734AB6" w:rsidRDefault="00330504" w:rsidP="003366DA">
            <w:pPr>
              <w:spacing w:line="360" w:lineRule="auto"/>
              <w:rPr>
                <w:rFonts w:asciiTheme="majorHAnsi" w:eastAsia="Calibri" w:hAnsiTheme="majorHAnsi"/>
                <w:b/>
              </w:rPr>
            </w:pPr>
          </w:p>
        </w:tc>
        <w:tc>
          <w:tcPr>
            <w:tcW w:w="1918" w:type="dxa"/>
            <w:tcBorders>
              <w:bottom w:val="single" w:sz="4" w:space="0" w:color="auto"/>
            </w:tcBorders>
          </w:tcPr>
          <w:p w14:paraId="7576B322" w14:textId="6B2D4F20" w:rsidR="00330504" w:rsidRPr="00734AB6" w:rsidRDefault="00330504" w:rsidP="003366DA">
            <w:pPr>
              <w:spacing w:line="360" w:lineRule="auto"/>
              <w:rPr>
                <w:rFonts w:asciiTheme="majorHAnsi" w:hAnsiTheme="majorHAnsi"/>
              </w:rPr>
            </w:pPr>
            <w:r w:rsidRPr="00734AB6">
              <w:rPr>
                <w:rFonts w:asciiTheme="majorHAnsi" w:eastAsia="Calibri" w:hAnsiTheme="majorHAnsi"/>
                <w:b/>
              </w:rPr>
              <w:t>Congruent correct response latency* mean (SE)</w:t>
            </w:r>
          </w:p>
        </w:tc>
        <w:tc>
          <w:tcPr>
            <w:tcW w:w="1890" w:type="dxa"/>
            <w:tcBorders>
              <w:bottom w:val="single" w:sz="4" w:space="0" w:color="auto"/>
            </w:tcBorders>
          </w:tcPr>
          <w:p w14:paraId="65C31297" w14:textId="5F7D1BD9" w:rsidR="00330504" w:rsidRPr="00734AB6" w:rsidRDefault="00330504" w:rsidP="003366DA">
            <w:pPr>
              <w:spacing w:line="360" w:lineRule="auto"/>
              <w:rPr>
                <w:rFonts w:asciiTheme="majorHAnsi" w:hAnsiTheme="majorHAnsi"/>
              </w:rPr>
            </w:pPr>
            <w:r w:rsidRPr="00734AB6">
              <w:rPr>
                <w:rFonts w:asciiTheme="majorHAnsi" w:eastAsia="Calibri" w:hAnsiTheme="majorHAnsi"/>
                <w:b/>
              </w:rPr>
              <w:t>Incongruent correct response latency* mean (SE)</w:t>
            </w:r>
          </w:p>
        </w:tc>
        <w:tc>
          <w:tcPr>
            <w:tcW w:w="1815" w:type="dxa"/>
            <w:tcBorders>
              <w:bottom w:val="single" w:sz="4" w:space="0" w:color="auto"/>
            </w:tcBorders>
          </w:tcPr>
          <w:p w14:paraId="15B65A07" w14:textId="57C030EE" w:rsidR="00330504" w:rsidRPr="00734AB6" w:rsidRDefault="00330504" w:rsidP="003366DA">
            <w:pPr>
              <w:spacing w:line="360" w:lineRule="auto"/>
              <w:rPr>
                <w:rFonts w:asciiTheme="majorHAnsi" w:hAnsiTheme="majorHAnsi"/>
                <w:b/>
              </w:rPr>
            </w:pPr>
            <w:r w:rsidRPr="00734AB6">
              <w:rPr>
                <w:rFonts w:asciiTheme="majorHAnsi" w:hAnsiTheme="majorHAnsi"/>
                <w:b/>
              </w:rPr>
              <w:t>Neutral correct response latency* mean (SE)</w:t>
            </w:r>
          </w:p>
        </w:tc>
        <w:tc>
          <w:tcPr>
            <w:tcW w:w="1780" w:type="dxa"/>
            <w:tcBorders>
              <w:bottom w:val="single" w:sz="4" w:space="0" w:color="auto"/>
            </w:tcBorders>
          </w:tcPr>
          <w:p w14:paraId="5F2AEAAA" w14:textId="2D239B47" w:rsidR="00330504" w:rsidRPr="00734AB6" w:rsidRDefault="00330504" w:rsidP="003366DA">
            <w:pPr>
              <w:spacing w:line="360" w:lineRule="auto"/>
              <w:rPr>
                <w:rFonts w:asciiTheme="majorHAnsi" w:hAnsiTheme="majorHAnsi"/>
                <w:b/>
              </w:rPr>
            </w:pPr>
            <w:r w:rsidRPr="00734AB6">
              <w:rPr>
                <w:rFonts w:asciiTheme="majorHAnsi" w:hAnsiTheme="majorHAnsi"/>
                <w:b/>
              </w:rPr>
              <w:t>Difference in response latency between congruent and incongruent trials* mean (SE)</w:t>
            </w:r>
          </w:p>
        </w:tc>
      </w:tr>
      <w:tr w:rsidR="00330504" w:rsidRPr="00734AB6" w14:paraId="5F8C195F" w14:textId="0C7955E6" w:rsidTr="00330504">
        <w:tc>
          <w:tcPr>
            <w:tcW w:w="1244" w:type="dxa"/>
            <w:tcBorders>
              <w:top w:val="single" w:sz="4" w:space="0" w:color="auto"/>
              <w:bottom w:val="nil"/>
            </w:tcBorders>
          </w:tcPr>
          <w:p w14:paraId="7ED6EB63" w14:textId="77777777" w:rsidR="00330504" w:rsidRPr="00734AB6" w:rsidRDefault="00330504" w:rsidP="003366DA">
            <w:pPr>
              <w:spacing w:line="360" w:lineRule="auto"/>
              <w:rPr>
                <w:rFonts w:asciiTheme="majorHAnsi" w:eastAsia="Calibri" w:hAnsiTheme="majorHAnsi"/>
                <w:b/>
              </w:rPr>
            </w:pPr>
            <w:r w:rsidRPr="00734AB6">
              <w:rPr>
                <w:rFonts w:asciiTheme="majorHAnsi" w:eastAsia="Calibri" w:hAnsiTheme="majorHAnsi"/>
                <w:b/>
              </w:rPr>
              <w:t>CED-user group</w:t>
            </w:r>
          </w:p>
        </w:tc>
        <w:tc>
          <w:tcPr>
            <w:tcW w:w="1918" w:type="dxa"/>
            <w:tcBorders>
              <w:bottom w:val="nil"/>
            </w:tcBorders>
          </w:tcPr>
          <w:p w14:paraId="16112835" w14:textId="1FFEFF67" w:rsidR="00330504" w:rsidRPr="00734AB6" w:rsidRDefault="00330504" w:rsidP="003366DA">
            <w:pPr>
              <w:spacing w:line="360" w:lineRule="auto"/>
              <w:rPr>
                <w:rFonts w:asciiTheme="majorHAnsi" w:hAnsiTheme="majorHAnsi"/>
              </w:rPr>
            </w:pPr>
            <w:r w:rsidRPr="00734AB6">
              <w:rPr>
                <w:rFonts w:asciiTheme="majorHAnsi" w:hAnsiTheme="majorHAnsi"/>
              </w:rPr>
              <w:t>392.21 (7.81)</w:t>
            </w:r>
          </w:p>
        </w:tc>
        <w:tc>
          <w:tcPr>
            <w:tcW w:w="1890" w:type="dxa"/>
            <w:tcBorders>
              <w:bottom w:val="nil"/>
            </w:tcBorders>
          </w:tcPr>
          <w:p w14:paraId="2B403AD1" w14:textId="485C20C8" w:rsidR="00330504" w:rsidRPr="00734AB6" w:rsidRDefault="00330504" w:rsidP="003366DA">
            <w:pPr>
              <w:spacing w:line="360" w:lineRule="auto"/>
              <w:rPr>
                <w:rFonts w:asciiTheme="majorHAnsi" w:hAnsiTheme="majorHAnsi"/>
              </w:rPr>
            </w:pPr>
            <w:r w:rsidRPr="00734AB6">
              <w:rPr>
                <w:rFonts w:asciiTheme="majorHAnsi" w:hAnsiTheme="majorHAnsi"/>
              </w:rPr>
              <w:t>461.59 (8.36)</w:t>
            </w:r>
          </w:p>
        </w:tc>
        <w:tc>
          <w:tcPr>
            <w:tcW w:w="1815" w:type="dxa"/>
            <w:tcBorders>
              <w:bottom w:val="nil"/>
            </w:tcBorders>
          </w:tcPr>
          <w:p w14:paraId="5A1D3B4A" w14:textId="0642C12B" w:rsidR="00330504" w:rsidRPr="00734AB6" w:rsidRDefault="00330504" w:rsidP="003366DA">
            <w:pPr>
              <w:spacing w:line="360" w:lineRule="auto"/>
              <w:rPr>
                <w:rFonts w:asciiTheme="majorHAnsi" w:hAnsiTheme="majorHAnsi"/>
              </w:rPr>
            </w:pPr>
            <w:r w:rsidRPr="00734AB6">
              <w:rPr>
                <w:rFonts w:asciiTheme="majorHAnsi" w:hAnsiTheme="majorHAnsi"/>
              </w:rPr>
              <w:t>395.26 (7.43)</w:t>
            </w:r>
          </w:p>
        </w:tc>
        <w:tc>
          <w:tcPr>
            <w:tcW w:w="1780" w:type="dxa"/>
            <w:tcBorders>
              <w:bottom w:val="nil"/>
            </w:tcBorders>
          </w:tcPr>
          <w:p w14:paraId="25E11FBD" w14:textId="4B0D1DA6" w:rsidR="00330504" w:rsidRPr="00734AB6" w:rsidRDefault="00330504" w:rsidP="003366DA">
            <w:pPr>
              <w:spacing w:line="360" w:lineRule="auto"/>
              <w:rPr>
                <w:rFonts w:asciiTheme="majorHAnsi" w:hAnsiTheme="majorHAnsi"/>
              </w:rPr>
            </w:pPr>
            <w:r w:rsidRPr="00734AB6">
              <w:rPr>
                <w:rFonts w:asciiTheme="majorHAnsi" w:hAnsiTheme="majorHAnsi"/>
              </w:rPr>
              <w:t>69.38 (4.37)</w:t>
            </w:r>
          </w:p>
        </w:tc>
      </w:tr>
      <w:tr w:rsidR="00330504" w:rsidRPr="00734AB6" w14:paraId="57B65D5C" w14:textId="488B5E91" w:rsidTr="00330504">
        <w:tc>
          <w:tcPr>
            <w:tcW w:w="1244" w:type="dxa"/>
            <w:tcBorders>
              <w:top w:val="nil"/>
            </w:tcBorders>
          </w:tcPr>
          <w:p w14:paraId="1CB639BD" w14:textId="77777777" w:rsidR="00330504" w:rsidRPr="00734AB6" w:rsidRDefault="00330504" w:rsidP="003366DA">
            <w:pPr>
              <w:spacing w:line="360" w:lineRule="auto"/>
              <w:rPr>
                <w:rFonts w:asciiTheme="majorHAnsi" w:eastAsia="Calibri" w:hAnsiTheme="majorHAnsi"/>
                <w:b/>
              </w:rPr>
            </w:pPr>
            <w:r w:rsidRPr="00734AB6">
              <w:rPr>
                <w:rFonts w:asciiTheme="majorHAnsi" w:eastAsia="Calibri" w:hAnsiTheme="majorHAnsi"/>
                <w:b/>
              </w:rPr>
              <w:t>Control group</w:t>
            </w:r>
          </w:p>
        </w:tc>
        <w:tc>
          <w:tcPr>
            <w:tcW w:w="1918" w:type="dxa"/>
            <w:tcBorders>
              <w:top w:val="nil"/>
            </w:tcBorders>
          </w:tcPr>
          <w:p w14:paraId="15D1D48A" w14:textId="7C8E920D" w:rsidR="00330504" w:rsidRPr="00734AB6" w:rsidRDefault="00330504" w:rsidP="003366DA">
            <w:pPr>
              <w:spacing w:line="360" w:lineRule="auto"/>
              <w:rPr>
                <w:rFonts w:asciiTheme="majorHAnsi" w:eastAsia="Calibri" w:hAnsiTheme="majorHAnsi"/>
              </w:rPr>
            </w:pPr>
            <w:r w:rsidRPr="00734AB6">
              <w:rPr>
                <w:rFonts w:asciiTheme="majorHAnsi" w:eastAsia="Calibri" w:hAnsiTheme="majorHAnsi"/>
              </w:rPr>
              <w:t>434.84 (8.10)</w:t>
            </w:r>
          </w:p>
        </w:tc>
        <w:tc>
          <w:tcPr>
            <w:tcW w:w="1890" w:type="dxa"/>
            <w:tcBorders>
              <w:top w:val="nil"/>
            </w:tcBorders>
          </w:tcPr>
          <w:p w14:paraId="2DD3738C" w14:textId="2039E4D2" w:rsidR="00330504" w:rsidRPr="00734AB6" w:rsidRDefault="00330504" w:rsidP="003366DA">
            <w:pPr>
              <w:spacing w:line="360" w:lineRule="auto"/>
              <w:rPr>
                <w:rFonts w:asciiTheme="majorHAnsi" w:hAnsiTheme="majorHAnsi"/>
              </w:rPr>
            </w:pPr>
            <w:r w:rsidRPr="00734AB6">
              <w:rPr>
                <w:rFonts w:asciiTheme="majorHAnsi" w:hAnsiTheme="majorHAnsi"/>
              </w:rPr>
              <w:t>500.90 (8.66)</w:t>
            </w:r>
          </w:p>
        </w:tc>
        <w:tc>
          <w:tcPr>
            <w:tcW w:w="1815" w:type="dxa"/>
            <w:tcBorders>
              <w:top w:val="nil"/>
            </w:tcBorders>
          </w:tcPr>
          <w:p w14:paraId="24048B4B" w14:textId="2FF26D48" w:rsidR="00330504" w:rsidRPr="00734AB6" w:rsidRDefault="00330504" w:rsidP="003366DA">
            <w:pPr>
              <w:spacing w:line="360" w:lineRule="auto"/>
              <w:rPr>
                <w:rFonts w:asciiTheme="majorHAnsi" w:hAnsiTheme="majorHAnsi"/>
              </w:rPr>
            </w:pPr>
            <w:r w:rsidRPr="00734AB6">
              <w:rPr>
                <w:rFonts w:asciiTheme="majorHAnsi" w:hAnsiTheme="majorHAnsi"/>
              </w:rPr>
              <w:t>437.38 (7.70)</w:t>
            </w:r>
          </w:p>
        </w:tc>
        <w:tc>
          <w:tcPr>
            <w:tcW w:w="1780" w:type="dxa"/>
            <w:tcBorders>
              <w:top w:val="nil"/>
            </w:tcBorders>
          </w:tcPr>
          <w:p w14:paraId="25B7B067" w14:textId="50F22A49" w:rsidR="00330504" w:rsidRPr="00734AB6" w:rsidRDefault="00330504" w:rsidP="003366DA">
            <w:pPr>
              <w:spacing w:line="360" w:lineRule="auto"/>
              <w:rPr>
                <w:rFonts w:asciiTheme="majorHAnsi" w:hAnsiTheme="majorHAnsi"/>
              </w:rPr>
            </w:pPr>
            <w:r w:rsidRPr="00734AB6">
              <w:rPr>
                <w:rFonts w:asciiTheme="majorHAnsi" w:hAnsiTheme="majorHAnsi"/>
              </w:rPr>
              <w:t>66.06 (4.52)</w:t>
            </w:r>
          </w:p>
        </w:tc>
      </w:tr>
    </w:tbl>
    <w:p w14:paraId="0A2881B2" w14:textId="77777777" w:rsidR="00C10F91" w:rsidRPr="00734AB6" w:rsidRDefault="00C10F91" w:rsidP="00C10F91">
      <w:pPr>
        <w:spacing w:line="360" w:lineRule="auto"/>
        <w:rPr>
          <w:rFonts w:asciiTheme="majorHAnsi" w:eastAsia="Calibri" w:hAnsiTheme="majorHAnsi"/>
        </w:rPr>
      </w:pPr>
      <w:r w:rsidRPr="00734AB6">
        <w:rPr>
          <w:rFonts w:asciiTheme="majorHAnsi" w:eastAsia="Calibri" w:hAnsiTheme="majorHAnsi"/>
        </w:rPr>
        <w:t>*</w:t>
      </w:r>
      <w:r w:rsidRPr="00734AB6">
        <w:rPr>
          <w:rFonts w:asciiTheme="majorHAnsi" w:eastAsia="Calibri" w:hAnsiTheme="majorHAnsi"/>
        </w:rPr>
        <w:tab/>
        <w:t>Latency is reported in milliseconds</w:t>
      </w:r>
    </w:p>
    <w:p w14:paraId="441689F9" w14:textId="77777777" w:rsidR="00C10F91" w:rsidRPr="00734AB6" w:rsidRDefault="00C10F91" w:rsidP="00650528">
      <w:pPr>
        <w:spacing w:line="360" w:lineRule="auto"/>
        <w:ind w:firstLine="993"/>
        <w:rPr>
          <w:rFonts w:asciiTheme="majorHAnsi" w:eastAsia="Calibri" w:hAnsiTheme="majorHAnsi"/>
        </w:rPr>
      </w:pPr>
    </w:p>
    <w:p w14:paraId="7F77EE7A" w14:textId="5897B0DB" w:rsidR="00650528" w:rsidRPr="00734AB6" w:rsidRDefault="00706870" w:rsidP="002C02AF">
      <w:pPr>
        <w:spacing w:line="360" w:lineRule="auto"/>
        <w:ind w:firstLine="851"/>
        <w:rPr>
          <w:rFonts w:asciiTheme="majorHAnsi" w:eastAsia="Calibri" w:hAnsiTheme="majorHAnsi"/>
        </w:rPr>
      </w:pPr>
      <w:r w:rsidRPr="00734AB6">
        <w:rPr>
          <w:rFonts w:asciiTheme="majorHAnsi" w:eastAsia="Calibri" w:hAnsiTheme="majorHAnsi"/>
        </w:rPr>
        <w:t xml:space="preserve">The data were analysed using 2 x 3 ANCOVAs. The CED-user group (mean = 416.35, SE = 7.57) had significantly faster response latencies on correct trials compared with the control group (mean = 457.71, SE = 7.84). </w:t>
      </w:r>
      <w:r w:rsidRPr="00734AB6">
        <w:rPr>
          <w:rFonts w:asciiTheme="majorHAnsi" w:hAnsiTheme="majorHAnsi"/>
        </w:rPr>
        <w:t xml:space="preserve">There was a significant main effect of group type on the latency for correct trials, </w:t>
      </w:r>
      <w:r w:rsidRPr="00734AB6">
        <w:rPr>
          <w:rFonts w:asciiTheme="majorHAnsi" w:hAnsiTheme="majorHAnsi"/>
          <w:i/>
        </w:rPr>
        <w:t>F</w:t>
      </w:r>
      <w:r w:rsidRPr="00734AB6">
        <w:rPr>
          <w:rFonts w:asciiTheme="majorHAnsi" w:hAnsiTheme="majorHAnsi"/>
        </w:rPr>
        <w:t>(</w:t>
      </w:r>
      <w:r w:rsidRPr="00734AB6">
        <w:rPr>
          <w:rFonts w:asciiTheme="majorHAnsi" w:hAnsiTheme="majorHAnsi"/>
          <w:vertAlign w:val="subscript"/>
        </w:rPr>
        <w:t>1,86</w:t>
      </w:r>
      <w:r w:rsidRPr="00734AB6">
        <w:rPr>
          <w:rFonts w:asciiTheme="majorHAnsi" w:hAnsiTheme="majorHAnsi"/>
        </w:rPr>
        <w:t xml:space="preserve">) = 13.64, </w:t>
      </w:r>
      <w:r w:rsidRPr="00734AB6">
        <w:rPr>
          <w:rFonts w:asciiTheme="majorHAnsi" w:hAnsiTheme="majorHAnsi"/>
          <w:i/>
        </w:rPr>
        <w:t>p</w:t>
      </w:r>
      <w:r w:rsidRPr="00734AB6">
        <w:rPr>
          <w:rFonts w:asciiTheme="majorHAnsi" w:hAnsiTheme="majorHAnsi"/>
        </w:rPr>
        <w:t xml:space="preserve"> &lt; .001,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.137. There was also a significant main effect of trial type on response latency, F(</w:t>
      </w:r>
      <w:r w:rsidRPr="00734AB6">
        <w:rPr>
          <w:rFonts w:asciiTheme="majorHAnsi" w:eastAsia="Calibri" w:hAnsiTheme="majorHAnsi"/>
          <w:vertAlign w:val="subscript"/>
        </w:rPr>
        <w:t>2,172</w:t>
      </w:r>
      <w:r w:rsidRPr="00734AB6">
        <w:rPr>
          <w:rFonts w:asciiTheme="majorHAnsi" w:eastAsia="Calibri" w:hAnsiTheme="majorHAnsi"/>
        </w:rPr>
        <w:t xml:space="preserve">) = 29.69, </w:t>
      </w:r>
      <w:r w:rsidRPr="00734AB6">
        <w:rPr>
          <w:rFonts w:asciiTheme="majorHAnsi" w:eastAsia="Calibri" w:hAnsiTheme="majorHAnsi"/>
          <w:i/>
        </w:rPr>
        <w:t>p</w:t>
      </w:r>
      <w:r w:rsidRPr="00734AB6">
        <w:rPr>
          <w:rFonts w:asciiTheme="majorHAnsi" w:eastAsia="Calibri" w:hAnsiTheme="majorHAnsi"/>
        </w:rPr>
        <w:t xml:space="preserve"> &lt; .001,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.257. Planned contrasts were used to explore this main effect. The latency for incongruent trials (mean = 481.24, SD = 5.85) was significantly longer than for congruent (mean = 413.53, SD = 5.47, </w:t>
      </w:r>
      <w:r w:rsidRPr="00734AB6">
        <w:rPr>
          <w:rFonts w:asciiTheme="majorHAnsi" w:eastAsia="Calibri" w:hAnsiTheme="majorHAnsi"/>
          <w:i/>
        </w:rPr>
        <w:t xml:space="preserve">p </w:t>
      </w:r>
      <w:r w:rsidRPr="00734AB6">
        <w:rPr>
          <w:rFonts w:asciiTheme="majorHAnsi" w:eastAsia="Calibri" w:hAnsiTheme="majorHAnsi"/>
        </w:rPr>
        <w:t xml:space="preserve">&lt; .001) and neutral (mean = 416.32, SD = 5.20, </w:t>
      </w:r>
      <w:r w:rsidRPr="00734AB6">
        <w:rPr>
          <w:rFonts w:asciiTheme="majorHAnsi" w:eastAsia="Calibri" w:hAnsiTheme="majorHAnsi"/>
          <w:i/>
        </w:rPr>
        <w:t>p</w:t>
      </w:r>
      <w:r w:rsidRPr="00734AB6">
        <w:rPr>
          <w:rFonts w:asciiTheme="majorHAnsi" w:eastAsia="Calibri" w:hAnsiTheme="majorHAnsi"/>
        </w:rPr>
        <w:t xml:space="preserve"> &lt; .001) trials. However, the difference in latency between congruent (mean = 413.53, SE = 5.47) and neutral (mean = 416.32, SE = 5.20) trials was not significant, </w:t>
      </w:r>
      <w:r w:rsidRPr="00734AB6">
        <w:rPr>
          <w:rFonts w:asciiTheme="majorHAnsi" w:eastAsia="Calibri" w:hAnsiTheme="majorHAnsi"/>
          <w:i/>
        </w:rPr>
        <w:t>p</w:t>
      </w:r>
      <w:r w:rsidRPr="00734AB6">
        <w:rPr>
          <w:rFonts w:asciiTheme="majorHAnsi" w:eastAsia="Calibri" w:hAnsiTheme="majorHAnsi"/>
        </w:rPr>
        <w:t xml:space="preserve"> = .224. Both these main effects are displayed in Figure 4.1. The interaction between group type and trial type was not found to be significant,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2,172</w:t>
      </w:r>
      <w:r w:rsidRPr="00734AB6">
        <w:rPr>
          <w:rFonts w:asciiTheme="majorHAnsi" w:eastAsia="Calibri" w:hAnsiTheme="majorHAnsi"/>
        </w:rPr>
        <w:t xml:space="preserve">) = 0.205, </w:t>
      </w:r>
      <w:r w:rsidRPr="00734AB6">
        <w:rPr>
          <w:rFonts w:asciiTheme="majorHAnsi" w:eastAsia="Calibri" w:hAnsiTheme="majorHAnsi"/>
          <w:i/>
        </w:rPr>
        <w:t>p</w:t>
      </w:r>
      <w:r w:rsidRPr="00734AB6">
        <w:rPr>
          <w:rFonts w:asciiTheme="majorHAnsi" w:eastAsia="Calibri" w:hAnsiTheme="majorHAnsi"/>
        </w:rPr>
        <w:t xml:space="preserve"> = .754,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.002.</w:t>
      </w:r>
    </w:p>
    <w:p w14:paraId="3704CBF0" w14:textId="77777777" w:rsidR="00650528" w:rsidRPr="00734AB6" w:rsidRDefault="00650528" w:rsidP="00650528">
      <w:pPr>
        <w:spacing w:line="360" w:lineRule="auto"/>
        <w:ind w:firstLine="993"/>
        <w:rPr>
          <w:rFonts w:asciiTheme="majorHAnsi" w:eastAsia="Calibri" w:hAnsiTheme="majorHAnsi"/>
          <w:b/>
        </w:rPr>
      </w:pPr>
    </w:p>
    <w:p w14:paraId="4E10755A" w14:textId="77777777" w:rsidR="00650528" w:rsidRPr="00734AB6" w:rsidRDefault="00650528" w:rsidP="0055368A">
      <w:pPr>
        <w:spacing w:line="360" w:lineRule="auto"/>
        <w:rPr>
          <w:rFonts w:asciiTheme="majorHAnsi" w:eastAsia="Calibri" w:hAnsiTheme="majorHAnsi"/>
        </w:rPr>
      </w:pPr>
      <w:r w:rsidRPr="00734AB6">
        <w:rPr>
          <w:rFonts w:asciiTheme="majorHAnsi" w:eastAsia="Calibri" w:hAnsiTheme="majorHAnsi"/>
          <w:noProof/>
          <w:lang w:eastAsia="en-GB"/>
        </w:rPr>
        <w:lastRenderedPageBreak/>
        <w:drawing>
          <wp:inline distT="0" distB="0" distL="0" distR="0" wp14:anchorId="00D4620D" wp14:editId="130E931B">
            <wp:extent cx="4486275" cy="32004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72DC41" w14:textId="77777777" w:rsidR="00650528" w:rsidRPr="00734AB6" w:rsidRDefault="00650528" w:rsidP="0055368A">
      <w:pPr>
        <w:spacing w:line="360" w:lineRule="auto"/>
        <w:rPr>
          <w:rFonts w:asciiTheme="majorHAnsi" w:eastAsia="Calibri" w:hAnsiTheme="majorHAnsi"/>
        </w:rPr>
      </w:pPr>
      <w:r w:rsidRPr="00734AB6">
        <w:rPr>
          <w:rFonts w:asciiTheme="majorHAnsi" w:eastAsia="Calibri" w:hAnsiTheme="majorHAnsi"/>
          <w:b/>
        </w:rPr>
        <w:t xml:space="preserve">Figure 4.1. Interaction between the CED-user and control group latencies for correct trials </w:t>
      </w:r>
    </w:p>
    <w:p w14:paraId="19788C4C" w14:textId="77777777" w:rsidR="00650528" w:rsidRPr="00734AB6" w:rsidRDefault="00650528" w:rsidP="00650528">
      <w:pPr>
        <w:spacing w:line="360" w:lineRule="auto"/>
        <w:ind w:firstLine="993"/>
        <w:rPr>
          <w:rFonts w:asciiTheme="majorHAnsi" w:eastAsia="Calibri" w:hAnsiTheme="majorHAnsi"/>
        </w:rPr>
      </w:pPr>
    </w:p>
    <w:p w14:paraId="13F8C009" w14:textId="2F7FA836" w:rsidR="00EB572A" w:rsidRPr="00734AB6" w:rsidRDefault="00EB572A" w:rsidP="002C02AF">
      <w:pPr>
        <w:spacing w:line="360" w:lineRule="auto"/>
        <w:ind w:firstLine="851"/>
        <w:rPr>
          <w:rFonts w:asciiTheme="majorHAnsi" w:eastAsia="Calibri" w:hAnsiTheme="majorHAnsi"/>
        </w:rPr>
      </w:pPr>
      <w:r w:rsidRPr="00734AB6">
        <w:rPr>
          <w:rFonts w:asciiTheme="majorHAnsi" w:eastAsia="Calibri" w:hAnsiTheme="majorHAnsi"/>
        </w:rPr>
        <w:t xml:space="preserve">The number of correct trials was similar between the CED-user group (94.9%) and controls (94.95%). Group type did not have a significant effect on the number of correct trials, </w:t>
      </w:r>
      <w:r w:rsidRPr="00734AB6">
        <w:rPr>
          <w:rFonts w:asciiTheme="majorHAnsi" w:eastAsia="Calibri" w:hAnsiTheme="majorHAnsi"/>
          <w:i/>
        </w:rPr>
        <w:t>F</w:t>
      </w:r>
      <w:r w:rsidRPr="00734AB6">
        <w:rPr>
          <w:rFonts w:asciiTheme="majorHAnsi" w:eastAsia="Calibri" w:hAnsiTheme="majorHAnsi"/>
          <w:vertAlign w:val="subscript"/>
        </w:rPr>
        <w:t>(186)</w:t>
      </w:r>
      <w:r w:rsidRPr="00734AB6">
        <w:rPr>
          <w:rFonts w:asciiTheme="majorHAnsi" w:eastAsia="Calibri" w:hAnsiTheme="majorHAnsi"/>
        </w:rPr>
        <w:t xml:space="preserve"> = 0.001, </w:t>
      </w:r>
      <w:r w:rsidRPr="00734AB6">
        <w:rPr>
          <w:rFonts w:asciiTheme="majorHAnsi" w:eastAsia="Calibri" w:hAnsiTheme="majorHAnsi"/>
          <w:i/>
        </w:rPr>
        <w:t>p</w:t>
      </w:r>
      <w:r w:rsidRPr="00734AB6">
        <w:rPr>
          <w:rFonts w:asciiTheme="majorHAnsi" w:eastAsia="Calibri" w:hAnsiTheme="majorHAnsi"/>
        </w:rPr>
        <w:t xml:space="preserve"> = .971,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&lt; .001. There was a significant main effect of trial type on the number of correct trials,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2,172</w:t>
      </w:r>
      <w:r w:rsidRPr="00734AB6">
        <w:rPr>
          <w:rFonts w:asciiTheme="majorHAnsi" w:eastAsia="Calibri" w:hAnsiTheme="majorHAnsi"/>
        </w:rPr>
        <w:t xml:space="preserve">) = 4.69, </w:t>
      </w:r>
      <w:r w:rsidRPr="00734AB6">
        <w:rPr>
          <w:rFonts w:asciiTheme="majorHAnsi" w:eastAsia="Calibri" w:hAnsiTheme="majorHAnsi"/>
          <w:i/>
        </w:rPr>
        <w:t>p</w:t>
      </w:r>
      <w:r w:rsidRPr="00734AB6">
        <w:rPr>
          <w:rFonts w:asciiTheme="majorHAnsi" w:eastAsia="Calibri" w:hAnsiTheme="majorHAnsi"/>
        </w:rPr>
        <w:t xml:space="preserve"> = .028,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.052. Planned contrasts revealed that the number of correct congruent (98.13%) versus correct neutral (97.05%) trials was not significant, </w:t>
      </w:r>
      <w:r w:rsidRPr="00734AB6">
        <w:rPr>
          <w:rFonts w:asciiTheme="majorHAnsi" w:eastAsia="Calibri" w:hAnsiTheme="majorHAnsi"/>
          <w:i/>
        </w:rPr>
        <w:t>p</w:t>
      </w:r>
      <w:r w:rsidRPr="00734AB6">
        <w:rPr>
          <w:rFonts w:asciiTheme="majorHAnsi" w:eastAsia="Calibri" w:hAnsiTheme="majorHAnsi"/>
        </w:rPr>
        <w:t xml:space="preserve"> = .365. There was a significant difference for the number of correct incongruent (89.58%) versus neutral trials (97.05), </w:t>
      </w:r>
      <w:r w:rsidRPr="00734AB6">
        <w:rPr>
          <w:rFonts w:asciiTheme="majorHAnsi" w:eastAsia="Calibri" w:hAnsiTheme="majorHAnsi"/>
          <w:i/>
        </w:rPr>
        <w:t>p</w:t>
      </w:r>
      <w:r w:rsidRPr="00734AB6">
        <w:rPr>
          <w:rFonts w:asciiTheme="majorHAnsi" w:eastAsia="Calibri" w:hAnsiTheme="majorHAnsi"/>
        </w:rPr>
        <w:t xml:space="preserve"> = .038. There was also a significant difference for the number of correct incongruent (89.58%) versus correct congruent trials (98.13%), </w:t>
      </w:r>
      <w:r w:rsidRPr="00734AB6">
        <w:rPr>
          <w:rFonts w:asciiTheme="majorHAnsi" w:eastAsia="Calibri" w:hAnsiTheme="majorHAnsi"/>
          <w:i/>
        </w:rPr>
        <w:t>p</w:t>
      </w:r>
      <w:r w:rsidRPr="00734AB6">
        <w:rPr>
          <w:rFonts w:asciiTheme="majorHAnsi" w:eastAsia="Calibri" w:hAnsiTheme="majorHAnsi"/>
        </w:rPr>
        <w:t xml:space="preserve"> = .038. The interaction between group type and trial type was not significant,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2,172</w:t>
      </w:r>
      <w:r w:rsidRPr="00734AB6">
        <w:rPr>
          <w:rFonts w:asciiTheme="majorHAnsi" w:eastAsia="Calibri" w:hAnsiTheme="majorHAnsi"/>
        </w:rPr>
        <w:t xml:space="preserve">) = 2.71, </w:t>
      </w:r>
      <w:r w:rsidRPr="00734AB6">
        <w:rPr>
          <w:rFonts w:asciiTheme="majorHAnsi" w:eastAsia="Calibri" w:hAnsiTheme="majorHAnsi"/>
          <w:i/>
        </w:rPr>
        <w:t>p</w:t>
      </w:r>
      <w:r w:rsidRPr="00734AB6">
        <w:rPr>
          <w:rFonts w:asciiTheme="majorHAnsi" w:eastAsia="Calibri" w:hAnsiTheme="majorHAnsi"/>
        </w:rPr>
        <w:t xml:space="preserve"> = .098,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.030 (see Figure 4.2).</w:t>
      </w:r>
    </w:p>
    <w:p w14:paraId="18E10FA6" w14:textId="77777777" w:rsidR="00EB572A" w:rsidRPr="00734AB6" w:rsidRDefault="00EB572A" w:rsidP="00E86A04">
      <w:pPr>
        <w:spacing w:line="360" w:lineRule="auto"/>
        <w:rPr>
          <w:rFonts w:asciiTheme="majorHAnsi" w:eastAsia="Calibri" w:hAnsiTheme="majorHAnsi"/>
        </w:rPr>
      </w:pPr>
    </w:p>
    <w:p w14:paraId="7A81360C" w14:textId="48EBCB3F" w:rsidR="00650528" w:rsidRPr="00734AB6" w:rsidRDefault="002E6B89" w:rsidP="00E86A04">
      <w:pPr>
        <w:spacing w:line="360" w:lineRule="auto"/>
        <w:rPr>
          <w:rFonts w:asciiTheme="majorHAnsi" w:eastAsia="Calibri" w:hAnsiTheme="majorHAnsi"/>
        </w:rPr>
      </w:pPr>
      <w:r w:rsidRPr="00734AB6">
        <w:rPr>
          <w:rFonts w:asciiTheme="majorHAnsi" w:eastAsia="Calibri" w:hAnsiTheme="majorHAnsi"/>
          <w:noProof/>
          <w:lang w:eastAsia="en-GB"/>
        </w:rPr>
        <w:lastRenderedPageBreak/>
        <w:drawing>
          <wp:inline distT="0" distB="0" distL="0" distR="0" wp14:anchorId="46CDA565" wp14:editId="2FF20826">
            <wp:extent cx="4457700" cy="30194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3E9217" w14:textId="04875502" w:rsidR="00650528" w:rsidRPr="00734AB6" w:rsidRDefault="00B7339E" w:rsidP="0055368A">
      <w:pPr>
        <w:spacing w:line="360" w:lineRule="auto"/>
        <w:rPr>
          <w:rFonts w:asciiTheme="majorHAnsi" w:eastAsia="Calibri" w:hAnsiTheme="majorHAnsi"/>
          <w:b/>
        </w:rPr>
      </w:pPr>
      <w:r w:rsidRPr="00734AB6">
        <w:rPr>
          <w:rFonts w:asciiTheme="majorHAnsi" w:eastAsia="Calibri" w:hAnsiTheme="majorHAnsi"/>
          <w:b/>
        </w:rPr>
        <w:t>Figure 4.2. The i</w:t>
      </w:r>
      <w:r w:rsidR="00650528" w:rsidRPr="00734AB6">
        <w:rPr>
          <w:rFonts w:asciiTheme="majorHAnsi" w:eastAsia="Calibri" w:hAnsiTheme="majorHAnsi"/>
          <w:b/>
        </w:rPr>
        <w:t xml:space="preserve">nteraction between Group type (CED-users and controls) and trial type (congruent, incongruent and neutral) for the numbers of correct trials </w:t>
      </w:r>
    </w:p>
    <w:p w14:paraId="1E776E19" w14:textId="77777777" w:rsidR="00650528" w:rsidRPr="00734AB6" w:rsidRDefault="00650528" w:rsidP="00650528">
      <w:pPr>
        <w:spacing w:line="360" w:lineRule="auto"/>
        <w:ind w:firstLine="993"/>
        <w:rPr>
          <w:rFonts w:asciiTheme="majorHAnsi" w:eastAsia="Calibri" w:hAnsiTheme="majorHAnsi"/>
        </w:rPr>
      </w:pPr>
    </w:p>
    <w:p w14:paraId="66C784BB" w14:textId="77777777" w:rsidR="00650528" w:rsidRPr="00734AB6" w:rsidRDefault="00650528" w:rsidP="002C02AF">
      <w:pPr>
        <w:spacing w:line="360" w:lineRule="auto"/>
        <w:ind w:firstLine="851"/>
        <w:rPr>
          <w:rFonts w:asciiTheme="majorHAnsi" w:eastAsia="Calibri" w:hAnsiTheme="majorHAnsi"/>
        </w:rPr>
      </w:pPr>
      <w:r w:rsidRPr="00734AB6">
        <w:rPr>
          <w:rFonts w:asciiTheme="majorHAnsi" w:eastAsia="Calibri" w:hAnsiTheme="majorHAnsi"/>
        </w:rPr>
        <w:t xml:space="preserve">The effect of group type on the mean difference in latency between incongruent and congruent trials was not significant,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1,86</w:t>
      </w:r>
      <w:r w:rsidRPr="00734AB6">
        <w:rPr>
          <w:rFonts w:asciiTheme="majorHAnsi" w:eastAsia="Calibri" w:hAnsiTheme="majorHAnsi"/>
        </w:rPr>
        <w:t xml:space="preserve">) = 0.264, </w:t>
      </w:r>
      <w:r w:rsidRPr="00734AB6">
        <w:rPr>
          <w:rFonts w:asciiTheme="majorHAnsi" w:eastAsia="Calibri" w:hAnsiTheme="majorHAnsi"/>
          <w:i/>
        </w:rPr>
        <w:t>p</w:t>
      </w:r>
      <w:r w:rsidRPr="00734AB6">
        <w:rPr>
          <w:rFonts w:asciiTheme="majorHAnsi" w:eastAsia="Calibri" w:hAnsiTheme="majorHAnsi"/>
        </w:rPr>
        <w:t xml:space="preserve"> = 609,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.003. The mean difference in latency between incongruent and congruent trials for the CED-user group (mean = 69.38, SE = 4.37) was not significantly different to that of the control group (mean = 66.06, SE = 4.52).</w:t>
      </w:r>
    </w:p>
    <w:p w14:paraId="0F3BD6FF" w14:textId="77777777" w:rsidR="00650528" w:rsidRPr="00734AB6" w:rsidRDefault="00650528" w:rsidP="00650528">
      <w:pPr>
        <w:spacing w:line="360" w:lineRule="auto"/>
        <w:ind w:firstLine="993"/>
        <w:rPr>
          <w:rFonts w:asciiTheme="majorHAnsi" w:eastAsia="Calibri" w:hAnsiTheme="majorHAnsi"/>
        </w:rPr>
      </w:pPr>
    </w:p>
    <w:p w14:paraId="05B3BF0B" w14:textId="755C6EDE" w:rsidR="00650528" w:rsidRPr="00734AB6" w:rsidRDefault="00650528" w:rsidP="00DA16AF">
      <w:pPr>
        <w:pStyle w:val="Heading3"/>
        <w:spacing w:after="240" w:line="360" w:lineRule="auto"/>
        <w:rPr>
          <w:b/>
          <w:color w:val="auto"/>
          <w:sz w:val="22"/>
          <w:szCs w:val="22"/>
        </w:rPr>
      </w:pPr>
      <w:bookmarkStart w:id="94" w:name="_Toc48136385"/>
      <w:r w:rsidRPr="00734AB6">
        <w:rPr>
          <w:b/>
          <w:color w:val="auto"/>
          <w:sz w:val="22"/>
          <w:szCs w:val="22"/>
        </w:rPr>
        <w:t>4.3.</w:t>
      </w:r>
      <w:r w:rsidR="002C02AF" w:rsidRPr="00734AB6">
        <w:rPr>
          <w:b/>
          <w:color w:val="auto"/>
          <w:sz w:val="22"/>
          <w:szCs w:val="22"/>
        </w:rPr>
        <w:t>11</w:t>
      </w:r>
      <w:r w:rsidRPr="00734AB6">
        <w:rPr>
          <w:b/>
          <w:color w:val="auto"/>
          <w:sz w:val="22"/>
          <w:szCs w:val="22"/>
        </w:rPr>
        <w:tab/>
        <w:t>BRIEF-A</w:t>
      </w:r>
      <w:bookmarkEnd w:id="94"/>
    </w:p>
    <w:p w14:paraId="5BB4CAA2" w14:textId="3ED953FA" w:rsidR="00650528" w:rsidRPr="00734AB6" w:rsidRDefault="00650528" w:rsidP="002C02AF">
      <w:pPr>
        <w:spacing w:line="360" w:lineRule="auto"/>
        <w:ind w:firstLine="851"/>
        <w:rPr>
          <w:rFonts w:asciiTheme="majorHAnsi" w:hAnsiTheme="majorHAnsi"/>
        </w:rPr>
      </w:pPr>
      <w:r w:rsidRPr="00734AB6">
        <w:rPr>
          <w:rFonts w:asciiTheme="majorHAnsi" w:hAnsiTheme="majorHAnsi"/>
        </w:rPr>
        <w:t>Means and SEs for scores on the BRI, MI, GEC and all subtypes can be found in Table 4.</w:t>
      </w:r>
      <w:r w:rsidR="00B14482" w:rsidRPr="00734AB6">
        <w:rPr>
          <w:rFonts w:asciiTheme="majorHAnsi" w:hAnsiTheme="majorHAnsi"/>
        </w:rPr>
        <w:t>4</w:t>
      </w:r>
      <w:r w:rsidRPr="00734AB6">
        <w:rPr>
          <w:rFonts w:asciiTheme="majorHAnsi" w:hAnsiTheme="majorHAnsi"/>
        </w:rPr>
        <w:t>.</w:t>
      </w:r>
    </w:p>
    <w:p w14:paraId="41CE8730" w14:textId="77777777" w:rsidR="00650528" w:rsidRPr="00734AB6" w:rsidRDefault="00650528" w:rsidP="00650528">
      <w:pPr>
        <w:spacing w:line="360" w:lineRule="auto"/>
        <w:ind w:firstLine="1134"/>
        <w:rPr>
          <w:rFonts w:asciiTheme="majorHAnsi" w:hAnsiTheme="majorHAnsi"/>
        </w:rPr>
      </w:pPr>
    </w:p>
    <w:p w14:paraId="1D4B1DFB" w14:textId="77777777" w:rsidR="009D57D4" w:rsidRPr="00734AB6" w:rsidRDefault="009D57D4">
      <w:pPr>
        <w:rPr>
          <w:rFonts w:asciiTheme="majorHAnsi" w:hAnsiTheme="majorHAnsi"/>
          <w:b/>
        </w:rPr>
      </w:pPr>
      <w:r w:rsidRPr="00734AB6">
        <w:rPr>
          <w:rFonts w:asciiTheme="majorHAnsi" w:hAnsiTheme="majorHAnsi"/>
          <w:b/>
        </w:rPr>
        <w:br w:type="page"/>
      </w:r>
    </w:p>
    <w:p w14:paraId="2B250A37" w14:textId="7510B70B" w:rsidR="00650528" w:rsidRPr="00734AB6" w:rsidRDefault="00B14482" w:rsidP="00650528">
      <w:pPr>
        <w:spacing w:line="360" w:lineRule="auto"/>
        <w:rPr>
          <w:rFonts w:asciiTheme="majorHAnsi" w:hAnsiTheme="majorHAnsi"/>
          <w:b/>
        </w:rPr>
      </w:pPr>
      <w:r w:rsidRPr="00734AB6">
        <w:rPr>
          <w:rFonts w:asciiTheme="majorHAnsi" w:hAnsiTheme="majorHAnsi"/>
          <w:b/>
        </w:rPr>
        <w:lastRenderedPageBreak/>
        <w:t>Table 4.4</w:t>
      </w:r>
      <w:r w:rsidR="00650528" w:rsidRPr="00734AB6">
        <w:rPr>
          <w:rFonts w:asciiTheme="majorHAnsi" w:hAnsiTheme="majorHAnsi"/>
          <w:b/>
        </w:rPr>
        <w:t>.</w:t>
      </w:r>
      <w:r w:rsidR="00650528" w:rsidRPr="00734AB6">
        <w:rPr>
          <w:rFonts w:asciiTheme="majorHAnsi" w:hAnsiTheme="majorHAnsi"/>
          <w:b/>
        </w:rPr>
        <w:tab/>
        <w:t>Means and SEs for BRIEF-A scores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47"/>
        <w:gridCol w:w="2551"/>
        <w:gridCol w:w="2410"/>
      </w:tblGrid>
      <w:tr w:rsidR="00650528" w:rsidRPr="00734AB6" w14:paraId="2ECA9D41" w14:textId="77777777" w:rsidTr="00E161A9">
        <w:tc>
          <w:tcPr>
            <w:tcW w:w="2547" w:type="dxa"/>
            <w:tcBorders>
              <w:bottom w:val="single" w:sz="4" w:space="0" w:color="auto"/>
            </w:tcBorders>
          </w:tcPr>
          <w:p w14:paraId="4705A849"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Scale/Index</w:t>
            </w:r>
          </w:p>
        </w:tc>
        <w:tc>
          <w:tcPr>
            <w:tcW w:w="2551" w:type="dxa"/>
            <w:tcBorders>
              <w:bottom w:val="single" w:sz="4" w:space="0" w:color="auto"/>
            </w:tcBorders>
          </w:tcPr>
          <w:p w14:paraId="3F15DD39"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CED-user group mean (SE)</w:t>
            </w:r>
          </w:p>
        </w:tc>
        <w:tc>
          <w:tcPr>
            <w:tcW w:w="2410" w:type="dxa"/>
            <w:tcBorders>
              <w:bottom w:val="single" w:sz="4" w:space="0" w:color="auto"/>
            </w:tcBorders>
          </w:tcPr>
          <w:p w14:paraId="44D4B257"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Control group mean (SE)</w:t>
            </w:r>
          </w:p>
        </w:tc>
      </w:tr>
      <w:tr w:rsidR="00650528" w:rsidRPr="00734AB6" w14:paraId="606C29A0" w14:textId="77777777" w:rsidTr="00E161A9">
        <w:tc>
          <w:tcPr>
            <w:tcW w:w="2547" w:type="dxa"/>
            <w:tcBorders>
              <w:bottom w:val="nil"/>
            </w:tcBorders>
          </w:tcPr>
          <w:p w14:paraId="2DFFA4CD"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Inhibit</w:t>
            </w:r>
          </w:p>
        </w:tc>
        <w:tc>
          <w:tcPr>
            <w:tcW w:w="2551" w:type="dxa"/>
            <w:tcBorders>
              <w:bottom w:val="nil"/>
            </w:tcBorders>
          </w:tcPr>
          <w:p w14:paraId="43620C50" w14:textId="77777777" w:rsidR="00650528" w:rsidRPr="00734AB6" w:rsidRDefault="00650528" w:rsidP="00E161A9">
            <w:pPr>
              <w:spacing w:line="360" w:lineRule="auto"/>
              <w:rPr>
                <w:rFonts w:asciiTheme="majorHAnsi" w:hAnsiTheme="majorHAnsi"/>
              </w:rPr>
            </w:pPr>
            <w:r w:rsidRPr="00734AB6">
              <w:rPr>
                <w:rFonts w:asciiTheme="majorHAnsi" w:hAnsiTheme="majorHAnsi"/>
              </w:rPr>
              <w:t>56.55 (1.69)</w:t>
            </w:r>
          </w:p>
        </w:tc>
        <w:tc>
          <w:tcPr>
            <w:tcW w:w="2410" w:type="dxa"/>
            <w:tcBorders>
              <w:bottom w:val="nil"/>
            </w:tcBorders>
          </w:tcPr>
          <w:p w14:paraId="237F299D" w14:textId="77777777" w:rsidR="00650528" w:rsidRPr="00734AB6" w:rsidRDefault="00650528" w:rsidP="00E161A9">
            <w:pPr>
              <w:spacing w:line="360" w:lineRule="auto"/>
              <w:rPr>
                <w:rFonts w:asciiTheme="majorHAnsi" w:hAnsiTheme="majorHAnsi"/>
              </w:rPr>
            </w:pPr>
            <w:r w:rsidRPr="00734AB6">
              <w:rPr>
                <w:rFonts w:asciiTheme="majorHAnsi" w:hAnsiTheme="majorHAnsi"/>
              </w:rPr>
              <w:t>54.41 (1.75)</w:t>
            </w:r>
          </w:p>
        </w:tc>
      </w:tr>
      <w:tr w:rsidR="00650528" w:rsidRPr="00734AB6" w14:paraId="51F95076" w14:textId="77777777" w:rsidTr="00E161A9">
        <w:tc>
          <w:tcPr>
            <w:tcW w:w="2547" w:type="dxa"/>
            <w:tcBorders>
              <w:top w:val="nil"/>
              <w:bottom w:val="nil"/>
            </w:tcBorders>
          </w:tcPr>
          <w:p w14:paraId="3085C4CE"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Shift</w:t>
            </w:r>
          </w:p>
        </w:tc>
        <w:tc>
          <w:tcPr>
            <w:tcW w:w="2551" w:type="dxa"/>
            <w:tcBorders>
              <w:top w:val="nil"/>
              <w:bottom w:val="nil"/>
            </w:tcBorders>
          </w:tcPr>
          <w:p w14:paraId="16DBD8F9" w14:textId="77777777" w:rsidR="00650528" w:rsidRPr="00734AB6" w:rsidRDefault="00650528" w:rsidP="00E161A9">
            <w:pPr>
              <w:spacing w:line="360" w:lineRule="auto"/>
              <w:rPr>
                <w:rFonts w:asciiTheme="majorHAnsi" w:hAnsiTheme="majorHAnsi"/>
              </w:rPr>
            </w:pPr>
            <w:r w:rsidRPr="00734AB6">
              <w:rPr>
                <w:rFonts w:asciiTheme="majorHAnsi" w:hAnsiTheme="majorHAnsi"/>
              </w:rPr>
              <w:t>58.02 (1.57)</w:t>
            </w:r>
          </w:p>
        </w:tc>
        <w:tc>
          <w:tcPr>
            <w:tcW w:w="2410" w:type="dxa"/>
            <w:tcBorders>
              <w:top w:val="nil"/>
              <w:bottom w:val="nil"/>
            </w:tcBorders>
          </w:tcPr>
          <w:p w14:paraId="0B1F7C89" w14:textId="77777777" w:rsidR="00650528" w:rsidRPr="00734AB6" w:rsidRDefault="00650528" w:rsidP="00E161A9">
            <w:pPr>
              <w:spacing w:line="360" w:lineRule="auto"/>
              <w:rPr>
                <w:rFonts w:asciiTheme="majorHAnsi" w:hAnsiTheme="majorHAnsi"/>
              </w:rPr>
            </w:pPr>
            <w:r w:rsidRPr="00734AB6">
              <w:rPr>
                <w:rFonts w:asciiTheme="majorHAnsi" w:hAnsiTheme="majorHAnsi"/>
              </w:rPr>
              <w:t>55.43 (1.63)</w:t>
            </w:r>
          </w:p>
        </w:tc>
      </w:tr>
      <w:tr w:rsidR="00650528" w:rsidRPr="00734AB6" w14:paraId="77294C84" w14:textId="77777777" w:rsidTr="00E161A9">
        <w:tc>
          <w:tcPr>
            <w:tcW w:w="2547" w:type="dxa"/>
            <w:tcBorders>
              <w:top w:val="nil"/>
              <w:bottom w:val="nil"/>
            </w:tcBorders>
          </w:tcPr>
          <w:p w14:paraId="64909DA6"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Emotional Control</w:t>
            </w:r>
          </w:p>
        </w:tc>
        <w:tc>
          <w:tcPr>
            <w:tcW w:w="2551" w:type="dxa"/>
            <w:tcBorders>
              <w:top w:val="nil"/>
              <w:bottom w:val="nil"/>
            </w:tcBorders>
          </w:tcPr>
          <w:p w14:paraId="1AFCE0E5" w14:textId="77777777" w:rsidR="00650528" w:rsidRPr="00734AB6" w:rsidRDefault="00650528" w:rsidP="00E161A9">
            <w:pPr>
              <w:spacing w:line="360" w:lineRule="auto"/>
              <w:rPr>
                <w:rFonts w:asciiTheme="majorHAnsi" w:hAnsiTheme="majorHAnsi"/>
              </w:rPr>
            </w:pPr>
            <w:r w:rsidRPr="00734AB6">
              <w:rPr>
                <w:rFonts w:asciiTheme="majorHAnsi" w:hAnsiTheme="majorHAnsi"/>
              </w:rPr>
              <w:t>50.68 (1.97)</w:t>
            </w:r>
          </w:p>
        </w:tc>
        <w:tc>
          <w:tcPr>
            <w:tcW w:w="2410" w:type="dxa"/>
            <w:tcBorders>
              <w:top w:val="nil"/>
              <w:bottom w:val="nil"/>
            </w:tcBorders>
          </w:tcPr>
          <w:p w14:paraId="724C60C5" w14:textId="77777777" w:rsidR="00650528" w:rsidRPr="00734AB6" w:rsidRDefault="00650528" w:rsidP="00E161A9">
            <w:pPr>
              <w:spacing w:line="360" w:lineRule="auto"/>
              <w:rPr>
                <w:rFonts w:asciiTheme="majorHAnsi" w:hAnsiTheme="majorHAnsi"/>
              </w:rPr>
            </w:pPr>
            <w:r w:rsidRPr="00734AB6">
              <w:rPr>
                <w:rFonts w:asciiTheme="majorHAnsi" w:hAnsiTheme="majorHAnsi"/>
              </w:rPr>
              <w:t>56.67 (2.04)</w:t>
            </w:r>
          </w:p>
        </w:tc>
      </w:tr>
      <w:tr w:rsidR="00650528" w:rsidRPr="00734AB6" w14:paraId="5F562E79" w14:textId="77777777" w:rsidTr="00E161A9">
        <w:tc>
          <w:tcPr>
            <w:tcW w:w="2547" w:type="dxa"/>
            <w:tcBorders>
              <w:top w:val="nil"/>
              <w:bottom w:val="nil"/>
            </w:tcBorders>
          </w:tcPr>
          <w:p w14:paraId="066953FA"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Self-Monitor</w:t>
            </w:r>
          </w:p>
        </w:tc>
        <w:tc>
          <w:tcPr>
            <w:tcW w:w="2551" w:type="dxa"/>
            <w:tcBorders>
              <w:top w:val="nil"/>
              <w:bottom w:val="nil"/>
            </w:tcBorders>
          </w:tcPr>
          <w:p w14:paraId="11C74037" w14:textId="77777777" w:rsidR="00650528" w:rsidRPr="00734AB6" w:rsidRDefault="00650528" w:rsidP="00E161A9">
            <w:pPr>
              <w:spacing w:line="360" w:lineRule="auto"/>
              <w:rPr>
                <w:rFonts w:asciiTheme="majorHAnsi" w:hAnsiTheme="majorHAnsi"/>
              </w:rPr>
            </w:pPr>
            <w:r w:rsidRPr="00734AB6">
              <w:rPr>
                <w:rFonts w:asciiTheme="majorHAnsi" w:hAnsiTheme="majorHAnsi"/>
              </w:rPr>
              <w:t>48.67 (1.51)</w:t>
            </w:r>
          </w:p>
        </w:tc>
        <w:tc>
          <w:tcPr>
            <w:tcW w:w="2410" w:type="dxa"/>
            <w:tcBorders>
              <w:top w:val="nil"/>
              <w:bottom w:val="nil"/>
            </w:tcBorders>
          </w:tcPr>
          <w:p w14:paraId="23F73FC5" w14:textId="77777777" w:rsidR="00650528" w:rsidRPr="00734AB6" w:rsidRDefault="00650528" w:rsidP="00E161A9">
            <w:pPr>
              <w:spacing w:line="360" w:lineRule="auto"/>
              <w:rPr>
                <w:rFonts w:asciiTheme="majorHAnsi" w:hAnsiTheme="majorHAnsi"/>
              </w:rPr>
            </w:pPr>
            <w:r w:rsidRPr="00734AB6">
              <w:rPr>
                <w:rFonts w:asciiTheme="majorHAnsi" w:hAnsiTheme="majorHAnsi"/>
              </w:rPr>
              <w:t>51.52 (1.57)</w:t>
            </w:r>
          </w:p>
        </w:tc>
      </w:tr>
      <w:tr w:rsidR="00650528" w:rsidRPr="00734AB6" w14:paraId="08589574" w14:textId="77777777" w:rsidTr="00E161A9">
        <w:tc>
          <w:tcPr>
            <w:tcW w:w="2547" w:type="dxa"/>
            <w:tcBorders>
              <w:top w:val="nil"/>
              <w:bottom w:val="nil"/>
            </w:tcBorders>
          </w:tcPr>
          <w:p w14:paraId="0841C3DC"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Initiate</w:t>
            </w:r>
          </w:p>
        </w:tc>
        <w:tc>
          <w:tcPr>
            <w:tcW w:w="2551" w:type="dxa"/>
            <w:tcBorders>
              <w:top w:val="nil"/>
              <w:bottom w:val="nil"/>
            </w:tcBorders>
          </w:tcPr>
          <w:p w14:paraId="5E03719D" w14:textId="77777777" w:rsidR="00650528" w:rsidRPr="00734AB6" w:rsidRDefault="00650528" w:rsidP="00E161A9">
            <w:pPr>
              <w:spacing w:line="360" w:lineRule="auto"/>
              <w:rPr>
                <w:rFonts w:asciiTheme="majorHAnsi" w:hAnsiTheme="majorHAnsi"/>
              </w:rPr>
            </w:pPr>
            <w:r w:rsidRPr="00734AB6">
              <w:rPr>
                <w:rFonts w:asciiTheme="majorHAnsi" w:hAnsiTheme="majorHAnsi"/>
              </w:rPr>
              <w:t>59.47 (1.80)</w:t>
            </w:r>
          </w:p>
        </w:tc>
        <w:tc>
          <w:tcPr>
            <w:tcW w:w="2410" w:type="dxa"/>
            <w:tcBorders>
              <w:top w:val="nil"/>
              <w:bottom w:val="nil"/>
            </w:tcBorders>
          </w:tcPr>
          <w:p w14:paraId="452A71B2" w14:textId="77777777" w:rsidR="00650528" w:rsidRPr="00734AB6" w:rsidRDefault="00650528" w:rsidP="00E161A9">
            <w:pPr>
              <w:spacing w:line="360" w:lineRule="auto"/>
              <w:rPr>
                <w:rFonts w:asciiTheme="majorHAnsi" w:hAnsiTheme="majorHAnsi"/>
              </w:rPr>
            </w:pPr>
            <w:r w:rsidRPr="00734AB6">
              <w:rPr>
                <w:rFonts w:asciiTheme="majorHAnsi" w:hAnsiTheme="majorHAnsi"/>
              </w:rPr>
              <w:t>56.13 (1.89)</w:t>
            </w:r>
          </w:p>
        </w:tc>
      </w:tr>
      <w:tr w:rsidR="00650528" w:rsidRPr="00734AB6" w14:paraId="08F3819D" w14:textId="77777777" w:rsidTr="00E161A9">
        <w:tc>
          <w:tcPr>
            <w:tcW w:w="2547" w:type="dxa"/>
            <w:tcBorders>
              <w:top w:val="nil"/>
              <w:bottom w:val="nil"/>
            </w:tcBorders>
          </w:tcPr>
          <w:p w14:paraId="496A4A2C"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Working Memory</w:t>
            </w:r>
          </w:p>
        </w:tc>
        <w:tc>
          <w:tcPr>
            <w:tcW w:w="2551" w:type="dxa"/>
            <w:tcBorders>
              <w:top w:val="nil"/>
              <w:bottom w:val="nil"/>
            </w:tcBorders>
          </w:tcPr>
          <w:p w14:paraId="0DAC5B52" w14:textId="77777777" w:rsidR="00650528" w:rsidRPr="00734AB6" w:rsidRDefault="00650528" w:rsidP="00E161A9">
            <w:pPr>
              <w:spacing w:line="360" w:lineRule="auto"/>
              <w:rPr>
                <w:rFonts w:asciiTheme="majorHAnsi" w:hAnsiTheme="majorHAnsi"/>
              </w:rPr>
            </w:pPr>
            <w:r w:rsidRPr="00734AB6">
              <w:rPr>
                <w:rFonts w:asciiTheme="majorHAnsi" w:hAnsiTheme="majorHAnsi"/>
              </w:rPr>
              <w:t>60.55 (1.75)</w:t>
            </w:r>
          </w:p>
        </w:tc>
        <w:tc>
          <w:tcPr>
            <w:tcW w:w="2410" w:type="dxa"/>
            <w:tcBorders>
              <w:top w:val="nil"/>
              <w:bottom w:val="nil"/>
            </w:tcBorders>
          </w:tcPr>
          <w:p w14:paraId="28380A65" w14:textId="77777777" w:rsidR="00650528" w:rsidRPr="00734AB6" w:rsidRDefault="00650528" w:rsidP="00E161A9">
            <w:pPr>
              <w:spacing w:line="360" w:lineRule="auto"/>
              <w:rPr>
                <w:rFonts w:asciiTheme="majorHAnsi" w:hAnsiTheme="majorHAnsi"/>
              </w:rPr>
            </w:pPr>
            <w:r w:rsidRPr="00734AB6">
              <w:rPr>
                <w:rFonts w:asciiTheme="majorHAnsi" w:hAnsiTheme="majorHAnsi"/>
              </w:rPr>
              <w:t>61.75 (1.83)</w:t>
            </w:r>
          </w:p>
        </w:tc>
      </w:tr>
      <w:tr w:rsidR="00650528" w:rsidRPr="00734AB6" w14:paraId="4A7CC2C3" w14:textId="77777777" w:rsidTr="00E161A9">
        <w:tc>
          <w:tcPr>
            <w:tcW w:w="2547" w:type="dxa"/>
            <w:tcBorders>
              <w:top w:val="nil"/>
              <w:bottom w:val="nil"/>
            </w:tcBorders>
          </w:tcPr>
          <w:p w14:paraId="00C00B01"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Plan/Organise</w:t>
            </w:r>
          </w:p>
        </w:tc>
        <w:tc>
          <w:tcPr>
            <w:tcW w:w="2551" w:type="dxa"/>
            <w:tcBorders>
              <w:top w:val="nil"/>
              <w:bottom w:val="nil"/>
            </w:tcBorders>
          </w:tcPr>
          <w:p w14:paraId="6272C3DB" w14:textId="77777777" w:rsidR="00650528" w:rsidRPr="00734AB6" w:rsidRDefault="00650528" w:rsidP="00E161A9">
            <w:pPr>
              <w:spacing w:line="360" w:lineRule="auto"/>
              <w:rPr>
                <w:rFonts w:asciiTheme="majorHAnsi" w:hAnsiTheme="majorHAnsi"/>
              </w:rPr>
            </w:pPr>
            <w:r w:rsidRPr="00734AB6">
              <w:rPr>
                <w:rFonts w:asciiTheme="majorHAnsi" w:hAnsiTheme="majorHAnsi"/>
              </w:rPr>
              <w:t>56.61 (1.63)</w:t>
            </w:r>
          </w:p>
        </w:tc>
        <w:tc>
          <w:tcPr>
            <w:tcW w:w="2410" w:type="dxa"/>
            <w:tcBorders>
              <w:top w:val="nil"/>
              <w:bottom w:val="nil"/>
            </w:tcBorders>
          </w:tcPr>
          <w:p w14:paraId="67D0A5FD" w14:textId="77777777" w:rsidR="00650528" w:rsidRPr="00734AB6" w:rsidRDefault="00650528" w:rsidP="00E161A9">
            <w:pPr>
              <w:spacing w:line="360" w:lineRule="auto"/>
              <w:rPr>
                <w:rFonts w:asciiTheme="majorHAnsi" w:hAnsiTheme="majorHAnsi"/>
              </w:rPr>
            </w:pPr>
            <w:r w:rsidRPr="00734AB6">
              <w:rPr>
                <w:rFonts w:asciiTheme="majorHAnsi" w:hAnsiTheme="majorHAnsi"/>
              </w:rPr>
              <w:t>54.22 (1.71)</w:t>
            </w:r>
          </w:p>
        </w:tc>
      </w:tr>
      <w:tr w:rsidR="00650528" w:rsidRPr="00734AB6" w14:paraId="6C5A7173" w14:textId="77777777" w:rsidTr="00E161A9">
        <w:tc>
          <w:tcPr>
            <w:tcW w:w="2547" w:type="dxa"/>
            <w:tcBorders>
              <w:top w:val="nil"/>
              <w:bottom w:val="nil"/>
            </w:tcBorders>
          </w:tcPr>
          <w:p w14:paraId="2F48833D"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Task Monitor</w:t>
            </w:r>
          </w:p>
        </w:tc>
        <w:tc>
          <w:tcPr>
            <w:tcW w:w="2551" w:type="dxa"/>
            <w:tcBorders>
              <w:top w:val="nil"/>
              <w:bottom w:val="nil"/>
            </w:tcBorders>
          </w:tcPr>
          <w:p w14:paraId="0BDF912E" w14:textId="77777777" w:rsidR="00650528" w:rsidRPr="00734AB6" w:rsidRDefault="00650528" w:rsidP="00E161A9">
            <w:pPr>
              <w:spacing w:line="360" w:lineRule="auto"/>
              <w:rPr>
                <w:rFonts w:asciiTheme="majorHAnsi" w:hAnsiTheme="majorHAnsi"/>
              </w:rPr>
            </w:pPr>
            <w:r w:rsidRPr="00734AB6">
              <w:rPr>
                <w:rFonts w:asciiTheme="majorHAnsi" w:hAnsiTheme="majorHAnsi"/>
              </w:rPr>
              <w:t>58.15 (1.80)</w:t>
            </w:r>
          </w:p>
        </w:tc>
        <w:tc>
          <w:tcPr>
            <w:tcW w:w="2410" w:type="dxa"/>
            <w:tcBorders>
              <w:top w:val="nil"/>
              <w:bottom w:val="nil"/>
            </w:tcBorders>
          </w:tcPr>
          <w:p w14:paraId="1AD15945" w14:textId="77777777" w:rsidR="00650528" w:rsidRPr="00734AB6" w:rsidRDefault="00650528" w:rsidP="00E161A9">
            <w:pPr>
              <w:spacing w:line="360" w:lineRule="auto"/>
              <w:rPr>
                <w:rFonts w:asciiTheme="majorHAnsi" w:hAnsiTheme="majorHAnsi"/>
              </w:rPr>
            </w:pPr>
            <w:r w:rsidRPr="00734AB6">
              <w:rPr>
                <w:rFonts w:asciiTheme="majorHAnsi" w:hAnsiTheme="majorHAnsi"/>
              </w:rPr>
              <w:t>57.56 (1.89)</w:t>
            </w:r>
          </w:p>
        </w:tc>
      </w:tr>
      <w:tr w:rsidR="00650528" w:rsidRPr="00734AB6" w14:paraId="4FDCB742" w14:textId="77777777" w:rsidTr="00E161A9">
        <w:tc>
          <w:tcPr>
            <w:tcW w:w="2547" w:type="dxa"/>
            <w:tcBorders>
              <w:top w:val="nil"/>
              <w:bottom w:val="nil"/>
            </w:tcBorders>
          </w:tcPr>
          <w:p w14:paraId="64BF2A42"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Organization of Materials</w:t>
            </w:r>
          </w:p>
        </w:tc>
        <w:tc>
          <w:tcPr>
            <w:tcW w:w="2551" w:type="dxa"/>
            <w:tcBorders>
              <w:top w:val="nil"/>
              <w:bottom w:val="nil"/>
            </w:tcBorders>
          </w:tcPr>
          <w:p w14:paraId="14C50BF5" w14:textId="77777777" w:rsidR="00650528" w:rsidRPr="00734AB6" w:rsidRDefault="00650528" w:rsidP="00E161A9">
            <w:pPr>
              <w:spacing w:line="360" w:lineRule="auto"/>
              <w:rPr>
                <w:rFonts w:asciiTheme="majorHAnsi" w:hAnsiTheme="majorHAnsi"/>
              </w:rPr>
            </w:pPr>
            <w:r w:rsidRPr="00734AB6">
              <w:rPr>
                <w:rFonts w:asciiTheme="majorHAnsi" w:hAnsiTheme="majorHAnsi"/>
              </w:rPr>
              <w:t>52.06 (1.70)</w:t>
            </w:r>
          </w:p>
        </w:tc>
        <w:tc>
          <w:tcPr>
            <w:tcW w:w="2410" w:type="dxa"/>
            <w:tcBorders>
              <w:top w:val="nil"/>
              <w:bottom w:val="nil"/>
            </w:tcBorders>
          </w:tcPr>
          <w:p w14:paraId="666871A5" w14:textId="77777777" w:rsidR="00650528" w:rsidRPr="00734AB6" w:rsidRDefault="00650528" w:rsidP="00E161A9">
            <w:pPr>
              <w:spacing w:line="360" w:lineRule="auto"/>
              <w:rPr>
                <w:rFonts w:asciiTheme="majorHAnsi" w:hAnsiTheme="majorHAnsi"/>
              </w:rPr>
            </w:pPr>
            <w:r w:rsidRPr="00734AB6">
              <w:rPr>
                <w:rFonts w:asciiTheme="majorHAnsi" w:hAnsiTheme="majorHAnsi"/>
              </w:rPr>
              <w:t>50.50 (1.78)</w:t>
            </w:r>
          </w:p>
        </w:tc>
      </w:tr>
      <w:tr w:rsidR="00650528" w:rsidRPr="00734AB6" w14:paraId="19A06CAE" w14:textId="77777777" w:rsidTr="00E161A9">
        <w:tc>
          <w:tcPr>
            <w:tcW w:w="2547" w:type="dxa"/>
            <w:tcBorders>
              <w:top w:val="nil"/>
              <w:bottom w:val="nil"/>
            </w:tcBorders>
          </w:tcPr>
          <w:p w14:paraId="616F4387"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BRI</w:t>
            </w:r>
          </w:p>
        </w:tc>
        <w:tc>
          <w:tcPr>
            <w:tcW w:w="2551" w:type="dxa"/>
            <w:tcBorders>
              <w:top w:val="nil"/>
              <w:bottom w:val="nil"/>
            </w:tcBorders>
          </w:tcPr>
          <w:p w14:paraId="047E891C" w14:textId="77777777" w:rsidR="00650528" w:rsidRPr="00734AB6" w:rsidRDefault="00650528" w:rsidP="00E161A9">
            <w:pPr>
              <w:spacing w:line="360" w:lineRule="auto"/>
              <w:rPr>
                <w:rFonts w:asciiTheme="majorHAnsi" w:hAnsiTheme="majorHAnsi"/>
              </w:rPr>
            </w:pPr>
            <w:r w:rsidRPr="00734AB6">
              <w:rPr>
                <w:rFonts w:asciiTheme="majorHAnsi" w:hAnsiTheme="majorHAnsi"/>
              </w:rPr>
              <w:t>53.11 (1.51)</w:t>
            </w:r>
          </w:p>
        </w:tc>
        <w:tc>
          <w:tcPr>
            <w:tcW w:w="2410" w:type="dxa"/>
            <w:tcBorders>
              <w:top w:val="nil"/>
              <w:bottom w:val="nil"/>
            </w:tcBorders>
          </w:tcPr>
          <w:p w14:paraId="055E9C57" w14:textId="77777777" w:rsidR="00650528" w:rsidRPr="00734AB6" w:rsidRDefault="00650528" w:rsidP="00E161A9">
            <w:pPr>
              <w:spacing w:line="360" w:lineRule="auto"/>
              <w:rPr>
                <w:rFonts w:asciiTheme="majorHAnsi" w:hAnsiTheme="majorHAnsi"/>
              </w:rPr>
            </w:pPr>
            <w:r w:rsidRPr="00734AB6">
              <w:rPr>
                <w:rFonts w:asciiTheme="majorHAnsi" w:hAnsiTheme="majorHAnsi"/>
              </w:rPr>
              <w:t>55.30 (1.53)</w:t>
            </w:r>
          </w:p>
        </w:tc>
      </w:tr>
      <w:tr w:rsidR="00650528" w:rsidRPr="00734AB6" w14:paraId="79D9ED8D" w14:textId="77777777" w:rsidTr="00E161A9">
        <w:tc>
          <w:tcPr>
            <w:tcW w:w="2547" w:type="dxa"/>
            <w:tcBorders>
              <w:top w:val="nil"/>
              <w:bottom w:val="nil"/>
            </w:tcBorders>
          </w:tcPr>
          <w:p w14:paraId="3A761618"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MI</w:t>
            </w:r>
          </w:p>
        </w:tc>
        <w:tc>
          <w:tcPr>
            <w:tcW w:w="2551" w:type="dxa"/>
            <w:tcBorders>
              <w:top w:val="nil"/>
              <w:bottom w:val="nil"/>
            </w:tcBorders>
          </w:tcPr>
          <w:p w14:paraId="5F3A6A1D" w14:textId="77777777" w:rsidR="00650528" w:rsidRPr="00734AB6" w:rsidRDefault="00650528" w:rsidP="00E161A9">
            <w:pPr>
              <w:spacing w:line="360" w:lineRule="auto"/>
              <w:rPr>
                <w:rFonts w:asciiTheme="majorHAnsi" w:hAnsiTheme="majorHAnsi"/>
              </w:rPr>
            </w:pPr>
            <w:r w:rsidRPr="00734AB6">
              <w:rPr>
                <w:rFonts w:asciiTheme="majorHAnsi" w:hAnsiTheme="majorHAnsi"/>
              </w:rPr>
              <w:t>56.58 (1.57)</w:t>
            </w:r>
          </w:p>
        </w:tc>
        <w:tc>
          <w:tcPr>
            <w:tcW w:w="2410" w:type="dxa"/>
            <w:tcBorders>
              <w:top w:val="nil"/>
              <w:bottom w:val="nil"/>
            </w:tcBorders>
          </w:tcPr>
          <w:p w14:paraId="5F05BABE" w14:textId="77777777" w:rsidR="00650528" w:rsidRPr="00734AB6" w:rsidRDefault="00650528" w:rsidP="00E161A9">
            <w:pPr>
              <w:spacing w:line="360" w:lineRule="auto"/>
              <w:rPr>
                <w:rFonts w:asciiTheme="majorHAnsi" w:hAnsiTheme="majorHAnsi"/>
              </w:rPr>
            </w:pPr>
            <w:r w:rsidRPr="00734AB6">
              <w:rPr>
                <w:rFonts w:asciiTheme="majorHAnsi" w:hAnsiTheme="majorHAnsi"/>
              </w:rPr>
              <w:t>56.43 (1.59)</w:t>
            </w:r>
          </w:p>
        </w:tc>
      </w:tr>
      <w:tr w:rsidR="00650528" w:rsidRPr="00734AB6" w14:paraId="65DB7CB5" w14:textId="77777777" w:rsidTr="00E161A9">
        <w:tc>
          <w:tcPr>
            <w:tcW w:w="2547" w:type="dxa"/>
            <w:tcBorders>
              <w:top w:val="nil"/>
            </w:tcBorders>
          </w:tcPr>
          <w:p w14:paraId="387B34F5" w14:textId="77777777" w:rsidR="00650528" w:rsidRPr="00734AB6" w:rsidRDefault="00650528" w:rsidP="00E161A9">
            <w:pPr>
              <w:spacing w:line="360" w:lineRule="auto"/>
              <w:rPr>
                <w:rFonts w:asciiTheme="majorHAnsi" w:hAnsiTheme="majorHAnsi"/>
                <w:b/>
              </w:rPr>
            </w:pPr>
            <w:r w:rsidRPr="00734AB6">
              <w:rPr>
                <w:rFonts w:asciiTheme="majorHAnsi" w:hAnsiTheme="majorHAnsi"/>
                <w:b/>
              </w:rPr>
              <w:t>GEC</w:t>
            </w:r>
          </w:p>
        </w:tc>
        <w:tc>
          <w:tcPr>
            <w:tcW w:w="2551" w:type="dxa"/>
            <w:tcBorders>
              <w:top w:val="nil"/>
            </w:tcBorders>
          </w:tcPr>
          <w:p w14:paraId="69AB62DC" w14:textId="77777777" w:rsidR="00650528" w:rsidRPr="00734AB6" w:rsidRDefault="00650528" w:rsidP="00E161A9">
            <w:pPr>
              <w:spacing w:line="360" w:lineRule="auto"/>
              <w:rPr>
                <w:rFonts w:asciiTheme="majorHAnsi" w:hAnsiTheme="majorHAnsi"/>
              </w:rPr>
            </w:pPr>
            <w:r w:rsidRPr="00734AB6">
              <w:rPr>
                <w:rFonts w:asciiTheme="majorHAnsi" w:hAnsiTheme="majorHAnsi"/>
              </w:rPr>
              <w:t>55.61 (1.47)</w:t>
            </w:r>
          </w:p>
        </w:tc>
        <w:tc>
          <w:tcPr>
            <w:tcW w:w="2410" w:type="dxa"/>
            <w:tcBorders>
              <w:top w:val="nil"/>
            </w:tcBorders>
          </w:tcPr>
          <w:p w14:paraId="6EFC732D" w14:textId="77777777" w:rsidR="00650528" w:rsidRPr="00734AB6" w:rsidRDefault="00650528" w:rsidP="00E161A9">
            <w:pPr>
              <w:spacing w:line="360" w:lineRule="auto"/>
              <w:rPr>
                <w:rFonts w:asciiTheme="majorHAnsi" w:hAnsiTheme="majorHAnsi"/>
              </w:rPr>
            </w:pPr>
            <w:r w:rsidRPr="00734AB6">
              <w:rPr>
                <w:rFonts w:asciiTheme="majorHAnsi" w:hAnsiTheme="majorHAnsi"/>
              </w:rPr>
              <w:t>56.49 (1.47)</w:t>
            </w:r>
          </w:p>
        </w:tc>
      </w:tr>
    </w:tbl>
    <w:p w14:paraId="304C133B" w14:textId="77777777" w:rsidR="00650528" w:rsidRPr="00734AB6" w:rsidRDefault="00650528" w:rsidP="00650528">
      <w:pPr>
        <w:spacing w:line="360" w:lineRule="auto"/>
        <w:rPr>
          <w:rFonts w:asciiTheme="majorHAnsi" w:hAnsiTheme="majorHAnsi"/>
        </w:rPr>
      </w:pPr>
    </w:p>
    <w:p w14:paraId="718A925A" w14:textId="6B1BA53D" w:rsidR="00650528" w:rsidRPr="00734AB6" w:rsidRDefault="00650528" w:rsidP="002C02AF">
      <w:pPr>
        <w:pStyle w:val="Heading4"/>
        <w:tabs>
          <w:tab w:val="left" w:pos="851"/>
        </w:tabs>
        <w:spacing w:after="240" w:line="360" w:lineRule="auto"/>
        <w:rPr>
          <w:b/>
          <w:i w:val="0"/>
          <w:color w:val="auto"/>
        </w:rPr>
      </w:pPr>
      <w:r w:rsidRPr="00734AB6">
        <w:rPr>
          <w:b/>
          <w:i w:val="0"/>
          <w:color w:val="auto"/>
        </w:rPr>
        <w:t>4.3.</w:t>
      </w:r>
      <w:r w:rsidR="002C02AF" w:rsidRPr="00734AB6">
        <w:rPr>
          <w:b/>
          <w:i w:val="0"/>
          <w:color w:val="auto"/>
        </w:rPr>
        <w:t>11</w:t>
      </w:r>
      <w:r w:rsidRPr="00734AB6">
        <w:rPr>
          <w:b/>
          <w:i w:val="0"/>
          <w:color w:val="auto"/>
        </w:rPr>
        <w:t>.1</w:t>
      </w:r>
      <w:r w:rsidR="002C02AF" w:rsidRPr="00734AB6">
        <w:rPr>
          <w:b/>
          <w:i w:val="0"/>
          <w:color w:val="auto"/>
        </w:rPr>
        <w:tab/>
      </w:r>
      <w:r w:rsidRPr="00734AB6">
        <w:rPr>
          <w:b/>
          <w:i w:val="0"/>
          <w:color w:val="auto"/>
        </w:rPr>
        <w:t xml:space="preserve">BRI, MI and GEC </w:t>
      </w:r>
    </w:p>
    <w:p w14:paraId="6C1D7151" w14:textId="7B3B13CC" w:rsidR="00650528" w:rsidRPr="00734AB6" w:rsidRDefault="00650528" w:rsidP="00650528">
      <w:pPr>
        <w:spacing w:line="360" w:lineRule="auto"/>
        <w:ind w:firstLine="1134"/>
        <w:rPr>
          <w:rFonts w:asciiTheme="majorHAnsi" w:eastAsia="Calibri" w:hAnsiTheme="majorHAnsi"/>
        </w:rPr>
      </w:pPr>
      <w:r w:rsidRPr="00734AB6">
        <w:rPr>
          <w:rFonts w:asciiTheme="majorHAnsi" w:eastAsia="Calibri" w:hAnsiTheme="majorHAnsi"/>
        </w:rPr>
        <w:t>On average, the CED-user group scored lower on the BRI compared with controls</w:t>
      </w:r>
      <w:r w:rsidR="00DF300B" w:rsidRPr="00734AB6">
        <w:rPr>
          <w:rFonts w:asciiTheme="majorHAnsi" w:eastAsia="Calibri" w:hAnsiTheme="majorHAnsi"/>
        </w:rPr>
        <w:t>.</w:t>
      </w:r>
      <w:r w:rsidRPr="00734AB6">
        <w:rPr>
          <w:rFonts w:asciiTheme="majorHAnsi" w:eastAsia="Calibri" w:hAnsiTheme="majorHAnsi"/>
        </w:rPr>
        <w:t xml:space="preserve"> </w:t>
      </w:r>
      <w:r w:rsidR="00DF300B" w:rsidRPr="00734AB6">
        <w:rPr>
          <w:rFonts w:asciiTheme="majorHAnsi" w:eastAsia="Calibri" w:hAnsiTheme="majorHAnsi"/>
        </w:rPr>
        <w:t>H</w:t>
      </w:r>
      <w:r w:rsidRPr="00734AB6">
        <w:rPr>
          <w:rFonts w:asciiTheme="majorHAnsi" w:eastAsia="Calibri" w:hAnsiTheme="majorHAnsi"/>
        </w:rPr>
        <w:t>owever</w:t>
      </w:r>
      <w:r w:rsidR="00DF300B" w:rsidRPr="00734AB6">
        <w:rPr>
          <w:rFonts w:asciiTheme="majorHAnsi" w:eastAsia="Calibri" w:hAnsiTheme="majorHAnsi"/>
        </w:rPr>
        <w:t>,</w:t>
      </w:r>
      <w:r w:rsidRPr="00734AB6">
        <w:rPr>
          <w:rFonts w:asciiTheme="majorHAnsi" w:eastAsia="Calibri" w:hAnsiTheme="majorHAnsi"/>
        </w:rPr>
        <w:t xml:space="preserve"> the difference was not </w:t>
      </w:r>
      <w:r w:rsidR="00DF300B" w:rsidRPr="00734AB6">
        <w:rPr>
          <w:rFonts w:asciiTheme="majorHAnsi" w:eastAsia="Calibri" w:hAnsiTheme="majorHAnsi"/>
        </w:rPr>
        <w:t xml:space="preserve">statistically </w:t>
      </w:r>
      <w:r w:rsidRPr="00734AB6">
        <w:rPr>
          <w:rFonts w:asciiTheme="majorHAnsi" w:eastAsia="Calibri" w:hAnsiTheme="majorHAnsi"/>
        </w:rPr>
        <w:t>significant</w:t>
      </w:r>
      <w:r w:rsidR="00DF300B" w:rsidRPr="00734AB6">
        <w:rPr>
          <w:rFonts w:asciiTheme="majorHAnsi" w:eastAsia="Calibri" w:hAnsiTheme="majorHAnsi"/>
        </w:rPr>
        <w:t>,</w:t>
      </w:r>
      <w:r w:rsidRPr="00734AB6">
        <w:rPr>
          <w:rFonts w:asciiTheme="majorHAnsi" w:eastAsia="Calibri" w:hAnsiTheme="majorHAnsi"/>
        </w:rPr>
        <w:t xml:space="preserve"> </w:t>
      </w:r>
      <w:r w:rsidRPr="00734AB6">
        <w:rPr>
          <w:rFonts w:asciiTheme="majorHAnsi" w:eastAsia="Calibri" w:hAnsiTheme="majorHAnsi"/>
          <w:i/>
        </w:rPr>
        <w:t>t</w:t>
      </w:r>
      <w:r w:rsidRPr="00734AB6">
        <w:rPr>
          <w:rFonts w:asciiTheme="majorHAnsi" w:eastAsia="Calibri" w:hAnsiTheme="majorHAnsi"/>
        </w:rPr>
        <w:t>(</w:t>
      </w:r>
      <w:r w:rsidRPr="00734AB6">
        <w:rPr>
          <w:rFonts w:asciiTheme="majorHAnsi" w:eastAsia="Calibri" w:hAnsiTheme="majorHAnsi"/>
          <w:vertAlign w:val="subscript"/>
        </w:rPr>
        <w:t>86</w:t>
      </w:r>
      <w:r w:rsidRPr="00734AB6">
        <w:rPr>
          <w:rFonts w:asciiTheme="majorHAnsi" w:eastAsia="Calibri" w:hAnsiTheme="majorHAnsi"/>
        </w:rPr>
        <w:t xml:space="preserve">) = -.42, </w:t>
      </w:r>
      <w:r w:rsidRPr="00734AB6">
        <w:rPr>
          <w:rFonts w:asciiTheme="majorHAnsi" w:eastAsia="Calibri" w:hAnsiTheme="majorHAnsi"/>
          <w:i/>
        </w:rPr>
        <w:t>p</w:t>
      </w:r>
      <w:r w:rsidRPr="00734AB6">
        <w:rPr>
          <w:rFonts w:asciiTheme="majorHAnsi" w:eastAsia="Calibri" w:hAnsiTheme="majorHAnsi"/>
        </w:rPr>
        <w:t xml:space="preserve"> = .667. There was no significant difference between the CED-user group and controls on MI scores</w:t>
      </w:r>
      <w:r w:rsidR="00DF300B" w:rsidRPr="00734AB6">
        <w:rPr>
          <w:rFonts w:asciiTheme="majorHAnsi" w:eastAsia="Calibri" w:hAnsiTheme="majorHAnsi"/>
        </w:rPr>
        <w:t>,</w:t>
      </w:r>
      <w:r w:rsidRPr="00734AB6">
        <w:rPr>
          <w:rFonts w:asciiTheme="majorHAnsi" w:eastAsia="Calibri" w:hAnsiTheme="majorHAnsi"/>
        </w:rPr>
        <w:t xml:space="preserve"> </w:t>
      </w:r>
      <w:r w:rsidRPr="00734AB6">
        <w:rPr>
          <w:rFonts w:asciiTheme="majorHAnsi" w:eastAsia="Calibri" w:hAnsiTheme="majorHAnsi"/>
          <w:i/>
        </w:rPr>
        <w:t>t</w:t>
      </w:r>
      <w:r w:rsidRPr="00734AB6">
        <w:rPr>
          <w:rFonts w:asciiTheme="majorHAnsi" w:eastAsia="Calibri" w:hAnsiTheme="majorHAnsi"/>
        </w:rPr>
        <w:t>(</w:t>
      </w:r>
      <w:r w:rsidRPr="00734AB6">
        <w:rPr>
          <w:rFonts w:asciiTheme="majorHAnsi" w:eastAsia="Calibri" w:hAnsiTheme="majorHAnsi"/>
          <w:vertAlign w:val="subscript"/>
        </w:rPr>
        <w:t>86</w:t>
      </w:r>
      <w:r w:rsidRPr="00734AB6">
        <w:rPr>
          <w:rFonts w:asciiTheme="majorHAnsi" w:eastAsia="Calibri" w:hAnsiTheme="majorHAnsi"/>
        </w:rPr>
        <w:t xml:space="preserve">) = .11, </w:t>
      </w:r>
      <w:r w:rsidRPr="00734AB6">
        <w:rPr>
          <w:rFonts w:asciiTheme="majorHAnsi" w:eastAsia="Calibri" w:hAnsiTheme="majorHAnsi"/>
          <w:i/>
        </w:rPr>
        <w:t>p</w:t>
      </w:r>
      <w:r w:rsidRPr="00734AB6">
        <w:rPr>
          <w:rFonts w:asciiTheme="majorHAnsi" w:eastAsia="Calibri" w:hAnsiTheme="majorHAnsi"/>
        </w:rPr>
        <w:t xml:space="preserve"> = .913. On average, the CED-user group scored lower on the GEC compared with controls</w:t>
      </w:r>
      <w:r w:rsidR="00DF300B" w:rsidRPr="00734AB6">
        <w:rPr>
          <w:rFonts w:asciiTheme="majorHAnsi" w:eastAsia="Calibri" w:hAnsiTheme="majorHAnsi"/>
        </w:rPr>
        <w:t>.</w:t>
      </w:r>
      <w:r w:rsidRPr="00734AB6">
        <w:rPr>
          <w:rFonts w:asciiTheme="majorHAnsi" w:eastAsia="Calibri" w:hAnsiTheme="majorHAnsi"/>
        </w:rPr>
        <w:t xml:space="preserve"> </w:t>
      </w:r>
      <w:r w:rsidR="00DF300B" w:rsidRPr="00734AB6">
        <w:rPr>
          <w:rFonts w:asciiTheme="majorHAnsi" w:eastAsia="Calibri" w:hAnsiTheme="majorHAnsi"/>
        </w:rPr>
        <w:t>H</w:t>
      </w:r>
      <w:r w:rsidRPr="00734AB6">
        <w:rPr>
          <w:rFonts w:asciiTheme="majorHAnsi" w:eastAsia="Calibri" w:hAnsiTheme="majorHAnsi"/>
        </w:rPr>
        <w:t>owever</w:t>
      </w:r>
      <w:r w:rsidR="00DF300B" w:rsidRPr="00734AB6">
        <w:rPr>
          <w:rFonts w:asciiTheme="majorHAnsi" w:eastAsia="Calibri" w:hAnsiTheme="majorHAnsi"/>
        </w:rPr>
        <w:t>,</w:t>
      </w:r>
      <w:r w:rsidRPr="00734AB6">
        <w:rPr>
          <w:rFonts w:asciiTheme="majorHAnsi" w:eastAsia="Calibri" w:hAnsiTheme="majorHAnsi"/>
        </w:rPr>
        <w:t xml:space="preserve"> the difference was not significant</w:t>
      </w:r>
      <w:r w:rsidR="00DF300B" w:rsidRPr="00734AB6">
        <w:rPr>
          <w:rFonts w:asciiTheme="majorHAnsi" w:eastAsia="Calibri" w:hAnsiTheme="majorHAnsi"/>
        </w:rPr>
        <w:t>,</w:t>
      </w:r>
      <w:r w:rsidRPr="00734AB6">
        <w:rPr>
          <w:rFonts w:asciiTheme="majorHAnsi" w:eastAsia="Calibri" w:hAnsiTheme="majorHAnsi"/>
        </w:rPr>
        <w:t xml:space="preserve"> </w:t>
      </w:r>
      <w:r w:rsidRPr="00734AB6">
        <w:rPr>
          <w:rFonts w:asciiTheme="majorHAnsi" w:eastAsia="Calibri" w:hAnsiTheme="majorHAnsi"/>
          <w:i/>
        </w:rPr>
        <w:t>t</w:t>
      </w:r>
      <w:r w:rsidRPr="00734AB6">
        <w:rPr>
          <w:rFonts w:asciiTheme="majorHAnsi" w:eastAsia="Calibri" w:hAnsiTheme="majorHAnsi"/>
        </w:rPr>
        <w:t>(</w:t>
      </w:r>
      <w:r w:rsidRPr="00734AB6">
        <w:rPr>
          <w:rFonts w:asciiTheme="majorHAnsi" w:eastAsia="Calibri" w:hAnsiTheme="majorHAnsi"/>
          <w:vertAlign w:val="subscript"/>
        </w:rPr>
        <w:t>87</w:t>
      </w:r>
      <w:r w:rsidRPr="00734AB6">
        <w:rPr>
          <w:rFonts w:asciiTheme="majorHAnsi" w:eastAsia="Calibri" w:hAnsiTheme="majorHAnsi"/>
        </w:rPr>
        <w:t xml:space="preserve">) = .163, </w:t>
      </w:r>
      <w:r w:rsidRPr="00734AB6">
        <w:rPr>
          <w:rFonts w:asciiTheme="majorHAnsi" w:eastAsia="Calibri" w:hAnsiTheme="majorHAnsi"/>
          <w:i/>
        </w:rPr>
        <w:t>p</w:t>
      </w:r>
      <w:r w:rsidRPr="00734AB6">
        <w:rPr>
          <w:rFonts w:asciiTheme="majorHAnsi" w:eastAsia="Calibri" w:hAnsiTheme="majorHAnsi"/>
        </w:rPr>
        <w:t xml:space="preserve"> = .871.</w:t>
      </w:r>
    </w:p>
    <w:p w14:paraId="40911C8C" w14:textId="77777777" w:rsidR="00650528" w:rsidRPr="00734AB6" w:rsidRDefault="00650528" w:rsidP="00650528">
      <w:pPr>
        <w:spacing w:line="360" w:lineRule="auto"/>
        <w:rPr>
          <w:rFonts w:asciiTheme="majorHAnsi" w:hAnsiTheme="majorHAnsi"/>
        </w:rPr>
      </w:pPr>
    </w:p>
    <w:p w14:paraId="1A0104E6" w14:textId="5524D329" w:rsidR="00650528" w:rsidRPr="00734AB6" w:rsidRDefault="00650528" w:rsidP="002C02AF">
      <w:pPr>
        <w:pStyle w:val="Heading4"/>
        <w:tabs>
          <w:tab w:val="left" w:pos="851"/>
        </w:tabs>
        <w:spacing w:after="240" w:line="360" w:lineRule="auto"/>
        <w:rPr>
          <w:b/>
          <w:i w:val="0"/>
          <w:color w:val="auto"/>
        </w:rPr>
      </w:pPr>
      <w:r w:rsidRPr="00734AB6">
        <w:rPr>
          <w:b/>
          <w:i w:val="0"/>
          <w:color w:val="auto"/>
        </w:rPr>
        <w:t>4.3.</w:t>
      </w:r>
      <w:r w:rsidR="002C02AF" w:rsidRPr="00734AB6">
        <w:rPr>
          <w:b/>
          <w:i w:val="0"/>
          <w:color w:val="auto"/>
        </w:rPr>
        <w:t>11</w:t>
      </w:r>
      <w:r w:rsidRPr="00734AB6">
        <w:rPr>
          <w:b/>
          <w:i w:val="0"/>
          <w:color w:val="auto"/>
        </w:rPr>
        <w:t>.2</w:t>
      </w:r>
      <w:r w:rsidR="002C02AF" w:rsidRPr="00734AB6">
        <w:rPr>
          <w:b/>
          <w:i w:val="0"/>
          <w:color w:val="auto"/>
        </w:rPr>
        <w:tab/>
      </w:r>
      <w:r w:rsidRPr="00734AB6">
        <w:rPr>
          <w:b/>
          <w:i w:val="0"/>
          <w:color w:val="auto"/>
        </w:rPr>
        <w:t>BRI and MI scales</w:t>
      </w:r>
    </w:p>
    <w:p w14:paraId="34259D75" w14:textId="77777777" w:rsidR="00650528" w:rsidRPr="00734AB6" w:rsidRDefault="00650528" w:rsidP="00650528">
      <w:pPr>
        <w:spacing w:line="360" w:lineRule="auto"/>
        <w:ind w:firstLine="1134"/>
        <w:rPr>
          <w:rFonts w:asciiTheme="majorHAnsi" w:eastAsia="Calibri" w:hAnsiTheme="majorHAnsi"/>
        </w:rPr>
      </w:pPr>
      <w:r w:rsidRPr="00734AB6">
        <w:rPr>
          <w:rFonts w:asciiTheme="majorHAnsi" w:hAnsiTheme="majorHAnsi"/>
        </w:rPr>
        <w:t xml:space="preserve">The multivariate test indicated that group type had a significant effect on the BRI sub-scales, </w:t>
      </w:r>
      <w:r w:rsidRPr="00734AB6">
        <w:rPr>
          <w:rFonts w:asciiTheme="majorHAnsi" w:hAnsiTheme="majorHAnsi"/>
          <w:i/>
        </w:rPr>
        <w:t>F</w:t>
      </w:r>
      <w:r w:rsidRPr="00734AB6">
        <w:rPr>
          <w:rFonts w:asciiTheme="majorHAnsi" w:hAnsiTheme="majorHAnsi"/>
        </w:rPr>
        <w:t>(</w:t>
      </w:r>
      <w:r w:rsidRPr="00734AB6">
        <w:rPr>
          <w:rFonts w:asciiTheme="majorHAnsi" w:hAnsiTheme="majorHAnsi"/>
          <w:vertAlign w:val="subscript"/>
        </w:rPr>
        <w:t>4,83</w:t>
      </w:r>
      <w:r w:rsidRPr="00734AB6">
        <w:rPr>
          <w:rFonts w:asciiTheme="majorHAnsi" w:hAnsiTheme="majorHAnsi"/>
        </w:rPr>
        <w:t xml:space="preserve">) = 3.79, </w:t>
      </w:r>
      <w:r w:rsidRPr="00734AB6">
        <w:rPr>
          <w:rFonts w:asciiTheme="majorHAnsi" w:hAnsiTheme="majorHAnsi"/>
          <w:i/>
        </w:rPr>
        <w:t>p</w:t>
      </w:r>
      <w:r w:rsidRPr="00734AB6">
        <w:rPr>
          <w:rFonts w:asciiTheme="majorHAnsi" w:hAnsiTheme="majorHAnsi"/>
        </w:rPr>
        <w:t xml:space="preserve"> = .010, Wilk’s Lambda = .85, partial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.149. Follow-up univariate </w:t>
      </w:r>
      <w:r w:rsidRPr="00734AB6">
        <w:rPr>
          <w:rFonts w:asciiTheme="majorHAnsi" w:eastAsia="Calibri" w:hAnsiTheme="majorHAnsi"/>
          <w:i/>
        </w:rPr>
        <w:t>F</w:t>
      </w:r>
      <w:r w:rsidRPr="00734AB6">
        <w:rPr>
          <w:rFonts w:asciiTheme="majorHAnsi" w:eastAsia="Calibri" w:hAnsiTheme="majorHAnsi"/>
        </w:rPr>
        <w:t xml:space="preserve">-tests indicated that group type significantly affected the score on Emotional Control,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1,87</w:t>
      </w:r>
      <w:r w:rsidRPr="00734AB6">
        <w:rPr>
          <w:rFonts w:asciiTheme="majorHAnsi" w:eastAsia="Calibri" w:hAnsiTheme="majorHAnsi"/>
        </w:rPr>
        <w:t xml:space="preserve">) = 4.63, </w:t>
      </w:r>
      <w:r w:rsidRPr="00734AB6">
        <w:rPr>
          <w:rFonts w:asciiTheme="majorHAnsi" w:eastAsia="Calibri" w:hAnsiTheme="majorHAnsi"/>
          <w:i/>
        </w:rPr>
        <w:t>p</w:t>
      </w:r>
      <w:r w:rsidRPr="00734AB6">
        <w:rPr>
          <w:rFonts w:asciiTheme="majorHAnsi" w:eastAsia="Calibri" w:hAnsiTheme="majorHAnsi"/>
        </w:rPr>
        <w:t xml:space="preserve"> = .034, partial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.051, with the CED-user group scoring significantly lower on the Emotional Control scale than the control group. Group type had no significant effect on the scores for the remaining three scales, namely, the Inhibit score,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1,87</w:t>
      </w:r>
      <w:r w:rsidRPr="00734AB6">
        <w:rPr>
          <w:rFonts w:asciiTheme="majorHAnsi" w:eastAsia="Calibri" w:hAnsiTheme="majorHAnsi"/>
        </w:rPr>
        <w:t xml:space="preserve">) = 1.35, </w:t>
      </w:r>
      <w:r w:rsidRPr="00734AB6">
        <w:rPr>
          <w:rFonts w:asciiTheme="majorHAnsi" w:eastAsia="Calibri" w:hAnsiTheme="majorHAnsi"/>
          <w:i/>
        </w:rPr>
        <w:t>p</w:t>
      </w:r>
      <w:r w:rsidRPr="00734AB6">
        <w:rPr>
          <w:rFonts w:asciiTheme="majorHAnsi" w:eastAsia="Calibri" w:hAnsiTheme="majorHAnsi"/>
        </w:rPr>
        <w:t xml:space="preserve"> = .249, partial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.015, the Shift score,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1,87</w:t>
      </w:r>
      <w:r w:rsidRPr="00734AB6">
        <w:rPr>
          <w:rFonts w:asciiTheme="majorHAnsi" w:eastAsia="Calibri" w:hAnsiTheme="majorHAnsi"/>
        </w:rPr>
        <w:t xml:space="preserve">) = 1.09, </w:t>
      </w:r>
      <w:r w:rsidRPr="00734AB6">
        <w:rPr>
          <w:rFonts w:asciiTheme="majorHAnsi" w:eastAsia="Calibri" w:hAnsiTheme="majorHAnsi"/>
          <w:i/>
        </w:rPr>
        <w:t>p</w:t>
      </w:r>
      <w:r w:rsidRPr="00734AB6">
        <w:rPr>
          <w:rFonts w:asciiTheme="majorHAnsi" w:eastAsia="Calibri" w:hAnsiTheme="majorHAnsi"/>
        </w:rPr>
        <w:t xml:space="preserve"> = .299, partial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.012, and the Self-Monitor score,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1,86</w:t>
      </w:r>
      <w:r w:rsidRPr="00734AB6">
        <w:rPr>
          <w:rFonts w:asciiTheme="majorHAnsi" w:eastAsia="Calibri" w:hAnsiTheme="majorHAnsi"/>
        </w:rPr>
        <w:t xml:space="preserve">) = 1.61, </w:t>
      </w:r>
      <w:r w:rsidRPr="00734AB6">
        <w:rPr>
          <w:rFonts w:asciiTheme="majorHAnsi" w:eastAsia="Calibri" w:hAnsiTheme="majorHAnsi"/>
          <w:i/>
        </w:rPr>
        <w:t>p</w:t>
      </w:r>
      <w:r w:rsidRPr="00734AB6">
        <w:rPr>
          <w:rFonts w:asciiTheme="majorHAnsi" w:eastAsia="Calibri" w:hAnsiTheme="majorHAnsi"/>
        </w:rPr>
        <w:t xml:space="preserve"> = .208, partial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.018. </w:t>
      </w:r>
    </w:p>
    <w:p w14:paraId="22166A4C" w14:textId="672D07E2" w:rsidR="00650528" w:rsidRPr="00734AB6" w:rsidRDefault="00650528" w:rsidP="00650528">
      <w:pPr>
        <w:spacing w:line="360" w:lineRule="auto"/>
        <w:ind w:firstLine="1134"/>
        <w:rPr>
          <w:rFonts w:asciiTheme="majorHAnsi" w:eastAsia="Calibri" w:hAnsiTheme="majorHAnsi"/>
        </w:rPr>
      </w:pPr>
      <w:r w:rsidRPr="00734AB6">
        <w:rPr>
          <w:rFonts w:asciiTheme="majorHAnsi" w:eastAsia="Calibri" w:hAnsiTheme="majorHAnsi"/>
        </w:rPr>
        <w:lastRenderedPageBreak/>
        <w:t xml:space="preserve">The multivariate test indicated that group type did not have a significant effect on the MI sub-scales, </w:t>
      </w:r>
      <w:r w:rsidRPr="00734AB6">
        <w:rPr>
          <w:rFonts w:asciiTheme="majorHAnsi" w:eastAsia="Calibri" w:hAnsiTheme="majorHAnsi"/>
          <w:i/>
        </w:rPr>
        <w:t>F</w:t>
      </w:r>
      <w:r w:rsidRPr="00734AB6">
        <w:rPr>
          <w:rFonts w:asciiTheme="majorHAnsi" w:eastAsia="Calibri" w:hAnsiTheme="majorHAnsi"/>
        </w:rPr>
        <w:t>(</w:t>
      </w:r>
      <w:r w:rsidRPr="00734AB6">
        <w:rPr>
          <w:rFonts w:asciiTheme="majorHAnsi" w:eastAsia="Calibri" w:hAnsiTheme="majorHAnsi"/>
          <w:vertAlign w:val="subscript"/>
        </w:rPr>
        <w:t>5,83</w:t>
      </w:r>
      <w:r w:rsidRPr="00734AB6">
        <w:rPr>
          <w:rFonts w:asciiTheme="majorHAnsi" w:eastAsia="Calibri" w:hAnsiTheme="majorHAnsi"/>
        </w:rPr>
        <w:t xml:space="preserve">) = 0.83, </w:t>
      </w:r>
      <w:r w:rsidRPr="00734AB6">
        <w:rPr>
          <w:rFonts w:asciiTheme="majorHAnsi" w:eastAsia="Calibri" w:hAnsiTheme="majorHAnsi"/>
          <w:i/>
        </w:rPr>
        <w:t>p</w:t>
      </w:r>
      <w:r w:rsidRPr="00734AB6">
        <w:rPr>
          <w:rFonts w:asciiTheme="majorHAnsi" w:eastAsia="Calibri" w:hAnsiTheme="majorHAnsi"/>
        </w:rPr>
        <w:t xml:space="preserve"> = .535, partial 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.051. The univariate analyses are not reported here as the multivaria</w:t>
      </w:r>
      <w:r w:rsidR="001E3144" w:rsidRPr="00734AB6">
        <w:rPr>
          <w:rFonts w:asciiTheme="majorHAnsi" w:eastAsia="Calibri" w:hAnsiTheme="majorHAnsi"/>
        </w:rPr>
        <w:t xml:space="preserve">te effect was non-significant (Brace, </w:t>
      </w:r>
      <w:proofErr w:type="spellStart"/>
      <w:r w:rsidR="001E3144" w:rsidRPr="00734AB6">
        <w:rPr>
          <w:rFonts w:asciiTheme="majorHAnsi" w:eastAsia="Calibri" w:hAnsiTheme="majorHAnsi"/>
        </w:rPr>
        <w:t>Snelgar</w:t>
      </w:r>
      <w:proofErr w:type="spellEnd"/>
      <w:r w:rsidR="001E3144" w:rsidRPr="00734AB6">
        <w:rPr>
          <w:rFonts w:asciiTheme="majorHAnsi" w:eastAsia="Calibri" w:hAnsiTheme="majorHAnsi"/>
        </w:rPr>
        <w:t xml:space="preserve"> &amp; Kemp, 2012</w:t>
      </w:r>
      <w:r w:rsidRPr="00734AB6">
        <w:rPr>
          <w:rFonts w:asciiTheme="majorHAnsi" w:eastAsia="Calibri" w:hAnsiTheme="majorHAnsi"/>
        </w:rPr>
        <w:t xml:space="preserve">). </w:t>
      </w:r>
    </w:p>
    <w:p w14:paraId="50F8A273" w14:textId="77777777" w:rsidR="00650528" w:rsidRPr="00734AB6" w:rsidRDefault="00650528" w:rsidP="00650528">
      <w:pPr>
        <w:spacing w:line="360" w:lineRule="auto"/>
        <w:ind w:firstLine="1134"/>
        <w:rPr>
          <w:rFonts w:asciiTheme="majorHAnsi" w:eastAsia="Calibri" w:hAnsiTheme="majorHAnsi"/>
        </w:rPr>
      </w:pPr>
    </w:p>
    <w:p w14:paraId="6B32B123" w14:textId="77777777" w:rsidR="003C4D29" w:rsidRPr="00734AB6" w:rsidRDefault="003C4D29" w:rsidP="003C4D29"/>
    <w:p w14:paraId="7E4AC178" w14:textId="77777777" w:rsidR="00650528" w:rsidRPr="00734AB6" w:rsidRDefault="00650528" w:rsidP="00650528">
      <w:pPr>
        <w:spacing w:line="360" w:lineRule="auto"/>
        <w:rPr>
          <w:rFonts w:asciiTheme="majorHAnsi" w:hAnsiTheme="majorHAnsi"/>
        </w:rPr>
      </w:pPr>
    </w:p>
    <w:p w14:paraId="14ED01CC" w14:textId="77777777" w:rsidR="00650528" w:rsidRPr="00734AB6" w:rsidRDefault="00650528" w:rsidP="00DA16AF">
      <w:pPr>
        <w:pStyle w:val="Heading2"/>
        <w:spacing w:after="240" w:line="360" w:lineRule="auto"/>
        <w:rPr>
          <w:b/>
          <w:color w:val="auto"/>
          <w:sz w:val="22"/>
          <w:szCs w:val="22"/>
        </w:rPr>
      </w:pPr>
      <w:bookmarkStart w:id="95" w:name="_Toc48136386"/>
      <w:r w:rsidRPr="00734AB6">
        <w:rPr>
          <w:b/>
          <w:color w:val="auto"/>
          <w:sz w:val="22"/>
          <w:szCs w:val="22"/>
        </w:rPr>
        <w:t>4.4</w:t>
      </w:r>
      <w:r w:rsidRPr="00734AB6">
        <w:rPr>
          <w:b/>
          <w:color w:val="auto"/>
          <w:sz w:val="22"/>
          <w:szCs w:val="22"/>
        </w:rPr>
        <w:tab/>
        <w:t>Discussion</w:t>
      </w:r>
      <w:bookmarkEnd w:id="95"/>
    </w:p>
    <w:p w14:paraId="636AA37B" w14:textId="1D4459D6"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This lab-based study used both </w:t>
      </w:r>
      <w:r w:rsidR="00F11BAA" w:rsidRPr="00734AB6">
        <w:rPr>
          <w:rFonts w:asciiTheme="majorHAnsi" w:hAnsiTheme="majorHAnsi"/>
        </w:rPr>
        <w:t xml:space="preserve">objective tests and self-reports </w:t>
      </w:r>
      <w:r w:rsidRPr="00734AB6">
        <w:rPr>
          <w:rFonts w:asciiTheme="majorHAnsi" w:hAnsiTheme="majorHAnsi"/>
        </w:rPr>
        <w:t xml:space="preserve">to investigate the un-medicated cognitive performance of reported off-prescription users of modafinil and methylphenidate compared with controls. In accordance with Studies 1 and 2, the current study collected data related with various aspects of off-prescription use such as demographics, psychiatric diagnosis and drug use. The overall aim of this study was to determine whether reported off-prescription users of modafinil and methylphenidate exhibit attention and learning difficulties for which they may be self-medicating. This was achieved through the use of the </w:t>
      </w:r>
      <w:proofErr w:type="spellStart"/>
      <w:r w:rsidRPr="00734AB6">
        <w:rPr>
          <w:rFonts w:asciiTheme="majorHAnsi" w:hAnsiTheme="majorHAnsi"/>
        </w:rPr>
        <w:t>antisaccade</w:t>
      </w:r>
      <w:proofErr w:type="spellEnd"/>
      <w:r w:rsidRPr="00734AB6">
        <w:rPr>
          <w:rFonts w:asciiTheme="majorHAnsi" w:hAnsiTheme="majorHAnsi"/>
        </w:rPr>
        <w:t xml:space="preserve"> and flanker tasks and the BRIEF-A. </w:t>
      </w:r>
    </w:p>
    <w:p w14:paraId="0D0EA49E" w14:textId="51354C7B"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The results indicated that, compared with controls, the CED-user group demonstrated shorter response latencies on </w:t>
      </w:r>
      <w:proofErr w:type="spellStart"/>
      <w:r w:rsidRPr="00734AB6">
        <w:rPr>
          <w:rFonts w:asciiTheme="majorHAnsi" w:hAnsiTheme="majorHAnsi"/>
        </w:rPr>
        <w:t>antisaccade</w:t>
      </w:r>
      <w:proofErr w:type="spellEnd"/>
      <w:r w:rsidRPr="00734AB6">
        <w:rPr>
          <w:rFonts w:asciiTheme="majorHAnsi" w:hAnsiTheme="majorHAnsi"/>
        </w:rPr>
        <w:t xml:space="preserve"> errors and corrected these errors more quickly, therefore the hypothesis, CED users would perform significantly poorer on the </w:t>
      </w:r>
      <w:proofErr w:type="spellStart"/>
      <w:r w:rsidRPr="00734AB6">
        <w:rPr>
          <w:rFonts w:asciiTheme="majorHAnsi" w:hAnsiTheme="majorHAnsi"/>
        </w:rPr>
        <w:t>antisaccade</w:t>
      </w:r>
      <w:proofErr w:type="spellEnd"/>
      <w:r w:rsidRPr="00734AB6">
        <w:rPr>
          <w:rFonts w:asciiTheme="majorHAnsi" w:hAnsiTheme="majorHAnsi"/>
        </w:rPr>
        <w:t xml:space="preserve"> task compared to controls, was not supported. The CED-user group also demonstrated shorter response latencies</w:t>
      </w:r>
      <w:r w:rsidR="00F050BB" w:rsidRPr="00734AB6">
        <w:rPr>
          <w:rFonts w:asciiTheme="majorHAnsi" w:hAnsiTheme="majorHAnsi"/>
        </w:rPr>
        <w:t xml:space="preserve"> (with no corresponding increase in errors)</w:t>
      </w:r>
      <w:r w:rsidRPr="00734AB6">
        <w:rPr>
          <w:rFonts w:asciiTheme="majorHAnsi" w:hAnsiTheme="majorHAnsi"/>
        </w:rPr>
        <w:t xml:space="preserve"> on all three correct flanker tri</w:t>
      </w:r>
      <w:r w:rsidR="00F11BAA" w:rsidRPr="00734AB6">
        <w:rPr>
          <w:rFonts w:asciiTheme="majorHAnsi" w:hAnsiTheme="majorHAnsi"/>
        </w:rPr>
        <w:t>al types compared with controls.</w:t>
      </w:r>
      <w:r w:rsidRPr="00734AB6">
        <w:rPr>
          <w:rFonts w:asciiTheme="majorHAnsi" w:hAnsiTheme="majorHAnsi"/>
        </w:rPr>
        <w:t xml:space="preserve"> </w:t>
      </w:r>
      <w:r w:rsidR="009E5007" w:rsidRPr="00734AB6">
        <w:rPr>
          <w:rFonts w:asciiTheme="majorHAnsi" w:hAnsiTheme="majorHAnsi"/>
        </w:rPr>
        <w:t xml:space="preserve">This indicates that the hypothesis proposing that CED </w:t>
      </w:r>
      <w:r w:rsidRPr="00734AB6">
        <w:rPr>
          <w:rFonts w:asciiTheme="majorHAnsi" w:hAnsiTheme="majorHAnsi"/>
        </w:rPr>
        <w:t xml:space="preserve">users would perform significantly poorer than controls on the flanker task, was not supported. Additionally, the BRIEF-A findings revealed that scores on only one scale differed significantly between the groups. The CED-user group rated themselves as having significantly less difficulties with Emotional Control compared with the control group. </w:t>
      </w:r>
      <w:r w:rsidR="009E5007" w:rsidRPr="00734AB6">
        <w:rPr>
          <w:rFonts w:asciiTheme="majorHAnsi" w:hAnsiTheme="majorHAnsi"/>
        </w:rPr>
        <w:t xml:space="preserve">Therefore, the hypothesis that CED users </w:t>
      </w:r>
      <w:r w:rsidR="009E5007" w:rsidRPr="00734AB6">
        <w:rPr>
          <w:rFonts w:asciiTheme="majorHAnsi" w:eastAsia="Calibri" w:hAnsiTheme="majorHAnsi"/>
        </w:rPr>
        <w:t xml:space="preserve">would score significantly higher on each of the BRIEF-A scales, particularly the Inhibit and Working Memory scales, </w:t>
      </w:r>
      <w:r w:rsidR="009E5007" w:rsidRPr="00734AB6">
        <w:rPr>
          <w:rFonts w:asciiTheme="majorHAnsi" w:hAnsiTheme="majorHAnsi"/>
        </w:rPr>
        <w:t>was also not supported.</w:t>
      </w:r>
    </w:p>
    <w:p w14:paraId="05CDE957" w14:textId="77777777" w:rsidR="00650528" w:rsidRPr="00734AB6" w:rsidRDefault="00650528" w:rsidP="002C02AF">
      <w:pPr>
        <w:spacing w:line="360" w:lineRule="auto"/>
        <w:ind w:firstLine="851"/>
        <w:rPr>
          <w:rFonts w:asciiTheme="majorHAnsi" w:hAnsiTheme="majorHAnsi"/>
        </w:rPr>
      </w:pPr>
      <w:r w:rsidRPr="00734AB6">
        <w:rPr>
          <w:rFonts w:asciiTheme="majorHAnsi" w:hAnsiTheme="majorHAnsi"/>
        </w:rPr>
        <w:t>The possibility that the CED-user group may have better emotional control compared with controls may be due to the effects of modafinil and, possibly, methylphenidate, although this was not verified in the current study as no objective measures such as blood tests, were included. In a blood oxygenation level dependent (</w:t>
      </w:r>
      <w:r w:rsidRPr="00734AB6">
        <w:rPr>
          <w:rFonts w:asciiTheme="majorHAnsi" w:hAnsiTheme="majorHAnsi"/>
          <w:bCs/>
        </w:rPr>
        <w:t>BOLD</w:t>
      </w:r>
      <w:r w:rsidRPr="00734AB6">
        <w:rPr>
          <w:rFonts w:asciiTheme="majorHAnsi" w:hAnsiTheme="majorHAnsi"/>
        </w:rPr>
        <w:t>) fMRI study using modafinil, healthy participants performed an emotion information-processing task, a working memory task and a variable attention control task (</w:t>
      </w:r>
      <w:proofErr w:type="spellStart"/>
      <w:r w:rsidRPr="00734AB6">
        <w:rPr>
          <w:rFonts w:asciiTheme="majorHAnsi" w:hAnsiTheme="majorHAnsi"/>
        </w:rPr>
        <w:t>Rasetti</w:t>
      </w:r>
      <w:proofErr w:type="spellEnd"/>
      <w:r w:rsidRPr="00734AB6">
        <w:rPr>
          <w:rFonts w:asciiTheme="majorHAnsi" w:hAnsiTheme="majorHAnsi"/>
        </w:rPr>
        <w:t xml:space="preserve"> et al., 2010). During these tasks modafinil reduced BOLD signal in the PFC and anterior cingulate. Their findings indicated that modafinil enhanced the </w:t>
      </w:r>
      <w:r w:rsidRPr="00734AB6">
        <w:rPr>
          <w:rFonts w:asciiTheme="majorHAnsi" w:hAnsiTheme="majorHAnsi"/>
        </w:rPr>
        <w:lastRenderedPageBreak/>
        <w:t>effectiveness of the PFC processing of cognitive information, while reducing reactivity to threatening stimuli in the amygdala, which is involved in anxiety (Davis, 1992). The very fact of being present in a laboratory and participating in experiments would be likely to cause elevated levels of stress and anxiety (</w:t>
      </w:r>
      <w:proofErr w:type="spellStart"/>
      <w:r w:rsidRPr="00734AB6">
        <w:rPr>
          <w:rFonts w:asciiTheme="majorHAnsi" w:hAnsiTheme="majorHAnsi"/>
        </w:rPr>
        <w:t>Hopko</w:t>
      </w:r>
      <w:proofErr w:type="spellEnd"/>
      <w:r w:rsidRPr="00734AB6">
        <w:rPr>
          <w:rFonts w:asciiTheme="majorHAnsi" w:hAnsiTheme="majorHAnsi"/>
        </w:rPr>
        <w:t>, Hunt &amp; Armento, 2005). The CED users in this study may, therefore, have been more able than the controls to regulate the impact that stress and anxiety could have on cognitive performance. Another study investigating levels of emotional dysregulation in children with ADHD following a year of treatment with methylphenidate found a significant improvement in emotional dysregulation symptoms (</w:t>
      </w:r>
      <w:proofErr w:type="spellStart"/>
      <w:r w:rsidRPr="00734AB6">
        <w:rPr>
          <w:rFonts w:asciiTheme="majorHAnsi" w:hAnsiTheme="majorHAnsi"/>
        </w:rPr>
        <w:t>Kutlu</w:t>
      </w:r>
      <w:proofErr w:type="spellEnd"/>
      <w:r w:rsidRPr="00734AB6">
        <w:rPr>
          <w:rFonts w:asciiTheme="majorHAnsi" w:hAnsiTheme="majorHAnsi"/>
        </w:rPr>
        <w:t xml:space="preserve">, </w:t>
      </w:r>
      <w:proofErr w:type="spellStart"/>
      <w:r w:rsidRPr="00734AB6">
        <w:rPr>
          <w:rFonts w:asciiTheme="majorHAnsi" w:hAnsiTheme="majorHAnsi"/>
        </w:rPr>
        <w:t>Ardic</w:t>
      </w:r>
      <w:proofErr w:type="spellEnd"/>
      <w:r w:rsidRPr="00734AB6">
        <w:rPr>
          <w:rFonts w:asciiTheme="majorHAnsi" w:hAnsiTheme="majorHAnsi"/>
        </w:rPr>
        <w:t xml:space="preserve"> &amp; </w:t>
      </w:r>
      <w:proofErr w:type="spellStart"/>
      <w:r w:rsidRPr="00734AB6">
        <w:rPr>
          <w:rFonts w:asciiTheme="majorHAnsi" w:hAnsiTheme="majorHAnsi"/>
        </w:rPr>
        <w:t>Ercan</w:t>
      </w:r>
      <w:proofErr w:type="spellEnd"/>
      <w:r w:rsidRPr="00734AB6">
        <w:rPr>
          <w:rFonts w:asciiTheme="majorHAnsi" w:hAnsiTheme="majorHAnsi"/>
        </w:rPr>
        <w:t xml:space="preserve">, 2017). However, it is not clear whether methylphenidate also improves emotional regulation in adults. If continued use of modafinil and methylphenidate in ADHD results in improved emotional control, as suggested by </w:t>
      </w:r>
      <w:proofErr w:type="spellStart"/>
      <w:r w:rsidRPr="00734AB6">
        <w:rPr>
          <w:rFonts w:asciiTheme="majorHAnsi" w:hAnsiTheme="majorHAnsi"/>
        </w:rPr>
        <w:t>Rasseti</w:t>
      </w:r>
      <w:proofErr w:type="spellEnd"/>
      <w:r w:rsidRPr="00734AB6">
        <w:rPr>
          <w:rFonts w:asciiTheme="majorHAnsi" w:hAnsiTheme="majorHAnsi"/>
        </w:rPr>
        <w:t xml:space="preserve"> et al. and </w:t>
      </w:r>
      <w:proofErr w:type="spellStart"/>
      <w:r w:rsidRPr="00734AB6">
        <w:rPr>
          <w:rFonts w:asciiTheme="majorHAnsi" w:hAnsiTheme="majorHAnsi"/>
        </w:rPr>
        <w:t>Kutlu</w:t>
      </w:r>
      <w:proofErr w:type="spellEnd"/>
      <w:r w:rsidRPr="00734AB6">
        <w:rPr>
          <w:rFonts w:asciiTheme="majorHAnsi" w:hAnsiTheme="majorHAnsi"/>
        </w:rPr>
        <w:t xml:space="preserve"> et al., perhaps healthy off-prescription users may also experience the benefits of improved emotional control. </w:t>
      </w:r>
    </w:p>
    <w:p w14:paraId="2F177D97" w14:textId="09BF1787" w:rsidR="00650528" w:rsidRPr="00734AB6" w:rsidRDefault="00650528" w:rsidP="002C02AF">
      <w:pPr>
        <w:spacing w:line="360" w:lineRule="auto"/>
        <w:ind w:firstLine="851"/>
        <w:rPr>
          <w:rFonts w:asciiTheme="majorHAnsi" w:hAnsiTheme="majorHAnsi"/>
        </w:rPr>
      </w:pPr>
      <w:r w:rsidRPr="00734AB6">
        <w:rPr>
          <w:rFonts w:asciiTheme="majorHAnsi" w:hAnsiTheme="majorHAnsi"/>
        </w:rPr>
        <w:t>The fact that the BRIEF-A did not reveal poorer performance in any of the scales as rated by the CED-user group is surprising</w:t>
      </w:r>
      <w:r w:rsidR="00F050BB" w:rsidRPr="00734AB6">
        <w:rPr>
          <w:rFonts w:asciiTheme="majorHAnsi" w:hAnsiTheme="majorHAnsi"/>
        </w:rPr>
        <w:t xml:space="preserve">, especially when compared </w:t>
      </w:r>
      <w:r w:rsidR="003937F9" w:rsidRPr="00734AB6">
        <w:rPr>
          <w:rFonts w:asciiTheme="majorHAnsi" w:hAnsiTheme="majorHAnsi"/>
        </w:rPr>
        <w:t>with</w:t>
      </w:r>
      <w:r w:rsidR="00F050BB" w:rsidRPr="00734AB6">
        <w:rPr>
          <w:rFonts w:asciiTheme="majorHAnsi" w:hAnsiTheme="majorHAnsi"/>
        </w:rPr>
        <w:t xml:space="preserve"> the self-reported cognitive performance of CED-users in Study 2</w:t>
      </w:r>
      <w:r w:rsidRPr="00734AB6">
        <w:rPr>
          <w:rFonts w:asciiTheme="majorHAnsi" w:hAnsiTheme="majorHAnsi"/>
        </w:rPr>
        <w:t>. Alternatively, it is also very likely that the CED-user group in the current study are taking modafinil and/or methylphenidate to enhance their already good cognitive functions and that they are not taking these drugs to self-medicate.</w:t>
      </w:r>
    </w:p>
    <w:p w14:paraId="3339C4C0" w14:textId="77777777"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A further consideration is that there may be a difference in the kind of person who would complete an online survey compared with someone willing to come into a university laboratory to perform experimental tasks. It should also be noted that Studies 1 and 2 involved an international sample whereas the current study was London-based. This may also explain the much lower number of reported methylphenidate users in the current study. Access to methylphenidate is much more common in the United States compared with Britain. This was noted in Study 1 and reported access to methylphenidate was typically via a friend or someone else’s prescription. Therefore, the difference in findings in relation to attentional problems in the current study may reflect a different sample from a different population of CED users. Also, as suggested at the end of the previous chapter, it may be that the symptoms of inattention are not as severe as they are perceived to be. The theory of a continuum of attentional skills, as discussed by Scope et al. (2010), suggests that the level of attentional lapses across populations can vary and that individuals can experience difficulties with attention whilst remaining within the clinically healthy range and intellectual ability. </w:t>
      </w:r>
    </w:p>
    <w:p w14:paraId="4A3DCABF" w14:textId="12935B8B"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What is also interesting is that the findings from the BRIEF-A and the experimental measures were not consistent with each another as one would expect if these measures were all assessing executive functions. Differences between performance on laboratory tasks of executive functions and scores on the BRIEF-A was also found by </w:t>
      </w:r>
      <w:proofErr w:type="spellStart"/>
      <w:r w:rsidRPr="00734AB6">
        <w:rPr>
          <w:rFonts w:asciiTheme="majorHAnsi" w:hAnsiTheme="majorHAnsi"/>
        </w:rPr>
        <w:t>Weyandt</w:t>
      </w:r>
      <w:proofErr w:type="spellEnd"/>
      <w:r w:rsidRPr="00734AB6">
        <w:rPr>
          <w:rFonts w:asciiTheme="majorHAnsi" w:hAnsiTheme="majorHAnsi"/>
        </w:rPr>
        <w:t xml:space="preserve"> et al. (2013). </w:t>
      </w:r>
      <w:proofErr w:type="spellStart"/>
      <w:r w:rsidRPr="00734AB6">
        <w:rPr>
          <w:rFonts w:asciiTheme="majorHAnsi" w:hAnsiTheme="majorHAnsi"/>
        </w:rPr>
        <w:t>Toplak</w:t>
      </w:r>
      <w:proofErr w:type="spellEnd"/>
      <w:r w:rsidRPr="00734AB6">
        <w:rPr>
          <w:rFonts w:asciiTheme="majorHAnsi" w:hAnsiTheme="majorHAnsi"/>
        </w:rPr>
        <w:t xml:space="preserve">, West and </w:t>
      </w:r>
      <w:r w:rsidRPr="00734AB6">
        <w:rPr>
          <w:rFonts w:asciiTheme="majorHAnsi" w:hAnsiTheme="majorHAnsi"/>
        </w:rPr>
        <w:lastRenderedPageBreak/>
        <w:t>Stanovich (2013) argue that this is because performance-based measures and rating measures assess different aspects of cognitive and behavioural functions. Performance-based measures typically assess reaction time and accuracy and requires fast responses, thus demonstrating optimal performance. Whereas rating measures assess typical behaviours and performance is dependent upon the participant interpreting the task and relating their assessment of their own processes and behaviours to the statements or questions presented. Stanovich (2009) argues that optimal performance tests assess, what he refers to as, the algorithmic mind whereas typical performance, in this instance relating to rating measures, assess, what he refers to as, the reflective mind. The algorithmic mind can be seen as being involved with efficiency in information processing and being able to manipulate a concept whilst also keeping that original concept cognitively separate, for example, working memory. The reflective mind, on the other hand, is involved with rational thinking and decision-making in relation to an individual’s goals. Performance-based and rating measures therefore appear to measure different aspects of executive functions and so provide complementary approaches to the assessment process. Perhaps, however, neither approach is able to tap the typical performance in which attention often lapses, such as when engaged in a boring task where reading or listening to someone is involved, or in situations where cognitive demands are overloaded, such as when learning complex concepts with unfamiliar jargon.</w:t>
      </w:r>
    </w:p>
    <w:p w14:paraId="3F97E8CA" w14:textId="1DCA7675"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The finding that the CED-user group had shorter response latencies on </w:t>
      </w:r>
      <w:proofErr w:type="spellStart"/>
      <w:r w:rsidRPr="00734AB6">
        <w:rPr>
          <w:rFonts w:asciiTheme="majorHAnsi" w:hAnsiTheme="majorHAnsi"/>
        </w:rPr>
        <w:t>antisaccade</w:t>
      </w:r>
      <w:proofErr w:type="spellEnd"/>
      <w:r w:rsidRPr="00734AB6">
        <w:rPr>
          <w:rFonts w:asciiTheme="majorHAnsi" w:hAnsiTheme="majorHAnsi"/>
        </w:rPr>
        <w:t xml:space="preserve"> errors and shorter response latencies on correcting </w:t>
      </w:r>
      <w:proofErr w:type="spellStart"/>
      <w:r w:rsidRPr="00734AB6">
        <w:rPr>
          <w:rFonts w:asciiTheme="majorHAnsi" w:hAnsiTheme="majorHAnsi"/>
        </w:rPr>
        <w:t>antisaccade</w:t>
      </w:r>
      <w:proofErr w:type="spellEnd"/>
      <w:r w:rsidRPr="00734AB6">
        <w:rPr>
          <w:rFonts w:asciiTheme="majorHAnsi" w:hAnsiTheme="majorHAnsi"/>
        </w:rPr>
        <w:t xml:space="preserve"> errors may be related to levels of performance anxiety. As mentioned earlier, participating in experiments in a laboratory is likely to increase levels of stress and anxiety (</w:t>
      </w:r>
      <w:proofErr w:type="spellStart"/>
      <w:r w:rsidRPr="00734AB6">
        <w:rPr>
          <w:rFonts w:asciiTheme="majorHAnsi" w:hAnsiTheme="majorHAnsi"/>
        </w:rPr>
        <w:t>Hopko</w:t>
      </w:r>
      <w:proofErr w:type="spellEnd"/>
      <w:r w:rsidR="00CB1AA1" w:rsidRPr="00734AB6">
        <w:rPr>
          <w:rFonts w:asciiTheme="majorHAnsi" w:hAnsiTheme="majorHAnsi"/>
        </w:rPr>
        <w:t xml:space="preserve"> et al.,</w:t>
      </w:r>
      <w:r w:rsidRPr="00734AB6">
        <w:rPr>
          <w:rFonts w:asciiTheme="majorHAnsi" w:hAnsiTheme="majorHAnsi"/>
        </w:rPr>
        <w:t xml:space="preserve"> 2005). The CED-user group scored lower on the Emotional Control scale of the BRIEF-A indicating greater emotional control compared with the control group. Highly anxious individuals have been found to have reduced processing efficiency in their performance of the </w:t>
      </w:r>
      <w:proofErr w:type="spellStart"/>
      <w:r w:rsidRPr="00734AB6">
        <w:rPr>
          <w:rFonts w:asciiTheme="majorHAnsi" w:hAnsiTheme="majorHAnsi"/>
        </w:rPr>
        <w:t>antisaccade</w:t>
      </w:r>
      <w:proofErr w:type="spellEnd"/>
      <w:r w:rsidRPr="00734AB6">
        <w:rPr>
          <w:rFonts w:asciiTheme="majorHAnsi" w:hAnsiTheme="majorHAnsi"/>
        </w:rPr>
        <w:t xml:space="preserve"> task, but not effectiveness (</w:t>
      </w:r>
      <w:proofErr w:type="spellStart"/>
      <w:r w:rsidRPr="00734AB6">
        <w:rPr>
          <w:rFonts w:asciiTheme="majorHAnsi" w:hAnsiTheme="majorHAnsi"/>
        </w:rPr>
        <w:t>Derakshan</w:t>
      </w:r>
      <w:proofErr w:type="spellEnd"/>
      <w:r w:rsidRPr="00734AB6">
        <w:rPr>
          <w:rFonts w:asciiTheme="majorHAnsi" w:hAnsiTheme="majorHAnsi"/>
        </w:rPr>
        <w:t xml:space="preserve">, Ansari, Hansard, </w:t>
      </w:r>
      <w:proofErr w:type="spellStart"/>
      <w:r w:rsidRPr="00734AB6">
        <w:rPr>
          <w:rFonts w:asciiTheme="majorHAnsi" w:hAnsiTheme="majorHAnsi"/>
        </w:rPr>
        <w:t>Shoker</w:t>
      </w:r>
      <w:proofErr w:type="spellEnd"/>
      <w:r w:rsidRPr="00734AB6">
        <w:rPr>
          <w:rFonts w:asciiTheme="majorHAnsi" w:hAnsiTheme="majorHAnsi"/>
        </w:rPr>
        <w:t xml:space="preserve"> &amp; </w:t>
      </w:r>
      <w:proofErr w:type="spellStart"/>
      <w:r w:rsidRPr="00734AB6">
        <w:rPr>
          <w:rFonts w:asciiTheme="majorHAnsi" w:hAnsiTheme="majorHAnsi"/>
        </w:rPr>
        <w:t>Eysneck</w:t>
      </w:r>
      <w:proofErr w:type="spellEnd"/>
      <w:r w:rsidRPr="00734AB6">
        <w:rPr>
          <w:rFonts w:asciiTheme="majorHAnsi" w:hAnsiTheme="majorHAnsi"/>
        </w:rPr>
        <w:t xml:space="preserve">, 2009). </w:t>
      </w:r>
      <w:proofErr w:type="spellStart"/>
      <w:r w:rsidRPr="00734AB6">
        <w:rPr>
          <w:rFonts w:asciiTheme="majorHAnsi" w:hAnsiTheme="majorHAnsi"/>
        </w:rPr>
        <w:t>Derakshan</w:t>
      </w:r>
      <w:proofErr w:type="spellEnd"/>
      <w:r w:rsidRPr="00734AB6">
        <w:rPr>
          <w:rFonts w:asciiTheme="majorHAnsi" w:hAnsiTheme="majorHAnsi"/>
        </w:rPr>
        <w:t xml:space="preserve"> and </w:t>
      </w:r>
      <w:proofErr w:type="spellStart"/>
      <w:r w:rsidRPr="00734AB6">
        <w:rPr>
          <w:rFonts w:asciiTheme="majorHAnsi" w:hAnsiTheme="majorHAnsi"/>
        </w:rPr>
        <w:t>Eysneck</w:t>
      </w:r>
      <w:proofErr w:type="spellEnd"/>
      <w:r w:rsidRPr="00734AB6">
        <w:rPr>
          <w:rFonts w:asciiTheme="majorHAnsi" w:hAnsiTheme="majorHAnsi"/>
        </w:rPr>
        <w:t xml:space="preserve"> (2009) used the terms processing efficiency and processing effectiveness to explain latency and accuracy respectively. They argued that anxiety disrupts the balance between the bottom-up, stimulus-driven attentional system and the top-down, goal-driven attentional system which were discussed in the introduction. Heightened anxiety has also been found to be related to increased amygdala activation and reduced recruitment of DLPFC and VLPFC</w:t>
      </w:r>
      <w:r w:rsidR="00C56B87" w:rsidRPr="00734AB6">
        <w:rPr>
          <w:rFonts w:asciiTheme="majorHAnsi" w:hAnsiTheme="majorHAnsi"/>
        </w:rPr>
        <w:t xml:space="preserve"> (</w:t>
      </w:r>
      <w:r w:rsidRPr="00734AB6">
        <w:rPr>
          <w:rFonts w:asciiTheme="majorHAnsi" w:hAnsiTheme="majorHAnsi"/>
        </w:rPr>
        <w:t xml:space="preserve">Bishop, 2007). Both the DLPFC and the VLPFC are involved in inhibition. </w:t>
      </w:r>
      <w:proofErr w:type="spellStart"/>
      <w:r w:rsidRPr="00734AB6">
        <w:rPr>
          <w:rFonts w:asciiTheme="majorHAnsi" w:hAnsiTheme="majorHAnsi"/>
        </w:rPr>
        <w:t>Derakshan</w:t>
      </w:r>
      <w:proofErr w:type="spellEnd"/>
      <w:r w:rsidRPr="00734AB6">
        <w:rPr>
          <w:rFonts w:asciiTheme="majorHAnsi" w:hAnsiTheme="majorHAnsi"/>
        </w:rPr>
        <w:t xml:space="preserve"> and </w:t>
      </w:r>
      <w:proofErr w:type="spellStart"/>
      <w:r w:rsidRPr="00734AB6">
        <w:rPr>
          <w:rFonts w:asciiTheme="majorHAnsi" w:hAnsiTheme="majorHAnsi"/>
        </w:rPr>
        <w:t>Eysneck</w:t>
      </w:r>
      <w:proofErr w:type="spellEnd"/>
      <w:r w:rsidRPr="00734AB6">
        <w:rPr>
          <w:rFonts w:asciiTheme="majorHAnsi" w:hAnsiTheme="majorHAnsi"/>
        </w:rPr>
        <w:t xml:space="preserve"> </w:t>
      </w:r>
      <w:r w:rsidR="006403E9" w:rsidRPr="00734AB6">
        <w:rPr>
          <w:rFonts w:asciiTheme="majorHAnsi" w:hAnsiTheme="majorHAnsi"/>
        </w:rPr>
        <w:t xml:space="preserve">(2009) </w:t>
      </w:r>
      <w:r w:rsidRPr="00734AB6">
        <w:rPr>
          <w:rFonts w:asciiTheme="majorHAnsi" w:hAnsiTheme="majorHAnsi"/>
        </w:rPr>
        <w:t xml:space="preserve">also argued that that anxiety impairs the efficiency of inhibition and shifting functions which, they argue, results in reduced processing efficiency and increased </w:t>
      </w:r>
      <w:proofErr w:type="spellStart"/>
      <w:r w:rsidRPr="00734AB6">
        <w:rPr>
          <w:rFonts w:asciiTheme="majorHAnsi" w:hAnsiTheme="majorHAnsi"/>
        </w:rPr>
        <w:t>antisaccade</w:t>
      </w:r>
      <w:proofErr w:type="spellEnd"/>
      <w:r w:rsidRPr="00734AB6">
        <w:rPr>
          <w:rFonts w:asciiTheme="majorHAnsi" w:hAnsiTheme="majorHAnsi"/>
        </w:rPr>
        <w:t xml:space="preserve"> response latency in high-anxious compared with low-anxious participants. This, however, does not have an effect on processing effectiveness, the number of correct trials. If the CED-user group had greater emotional control, they may have had lower levels of anxiety </w:t>
      </w:r>
      <w:r w:rsidRPr="00734AB6">
        <w:rPr>
          <w:rFonts w:asciiTheme="majorHAnsi" w:hAnsiTheme="majorHAnsi"/>
        </w:rPr>
        <w:lastRenderedPageBreak/>
        <w:t xml:space="preserve">compared with the control group, which could explain the CED-user group’s shorter latencies for errors and for correcting errors. Additionally, when errors are made they are followed immediately by large amplitude negative waveform known as error-related negativity (ERN) which fMRI studies confirm, are generated by the dorsal anterior ACC (Carter &amp; van Veen, 2007). Error correction time is believed to be one of the fastest known cognitive processes (Cooke &amp; </w:t>
      </w:r>
      <w:proofErr w:type="spellStart"/>
      <w:r w:rsidRPr="00734AB6">
        <w:rPr>
          <w:rFonts w:asciiTheme="majorHAnsi" w:hAnsiTheme="majorHAnsi"/>
        </w:rPr>
        <w:t>Diggles</w:t>
      </w:r>
      <w:proofErr w:type="spellEnd"/>
      <w:r w:rsidRPr="00734AB6">
        <w:rPr>
          <w:rFonts w:asciiTheme="majorHAnsi" w:hAnsiTheme="majorHAnsi"/>
        </w:rPr>
        <w:t xml:space="preserve">, 1984; </w:t>
      </w:r>
      <w:proofErr w:type="spellStart"/>
      <w:r w:rsidRPr="00734AB6">
        <w:rPr>
          <w:rFonts w:asciiTheme="majorHAnsi" w:hAnsiTheme="majorHAnsi"/>
        </w:rPr>
        <w:t>Rodr</w:t>
      </w:r>
      <w:r w:rsidR="00AB68BB" w:rsidRPr="00734AB6">
        <w:rPr>
          <w:rFonts w:asciiTheme="majorHAnsi" w:eastAsia="Calibri" w:hAnsiTheme="majorHAnsi" w:cs="Calibri"/>
        </w:rPr>
        <w:t>ı́</w:t>
      </w:r>
      <w:r w:rsidRPr="00734AB6">
        <w:rPr>
          <w:rFonts w:asciiTheme="majorHAnsi" w:hAnsiTheme="majorHAnsi"/>
        </w:rPr>
        <w:t>gues-Fornells</w:t>
      </w:r>
      <w:proofErr w:type="spellEnd"/>
      <w:r w:rsidRPr="00734AB6">
        <w:rPr>
          <w:rFonts w:asciiTheme="majorHAnsi" w:hAnsiTheme="majorHAnsi"/>
        </w:rPr>
        <w:t xml:space="preserve">, </w:t>
      </w:r>
      <w:proofErr w:type="spellStart"/>
      <w:r w:rsidRPr="00734AB6">
        <w:rPr>
          <w:rFonts w:asciiTheme="majorHAnsi" w:hAnsiTheme="majorHAnsi"/>
        </w:rPr>
        <w:t>Kurzbuch</w:t>
      </w:r>
      <w:proofErr w:type="spellEnd"/>
      <w:r w:rsidRPr="00734AB6">
        <w:rPr>
          <w:rFonts w:asciiTheme="majorHAnsi" w:hAnsiTheme="majorHAnsi"/>
        </w:rPr>
        <w:t xml:space="preserve"> &amp; </w:t>
      </w:r>
      <w:proofErr w:type="spellStart"/>
      <w:r w:rsidRPr="00734AB6">
        <w:rPr>
          <w:rFonts w:asciiTheme="majorHAnsi" w:hAnsiTheme="majorHAnsi"/>
        </w:rPr>
        <w:t>Munte</w:t>
      </w:r>
      <w:proofErr w:type="spellEnd"/>
      <w:r w:rsidRPr="00734AB6">
        <w:rPr>
          <w:rFonts w:asciiTheme="majorHAnsi" w:hAnsiTheme="majorHAnsi"/>
        </w:rPr>
        <w:t xml:space="preserve">, 2002). The dorsal anterior ACC also has strong connections with the amygdala, and the ventral pregenual ACC has widespread connections with the lateral PFC and some connections with the amygdala (Stevens, Hurley &amp; Taber, 2011). Therefore, in relation to the control group, anxiety </w:t>
      </w:r>
      <w:r w:rsidR="003937F9" w:rsidRPr="00734AB6">
        <w:rPr>
          <w:rFonts w:asciiTheme="majorHAnsi" w:hAnsiTheme="majorHAnsi"/>
        </w:rPr>
        <w:t>might</w:t>
      </w:r>
      <w:r w:rsidRPr="00734AB6">
        <w:rPr>
          <w:rFonts w:asciiTheme="majorHAnsi" w:hAnsiTheme="majorHAnsi"/>
        </w:rPr>
        <w:t xml:space="preserve"> again increase amygdala activation and, via its connections with the ACC, reduce the recruitment of the ACC in its ability to generate ERN, thus resulting in longer response latencies for correcting errors compared with the CED-user group (Carter &amp; van Veen</w:t>
      </w:r>
      <w:r w:rsidR="006403E9" w:rsidRPr="00734AB6">
        <w:rPr>
          <w:rFonts w:asciiTheme="majorHAnsi" w:hAnsiTheme="majorHAnsi"/>
        </w:rPr>
        <w:t>, 2007</w:t>
      </w:r>
      <w:r w:rsidRPr="00734AB6">
        <w:rPr>
          <w:rFonts w:asciiTheme="majorHAnsi" w:hAnsiTheme="majorHAnsi"/>
        </w:rPr>
        <w:t xml:space="preserve">).  </w:t>
      </w:r>
    </w:p>
    <w:p w14:paraId="41CA5A56" w14:textId="77777777"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This difference in emotional control and therefore difference in the strength of amygdala activation, would also explain the CED-user group’s shorter response latencies on all three correct flanker trial types compared with controls. As mentioned in the introduction, in accordance with the </w:t>
      </w:r>
      <w:r w:rsidRPr="00734AB6">
        <w:rPr>
          <w:rFonts w:asciiTheme="majorHAnsi" w:eastAsia="Calibri" w:hAnsiTheme="majorHAnsi"/>
        </w:rPr>
        <w:t>conflict monitor control system,</w:t>
      </w:r>
      <w:r w:rsidRPr="00734AB6">
        <w:rPr>
          <w:rFonts w:asciiTheme="majorHAnsi" w:hAnsiTheme="majorHAnsi"/>
        </w:rPr>
        <w:t xml:space="preserve"> ACC and DLPFC are believed to work together to monitor conflict and modulate attentional control to the target (</w:t>
      </w:r>
      <w:proofErr w:type="spellStart"/>
      <w:r w:rsidRPr="00734AB6">
        <w:rPr>
          <w:rFonts w:asciiTheme="majorHAnsi" w:hAnsiTheme="majorHAnsi"/>
        </w:rPr>
        <w:t>Botvinick</w:t>
      </w:r>
      <w:proofErr w:type="spellEnd"/>
      <w:r w:rsidRPr="00734AB6">
        <w:rPr>
          <w:rFonts w:asciiTheme="majorHAnsi" w:hAnsiTheme="majorHAnsi"/>
        </w:rPr>
        <w:t xml:space="preserve"> et al., 2001). As this system is reliant on the input of both the ACC and DLPFC, reduced amygdala activation from increased emotional control would allow greater recruitment of the ACC in its role of detecting conflict. The ACC and bilateral insula together form the saliency network (</w:t>
      </w:r>
      <w:proofErr w:type="spellStart"/>
      <w:r w:rsidRPr="00734AB6">
        <w:rPr>
          <w:rFonts w:asciiTheme="majorHAnsi" w:hAnsiTheme="majorHAnsi"/>
        </w:rPr>
        <w:t>Sidlauskaite</w:t>
      </w:r>
      <w:proofErr w:type="spellEnd"/>
      <w:r w:rsidRPr="00734AB6">
        <w:rPr>
          <w:rFonts w:asciiTheme="majorHAnsi" w:hAnsiTheme="majorHAnsi"/>
        </w:rPr>
        <w:t xml:space="preserve">, </w:t>
      </w:r>
      <w:proofErr w:type="spellStart"/>
      <w:r w:rsidRPr="00734AB6">
        <w:rPr>
          <w:rFonts w:asciiTheme="majorHAnsi" w:hAnsiTheme="majorHAnsi"/>
        </w:rPr>
        <w:t>Sonuga-Barke</w:t>
      </w:r>
      <w:proofErr w:type="spellEnd"/>
      <w:r w:rsidRPr="00734AB6">
        <w:rPr>
          <w:rFonts w:asciiTheme="majorHAnsi" w:hAnsiTheme="majorHAnsi"/>
        </w:rPr>
        <w:t xml:space="preserve">, </w:t>
      </w:r>
      <w:proofErr w:type="spellStart"/>
      <w:r w:rsidRPr="00734AB6">
        <w:rPr>
          <w:rFonts w:asciiTheme="majorHAnsi" w:hAnsiTheme="majorHAnsi"/>
        </w:rPr>
        <w:t>Roeyers</w:t>
      </w:r>
      <w:proofErr w:type="spellEnd"/>
      <w:r w:rsidRPr="00734AB6">
        <w:rPr>
          <w:rFonts w:asciiTheme="majorHAnsi" w:hAnsiTheme="majorHAnsi"/>
        </w:rPr>
        <w:t xml:space="preserve"> &amp; Wiersema, 2016). The saliency network (SN) is believed to function as a between-network switching hub, operating between the dorsal attention network (DAN), which is involved in goal-driven attention, and the ventral attention network (VAN), which is involved in stimulus-driven attention. </w:t>
      </w:r>
      <w:proofErr w:type="spellStart"/>
      <w:r w:rsidRPr="00734AB6">
        <w:rPr>
          <w:rFonts w:asciiTheme="majorHAnsi" w:hAnsiTheme="majorHAnsi"/>
        </w:rPr>
        <w:t>Sidlauskaite</w:t>
      </w:r>
      <w:proofErr w:type="spellEnd"/>
      <w:r w:rsidRPr="00734AB6">
        <w:rPr>
          <w:rFonts w:asciiTheme="majorHAnsi" w:hAnsiTheme="majorHAnsi"/>
        </w:rPr>
        <w:t xml:space="preserve"> et al. reported an imbalance between SN-VAN and SN-DAN connectivity in ADHD, resulting in greater distractibility. However, if greater emotional control allows greater recruitment of the ACC, thus providing stronger SN activity, this may reduce the imbalance enough to improve attentional control, particularly if Barkley’s (2015) theory is correct and ADD is only weakly associated with executive dysfunction.</w:t>
      </w:r>
    </w:p>
    <w:p w14:paraId="0AF85DA0" w14:textId="12D66790" w:rsidR="00650528" w:rsidRPr="00734AB6" w:rsidRDefault="0025511B" w:rsidP="002C02AF">
      <w:pPr>
        <w:spacing w:line="360" w:lineRule="auto"/>
        <w:ind w:firstLine="851"/>
        <w:rPr>
          <w:rFonts w:asciiTheme="majorHAnsi" w:hAnsiTheme="majorHAnsi"/>
        </w:rPr>
      </w:pPr>
      <w:r w:rsidRPr="00734AB6">
        <w:rPr>
          <w:rFonts w:asciiTheme="majorHAnsi" w:hAnsiTheme="majorHAnsi"/>
        </w:rPr>
        <w:t>T</w:t>
      </w:r>
      <w:r w:rsidR="00650528" w:rsidRPr="00734AB6">
        <w:rPr>
          <w:rFonts w:asciiTheme="majorHAnsi" w:hAnsiTheme="majorHAnsi"/>
        </w:rPr>
        <w:t>he majority of the CED-user group were university-educated. In contrast, the majority of the control group were educated to 18 years of age which was expected due to the control group</w:t>
      </w:r>
      <w:r w:rsidR="003937F9" w:rsidRPr="00734AB6">
        <w:rPr>
          <w:rFonts w:asciiTheme="majorHAnsi" w:hAnsiTheme="majorHAnsi"/>
        </w:rPr>
        <w:t xml:space="preserve"> being recruited </w:t>
      </w:r>
      <w:r w:rsidR="00650528" w:rsidRPr="00734AB6">
        <w:rPr>
          <w:rFonts w:asciiTheme="majorHAnsi" w:hAnsiTheme="majorHAnsi"/>
        </w:rPr>
        <w:t>via the University’s RPS system</w:t>
      </w:r>
      <w:r w:rsidR="003937F9" w:rsidRPr="00734AB6">
        <w:rPr>
          <w:rFonts w:asciiTheme="majorHAnsi" w:hAnsiTheme="majorHAnsi"/>
        </w:rPr>
        <w:t xml:space="preserve"> which draw</w:t>
      </w:r>
      <w:r w:rsidR="00650528" w:rsidRPr="00734AB6">
        <w:rPr>
          <w:rFonts w:asciiTheme="majorHAnsi" w:hAnsiTheme="majorHAnsi"/>
        </w:rPr>
        <w:t xml:space="preserve"> mostly first y</w:t>
      </w:r>
      <w:r w:rsidR="003937F9" w:rsidRPr="00734AB6">
        <w:rPr>
          <w:rFonts w:asciiTheme="majorHAnsi" w:hAnsiTheme="majorHAnsi"/>
        </w:rPr>
        <w:t>ear undergraduate students. The latter</w:t>
      </w:r>
      <w:r w:rsidR="00650528" w:rsidRPr="00734AB6">
        <w:rPr>
          <w:rFonts w:asciiTheme="majorHAnsi" w:hAnsiTheme="majorHAnsi"/>
        </w:rPr>
        <w:t xml:space="preserve"> also explains the majority of the control group reporting to be currently studying for a qualification, which was most commonly a bachelor’s degree.  The roughly equal split in the CED-user group currently studying or not studying suggests that modafinil and methylphenidate are used both for study and work purposes. The majority of CED-users who reported to be studying, reported to be doing so for a degree. As would be expected, the majority </w:t>
      </w:r>
      <w:r w:rsidR="00650528" w:rsidRPr="00734AB6">
        <w:rPr>
          <w:rFonts w:asciiTheme="majorHAnsi" w:hAnsiTheme="majorHAnsi"/>
        </w:rPr>
        <w:lastRenderedPageBreak/>
        <w:t>of the control group reported to be in part-time employment, whereas the majority of the CED-users were in full-time employment, again suggesting that modafinil and methylphenidate are used for work purposes in addition to studying.</w:t>
      </w:r>
    </w:p>
    <w:p w14:paraId="487AE4D6" w14:textId="7B6DD6D6"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In keeping with the findings of Study 1, a relatively large percentage of the CED-user group stated that they had received a psychiatric diagnosis and this is compared with a much smaller percentage for the control group. </w:t>
      </w:r>
      <w:r w:rsidR="00E134D4" w:rsidRPr="00734AB6">
        <w:rPr>
          <w:rFonts w:asciiTheme="majorHAnsi" w:hAnsiTheme="majorHAnsi"/>
        </w:rPr>
        <w:t>Again,</w:t>
      </w:r>
      <w:r w:rsidRPr="00734AB6">
        <w:rPr>
          <w:rFonts w:asciiTheme="majorHAnsi" w:hAnsiTheme="majorHAnsi"/>
        </w:rPr>
        <w:t xml:space="preserve"> </w:t>
      </w:r>
      <w:r w:rsidR="003937F9" w:rsidRPr="00734AB6">
        <w:rPr>
          <w:rFonts w:asciiTheme="majorHAnsi" w:hAnsiTheme="majorHAnsi"/>
        </w:rPr>
        <w:t>mental health problems were</w:t>
      </w:r>
      <w:r w:rsidRPr="00734AB6">
        <w:rPr>
          <w:rFonts w:asciiTheme="majorHAnsi" w:hAnsiTheme="majorHAnsi"/>
        </w:rPr>
        <w:t xml:space="preserve"> almost entirely reported as depression, anxiety or both</w:t>
      </w:r>
      <w:r w:rsidR="00B02D5A" w:rsidRPr="00734AB6">
        <w:rPr>
          <w:rFonts w:asciiTheme="majorHAnsi" w:hAnsiTheme="majorHAnsi"/>
        </w:rPr>
        <w:t xml:space="preserve">. </w:t>
      </w:r>
      <w:r w:rsidRPr="00734AB6">
        <w:rPr>
          <w:rFonts w:asciiTheme="majorHAnsi" w:hAnsiTheme="majorHAnsi"/>
        </w:rPr>
        <w:t>The CED-user group reported much higher recreational drug use compared with controls. Reported nicotine use was also higher in the CED-user group. The recognised cognitive enhancing</w:t>
      </w:r>
      <w:r w:rsidR="000E4415" w:rsidRPr="00734AB6">
        <w:rPr>
          <w:rFonts w:asciiTheme="majorHAnsi" w:hAnsiTheme="majorHAnsi"/>
        </w:rPr>
        <w:t xml:space="preserve"> effects of nicotine (</w:t>
      </w:r>
      <w:proofErr w:type="spellStart"/>
      <w:r w:rsidR="000E4415" w:rsidRPr="00734AB6">
        <w:rPr>
          <w:rFonts w:asciiTheme="majorHAnsi" w:hAnsiTheme="majorHAnsi"/>
        </w:rPr>
        <w:t>Heishman</w:t>
      </w:r>
      <w:proofErr w:type="spellEnd"/>
      <w:r w:rsidR="000E4415" w:rsidRPr="00734AB6">
        <w:rPr>
          <w:rFonts w:asciiTheme="majorHAnsi" w:hAnsiTheme="majorHAnsi"/>
        </w:rPr>
        <w:t xml:space="preserve"> et al.</w:t>
      </w:r>
      <w:r w:rsidRPr="00734AB6">
        <w:rPr>
          <w:rFonts w:asciiTheme="majorHAnsi" w:hAnsiTheme="majorHAnsi"/>
        </w:rPr>
        <w:t xml:space="preserve">, 2010) may explain this reported higher use in the CED-user group. </w:t>
      </w:r>
    </w:p>
    <w:p w14:paraId="2DA9CFC4" w14:textId="0CD3A3A4"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The data relating to modafinil usage supports the findings of Studies 1 and 2. The age of first use of modafinil in the current study was similar to that of Study 2 and the most common dose of modafinil reported in the current study was consistent with both Studies 1 and 2. The most common frequency of use of modafinil in the current study was similar to that reported in Study 1, although this was slightly less frequent in the current study. The maximum and minimum doses of reported modafinil use were also in keeping with Study 2. Unsurprisingly, the most common mode of administration of modafinil was by swallowing a pill. </w:t>
      </w:r>
    </w:p>
    <w:p w14:paraId="66946CDD" w14:textId="3FD7BCD7"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There were far fewer reported methylphenidate users than reported modafinil users in the current study probably due to accessibility of methylphenidate as well as the fact that illegal use of methylphenidate carries a five-year prison sentence </w:t>
      </w:r>
      <w:r w:rsidR="003937F9" w:rsidRPr="00734AB6">
        <w:rPr>
          <w:rFonts w:asciiTheme="majorHAnsi" w:hAnsiTheme="majorHAnsi"/>
        </w:rPr>
        <w:t xml:space="preserve">in Britain </w:t>
      </w:r>
      <w:r w:rsidRPr="00734AB6">
        <w:rPr>
          <w:rFonts w:asciiTheme="majorHAnsi" w:hAnsiTheme="majorHAnsi"/>
        </w:rPr>
        <w:t>which presents not only a deterrent to use methylphenidate without a prescription but also in admitting to doing so (</w:t>
      </w:r>
      <w:r w:rsidRPr="00734AB6">
        <w:rPr>
          <w:rFonts w:asciiTheme="majorHAnsi" w:hAnsiTheme="majorHAnsi" w:cs="Calibri"/>
        </w:rPr>
        <w:t xml:space="preserve">Drugs </w:t>
      </w:r>
      <w:r w:rsidR="00E32039" w:rsidRPr="00734AB6">
        <w:rPr>
          <w:rFonts w:asciiTheme="majorHAnsi" w:hAnsiTheme="majorHAnsi" w:cs="Calibri"/>
        </w:rPr>
        <w:t>p</w:t>
      </w:r>
      <w:r w:rsidRPr="00734AB6">
        <w:rPr>
          <w:rFonts w:asciiTheme="majorHAnsi" w:hAnsiTheme="majorHAnsi" w:cs="Calibri"/>
        </w:rPr>
        <w:t>enalties, n.d.)</w:t>
      </w:r>
      <w:r w:rsidRPr="00734AB6">
        <w:rPr>
          <w:rFonts w:asciiTheme="majorHAnsi" w:hAnsiTheme="majorHAnsi"/>
        </w:rPr>
        <w:t xml:space="preserve">. Age of first use of methylphenidate in the current study was similar to that of Study 2 and the most common dosage reported in the current study was also consistent with the findings of Studies 1 and 2. The most common maximum and minimum dose reported in the current study reflect an awareness of the safer level of dosage, which was also found in Study 2, compared with that seen in Study 1. </w:t>
      </w:r>
      <w:r w:rsidR="00260321" w:rsidRPr="00734AB6">
        <w:rPr>
          <w:rFonts w:asciiTheme="majorHAnsi" w:hAnsiTheme="majorHAnsi"/>
        </w:rPr>
        <w:t xml:space="preserve">It would appear then that Study 1 is the outlier, with those participants reporting the widest range of dosage of methylphenidate. </w:t>
      </w:r>
      <w:r w:rsidRPr="00734AB6">
        <w:rPr>
          <w:rFonts w:asciiTheme="majorHAnsi" w:hAnsiTheme="majorHAnsi"/>
        </w:rPr>
        <w:t xml:space="preserve">The most common route of administration of methylphenidate in the current study was by swallowing a pill with only a few reporting that they snorted methylphenidate. These findings suggest that both modafinil and methylphenidate are being used sensibly and cautiously. </w:t>
      </w:r>
    </w:p>
    <w:p w14:paraId="6721523E" w14:textId="62F9A9AC"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Although the findings in relation to demographics, mental health and drug use support the findings from the previous studies, there are some weaknesses and limitations to the current study which must be considered. </w:t>
      </w:r>
      <w:r w:rsidR="00A84046" w:rsidRPr="00734AB6">
        <w:rPr>
          <w:rFonts w:asciiTheme="majorHAnsi" w:hAnsiTheme="majorHAnsi"/>
        </w:rPr>
        <w:t>The participants were not screened for drugs currently in the bloodstream, and therefore it is not clear whether the presence of any drug would have influenced their performance on the tests</w:t>
      </w:r>
      <w:r w:rsidRPr="00734AB6">
        <w:rPr>
          <w:rFonts w:asciiTheme="majorHAnsi" w:hAnsiTheme="majorHAnsi"/>
        </w:rPr>
        <w:t xml:space="preserve">. However, to have included a screening procedure such </w:t>
      </w:r>
      <w:r w:rsidRPr="00734AB6">
        <w:rPr>
          <w:rFonts w:asciiTheme="majorHAnsi" w:hAnsiTheme="majorHAnsi"/>
        </w:rPr>
        <w:lastRenderedPageBreak/>
        <w:t xml:space="preserve">as this would not only have required considerable amounts of money, medical supervision and administration, it would have presented a deterrent to potential participants. Although participants were instructed to avoid using any psychoactive drugs for 24 hours prior to participation, nicotine and caffeine may not have been perceived as psychoactive drug and consumption of either </w:t>
      </w:r>
      <w:r w:rsidR="00583F9E" w:rsidRPr="00734AB6">
        <w:rPr>
          <w:rFonts w:asciiTheme="majorHAnsi" w:hAnsiTheme="majorHAnsi"/>
        </w:rPr>
        <w:t>c</w:t>
      </w:r>
      <w:r w:rsidRPr="00734AB6">
        <w:rPr>
          <w:rFonts w:asciiTheme="majorHAnsi" w:hAnsiTheme="majorHAnsi"/>
        </w:rPr>
        <w:t xml:space="preserve">ould have had an effect on performance. A further limitation to the findings of the current study is that the </w:t>
      </w:r>
      <w:r w:rsidR="00C56A79" w:rsidRPr="00734AB6">
        <w:rPr>
          <w:rFonts w:asciiTheme="majorHAnsi" w:hAnsiTheme="majorHAnsi"/>
        </w:rPr>
        <w:t xml:space="preserve">majority of the </w:t>
      </w:r>
      <w:r w:rsidRPr="00734AB6">
        <w:rPr>
          <w:rFonts w:asciiTheme="majorHAnsi" w:hAnsiTheme="majorHAnsi"/>
        </w:rPr>
        <w:t xml:space="preserve">control group were </w:t>
      </w:r>
      <w:r w:rsidR="00C56A79" w:rsidRPr="00734AB6">
        <w:rPr>
          <w:rFonts w:asciiTheme="majorHAnsi" w:hAnsiTheme="majorHAnsi"/>
        </w:rPr>
        <w:t xml:space="preserve">studying for a degree at the time of testing due to the method of recruiting via the RPS. </w:t>
      </w:r>
    </w:p>
    <w:p w14:paraId="045D0D50" w14:textId="41C9F8FF" w:rsidR="00650528" w:rsidRPr="00734AB6" w:rsidRDefault="00650528" w:rsidP="002C02AF">
      <w:pPr>
        <w:spacing w:line="360" w:lineRule="auto"/>
        <w:ind w:firstLine="851"/>
        <w:rPr>
          <w:rFonts w:asciiTheme="majorHAnsi" w:hAnsiTheme="majorHAnsi"/>
        </w:rPr>
      </w:pPr>
      <w:r w:rsidRPr="00734AB6">
        <w:rPr>
          <w:rFonts w:asciiTheme="majorHAnsi" w:hAnsiTheme="majorHAnsi"/>
        </w:rPr>
        <w:t xml:space="preserve">To conclude, this study reports the findings of a lab-based study of the off-prescription use of modafinil and methylphenidate and the un-medicated cognitive performance of the reported off-prescription users of modafinil and methylphenidate. The findings revealed that the CED-user group rated themselves as having greater emotional control and faster response latencies in both the </w:t>
      </w:r>
      <w:proofErr w:type="spellStart"/>
      <w:r w:rsidRPr="00734AB6">
        <w:rPr>
          <w:rFonts w:asciiTheme="majorHAnsi" w:hAnsiTheme="majorHAnsi"/>
        </w:rPr>
        <w:t>antisaccade</w:t>
      </w:r>
      <w:proofErr w:type="spellEnd"/>
      <w:r w:rsidRPr="00734AB6">
        <w:rPr>
          <w:rFonts w:asciiTheme="majorHAnsi" w:hAnsiTheme="majorHAnsi"/>
        </w:rPr>
        <w:t xml:space="preserve"> and flanker tasks, compared with controls</w:t>
      </w:r>
      <w:r w:rsidR="0014118E" w:rsidRPr="00734AB6">
        <w:rPr>
          <w:rFonts w:asciiTheme="majorHAnsi" w:hAnsiTheme="majorHAnsi"/>
        </w:rPr>
        <w:t xml:space="preserve">. Although it is not possible to make assumptions as to why these CED users rated themselves as having greater emotional control without further investigation, </w:t>
      </w:r>
      <w:r w:rsidR="008242B3" w:rsidRPr="00734AB6">
        <w:rPr>
          <w:rFonts w:asciiTheme="majorHAnsi" w:hAnsiTheme="majorHAnsi"/>
        </w:rPr>
        <w:t>the results</w:t>
      </w:r>
      <w:r w:rsidR="0014118E" w:rsidRPr="00734AB6">
        <w:rPr>
          <w:rFonts w:asciiTheme="majorHAnsi" w:hAnsiTheme="majorHAnsi"/>
        </w:rPr>
        <w:t xml:space="preserve"> may</w:t>
      </w:r>
      <w:r w:rsidRPr="00734AB6">
        <w:rPr>
          <w:rFonts w:asciiTheme="majorHAnsi" w:hAnsiTheme="majorHAnsi"/>
        </w:rPr>
        <w:t xml:space="preserve"> suggest that modafinil and methylphenidate improve emotional self-regulation. </w:t>
      </w:r>
      <w:r w:rsidR="00966B28" w:rsidRPr="00734AB6">
        <w:rPr>
          <w:rFonts w:asciiTheme="majorHAnsi" w:hAnsiTheme="majorHAnsi"/>
        </w:rPr>
        <w:t>Alternatively, the CED-user group may have already had improved emotional self-regulation before they started using modafinil and methylphenidate</w:t>
      </w:r>
      <w:r w:rsidR="00411F79" w:rsidRPr="00734AB6">
        <w:rPr>
          <w:rFonts w:asciiTheme="majorHAnsi" w:hAnsiTheme="majorHAnsi"/>
        </w:rPr>
        <w:t>.</w:t>
      </w:r>
      <w:r w:rsidR="0014118E" w:rsidRPr="00734AB6">
        <w:rPr>
          <w:rFonts w:asciiTheme="majorHAnsi" w:hAnsiTheme="majorHAnsi"/>
        </w:rPr>
        <w:t xml:space="preserve"> </w:t>
      </w:r>
      <w:r w:rsidRPr="00734AB6">
        <w:rPr>
          <w:rFonts w:asciiTheme="majorHAnsi" w:hAnsiTheme="majorHAnsi"/>
        </w:rPr>
        <w:t xml:space="preserve">The CED-user group’s faster response latencies on </w:t>
      </w:r>
      <w:proofErr w:type="spellStart"/>
      <w:r w:rsidRPr="00734AB6">
        <w:rPr>
          <w:rFonts w:asciiTheme="majorHAnsi" w:hAnsiTheme="majorHAnsi"/>
        </w:rPr>
        <w:t>antisaccade</w:t>
      </w:r>
      <w:proofErr w:type="spellEnd"/>
      <w:r w:rsidRPr="00734AB6">
        <w:rPr>
          <w:rFonts w:asciiTheme="majorHAnsi" w:hAnsiTheme="majorHAnsi"/>
        </w:rPr>
        <w:t xml:space="preserve"> errors may be a result of their greater emotional control compared with the control group. It is also conceivable that the faster latencies with no reduction in errors seen in the CED-user group are due to faster information processing</w:t>
      </w:r>
      <w:r w:rsidR="008242B3" w:rsidRPr="00734AB6">
        <w:rPr>
          <w:rFonts w:asciiTheme="majorHAnsi" w:hAnsiTheme="majorHAnsi"/>
        </w:rPr>
        <w:t>.</w:t>
      </w:r>
      <w:r w:rsidRPr="00734AB6">
        <w:rPr>
          <w:rFonts w:asciiTheme="majorHAnsi" w:hAnsiTheme="majorHAnsi"/>
        </w:rPr>
        <w:t xml:space="preserve"> </w:t>
      </w:r>
      <w:r w:rsidR="008242B3" w:rsidRPr="00734AB6">
        <w:rPr>
          <w:rFonts w:asciiTheme="majorHAnsi" w:hAnsiTheme="majorHAnsi"/>
        </w:rPr>
        <w:t>This</w:t>
      </w:r>
      <w:r w:rsidRPr="00734AB6">
        <w:rPr>
          <w:rFonts w:asciiTheme="majorHAnsi" w:hAnsiTheme="majorHAnsi"/>
        </w:rPr>
        <w:t xml:space="preserve"> would suggest that the cognitive functioning of this group is good and that they are not self-medicating but instead using modafinil and/or methylphenidate to enhance their already good cognitive performance. Future research is</w:t>
      </w:r>
      <w:r w:rsidR="008242B3" w:rsidRPr="00734AB6">
        <w:rPr>
          <w:rFonts w:asciiTheme="majorHAnsi" w:hAnsiTheme="majorHAnsi"/>
        </w:rPr>
        <w:t>, therefore,</w:t>
      </w:r>
      <w:r w:rsidRPr="00734AB6">
        <w:rPr>
          <w:rFonts w:asciiTheme="majorHAnsi" w:hAnsiTheme="majorHAnsi"/>
        </w:rPr>
        <w:t xml:space="preserve"> warranted in order to distinguish whether greater emotional control or naturally faster information processing is causing these effects.</w:t>
      </w:r>
      <w:r w:rsidR="00583F9E" w:rsidRPr="00734AB6">
        <w:rPr>
          <w:rFonts w:asciiTheme="majorHAnsi" w:hAnsiTheme="majorHAnsi"/>
        </w:rPr>
        <w:t xml:space="preserve"> </w:t>
      </w:r>
    </w:p>
    <w:p w14:paraId="20F41CE8" w14:textId="77777777" w:rsidR="006E2809" w:rsidRPr="00734AB6" w:rsidRDefault="006E2809" w:rsidP="002C02AF">
      <w:pPr>
        <w:ind w:firstLine="851"/>
        <w:rPr>
          <w:b/>
        </w:rPr>
      </w:pPr>
    </w:p>
    <w:p w14:paraId="51D2794A" w14:textId="77777777" w:rsidR="006E2809" w:rsidRPr="00734AB6" w:rsidRDefault="006E2809">
      <w:pPr>
        <w:rPr>
          <w:rFonts w:asciiTheme="majorHAnsi" w:eastAsiaTheme="majorEastAsia" w:hAnsiTheme="majorHAnsi" w:cstheme="majorBidi"/>
          <w:b/>
          <w:szCs w:val="32"/>
        </w:rPr>
      </w:pPr>
      <w:r w:rsidRPr="00734AB6">
        <w:rPr>
          <w:b/>
        </w:rPr>
        <w:br w:type="page"/>
      </w:r>
    </w:p>
    <w:p w14:paraId="75D8AC08" w14:textId="77777777" w:rsidR="004408EA" w:rsidRPr="00734AB6" w:rsidRDefault="006E2809" w:rsidP="006E2809">
      <w:pPr>
        <w:pStyle w:val="Heading1"/>
        <w:spacing w:after="240" w:line="360" w:lineRule="auto"/>
        <w:rPr>
          <w:b/>
          <w:color w:val="auto"/>
          <w:sz w:val="22"/>
        </w:rPr>
      </w:pPr>
      <w:bookmarkStart w:id="96" w:name="_Toc48136387"/>
      <w:r w:rsidRPr="00734AB6">
        <w:rPr>
          <w:b/>
          <w:color w:val="auto"/>
          <w:sz w:val="22"/>
        </w:rPr>
        <w:lastRenderedPageBreak/>
        <w:t>5</w:t>
      </w:r>
      <w:r w:rsidRPr="00734AB6">
        <w:rPr>
          <w:b/>
          <w:color w:val="auto"/>
          <w:sz w:val="22"/>
        </w:rPr>
        <w:tab/>
        <w:t>CHAPTER FIVE</w:t>
      </w:r>
      <w:bookmarkEnd w:id="96"/>
    </w:p>
    <w:p w14:paraId="107A479C" w14:textId="5B5FA881" w:rsidR="006E2809" w:rsidRPr="00734AB6" w:rsidRDefault="006E2809" w:rsidP="004408EA">
      <w:pPr>
        <w:spacing w:line="360" w:lineRule="auto"/>
        <w:rPr>
          <w:b/>
        </w:rPr>
      </w:pPr>
      <w:r w:rsidRPr="00734AB6">
        <w:rPr>
          <w:b/>
        </w:rPr>
        <w:tab/>
        <w:t>DISCUSSION</w:t>
      </w:r>
    </w:p>
    <w:p w14:paraId="573B33F4" w14:textId="77777777" w:rsidR="004408EA" w:rsidRPr="00734AB6" w:rsidRDefault="004408EA" w:rsidP="004408EA">
      <w:pPr>
        <w:spacing w:line="360" w:lineRule="auto"/>
        <w:rPr>
          <w:b/>
        </w:rPr>
      </w:pPr>
    </w:p>
    <w:p w14:paraId="3E19EF1C" w14:textId="2DE036BF" w:rsidR="006E2809" w:rsidRPr="00734AB6" w:rsidRDefault="006E2809" w:rsidP="006E2809">
      <w:pPr>
        <w:pStyle w:val="Heading2"/>
        <w:spacing w:after="240" w:line="360" w:lineRule="auto"/>
        <w:rPr>
          <w:b/>
          <w:color w:val="auto"/>
          <w:sz w:val="22"/>
        </w:rPr>
      </w:pPr>
      <w:bookmarkStart w:id="97" w:name="_Toc48136388"/>
      <w:r w:rsidRPr="00734AB6">
        <w:rPr>
          <w:b/>
          <w:color w:val="auto"/>
          <w:sz w:val="22"/>
        </w:rPr>
        <w:t>5.1</w:t>
      </w:r>
      <w:r w:rsidRPr="00734AB6">
        <w:rPr>
          <w:b/>
          <w:color w:val="auto"/>
          <w:sz w:val="22"/>
        </w:rPr>
        <w:tab/>
        <w:t xml:space="preserve">Summary of the </w:t>
      </w:r>
      <w:r w:rsidR="00B03525" w:rsidRPr="00734AB6">
        <w:rPr>
          <w:b/>
          <w:color w:val="auto"/>
          <w:sz w:val="22"/>
        </w:rPr>
        <w:t>research aims of the thesis</w:t>
      </w:r>
      <w:bookmarkEnd w:id="97"/>
      <w:r w:rsidRPr="00734AB6">
        <w:rPr>
          <w:b/>
          <w:color w:val="auto"/>
          <w:sz w:val="22"/>
        </w:rPr>
        <w:t xml:space="preserve"> </w:t>
      </w:r>
    </w:p>
    <w:p w14:paraId="03F6CAEF" w14:textId="0528C3A9"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This thesis aimed to understand the off-prescription use of modafinil and methylphenidate by </w:t>
      </w:r>
      <w:r w:rsidR="00B52B66" w:rsidRPr="00734AB6">
        <w:rPr>
          <w:rFonts w:asciiTheme="majorHAnsi" w:hAnsiTheme="majorHAnsi"/>
        </w:rPr>
        <w:t>identifying the profile of these</w:t>
      </w:r>
      <w:r w:rsidRPr="00734AB6">
        <w:rPr>
          <w:rFonts w:asciiTheme="majorHAnsi" w:hAnsiTheme="majorHAnsi"/>
        </w:rPr>
        <w:t xml:space="preserve"> users and their experiences of using these drugs as well as their motivations for use, despite the risks and dangers involved. Additionally, </w:t>
      </w:r>
      <w:r w:rsidR="008242B3" w:rsidRPr="00734AB6">
        <w:rPr>
          <w:rFonts w:asciiTheme="majorHAnsi" w:hAnsiTheme="majorHAnsi"/>
        </w:rPr>
        <w:t xml:space="preserve">it </w:t>
      </w:r>
      <w:r w:rsidRPr="00734AB6">
        <w:rPr>
          <w:rFonts w:asciiTheme="majorHAnsi" w:hAnsiTheme="majorHAnsi"/>
        </w:rPr>
        <w:t>also aimed to determine whether off-prescription users of m</w:t>
      </w:r>
      <w:r w:rsidR="008242B3" w:rsidRPr="00734AB6">
        <w:rPr>
          <w:rFonts w:asciiTheme="majorHAnsi" w:hAnsiTheme="majorHAnsi"/>
        </w:rPr>
        <w:t>odafinil and methylphenidate ch</w:t>
      </w:r>
      <w:r w:rsidRPr="00734AB6">
        <w:rPr>
          <w:rFonts w:asciiTheme="majorHAnsi" w:hAnsiTheme="majorHAnsi"/>
        </w:rPr>
        <w:t xml:space="preserve">ose to </w:t>
      </w:r>
      <w:r w:rsidR="008242B3" w:rsidRPr="00734AB6">
        <w:rPr>
          <w:rFonts w:asciiTheme="majorHAnsi" w:hAnsiTheme="majorHAnsi"/>
        </w:rPr>
        <w:t>take these CEDs</w:t>
      </w:r>
      <w:r w:rsidRPr="00734AB6">
        <w:rPr>
          <w:rFonts w:asciiTheme="majorHAnsi" w:hAnsiTheme="majorHAnsi"/>
        </w:rPr>
        <w:t xml:space="preserve"> to enhance their already good cognitive functions or i</w:t>
      </w:r>
      <w:r w:rsidR="008242B3" w:rsidRPr="00734AB6">
        <w:rPr>
          <w:rFonts w:asciiTheme="majorHAnsi" w:hAnsiTheme="majorHAnsi"/>
        </w:rPr>
        <w:t>f they we</w:t>
      </w:r>
      <w:r w:rsidRPr="00734AB6">
        <w:rPr>
          <w:rFonts w:asciiTheme="majorHAnsi" w:hAnsiTheme="majorHAnsi"/>
        </w:rPr>
        <w:t>re self-medicating for poor cognitive functions. The following section summarises the key findings of all three studies.</w:t>
      </w:r>
    </w:p>
    <w:p w14:paraId="2DD3EA6C" w14:textId="77777777" w:rsidR="006E2809" w:rsidRPr="00734AB6" w:rsidRDefault="006E2809" w:rsidP="006E2809">
      <w:pPr>
        <w:spacing w:line="360" w:lineRule="auto"/>
        <w:ind w:firstLine="851"/>
        <w:rPr>
          <w:rFonts w:asciiTheme="majorHAnsi" w:hAnsiTheme="majorHAnsi"/>
        </w:rPr>
      </w:pPr>
    </w:p>
    <w:p w14:paraId="0DA10FBC" w14:textId="0A4B2011" w:rsidR="00B03525" w:rsidRPr="00734AB6" w:rsidRDefault="00B03525" w:rsidP="00B03525">
      <w:pPr>
        <w:pStyle w:val="Heading2"/>
        <w:spacing w:after="240" w:line="360" w:lineRule="auto"/>
        <w:rPr>
          <w:b/>
          <w:color w:val="auto"/>
          <w:sz w:val="22"/>
        </w:rPr>
      </w:pPr>
      <w:bookmarkStart w:id="98" w:name="_Toc48136389"/>
      <w:r w:rsidRPr="00734AB6">
        <w:rPr>
          <w:b/>
          <w:color w:val="auto"/>
          <w:sz w:val="22"/>
        </w:rPr>
        <w:t>5.2</w:t>
      </w:r>
      <w:r w:rsidRPr="00734AB6">
        <w:rPr>
          <w:b/>
          <w:color w:val="auto"/>
          <w:sz w:val="22"/>
        </w:rPr>
        <w:tab/>
        <w:t>Summary of the key findings</w:t>
      </w:r>
      <w:bookmarkEnd w:id="98"/>
    </w:p>
    <w:p w14:paraId="35D50288" w14:textId="4108D517" w:rsidR="006E2809" w:rsidRPr="00734AB6" w:rsidRDefault="006E2809" w:rsidP="00B03525">
      <w:pPr>
        <w:pStyle w:val="Heading3"/>
        <w:spacing w:after="240" w:line="360" w:lineRule="auto"/>
        <w:rPr>
          <w:b/>
          <w:color w:val="auto"/>
          <w:sz w:val="22"/>
        </w:rPr>
      </w:pPr>
      <w:bookmarkStart w:id="99" w:name="_Toc48136390"/>
      <w:r w:rsidRPr="00734AB6">
        <w:rPr>
          <w:b/>
          <w:color w:val="auto"/>
          <w:sz w:val="22"/>
        </w:rPr>
        <w:t>5.</w:t>
      </w:r>
      <w:r w:rsidR="00B03525" w:rsidRPr="00734AB6">
        <w:rPr>
          <w:b/>
          <w:color w:val="auto"/>
          <w:sz w:val="22"/>
        </w:rPr>
        <w:t>2</w:t>
      </w:r>
      <w:r w:rsidRPr="00734AB6">
        <w:rPr>
          <w:b/>
          <w:color w:val="auto"/>
          <w:sz w:val="22"/>
        </w:rPr>
        <w:t>.1</w:t>
      </w:r>
      <w:r w:rsidRPr="00734AB6">
        <w:rPr>
          <w:b/>
          <w:color w:val="auto"/>
          <w:sz w:val="22"/>
        </w:rPr>
        <w:tab/>
        <w:t>Study 1</w:t>
      </w:r>
      <w:bookmarkEnd w:id="99"/>
    </w:p>
    <w:p w14:paraId="47CEF851" w14:textId="6707F872"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Study 1 had two </w:t>
      </w:r>
      <w:r w:rsidR="00224E87" w:rsidRPr="00734AB6">
        <w:rPr>
          <w:rFonts w:asciiTheme="majorHAnsi" w:hAnsiTheme="majorHAnsi"/>
        </w:rPr>
        <w:t>target populations</w:t>
      </w:r>
      <w:r w:rsidRPr="00734AB6">
        <w:rPr>
          <w:rFonts w:asciiTheme="majorHAnsi" w:hAnsiTheme="majorHAnsi"/>
        </w:rPr>
        <w:t xml:space="preserve"> and sought to investigate how these drugs were experienced in the real world. </w:t>
      </w:r>
      <w:r w:rsidR="00224E87" w:rsidRPr="00734AB6">
        <w:rPr>
          <w:rFonts w:asciiTheme="majorHAnsi" w:hAnsiTheme="majorHAnsi"/>
        </w:rPr>
        <w:t>A survey w</w:t>
      </w:r>
      <w:r w:rsidR="00B864C2" w:rsidRPr="00734AB6">
        <w:rPr>
          <w:rFonts w:asciiTheme="majorHAnsi" w:hAnsiTheme="majorHAnsi"/>
        </w:rPr>
        <w:t>a</w:t>
      </w:r>
      <w:r w:rsidR="00224E87" w:rsidRPr="00734AB6">
        <w:rPr>
          <w:rFonts w:asciiTheme="majorHAnsi" w:hAnsiTheme="majorHAnsi"/>
        </w:rPr>
        <w:t xml:space="preserve">s constructed based on a review of the literature on CED use, modafinil and methylphenidate in particular. </w:t>
      </w:r>
      <w:r w:rsidRPr="00734AB6">
        <w:rPr>
          <w:rFonts w:asciiTheme="majorHAnsi" w:hAnsiTheme="majorHAnsi"/>
        </w:rPr>
        <w:t xml:space="preserve">Study 1a, targeted visitors of online forums relating to illicit drug and nootropic use and student forums. The results identified the typical profile of the modafinil and methylphenidate off-prescription user (at least those who visit these online forums), </w:t>
      </w:r>
      <w:r w:rsidR="00224E87" w:rsidRPr="00734AB6">
        <w:rPr>
          <w:rFonts w:asciiTheme="majorHAnsi" w:hAnsiTheme="majorHAnsi"/>
        </w:rPr>
        <w:t>as being</w:t>
      </w:r>
      <w:r w:rsidRPr="00734AB6">
        <w:rPr>
          <w:rFonts w:asciiTheme="majorHAnsi" w:hAnsiTheme="majorHAnsi"/>
        </w:rPr>
        <w:t xml:space="preserve"> male, </w:t>
      </w:r>
      <w:r w:rsidR="00BC6247" w:rsidRPr="00734AB6">
        <w:rPr>
          <w:rFonts w:asciiTheme="majorHAnsi" w:hAnsiTheme="majorHAnsi"/>
        </w:rPr>
        <w:t>North American</w:t>
      </w:r>
      <w:r w:rsidRPr="00734AB6">
        <w:rPr>
          <w:rFonts w:asciiTheme="majorHAnsi" w:hAnsiTheme="majorHAnsi"/>
        </w:rPr>
        <w:t xml:space="preserve"> or British, educated, employed and in their mid-20s. Illicit drug use was found to be associated with reported off-prescription modafinil and methylphenidate use. There also appeared to be an association with psychiatric disorders, specifically depression and anxiety which required further investigation. Greater reported frequency of modafinil use was associated with greater benefits whilst the number of risks remained relatively unchanged regardless of the frequency of use. This pattern was not evident for methylphenidate. </w:t>
      </w:r>
      <w:r w:rsidR="00B864C2" w:rsidRPr="00734AB6">
        <w:rPr>
          <w:rFonts w:asciiTheme="majorHAnsi" w:hAnsiTheme="majorHAnsi"/>
        </w:rPr>
        <w:t>Furthermore</w:t>
      </w:r>
      <w:r w:rsidRPr="00734AB6">
        <w:rPr>
          <w:rFonts w:asciiTheme="majorHAnsi" w:hAnsiTheme="majorHAnsi"/>
        </w:rPr>
        <w:t>, modafinil was perceived as a safe drug whereas methylphenidate was seen as dangerous and more of a ‘quick fix’. These findings suggest that modafinil may be experienced differently to methylphenidate and that CED users may not be one homogenous group. The reported motivations for use were mostly for attention and focus and to “get more done” which suggested that, if these drugs were being used as self-medication for poor cognitive function, the</w:t>
      </w:r>
      <w:r w:rsidR="00B864C2" w:rsidRPr="00734AB6">
        <w:rPr>
          <w:rFonts w:asciiTheme="majorHAnsi" w:hAnsiTheme="majorHAnsi"/>
        </w:rPr>
        <w:t xml:space="preserve"> users</w:t>
      </w:r>
      <w:r w:rsidRPr="00734AB6">
        <w:rPr>
          <w:rFonts w:asciiTheme="majorHAnsi" w:hAnsiTheme="majorHAnsi"/>
        </w:rPr>
        <w:t xml:space="preserve"> may be </w:t>
      </w:r>
      <w:r w:rsidR="00B864C2" w:rsidRPr="00734AB6">
        <w:rPr>
          <w:rFonts w:asciiTheme="majorHAnsi" w:hAnsiTheme="majorHAnsi"/>
        </w:rPr>
        <w:t xml:space="preserve">taking them to counter </w:t>
      </w:r>
      <w:r w:rsidRPr="00734AB6">
        <w:rPr>
          <w:rFonts w:asciiTheme="majorHAnsi" w:hAnsiTheme="majorHAnsi"/>
        </w:rPr>
        <w:t xml:space="preserve">problems with inattention and procrastination. These findings directed further empirical investigation, specifically, to determine </w:t>
      </w:r>
      <w:r w:rsidRPr="00734AB6">
        <w:rPr>
          <w:rFonts w:asciiTheme="majorHAnsi" w:hAnsiTheme="majorHAnsi"/>
        </w:rPr>
        <w:lastRenderedPageBreak/>
        <w:t>whether modafinil and methylphenidate off-prescription users are self-medicating for inattention and procrastination and if modafinil and methylphenidate off-prescriptions users are two distinct groups rather than one homogenous CED user group.</w:t>
      </w:r>
    </w:p>
    <w:p w14:paraId="6A191E41" w14:textId="77777777" w:rsidR="006E2809" w:rsidRPr="00734AB6" w:rsidRDefault="006E2809" w:rsidP="006E2809">
      <w:pPr>
        <w:spacing w:line="360" w:lineRule="auto"/>
        <w:ind w:firstLine="851"/>
        <w:rPr>
          <w:rFonts w:asciiTheme="majorHAnsi" w:hAnsiTheme="majorHAnsi"/>
        </w:rPr>
      </w:pPr>
      <w:r w:rsidRPr="00734AB6">
        <w:rPr>
          <w:rFonts w:asciiTheme="majorHAnsi" w:hAnsiTheme="majorHAnsi"/>
        </w:rPr>
        <w:t>Study 1b used the same survey and targeted students and staff at London South Bank University to compare levels of reported modafinil and methylphenidate off-prescription use with those in the previously reviewed literature. Further to this, responses to the statements of opinions about the off-prescription use of modafinil and methylphenidate from Study 1a and 1b were compared. The findings indicated that the percentage of reported off-prescription use of modafinil and methylphenidate was slightly lower than the percentages reported by Singh et al. (2014) and much lower than the percentage of modafinil use reported by Oxford students (Young-Powell &amp; Page, 2014). This may suggest that the pressure to succeed in these elite universities is related to this greater reported use compared with the percentage of reported off-prescription use at London South Bank University, an inner city ex-polytechnic university. Comparisons of the responses to the statements of opinions between CED users and university respondents indicated that methylphenidate is perceived as dangerous by the majority of both samples which supported the findings of Study 1a. Unsurprisingly, most of the reported CED users in Study 1a stated that they did not feel that taking modafinil or methylphenidate was unfair, and cheating whereas the majority of university respondents did. That said, these opinions were not held by all university respondents.</w:t>
      </w:r>
    </w:p>
    <w:p w14:paraId="60AA93DB" w14:textId="77777777" w:rsidR="006E2809" w:rsidRPr="00734AB6" w:rsidRDefault="006E2809" w:rsidP="006E2809">
      <w:pPr>
        <w:spacing w:line="360" w:lineRule="auto"/>
        <w:ind w:firstLine="851"/>
        <w:rPr>
          <w:rFonts w:asciiTheme="majorHAnsi" w:hAnsiTheme="majorHAnsi"/>
        </w:rPr>
      </w:pPr>
    </w:p>
    <w:p w14:paraId="0AF71626" w14:textId="385BCA74" w:rsidR="006E2809" w:rsidRPr="00734AB6" w:rsidRDefault="006E2809" w:rsidP="00B03525">
      <w:pPr>
        <w:pStyle w:val="Heading3"/>
        <w:spacing w:after="240" w:line="360" w:lineRule="auto"/>
        <w:rPr>
          <w:b/>
          <w:color w:val="auto"/>
          <w:sz w:val="22"/>
        </w:rPr>
      </w:pPr>
      <w:bookmarkStart w:id="100" w:name="_Toc48136391"/>
      <w:r w:rsidRPr="00734AB6">
        <w:rPr>
          <w:b/>
          <w:color w:val="auto"/>
          <w:sz w:val="22"/>
        </w:rPr>
        <w:t>5.</w:t>
      </w:r>
      <w:r w:rsidR="00B03525" w:rsidRPr="00734AB6">
        <w:rPr>
          <w:rStyle w:val="Heading3Char"/>
          <w:b/>
          <w:color w:val="auto"/>
          <w:sz w:val="22"/>
        </w:rPr>
        <w:t>2</w:t>
      </w:r>
      <w:r w:rsidRPr="00734AB6">
        <w:rPr>
          <w:b/>
          <w:color w:val="auto"/>
          <w:sz w:val="22"/>
        </w:rPr>
        <w:t>.2</w:t>
      </w:r>
      <w:r w:rsidRPr="00734AB6">
        <w:rPr>
          <w:b/>
          <w:color w:val="auto"/>
          <w:sz w:val="22"/>
        </w:rPr>
        <w:tab/>
        <w:t>Study 2</w:t>
      </w:r>
      <w:bookmarkEnd w:id="100"/>
    </w:p>
    <w:p w14:paraId="44195E43" w14:textId="3DC2E1EB" w:rsidR="006E2809" w:rsidRPr="00734AB6" w:rsidRDefault="006E2809" w:rsidP="006E2809">
      <w:pPr>
        <w:spacing w:line="360" w:lineRule="auto"/>
        <w:ind w:firstLine="851"/>
        <w:rPr>
          <w:rFonts w:asciiTheme="majorHAnsi" w:hAnsiTheme="majorHAnsi"/>
        </w:rPr>
      </w:pPr>
      <w:r w:rsidRPr="00734AB6">
        <w:rPr>
          <w:rFonts w:asciiTheme="majorHAnsi" w:hAnsiTheme="majorHAnsi"/>
        </w:rPr>
        <w:t>Study 2 used another online survey, targeting the same online forums as Study 1a with additional forums targeted for the purpose of attracting individuals who are interested in learning and achievement but who may not do this through the use of CEDs. This study aimed to investigate whether off-prescription users of modafinil and methylphenidate are self-medicating for inattention and procrastination, and whether users of these two drugs represent two distinct groups or if they are part of one homogenous group of CED users. In order to address the first aim, the survey included three questionnaires, namely, the ASRS</w:t>
      </w:r>
      <w:r w:rsidR="00CF4C44" w:rsidRPr="00734AB6">
        <w:rPr>
          <w:rFonts w:asciiTheme="majorHAnsi" w:hAnsiTheme="majorHAnsi"/>
        </w:rPr>
        <w:t xml:space="preserve"> (Kessler et al., 2005)</w:t>
      </w:r>
      <w:r w:rsidRPr="00734AB6">
        <w:rPr>
          <w:rFonts w:asciiTheme="majorHAnsi" w:hAnsiTheme="majorHAnsi"/>
        </w:rPr>
        <w:t xml:space="preserve">, CFQ </w:t>
      </w:r>
      <w:r w:rsidR="00CF4C44" w:rsidRPr="00734AB6">
        <w:rPr>
          <w:rFonts w:asciiTheme="majorHAnsi" w:hAnsiTheme="majorHAnsi"/>
        </w:rPr>
        <w:t>(Broadbent et al., 1982)</w:t>
      </w:r>
      <w:r w:rsidR="00702178" w:rsidRPr="00734AB6">
        <w:rPr>
          <w:rFonts w:asciiTheme="majorHAnsi" w:hAnsiTheme="majorHAnsi"/>
        </w:rPr>
        <w:t xml:space="preserve"> </w:t>
      </w:r>
      <w:r w:rsidRPr="00734AB6">
        <w:rPr>
          <w:rFonts w:asciiTheme="majorHAnsi" w:hAnsiTheme="majorHAnsi"/>
        </w:rPr>
        <w:t xml:space="preserve">and GPS </w:t>
      </w:r>
      <w:r w:rsidR="00CF4C44" w:rsidRPr="00734AB6">
        <w:rPr>
          <w:rFonts w:asciiTheme="majorHAnsi" w:hAnsiTheme="majorHAnsi"/>
        </w:rPr>
        <w:t>(Lay, 1986)</w:t>
      </w:r>
      <w:r w:rsidR="00B864C2" w:rsidRPr="00734AB6">
        <w:rPr>
          <w:rFonts w:asciiTheme="majorHAnsi" w:hAnsiTheme="majorHAnsi"/>
        </w:rPr>
        <w:t>.</w:t>
      </w:r>
      <w:r w:rsidR="00CF4C44" w:rsidRPr="00734AB6">
        <w:rPr>
          <w:rFonts w:asciiTheme="majorHAnsi" w:hAnsiTheme="majorHAnsi"/>
        </w:rPr>
        <w:t xml:space="preserve"> </w:t>
      </w:r>
      <w:r w:rsidR="00B864C2" w:rsidRPr="00734AB6">
        <w:rPr>
          <w:rFonts w:asciiTheme="majorHAnsi" w:hAnsiTheme="majorHAnsi"/>
        </w:rPr>
        <w:t>C</w:t>
      </w:r>
      <w:r w:rsidRPr="00734AB6">
        <w:rPr>
          <w:rFonts w:asciiTheme="majorHAnsi" w:hAnsiTheme="majorHAnsi"/>
        </w:rPr>
        <w:t xml:space="preserve">omparisons were made between the </w:t>
      </w:r>
      <w:r w:rsidR="00702178" w:rsidRPr="00734AB6">
        <w:rPr>
          <w:rFonts w:asciiTheme="majorHAnsi" w:hAnsiTheme="majorHAnsi"/>
        </w:rPr>
        <w:t>responses made by</w:t>
      </w:r>
      <w:r w:rsidRPr="00734AB6">
        <w:rPr>
          <w:rFonts w:asciiTheme="majorHAnsi" w:hAnsiTheme="majorHAnsi"/>
        </w:rPr>
        <w:t xml:space="preserve"> reported modafinil and methylphenidate users and controls. To address the second aim, a further question was presented relating to the behaviours and abilities assessed by the ASRS, CFQ and GPS whilst on modafinil and methylphenidate. A further aim was to identify whether modafinil and methylphenidate were being used as a supportive treatment for depression and anxiety.</w:t>
      </w:r>
    </w:p>
    <w:p w14:paraId="1C41FB7F" w14:textId="51A1A809" w:rsidR="006E2809" w:rsidRPr="00734AB6" w:rsidRDefault="006E2809" w:rsidP="006E2809">
      <w:pPr>
        <w:spacing w:line="360" w:lineRule="auto"/>
        <w:ind w:firstLine="851"/>
        <w:rPr>
          <w:rFonts w:asciiTheme="majorHAnsi" w:hAnsiTheme="majorHAnsi"/>
        </w:rPr>
      </w:pPr>
      <w:r w:rsidRPr="00734AB6">
        <w:rPr>
          <w:rFonts w:asciiTheme="majorHAnsi" w:hAnsiTheme="majorHAnsi"/>
        </w:rPr>
        <w:lastRenderedPageBreak/>
        <w:t xml:space="preserve">The results supported the CED user profile which had been identified in Study 1a. </w:t>
      </w:r>
      <w:r w:rsidR="008A1928" w:rsidRPr="00734AB6">
        <w:rPr>
          <w:rFonts w:asciiTheme="majorHAnsi" w:hAnsiTheme="majorHAnsi"/>
        </w:rPr>
        <w:t xml:space="preserve">A psychiatric diagnosis, specifically of </w:t>
      </w:r>
      <w:r w:rsidRPr="00734AB6">
        <w:rPr>
          <w:rFonts w:asciiTheme="majorHAnsi" w:hAnsiTheme="majorHAnsi"/>
        </w:rPr>
        <w:t xml:space="preserve">depression and anxiety </w:t>
      </w:r>
      <w:r w:rsidR="008A1928" w:rsidRPr="00734AB6">
        <w:rPr>
          <w:rFonts w:asciiTheme="majorHAnsi" w:hAnsiTheme="majorHAnsi"/>
        </w:rPr>
        <w:t>was associated</w:t>
      </w:r>
      <w:r w:rsidRPr="00734AB6">
        <w:rPr>
          <w:rFonts w:asciiTheme="majorHAnsi" w:hAnsiTheme="majorHAnsi"/>
        </w:rPr>
        <w:t xml:space="preserve"> </w:t>
      </w:r>
      <w:r w:rsidR="008A1928" w:rsidRPr="00734AB6">
        <w:rPr>
          <w:rFonts w:asciiTheme="majorHAnsi" w:hAnsiTheme="majorHAnsi"/>
        </w:rPr>
        <w:t>equally with</w:t>
      </w:r>
      <w:r w:rsidRPr="00734AB6">
        <w:rPr>
          <w:rFonts w:asciiTheme="majorHAnsi" w:hAnsiTheme="majorHAnsi"/>
        </w:rPr>
        <w:t xml:space="preserve"> all three groups</w:t>
      </w:r>
      <w:r w:rsidR="008A1928" w:rsidRPr="00734AB6">
        <w:rPr>
          <w:rFonts w:asciiTheme="majorHAnsi" w:hAnsiTheme="majorHAnsi"/>
        </w:rPr>
        <w:t>, namely the modafinil-only, methylphenidate and control groups,</w:t>
      </w:r>
      <w:r w:rsidRPr="00734AB6">
        <w:rPr>
          <w:rFonts w:asciiTheme="majorHAnsi" w:hAnsiTheme="majorHAnsi"/>
        </w:rPr>
        <w:t xml:space="preserve"> suggesting that this may reflect the online forum user more broadly rather than specifically those who use CEDs. Illicit drug use was found to be more frequent in the modafinil-only group and stimulants were more likely to be used. Responses to the ASRS revealed that, compared with controls, a much higher percentage of reported modafinil and methylphenidate off-prescription users scored at the level consistent with ADHD and that they rated themselves as having greater symptoms of inattention rather than hyperactivity or impulsivity. Similarly, performance on the GPS demonstrated a greater level of self-reported procrastination in the modafinil-only and methylphenidate groups compared with controls. Conversely, the modafinil-only and methylphenidate groups rated themselves as having fewer cognitive failures compared with controls, suggesting either that more frequent use of (at least) modafinil may reduce cognitive failures or that those who may be self-medicating for poor cognitive performance may be doing so for inattention and not for problems which the CFQ assesses. However, this does not explain why the modafinil-only and methylphenidate groups rated themselves as having fewer cognitive failures than controls. Unsurprisingly therefore, whilst on modafinil and methylphenidate, respondents were not likely to report any</w:t>
      </w:r>
      <w:r w:rsidR="006E5F1F" w:rsidRPr="00734AB6">
        <w:rPr>
          <w:rFonts w:asciiTheme="majorHAnsi" w:hAnsiTheme="majorHAnsi"/>
        </w:rPr>
        <w:t xml:space="preserve"> changes in the abilities which </w:t>
      </w:r>
      <w:r w:rsidRPr="00734AB6">
        <w:rPr>
          <w:rFonts w:asciiTheme="majorHAnsi" w:hAnsiTheme="majorHAnsi"/>
        </w:rPr>
        <w:t xml:space="preserve">the CFQ </w:t>
      </w:r>
      <w:r w:rsidR="006E5F1F" w:rsidRPr="00734AB6">
        <w:rPr>
          <w:rFonts w:asciiTheme="majorHAnsi" w:hAnsiTheme="majorHAnsi"/>
        </w:rPr>
        <w:t xml:space="preserve">assesses, </w:t>
      </w:r>
      <w:r w:rsidRPr="00734AB6">
        <w:rPr>
          <w:rFonts w:asciiTheme="majorHAnsi" w:hAnsiTheme="majorHAnsi"/>
        </w:rPr>
        <w:t>as they reported fewer cognitive failures anyway. However, respondents were more likely to report effects via the ASRS and GPS whilst on modafinil and methylphenidate suggesting that these drugs do improve problems with inattention and procrastination. Overall, the findings from Study 2 suggested that modafinil users are more likely to take illicit drugs frequently, modafinil and methylphenidate users rate themselves as having problems with inattention and procrastination, and these problems appear to be improved with modafinil and methylphenidate use. These findings warranted further investigation using both self-report and performance-based measures to assess the extent to which self-perceived cognitive problems are demonstrated objectively.</w:t>
      </w:r>
    </w:p>
    <w:p w14:paraId="2A59F1BB" w14:textId="77777777" w:rsidR="006E2809" w:rsidRPr="00734AB6" w:rsidRDefault="006E2809" w:rsidP="006E2809">
      <w:pPr>
        <w:spacing w:line="360" w:lineRule="auto"/>
        <w:ind w:firstLine="851"/>
        <w:rPr>
          <w:rFonts w:asciiTheme="majorHAnsi" w:hAnsiTheme="majorHAnsi"/>
        </w:rPr>
      </w:pPr>
    </w:p>
    <w:p w14:paraId="579B6E6C" w14:textId="14DB8F68" w:rsidR="006E2809" w:rsidRPr="00734AB6" w:rsidRDefault="00B03525" w:rsidP="00B03525">
      <w:pPr>
        <w:pStyle w:val="Heading3"/>
        <w:spacing w:after="240" w:line="360" w:lineRule="auto"/>
        <w:rPr>
          <w:b/>
          <w:color w:val="auto"/>
          <w:sz w:val="22"/>
        </w:rPr>
      </w:pPr>
      <w:bookmarkStart w:id="101" w:name="_Toc48136392"/>
      <w:r w:rsidRPr="00734AB6">
        <w:rPr>
          <w:b/>
          <w:color w:val="auto"/>
          <w:sz w:val="22"/>
        </w:rPr>
        <w:t>5.2</w:t>
      </w:r>
      <w:r w:rsidR="006E2809" w:rsidRPr="00734AB6">
        <w:rPr>
          <w:b/>
          <w:color w:val="auto"/>
          <w:sz w:val="22"/>
        </w:rPr>
        <w:t>.3</w:t>
      </w:r>
      <w:r w:rsidR="006E2809" w:rsidRPr="00734AB6">
        <w:rPr>
          <w:b/>
          <w:color w:val="auto"/>
          <w:sz w:val="22"/>
        </w:rPr>
        <w:tab/>
        <w:t>Study 3</w:t>
      </w:r>
      <w:bookmarkEnd w:id="101"/>
    </w:p>
    <w:p w14:paraId="00E7F6C3" w14:textId="64649672"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Study 3 was a lab-based study using two performance-based measures, the </w:t>
      </w:r>
      <w:proofErr w:type="spellStart"/>
      <w:r w:rsidRPr="00734AB6">
        <w:rPr>
          <w:rFonts w:asciiTheme="majorHAnsi" w:hAnsiTheme="majorHAnsi"/>
        </w:rPr>
        <w:t>antisaccade</w:t>
      </w:r>
      <w:proofErr w:type="spellEnd"/>
      <w:r w:rsidRPr="00734AB6">
        <w:rPr>
          <w:rFonts w:asciiTheme="majorHAnsi" w:hAnsiTheme="majorHAnsi"/>
        </w:rPr>
        <w:t xml:space="preserve"> task (Hallett, 1978) and the arrow flanker task (Eriksen &amp; Eriksen, 1974; </w:t>
      </w:r>
      <w:proofErr w:type="spellStart"/>
      <w:r w:rsidRPr="00734AB6">
        <w:rPr>
          <w:rFonts w:asciiTheme="majorHAnsi" w:hAnsiTheme="majorHAnsi"/>
        </w:rPr>
        <w:t>Ridderinkhof</w:t>
      </w:r>
      <w:proofErr w:type="spellEnd"/>
      <w:r w:rsidRPr="00734AB6">
        <w:rPr>
          <w:rFonts w:asciiTheme="majorHAnsi" w:hAnsiTheme="majorHAnsi"/>
        </w:rPr>
        <w:t xml:space="preserve"> &amp; van der </w:t>
      </w:r>
      <w:proofErr w:type="spellStart"/>
      <w:r w:rsidRPr="00734AB6">
        <w:rPr>
          <w:rFonts w:asciiTheme="majorHAnsi" w:hAnsiTheme="majorHAnsi"/>
        </w:rPr>
        <w:t>Molen</w:t>
      </w:r>
      <w:proofErr w:type="spellEnd"/>
      <w:r w:rsidRPr="00734AB6">
        <w:rPr>
          <w:rFonts w:asciiTheme="majorHAnsi" w:hAnsiTheme="majorHAnsi"/>
        </w:rPr>
        <w:t xml:space="preserve">, 1995), and a self-report measure, the BRIEF-A  (Roth et al., 2005) as well as a demographics and drug use questionnaire. </w:t>
      </w:r>
      <w:r w:rsidR="00702178" w:rsidRPr="00734AB6">
        <w:rPr>
          <w:rFonts w:asciiTheme="majorHAnsi" w:hAnsiTheme="majorHAnsi"/>
        </w:rPr>
        <w:t xml:space="preserve">Modafinil and methylphenidate users, who were asked to refrain from taking </w:t>
      </w:r>
      <w:r w:rsidR="001F490E" w:rsidRPr="00734AB6">
        <w:rPr>
          <w:rFonts w:asciiTheme="majorHAnsi" w:hAnsiTheme="majorHAnsi"/>
        </w:rPr>
        <w:t>modafinil and/or methylphenidate</w:t>
      </w:r>
      <w:r w:rsidR="00702178" w:rsidRPr="00734AB6">
        <w:rPr>
          <w:rFonts w:asciiTheme="majorHAnsi" w:hAnsiTheme="majorHAnsi"/>
        </w:rPr>
        <w:t xml:space="preserve"> 24 hours before participation, were recruited via the same online forum sites used in Studies 1 and 2. The control group were recruited via advertisements on campus walls or via the RPS at London South Bank University. </w:t>
      </w:r>
      <w:r w:rsidRPr="00734AB6">
        <w:rPr>
          <w:rFonts w:asciiTheme="majorHAnsi" w:hAnsiTheme="majorHAnsi"/>
        </w:rPr>
        <w:lastRenderedPageBreak/>
        <w:t xml:space="preserve">The tasks measured sustained attention, working memory and inhibition and the BRIEF-A measured elements of executive function. The results indicated that the CED users did not perform significantly more poorly than controls on the </w:t>
      </w:r>
      <w:proofErr w:type="spellStart"/>
      <w:r w:rsidRPr="00734AB6">
        <w:rPr>
          <w:rFonts w:asciiTheme="majorHAnsi" w:hAnsiTheme="majorHAnsi"/>
        </w:rPr>
        <w:t>antisaccade</w:t>
      </w:r>
      <w:proofErr w:type="spellEnd"/>
      <w:r w:rsidRPr="00734AB6">
        <w:rPr>
          <w:rFonts w:asciiTheme="majorHAnsi" w:hAnsiTheme="majorHAnsi"/>
        </w:rPr>
        <w:t xml:space="preserve"> task or the flanker task and the </w:t>
      </w:r>
      <w:r w:rsidR="00F56C0B" w:rsidRPr="00734AB6">
        <w:rPr>
          <w:rFonts w:asciiTheme="majorHAnsi" w:hAnsiTheme="majorHAnsi"/>
        </w:rPr>
        <w:t xml:space="preserve">only group difference on the </w:t>
      </w:r>
      <w:r w:rsidRPr="00734AB6">
        <w:rPr>
          <w:rFonts w:asciiTheme="majorHAnsi" w:hAnsiTheme="majorHAnsi"/>
        </w:rPr>
        <w:t xml:space="preserve">BRIEF-A </w:t>
      </w:r>
      <w:r w:rsidR="00F56C0B" w:rsidRPr="00734AB6">
        <w:rPr>
          <w:rFonts w:asciiTheme="majorHAnsi" w:hAnsiTheme="majorHAnsi"/>
        </w:rPr>
        <w:t>was that</w:t>
      </w:r>
      <w:r w:rsidRPr="00734AB6">
        <w:rPr>
          <w:rFonts w:asciiTheme="majorHAnsi" w:hAnsiTheme="majorHAnsi"/>
        </w:rPr>
        <w:t xml:space="preserve"> the CED users rating themselves as having significantly fewer difficulties with emotional control. </w:t>
      </w:r>
    </w:p>
    <w:p w14:paraId="5DF23BEE" w14:textId="5A4C7BA0"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results of the BRIEF-A </w:t>
      </w:r>
      <w:r w:rsidR="00F56C0B" w:rsidRPr="00734AB6">
        <w:rPr>
          <w:rFonts w:asciiTheme="majorHAnsi" w:hAnsiTheme="majorHAnsi"/>
        </w:rPr>
        <w:t>may help</w:t>
      </w:r>
      <w:r w:rsidRPr="00734AB6">
        <w:rPr>
          <w:rFonts w:asciiTheme="majorHAnsi" w:hAnsiTheme="majorHAnsi"/>
        </w:rPr>
        <w:t xml:space="preserve"> to explain the CED-user group’s performance on the </w:t>
      </w:r>
      <w:proofErr w:type="spellStart"/>
      <w:r w:rsidRPr="00734AB6">
        <w:rPr>
          <w:rFonts w:asciiTheme="majorHAnsi" w:hAnsiTheme="majorHAnsi"/>
        </w:rPr>
        <w:t>antisaccade</w:t>
      </w:r>
      <w:proofErr w:type="spellEnd"/>
      <w:r w:rsidRPr="00734AB6">
        <w:rPr>
          <w:rFonts w:asciiTheme="majorHAnsi" w:hAnsiTheme="majorHAnsi"/>
        </w:rPr>
        <w:t xml:space="preserve"> and flanker tasks. Compared with </w:t>
      </w:r>
      <w:r w:rsidR="005D7F69" w:rsidRPr="00734AB6">
        <w:rPr>
          <w:rFonts w:asciiTheme="majorHAnsi" w:hAnsiTheme="majorHAnsi"/>
        </w:rPr>
        <w:t>the control group</w:t>
      </w:r>
      <w:r w:rsidRPr="00734AB6">
        <w:rPr>
          <w:rFonts w:asciiTheme="majorHAnsi" w:hAnsiTheme="majorHAnsi"/>
        </w:rPr>
        <w:t xml:space="preserve">, the CED-user group had shorter response latencies both for </w:t>
      </w:r>
      <w:proofErr w:type="spellStart"/>
      <w:r w:rsidRPr="00734AB6">
        <w:rPr>
          <w:rFonts w:asciiTheme="majorHAnsi" w:hAnsiTheme="majorHAnsi"/>
        </w:rPr>
        <w:t>antisaccade</w:t>
      </w:r>
      <w:proofErr w:type="spellEnd"/>
      <w:r w:rsidRPr="00734AB6">
        <w:rPr>
          <w:rFonts w:asciiTheme="majorHAnsi" w:hAnsiTheme="majorHAnsi"/>
        </w:rPr>
        <w:t xml:space="preserve"> errors and correcting these errors and they demonstrated shorter response latencies on all three correct flanker trial types. It was argued that the heightened anxiety from participating in experimental tasks in a laboratory (</w:t>
      </w:r>
      <w:proofErr w:type="spellStart"/>
      <w:r w:rsidRPr="00734AB6">
        <w:rPr>
          <w:rFonts w:asciiTheme="majorHAnsi" w:hAnsiTheme="majorHAnsi"/>
        </w:rPr>
        <w:t>Hopko</w:t>
      </w:r>
      <w:proofErr w:type="spellEnd"/>
      <w:r w:rsidRPr="00734AB6">
        <w:rPr>
          <w:rFonts w:asciiTheme="majorHAnsi" w:hAnsiTheme="majorHAnsi"/>
        </w:rPr>
        <w:t xml:space="preserve"> et al, 2005) increases amygdala activation which also taxes the ACC and reduces the recruitment of the DLPFC and VLPFC (Bishop, 2007; Stevens et al., 2011). This, in turn, has the effect of reducing PFC processing of cognitive information and processing efficiency (but not effectiveness, </w:t>
      </w:r>
      <w:proofErr w:type="spellStart"/>
      <w:r w:rsidRPr="00734AB6">
        <w:rPr>
          <w:rFonts w:asciiTheme="majorHAnsi" w:hAnsiTheme="majorHAnsi"/>
        </w:rPr>
        <w:t>Derakshan</w:t>
      </w:r>
      <w:proofErr w:type="spellEnd"/>
      <w:r w:rsidRPr="00734AB6">
        <w:rPr>
          <w:rFonts w:asciiTheme="majorHAnsi" w:hAnsiTheme="majorHAnsi"/>
        </w:rPr>
        <w:t xml:space="preserve"> et al., 2009), and reducing the ACC’s ability to generate ERN (Carter &amp; van Veen, 2007), detect conflict (</w:t>
      </w:r>
      <w:proofErr w:type="spellStart"/>
      <w:r w:rsidRPr="00734AB6">
        <w:rPr>
          <w:rFonts w:asciiTheme="majorHAnsi" w:hAnsiTheme="majorHAnsi"/>
        </w:rPr>
        <w:t>Botvinick</w:t>
      </w:r>
      <w:proofErr w:type="spellEnd"/>
      <w:r w:rsidRPr="00734AB6">
        <w:rPr>
          <w:rFonts w:asciiTheme="majorHAnsi" w:hAnsiTheme="majorHAnsi"/>
        </w:rPr>
        <w:t xml:space="preserve"> et al., 2001) and balance the DAN and VAN networks (</w:t>
      </w:r>
      <w:proofErr w:type="spellStart"/>
      <w:r w:rsidRPr="00734AB6">
        <w:rPr>
          <w:rFonts w:asciiTheme="majorHAnsi" w:hAnsiTheme="majorHAnsi"/>
        </w:rPr>
        <w:t>Sidlauskaite</w:t>
      </w:r>
      <w:proofErr w:type="spellEnd"/>
      <w:r w:rsidRPr="00734AB6">
        <w:rPr>
          <w:rFonts w:asciiTheme="majorHAnsi" w:hAnsiTheme="majorHAnsi"/>
        </w:rPr>
        <w:t xml:space="preserve"> et al., 2016). The self-reported, greater emotional control would suggest lower state anxiety, and therefore less activation of the amygdala, resulting in greater processing speed and efficiency and thus shorter response latencies. It was noted that the findings from the BRIEF-A and the experimental tasks are not consistent with each other, </w:t>
      </w:r>
      <w:r w:rsidR="00BB757C" w:rsidRPr="00734AB6">
        <w:rPr>
          <w:rFonts w:asciiTheme="majorHAnsi" w:hAnsiTheme="majorHAnsi"/>
        </w:rPr>
        <w:t xml:space="preserve">which may suggest that neither the BRIEF-A self-report measure nor the </w:t>
      </w:r>
      <w:r w:rsidR="00C64207" w:rsidRPr="00734AB6">
        <w:rPr>
          <w:rFonts w:asciiTheme="majorHAnsi" w:hAnsiTheme="majorHAnsi"/>
        </w:rPr>
        <w:t>performance-based measures are</w:t>
      </w:r>
      <w:r w:rsidR="00BB757C" w:rsidRPr="00734AB6">
        <w:rPr>
          <w:rFonts w:asciiTheme="majorHAnsi" w:hAnsiTheme="majorHAnsi"/>
        </w:rPr>
        <w:t xml:space="preserve"> effective in </w:t>
      </w:r>
      <w:r w:rsidR="00C64207" w:rsidRPr="00734AB6">
        <w:rPr>
          <w:rFonts w:asciiTheme="majorHAnsi" w:hAnsiTheme="majorHAnsi"/>
        </w:rPr>
        <w:t>assessing</w:t>
      </w:r>
      <w:r w:rsidR="00BB757C" w:rsidRPr="00734AB6">
        <w:rPr>
          <w:rFonts w:asciiTheme="majorHAnsi" w:hAnsiTheme="majorHAnsi"/>
        </w:rPr>
        <w:t xml:space="preserve"> the typical performance in which attention often lapses.</w:t>
      </w:r>
      <w:r w:rsidR="00C64207" w:rsidRPr="00734AB6">
        <w:rPr>
          <w:rStyle w:val="CommentReference"/>
        </w:rPr>
        <w:t xml:space="preserve"> </w:t>
      </w:r>
      <w:r w:rsidR="00C64207" w:rsidRPr="00734AB6">
        <w:rPr>
          <w:rStyle w:val="CommentReference"/>
          <w:rFonts w:asciiTheme="majorHAnsi" w:hAnsiTheme="majorHAnsi"/>
          <w:sz w:val="22"/>
          <w:szCs w:val="22"/>
        </w:rPr>
        <w:t xml:space="preserve">That said, it is likely that </w:t>
      </w:r>
      <w:r w:rsidR="00C64207" w:rsidRPr="00734AB6">
        <w:rPr>
          <w:rFonts w:asciiTheme="majorHAnsi" w:hAnsiTheme="majorHAnsi"/>
        </w:rPr>
        <w:t>the</w:t>
      </w:r>
      <w:r w:rsidRPr="00734AB6">
        <w:rPr>
          <w:rFonts w:asciiTheme="majorHAnsi" w:hAnsiTheme="majorHAnsi"/>
        </w:rPr>
        <w:t xml:space="preserve"> self-report and performance-based measures assess different aspects of cognitive and behavioural functions and so, together form a complementary approach to assessment. </w:t>
      </w:r>
      <w:proofErr w:type="spellStart"/>
      <w:r w:rsidR="00BB757C" w:rsidRPr="00734AB6">
        <w:rPr>
          <w:rFonts w:asciiTheme="majorHAnsi" w:hAnsiTheme="majorHAnsi"/>
        </w:rPr>
        <w:t>Toplak</w:t>
      </w:r>
      <w:proofErr w:type="spellEnd"/>
      <w:r w:rsidR="00BB757C" w:rsidRPr="00734AB6">
        <w:rPr>
          <w:rFonts w:asciiTheme="majorHAnsi" w:hAnsiTheme="majorHAnsi"/>
        </w:rPr>
        <w:t xml:space="preserve"> and colleagues </w:t>
      </w:r>
      <w:r w:rsidR="005D7F69" w:rsidRPr="00734AB6">
        <w:rPr>
          <w:rFonts w:asciiTheme="majorHAnsi" w:hAnsiTheme="majorHAnsi"/>
        </w:rPr>
        <w:t xml:space="preserve">(2013) </w:t>
      </w:r>
      <w:r w:rsidR="00BB757C" w:rsidRPr="00734AB6">
        <w:rPr>
          <w:rFonts w:asciiTheme="majorHAnsi" w:hAnsiTheme="majorHAnsi"/>
        </w:rPr>
        <w:t xml:space="preserve">argued that the two different approaches measured different aspects of cognitive function which Stanovich </w:t>
      </w:r>
      <w:r w:rsidR="005D7F69" w:rsidRPr="00734AB6">
        <w:rPr>
          <w:rFonts w:asciiTheme="majorHAnsi" w:hAnsiTheme="majorHAnsi"/>
        </w:rPr>
        <w:t xml:space="preserve">(2009) </w:t>
      </w:r>
      <w:r w:rsidR="00BB757C" w:rsidRPr="00734AB6">
        <w:rPr>
          <w:rFonts w:asciiTheme="majorHAnsi" w:hAnsiTheme="majorHAnsi"/>
        </w:rPr>
        <w:t xml:space="preserve">referred to as algorithmic and reflective. The algorithmic mind represents intelligence and cognitive aptitude reflective of information processing, whereas the reflective mind represents rational thinking which incorporates in individual’s understandings and beliefs in relation to the current environment and desired goals. </w:t>
      </w:r>
      <w:proofErr w:type="spellStart"/>
      <w:r w:rsidR="00BB757C" w:rsidRPr="00734AB6">
        <w:rPr>
          <w:rFonts w:asciiTheme="majorHAnsi" w:hAnsiTheme="majorHAnsi"/>
        </w:rPr>
        <w:t>Toplak</w:t>
      </w:r>
      <w:proofErr w:type="spellEnd"/>
      <w:r w:rsidR="00BB757C" w:rsidRPr="00734AB6">
        <w:rPr>
          <w:rFonts w:asciiTheme="majorHAnsi" w:hAnsiTheme="majorHAnsi"/>
        </w:rPr>
        <w:t xml:space="preserve"> and colleagues </w:t>
      </w:r>
      <w:r w:rsidR="006403E9" w:rsidRPr="00734AB6">
        <w:rPr>
          <w:rFonts w:asciiTheme="majorHAnsi" w:hAnsiTheme="majorHAnsi"/>
        </w:rPr>
        <w:t xml:space="preserve">(2013) </w:t>
      </w:r>
      <w:r w:rsidR="00BB757C" w:rsidRPr="00734AB6">
        <w:rPr>
          <w:rFonts w:asciiTheme="majorHAnsi" w:hAnsiTheme="majorHAnsi"/>
        </w:rPr>
        <w:t xml:space="preserve">argued that laboratory tasks which involve optimal performance assess the algorithmic mind whereas self-reports relate to typical performance and assess the reflective mind and therefore present complementary measures which can offer a greater understanding when used together rather than one approach alone. </w:t>
      </w:r>
      <w:r w:rsidR="006403E9" w:rsidRPr="00734AB6">
        <w:rPr>
          <w:rFonts w:asciiTheme="majorHAnsi" w:hAnsiTheme="majorHAnsi"/>
        </w:rPr>
        <w:t>Thus,</w:t>
      </w:r>
      <w:r w:rsidR="005D7F69" w:rsidRPr="00734AB6">
        <w:rPr>
          <w:rFonts w:asciiTheme="majorHAnsi" w:hAnsiTheme="majorHAnsi"/>
        </w:rPr>
        <w:t xml:space="preserve"> the </w:t>
      </w:r>
      <w:r w:rsidR="00F7272C" w:rsidRPr="00734AB6">
        <w:rPr>
          <w:rFonts w:asciiTheme="majorHAnsi" w:hAnsiTheme="majorHAnsi"/>
        </w:rPr>
        <w:t>results</w:t>
      </w:r>
      <w:r w:rsidR="005D7F69" w:rsidRPr="00734AB6">
        <w:rPr>
          <w:rFonts w:asciiTheme="majorHAnsi" w:hAnsiTheme="majorHAnsi"/>
        </w:rPr>
        <w:t xml:space="preserve"> from the BRIEF-A and experimental tasks </w:t>
      </w:r>
      <w:r w:rsidR="00F7272C" w:rsidRPr="00734AB6">
        <w:rPr>
          <w:rFonts w:asciiTheme="majorHAnsi" w:hAnsiTheme="majorHAnsi"/>
        </w:rPr>
        <w:t>have provided complementary rather than contradictory findings.</w:t>
      </w:r>
    </w:p>
    <w:p w14:paraId="30F1EFEE" w14:textId="77777777" w:rsidR="006E2809" w:rsidRPr="00734AB6" w:rsidRDefault="006E2809" w:rsidP="006E2809">
      <w:pPr>
        <w:spacing w:line="360" w:lineRule="auto"/>
        <w:ind w:firstLine="851"/>
        <w:rPr>
          <w:rFonts w:asciiTheme="majorHAnsi" w:hAnsiTheme="majorHAnsi"/>
        </w:rPr>
      </w:pPr>
      <w:r w:rsidRPr="00734AB6">
        <w:rPr>
          <w:rFonts w:asciiTheme="majorHAnsi" w:hAnsiTheme="majorHAnsi"/>
        </w:rPr>
        <w:t>In the following sections, these findings of all three studies will be considered in relation to the main aims of the thesis and in relation to one another.</w:t>
      </w:r>
    </w:p>
    <w:p w14:paraId="4C8E53EE" w14:textId="77777777" w:rsidR="006E2809" w:rsidRPr="00734AB6" w:rsidRDefault="006E2809" w:rsidP="006E2809">
      <w:pPr>
        <w:spacing w:line="360" w:lineRule="auto"/>
        <w:ind w:firstLine="851"/>
        <w:rPr>
          <w:rFonts w:asciiTheme="majorHAnsi" w:hAnsiTheme="majorHAnsi"/>
        </w:rPr>
      </w:pPr>
    </w:p>
    <w:p w14:paraId="0B369C78" w14:textId="1D038679" w:rsidR="006E2809" w:rsidRPr="00734AB6" w:rsidRDefault="00ED3C0E" w:rsidP="006E2809">
      <w:pPr>
        <w:pStyle w:val="Heading2"/>
        <w:spacing w:after="240" w:line="360" w:lineRule="auto"/>
        <w:rPr>
          <w:b/>
          <w:color w:val="auto"/>
          <w:sz w:val="22"/>
        </w:rPr>
      </w:pPr>
      <w:bookmarkStart w:id="102" w:name="_Toc48136393"/>
      <w:r w:rsidRPr="00734AB6">
        <w:rPr>
          <w:b/>
          <w:color w:val="auto"/>
          <w:sz w:val="22"/>
        </w:rPr>
        <w:t>5.3</w:t>
      </w:r>
      <w:r w:rsidR="006E2809" w:rsidRPr="00734AB6">
        <w:rPr>
          <w:b/>
          <w:color w:val="auto"/>
          <w:sz w:val="22"/>
        </w:rPr>
        <w:tab/>
        <w:t>The profile of the off-prescription modafinil and methylphenidate user</w:t>
      </w:r>
      <w:bookmarkEnd w:id="102"/>
    </w:p>
    <w:p w14:paraId="491D5440" w14:textId="33216E85" w:rsidR="006E2809" w:rsidRPr="00734AB6" w:rsidRDefault="006E2809" w:rsidP="006E2809">
      <w:pPr>
        <w:spacing w:line="360" w:lineRule="auto"/>
        <w:ind w:firstLine="851"/>
        <w:rPr>
          <w:rFonts w:asciiTheme="majorHAnsi" w:hAnsiTheme="majorHAnsi"/>
          <w:color w:val="FF0000"/>
        </w:rPr>
      </w:pPr>
      <w:r w:rsidRPr="00734AB6">
        <w:rPr>
          <w:rFonts w:asciiTheme="majorHAnsi" w:hAnsiTheme="majorHAnsi"/>
        </w:rPr>
        <w:t xml:space="preserve">Similarities in all three studies of this thesis are evident in relation to </w:t>
      </w:r>
      <w:r w:rsidR="00F134F8">
        <w:rPr>
          <w:rFonts w:asciiTheme="majorHAnsi" w:hAnsiTheme="majorHAnsi"/>
        </w:rPr>
        <w:t>gender</w:t>
      </w:r>
      <w:r w:rsidR="00F56C0B" w:rsidRPr="00734AB6">
        <w:rPr>
          <w:rFonts w:asciiTheme="majorHAnsi" w:hAnsiTheme="majorHAnsi"/>
        </w:rPr>
        <w:t xml:space="preserve">, </w:t>
      </w:r>
      <w:r w:rsidR="009A782D" w:rsidRPr="00734AB6">
        <w:rPr>
          <w:rFonts w:asciiTheme="majorHAnsi" w:hAnsiTheme="majorHAnsi"/>
        </w:rPr>
        <w:t xml:space="preserve">rates </w:t>
      </w:r>
      <w:r w:rsidR="00F56C0B" w:rsidRPr="00734AB6">
        <w:rPr>
          <w:rFonts w:asciiTheme="majorHAnsi" w:hAnsiTheme="majorHAnsi"/>
        </w:rPr>
        <w:t>of</w:t>
      </w:r>
      <w:r w:rsidRPr="00734AB6">
        <w:rPr>
          <w:rFonts w:asciiTheme="majorHAnsi" w:hAnsiTheme="majorHAnsi"/>
        </w:rPr>
        <w:t xml:space="preserve"> reported modafinil </w:t>
      </w:r>
      <w:r w:rsidR="009A782D" w:rsidRPr="00734AB6">
        <w:rPr>
          <w:rFonts w:asciiTheme="majorHAnsi" w:hAnsiTheme="majorHAnsi"/>
        </w:rPr>
        <w:t>versus</w:t>
      </w:r>
      <w:r w:rsidRPr="00734AB6">
        <w:rPr>
          <w:rFonts w:asciiTheme="majorHAnsi" w:hAnsiTheme="majorHAnsi"/>
        </w:rPr>
        <w:t xml:space="preserve"> methylphenidate off-prescription users and the level of education.  Greater numbers of males reported using CEDs in all three studies and this pattern has also been found in previous surveys (</w:t>
      </w:r>
      <w:proofErr w:type="spellStart"/>
      <w:r w:rsidRPr="00734AB6">
        <w:rPr>
          <w:rFonts w:asciiTheme="majorHAnsi" w:hAnsiTheme="majorHAnsi"/>
        </w:rPr>
        <w:t>Arria</w:t>
      </w:r>
      <w:proofErr w:type="spellEnd"/>
      <w:r w:rsidRPr="00734AB6">
        <w:rPr>
          <w:rFonts w:asciiTheme="majorHAnsi" w:hAnsiTheme="majorHAnsi"/>
        </w:rPr>
        <w:t xml:space="preserve"> et al., 2011; McCabe et al., 2006; Peterkin et al., 2010; </w:t>
      </w:r>
      <w:proofErr w:type="spellStart"/>
      <w:r w:rsidRPr="00734AB6">
        <w:rPr>
          <w:rFonts w:asciiTheme="majorHAnsi" w:hAnsiTheme="majorHAnsi"/>
        </w:rPr>
        <w:t>Rabiner</w:t>
      </w:r>
      <w:proofErr w:type="spellEnd"/>
      <w:r w:rsidRPr="00734AB6">
        <w:rPr>
          <w:rFonts w:asciiTheme="majorHAnsi" w:hAnsiTheme="majorHAnsi"/>
        </w:rPr>
        <w:t xml:space="preserve"> et al, 2009; Singh et al., 2014). This </w:t>
      </w:r>
      <w:r w:rsidR="00F134F8">
        <w:rPr>
          <w:rFonts w:asciiTheme="majorHAnsi" w:hAnsiTheme="majorHAnsi"/>
        </w:rPr>
        <w:t>gender</w:t>
      </w:r>
      <w:r w:rsidR="00BC6247" w:rsidRPr="00734AB6">
        <w:rPr>
          <w:rFonts w:asciiTheme="majorHAnsi" w:hAnsiTheme="majorHAnsi"/>
        </w:rPr>
        <w:t xml:space="preserve"> </w:t>
      </w:r>
      <w:r w:rsidRPr="00734AB6">
        <w:rPr>
          <w:rFonts w:asciiTheme="majorHAnsi" w:hAnsiTheme="majorHAnsi"/>
        </w:rPr>
        <w:t>bias may be due to the fact that males are more likely to use and abuse drugs than females (</w:t>
      </w:r>
      <w:proofErr w:type="spellStart"/>
      <w:r w:rsidRPr="00734AB6">
        <w:rPr>
          <w:rFonts w:asciiTheme="majorHAnsi" w:hAnsiTheme="majorHAnsi"/>
        </w:rPr>
        <w:t>Cotto</w:t>
      </w:r>
      <w:proofErr w:type="spellEnd"/>
      <w:r w:rsidRPr="00734AB6">
        <w:rPr>
          <w:rFonts w:asciiTheme="majorHAnsi" w:hAnsiTheme="majorHAnsi"/>
        </w:rPr>
        <w:t xml:space="preserve"> et al., 2010; McCabe et al., 2007) and greater substance abuse may result in lower DA activity (</w:t>
      </w:r>
      <w:proofErr w:type="spellStart"/>
      <w:r w:rsidRPr="00734AB6">
        <w:rPr>
          <w:rFonts w:asciiTheme="majorHAnsi" w:hAnsiTheme="majorHAnsi"/>
        </w:rPr>
        <w:t>Laakso</w:t>
      </w:r>
      <w:proofErr w:type="spellEnd"/>
      <w:r w:rsidRPr="00734AB6">
        <w:rPr>
          <w:rFonts w:asciiTheme="majorHAnsi" w:hAnsiTheme="majorHAnsi"/>
        </w:rPr>
        <w:t xml:space="preserve"> et al., 2002)</w:t>
      </w:r>
      <w:r w:rsidR="00F7272C" w:rsidRPr="00734AB6">
        <w:rPr>
          <w:rFonts w:asciiTheme="majorHAnsi" w:hAnsiTheme="majorHAnsi"/>
        </w:rPr>
        <w:t>.</w:t>
      </w:r>
      <w:r w:rsidRPr="00734AB6">
        <w:rPr>
          <w:rFonts w:asciiTheme="majorHAnsi" w:hAnsiTheme="majorHAnsi"/>
        </w:rPr>
        <w:t xml:space="preserve"> </w:t>
      </w:r>
      <w:r w:rsidR="00F7272C" w:rsidRPr="00734AB6">
        <w:rPr>
          <w:rFonts w:asciiTheme="majorHAnsi" w:hAnsiTheme="majorHAnsi"/>
        </w:rPr>
        <w:t>T</w:t>
      </w:r>
      <w:r w:rsidRPr="00734AB6">
        <w:rPr>
          <w:rFonts w:asciiTheme="majorHAnsi" w:hAnsiTheme="majorHAnsi"/>
        </w:rPr>
        <w:t>herefore they may be more open to taking CEDs. Alternativ</w:t>
      </w:r>
      <w:r w:rsidR="00D9490A" w:rsidRPr="00734AB6">
        <w:rPr>
          <w:rFonts w:asciiTheme="majorHAnsi" w:hAnsiTheme="majorHAnsi"/>
        </w:rPr>
        <w:t>ely, as discussed in Section 1.3</w:t>
      </w:r>
      <w:r w:rsidRPr="00734AB6">
        <w:rPr>
          <w:rFonts w:asciiTheme="majorHAnsi" w:hAnsiTheme="majorHAnsi"/>
        </w:rPr>
        <w:t xml:space="preserve">, </w:t>
      </w:r>
      <w:r w:rsidR="00210323" w:rsidRPr="00734AB6">
        <w:rPr>
          <w:rFonts w:asciiTheme="majorHAnsi" w:hAnsiTheme="majorHAnsi"/>
        </w:rPr>
        <w:t>the greater numbers of males reporting the use of CEDs</w:t>
      </w:r>
      <w:r w:rsidRPr="00734AB6">
        <w:rPr>
          <w:rFonts w:asciiTheme="majorHAnsi" w:hAnsiTheme="majorHAnsi"/>
        </w:rPr>
        <w:t xml:space="preserve"> may be due to the influence </w:t>
      </w:r>
      <w:r w:rsidR="00BC6247" w:rsidRPr="00734AB6">
        <w:rPr>
          <w:rFonts w:asciiTheme="majorHAnsi" w:hAnsiTheme="majorHAnsi"/>
        </w:rPr>
        <w:t xml:space="preserve">of </w:t>
      </w:r>
      <w:r w:rsidR="00F134F8">
        <w:rPr>
          <w:rFonts w:asciiTheme="majorHAnsi" w:hAnsiTheme="majorHAnsi"/>
        </w:rPr>
        <w:t>gender</w:t>
      </w:r>
      <w:r w:rsidR="00BC6247" w:rsidRPr="00734AB6">
        <w:rPr>
          <w:rFonts w:asciiTheme="majorHAnsi" w:hAnsiTheme="majorHAnsi"/>
        </w:rPr>
        <w:t xml:space="preserve"> </w:t>
      </w:r>
      <w:r w:rsidRPr="00734AB6">
        <w:rPr>
          <w:rFonts w:asciiTheme="majorHAnsi" w:hAnsiTheme="majorHAnsi"/>
        </w:rPr>
        <w:t xml:space="preserve">on the DA system as it is believed that DA signalling is greater in females due to the enhancing effect of </w:t>
      </w:r>
      <w:proofErr w:type="spellStart"/>
      <w:r w:rsidRPr="00734AB6">
        <w:rPr>
          <w:rFonts w:asciiTheme="majorHAnsi" w:hAnsiTheme="majorHAnsi"/>
        </w:rPr>
        <w:t>oestradial</w:t>
      </w:r>
      <w:proofErr w:type="spellEnd"/>
      <w:r w:rsidRPr="00734AB6">
        <w:rPr>
          <w:rFonts w:asciiTheme="majorHAnsi" w:hAnsiTheme="majorHAnsi"/>
        </w:rPr>
        <w:t xml:space="preserve"> on the DA system (</w:t>
      </w:r>
      <w:proofErr w:type="spellStart"/>
      <w:r w:rsidRPr="00734AB6">
        <w:rPr>
          <w:rFonts w:asciiTheme="majorHAnsi" w:hAnsiTheme="majorHAnsi"/>
        </w:rPr>
        <w:t>Yoest</w:t>
      </w:r>
      <w:proofErr w:type="spellEnd"/>
      <w:r w:rsidRPr="00734AB6">
        <w:rPr>
          <w:rFonts w:asciiTheme="majorHAnsi" w:hAnsiTheme="majorHAnsi"/>
        </w:rPr>
        <w:t xml:space="preserve"> et al., 2014). If males experience lower DA signalling, they may be more inclined to seek enhancement via CEDs and, based on the inverted-U theory discussed in S</w:t>
      </w:r>
      <w:r w:rsidR="00D9490A" w:rsidRPr="00734AB6">
        <w:rPr>
          <w:rFonts w:asciiTheme="majorHAnsi" w:hAnsiTheme="majorHAnsi"/>
        </w:rPr>
        <w:t>ection 1.3</w:t>
      </w:r>
      <w:r w:rsidRPr="00734AB6">
        <w:rPr>
          <w:rFonts w:asciiTheme="majorHAnsi" w:hAnsiTheme="majorHAnsi"/>
        </w:rPr>
        <w:t xml:space="preserve">.1, they are also more likely to experience benefits from its use </w:t>
      </w:r>
      <w:r w:rsidRPr="00734AB6">
        <w:rPr>
          <w:rFonts w:asciiTheme="majorHAnsi" w:hAnsiTheme="majorHAnsi" w:cs="Calibri"/>
        </w:rPr>
        <w:t>(</w:t>
      </w:r>
      <w:proofErr w:type="spellStart"/>
      <w:r w:rsidRPr="00734AB6">
        <w:rPr>
          <w:rFonts w:asciiTheme="majorHAnsi" w:hAnsiTheme="majorHAnsi" w:cs="Calibri"/>
        </w:rPr>
        <w:t>Vijayraghavan</w:t>
      </w:r>
      <w:proofErr w:type="spellEnd"/>
      <w:r w:rsidRPr="00734AB6">
        <w:rPr>
          <w:rFonts w:asciiTheme="majorHAnsi" w:hAnsiTheme="majorHAnsi" w:cs="Calibri"/>
        </w:rPr>
        <w:t xml:space="preserve"> et al., 2007)</w:t>
      </w:r>
      <w:r w:rsidRPr="00734AB6">
        <w:rPr>
          <w:rFonts w:asciiTheme="majorHAnsi" w:hAnsiTheme="majorHAnsi"/>
        </w:rPr>
        <w:t xml:space="preserve">. </w:t>
      </w:r>
    </w:p>
    <w:p w14:paraId="0535FEFC" w14:textId="3E27BCDF"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Greater numbers of reported modafinil users than reported methylphenidate users has also been seen in all three studies. Based on the findings of Study 1, this could be due to the fact that methylphenidate is perceived as dangerous either because it is internationally recognised as a Schedule II controlled substance and therefore illegal to use without a prescription (Green List, 2003) or because of its addictive potential, as discussed in Section 1.5. Methylphenidate may also be more difficult to access, at least in the </w:t>
      </w:r>
      <w:r w:rsidR="002B2E07" w:rsidRPr="00734AB6">
        <w:rPr>
          <w:rFonts w:asciiTheme="majorHAnsi" w:hAnsiTheme="majorHAnsi"/>
        </w:rPr>
        <w:t>UK</w:t>
      </w:r>
      <w:r w:rsidRPr="00734AB6">
        <w:rPr>
          <w:rFonts w:asciiTheme="majorHAnsi" w:hAnsiTheme="majorHAnsi"/>
        </w:rPr>
        <w:t xml:space="preserve">; </w:t>
      </w:r>
      <w:proofErr w:type="spellStart"/>
      <w:r w:rsidRPr="00734AB6">
        <w:rPr>
          <w:rFonts w:asciiTheme="majorHAnsi" w:hAnsiTheme="majorHAnsi"/>
        </w:rPr>
        <w:t>Hockenhull</w:t>
      </w:r>
      <w:proofErr w:type="spellEnd"/>
      <w:r w:rsidRPr="00734AB6">
        <w:rPr>
          <w:rFonts w:asciiTheme="majorHAnsi" w:hAnsiTheme="majorHAnsi"/>
        </w:rPr>
        <w:t xml:space="preserve"> et al. (2019) found 55 websites from which modafinil may be obtained but only 14 websites from which methylphenidate can be obtained without a prescription. Alternative access via someone else’s prescription is reported commonly in America (e.g. </w:t>
      </w:r>
      <w:proofErr w:type="spellStart"/>
      <w:r w:rsidRPr="00734AB6">
        <w:rPr>
          <w:rFonts w:asciiTheme="majorHAnsi" w:hAnsiTheme="majorHAnsi"/>
        </w:rPr>
        <w:t>Arria</w:t>
      </w:r>
      <w:proofErr w:type="spellEnd"/>
      <w:r w:rsidRPr="00734AB6">
        <w:rPr>
          <w:rFonts w:asciiTheme="majorHAnsi" w:hAnsiTheme="majorHAnsi"/>
        </w:rPr>
        <w:t xml:space="preserve"> et al., 2011; McCabe et al., 2006). Vargo and </w:t>
      </w:r>
      <w:proofErr w:type="spellStart"/>
      <w:r w:rsidRPr="00734AB6">
        <w:rPr>
          <w:rFonts w:asciiTheme="majorHAnsi" w:hAnsiTheme="majorHAnsi"/>
        </w:rPr>
        <w:t>Petróczi</w:t>
      </w:r>
      <w:proofErr w:type="spellEnd"/>
      <w:r w:rsidRPr="00734AB6">
        <w:rPr>
          <w:rFonts w:asciiTheme="majorHAnsi" w:hAnsiTheme="majorHAnsi"/>
        </w:rPr>
        <w:t xml:space="preserve"> (2016) investigated CED use among students in England in a qualitative study and they noted greater reported use of modafinil </w:t>
      </w:r>
      <w:r w:rsidR="006403E9" w:rsidRPr="00734AB6">
        <w:rPr>
          <w:rFonts w:asciiTheme="majorHAnsi" w:hAnsiTheme="majorHAnsi"/>
        </w:rPr>
        <w:t>and</w:t>
      </w:r>
      <w:r w:rsidRPr="00734AB6">
        <w:rPr>
          <w:rFonts w:asciiTheme="majorHAnsi" w:hAnsiTheme="majorHAnsi"/>
        </w:rPr>
        <w:t xml:space="preserve"> as suggested earlier, they also explained that this was due to the easy access via online sources and the fact that it posed no legality issues. They also noted that methylphenidate and Adderall seemed more difficult to access off-prescription within the </w:t>
      </w:r>
      <w:r w:rsidR="002B2E07" w:rsidRPr="00734AB6">
        <w:rPr>
          <w:rFonts w:asciiTheme="majorHAnsi" w:hAnsiTheme="majorHAnsi"/>
        </w:rPr>
        <w:t>UK</w:t>
      </w:r>
      <w:r w:rsidRPr="00734AB6">
        <w:rPr>
          <w:rFonts w:asciiTheme="majorHAnsi" w:hAnsiTheme="majorHAnsi"/>
        </w:rPr>
        <w:t xml:space="preserve"> and stated that the participants who had obtained them had done so via individuals who had prescriptions which were usually from the United States.</w:t>
      </w:r>
    </w:p>
    <w:p w14:paraId="0383B3F6" w14:textId="59D127B7" w:rsidR="006E2809" w:rsidRPr="00734AB6" w:rsidRDefault="006E2809" w:rsidP="006E2809">
      <w:pPr>
        <w:spacing w:line="360" w:lineRule="auto"/>
        <w:ind w:firstLine="851"/>
        <w:rPr>
          <w:rFonts w:asciiTheme="majorHAnsi" w:hAnsiTheme="majorHAnsi"/>
          <w:color w:val="FF0000"/>
        </w:rPr>
      </w:pPr>
      <w:r w:rsidRPr="00734AB6">
        <w:rPr>
          <w:rFonts w:asciiTheme="majorHAnsi" w:hAnsiTheme="majorHAnsi"/>
        </w:rPr>
        <w:t xml:space="preserve">In all three studies the majority of CED users reported that they were university-educated. In Study 2, although a large percentage of methylphenidate users stated that they were educated to 18 years of age, most of them were currently studying for a degree. This may suggest that they were using the CEDs for study purposes. However, in Study 2 a greater number of modafinil users were employed compared with methylphenidate users, which suggesting that </w:t>
      </w:r>
      <w:r w:rsidRPr="00734AB6">
        <w:rPr>
          <w:rFonts w:asciiTheme="majorHAnsi" w:hAnsiTheme="majorHAnsi"/>
        </w:rPr>
        <w:lastRenderedPageBreak/>
        <w:t xml:space="preserve">modafinil is also being used in the workplace. Vargo and </w:t>
      </w:r>
      <w:proofErr w:type="spellStart"/>
      <w:r w:rsidRPr="00734AB6">
        <w:rPr>
          <w:rFonts w:asciiTheme="majorHAnsi" w:hAnsiTheme="majorHAnsi"/>
        </w:rPr>
        <w:t>Petróczi</w:t>
      </w:r>
      <w:proofErr w:type="spellEnd"/>
      <w:r w:rsidRPr="00734AB6">
        <w:rPr>
          <w:rFonts w:asciiTheme="majorHAnsi" w:hAnsiTheme="majorHAnsi"/>
        </w:rPr>
        <w:t xml:space="preserve"> (2016) reported that 11 of the 13 reported CED users in their study stated that they contemplated using CEDs again either during post-graduate studies or for work with tight deadlines or specific projects. It may be that CED users begin using these drugs for study purposes but then continue CED use in employment when work demands and pressure to perform exceed their self-perceived ability to deliver. </w:t>
      </w:r>
    </w:p>
    <w:p w14:paraId="6E9B907F" w14:textId="576382F7"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association between CED use and the diagnosis of a psychiatric disorder, primarily depression and anxiety was identified in Study 1 and the findings of Study 2 indicated that depression and anxiety were not specifically related to CED use but to the online forums instead. So, the association between CED use and depression and anxiety </w:t>
      </w:r>
      <w:r w:rsidR="009A782D" w:rsidRPr="00734AB6">
        <w:rPr>
          <w:rFonts w:asciiTheme="majorHAnsi" w:hAnsiTheme="majorHAnsi"/>
        </w:rPr>
        <w:t>may</w:t>
      </w:r>
      <w:r w:rsidRPr="00734AB6">
        <w:rPr>
          <w:rFonts w:asciiTheme="majorHAnsi" w:hAnsiTheme="majorHAnsi"/>
        </w:rPr>
        <w:t xml:space="preserve"> only relate to CED users who visit online forums and social media. A systematic review by </w:t>
      </w:r>
      <w:proofErr w:type="spellStart"/>
      <w:r w:rsidRPr="00734AB6">
        <w:rPr>
          <w:rFonts w:asciiTheme="majorHAnsi" w:hAnsiTheme="majorHAnsi"/>
        </w:rPr>
        <w:t>Keles</w:t>
      </w:r>
      <w:proofErr w:type="spellEnd"/>
      <w:r w:rsidRPr="00734AB6">
        <w:rPr>
          <w:rFonts w:asciiTheme="majorHAnsi" w:hAnsiTheme="majorHAnsi"/>
        </w:rPr>
        <w:t xml:space="preserve">, McCrae and </w:t>
      </w:r>
      <w:proofErr w:type="spellStart"/>
      <w:r w:rsidRPr="00734AB6">
        <w:rPr>
          <w:rFonts w:asciiTheme="majorHAnsi" w:hAnsiTheme="majorHAnsi"/>
        </w:rPr>
        <w:t>Grealish</w:t>
      </w:r>
      <w:proofErr w:type="spellEnd"/>
      <w:r w:rsidRPr="00734AB6">
        <w:rPr>
          <w:rFonts w:asciiTheme="majorHAnsi" w:hAnsiTheme="majorHAnsi"/>
        </w:rPr>
        <w:t xml:space="preserve"> (2020) found a relationship between social media use and depression and anxiety in adolescents, providing support to Lin et al.’s (2016) findings of a linear association between social media use (including Reddit) and depression in young adults. However, the direction of this association is unclear. Although, as briefly discussed in Section 3.4, people with depression and anxiety are drawn to social media as it offers anonymity and a lack of accountability. Lin et al. argued that depressed individuals may seek validation through social media and that they may prefer online rather than face-to-face interactions. Conversely, visiting social media sites may result in the development of depression. </w:t>
      </w:r>
      <w:proofErr w:type="spellStart"/>
      <w:r w:rsidRPr="00734AB6">
        <w:rPr>
          <w:rFonts w:asciiTheme="majorHAnsi" w:hAnsiTheme="majorHAnsi"/>
        </w:rPr>
        <w:t>Kross</w:t>
      </w:r>
      <w:proofErr w:type="spellEnd"/>
      <w:r w:rsidRPr="00734AB6">
        <w:rPr>
          <w:rFonts w:asciiTheme="majorHAnsi" w:hAnsiTheme="majorHAnsi"/>
        </w:rPr>
        <w:t xml:space="preserve"> et al. (2013) found that Facebook use predicted a decline in subjective well-being and life satisfaction. Experiences of cyberbullying and trolling may also have an impact and contribute to feelings of depression and anxiety (</w:t>
      </w:r>
      <w:proofErr w:type="spellStart"/>
      <w:r w:rsidRPr="00734AB6">
        <w:rPr>
          <w:rFonts w:asciiTheme="majorHAnsi" w:hAnsiTheme="majorHAnsi"/>
        </w:rPr>
        <w:t>Zezulka</w:t>
      </w:r>
      <w:proofErr w:type="spellEnd"/>
      <w:r w:rsidRPr="00734AB6">
        <w:rPr>
          <w:rFonts w:asciiTheme="majorHAnsi" w:hAnsiTheme="majorHAnsi"/>
        </w:rPr>
        <w:t xml:space="preserve"> &amp; </w:t>
      </w:r>
      <w:proofErr w:type="spellStart"/>
      <w:r w:rsidRPr="00734AB6">
        <w:rPr>
          <w:rFonts w:asciiTheme="majorHAnsi" w:hAnsiTheme="majorHAnsi"/>
        </w:rPr>
        <w:t>Seigfried-Spellar</w:t>
      </w:r>
      <w:proofErr w:type="spellEnd"/>
      <w:r w:rsidRPr="00734AB6">
        <w:rPr>
          <w:rFonts w:asciiTheme="majorHAnsi" w:hAnsiTheme="majorHAnsi"/>
        </w:rPr>
        <w:t xml:space="preserve">, 2016). </w:t>
      </w:r>
    </w:p>
    <w:p w14:paraId="610357D0" w14:textId="02891EA6" w:rsidR="006E2809" w:rsidRPr="00734AB6" w:rsidRDefault="006E2809" w:rsidP="006E2809">
      <w:pPr>
        <w:spacing w:line="360" w:lineRule="auto"/>
        <w:ind w:firstLine="851"/>
        <w:rPr>
          <w:rFonts w:asciiTheme="majorHAnsi" w:hAnsiTheme="majorHAnsi"/>
          <w:color w:val="FF0000"/>
        </w:rPr>
      </w:pPr>
      <w:r w:rsidRPr="00734AB6">
        <w:rPr>
          <w:rFonts w:asciiTheme="majorHAnsi" w:hAnsiTheme="majorHAnsi"/>
        </w:rPr>
        <w:t xml:space="preserve">The pattern of illicit drug use among reported CED users was relatively high in all three studies and in Studies 2 and 3 illicit drug use among reported CED users was high compared with controls. Similar findings have been found in other studies of CED use (e.g. McCabe et al., 2006; </w:t>
      </w:r>
      <w:proofErr w:type="spellStart"/>
      <w:r w:rsidRPr="00734AB6">
        <w:rPr>
          <w:rFonts w:asciiTheme="majorHAnsi" w:hAnsiTheme="majorHAnsi"/>
        </w:rPr>
        <w:t>Rabiner</w:t>
      </w:r>
      <w:proofErr w:type="spellEnd"/>
      <w:r w:rsidRPr="00734AB6">
        <w:rPr>
          <w:rFonts w:asciiTheme="majorHAnsi" w:hAnsiTheme="majorHAnsi"/>
        </w:rPr>
        <w:t xml:space="preserve"> et al., 2009; </w:t>
      </w:r>
      <w:proofErr w:type="spellStart"/>
      <w:r w:rsidRPr="00734AB6">
        <w:rPr>
          <w:rFonts w:asciiTheme="majorHAnsi" w:hAnsiTheme="majorHAnsi"/>
        </w:rPr>
        <w:t>Schelle</w:t>
      </w:r>
      <w:proofErr w:type="spellEnd"/>
      <w:r w:rsidRPr="00734AB6">
        <w:rPr>
          <w:rFonts w:asciiTheme="majorHAnsi" w:hAnsiTheme="majorHAnsi"/>
        </w:rPr>
        <w:t xml:space="preserve"> et al., 2015; Vargo &amp; </w:t>
      </w:r>
      <w:proofErr w:type="spellStart"/>
      <w:r w:rsidRPr="00734AB6">
        <w:rPr>
          <w:rFonts w:asciiTheme="majorHAnsi" w:hAnsiTheme="majorHAnsi"/>
        </w:rPr>
        <w:t>Petróczi</w:t>
      </w:r>
      <w:proofErr w:type="spellEnd"/>
      <w:r w:rsidRPr="00734AB6">
        <w:rPr>
          <w:rFonts w:asciiTheme="majorHAnsi" w:hAnsiTheme="majorHAnsi"/>
        </w:rPr>
        <w:t xml:space="preserve">, 2016). One possible explanation for this is provided by Vargo and </w:t>
      </w:r>
      <w:proofErr w:type="spellStart"/>
      <w:r w:rsidRPr="00734AB6">
        <w:rPr>
          <w:rFonts w:asciiTheme="majorHAnsi" w:hAnsiTheme="majorHAnsi"/>
        </w:rPr>
        <w:t>Petróczi</w:t>
      </w:r>
      <w:proofErr w:type="spellEnd"/>
      <w:r w:rsidRPr="00734AB6">
        <w:rPr>
          <w:rFonts w:asciiTheme="majorHAnsi" w:hAnsiTheme="majorHAnsi"/>
        </w:rPr>
        <w:t xml:space="preserve"> who reported that the CED users they interviewed had often practiced polysubstance use where several CEDs and legal or natural cognitive enhancers are combined for heightened effect, and recreational drugs are used to relieve the side-effects of CEDs. This suggests a lifestyle use of drugs, where drugs are seen as instruments, facilitating the pursuit of the individual’s desires and goals</w:t>
      </w:r>
      <w:r w:rsidR="00FD3E89" w:rsidRPr="00734AB6">
        <w:rPr>
          <w:rFonts w:asciiTheme="majorHAnsi" w:hAnsiTheme="majorHAnsi"/>
        </w:rPr>
        <w:t xml:space="preserve"> (</w:t>
      </w:r>
      <w:proofErr w:type="spellStart"/>
      <w:r w:rsidR="00FD3E89" w:rsidRPr="00734AB6">
        <w:rPr>
          <w:rFonts w:asciiTheme="majorHAnsi" w:hAnsiTheme="majorHAnsi"/>
        </w:rPr>
        <w:t>d’Angelo</w:t>
      </w:r>
      <w:proofErr w:type="spellEnd"/>
      <w:r w:rsidR="00FD3E89" w:rsidRPr="00734AB6">
        <w:rPr>
          <w:rFonts w:asciiTheme="majorHAnsi" w:hAnsiTheme="majorHAnsi"/>
        </w:rPr>
        <w:t xml:space="preserve"> et al., 2017; </w:t>
      </w:r>
      <w:proofErr w:type="spellStart"/>
      <w:r w:rsidR="00FD3E89" w:rsidRPr="00734AB6">
        <w:rPr>
          <w:rFonts w:asciiTheme="majorHAnsi" w:hAnsiTheme="majorHAnsi"/>
        </w:rPr>
        <w:t>Műller</w:t>
      </w:r>
      <w:proofErr w:type="spellEnd"/>
      <w:r w:rsidR="00FD3E89" w:rsidRPr="00734AB6">
        <w:rPr>
          <w:rFonts w:asciiTheme="majorHAnsi" w:hAnsiTheme="majorHAnsi"/>
        </w:rPr>
        <w:t xml:space="preserve"> &amp; Schumann, 2011)</w:t>
      </w:r>
      <w:r w:rsidRPr="00734AB6">
        <w:rPr>
          <w:rFonts w:asciiTheme="majorHAnsi" w:hAnsiTheme="majorHAnsi"/>
        </w:rPr>
        <w:t xml:space="preserve">. </w:t>
      </w:r>
    </w:p>
    <w:p w14:paraId="584CB42E" w14:textId="6168D81C"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greater emotional control reported by the CED using participants in Study 3 might also be suggestive of blunted affect. As </w:t>
      </w:r>
      <w:proofErr w:type="spellStart"/>
      <w:r w:rsidRPr="00734AB6">
        <w:rPr>
          <w:rFonts w:asciiTheme="majorHAnsi" w:hAnsiTheme="majorHAnsi"/>
        </w:rPr>
        <w:t>Glannon</w:t>
      </w:r>
      <w:proofErr w:type="spellEnd"/>
      <w:r w:rsidRPr="00734AB6">
        <w:rPr>
          <w:rFonts w:asciiTheme="majorHAnsi" w:hAnsiTheme="majorHAnsi"/>
        </w:rPr>
        <w:t xml:space="preserve"> (2006) argued, emotional and cortical processes are interconnected and regulated by cortical limbic pathways and enhancing cognitive functions may result in reducing emotional affect. These CED users may not be aware of this potential trade-off. That said, both modafinil and methylphenidate have been noted to have mood-</w:t>
      </w:r>
      <w:r w:rsidRPr="00734AB6">
        <w:rPr>
          <w:rFonts w:asciiTheme="majorHAnsi" w:hAnsiTheme="majorHAnsi"/>
        </w:rPr>
        <w:lastRenderedPageBreak/>
        <w:t>enhancing effects (Kerr et al., 2012; Price &amp; Taylor, 2005) which may attenuate this eff</w:t>
      </w:r>
      <w:r w:rsidR="00507BB1" w:rsidRPr="00734AB6">
        <w:rPr>
          <w:rFonts w:asciiTheme="majorHAnsi" w:hAnsiTheme="majorHAnsi"/>
        </w:rPr>
        <w:t>ect. As discussed in Section 1.5</w:t>
      </w:r>
      <w:r w:rsidRPr="00734AB6">
        <w:rPr>
          <w:rFonts w:asciiTheme="majorHAnsi" w:hAnsiTheme="majorHAnsi"/>
        </w:rPr>
        <w:t xml:space="preserve">, polymorphism of the COMT gene can result in a </w:t>
      </w:r>
      <w:proofErr w:type="spellStart"/>
      <w:r w:rsidRPr="00734AB6">
        <w:rPr>
          <w:rFonts w:asciiTheme="majorHAnsi" w:hAnsiTheme="majorHAnsi"/>
        </w:rPr>
        <w:t>val</w:t>
      </w:r>
      <w:proofErr w:type="spellEnd"/>
      <w:r w:rsidRPr="00734AB6">
        <w:rPr>
          <w:rFonts w:asciiTheme="majorHAnsi" w:hAnsiTheme="majorHAnsi"/>
        </w:rPr>
        <w:t>/</w:t>
      </w:r>
      <w:proofErr w:type="spellStart"/>
      <w:r w:rsidRPr="00734AB6">
        <w:rPr>
          <w:rFonts w:asciiTheme="majorHAnsi" w:hAnsiTheme="majorHAnsi"/>
        </w:rPr>
        <w:t>val</w:t>
      </w:r>
      <w:proofErr w:type="spellEnd"/>
      <w:r w:rsidRPr="00734AB6">
        <w:rPr>
          <w:rFonts w:asciiTheme="majorHAnsi" w:hAnsiTheme="majorHAnsi"/>
        </w:rPr>
        <w:t xml:space="preserve"> or met/met genotype (</w:t>
      </w:r>
      <w:proofErr w:type="spellStart"/>
      <w:r w:rsidRPr="00734AB6">
        <w:rPr>
          <w:rFonts w:asciiTheme="majorHAnsi" w:hAnsiTheme="majorHAnsi"/>
        </w:rPr>
        <w:t>Mattay</w:t>
      </w:r>
      <w:proofErr w:type="spellEnd"/>
      <w:r w:rsidRPr="00734AB6">
        <w:rPr>
          <w:rFonts w:asciiTheme="majorHAnsi" w:hAnsiTheme="majorHAnsi"/>
        </w:rPr>
        <w:t xml:space="preserve"> et al., 2003). Those with the </w:t>
      </w:r>
      <w:proofErr w:type="spellStart"/>
      <w:r w:rsidRPr="00734AB6">
        <w:rPr>
          <w:rFonts w:asciiTheme="majorHAnsi" w:hAnsiTheme="majorHAnsi"/>
        </w:rPr>
        <w:t>val</w:t>
      </w:r>
      <w:proofErr w:type="spellEnd"/>
      <w:r w:rsidRPr="00734AB6">
        <w:rPr>
          <w:rFonts w:asciiTheme="majorHAnsi" w:hAnsiTheme="majorHAnsi"/>
        </w:rPr>
        <w:t xml:space="preserve"> allele have a more active version of the COMT enzyme, resulting in a more rapid breakdown of catecholamines such as dopamine, whereas those with the met allele have a less active version and thus slower breakdown of catecholamines. Catecholamines are recognised to be involved in mood regulation (Nutt et al., 2007) and individuals with the </w:t>
      </w:r>
      <w:proofErr w:type="spellStart"/>
      <w:r w:rsidRPr="00734AB6">
        <w:rPr>
          <w:rFonts w:asciiTheme="majorHAnsi" w:hAnsiTheme="majorHAnsi"/>
        </w:rPr>
        <w:t>val</w:t>
      </w:r>
      <w:proofErr w:type="spellEnd"/>
      <w:r w:rsidRPr="00734AB6">
        <w:rPr>
          <w:rFonts w:asciiTheme="majorHAnsi" w:hAnsiTheme="majorHAnsi"/>
        </w:rPr>
        <w:t xml:space="preserve"> allele may have lower levels of available catecholamines. Modafinil acts on the dopaminergic, noradrenergic and serotonergic systems (</w:t>
      </w:r>
      <w:proofErr w:type="spellStart"/>
      <w:r w:rsidRPr="00734AB6">
        <w:rPr>
          <w:rFonts w:asciiTheme="majorHAnsi" w:hAnsiTheme="majorHAnsi"/>
        </w:rPr>
        <w:t>Minzenberg</w:t>
      </w:r>
      <w:proofErr w:type="spellEnd"/>
      <w:r w:rsidRPr="00734AB6">
        <w:rPr>
          <w:rFonts w:asciiTheme="majorHAnsi" w:hAnsiTheme="majorHAnsi"/>
        </w:rPr>
        <w:t xml:space="preserve"> &amp; Carter, 2008) whilst methylphenidate acts on the dopaminergic and noradrenergic systems (Wood et al., 2014), all of which are implicated in mood. </w:t>
      </w:r>
    </w:p>
    <w:p w14:paraId="11A93EF3" w14:textId="1CD236AD" w:rsidR="006E2809" w:rsidRPr="00734AB6" w:rsidRDefault="006E2809" w:rsidP="006E2809">
      <w:pPr>
        <w:spacing w:line="360" w:lineRule="auto"/>
        <w:ind w:firstLine="851"/>
        <w:rPr>
          <w:rFonts w:asciiTheme="majorHAnsi" w:hAnsiTheme="majorHAnsi"/>
        </w:rPr>
      </w:pPr>
      <w:r w:rsidRPr="00734AB6">
        <w:rPr>
          <w:rFonts w:asciiTheme="majorHAnsi" w:hAnsiTheme="majorHAnsi"/>
        </w:rPr>
        <w:t>In addition to this, psychostimulants can demonstrate dose-dependent concurrent linear and quadratic (i.e. U-shaped) effects, (</w:t>
      </w:r>
      <w:proofErr w:type="spellStart"/>
      <w:r w:rsidRPr="00734AB6">
        <w:rPr>
          <w:rFonts w:asciiTheme="majorHAnsi" w:hAnsiTheme="majorHAnsi"/>
        </w:rPr>
        <w:t>Tannock</w:t>
      </w:r>
      <w:proofErr w:type="spellEnd"/>
      <w:r w:rsidRPr="00734AB6">
        <w:rPr>
          <w:rFonts w:asciiTheme="majorHAnsi" w:hAnsiTheme="majorHAnsi"/>
        </w:rPr>
        <w:t xml:space="preserve">, </w:t>
      </w:r>
      <w:proofErr w:type="spellStart"/>
      <w:r w:rsidRPr="00734AB6">
        <w:rPr>
          <w:rFonts w:asciiTheme="majorHAnsi" w:hAnsiTheme="majorHAnsi"/>
        </w:rPr>
        <w:t>Schachar</w:t>
      </w:r>
      <w:proofErr w:type="spellEnd"/>
      <w:r w:rsidRPr="00734AB6">
        <w:rPr>
          <w:rFonts w:asciiTheme="majorHAnsi" w:hAnsiTheme="majorHAnsi"/>
        </w:rPr>
        <w:t xml:space="preserve">, &amp; Logan, 1995). </w:t>
      </w:r>
      <w:proofErr w:type="spellStart"/>
      <w:r w:rsidRPr="00734AB6">
        <w:rPr>
          <w:rFonts w:asciiTheme="majorHAnsi" w:hAnsiTheme="majorHAnsi"/>
        </w:rPr>
        <w:t>Tannock</w:t>
      </w:r>
      <w:proofErr w:type="spellEnd"/>
      <w:r w:rsidRPr="00734AB6">
        <w:rPr>
          <w:rFonts w:asciiTheme="majorHAnsi" w:hAnsiTheme="majorHAnsi"/>
        </w:rPr>
        <w:t xml:space="preserve"> et al. reported that, at different doses (0, 0.3, 0.6 and 0.9 mg/kg), children with ADHD demonstrated a linear effect on behavioural motor activity whereas response inhibition was better at the lower doses and worse at the higher dose, demonstrating a U-shaped effect. Konrad, </w:t>
      </w:r>
      <w:proofErr w:type="spellStart"/>
      <w:r w:rsidRPr="00734AB6">
        <w:rPr>
          <w:rFonts w:asciiTheme="majorHAnsi" w:hAnsiTheme="majorHAnsi"/>
        </w:rPr>
        <w:t>Gűnther</w:t>
      </w:r>
      <w:proofErr w:type="spellEnd"/>
      <w:r w:rsidRPr="00734AB6">
        <w:rPr>
          <w:rFonts w:asciiTheme="majorHAnsi" w:hAnsiTheme="majorHAnsi"/>
        </w:rPr>
        <w:t xml:space="preserve">, </w:t>
      </w:r>
      <w:proofErr w:type="spellStart"/>
      <w:r w:rsidRPr="00734AB6">
        <w:rPr>
          <w:rFonts w:asciiTheme="majorHAnsi" w:hAnsiTheme="majorHAnsi"/>
        </w:rPr>
        <w:t>Hanisch</w:t>
      </w:r>
      <w:proofErr w:type="spellEnd"/>
      <w:r w:rsidRPr="00734AB6">
        <w:rPr>
          <w:rFonts w:asciiTheme="majorHAnsi" w:hAnsiTheme="majorHAnsi"/>
        </w:rPr>
        <w:t xml:space="preserve"> and </w:t>
      </w:r>
      <w:proofErr w:type="spellStart"/>
      <w:r w:rsidRPr="00734AB6">
        <w:rPr>
          <w:rFonts w:asciiTheme="majorHAnsi" w:hAnsiTheme="majorHAnsi"/>
        </w:rPr>
        <w:t>Herpertz-Dahlmann</w:t>
      </w:r>
      <w:proofErr w:type="spellEnd"/>
      <w:r w:rsidRPr="00734AB6">
        <w:rPr>
          <w:rFonts w:asciiTheme="majorHAnsi" w:hAnsiTheme="majorHAnsi"/>
        </w:rPr>
        <w:t xml:space="preserve"> (2004) also reported that at different doses (0, 0.25 and 0.5 mg/kg) children with ADHD demonstrated different effects on attentional functions. Alertness, focused and sustained attention improved in a linear effect, whereas performance on the two executive tasks of inhibition and set-shifting was only enhanced at the low dose and worsened on the higher dose. Konrad and colleagues explained that alertness and focused, sustained attention seem to be localized within the </w:t>
      </w:r>
      <w:proofErr w:type="spellStart"/>
      <w:r w:rsidRPr="00734AB6">
        <w:rPr>
          <w:rFonts w:asciiTheme="majorHAnsi" w:hAnsiTheme="majorHAnsi"/>
        </w:rPr>
        <w:t>frontosubcortical</w:t>
      </w:r>
      <w:proofErr w:type="spellEnd"/>
      <w:r w:rsidRPr="00734AB6">
        <w:rPr>
          <w:rFonts w:asciiTheme="majorHAnsi" w:hAnsiTheme="majorHAnsi"/>
        </w:rPr>
        <w:t xml:space="preserve"> network in the right hemisphere whereas executive functions are more localized within the PFC. Konrad and colleagues</w:t>
      </w:r>
      <w:r w:rsidR="006403E9" w:rsidRPr="00734AB6">
        <w:rPr>
          <w:rFonts w:asciiTheme="majorHAnsi" w:hAnsiTheme="majorHAnsi"/>
        </w:rPr>
        <w:t xml:space="preserve"> (2004)</w:t>
      </w:r>
      <w:r w:rsidRPr="00734AB6">
        <w:rPr>
          <w:rFonts w:asciiTheme="majorHAnsi" w:hAnsiTheme="majorHAnsi"/>
        </w:rPr>
        <w:t xml:space="preserve"> argued that these different brain regions and networks have different dose-response curves. This suggests that a dose which enhances one cognitive function may also have the opposite effect on another. This also may explain the different doses of methylphenidate reported by respondents in Studies 1 and 2. </w:t>
      </w:r>
    </w:p>
    <w:p w14:paraId="24E0BBE2" w14:textId="0337B41C" w:rsidR="006E2809" w:rsidRPr="00734AB6" w:rsidRDefault="006E2809" w:rsidP="006E2809">
      <w:pPr>
        <w:spacing w:line="360" w:lineRule="auto"/>
        <w:ind w:firstLine="851"/>
        <w:rPr>
          <w:rFonts w:asciiTheme="majorHAnsi" w:hAnsiTheme="majorHAnsi"/>
        </w:rPr>
      </w:pPr>
      <w:r w:rsidRPr="00734AB6">
        <w:rPr>
          <w:rFonts w:asciiTheme="majorHAnsi" w:hAnsiTheme="majorHAnsi"/>
        </w:rPr>
        <w:t>Furthermore,</w:t>
      </w:r>
      <w:r w:rsidR="00507BB1" w:rsidRPr="00734AB6">
        <w:rPr>
          <w:rFonts w:asciiTheme="majorHAnsi" w:hAnsiTheme="majorHAnsi"/>
        </w:rPr>
        <w:t xml:space="preserve"> it was discussed in Section 1.5</w:t>
      </w:r>
      <w:r w:rsidRPr="00734AB6">
        <w:rPr>
          <w:rFonts w:asciiTheme="majorHAnsi" w:hAnsiTheme="majorHAnsi"/>
        </w:rPr>
        <w:t xml:space="preserve"> that the benefits of modafinil and methylphenidate are greater for low baseline performers and that this suggests that users are predominantly low baseline performers. However, CED-using participants in Study 3 did not demonstrate low baseline performance and yet they must experience benefits from CED use otherwise they would not take them. The linear effects reported for behaviour motor activity, alertness, and focused, sustained attention may explain why high performing individuals, such as the CED-using participants in Study 3, might still experience benefits from taking </w:t>
      </w:r>
      <w:proofErr w:type="spellStart"/>
      <w:r w:rsidRPr="00734AB6">
        <w:rPr>
          <w:rFonts w:asciiTheme="majorHAnsi" w:hAnsiTheme="majorHAnsi"/>
        </w:rPr>
        <w:t>modafinl</w:t>
      </w:r>
      <w:proofErr w:type="spellEnd"/>
      <w:r w:rsidRPr="00734AB6">
        <w:rPr>
          <w:rFonts w:asciiTheme="majorHAnsi" w:hAnsiTheme="majorHAnsi"/>
        </w:rPr>
        <w:t xml:space="preserve"> and methylphenidate. </w:t>
      </w:r>
    </w:p>
    <w:p w14:paraId="5C948B24" w14:textId="77777777" w:rsidR="006E2809" w:rsidRPr="00734AB6" w:rsidRDefault="006E2809" w:rsidP="006E2809">
      <w:pPr>
        <w:spacing w:line="360" w:lineRule="auto"/>
        <w:ind w:firstLine="851"/>
        <w:rPr>
          <w:rFonts w:asciiTheme="majorHAnsi" w:hAnsiTheme="majorHAnsi"/>
        </w:rPr>
      </w:pPr>
    </w:p>
    <w:p w14:paraId="49AACD34" w14:textId="67DCE5C0" w:rsidR="006E2809" w:rsidRPr="00734AB6" w:rsidRDefault="00ED3C0E" w:rsidP="006E2809">
      <w:pPr>
        <w:pStyle w:val="Heading3"/>
        <w:spacing w:after="240" w:line="360" w:lineRule="auto"/>
        <w:rPr>
          <w:b/>
          <w:color w:val="auto"/>
          <w:sz w:val="22"/>
        </w:rPr>
      </w:pPr>
      <w:bookmarkStart w:id="103" w:name="_Toc48136394"/>
      <w:r w:rsidRPr="00734AB6">
        <w:rPr>
          <w:b/>
          <w:color w:val="auto"/>
          <w:sz w:val="22"/>
        </w:rPr>
        <w:lastRenderedPageBreak/>
        <w:t>5.3</w:t>
      </w:r>
      <w:r w:rsidR="006E2809" w:rsidRPr="00734AB6">
        <w:rPr>
          <w:b/>
          <w:color w:val="auto"/>
          <w:sz w:val="22"/>
        </w:rPr>
        <w:t>.1</w:t>
      </w:r>
      <w:r w:rsidR="006E2809" w:rsidRPr="00734AB6">
        <w:rPr>
          <w:b/>
          <w:color w:val="auto"/>
          <w:sz w:val="22"/>
        </w:rPr>
        <w:tab/>
        <w:t>Laboratory studies versus real world reports</w:t>
      </w:r>
      <w:bookmarkEnd w:id="103"/>
    </w:p>
    <w:p w14:paraId="388F17A9" w14:textId="4554D6F3"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It should also be noted that some laboratory studies reported weak effects or no effects of modafinil and methylphenidate (e.g. Finke et al., 2010; </w:t>
      </w:r>
      <w:proofErr w:type="spellStart"/>
      <w:r w:rsidRPr="00734AB6">
        <w:rPr>
          <w:rFonts w:asciiTheme="majorHAnsi" w:hAnsiTheme="majorHAnsi"/>
        </w:rPr>
        <w:t>Linssen</w:t>
      </w:r>
      <w:proofErr w:type="spellEnd"/>
      <w:r w:rsidRPr="00734AB6">
        <w:rPr>
          <w:rFonts w:asciiTheme="majorHAnsi" w:hAnsiTheme="majorHAnsi"/>
        </w:rPr>
        <w:t xml:space="preserve"> et al., 2004; </w:t>
      </w:r>
      <w:proofErr w:type="spellStart"/>
      <w:r w:rsidRPr="00734AB6">
        <w:rPr>
          <w:rFonts w:asciiTheme="majorHAnsi" w:hAnsiTheme="majorHAnsi"/>
        </w:rPr>
        <w:t>Műller</w:t>
      </w:r>
      <w:proofErr w:type="spellEnd"/>
      <w:r w:rsidRPr="00734AB6">
        <w:rPr>
          <w:rFonts w:asciiTheme="majorHAnsi" w:hAnsiTheme="majorHAnsi"/>
        </w:rPr>
        <w:t xml:space="preserve"> et al., 2004) and this may be related to individual differences in relation to optimal dosage, whereas the survey data from Studies 1 and 2 and the questionnaire data from Study 3 reflect real world experiences where users tailor their dose to meet their own requirements. Further to this, and as</w:t>
      </w:r>
      <w:r w:rsidR="00507BB1" w:rsidRPr="00734AB6">
        <w:rPr>
          <w:rFonts w:asciiTheme="majorHAnsi" w:hAnsiTheme="majorHAnsi"/>
        </w:rPr>
        <w:t xml:space="preserve"> previously noted in Section 1.5</w:t>
      </w:r>
      <w:r w:rsidRPr="00734AB6">
        <w:rPr>
          <w:rFonts w:asciiTheme="majorHAnsi" w:hAnsiTheme="majorHAnsi"/>
        </w:rPr>
        <w:t xml:space="preserve">, the cognitive tests used in laboratory studies are often designed to assess clinical conditions and may not accurately measure the performance of healthy individuals, whereas surveys and self-reports reflect real world experiences. However, both approaches have great value in their own right. As previously discussed in Section 4.4, self-reports reflect typical performance or behaviours and real world experiences as perceived by respondents and participants (Stanovich, 2009; </w:t>
      </w:r>
      <w:proofErr w:type="spellStart"/>
      <w:r w:rsidRPr="00734AB6">
        <w:rPr>
          <w:rFonts w:asciiTheme="majorHAnsi" w:hAnsiTheme="majorHAnsi"/>
        </w:rPr>
        <w:t>Toplak</w:t>
      </w:r>
      <w:proofErr w:type="spellEnd"/>
      <w:r w:rsidRPr="00734AB6">
        <w:rPr>
          <w:rFonts w:asciiTheme="majorHAnsi" w:hAnsiTheme="majorHAnsi"/>
        </w:rPr>
        <w:t xml:space="preserve"> et al., 2013). Conversely, laboratory tasks </w:t>
      </w:r>
      <w:r w:rsidR="002426BC" w:rsidRPr="00734AB6">
        <w:rPr>
          <w:rFonts w:asciiTheme="majorHAnsi" w:hAnsiTheme="majorHAnsi"/>
        </w:rPr>
        <w:t>are less likely to be influenced by</w:t>
      </w:r>
      <w:r w:rsidRPr="00734AB6">
        <w:rPr>
          <w:rFonts w:asciiTheme="majorHAnsi" w:hAnsiTheme="majorHAnsi"/>
        </w:rPr>
        <w:t xml:space="preserve"> the individual’s interpretations of their own behaviour and performance, occur in standardized conditions and commonly assess optimal performance or behaviour, as tasks often require the participant to perform at speed whilst also ensuring accuracy of response.  However, this is not always relevant; Studies 1 and 2 focused only on self-reports for the specific intention of understanding real world experiences and the findings from these studies directed the approach of the final study which used these complementary measures.</w:t>
      </w:r>
    </w:p>
    <w:p w14:paraId="648B8B14" w14:textId="77777777" w:rsidR="006E2809" w:rsidRPr="00734AB6" w:rsidRDefault="006E2809" w:rsidP="006E2809">
      <w:pPr>
        <w:spacing w:line="360" w:lineRule="auto"/>
        <w:ind w:firstLine="851"/>
        <w:rPr>
          <w:rFonts w:asciiTheme="majorHAnsi" w:hAnsiTheme="majorHAnsi"/>
        </w:rPr>
      </w:pPr>
    </w:p>
    <w:p w14:paraId="5863728E" w14:textId="5E325975" w:rsidR="006E2809" w:rsidRPr="00734AB6" w:rsidRDefault="00985171" w:rsidP="006E2809">
      <w:pPr>
        <w:pStyle w:val="Heading2"/>
        <w:spacing w:after="240" w:line="360" w:lineRule="auto"/>
        <w:rPr>
          <w:b/>
          <w:color w:val="auto"/>
          <w:sz w:val="22"/>
        </w:rPr>
      </w:pPr>
      <w:bookmarkStart w:id="104" w:name="_Toc48136395"/>
      <w:r w:rsidRPr="00734AB6">
        <w:rPr>
          <w:b/>
          <w:color w:val="auto"/>
          <w:sz w:val="22"/>
        </w:rPr>
        <w:t>5.4</w:t>
      </w:r>
      <w:r w:rsidR="006E2809" w:rsidRPr="00734AB6">
        <w:rPr>
          <w:b/>
          <w:color w:val="auto"/>
          <w:sz w:val="22"/>
        </w:rPr>
        <w:tab/>
        <w:t>Modafinil and methylphenidate off-prescription users are not one homogenous group</w:t>
      </w:r>
      <w:bookmarkEnd w:id="104"/>
    </w:p>
    <w:p w14:paraId="7A2E87D3" w14:textId="24F7249C"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sample of CED users in Study 3 may reflect a sub-type of CED-users (who frequent the forum sites targeted in the study) who are not self-medicating but instead are using modafinil and methylphenidate to improve their already good cognitive functions, thus suggesting that CED users are not one homogenous group. The findings of Study 1 also suggested that off-prescription users of modafinil and methylphenidate may also not represent one homogenous group but, instead, represents two separate groups whereas the findings of Study 2 only found a difference between the modafinil and methylphenidate groups in the likelihood of more frequent use of illicit drugs by the modafinil group. It may be that the main difference between the two groups is that users of modafinil perceive that it is easier to access, safer and that more frequent use provides greater benefits without greater risks and that modafinil users also take illicit drugs frequently. Conversely, methylphenidate is perceived as </w:t>
      </w:r>
      <w:r w:rsidR="002426BC" w:rsidRPr="00734AB6">
        <w:rPr>
          <w:rFonts w:asciiTheme="majorHAnsi" w:hAnsiTheme="majorHAnsi"/>
        </w:rPr>
        <w:t xml:space="preserve">having more risk attached to its use </w:t>
      </w:r>
      <w:r w:rsidRPr="00734AB6">
        <w:rPr>
          <w:rFonts w:asciiTheme="majorHAnsi" w:hAnsiTheme="majorHAnsi"/>
        </w:rPr>
        <w:t xml:space="preserve">and </w:t>
      </w:r>
      <w:r w:rsidR="002426BC" w:rsidRPr="00734AB6">
        <w:rPr>
          <w:rFonts w:asciiTheme="majorHAnsi" w:hAnsiTheme="majorHAnsi"/>
        </w:rPr>
        <w:t xml:space="preserve">being </w:t>
      </w:r>
      <w:r w:rsidRPr="00734AB6">
        <w:rPr>
          <w:rFonts w:asciiTheme="majorHAnsi" w:hAnsiTheme="majorHAnsi"/>
        </w:rPr>
        <w:t xml:space="preserve">more difficult and dangerous to obtain, particularly in the </w:t>
      </w:r>
      <w:r w:rsidR="002B2E07" w:rsidRPr="00734AB6">
        <w:rPr>
          <w:rFonts w:asciiTheme="majorHAnsi" w:hAnsiTheme="majorHAnsi"/>
        </w:rPr>
        <w:t>UK</w:t>
      </w:r>
      <w:r w:rsidRPr="00734AB6">
        <w:rPr>
          <w:rFonts w:asciiTheme="majorHAnsi" w:hAnsiTheme="majorHAnsi"/>
        </w:rPr>
        <w:t xml:space="preserve"> (Vargo &amp; </w:t>
      </w:r>
      <w:proofErr w:type="spellStart"/>
      <w:r w:rsidRPr="00734AB6">
        <w:rPr>
          <w:rFonts w:asciiTheme="majorHAnsi" w:hAnsiTheme="majorHAnsi"/>
        </w:rPr>
        <w:t>Petróczi</w:t>
      </w:r>
      <w:proofErr w:type="spellEnd"/>
      <w:r w:rsidRPr="00734AB6">
        <w:rPr>
          <w:rFonts w:asciiTheme="majorHAnsi" w:hAnsiTheme="majorHAnsi"/>
        </w:rPr>
        <w:t xml:space="preserve">, 2016). A further difference was noted from the findings of Study 3. As the CED-using participants did not </w:t>
      </w:r>
      <w:r w:rsidRPr="00734AB6">
        <w:rPr>
          <w:rFonts w:asciiTheme="majorHAnsi" w:hAnsiTheme="majorHAnsi"/>
        </w:rPr>
        <w:lastRenderedPageBreak/>
        <w:t>appear to have poor cognitive functions, they also represented a sub-type of CED users who are prepared to contribute their time to participate in a lab-based study. It would seem that sub-groups may exist within the CED-using population and that these sub-groups may be defined by their perceived experiences, behaviours and motivations for use. Therefore, identifying these different sub-groups and their drivers for obtaining and using CEDs in the face of the potential dangers and risks is essential for informing future research and government bodies in relation to ethical considerations and legislation. The following section considers the off-prescription use of modafinil and methylphenidate for self-medication and for enhancement in relation to the studies’ findings.</w:t>
      </w:r>
    </w:p>
    <w:p w14:paraId="661DAC7A" w14:textId="77777777" w:rsidR="006E2809" w:rsidRPr="00734AB6" w:rsidRDefault="006E2809" w:rsidP="006E2809">
      <w:pPr>
        <w:spacing w:line="360" w:lineRule="auto"/>
        <w:ind w:firstLine="851"/>
        <w:rPr>
          <w:rFonts w:asciiTheme="majorHAnsi" w:hAnsiTheme="majorHAnsi"/>
        </w:rPr>
      </w:pPr>
    </w:p>
    <w:p w14:paraId="1B6EA3DB" w14:textId="045EC96E" w:rsidR="006E2809" w:rsidRPr="00734AB6" w:rsidRDefault="00985171" w:rsidP="006E2809">
      <w:pPr>
        <w:pStyle w:val="Heading2"/>
        <w:spacing w:after="240" w:line="360" w:lineRule="auto"/>
        <w:rPr>
          <w:b/>
          <w:color w:val="auto"/>
          <w:sz w:val="22"/>
        </w:rPr>
      </w:pPr>
      <w:bookmarkStart w:id="105" w:name="_Toc48136396"/>
      <w:r w:rsidRPr="00734AB6">
        <w:rPr>
          <w:b/>
          <w:color w:val="auto"/>
          <w:sz w:val="22"/>
        </w:rPr>
        <w:t>5.5</w:t>
      </w:r>
      <w:r w:rsidR="006E2809" w:rsidRPr="00734AB6">
        <w:rPr>
          <w:b/>
          <w:color w:val="auto"/>
          <w:sz w:val="22"/>
        </w:rPr>
        <w:tab/>
        <w:t>Are modafinil and methylphenidate used for self-medication or enhancement?</w:t>
      </w:r>
      <w:bookmarkEnd w:id="105"/>
    </w:p>
    <w:p w14:paraId="7E90D2BC" w14:textId="1AEE4458"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findings of Study 3 indicated that the CED users demonstrated good cognitive function and greater emotional control compared with the control group, therefore they are unlikely to be self-medicating for poor cognitive performance. It may be that the influence of providing socially acceptable answers is greater when face-to-face with the researcher rather than in the ‘virtual’ setting of an online survey. </w:t>
      </w:r>
      <w:r w:rsidRPr="00734AB6">
        <w:rPr>
          <w:rFonts w:asciiTheme="majorHAnsi" w:hAnsiTheme="majorHAnsi"/>
          <w:color w:val="FF0000"/>
        </w:rPr>
        <w:t xml:space="preserve"> </w:t>
      </w:r>
      <w:r w:rsidRPr="00734AB6">
        <w:rPr>
          <w:rFonts w:asciiTheme="majorHAnsi" w:hAnsiTheme="majorHAnsi"/>
        </w:rPr>
        <w:t xml:space="preserve">However, </w:t>
      </w:r>
      <w:proofErr w:type="spellStart"/>
      <w:r w:rsidRPr="00734AB6">
        <w:rPr>
          <w:rFonts w:asciiTheme="majorHAnsi" w:hAnsiTheme="majorHAnsi"/>
        </w:rPr>
        <w:t>Weigold</w:t>
      </w:r>
      <w:proofErr w:type="spellEnd"/>
      <w:r w:rsidRPr="00734AB6">
        <w:rPr>
          <w:rFonts w:asciiTheme="majorHAnsi" w:hAnsiTheme="majorHAnsi"/>
        </w:rPr>
        <w:t xml:space="preserve">, </w:t>
      </w:r>
      <w:proofErr w:type="spellStart"/>
      <w:r w:rsidRPr="00734AB6">
        <w:rPr>
          <w:rFonts w:asciiTheme="majorHAnsi" w:hAnsiTheme="majorHAnsi"/>
        </w:rPr>
        <w:t>Weigold</w:t>
      </w:r>
      <w:proofErr w:type="spellEnd"/>
      <w:r w:rsidRPr="00734AB6">
        <w:rPr>
          <w:rFonts w:asciiTheme="majorHAnsi" w:hAnsiTheme="majorHAnsi"/>
        </w:rPr>
        <w:t xml:space="preserve"> and Russell (2013) investigated whether online or lab-based questionnaire completion would yield different results and they found that pen-and-paper and online questionnaire results were generally equivalent so the possibility that the participants were providing socially acceptable answers is unlikely.</w:t>
      </w:r>
      <w:r w:rsidRPr="00734AB6">
        <w:rPr>
          <w:rFonts w:asciiTheme="majorHAnsi" w:hAnsiTheme="majorHAnsi"/>
          <w:color w:val="FF0000"/>
        </w:rPr>
        <w:t xml:space="preserve"> </w:t>
      </w:r>
      <w:r w:rsidRPr="00734AB6">
        <w:rPr>
          <w:rFonts w:asciiTheme="majorHAnsi" w:hAnsiTheme="majorHAnsi"/>
        </w:rPr>
        <w:t xml:space="preserve">Additionally, the objective measures used in Study 3 did not reveal poor performance, in fact the CED-user group demonstrated better performance on response latencies for correcting errors in the </w:t>
      </w:r>
      <w:proofErr w:type="spellStart"/>
      <w:r w:rsidRPr="00734AB6">
        <w:rPr>
          <w:rFonts w:asciiTheme="majorHAnsi" w:hAnsiTheme="majorHAnsi"/>
        </w:rPr>
        <w:t>antisaccade</w:t>
      </w:r>
      <w:proofErr w:type="spellEnd"/>
      <w:r w:rsidRPr="00734AB6">
        <w:rPr>
          <w:rFonts w:asciiTheme="majorHAnsi" w:hAnsiTheme="majorHAnsi"/>
        </w:rPr>
        <w:t xml:space="preserve"> task and faster response latencies on the correct flanker tasks, with no corresponding increase in errors. As previously discussed</w:t>
      </w:r>
      <w:r w:rsidR="00ED3C0E" w:rsidRPr="00734AB6">
        <w:rPr>
          <w:rFonts w:asciiTheme="majorHAnsi" w:hAnsiTheme="majorHAnsi"/>
        </w:rPr>
        <w:t xml:space="preserve"> in Sections </w:t>
      </w:r>
      <w:r w:rsidR="0048644A" w:rsidRPr="00734AB6">
        <w:rPr>
          <w:rFonts w:asciiTheme="majorHAnsi" w:hAnsiTheme="majorHAnsi"/>
        </w:rPr>
        <w:t>4.4 and 5.2.3</w:t>
      </w:r>
      <w:r w:rsidRPr="00734AB6">
        <w:rPr>
          <w:rFonts w:asciiTheme="majorHAnsi" w:hAnsiTheme="majorHAnsi"/>
        </w:rPr>
        <w:t>, self-reports and performance-based measures tap different aspects of cognition, and this was demonstrated by the finding from the BRIEF-A</w:t>
      </w:r>
      <w:r w:rsidR="00B60C13" w:rsidRPr="00734AB6">
        <w:rPr>
          <w:rFonts w:asciiTheme="majorHAnsi" w:hAnsiTheme="majorHAnsi"/>
        </w:rPr>
        <w:t>,</w:t>
      </w:r>
      <w:r w:rsidRPr="00734AB6">
        <w:rPr>
          <w:rFonts w:asciiTheme="majorHAnsi" w:hAnsiTheme="majorHAnsi"/>
        </w:rPr>
        <w:t xml:space="preserve"> </w:t>
      </w:r>
      <w:r w:rsidR="00B60C13" w:rsidRPr="00734AB6">
        <w:rPr>
          <w:rFonts w:asciiTheme="majorHAnsi" w:hAnsiTheme="majorHAnsi"/>
        </w:rPr>
        <w:t>that the CED user group rated themselves as having fewer problems with emotional control</w:t>
      </w:r>
      <w:r w:rsidR="0087438D" w:rsidRPr="00734AB6">
        <w:rPr>
          <w:rFonts w:asciiTheme="majorHAnsi" w:hAnsiTheme="majorHAnsi"/>
        </w:rPr>
        <w:t>.</w:t>
      </w:r>
      <w:r w:rsidR="00B60C13" w:rsidRPr="00734AB6">
        <w:rPr>
          <w:rFonts w:asciiTheme="majorHAnsi" w:hAnsiTheme="majorHAnsi"/>
        </w:rPr>
        <w:t xml:space="preserve"> </w:t>
      </w:r>
      <w:r w:rsidR="0087438D" w:rsidRPr="00734AB6">
        <w:rPr>
          <w:rFonts w:asciiTheme="majorHAnsi" w:hAnsiTheme="majorHAnsi"/>
        </w:rPr>
        <w:t>This</w:t>
      </w:r>
      <w:r w:rsidRPr="00734AB6">
        <w:rPr>
          <w:rFonts w:asciiTheme="majorHAnsi" w:hAnsiTheme="majorHAnsi"/>
        </w:rPr>
        <w:t xml:space="preserve"> helped to explain the differences in response latencies</w:t>
      </w:r>
      <w:r w:rsidR="0087438D" w:rsidRPr="00734AB6">
        <w:rPr>
          <w:rFonts w:asciiTheme="majorHAnsi" w:hAnsiTheme="majorHAnsi"/>
        </w:rPr>
        <w:t xml:space="preserve">, as performance anxiety would be less likely to be experienced by the CED user group and therefore </w:t>
      </w:r>
      <w:r w:rsidR="00304CD8" w:rsidRPr="00734AB6">
        <w:rPr>
          <w:rFonts w:asciiTheme="majorHAnsi" w:hAnsiTheme="majorHAnsi"/>
        </w:rPr>
        <w:t xml:space="preserve">the amygdala activation would be lower, resulting in greater recruitment of the ACC, DLPFC and the VLPFC, resulting in </w:t>
      </w:r>
      <w:r w:rsidR="00EA5CAF" w:rsidRPr="00734AB6">
        <w:rPr>
          <w:rFonts w:asciiTheme="majorHAnsi" w:hAnsiTheme="majorHAnsi"/>
        </w:rPr>
        <w:t>shorter response latencies</w:t>
      </w:r>
      <w:r w:rsidRPr="00734AB6">
        <w:rPr>
          <w:rFonts w:asciiTheme="majorHAnsi" w:hAnsiTheme="majorHAnsi"/>
        </w:rPr>
        <w:t>. However, the findings of Study 2 revealed that the off-prescription reported modafinil and methylphenidate users rated themselves as having problems with inattention and procrastination. As mentioned earlier</w:t>
      </w:r>
      <w:r w:rsidR="00985171" w:rsidRPr="00734AB6">
        <w:rPr>
          <w:rFonts w:asciiTheme="majorHAnsi" w:hAnsiTheme="majorHAnsi"/>
        </w:rPr>
        <w:t>, in Section 5.4</w:t>
      </w:r>
      <w:r w:rsidRPr="00734AB6">
        <w:rPr>
          <w:rFonts w:asciiTheme="majorHAnsi" w:hAnsiTheme="majorHAnsi"/>
        </w:rPr>
        <w:t>, this could represent two distinct groups of off-prescription CED users, those who self-medicate for poor cognitive performance and those who chose to enhance their already good cognitive functions. These two motivations for use will be discussed in the following sections.</w:t>
      </w:r>
    </w:p>
    <w:p w14:paraId="14F16FC2" w14:textId="77777777" w:rsidR="006E2809" w:rsidRPr="00734AB6" w:rsidRDefault="006E2809" w:rsidP="006E2809">
      <w:pPr>
        <w:spacing w:line="360" w:lineRule="auto"/>
        <w:ind w:firstLine="851"/>
        <w:rPr>
          <w:rFonts w:asciiTheme="majorHAnsi" w:hAnsiTheme="majorHAnsi"/>
        </w:rPr>
      </w:pPr>
    </w:p>
    <w:p w14:paraId="0D5929E4" w14:textId="2C17A09E" w:rsidR="006E2809" w:rsidRPr="00734AB6" w:rsidRDefault="00985171" w:rsidP="006E2809">
      <w:pPr>
        <w:pStyle w:val="Heading3"/>
        <w:spacing w:after="240" w:line="360" w:lineRule="auto"/>
        <w:rPr>
          <w:b/>
          <w:color w:val="auto"/>
          <w:sz w:val="22"/>
        </w:rPr>
      </w:pPr>
      <w:bookmarkStart w:id="106" w:name="_Toc48136397"/>
      <w:r w:rsidRPr="00734AB6">
        <w:rPr>
          <w:b/>
          <w:color w:val="auto"/>
          <w:sz w:val="22"/>
        </w:rPr>
        <w:lastRenderedPageBreak/>
        <w:t>5.5</w:t>
      </w:r>
      <w:r w:rsidR="006E2809" w:rsidRPr="00734AB6">
        <w:rPr>
          <w:b/>
          <w:color w:val="auto"/>
          <w:sz w:val="22"/>
        </w:rPr>
        <w:t>.1</w:t>
      </w:r>
      <w:r w:rsidR="006E2809" w:rsidRPr="00734AB6">
        <w:rPr>
          <w:b/>
          <w:color w:val="auto"/>
          <w:sz w:val="22"/>
        </w:rPr>
        <w:tab/>
        <w:t>Modafinil and methylphenidate use as self-medication</w:t>
      </w:r>
      <w:bookmarkEnd w:id="106"/>
    </w:p>
    <w:p w14:paraId="41C0A575" w14:textId="77777777" w:rsidR="00EA5CAF"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findings of Study 2 in relation to self-reports of inattention and procrastination are, as yet, unconfirmed via lab-based methods. However, these findings do suggest that a sub-group of modafinil and methylphenidate off-prescription users may be self-medicating for perceived inattention and procrastination. As suggested by </w:t>
      </w:r>
      <w:proofErr w:type="spellStart"/>
      <w:r w:rsidRPr="00734AB6">
        <w:rPr>
          <w:rFonts w:asciiTheme="majorHAnsi" w:hAnsiTheme="majorHAnsi"/>
        </w:rPr>
        <w:t>Ilieva</w:t>
      </w:r>
      <w:proofErr w:type="spellEnd"/>
      <w:r w:rsidRPr="00734AB6">
        <w:rPr>
          <w:rFonts w:asciiTheme="majorHAnsi" w:hAnsiTheme="majorHAnsi"/>
        </w:rPr>
        <w:t xml:space="preserve"> and Farah (2015), the perceptions of inattention and procrastination, or indeed poor cognitive function more broadly, may not be as severe as they are perceived to be, however, there is little evidence, as yet, to support this. Understanding the possible causes of inattention and procrastination may help in the assessment and identification of these problems in individuals who use modafinil and methylphenidate off-prescription. </w:t>
      </w:r>
    </w:p>
    <w:p w14:paraId="30A8BD16" w14:textId="2608C076"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There are several possible causes for inattention, the most obvious being related to ADHD. In a longitudinal study assessing the symptoms of ADHD in 128 boys over five years, Biederman, Mick and </w:t>
      </w:r>
      <w:proofErr w:type="spellStart"/>
      <w:r w:rsidRPr="00734AB6">
        <w:rPr>
          <w:rFonts w:asciiTheme="majorHAnsi" w:hAnsiTheme="majorHAnsi"/>
        </w:rPr>
        <w:t>Faraone</w:t>
      </w:r>
      <w:proofErr w:type="spellEnd"/>
      <w:r w:rsidRPr="00734AB6">
        <w:rPr>
          <w:rFonts w:asciiTheme="majorHAnsi" w:hAnsiTheme="majorHAnsi"/>
        </w:rPr>
        <w:t xml:space="preserve"> (2000) found that symptoms of hyperactivity and impulsivity tend to decline at a higher rate than inattention. This supports the finding of Millstein, </w:t>
      </w:r>
      <w:proofErr w:type="spellStart"/>
      <w:r w:rsidRPr="00734AB6">
        <w:rPr>
          <w:rFonts w:asciiTheme="majorHAnsi" w:hAnsiTheme="majorHAnsi"/>
        </w:rPr>
        <w:t>Wilens</w:t>
      </w:r>
      <w:proofErr w:type="spellEnd"/>
      <w:r w:rsidRPr="00734AB6">
        <w:rPr>
          <w:rFonts w:asciiTheme="majorHAnsi" w:hAnsiTheme="majorHAnsi"/>
        </w:rPr>
        <w:t xml:space="preserve">, Biederman and Spencer (1997) who assessed 149 clinically referred adults with ADHD and found that the majority of adults with ADHD are </w:t>
      </w:r>
      <w:r w:rsidR="00EA5CAF" w:rsidRPr="00734AB6">
        <w:rPr>
          <w:rFonts w:asciiTheme="majorHAnsi" w:hAnsiTheme="majorHAnsi"/>
        </w:rPr>
        <w:t>of the inattentive type</w:t>
      </w:r>
      <w:r w:rsidRPr="00734AB6">
        <w:rPr>
          <w:rFonts w:asciiTheme="majorHAnsi" w:hAnsiTheme="majorHAnsi"/>
        </w:rPr>
        <w:t xml:space="preserve">. However, there is a growing argument that inattention and ADHD are two distinct and separate disorders (e.g. Barkley, 2001; Carlson &amp; Mann, 2000; Diamond, 2005; </w:t>
      </w:r>
      <w:proofErr w:type="spellStart"/>
      <w:r w:rsidRPr="00734AB6">
        <w:rPr>
          <w:rFonts w:asciiTheme="majorHAnsi" w:hAnsiTheme="majorHAnsi"/>
        </w:rPr>
        <w:t>Milich</w:t>
      </w:r>
      <w:proofErr w:type="spellEnd"/>
      <w:r w:rsidRPr="00734AB6">
        <w:rPr>
          <w:rFonts w:asciiTheme="majorHAnsi" w:hAnsiTheme="majorHAnsi"/>
        </w:rPr>
        <w:t xml:space="preserve">, </w:t>
      </w:r>
      <w:proofErr w:type="spellStart"/>
      <w:r w:rsidRPr="00734AB6">
        <w:rPr>
          <w:rFonts w:asciiTheme="majorHAnsi" w:hAnsiTheme="majorHAnsi"/>
        </w:rPr>
        <w:t>Balentine</w:t>
      </w:r>
      <w:proofErr w:type="spellEnd"/>
      <w:r w:rsidRPr="00734AB6">
        <w:rPr>
          <w:rFonts w:asciiTheme="majorHAnsi" w:hAnsiTheme="majorHAnsi"/>
        </w:rPr>
        <w:t xml:space="preserve"> &amp; </w:t>
      </w:r>
      <w:proofErr w:type="spellStart"/>
      <w:r w:rsidRPr="00734AB6">
        <w:rPr>
          <w:rFonts w:asciiTheme="majorHAnsi" w:hAnsiTheme="majorHAnsi"/>
        </w:rPr>
        <w:t>Lynam</w:t>
      </w:r>
      <w:proofErr w:type="spellEnd"/>
      <w:r w:rsidRPr="00734AB6">
        <w:rPr>
          <w:rFonts w:asciiTheme="majorHAnsi" w:hAnsiTheme="majorHAnsi"/>
        </w:rPr>
        <w:t>, 2001). The theory that attention exists along a continuum (Connor, 1997), supported by Scope et al. (2010)</w:t>
      </w:r>
      <w:r w:rsidR="00F61A71" w:rsidRPr="00734AB6">
        <w:rPr>
          <w:rFonts w:asciiTheme="majorHAnsi" w:hAnsiTheme="majorHAnsi"/>
        </w:rPr>
        <w:t>,</w:t>
      </w:r>
      <w:r w:rsidRPr="00734AB6">
        <w:rPr>
          <w:rFonts w:asciiTheme="majorHAnsi" w:hAnsiTheme="majorHAnsi"/>
        </w:rPr>
        <w:t xml:space="preserve"> suggests that symptoms of inattention can occur at a subclinical level, which may require the development of tests which are more sensitive to subclinical levels of inattention. As </w:t>
      </w:r>
      <w:proofErr w:type="spellStart"/>
      <w:r w:rsidRPr="00734AB6">
        <w:rPr>
          <w:rFonts w:asciiTheme="majorHAnsi" w:hAnsiTheme="majorHAnsi"/>
        </w:rPr>
        <w:t>Battleday</w:t>
      </w:r>
      <w:proofErr w:type="spellEnd"/>
      <w:r w:rsidRPr="00734AB6">
        <w:rPr>
          <w:rFonts w:asciiTheme="majorHAnsi" w:hAnsiTheme="majorHAnsi"/>
        </w:rPr>
        <w:t xml:space="preserve"> and </w:t>
      </w:r>
      <w:proofErr w:type="spellStart"/>
      <w:r w:rsidRPr="00734AB6">
        <w:rPr>
          <w:rFonts w:asciiTheme="majorHAnsi" w:hAnsiTheme="majorHAnsi"/>
        </w:rPr>
        <w:t>Brem</w:t>
      </w:r>
      <w:proofErr w:type="spellEnd"/>
      <w:r w:rsidRPr="00734AB6">
        <w:rPr>
          <w:rFonts w:asciiTheme="majorHAnsi" w:hAnsiTheme="majorHAnsi"/>
        </w:rPr>
        <w:t xml:space="preserve"> (2015) indicated, the tests that are currently utilised in studies assessing whether CEDs are used for self-medication are based on assessments of clinical conditions and therefore may not be robust or sensitive enough for assessing healthy participants. </w:t>
      </w:r>
    </w:p>
    <w:p w14:paraId="546AC3BE" w14:textId="77777777" w:rsidR="006E2809" w:rsidRPr="00734AB6" w:rsidRDefault="006E2809" w:rsidP="006E2809">
      <w:pPr>
        <w:spacing w:line="360" w:lineRule="auto"/>
        <w:ind w:firstLine="851"/>
        <w:rPr>
          <w:rFonts w:asciiTheme="majorHAnsi" w:hAnsiTheme="majorHAnsi"/>
        </w:rPr>
      </w:pPr>
      <w:r w:rsidRPr="00734AB6">
        <w:rPr>
          <w:rFonts w:asciiTheme="majorHAnsi" w:hAnsiTheme="majorHAnsi"/>
        </w:rPr>
        <w:t>As previously noted in Section 3.1, inattention has been found to be correlated with procrastination (</w:t>
      </w:r>
      <w:proofErr w:type="spellStart"/>
      <w:r w:rsidRPr="00734AB6">
        <w:rPr>
          <w:rFonts w:asciiTheme="majorHAnsi" w:hAnsiTheme="majorHAnsi"/>
        </w:rPr>
        <w:t>Niermann</w:t>
      </w:r>
      <w:proofErr w:type="spellEnd"/>
      <w:r w:rsidRPr="00734AB6">
        <w:rPr>
          <w:rFonts w:asciiTheme="majorHAnsi" w:hAnsiTheme="majorHAnsi"/>
        </w:rPr>
        <w:t xml:space="preserve"> &amp; </w:t>
      </w:r>
      <w:proofErr w:type="spellStart"/>
      <w:r w:rsidRPr="00734AB6">
        <w:rPr>
          <w:rFonts w:asciiTheme="majorHAnsi" w:hAnsiTheme="majorHAnsi"/>
        </w:rPr>
        <w:t>Scheres</w:t>
      </w:r>
      <w:proofErr w:type="spellEnd"/>
      <w:r w:rsidRPr="00734AB6">
        <w:rPr>
          <w:rFonts w:asciiTheme="majorHAnsi" w:hAnsiTheme="majorHAnsi"/>
        </w:rPr>
        <w:t xml:space="preserve">, 2014). Bolden and </w:t>
      </w:r>
      <w:proofErr w:type="spellStart"/>
      <w:r w:rsidRPr="00734AB6">
        <w:rPr>
          <w:rFonts w:asciiTheme="majorHAnsi" w:hAnsiTheme="majorHAnsi"/>
        </w:rPr>
        <w:t>Fillauer</w:t>
      </w:r>
      <w:proofErr w:type="spellEnd"/>
      <w:r w:rsidRPr="00734AB6">
        <w:rPr>
          <w:rFonts w:asciiTheme="majorHAnsi" w:hAnsiTheme="majorHAnsi"/>
        </w:rPr>
        <w:t xml:space="preserve"> (2019) found that the executive functions of self-management of time, organisation/problem-solving, self-restrain, self-motivation and self-regulation of emotions mediated the association between procrastination and symptoms of ADHD. However, Elisa, Balaguer-</w:t>
      </w:r>
      <w:proofErr w:type="spellStart"/>
      <w:r w:rsidRPr="00734AB6">
        <w:rPr>
          <w:rFonts w:asciiTheme="majorHAnsi" w:hAnsiTheme="majorHAnsi"/>
        </w:rPr>
        <w:t>Ballester</w:t>
      </w:r>
      <w:proofErr w:type="spellEnd"/>
      <w:r w:rsidRPr="00734AB6">
        <w:rPr>
          <w:rFonts w:asciiTheme="majorHAnsi" w:hAnsiTheme="majorHAnsi"/>
        </w:rPr>
        <w:t xml:space="preserve"> and Parris (2016) found that poor complex verbal working memory is associated with inattention. Scope et al. (2010) also found that working memory, as well as inhibitory control, was associated with low attentional skills. It would seem then that there may be a complex interaction between inattention, procrastination and executive functions.</w:t>
      </w:r>
    </w:p>
    <w:p w14:paraId="1EE42631" w14:textId="5F2A6810"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Another possible contribution </w:t>
      </w:r>
      <w:r w:rsidR="00514940" w:rsidRPr="00734AB6">
        <w:rPr>
          <w:rFonts w:asciiTheme="majorHAnsi" w:hAnsiTheme="majorHAnsi"/>
        </w:rPr>
        <w:t>to the cause of</w:t>
      </w:r>
      <w:r w:rsidRPr="00734AB6">
        <w:rPr>
          <w:rFonts w:asciiTheme="majorHAnsi" w:hAnsiTheme="majorHAnsi"/>
        </w:rPr>
        <w:t xml:space="preserve"> inattention </w:t>
      </w:r>
      <w:r w:rsidR="00514940" w:rsidRPr="00734AB6">
        <w:rPr>
          <w:rFonts w:asciiTheme="majorHAnsi" w:hAnsiTheme="majorHAnsi"/>
        </w:rPr>
        <w:t xml:space="preserve">can </w:t>
      </w:r>
      <w:r w:rsidR="000C6C3A" w:rsidRPr="00734AB6">
        <w:rPr>
          <w:rFonts w:asciiTheme="majorHAnsi" w:hAnsiTheme="majorHAnsi"/>
        </w:rPr>
        <w:t>be found in the polymorphism of specific genes</w:t>
      </w:r>
      <w:r w:rsidRPr="00734AB6">
        <w:rPr>
          <w:rFonts w:asciiTheme="majorHAnsi" w:hAnsiTheme="majorHAnsi"/>
        </w:rPr>
        <w:t xml:space="preserve">. Although polymorphisms of the dopamine transporter gene </w:t>
      </w:r>
      <w:r w:rsidRPr="00734AB6">
        <w:rPr>
          <w:rFonts w:asciiTheme="majorHAnsi" w:hAnsiTheme="majorHAnsi"/>
        </w:rPr>
        <w:lastRenderedPageBreak/>
        <w:t>DAT1 has been linked specifically to the hyperactive/impulsive type of ADHD and not to the inattentive type (</w:t>
      </w:r>
      <w:proofErr w:type="spellStart"/>
      <w:r w:rsidRPr="00734AB6">
        <w:rPr>
          <w:rFonts w:asciiTheme="majorHAnsi" w:hAnsiTheme="majorHAnsi"/>
        </w:rPr>
        <w:t>Gizer</w:t>
      </w:r>
      <w:proofErr w:type="spellEnd"/>
      <w:r w:rsidRPr="00734AB6">
        <w:rPr>
          <w:rFonts w:asciiTheme="majorHAnsi" w:hAnsiTheme="majorHAnsi"/>
        </w:rPr>
        <w:t xml:space="preserve"> et al., 2008), the polymorphism of the DRD4.7 gene coding for the D4 dopamine receptor has been linked more to the inattentive type than the hyperactive/impulsive type of ADHD (McCracken et al., 2000; Rowe et al., 1998). According to McCracken et al. the DRD4.7 gene is highly expressed in the PFC. Diamond (2005) argues that the primary structural dysfunction in inattentive types is located in the PFC and Herrmann et al. (2007) found that the DRD4.7 modulates activation of the PFC during working memory tasks demonstrating ineffective brain activation. Together</w:t>
      </w:r>
      <w:r w:rsidR="00E467AE" w:rsidRPr="00734AB6">
        <w:rPr>
          <w:rFonts w:asciiTheme="majorHAnsi" w:hAnsiTheme="majorHAnsi"/>
        </w:rPr>
        <w:t>,</w:t>
      </w:r>
      <w:r w:rsidRPr="00734AB6">
        <w:rPr>
          <w:rFonts w:asciiTheme="majorHAnsi" w:hAnsiTheme="majorHAnsi"/>
        </w:rPr>
        <w:t xml:space="preserve"> these findings suggest a genetic component to inattention causing ineffective brain activation, specifically in the PFC, which relates to working memory and as working memory and attention are so closely related (as discussed in Section 4.1)</w:t>
      </w:r>
      <w:r w:rsidR="00E467AE" w:rsidRPr="00734AB6">
        <w:rPr>
          <w:rFonts w:asciiTheme="majorHAnsi" w:hAnsiTheme="majorHAnsi"/>
        </w:rPr>
        <w:t>.</w:t>
      </w:r>
      <w:r w:rsidRPr="00734AB6">
        <w:rPr>
          <w:rFonts w:asciiTheme="majorHAnsi" w:hAnsiTheme="majorHAnsi"/>
        </w:rPr>
        <w:t xml:space="preserve"> </w:t>
      </w:r>
      <w:r w:rsidR="00E467AE" w:rsidRPr="00734AB6">
        <w:rPr>
          <w:rFonts w:asciiTheme="majorHAnsi" w:hAnsiTheme="majorHAnsi"/>
        </w:rPr>
        <w:t>T</w:t>
      </w:r>
      <w:r w:rsidRPr="00734AB6">
        <w:rPr>
          <w:rFonts w:asciiTheme="majorHAnsi" w:hAnsiTheme="majorHAnsi"/>
        </w:rPr>
        <w:t xml:space="preserve">his </w:t>
      </w:r>
      <w:r w:rsidR="00E467AE" w:rsidRPr="00734AB6">
        <w:rPr>
          <w:rFonts w:asciiTheme="majorHAnsi" w:hAnsiTheme="majorHAnsi"/>
        </w:rPr>
        <w:t xml:space="preserve">conclusion </w:t>
      </w:r>
      <w:r w:rsidRPr="00734AB6">
        <w:rPr>
          <w:rFonts w:asciiTheme="majorHAnsi" w:hAnsiTheme="majorHAnsi"/>
        </w:rPr>
        <w:t>is likely to relate equally to attention. Additionally, Diamond argues that inattentive types are responsive to amphetamines such as Adderall and to low doses of methylphenidate, and that both inhibit the reuptake of dopamine and noradrenaline but that Adderall also promotes the release of dopamine and noradrenaline and that methylphenidate has been found, at low doses, to preferentially release noradrenaline in the rat brain (</w:t>
      </w:r>
      <w:proofErr w:type="spellStart"/>
      <w:r w:rsidRPr="00734AB6">
        <w:rPr>
          <w:rFonts w:asciiTheme="majorHAnsi" w:hAnsiTheme="majorHAnsi"/>
        </w:rPr>
        <w:t>Ishimatsu</w:t>
      </w:r>
      <w:proofErr w:type="spellEnd"/>
      <w:r w:rsidRPr="00734AB6">
        <w:rPr>
          <w:rFonts w:asciiTheme="majorHAnsi" w:hAnsiTheme="majorHAnsi"/>
        </w:rPr>
        <w:t xml:space="preserve">, </w:t>
      </w:r>
      <w:proofErr w:type="spellStart"/>
      <w:r w:rsidRPr="00734AB6">
        <w:rPr>
          <w:rFonts w:asciiTheme="majorHAnsi" w:hAnsiTheme="majorHAnsi"/>
        </w:rPr>
        <w:t>Kidani</w:t>
      </w:r>
      <w:proofErr w:type="spellEnd"/>
      <w:r w:rsidRPr="00734AB6">
        <w:rPr>
          <w:rFonts w:asciiTheme="majorHAnsi" w:hAnsiTheme="majorHAnsi"/>
        </w:rPr>
        <w:t xml:space="preserve">, Tsuda, &amp; </w:t>
      </w:r>
      <w:proofErr w:type="spellStart"/>
      <w:r w:rsidRPr="00734AB6">
        <w:rPr>
          <w:rFonts w:asciiTheme="majorHAnsi" w:hAnsiTheme="majorHAnsi"/>
        </w:rPr>
        <w:t>Akasu</w:t>
      </w:r>
      <w:proofErr w:type="spellEnd"/>
      <w:r w:rsidRPr="00734AB6">
        <w:rPr>
          <w:rFonts w:asciiTheme="majorHAnsi" w:hAnsiTheme="majorHAnsi"/>
        </w:rPr>
        <w:t>, 2002). As modafinil also inhibits the reuptake of noradrenaline, this may contribute to its popular use.</w:t>
      </w:r>
    </w:p>
    <w:p w14:paraId="3199FB4C" w14:textId="77777777"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Causes for procrastination are generally recognised to involve poor self-regulation and poor self-efficacy (Klassen, </w:t>
      </w:r>
      <w:proofErr w:type="spellStart"/>
      <w:r w:rsidRPr="00734AB6">
        <w:rPr>
          <w:rFonts w:asciiTheme="majorHAnsi" w:hAnsiTheme="majorHAnsi"/>
        </w:rPr>
        <w:t>Krawchuk</w:t>
      </w:r>
      <w:proofErr w:type="spellEnd"/>
      <w:r w:rsidRPr="00734AB6">
        <w:rPr>
          <w:rFonts w:asciiTheme="majorHAnsi" w:hAnsiTheme="majorHAnsi"/>
        </w:rPr>
        <w:t xml:space="preserve"> &amp; Rajani, 2008; Steel, 2007; </w:t>
      </w:r>
      <w:proofErr w:type="spellStart"/>
      <w:r w:rsidRPr="00734AB6">
        <w:rPr>
          <w:rFonts w:asciiTheme="majorHAnsi" w:hAnsiTheme="majorHAnsi"/>
        </w:rPr>
        <w:t>Yerdelen</w:t>
      </w:r>
      <w:proofErr w:type="spellEnd"/>
      <w:r w:rsidRPr="00734AB6">
        <w:rPr>
          <w:rFonts w:asciiTheme="majorHAnsi" w:hAnsiTheme="majorHAnsi"/>
        </w:rPr>
        <w:t xml:space="preserve">, McCaffrey &amp; Klassen, 2016). Steel (2007) presented his Temporal Motivation Theory (TMT) to explain procrastination. The TMT is presented as an equation where Utility (how desirable a task is to complete) is dependent upon Expectancy (the probability that an outcome will be achieved) multiplied by Value (how much the expected outcome is valued). The formula denominator relates to time, Delay (the length of time before the reward) and sensitivity to delay, which can be perceived as the level of impulsivity. Expectancy is related to self-efficacy, Value is related to task aversiveness, and Delay is related to low organisation and an inability to meet one’s own expectations. Therefore, procrastination depends on poor self-efficacy and high task aversiveness, high impulsivity and poor organisational skills resulting in a greater length of time before the reward is achieved. Attempts have been made to identify the neural substrates underlying procrastination and Zang, Wang and Feng (2016) identified abnormalities in the VMPFC and the lateral PFC (LPFC) in high procrastinators.  Zang, Liu and Feng (2019) argued that damage to the VMPFC is related to impulsivity and poor emotional regulation. They also made the point that the LPFC in involved in different aspects of executive behavioural control via its function in voluntary reallocation of attention. If the VMPFC and LPFC are displaying abnormal activity in high procrastinators, this suggests that the relationship between procrastination and inattention might be due to dysfunction in the LPFC. </w:t>
      </w:r>
    </w:p>
    <w:p w14:paraId="7B4A4FBF" w14:textId="77777777" w:rsidR="006E2809" w:rsidRPr="00734AB6" w:rsidRDefault="006E2809" w:rsidP="006E2809">
      <w:pPr>
        <w:spacing w:line="360" w:lineRule="auto"/>
        <w:ind w:firstLine="851"/>
        <w:rPr>
          <w:rFonts w:asciiTheme="majorHAnsi" w:hAnsiTheme="majorHAnsi"/>
        </w:rPr>
      </w:pPr>
      <w:r w:rsidRPr="00734AB6">
        <w:rPr>
          <w:rFonts w:asciiTheme="majorHAnsi" w:hAnsiTheme="majorHAnsi"/>
        </w:rPr>
        <w:lastRenderedPageBreak/>
        <w:t>Overall, considering these many possible causes for poor cognitive function and the fact that it is very possible that a sub-group of CED users are self-medicating, this does suggest that these individuals are not being helped and supported via the appropriate channels and may have therefore resorted to self-medication in spite of the risks and dangers involved.</w:t>
      </w:r>
    </w:p>
    <w:p w14:paraId="6CE25AFB" w14:textId="77777777" w:rsidR="006E2809" w:rsidRPr="00734AB6" w:rsidRDefault="006E2809" w:rsidP="006E2809">
      <w:pPr>
        <w:spacing w:line="360" w:lineRule="auto"/>
        <w:ind w:firstLine="851"/>
        <w:rPr>
          <w:rFonts w:asciiTheme="majorHAnsi" w:hAnsiTheme="majorHAnsi"/>
        </w:rPr>
      </w:pPr>
    </w:p>
    <w:p w14:paraId="42C92E1E" w14:textId="4EEFD06C" w:rsidR="006E2809" w:rsidRPr="00734AB6" w:rsidRDefault="00985171" w:rsidP="006E2809">
      <w:pPr>
        <w:pStyle w:val="Heading3"/>
        <w:spacing w:after="240" w:line="360" w:lineRule="auto"/>
        <w:rPr>
          <w:b/>
          <w:color w:val="auto"/>
          <w:sz w:val="22"/>
        </w:rPr>
      </w:pPr>
      <w:bookmarkStart w:id="107" w:name="_Toc48136398"/>
      <w:r w:rsidRPr="00734AB6">
        <w:rPr>
          <w:b/>
          <w:color w:val="auto"/>
          <w:sz w:val="22"/>
        </w:rPr>
        <w:t>5.5</w:t>
      </w:r>
      <w:r w:rsidR="006E2809" w:rsidRPr="00734AB6">
        <w:rPr>
          <w:b/>
          <w:color w:val="auto"/>
          <w:sz w:val="22"/>
        </w:rPr>
        <w:t>.2</w:t>
      </w:r>
      <w:r w:rsidR="006E2809" w:rsidRPr="00734AB6">
        <w:rPr>
          <w:b/>
          <w:color w:val="auto"/>
          <w:sz w:val="22"/>
        </w:rPr>
        <w:tab/>
        <w:t>Modafinil and methylphenidate use as cognitive enhancers</w:t>
      </w:r>
      <w:bookmarkEnd w:id="107"/>
    </w:p>
    <w:p w14:paraId="3AFB1422" w14:textId="21B6CB75"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CED user’s motivation for enhancing already good cognitive skills may, perhaps, be inspired by the need to meet the demands and pressures of the current competitive “24/7” society. </w:t>
      </w:r>
      <w:r w:rsidR="00E467AE" w:rsidRPr="00734AB6">
        <w:rPr>
          <w:rFonts w:asciiTheme="majorHAnsi" w:hAnsiTheme="majorHAnsi"/>
        </w:rPr>
        <w:t xml:space="preserve">Indeed, </w:t>
      </w:r>
      <w:proofErr w:type="spellStart"/>
      <w:r w:rsidRPr="00734AB6">
        <w:rPr>
          <w:rFonts w:asciiTheme="majorHAnsi" w:hAnsiTheme="majorHAnsi"/>
        </w:rPr>
        <w:t>d’Angelo</w:t>
      </w:r>
      <w:proofErr w:type="spellEnd"/>
      <w:r w:rsidRPr="00734AB6">
        <w:rPr>
          <w:rFonts w:asciiTheme="majorHAnsi" w:hAnsiTheme="majorHAnsi"/>
        </w:rPr>
        <w:t xml:space="preserve">, </w:t>
      </w:r>
      <w:proofErr w:type="spellStart"/>
      <w:r w:rsidRPr="00734AB6">
        <w:rPr>
          <w:rFonts w:asciiTheme="majorHAnsi" w:hAnsiTheme="majorHAnsi"/>
        </w:rPr>
        <w:t>Savulich</w:t>
      </w:r>
      <w:proofErr w:type="spellEnd"/>
      <w:r w:rsidRPr="00734AB6">
        <w:rPr>
          <w:rFonts w:asciiTheme="majorHAnsi" w:hAnsiTheme="majorHAnsi"/>
        </w:rPr>
        <w:t xml:space="preserve"> and Sahakian (2017) argued that the demand for increased workplace productivity may be one of the drivers behind CED use. </w:t>
      </w:r>
      <w:proofErr w:type="spellStart"/>
      <w:r w:rsidRPr="00734AB6">
        <w:rPr>
          <w:rFonts w:asciiTheme="majorHAnsi" w:hAnsiTheme="majorHAnsi"/>
        </w:rPr>
        <w:t>Brűhl</w:t>
      </w:r>
      <w:proofErr w:type="spellEnd"/>
      <w:r w:rsidRPr="00734AB6">
        <w:rPr>
          <w:rFonts w:asciiTheme="majorHAnsi" w:hAnsiTheme="majorHAnsi"/>
        </w:rPr>
        <w:t xml:space="preserve"> and Sahakian (2016) explained that in our modern society the need for physically skilled labour has been replaced by the need for cognitively skilled work whilst the threat of job losses in competitive work environments and a need to work beyond their natural capacities has motivated the use of CEDs. </w:t>
      </w:r>
      <w:proofErr w:type="spellStart"/>
      <w:r w:rsidRPr="00734AB6">
        <w:rPr>
          <w:rFonts w:asciiTheme="majorHAnsi" w:hAnsiTheme="majorHAnsi"/>
        </w:rPr>
        <w:t>Pustovrh</w:t>
      </w:r>
      <w:proofErr w:type="spellEnd"/>
      <w:r w:rsidRPr="00734AB6">
        <w:rPr>
          <w:rFonts w:asciiTheme="majorHAnsi" w:hAnsiTheme="majorHAnsi"/>
        </w:rPr>
        <w:t xml:space="preserve">, Mali and </w:t>
      </w:r>
      <w:proofErr w:type="spellStart"/>
      <w:r w:rsidRPr="00734AB6">
        <w:rPr>
          <w:rFonts w:asciiTheme="majorHAnsi" w:hAnsiTheme="majorHAnsi"/>
        </w:rPr>
        <w:t>Arnaldi</w:t>
      </w:r>
      <w:proofErr w:type="spellEnd"/>
      <w:r w:rsidRPr="00734AB6">
        <w:rPr>
          <w:rFonts w:asciiTheme="majorHAnsi" w:hAnsiTheme="majorHAnsi"/>
        </w:rPr>
        <w:t xml:space="preserve"> (2018) supported this view, arguing that the pressure to constantly improve performance and work at greater intensity for longer periods, leads to exhaustion and cognitive fatigue, and CEDs offer workers the ability to cope with these demands. They also made the point that the development of modern technology has facilitated and further promoted greater efficiency, and productivity and that the presence and availability of CEDs have played a significant role in reinforcing this ever-increasing demand on work performance. </w:t>
      </w:r>
      <w:proofErr w:type="spellStart"/>
      <w:r w:rsidRPr="00734AB6">
        <w:rPr>
          <w:rFonts w:asciiTheme="majorHAnsi" w:hAnsiTheme="majorHAnsi"/>
        </w:rPr>
        <w:t>Műller</w:t>
      </w:r>
      <w:proofErr w:type="spellEnd"/>
      <w:r w:rsidRPr="00734AB6">
        <w:rPr>
          <w:rFonts w:asciiTheme="majorHAnsi" w:hAnsiTheme="majorHAnsi"/>
        </w:rPr>
        <w:t xml:space="preserve"> and Schumann (2011) argued for the use of non-addictive psychoactive drugs as instruments, facilitating individuals in pursuing their goals. Whilst they point out that some psychoactive drugs such as caffeine, nicotine and alcohol are commonly used as instruments, the act of using a psychoactive drugs for this purpose may result in a sort of psychopharmaceutical ‘crutch’ where users become dependent on a psychoactive drug such as a CED, overextending their physical bodies and increasing their exhaustion and sleep deficit further, rather than addressing the situation for which the psychoactive drug is used. The authors do, however, recognise that long-term regular use of CEDs to counter cognitive exhaustion and fatigue can lead to dependency. Although there are commercially-driven, unhealthy reasons behind some individuals’ motivations for cognitive enhancement and obvious potentially detrimental consequences to enhancing already good cognitive performance, CEDs can serve as a necessary means with which to overcome obstacles and challenges to an individual’s goals and autonomy. As highlighted by </w:t>
      </w:r>
      <w:proofErr w:type="spellStart"/>
      <w:r w:rsidRPr="00734AB6">
        <w:rPr>
          <w:rFonts w:asciiTheme="majorHAnsi" w:hAnsiTheme="majorHAnsi"/>
        </w:rPr>
        <w:t>d’Angelo</w:t>
      </w:r>
      <w:proofErr w:type="spellEnd"/>
      <w:r w:rsidRPr="00734AB6">
        <w:rPr>
          <w:rFonts w:asciiTheme="majorHAnsi" w:hAnsiTheme="majorHAnsi"/>
        </w:rPr>
        <w:t xml:space="preserve"> et al. some of the main reasons for CED use include maintaining attention and performance when jet-lagged, coping with the pressure to succeed and maintaining a desired work-life balance. It is clear that the heavy demands of the “24/7” society are not likely to diminish and that off-prescription CED use is a reality and a necessity for some. What has been </w:t>
      </w:r>
      <w:r w:rsidRPr="00734AB6">
        <w:rPr>
          <w:rFonts w:asciiTheme="majorHAnsi" w:hAnsiTheme="majorHAnsi"/>
        </w:rPr>
        <w:lastRenderedPageBreak/>
        <w:t xml:space="preserve">demonstrated through all three studies of this thesis is that the majority of reported off-prescription users of modafinil and methylphenidate appear to be responsible users who recognise the appropriate dosage and who are aware of the dangers of methylphenidate use. That said, the respondents and participants in the studies reported in this thesis are online forum users who may be more educated in the off-prescription use of these drugs compared with the broader CED-using population. Additionally, </w:t>
      </w:r>
      <w:r w:rsidR="001B2178" w:rsidRPr="00734AB6">
        <w:rPr>
          <w:rFonts w:asciiTheme="majorHAnsi" w:hAnsiTheme="majorHAnsi"/>
        </w:rPr>
        <w:t xml:space="preserve">and </w:t>
      </w:r>
      <w:r w:rsidRPr="00734AB6">
        <w:rPr>
          <w:rFonts w:asciiTheme="majorHAnsi" w:hAnsiTheme="majorHAnsi"/>
        </w:rPr>
        <w:t xml:space="preserve">as previously noted in Section 2.2.4 the link between frequency of use of modafinil and the perceived benefits from its use suggest that dependency may develop over time.  </w:t>
      </w:r>
    </w:p>
    <w:p w14:paraId="4D403105" w14:textId="215A6BD3" w:rsidR="006E2809" w:rsidRPr="00734AB6" w:rsidRDefault="006E2809" w:rsidP="006E2809">
      <w:pPr>
        <w:spacing w:line="360" w:lineRule="auto"/>
        <w:ind w:firstLine="851"/>
        <w:rPr>
          <w:rFonts w:asciiTheme="majorHAnsi" w:hAnsiTheme="majorHAnsi"/>
        </w:rPr>
      </w:pPr>
      <w:r w:rsidRPr="00734AB6">
        <w:rPr>
          <w:rFonts w:asciiTheme="majorHAnsi" w:hAnsiTheme="majorHAnsi"/>
        </w:rPr>
        <w:t>Whether the off-prescription use of modafinil and methylphenidate is intended for self-medication or enhancement, without being monitored by a physician, the responsibility lies with the user, not only to become cognisant of the potential dangers in relation to serious adverse effects, but also to be self-aware, in relation to the potential development of dependency and addiction. The latter will be considered in relation to both modafinil and methylphenidate in the following section.</w:t>
      </w:r>
    </w:p>
    <w:p w14:paraId="32A57066" w14:textId="77777777" w:rsidR="006E2809" w:rsidRPr="00734AB6" w:rsidRDefault="006E2809" w:rsidP="006E2809">
      <w:pPr>
        <w:spacing w:line="360" w:lineRule="auto"/>
        <w:ind w:firstLine="851"/>
        <w:rPr>
          <w:rFonts w:asciiTheme="majorHAnsi" w:hAnsiTheme="majorHAnsi"/>
        </w:rPr>
      </w:pPr>
    </w:p>
    <w:p w14:paraId="0FD5BBE5" w14:textId="7DC8DD2C" w:rsidR="006E2809" w:rsidRPr="00734AB6" w:rsidRDefault="00985171" w:rsidP="006E2809">
      <w:pPr>
        <w:pStyle w:val="Heading3"/>
        <w:spacing w:after="240" w:line="360" w:lineRule="auto"/>
        <w:rPr>
          <w:b/>
          <w:color w:val="auto"/>
          <w:sz w:val="22"/>
        </w:rPr>
      </w:pPr>
      <w:bookmarkStart w:id="108" w:name="_Toc48136399"/>
      <w:r w:rsidRPr="00734AB6">
        <w:rPr>
          <w:b/>
          <w:color w:val="auto"/>
          <w:sz w:val="22"/>
        </w:rPr>
        <w:t>5.5</w:t>
      </w:r>
      <w:r w:rsidR="006E2809" w:rsidRPr="00734AB6">
        <w:rPr>
          <w:b/>
          <w:color w:val="auto"/>
          <w:sz w:val="22"/>
        </w:rPr>
        <w:t>.3</w:t>
      </w:r>
      <w:r w:rsidR="006E2809" w:rsidRPr="00734AB6">
        <w:rPr>
          <w:b/>
          <w:color w:val="auto"/>
          <w:sz w:val="22"/>
        </w:rPr>
        <w:tab/>
        <w:t>Dependency and addiction</w:t>
      </w:r>
      <w:bookmarkEnd w:id="108"/>
    </w:p>
    <w:p w14:paraId="1595F492" w14:textId="6F3AD5D8" w:rsidR="006E2809" w:rsidRPr="00734AB6" w:rsidRDefault="006E2809" w:rsidP="006E2809">
      <w:pPr>
        <w:spacing w:line="360" w:lineRule="auto"/>
        <w:ind w:firstLine="851"/>
        <w:rPr>
          <w:rFonts w:asciiTheme="majorHAnsi" w:hAnsiTheme="majorHAnsi"/>
        </w:rPr>
      </w:pPr>
      <w:r w:rsidRPr="00734AB6">
        <w:rPr>
          <w:rFonts w:asciiTheme="majorHAnsi" w:hAnsiTheme="majorHAnsi"/>
        </w:rPr>
        <w:t>Modafinil has been noted in the literature as having low addictive potential, partly due to the fact t</w:t>
      </w:r>
      <w:r w:rsidR="00DD5390" w:rsidRPr="00734AB6">
        <w:rPr>
          <w:rFonts w:asciiTheme="majorHAnsi" w:hAnsiTheme="majorHAnsi"/>
        </w:rPr>
        <w:t>hat, as explained in Section 1.6</w:t>
      </w:r>
      <w:r w:rsidRPr="00734AB6">
        <w:rPr>
          <w:rFonts w:asciiTheme="majorHAnsi" w:hAnsiTheme="majorHAnsi"/>
        </w:rPr>
        <w:t>.2, it is extremely difficult to inject and impossible to snort modafinil effectively and therefore it cannot reach the bloodstream rapidly (</w:t>
      </w:r>
      <w:r w:rsidR="00A63587" w:rsidRPr="00734AB6">
        <w:rPr>
          <w:rFonts w:asciiTheme="majorHAnsi" w:hAnsiTheme="majorHAnsi"/>
        </w:rPr>
        <w:t>e.g.,</w:t>
      </w:r>
      <w:r w:rsidRPr="00734AB6">
        <w:rPr>
          <w:rFonts w:asciiTheme="majorHAnsi" w:hAnsiTheme="majorHAnsi"/>
        </w:rPr>
        <w:t xml:space="preserve"> </w:t>
      </w:r>
      <w:proofErr w:type="spellStart"/>
      <w:r w:rsidRPr="00734AB6">
        <w:rPr>
          <w:rFonts w:asciiTheme="majorHAnsi" w:hAnsiTheme="majorHAnsi"/>
        </w:rPr>
        <w:t>Jasinski</w:t>
      </w:r>
      <w:proofErr w:type="spellEnd"/>
      <w:r w:rsidRPr="00734AB6">
        <w:rPr>
          <w:rFonts w:asciiTheme="majorHAnsi" w:hAnsiTheme="majorHAnsi"/>
        </w:rPr>
        <w:t xml:space="preserve">, 2000; Myrick et al., 2004). However, the risk of dependency is less well documented. </w:t>
      </w:r>
      <w:r w:rsidR="001B2178" w:rsidRPr="00734AB6">
        <w:rPr>
          <w:rFonts w:asciiTheme="majorHAnsi" w:hAnsiTheme="majorHAnsi"/>
        </w:rPr>
        <w:t xml:space="preserve">In addressing this gap in the literature, </w:t>
      </w:r>
      <w:r w:rsidRPr="00734AB6">
        <w:rPr>
          <w:rFonts w:asciiTheme="majorHAnsi" w:hAnsiTheme="majorHAnsi"/>
        </w:rPr>
        <w:t xml:space="preserve">Study 1 revealed the perceived dependency on modafinil was reported by only 5.5% of respondents. Nevertheless, as previously stated, the relationship between more frequent use and greater perceived benefits suggests the possibility of dependency developing. A case report by </w:t>
      </w:r>
      <w:proofErr w:type="spellStart"/>
      <w:r w:rsidRPr="00734AB6">
        <w:rPr>
          <w:rFonts w:asciiTheme="majorHAnsi" w:hAnsiTheme="majorHAnsi"/>
        </w:rPr>
        <w:t>Krisnan</w:t>
      </w:r>
      <w:proofErr w:type="spellEnd"/>
      <w:r w:rsidRPr="00734AB6">
        <w:rPr>
          <w:rFonts w:asciiTheme="majorHAnsi" w:hAnsiTheme="majorHAnsi"/>
        </w:rPr>
        <w:t xml:space="preserve"> and Chary (2015) detailed one case of a </w:t>
      </w:r>
      <w:r w:rsidR="00A63587" w:rsidRPr="00734AB6">
        <w:rPr>
          <w:rFonts w:asciiTheme="majorHAnsi" w:hAnsiTheme="majorHAnsi"/>
        </w:rPr>
        <w:t>44-year-old</w:t>
      </w:r>
      <w:r w:rsidRPr="00734AB6">
        <w:rPr>
          <w:rFonts w:asciiTheme="majorHAnsi" w:hAnsiTheme="majorHAnsi"/>
        </w:rPr>
        <w:t xml:space="preserve"> man who had been prescribed modafinil at a dose of 200mg for excessive daytime sleepiness and antipsychotics for symptoms of auditory hallucinations, delusions and fear following the death of his father. Over a six-month period</w:t>
      </w:r>
      <w:r w:rsidR="001B2178" w:rsidRPr="00734AB6">
        <w:rPr>
          <w:rFonts w:asciiTheme="majorHAnsi" w:hAnsiTheme="majorHAnsi"/>
        </w:rPr>
        <w:t>,</w:t>
      </w:r>
      <w:r w:rsidRPr="00734AB6">
        <w:rPr>
          <w:rFonts w:asciiTheme="majorHAnsi" w:hAnsiTheme="majorHAnsi"/>
        </w:rPr>
        <w:t xml:space="preserve"> the patient increased his dose of modafinil to 1200mg and reported suffering symptoms of lethargy, anxiety and disruption to his sleeping patterns without the daily dose of 1200mg of modafinil, only achieving a sense of well-being at this daily dose. However, this is noted </w:t>
      </w:r>
      <w:r w:rsidR="001B2178" w:rsidRPr="00734AB6">
        <w:rPr>
          <w:rFonts w:asciiTheme="majorHAnsi" w:hAnsiTheme="majorHAnsi"/>
        </w:rPr>
        <w:t xml:space="preserve">by </w:t>
      </w:r>
      <w:proofErr w:type="spellStart"/>
      <w:r w:rsidR="001B2178" w:rsidRPr="00734AB6">
        <w:rPr>
          <w:rFonts w:asciiTheme="majorHAnsi" w:hAnsiTheme="majorHAnsi"/>
        </w:rPr>
        <w:t>Krisnan</w:t>
      </w:r>
      <w:proofErr w:type="spellEnd"/>
      <w:r w:rsidR="001B2178" w:rsidRPr="00734AB6">
        <w:rPr>
          <w:rFonts w:asciiTheme="majorHAnsi" w:hAnsiTheme="majorHAnsi"/>
        </w:rPr>
        <w:t xml:space="preserve"> and Chary </w:t>
      </w:r>
      <w:r w:rsidR="00A63587" w:rsidRPr="00734AB6">
        <w:rPr>
          <w:rFonts w:asciiTheme="majorHAnsi" w:hAnsiTheme="majorHAnsi"/>
        </w:rPr>
        <w:t xml:space="preserve">(2015) </w:t>
      </w:r>
      <w:r w:rsidRPr="00734AB6">
        <w:rPr>
          <w:rFonts w:asciiTheme="majorHAnsi" w:hAnsiTheme="majorHAnsi"/>
        </w:rPr>
        <w:t>as a rare case and the patient was also suffering from poor mental health, following the patient’s report, this was managed by a medical professional. That said, it is important to note that a significant percentage of respondents and participants stated that they had been diagnosed with a psychiatric disorder. This may suggest that vulnerability to dependency may increase with the diagnosis of a psychiatric disorder and this presents an area for future investigation.</w:t>
      </w:r>
    </w:p>
    <w:p w14:paraId="34D4373E" w14:textId="31D7D42B" w:rsidR="006E2809" w:rsidRPr="00734AB6" w:rsidRDefault="006E2809" w:rsidP="006E2809">
      <w:pPr>
        <w:spacing w:line="360" w:lineRule="auto"/>
        <w:ind w:firstLine="851"/>
        <w:rPr>
          <w:rFonts w:asciiTheme="majorHAnsi" w:hAnsiTheme="majorHAnsi"/>
        </w:rPr>
      </w:pPr>
      <w:r w:rsidRPr="00734AB6">
        <w:rPr>
          <w:rFonts w:asciiTheme="majorHAnsi" w:hAnsiTheme="majorHAnsi"/>
        </w:rPr>
        <w:lastRenderedPageBreak/>
        <w:t>Methylphenidate is known to have addictive potential, but less so if the only route of administration is orally (</w:t>
      </w:r>
      <w:r w:rsidR="00A63587" w:rsidRPr="00734AB6">
        <w:rPr>
          <w:rFonts w:asciiTheme="majorHAnsi" w:hAnsiTheme="majorHAnsi"/>
        </w:rPr>
        <w:t>e.g.,</w:t>
      </w:r>
      <w:r w:rsidRPr="00734AB6">
        <w:rPr>
          <w:rFonts w:asciiTheme="majorHAnsi" w:hAnsiTheme="majorHAnsi"/>
        </w:rPr>
        <w:t xml:space="preserve"> </w:t>
      </w:r>
      <w:proofErr w:type="spellStart"/>
      <w:r w:rsidRPr="00734AB6">
        <w:rPr>
          <w:rFonts w:asciiTheme="majorHAnsi" w:hAnsiTheme="majorHAnsi"/>
        </w:rPr>
        <w:t>Botly</w:t>
      </w:r>
      <w:proofErr w:type="spellEnd"/>
      <w:r w:rsidRPr="00734AB6">
        <w:rPr>
          <w:rFonts w:asciiTheme="majorHAnsi" w:hAnsiTheme="majorHAnsi"/>
        </w:rPr>
        <w:t xml:space="preserve"> et al., 2008; </w:t>
      </w:r>
      <w:proofErr w:type="spellStart"/>
      <w:r w:rsidRPr="00734AB6">
        <w:rPr>
          <w:rFonts w:asciiTheme="majorHAnsi" w:hAnsiTheme="majorHAnsi"/>
        </w:rPr>
        <w:t>Wooters</w:t>
      </w:r>
      <w:proofErr w:type="spellEnd"/>
      <w:r w:rsidRPr="00734AB6">
        <w:rPr>
          <w:rFonts w:asciiTheme="majorHAnsi" w:hAnsiTheme="majorHAnsi"/>
        </w:rPr>
        <w:t xml:space="preserve"> et al., 2011). Study 2 and Study 3 revealed that 14% of respondents, and 10.5% of participants, respectively, stated that they snorted methylphenidate. However, one report by </w:t>
      </w:r>
      <w:proofErr w:type="spellStart"/>
      <w:r w:rsidRPr="00734AB6">
        <w:rPr>
          <w:rFonts w:asciiTheme="majorHAnsi" w:hAnsiTheme="majorHAnsi"/>
        </w:rPr>
        <w:t>Teter</w:t>
      </w:r>
      <w:proofErr w:type="spellEnd"/>
      <w:r w:rsidRPr="00734AB6">
        <w:rPr>
          <w:rFonts w:asciiTheme="majorHAnsi" w:hAnsiTheme="majorHAnsi"/>
        </w:rPr>
        <w:t xml:space="preserve"> et al. (2006) revealed that 38% snorted, 6% smoked and 1% inhaled methylphenidate (or Adderall) by other means. The fact that methylphenidate is not just used off-prescription as a cognitive enhancer, but also as a recreational drug may, in part, explain the users’ other chosen routes of administration. Barrett, </w:t>
      </w:r>
      <w:proofErr w:type="spellStart"/>
      <w:r w:rsidRPr="00734AB6">
        <w:rPr>
          <w:rFonts w:asciiTheme="majorHAnsi" w:hAnsiTheme="majorHAnsi"/>
        </w:rPr>
        <w:t>Darredeau</w:t>
      </w:r>
      <w:proofErr w:type="spellEnd"/>
      <w:r w:rsidRPr="00734AB6">
        <w:rPr>
          <w:rFonts w:asciiTheme="majorHAnsi" w:hAnsiTheme="majorHAnsi"/>
        </w:rPr>
        <w:t xml:space="preserve">, </w:t>
      </w:r>
      <w:proofErr w:type="spellStart"/>
      <w:r w:rsidRPr="00734AB6">
        <w:rPr>
          <w:rFonts w:asciiTheme="majorHAnsi" w:hAnsiTheme="majorHAnsi"/>
        </w:rPr>
        <w:t>Bordy</w:t>
      </w:r>
      <w:proofErr w:type="spellEnd"/>
      <w:r w:rsidRPr="00734AB6">
        <w:rPr>
          <w:rFonts w:asciiTheme="majorHAnsi" w:hAnsiTheme="majorHAnsi"/>
        </w:rPr>
        <w:t xml:space="preserve"> and Pihl (2005) interviewed 50 university students who reported methylphenidate misuse and 50 controls. They reported that the college students who used methylphenidate off-prescription for recreational purposes were more likely to report intranasal use compared with the students who reported off-prescription use of methylphenidate for the sole purpose of studying. </w:t>
      </w:r>
    </w:p>
    <w:p w14:paraId="4C5813D3" w14:textId="77777777" w:rsidR="006E2809" w:rsidRPr="00734AB6" w:rsidRDefault="006E2809" w:rsidP="006E2809">
      <w:pPr>
        <w:spacing w:line="360" w:lineRule="auto"/>
        <w:ind w:firstLine="851"/>
        <w:rPr>
          <w:rFonts w:asciiTheme="majorHAnsi" w:hAnsiTheme="majorHAnsi"/>
        </w:rPr>
      </w:pPr>
    </w:p>
    <w:p w14:paraId="69FD585F" w14:textId="6942980A" w:rsidR="006E2809" w:rsidRPr="00734AB6" w:rsidRDefault="006E2809" w:rsidP="009C199E">
      <w:pPr>
        <w:pStyle w:val="Heading2"/>
        <w:spacing w:after="240" w:line="360" w:lineRule="auto"/>
        <w:rPr>
          <w:b/>
          <w:color w:val="auto"/>
          <w:sz w:val="22"/>
        </w:rPr>
      </w:pPr>
      <w:bookmarkStart w:id="109" w:name="_Toc48136400"/>
      <w:r w:rsidRPr="00734AB6">
        <w:rPr>
          <w:b/>
          <w:color w:val="auto"/>
          <w:sz w:val="22"/>
        </w:rPr>
        <w:t>5.</w:t>
      </w:r>
      <w:r w:rsidR="009C199E" w:rsidRPr="00734AB6">
        <w:rPr>
          <w:b/>
          <w:color w:val="auto"/>
          <w:sz w:val="22"/>
        </w:rPr>
        <w:t>6</w:t>
      </w:r>
      <w:r w:rsidRPr="00734AB6">
        <w:rPr>
          <w:b/>
          <w:color w:val="auto"/>
          <w:sz w:val="22"/>
        </w:rPr>
        <w:tab/>
        <w:t>Relevance to informing policy makers and society</w:t>
      </w:r>
      <w:bookmarkEnd w:id="109"/>
    </w:p>
    <w:p w14:paraId="092A1477" w14:textId="761BDE53" w:rsidR="00FD7CCB" w:rsidRPr="00734AB6" w:rsidRDefault="001B2178" w:rsidP="00925F0E">
      <w:pPr>
        <w:spacing w:line="360" w:lineRule="auto"/>
        <w:ind w:firstLine="851"/>
        <w:rPr>
          <w:rFonts w:asciiTheme="majorHAnsi" w:hAnsiTheme="majorHAnsi"/>
        </w:rPr>
      </w:pPr>
      <w:r w:rsidRPr="00734AB6">
        <w:rPr>
          <w:rFonts w:asciiTheme="majorHAnsi" w:hAnsiTheme="majorHAnsi"/>
        </w:rPr>
        <w:t xml:space="preserve">The studies in this thesis present important information on the profile of the off-prescription users of modafinil and methylphenidate (who frequent online forums) and their perceptions and experiences of using these drugs for cognitive enhancement. This thesis has suggested that there are sub-groups of CED users and as such, off-prescription users of CEDs should be considered in relation to their individual group membership. This thesis has proposed the (possible) self-medicating group, the enhancing group and different groups represented by off-prescription modafinil use and off-prescription methylphenidate use as well as the possible drivers behind their use. </w:t>
      </w:r>
      <w:r w:rsidR="00CA0ACE" w:rsidRPr="00734AB6">
        <w:rPr>
          <w:rFonts w:asciiTheme="majorHAnsi" w:hAnsiTheme="majorHAnsi"/>
        </w:rPr>
        <w:t xml:space="preserve">There may also be other, possibly problematic, sub-groups of CED users such as methylphenidate users who </w:t>
      </w:r>
      <w:r w:rsidR="005F3B04" w:rsidRPr="00734AB6">
        <w:rPr>
          <w:rFonts w:asciiTheme="majorHAnsi" w:hAnsiTheme="majorHAnsi"/>
        </w:rPr>
        <w:t xml:space="preserve">take methylphenidate by non-oral means, such as snorting. There may also be a sub-group who have previously experienced mental health problems and are also using a range of recreational drugs, perhaps concurrent to the use of CEDs. </w:t>
      </w:r>
      <w:r w:rsidRPr="00734AB6">
        <w:rPr>
          <w:rFonts w:asciiTheme="majorHAnsi" w:hAnsiTheme="majorHAnsi"/>
        </w:rPr>
        <w:t xml:space="preserve">The culmination of these findings is relevant to policy makers and medical practitioners. </w:t>
      </w:r>
    </w:p>
    <w:p w14:paraId="15DAB2E4" w14:textId="73CF4B22" w:rsidR="00FD7CCB" w:rsidRPr="00734AB6" w:rsidRDefault="00FD7CCB" w:rsidP="00925F0E">
      <w:pPr>
        <w:spacing w:line="360" w:lineRule="auto"/>
        <w:ind w:firstLine="851"/>
        <w:rPr>
          <w:rFonts w:asciiTheme="majorHAnsi" w:hAnsiTheme="majorHAnsi"/>
        </w:rPr>
      </w:pPr>
      <w:r w:rsidRPr="00734AB6">
        <w:rPr>
          <w:rFonts w:asciiTheme="majorHAnsi" w:hAnsiTheme="majorHAnsi"/>
        </w:rPr>
        <w:t xml:space="preserve">Additionally, as previously noted in Section 2.1.2, it is possible that some individuals are feigning symptoms of ADHD for the purpose of acquiring CEDs such as methylphenidate. Poulin (2007) found that some students who screened negative for ADHD reported having a prescription for ADHD medications whilst only a small percentage of students who screened positive for ADHD reported having a prescription for ADHD medications. Whilst the issue of inappropriate prescribing, under- and over-diagnosing ADHD has been the focus of debate largely in the United States and Canada (Poulin; Singh, Filipe, Bard, </w:t>
      </w:r>
      <w:proofErr w:type="spellStart"/>
      <w:r w:rsidRPr="00734AB6">
        <w:rPr>
          <w:rFonts w:asciiTheme="majorHAnsi" w:hAnsiTheme="majorHAnsi"/>
        </w:rPr>
        <w:t>Bergey</w:t>
      </w:r>
      <w:proofErr w:type="spellEnd"/>
      <w:r w:rsidRPr="00734AB6">
        <w:rPr>
          <w:rFonts w:asciiTheme="majorHAnsi" w:hAnsiTheme="majorHAnsi"/>
        </w:rPr>
        <w:t xml:space="preserve"> &amp; Baker, 2013) there is evidence that the rate of prescribing ADHD medications in Britain has increased dramatically over the past two decades (</w:t>
      </w:r>
      <w:proofErr w:type="spellStart"/>
      <w:r w:rsidRPr="00734AB6">
        <w:rPr>
          <w:rFonts w:asciiTheme="majorHAnsi" w:hAnsiTheme="majorHAnsi"/>
        </w:rPr>
        <w:t>Renoux</w:t>
      </w:r>
      <w:proofErr w:type="spellEnd"/>
      <w:r w:rsidRPr="00734AB6">
        <w:rPr>
          <w:rFonts w:asciiTheme="majorHAnsi" w:hAnsiTheme="majorHAnsi"/>
        </w:rPr>
        <w:t xml:space="preserve">, Shin, </w:t>
      </w:r>
      <w:proofErr w:type="spellStart"/>
      <w:r w:rsidRPr="00734AB6">
        <w:rPr>
          <w:rFonts w:asciiTheme="majorHAnsi" w:hAnsiTheme="majorHAnsi"/>
        </w:rPr>
        <w:t>Dell’Aniello</w:t>
      </w:r>
      <w:proofErr w:type="spellEnd"/>
      <w:r w:rsidRPr="00734AB6">
        <w:rPr>
          <w:rFonts w:asciiTheme="majorHAnsi" w:hAnsiTheme="majorHAnsi"/>
        </w:rPr>
        <w:t xml:space="preserve">, Fergusson &amp; </w:t>
      </w:r>
      <w:proofErr w:type="spellStart"/>
      <w:r w:rsidRPr="00734AB6">
        <w:rPr>
          <w:rFonts w:asciiTheme="majorHAnsi" w:hAnsiTheme="majorHAnsi"/>
        </w:rPr>
        <w:t>Suissa</w:t>
      </w:r>
      <w:proofErr w:type="spellEnd"/>
      <w:r w:rsidRPr="00734AB6">
        <w:rPr>
          <w:rFonts w:asciiTheme="majorHAnsi" w:hAnsiTheme="majorHAnsi"/>
        </w:rPr>
        <w:t xml:space="preserve">, 2016). The use of CEDs such as </w:t>
      </w:r>
      <w:r w:rsidRPr="00734AB6">
        <w:rPr>
          <w:rFonts w:asciiTheme="majorHAnsi" w:hAnsiTheme="majorHAnsi"/>
        </w:rPr>
        <w:lastRenderedPageBreak/>
        <w:t xml:space="preserve">methylphenidate and, possibly, modafinil by children and adults under the age of 30 may also have detrimental effects on the development and maturation of the PFC and plasticity, possibly resulting in behavioural inflexibility and the development of addictive behaviours (Urban &amp; Gao, 2014). For individuals who do experience the symptoms of ADHD, there is a clear trade-off but this </w:t>
      </w:r>
      <w:r w:rsidR="009F75E0" w:rsidRPr="00734AB6">
        <w:rPr>
          <w:rFonts w:asciiTheme="majorHAnsi" w:hAnsiTheme="majorHAnsi"/>
        </w:rPr>
        <w:t>may not be the</w:t>
      </w:r>
      <w:r w:rsidRPr="00734AB6">
        <w:rPr>
          <w:rFonts w:asciiTheme="majorHAnsi" w:hAnsiTheme="majorHAnsi"/>
        </w:rPr>
        <w:t xml:space="preserve"> case for individuals who use CEDs purely for enhancement.</w:t>
      </w:r>
    </w:p>
    <w:p w14:paraId="42F93FA1" w14:textId="09333AB0" w:rsidR="00925F0E" w:rsidRPr="00734AB6" w:rsidRDefault="001B2178" w:rsidP="00925F0E">
      <w:pPr>
        <w:spacing w:line="360" w:lineRule="auto"/>
        <w:ind w:firstLine="851"/>
        <w:rPr>
          <w:rFonts w:asciiTheme="majorHAnsi" w:hAnsiTheme="majorHAnsi"/>
          <w:color w:val="FF0000"/>
        </w:rPr>
      </w:pPr>
      <w:r w:rsidRPr="00734AB6">
        <w:rPr>
          <w:rFonts w:asciiTheme="majorHAnsi" w:hAnsiTheme="majorHAnsi"/>
        </w:rPr>
        <w:t xml:space="preserve">Considerations should be made in relation to whether adults with poor cognitive functions are not being given the help and support they need. </w:t>
      </w:r>
      <w:r w:rsidR="006904E1" w:rsidRPr="00734AB6">
        <w:rPr>
          <w:rFonts w:asciiTheme="majorHAnsi" w:hAnsiTheme="majorHAnsi"/>
        </w:rPr>
        <w:t xml:space="preserve">Ginsberg, </w:t>
      </w:r>
      <w:proofErr w:type="spellStart"/>
      <w:r w:rsidR="006904E1" w:rsidRPr="00734AB6">
        <w:rPr>
          <w:rFonts w:asciiTheme="majorHAnsi" w:hAnsiTheme="majorHAnsi"/>
        </w:rPr>
        <w:t>Beusterien</w:t>
      </w:r>
      <w:proofErr w:type="spellEnd"/>
      <w:r w:rsidR="006904E1" w:rsidRPr="00734AB6">
        <w:rPr>
          <w:rFonts w:asciiTheme="majorHAnsi" w:hAnsiTheme="majorHAnsi"/>
        </w:rPr>
        <w:t xml:space="preserve">, Amos, </w:t>
      </w:r>
      <w:proofErr w:type="spellStart"/>
      <w:r w:rsidR="006904E1" w:rsidRPr="00734AB6">
        <w:rPr>
          <w:rFonts w:asciiTheme="majorHAnsi" w:hAnsiTheme="majorHAnsi"/>
        </w:rPr>
        <w:t>Jousselin</w:t>
      </w:r>
      <w:proofErr w:type="spellEnd"/>
      <w:r w:rsidR="006904E1" w:rsidRPr="00734AB6">
        <w:rPr>
          <w:rFonts w:asciiTheme="majorHAnsi" w:hAnsiTheme="majorHAnsi"/>
        </w:rPr>
        <w:t xml:space="preserve"> and </w:t>
      </w:r>
      <w:proofErr w:type="spellStart"/>
      <w:r w:rsidR="006904E1" w:rsidRPr="00734AB6">
        <w:rPr>
          <w:rFonts w:asciiTheme="majorHAnsi" w:hAnsiTheme="majorHAnsi"/>
        </w:rPr>
        <w:t>Asherson</w:t>
      </w:r>
      <w:proofErr w:type="spellEnd"/>
      <w:r w:rsidR="006904E1" w:rsidRPr="00734AB6">
        <w:rPr>
          <w:rFonts w:asciiTheme="majorHAnsi" w:hAnsiTheme="majorHAnsi"/>
        </w:rPr>
        <w:t xml:space="preserve"> (2014) reported poor uptake of the </w:t>
      </w:r>
      <w:proofErr w:type="spellStart"/>
      <w:r w:rsidR="002B2E07" w:rsidRPr="00734AB6">
        <w:rPr>
          <w:rFonts w:asciiTheme="majorHAnsi" w:hAnsiTheme="majorHAnsi"/>
        </w:rPr>
        <w:t>the</w:t>
      </w:r>
      <w:proofErr w:type="spellEnd"/>
      <w:r w:rsidR="002B2E07" w:rsidRPr="00734AB6">
        <w:rPr>
          <w:rFonts w:asciiTheme="majorHAnsi" w:hAnsiTheme="majorHAnsi"/>
        </w:rPr>
        <w:t xml:space="preserve"> UK National Institute for Health and Care Excellence (NICE) ADHD guidelines</w:t>
      </w:r>
      <w:r w:rsidR="00701A0B" w:rsidRPr="00734AB6">
        <w:rPr>
          <w:rFonts w:asciiTheme="majorHAnsi" w:hAnsiTheme="majorHAnsi"/>
        </w:rPr>
        <w:t xml:space="preserve"> and </w:t>
      </w:r>
      <w:r w:rsidR="00F70EBA" w:rsidRPr="00734AB6">
        <w:rPr>
          <w:rFonts w:asciiTheme="majorHAnsi" w:hAnsiTheme="majorHAnsi"/>
        </w:rPr>
        <w:t xml:space="preserve">reports of adults who </w:t>
      </w:r>
      <w:r w:rsidR="00EA206B" w:rsidRPr="00734AB6">
        <w:rPr>
          <w:rFonts w:asciiTheme="majorHAnsi" w:hAnsiTheme="majorHAnsi"/>
        </w:rPr>
        <w:t xml:space="preserve">experienced long and difficult struggles in </w:t>
      </w:r>
      <w:r w:rsidR="002A5C85" w:rsidRPr="00734AB6">
        <w:rPr>
          <w:rFonts w:asciiTheme="majorHAnsi" w:hAnsiTheme="majorHAnsi"/>
        </w:rPr>
        <w:t>attaining a diagnosis of ADHD due to the negative attitudes towards ADHD by healthcare professionals (Matheson et al., 2013).</w:t>
      </w:r>
      <w:r w:rsidR="00F70EBA" w:rsidRPr="00734AB6">
        <w:rPr>
          <w:rFonts w:asciiTheme="majorHAnsi" w:hAnsiTheme="majorHAnsi"/>
        </w:rPr>
        <w:t xml:space="preserve"> </w:t>
      </w:r>
      <w:r w:rsidR="009F75E0" w:rsidRPr="00734AB6">
        <w:rPr>
          <w:rFonts w:asciiTheme="majorHAnsi" w:hAnsiTheme="majorHAnsi"/>
        </w:rPr>
        <w:t>For adults with poor cognitive function unrelated to ADHD the situation is less clear</w:t>
      </w:r>
      <w:r w:rsidR="00EB7811" w:rsidRPr="00734AB6">
        <w:rPr>
          <w:rFonts w:asciiTheme="majorHAnsi" w:hAnsiTheme="majorHAnsi"/>
        </w:rPr>
        <w:t xml:space="preserve"> and</w:t>
      </w:r>
      <w:r w:rsidR="000D31F4" w:rsidRPr="00734AB6">
        <w:rPr>
          <w:rFonts w:asciiTheme="majorHAnsi" w:hAnsiTheme="majorHAnsi"/>
        </w:rPr>
        <w:t>,</w:t>
      </w:r>
      <w:r w:rsidR="00EB7811" w:rsidRPr="00734AB6">
        <w:rPr>
          <w:rFonts w:asciiTheme="majorHAnsi" w:hAnsiTheme="majorHAnsi"/>
        </w:rPr>
        <w:t xml:space="preserve"> </w:t>
      </w:r>
      <w:r w:rsidR="000D31F4" w:rsidRPr="00734AB6">
        <w:rPr>
          <w:rFonts w:asciiTheme="majorHAnsi" w:hAnsiTheme="majorHAnsi"/>
        </w:rPr>
        <w:t>therefore, this should be considered for future investigations</w:t>
      </w:r>
      <w:r w:rsidR="009F75E0" w:rsidRPr="00734AB6">
        <w:rPr>
          <w:rFonts w:asciiTheme="majorHAnsi" w:hAnsiTheme="majorHAnsi"/>
        </w:rPr>
        <w:t xml:space="preserve">. </w:t>
      </w:r>
      <w:r w:rsidRPr="00734AB6">
        <w:rPr>
          <w:rFonts w:asciiTheme="majorHAnsi" w:hAnsiTheme="majorHAnsi"/>
        </w:rPr>
        <w:t>The drivers in relation to these two groups, those who enhance and those who (may) self-medicate, should also be considered in relation to the ongoing ethical debate around the use of CEDs, for as long as there are such strong societal/environmental pressures and un-met needs, there will always be those who are driven to seek solutions, whatever the cost.</w:t>
      </w:r>
      <w:r w:rsidR="00925F0E" w:rsidRPr="00734AB6">
        <w:rPr>
          <w:rFonts w:asciiTheme="majorHAnsi" w:hAnsiTheme="majorHAnsi"/>
        </w:rPr>
        <w:t xml:space="preserve"> </w:t>
      </w:r>
    </w:p>
    <w:p w14:paraId="66254130" w14:textId="77777777" w:rsidR="006E2809" w:rsidRPr="00734AB6" w:rsidRDefault="006E2809" w:rsidP="006E2809">
      <w:pPr>
        <w:rPr>
          <w:rFonts w:asciiTheme="majorHAnsi" w:hAnsiTheme="majorHAnsi"/>
        </w:rPr>
      </w:pPr>
    </w:p>
    <w:p w14:paraId="3E42C5CC" w14:textId="5172BD26" w:rsidR="006E2809" w:rsidRPr="00734AB6" w:rsidRDefault="009C199E" w:rsidP="006E2809">
      <w:pPr>
        <w:pStyle w:val="Heading2"/>
        <w:spacing w:after="240" w:line="360" w:lineRule="auto"/>
        <w:rPr>
          <w:b/>
          <w:color w:val="auto"/>
          <w:sz w:val="22"/>
        </w:rPr>
      </w:pPr>
      <w:bookmarkStart w:id="110" w:name="_Toc48136401"/>
      <w:r w:rsidRPr="00734AB6">
        <w:rPr>
          <w:b/>
          <w:color w:val="auto"/>
          <w:sz w:val="22"/>
        </w:rPr>
        <w:t>5.7</w:t>
      </w:r>
      <w:r w:rsidR="006E2809" w:rsidRPr="00734AB6">
        <w:rPr>
          <w:b/>
          <w:color w:val="auto"/>
          <w:sz w:val="22"/>
        </w:rPr>
        <w:tab/>
        <w:t>Limitations</w:t>
      </w:r>
      <w:bookmarkEnd w:id="110"/>
    </w:p>
    <w:p w14:paraId="22AB0A83" w14:textId="1C04A0AD" w:rsidR="006E2809" w:rsidRPr="00734AB6" w:rsidRDefault="006E2809" w:rsidP="006E2809">
      <w:pPr>
        <w:spacing w:line="360" w:lineRule="auto"/>
        <w:ind w:firstLine="851"/>
        <w:rPr>
          <w:rFonts w:asciiTheme="majorHAnsi" w:hAnsiTheme="majorHAnsi"/>
        </w:rPr>
      </w:pPr>
      <w:r w:rsidRPr="00734AB6">
        <w:rPr>
          <w:rFonts w:asciiTheme="majorHAnsi" w:hAnsiTheme="majorHAnsi"/>
        </w:rPr>
        <w:t>Whilst the studies</w:t>
      </w:r>
      <w:r w:rsidR="001B2178" w:rsidRPr="00734AB6">
        <w:rPr>
          <w:rFonts w:asciiTheme="majorHAnsi" w:hAnsiTheme="majorHAnsi"/>
        </w:rPr>
        <w:t xml:space="preserve"> reported</w:t>
      </w:r>
      <w:r w:rsidRPr="00734AB6">
        <w:rPr>
          <w:rFonts w:asciiTheme="majorHAnsi" w:hAnsiTheme="majorHAnsi"/>
        </w:rPr>
        <w:t xml:space="preserve"> in this thesis have highlighted a number of important issues and provided a greater understanding of the off-prescription use of modafinil and methylphenidate in contribution to the growing knowledge in this field, there are some limitations to these findings which should be taken in to consideration.</w:t>
      </w:r>
    </w:p>
    <w:p w14:paraId="16BF108B" w14:textId="74DFEE7C"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One of the main aims of this thesis was to assess whether off-prescription users of modafinil and methylphenidate are self-prescribing for poor cognitive function. </w:t>
      </w:r>
      <w:r w:rsidR="0057342D" w:rsidRPr="00734AB6">
        <w:rPr>
          <w:rFonts w:asciiTheme="majorHAnsi" w:hAnsiTheme="majorHAnsi"/>
        </w:rPr>
        <w:t>Whilst the findings of Study 2 have suggested that there may be a sub-group of modafinil and methylphenidate off-prescription users who are self-medicating for perceived inattention and procrastination, t</w:t>
      </w:r>
      <w:r w:rsidRPr="00734AB6">
        <w:rPr>
          <w:rFonts w:asciiTheme="majorHAnsi" w:hAnsiTheme="majorHAnsi"/>
        </w:rPr>
        <w:t xml:space="preserve">his </w:t>
      </w:r>
      <w:r w:rsidR="0057342D" w:rsidRPr="00734AB6">
        <w:rPr>
          <w:rFonts w:asciiTheme="majorHAnsi" w:hAnsiTheme="majorHAnsi"/>
        </w:rPr>
        <w:t>remains an open question</w:t>
      </w:r>
      <w:r w:rsidRPr="00734AB6">
        <w:rPr>
          <w:rFonts w:asciiTheme="majorHAnsi" w:hAnsiTheme="majorHAnsi"/>
        </w:rPr>
        <w:t xml:space="preserve"> and will be further discussed in the following section. It is not possible, therefore, to discuss with certainty, the use of these drugs for self-medication. Further, the question as to whether respondents/ participants were using modafinil and methylphenidate for cognitive enhancement or self-medication was not asked directly. However, to do so may have resulting in priming responses to questions relating to the use of these drugs and their cognitive performance. This could, however, be addressed in a qualitative study</w:t>
      </w:r>
      <w:r w:rsidR="0057342D" w:rsidRPr="00734AB6">
        <w:rPr>
          <w:rFonts w:asciiTheme="majorHAnsi" w:hAnsiTheme="majorHAnsi"/>
        </w:rPr>
        <w:t xml:space="preserve"> where </w:t>
      </w:r>
      <w:r w:rsidR="00592CE2" w:rsidRPr="00734AB6">
        <w:rPr>
          <w:rFonts w:asciiTheme="majorHAnsi" w:hAnsiTheme="majorHAnsi"/>
        </w:rPr>
        <w:t>reported CED-users have the opportunity to discuss their use of CEDs such as modafinil and methylphenidate without the restriction of just answering questions</w:t>
      </w:r>
      <w:r w:rsidRPr="00734AB6">
        <w:rPr>
          <w:rFonts w:asciiTheme="majorHAnsi" w:hAnsiTheme="majorHAnsi"/>
        </w:rPr>
        <w:t>.</w:t>
      </w:r>
    </w:p>
    <w:p w14:paraId="3AEA6CE1" w14:textId="3280F16E" w:rsidR="006E2809" w:rsidRPr="00734AB6" w:rsidRDefault="006E2809" w:rsidP="006E2809">
      <w:pPr>
        <w:spacing w:line="360" w:lineRule="auto"/>
        <w:ind w:firstLine="851"/>
        <w:rPr>
          <w:rFonts w:asciiTheme="majorHAnsi" w:hAnsiTheme="majorHAnsi"/>
        </w:rPr>
      </w:pPr>
      <w:r w:rsidRPr="00734AB6">
        <w:rPr>
          <w:rFonts w:asciiTheme="majorHAnsi" w:hAnsiTheme="majorHAnsi"/>
        </w:rPr>
        <w:lastRenderedPageBreak/>
        <w:t xml:space="preserve">The fact that all respondents and participants, with the exception of the control group in </w:t>
      </w:r>
      <w:r w:rsidR="001B2178" w:rsidRPr="00734AB6">
        <w:rPr>
          <w:rFonts w:asciiTheme="majorHAnsi" w:hAnsiTheme="majorHAnsi"/>
        </w:rPr>
        <w:t>Study 3</w:t>
      </w:r>
      <w:r w:rsidRPr="00734AB6">
        <w:rPr>
          <w:rFonts w:asciiTheme="majorHAnsi" w:hAnsiTheme="majorHAnsi"/>
        </w:rPr>
        <w:t>, were recruited throu</w:t>
      </w:r>
      <w:r w:rsidR="00775C79" w:rsidRPr="00734AB6">
        <w:rPr>
          <w:rFonts w:asciiTheme="majorHAnsi" w:hAnsiTheme="majorHAnsi"/>
        </w:rPr>
        <w:t>gh online forums and therefore, may only represent the population of online forum visitors who use modafinil and methylphenidate off-prescription. This</w:t>
      </w:r>
      <w:r w:rsidRPr="00734AB6">
        <w:rPr>
          <w:rFonts w:asciiTheme="majorHAnsi" w:hAnsiTheme="majorHAnsi"/>
        </w:rPr>
        <w:t xml:space="preserve"> </w:t>
      </w:r>
      <w:r w:rsidR="00775C79" w:rsidRPr="00734AB6">
        <w:rPr>
          <w:rFonts w:asciiTheme="majorHAnsi" w:hAnsiTheme="majorHAnsi"/>
        </w:rPr>
        <w:t>signifies</w:t>
      </w:r>
      <w:r w:rsidRPr="00734AB6">
        <w:rPr>
          <w:rFonts w:asciiTheme="majorHAnsi" w:hAnsiTheme="majorHAnsi"/>
        </w:rPr>
        <w:t xml:space="preserve"> a weakness as the findings cannot be interpreted in relation to the wider population of off-prescription users of modafinil and methylphenidate. However, reaching this wider population would require a considerable financial investment in order to advertise on the kind of platforms that are visible to the wider population.</w:t>
      </w:r>
    </w:p>
    <w:p w14:paraId="7B190AAF" w14:textId="197F9E1C" w:rsidR="00263A4A" w:rsidRPr="00734AB6" w:rsidRDefault="00263A4A" w:rsidP="006E2809">
      <w:pPr>
        <w:spacing w:line="360" w:lineRule="auto"/>
        <w:ind w:firstLine="851"/>
        <w:rPr>
          <w:rFonts w:asciiTheme="majorHAnsi" w:hAnsiTheme="majorHAnsi"/>
        </w:rPr>
      </w:pPr>
      <w:r w:rsidRPr="00734AB6">
        <w:rPr>
          <w:rFonts w:asciiTheme="majorHAnsi" w:hAnsiTheme="majorHAnsi"/>
        </w:rPr>
        <w:t xml:space="preserve">Furthermore, there was no way of confirming whether the respondents and participants in all three studies complied with the requirement </w:t>
      </w:r>
      <w:r w:rsidR="003F5FE7" w:rsidRPr="00734AB6">
        <w:rPr>
          <w:rFonts w:asciiTheme="majorHAnsi" w:hAnsiTheme="majorHAnsi"/>
        </w:rPr>
        <w:t xml:space="preserve">to not be under the influence of psychoactive drugs during their participation. Although there is evidence that </w:t>
      </w:r>
      <w:r w:rsidR="00675A3C" w:rsidRPr="00734AB6">
        <w:rPr>
          <w:rFonts w:asciiTheme="majorHAnsi" w:hAnsiTheme="majorHAnsi"/>
        </w:rPr>
        <w:t xml:space="preserve">drug users who know that their hair, blood or urine samples will be tested as part of a drug-related research project, </w:t>
      </w:r>
      <w:r w:rsidR="00C50F49" w:rsidRPr="00734AB6">
        <w:rPr>
          <w:rFonts w:asciiTheme="majorHAnsi" w:hAnsiTheme="majorHAnsi"/>
        </w:rPr>
        <w:t xml:space="preserve">provide accurate </w:t>
      </w:r>
      <w:r w:rsidR="00675A3C" w:rsidRPr="00734AB6">
        <w:rPr>
          <w:rFonts w:asciiTheme="majorHAnsi" w:hAnsiTheme="majorHAnsi"/>
        </w:rPr>
        <w:t xml:space="preserve">self-reports of use </w:t>
      </w:r>
      <w:r w:rsidR="00C50F49" w:rsidRPr="00734AB6">
        <w:rPr>
          <w:rFonts w:asciiTheme="majorHAnsi" w:hAnsiTheme="majorHAnsi"/>
        </w:rPr>
        <w:t xml:space="preserve">which </w:t>
      </w:r>
      <w:r w:rsidR="00675A3C" w:rsidRPr="00734AB6">
        <w:rPr>
          <w:rFonts w:asciiTheme="majorHAnsi" w:hAnsiTheme="majorHAnsi"/>
        </w:rPr>
        <w:t>correspond well to the objective data (</w:t>
      </w:r>
      <w:r w:rsidR="00A63587" w:rsidRPr="00734AB6">
        <w:rPr>
          <w:rFonts w:asciiTheme="majorHAnsi" w:hAnsiTheme="majorHAnsi"/>
        </w:rPr>
        <w:t>e.g.,</w:t>
      </w:r>
      <w:r w:rsidR="00675A3C" w:rsidRPr="00734AB6">
        <w:rPr>
          <w:rFonts w:asciiTheme="majorHAnsi" w:hAnsiTheme="majorHAnsi"/>
        </w:rPr>
        <w:t xml:space="preserve"> Johnson et al., </w:t>
      </w:r>
      <w:r w:rsidR="00700B84" w:rsidRPr="00734AB6">
        <w:rPr>
          <w:rFonts w:asciiTheme="majorHAnsi" w:hAnsiTheme="majorHAnsi"/>
        </w:rPr>
        <w:t>2000</w:t>
      </w:r>
      <w:r w:rsidR="00675A3C" w:rsidRPr="00734AB6">
        <w:rPr>
          <w:rFonts w:asciiTheme="majorHAnsi" w:hAnsiTheme="majorHAnsi"/>
        </w:rPr>
        <w:t>)</w:t>
      </w:r>
      <w:r w:rsidR="00C50F49" w:rsidRPr="00734AB6">
        <w:rPr>
          <w:rFonts w:asciiTheme="majorHAnsi" w:hAnsiTheme="majorHAnsi"/>
        </w:rPr>
        <w:t xml:space="preserve">, the accuracy of self-reports in the absence of a test to verify them is not known. However, it is unlikely that the online forum using respondents are providing inaccurate information about their CED use as </w:t>
      </w:r>
      <w:r w:rsidR="003E3510" w:rsidRPr="00734AB6">
        <w:rPr>
          <w:rFonts w:asciiTheme="majorHAnsi" w:hAnsiTheme="majorHAnsi"/>
        </w:rPr>
        <w:t>the online surveys were anonymous and the forum sites are platforms which where individuals discuss their drug use openly and anonymously. That said, it is not known for certain whether the respondents and the participants in Study 3 complied with the requirements to abstain from psyc</w:t>
      </w:r>
      <w:r w:rsidR="009B1619" w:rsidRPr="00734AB6">
        <w:rPr>
          <w:rFonts w:asciiTheme="majorHAnsi" w:hAnsiTheme="majorHAnsi"/>
        </w:rPr>
        <w:t>hoactive drug use during participation and this is a weakness, particularly in relation to the findings of Study 3.</w:t>
      </w:r>
    </w:p>
    <w:p w14:paraId="4E5FB90C" w14:textId="53DBA6E8" w:rsidR="006E2809" w:rsidRPr="00734AB6" w:rsidRDefault="006E2809" w:rsidP="006E2809">
      <w:pPr>
        <w:spacing w:line="360" w:lineRule="auto"/>
        <w:ind w:firstLine="851"/>
        <w:rPr>
          <w:rFonts w:asciiTheme="majorHAnsi" w:hAnsiTheme="majorHAnsi"/>
        </w:rPr>
      </w:pPr>
      <w:r w:rsidRPr="00734AB6">
        <w:rPr>
          <w:rFonts w:asciiTheme="majorHAnsi" w:hAnsiTheme="majorHAnsi"/>
        </w:rPr>
        <w:t>Additionally, the use of university undergraduates as a control group in Study 3 is also a weakness as university undergraduate psychology students do not represent a broad enough range of healthy adults</w:t>
      </w:r>
      <w:r w:rsidR="00282BFE" w:rsidRPr="00734AB6">
        <w:rPr>
          <w:rFonts w:asciiTheme="majorHAnsi" w:hAnsiTheme="majorHAnsi"/>
        </w:rPr>
        <w:t xml:space="preserve"> (Coolican, 2017)</w:t>
      </w:r>
      <w:r w:rsidRPr="00734AB6">
        <w:rPr>
          <w:rFonts w:asciiTheme="majorHAnsi" w:hAnsiTheme="majorHAnsi"/>
        </w:rPr>
        <w:t>. However, the use of university students as participants or respondents is common practice in academic research and serves as a good comparison with CED-using students. A further weakness of Study 3 is that the participants were not screened for drugs and the influence of any drugs could have had an effect on task performance.</w:t>
      </w:r>
    </w:p>
    <w:p w14:paraId="494ADBDF" w14:textId="24736D1A" w:rsidR="006E2809" w:rsidRPr="00734AB6" w:rsidRDefault="006E2809" w:rsidP="006E2809">
      <w:pPr>
        <w:spacing w:line="360" w:lineRule="auto"/>
        <w:ind w:firstLine="851"/>
        <w:rPr>
          <w:rFonts w:asciiTheme="majorHAnsi" w:hAnsiTheme="majorHAnsi"/>
        </w:rPr>
      </w:pPr>
      <w:r w:rsidRPr="00734AB6">
        <w:rPr>
          <w:rFonts w:asciiTheme="majorHAnsi" w:hAnsiTheme="majorHAnsi"/>
        </w:rPr>
        <w:t>Finally, as discussed in Section 2.1, the use of online surveys comes with recognised weaknesses including self-selection bias and recruiting from only the Internet-using population. However, online surveys have become increasingly popular in academic research and provide benefits such as reaching a wide population.</w:t>
      </w:r>
    </w:p>
    <w:p w14:paraId="57E1E409" w14:textId="77777777" w:rsidR="006E2809" w:rsidRPr="00734AB6" w:rsidRDefault="006E2809" w:rsidP="006E2809">
      <w:pPr>
        <w:spacing w:line="360" w:lineRule="auto"/>
        <w:ind w:firstLine="851"/>
      </w:pPr>
    </w:p>
    <w:p w14:paraId="0FF607F0" w14:textId="5C8276DB" w:rsidR="006E2809" w:rsidRPr="00734AB6" w:rsidRDefault="009C199E" w:rsidP="006E2809">
      <w:pPr>
        <w:pStyle w:val="Heading2"/>
        <w:spacing w:after="240" w:line="360" w:lineRule="auto"/>
        <w:rPr>
          <w:b/>
          <w:color w:val="auto"/>
          <w:sz w:val="22"/>
        </w:rPr>
      </w:pPr>
      <w:bookmarkStart w:id="111" w:name="_Toc48136402"/>
      <w:r w:rsidRPr="00734AB6">
        <w:rPr>
          <w:b/>
          <w:color w:val="auto"/>
          <w:sz w:val="22"/>
        </w:rPr>
        <w:t>5.8</w:t>
      </w:r>
      <w:r w:rsidR="006E2809" w:rsidRPr="00734AB6">
        <w:rPr>
          <w:b/>
          <w:color w:val="auto"/>
          <w:sz w:val="22"/>
        </w:rPr>
        <w:tab/>
        <w:t>Future Directions</w:t>
      </w:r>
      <w:bookmarkEnd w:id="111"/>
    </w:p>
    <w:p w14:paraId="6C9B2D6B" w14:textId="6DC10A34"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It has been </w:t>
      </w:r>
      <w:r w:rsidR="00507BB1" w:rsidRPr="00734AB6">
        <w:rPr>
          <w:rFonts w:asciiTheme="majorHAnsi" w:hAnsiTheme="majorHAnsi"/>
        </w:rPr>
        <w:t>previously argued in Section 1.5</w:t>
      </w:r>
      <w:r w:rsidRPr="00734AB6">
        <w:rPr>
          <w:rFonts w:asciiTheme="majorHAnsi" w:hAnsiTheme="majorHAnsi"/>
        </w:rPr>
        <w:t xml:space="preserve"> that if some CED users are self-medicating for poor cognitive performance, this may be related to the baseline performance level of the individual taking CEDs. As Finke et al.’s (2010) study indicated, low baseline performers may </w:t>
      </w:r>
      <w:r w:rsidRPr="00734AB6">
        <w:rPr>
          <w:rFonts w:asciiTheme="majorHAnsi" w:hAnsiTheme="majorHAnsi"/>
        </w:rPr>
        <w:lastRenderedPageBreak/>
        <w:t xml:space="preserve">experience greater cognitive enhancing effects of drugs such as modafinil and methylphenidate. Related to this is the polymorphism of the COMT gene, with poor cognitive performers possessing the </w:t>
      </w:r>
      <w:proofErr w:type="spellStart"/>
      <w:r w:rsidRPr="00734AB6">
        <w:rPr>
          <w:rFonts w:asciiTheme="majorHAnsi" w:hAnsiTheme="majorHAnsi"/>
        </w:rPr>
        <w:t>val</w:t>
      </w:r>
      <w:proofErr w:type="spellEnd"/>
      <w:r w:rsidRPr="00734AB6">
        <w:rPr>
          <w:rFonts w:asciiTheme="majorHAnsi" w:hAnsiTheme="majorHAnsi"/>
        </w:rPr>
        <w:t xml:space="preserve"> allele, as suggested by </w:t>
      </w:r>
      <w:proofErr w:type="spellStart"/>
      <w:r w:rsidRPr="00734AB6">
        <w:rPr>
          <w:rFonts w:asciiTheme="majorHAnsi" w:hAnsiTheme="majorHAnsi"/>
        </w:rPr>
        <w:t>Mattay</w:t>
      </w:r>
      <w:proofErr w:type="spellEnd"/>
      <w:r w:rsidRPr="00734AB6">
        <w:rPr>
          <w:rFonts w:asciiTheme="majorHAnsi" w:hAnsiTheme="majorHAnsi"/>
        </w:rPr>
        <w:t xml:space="preserve"> et al. (2003). Therefore</w:t>
      </w:r>
      <w:r w:rsidR="00C875C9" w:rsidRPr="00734AB6">
        <w:rPr>
          <w:rFonts w:asciiTheme="majorHAnsi" w:hAnsiTheme="majorHAnsi"/>
        </w:rPr>
        <w:t>,</w:t>
      </w:r>
      <w:r w:rsidRPr="00734AB6">
        <w:rPr>
          <w:rFonts w:asciiTheme="majorHAnsi" w:hAnsiTheme="majorHAnsi"/>
        </w:rPr>
        <w:t xml:space="preserve"> it may be beneficial for future research to investigate the baseline level and specific allele of the COMT gene of CED users in relation to poor cognitive performance. Similarly, the polymorphism of the DRD4.7 gene has been linked to inattention, as previously discussed, and this also presents an area of future research investigating the presence of the DRD4.7 gene in CED users in relation to poor cognitive performance.</w:t>
      </w:r>
    </w:p>
    <w:p w14:paraId="182A5AA9" w14:textId="2CF297A4"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As the findings from the studies of this thesis relate only to the online forum off-prescription user of modafinil and methylphenidate, </w:t>
      </w:r>
      <w:r w:rsidR="00775C79" w:rsidRPr="00734AB6">
        <w:rPr>
          <w:rFonts w:asciiTheme="majorHAnsi" w:hAnsiTheme="majorHAnsi"/>
        </w:rPr>
        <w:t xml:space="preserve">these findings </w:t>
      </w:r>
      <w:r w:rsidRPr="00734AB6">
        <w:rPr>
          <w:rFonts w:asciiTheme="majorHAnsi" w:hAnsiTheme="majorHAnsi"/>
        </w:rPr>
        <w:t>now needs to be expanded upon to reach the wider population of off-prescription users of modafinil and methylphenidate, perhaps via a multi-centre study so that the international element of Studies 1 and 2 may be replicated via a lab-based approach. As procrastination was only measured in Study 2 via the GPS (</w:t>
      </w:r>
      <w:r w:rsidR="00112D5F" w:rsidRPr="00734AB6">
        <w:rPr>
          <w:rFonts w:asciiTheme="majorHAnsi" w:hAnsiTheme="majorHAnsi"/>
        </w:rPr>
        <w:t>Lay, 1986</w:t>
      </w:r>
      <w:r w:rsidRPr="00734AB6">
        <w:rPr>
          <w:rFonts w:asciiTheme="majorHAnsi" w:hAnsiTheme="majorHAnsi"/>
        </w:rPr>
        <w:t>), this could also be tested in a naturalistic situation. Zuber et al. (2020) conducted a lab-based study where the participants completed the Pure Procrastination Scale (</w:t>
      </w:r>
      <w:proofErr w:type="spellStart"/>
      <w:r w:rsidRPr="00734AB6">
        <w:rPr>
          <w:rFonts w:asciiTheme="majorHAnsi" w:hAnsiTheme="majorHAnsi"/>
        </w:rPr>
        <w:t>Rebetez</w:t>
      </w:r>
      <w:proofErr w:type="spellEnd"/>
      <w:r w:rsidRPr="00734AB6">
        <w:rPr>
          <w:rFonts w:asciiTheme="majorHAnsi" w:hAnsiTheme="majorHAnsi"/>
        </w:rPr>
        <w:t xml:space="preserve">, </w:t>
      </w:r>
      <w:proofErr w:type="spellStart"/>
      <w:r w:rsidRPr="00734AB6">
        <w:rPr>
          <w:rFonts w:asciiTheme="majorHAnsi" w:hAnsiTheme="majorHAnsi"/>
        </w:rPr>
        <w:t>Rochat</w:t>
      </w:r>
      <w:proofErr w:type="spellEnd"/>
      <w:r w:rsidRPr="00734AB6">
        <w:rPr>
          <w:rFonts w:asciiTheme="majorHAnsi" w:hAnsiTheme="majorHAnsi"/>
        </w:rPr>
        <w:t>, Gay, &amp; Van der Linden, 2014) and at the end of the session they were presented with an attendance sheet which they were told they were required to sign, scan and email by a specific date and failure to do so by this specific date would result in invalidate of their course credits. Their results indicated that participants’ self-reports significantly predicted procrastinatory behaviour. Therefore</w:t>
      </w:r>
      <w:r w:rsidR="00C875C9" w:rsidRPr="00734AB6">
        <w:rPr>
          <w:rFonts w:asciiTheme="majorHAnsi" w:hAnsiTheme="majorHAnsi"/>
        </w:rPr>
        <w:t>,</w:t>
      </w:r>
      <w:r w:rsidRPr="00734AB6">
        <w:rPr>
          <w:rFonts w:asciiTheme="majorHAnsi" w:hAnsiTheme="majorHAnsi"/>
        </w:rPr>
        <w:t xml:space="preserve"> the inclusion of a naturalistic test of procrastination should also be considered in future investigations. </w:t>
      </w:r>
    </w:p>
    <w:p w14:paraId="2BE4B161" w14:textId="21B16168"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online forum sites targeted in all three studies </w:t>
      </w:r>
      <w:r w:rsidR="00C875C9" w:rsidRPr="00734AB6">
        <w:rPr>
          <w:rFonts w:asciiTheme="majorHAnsi" w:hAnsiTheme="majorHAnsi"/>
        </w:rPr>
        <w:t xml:space="preserve">of this thesis </w:t>
      </w:r>
      <w:r w:rsidRPr="00734AB6">
        <w:rPr>
          <w:rFonts w:asciiTheme="majorHAnsi" w:hAnsiTheme="majorHAnsi"/>
        </w:rPr>
        <w:t>draw a wider range of people than just students, therefore the samples in each study consisted of a mix of students and workers. Students are typically working towards an end goal and require attention, concentration, focus and avoidance of procrastination in order to achieve for good grades. In comparison, in many areas of employment, the work is ongoing rather than working towards an end goal, and the worker brings to the job their skills and expertise, often in very competitive work environments where greater demands are placed upon the worker’s time and performance (</w:t>
      </w:r>
      <w:proofErr w:type="spellStart"/>
      <w:r w:rsidRPr="00734AB6">
        <w:rPr>
          <w:rFonts w:asciiTheme="majorHAnsi" w:hAnsiTheme="majorHAnsi"/>
        </w:rPr>
        <w:t>Brűhl</w:t>
      </w:r>
      <w:proofErr w:type="spellEnd"/>
      <w:r w:rsidRPr="00734AB6">
        <w:rPr>
          <w:rFonts w:asciiTheme="majorHAnsi" w:hAnsiTheme="majorHAnsi"/>
        </w:rPr>
        <w:t xml:space="preserve"> &amp; Sahakian, 2016). With this in mind, it may be that a greater majority of CED-using students are self-medicating rather than enhancing and a greater majority of CED-using workers are enhancing their already good cognitive functions. However, as the studies conducted for this thesis </w:t>
      </w:r>
      <w:r w:rsidR="00112D5F" w:rsidRPr="00734AB6">
        <w:rPr>
          <w:rFonts w:asciiTheme="majorHAnsi" w:hAnsiTheme="majorHAnsi"/>
        </w:rPr>
        <w:t xml:space="preserve">were not designed in such a way to allow </w:t>
      </w:r>
      <w:r w:rsidRPr="00734AB6">
        <w:rPr>
          <w:rFonts w:asciiTheme="majorHAnsi" w:hAnsiTheme="majorHAnsi"/>
        </w:rPr>
        <w:t>students and workers</w:t>
      </w:r>
      <w:r w:rsidR="00112D5F" w:rsidRPr="00734AB6">
        <w:rPr>
          <w:rFonts w:asciiTheme="majorHAnsi" w:hAnsiTheme="majorHAnsi"/>
        </w:rPr>
        <w:t xml:space="preserve"> to be separated,</w:t>
      </w:r>
      <w:r w:rsidRPr="00734AB6">
        <w:rPr>
          <w:rFonts w:asciiTheme="majorHAnsi" w:hAnsiTheme="majorHAnsi"/>
        </w:rPr>
        <w:t xml:space="preserve"> this has not yet been explored and presents an area for future investigation.</w:t>
      </w:r>
    </w:p>
    <w:p w14:paraId="7F75A19D" w14:textId="77777777"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As discussed in Section 5.4.3, there is a risk of dependency with the regular off-prescription use of modafinil and methylphenidate and this risk may increase with the diagnosis </w:t>
      </w:r>
      <w:r w:rsidRPr="00734AB6">
        <w:rPr>
          <w:rFonts w:asciiTheme="majorHAnsi" w:hAnsiTheme="majorHAnsi"/>
        </w:rPr>
        <w:lastRenderedPageBreak/>
        <w:t>of a psychiatric disorder. Kandel, Huang and Davies (2001) investigated the pattern of concurrent dependence on licit and illicit drugs in adults with psychiatric syndromes from data collected from the National Household Survey on Drug Abuse. They found that individuals with probable drug dependency had higher rates of psychiatric syndromes and that rates of psychiatric syndromes doubled for those dependent on both licit and illicit drugs. The possibility that the development of dependency from the regular off-prescription use of modafinil and methylphenidate increases with the diagnosis of a psychiatric disorder should therefore be investigated.</w:t>
      </w:r>
    </w:p>
    <w:p w14:paraId="7609E7A3" w14:textId="4C770CE0" w:rsidR="00C875C9" w:rsidRPr="00734AB6" w:rsidRDefault="00C875C9" w:rsidP="00C875C9">
      <w:pPr>
        <w:spacing w:line="360" w:lineRule="auto"/>
        <w:ind w:firstLine="851"/>
        <w:rPr>
          <w:rFonts w:asciiTheme="majorHAnsi" w:hAnsiTheme="majorHAnsi"/>
        </w:rPr>
      </w:pPr>
      <w:r w:rsidRPr="00734AB6">
        <w:rPr>
          <w:rFonts w:asciiTheme="majorHAnsi" w:hAnsiTheme="majorHAnsi"/>
        </w:rPr>
        <w:t>Given</w:t>
      </w:r>
      <w:r w:rsidR="006E2809" w:rsidRPr="00734AB6">
        <w:rPr>
          <w:rFonts w:asciiTheme="majorHAnsi" w:hAnsiTheme="majorHAnsi"/>
        </w:rPr>
        <w:t xml:space="preserve"> the many possible motivations and drivers behind off-prescription use of CEDs, this </w:t>
      </w:r>
      <w:r w:rsidRPr="00734AB6">
        <w:rPr>
          <w:rFonts w:asciiTheme="majorHAnsi" w:hAnsiTheme="majorHAnsi"/>
        </w:rPr>
        <w:t xml:space="preserve">issue </w:t>
      </w:r>
      <w:r w:rsidR="006E2809" w:rsidRPr="00734AB6">
        <w:rPr>
          <w:rFonts w:asciiTheme="majorHAnsi" w:hAnsiTheme="majorHAnsi"/>
        </w:rPr>
        <w:t>should be further explored in relation to the ethical debate and could be addressed via a qualitative study investigating the beliefs and opinions about the use of CEDs in relation to self-medication, enhancement and the struggle to meet the pressure and demands of the modern Western society.</w:t>
      </w:r>
      <w:r w:rsidR="00A8312B" w:rsidRPr="00734AB6">
        <w:rPr>
          <w:rFonts w:asciiTheme="majorHAnsi" w:hAnsiTheme="majorHAnsi"/>
        </w:rPr>
        <w:t xml:space="preserve"> A qualitative study could also investigate whether adults with poor cognitive functions unrelated to ADHD have the support and help they need.</w:t>
      </w:r>
      <w:r w:rsidR="006E2809" w:rsidRPr="00734AB6">
        <w:rPr>
          <w:rFonts w:asciiTheme="majorHAnsi" w:hAnsiTheme="majorHAnsi"/>
        </w:rPr>
        <w:t xml:space="preserve"> </w:t>
      </w:r>
      <w:r w:rsidRPr="00734AB6">
        <w:rPr>
          <w:rFonts w:asciiTheme="majorHAnsi" w:hAnsiTheme="majorHAnsi"/>
        </w:rPr>
        <w:t>Investigating the drivers</w:t>
      </w:r>
      <w:r w:rsidR="000D31F4" w:rsidRPr="00734AB6">
        <w:rPr>
          <w:rFonts w:asciiTheme="majorHAnsi" w:hAnsiTheme="majorHAnsi"/>
        </w:rPr>
        <w:t>,</w:t>
      </w:r>
      <w:r w:rsidRPr="00734AB6">
        <w:rPr>
          <w:rFonts w:asciiTheme="majorHAnsi" w:hAnsiTheme="majorHAnsi"/>
        </w:rPr>
        <w:t xml:space="preserve"> motivations and pressures behind the use of CEDs could also be addressed more directly in a qualitative study</w:t>
      </w:r>
      <w:r w:rsidR="005A507F" w:rsidRPr="00734AB6">
        <w:rPr>
          <w:rFonts w:asciiTheme="majorHAnsi" w:hAnsiTheme="majorHAnsi"/>
        </w:rPr>
        <w:t>,</w:t>
      </w:r>
      <w:r w:rsidR="000D31F4" w:rsidRPr="00734AB6">
        <w:rPr>
          <w:rFonts w:asciiTheme="majorHAnsi" w:hAnsiTheme="majorHAnsi"/>
        </w:rPr>
        <w:t xml:space="preserve"> which could also </w:t>
      </w:r>
      <w:r w:rsidR="00D12D1F" w:rsidRPr="00734AB6">
        <w:rPr>
          <w:rFonts w:asciiTheme="majorHAnsi" w:hAnsiTheme="majorHAnsi"/>
        </w:rPr>
        <w:t xml:space="preserve">explore whether </w:t>
      </w:r>
      <w:r w:rsidR="00A8312B" w:rsidRPr="00734AB6">
        <w:rPr>
          <w:rFonts w:asciiTheme="majorHAnsi" w:hAnsiTheme="majorHAnsi"/>
        </w:rPr>
        <w:t xml:space="preserve">poor cognitive performance or the pressures </w:t>
      </w:r>
      <w:r w:rsidR="00EF72D3" w:rsidRPr="00734AB6">
        <w:rPr>
          <w:rFonts w:asciiTheme="majorHAnsi" w:hAnsiTheme="majorHAnsi"/>
        </w:rPr>
        <w:t xml:space="preserve">and demands </w:t>
      </w:r>
      <w:r w:rsidR="00A8312B" w:rsidRPr="00734AB6">
        <w:rPr>
          <w:rFonts w:asciiTheme="majorHAnsi" w:hAnsiTheme="majorHAnsi"/>
        </w:rPr>
        <w:t xml:space="preserve">of the Information Age </w:t>
      </w:r>
      <w:r w:rsidR="00EF72D3" w:rsidRPr="00734AB6">
        <w:rPr>
          <w:rFonts w:asciiTheme="majorHAnsi" w:hAnsiTheme="majorHAnsi"/>
        </w:rPr>
        <w:t>are driving individuals to improve their cognitive abilities through the off-prescription use of CEDs</w:t>
      </w:r>
      <w:r w:rsidRPr="00734AB6">
        <w:rPr>
          <w:rFonts w:asciiTheme="majorHAnsi" w:hAnsiTheme="majorHAnsi"/>
        </w:rPr>
        <w:t>.</w:t>
      </w:r>
      <w:r w:rsidR="000D31F4" w:rsidRPr="00734AB6">
        <w:rPr>
          <w:rFonts w:asciiTheme="majorHAnsi" w:hAnsiTheme="majorHAnsi"/>
        </w:rPr>
        <w:t xml:space="preserve"> </w:t>
      </w:r>
      <w:r w:rsidR="00D12D1F" w:rsidRPr="00734AB6">
        <w:rPr>
          <w:rFonts w:asciiTheme="majorHAnsi" w:hAnsiTheme="majorHAnsi"/>
        </w:rPr>
        <w:t xml:space="preserve"> </w:t>
      </w:r>
    </w:p>
    <w:p w14:paraId="6C10BBC0" w14:textId="6215B692" w:rsidR="006E2809" w:rsidRPr="00734AB6" w:rsidRDefault="006E2809" w:rsidP="00C875C9">
      <w:pPr>
        <w:spacing w:line="360" w:lineRule="auto"/>
        <w:ind w:firstLine="851"/>
        <w:rPr>
          <w:rFonts w:asciiTheme="majorHAnsi" w:hAnsiTheme="majorHAnsi"/>
          <w:color w:val="FF0000"/>
        </w:rPr>
      </w:pPr>
    </w:p>
    <w:p w14:paraId="58FFB4BA" w14:textId="3FA79F78" w:rsidR="006E2809" w:rsidRPr="00734AB6" w:rsidRDefault="009C199E" w:rsidP="006E2809">
      <w:pPr>
        <w:pStyle w:val="Heading2"/>
        <w:spacing w:after="240" w:line="360" w:lineRule="auto"/>
        <w:rPr>
          <w:b/>
          <w:color w:val="auto"/>
          <w:sz w:val="24"/>
        </w:rPr>
      </w:pPr>
      <w:bookmarkStart w:id="112" w:name="_Toc48136403"/>
      <w:r w:rsidRPr="00734AB6">
        <w:rPr>
          <w:b/>
          <w:color w:val="auto"/>
          <w:sz w:val="24"/>
        </w:rPr>
        <w:t>5.9</w:t>
      </w:r>
      <w:r w:rsidR="006E2809" w:rsidRPr="00734AB6">
        <w:rPr>
          <w:b/>
          <w:color w:val="auto"/>
          <w:sz w:val="24"/>
        </w:rPr>
        <w:tab/>
        <w:t>Conclusions</w:t>
      </w:r>
      <w:bookmarkEnd w:id="112"/>
    </w:p>
    <w:p w14:paraId="64C526B3" w14:textId="365F9390"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In sum, this thesis set out to identify the profile of the off-prescription CED user and to understand their experience of using these drugs as well as the drivers behind off-prescription use, even in the face of the potential risks involved. This aim was achieved via the findings of the profile and experiences identified in Study 1 and supported via the findings of Studies 2 and 3. The profile of the online forum-using CED user has been identified as mostly male, in their mid-20s, educated, employed and either </w:t>
      </w:r>
      <w:r w:rsidR="00BC6247" w:rsidRPr="00734AB6">
        <w:rPr>
          <w:rFonts w:asciiTheme="majorHAnsi" w:hAnsiTheme="majorHAnsi"/>
        </w:rPr>
        <w:t>North American</w:t>
      </w:r>
      <w:r w:rsidRPr="00734AB6">
        <w:rPr>
          <w:rFonts w:asciiTheme="majorHAnsi" w:hAnsiTheme="majorHAnsi"/>
        </w:rPr>
        <w:t xml:space="preserve"> or British. The CED user who frequents online forums is also likely to use illicit drugs. The reported dosage and patterns of use of modafinil and methylphenidate by these respondents and participants, overall, appears to be responsible and informed. However, there is the potential for dependency to develop through more frequent use and this needs to be investigated.</w:t>
      </w:r>
    </w:p>
    <w:p w14:paraId="7A6A86C7" w14:textId="4FE151A4"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This thesis also aimed to establish whether users are self-medicating for poor cognitive performance or if they are enhancing their already good cognitive functions. The findings of Study 2 suggested that some users may be self-medicating but this was not evident from the findings of Study 3, which found that the CED-using participants were likely to be enhancing their already good cognitive functions. However, this </w:t>
      </w:r>
      <w:r w:rsidR="00C875C9" w:rsidRPr="00734AB6">
        <w:rPr>
          <w:rFonts w:asciiTheme="majorHAnsi" w:hAnsiTheme="majorHAnsi"/>
        </w:rPr>
        <w:t xml:space="preserve">finding </w:t>
      </w:r>
      <w:r w:rsidRPr="00734AB6">
        <w:rPr>
          <w:rFonts w:asciiTheme="majorHAnsi" w:hAnsiTheme="majorHAnsi"/>
        </w:rPr>
        <w:t xml:space="preserve">may only represent a sub-group of users and </w:t>
      </w:r>
      <w:r w:rsidRPr="00734AB6">
        <w:rPr>
          <w:rFonts w:asciiTheme="majorHAnsi" w:hAnsiTheme="majorHAnsi"/>
        </w:rPr>
        <w:lastRenderedPageBreak/>
        <w:t>whether modafinil and methylphenidate off-prescription users are self-medicating has yet to be clarified. The findings of Study 2 represent the perceptions of CED users in the context of real world experiences and therefore the suggestion that some CED users are self-medicating for, what they experience as, inattention and procrastination is an important contribution to the body of work in this field.</w:t>
      </w:r>
    </w:p>
    <w:p w14:paraId="63C173C1" w14:textId="60BF5FBA"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The culmination of the </w:t>
      </w:r>
      <w:r w:rsidR="0051668A" w:rsidRPr="00734AB6">
        <w:rPr>
          <w:rFonts w:asciiTheme="majorHAnsi" w:hAnsiTheme="majorHAnsi"/>
        </w:rPr>
        <w:t>results</w:t>
      </w:r>
      <w:r w:rsidRPr="00734AB6">
        <w:rPr>
          <w:rFonts w:asciiTheme="majorHAnsi" w:hAnsiTheme="majorHAnsi"/>
        </w:rPr>
        <w:t xml:space="preserve"> from these studies have also indicated that CED users should not be considered as one, homogenous group as different groups of individuals are drawn to different drugs. Whether they obtain them from their friends and colleagues, which has been seen commonly with methylphenidate, or if they have learned about certain CEDs through online forum sites, if they are occasional users or frequent users who find greater benefits from more frequent use, these differences in the approach to and the patterns of CED use alters the profile of the user. Motivations and drivers behind their use are also varied. The </w:t>
      </w:r>
      <w:r w:rsidR="0051668A" w:rsidRPr="00734AB6">
        <w:rPr>
          <w:rFonts w:asciiTheme="majorHAnsi" w:hAnsiTheme="majorHAnsi"/>
        </w:rPr>
        <w:t>possibility</w:t>
      </w:r>
      <w:r w:rsidRPr="00734AB6">
        <w:rPr>
          <w:rFonts w:asciiTheme="majorHAnsi" w:hAnsiTheme="majorHAnsi"/>
        </w:rPr>
        <w:t xml:space="preserve"> that there </w:t>
      </w:r>
      <w:r w:rsidR="00112D5F" w:rsidRPr="00734AB6">
        <w:rPr>
          <w:rFonts w:asciiTheme="majorHAnsi" w:hAnsiTheme="majorHAnsi"/>
        </w:rPr>
        <w:t>may be</w:t>
      </w:r>
      <w:r w:rsidRPr="00734AB6">
        <w:rPr>
          <w:rFonts w:asciiTheme="majorHAnsi" w:hAnsiTheme="majorHAnsi"/>
        </w:rPr>
        <w:t xml:space="preserve"> these different sub-groups of CED </w:t>
      </w:r>
      <w:proofErr w:type="spellStart"/>
      <w:r w:rsidRPr="00734AB6">
        <w:rPr>
          <w:rFonts w:asciiTheme="majorHAnsi" w:hAnsiTheme="majorHAnsi"/>
        </w:rPr>
        <w:t>users</w:t>
      </w:r>
      <w:proofErr w:type="spellEnd"/>
      <w:r w:rsidRPr="00734AB6">
        <w:rPr>
          <w:rFonts w:asciiTheme="majorHAnsi" w:hAnsiTheme="majorHAnsi"/>
        </w:rPr>
        <w:t xml:space="preserve"> needs to be acknowledged and considered in relation to future research conducted in this field and in relation to the wider debate around CED usage and in relation to policy decisions. Considering these varied reasons behind the off-prescription use of CEDs is essential if this developing trend is to be managed effectively as dealing with the cause is as important as dealing with the resulting situation.</w:t>
      </w:r>
    </w:p>
    <w:p w14:paraId="0F82AFDF" w14:textId="646EE581" w:rsidR="006E2809" w:rsidRPr="00734AB6" w:rsidRDefault="006E2809" w:rsidP="006E2809">
      <w:pPr>
        <w:spacing w:line="360" w:lineRule="auto"/>
        <w:ind w:firstLine="851"/>
        <w:rPr>
          <w:rFonts w:asciiTheme="majorHAnsi" w:hAnsiTheme="majorHAnsi"/>
        </w:rPr>
      </w:pPr>
      <w:r w:rsidRPr="00734AB6">
        <w:rPr>
          <w:rFonts w:asciiTheme="majorHAnsi" w:hAnsiTheme="majorHAnsi"/>
        </w:rPr>
        <w:t xml:space="preserve">This thesis has provided important evidence about the </w:t>
      </w:r>
      <w:r w:rsidR="0051668A" w:rsidRPr="00734AB6">
        <w:rPr>
          <w:rFonts w:asciiTheme="majorHAnsi" w:hAnsiTheme="majorHAnsi"/>
        </w:rPr>
        <w:t xml:space="preserve">real-life use </w:t>
      </w:r>
      <w:r w:rsidRPr="00734AB6">
        <w:rPr>
          <w:rFonts w:asciiTheme="majorHAnsi" w:hAnsiTheme="majorHAnsi"/>
        </w:rPr>
        <w:t xml:space="preserve">of the CEDs, modafinil and methylphenidate, </w:t>
      </w:r>
      <w:r w:rsidR="00EE1F02" w:rsidRPr="00734AB6">
        <w:rPr>
          <w:rFonts w:asciiTheme="majorHAnsi" w:hAnsiTheme="majorHAnsi"/>
        </w:rPr>
        <w:t xml:space="preserve">and also laboratory evidence, </w:t>
      </w:r>
      <w:r w:rsidRPr="00734AB6">
        <w:rPr>
          <w:rFonts w:asciiTheme="majorHAnsi" w:hAnsiTheme="majorHAnsi"/>
        </w:rPr>
        <w:t xml:space="preserve">which is intended to contribute to the growing body of knowledge in the field of </w:t>
      </w:r>
      <w:r w:rsidR="0051668A" w:rsidRPr="00734AB6">
        <w:rPr>
          <w:rFonts w:asciiTheme="majorHAnsi" w:hAnsiTheme="majorHAnsi"/>
        </w:rPr>
        <w:t>CED</w:t>
      </w:r>
      <w:r w:rsidRPr="00734AB6">
        <w:rPr>
          <w:rFonts w:asciiTheme="majorHAnsi" w:hAnsiTheme="majorHAnsi"/>
        </w:rPr>
        <w:t xml:space="preserve"> use. It is also hoped that the findings herein may help to provide a greater understanding of reasons behind the off-prescription use of modafinil and methylphenidate, even in the face of the potential risks and harms, and how CED users</w:t>
      </w:r>
      <w:r w:rsidR="0051668A" w:rsidRPr="00734AB6">
        <w:rPr>
          <w:rFonts w:asciiTheme="majorHAnsi" w:hAnsiTheme="majorHAnsi"/>
        </w:rPr>
        <w:t xml:space="preserve"> perceive themselves and</w:t>
      </w:r>
      <w:r w:rsidRPr="00734AB6">
        <w:rPr>
          <w:rFonts w:asciiTheme="majorHAnsi" w:hAnsiTheme="majorHAnsi"/>
        </w:rPr>
        <w:t xml:space="preserve"> are perceived in society.</w:t>
      </w:r>
    </w:p>
    <w:p w14:paraId="23A1C20C" w14:textId="77777777" w:rsidR="006E2809" w:rsidRPr="00734AB6" w:rsidRDefault="006E2809" w:rsidP="006E2809">
      <w:pPr>
        <w:spacing w:line="360" w:lineRule="auto"/>
        <w:ind w:firstLine="851"/>
        <w:rPr>
          <w:rFonts w:asciiTheme="majorHAnsi" w:hAnsiTheme="majorHAnsi"/>
        </w:rPr>
      </w:pPr>
    </w:p>
    <w:p w14:paraId="2AEAAD1B" w14:textId="77777777" w:rsidR="00411F79" w:rsidRPr="00734AB6" w:rsidRDefault="00411F79">
      <w:pPr>
        <w:rPr>
          <w:rFonts w:asciiTheme="majorHAnsi" w:eastAsiaTheme="majorEastAsia" w:hAnsiTheme="majorHAnsi" w:cstheme="majorBidi"/>
          <w:b/>
        </w:rPr>
      </w:pPr>
      <w:r w:rsidRPr="00734AB6">
        <w:rPr>
          <w:b/>
        </w:rPr>
        <w:br w:type="page"/>
      </w:r>
    </w:p>
    <w:p w14:paraId="756E54E3" w14:textId="05A520DF" w:rsidR="004676EF" w:rsidRPr="00734AB6" w:rsidRDefault="004676EF" w:rsidP="0099584D">
      <w:pPr>
        <w:pStyle w:val="Heading1"/>
        <w:spacing w:line="360" w:lineRule="auto"/>
        <w:rPr>
          <w:b/>
          <w:color w:val="auto"/>
          <w:sz w:val="22"/>
          <w:szCs w:val="22"/>
        </w:rPr>
      </w:pPr>
      <w:bookmarkStart w:id="113" w:name="_Toc48136404"/>
      <w:r w:rsidRPr="00734AB6">
        <w:rPr>
          <w:b/>
          <w:color w:val="auto"/>
          <w:sz w:val="22"/>
          <w:szCs w:val="22"/>
        </w:rPr>
        <w:lastRenderedPageBreak/>
        <w:t>REFERENCES</w:t>
      </w:r>
      <w:bookmarkEnd w:id="113"/>
    </w:p>
    <w:p w14:paraId="6C5950E0" w14:textId="7A3EFD6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Ackerman, D. S., &amp; Gross, B. L. (2005). My instructor made me do it: Task characteristics of procrastination. </w:t>
      </w:r>
      <w:r w:rsidR="009F6821" w:rsidRPr="00734AB6">
        <w:rPr>
          <w:rFonts w:asciiTheme="majorHAnsi" w:eastAsia="Calibri" w:hAnsiTheme="majorHAnsi" w:cs="Calibri"/>
          <w:i/>
          <w:iCs/>
        </w:rPr>
        <w:t>Journal of Marketing E</w:t>
      </w:r>
      <w:r w:rsidRPr="00734AB6">
        <w:rPr>
          <w:rFonts w:asciiTheme="majorHAnsi" w:eastAsia="Calibri" w:hAnsiTheme="majorHAnsi" w:cs="Calibri"/>
          <w:i/>
          <w:iCs/>
        </w:rPr>
        <w:t>ducation</w:t>
      </w:r>
      <w:r w:rsidRPr="00734AB6">
        <w:rPr>
          <w:rFonts w:asciiTheme="majorHAnsi" w:eastAsia="Calibri" w:hAnsiTheme="majorHAnsi" w:cs="Calibri"/>
        </w:rPr>
        <w:t>, </w:t>
      </w:r>
      <w:r w:rsidRPr="00734AB6">
        <w:rPr>
          <w:rFonts w:asciiTheme="majorHAnsi" w:eastAsia="Calibri" w:hAnsiTheme="majorHAnsi" w:cs="Calibri"/>
          <w:i/>
          <w:iCs/>
        </w:rPr>
        <w:t>27</w:t>
      </w:r>
      <w:r w:rsidRPr="00734AB6">
        <w:rPr>
          <w:rFonts w:asciiTheme="majorHAnsi" w:eastAsia="Calibri" w:hAnsiTheme="majorHAnsi" w:cs="Calibri"/>
        </w:rPr>
        <w:t>(1), 5-13.</w:t>
      </w:r>
    </w:p>
    <w:p w14:paraId="3980A014"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Agay</w:t>
      </w:r>
      <w:proofErr w:type="spellEnd"/>
      <w:r w:rsidRPr="00734AB6">
        <w:rPr>
          <w:rFonts w:asciiTheme="majorHAnsi" w:eastAsia="Calibri" w:hAnsiTheme="majorHAnsi" w:cs="Calibri"/>
        </w:rPr>
        <w:t xml:space="preserve">, N., </w:t>
      </w:r>
      <w:proofErr w:type="spellStart"/>
      <w:r w:rsidRPr="00734AB6">
        <w:rPr>
          <w:rFonts w:asciiTheme="majorHAnsi" w:eastAsia="Calibri" w:hAnsiTheme="majorHAnsi" w:cs="Calibri"/>
        </w:rPr>
        <w:t>Yechiam</w:t>
      </w:r>
      <w:proofErr w:type="spellEnd"/>
      <w:r w:rsidRPr="00734AB6">
        <w:rPr>
          <w:rFonts w:asciiTheme="majorHAnsi" w:eastAsia="Calibri" w:hAnsiTheme="majorHAnsi" w:cs="Calibri"/>
        </w:rPr>
        <w:t xml:space="preserve">, E., Carmel, Z., &amp; </w:t>
      </w:r>
      <w:proofErr w:type="spellStart"/>
      <w:r w:rsidRPr="00734AB6">
        <w:rPr>
          <w:rFonts w:asciiTheme="majorHAnsi" w:eastAsia="Calibri" w:hAnsiTheme="majorHAnsi" w:cs="Calibri"/>
        </w:rPr>
        <w:t>Levkovitz</w:t>
      </w:r>
      <w:proofErr w:type="spellEnd"/>
      <w:r w:rsidRPr="00734AB6">
        <w:rPr>
          <w:rFonts w:asciiTheme="majorHAnsi" w:eastAsia="Calibri" w:hAnsiTheme="majorHAnsi" w:cs="Calibri"/>
        </w:rPr>
        <w:t>, Y. (2010). Non-specific effects of methylphenidate (Ritalin) on cognitive ability and decision-making of ADHD and healthy adults. </w:t>
      </w:r>
      <w:r w:rsidRPr="00734AB6">
        <w:rPr>
          <w:rFonts w:asciiTheme="majorHAnsi" w:eastAsia="Calibri" w:hAnsiTheme="majorHAnsi" w:cs="Calibri"/>
          <w:i/>
          <w:iCs/>
        </w:rPr>
        <w:t>Psychopharmacology</w:t>
      </w:r>
      <w:r w:rsidRPr="00734AB6">
        <w:rPr>
          <w:rFonts w:asciiTheme="majorHAnsi" w:eastAsia="Calibri" w:hAnsiTheme="majorHAnsi" w:cs="Calibri"/>
        </w:rPr>
        <w:t>, </w:t>
      </w:r>
      <w:r w:rsidRPr="00734AB6">
        <w:rPr>
          <w:rFonts w:asciiTheme="majorHAnsi" w:eastAsia="Calibri" w:hAnsiTheme="majorHAnsi" w:cs="Calibri"/>
          <w:i/>
          <w:iCs/>
        </w:rPr>
        <w:t>210</w:t>
      </w:r>
      <w:r w:rsidRPr="00734AB6">
        <w:rPr>
          <w:rFonts w:asciiTheme="majorHAnsi" w:eastAsia="Calibri" w:hAnsiTheme="majorHAnsi" w:cs="Calibri"/>
        </w:rPr>
        <w:t>(4), 511-519.</w:t>
      </w:r>
    </w:p>
    <w:p w14:paraId="1689FF1A" w14:textId="12ED9238"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Aikins</w:t>
      </w:r>
      <w:proofErr w:type="spellEnd"/>
      <w:r w:rsidRPr="00734AB6">
        <w:rPr>
          <w:rFonts w:asciiTheme="majorHAnsi" w:eastAsia="Calibri" w:hAnsiTheme="majorHAnsi" w:cs="Calibri"/>
        </w:rPr>
        <w:t>, R</w:t>
      </w:r>
      <w:r w:rsidR="00D06771" w:rsidRPr="00734AB6">
        <w:rPr>
          <w:rFonts w:asciiTheme="majorHAnsi" w:eastAsia="Calibri" w:hAnsiTheme="majorHAnsi" w:cs="Calibri"/>
        </w:rPr>
        <w:t>.</w:t>
      </w:r>
      <w:r w:rsidR="00970F14" w:rsidRPr="00734AB6">
        <w:rPr>
          <w:rFonts w:asciiTheme="majorHAnsi" w:eastAsia="Calibri" w:hAnsiTheme="majorHAnsi" w:cs="Calibri"/>
        </w:rPr>
        <w:t xml:space="preserve"> </w:t>
      </w:r>
      <w:r w:rsidRPr="00734AB6">
        <w:rPr>
          <w:rFonts w:asciiTheme="majorHAnsi" w:eastAsia="Calibri" w:hAnsiTheme="majorHAnsi" w:cs="Calibri"/>
        </w:rPr>
        <w:t>D</w:t>
      </w:r>
      <w:r w:rsidR="00970F14" w:rsidRPr="00734AB6">
        <w:rPr>
          <w:rFonts w:asciiTheme="majorHAnsi" w:eastAsia="Calibri" w:hAnsiTheme="majorHAnsi" w:cs="Calibri"/>
        </w:rPr>
        <w:t>.</w:t>
      </w:r>
      <w:r w:rsidRPr="00734AB6">
        <w:rPr>
          <w:rFonts w:asciiTheme="majorHAnsi" w:eastAsia="Calibri" w:hAnsiTheme="majorHAnsi" w:cs="Calibri"/>
        </w:rPr>
        <w:t xml:space="preserve"> (2011).  Academic performance enhancement: A qualitative study of the perceptions and habits of prescription stimulant-using college students. </w:t>
      </w:r>
      <w:r w:rsidRPr="00734AB6">
        <w:rPr>
          <w:rFonts w:asciiTheme="majorHAnsi" w:eastAsia="Calibri" w:hAnsiTheme="majorHAnsi" w:cs="Calibri"/>
          <w:i/>
        </w:rPr>
        <w:t>Journal of College Student Development</w:t>
      </w:r>
      <w:r w:rsidRPr="00734AB6">
        <w:rPr>
          <w:rFonts w:asciiTheme="majorHAnsi" w:eastAsia="Calibri" w:hAnsiTheme="majorHAnsi" w:cs="Calibri"/>
        </w:rPr>
        <w:t>, 52(5), 560-576</w:t>
      </w:r>
    </w:p>
    <w:p w14:paraId="470C4822" w14:textId="7329B6AF"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Åkerstedt</w:t>
      </w:r>
      <w:proofErr w:type="spellEnd"/>
      <w:r w:rsidRPr="00734AB6">
        <w:rPr>
          <w:rFonts w:asciiTheme="majorHAnsi" w:eastAsia="Calibri" w:hAnsiTheme="majorHAnsi" w:cs="Calibri"/>
        </w:rPr>
        <w:t xml:space="preserve">, T., </w:t>
      </w:r>
      <w:proofErr w:type="spellStart"/>
      <w:r w:rsidRPr="00734AB6">
        <w:rPr>
          <w:rFonts w:asciiTheme="majorHAnsi" w:eastAsia="Calibri" w:hAnsiTheme="majorHAnsi" w:cs="Calibri"/>
        </w:rPr>
        <w:t>Torsvall</w:t>
      </w:r>
      <w:proofErr w:type="spellEnd"/>
      <w:r w:rsidRPr="00734AB6">
        <w:rPr>
          <w:rFonts w:asciiTheme="majorHAnsi" w:eastAsia="Calibri" w:hAnsiTheme="majorHAnsi" w:cs="Calibri"/>
        </w:rPr>
        <w:t xml:space="preserve">, L., &amp; </w:t>
      </w:r>
      <w:proofErr w:type="spellStart"/>
      <w:r w:rsidRPr="00734AB6">
        <w:rPr>
          <w:rFonts w:asciiTheme="majorHAnsi" w:eastAsia="Calibri" w:hAnsiTheme="majorHAnsi" w:cs="Calibri"/>
        </w:rPr>
        <w:t>Gillberg</w:t>
      </w:r>
      <w:proofErr w:type="spellEnd"/>
      <w:r w:rsidRPr="00734AB6">
        <w:rPr>
          <w:rFonts w:asciiTheme="majorHAnsi" w:eastAsia="Calibri" w:hAnsiTheme="majorHAnsi" w:cs="Calibri"/>
        </w:rPr>
        <w:t>, M. (1982). Sleepiness and shift work: field studies. </w:t>
      </w:r>
      <w:r w:rsidRPr="00734AB6">
        <w:rPr>
          <w:rFonts w:asciiTheme="majorHAnsi" w:eastAsia="Calibri" w:hAnsiTheme="majorHAnsi" w:cs="Calibri"/>
          <w:i/>
          <w:iCs/>
        </w:rPr>
        <w:t>Sleep: Journal of Sleep Research &amp; Sleep Medicine</w:t>
      </w:r>
      <w:r w:rsidR="00970F14" w:rsidRPr="00734AB6">
        <w:rPr>
          <w:rFonts w:asciiTheme="majorHAnsi" w:eastAsia="Calibri" w:hAnsiTheme="majorHAnsi" w:cs="Calibri"/>
        </w:rPr>
        <w:t>,</w:t>
      </w:r>
      <w:r w:rsidR="00970F14" w:rsidRPr="00734AB6">
        <w:rPr>
          <w:rFonts w:ascii="Arial" w:hAnsi="Arial" w:cs="Arial"/>
          <w:i/>
          <w:iCs/>
          <w:color w:val="333333"/>
          <w:sz w:val="21"/>
          <w:szCs w:val="21"/>
          <w:shd w:val="clear" w:color="auto" w:fill="FFFFFF"/>
        </w:rPr>
        <w:t xml:space="preserve"> </w:t>
      </w:r>
      <w:r w:rsidR="00970F14" w:rsidRPr="00734AB6">
        <w:rPr>
          <w:rFonts w:asciiTheme="majorHAnsi" w:eastAsia="Calibri" w:hAnsiTheme="majorHAnsi" w:cs="Calibri"/>
          <w:i/>
          <w:iCs/>
        </w:rPr>
        <w:t>5</w:t>
      </w:r>
      <w:r w:rsidR="00970F14" w:rsidRPr="00734AB6">
        <w:rPr>
          <w:rFonts w:asciiTheme="majorHAnsi" w:eastAsia="Calibri" w:hAnsiTheme="majorHAnsi" w:cs="Calibri"/>
        </w:rPr>
        <w:t>(</w:t>
      </w:r>
      <w:proofErr w:type="spellStart"/>
      <w:r w:rsidR="00970F14" w:rsidRPr="00734AB6">
        <w:rPr>
          <w:rFonts w:asciiTheme="majorHAnsi" w:eastAsia="Calibri" w:hAnsiTheme="majorHAnsi" w:cs="Calibri"/>
        </w:rPr>
        <w:t>Suppl</w:t>
      </w:r>
      <w:proofErr w:type="spellEnd"/>
      <w:r w:rsidR="00970F14" w:rsidRPr="00734AB6">
        <w:rPr>
          <w:rFonts w:asciiTheme="majorHAnsi" w:eastAsia="Calibri" w:hAnsiTheme="majorHAnsi" w:cs="Calibri"/>
        </w:rPr>
        <w:t xml:space="preserve"> 2), 95–106. </w:t>
      </w:r>
      <w:hyperlink r:id="rId32" w:tgtFrame="_blank" w:history="1">
        <w:r w:rsidR="00970F14" w:rsidRPr="00734AB6">
          <w:rPr>
            <w:rStyle w:val="Hyperlink"/>
            <w:rFonts w:asciiTheme="majorHAnsi" w:eastAsia="Calibri" w:hAnsiTheme="majorHAnsi" w:cs="Calibri"/>
          </w:rPr>
          <w:t>https://doi.org/10.1093/sleep/5.S2.S95</w:t>
        </w:r>
      </w:hyperlink>
      <w:r w:rsidR="00970F14" w:rsidRPr="00734AB6">
        <w:rPr>
          <w:rFonts w:asciiTheme="majorHAnsi" w:eastAsia="Calibri" w:hAnsiTheme="majorHAnsi" w:cs="Calibri"/>
        </w:rPr>
        <w:t>.</w:t>
      </w:r>
    </w:p>
    <w:p w14:paraId="3D382954" w14:textId="4B7621A2"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Algahim</w:t>
      </w:r>
      <w:proofErr w:type="spellEnd"/>
      <w:r w:rsidRPr="00734AB6">
        <w:rPr>
          <w:rFonts w:asciiTheme="majorHAnsi" w:eastAsia="Calibri" w:hAnsiTheme="majorHAnsi" w:cs="Calibri"/>
        </w:rPr>
        <w:t>, M</w:t>
      </w:r>
      <w:r w:rsidR="00970F14" w:rsidRPr="00734AB6">
        <w:rPr>
          <w:rFonts w:asciiTheme="majorHAnsi" w:eastAsia="Calibri" w:hAnsiTheme="majorHAnsi" w:cs="Calibri"/>
        </w:rPr>
        <w:t xml:space="preserve">. </w:t>
      </w:r>
      <w:r w:rsidRPr="00734AB6">
        <w:rPr>
          <w:rFonts w:asciiTheme="majorHAnsi" w:eastAsia="Calibri" w:hAnsiTheme="majorHAnsi" w:cs="Calibri"/>
        </w:rPr>
        <w:t>F</w:t>
      </w:r>
      <w:r w:rsidR="00970F14" w:rsidRPr="00734AB6">
        <w:rPr>
          <w:rFonts w:asciiTheme="majorHAnsi" w:eastAsia="Calibri" w:hAnsiTheme="majorHAnsi" w:cs="Calibri"/>
        </w:rPr>
        <w:t>.</w:t>
      </w:r>
      <w:r w:rsidRPr="00734AB6">
        <w:rPr>
          <w:rFonts w:asciiTheme="majorHAnsi" w:eastAsia="Calibri" w:hAnsiTheme="majorHAnsi" w:cs="Calibri"/>
        </w:rPr>
        <w:t>, Yang, P</w:t>
      </w:r>
      <w:r w:rsidR="00970F14" w:rsidRPr="00734AB6">
        <w:rPr>
          <w:rFonts w:asciiTheme="majorHAnsi" w:eastAsia="Calibri" w:hAnsiTheme="majorHAnsi" w:cs="Calibri"/>
        </w:rPr>
        <w:t xml:space="preserve">. </w:t>
      </w:r>
      <w:r w:rsidRPr="00734AB6">
        <w:rPr>
          <w:rFonts w:asciiTheme="majorHAnsi" w:eastAsia="Calibri" w:hAnsiTheme="majorHAnsi" w:cs="Calibri"/>
        </w:rPr>
        <w:t>B</w:t>
      </w:r>
      <w:r w:rsidR="00970F14" w:rsidRPr="00734AB6">
        <w:rPr>
          <w:rFonts w:asciiTheme="majorHAnsi" w:eastAsia="Calibri" w:hAnsiTheme="majorHAnsi" w:cs="Calibri"/>
        </w:rPr>
        <w:t>.</w:t>
      </w:r>
      <w:r w:rsidRPr="00734AB6">
        <w:rPr>
          <w:rFonts w:asciiTheme="majorHAnsi" w:eastAsia="Calibri" w:hAnsiTheme="majorHAnsi" w:cs="Calibri"/>
        </w:rPr>
        <w:t>, Wilcox, V</w:t>
      </w:r>
      <w:r w:rsidR="00970F14" w:rsidRPr="00734AB6">
        <w:rPr>
          <w:rFonts w:asciiTheme="majorHAnsi" w:eastAsia="Calibri" w:hAnsiTheme="majorHAnsi" w:cs="Calibri"/>
        </w:rPr>
        <w:t xml:space="preserve">. </w:t>
      </w:r>
      <w:r w:rsidRPr="00734AB6">
        <w:rPr>
          <w:rFonts w:asciiTheme="majorHAnsi" w:eastAsia="Calibri" w:hAnsiTheme="majorHAnsi" w:cs="Calibri"/>
        </w:rPr>
        <w:t>T</w:t>
      </w:r>
      <w:r w:rsidR="00970F14" w:rsidRPr="00734AB6">
        <w:rPr>
          <w:rFonts w:asciiTheme="majorHAnsi" w:eastAsia="Calibri" w:hAnsiTheme="majorHAnsi" w:cs="Calibri"/>
        </w:rPr>
        <w:t>.</w:t>
      </w:r>
      <w:r w:rsidRPr="00734AB6">
        <w:rPr>
          <w:rFonts w:asciiTheme="majorHAnsi" w:eastAsia="Calibri" w:hAnsiTheme="majorHAnsi" w:cs="Calibri"/>
        </w:rPr>
        <w:t>, Burau, K</w:t>
      </w:r>
      <w:r w:rsidR="00970F14" w:rsidRPr="00734AB6">
        <w:rPr>
          <w:rFonts w:asciiTheme="majorHAnsi" w:eastAsia="Calibri" w:hAnsiTheme="majorHAnsi" w:cs="Calibri"/>
        </w:rPr>
        <w:t xml:space="preserve">. </w:t>
      </w:r>
      <w:r w:rsidRPr="00734AB6">
        <w:rPr>
          <w:rFonts w:asciiTheme="majorHAnsi" w:eastAsia="Calibri" w:hAnsiTheme="majorHAnsi" w:cs="Calibri"/>
        </w:rPr>
        <w:t>D</w:t>
      </w:r>
      <w:r w:rsidR="00970F14" w:rsidRPr="00734AB6">
        <w:rPr>
          <w:rFonts w:asciiTheme="majorHAnsi" w:eastAsia="Calibri" w:hAnsiTheme="majorHAnsi" w:cs="Calibri"/>
        </w:rPr>
        <w:t>.</w:t>
      </w:r>
      <w:r w:rsidRPr="00734AB6">
        <w:rPr>
          <w:rFonts w:asciiTheme="majorHAnsi" w:eastAsia="Calibri" w:hAnsiTheme="majorHAnsi" w:cs="Calibri"/>
        </w:rPr>
        <w:t>, Swann, A</w:t>
      </w:r>
      <w:r w:rsidR="00970F14" w:rsidRPr="00734AB6">
        <w:rPr>
          <w:rFonts w:asciiTheme="majorHAnsi" w:eastAsia="Calibri" w:hAnsiTheme="majorHAnsi" w:cs="Calibri"/>
        </w:rPr>
        <w:t xml:space="preserve">. </w:t>
      </w:r>
      <w:r w:rsidRPr="00734AB6">
        <w:rPr>
          <w:rFonts w:asciiTheme="majorHAnsi" w:eastAsia="Calibri" w:hAnsiTheme="majorHAnsi" w:cs="Calibri"/>
        </w:rPr>
        <w:t>C</w:t>
      </w:r>
      <w:r w:rsidR="00970F14"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Dafny</w:t>
      </w:r>
      <w:proofErr w:type="spellEnd"/>
      <w:r w:rsidRPr="00734AB6">
        <w:rPr>
          <w:rFonts w:asciiTheme="majorHAnsi" w:eastAsia="Calibri" w:hAnsiTheme="majorHAnsi" w:cs="Calibri"/>
        </w:rPr>
        <w:t>, N</w:t>
      </w:r>
      <w:r w:rsidR="00970F14" w:rsidRPr="00734AB6">
        <w:rPr>
          <w:rFonts w:asciiTheme="majorHAnsi" w:eastAsia="Calibri" w:hAnsiTheme="majorHAnsi" w:cs="Calibri"/>
        </w:rPr>
        <w:t>.</w:t>
      </w:r>
      <w:r w:rsidRPr="00734AB6">
        <w:rPr>
          <w:rFonts w:asciiTheme="majorHAnsi" w:eastAsia="Calibri" w:hAnsiTheme="majorHAnsi" w:cs="Calibri"/>
        </w:rPr>
        <w:t xml:space="preserve"> (2009). Prolonged methylphenidate treatment alters the </w:t>
      </w:r>
      <w:proofErr w:type="spellStart"/>
      <w:r w:rsidRPr="00734AB6">
        <w:rPr>
          <w:rFonts w:asciiTheme="majorHAnsi" w:eastAsia="Calibri" w:hAnsiTheme="majorHAnsi" w:cs="Calibri"/>
        </w:rPr>
        <w:t>behavioral</w:t>
      </w:r>
      <w:proofErr w:type="spellEnd"/>
      <w:r w:rsidRPr="00734AB6">
        <w:rPr>
          <w:rFonts w:asciiTheme="majorHAnsi" w:eastAsia="Calibri" w:hAnsiTheme="majorHAnsi" w:cs="Calibri"/>
        </w:rPr>
        <w:t xml:space="preserve"> diurnal activity pattern of adult male Sprague-Dawley rats. </w:t>
      </w:r>
      <w:r w:rsidRPr="00734AB6">
        <w:rPr>
          <w:rFonts w:asciiTheme="majorHAnsi" w:eastAsia="Calibri" w:hAnsiTheme="majorHAnsi" w:cs="Calibri"/>
          <w:i/>
          <w:iCs/>
        </w:rPr>
        <w:t xml:space="preserve">Pharmacology Biochemistry and </w:t>
      </w:r>
      <w:proofErr w:type="spellStart"/>
      <w:r w:rsidRPr="00734AB6">
        <w:rPr>
          <w:rFonts w:asciiTheme="majorHAnsi" w:eastAsia="Calibri" w:hAnsiTheme="majorHAnsi" w:cs="Calibri"/>
          <w:i/>
          <w:iCs/>
        </w:rPr>
        <w:t>Behavior</w:t>
      </w:r>
      <w:proofErr w:type="spellEnd"/>
      <w:r w:rsidRPr="00734AB6">
        <w:rPr>
          <w:rFonts w:asciiTheme="majorHAnsi" w:eastAsia="Calibri" w:hAnsiTheme="majorHAnsi" w:cs="Calibri"/>
        </w:rPr>
        <w:t>, </w:t>
      </w:r>
      <w:r w:rsidRPr="00734AB6">
        <w:rPr>
          <w:rFonts w:asciiTheme="majorHAnsi" w:eastAsia="Calibri" w:hAnsiTheme="majorHAnsi" w:cs="Calibri"/>
          <w:i/>
          <w:iCs/>
        </w:rPr>
        <w:t>92</w:t>
      </w:r>
      <w:r w:rsidRPr="00734AB6">
        <w:rPr>
          <w:rFonts w:asciiTheme="majorHAnsi" w:eastAsia="Calibri" w:hAnsiTheme="majorHAnsi" w:cs="Calibri"/>
        </w:rPr>
        <w:t>(1), 93-99.</w:t>
      </w:r>
    </w:p>
    <w:p w14:paraId="2E96415A" w14:textId="6D79D912"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American Psychiatric Association. (2013). </w:t>
      </w:r>
      <w:r w:rsidRPr="00734AB6">
        <w:rPr>
          <w:rFonts w:asciiTheme="majorHAnsi" w:hAnsiTheme="majorHAnsi" w:cstheme="minorHAnsi"/>
          <w:i/>
          <w:iCs/>
          <w:shd w:val="clear" w:color="auto" w:fill="FFFFFF"/>
        </w:rPr>
        <w:t>Diagnostic and statistical manual of mental disorders (DSM-5®)</w:t>
      </w:r>
      <w:r w:rsidR="007431FD" w:rsidRPr="00734AB6">
        <w:rPr>
          <w:rFonts w:asciiTheme="majorHAnsi" w:hAnsiTheme="majorHAnsi" w:cstheme="minorHAnsi"/>
          <w:shd w:val="clear" w:color="auto" w:fill="FFFFFF"/>
        </w:rPr>
        <w:t xml:space="preserve"> (5</w:t>
      </w:r>
      <w:r w:rsidR="007431FD" w:rsidRPr="00734AB6">
        <w:rPr>
          <w:rFonts w:asciiTheme="majorHAnsi" w:hAnsiTheme="majorHAnsi" w:cstheme="minorHAnsi"/>
          <w:shd w:val="clear" w:color="auto" w:fill="FFFFFF"/>
          <w:vertAlign w:val="superscript"/>
        </w:rPr>
        <w:t>th</w:t>
      </w:r>
      <w:r w:rsidR="007431FD" w:rsidRPr="00734AB6">
        <w:rPr>
          <w:rFonts w:asciiTheme="majorHAnsi" w:hAnsiTheme="majorHAnsi" w:cstheme="minorHAnsi"/>
          <w:shd w:val="clear" w:color="auto" w:fill="FFFFFF"/>
        </w:rPr>
        <w:t xml:space="preserve"> ed.). Washington:</w:t>
      </w:r>
      <w:r w:rsidRPr="00734AB6">
        <w:rPr>
          <w:rFonts w:asciiTheme="majorHAnsi" w:hAnsiTheme="majorHAnsi" w:cstheme="minorHAnsi"/>
          <w:shd w:val="clear" w:color="auto" w:fill="FFFFFF"/>
        </w:rPr>
        <w:t xml:space="preserve"> American Psychiatric Pub</w:t>
      </w:r>
      <w:r w:rsidR="004B3391" w:rsidRPr="00734AB6">
        <w:rPr>
          <w:rFonts w:asciiTheme="majorHAnsi" w:hAnsiTheme="majorHAnsi" w:cstheme="minorHAnsi"/>
          <w:shd w:val="clear" w:color="auto" w:fill="FFFFFF"/>
        </w:rPr>
        <w:t>lication</w:t>
      </w:r>
      <w:r w:rsidR="007431FD" w:rsidRPr="00734AB6">
        <w:rPr>
          <w:rFonts w:asciiTheme="majorHAnsi" w:hAnsiTheme="majorHAnsi" w:cstheme="minorHAnsi"/>
          <w:shd w:val="clear" w:color="auto" w:fill="FFFFFF"/>
        </w:rPr>
        <w:t>.</w:t>
      </w:r>
    </w:p>
    <w:p w14:paraId="59564F84"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Amiri, S., </w:t>
      </w:r>
      <w:proofErr w:type="spellStart"/>
      <w:r w:rsidRPr="00734AB6">
        <w:rPr>
          <w:rFonts w:asciiTheme="majorHAnsi" w:hAnsiTheme="majorHAnsi" w:cstheme="minorHAnsi"/>
          <w:shd w:val="clear" w:color="auto" w:fill="FFFFFF"/>
        </w:rPr>
        <w:t>Mohammadi</w:t>
      </w:r>
      <w:proofErr w:type="spellEnd"/>
      <w:r w:rsidRPr="00734AB6">
        <w:rPr>
          <w:rFonts w:asciiTheme="majorHAnsi" w:hAnsiTheme="majorHAnsi" w:cstheme="minorHAnsi"/>
          <w:shd w:val="clear" w:color="auto" w:fill="FFFFFF"/>
        </w:rPr>
        <w:t xml:space="preserve">, M. R., </w:t>
      </w:r>
      <w:proofErr w:type="spellStart"/>
      <w:r w:rsidRPr="00734AB6">
        <w:rPr>
          <w:rFonts w:asciiTheme="majorHAnsi" w:hAnsiTheme="majorHAnsi" w:cstheme="minorHAnsi"/>
          <w:shd w:val="clear" w:color="auto" w:fill="FFFFFF"/>
        </w:rPr>
        <w:t>Mohammadi</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Nouroozinejad</w:t>
      </w:r>
      <w:proofErr w:type="spellEnd"/>
      <w:r w:rsidRPr="00734AB6">
        <w:rPr>
          <w:rFonts w:asciiTheme="majorHAnsi" w:hAnsiTheme="majorHAnsi" w:cstheme="minorHAnsi"/>
          <w:shd w:val="clear" w:color="auto" w:fill="FFFFFF"/>
        </w:rPr>
        <w:t xml:space="preserve">, G. H., </w:t>
      </w:r>
      <w:proofErr w:type="spellStart"/>
      <w:r w:rsidRPr="00734AB6">
        <w:rPr>
          <w:rFonts w:asciiTheme="majorHAnsi" w:hAnsiTheme="majorHAnsi" w:cstheme="minorHAnsi"/>
          <w:shd w:val="clear" w:color="auto" w:fill="FFFFFF"/>
        </w:rPr>
        <w:t>Kahbazi</w:t>
      </w:r>
      <w:proofErr w:type="spellEnd"/>
      <w:r w:rsidRPr="00734AB6">
        <w:rPr>
          <w:rFonts w:asciiTheme="majorHAnsi" w:hAnsiTheme="majorHAnsi" w:cstheme="minorHAnsi"/>
          <w:shd w:val="clear" w:color="auto" w:fill="FFFFFF"/>
        </w:rPr>
        <w:t xml:space="preserve">, M., &amp; </w:t>
      </w:r>
      <w:proofErr w:type="spellStart"/>
      <w:r w:rsidRPr="00734AB6">
        <w:rPr>
          <w:rFonts w:asciiTheme="majorHAnsi" w:hAnsiTheme="majorHAnsi" w:cstheme="minorHAnsi"/>
          <w:shd w:val="clear" w:color="auto" w:fill="FFFFFF"/>
        </w:rPr>
        <w:t>Akhondzadeh</w:t>
      </w:r>
      <w:proofErr w:type="spellEnd"/>
      <w:r w:rsidRPr="00734AB6">
        <w:rPr>
          <w:rFonts w:asciiTheme="majorHAnsi" w:hAnsiTheme="majorHAnsi" w:cstheme="minorHAnsi"/>
          <w:shd w:val="clear" w:color="auto" w:fill="FFFFFF"/>
        </w:rPr>
        <w:t xml:space="preserve">, S. (2008). Modafinil as a treatment for Attention-Deficit/Hyperactivity Disorder in children and adolescents: a double blind, randomized clinical trial. </w:t>
      </w:r>
      <w:r w:rsidRPr="00734AB6">
        <w:rPr>
          <w:rFonts w:asciiTheme="majorHAnsi" w:hAnsiTheme="majorHAnsi" w:cstheme="minorHAnsi"/>
          <w:i/>
          <w:shd w:val="clear" w:color="auto" w:fill="FFFFFF"/>
        </w:rPr>
        <w:t>Progress in Neuro-Psychopharmacology and Biological Psychiatry</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32</w:t>
      </w:r>
      <w:r w:rsidRPr="00734AB6">
        <w:rPr>
          <w:rFonts w:asciiTheme="majorHAnsi" w:hAnsiTheme="majorHAnsi" w:cstheme="minorHAnsi"/>
          <w:shd w:val="clear" w:color="auto" w:fill="FFFFFF"/>
        </w:rPr>
        <w:t>(1), 145-149.</w:t>
      </w:r>
    </w:p>
    <w:p w14:paraId="5F35583D" w14:textId="75F74F71"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Anderson, A. L., Reid, M. S., Li, S. H., Holmes, T., </w:t>
      </w:r>
      <w:proofErr w:type="spellStart"/>
      <w:r w:rsidRPr="00734AB6">
        <w:rPr>
          <w:rFonts w:asciiTheme="majorHAnsi" w:hAnsiTheme="majorHAnsi" w:cstheme="minorHAnsi"/>
          <w:shd w:val="clear" w:color="auto" w:fill="FFFFFF"/>
        </w:rPr>
        <w:t>Shemanski</w:t>
      </w:r>
      <w:proofErr w:type="spellEnd"/>
      <w:r w:rsidRPr="00734AB6">
        <w:rPr>
          <w:rFonts w:asciiTheme="majorHAnsi" w:hAnsiTheme="majorHAnsi" w:cstheme="minorHAnsi"/>
          <w:shd w:val="clear" w:color="auto" w:fill="FFFFFF"/>
        </w:rPr>
        <w:t xml:space="preserve">, L., </w:t>
      </w:r>
      <w:proofErr w:type="spellStart"/>
      <w:r w:rsidRPr="00734AB6">
        <w:rPr>
          <w:rFonts w:asciiTheme="majorHAnsi" w:hAnsiTheme="majorHAnsi" w:cstheme="minorHAnsi"/>
          <w:shd w:val="clear" w:color="auto" w:fill="FFFFFF"/>
        </w:rPr>
        <w:t>Slee</w:t>
      </w:r>
      <w:proofErr w:type="spellEnd"/>
      <w:r w:rsidRPr="00734AB6">
        <w:rPr>
          <w:rFonts w:asciiTheme="majorHAnsi" w:hAnsiTheme="majorHAnsi" w:cstheme="minorHAnsi"/>
          <w:shd w:val="clear" w:color="auto" w:fill="FFFFFF"/>
        </w:rPr>
        <w:t xml:space="preserve">, A., ... &amp; </w:t>
      </w:r>
      <w:proofErr w:type="spellStart"/>
      <w:r w:rsidRPr="00734AB6">
        <w:rPr>
          <w:rFonts w:asciiTheme="majorHAnsi" w:hAnsiTheme="majorHAnsi" w:cstheme="minorHAnsi"/>
          <w:shd w:val="clear" w:color="auto" w:fill="FFFFFF"/>
        </w:rPr>
        <w:t>Ciraulo</w:t>
      </w:r>
      <w:proofErr w:type="spellEnd"/>
      <w:r w:rsidRPr="00734AB6">
        <w:rPr>
          <w:rFonts w:asciiTheme="majorHAnsi" w:hAnsiTheme="majorHAnsi" w:cstheme="minorHAnsi"/>
          <w:shd w:val="clear" w:color="auto" w:fill="FFFFFF"/>
        </w:rPr>
        <w:t>, D. (2009). Modafinil for the treatment of cocaine dependence. </w:t>
      </w:r>
      <w:r w:rsidRPr="00734AB6">
        <w:rPr>
          <w:rFonts w:asciiTheme="majorHAnsi" w:hAnsiTheme="majorHAnsi" w:cstheme="minorHAnsi"/>
          <w:i/>
          <w:iCs/>
          <w:shd w:val="clear" w:color="auto" w:fill="FFFFFF"/>
        </w:rPr>
        <w:t xml:space="preserve">Drug and </w:t>
      </w:r>
      <w:r w:rsidR="00970F14" w:rsidRPr="00734AB6">
        <w:rPr>
          <w:rFonts w:asciiTheme="majorHAnsi" w:hAnsiTheme="majorHAnsi" w:cstheme="minorHAnsi"/>
          <w:i/>
          <w:iCs/>
          <w:shd w:val="clear" w:color="auto" w:fill="FFFFFF"/>
        </w:rPr>
        <w:t>a</w:t>
      </w:r>
      <w:r w:rsidRPr="00734AB6">
        <w:rPr>
          <w:rFonts w:asciiTheme="majorHAnsi" w:hAnsiTheme="majorHAnsi" w:cstheme="minorHAnsi"/>
          <w:i/>
          <w:iCs/>
          <w:shd w:val="clear" w:color="auto" w:fill="FFFFFF"/>
        </w:rPr>
        <w:t xml:space="preserve">lcohol </w:t>
      </w:r>
      <w:r w:rsidR="00970F14" w:rsidRPr="00734AB6">
        <w:rPr>
          <w:rFonts w:asciiTheme="majorHAnsi" w:hAnsiTheme="majorHAnsi" w:cstheme="minorHAnsi"/>
          <w:i/>
          <w:iCs/>
          <w:shd w:val="clear" w:color="auto" w:fill="FFFFFF"/>
        </w:rPr>
        <w:t>D</w:t>
      </w:r>
      <w:r w:rsidRPr="00734AB6">
        <w:rPr>
          <w:rFonts w:asciiTheme="majorHAnsi" w:hAnsiTheme="majorHAnsi" w:cstheme="minorHAnsi"/>
          <w:i/>
          <w:iCs/>
          <w:shd w:val="clear" w:color="auto" w:fill="FFFFFF"/>
        </w:rPr>
        <w:t>ependence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104</w:t>
      </w:r>
      <w:r w:rsidRPr="00734AB6">
        <w:rPr>
          <w:rFonts w:asciiTheme="majorHAnsi" w:hAnsiTheme="majorHAnsi" w:cstheme="minorHAnsi"/>
          <w:shd w:val="clear" w:color="auto" w:fill="FFFFFF"/>
        </w:rPr>
        <w:t>(1-2), 133-139.</w:t>
      </w:r>
    </w:p>
    <w:p w14:paraId="016A063C" w14:textId="06A62580"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Antshel</w:t>
      </w:r>
      <w:proofErr w:type="spellEnd"/>
      <w:r w:rsidRPr="00734AB6">
        <w:rPr>
          <w:rFonts w:asciiTheme="majorHAnsi" w:hAnsiTheme="majorHAnsi" w:cstheme="minorHAnsi"/>
          <w:shd w:val="clear" w:color="auto" w:fill="FFFFFF"/>
        </w:rPr>
        <w:t xml:space="preserve">, K. M., </w:t>
      </w:r>
      <w:proofErr w:type="spellStart"/>
      <w:r w:rsidRPr="00734AB6">
        <w:rPr>
          <w:rFonts w:asciiTheme="majorHAnsi" w:hAnsiTheme="majorHAnsi" w:cstheme="minorHAnsi"/>
          <w:shd w:val="clear" w:color="auto" w:fill="FFFFFF"/>
        </w:rPr>
        <w:t>Hier</w:t>
      </w:r>
      <w:proofErr w:type="spellEnd"/>
      <w:r w:rsidRPr="00734AB6">
        <w:rPr>
          <w:rFonts w:asciiTheme="majorHAnsi" w:hAnsiTheme="majorHAnsi" w:cstheme="minorHAnsi"/>
          <w:shd w:val="clear" w:color="auto" w:fill="FFFFFF"/>
        </w:rPr>
        <w:t>, B. O., &amp; Barkley, R. A. (2014). Executive functioning theory and ADHD. In </w:t>
      </w:r>
      <w:r w:rsidRPr="00734AB6">
        <w:rPr>
          <w:rFonts w:asciiTheme="majorHAnsi" w:hAnsiTheme="majorHAnsi" w:cstheme="minorHAnsi"/>
          <w:i/>
          <w:iCs/>
          <w:shd w:val="clear" w:color="auto" w:fill="FFFFFF"/>
        </w:rPr>
        <w:t xml:space="preserve">Handbook of </w:t>
      </w:r>
      <w:r w:rsidR="009076A8" w:rsidRPr="00734AB6">
        <w:rPr>
          <w:rFonts w:asciiTheme="majorHAnsi" w:hAnsiTheme="majorHAnsi" w:cstheme="minorHAnsi"/>
          <w:i/>
          <w:iCs/>
          <w:shd w:val="clear" w:color="auto" w:fill="FFFFFF"/>
        </w:rPr>
        <w:t>E</w:t>
      </w:r>
      <w:r w:rsidRPr="00734AB6">
        <w:rPr>
          <w:rFonts w:asciiTheme="majorHAnsi" w:hAnsiTheme="majorHAnsi" w:cstheme="minorHAnsi"/>
          <w:i/>
          <w:iCs/>
          <w:shd w:val="clear" w:color="auto" w:fill="FFFFFF"/>
        </w:rPr>
        <w:t xml:space="preserve">xecutive </w:t>
      </w:r>
      <w:r w:rsidR="009076A8" w:rsidRPr="00734AB6">
        <w:rPr>
          <w:rFonts w:asciiTheme="majorHAnsi" w:hAnsiTheme="majorHAnsi" w:cstheme="minorHAnsi"/>
          <w:i/>
          <w:iCs/>
          <w:shd w:val="clear" w:color="auto" w:fill="FFFFFF"/>
        </w:rPr>
        <w:t>F</w:t>
      </w:r>
      <w:r w:rsidRPr="00734AB6">
        <w:rPr>
          <w:rFonts w:asciiTheme="majorHAnsi" w:hAnsiTheme="majorHAnsi" w:cstheme="minorHAnsi"/>
          <w:i/>
          <w:iCs/>
          <w:shd w:val="clear" w:color="auto" w:fill="FFFFFF"/>
        </w:rPr>
        <w:t>unctioning</w:t>
      </w:r>
      <w:r w:rsidRPr="00734AB6">
        <w:rPr>
          <w:rFonts w:asciiTheme="majorHAnsi" w:hAnsiTheme="majorHAnsi" w:cstheme="minorHAnsi"/>
          <w:shd w:val="clear" w:color="auto" w:fill="FFFFFF"/>
        </w:rPr>
        <w:t> (pp. 107-120). Springer, New York, NY.</w:t>
      </w:r>
    </w:p>
    <w:p w14:paraId="721CE29A" w14:textId="4832870D" w:rsidR="00E5175A" w:rsidRPr="00734AB6" w:rsidRDefault="00E5175A" w:rsidP="00E5175A">
      <w:pPr>
        <w:spacing w:line="360" w:lineRule="auto"/>
        <w:ind w:left="709" w:hanging="709"/>
        <w:rPr>
          <w:rFonts w:asciiTheme="majorHAnsi" w:hAnsiTheme="majorHAnsi" w:cstheme="majorHAnsi"/>
        </w:rPr>
      </w:pPr>
      <w:r w:rsidRPr="00734AB6">
        <w:rPr>
          <w:rFonts w:asciiTheme="majorHAnsi" w:hAnsiTheme="majorHAnsi" w:cstheme="majorHAnsi"/>
        </w:rPr>
        <w:t>Aron, A. R. (2007). The neural basis of inhibition in cognitive control. </w:t>
      </w:r>
      <w:r w:rsidRPr="00734AB6">
        <w:rPr>
          <w:rFonts w:asciiTheme="majorHAnsi" w:hAnsiTheme="majorHAnsi" w:cstheme="majorHAnsi"/>
          <w:i/>
          <w:iCs/>
        </w:rPr>
        <w:t>The Neuroscientist</w:t>
      </w:r>
      <w:r w:rsidRPr="00734AB6">
        <w:rPr>
          <w:rFonts w:asciiTheme="majorHAnsi" w:hAnsiTheme="majorHAnsi" w:cstheme="majorHAnsi"/>
        </w:rPr>
        <w:t>, </w:t>
      </w:r>
      <w:r w:rsidRPr="00734AB6">
        <w:rPr>
          <w:rFonts w:asciiTheme="majorHAnsi" w:hAnsiTheme="majorHAnsi" w:cstheme="majorHAnsi"/>
          <w:i/>
          <w:iCs/>
        </w:rPr>
        <w:t>13</w:t>
      </w:r>
      <w:r w:rsidRPr="00734AB6">
        <w:rPr>
          <w:rFonts w:asciiTheme="majorHAnsi" w:hAnsiTheme="majorHAnsi" w:cstheme="majorHAnsi"/>
        </w:rPr>
        <w:t>(3), 214-228.</w:t>
      </w:r>
    </w:p>
    <w:p w14:paraId="07C2E868" w14:textId="2F866042"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Aronson, J. K. (2014). When I use a word...“Well tolerated” is intolerable. </w:t>
      </w:r>
      <w:r w:rsidR="009076A8" w:rsidRPr="00734AB6">
        <w:rPr>
          <w:rFonts w:asciiTheme="majorHAnsi" w:hAnsiTheme="majorHAnsi" w:cs="Arial"/>
          <w:i/>
          <w:shd w:val="clear" w:color="auto" w:fill="FFFFFF"/>
        </w:rPr>
        <w:t>British Medical Journal</w:t>
      </w:r>
      <w:r w:rsidRPr="00734AB6">
        <w:rPr>
          <w:rFonts w:asciiTheme="majorHAnsi" w:hAnsiTheme="majorHAnsi" w:cs="Arial"/>
          <w:shd w:val="clear" w:color="auto" w:fill="FFFFFF"/>
        </w:rPr>
        <w:t>, 349, g5385.</w:t>
      </w:r>
    </w:p>
    <w:p w14:paraId="3DD69363" w14:textId="37EC0D08"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Arria</w:t>
      </w:r>
      <w:proofErr w:type="spellEnd"/>
      <w:r w:rsidRPr="00734AB6">
        <w:rPr>
          <w:rFonts w:asciiTheme="majorHAnsi" w:eastAsia="Calibri" w:hAnsiTheme="majorHAnsi" w:cs="Calibri"/>
        </w:rPr>
        <w:t xml:space="preserve">, A. M., </w:t>
      </w:r>
      <w:proofErr w:type="spellStart"/>
      <w:r w:rsidRPr="00734AB6">
        <w:rPr>
          <w:rFonts w:asciiTheme="majorHAnsi" w:eastAsia="Calibri" w:hAnsiTheme="majorHAnsi" w:cs="Calibri"/>
        </w:rPr>
        <w:t>Caldeira</w:t>
      </w:r>
      <w:proofErr w:type="spellEnd"/>
      <w:r w:rsidRPr="00734AB6">
        <w:rPr>
          <w:rFonts w:asciiTheme="majorHAnsi" w:eastAsia="Calibri" w:hAnsiTheme="majorHAnsi" w:cs="Calibri"/>
        </w:rPr>
        <w:t xml:space="preserve">, K. M., Vincent, K. B., O'Grady, K. E., </w:t>
      </w:r>
      <w:proofErr w:type="spellStart"/>
      <w:r w:rsidRPr="00734AB6">
        <w:rPr>
          <w:rFonts w:asciiTheme="majorHAnsi" w:eastAsia="Calibri" w:hAnsiTheme="majorHAnsi" w:cs="Calibri"/>
        </w:rPr>
        <w:t>Cimini</w:t>
      </w:r>
      <w:proofErr w:type="spellEnd"/>
      <w:r w:rsidRPr="00734AB6">
        <w:rPr>
          <w:rFonts w:asciiTheme="majorHAnsi" w:eastAsia="Calibri" w:hAnsiTheme="majorHAnsi" w:cs="Calibri"/>
        </w:rPr>
        <w:t xml:space="preserve">, M. D., </w:t>
      </w:r>
      <w:proofErr w:type="spellStart"/>
      <w:r w:rsidRPr="00734AB6">
        <w:rPr>
          <w:rFonts w:asciiTheme="majorHAnsi" w:eastAsia="Calibri" w:hAnsiTheme="majorHAnsi" w:cs="Calibri"/>
        </w:rPr>
        <w:t>Geisner</w:t>
      </w:r>
      <w:proofErr w:type="spellEnd"/>
      <w:r w:rsidRPr="00734AB6">
        <w:rPr>
          <w:rFonts w:asciiTheme="majorHAnsi" w:eastAsia="Calibri" w:hAnsiTheme="majorHAnsi" w:cs="Calibri"/>
        </w:rPr>
        <w:t xml:space="preserve">, I. M., ... &amp; </w:t>
      </w:r>
      <w:proofErr w:type="spellStart"/>
      <w:r w:rsidRPr="00734AB6">
        <w:rPr>
          <w:rFonts w:asciiTheme="majorHAnsi" w:eastAsia="Calibri" w:hAnsiTheme="majorHAnsi" w:cs="Calibri"/>
        </w:rPr>
        <w:t>Larimer</w:t>
      </w:r>
      <w:proofErr w:type="spellEnd"/>
      <w:r w:rsidRPr="00734AB6">
        <w:rPr>
          <w:rFonts w:asciiTheme="majorHAnsi" w:eastAsia="Calibri" w:hAnsiTheme="majorHAnsi" w:cs="Calibri"/>
        </w:rPr>
        <w:t>, M. E. (2017). Do college students improve their grades by using prescr</w:t>
      </w:r>
      <w:r w:rsidR="00D5701E" w:rsidRPr="00734AB6">
        <w:rPr>
          <w:rFonts w:asciiTheme="majorHAnsi" w:eastAsia="Calibri" w:hAnsiTheme="majorHAnsi" w:cs="Calibri"/>
        </w:rPr>
        <w:t>iption stimulants nonmedically?</w:t>
      </w:r>
      <w:r w:rsidR="00C454C1" w:rsidRPr="00734AB6">
        <w:rPr>
          <w:rFonts w:asciiTheme="majorHAnsi" w:eastAsia="Calibri" w:hAnsiTheme="majorHAnsi" w:cs="Calibri"/>
        </w:rPr>
        <w:t xml:space="preserve"> </w:t>
      </w:r>
      <w:r w:rsidR="00C454C1" w:rsidRPr="00734AB6">
        <w:rPr>
          <w:rFonts w:asciiTheme="majorHAnsi" w:eastAsia="Calibri" w:hAnsiTheme="majorHAnsi" w:cs="Calibri"/>
          <w:i/>
        </w:rPr>
        <w:t xml:space="preserve">Addictive </w:t>
      </w:r>
      <w:proofErr w:type="spellStart"/>
      <w:r w:rsidR="00C454C1" w:rsidRPr="00734AB6">
        <w:rPr>
          <w:rFonts w:asciiTheme="majorHAnsi" w:eastAsia="Calibri" w:hAnsiTheme="majorHAnsi" w:cs="Calibri"/>
          <w:i/>
        </w:rPr>
        <w:t>B</w:t>
      </w:r>
      <w:r w:rsidRPr="00734AB6">
        <w:rPr>
          <w:rFonts w:asciiTheme="majorHAnsi" w:eastAsia="Calibri" w:hAnsiTheme="majorHAnsi" w:cs="Calibri"/>
          <w:i/>
        </w:rPr>
        <w:t>ehaviors</w:t>
      </w:r>
      <w:proofErr w:type="spellEnd"/>
      <w:r w:rsidRPr="00734AB6">
        <w:rPr>
          <w:rFonts w:asciiTheme="majorHAnsi" w:eastAsia="Calibri" w:hAnsiTheme="majorHAnsi" w:cs="Calibri"/>
          <w:i/>
        </w:rPr>
        <w:t>, 65</w:t>
      </w:r>
      <w:r w:rsidRPr="00734AB6">
        <w:rPr>
          <w:rFonts w:asciiTheme="majorHAnsi" w:eastAsia="Calibri" w:hAnsiTheme="majorHAnsi" w:cs="Calibri"/>
        </w:rPr>
        <w:t>, 245-249.</w:t>
      </w:r>
    </w:p>
    <w:p w14:paraId="6BE122CA" w14:textId="120A83C0"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Arria</w:t>
      </w:r>
      <w:proofErr w:type="spellEnd"/>
      <w:r w:rsidRPr="00734AB6">
        <w:rPr>
          <w:rFonts w:asciiTheme="majorHAnsi" w:eastAsia="Calibri" w:hAnsiTheme="majorHAnsi" w:cs="Calibri"/>
        </w:rPr>
        <w:t>, A</w:t>
      </w:r>
      <w:r w:rsidR="00C454C1" w:rsidRPr="00734AB6">
        <w:rPr>
          <w:rFonts w:asciiTheme="majorHAnsi" w:eastAsia="Calibri" w:hAnsiTheme="majorHAnsi" w:cs="Calibri"/>
        </w:rPr>
        <w:t>.</w:t>
      </w:r>
      <w:r w:rsidRPr="00734AB6">
        <w:rPr>
          <w:rFonts w:asciiTheme="majorHAnsi" w:eastAsia="Calibri" w:hAnsiTheme="majorHAnsi" w:cs="Calibri"/>
        </w:rPr>
        <w:t>M</w:t>
      </w:r>
      <w:r w:rsidR="00C454C1" w:rsidRPr="00734AB6">
        <w:rPr>
          <w:rFonts w:asciiTheme="majorHAnsi" w:eastAsia="Calibri" w:hAnsiTheme="majorHAnsi" w:cs="Calibri"/>
        </w:rPr>
        <w:t>.</w:t>
      </w:r>
      <w:r w:rsidRPr="00734AB6">
        <w:rPr>
          <w:rFonts w:asciiTheme="majorHAnsi" w:eastAsia="Calibri" w:hAnsiTheme="majorHAnsi" w:cs="Calibri"/>
        </w:rPr>
        <w:t>, Garnier-Dykstra, L</w:t>
      </w:r>
      <w:r w:rsidR="00C454C1" w:rsidRPr="00734AB6">
        <w:rPr>
          <w:rFonts w:asciiTheme="majorHAnsi" w:eastAsia="Calibri" w:hAnsiTheme="majorHAnsi" w:cs="Calibri"/>
        </w:rPr>
        <w:t xml:space="preserve">, </w:t>
      </w:r>
      <w:r w:rsidRPr="00734AB6">
        <w:rPr>
          <w:rFonts w:asciiTheme="majorHAnsi" w:eastAsia="Calibri" w:hAnsiTheme="majorHAnsi" w:cs="Calibri"/>
        </w:rPr>
        <w:t>M</w:t>
      </w:r>
      <w:r w:rsidR="00C454C1"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Caldeira</w:t>
      </w:r>
      <w:proofErr w:type="spellEnd"/>
      <w:r w:rsidRPr="00734AB6">
        <w:rPr>
          <w:rFonts w:asciiTheme="majorHAnsi" w:eastAsia="Calibri" w:hAnsiTheme="majorHAnsi" w:cs="Calibri"/>
        </w:rPr>
        <w:t>, K</w:t>
      </w:r>
      <w:r w:rsidR="00C454C1" w:rsidRPr="00734AB6">
        <w:rPr>
          <w:rFonts w:asciiTheme="majorHAnsi" w:eastAsia="Calibri" w:hAnsiTheme="majorHAnsi" w:cs="Calibri"/>
        </w:rPr>
        <w:t xml:space="preserve">. </w:t>
      </w:r>
      <w:r w:rsidRPr="00734AB6">
        <w:rPr>
          <w:rFonts w:asciiTheme="majorHAnsi" w:eastAsia="Calibri" w:hAnsiTheme="majorHAnsi" w:cs="Calibri"/>
        </w:rPr>
        <w:t>M</w:t>
      </w:r>
      <w:r w:rsidR="00C454C1" w:rsidRPr="00734AB6">
        <w:rPr>
          <w:rFonts w:asciiTheme="majorHAnsi" w:eastAsia="Calibri" w:hAnsiTheme="majorHAnsi" w:cs="Calibri"/>
        </w:rPr>
        <w:t>.</w:t>
      </w:r>
      <w:r w:rsidRPr="00734AB6">
        <w:rPr>
          <w:rFonts w:asciiTheme="majorHAnsi" w:eastAsia="Calibri" w:hAnsiTheme="majorHAnsi" w:cs="Calibri"/>
        </w:rPr>
        <w:t>, Vincent, K</w:t>
      </w:r>
      <w:r w:rsidR="00C454C1" w:rsidRPr="00734AB6">
        <w:rPr>
          <w:rFonts w:asciiTheme="majorHAnsi" w:eastAsia="Calibri" w:hAnsiTheme="majorHAnsi" w:cs="Calibri"/>
        </w:rPr>
        <w:t xml:space="preserve">. </w:t>
      </w:r>
      <w:r w:rsidRPr="00734AB6">
        <w:rPr>
          <w:rFonts w:asciiTheme="majorHAnsi" w:eastAsia="Calibri" w:hAnsiTheme="majorHAnsi" w:cs="Calibri"/>
        </w:rPr>
        <w:t>B</w:t>
      </w:r>
      <w:r w:rsidR="00C454C1" w:rsidRPr="00734AB6">
        <w:rPr>
          <w:rFonts w:asciiTheme="majorHAnsi" w:eastAsia="Calibri" w:hAnsiTheme="majorHAnsi" w:cs="Calibri"/>
        </w:rPr>
        <w:t>.</w:t>
      </w:r>
      <w:r w:rsidRPr="00734AB6">
        <w:rPr>
          <w:rFonts w:asciiTheme="majorHAnsi" w:eastAsia="Calibri" w:hAnsiTheme="majorHAnsi" w:cs="Calibri"/>
        </w:rPr>
        <w:t>, O'Grady, K</w:t>
      </w:r>
      <w:r w:rsidR="00C454C1" w:rsidRPr="00734AB6">
        <w:rPr>
          <w:rFonts w:asciiTheme="majorHAnsi" w:eastAsia="Calibri" w:hAnsiTheme="majorHAnsi" w:cs="Calibri"/>
        </w:rPr>
        <w:t xml:space="preserve">. </w:t>
      </w:r>
      <w:r w:rsidRPr="00734AB6">
        <w:rPr>
          <w:rFonts w:asciiTheme="majorHAnsi" w:eastAsia="Calibri" w:hAnsiTheme="majorHAnsi" w:cs="Calibri"/>
        </w:rPr>
        <w:t>E</w:t>
      </w:r>
      <w:r w:rsidR="00C454C1"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Wish, E</w:t>
      </w:r>
      <w:r w:rsidR="00C454C1" w:rsidRPr="00734AB6">
        <w:rPr>
          <w:rFonts w:asciiTheme="majorHAnsi" w:eastAsia="Calibri" w:hAnsiTheme="majorHAnsi" w:cs="Calibri"/>
        </w:rPr>
        <w:t xml:space="preserve">. </w:t>
      </w:r>
      <w:r w:rsidRPr="00734AB6">
        <w:rPr>
          <w:rFonts w:asciiTheme="majorHAnsi" w:eastAsia="Calibri" w:hAnsiTheme="majorHAnsi" w:cs="Calibri"/>
        </w:rPr>
        <w:t>D</w:t>
      </w:r>
      <w:r w:rsidR="00C454C1" w:rsidRPr="00734AB6">
        <w:rPr>
          <w:rFonts w:asciiTheme="majorHAnsi" w:eastAsia="Calibri" w:hAnsiTheme="majorHAnsi" w:cs="Calibri"/>
        </w:rPr>
        <w:t>.</w:t>
      </w:r>
      <w:r w:rsidRPr="00734AB6">
        <w:rPr>
          <w:rFonts w:asciiTheme="majorHAnsi" w:eastAsia="Calibri" w:hAnsiTheme="majorHAnsi" w:cs="Calibri"/>
        </w:rPr>
        <w:t xml:space="preserve"> (2011). Persistent nonmedical use of prescription stimulants among college students: Possible association with ADHD symptoms. </w:t>
      </w:r>
      <w:r w:rsidRPr="00734AB6">
        <w:rPr>
          <w:rFonts w:asciiTheme="majorHAnsi" w:eastAsia="Calibri" w:hAnsiTheme="majorHAnsi" w:cs="Calibri"/>
          <w:i/>
          <w:iCs/>
        </w:rPr>
        <w:t>Journal of Attention Disorders</w:t>
      </w:r>
      <w:r w:rsidRPr="00734AB6">
        <w:rPr>
          <w:rFonts w:asciiTheme="majorHAnsi" w:eastAsia="Calibri" w:hAnsiTheme="majorHAnsi" w:cs="Calibri"/>
        </w:rPr>
        <w:t>, </w:t>
      </w:r>
      <w:r w:rsidRPr="00734AB6">
        <w:rPr>
          <w:rFonts w:asciiTheme="majorHAnsi" w:eastAsia="Calibri" w:hAnsiTheme="majorHAnsi" w:cs="Calibri"/>
          <w:i/>
          <w:iCs/>
        </w:rPr>
        <w:t>15</w:t>
      </w:r>
      <w:r w:rsidRPr="00734AB6">
        <w:rPr>
          <w:rFonts w:asciiTheme="majorHAnsi" w:eastAsia="Calibri" w:hAnsiTheme="majorHAnsi" w:cs="Calibri"/>
        </w:rPr>
        <w:t>(5), 347-356.</w:t>
      </w:r>
    </w:p>
    <w:p w14:paraId="26AF49D2" w14:textId="59831E31" w:rsidR="00F22B8F" w:rsidRPr="00734AB6" w:rsidRDefault="00F22B8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rPr>
        <w:t>Babor</w:t>
      </w:r>
      <w:proofErr w:type="spellEnd"/>
      <w:r w:rsidRPr="00734AB6">
        <w:rPr>
          <w:rFonts w:asciiTheme="majorHAnsi" w:hAnsiTheme="majorHAnsi" w:cstheme="minorHAnsi"/>
        </w:rPr>
        <w:t>, T. F., de la Fuente, J. R., Saunders, J., &amp; Grant, M. (1992). AUDIT: The alcohol use disorders identification test: Guidelines for use in primary health care. In </w:t>
      </w:r>
      <w:r w:rsidRPr="00734AB6">
        <w:rPr>
          <w:rFonts w:asciiTheme="majorHAnsi" w:hAnsiTheme="majorHAnsi" w:cstheme="minorHAnsi"/>
          <w:i/>
          <w:iCs/>
        </w:rPr>
        <w:t>AUDIT: The alcohol use disorders identification test: Guidelines for use in primary health care</w:t>
      </w:r>
      <w:r w:rsidR="000D16AE" w:rsidRPr="00734AB6">
        <w:rPr>
          <w:rFonts w:asciiTheme="majorHAnsi" w:hAnsiTheme="majorHAnsi" w:cstheme="minorHAnsi"/>
        </w:rPr>
        <w:t>. Geneva: World Health Organization</w:t>
      </w:r>
      <w:r w:rsidR="00D75FE1" w:rsidRPr="00734AB6">
        <w:rPr>
          <w:rFonts w:asciiTheme="majorHAnsi" w:hAnsiTheme="majorHAnsi" w:cstheme="minorHAnsi"/>
        </w:rPr>
        <w:t>.</w:t>
      </w:r>
    </w:p>
    <w:p w14:paraId="71839657" w14:textId="77777777" w:rsidR="000D16AE" w:rsidRPr="00734AB6" w:rsidRDefault="000D16AE"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Babor</w:t>
      </w:r>
      <w:proofErr w:type="spellEnd"/>
      <w:r w:rsidRPr="00734AB6">
        <w:rPr>
          <w:rFonts w:asciiTheme="majorHAnsi" w:hAnsiTheme="majorHAnsi" w:cstheme="minorHAnsi"/>
          <w:shd w:val="clear" w:color="auto" w:fill="FFFFFF"/>
        </w:rPr>
        <w:t>, T. F., Higgins-Biddle, J. C., Saunders, J. B., &amp; Monteiro, M. G. (2001). </w:t>
      </w:r>
      <w:r w:rsidRPr="00734AB6">
        <w:rPr>
          <w:rFonts w:asciiTheme="majorHAnsi" w:hAnsiTheme="majorHAnsi" w:cstheme="minorHAnsi"/>
          <w:i/>
          <w:iCs/>
          <w:shd w:val="clear" w:color="auto" w:fill="FFFFFF"/>
        </w:rPr>
        <w:t>The alcohol use disorders identification test</w:t>
      </w:r>
      <w:r w:rsidRPr="00734AB6">
        <w:rPr>
          <w:rFonts w:asciiTheme="majorHAnsi" w:hAnsiTheme="majorHAnsi" w:cstheme="minorHAnsi"/>
          <w:shd w:val="clear" w:color="auto" w:fill="FFFFFF"/>
        </w:rPr>
        <w:t xml:space="preserve"> (pp. 1-37). Geneva: World Health Organization. </w:t>
      </w:r>
    </w:p>
    <w:p w14:paraId="6D7F0299" w14:textId="14C955F9" w:rsidR="00E5175A" w:rsidRPr="00734AB6" w:rsidRDefault="00E5175A" w:rsidP="00E5175A">
      <w:pPr>
        <w:spacing w:line="360" w:lineRule="auto"/>
        <w:ind w:left="709" w:hanging="709"/>
        <w:rPr>
          <w:rFonts w:asciiTheme="majorHAnsi" w:hAnsiTheme="majorHAnsi" w:cstheme="majorHAnsi"/>
          <w:color w:val="222222"/>
          <w:shd w:val="clear" w:color="auto" w:fill="FFFFFF"/>
        </w:rPr>
      </w:pPr>
      <w:r w:rsidRPr="00734AB6">
        <w:rPr>
          <w:rFonts w:asciiTheme="majorHAnsi" w:hAnsiTheme="majorHAnsi" w:cstheme="majorHAnsi"/>
          <w:color w:val="222222"/>
          <w:shd w:val="clear" w:color="auto" w:fill="FFFFFF"/>
        </w:rPr>
        <w:t>Baddeley, A. (1992). Working memory: The interface between memory and cognition. </w:t>
      </w:r>
      <w:r w:rsidRPr="00734AB6">
        <w:rPr>
          <w:rFonts w:asciiTheme="majorHAnsi" w:hAnsiTheme="majorHAnsi" w:cstheme="majorHAnsi"/>
          <w:i/>
          <w:iCs/>
          <w:color w:val="222222"/>
          <w:shd w:val="clear" w:color="auto" w:fill="FFFFFF"/>
        </w:rPr>
        <w:t>Journal of Cognitive Neuroscience</w:t>
      </w:r>
      <w:r w:rsidRPr="00734AB6">
        <w:rPr>
          <w:rFonts w:asciiTheme="majorHAnsi" w:hAnsiTheme="majorHAnsi" w:cstheme="majorHAnsi"/>
          <w:color w:val="222222"/>
          <w:shd w:val="clear" w:color="auto" w:fill="FFFFFF"/>
        </w:rPr>
        <w:t>, </w:t>
      </w:r>
      <w:r w:rsidRPr="00734AB6">
        <w:rPr>
          <w:rFonts w:asciiTheme="majorHAnsi" w:hAnsiTheme="majorHAnsi" w:cstheme="majorHAnsi"/>
          <w:i/>
          <w:iCs/>
          <w:color w:val="222222"/>
          <w:shd w:val="clear" w:color="auto" w:fill="FFFFFF"/>
        </w:rPr>
        <w:t>4</w:t>
      </w:r>
      <w:r w:rsidRPr="00734AB6">
        <w:rPr>
          <w:rFonts w:asciiTheme="majorHAnsi" w:hAnsiTheme="majorHAnsi" w:cstheme="majorHAnsi"/>
          <w:color w:val="222222"/>
          <w:shd w:val="clear" w:color="auto" w:fill="FFFFFF"/>
        </w:rPr>
        <w:t>(3), 281-288.</w:t>
      </w:r>
    </w:p>
    <w:p w14:paraId="3C938F0F" w14:textId="551F17BE" w:rsidR="00E5175A" w:rsidRPr="00734AB6" w:rsidRDefault="00E5175A" w:rsidP="00E5175A">
      <w:pPr>
        <w:spacing w:line="360" w:lineRule="auto"/>
        <w:ind w:left="709" w:hanging="709"/>
        <w:rPr>
          <w:rFonts w:asciiTheme="majorHAnsi" w:hAnsiTheme="majorHAnsi" w:cstheme="majorHAnsi"/>
        </w:rPr>
      </w:pPr>
      <w:r w:rsidRPr="00734AB6">
        <w:rPr>
          <w:rFonts w:asciiTheme="majorHAnsi" w:hAnsiTheme="majorHAnsi" w:cstheme="majorHAnsi"/>
        </w:rPr>
        <w:t>Baddeley, A. (1986). </w:t>
      </w:r>
      <w:r w:rsidRPr="00734AB6">
        <w:rPr>
          <w:rFonts w:asciiTheme="majorHAnsi" w:hAnsiTheme="majorHAnsi" w:cstheme="majorHAnsi"/>
          <w:i/>
          <w:iCs/>
        </w:rPr>
        <w:t>Oxford Psychology Series, No. 11. Working Memory. </w:t>
      </w:r>
      <w:r w:rsidRPr="00734AB6">
        <w:rPr>
          <w:rFonts w:asciiTheme="majorHAnsi" w:hAnsiTheme="majorHAnsi" w:cstheme="majorHAnsi"/>
        </w:rPr>
        <w:t>Clarendon Press/Oxford University Press.</w:t>
      </w:r>
    </w:p>
    <w:p w14:paraId="55183DB2" w14:textId="07CA4034" w:rsidR="004676EF" w:rsidRPr="00734AB6" w:rsidRDefault="000D16AE"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Baddeley, A. (2010). Working memory. </w:t>
      </w:r>
      <w:r w:rsidRPr="00734AB6">
        <w:rPr>
          <w:rFonts w:asciiTheme="majorHAnsi" w:hAnsiTheme="majorHAnsi" w:cstheme="minorHAnsi"/>
          <w:i/>
          <w:iCs/>
          <w:shd w:val="clear" w:color="auto" w:fill="FFFFFF"/>
        </w:rPr>
        <w:t>Current Biology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20</w:t>
      </w:r>
      <w:r w:rsidRPr="00734AB6">
        <w:rPr>
          <w:rFonts w:asciiTheme="majorHAnsi" w:hAnsiTheme="majorHAnsi" w:cstheme="minorHAnsi"/>
          <w:shd w:val="clear" w:color="auto" w:fill="FFFFFF"/>
        </w:rPr>
        <w:t>(4), R136-R140.</w:t>
      </w:r>
    </w:p>
    <w:p w14:paraId="1E03CB27" w14:textId="496AE5E2"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Ballon</w:t>
      </w:r>
      <w:proofErr w:type="spellEnd"/>
      <w:r w:rsidRPr="00734AB6">
        <w:rPr>
          <w:rFonts w:asciiTheme="majorHAnsi" w:eastAsia="Calibri" w:hAnsiTheme="majorHAnsi" w:cs="Calibri"/>
        </w:rPr>
        <w:t>, J</w:t>
      </w:r>
      <w:r w:rsidR="000D16AE" w:rsidRPr="00734AB6">
        <w:rPr>
          <w:rFonts w:asciiTheme="majorHAnsi" w:eastAsia="Calibri" w:hAnsiTheme="majorHAnsi" w:cs="Calibri"/>
        </w:rPr>
        <w:t xml:space="preserve">. </w:t>
      </w:r>
      <w:r w:rsidRPr="00734AB6">
        <w:rPr>
          <w:rFonts w:asciiTheme="majorHAnsi" w:eastAsia="Calibri" w:hAnsiTheme="majorHAnsi" w:cs="Calibri"/>
        </w:rPr>
        <w:t>S</w:t>
      </w:r>
      <w:r w:rsidR="000D16AE"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Feifel</w:t>
      </w:r>
      <w:proofErr w:type="spellEnd"/>
      <w:r w:rsidRPr="00734AB6">
        <w:rPr>
          <w:rFonts w:asciiTheme="majorHAnsi" w:eastAsia="Calibri" w:hAnsiTheme="majorHAnsi" w:cs="Calibri"/>
        </w:rPr>
        <w:t>, D</w:t>
      </w:r>
      <w:r w:rsidR="000D16AE" w:rsidRPr="00734AB6">
        <w:rPr>
          <w:rFonts w:asciiTheme="majorHAnsi" w:eastAsia="Calibri" w:hAnsiTheme="majorHAnsi" w:cs="Calibri"/>
        </w:rPr>
        <w:t>.</w:t>
      </w:r>
      <w:r w:rsidRPr="00734AB6">
        <w:rPr>
          <w:rFonts w:asciiTheme="majorHAnsi" w:eastAsia="Calibri" w:hAnsiTheme="majorHAnsi" w:cs="Calibri"/>
        </w:rPr>
        <w:t xml:space="preserve"> (2006). A systematic review of modafinil: Potential clinical uses and mechanisms of action. </w:t>
      </w:r>
      <w:r w:rsidRPr="00734AB6">
        <w:rPr>
          <w:rFonts w:asciiTheme="majorHAnsi" w:eastAsia="Calibri" w:hAnsiTheme="majorHAnsi" w:cs="Calibri"/>
          <w:i/>
          <w:iCs/>
        </w:rPr>
        <w:t>Journal of Clinical Psychiatry</w:t>
      </w:r>
      <w:r w:rsidRPr="00734AB6">
        <w:rPr>
          <w:rFonts w:asciiTheme="majorHAnsi" w:eastAsia="Calibri" w:hAnsiTheme="majorHAnsi" w:cs="Calibri"/>
        </w:rPr>
        <w:t>, </w:t>
      </w:r>
      <w:r w:rsidRPr="00734AB6">
        <w:rPr>
          <w:rFonts w:asciiTheme="majorHAnsi" w:eastAsia="Calibri" w:hAnsiTheme="majorHAnsi" w:cs="Calibri"/>
          <w:i/>
          <w:iCs/>
        </w:rPr>
        <w:t>67</w:t>
      </w:r>
      <w:r w:rsidRPr="00734AB6">
        <w:rPr>
          <w:rFonts w:asciiTheme="majorHAnsi" w:eastAsia="Calibri" w:hAnsiTheme="majorHAnsi" w:cs="Calibri"/>
        </w:rPr>
        <w:t>(4), 554-566.</w:t>
      </w:r>
    </w:p>
    <w:p w14:paraId="129569D1" w14:textId="2FDD0E74"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Barkley, R. A. (1997). </w:t>
      </w:r>
      <w:proofErr w:type="spellStart"/>
      <w:r w:rsidRPr="00734AB6">
        <w:rPr>
          <w:rFonts w:asciiTheme="majorHAnsi" w:hAnsiTheme="majorHAnsi" w:cstheme="minorHAnsi"/>
        </w:rPr>
        <w:t>Behavioral</w:t>
      </w:r>
      <w:proofErr w:type="spellEnd"/>
      <w:r w:rsidRPr="00734AB6">
        <w:rPr>
          <w:rFonts w:asciiTheme="majorHAnsi" w:hAnsiTheme="majorHAnsi" w:cstheme="minorHAnsi"/>
        </w:rPr>
        <w:t xml:space="preserve"> inhibition, sustained attention, and executive functions: constructing a unifying theory of ADHD. </w:t>
      </w:r>
      <w:r w:rsidR="000D16AE" w:rsidRPr="00734AB6">
        <w:rPr>
          <w:rFonts w:asciiTheme="majorHAnsi" w:hAnsiTheme="majorHAnsi" w:cstheme="minorHAnsi"/>
          <w:i/>
          <w:iCs/>
        </w:rPr>
        <w:t>Psychological B</w:t>
      </w:r>
      <w:r w:rsidRPr="00734AB6">
        <w:rPr>
          <w:rFonts w:asciiTheme="majorHAnsi" w:hAnsiTheme="majorHAnsi" w:cstheme="minorHAnsi"/>
          <w:i/>
          <w:iCs/>
        </w:rPr>
        <w:t>ulletin</w:t>
      </w:r>
      <w:r w:rsidRPr="00734AB6">
        <w:rPr>
          <w:rFonts w:asciiTheme="majorHAnsi" w:hAnsiTheme="majorHAnsi" w:cstheme="minorHAnsi"/>
        </w:rPr>
        <w:t>, </w:t>
      </w:r>
      <w:r w:rsidRPr="00734AB6">
        <w:rPr>
          <w:rFonts w:asciiTheme="majorHAnsi" w:hAnsiTheme="majorHAnsi" w:cstheme="minorHAnsi"/>
          <w:i/>
          <w:iCs/>
        </w:rPr>
        <w:t>121</w:t>
      </w:r>
      <w:r w:rsidRPr="00734AB6">
        <w:rPr>
          <w:rFonts w:asciiTheme="majorHAnsi" w:hAnsiTheme="majorHAnsi" w:cstheme="minorHAnsi"/>
        </w:rPr>
        <w:t>(1), 65.</w:t>
      </w:r>
    </w:p>
    <w:p w14:paraId="090937D1" w14:textId="2B4EC1EF"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Barkley, R. A. (2001). The executive functions and self-regulation: An evolutionary neuropsychological perspective. </w:t>
      </w:r>
      <w:r w:rsidR="000D16AE" w:rsidRPr="00734AB6">
        <w:rPr>
          <w:rFonts w:asciiTheme="majorHAnsi" w:hAnsiTheme="majorHAnsi" w:cstheme="minorHAnsi"/>
          <w:i/>
          <w:iCs/>
        </w:rPr>
        <w:t>Neuropsychology R</w:t>
      </w:r>
      <w:r w:rsidRPr="00734AB6">
        <w:rPr>
          <w:rFonts w:asciiTheme="majorHAnsi" w:hAnsiTheme="majorHAnsi" w:cstheme="minorHAnsi"/>
          <w:i/>
          <w:iCs/>
        </w:rPr>
        <w:t>eview</w:t>
      </w:r>
      <w:r w:rsidRPr="00734AB6">
        <w:rPr>
          <w:rFonts w:asciiTheme="majorHAnsi" w:hAnsiTheme="majorHAnsi" w:cstheme="minorHAnsi"/>
        </w:rPr>
        <w:t>, </w:t>
      </w:r>
      <w:r w:rsidRPr="00734AB6">
        <w:rPr>
          <w:rFonts w:asciiTheme="majorHAnsi" w:hAnsiTheme="majorHAnsi" w:cstheme="minorHAnsi"/>
          <w:i/>
          <w:iCs/>
        </w:rPr>
        <w:t>11</w:t>
      </w:r>
      <w:r w:rsidRPr="00734AB6">
        <w:rPr>
          <w:rFonts w:asciiTheme="majorHAnsi" w:hAnsiTheme="majorHAnsi" w:cstheme="minorHAnsi"/>
        </w:rPr>
        <w:t>(1), 1-29.</w:t>
      </w:r>
    </w:p>
    <w:p w14:paraId="41BC9BE8" w14:textId="55DA4BFA" w:rsidR="004676EF" w:rsidRPr="00734AB6" w:rsidRDefault="004240A4" w:rsidP="00D06771">
      <w:pPr>
        <w:spacing w:line="360" w:lineRule="auto"/>
        <w:ind w:left="720" w:hanging="720"/>
        <w:rPr>
          <w:rFonts w:asciiTheme="majorHAnsi" w:hAnsiTheme="majorHAnsi" w:cstheme="minorHAnsi"/>
        </w:rPr>
      </w:pPr>
      <w:r w:rsidRPr="00734AB6">
        <w:rPr>
          <w:rFonts w:asciiTheme="majorHAnsi" w:hAnsiTheme="majorHAnsi" w:cstheme="minorHAnsi"/>
        </w:rPr>
        <w:t>Barkley, R. A. (Ed.). (2014). </w:t>
      </w:r>
      <w:r w:rsidRPr="00734AB6">
        <w:rPr>
          <w:rFonts w:asciiTheme="majorHAnsi" w:hAnsiTheme="majorHAnsi" w:cstheme="minorHAnsi"/>
          <w:i/>
          <w:iCs/>
        </w:rPr>
        <w:t>Attention-deficit hyperactivity disorder: A handbook for diagnosis and treatment</w:t>
      </w:r>
      <w:r w:rsidRPr="00734AB6">
        <w:rPr>
          <w:rFonts w:asciiTheme="majorHAnsi" w:hAnsiTheme="majorHAnsi" w:cstheme="minorHAnsi"/>
        </w:rPr>
        <w:t>. New York: Guilford Publications.</w:t>
      </w:r>
    </w:p>
    <w:p w14:paraId="2F6DED28" w14:textId="3D13506B" w:rsidR="009F6F08" w:rsidRPr="00734AB6" w:rsidRDefault="009F6F08"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Barkley, R. A., &amp; Murphy, K. R. (2006). </w:t>
      </w:r>
      <w:r w:rsidRPr="00734AB6">
        <w:rPr>
          <w:rFonts w:asciiTheme="majorHAnsi" w:hAnsiTheme="majorHAnsi" w:cstheme="minorHAnsi"/>
          <w:i/>
        </w:rPr>
        <w:t xml:space="preserve">Attention-deficit hyperactivity disorder: A clinical workbook. </w:t>
      </w:r>
      <w:r w:rsidR="00461ACC" w:rsidRPr="00734AB6">
        <w:rPr>
          <w:rFonts w:asciiTheme="majorHAnsi" w:hAnsiTheme="majorHAnsi" w:cstheme="minorHAnsi"/>
        </w:rPr>
        <w:t xml:space="preserve">New York: </w:t>
      </w:r>
      <w:r w:rsidRPr="00734AB6">
        <w:rPr>
          <w:rFonts w:asciiTheme="majorHAnsi" w:hAnsiTheme="majorHAnsi" w:cstheme="minorHAnsi"/>
        </w:rPr>
        <w:t>Guilford Press.</w:t>
      </w:r>
    </w:p>
    <w:p w14:paraId="7BB5F4E9" w14:textId="1D87107F"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Barrett, S.P., </w:t>
      </w:r>
      <w:proofErr w:type="spellStart"/>
      <w:r w:rsidRPr="00734AB6">
        <w:rPr>
          <w:rFonts w:asciiTheme="majorHAnsi" w:hAnsiTheme="majorHAnsi" w:cstheme="minorHAnsi"/>
        </w:rPr>
        <w:t>Darredeau</w:t>
      </w:r>
      <w:proofErr w:type="spellEnd"/>
      <w:r w:rsidRPr="00734AB6">
        <w:rPr>
          <w:rFonts w:asciiTheme="majorHAnsi" w:hAnsiTheme="majorHAnsi" w:cstheme="minorHAnsi"/>
        </w:rPr>
        <w:t xml:space="preserve">, C., </w:t>
      </w:r>
      <w:proofErr w:type="spellStart"/>
      <w:r w:rsidRPr="00734AB6">
        <w:rPr>
          <w:rFonts w:asciiTheme="majorHAnsi" w:hAnsiTheme="majorHAnsi" w:cstheme="minorHAnsi"/>
        </w:rPr>
        <w:t>Bordy</w:t>
      </w:r>
      <w:proofErr w:type="spellEnd"/>
      <w:r w:rsidRPr="00734AB6">
        <w:rPr>
          <w:rFonts w:asciiTheme="majorHAnsi" w:hAnsiTheme="majorHAnsi" w:cstheme="minorHAnsi"/>
        </w:rPr>
        <w:t xml:space="preserve">, L.E., &amp; Pihl, R.O. (2005).  Characteristics of methylphenidate misuse in a university student sample.  </w:t>
      </w:r>
      <w:r w:rsidRPr="00734AB6">
        <w:rPr>
          <w:rFonts w:asciiTheme="majorHAnsi" w:hAnsiTheme="majorHAnsi" w:cstheme="minorHAnsi"/>
          <w:i/>
        </w:rPr>
        <w:t xml:space="preserve">Canadian Journal of Psychiatry/La Revue Canadienne de </w:t>
      </w:r>
      <w:proofErr w:type="spellStart"/>
      <w:r w:rsidRPr="00734AB6">
        <w:rPr>
          <w:rFonts w:asciiTheme="majorHAnsi" w:hAnsiTheme="majorHAnsi" w:cstheme="minorHAnsi"/>
          <w:i/>
        </w:rPr>
        <w:t>Psychiatrie</w:t>
      </w:r>
      <w:proofErr w:type="spellEnd"/>
      <w:r w:rsidRPr="00734AB6">
        <w:rPr>
          <w:rFonts w:asciiTheme="majorHAnsi" w:hAnsiTheme="majorHAnsi" w:cstheme="minorHAnsi"/>
        </w:rPr>
        <w:t xml:space="preserve">, </w:t>
      </w:r>
      <w:r w:rsidRPr="00734AB6">
        <w:rPr>
          <w:rFonts w:asciiTheme="majorHAnsi" w:hAnsiTheme="majorHAnsi" w:cstheme="minorHAnsi"/>
          <w:i/>
        </w:rPr>
        <w:t>50</w:t>
      </w:r>
      <w:r w:rsidR="00794FD0" w:rsidRPr="00734AB6">
        <w:rPr>
          <w:rFonts w:asciiTheme="majorHAnsi" w:hAnsiTheme="majorHAnsi" w:cstheme="minorHAnsi"/>
        </w:rPr>
        <w:t>(8)</w:t>
      </w:r>
      <w:r w:rsidRPr="00734AB6">
        <w:rPr>
          <w:rFonts w:asciiTheme="majorHAnsi" w:hAnsiTheme="majorHAnsi" w:cstheme="minorHAnsi"/>
        </w:rPr>
        <w:t>,457-461.</w:t>
      </w:r>
    </w:p>
    <w:p w14:paraId="1977A1FF" w14:textId="54AB7EB9"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Battleday</w:t>
      </w:r>
      <w:proofErr w:type="spellEnd"/>
      <w:r w:rsidRPr="00734AB6">
        <w:rPr>
          <w:rFonts w:asciiTheme="majorHAnsi" w:eastAsia="Calibri" w:hAnsiTheme="majorHAnsi" w:cs="Calibri"/>
        </w:rPr>
        <w:t>, R</w:t>
      </w:r>
      <w:r w:rsidR="00794FD0" w:rsidRPr="00734AB6">
        <w:rPr>
          <w:rFonts w:asciiTheme="majorHAnsi" w:eastAsia="Calibri" w:hAnsiTheme="majorHAnsi" w:cs="Calibri"/>
        </w:rPr>
        <w:t xml:space="preserve">. </w:t>
      </w:r>
      <w:r w:rsidRPr="00734AB6">
        <w:rPr>
          <w:rFonts w:asciiTheme="majorHAnsi" w:eastAsia="Calibri" w:hAnsiTheme="majorHAnsi" w:cs="Calibri"/>
        </w:rPr>
        <w:t>M</w:t>
      </w:r>
      <w:r w:rsidR="00794FD0"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Brem</w:t>
      </w:r>
      <w:proofErr w:type="spellEnd"/>
      <w:r w:rsidRPr="00734AB6">
        <w:rPr>
          <w:rFonts w:asciiTheme="majorHAnsi" w:eastAsia="Calibri" w:hAnsiTheme="majorHAnsi" w:cs="Calibri"/>
        </w:rPr>
        <w:t>, A</w:t>
      </w:r>
      <w:r w:rsidR="00794FD0" w:rsidRPr="00734AB6">
        <w:rPr>
          <w:rFonts w:asciiTheme="majorHAnsi" w:eastAsia="Calibri" w:hAnsiTheme="majorHAnsi" w:cs="Calibri"/>
        </w:rPr>
        <w:t xml:space="preserve">. </w:t>
      </w:r>
      <w:r w:rsidRPr="00734AB6">
        <w:rPr>
          <w:rFonts w:asciiTheme="majorHAnsi" w:eastAsia="Calibri" w:hAnsiTheme="majorHAnsi" w:cs="Calibri"/>
        </w:rPr>
        <w:t>K</w:t>
      </w:r>
      <w:r w:rsidR="00794FD0" w:rsidRPr="00734AB6">
        <w:rPr>
          <w:rFonts w:asciiTheme="majorHAnsi" w:eastAsia="Calibri" w:hAnsiTheme="majorHAnsi" w:cs="Calibri"/>
        </w:rPr>
        <w:t>.</w:t>
      </w:r>
      <w:r w:rsidRPr="00734AB6">
        <w:rPr>
          <w:rFonts w:asciiTheme="majorHAnsi" w:eastAsia="Calibri" w:hAnsiTheme="majorHAnsi" w:cs="Calibri"/>
        </w:rPr>
        <w:t xml:space="preserve"> (2015). Modafinil for cognitive neuroenhancement in healthy non-sleep-deprived subjects: A systematic review. </w:t>
      </w:r>
      <w:r w:rsidRPr="00734AB6">
        <w:rPr>
          <w:rFonts w:asciiTheme="majorHAnsi" w:eastAsia="Calibri" w:hAnsiTheme="majorHAnsi" w:cs="Calibri"/>
          <w:i/>
          <w:iCs/>
        </w:rPr>
        <w:t>European Neuropsychopharmacology</w:t>
      </w:r>
      <w:r w:rsidRPr="00734AB6">
        <w:rPr>
          <w:rFonts w:asciiTheme="majorHAnsi" w:eastAsia="Calibri" w:hAnsiTheme="majorHAnsi" w:cs="Calibri"/>
        </w:rPr>
        <w:t>, </w:t>
      </w:r>
      <w:r w:rsidRPr="00734AB6">
        <w:rPr>
          <w:rFonts w:asciiTheme="majorHAnsi" w:eastAsia="Calibri" w:hAnsiTheme="majorHAnsi" w:cs="Calibri"/>
          <w:i/>
          <w:iCs/>
        </w:rPr>
        <w:t>25</w:t>
      </w:r>
      <w:r w:rsidRPr="00734AB6">
        <w:rPr>
          <w:rFonts w:asciiTheme="majorHAnsi" w:eastAsia="Calibri" w:hAnsiTheme="majorHAnsi" w:cs="Calibri"/>
        </w:rPr>
        <w:t>(11), 1865-1881.</w:t>
      </w:r>
    </w:p>
    <w:p w14:paraId="79210D60"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Bell, S., Partridge, B., </w:t>
      </w:r>
      <w:proofErr w:type="spellStart"/>
      <w:r w:rsidRPr="00734AB6">
        <w:rPr>
          <w:rFonts w:asciiTheme="majorHAnsi" w:hAnsiTheme="majorHAnsi" w:cs="Arial"/>
          <w:shd w:val="clear" w:color="auto" w:fill="FFFFFF"/>
        </w:rPr>
        <w:t>Lucke</w:t>
      </w:r>
      <w:proofErr w:type="spellEnd"/>
      <w:r w:rsidRPr="00734AB6">
        <w:rPr>
          <w:rFonts w:asciiTheme="majorHAnsi" w:hAnsiTheme="majorHAnsi" w:cs="Arial"/>
          <w:shd w:val="clear" w:color="auto" w:fill="FFFFFF"/>
        </w:rPr>
        <w:t>, J., &amp; Hall, W. (2013). Australian university students’ attitudes towards the acceptability and regulation of pharmaceuticals to improve academic performance. </w:t>
      </w:r>
      <w:proofErr w:type="spellStart"/>
      <w:r w:rsidRPr="00734AB6">
        <w:rPr>
          <w:rFonts w:asciiTheme="majorHAnsi" w:hAnsiTheme="majorHAnsi" w:cs="Arial"/>
          <w:i/>
          <w:iCs/>
          <w:shd w:val="clear" w:color="auto" w:fill="FFFFFF"/>
        </w:rPr>
        <w:t>Neuroethics</w:t>
      </w:r>
      <w:proofErr w:type="spellEnd"/>
      <w:r w:rsidRPr="00734AB6">
        <w:rPr>
          <w:rFonts w:asciiTheme="majorHAnsi" w:hAnsiTheme="majorHAnsi" w:cs="Arial"/>
          <w:shd w:val="clear" w:color="auto" w:fill="FFFFFF"/>
        </w:rPr>
        <w:t>, </w:t>
      </w:r>
      <w:r w:rsidRPr="00734AB6">
        <w:rPr>
          <w:rFonts w:asciiTheme="majorHAnsi" w:hAnsiTheme="majorHAnsi" w:cs="Arial"/>
          <w:i/>
          <w:iCs/>
          <w:shd w:val="clear" w:color="auto" w:fill="FFFFFF"/>
        </w:rPr>
        <w:t>6</w:t>
      </w:r>
      <w:r w:rsidRPr="00734AB6">
        <w:rPr>
          <w:rFonts w:asciiTheme="majorHAnsi" w:hAnsiTheme="majorHAnsi" w:cs="Arial"/>
          <w:shd w:val="clear" w:color="auto" w:fill="FFFFFF"/>
        </w:rPr>
        <w:t>(1), 197-205.</w:t>
      </w:r>
    </w:p>
    <w:p w14:paraId="6AE215A5" w14:textId="77777777" w:rsidR="00796635" w:rsidRPr="00734AB6" w:rsidRDefault="00796635" w:rsidP="00796635">
      <w:pPr>
        <w:spacing w:line="360" w:lineRule="auto"/>
        <w:ind w:left="709" w:hanging="709"/>
        <w:rPr>
          <w:rFonts w:asciiTheme="majorHAnsi" w:hAnsiTheme="majorHAnsi"/>
        </w:rPr>
      </w:pPr>
      <w:r w:rsidRPr="00734AB6">
        <w:rPr>
          <w:rFonts w:asciiTheme="majorHAnsi" w:hAnsiTheme="majorHAnsi"/>
        </w:rPr>
        <w:t xml:space="preserve">Biederman, J., Mick, E., &amp; </w:t>
      </w:r>
      <w:proofErr w:type="spellStart"/>
      <w:r w:rsidRPr="00734AB6">
        <w:rPr>
          <w:rFonts w:asciiTheme="majorHAnsi" w:hAnsiTheme="majorHAnsi"/>
        </w:rPr>
        <w:t>Faraone</w:t>
      </w:r>
      <w:proofErr w:type="spellEnd"/>
      <w:r w:rsidRPr="00734AB6">
        <w:rPr>
          <w:rFonts w:asciiTheme="majorHAnsi" w:hAnsiTheme="majorHAnsi"/>
        </w:rPr>
        <w:t>, S. V. (2000). Age-dependent decline of symptoms of attention deficit hyperactivity disorder: impact of remission definition and symptom type. </w:t>
      </w:r>
      <w:r w:rsidRPr="00734AB6">
        <w:rPr>
          <w:rFonts w:asciiTheme="majorHAnsi" w:hAnsiTheme="majorHAnsi"/>
          <w:i/>
          <w:iCs/>
        </w:rPr>
        <w:t>American Journal of Psychiatry</w:t>
      </w:r>
      <w:r w:rsidRPr="00734AB6">
        <w:rPr>
          <w:rFonts w:asciiTheme="majorHAnsi" w:hAnsiTheme="majorHAnsi"/>
        </w:rPr>
        <w:t>, </w:t>
      </w:r>
      <w:r w:rsidRPr="00734AB6">
        <w:rPr>
          <w:rFonts w:asciiTheme="majorHAnsi" w:hAnsiTheme="majorHAnsi"/>
          <w:i/>
          <w:iCs/>
        </w:rPr>
        <w:t>157</w:t>
      </w:r>
      <w:r w:rsidRPr="00734AB6">
        <w:rPr>
          <w:rFonts w:asciiTheme="majorHAnsi" w:hAnsiTheme="majorHAnsi"/>
        </w:rPr>
        <w:t>(5), 816-818.</w:t>
      </w:r>
    </w:p>
    <w:p w14:paraId="39B3F7D7"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Bishop, S. J. (2007). Neurocognitive mechanisms of anxiety: an integrative account. </w:t>
      </w:r>
      <w:r w:rsidRPr="00734AB6">
        <w:rPr>
          <w:rFonts w:asciiTheme="majorHAnsi" w:hAnsiTheme="majorHAnsi" w:cstheme="minorHAnsi"/>
          <w:i/>
          <w:iCs/>
          <w:shd w:val="clear" w:color="auto" w:fill="FFFFFF"/>
        </w:rPr>
        <w:t>Trends in cognitive sciences</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11</w:t>
      </w:r>
      <w:r w:rsidRPr="00734AB6">
        <w:rPr>
          <w:rFonts w:asciiTheme="majorHAnsi" w:hAnsiTheme="majorHAnsi" w:cstheme="minorHAnsi"/>
          <w:shd w:val="clear" w:color="auto" w:fill="FFFFFF"/>
        </w:rPr>
        <w:t>(7), 307-316.</w:t>
      </w:r>
    </w:p>
    <w:p w14:paraId="1F0359FF"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Bloomfield, B., &amp; Dale, K. (2015). Fit for work? Redefining ‘</w:t>
      </w:r>
      <w:proofErr w:type="spellStart"/>
      <w:r w:rsidRPr="00734AB6">
        <w:rPr>
          <w:rFonts w:asciiTheme="majorHAnsi" w:eastAsia="Calibri" w:hAnsiTheme="majorHAnsi" w:cs="Calibri"/>
        </w:rPr>
        <w:t>normal’and</w:t>
      </w:r>
      <w:proofErr w:type="spellEnd"/>
      <w:r w:rsidRPr="00734AB6">
        <w:rPr>
          <w:rFonts w:asciiTheme="majorHAnsi" w:eastAsia="Calibri" w:hAnsiTheme="majorHAnsi" w:cs="Calibri"/>
        </w:rPr>
        <w:t xml:space="preserve"> ‘</w:t>
      </w:r>
      <w:proofErr w:type="spellStart"/>
      <w:r w:rsidRPr="00734AB6">
        <w:rPr>
          <w:rFonts w:asciiTheme="majorHAnsi" w:eastAsia="Calibri" w:hAnsiTheme="majorHAnsi" w:cs="Calibri"/>
        </w:rPr>
        <w:t>extreme’through</w:t>
      </w:r>
      <w:proofErr w:type="spellEnd"/>
      <w:r w:rsidRPr="00734AB6">
        <w:rPr>
          <w:rFonts w:asciiTheme="majorHAnsi" w:eastAsia="Calibri" w:hAnsiTheme="majorHAnsi" w:cs="Calibri"/>
        </w:rPr>
        <w:t xml:space="preserve"> human enhancement technologies. </w:t>
      </w:r>
      <w:r w:rsidRPr="00734AB6">
        <w:rPr>
          <w:rFonts w:asciiTheme="majorHAnsi" w:eastAsia="Calibri" w:hAnsiTheme="majorHAnsi" w:cs="Calibri"/>
          <w:i/>
          <w:iCs/>
        </w:rPr>
        <w:t>Organization</w:t>
      </w:r>
      <w:r w:rsidRPr="00734AB6">
        <w:rPr>
          <w:rFonts w:asciiTheme="majorHAnsi" w:eastAsia="Calibri" w:hAnsiTheme="majorHAnsi" w:cs="Calibri"/>
        </w:rPr>
        <w:t>, </w:t>
      </w:r>
      <w:r w:rsidRPr="00734AB6">
        <w:rPr>
          <w:rFonts w:asciiTheme="majorHAnsi" w:eastAsia="Calibri" w:hAnsiTheme="majorHAnsi" w:cs="Calibri"/>
          <w:i/>
          <w:iCs/>
        </w:rPr>
        <w:t>22</w:t>
      </w:r>
      <w:r w:rsidRPr="00734AB6">
        <w:rPr>
          <w:rFonts w:asciiTheme="majorHAnsi" w:eastAsia="Calibri" w:hAnsiTheme="majorHAnsi" w:cs="Calibri"/>
        </w:rPr>
        <w:t>(4), 552-569.</w:t>
      </w:r>
    </w:p>
    <w:p w14:paraId="4DE7F637" w14:textId="77777777" w:rsidR="00796635" w:rsidRPr="00734AB6" w:rsidRDefault="00796635" w:rsidP="00796635">
      <w:pPr>
        <w:spacing w:line="360" w:lineRule="auto"/>
        <w:ind w:left="709" w:hanging="709"/>
        <w:rPr>
          <w:rFonts w:asciiTheme="majorHAnsi" w:hAnsiTheme="majorHAnsi"/>
        </w:rPr>
      </w:pPr>
      <w:r w:rsidRPr="00734AB6">
        <w:rPr>
          <w:rFonts w:asciiTheme="majorHAnsi" w:hAnsiTheme="majorHAnsi"/>
        </w:rPr>
        <w:t xml:space="preserve">Bolden, J., &amp; </w:t>
      </w:r>
      <w:proofErr w:type="spellStart"/>
      <w:r w:rsidRPr="00734AB6">
        <w:rPr>
          <w:rFonts w:asciiTheme="majorHAnsi" w:hAnsiTheme="majorHAnsi"/>
        </w:rPr>
        <w:t>Fillauer</w:t>
      </w:r>
      <w:proofErr w:type="spellEnd"/>
      <w:r w:rsidRPr="00734AB6">
        <w:rPr>
          <w:rFonts w:asciiTheme="majorHAnsi" w:hAnsiTheme="majorHAnsi"/>
        </w:rPr>
        <w:t>, J. P. (2019). “Tomorrow is the busiest day of the week”: Executive functions mediate the relation between procrastination and attention problems. </w:t>
      </w:r>
      <w:r w:rsidRPr="00734AB6">
        <w:rPr>
          <w:rFonts w:asciiTheme="majorHAnsi" w:hAnsiTheme="majorHAnsi"/>
          <w:i/>
          <w:iCs/>
        </w:rPr>
        <w:t>Journal of American College Health</w:t>
      </w:r>
      <w:r w:rsidRPr="00734AB6">
        <w:rPr>
          <w:rFonts w:asciiTheme="majorHAnsi" w:hAnsiTheme="majorHAnsi"/>
        </w:rPr>
        <w:t>, 1-10.</w:t>
      </w:r>
    </w:p>
    <w:p w14:paraId="5EA03DFD" w14:textId="77777777" w:rsidR="004676EF" w:rsidRPr="00734AB6" w:rsidRDefault="004676EF" w:rsidP="00796635">
      <w:pPr>
        <w:spacing w:line="360" w:lineRule="auto"/>
        <w:ind w:left="709" w:hanging="709"/>
        <w:rPr>
          <w:rFonts w:asciiTheme="majorHAnsi" w:eastAsia="Calibri" w:hAnsiTheme="majorHAnsi" w:cs="Calibri"/>
        </w:rPr>
      </w:pPr>
      <w:r w:rsidRPr="00734AB6">
        <w:rPr>
          <w:rFonts w:asciiTheme="majorHAnsi" w:eastAsia="Calibri" w:hAnsiTheme="majorHAnsi" w:cs="Calibri"/>
        </w:rPr>
        <w:t xml:space="preserve">Bond, A., &amp; </w:t>
      </w:r>
      <w:proofErr w:type="spellStart"/>
      <w:r w:rsidRPr="00734AB6">
        <w:rPr>
          <w:rFonts w:asciiTheme="majorHAnsi" w:eastAsia="Calibri" w:hAnsiTheme="majorHAnsi" w:cs="Calibri"/>
        </w:rPr>
        <w:t>Lader</w:t>
      </w:r>
      <w:proofErr w:type="spellEnd"/>
      <w:r w:rsidRPr="00734AB6">
        <w:rPr>
          <w:rFonts w:asciiTheme="majorHAnsi" w:eastAsia="Calibri" w:hAnsiTheme="majorHAnsi" w:cs="Calibri"/>
        </w:rPr>
        <w:t>, M. (1974). The use of analogue scales in rating subjective feelings. </w:t>
      </w:r>
      <w:r w:rsidRPr="00734AB6">
        <w:rPr>
          <w:rFonts w:asciiTheme="majorHAnsi" w:eastAsia="Calibri" w:hAnsiTheme="majorHAnsi" w:cs="Calibri"/>
          <w:i/>
          <w:iCs/>
        </w:rPr>
        <w:t>British Journal of Medical Psychology</w:t>
      </w:r>
      <w:r w:rsidRPr="00734AB6">
        <w:rPr>
          <w:rFonts w:asciiTheme="majorHAnsi" w:eastAsia="Calibri" w:hAnsiTheme="majorHAnsi" w:cs="Calibri"/>
        </w:rPr>
        <w:t>, </w:t>
      </w:r>
      <w:r w:rsidRPr="00734AB6">
        <w:rPr>
          <w:rFonts w:asciiTheme="majorHAnsi" w:eastAsia="Calibri" w:hAnsiTheme="majorHAnsi" w:cs="Calibri"/>
          <w:i/>
          <w:iCs/>
        </w:rPr>
        <w:t>47</w:t>
      </w:r>
      <w:r w:rsidRPr="00734AB6">
        <w:rPr>
          <w:rFonts w:asciiTheme="majorHAnsi" w:eastAsia="Calibri" w:hAnsiTheme="majorHAnsi" w:cs="Calibri"/>
        </w:rPr>
        <w:t>(3), 211-218.</w:t>
      </w:r>
    </w:p>
    <w:p w14:paraId="4476EF26" w14:textId="6820ED9E"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Boonstra</w:t>
      </w:r>
      <w:proofErr w:type="spellEnd"/>
      <w:r w:rsidRPr="00734AB6">
        <w:rPr>
          <w:rFonts w:asciiTheme="majorHAnsi" w:eastAsia="Calibri" w:hAnsiTheme="majorHAnsi" w:cs="Calibri"/>
        </w:rPr>
        <w:t xml:space="preserve">, A. M., </w:t>
      </w:r>
      <w:proofErr w:type="spellStart"/>
      <w:r w:rsidRPr="00734AB6">
        <w:rPr>
          <w:rFonts w:asciiTheme="majorHAnsi" w:eastAsia="Calibri" w:hAnsiTheme="majorHAnsi" w:cs="Calibri"/>
        </w:rPr>
        <w:t>Oosterlaan</w:t>
      </w:r>
      <w:proofErr w:type="spellEnd"/>
      <w:r w:rsidRPr="00734AB6">
        <w:rPr>
          <w:rFonts w:asciiTheme="majorHAnsi" w:eastAsia="Calibri" w:hAnsiTheme="majorHAnsi" w:cs="Calibri"/>
        </w:rPr>
        <w:t xml:space="preserve">, J., Sergeant, J. A., &amp; </w:t>
      </w:r>
      <w:proofErr w:type="spellStart"/>
      <w:r w:rsidRPr="00734AB6">
        <w:rPr>
          <w:rFonts w:asciiTheme="majorHAnsi" w:eastAsia="Calibri" w:hAnsiTheme="majorHAnsi" w:cs="Calibri"/>
        </w:rPr>
        <w:t>Buitelaar</w:t>
      </w:r>
      <w:proofErr w:type="spellEnd"/>
      <w:r w:rsidRPr="00734AB6">
        <w:rPr>
          <w:rFonts w:asciiTheme="majorHAnsi" w:eastAsia="Calibri" w:hAnsiTheme="majorHAnsi" w:cs="Calibri"/>
        </w:rPr>
        <w:t>, J. K. (2005). Executive functioning in adult ADHD: a meta-analytic review. </w:t>
      </w:r>
      <w:r w:rsidRPr="00734AB6">
        <w:rPr>
          <w:rFonts w:asciiTheme="majorHAnsi" w:eastAsia="Calibri" w:hAnsiTheme="majorHAnsi" w:cs="Calibri"/>
          <w:i/>
          <w:iCs/>
        </w:rPr>
        <w:t>Psychol</w:t>
      </w:r>
      <w:r w:rsidR="00FE589A" w:rsidRPr="00734AB6">
        <w:rPr>
          <w:rFonts w:asciiTheme="majorHAnsi" w:eastAsia="Calibri" w:hAnsiTheme="majorHAnsi" w:cs="Calibri"/>
          <w:i/>
          <w:iCs/>
        </w:rPr>
        <w:t>ogical M</w:t>
      </w:r>
      <w:r w:rsidRPr="00734AB6">
        <w:rPr>
          <w:rFonts w:asciiTheme="majorHAnsi" w:eastAsia="Calibri" w:hAnsiTheme="majorHAnsi" w:cs="Calibri"/>
          <w:i/>
          <w:iCs/>
        </w:rPr>
        <w:t>edicine</w:t>
      </w:r>
      <w:r w:rsidRPr="00734AB6">
        <w:rPr>
          <w:rFonts w:asciiTheme="majorHAnsi" w:eastAsia="Calibri" w:hAnsiTheme="majorHAnsi" w:cs="Calibri"/>
        </w:rPr>
        <w:t>, </w:t>
      </w:r>
      <w:r w:rsidRPr="00734AB6">
        <w:rPr>
          <w:rFonts w:asciiTheme="majorHAnsi" w:eastAsia="Calibri" w:hAnsiTheme="majorHAnsi" w:cs="Calibri"/>
          <w:i/>
          <w:iCs/>
        </w:rPr>
        <w:t>35</w:t>
      </w:r>
      <w:r w:rsidRPr="00734AB6">
        <w:rPr>
          <w:rFonts w:asciiTheme="majorHAnsi" w:eastAsia="Calibri" w:hAnsiTheme="majorHAnsi" w:cs="Calibri"/>
        </w:rPr>
        <w:t>(8), 1097-1108.</w:t>
      </w:r>
    </w:p>
    <w:p w14:paraId="21C14F49" w14:textId="086CA45F" w:rsidR="004676EF" w:rsidRPr="00734AB6" w:rsidRDefault="00E15BAB"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Bose, J., Hedden, S. L., Lipari, R. N., Park-Lee, E., Porter, J. D., &amp; Pemberton, M. R. (2016). Key substance use and mental health indicators in the United States: Results from the 2015 National Survey on Drug Use and Health. </w:t>
      </w:r>
      <w:r w:rsidRPr="00734AB6">
        <w:rPr>
          <w:rFonts w:asciiTheme="majorHAnsi" w:eastAsia="Calibri" w:hAnsiTheme="majorHAnsi" w:cs="Calibri"/>
          <w:i/>
          <w:iCs/>
        </w:rPr>
        <w:t>Substance abuse and mental health services administration</w:t>
      </w:r>
      <w:r w:rsidRPr="00734AB6">
        <w:rPr>
          <w:rFonts w:asciiTheme="majorHAnsi" w:eastAsia="Calibri" w:hAnsiTheme="majorHAnsi" w:cs="Calibri"/>
        </w:rPr>
        <w:t>.</w:t>
      </w:r>
      <w:r w:rsidR="004676EF" w:rsidRPr="00734AB6">
        <w:rPr>
          <w:rFonts w:asciiTheme="majorHAnsi" w:eastAsia="Calibri" w:hAnsiTheme="majorHAnsi" w:cs="Calibri"/>
          <w:i/>
          <w:iCs/>
        </w:rPr>
        <w:t xml:space="preserve"> </w:t>
      </w:r>
    </w:p>
    <w:p w14:paraId="100B6C21" w14:textId="4787364F"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Bossaer</w:t>
      </w:r>
      <w:proofErr w:type="spellEnd"/>
      <w:r w:rsidRPr="00734AB6">
        <w:rPr>
          <w:rFonts w:asciiTheme="majorHAnsi" w:hAnsiTheme="majorHAnsi" w:cstheme="minorHAnsi"/>
          <w:shd w:val="clear" w:color="auto" w:fill="FFFFFF"/>
        </w:rPr>
        <w:t xml:space="preserve">, J. B., Gray, J. A., Miller, S. E., </w:t>
      </w:r>
      <w:proofErr w:type="spellStart"/>
      <w:r w:rsidRPr="00734AB6">
        <w:rPr>
          <w:rFonts w:asciiTheme="majorHAnsi" w:hAnsiTheme="majorHAnsi" w:cstheme="minorHAnsi"/>
          <w:shd w:val="clear" w:color="auto" w:fill="FFFFFF"/>
        </w:rPr>
        <w:t>Enck</w:t>
      </w:r>
      <w:proofErr w:type="spellEnd"/>
      <w:r w:rsidRPr="00734AB6">
        <w:rPr>
          <w:rFonts w:asciiTheme="majorHAnsi" w:hAnsiTheme="majorHAnsi" w:cstheme="minorHAnsi"/>
          <w:shd w:val="clear" w:color="auto" w:fill="FFFFFF"/>
        </w:rPr>
        <w:t xml:space="preserve">, G., </w:t>
      </w:r>
      <w:proofErr w:type="spellStart"/>
      <w:r w:rsidRPr="00734AB6">
        <w:rPr>
          <w:rFonts w:asciiTheme="majorHAnsi" w:hAnsiTheme="majorHAnsi" w:cstheme="minorHAnsi"/>
          <w:shd w:val="clear" w:color="auto" w:fill="FFFFFF"/>
        </w:rPr>
        <w:t>Gaddipati</w:t>
      </w:r>
      <w:proofErr w:type="spellEnd"/>
      <w:r w:rsidRPr="00734AB6">
        <w:rPr>
          <w:rFonts w:asciiTheme="majorHAnsi" w:hAnsiTheme="majorHAnsi" w:cstheme="minorHAnsi"/>
          <w:shd w:val="clear" w:color="auto" w:fill="FFFFFF"/>
        </w:rPr>
        <w:t xml:space="preserve">, V. C., &amp; </w:t>
      </w:r>
      <w:proofErr w:type="spellStart"/>
      <w:r w:rsidRPr="00734AB6">
        <w:rPr>
          <w:rFonts w:asciiTheme="majorHAnsi" w:hAnsiTheme="majorHAnsi" w:cstheme="minorHAnsi"/>
          <w:shd w:val="clear" w:color="auto" w:fill="FFFFFF"/>
        </w:rPr>
        <w:t>Enck</w:t>
      </w:r>
      <w:proofErr w:type="spellEnd"/>
      <w:r w:rsidRPr="00734AB6">
        <w:rPr>
          <w:rFonts w:asciiTheme="majorHAnsi" w:hAnsiTheme="majorHAnsi" w:cstheme="minorHAnsi"/>
          <w:shd w:val="clear" w:color="auto" w:fill="FFFFFF"/>
        </w:rPr>
        <w:t xml:space="preserve">, R. E. (2013). The use and misuse of prescription stimulants as “cognitive enhancers” by students at one academic health sciences </w:t>
      </w:r>
      <w:proofErr w:type="spellStart"/>
      <w:r w:rsidRPr="00734AB6">
        <w:rPr>
          <w:rFonts w:asciiTheme="majorHAnsi" w:hAnsiTheme="majorHAnsi" w:cstheme="minorHAnsi"/>
          <w:shd w:val="clear" w:color="auto" w:fill="FFFFFF"/>
        </w:rPr>
        <w:t>center</w:t>
      </w:r>
      <w:proofErr w:type="spellEnd"/>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 xml:space="preserve">Academic </w:t>
      </w:r>
      <w:r w:rsidR="00E15BAB" w:rsidRPr="00734AB6">
        <w:rPr>
          <w:rFonts w:asciiTheme="majorHAnsi" w:hAnsiTheme="majorHAnsi" w:cstheme="minorHAnsi"/>
          <w:i/>
          <w:iCs/>
          <w:shd w:val="clear" w:color="auto" w:fill="FFFFFF"/>
        </w:rPr>
        <w:t>M</w:t>
      </w:r>
      <w:r w:rsidRPr="00734AB6">
        <w:rPr>
          <w:rFonts w:asciiTheme="majorHAnsi" w:hAnsiTheme="majorHAnsi" w:cstheme="minorHAnsi"/>
          <w:i/>
          <w:iCs/>
          <w:shd w:val="clear" w:color="auto" w:fill="FFFFFF"/>
        </w:rPr>
        <w:t>edicine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88</w:t>
      </w:r>
      <w:r w:rsidRPr="00734AB6">
        <w:rPr>
          <w:rFonts w:asciiTheme="majorHAnsi" w:hAnsiTheme="majorHAnsi" w:cstheme="minorHAnsi"/>
          <w:shd w:val="clear" w:color="auto" w:fill="FFFFFF"/>
        </w:rPr>
        <w:t>(7), 967-971.</w:t>
      </w:r>
    </w:p>
    <w:p w14:paraId="213FE1D7" w14:textId="2C34B32F"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Bostrom, N., &amp; Sandberg, A. (2009). Cognitive enhancement: methods, ethics, regu</w:t>
      </w:r>
      <w:r w:rsidR="00E15BAB" w:rsidRPr="00734AB6">
        <w:rPr>
          <w:rFonts w:asciiTheme="majorHAnsi" w:hAnsiTheme="majorHAnsi" w:cstheme="minorHAnsi"/>
          <w:shd w:val="clear" w:color="auto" w:fill="FFFFFF"/>
        </w:rPr>
        <w:t>latory challenges. Science and E</w:t>
      </w:r>
      <w:r w:rsidRPr="00734AB6">
        <w:rPr>
          <w:rFonts w:asciiTheme="majorHAnsi" w:hAnsiTheme="majorHAnsi" w:cstheme="minorHAnsi"/>
          <w:shd w:val="clear" w:color="auto" w:fill="FFFFFF"/>
        </w:rPr>
        <w:t xml:space="preserve">ngineering </w:t>
      </w:r>
      <w:r w:rsidR="00E15BAB" w:rsidRPr="00734AB6">
        <w:rPr>
          <w:rFonts w:asciiTheme="majorHAnsi" w:hAnsiTheme="majorHAnsi" w:cstheme="minorHAnsi"/>
          <w:shd w:val="clear" w:color="auto" w:fill="FFFFFF"/>
        </w:rPr>
        <w:t>E</w:t>
      </w:r>
      <w:r w:rsidRPr="00734AB6">
        <w:rPr>
          <w:rFonts w:asciiTheme="majorHAnsi" w:hAnsiTheme="majorHAnsi" w:cstheme="minorHAnsi"/>
          <w:shd w:val="clear" w:color="auto" w:fill="FFFFFF"/>
        </w:rPr>
        <w:t>thics, 15(3), 311-341.</w:t>
      </w:r>
    </w:p>
    <w:p w14:paraId="2AC7C342" w14:textId="188BE48D"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Botly</w:t>
      </w:r>
      <w:proofErr w:type="spellEnd"/>
      <w:r w:rsidRPr="00734AB6">
        <w:rPr>
          <w:rFonts w:asciiTheme="majorHAnsi" w:eastAsia="Calibri" w:hAnsiTheme="majorHAnsi" w:cs="Calibri"/>
        </w:rPr>
        <w:t>, L</w:t>
      </w:r>
      <w:r w:rsidR="00E15BAB" w:rsidRPr="00734AB6">
        <w:rPr>
          <w:rFonts w:asciiTheme="majorHAnsi" w:eastAsia="Calibri" w:hAnsiTheme="majorHAnsi" w:cs="Calibri"/>
        </w:rPr>
        <w:t xml:space="preserve">. </w:t>
      </w:r>
      <w:r w:rsidRPr="00734AB6">
        <w:rPr>
          <w:rFonts w:asciiTheme="majorHAnsi" w:eastAsia="Calibri" w:hAnsiTheme="majorHAnsi" w:cs="Calibri"/>
        </w:rPr>
        <w:t>C</w:t>
      </w:r>
      <w:r w:rsidR="00E15BAB" w:rsidRPr="00734AB6">
        <w:rPr>
          <w:rFonts w:asciiTheme="majorHAnsi" w:eastAsia="Calibri" w:hAnsiTheme="majorHAnsi" w:cs="Calibri"/>
        </w:rPr>
        <w:t>.</w:t>
      </w:r>
      <w:r w:rsidRPr="00734AB6">
        <w:rPr>
          <w:rFonts w:asciiTheme="majorHAnsi" w:eastAsia="Calibri" w:hAnsiTheme="majorHAnsi" w:cs="Calibri"/>
        </w:rPr>
        <w:t>, Burton, C</w:t>
      </w:r>
      <w:r w:rsidR="00E15BAB" w:rsidRPr="00734AB6">
        <w:rPr>
          <w:rFonts w:asciiTheme="majorHAnsi" w:eastAsia="Calibri" w:hAnsiTheme="majorHAnsi" w:cs="Calibri"/>
        </w:rPr>
        <w:t xml:space="preserve">. </w:t>
      </w:r>
      <w:r w:rsidRPr="00734AB6">
        <w:rPr>
          <w:rFonts w:asciiTheme="majorHAnsi" w:eastAsia="Calibri" w:hAnsiTheme="majorHAnsi" w:cs="Calibri"/>
        </w:rPr>
        <w:t>L</w:t>
      </w:r>
      <w:r w:rsidR="00E15BAB"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Rizos</w:t>
      </w:r>
      <w:proofErr w:type="spellEnd"/>
      <w:r w:rsidRPr="00734AB6">
        <w:rPr>
          <w:rFonts w:asciiTheme="majorHAnsi" w:eastAsia="Calibri" w:hAnsiTheme="majorHAnsi" w:cs="Calibri"/>
        </w:rPr>
        <w:t xml:space="preserve">, Z </w:t>
      </w:r>
      <w:r w:rsidR="00E369E2" w:rsidRPr="00734AB6">
        <w:rPr>
          <w:rFonts w:asciiTheme="majorHAnsi" w:eastAsia="Calibri" w:hAnsiTheme="majorHAnsi" w:cs="Calibri"/>
        </w:rPr>
        <w:t>&amp;</w:t>
      </w:r>
      <w:r w:rsidRPr="00734AB6">
        <w:rPr>
          <w:rFonts w:asciiTheme="majorHAnsi" w:eastAsia="Calibri" w:hAnsiTheme="majorHAnsi" w:cs="Calibri"/>
        </w:rPr>
        <w:t xml:space="preserve"> Fletcher, P</w:t>
      </w:r>
      <w:r w:rsidR="00E15BAB" w:rsidRPr="00734AB6">
        <w:rPr>
          <w:rFonts w:asciiTheme="majorHAnsi" w:eastAsia="Calibri" w:hAnsiTheme="majorHAnsi" w:cs="Calibri"/>
        </w:rPr>
        <w:t xml:space="preserve">. </w:t>
      </w:r>
      <w:r w:rsidRPr="00734AB6">
        <w:rPr>
          <w:rFonts w:asciiTheme="majorHAnsi" w:eastAsia="Calibri" w:hAnsiTheme="majorHAnsi" w:cs="Calibri"/>
        </w:rPr>
        <w:t>J</w:t>
      </w:r>
      <w:r w:rsidR="00E15BAB" w:rsidRPr="00734AB6">
        <w:rPr>
          <w:rFonts w:asciiTheme="majorHAnsi" w:eastAsia="Calibri" w:hAnsiTheme="majorHAnsi" w:cs="Calibri"/>
        </w:rPr>
        <w:t>.</w:t>
      </w:r>
      <w:r w:rsidRPr="00734AB6">
        <w:rPr>
          <w:rFonts w:asciiTheme="majorHAnsi" w:eastAsia="Calibri" w:hAnsiTheme="majorHAnsi" w:cs="Calibri"/>
        </w:rPr>
        <w:t xml:space="preserve"> (2008). Characterization of methylphenidate self-administration and reinstatement in the rat. </w:t>
      </w:r>
      <w:r w:rsidRPr="00734AB6">
        <w:rPr>
          <w:rFonts w:asciiTheme="majorHAnsi" w:eastAsia="Calibri" w:hAnsiTheme="majorHAnsi" w:cs="Calibri"/>
          <w:i/>
          <w:iCs/>
        </w:rPr>
        <w:t>Psychopharmacology</w:t>
      </w:r>
      <w:r w:rsidRPr="00734AB6">
        <w:rPr>
          <w:rFonts w:asciiTheme="majorHAnsi" w:eastAsia="Calibri" w:hAnsiTheme="majorHAnsi" w:cs="Calibri"/>
        </w:rPr>
        <w:t>, </w:t>
      </w:r>
      <w:r w:rsidRPr="00734AB6">
        <w:rPr>
          <w:rFonts w:asciiTheme="majorHAnsi" w:eastAsia="Calibri" w:hAnsiTheme="majorHAnsi" w:cs="Calibri"/>
          <w:i/>
          <w:iCs/>
        </w:rPr>
        <w:t>199</w:t>
      </w:r>
      <w:r w:rsidRPr="00734AB6">
        <w:rPr>
          <w:rFonts w:asciiTheme="majorHAnsi" w:eastAsia="Calibri" w:hAnsiTheme="majorHAnsi" w:cs="Calibri"/>
        </w:rPr>
        <w:t>(1), 55-66.</w:t>
      </w:r>
    </w:p>
    <w:p w14:paraId="4C9A7FC3" w14:textId="39097C5E"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Botvinick</w:t>
      </w:r>
      <w:proofErr w:type="spellEnd"/>
      <w:r w:rsidRPr="00734AB6">
        <w:rPr>
          <w:rFonts w:asciiTheme="majorHAnsi" w:eastAsia="Calibri" w:hAnsiTheme="majorHAnsi" w:cs="Calibri"/>
        </w:rPr>
        <w:t xml:space="preserve">, M. M., Braver, T. S., </w:t>
      </w:r>
      <w:proofErr w:type="spellStart"/>
      <w:r w:rsidRPr="00734AB6">
        <w:rPr>
          <w:rFonts w:asciiTheme="majorHAnsi" w:eastAsia="Calibri" w:hAnsiTheme="majorHAnsi" w:cs="Calibri"/>
        </w:rPr>
        <w:t>Barch</w:t>
      </w:r>
      <w:proofErr w:type="spellEnd"/>
      <w:r w:rsidRPr="00734AB6">
        <w:rPr>
          <w:rFonts w:asciiTheme="majorHAnsi" w:eastAsia="Calibri" w:hAnsiTheme="majorHAnsi" w:cs="Calibri"/>
        </w:rPr>
        <w:t>, D. M., Carter, C. S., &amp; Cohen, J. D. (2001). Conflict monitoring and cognitive control. </w:t>
      </w:r>
      <w:r w:rsidRPr="00734AB6">
        <w:rPr>
          <w:rFonts w:asciiTheme="majorHAnsi" w:eastAsia="Calibri" w:hAnsiTheme="majorHAnsi" w:cs="Calibri"/>
          <w:i/>
          <w:iCs/>
        </w:rPr>
        <w:t xml:space="preserve">Psychological </w:t>
      </w:r>
      <w:r w:rsidR="00E15BAB" w:rsidRPr="00734AB6">
        <w:rPr>
          <w:rFonts w:asciiTheme="majorHAnsi" w:eastAsia="Calibri" w:hAnsiTheme="majorHAnsi" w:cs="Calibri"/>
          <w:i/>
          <w:iCs/>
        </w:rPr>
        <w:t>R</w:t>
      </w:r>
      <w:r w:rsidRPr="00734AB6">
        <w:rPr>
          <w:rFonts w:asciiTheme="majorHAnsi" w:eastAsia="Calibri" w:hAnsiTheme="majorHAnsi" w:cs="Calibri"/>
          <w:i/>
          <w:iCs/>
        </w:rPr>
        <w:t>eview</w:t>
      </w:r>
      <w:r w:rsidRPr="00734AB6">
        <w:rPr>
          <w:rFonts w:asciiTheme="majorHAnsi" w:eastAsia="Calibri" w:hAnsiTheme="majorHAnsi" w:cs="Calibri"/>
        </w:rPr>
        <w:t>, </w:t>
      </w:r>
      <w:r w:rsidRPr="00734AB6">
        <w:rPr>
          <w:rFonts w:asciiTheme="majorHAnsi" w:eastAsia="Calibri" w:hAnsiTheme="majorHAnsi" w:cs="Calibri"/>
          <w:i/>
          <w:iCs/>
        </w:rPr>
        <w:t>108</w:t>
      </w:r>
      <w:r w:rsidRPr="00734AB6">
        <w:rPr>
          <w:rFonts w:asciiTheme="majorHAnsi" w:eastAsia="Calibri" w:hAnsiTheme="majorHAnsi" w:cs="Calibri"/>
        </w:rPr>
        <w:t>(3), 624.</w:t>
      </w:r>
    </w:p>
    <w:p w14:paraId="459459B8" w14:textId="69A10FF2" w:rsidR="001E3144" w:rsidRPr="00734AB6" w:rsidRDefault="001E3144"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Brace, N., </w:t>
      </w:r>
      <w:proofErr w:type="spellStart"/>
      <w:r w:rsidRPr="00734AB6">
        <w:rPr>
          <w:rFonts w:asciiTheme="majorHAnsi" w:hAnsiTheme="majorHAnsi" w:cstheme="minorHAnsi"/>
        </w:rPr>
        <w:t>Snelgar</w:t>
      </w:r>
      <w:proofErr w:type="spellEnd"/>
      <w:r w:rsidRPr="00734AB6">
        <w:rPr>
          <w:rFonts w:asciiTheme="majorHAnsi" w:hAnsiTheme="majorHAnsi" w:cstheme="minorHAnsi"/>
        </w:rPr>
        <w:t xml:space="preserve">, R., &amp; Kemp, R. (2012). </w:t>
      </w:r>
      <w:r w:rsidRPr="00734AB6">
        <w:rPr>
          <w:rFonts w:asciiTheme="majorHAnsi" w:hAnsiTheme="majorHAnsi" w:cstheme="minorHAnsi"/>
          <w:i/>
        </w:rPr>
        <w:t>SPSS for psychologists</w:t>
      </w:r>
      <w:r w:rsidRPr="00734AB6">
        <w:rPr>
          <w:rFonts w:asciiTheme="majorHAnsi" w:hAnsiTheme="majorHAnsi" w:cstheme="minorHAnsi"/>
        </w:rPr>
        <w:t xml:space="preserve"> (5th ed.). Basingstoke, Hampshire: Palgrave Macmillan.</w:t>
      </w:r>
    </w:p>
    <w:p w14:paraId="2CB676B2" w14:textId="44F539AA"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Broadbent, D. E., Cooper, P. F., FitzGerald, P., &amp; Parkes, K. R. (1982). The cognitive failures questionnaire (CFQ) and its correlates. </w:t>
      </w:r>
      <w:r w:rsidR="00E15BAB" w:rsidRPr="00734AB6">
        <w:rPr>
          <w:rFonts w:asciiTheme="majorHAnsi" w:hAnsiTheme="majorHAnsi" w:cstheme="minorHAnsi"/>
          <w:i/>
          <w:iCs/>
        </w:rPr>
        <w:t>British J</w:t>
      </w:r>
      <w:r w:rsidRPr="00734AB6">
        <w:rPr>
          <w:rFonts w:asciiTheme="majorHAnsi" w:hAnsiTheme="majorHAnsi" w:cstheme="minorHAnsi"/>
          <w:i/>
          <w:iCs/>
        </w:rPr>
        <w:t xml:space="preserve">ournal of </w:t>
      </w:r>
      <w:r w:rsidR="00E15BAB" w:rsidRPr="00734AB6">
        <w:rPr>
          <w:rFonts w:asciiTheme="majorHAnsi" w:hAnsiTheme="majorHAnsi" w:cstheme="minorHAnsi"/>
          <w:i/>
          <w:iCs/>
        </w:rPr>
        <w:t>Clinical P</w:t>
      </w:r>
      <w:r w:rsidRPr="00734AB6">
        <w:rPr>
          <w:rFonts w:asciiTheme="majorHAnsi" w:hAnsiTheme="majorHAnsi" w:cstheme="minorHAnsi"/>
          <w:i/>
          <w:iCs/>
        </w:rPr>
        <w:t>sychology</w:t>
      </w:r>
      <w:r w:rsidRPr="00734AB6">
        <w:rPr>
          <w:rFonts w:asciiTheme="majorHAnsi" w:hAnsiTheme="majorHAnsi" w:cstheme="minorHAnsi"/>
        </w:rPr>
        <w:t>, </w:t>
      </w:r>
      <w:r w:rsidRPr="00734AB6">
        <w:rPr>
          <w:rFonts w:asciiTheme="majorHAnsi" w:hAnsiTheme="majorHAnsi" w:cstheme="minorHAnsi"/>
          <w:i/>
          <w:iCs/>
        </w:rPr>
        <w:t>21</w:t>
      </w:r>
      <w:r w:rsidRPr="00734AB6">
        <w:rPr>
          <w:rFonts w:asciiTheme="majorHAnsi" w:hAnsiTheme="majorHAnsi" w:cstheme="minorHAnsi"/>
        </w:rPr>
        <w:t>(1), 1-16.</w:t>
      </w:r>
    </w:p>
    <w:p w14:paraId="6EF462B4"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rPr>
        <w:t>Brühl</w:t>
      </w:r>
      <w:proofErr w:type="spellEnd"/>
      <w:r w:rsidRPr="00734AB6">
        <w:rPr>
          <w:rFonts w:asciiTheme="majorHAnsi" w:hAnsiTheme="majorHAnsi" w:cstheme="minorHAnsi"/>
        </w:rPr>
        <w:t xml:space="preserve">, A. B., </w:t>
      </w:r>
      <w:proofErr w:type="spellStart"/>
      <w:r w:rsidRPr="00734AB6">
        <w:rPr>
          <w:rFonts w:asciiTheme="majorHAnsi" w:hAnsiTheme="majorHAnsi" w:cstheme="minorHAnsi"/>
        </w:rPr>
        <w:t>d’Angelo</w:t>
      </w:r>
      <w:proofErr w:type="spellEnd"/>
      <w:r w:rsidRPr="00734AB6">
        <w:rPr>
          <w:rFonts w:asciiTheme="majorHAnsi" w:hAnsiTheme="majorHAnsi" w:cstheme="minorHAnsi"/>
        </w:rPr>
        <w:t xml:space="preserve">, C., &amp; Sahakian, B. J. (2019). Neuroethical issues in cognitive enhancement: Modafinil as the example of a workplace drug?. </w:t>
      </w:r>
      <w:r w:rsidRPr="00734AB6">
        <w:rPr>
          <w:rFonts w:asciiTheme="majorHAnsi" w:hAnsiTheme="majorHAnsi" w:cstheme="minorHAnsi"/>
          <w:i/>
        </w:rPr>
        <w:t>Brain and Neuroscience Advances</w:t>
      </w:r>
      <w:r w:rsidRPr="00734AB6">
        <w:rPr>
          <w:rFonts w:asciiTheme="majorHAnsi" w:hAnsiTheme="majorHAnsi" w:cstheme="minorHAnsi"/>
        </w:rPr>
        <w:t xml:space="preserve">, </w:t>
      </w:r>
      <w:r w:rsidRPr="00734AB6">
        <w:rPr>
          <w:rFonts w:asciiTheme="majorHAnsi" w:hAnsiTheme="majorHAnsi" w:cstheme="minorHAnsi"/>
          <w:i/>
        </w:rPr>
        <w:t>3</w:t>
      </w:r>
      <w:r w:rsidRPr="00734AB6">
        <w:rPr>
          <w:rFonts w:asciiTheme="majorHAnsi" w:hAnsiTheme="majorHAnsi" w:cstheme="minorHAnsi"/>
        </w:rPr>
        <w:t>, 2398212818816018.</w:t>
      </w:r>
    </w:p>
    <w:p w14:paraId="780B5B5B" w14:textId="77777777" w:rsidR="00796635" w:rsidRPr="00734AB6" w:rsidRDefault="00796635" w:rsidP="00796635">
      <w:pPr>
        <w:spacing w:line="360" w:lineRule="auto"/>
        <w:ind w:left="709" w:hanging="709"/>
        <w:rPr>
          <w:rFonts w:asciiTheme="majorHAnsi" w:hAnsiTheme="majorHAnsi"/>
        </w:rPr>
      </w:pPr>
      <w:proofErr w:type="spellStart"/>
      <w:r w:rsidRPr="00734AB6">
        <w:rPr>
          <w:rFonts w:asciiTheme="majorHAnsi" w:hAnsiTheme="majorHAnsi"/>
        </w:rPr>
        <w:t>Brűhl</w:t>
      </w:r>
      <w:proofErr w:type="spellEnd"/>
      <w:r w:rsidRPr="00734AB6">
        <w:rPr>
          <w:rFonts w:asciiTheme="majorHAnsi" w:hAnsiTheme="majorHAnsi"/>
        </w:rPr>
        <w:t>, A., &amp; Sahakian, B. (2016). Drugs, games, and devices for enhancing cognition: implications for work and society.</w:t>
      </w:r>
      <w:r w:rsidRPr="00734AB6">
        <w:rPr>
          <w:rFonts w:ascii="Verdana" w:hAnsi="Verdana"/>
          <w:i/>
          <w:iCs/>
          <w:color w:val="333333"/>
          <w:sz w:val="18"/>
          <w:szCs w:val="18"/>
          <w:shd w:val="clear" w:color="auto" w:fill="FFFFFF"/>
        </w:rPr>
        <w:t xml:space="preserve"> </w:t>
      </w:r>
      <w:r w:rsidRPr="00734AB6">
        <w:rPr>
          <w:rFonts w:asciiTheme="majorHAnsi" w:hAnsiTheme="majorHAnsi"/>
          <w:i/>
          <w:iCs/>
          <w:shd w:val="clear" w:color="auto" w:fill="FFFFFF"/>
        </w:rPr>
        <w:t>Annals of the New York Academy of Sciences, 1369 </w:t>
      </w:r>
      <w:r w:rsidRPr="00734AB6">
        <w:rPr>
          <w:rFonts w:asciiTheme="majorHAnsi" w:hAnsiTheme="majorHAnsi"/>
          <w:shd w:val="clear" w:color="auto" w:fill="FFFFFF"/>
        </w:rPr>
        <w:t>195-217.</w:t>
      </w:r>
      <w:r w:rsidRPr="00734AB6">
        <w:rPr>
          <w:rFonts w:asciiTheme="majorHAnsi" w:hAnsiTheme="majorHAnsi"/>
          <w:color w:val="333333"/>
          <w:shd w:val="clear" w:color="auto" w:fill="FFFFFF"/>
        </w:rPr>
        <w:t> </w:t>
      </w:r>
    </w:p>
    <w:p w14:paraId="307B7DA4"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Burgess, C. R. (2010). Histamine and orexin in the control of arousal, locomotion, and motivation. </w:t>
      </w:r>
      <w:r w:rsidRPr="00734AB6">
        <w:rPr>
          <w:rFonts w:asciiTheme="majorHAnsi" w:hAnsiTheme="majorHAnsi" w:cstheme="minorHAnsi"/>
          <w:i/>
        </w:rPr>
        <w:t>Journal of Neuroscience</w:t>
      </w:r>
      <w:r w:rsidRPr="00734AB6">
        <w:rPr>
          <w:rFonts w:asciiTheme="majorHAnsi" w:hAnsiTheme="majorHAnsi" w:cstheme="minorHAnsi"/>
        </w:rPr>
        <w:t>, 30(8), 2810-2811.</w:t>
      </w:r>
    </w:p>
    <w:p w14:paraId="0C8FC5F0" w14:textId="24D46F8C"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Busardò</w:t>
      </w:r>
      <w:proofErr w:type="spellEnd"/>
      <w:r w:rsidRPr="00734AB6">
        <w:rPr>
          <w:rFonts w:asciiTheme="majorHAnsi" w:eastAsia="Calibri" w:hAnsiTheme="majorHAnsi" w:cs="Calibri"/>
        </w:rPr>
        <w:t>, F</w:t>
      </w:r>
      <w:r w:rsidR="00F56455"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Kyriakou</w:t>
      </w:r>
      <w:proofErr w:type="spellEnd"/>
      <w:r w:rsidRPr="00734AB6">
        <w:rPr>
          <w:rFonts w:asciiTheme="majorHAnsi" w:eastAsia="Calibri" w:hAnsiTheme="majorHAnsi" w:cs="Calibri"/>
        </w:rPr>
        <w:t>, C</w:t>
      </w:r>
      <w:r w:rsidR="00F56455"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Cipolloni</w:t>
      </w:r>
      <w:proofErr w:type="spellEnd"/>
      <w:r w:rsidRPr="00734AB6">
        <w:rPr>
          <w:rFonts w:asciiTheme="majorHAnsi" w:eastAsia="Calibri" w:hAnsiTheme="majorHAnsi" w:cs="Calibri"/>
        </w:rPr>
        <w:t>, L</w:t>
      </w:r>
      <w:r w:rsidR="00F56455"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Zaami</w:t>
      </w:r>
      <w:proofErr w:type="spellEnd"/>
      <w:r w:rsidRPr="00734AB6">
        <w:rPr>
          <w:rFonts w:asciiTheme="majorHAnsi" w:eastAsia="Calibri" w:hAnsiTheme="majorHAnsi" w:cs="Calibri"/>
        </w:rPr>
        <w:t>, S</w:t>
      </w:r>
      <w:r w:rsidR="00F56455"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Frati</w:t>
      </w:r>
      <w:proofErr w:type="spellEnd"/>
      <w:r w:rsidRPr="00734AB6">
        <w:rPr>
          <w:rFonts w:asciiTheme="majorHAnsi" w:eastAsia="Calibri" w:hAnsiTheme="majorHAnsi" w:cs="Calibri"/>
        </w:rPr>
        <w:t>, P</w:t>
      </w:r>
      <w:r w:rsidR="00F56455" w:rsidRPr="00734AB6">
        <w:rPr>
          <w:rFonts w:asciiTheme="majorHAnsi" w:eastAsia="Calibri" w:hAnsiTheme="majorHAnsi" w:cs="Calibri"/>
        </w:rPr>
        <w:t>.</w:t>
      </w:r>
      <w:r w:rsidRPr="00734AB6">
        <w:rPr>
          <w:rFonts w:asciiTheme="majorHAnsi" w:eastAsia="Calibri" w:hAnsiTheme="majorHAnsi" w:cs="Calibri"/>
        </w:rPr>
        <w:t xml:space="preserve"> (2016). From clinical application to cognitive enhancement: The example of methylphenidate. </w:t>
      </w:r>
      <w:r w:rsidRPr="00734AB6">
        <w:rPr>
          <w:rFonts w:asciiTheme="majorHAnsi" w:eastAsia="Calibri" w:hAnsiTheme="majorHAnsi" w:cs="Calibri"/>
          <w:i/>
          <w:iCs/>
        </w:rPr>
        <w:t>Current Neuropharmacology,</w:t>
      </w:r>
      <w:r w:rsidRPr="00734AB6">
        <w:rPr>
          <w:rFonts w:asciiTheme="majorHAnsi" w:eastAsia="Calibri" w:hAnsiTheme="majorHAnsi" w:cs="Calibri"/>
        </w:rPr>
        <w:t xml:space="preserve"> </w:t>
      </w:r>
      <w:r w:rsidRPr="00734AB6">
        <w:rPr>
          <w:rFonts w:asciiTheme="majorHAnsi" w:eastAsia="Calibri" w:hAnsiTheme="majorHAnsi" w:cs="Calibri"/>
          <w:i/>
          <w:iCs/>
        </w:rPr>
        <w:t>14</w:t>
      </w:r>
      <w:r w:rsidRPr="00734AB6">
        <w:rPr>
          <w:rFonts w:asciiTheme="majorHAnsi" w:eastAsia="Calibri" w:hAnsiTheme="majorHAnsi" w:cs="Calibri"/>
        </w:rPr>
        <w:t xml:space="preserve">(1), 17-27. </w:t>
      </w:r>
    </w:p>
    <w:p w14:paraId="02A93500" w14:textId="09ED7AA4"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Byrnes, J</w:t>
      </w:r>
      <w:r w:rsidR="00F56455" w:rsidRPr="00734AB6">
        <w:rPr>
          <w:rFonts w:asciiTheme="majorHAnsi" w:eastAsia="Calibri" w:hAnsiTheme="majorHAnsi" w:cs="Calibri"/>
        </w:rPr>
        <w:t xml:space="preserve">. </w:t>
      </w:r>
      <w:r w:rsidRPr="00734AB6">
        <w:rPr>
          <w:rFonts w:asciiTheme="majorHAnsi" w:eastAsia="Calibri" w:hAnsiTheme="majorHAnsi" w:cs="Calibri"/>
        </w:rPr>
        <w:t>P</w:t>
      </w:r>
      <w:r w:rsidR="00F56455" w:rsidRPr="00734AB6">
        <w:rPr>
          <w:rFonts w:asciiTheme="majorHAnsi" w:eastAsia="Calibri" w:hAnsiTheme="majorHAnsi" w:cs="Calibri"/>
        </w:rPr>
        <w:t>.</w:t>
      </w:r>
      <w:r w:rsidRPr="00734AB6">
        <w:rPr>
          <w:rFonts w:asciiTheme="majorHAnsi" w:eastAsia="Calibri" w:hAnsiTheme="majorHAnsi" w:cs="Calibri"/>
        </w:rPr>
        <w:t>, Miller, D</w:t>
      </w:r>
      <w:r w:rsidR="00F56455" w:rsidRPr="00734AB6">
        <w:rPr>
          <w:rFonts w:asciiTheme="majorHAnsi" w:eastAsia="Calibri" w:hAnsiTheme="majorHAnsi" w:cs="Calibri"/>
        </w:rPr>
        <w:t xml:space="preserve">. </w:t>
      </w:r>
      <w:r w:rsidRPr="00734AB6">
        <w:rPr>
          <w:rFonts w:asciiTheme="majorHAnsi" w:eastAsia="Calibri" w:hAnsiTheme="majorHAnsi" w:cs="Calibri"/>
        </w:rPr>
        <w:t>C</w:t>
      </w:r>
      <w:r w:rsidR="00F56455"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Schafer, W</w:t>
      </w:r>
      <w:r w:rsidR="00F56455" w:rsidRPr="00734AB6">
        <w:rPr>
          <w:rFonts w:asciiTheme="majorHAnsi" w:eastAsia="Calibri" w:hAnsiTheme="majorHAnsi" w:cs="Calibri"/>
        </w:rPr>
        <w:t xml:space="preserve">. </w:t>
      </w:r>
      <w:r w:rsidRPr="00734AB6">
        <w:rPr>
          <w:rFonts w:asciiTheme="majorHAnsi" w:eastAsia="Calibri" w:hAnsiTheme="majorHAnsi" w:cs="Calibri"/>
        </w:rPr>
        <w:t>D</w:t>
      </w:r>
      <w:r w:rsidR="00F56455" w:rsidRPr="00734AB6">
        <w:rPr>
          <w:rFonts w:asciiTheme="majorHAnsi" w:eastAsia="Calibri" w:hAnsiTheme="majorHAnsi" w:cs="Calibri"/>
        </w:rPr>
        <w:t>.</w:t>
      </w:r>
      <w:r w:rsidRPr="00734AB6">
        <w:rPr>
          <w:rFonts w:asciiTheme="majorHAnsi" w:eastAsia="Calibri" w:hAnsiTheme="majorHAnsi" w:cs="Calibri"/>
        </w:rPr>
        <w:t xml:space="preserve"> (1999). Gender differences in risk taking: A meta-analysis. </w:t>
      </w:r>
      <w:r w:rsidRPr="00734AB6">
        <w:rPr>
          <w:rFonts w:asciiTheme="majorHAnsi" w:eastAsia="Calibri" w:hAnsiTheme="majorHAnsi" w:cs="Calibri"/>
          <w:i/>
        </w:rPr>
        <w:t>Psychological Bulletin,</w:t>
      </w:r>
      <w:r w:rsidRPr="00734AB6">
        <w:rPr>
          <w:rFonts w:asciiTheme="majorHAnsi" w:eastAsia="Calibri" w:hAnsiTheme="majorHAnsi" w:cs="Calibri"/>
        </w:rPr>
        <w:t xml:space="preserve"> </w:t>
      </w:r>
      <w:r w:rsidRPr="00734AB6">
        <w:rPr>
          <w:rFonts w:asciiTheme="majorHAnsi" w:eastAsia="Calibri" w:hAnsiTheme="majorHAnsi" w:cs="Calibri"/>
          <w:i/>
        </w:rPr>
        <w:t>125</w:t>
      </w:r>
      <w:r w:rsidRPr="00734AB6">
        <w:rPr>
          <w:rFonts w:asciiTheme="majorHAnsi" w:eastAsia="Calibri" w:hAnsiTheme="majorHAnsi" w:cs="Calibri"/>
        </w:rPr>
        <w:t>(3), 367–383.</w:t>
      </w:r>
    </w:p>
    <w:p w14:paraId="3062E5F1" w14:textId="77777777"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Cambridge Cognition Ltd. (n.d.). Cambridge automated neuropsychological test automated battery. Retrieved from https://www.cambridgecognition.com/cantab.</w:t>
      </w:r>
    </w:p>
    <w:p w14:paraId="19AE6AE1" w14:textId="47BCED94"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 xml:space="preserve">Caples, S. M., </w:t>
      </w:r>
      <w:proofErr w:type="spellStart"/>
      <w:r w:rsidRPr="00734AB6">
        <w:rPr>
          <w:rFonts w:asciiTheme="majorHAnsi" w:hAnsiTheme="majorHAnsi" w:cstheme="minorHAnsi"/>
          <w:sz w:val="22"/>
          <w:szCs w:val="22"/>
          <w:shd w:val="clear" w:color="auto" w:fill="FFFFFF"/>
        </w:rPr>
        <w:t>Gami</w:t>
      </w:r>
      <w:proofErr w:type="spellEnd"/>
      <w:r w:rsidRPr="00734AB6">
        <w:rPr>
          <w:rFonts w:asciiTheme="majorHAnsi" w:hAnsiTheme="majorHAnsi" w:cstheme="minorHAnsi"/>
          <w:sz w:val="22"/>
          <w:szCs w:val="22"/>
          <w:shd w:val="clear" w:color="auto" w:fill="FFFFFF"/>
        </w:rPr>
        <w:t xml:space="preserve">, A. S., &amp; Somers, V. K. (2005). Obstructive sleep </w:t>
      </w:r>
      <w:proofErr w:type="spellStart"/>
      <w:r w:rsidRPr="00734AB6">
        <w:rPr>
          <w:rFonts w:asciiTheme="majorHAnsi" w:hAnsiTheme="majorHAnsi" w:cstheme="minorHAnsi"/>
          <w:sz w:val="22"/>
          <w:szCs w:val="22"/>
          <w:shd w:val="clear" w:color="auto" w:fill="FFFFFF"/>
        </w:rPr>
        <w:t>apnea</w:t>
      </w:r>
      <w:proofErr w:type="spellEnd"/>
      <w:r w:rsidRPr="00734AB6">
        <w:rPr>
          <w:rFonts w:asciiTheme="majorHAnsi" w:hAnsiTheme="majorHAnsi" w:cstheme="minorHAnsi"/>
          <w:sz w:val="22"/>
          <w:szCs w:val="22"/>
          <w:shd w:val="clear" w:color="auto" w:fill="FFFFFF"/>
        </w:rPr>
        <w:t>.</w:t>
      </w:r>
      <w:r w:rsidRPr="00734AB6">
        <w:rPr>
          <w:rStyle w:val="apple-converted-space"/>
          <w:rFonts w:asciiTheme="majorHAnsi" w:hAnsiTheme="majorHAnsi" w:cstheme="minorHAnsi"/>
          <w:sz w:val="22"/>
          <w:szCs w:val="22"/>
          <w:shd w:val="clear" w:color="auto" w:fill="FFFFFF"/>
        </w:rPr>
        <w:t> </w:t>
      </w:r>
      <w:r w:rsidR="00F56455" w:rsidRPr="00734AB6">
        <w:rPr>
          <w:rFonts w:asciiTheme="majorHAnsi" w:hAnsiTheme="majorHAnsi" w:cstheme="minorHAnsi"/>
          <w:i/>
          <w:iCs/>
          <w:sz w:val="22"/>
          <w:szCs w:val="22"/>
          <w:shd w:val="clear" w:color="auto" w:fill="FFFFFF"/>
        </w:rPr>
        <w:t>Annals of Internal M</w:t>
      </w:r>
      <w:r w:rsidRPr="00734AB6">
        <w:rPr>
          <w:rFonts w:asciiTheme="majorHAnsi" w:hAnsiTheme="majorHAnsi" w:cstheme="minorHAnsi"/>
          <w:i/>
          <w:iCs/>
          <w:sz w:val="22"/>
          <w:szCs w:val="22"/>
          <w:shd w:val="clear" w:color="auto" w:fill="FFFFFF"/>
        </w:rPr>
        <w:t>edicine</w:t>
      </w:r>
      <w:r w:rsidRPr="00734AB6">
        <w:rPr>
          <w:rFonts w:asciiTheme="majorHAnsi" w:hAnsiTheme="majorHAnsi" w:cstheme="minorHAnsi"/>
          <w:sz w:val="22"/>
          <w:szCs w:val="22"/>
          <w:shd w:val="clear" w:color="auto" w:fill="FFFFFF"/>
        </w:rPr>
        <w:t>,</w:t>
      </w:r>
      <w:r w:rsidRPr="00734AB6">
        <w:rPr>
          <w:rStyle w:val="apple-converted-space"/>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142</w:t>
      </w:r>
      <w:r w:rsidRPr="00734AB6">
        <w:rPr>
          <w:rFonts w:asciiTheme="majorHAnsi" w:hAnsiTheme="majorHAnsi" w:cstheme="minorHAnsi"/>
          <w:sz w:val="22"/>
          <w:szCs w:val="22"/>
          <w:shd w:val="clear" w:color="auto" w:fill="FFFFFF"/>
        </w:rPr>
        <w:t>(3), 187-197.</w:t>
      </w:r>
    </w:p>
    <w:p w14:paraId="6FED07A3" w14:textId="77777777" w:rsidR="00796635" w:rsidRPr="00734AB6" w:rsidRDefault="00796635" w:rsidP="00796635">
      <w:pPr>
        <w:spacing w:line="360" w:lineRule="auto"/>
        <w:ind w:left="851" w:hanging="851"/>
        <w:rPr>
          <w:rFonts w:asciiTheme="majorHAnsi" w:hAnsiTheme="majorHAnsi"/>
        </w:rPr>
      </w:pPr>
      <w:r w:rsidRPr="00734AB6">
        <w:rPr>
          <w:rFonts w:asciiTheme="majorHAnsi" w:hAnsiTheme="majorHAnsi"/>
        </w:rPr>
        <w:t>Carlson, C. L., &amp; Mann, M. (2000). Attention-deficit/hyperactivity disorder, predominantly inattentive subtype. </w:t>
      </w:r>
      <w:r w:rsidRPr="00734AB6">
        <w:rPr>
          <w:rFonts w:asciiTheme="majorHAnsi" w:hAnsiTheme="majorHAnsi"/>
          <w:i/>
          <w:iCs/>
        </w:rPr>
        <w:t>Child and Adolescent Psychiatric Clinics of North America</w:t>
      </w:r>
      <w:r w:rsidRPr="00734AB6">
        <w:rPr>
          <w:rFonts w:asciiTheme="majorHAnsi" w:hAnsiTheme="majorHAnsi"/>
        </w:rPr>
        <w:t>, </w:t>
      </w:r>
      <w:r w:rsidRPr="00734AB6">
        <w:rPr>
          <w:rFonts w:asciiTheme="majorHAnsi" w:hAnsiTheme="majorHAnsi"/>
          <w:i/>
          <w:iCs/>
        </w:rPr>
        <w:t>9</w:t>
      </w:r>
      <w:r w:rsidRPr="00734AB6">
        <w:rPr>
          <w:rFonts w:asciiTheme="majorHAnsi" w:hAnsiTheme="majorHAnsi"/>
        </w:rPr>
        <w:t>(3), 499-510.</w:t>
      </w:r>
    </w:p>
    <w:p w14:paraId="534702F1"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Carter, C. S., &amp; Van Veen, V. (2007). Anterior cingulate cortex and conflict detection: an update of theory and data. </w:t>
      </w:r>
      <w:r w:rsidRPr="00734AB6">
        <w:rPr>
          <w:rFonts w:asciiTheme="majorHAnsi" w:hAnsiTheme="majorHAnsi" w:cs="Arial"/>
          <w:i/>
          <w:iCs/>
          <w:shd w:val="clear" w:color="auto" w:fill="FFFFFF"/>
        </w:rPr>
        <w:t xml:space="preserve">Cognitive, Affective, &amp; </w:t>
      </w:r>
      <w:proofErr w:type="spellStart"/>
      <w:r w:rsidRPr="00734AB6">
        <w:rPr>
          <w:rFonts w:asciiTheme="majorHAnsi" w:hAnsiTheme="majorHAnsi" w:cs="Arial"/>
          <w:i/>
          <w:iCs/>
          <w:shd w:val="clear" w:color="auto" w:fill="FFFFFF"/>
        </w:rPr>
        <w:t>Behavioral</w:t>
      </w:r>
      <w:proofErr w:type="spellEnd"/>
      <w:r w:rsidRPr="00734AB6">
        <w:rPr>
          <w:rFonts w:asciiTheme="majorHAnsi" w:hAnsiTheme="majorHAnsi" w:cs="Arial"/>
          <w:i/>
          <w:iCs/>
          <w:shd w:val="clear" w:color="auto" w:fill="FFFFFF"/>
        </w:rPr>
        <w:t xml:space="preserve"> Neuroscience</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7</w:t>
      </w:r>
      <w:r w:rsidRPr="00734AB6">
        <w:rPr>
          <w:rFonts w:asciiTheme="majorHAnsi" w:hAnsiTheme="majorHAnsi" w:cs="Arial"/>
          <w:shd w:val="clear" w:color="auto" w:fill="FFFFFF"/>
        </w:rPr>
        <w:t>(4), 367-379.</w:t>
      </w:r>
    </w:p>
    <w:p w14:paraId="2D2174B6" w14:textId="77777777" w:rsidR="00E5175A" w:rsidRPr="00734AB6" w:rsidRDefault="00E5175A" w:rsidP="00E5175A">
      <w:pPr>
        <w:spacing w:line="360" w:lineRule="auto"/>
        <w:ind w:left="567" w:hanging="567"/>
        <w:rPr>
          <w:rFonts w:asciiTheme="majorHAnsi" w:hAnsiTheme="majorHAnsi" w:cstheme="majorHAnsi"/>
        </w:rPr>
      </w:pPr>
      <w:r w:rsidRPr="00734AB6">
        <w:rPr>
          <w:rFonts w:asciiTheme="majorHAnsi" w:hAnsiTheme="majorHAnsi" w:cstheme="majorHAnsi"/>
        </w:rPr>
        <w:t>Chamberlain, S. R., Müller, U., Blackwell, A. D., Clark, L., Robbins, T. W., &amp; Sahakian, B. J. (2006). Neurochemical modulation of response inhibition and probabilistic learning in humans. </w:t>
      </w:r>
      <w:r w:rsidRPr="00734AB6">
        <w:rPr>
          <w:rFonts w:asciiTheme="majorHAnsi" w:hAnsiTheme="majorHAnsi" w:cstheme="majorHAnsi"/>
          <w:i/>
          <w:iCs/>
        </w:rPr>
        <w:t>Science</w:t>
      </w:r>
      <w:r w:rsidRPr="00734AB6">
        <w:rPr>
          <w:rFonts w:asciiTheme="majorHAnsi" w:hAnsiTheme="majorHAnsi" w:cstheme="majorHAnsi"/>
        </w:rPr>
        <w:t>, </w:t>
      </w:r>
      <w:r w:rsidRPr="00734AB6">
        <w:rPr>
          <w:rFonts w:asciiTheme="majorHAnsi" w:hAnsiTheme="majorHAnsi" w:cstheme="majorHAnsi"/>
          <w:i/>
          <w:iCs/>
        </w:rPr>
        <w:t>311</w:t>
      </w:r>
      <w:r w:rsidRPr="00734AB6">
        <w:rPr>
          <w:rFonts w:asciiTheme="majorHAnsi" w:hAnsiTheme="majorHAnsi" w:cstheme="majorHAnsi"/>
        </w:rPr>
        <w:t>(5762), 861-863.</w:t>
      </w:r>
    </w:p>
    <w:p w14:paraId="10735C5A" w14:textId="73C4190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Cleveland, E</w:t>
      </w:r>
      <w:r w:rsidR="00F56455" w:rsidRPr="00734AB6">
        <w:rPr>
          <w:rFonts w:asciiTheme="majorHAnsi" w:eastAsia="Calibri" w:hAnsiTheme="majorHAnsi" w:cs="Calibri"/>
        </w:rPr>
        <w:t>.</w:t>
      </w:r>
      <w:r w:rsidRPr="00734AB6">
        <w:rPr>
          <w:rFonts w:asciiTheme="majorHAnsi" w:eastAsia="Calibri" w:hAnsiTheme="majorHAnsi" w:cs="Calibri"/>
        </w:rPr>
        <w:t xml:space="preserve"> (2016). What’s missing from</w:t>
      </w:r>
      <w:r w:rsidR="00F56455" w:rsidRPr="00734AB6">
        <w:rPr>
          <w:rFonts w:asciiTheme="majorHAnsi" w:eastAsia="Calibri" w:hAnsiTheme="majorHAnsi" w:cs="Calibri"/>
        </w:rPr>
        <w:t xml:space="preserve"> the current smart drugs debate.</w:t>
      </w:r>
      <w:r w:rsidRPr="00734AB6">
        <w:rPr>
          <w:rFonts w:asciiTheme="majorHAnsi" w:eastAsia="Calibri" w:hAnsiTheme="majorHAnsi" w:cs="Calibri"/>
        </w:rPr>
        <w:t xml:space="preserve"> </w:t>
      </w:r>
      <w:r w:rsidRPr="00734AB6">
        <w:rPr>
          <w:rFonts w:asciiTheme="majorHAnsi" w:eastAsia="Calibri" w:hAnsiTheme="majorHAnsi" w:cs="Calibri"/>
          <w:i/>
          <w:iCs/>
        </w:rPr>
        <w:t>Society</w:t>
      </w:r>
      <w:r w:rsidRPr="00734AB6">
        <w:rPr>
          <w:rFonts w:asciiTheme="majorHAnsi" w:eastAsia="Calibri" w:hAnsiTheme="majorHAnsi" w:cs="Calibri"/>
        </w:rPr>
        <w:t xml:space="preserve">, </w:t>
      </w:r>
      <w:r w:rsidRPr="00734AB6">
        <w:rPr>
          <w:rFonts w:asciiTheme="majorHAnsi" w:eastAsia="Calibri" w:hAnsiTheme="majorHAnsi" w:cs="Calibri"/>
          <w:i/>
          <w:iCs/>
        </w:rPr>
        <w:t>53</w:t>
      </w:r>
      <w:r w:rsidRPr="00734AB6">
        <w:rPr>
          <w:rFonts w:asciiTheme="majorHAnsi" w:eastAsia="Calibri" w:hAnsiTheme="majorHAnsi" w:cs="Calibri"/>
        </w:rPr>
        <w:t>(3), 237-239.</w:t>
      </w:r>
    </w:p>
    <w:p w14:paraId="34AAB07A" w14:textId="77777777"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Connor, M. J. (1997). Making judgements about attention and concentration levels: how can we know what to expect?. </w:t>
      </w:r>
      <w:r w:rsidRPr="00734AB6">
        <w:rPr>
          <w:rFonts w:asciiTheme="majorHAnsi" w:hAnsiTheme="majorHAnsi" w:cstheme="minorHAnsi"/>
          <w:i/>
          <w:iCs/>
          <w:sz w:val="22"/>
          <w:szCs w:val="22"/>
          <w:shd w:val="clear" w:color="auto" w:fill="FFFFFF"/>
        </w:rPr>
        <w:t>Emotional and Behavioural Difficulties</w:t>
      </w:r>
      <w:r w:rsidRPr="00734AB6">
        <w:rPr>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2</w:t>
      </w:r>
      <w:r w:rsidRPr="00734AB6">
        <w:rPr>
          <w:rFonts w:asciiTheme="majorHAnsi" w:hAnsiTheme="majorHAnsi" w:cstheme="minorHAnsi"/>
          <w:sz w:val="22"/>
          <w:szCs w:val="22"/>
          <w:shd w:val="clear" w:color="auto" w:fill="FFFFFF"/>
        </w:rPr>
        <w:t>(2), 14-20.</w:t>
      </w:r>
    </w:p>
    <w:p w14:paraId="1341129D" w14:textId="77777777"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Conners, C. K. (2001). Conners' Rating Scales--revised: CRS-R. North Tonawanda, NJ: Multi-Health Systems.</w:t>
      </w:r>
    </w:p>
    <w:p w14:paraId="4273BFCA" w14:textId="2DDE5E8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Cooke, J. D., &amp; </w:t>
      </w:r>
      <w:proofErr w:type="spellStart"/>
      <w:r w:rsidRPr="00734AB6">
        <w:rPr>
          <w:rFonts w:asciiTheme="majorHAnsi" w:eastAsia="Calibri" w:hAnsiTheme="majorHAnsi" w:cs="Calibri"/>
        </w:rPr>
        <w:t>Diggles</w:t>
      </w:r>
      <w:proofErr w:type="spellEnd"/>
      <w:r w:rsidRPr="00734AB6">
        <w:rPr>
          <w:rFonts w:asciiTheme="majorHAnsi" w:eastAsia="Calibri" w:hAnsiTheme="majorHAnsi" w:cs="Calibri"/>
        </w:rPr>
        <w:t>, V. A. (1984). Rapid error correction during human arm movements: evidence for central monitoring. </w:t>
      </w:r>
      <w:r w:rsidRPr="00734AB6">
        <w:rPr>
          <w:rFonts w:asciiTheme="majorHAnsi" w:eastAsia="Calibri" w:hAnsiTheme="majorHAnsi" w:cs="Calibri"/>
          <w:i/>
          <w:iCs/>
        </w:rPr>
        <w:t>Journal</w:t>
      </w:r>
      <w:r w:rsidR="00F56455" w:rsidRPr="00734AB6">
        <w:rPr>
          <w:rFonts w:asciiTheme="majorHAnsi" w:eastAsia="Calibri" w:hAnsiTheme="majorHAnsi" w:cs="Calibri"/>
          <w:i/>
          <w:iCs/>
        </w:rPr>
        <w:t xml:space="preserve"> of M</w:t>
      </w:r>
      <w:r w:rsidRPr="00734AB6">
        <w:rPr>
          <w:rFonts w:asciiTheme="majorHAnsi" w:eastAsia="Calibri" w:hAnsiTheme="majorHAnsi" w:cs="Calibri"/>
          <w:i/>
          <w:iCs/>
        </w:rPr>
        <w:t xml:space="preserve">otor </w:t>
      </w:r>
      <w:proofErr w:type="spellStart"/>
      <w:r w:rsidR="00F56455" w:rsidRPr="00734AB6">
        <w:rPr>
          <w:rFonts w:asciiTheme="majorHAnsi" w:eastAsia="Calibri" w:hAnsiTheme="majorHAnsi" w:cs="Calibri"/>
          <w:i/>
          <w:iCs/>
        </w:rPr>
        <w:t>B</w:t>
      </w:r>
      <w:r w:rsidRPr="00734AB6">
        <w:rPr>
          <w:rFonts w:asciiTheme="majorHAnsi" w:eastAsia="Calibri" w:hAnsiTheme="majorHAnsi" w:cs="Calibri"/>
          <w:i/>
          <w:iCs/>
        </w:rPr>
        <w:t>ehavior</w:t>
      </w:r>
      <w:proofErr w:type="spellEnd"/>
      <w:r w:rsidRPr="00734AB6">
        <w:rPr>
          <w:rFonts w:asciiTheme="majorHAnsi" w:eastAsia="Calibri" w:hAnsiTheme="majorHAnsi" w:cs="Calibri"/>
        </w:rPr>
        <w:t>, </w:t>
      </w:r>
      <w:r w:rsidRPr="00734AB6">
        <w:rPr>
          <w:rFonts w:asciiTheme="majorHAnsi" w:eastAsia="Calibri" w:hAnsiTheme="majorHAnsi" w:cs="Calibri"/>
          <w:i/>
          <w:iCs/>
        </w:rPr>
        <w:t>16</w:t>
      </w:r>
      <w:r w:rsidRPr="00734AB6">
        <w:rPr>
          <w:rFonts w:asciiTheme="majorHAnsi" w:eastAsia="Calibri" w:hAnsiTheme="majorHAnsi" w:cs="Calibri"/>
        </w:rPr>
        <w:t>(4), 348-363.</w:t>
      </w:r>
    </w:p>
    <w:p w14:paraId="2C9EF6FD" w14:textId="4426696E" w:rsidR="00282BFE" w:rsidRPr="00734AB6" w:rsidRDefault="00282BFE"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Coolican, H. (2017). </w:t>
      </w:r>
      <w:r w:rsidRPr="00734AB6">
        <w:rPr>
          <w:rFonts w:asciiTheme="majorHAnsi" w:eastAsia="Calibri" w:hAnsiTheme="majorHAnsi" w:cs="Calibri"/>
          <w:i/>
          <w:iCs/>
        </w:rPr>
        <w:t>Research methods and statistics in psychology</w:t>
      </w:r>
      <w:r w:rsidRPr="00734AB6">
        <w:rPr>
          <w:rFonts w:asciiTheme="majorHAnsi" w:eastAsia="Calibri" w:hAnsiTheme="majorHAnsi" w:cs="Calibri"/>
        </w:rPr>
        <w:t>. Hove: Psychology Press.</w:t>
      </w:r>
    </w:p>
    <w:p w14:paraId="77805EBF" w14:textId="77777777" w:rsidR="00E5175A" w:rsidRPr="00734AB6" w:rsidRDefault="00E5175A" w:rsidP="00E5175A">
      <w:pPr>
        <w:spacing w:line="360" w:lineRule="auto"/>
        <w:ind w:left="426" w:hanging="426"/>
        <w:rPr>
          <w:rFonts w:asciiTheme="majorHAnsi" w:hAnsiTheme="majorHAnsi" w:cstheme="majorHAnsi"/>
        </w:rPr>
      </w:pPr>
      <w:r w:rsidRPr="00734AB6">
        <w:rPr>
          <w:rFonts w:asciiTheme="majorHAnsi" w:hAnsiTheme="majorHAnsi" w:cstheme="majorHAnsi"/>
        </w:rPr>
        <w:t xml:space="preserve">Cools, R. (2015). Neuropsychopharmacology of cognitive flexibility. </w:t>
      </w:r>
      <w:r w:rsidRPr="00734AB6">
        <w:rPr>
          <w:rFonts w:asciiTheme="majorHAnsi" w:hAnsiTheme="majorHAnsi" w:cstheme="majorHAnsi"/>
          <w:i/>
          <w:iCs/>
        </w:rPr>
        <w:t>Brain Mapping,</w:t>
      </w:r>
      <w:r w:rsidRPr="00734AB6">
        <w:rPr>
          <w:rFonts w:asciiTheme="majorHAnsi" w:hAnsiTheme="majorHAnsi" w:cstheme="majorHAnsi"/>
        </w:rPr>
        <w:t xml:space="preserve"> 349 – 353.</w:t>
      </w:r>
    </w:p>
    <w:p w14:paraId="6D918F68" w14:textId="22AAD6C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Cools, R</w:t>
      </w:r>
      <w:r w:rsidR="00853E32" w:rsidRPr="00734AB6">
        <w:rPr>
          <w:rFonts w:asciiTheme="majorHAnsi" w:eastAsia="Calibri" w:hAnsiTheme="majorHAnsi" w:cs="Calibri"/>
        </w:rPr>
        <w:t>.</w:t>
      </w:r>
      <w:r w:rsidRPr="00734AB6">
        <w:rPr>
          <w:rFonts w:asciiTheme="majorHAnsi" w:eastAsia="Calibri" w:hAnsiTheme="majorHAnsi" w:cs="Calibri"/>
        </w:rPr>
        <w:t>, Gibbs, S</w:t>
      </w:r>
      <w:r w:rsidR="00853E32" w:rsidRPr="00734AB6">
        <w:rPr>
          <w:rFonts w:asciiTheme="majorHAnsi" w:eastAsia="Calibri" w:hAnsiTheme="majorHAnsi" w:cs="Calibri"/>
        </w:rPr>
        <w:t xml:space="preserve">. </w:t>
      </w:r>
      <w:r w:rsidRPr="00734AB6">
        <w:rPr>
          <w:rFonts w:asciiTheme="majorHAnsi" w:eastAsia="Calibri" w:hAnsiTheme="majorHAnsi" w:cs="Calibri"/>
        </w:rPr>
        <w:t>E</w:t>
      </w:r>
      <w:r w:rsidR="00853E32" w:rsidRPr="00734AB6">
        <w:rPr>
          <w:rFonts w:asciiTheme="majorHAnsi" w:eastAsia="Calibri" w:hAnsiTheme="majorHAnsi" w:cs="Calibri"/>
        </w:rPr>
        <w:t>.</w:t>
      </w:r>
      <w:r w:rsidRPr="00734AB6">
        <w:rPr>
          <w:rFonts w:asciiTheme="majorHAnsi" w:eastAsia="Calibri" w:hAnsiTheme="majorHAnsi" w:cs="Calibri"/>
        </w:rPr>
        <w:t>, Miyakawa, A</w:t>
      </w:r>
      <w:r w:rsidR="00853E32"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Jagust</w:t>
      </w:r>
      <w:proofErr w:type="spellEnd"/>
      <w:r w:rsidRPr="00734AB6">
        <w:rPr>
          <w:rFonts w:asciiTheme="majorHAnsi" w:eastAsia="Calibri" w:hAnsiTheme="majorHAnsi" w:cs="Calibri"/>
        </w:rPr>
        <w:t>, W</w:t>
      </w:r>
      <w:r w:rsidR="00853E32"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D’Esposito</w:t>
      </w:r>
      <w:proofErr w:type="spellEnd"/>
      <w:r w:rsidRPr="00734AB6">
        <w:rPr>
          <w:rFonts w:asciiTheme="majorHAnsi" w:eastAsia="Calibri" w:hAnsiTheme="majorHAnsi" w:cs="Calibri"/>
        </w:rPr>
        <w:t>, M</w:t>
      </w:r>
      <w:r w:rsidR="00853E32" w:rsidRPr="00734AB6">
        <w:rPr>
          <w:rFonts w:asciiTheme="majorHAnsi" w:eastAsia="Calibri" w:hAnsiTheme="majorHAnsi" w:cs="Calibri"/>
        </w:rPr>
        <w:t>.</w:t>
      </w:r>
      <w:r w:rsidRPr="00734AB6">
        <w:rPr>
          <w:rFonts w:asciiTheme="majorHAnsi" w:eastAsia="Calibri" w:hAnsiTheme="majorHAnsi" w:cs="Calibri"/>
        </w:rPr>
        <w:t xml:space="preserve"> (2008).  Working memory capacity predicts dopamine synthesis capacity in the human striatum.  </w:t>
      </w:r>
      <w:r w:rsidRPr="00734AB6">
        <w:rPr>
          <w:rFonts w:asciiTheme="majorHAnsi" w:eastAsia="Calibri" w:hAnsiTheme="majorHAnsi" w:cs="Calibri"/>
          <w:i/>
        </w:rPr>
        <w:t>Journal of Neuroscience,</w:t>
      </w:r>
      <w:r w:rsidRPr="00734AB6">
        <w:rPr>
          <w:rFonts w:asciiTheme="majorHAnsi" w:eastAsia="Calibri" w:hAnsiTheme="majorHAnsi" w:cs="Calibri"/>
        </w:rPr>
        <w:t xml:space="preserve"> </w:t>
      </w:r>
      <w:r w:rsidRPr="00734AB6">
        <w:rPr>
          <w:rFonts w:asciiTheme="majorHAnsi" w:eastAsia="Calibri" w:hAnsiTheme="majorHAnsi" w:cs="Calibri"/>
          <w:i/>
        </w:rPr>
        <w:t>28(</w:t>
      </w:r>
      <w:r w:rsidRPr="00734AB6">
        <w:rPr>
          <w:rFonts w:asciiTheme="majorHAnsi" w:eastAsia="Calibri" w:hAnsiTheme="majorHAnsi" w:cs="Calibri"/>
        </w:rPr>
        <w:t>5), 1208-1212.</w:t>
      </w:r>
    </w:p>
    <w:p w14:paraId="1B0CB685" w14:textId="77777777" w:rsidR="00796635" w:rsidRPr="00734AB6" w:rsidRDefault="00796635" w:rsidP="00796635">
      <w:pPr>
        <w:spacing w:line="360" w:lineRule="auto"/>
        <w:ind w:left="709" w:hanging="709"/>
        <w:rPr>
          <w:rFonts w:asciiTheme="majorHAnsi" w:hAnsiTheme="majorHAnsi"/>
        </w:rPr>
      </w:pPr>
      <w:proofErr w:type="spellStart"/>
      <w:r w:rsidRPr="00734AB6">
        <w:rPr>
          <w:rFonts w:asciiTheme="majorHAnsi" w:hAnsiTheme="majorHAnsi"/>
        </w:rPr>
        <w:t>Cotto</w:t>
      </w:r>
      <w:proofErr w:type="spellEnd"/>
      <w:r w:rsidRPr="00734AB6">
        <w:rPr>
          <w:rFonts w:asciiTheme="majorHAnsi" w:hAnsiTheme="majorHAnsi"/>
        </w:rPr>
        <w:t xml:space="preserve">, J. H., Davis, E., Dowling, G. J., Elcano, J. C., </w:t>
      </w:r>
      <w:proofErr w:type="spellStart"/>
      <w:r w:rsidRPr="00734AB6">
        <w:rPr>
          <w:rFonts w:asciiTheme="majorHAnsi" w:hAnsiTheme="majorHAnsi"/>
        </w:rPr>
        <w:t>Staton</w:t>
      </w:r>
      <w:proofErr w:type="spellEnd"/>
      <w:r w:rsidRPr="00734AB6">
        <w:rPr>
          <w:rFonts w:asciiTheme="majorHAnsi" w:hAnsiTheme="majorHAnsi"/>
        </w:rPr>
        <w:t>, A. B., &amp; Weiss, S. R. (2010). Gender effects on drug use, abuse, and dependence: a special analysis of results from the National Survey on Drug Use and Health. </w:t>
      </w:r>
      <w:r w:rsidRPr="00734AB6">
        <w:rPr>
          <w:rFonts w:asciiTheme="majorHAnsi" w:hAnsiTheme="majorHAnsi"/>
          <w:i/>
          <w:iCs/>
        </w:rPr>
        <w:t>Gender Medicine</w:t>
      </w:r>
      <w:r w:rsidRPr="00734AB6">
        <w:rPr>
          <w:rFonts w:asciiTheme="majorHAnsi" w:hAnsiTheme="majorHAnsi"/>
        </w:rPr>
        <w:t>, </w:t>
      </w:r>
      <w:r w:rsidRPr="00734AB6">
        <w:rPr>
          <w:rFonts w:asciiTheme="majorHAnsi" w:hAnsiTheme="majorHAnsi"/>
          <w:i/>
          <w:iCs/>
        </w:rPr>
        <w:t>7</w:t>
      </w:r>
      <w:r w:rsidRPr="00734AB6">
        <w:rPr>
          <w:rFonts w:asciiTheme="majorHAnsi" w:hAnsiTheme="majorHAnsi"/>
        </w:rPr>
        <w:t>(5), 402-413.</w:t>
      </w:r>
    </w:p>
    <w:p w14:paraId="20704E28" w14:textId="7E5CEE8A" w:rsidR="00C407D3" w:rsidRPr="00734AB6" w:rsidRDefault="00C407D3"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 xml:space="preserve">Crawford, J., Smith, G., Maylor, E., Della Sala, S., &amp; </w:t>
      </w:r>
      <w:proofErr w:type="spellStart"/>
      <w:r w:rsidRPr="00734AB6">
        <w:rPr>
          <w:rFonts w:asciiTheme="majorHAnsi" w:hAnsiTheme="majorHAnsi" w:cstheme="minorHAnsi"/>
          <w:sz w:val="22"/>
          <w:szCs w:val="22"/>
          <w:shd w:val="clear" w:color="auto" w:fill="FFFFFF"/>
        </w:rPr>
        <w:t>Logie</w:t>
      </w:r>
      <w:proofErr w:type="spellEnd"/>
      <w:r w:rsidRPr="00734AB6">
        <w:rPr>
          <w:rFonts w:asciiTheme="majorHAnsi" w:hAnsiTheme="majorHAnsi" w:cstheme="minorHAnsi"/>
          <w:sz w:val="22"/>
          <w:szCs w:val="22"/>
          <w:shd w:val="clear" w:color="auto" w:fill="FFFFFF"/>
        </w:rPr>
        <w:t>, R. (2003). The Prospective and Retrospective Memory Questionnaire (PRMQ): Normative data and latent structure in a large non-clinical sample. </w:t>
      </w:r>
      <w:r w:rsidRPr="00734AB6">
        <w:rPr>
          <w:rFonts w:asciiTheme="majorHAnsi" w:hAnsiTheme="majorHAnsi" w:cstheme="minorHAnsi"/>
          <w:i/>
          <w:iCs/>
          <w:sz w:val="22"/>
          <w:szCs w:val="22"/>
          <w:shd w:val="clear" w:color="auto" w:fill="FFFFFF"/>
        </w:rPr>
        <w:t>Memory</w:t>
      </w:r>
      <w:r w:rsidRPr="00734AB6">
        <w:rPr>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11</w:t>
      </w:r>
      <w:r w:rsidRPr="00734AB6">
        <w:rPr>
          <w:rFonts w:asciiTheme="majorHAnsi" w:hAnsiTheme="majorHAnsi" w:cstheme="minorHAnsi"/>
          <w:sz w:val="22"/>
          <w:szCs w:val="22"/>
          <w:shd w:val="clear" w:color="auto" w:fill="FFFFFF"/>
        </w:rPr>
        <w:t>(3), 261-275.</w:t>
      </w:r>
    </w:p>
    <w:p w14:paraId="6027AD88" w14:textId="060E9DB1"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 xml:space="preserve">Curtis, C. E., &amp; </w:t>
      </w:r>
      <w:proofErr w:type="spellStart"/>
      <w:r w:rsidRPr="00734AB6">
        <w:rPr>
          <w:rFonts w:asciiTheme="majorHAnsi" w:hAnsiTheme="majorHAnsi" w:cstheme="minorHAnsi"/>
          <w:sz w:val="22"/>
          <w:szCs w:val="22"/>
          <w:shd w:val="clear" w:color="auto" w:fill="FFFFFF"/>
        </w:rPr>
        <w:t>D'Esposito</w:t>
      </w:r>
      <w:proofErr w:type="spellEnd"/>
      <w:r w:rsidRPr="00734AB6">
        <w:rPr>
          <w:rFonts w:asciiTheme="majorHAnsi" w:hAnsiTheme="majorHAnsi" w:cstheme="minorHAnsi"/>
          <w:sz w:val="22"/>
          <w:szCs w:val="22"/>
          <w:shd w:val="clear" w:color="auto" w:fill="FFFFFF"/>
        </w:rPr>
        <w:t>, M. (2003). Persistent activity in the prefrontal cortex during working memory. </w:t>
      </w:r>
      <w:r w:rsidRPr="00734AB6">
        <w:rPr>
          <w:rFonts w:asciiTheme="majorHAnsi" w:hAnsiTheme="majorHAnsi" w:cstheme="minorHAnsi"/>
          <w:i/>
          <w:iCs/>
          <w:sz w:val="22"/>
          <w:szCs w:val="22"/>
          <w:shd w:val="clear" w:color="auto" w:fill="FFFFFF"/>
        </w:rPr>
        <w:t xml:space="preserve">Trends in </w:t>
      </w:r>
      <w:r w:rsidR="00853E32" w:rsidRPr="00734AB6">
        <w:rPr>
          <w:rFonts w:asciiTheme="majorHAnsi" w:hAnsiTheme="majorHAnsi" w:cstheme="minorHAnsi"/>
          <w:i/>
          <w:iCs/>
          <w:sz w:val="22"/>
          <w:szCs w:val="22"/>
          <w:shd w:val="clear" w:color="auto" w:fill="FFFFFF"/>
        </w:rPr>
        <w:t>Cognitive Sciences</w:t>
      </w:r>
      <w:r w:rsidRPr="00734AB6">
        <w:rPr>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7</w:t>
      </w:r>
      <w:r w:rsidRPr="00734AB6">
        <w:rPr>
          <w:rFonts w:asciiTheme="majorHAnsi" w:hAnsiTheme="majorHAnsi" w:cstheme="minorHAnsi"/>
          <w:sz w:val="22"/>
          <w:szCs w:val="22"/>
          <w:shd w:val="clear" w:color="auto" w:fill="FFFFFF"/>
        </w:rPr>
        <w:t>(9), 415-423.</w:t>
      </w:r>
    </w:p>
    <w:p w14:paraId="6D393224" w14:textId="77777777"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proofErr w:type="spellStart"/>
      <w:r w:rsidRPr="00734AB6">
        <w:rPr>
          <w:rFonts w:asciiTheme="majorHAnsi" w:hAnsiTheme="majorHAnsi" w:cstheme="minorHAnsi"/>
          <w:sz w:val="22"/>
          <w:szCs w:val="22"/>
          <w:shd w:val="clear" w:color="auto" w:fill="FFFFFF"/>
        </w:rPr>
        <w:t>Czeisler</w:t>
      </w:r>
      <w:proofErr w:type="spellEnd"/>
      <w:r w:rsidRPr="00734AB6">
        <w:rPr>
          <w:rFonts w:asciiTheme="majorHAnsi" w:hAnsiTheme="majorHAnsi" w:cstheme="minorHAnsi"/>
          <w:sz w:val="22"/>
          <w:szCs w:val="22"/>
          <w:shd w:val="clear" w:color="auto" w:fill="FFFFFF"/>
        </w:rPr>
        <w:t xml:space="preserve">, C. A., Walsh, J. K., Roth, T., Hughes, R. J., Wright, K. P., Kingsbury, L., ... &amp; </w:t>
      </w:r>
      <w:proofErr w:type="spellStart"/>
      <w:r w:rsidRPr="00734AB6">
        <w:rPr>
          <w:rFonts w:asciiTheme="majorHAnsi" w:hAnsiTheme="majorHAnsi" w:cstheme="minorHAnsi"/>
          <w:sz w:val="22"/>
          <w:szCs w:val="22"/>
          <w:shd w:val="clear" w:color="auto" w:fill="FFFFFF"/>
        </w:rPr>
        <w:t>Dinges</w:t>
      </w:r>
      <w:proofErr w:type="spellEnd"/>
      <w:r w:rsidRPr="00734AB6">
        <w:rPr>
          <w:rFonts w:asciiTheme="majorHAnsi" w:hAnsiTheme="majorHAnsi" w:cstheme="minorHAnsi"/>
          <w:sz w:val="22"/>
          <w:szCs w:val="22"/>
          <w:shd w:val="clear" w:color="auto" w:fill="FFFFFF"/>
        </w:rPr>
        <w:t xml:space="preserve">, D. F. (2005). Modafinil for excessive sleepiness associated with shift-work sleep disorder. </w:t>
      </w:r>
      <w:r w:rsidRPr="00734AB6">
        <w:rPr>
          <w:rFonts w:asciiTheme="majorHAnsi" w:hAnsiTheme="majorHAnsi" w:cstheme="minorHAnsi"/>
          <w:i/>
          <w:sz w:val="22"/>
          <w:szCs w:val="22"/>
          <w:shd w:val="clear" w:color="auto" w:fill="FFFFFF"/>
        </w:rPr>
        <w:t>New England Journal of Medicine</w:t>
      </w:r>
      <w:r w:rsidRPr="00734AB6">
        <w:rPr>
          <w:rFonts w:asciiTheme="majorHAnsi" w:hAnsiTheme="majorHAnsi" w:cstheme="minorHAnsi"/>
          <w:sz w:val="22"/>
          <w:szCs w:val="22"/>
          <w:shd w:val="clear" w:color="auto" w:fill="FFFFFF"/>
        </w:rPr>
        <w:t>, 353(5), 476-486.</w:t>
      </w:r>
    </w:p>
    <w:p w14:paraId="464572F5" w14:textId="1A113C70"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proofErr w:type="spellStart"/>
      <w:r w:rsidRPr="00734AB6">
        <w:rPr>
          <w:rFonts w:asciiTheme="majorHAnsi" w:hAnsiTheme="majorHAnsi" w:cstheme="minorHAnsi"/>
          <w:sz w:val="22"/>
          <w:szCs w:val="22"/>
          <w:shd w:val="clear" w:color="auto" w:fill="FFFFFF"/>
        </w:rPr>
        <w:t>Dackis</w:t>
      </w:r>
      <w:proofErr w:type="spellEnd"/>
      <w:r w:rsidRPr="00734AB6">
        <w:rPr>
          <w:rFonts w:asciiTheme="majorHAnsi" w:hAnsiTheme="majorHAnsi" w:cstheme="minorHAnsi"/>
          <w:sz w:val="22"/>
          <w:szCs w:val="22"/>
          <w:shd w:val="clear" w:color="auto" w:fill="FFFFFF"/>
        </w:rPr>
        <w:t xml:space="preserve">, C. A., </w:t>
      </w:r>
      <w:proofErr w:type="spellStart"/>
      <w:r w:rsidRPr="00734AB6">
        <w:rPr>
          <w:rFonts w:asciiTheme="majorHAnsi" w:hAnsiTheme="majorHAnsi" w:cstheme="minorHAnsi"/>
          <w:sz w:val="22"/>
          <w:szCs w:val="22"/>
          <w:shd w:val="clear" w:color="auto" w:fill="FFFFFF"/>
        </w:rPr>
        <w:t>Kampman</w:t>
      </w:r>
      <w:proofErr w:type="spellEnd"/>
      <w:r w:rsidRPr="00734AB6">
        <w:rPr>
          <w:rFonts w:asciiTheme="majorHAnsi" w:hAnsiTheme="majorHAnsi" w:cstheme="minorHAnsi"/>
          <w:sz w:val="22"/>
          <w:szCs w:val="22"/>
          <w:shd w:val="clear" w:color="auto" w:fill="FFFFFF"/>
        </w:rPr>
        <w:t xml:space="preserve">, K. M., Lynch, K. G., </w:t>
      </w:r>
      <w:proofErr w:type="spellStart"/>
      <w:r w:rsidRPr="00734AB6">
        <w:rPr>
          <w:rFonts w:asciiTheme="majorHAnsi" w:hAnsiTheme="majorHAnsi" w:cstheme="minorHAnsi"/>
          <w:sz w:val="22"/>
          <w:szCs w:val="22"/>
          <w:shd w:val="clear" w:color="auto" w:fill="FFFFFF"/>
        </w:rPr>
        <w:t>Pettinati</w:t>
      </w:r>
      <w:proofErr w:type="spellEnd"/>
      <w:r w:rsidRPr="00734AB6">
        <w:rPr>
          <w:rFonts w:asciiTheme="majorHAnsi" w:hAnsiTheme="majorHAnsi" w:cstheme="minorHAnsi"/>
          <w:sz w:val="22"/>
          <w:szCs w:val="22"/>
          <w:shd w:val="clear" w:color="auto" w:fill="FFFFFF"/>
        </w:rPr>
        <w:t>, H. M., &amp; O'Brien, C. P. (2005). A double-blind, placebo-controlled trial of modafinil for cocaine dependence.</w:t>
      </w:r>
      <w:r w:rsidR="00853E32" w:rsidRPr="00734AB6">
        <w:rPr>
          <w:rStyle w:val="apple-converted-space"/>
          <w:rFonts w:asciiTheme="majorHAnsi" w:hAnsiTheme="majorHAnsi" w:cstheme="minorHAnsi"/>
          <w:sz w:val="22"/>
          <w:szCs w:val="22"/>
          <w:shd w:val="clear" w:color="auto" w:fill="FFFFFF"/>
        </w:rPr>
        <w:t xml:space="preserve"> </w:t>
      </w:r>
      <w:r w:rsidRPr="00734AB6">
        <w:rPr>
          <w:rFonts w:asciiTheme="majorHAnsi" w:hAnsiTheme="majorHAnsi" w:cstheme="minorHAnsi"/>
          <w:i/>
          <w:iCs/>
          <w:sz w:val="22"/>
          <w:szCs w:val="22"/>
          <w:shd w:val="clear" w:color="auto" w:fill="FFFFFF"/>
        </w:rPr>
        <w:t>Neuropsychopharmacology</w:t>
      </w:r>
      <w:r w:rsidRPr="00734AB6">
        <w:rPr>
          <w:rFonts w:asciiTheme="majorHAnsi" w:hAnsiTheme="majorHAnsi" w:cstheme="minorHAnsi"/>
          <w:sz w:val="22"/>
          <w:szCs w:val="22"/>
          <w:shd w:val="clear" w:color="auto" w:fill="FFFFFF"/>
        </w:rPr>
        <w:t>,</w:t>
      </w:r>
      <w:r w:rsidR="00853E32" w:rsidRPr="00734AB6">
        <w:rPr>
          <w:rStyle w:val="apple-converted-space"/>
          <w:rFonts w:asciiTheme="majorHAnsi" w:hAnsiTheme="majorHAnsi" w:cstheme="minorHAnsi"/>
          <w:sz w:val="22"/>
          <w:szCs w:val="22"/>
          <w:shd w:val="clear" w:color="auto" w:fill="FFFFFF"/>
        </w:rPr>
        <w:t xml:space="preserve"> </w:t>
      </w:r>
      <w:r w:rsidRPr="00734AB6">
        <w:rPr>
          <w:rFonts w:asciiTheme="majorHAnsi" w:hAnsiTheme="majorHAnsi" w:cstheme="minorHAnsi"/>
          <w:i/>
          <w:iCs/>
          <w:sz w:val="22"/>
          <w:szCs w:val="22"/>
          <w:shd w:val="clear" w:color="auto" w:fill="FFFFFF"/>
        </w:rPr>
        <w:t>30</w:t>
      </w:r>
      <w:r w:rsidRPr="00734AB6">
        <w:rPr>
          <w:rFonts w:asciiTheme="majorHAnsi" w:hAnsiTheme="majorHAnsi" w:cstheme="minorHAnsi"/>
          <w:sz w:val="22"/>
          <w:szCs w:val="22"/>
          <w:shd w:val="clear" w:color="auto" w:fill="FFFFFF"/>
        </w:rPr>
        <w:t>(1), 205-211.</w:t>
      </w:r>
    </w:p>
    <w:p w14:paraId="1C6DA7AC" w14:textId="6DE08E35" w:rsidR="00E5175A" w:rsidRPr="00734AB6" w:rsidRDefault="00E5175A" w:rsidP="00E5175A">
      <w:pPr>
        <w:spacing w:line="360" w:lineRule="auto"/>
        <w:ind w:left="709" w:hanging="709"/>
        <w:rPr>
          <w:rFonts w:asciiTheme="majorHAnsi" w:hAnsiTheme="majorHAnsi" w:cstheme="majorHAnsi"/>
        </w:rPr>
      </w:pPr>
      <w:proofErr w:type="spellStart"/>
      <w:r w:rsidRPr="00734AB6">
        <w:rPr>
          <w:rFonts w:asciiTheme="majorHAnsi" w:hAnsiTheme="majorHAnsi" w:cstheme="majorHAnsi"/>
        </w:rPr>
        <w:t>Dajani</w:t>
      </w:r>
      <w:proofErr w:type="spellEnd"/>
      <w:r w:rsidRPr="00734AB6">
        <w:rPr>
          <w:rFonts w:asciiTheme="majorHAnsi" w:hAnsiTheme="majorHAnsi" w:cstheme="majorHAnsi"/>
        </w:rPr>
        <w:t>, D. R., &amp; Uddin, L. Q. (2015). Demystifying cognitive flexibility: Implications for clinical and developmental neuroscience. </w:t>
      </w:r>
      <w:r w:rsidRPr="00734AB6">
        <w:rPr>
          <w:rFonts w:asciiTheme="majorHAnsi" w:hAnsiTheme="majorHAnsi" w:cstheme="majorHAnsi"/>
          <w:i/>
          <w:iCs/>
        </w:rPr>
        <w:t>Trends in Neurosciences</w:t>
      </w:r>
      <w:r w:rsidRPr="00734AB6">
        <w:rPr>
          <w:rFonts w:asciiTheme="majorHAnsi" w:hAnsiTheme="majorHAnsi" w:cstheme="majorHAnsi"/>
        </w:rPr>
        <w:t>, </w:t>
      </w:r>
      <w:r w:rsidRPr="00734AB6">
        <w:rPr>
          <w:rFonts w:asciiTheme="majorHAnsi" w:hAnsiTheme="majorHAnsi" w:cstheme="majorHAnsi"/>
          <w:i/>
          <w:iCs/>
        </w:rPr>
        <w:t>38</w:t>
      </w:r>
      <w:r w:rsidRPr="00734AB6">
        <w:rPr>
          <w:rFonts w:asciiTheme="majorHAnsi" w:hAnsiTheme="majorHAnsi" w:cstheme="majorHAnsi"/>
        </w:rPr>
        <w:t>(9), 571-578.</w:t>
      </w:r>
    </w:p>
    <w:p w14:paraId="7157FFC9" w14:textId="381A37C2"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d'Angelo</w:t>
      </w:r>
      <w:proofErr w:type="spellEnd"/>
      <w:r w:rsidRPr="00734AB6">
        <w:rPr>
          <w:rFonts w:asciiTheme="majorHAnsi" w:eastAsia="Calibri" w:hAnsiTheme="majorHAnsi" w:cs="Calibri"/>
        </w:rPr>
        <w:t xml:space="preserve">, L. S. C., </w:t>
      </w:r>
      <w:proofErr w:type="spellStart"/>
      <w:r w:rsidRPr="00734AB6">
        <w:rPr>
          <w:rFonts w:asciiTheme="majorHAnsi" w:eastAsia="Calibri" w:hAnsiTheme="majorHAnsi" w:cs="Calibri"/>
        </w:rPr>
        <w:t>Savulich</w:t>
      </w:r>
      <w:proofErr w:type="spellEnd"/>
      <w:r w:rsidRPr="00734AB6">
        <w:rPr>
          <w:rFonts w:asciiTheme="majorHAnsi" w:eastAsia="Calibri" w:hAnsiTheme="majorHAnsi" w:cs="Calibri"/>
        </w:rPr>
        <w:t>, G., &amp; Sahakian, B. J. (2017). Lifestyle use of drugs by healthy people for enhancing cognition, creativity, motivation and pleasure. </w:t>
      </w:r>
      <w:r w:rsidRPr="00734AB6">
        <w:rPr>
          <w:rFonts w:asciiTheme="majorHAnsi" w:eastAsia="Calibri" w:hAnsiTheme="majorHAnsi" w:cs="Calibri"/>
          <w:i/>
          <w:iCs/>
        </w:rPr>
        <w:t xml:space="preserve">British </w:t>
      </w:r>
      <w:r w:rsidR="00853E32" w:rsidRPr="00734AB6">
        <w:rPr>
          <w:rFonts w:asciiTheme="majorHAnsi" w:eastAsia="Calibri" w:hAnsiTheme="majorHAnsi" w:cs="Calibri"/>
          <w:i/>
          <w:iCs/>
        </w:rPr>
        <w:t>Journal of P</w:t>
      </w:r>
      <w:r w:rsidRPr="00734AB6">
        <w:rPr>
          <w:rFonts w:asciiTheme="majorHAnsi" w:eastAsia="Calibri" w:hAnsiTheme="majorHAnsi" w:cs="Calibri"/>
          <w:i/>
          <w:iCs/>
        </w:rPr>
        <w:t>harmacology</w:t>
      </w:r>
      <w:r w:rsidRPr="00734AB6">
        <w:rPr>
          <w:rFonts w:asciiTheme="majorHAnsi" w:eastAsia="Calibri" w:hAnsiTheme="majorHAnsi" w:cs="Calibri"/>
        </w:rPr>
        <w:t>, </w:t>
      </w:r>
      <w:r w:rsidRPr="00734AB6">
        <w:rPr>
          <w:rFonts w:asciiTheme="majorHAnsi" w:eastAsia="Calibri" w:hAnsiTheme="majorHAnsi" w:cs="Calibri"/>
          <w:i/>
          <w:iCs/>
        </w:rPr>
        <w:t>174</w:t>
      </w:r>
      <w:r w:rsidRPr="00734AB6">
        <w:rPr>
          <w:rFonts w:asciiTheme="majorHAnsi" w:eastAsia="Calibri" w:hAnsiTheme="majorHAnsi" w:cs="Calibri"/>
        </w:rPr>
        <w:t>(19), 3257-3267.</w:t>
      </w:r>
    </w:p>
    <w:p w14:paraId="57FCB99B" w14:textId="51DB64C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Darwish, M</w:t>
      </w:r>
      <w:r w:rsidR="00853E32" w:rsidRPr="00734AB6">
        <w:rPr>
          <w:rFonts w:asciiTheme="majorHAnsi" w:eastAsia="Calibri" w:hAnsiTheme="majorHAnsi" w:cs="Calibri"/>
        </w:rPr>
        <w:t>.</w:t>
      </w:r>
      <w:r w:rsidRPr="00734AB6">
        <w:rPr>
          <w:rFonts w:asciiTheme="majorHAnsi" w:eastAsia="Calibri" w:hAnsiTheme="majorHAnsi" w:cs="Calibri"/>
        </w:rPr>
        <w:t>, Kirby, M</w:t>
      </w:r>
      <w:r w:rsidR="00853E32"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Hellriegel</w:t>
      </w:r>
      <w:proofErr w:type="spellEnd"/>
      <w:r w:rsidRPr="00734AB6">
        <w:rPr>
          <w:rFonts w:asciiTheme="majorHAnsi" w:eastAsia="Calibri" w:hAnsiTheme="majorHAnsi" w:cs="Calibri"/>
        </w:rPr>
        <w:t>, E</w:t>
      </w:r>
      <w:r w:rsidR="00853E32" w:rsidRPr="00734AB6">
        <w:rPr>
          <w:rFonts w:asciiTheme="majorHAnsi" w:eastAsia="Calibri" w:hAnsiTheme="majorHAnsi" w:cs="Calibri"/>
        </w:rPr>
        <w:t xml:space="preserve">. </w:t>
      </w:r>
      <w:r w:rsidRPr="00734AB6">
        <w:rPr>
          <w:rFonts w:asciiTheme="majorHAnsi" w:eastAsia="Calibri" w:hAnsiTheme="majorHAnsi" w:cs="Calibri"/>
        </w:rPr>
        <w:t>T</w:t>
      </w:r>
      <w:r w:rsidR="00853E32"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Robertson, P</w:t>
      </w:r>
      <w:r w:rsidR="00853E32" w:rsidRPr="00734AB6">
        <w:rPr>
          <w:rFonts w:asciiTheme="majorHAnsi" w:eastAsia="Calibri" w:hAnsiTheme="majorHAnsi" w:cs="Calibri"/>
        </w:rPr>
        <w:t>.</w:t>
      </w:r>
      <w:r w:rsidRPr="00734AB6">
        <w:rPr>
          <w:rFonts w:asciiTheme="majorHAnsi" w:eastAsia="Calibri" w:hAnsiTheme="majorHAnsi" w:cs="Calibri"/>
        </w:rPr>
        <w:t xml:space="preserve"> (2009). Armodafinil and modafinil have substantially different pharmacokinetic profiles despite having the same terminal half-lives. </w:t>
      </w:r>
      <w:r w:rsidRPr="00734AB6">
        <w:rPr>
          <w:rFonts w:asciiTheme="majorHAnsi" w:eastAsia="Calibri" w:hAnsiTheme="majorHAnsi" w:cs="Calibri"/>
          <w:i/>
          <w:iCs/>
        </w:rPr>
        <w:t>Clinical Drug Investigation</w:t>
      </w:r>
      <w:r w:rsidRPr="00734AB6">
        <w:rPr>
          <w:rFonts w:asciiTheme="majorHAnsi" w:eastAsia="Calibri" w:hAnsiTheme="majorHAnsi" w:cs="Calibri"/>
        </w:rPr>
        <w:t>, </w:t>
      </w:r>
      <w:r w:rsidRPr="00734AB6">
        <w:rPr>
          <w:rFonts w:asciiTheme="majorHAnsi" w:eastAsia="Calibri" w:hAnsiTheme="majorHAnsi" w:cs="Calibri"/>
          <w:i/>
          <w:iCs/>
        </w:rPr>
        <w:t>29</w:t>
      </w:r>
      <w:r w:rsidRPr="00734AB6">
        <w:rPr>
          <w:rFonts w:asciiTheme="majorHAnsi" w:eastAsia="Calibri" w:hAnsiTheme="majorHAnsi" w:cs="Calibri"/>
        </w:rPr>
        <w:t>(9), 613-623.</w:t>
      </w:r>
    </w:p>
    <w:p w14:paraId="15694541" w14:textId="2EC7699F"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Daumann</w:t>
      </w:r>
      <w:proofErr w:type="spellEnd"/>
      <w:r w:rsidRPr="00734AB6">
        <w:rPr>
          <w:rFonts w:asciiTheme="majorHAnsi" w:eastAsia="Calibri" w:hAnsiTheme="majorHAnsi" w:cs="Calibri"/>
        </w:rPr>
        <w:t>, J</w:t>
      </w:r>
      <w:r w:rsidR="00853E32"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Pelz</w:t>
      </w:r>
      <w:proofErr w:type="spellEnd"/>
      <w:r w:rsidRPr="00734AB6">
        <w:rPr>
          <w:rFonts w:asciiTheme="majorHAnsi" w:eastAsia="Calibri" w:hAnsiTheme="majorHAnsi" w:cs="Calibri"/>
        </w:rPr>
        <w:t>, S</w:t>
      </w:r>
      <w:r w:rsidR="00853E32" w:rsidRPr="00734AB6">
        <w:rPr>
          <w:rFonts w:asciiTheme="majorHAnsi" w:eastAsia="Calibri" w:hAnsiTheme="majorHAnsi" w:cs="Calibri"/>
        </w:rPr>
        <w:t>.</w:t>
      </w:r>
      <w:r w:rsidRPr="00734AB6">
        <w:rPr>
          <w:rFonts w:asciiTheme="majorHAnsi" w:eastAsia="Calibri" w:hAnsiTheme="majorHAnsi" w:cs="Calibri"/>
        </w:rPr>
        <w:t>, Becker, S</w:t>
      </w:r>
      <w:r w:rsidR="00853E32"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Tuchtenhagen</w:t>
      </w:r>
      <w:proofErr w:type="spellEnd"/>
      <w:r w:rsidRPr="00734AB6">
        <w:rPr>
          <w:rFonts w:asciiTheme="majorHAnsi" w:eastAsia="Calibri" w:hAnsiTheme="majorHAnsi" w:cs="Calibri"/>
        </w:rPr>
        <w:t>, F</w:t>
      </w:r>
      <w:r w:rsidR="00853E32"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Gouzoulis-Mayfrank</w:t>
      </w:r>
      <w:proofErr w:type="spellEnd"/>
      <w:r w:rsidRPr="00734AB6">
        <w:rPr>
          <w:rFonts w:asciiTheme="majorHAnsi" w:eastAsia="Calibri" w:hAnsiTheme="majorHAnsi" w:cs="Calibri"/>
        </w:rPr>
        <w:t>, E</w:t>
      </w:r>
      <w:r w:rsidR="00853E32" w:rsidRPr="00734AB6">
        <w:rPr>
          <w:rFonts w:asciiTheme="majorHAnsi" w:eastAsia="Calibri" w:hAnsiTheme="majorHAnsi" w:cs="Calibri"/>
        </w:rPr>
        <w:t>.</w:t>
      </w:r>
      <w:r w:rsidRPr="00734AB6">
        <w:rPr>
          <w:rFonts w:asciiTheme="majorHAnsi" w:eastAsia="Calibri" w:hAnsiTheme="majorHAnsi" w:cs="Calibri"/>
        </w:rPr>
        <w:t xml:space="preserve"> (2001)</w:t>
      </w:r>
      <w:r w:rsidR="00853E32" w:rsidRPr="00734AB6">
        <w:rPr>
          <w:rFonts w:asciiTheme="majorHAnsi" w:eastAsia="Calibri" w:hAnsiTheme="majorHAnsi" w:cs="Calibri"/>
        </w:rPr>
        <w:t>.</w:t>
      </w:r>
      <w:r w:rsidRPr="00734AB6">
        <w:rPr>
          <w:rFonts w:asciiTheme="majorHAnsi" w:eastAsia="Calibri" w:hAnsiTheme="majorHAnsi" w:cs="Calibri"/>
        </w:rPr>
        <w:t xml:space="preserve"> Psychological profile of abstinent recreational ecstasy (MDMA) users and significance of concomitant cannabis use. </w:t>
      </w:r>
      <w:r w:rsidRPr="00734AB6">
        <w:rPr>
          <w:rFonts w:asciiTheme="majorHAnsi" w:eastAsia="Calibri" w:hAnsiTheme="majorHAnsi" w:cs="Calibri"/>
          <w:i/>
        </w:rPr>
        <w:t>Human Psychopharmacology: Clinical and Experimental</w:t>
      </w:r>
      <w:r w:rsidRPr="00734AB6">
        <w:rPr>
          <w:rFonts w:asciiTheme="majorHAnsi" w:eastAsia="Calibri" w:hAnsiTheme="majorHAnsi" w:cs="Calibri"/>
        </w:rPr>
        <w:t xml:space="preserve">, </w:t>
      </w:r>
      <w:r w:rsidRPr="00734AB6">
        <w:rPr>
          <w:rFonts w:asciiTheme="majorHAnsi" w:eastAsia="Calibri" w:hAnsiTheme="majorHAnsi" w:cs="Calibri"/>
          <w:i/>
        </w:rPr>
        <w:t>16</w:t>
      </w:r>
      <w:r w:rsidRPr="00734AB6">
        <w:rPr>
          <w:rFonts w:asciiTheme="majorHAnsi" w:eastAsia="Calibri" w:hAnsiTheme="majorHAnsi" w:cs="Calibri"/>
        </w:rPr>
        <w:t>(8), 627-633</w:t>
      </w:r>
      <w:r w:rsidR="00853E32" w:rsidRPr="00734AB6">
        <w:rPr>
          <w:rFonts w:asciiTheme="majorHAnsi" w:eastAsia="Calibri" w:hAnsiTheme="majorHAnsi" w:cs="Calibri"/>
        </w:rPr>
        <w:t>.</w:t>
      </w:r>
    </w:p>
    <w:p w14:paraId="02928F35" w14:textId="2B4AA47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Davis, M. (1992). The role of the amygdala in fear and anxiety. </w:t>
      </w:r>
      <w:r w:rsidR="00853E32" w:rsidRPr="00734AB6">
        <w:rPr>
          <w:rFonts w:asciiTheme="majorHAnsi" w:eastAsia="Calibri" w:hAnsiTheme="majorHAnsi" w:cs="Calibri"/>
          <w:i/>
          <w:iCs/>
        </w:rPr>
        <w:t>Annual Review of N</w:t>
      </w:r>
      <w:r w:rsidRPr="00734AB6">
        <w:rPr>
          <w:rFonts w:asciiTheme="majorHAnsi" w:eastAsia="Calibri" w:hAnsiTheme="majorHAnsi" w:cs="Calibri"/>
          <w:i/>
          <w:iCs/>
        </w:rPr>
        <w:t>euroscience</w:t>
      </w:r>
      <w:r w:rsidRPr="00734AB6">
        <w:rPr>
          <w:rFonts w:asciiTheme="majorHAnsi" w:eastAsia="Calibri" w:hAnsiTheme="majorHAnsi" w:cs="Calibri"/>
        </w:rPr>
        <w:t>, </w:t>
      </w:r>
      <w:r w:rsidRPr="00734AB6">
        <w:rPr>
          <w:rFonts w:asciiTheme="majorHAnsi" w:eastAsia="Calibri" w:hAnsiTheme="majorHAnsi" w:cs="Calibri"/>
          <w:i/>
          <w:iCs/>
        </w:rPr>
        <w:t>15</w:t>
      </w:r>
      <w:r w:rsidRPr="00734AB6">
        <w:rPr>
          <w:rFonts w:asciiTheme="majorHAnsi" w:eastAsia="Calibri" w:hAnsiTheme="majorHAnsi" w:cs="Calibri"/>
        </w:rPr>
        <w:t>(1), 353-375.</w:t>
      </w:r>
    </w:p>
    <w:p w14:paraId="4B8C8765" w14:textId="1D9548CF"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Delbari</w:t>
      </w:r>
      <w:proofErr w:type="spellEnd"/>
      <w:r w:rsidRPr="00734AB6">
        <w:rPr>
          <w:rFonts w:asciiTheme="majorHAnsi" w:eastAsia="Calibri" w:hAnsiTheme="majorHAnsi" w:cs="Calibri"/>
        </w:rPr>
        <w:t>, A., Salman-</w:t>
      </w:r>
      <w:proofErr w:type="spellStart"/>
      <w:r w:rsidRPr="00734AB6">
        <w:rPr>
          <w:rFonts w:asciiTheme="majorHAnsi" w:eastAsia="Calibri" w:hAnsiTheme="majorHAnsi" w:cs="Calibri"/>
        </w:rPr>
        <w:t>Roghani</w:t>
      </w:r>
      <w:proofErr w:type="spellEnd"/>
      <w:r w:rsidRPr="00734AB6">
        <w:rPr>
          <w:rFonts w:asciiTheme="majorHAnsi" w:eastAsia="Calibri" w:hAnsiTheme="majorHAnsi" w:cs="Calibri"/>
        </w:rPr>
        <w:t xml:space="preserve">, R., &amp; </w:t>
      </w:r>
      <w:proofErr w:type="spellStart"/>
      <w:r w:rsidRPr="00734AB6">
        <w:rPr>
          <w:rFonts w:asciiTheme="majorHAnsi" w:eastAsia="Calibri" w:hAnsiTheme="majorHAnsi" w:cs="Calibri"/>
        </w:rPr>
        <w:t>Lokk</w:t>
      </w:r>
      <w:proofErr w:type="spellEnd"/>
      <w:r w:rsidRPr="00734AB6">
        <w:rPr>
          <w:rFonts w:asciiTheme="majorHAnsi" w:eastAsia="Calibri" w:hAnsiTheme="majorHAnsi" w:cs="Calibri"/>
        </w:rPr>
        <w:t>, J. (2011). Effect of methylphenidate and/or levodopa combined with physiotherapy on mood and cognition after stroke: a randomized, double-blind, placebo-controlled trial. </w:t>
      </w:r>
      <w:r w:rsidR="00853E32" w:rsidRPr="00734AB6">
        <w:rPr>
          <w:rFonts w:asciiTheme="majorHAnsi" w:eastAsia="Calibri" w:hAnsiTheme="majorHAnsi" w:cs="Calibri"/>
          <w:i/>
          <w:iCs/>
        </w:rPr>
        <w:t>European N</w:t>
      </w:r>
      <w:r w:rsidRPr="00734AB6">
        <w:rPr>
          <w:rFonts w:asciiTheme="majorHAnsi" w:eastAsia="Calibri" w:hAnsiTheme="majorHAnsi" w:cs="Calibri"/>
          <w:i/>
          <w:iCs/>
        </w:rPr>
        <w:t>eurology</w:t>
      </w:r>
      <w:r w:rsidRPr="00734AB6">
        <w:rPr>
          <w:rFonts w:asciiTheme="majorHAnsi" w:eastAsia="Calibri" w:hAnsiTheme="majorHAnsi" w:cs="Calibri"/>
        </w:rPr>
        <w:t>, </w:t>
      </w:r>
      <w:r w:rsidRPr="00734AB6">
        <w:rPr>
          <w:rFonts w:asciiTheme="majorHAnsi" w:eastAsia="Calibri" w:hAnsiTheme="majorHAnsi" w:cs="Calibri"/>
          <w:i/>
          <w:iCs/>
        </w:rPr>
        <w:t>66</w:t>
      </w:r>
      <w:r w:rsidRPr="00734AB6">
        <w:rPr>
          <w:rFonts w:asciiTheme="majorHAnsi" w:eastAsia="Calibri" w:hAnsiTheme="majorHAnsi" w:cs="Calibri"/>
        </w:rPr>
        <w:t>(1), 7-13.</w:t>
      </w:r>
    </w:p>
    <w:p w14:paraId="69330ECC"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de Paula, J. J., Costa, D. S., Miranda, D. M. D., &amp; Romano-Silva, M. A. (2018). Brazilian version of the Cognitive Failures Questionnaire (CFQ): cross-cultural adaptation and evidence of validity and reliability. </w:t>
      </w:r>
      <w:r w:rsidRPr="00734AB6">
        <w:rPr>
          <w:rFonts w:asciiTheme="majorHAnsi" w:eastAsia="Calibri" w:hAnsiTheme="majorHAnsi" w:cs="Calibri"/>
          <w:i/>
          <w:iCs/>
        </w:rPr>
        <w:t>Brazilian Journal of Psychiatry</w:t>
      </w:r>
      <w:r w:rsidRPr="00734AB6">
        <w:rPr>
          <w:rFonts w:asciiTheme="majorHAnsi" w:eastAsia="Calibri" w:hAnsiTheme="majorHAnsi" w:cs="Calibri"/>
        </w:rPr>
        <w:t>, </w:t>
      </w:r>
      <w:r w:rsidRPr="00734AB6">
        <w:rPr>
          <w:rFonts w:asciiTheme="majorHAnsi" w:eastAsia="Calibri" w:hAnsiTheme="majorHAnsi" w:cs="Calibri"/>
          <w:i/>
          <w:iCs/>
        </w:rPr>
        <w:t>40</w:t>
      </w:r>
      <w:r w:rsidRPr="00734AB6">
        <w:rPr>
          <w:rFonts w:asciiTheme="majorHAnsi" w:eastAsia="Calibri" w:hAnsiTheme="majorHAnsi" w:cs="Calibri"/>
        </w:rPr>
        <w:t>(3), 312-315.</w:t>
      </w:r>
    </w:p>
    <w:p w14:paraId="66CBA889" w14:textId="209EF40C"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Derakshan</w:t>
      </w:r>
      <w:proofErr w:type="spellEnd"/>
      <w:r w:rsidRPr="00734AB6">
        <w:rPr>
          <w:rFonts w:asciiTheme="majorHAnsi" w:eastAsia="Calibri" w:hAnsiTheme="majorHAnsi" w:cs="Calibri"/>
        </w:rPr>
        <w:t xml:space="preserve">, N., Ansari, T. L., Hansard, M., </w:t>
      </w:r>
      <w:proofErr w:type="spellStart"/>
      <w:r w:rsidRPr="00734AB6">
        <w:rPr>
          <w:rFonts w:asciiTheme="majorHAnsi" w:eastAsia="Calibri" w:hAnsiTheme="majorHAnsi" w:cs="Calibri"/>
        </w:rPr>
        <w:t>Shoker</w:t>
      </w:r>
      <w:proofErr w:type="spellEnd"/>
      <w:r w:rsidRPr="00734AB6">
        <w:rPr>
          <w:rFonts w:asciiTheme="majorHAnsi" w:eastAsia="Calibri" w:hAnsiTheme="majorHAnsi" w:cs="Calibri"/>
        </w:rPr>
        <w:t xml:space="preserve">, L., &amp; Eysenck, M. W. (2009). Anxiety, inhibition, efficiency, and effectiveness: An investigation using the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task. </w:t>
      </w:r>
      <w:r w:rsidR="00853E32" w:rsidRPr="00734AB6">
        <w:rPr>
          <w:rFonts w:asciiTheme="majorHAnsi" w:eastAsia="Calibri" w:hAnsiTheme="majorHAnsi" w:cs="Calibri"/>
          <w:i/>
          <w:iCs/>
        </w:rPr>
        <w:t>Experimental P</w:t>
      </w:r>
      <w:r w:rsidRPr="00734AB6">
        <w:rPr>
          <w:rFonts w:asciiTheme="majorHAnsi" w:eastAsia="Calibri" w:hAnsiTheme="majorHAnsi" w:cs="Calibri"/>
          <w:i/>
          <w:iCs/>
        </w:rPr>
        <w:t>sychology</w:t>
      </w:r>
      <w:r w:rsidRPr="00734AB6">
        <w:rPr>
          <w:rFonts w:asciiTheme="majorHAnsi" w:eastAsia="Calibri" w:hAnsiTheme="majorHAnsi" w:cs="Calibri"/>
        </w:rPr>
        <w:t>, </w:t>
      </w:r>
      <w:r w:rsidRPr="00734AB6">
        <w:rPr>
          <w:rFonts w:asciiTheme="majorHAnsi" w:eastAsia="Calibri" w:hAnsiTheme="majorHAnsi" w:cs="Calibri"/>
          <w:i/>
          <w:iCs/>
        </w:rPr>
        <w:t>56</w:t>
      </w:r>
      <w:r w:rsidRPr="00734AB6">
        <w:rPr>
          <w:rFonts w:asciiTheme="majorHAnsi" w:eastAsia="Calibri" w:hAnsiTheme="majorHAnsi" w:cs="Calibri"/>
        </w:rPr>
        <w:t>(1), 48.</w:t>
      </w:r>
    </w:p>
    <w:p w14:paraId="2E0D7659"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Derakshan</w:t>
      </w:r>
      <w:proofErr w:type="spellEnd"/>
      <w:r w:rsidRPr="00734AB6">
        <w:rPr>
          <w:rFonts w:asciiTheme="majorHAnsi" w:eastAsia="Calibri" w:hAnsiTheme="majorHAnsi" w:cs="Calibri"/>
        </w:rPr>
        <w:t>, N., &amp; Eysenck, M. W. (2009). Anxiety, processing efficiency, and cognitive performance: New developments from attentional control theory. </w:t>
      </w:r>
      <w:r w:rsidRPr="00734AB6">
        <w:rPr>
          <w:rFonts w:asciiTheme="majorHAnsi" w:eastAsia="Calibri" w:hAnsiTheme="majorHAnsi" w:cs="Calibri"/>
          <w:i/>
          <w:iCs/>
        </w:rPr>
        <w:t>European Psychologist</w:t>
      </w:r>
      <w:r w:rsidRPr="00734AB6">
        <w:rPr>
          <w:rFonts w:asciiTheme="majorHAnsi" w:eastAsia="Calibri" w:hAnsiTheme="majorHAnsi" w:cs="Calibri"/>
        </w:rPr>
        <w:t>, </w:t>
      </w:r>
      <w:r w:rsidRPr="00734AB6">
        <w:rPr>
          <w:rFonts w:asciiTheme="majorHAnsi" w:eastAsia="Calibri" w:hAnsiTheme="majorHAnsi" w:cs="Calibri"/>
          <w:i/>
          <w:iCs/>
        </w:rPr>
        <w:t>14</w:t>
      </w:r>
      <w:r w:rsidRPr="00734AB6">
        <w:rPr>
          <w:rFonts w:asciiTheme="majorHAnsi" w:eastAsia="Calibri" w:hAnsiTheme="majorHAnsi" w:cs="Calibri"/>
        </w:rPr>
        <w:t>(2), 168-176.</w:t>
      </w:r>
    </w:p>
    <w:p w14:paraId="777AF5C5" w14:textId="461278C3"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DeSantis, A. D., &amp; </w:t>
      </w:r>
      <w:proofErr w:type="spellStart"/>
      <w:r w:rsidRPr="00734AB6">
        <w:rPr>
          <w:rFonts w:asciiTheme="majorHAnsi" w:eastAsia="Calibri" w:hAnsiTheme="majorHAnsi" w:cs="Calibri"/>
        </w:rPr>
        <w:t>Hane</w:t>
      </w:r>
      <w:proofErr w:type="spellEnd"/>
      <w:r w:rsidRPr="00734AB6">
        <w:rPr>
          <w:rFonts w:asciiTheme="majorHAnsi" w:eastAsia="Calibri" w:hAnsiTheme="majorHAnsi" w:cs="Calibri"/>
        </w:rPr>
        <w:t>, A. C. (2010). “Adderall is definitely not a drug”: justifications for the illegal use of ADHD stimulants. </w:t>
      </w:r>
      <w:r w:rsidRPr="00734AB6">
        <w:rPr>
          <w:rFonts w:asciiTheme="majorHAnsi" w:eastAsia="Calibri" w:hAnsiTheme="majorHAnsi" w:cs="Calibri"/>
          <w:i/>
          <w:iCs/>
        </w:rPr>
        <w:t>Substa</w:t>
      </w:r>
      <w:r w:rsidR="00CF3065" w:rsidRPr="00734AB6">
        <w:rPr>
          <w:rFonts w:asciiTheme="majorHAnsi" w:eastAsia="Calibri" w:hAnsiTheme="majorHAnsi" w:cs="Calibri"/>
          <w:i/>
          <w:iCs/>
        </w:rPr>
        <w:t>nce U</w:t>
      </w:r>
      <w:r w:rsidRPr="00734AB6">
        <w:rPr>
          <w:rFonts w:asciiTheme="majorHAnsi" w:eastAsia="Calibri" w:hAnsiTheme="majorHAnsi" w:cs="Calibri"/>
          <w:i/>
          <w:iCs/>
        </w:rPr>
        <w:t xml:space="preserve">se &amp; </w:t>
      </w:r>
      <w:r w:rsidR="00CF3065" w:rsidRPr="00734AB6">
        <w:rPr>
          <w:rFonts w:asciiTheme="majorHAnsi" w:eastAsia="Calibri" w:hAnsiTheme="majorHAnsi" w:cs="Calibri"/>
          <w:i/>
          <w:iCs/>
        </w:rPr>
        <w:t>M</w:t>
      </w:r>
      <w:r w:rsidRPr="00734AB6">
        <w:rPr>
          <w:rFonts w:asciiTheme="majorHAnsi" w:eastAsia="Calibri" w:hAnsiTheme="majorHAnsi" w:cs="Calibri"/>
          <w:i/>
          <w:iCs/>
        </w:rPr>
        <w:t>isuse</w:t>
      </w:r>
      <w:r w:rsidRPr="00734AB6">
        <w:rPr>
          <w:rFonts w:asciiTheme="majorHAnsi" w:eastAsia="Calibri" w:hAnsiTheme="majorHAnsi" w:cs="Calibri"/>
        </w:rPr>
        <w:t>, </w:t>
      </w:r>
      <w:r w:rsidRPr="00734AB6">
        <w:rPr>
          <w:rFonts w:asciiTheme="majorHAnsi" w:eastAsia="Calibri" w:hAnsiTheme="majorHAnsi" w:cs="Calibri"/>
          <w:i/>
          <w:iCs/>
        </w:rPr>
        <w:t>45</w:t>
      </w:r>
      <w:r w:rsidRPr="00734AB6">
        <w:rPr>
          <w:rFonts w:asciiTheme="majorHAnsi" w:eastAsia="Calibri" w:hAnsiTheme="majorHAnsi" w:cs="Calibri"/>
        </w:rPr>
        <w:t>(1-2), 31-46.</w:t>
      </w:r>
    </w:p>
    <w:p w14:paraId="43336E1E" w14:textId="304FD13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DeSantis, A</w:t>
      </w:r>
      <w:r w:rsidR="00D23288" w:rsidRPr="00734AB6">
        <w:rPr>
          <w:rFonts w:asciiTheme="majorHAnsi" w:eastAsia="Calibri" w:hAnsiTheme="majorHAnsi" w:cs="Calibri"/>
        </w:rPr>
        <w:t xml:space="preserve">. </w:t>
      </w:r>
      <w:r w:rsidRPr="00734AB6">
        <w:rPr>
          <w:rFonts w:asciiTheme="majorHAnsi" w:eastAsia="Calibri" w:hAnsiTheme="majorHAnsi" w:cs="Calibri"/>
        </w:rPr>
        <w:t>D</w:t>
      </w:r>
      <w:r w:rsidR="00D23288" w:rsidRPr="00734AB6">
        <w:rPr>
          <w:rFonts w:asciiTheme="majorHAnsi" w:eastAsia="Calibri" w:hAnsiTheme="majorHAnsi" w:cs="Calibri"/>
        </w:rPr>
        <w:t>.</w:t>
      </w:r>
      <w:r w:rsidRPr="00734AB6">
        <w:rPr>
          <w:rFonts w:asciiTheme="majorHAnsi" w:eastAsia="Calibri" w:hAnsiTheme="majorHAnsi" w:cs="Calibri"/>
        </w:rPr>
        <w:t>, Webb, E</w:t>
      </w:r>
      <w:r w:rsidR="00D23288" w:rsidRPr="00734AB6">
        <w:rPr>
          <w:rFonts w:asciiTheme="majorHAnsi" w:eastAsia="Calibri" w:hAnsiTheme="majorHAnsi" w:cs="Calibri"/>
        </w:rPr>
        <w:t xml:space="preserve">. </w:t>
      </w:r>
      <w:r w:rsidRPr="00734AB6">
        <w:rPr>
          <w:rFonts w:asciiTheme="majorHAnsi" w:eastAsia="Calibri" w:hAnsiTheme="majorHAnsi" w:cs="Calibri"/>
        </w:rPr>
        <w:t>M</w:t>
      </w:r>
      <w:r w:rsidR="00D23288"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Noar</w:t>
      </w:r>
      <w:proofErr w:type="spellEnd"/>
      <w:r w:rsidRPr="00734AB6">
        <w:rPr>
          <w:rFonts w:asciiTheme="majorHAnsi" w:eastAsia="Calibri" w:hAnsiTheme="majorHAnsi" w:cs="Calibri"/>
        </w:rPr>
        <w:t xml:space="preserve">, </w:t>
      </w:r>
      <w:r w:rsidR="00D23288" w:rsidRPr="00734AB6">
        <w:rPr>
          <w:rFonts w:asciiTheme="majorHAnsi" w:eastAsia="Calibri" w:hAnsiTheme="majorHAnsi" w:cs="Calibri"/>
        </w:rPr>
        <w:t xml:space="preserve">. </w:t>
      </w:r>
      <w:r w:rsidRPr="00734AB6">
        <w:rPr>
          <w:rFonts w:asciiTheme="majorHAnsi" w:eastAsia="Calibri" w:hAnsiTheme="majorHAnsi" w:cs="Calibri"/>
        </w:rPr>
        <w:t>S</w:t>
      </w:r>
      <w:r w:rsidR="00D23288" w:rsidRPr="00734AB6">
        <w:rPr>
          <w:rFonts w:asciiTheme="majorHAnsi" w:eastAsia="Calibri" w:hAnsiTheme="majorHAnsi" w:cs="Calibri"/>
        </w:rPr>
        <w:t>.</w:t>
      </w:r>
      <w:r w:rsidRPr="00734AB6">
        <w:rPr>
          <w:rFonts w:asciiTheme="majorHAnsi" w:eastAsia="Calibri" w:hAnsiTheme="majorHAnsi" w:cs="Calibri"/>
        </w:rPr>
        <w:t>M (2008). Illicit use of prescription ADHD medications on a college campus: A multimethodological approach. </w:t>
      </w:r>
      <w:r w:rsidRPr="00734AB6">
        <w:rPr>
          <w:rFonts w:asciiTheme="majorHAnsi" w:eastAsia="Calibri" w:hAnsiTheme="majorHAnsi" w:cs="Calibri"/>
          <w:i/>
          <w:iCs/>
        </w:rPr>
        <w:t>Journal of American College Health</w:t>
      </w:r>
      <w:r w:rsidRPr="00734AB6">
        <w:rPr>
          <w:rFonts w:asciiTheme="majorHAnsi" w:eastAsia="Calibri" w:hAnsiTheme="majorHAnsi" w:cs="Calibri"/>
        </w:rPr>
        <w:t>, </w:t>
      </w:r>
      <w:r w:rsidRPr="00734AB6">
        <w:rPr>
          <w:rFonts w:asciiTheme="majorHAnsi" w:eastAsia="Calibri" w:hAnsiTheme="majorHAnsi" w:cs="Calibri"/>
          <w:i/>
          <w:iCs/>
        </w:rPr>
        <w:t>57</w:t>
      </w:r>
      <w:r w:rsidRPr="00734AB6">
        <w:rPr>
          <w:rFonts w:asciiTheme="majorHAnsi" w:eastAsia="Calibri" w:hAnsiTheme="majorHAnsi" w:cs="Calibri"/>
        </w:rPr>
        <w:t>(3), 315-324.</w:t>
      </w:r>
    </w:p>
    <w:p w14:paraId="37E5992D" w14:textId="77777777" w:rsidR="00796635" w:rsidRPr="00734AB6" w:rsidRDefault="00796635" w:rsidP="00796635">
      <w:pPr>
        <w:spacing w:line="360" w:lineRule="auto"/>
        <w:ind w:left="851" w:hanging="851"/>
        <w:rPr>
          <w:rFonts w:asciiTheme="majorHAnsi" w:hAnsiTheme="majorHAnsi"/>
        </w:rPr>
      </w:pPr>
      <w:r w:rsidRPr="00734AB6">
        <w:rPr>
          <w:rFonts w:asciiTheme="majorHAnsi" w:hAnsiTheme="majorHAnsi"/>
        </w:rPr>
        <w:t xml:space="preserve">Diamond, A. (2005). Attention-deficit disorder (attention-deficit/hyperactivity disorder without hyperactivity): A neurobiologically and </w:t>
      </w:r>
      <w:proofErr w:type="spellStart"/>
      <w:r w:rsidRPr="00734AB6">
        <w:rPr>
          <w:rFonts w:asciiTheme="majorHAnsi" w:hAnsiTheme="majorHAnsi"/>
        </w:rPr>
        <w:t>behaviorally</w:t>
      </w:r>
      <w:proofErr w:type="spellEnd"/>
      <w:r w:rsidRPr="00734AB6">
        <w:rPr>
          <w:rFonts w:asciiTheme="majorHAnsi" w:hAnsiTheme="majorHAnsi"/>
        </w:rPr>
        <w:t xml:space="preserve"> distinct disorder from attention-deficit/hyperactivity disorder (with hyperactivity). </w:t>
      </w:r>
      <w:r w:rsidRPr="00734AB6">
        <w:rPr>
          <w:rFonts w:asciiTheme="majorHAnsi" w:hAnsiTheme="majorHAnsi"/>
          <w:i/>
          <w:iCs/>
        </w:rPr>
        <w:t>Development and Psychopathology</w:t>
      </w:r>
      <w:r w:rsidRPr="00734AB6">
        <w:rPr>
          <w:rFonts w:asciiTheme="majorHAnsi" w:hAnsiTheme="majorHAnsi"/>
        </w:rPr>
        <w:t>, </w:t>
      </w:r>
      <w:r w:rsidRPr="00734AB6">
        <w:rPr>
          <w:rFonts w:asciiTheme="majorHAnsi" w:hAnsiTheme="majorHAnsi"/>
          <w:i/>
          <w:iCs/>
        </w:rPr>
        <w:t>17</w:t>
      </w:r>
      <w:r w:rsidRPr="00734AB6">
        <w:rPr>
          <w:rFonts w:asciiTheme="majorHAnsi" w:hAnsiTheme="majorHAnsi"/>
        </w:rPr>
        <w:t>(3), 807-825.</w:t>
      </w:r>
    </w:p>
    <w:p w14:paraId="45F08075" w14:textId="4DAFED11" w:rsidR="00E5175A" w:rsidRPr="00734AB6" w:rsidRDefault="00E5175A" w:rsidP="00E5175A">
      <w:pPr>
        <w:spacing w:line="360" w:lineRule="auto"/>
        <w:ind w:left="426" w:hanging="426"/>
        <w:rPr>
          <w:rFonts w:asciiTheme="majorHAnsi" w:hAnsiTheme="majorHAnsi" w:cstheme="majorHAnsi"/>
        </w:rPr>
      </w:pPr>
      <w:r w:rsidRPr="00734AB6">
        <w:rPr>
          <w:rFonts w:asciiTheme="majorHAnsi" w:hAnsiTheme="majorHAnsi" w:cstheme="majorHAnsi"/>
        </w:rPr>
        <w:lastRenderedPageBreak/>
        <w:t>Diamond, A. (2013). Executive functions. </w:t>
      </w:r>
      <w:r w:rsidRPr="00734AB6">
        <w:rPr>
          <w:rFonts w:asciiTheme="majorHAnsi" w:hAnsiTheme="majorHAnsi" w:cstheme="majorHAnsi"/>
          <w:i/>
          <w:iCs/>
        </w:rPr>
        <w:t>Annual Review of Psychology</w:t>
      </w:r>
      <w:r w:rsidRPr="00734AB6">
        <w:rPr>
          <w:rFonts w:asciiTheme="majorHAnsi" w:hAnsiTheme="majorHAnsi" w:cstheme="majorHAnsi"/>
        </w:rPr>
        <w:t>, </w:t>
      </w:r>
      <w:r w:rsidRPr="00734AB6">
        <w:rPr>
          <w:rFonts w:asciiTheme="majorHAnsi" w:hAnsiTheme="majorHAnsi" w:cstheme="majorHAnsi"/>
          <w:i/>
          <w:iCs/>
        </w:rPr>
        <w:t>64</w:t>
      </w:r>
      <w:r w:rsidRPr="00734AB6">
        <w:rPr>
          <w:rFonts w:asciiTheme="majorHAnsi" w:hAnsiTheme="majorHAnsi" w:cstheme="majorHAnsi"/>
        </w:rPr>
        <w:t>, 135-168.</w:t>
      </w:r>
    </w:p>
    <w:p w14:paraId="6DA27089" w14:textId="284B2815"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r w:rsidRPr="00734AB6">
        <w:rPr>
          <w:rFonts w:asciiTheme="majorHAnsi" w:hAnsiTheme="majorHAnsi" w:cstheme="minorHAnsi"/>
          <w:sz w:val="22"/>
          <w:szCs w:val="22"/>
          <w:shd w:val="clear" w:color="auto" w:fill="FFFFFF"/>
        </w:rPr>
        <w:t xml:space="preserve">Dietz, P., </w:t>
      </w:r>
      <w:proofErr w:type="spellStart"/>
      <w:r w:rsidRPr="00734AB6">
        <w:rPr>
          <w:rFonts w:asciiTheme="majorHAnsi" w:hAnsiTheme="majorHAnsi" w:cstheme="minorHAnsi"/>
          <w:sz w:val="22"/>
          <w:szCs w:val="22"/>
          <w:shd w:val="clear" w:color="auto" w:fill="FFFFFF"/>
        </w:rPr>
        <w:t>Soyka</w:t>
      </w:r>
      <w:proofErr w:type="spellEnd"/>
      <w:r w:rsidRPr="00734AB6">
        <w:rPr>
          <w:rFonts w:asciiTheme="majorHAnsi" w:hAnsiTheme="majorHAnsi" w:cstheme="minorHAnsi"/>
          <w:sz w:val="22"/>
          <w:szCs w:val="22"/>
          <w:shd w:val="clear" w:color="auto" w:fill="FFFFFF"/>
        </w:rPr>
        <w:t>, M., &amp; Franke, A. G. (2016). Pharmacological neuroenhancement in the field of economics—Poll results from an online survey.</w:t>
      </w:r>
      <w:r w:rsidRPr="00734AB6">
        <w:rPr>
          <w:rStyle w:val="apple-converted-space"/>
          <w:rFonts w:asciiTheme="majorHAnsi" w:hAnsiTheme="majorHAnsi" w:cstheme="minorHAnsi"/>
          <w:sz w:val="22"/>
          <w:szCs w:val="22"/>
          <w:shd w:val="clear" w:color="auto" w:fill="FFFFFF"/>
        </w:rPr>
        <w:t> </w:t>
      </w:r>
      <w:r w:rsidR="00D23288" w:rsidRPr="00734AB6">
        <w:rPr>
          <w:rFonts w:asciiTheme="majorHAnsi" w:hAnsiTheme="majorHAnsi" w:cstheme="minorHAnsi"/>
          <w:i/>
          <w:iCs/>
          <w:sz w:val="22"/>
          <w:szCs w:val="22"/>
          <w:shd w:val="clear" w:color="auto" w:fill="FFFFFF"/>
        </w:rPr>
        <w:t>Frontiers in P</w:t>
      </w:r>
      <w:r w:rsidRPr="00734AB6">
        <w:rPr>
          <w:rFonts w:asciiTheme="majorHAnsi" w:hAnsiTheme="majorHAnsi" w:cstheme="minorHAnsi"/>
          <w:i/>
          <w:iCs/>
          <w:sz w:val="22"/>
          <w:szCs w:val="22"/>
          <w:shd w:val="clear" w:color="auto" w:fill="FFFFFF"/>
        </w:rPr>
        <w:t>sychology</w:t>
      </w:r>
      <w:r w:rsidRPr="00734AB6">
        <w:rPr>
          <w:rFonts w:asciiTheme="majorHAnsi" w:hAnsiTheme="majorHAnsi" w:cstheme="minorHAnsi"/>
          <w:sz w:val="22"/>
          <w:szCs w:val="22"/>
          <w:shd w:val="clear" w:color="auto" w:fill="FFFFFF"/>
        </w:rPr>
        <w:t>,</w:t>
      </w:r>
      <w:r w:rsidRPr="00734AB6">
        <w:rPr>
          <w:rStyle w:val="apple-converted-space"/>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7</w:t>
      </w:r>
      <w:r w:rsidRPr="00734AB6">
        <w:rPr>
          <w:rFonts w:asciiTheme="majorHAnsi" w:hAnsiTheme="majorHAnsi" w:cstheme="minorHAnsi"/>
          <w:sz w:val="22"/>
          <w:szCs w:val="22"/>
          <w:shd w:val="clear" w:color="auto" w:fill="FFFFFF"/>
        </w:rPr>
        <w:t>, 520</w:t>
      </w:r>
    </w:p>
    <w:p w14:paraId="3CA8A2CA" w14:textId="31754505" w:rsidR="00A6012F" w:rsidRPr="00734AB6" w:rsidRDefault="00A6012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proofErr w:type="spellStart"/>
      <w:r w:rsidRPr="00734AB6">
        <w:rPr>
          <w:rFonts w:asciiTheme="majorHAnsi" w:hAnsiTheme="majorHAnsi" w:cstheme="minorHAnsi"/>
          <w:sz w:val="22"/>
          <w:szCs w:val="22"/>
          <w:shd w:val="clear" w:color="auto" w:fill="FFFFFF"/>
        </w:rPr>
        <w:t>Dockree</w:t>
      </w:r>
      <w:proofErr w:type="spellEnd"/>
      <w:r w:rsidRPr="00734AB6">
        <w:rPr>
          <w:rFonts w:asciiTheme="majorHAnsi" w:hAnsiTheme="majorHAnsi" w:cstheme="minorHAnsi"/>
          <w:sz w:val="22"/>
          <w:szCs w:val="22"/>
          <w:shd w:val="clear" w:color="auto" w:fill="FFFFFF"/>
        </w:rPr>
        <w:t xml:space="preserve">, P. M., O'Keeffe, F. M., Moloney, P., </w:t>
      </w:r>
      <w:proofErr w:type="spellStart"/>
      <w:r w:rsidRPr="00734AB6">
        <w:rPr>
          <w:rFonts w:asciiTheme="majorHAnsi" w:hAnsiTheme="majorHAnsi" w:cstheme="minorHAnsi"/>
          <w:sz w:val="22"/>
          <w:szCs w:val="22"/>
          <w:shd w:val="clear" w:color="auto" w:fill="FFFFFF"/>
        </w:rPr>
        <w:t>Bishara</w:t>
      </w:r>
      <w:proofErr w:type="spellEnd"/>
      <w:r w:rsidRPr="00734AB6">
        <w:rPr>
          <w:rFonts w:asciiTheme="majorHAnsi" w:hAnsiTheme="majorHAnsi" w:cstheme="minorHAnsi"/>
          <w:sz w:val="22"/>
          <w:szCs w:val="22"/>
          <w:shd w:val="clear" w:color="auto" w:fill="FFFFFF"/>
        </w:rPr>
        <w:t>, A. J., Carton, S., Jacoby, L. L., &amp; Robertson, I. H. (2006). Capture by misleading information and its false acceptance in patients with traumatic brain injury. </w:t>
      </w:r>
      <w:r w:rsidRPr="00734AB6">
        <w:rPr>
          <w:rFonts w:asciiTheme="majorHAnsi" w:hAnsiTheme="majorHAnsi" w:cstheme="minorHAnsi"/>
          <w:i/>
          <w:iCs/>
          <w:sz w:val="22"/>
          <w:szCs w:val="22"/>
          <w:shd w:val="clear" w:color="auto" w:fill="FFFFFF"/>
        </w:rPr>
        <w:t>Brain</w:t>
      </w:r>
      <w:r w:rsidRPr="00734AB6">
        <w:rPr>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129</w:t>
      </w:r>
      <w:r w:rsidRPr="00734AB6">
        <w:rPr>
          <w:rFonts w:asciiTheme="majorHAnsi" w:hAnsiTheme="majorHAnsi" w:cstheme="minorHAnsi"/>
          <w:sz w:val="22"/>
          <w:szCs w:val="22"/>
          <w:shd w:val="clear" w:color="auto" w:fill="FFFFFF"/>
        </w:rPr>
        <w:t>(1), 128-140.</w:t>
      </w:r>
    </w:p>
    <w:p w14:paraId="7CD5D48D" w14:textId="518398DE" w:rsidR="004676EF" w:rsidRPr="00734AB6" w:rsidRDefault="004676EF" w:rsidP="00D06771">
      <w:pPr>
        <w:pStyle w:val="paragraph"/>
        <w:spacing w:after="160" w:line="360" w:lineRule="auto"/>
        <w:ind w:left="720" w:hanging="720"/>
        <w:textAlignment w:val="baseline"/>
        <w:rPr>
          <w:rFonts w:asciiTheme="majorHAnsi" w:hAnsiTheme="majorHAnsi" w:cstheme="minorHAnsi"/>
          <w:sz w:val="22"/>
          <w:szCs w:val="22"/>
          <w:shd w:val="clear" w:color="auto" w:fill="FFFFFF"/>
        </w:rPr>
      </w:pPr>
      <w:proofErr w:type="spellStart"/>
      <w:r w:rsidRPr="00734AB6">
        <w:rPr>
          <w:rFonts w:asciiTheme="majorHAnsi" w:hAnsiTheme="majorHAnsi" w:cstheme="minorHAnsi"/>
          <w:sz w:val="22"/>
          <w:szCs w:val="22"/>
          <w:shd w:val="clear" w:color="auto" w:fill="FFFFFF"/>
        </w:rPr>
        <w:t>Dorrian</w:t>
      </w:r>
      <w:proofErr w:type="spellEnd"/>
      <w:r w:rsidRPr="00734AB6">
        <w:rPr>
          <w:rFonts w:asciiTheme="majorHAnsi" w:hAnsiTheme="majorHAnsi" w:cstheme="minorHAnsi"/>
          <w:sz w:val="22"/>
          <w:szCs w:val="22"/>
          <w:shd w:val="clear" w:color="auto" w:fill="FFFFFF"/>
        </w:rPr>
        <w:t xml:space="preserve">, J., Rogers, N. L., &amp; </w:t>
      </w:r>
      <w:proofErr w:type="spellStart"/>
      <w:r w:rsidRPr="00734AB6">
        <w:rPr>
          <w:rFonts w:asciiTheme="majorHAnsi" w:hAnsiTheme="majorHAnsi" w:cstheme="minorHAnsi"/>
          <w:sz w:val="22"/>
          <w:szCs w:val="22"/>
          <w:shd w:val="clear" w:color="auto" w:fill="FFFFFF"/>
        </w:rPr>
        <w:t>Dinges</w:t>
      </w:r>
      <w:proofErr w:type="spellEnd"/>
      <w:r w:rsidRPr="00734AB6">
        <w:rPr>
          <w:rFonts w:asciiTheme="majorHAnsi" w:hAnsiTheme="majorHAnsi" w:cstheme="minorHAnsi"/>
          <w:sz w:val="22"/>
          <w:szCs w:val="22"/>
          <w:shd w:val="clear" w:color="auto" w:fill="FFFFFF"/>
        </w:rPr>
        <w:t xml:space="preserve">, D. F. (2004). Psychomotor vigilance performance: Neurocognitive assay sensitive to sleep loss. In </w:t>
      </w:r>
      <w:r w:rsidR="0084773D" w:rsidRPr="00734AB6">
        <w:rPr>
          <w:rFonts w:asciiTheme="majorHAnsi" w:hAnsiTheme="majorHAnsi" w:cstheme="minorHAnsi"/>
          <w:sz w:val="22"/>
          <w:szCs w:val="22"/>
          <w:shd w:val="clear" w:color="auto" w:fill="FFFFFF"/>
        </w:rPr>
        <w:t xml:space="preserve">C. A. </w:t>
      </w:r>
      <w:proofErr w:type="spellStart"/>
      <w:r w:rsidR="0084773D" w:rsidRPr="00734AB6">
        <w:rPr>
          <w:rFonts w:asciiTheme="majorHAnsi" w:hAnsiTheme="majorHAnsi" w:cstheme="minorHAnsi"/>
          <w:sz w:val="22"/>
          <w:szCs w:val="22"/>
          <w:shd w:val="clear" w:color="auto" w:fill="FFFFFF"/>
        </w:rPr>
        <w:t>Kushida</w:t>
      </w:r>
      <w:proofErr w:type="spellEnd"/>
      <w:r w:rsidR="0084773D" w:rsidRPr="00734AB6">
        <w:rPr>
          <w:rFonts w:asciiTheme="majorHAnsi" w:hAnsiTheme="majorHAnsi" w:cstheme="minorHAnsi"/>
          <w:sz w:val="22"/>
          <w:szCs w:val="22"/>
          <w:shd w:val="clear" w:color="auto" w:fill="FFFFFF"/>
        </w:rPr>
        <w:t xml:space="preserve"> (Ed.) </w:t>
      </w:r>
      <w:r w:rsidR="0084773D" w:rsidRPr="00734AB6">
        <w:rPr>
          <w:rFonts w:asciiTheme="majorHAnsi" w:hAnsiTheme="majorHAnsi" w:cstheme="minorHAnsi"/>
          <w:i/>
          <w:sz w:val="22"/>
          <w:szCs w:val="22"/>
          <w:shd w:val="clear" w:color="auto" w:fill="FFFFFF"/>
        </w:rPr>
        <w:t>Sleep D</w:t>
      </w:r>
      <w:r w:rsidRPr="00734AB6">
        <w:rPr>
          <w:rFonts w:asciiTheme="majorHAnsi" w:hAnsiTheme="majorHAnsi" w:cstheme="minorHAnsi"/>
          <w:i/>
          <w:sz w:val="22"/>
          <w:szCs w:val="22"/>
          <w:shd w:val="clear" w:color="auto" w:fill="FFFFFF"/>
        </w:rPr>
        <w:t>eprivation</w:t>
      </w:r>
      <w:r w:rsidRPr="00734AB6">
        <w:rPr>
          <w:rFonts w:asciiTheme="majorHAnsi" w:hAnsiTheme="majorHAnsi" w:cstheme="minorHAnsi"/>
          <w:sz w:val="22"/>
          <w:szCs w:val="22"/>
          <w:shd w:val="clear" w:color="auto" w:fill="FFFFFF"/>
        </w:rPr>
        <w:t xml:space="preserve"> (pp. 67-98). </w:t>
      </w:r>
      <w:r w:rsidR="0084773D" w:rsidRPr="00734AB6">
        <w:rPr>
          <w:rFonts w:asciiTheme="majorHAnsi" w:hAnsiTheme="majorHAnsi" w:cstheme="minorHAnsi"/>
          <w:sz w:val="22"/>
          <w:szCs w:val="22"/>
          <w:shd w:val="clear" w:color="auto" w:fill="FFFFFF"/>
        </w:rPr>
        <w:t xml:space="preserve">Boca Raton: </w:t>
      </w:r>
      <w:r w:rsidRPr="00734AB6">
        <w:rPr>
          <w:rFonts w:asciiTheme="majorHAnsi" w:hAnsiTheme="majorHAnsi" w:cstheme="minorHAnsi"/>
          <w:sz w:val="22"/>
          <w:szCs w:val="22"/>
          <w:shd w:val="clear" w:color="auto" w:fill="FFFFFF"/>
        </w:rPr>
        <w:t>CRC Press.</w:t>
      </w:r>
    </w:p>
    <w:p w14:paraId="32482B0C" w14:textId="143CB6E7" w:rsidR="004676EF" w:rsidRPr="00734AB6" w:rsidRDefault="004676EF" w:rsidP="00D06771">
      <w:pPr>
        <w:pStyle w:val="paragraph"/>
        <w:spacing w:after="160" w:line="360" w:lineRule="auto"/>
        <w:ind w:left="720" w:hanging="720"/>
        <w:textAlignment w:val="baseline"/>
        <w:rPr>
          <w:rStyle w:val="normaltextrun"/>
          <w:rFonts w:asciiTheme="majorHAnsi" w:hAnsiTheme="majorHAnsi"/>
          <w:sz w:val="22"/>
          <w:szCs w:val="22"/>
          <w:lang w:val="en-US"/>
        </w:rPr>
      </w:pPr>
      <w:proofErr w:type="spellStart"/>
      <w:r w:rsidRPr="00734AB6">
        <w:rPr>
          <w:rFonts w:asciiTheme="majorHAnsi" w:hAnsiTheme="majorHAnsi" w:cstheme="minorHAnsi"/>
          <w:sz w:val="22"/>
          <w:szCs w:val="22"/>
          <w:shd w:val="clear" w:color="auto" w:fill="FFFFFF"/>
        </w:rPr>
        <w:t>Drazdowski</w:t>
      </w:r>
      <w:proofErr w:type="spellEnd"/>
      <w:r w:rsidRPr="00734AB6">
        <w:rPr>
          <w:rFonts w:asciiTheme="majorHAnsi" w:hAnsiTheme="majorHAnsi" w:cstheme="minorHAnsi"/>
          <w:sz w:val="22"/>
          <w:szCs w:val="22"/>
          <w:shd w:val="clear" w:color="auto" w:fill="FFFFFF"/>
        </w:rPr>
        <w:t>, T. K. (2016). A systematic review of the motivations for the non-medical use of prescription drugs in young adults.</w:t>
      </w:r>
      <w:r w:rsidRPr="00734AB6">
        <w:rPr>
          <w:rStyle w:val="apple-converted-space"/>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 xml:space="preserve">Drug and </w:t>
      </w:r>
      <w:r w:rsidR="0084773D" w:rsidRPr="00734AB6">
        <w:rPr>
          <w:rFonts w:asciiTheme="majorHAnsi" w:hAnsiTheme="majorHAnsi" w:cstheme="minorHAnsi"/>
          <w:i/>
          <w:iCs/>
          <w:sz w:val="22"/>
          <w:szCs w:val="22"/>
          <w:shd w:val="clear" w:color="auto" w:fill="FFFFFF"/>
        </w:rPr>
        <w:t>A</w:t>
      </w:r>
      <w:r w:rsidRPr="00734AB6">
        <w:rPr>
          <w:rFonts w:asciiTheme="majorHAnsi" w:hAnsiTheme="majorHAnsi" w:cstheme="minorHAnsi"/>
          <w:i/>
          <w:iCs/>
          <w:sz w:val="22"/>
          <w:szCs w:val="22"/>
          <w:shd w:val="clear" w:color="auto" w:fill="FFFFFF"/>
        </w:rPr>
        <w:t xml:space="preserve">lcohol </w:t>
      </w:r>
      <w:r w:rsidR="0084773D" w:rsidRPr="00734AB6">
        <w:rPr>
          <w:rFonts w:asciiTheme="majorHAnsi" w:hAnsiTheme="majorHAnsi" w:cstheme="minorHAnsi"/>
          <w:i/>
          <w:iCs/>
          <w:sz w:val="22"/>
          <w:szCs w:val="22"/>
          <w:shd w:val="clear" w:color="auto" w:fill="FFFFFF"/>
        </w:rPr>
        <w:t>D</w:t>
      </w:r>
      <w:r w:rsidRPr="00734AB6">
        <w:rPr>
          <w:rFonts w:asciiTheme="majorHAnsi" w:hAnsiTheme="majorHAnsi" w:cstheme="minorHAnsi"/>
          <w:i/>
          <w:iCs/>
          <w:sz w:val="22"/>
          <w:szCs w:val="22"/>
          <w:shd w:val="clear" w:color="auto" w:fill="FFFFFF"/>
        </w:rPr>
        <w:t>ependence</w:t>
      </w:r>
      <w:r w:rsidRPr="00734AB6">
        <w:rPr>
          <w:rFonts w:asciiTheme="majorHAnsi" w:hAnsiTheme="majorHAnsi" w:cstheme="minorHAnsi"/>
          <w:sz w:val="22"/>
          <w:szCs w:val="22"/>
          <w:shd w:val="clear" w:color="auto" w:fill="FFFFFF"/>
        </w:rPr>
        <w:t>,</w:t>
      </w:r>
      <w:r w:rsidRPr="00734AB6">
        <w:rPr>
          <w:rStyle w:val="apple-converted-space"/>
          <w:rFonts w:asciiTheme="majorHAnsi" w:hAnsiTheme="majorHAnsi" w:cstheme="minorHAnsi"/>
          <w:sz w:val="22"/>
          <w:szCs w:val="22"/>
          <w:shd w:val="clear" w:color="auto" w:fill="FFFFFF"/>
        </w:rPr>
        <w:t> </w:t>
      </w:r>
      <w:r w:rsidRPr="00734AB6">
        <w:rPr>
          <w:rFonts w:asciiTheme="majorHAnsi" w:hAnsiTheme="majorHAnsi" w:cstheme="minorHAnsi"/>
          <w:i/>
          <w:iCs/>
          <w:sz w:val="22"/>
          <w:szCs w:val="22"/>
          <w:shd w:val="clear" w:color="auto" w:fill="FFFFFF"/>
        </w:rPr>
        <w:t>162</w:t>
      </w:r>
      <w:r w:rsidRPr="00734AB6">
        <w:rPr>
          <w:rFonts w:asciiTheme="majorHAnsi" w:hAnsiTheme="majorHAnsi" w:cstheme="minorHAnsi"/>
          <w:sz w:val="22"/>
          <w:szCs w:val="22"/>
          <w:shd w:val="clear" w:color="auto" w:fill="FFFFFF"/>
        </w:rPr>
        <w:t>, 3-25.</w:t>
      </w:r>
    </w:p>
    <w:p w14:paraId="15A82EB9" w14:textId="4AFC8501" w:rsidR="004676EF" w:rsidRPr="00734AB6" w:rsidRDefault="004676EF" w:rsidP="00D06771">
      <w:pPr>
        <w:spacing w:line="360" w:lineRule="auto"/>
        <w:ind w:left="720" w:hanging="720"/>
        <w:rPr>
          <w:rFonts w:asciiTheme="majorHAnsi" w:hAnsiTheme="majorHAnsi" w:cs="Arial"/>
        </w:rPr>
      </w:pPr>
      <w:proofErr w:type="spellStart"/>
      <w:r w:rsidRPr="00734AB6">
        <w:rPr>
          <w:rFonts w:asciiTheme="majorHAnsi" w:hAnsiTheme="majorHAnsi" w:cs="Arial"/>
          <w:shd w:val="clear" w:color="auto" w:fill="FFFFFF"/>
        </w:rPr>
        <w:t>Dresler</w:t>
      </w:r>
      <w:proofErr w:type="spellEnd"/>
      <w:r w:rsidRPr="00734AB6">
        <w:rPr>
          <w:rFonts w:asciiTheme="majorHAnsi" w:hAnsiTheme="majorHAnsi" w:cs="Arial"/>
          <w:shd w:val="clear" w:color="auto" w:fill="FFFFFF"/>
        </w:rPr>
        <w:t xml:space="preserve">, M., Sandberg, A., </w:t>
      </w:r>
      <w:proofErr w:type="spellStart"/>
      <w:r w:rsidRPr="00734AB6">
        <w:rPr>
          <w:rFonts w:asciiTheme="majorHAnsi" w:hAnsiTheme="majorHAnsi" w:cs="Arial"/>
          <w:shd w:val="clear" w:color="auto" w:fill="FFFFFF"/>
        </w:rPr>
        <w:t>Bublitz</w:t>
      </w:r>
      <w:proofErr w:type="spellEnd"/>
      <w:r w:rsidRPr="00734AB6">
        <w:rPr>
          <w:rFonts w:asciiTheme="majorHAnsi" w:hAnsiTheme="majorHAnsi" w:cs="Arial"/>
          <w:shd w:val="clear" w:color="auto" w:fill="FFFFFF"/>
        </w:rPr>
        <w:t xml:space="preserve">, C., </w:t>
      </w:r>
      <w:proofErr w:type="spellStart"/>
      <w:r w:rsidRPr="00734AB6">
        <w:rPr>
          <w:rFonts w:asciiTheme="majorHAnsi" w:hAnsiTheme="majorHAnsi" w:cs="Arial"/>
          <w:shd w:val="clear" w:color="auto" w:fill="FFFFFF"/>
        </w:rPr>
        <w:t>Ohla</w:t>
      </w:r>
      <w:proofErr w:type="spellEnd"/>
      <w:r w:rsidRPr="00734AB6">
        <w:rPr>
          <w:rFonts w:asciiTheme="majorHAnsi" w:hAnsiTheme="majorHAnsi" w:cs="Arial"/>
          <w:shd w:val="clear" w:color="auto" w:fill="FFFFFF"/>
        </w:rPr>
        <w:t xml:space="preserve">, K., </w:t>
      </w:r>
      <w:proofErr w:type="spellStart"/>
      <w:r w:rsidRPr="00734AB6">
        <w:rPr>
          <w:rFonts w:asciiTheme="majorHAnsi" w:hAnsiTheme="majorHAnsi" w:cs="Arial"/>
          <w:shd w:val="clear" w:color="auto" w:fill="FFFFFF"/>
        </w:rPr>
        <w:t>Trenado</w:t>
      </w:r>
      <w:proofErr w:type="spellEnd"/>
      <w:r w:rsidRPr="00734AB6">
        <w:rPr>
          <w:rFonts w:asciiTheme="majorHAnsi" w:hAnsiTheme="majorHAnsi" w:cs="Arial"/>
          <w:shd w:val="clear" w:color="auto" w:fill="FFFFFF"/>
        </w:rPr>
        <w:t xml:space="preserve">, C., </w:t>
      </w:r>
      <w:proofErr w:type="spellStart"/>
      <w:r w:rsidRPr="00734AB6">
        <w:rPr>
          <w:rFonts w:asciiTheme="majorHAnsi" w:hAnsiTheme="majorHAnsi" w:cs="Arial"/>
          <w:shd w:val="clear" w:color="auto" w:fill="FFFFFF"/>
        </w:rPr>
        <w:t>Mroczko-Wąsowicz</w:t>
      </w:r>
      <w:proofErr w:type="spellEnd"/>
      <w:r w:rsidRPr="00734AB6">
        <w:rPr>
          <w:rFonts w:asciiTheme="majorHAnsi" w:hAnsiTheme="majorHAnsi" w:cs="Arial"/>
          <w:shd w:val="clear" w:color="auto" w:fill="FFFFFF"/>
        </w:rPr>
        <w:t xml:space="preserve">, A., ... &amp; </w:t>
      </w:r>
      <w:proofErr w:type="spellStart"/>
      <w:r w:rsidRPr="00734AB6">
        <w:rPr>
          <w:rFonts w:asciiTheme="majorHAnsi" w:hAnsiTheme="majorHAnsi" w:cs="Arial"/>
          <w:shd w:val="clear" w:color="auto" w:fill="FFFFFF"/>
        </w:rPr>
        <w:t>Repantis</w:t>
      </w:r>
      <w:proofErr w:type="spellEnd"/>
      <w:r w:rsidRPr="00734AB6">
        <w:rPr>
          <w:rFonts w:asciiTheme="majorHAnsi" w:hAnsiTheme="majorHAnsi" w:cs="Arial"/>
          <w:shd w:val="clear" w:color="auto" w:fill="FFFFFF"/>
        </w:rPr>
        <w:t xml:space="preserve">, D. (2018). Hacking the brain: Dimensions of cognitive enhancement. </w:t>
      </w:r>
      <w:r w:rsidR="00F96289" w:rsidRPr="00734AB6">
        <w:rPr>
          <w:rFonts w:asciiTheme="majorHAnsi" w:hAnsiTheme="majorHAnsi" w:cs="Arial"/>
          <w:i/>
          <w:shd w:val="clear" w:color="auto" w:fill="FFFFFF"/>
        </w:rPr>
        <w:t>ACS Chemical N</w:t>
      </w:r>
      <w:r w:rsidRPr="00734AB6">
        <w:rPr>
          <w:rFonts w:asciiTheme="majorHAnsi" w:hAnsiTheme="majorHAnsi" w:cs="Arial"/>
          <w:i/>
          <w:shd w:val="clear" w:color="auto" w:fill="FFFFFF"/>
        </w:rPr>
        <w:t>euroscience, 10</w:t>
      </w:r>
      <w:r w:rsidRPr="00734AB6">
        <w:rPr>
          <w:rFonts w:asciiTheme="majorHAnsi" w:hAnsiTheme="majorHAnsi" w:cs="Arial"/>
          <w:shd w:val="clear" w:color="auto" w:fill="FFFFFF"/>
        </w:rPr>
        <w:t>(3), 1137-1148.</w:t>
      </w:r>
      <w:r w:rsidRPr="00734AB6">
        <w:rPr>
          <w:rFonts w:asciiTheme="majorHAnsi" w:hAnsiTheme="majorHAnsi" w:cs="Arial"/>
        </w:rPr>
        <w:t xml:space="preserve"> </w:t>
      </w:r>
    </w:p>
    <w:p w14:paraId="779271B7" w14:textId="54874CB5" w:rsidR="004676EF" w:rsidRPr="00734AB6" w:rsidRDefault="004676EF" w:rsidP="00D06771">
      <w:pPr>
        <w:pStyle w:val="paragraph"/>
        <w:spacing w:after="160" w:line="360" w:lineRule="auto"/>
        <w:ind w:left="720" w:hanging="720"/>
        <w:textAlignment w:val="baseline"/>
        <w:rPr>
          <w:rFonts w:asciiTheme="majorHAnsi" w:hAnsiTheme="majorHAnsi"/>
          <w:sz w:val="22"/>
          <w:szCs w:val="22"/>
        </w:rPr>
      </w:pPr>
      <w:r w:rsidRPr="00734AB6">
        <w:rPr>
          <w:rStyle w:val="normaltextrun"/>
          <w:rFonts w:asciiTheme="majorHAnsi" w:hAnsiTheme="majorHAnsi" w:cstheme="minorHAnsi"/>
          <w:sz w:val="22"/>
          <w:szCs w:val="22"/>
          <w:lang w:val="en-US"/>
        </w:rPr>
        <w:t>Drugs penalties. (</w:t>
      </w:r>
      <w:r w:rsidRPr="00734AB6">
        <w:rPr>
          <w:rStyle w:val="spellingerror"/>
          <w:rFonts w:asciiTheme="majorHAnsi" w:hAnsiTheme="majorHAnsi" w:cstheme="minorHAnsi"/>
          <w:sz w:val="22"/>
          <w:szCs w:val="22"/>
          <w:lang w:val="en-US"/>
        </w:rPr>
        <w:t>n.d.</w:t>
      </w:r>
      <w:r w:rsidRPr="00734AB6">
        <w:rPr>
          <w:rStyle w:val="normaltextrun"/>
          <w:rFonts w:asciiTheme="majorHAnsi" w:hAnsiTheme="majorHAnsi" w:cstheme="minorHAnsi"/>
          <w:sz w:val="22"/>
          <w:szCs w:val="22"/>
          <w:lang w:val="en-US"/>
        </w:rPr>
        <w:t>). Retrieved March 27, 2016, from https://www.gov.uk/penalties-drug-possession-dealing</w:t>
      </w:r>
      <w:r w:rsidR="00F96289" w:rsidRPr="00734AB6">
        <w:rPr>
          <w:rStyle w:val="normaltextrun"/>
          <w:rFonts w:asciiTheme="majorHAnsi" w:hAnsiTheme="majorHAnsi" w:cstheme="minorHAnsi"/>
          <w:sz w:val="22"/>
          <w:szCs w:val="22"/>
          <w:lang w:val="en-US"/>
        </w:rPr>
        <w:t>.</w:t>
      </w:r>
      <w:r w:rsidRPr="00734AB6">
        <w:rPr>
          <w:rStyle w:val="eop"/>
          <w:rFonts w:asciiTheme="majorHAnsi" w:hAnsiTheme="majorHAnsi" w:cstheme="minorHAnsi"/>
          <w:sz w:val="22"/>
          <w:szCs w:val="22"/>
          <w:lang w:val="en-US"/>
        </w:rPr>
        <w:t> </w:t>
      </w:r>
    </w:p>
    <w:p w14:paraId="3D6D6E90" w14:textId="77777777" w:rsidR="00F96289" w:rsidRPr="00734AB6" w:rsidRDefault="00F96289"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Dubljević</w:t>
      </w:r>
      <w:proofErr w:type="spellEnd"/>
      <w:r w:rsidRPr="00734AB6">
        <w:rPr>
          <w:rFonts w:asciiTheme="majorHAnsi" w:eastAsia="Calibri" w:hAnsiTheme="majorHAnsi" w:cs="Calibri"/>
        </w:rPr>
        <w:t>, V., &amp; Ryan, C. J. (2015). Cognitive enhancement with methylphenidate and modafinil: conceptual advances and societal implications. </w:t>
      </w:r>
      <w:r w:rsidRPr="00734AB6">
        <w:rPr>
          <w:rFonts w:asciiTheme="majorHAnsi" w:eastAsia="Calibri" w:hAnsiTheme="majorHAnsi" w:cs="Calibri"/>
          <w:i/>
          <w:iCs/>
        </w:rPr>
        <w:t>Neuroscience and Neuroeconomics</w:t>
      </w:r>
      <w:r w:rsidRPr="00734AB6">
        <w:rPr>
          <w:rFonts w:asciiTheme="majorHAnsi" w:eastAsia="Calibri" w:hAnsiTheme="majorHAnsi" w:cs="Calibri"/>
        </w:rPr>
        <w:t>, </w:t>
      </w:r>
      <w:r w:rsidRPr="00734AB6">
        <w:rPr>
          <w:rFonts w:asciiTheme="majorHAnsi" w:eastAsia="Calibri" w:hAnsiTheme="majorHAnsi" w:cs="Calibri"/>
          <w:i/>
          <w:iCs/>
        </w:rPr>
        <w:t>4</w:t>
      </w:r>
      <w:r w:rsidRPr="00734AB6">
        <w:rPr>
          <w:rFonts w:asciiTheme="majorHAnsi" w:eastAsia="Calibri" w:hAnsiTheme="majorHAnsi" w:cs="Calibri"/>
        </w:rPr>
        <w:t xml:space="preserve">, 25-33. </w:t>
      </w:r>
    </w:p>
    <w:p w14:paraId="45F2CF95" w14:textId="05FD33E4"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Dunlop, B</w:t>
      </w:r>
      <w:r w:rsidR="00B34F7D" w:rsidRPr="00734AB6">
        <w:rPr>
          <w:rFonts w:asciiTheme="majorHAnsi" w:eastAsia="Calibri" w:hAnsiTheme="majorHAnsi" w:cs="Calibri"/>
        </w:rPr>
        <w:t xml:space="preserve">. </w:t>
      </w:r>
      <w:r w:rsidRPr="00734AB6">
        <w:rPr>
          <w:rFonts w:asciiTheme="majorHAnsi" w:eastAsia="Calibri" w:hAnsiTheme="majorHAnsi" w:cs="Calibri"/>
        </w:rPr>
        <w:t>W</w:t>
      </w:r>
      <w:r w:rsidR="00B34F7D"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Nemeroff</w:t>
      </w:r>
      <w:proofErr w:type="spellEnd"/>
      <w:r w:rsidRPr="00734AB6">
        <w:rPr>
          <w:rFonts w:asciiTheme="majorHAnsi" w:eastAsia="Calibri" w:hAnsiTheme="majorHAnsi" w:cs="Calibri"/>
        </w:rPr>
        <w:t>, C</w:t>
      </w:r>
      <w:r w:rsidR="00B34F7D" w:rsidRPr="00734AB6">
        <w:rPr>
          <w:rFonts w:asciiTheme="majorHAnsi" w:eastAsia="Calibri" w:hAnsiTheme="majorHAnsi" w:cs="Calibri"/>
        </w:rPr>
        <w:t xml:space="preserve">. </w:t>
      </w:r>
      <w:r w:rsidRPr="00734AB6">
        <w:rPr>
          <w:rFonts w:asciiTheme="majorHAnsi" w:eastAsia="Calibri" w:hAnsiTheme="majorHAnsi" w:cs="Calibri"/>
        </w:rPr>
        <w:t>B</w:t>
      </w:r>
      <w:r w:rsidR="00B34F7D" w:rsidRPr="00734AB6">
        <w:rPr>
          <w:rFonts w:asciiTheme="majorHAnsi" w:eastAsia="Calibri" w:hAnsiTheme="majorHAnsi" w:cs="Calibri"/>
        </w:rPr>
        <w:t>.</w:t>
      </w:r>
      <w:r w:rsidRPr="00734AB6">
        <w:rPr>
          <w:rFonts w:asciiTheme="majorHAnsi" w:eastAsia="Calibri" w:hAnsiTheme="majorHAnsi" w:cs="Calibri"/>
        </w:rPr>
        <w:t xml:space="preserve"> (2007). The role of dopamine in the pathophysiology of depression. </w:t>
      </w:r>
      <w:r w:rsidRPr="00734AB6">
        <w:rPr>
          <w:rFonts w:asciiTheme="majorHAnsi" w:eastAsia="Calibri" w:hAnsiTheme="majorHAnsi" w:cs="Calibri"/>
          <w:i/>
          <w:iCs/>
        </w:rPr>
        <w:t>Archives of General Psychiatry</w:t>
      </w:r>
      <w:r w:rsidRPr="00734AB6">
        <w:rPr>
          <w:rFonts w:asciiTheme="majorHAnsi" w:eastAsia="Calibri" w:hAnsiTheme="majorHAnsi" w:cs="Calibri"/>
        </w:rPr>
        <w:t>, </w:t>
      </w:r>
      <w:r w:rsidRPr="00734AB6">
        <w:rPr>
          <w:rFonts w:asciiTheme="majorHAnsi" w:eastAsia="Calibri" w:hAnsiTheme="majorHAnsi" w:cs="Calibri"/>
          <w:i/>
          <w:iCs/>
        </w:rPr>
        <w:t>64</w:t>
      </w:r>
      <w:r w:rsidRPr="00734AB6">
        <w:rPr>
          <w:rFonts w:asciiTheme="majorHAnsi" w:eastAsia="Calibri" w:hAnsiTheme="majorHAnsi" w:cs="Calibri"/>
        </w:rPr>
        <w:t>(3), 327-337.</w:t>
      </w:r>
    </w:p>
    <w:p w14:paraId="0F125B0D" w14:textId="3137D682" w:rsidR="004676EF" w:rsidRPr="00734AB6" w:rsidRDefault="004676EF" w:rsidP="00D06771">
      <w:pPr>
        <w:spacing w:line="360" w:lineRule="auto"/>
        <w:ind w:left="720" w:hanging="720"/>
        <w:rPr>
          <w:rFonts w:asciiTheme="majorHAnsi" w:hAnsiTheme="majorHAnsi" w:cs="Arial"/>
        </w:rPr>
      </w:pPr>
      <w:proofErr w:type="spellStart"/>
      <w:r w:rsidRPr="00734AB6">
        <w:rPr>
          <w:rFonts w:asciiTheme="majorHAnsi" w:hAnsiTheme="majorHAnsi" w:cs="Arial"/>
        </w:rPr>
        <w:t>DuPaul</w:t>
      </w:r>
      <w:proofErr w:type="spellEnd"/>
      <w:r w:rsidRPr="00734AB6">
        <w:rPr>
          <w:rFonts w:asciiTheme="majorHAnsi" w:hAnsiTheme="majorHAnsi" w:cs="Arial"/>
        </w:rPr>
        <w:t xml:space="preserve">, G. J., Power, T. J., </w:t>
      </w:r>
      <w:proofErr w:type="spellStart"/>
      <w:r w:rsidRPr="00734AB6">
        <w:rPr>
          <w:rFonts w:asciiTheme="majorHAnsi" w:hAnsiTheme="majorHAnsi" w:cs="Arial"/>
        </w:rPr>
        <w:t>Anastopoulos</w:t>
      </w:r>
      <w:proofErr w:type="spellEnd"/>
      <w:r w:rsidRPr="00734AB6">
        <w:rPr>
          <w:rFonts w:asciiTheme="majorHAnsi" w:hAnsiTheme="majorHAnsi" w:cs="Arial"/>
        </w:rPr>
        <w:t xml:space="preserve">, A. D., &amp; Reid, R. (1998). ADHD Rating Scale—IV: Checklists, norms, and clinical interpretation. </w:t>
      </w:r>
      <w:r w:rsidR="00B34F7D" w:rsidRPr="00734AB6">
        <w:rPr>
          <w:rFonts w:asciiTheme="majorHAnsi" w:hAnsiTheme="majorHAnsi" w:cs="Arial"/>
        </w:rPr>
        <w:t xml:space="preserve">New York: </w:t>
      </w:r>
      <w:r w:rsidRPr="00734AB6">
        <w:rPr>
          <w:rFonts w:asciiTheme="majorHAnsi" w:hAnsiTheme="majorHAnsi" w:cs="Arial"/>
        </w:rPr>
        <w:t>Guilford Press.</w:t>
      </w:r>
    </w:p>
    <w:p w14:paraId="4E3BC5FB"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Ekici</w:t>
      </w:r>
      <w:proofErr w:type="spellEnd"/>
      <w:r w:rsidRPr="00734AB6">
        <w:rPr>
          <w:rFonts w:asciiTheme="majorHAnsi" w:eastAsia="Calibri" w:hAnsiTheme="majorHAnsi" w:cs="Calibri"/>
        </w:rPr>
        <w:t xml:space="preserve">, G., </w:t>
      </w:r>
      <w:proofErr w:type="spellStart"/>
      <w:r w:rsidRPr="00734AB6">
        <w:rPr>
          <w:rFonts w:asciiTheme="majorHAnsi" w:eastAsia="Calibri" w:hAnsiTheme="majorHAnsi" w:cs="Calibri"/>
        </w:rPr>
        <w:t>Uysal</w:t>
      </w:r>
      <w:proofErr w:type="spellEnd"/>
      <w:r w:rsidRPr="00734AB6">
        <w:rPr>
          <w:rFonts w:asciiTheme="majorHAnsi" w:eastAsia="Calibri" w:hAnsiTheme="majorHAnsi" w:cs="Calibri"/>
        </w:rPr>
        <w:t xml:space="preserve">, S. A., &amp; </w:t>
      </w:r>
      <w:proofErr w:type="spellStart"/>
      <w:r w:rsidRPr="00734AB6">
        <w:rPr>
          <w:rFonts w:asciiTheme="majorHAnsi" w:eastAsia="Calibri" w:hAnsiTheme="majorHAnsi" w:cs="Calibri"/>
        </w:rPr>
        <w:t>Altuntaş</w:t>
      </w:r>
      <w:proofErr w:type="spellEnd"/>
      <w:r w:rsidRPr="00734AB6">
        <w:rPr>
          <w:rFonts w:asciiTheme="majorHAnsi" w:eastAsia="Calibri" w:hAnsiTheme="majorHAnsi" w:cs="Calibri"/>
        </w:rPr>
        <w:t>, O. (2016). The validity and reliability of Cognitive failures questionnaire in university students. </w:t>
      </w:r>
      <w:proofErr w:type="spellStart"/>
      <w:r w:rsidRPr="00734AB6">
        <w:rPr>
          <w:rFonts w:asciiTheme="majorHAnsi" w:eastAsia="Calibri" w:hAnsiTheme="majorHAnsi" w:cs="Calibri"/>
          <w:i/>
          <w:iCs/>
        </w:rPr>
        <w:t>Fizyoterapi</w:t>
      </w:r>
      <w:proofErr w:type="spellEnd"/>
      <w:r w:rsidRPr="00734AB6">
        <w:rPr>
          <w:rFonts w:asciiTheme="majorHAnsi" w:eastAsia="Calibri" w:hAnsiTheme="majorHAnsi" w:cs="Calibri"/>
          <w:i/>
          <w:iCs/>
        </w:rPr>
        <w:t xml:space="preserve"> </w:t>
      </w:r>
      <w:proofErr w:type="spellStart"/>
      <w:r w:rsidRPr="00734AB6">
        <w:rPr>
          <w:rFonts w:asciiTheme="majorHAnsi" w:eastAsia="Calibri" w:hAnsiTheme="majorHAnsi" w:cs="Calibri"/>
          <w:i/>
          <w:iCs/>
        </w:rPr>
        <w:t>Rehabilitasyon</w:t>
      </w:r>
      <w:proofErr w:type="spellEnd"/>
      <w:r w:rsidRPr="00734AB6">
        <w:rPr>
          <w:rFonts w:asciiTheme="majorHAnsi" w:eastAsia="Calibri" w:hAnsiTheme="majorHAnsi" w:cs="Calibri"/>
        </w:rPr>
        <w:t>, </w:t>
      </w:r>
      <w:r w:rsidRPr="00734AB6">
        <w:rPr>
          <w:rFonts w:asciiTheme="majorHAnsi" w:eastAsia="Calibri" w:hAnsiTheme="majorHAnsi" w:cs="Calibri"/>
          <w:i/>
          <w:iCs/>
        </w:rPr>
        <w:t>27</w:t>
      </w:r>
      <w:r w:rsidRPr="00734AB6">
        <w:rPr>
          <w:rFonts w:asciiTheme="majorHAnsi" w:eastAsia="Calibri" w:hAnsiTheme="majorHAnsi" w:cs="Calibri"/>
        </w:rPr>
        <w:t>(2), 55-60.</w:t>
      </w:r>
    </w:p>
    <w:p w14:paraId="65D41DEB" w14:textId="77777777" w:rsidR="00796635" w:rsidRPr="00734AB6" w:rsidRDefault="00796635" w:rsidP="00796635">
      <w:pPr>
        <w:spacing w:line="360" w:lineRule="auto"/>
        <w:ind w:left="851" w:hanging="851"/>
        <w:rPr>
          <w:rFonts w:asciiTheme="majorHAnsi" w:hAnsiTheme="majorHAnsi"/>
        </w:rPr>
      </w:pPr>
      <w:r w:rsidRPr="00734AB6">
        <w:rPr>
          <w:rFonts w:asciiTheme="majorHAnsi" w:hAnsiTheme="majorHAnsi"/>
        </w:rPr>
        <w:t>Elisa, R. N., Balaguer-</w:t>
      </w:r>
      <w:proofErr w:type="spellStart"/>
      <w:r w:rsidRPr="00734AB6">
        <w:rPr>
          <w:rFonts w:asciiTheme="majorHAnsi" w:hAnsiTheme="majorHAnsi"/>
        </w:rPr>
        <w:t>Ballester</w:t>
      </w:r>
      <w:proofErr w:type="spellEnd"/>
      <w:r w:rsidRPr="00734AB6">
        <w:rPr>
          <w:rFonts w:asciiTheme="majorHAnsi" w:hAnsiTheme="majorHAnsi"/>
        </w:rPr>
        <w:t>, E., &amp; Parris, B. A. (2016). Inattention, working memory, and goal neglect in a community sample. </w:t>
      </w:r>
      <w:r w:rsidRPr="00734AB6">
        <w:rPr>
          <w:rFonts w:asciiTheme="majorHAnsi" w:hAnsiTheme="majorHAnsi"/>
          <w:i/>
          <w:iCs/>
        </w:rPr>
        <w:t>Frontiers in Psychology</w:t>
      </w:r>
      <w:r w:rsidRPr="00734AB6">
        <w:rPr>
          <w:rFonts w:asciiTheme="majorHAnsi" w:hAnsiTheme="majorHAnsi"/>
        </w:rPr>
        <w:t>, </w:t>
      </w:r>
      <w:r w:rsidRPr="00734AB6">
        <w:rPr>
          <w:rFonts w:asciiTheme="majorHAnsi" w:hAnsiTheme="majorHAnsi"/>
          <w:i/>
          <w:iCs/>
        </w:rPr>
        <w:t>7</w:t>
      </w:r>
      <w:r w:rsidRPr="00734AB6">
        <w:rPr>
          <w:rFonts w:asciiTheme="majorHAnsi" w:hAnsiTheme="majorHAnsi"/>
        </w:rPr>
        <w:t>, 1428.</w:t>
      </w:r>
    </w:p>
    <w:p w14:paraId="66271A3A" w14:textId="6DC42A42"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EMCDDA (2013). </w:t>
      </w:r>
      <w:r w:rsidR="00993382" w:rsidRPr="00734AB6">
        <w:rPr>
          <w:rFonts w:asciiTheme="majorHAnsi" w:eastAsia="Calibri" w:hAnsiTheme="majorHAnsi" w:cs="Calibri"/>
          <w:i/>
          <w:iCs/>
        </w:rPr>
        <w:t>European drug report 2016: Trends and developments</w:t>
      </w:r>
      <w:r w:rsidR="00993382" w:rsidRPr="00734AB6">
        <w:rPr>
          <w:rFonts w:asciiTheme="majorHAnsi" w:eastAsia="Calibri" w:hAnsiTheme="majorHAnsi" w:cs="Calibri"/>
        </w:rPr>
        <w:t>. Office for Official Publications of the European Communities</w:t>
      </w:r>
      <w:r w:rsidRPr="00734AB6">
        <w:rPr>
          <w:rFonts w:asciiTheme="majorHAnsi" w:eastAsia="Calibri" w:hAnsiTheme="majorHAnsi" w:cs="Calibri"/>
        </w:rPr>
        <w:t>.</w:t>
      </w:r>
    </w:p>
    <w:p w14:paraId="0526206E"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Enriquez-</w:t>
      </w:r>
      <w:proofErr w:type="spellStart"/>
      <w:r w:rsidRPr="00734AB6">
        <w:rPr>
          <w:rFonts w:asciiTheme="majorHAnsi" w:eastAsia="Calibri" w:hAnsiTheme="majorHAnsi" w:cs="Calibri"/>
        </w:rPr>
        <w:t>Geppert</w:t>
      </w:r>
      <w:proofErr w:type="spellEnd"/>
      <w:r w:rsidRPr="00734AB6">
        <w:rPr>
          <w:rFonts w:asciiTheme="majorHAnsi" w:eastAsia="Calibri" w:hAnsiTheme="majorHAnsi" w:cs="Calibri"/>
        </w:rPr>
        <w:t xml:space="preserve">, S., </w:t>
      </w:r>
      <w:proofErr w:type="spellStart"/>
      <w:r w:rsidRPr="00734AB6">
        <w:rPr>
          <w:rFonts w:asciiTheme="majorHAnsi" w:eastAsia="Calibri" w:hAnsiTheme="majorHAnsi" w:cs="Calibri"/>
        </w:rPr>
        <w:t>Huster</w:t>
      </w:r>
      <w:proofErr w:type="spellEnd"/>
      <w:r w:rsidRPr="00734AB6">
        <w:rPr>
          <w:rFonts w:asciiTheme="majorHAnsi" w:eastAsia="Calibri" w:hAnsiTheme="majorHAnsi" w:cs="Calibri"/>
        </w:rPr>
        <w:t xml:space="preserve">, R. J., &amp; Herrmann, C. S. (2013). Boosting brain functions: Improving executive functions with </w:t>
      </w:r>
      <w:proofErr w:type="spellStart"/>
      <w:r w:rsidRPr="00734AB6">
        <w:rPr>
          <w:rFonts w:asciiTheme="majorHAnsi" w:eastAsia="Calibri" w:hAnsiTheme="majorHAnsi" w:cs="Calibri"/>
        </w:rPr>
        <w:t>behavioral</w:t>
      </w:r>
      <w:proofErr w:type="spellEnd"/>
      <w:r w:rsidRPr="00734AB6">
        <w:rPr>
          <w:rFonts w:asciiTheme="majorHAnsi" w:eastAsia="Calibri" w:hAnsiTheme="majorHAnsi" w:cs="Calibri"/>
        </w:rPr>
        <w:t xml:space="preserve"> training, neurostimulation, and neurofeedback. </w:t>
      </w:r>
      <w:r w:rsidRPr="00734AB6">
        <w:rPr>
          <w:rFonts w:asciiTheme="majorHAnsi" w:eastAsia="Calibri" w:hAnsiTheme="majorHAnsi" w:cs="Calibri"/>
          <w:i/>
        </w:rPr>
        <w:t>International Journal of Psychophysiology, 88</w:t>
      </w:r>
      <w:r w:rsidRPr="00734AB6">
        <w:rPr>
          <w:rFonts w:asciiTheme="majorHAnsi" w:eastAsia="Calibri" w:hAnsiTheme="majorHAnsi" w:cs="Calibri"/>
        </w:rPr>
        <w:t>(1), 1-16.</w:t>
      </w:r>
    </w:p>
    <w:p w14:paraId="22B6CB05" w14:textId="2B5B5D0D"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Eriksen, B. A., &amp; Eriksen, C. W. (1974). Effects of noise letters upon the identification of a target letter in a </w:t>
      </w:r>
      <w:proofErr w:type="spellStart"/>
      <w:r w:rsidRPr="00734AB6">
        <w:rPr>
          <w:rFonts w:asciiTheme="majorHAnsi" w:eastAsia="Calibri" w:hAnsiTheme="majorHAnsi" w:cs="Calibri"/>
        </w:rPr>
        <w:t>nonsearch</w:t>
      </w:r>
      <w:proofErr w:type="spellEnd"/>
      <w:r w:rsidRPr="00734AB6">
        <w:rPr>
          <w:rFonts w:asciiTheme="majorHAnsi" w:eastAsia="Calibri" w:hAnsiTheme="majorHAnsi" w:cs="Calibri"/>
        </w:rPr>
        <w:t xml:space="preserve"> task. </w:t>
      </w:r>
      <w:r w:rsidRPr="00734AB6">
        <w:rPr>
          <w:rFonts w:asciiTheme="majorHAnsi" w:eastAsia="Calibri" w:hAnsiTheme="majorHAnsi" w:cs="Calibri"/>
          <w:i/>
          <w:iCs/>
        </w:rPr>
        <w:t xml:space="preserve">Perception &amp; </w:t>
      </w:r>
      <w:r w:rsidR="00993382" w:rsidRPr="00734AB6">
        <w:rPr>
          <w:rFonts w:asciiTheme="majorHAnsi" w:eastAsia="Calibri" w:hAnsiTheme="majorHAnsi" w:cs="Calibri"/>
          <w:i/>
          <w:iCs/>
        </w:rPr>
        <w:t>P</w:t>
      </w:r>
      <w:r w:rsidRPr="00734AB6">
        <w:rPr>
          <w:rFonts w:asciiTheme="majorHAnsi" w:eastAsia="Calibri" w:hAnsiTheme="majorHAnsi" w:cs="Calibri"/>
          <w:i/>
          <w:iCs/>
        </w:rPr>
        <w:t>sychophysics</w:t>
      </w:r>
      <w:r w:rsidRPr="00734AB6">
        <w:rPr>
          <w:rFonts w:asciiTheme="majorHAnsi" w:eastAsia="Calibri" w:hAnsiTheme="majorHAnsi" w:cs="Calibri"/>
        </w:rPr>
        <w:t>, </w:t>
      </w:r>
      <w:r w:rsidRPr="00734AB6">
        <w:rPr>
          <w:rFonts w:asciiTheme="majorHAnsi" w:eastAsia="Calibri" w:hAnsiTheme="majorHAnsi" w:cs="Calibri"/>
          <w:i/>
          <w:iCs/>
        </w:rPr>
        <w:t>16</w:t>
      </w:r>
      <w:r w:rsidRPr="00734AB6">
        <w:rPr>
          <w:rFonts w:asciiTheme="majorHAnsi" w:eastAsia="Calibri" w:hAnsiTheme="majorHAnsi" w:cs="Calibri"/>
        </w:rPr>
        <w:t>(1), 143-149.</w:t>
      </w:r>
    </w:p>
    <w:p w14:paraId="18D8B444" w14:textId="7F21D5AB" w:rsidR="004676EF" w:rsidRPr="00734AB6" w:rsidRDefault="004676EF" w:rsidP="00D06771">
      <w:pPr>
        <w:spacing w:line="360" w:lineRule="auto"/>
        <w:ind w:left="720" w:hanging="720"/>
        <w:rPr>
          <w:rFonts w:asciiTheme="majorHAnsi" w:hAnsiTheme="majorHAnsi" w:cs="Arial"/>
          <w:shd w:val="clear" w:color="auto" w:fill="FFFFFF"/>
        </w:rPr>
      </w:pPr>
      <w:proofErr w:type="spellStart"/>
      <w:r w:rsidRPr="00734AB6">
        <w:rPr>
          <w:rFonts w:asciiTheme="majorHAnsi" w:hAnsiTheme="majorHAnsi" w:cs="Arial"/>
          <w:shd w:val="clear" w:color="auto" w:fill="FFFFFF"/>
        </w:rPr>
        <w:t>Erman</w:t>
      </w:r>
      <w:proofErr w:type="spellEnd"/>
      <w:r w:rsidRPr="00734AB6">
        <w:rPr>
          <w:rFonts w:asciiTheme="majorHAnsi" w:hAnsiTheme="majorHAnsi" w:cs="Arial"/>
          <w:shd w:val="clear" w:color="auto" w:fill="FFFFFF"/>
        </w:rPr>
        <w:t xml:space="preserve">, M. K., Rosenberg, R., &amp; US Modafinil Shift Work Sleep Disorder Study Group. (2007). Modafinil for excessive sleepiness associated with chronic shift work sleep disorder: effects on patient functioning and health-related quality of life. </w:t>
      </w:r>
      <w:r w:rsidRPr="00734AB6">
        <w:rPr>
          <w:rFonts w:asciiTheme="majorHAnsi" w:hAnsiTheme="majorHAnsi" w:cs="Arial"/>
          <w:i/>
          <w:shd w:val="clear" w:color="auto" w:fill="FFFFFF"/>
        </w:rPr>
        <w:t xml:space="preserve">Primary care companion to the Journal of </w:t>
      </w:r>
      <w:r w:rsidR="00993382" w:rsidRPr="00734AB6">
        <w:rPr>
          <w:rFonts w:asciiTheme="majorHAnsi" w:hAnsiTheme="majorHAnsi" w:cs="Arial"/>
          <w:i/>
          <w:shd w:val="clear" w:color="auto" w:fill="FFFFFF"/>
        </w:rPr>
        <w:t>Clinical Psychiatry</w:t>
      </w:r>
      <w:r w:rsidRPr="00734AB6">
        <w:rPr>
          <w:rFonts w:asciiTheme="majorHAnsi" w:hAnsiTheme="majorHAnsi" w:cs="Arial"/>
          <w:shd w:val="clear" w:color="auto" w:fill="FFFFFF"/>
        </w:rPr>
        <w:t>, 9(3), 188.</w:t>
      </w:r>
    </w:p>
    <w:p w14:paraId="23F8165E" w14:textId="695F6E28"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Esposito, R., </w:t>
      </w:r>
      <w:proofErr w:type="spellStart"/>
      <w:r w:rsidRPr="00734AB6">
        <w:rPr>
          <w:rFonts w:asciiTheme="majorHAnsi" w:hAnsiTheme="majorHAnsi" w:cstheme="minorHAnsi"/>
          <w:shd w:val="clear" w:color="auto" w:fill="FFFFFF"/>
        </w:rPr>
        <w:t>Cilli</w:t>
      </w:r>
      <w:proofErr w:type="spellEnd"/>
      <w:r w:rsidRPr="00734AB6">
        <w:rPr>
          <w:rFonts w:asciiTheme="majorHAnsi" w:hAnsiTheme="majorHAnsi" w:cstheme="minorHAnsi"/>
          <w:shd w:val="clear" w:color="auto" w:fill="FFFFFF"/>
        </w:rPr>
        <w:t xml:space="preserve">, F., </w:t>
      </w:r>
      <w:proofErr w:type="spellStart"/>
      <w:r w:rsidRPr="00734AB6">
        <w:rPr>
          <w:rFonts w:asciiTheme="majorHAnsi" w:hAnsiTheme="majorHAnsi" w:cstheme="minorHAnsi"/>
          <w:shd w:val="clear" w:color="auto" w:fill="FFFFFF"/>
        </w:rPr>
        <w:t>Pieramico</w:t>
      </w:r>
      <w:proofErr w:type="spellEnd"/>
      <w:r w:rsidRPr="00734AB6">
        <w:rPr>
          <w:rFonts w:asciiTheme="majorHAnsi" w:hAnsiTheme="majorHAnsi" w:cstheme="minorHAnsi"/>
          <w:shd w:val="clear" w:color="auto" w:fill="FFFFFF"/>
        </w:rPr>
        <w:t xml:space="preserve">, V., Ferretti, A., Macchia, A., </w:t>
      </w:r>
      <w:proofErr w:type="spellStart"/>
      <w:r w:rsidRPr="00734AB6">
        <w:rPr>
          <w:rFonts w:asciiTheme="majorHAnsi" w:hAnsiTheme="majorHAnsi" w:cstheme="minorHAnsi"/>
          <w:shd w:val="clear" w:color="auto" w:fill="FFFFFF"/>
        </w:rPr>
        <w:t>Tommasi</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Saggino</w:t>
      </w:r>
      <w:proofErr w:type="spellEnd"/>
      <w:r w:rsidRPr="00734AB6">
        <w:rPr>
          <w:rFonts w:asciiTheme="majorHAnsi" w:hAnsiTheme="majorHAnsi" w:cstheme="minorHAnsi"/>
          <w:shd w:val="clear" w:color="auto" w:fill="FFFFFF"/>
        </w:rPr>
        <w:t xml:space="preserve">, A., </w:t>
      </w:r>
      <w:proofErr w:type="spellStart"/>
      <w:r w:rsidRPr="00734AB6">
        <w:rPr>
          <w:rFonts w:asciiTheme="majorHAnsi" w:hAnsiTheme="majorHAnsi" w:cstheme="minorHAnsi"/>
          <w:shd w:val="clear" w:color="auto" w:fill="FFFFFF"/>
        </w:rPr>
        <w:t>Ciavardelli</w:t>
      </w:r>
      <w:proofErr w:type="spellEnd"/>
      <w:r w:rsidRPr="00734AB6">
        <w:rPr>
          <w:rFonts w:asciiTheme="majorHAnsi" w:hAnsiTheme="majorHAnsi" w:cstheme="minorHAnsi"/>
          <w:shd w:val="clear" w:color="auto" w:fill="FFFFFF"/>
        </w:rPr>
        <w:t xml:space="preserve">, D., Manna, A., Navarra, R., </w:t>
      </w:r>
      <w:proofErr w:type="spellStart"/>
      <w:r w:rsidRPr="00734AB6">
        <w:rPr>
          <w:rFonts w:asciiTheme="majorHAnsi" w:hAnsiTheme="majorHAnsi" w:cstheme="minorHAnsi"/>
          <w:shd w:val="clear" w:color="auto" w:fill="FFFFFF"/>
        </w:rPr>
        <w:t>Cieri</w:t>
      </w:r>
      <w:proofErr w:type="spellEnd"/>
      <w:r w:rsidRPr="00734AB6">
        <w:rPr>
          <w:rFonts w:asciiTheme="majorHAnsi" w:hAnsiTheme="majorHAnsi" w:cstheme="minorHAnsi"/>
          <w:shd w:val="clear" w:color="auto" w:fill="FFFFFF"/>
        </w:rPr>
        <w:t xml:space="preserve">, F., </w:t>
      </w:r>
      <w:proofErr w:type="spellStart"/>
      <w:r w:rsidRPr="00734AB6">
        <w:rPr>
          <w:rFonts w:asciiTheme="majorHAnsi" w:hAnsiTheme="majorHAnsi" w:cstheme="minorHAnsi"/>
          <w:shd w:val="clear" w:color="auto" w:fill="FFFFFF"/>
        </w:rPr>
        <w:t>Stuppia</w:t>
      </w:r>
      <w:proofErr w:type="spellEnd"/>
      <w:r w:rsidRPr="00734AB6">
        <w:rPr>
          <w:rFonts w:asciiTheme="majorHAnsi" w:hAnsiTheme="majorHAnsi" w:cstheme="minorHAnsi"/>
          <w:shd w:val="clear" w:color="auto" w:fill="FFFFFF"/>
        </w:rPr>
        <w:t xml:space="preserve">, L., </w:t>
      </w:r>
      <w:proofErr w:type="spellStart"/>
      <w:r w:rsidRPr="00734AB6">
        <w:rPr>
          <w:rFonts w:asciiTheme="majorHAnsi" w:hAnsiTheme="majorHAnsi" w:cstheme="minorHAnsi"/>
          <w:shd w:val="clear" w:color="auto" w:fill="FFFFFF"/>
        </w:rPr>
        <w:t>Tartaro</w:t>
      </w:r>
      <w:proofErr w:type="spellEnd"/>
      <w:r w:rsidRPr="00734AB6">
        <w:rPr>
          <w:rFonts w:asciiTheme="majorHAnsi" w:hAnsiTheme="majorHAnsi" w:cstheme="minorHAnsi"/>
          <w:shd w:val="clear" w:color="auto" w:fill="FFFFFF"/>
        </w:rPr>
        <w:t xml:space="preserve">, A. &amp; </w:t>
      </w:r>
      <w:proofErr w:type="spellStart"/>
      <w:r w:rsidRPr="00734AB6">
        <w:rPr>
          <w:rFonts w:asciiTheme="majorHAnsi" w:hAnsiTheme="majorHAnsi" w:cstheme="minorHAnsi"/>
          <w:shd w:val="clear" w:color="auto" w:fill="FFFFFF"/>
        </w:rPr>
        <w:t>Cieri</w:t>
      </w:r>
      <w:proofErr w:type="spellEnd"/>
      <w:r w:rsidRPr="00734AB6">
        <w:rPr>
          <w:rFonts w:asciiTheme="majorHAnsi" w:hAnsiTheme="majorHAnsi" w:cstheme="minorHAnsi"/>
          <w:shd w:val="clear" w:color="auto" w:fill="FFFFFF"/>
        </w:rPr>
        <w:t>, F. (2013). Acute effects of modafinil on brain resting state networks in young healthy subjects.</w:t>
      </w:r>
      <w:r w:rsidRPr="00734AB6">
        <w:rPr>
          <w:rStyle w:val="apple-converted-space"/>
          <w:rFonts w:asciiTheme="majorHAnsi" w:hAnsiTheme="majorHAnsi" w:cstheme="minorHAnsi"/>
          <w:shd w:val="clear" w:color="auto" w:fill="FFFFFF"/>
        </w:rPr>
        <w:t> </w:t>
      </w:r>
      <w:proofErr w:type="spellStart"/>
      <w:r w:rsidRPr="00734AB6">
        <w:rPr>
          <w:rFonts w:asciiTheme="majorHAnsi" w:hAnsiTheme="majorHAnsi" w:cstheme="minorHAnsi"/>
          <w:i/>
          <w:iCs/>
          <w:shd w:val="clear" w:color="auto" w:fill="FFFFFF"/>
        </w:rPr>
        <w:t>PloS</w:t>
      </w:r>
      <w:proofErr w:type="spellEnd"/>
      <w:r w:rsidRPr="00734AB6">
        <w:rPr>
          <w:rFonts w:asciiTheme="majorHAnsi" w:hAnsiTheme="majorHAnsi" w:cstheme="minorHAnsi"/>
          <w:i/>
          <w:iCs/>
          <w:shd w:val="clear" w:color="auto" w:fill="FFFFFF"/>
        </w:rPr>
        <w:t xml:space="preserve"> </w:t>
      </w:r>
      <w:r w:rsidR="00993382" w:rsidRPr="00734AB6">
        <w:rPr>
          <w:rFonts w:asciiTheme="majorHAnsi" w:hAnsiTheme="majorHAnsi" w:cstheme="minorHAnsi"/>
          <w:i/>
          <w:iCs/>
          <w:shd w:val="clear" w:color="auto" w:fill="FFFFFF"/>
        </w:rPr>
        <w:t>O</w:t>
      </w:r>
      <w:r w:rsidRPr="00734AB6">
        <w:rPr>
          <w:rFonts w:asciiTheme="majorHAnsi" w:hAnsiTheme="majorHAnsi" w:cstheme="minorHAnsi"/>
          <w:i/>
          <w:iCs/>
          <w:shd w:val="clear" w:color="auto" w:fill="FFFFFF"/>
        </w:rPr>
        <w:t>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8</w:t>
      </w:r>
      <w:r w:rsidRPr="00734AB6">
        <w:rPr>
          <w:rFonts w:asciiTheme="majorHAnsi" w:hAnsiTheme="majorHAnsi" w:cstheme="minorHAnsi"/>
          <w:shd w:val="clear" w:color="auto" w:fill="FFFFFF"/>
        </w:rPr>
        <w:t>(7), e69224.</w:t>
      </w:r>
    </w:p>
    <w:p w14:paraId="5AC0C7CA" w14:textId="19C952C9" w:rsidR="00E5175A" w:rsidRPr="00734AB6" w:rsidRDefault="00E5175A" w:rsidP="00E5175A">
      <w:pPr>
        <w:spacing w:line="360" w:lineRule="auto"/>
        <w:ind w:left="709" w:hanging="709"/>
        <w:rPr>
          <w:rFonts w:asciiTheme="majorHAnsi" w:hAnsiTheme="majorHAnsi" w:cstheme="majorHAnsi"/>
        </w:rPr>
      </w:pPr>
      <w:proofErr w:type="spellStart"/>
      <w:r w:rsidRPr="00734AB6">
        <w:rPr>
          <w:rFonts w:asciiTheme="majorHAnsi" w:hAnsiTheme="majorHAnsi" w:cstheme="majorHAnsi"/>
        </w:rPr>
        <w:t>Etkin</w:t>
      </w:r>
      <w:proofErr w:type="spellEnd"/>
      <w:r w:rsidRPr="00734AB6">
        <w:rPr>
          <w:rFonts w:asciiTheme="majorHAnsi" w:hAnsiTheme="majorHAnsi" w:cstheme="majorHAnsi"/>
        </w:rPr>
        <w:t xml:space="preserve">, A., </w:t>
      </w:r>
      <w:proofErr w:type="spellStart"/>
      <w:r w:rsidRPr="00734AB6">
        <w:rPr>
          <w:rFonts w:asciiTheme="majorHAnsi" w:hAnsiTheme="majorHAnsi" w:cstheme="majorHAnsi"/>
        </w:rPr>
        <w:t>B</w:t>
      </w:r>
      <w:bookmarkStart w:id="114" w:name="_Hlk60671949"/>
      <w:r w:rsidRPr="00734AB6">
        <w:rPr>
          <w:rFonts w:asciiTheme="majorHAnsi" w:hAnsiTheme="majorHAnsi" w:cstheme="majorHAnsi"/>
        </w:rPr>
        <w:t>ü</w:t>
      </w:r>
      <w:bookmarkEnd w:id="114"/>
      <w:r w:rsidRPr="00734AB6">
        <w:rPr>
          <w:rFonts w:asciiTheme="majorHAnsi" w:hAnsiTheme="majorHAnsi" w:cstheme="majorHAnsi"/>
        </w:rPr>
        <w:t>chel</w:t>
      </w:r>
      <w:proofErr w:type="spellEnd"/>
      <w:r w:rsidRPr="00734AB6">
        <w:rPr>
          <w:rFonts w:asciiTheme="majorHAnsi" w:hAnsiTheme="majorHAnsi" w:cstheme="majorHAnsi"/>
        </w:rPr>
        <w:t>, C., &amp; Gross, J. J. (2015). The neural bases of emotion regulation. </w:t>
      </w:r>
      <w:r w:rsidRPr="00734AB6">
        <w:rPr>
          <w:rFonts w:asciiTheme="majorHAnsi" w:hAnsiTheme="majorHAnsi" w:cstheme="majorHAnsi"/>
          <w:i/>
          <w:iCs/>
        </w:rPr>
        <w:t>Nature Reviews Neuroscience</w:t>
      </w:r>
      <w:r w:rsidRPr="00734AB6">
        <w:rPr>
          <w:rFonts w:asciiTheme="majorHAnsi" w:hAnsiTheme="majorHAnsi" w:cstheme="majorHAnsi"/>
        </w:rPr>
        <w:t>, </w:t>
      </w:r>
      <w:r w:rsidRPr="00734AB6">
        <w:rPr>
          <w:rFonts w:asciiTheme="majorHAnsi" w:hAnsiTheme="majorHAnsi" w:cstheme="majorHAnsi"/>
          <w:i/>
          <w:iCs/>
        </w:rPr>
        <w:t>16</w:t>
      </w:r>
      <w:r w:rsidRPr="00734AB6">
        <w:rPr>
          <w:rFonts w:asciiTheme="majorHAnsi" w:hAnsiTheme="majorHAnsi" w:cstheme="majorHAnsi"/>
        </w:rPr>
        <w:t>(11), 693-700.</w:t>
      </w:r>
    </w:p>
    <w:p w14:paraId="00782407" w14:textId="484A929B" w:rsidR="009D19E7" w:rsidRPr="00734AB6" w:rsidRDefault="009D19E7"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Evans, J. R., &amp; Mathur, A. (2005). The value of online surveys. </w:t>
      </w:r>
      <w:r w:rsidR="006664B7" w:rsidRPr="00734AB6">
        <w:rPr>
          <w:rFonts w:asciiTheme="majorHAnsi" w:hAnsiTheme="majorHAnsi" w:cstheme="minorHAnsi"/>
          <w:i/>
          <w:iCs/>
          <w:shd w:val="clear" w:color="auto" w:fill="FFFFFF"/>
        </w:rPr>
        <w:t>Internet R</w:t>
      </w:r>
      <w:r w:rsidRPr="00734AB6">
        <w:rPr>
          <w:rFonts w:asciiTheme="majorHAnsi" w:hAnsiTheme="majorHAnsi" w:cstheme="minorHAnsi"/>
          <w:i/>
          <w:iCs/>
          <w:shd w:val="clear" w:color="auto" w:fill="FFFFFF"/>
        </w:rPr>
        <w:t>esearch</w:t>
      </w:r>
      <w:r w:rsidR="006664B7" w:rsidRPr="00734AB6">
        <w:rPr>
          <w:rFonts w:asciiTheme="majorHAnsi" w:hAnsiTheme="majorHAnsi" w:cstheme="minorHAnsi"/>
          <w:shd w:val="clear" w:color="auto" w:fill="FFFFFF"/>
        </w:rPr>
        <w:t xml:space="preserve">, </w:t>
      </w:r>
      <w:r w:rsidR="006664B7" w:rsidRPr="00734AB6">
        <w:rPr>
          <w:rFonts w:asciiTheme="majorHAnsi" w:hAnsiTheme="majorHAnsi" w:cstheme="minorHAnsi"/>
          <w:i/>
          <w:shd w:val="clear" w:color="auto" w:fill="FFFFFF"/>
        </w:rPr>
        <w:t>15</w:t>
      </w:r>
      <w:r w:rsidR="006664B7" w:rsidRPr="00734AB6">
        <w:rPr>
          <w:rFonts w:asciiTheme="majorHAnsi" w:hAnsiTheme="majorHAnsi" w:cstheme="minorHAnsi"/>
          <w:shd w:val="clear" w:color="auto" w:fill="FFFFFF"/>
        </w:rPr>
        <w:t>(2),</w:t>
      </w:r>
      <w:r w:rsidR="006664B7" w:rsidRPr="00734AB6">
        <w:rPr>
          <w:rFonts w:asciiTheme="majorHAnsi" w:hAnsiTheme="majorHAnsi" w:cstheme="minorHAnsi"/>
          <w:i/>
          <w:shd w:val="clear" w:color="auto" w:fill="FFFFFF"/>
        </w:rPr>
        <w:t xml:space="preserve"> </w:t>
      </w:r>
      <w:r w:rsidR="006664B7" w:rsidRPr="00734AB6">
        <w:rPr>
          <w:rFonts w:asciiTheme="majorHAnsi" w:hAnsiTheme="majorHAnsi" w:cstheme="minorHAnsi"/>
          <w:shd w:val="clear" w:color="auto" w:fill="FFFFFF"/>
        </w:rPr>
        <w:t>195-219.</w:t>
      </w:r>
    </w:p>
    <w:p w14:paraId="7855E747"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Fan, J., </w:t>
      </w:r>
      <w:proofErr w:type="spellStart"/>
      <w:r w:rsidRPr="00734AB6">
        <w:rPr>
          <w:rFonts w:asciiTheme="majorHAnsi" w:hAnsiTheme="majorHAnsi" w:cstheme="minorHAnsi"/>
          <w:shd w:val="clear" w:color="auto" w:fill="FFFFFF"/>
        </w:rPr>
        <w:t>McCandliss</w:t>
      </w:r>
      <w:proofErr w:type="spellEnd"/>
      <w:r w:rsidRPr="00734AB6">
        <w:rPr>
          <w:rFonts w:asciiTheme="majorHAnsi" w:hAnsiTheme="majorHAnsi" w:cstheme="minorHAnsi"/>
          <w:shd w:val="clear" w:color="auto" w:fill="FFFFFF"/>
        </w:rPr>
        <w:t xml:space="preserve">, B. D., Fossella, J., </w:t>
      </w:r>
      <w:proofErr w:type="spellStart"/>
      <w:r w:rsidRPr="00734AB6">
        <w:rPr>
          <w:rFonts w:asciiTheme="majorHAnsi" w:hAnsiTheme="majorHAnsi" w:cstheme="minorHAnsi"/>
          <w:shd w:val="clear" w:color="auto" w:fill="FFFFFF"/>
        </w:rPr>
        <w:t>Flombaum</w:t>
      </w:r>
      <w:proofErr w:type="spellEnd"/>
      <w:r w:rsidRPr="00734AB6">
        <w:rPr>
          <w:rFonts w:asciiTheme="majorHAnsi" w:hAnsiTheme="majorHAnsi" w:cstheme="minorHAnsi"/>
          <w:shd w:val="clear" w:color="auto" w:fill="FFFFFF"/>
        </w:rPr>
        <w:t>, J. I., &amp; Posner, M. I. (2005). The activation of attentional networks. </w:t>
      </w:r>
      <w:r w:rsidRPr="00734AB6">
        <w:rPr>
          <w:rFonts w:asciiTheme="majorHAnsi" w:hAnsiTheme="majorHAnsi" w:cstheme="minorHAnsi"/>
          <w:i/>
          <w:iCs/>
          <w:shd w:val="clear" w:color="auto" w:fill="FFFFFF"/>
        </w:rPr>
        <w:t>Neuroimage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26</w:t>
      </w:r>
      <w:r w:rsidRPr="00734AB6">
        <w:rPr>
          <w:rFonts w:asciiTheme="majorHAnsi" w:hAnsiTheme="majorHAnsi" w:cstheme="minorHAnsi"/>
          <w:shd w:val="clear" w:color="auto" w:fill="FFFFFF"/>
        </w:rPr>
        <w:t>(2), 471-479.</w:t>
      </w:r>
    </w:p>
    <w:p w14:paraId="12968389" w14:textId="16938659"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Farah, M. J., </w:t>
      </w:r>
      <w:proofErr w:type="spellStart"/>
      <w:r w:rsidRPr="00734AB6">
        <w:rPr>
          <w:rFonts w:asciiTheme="majorHAnsi" w:hAnsiTheme="majorHAnsi" w:cstheme="minorHAnsi"/>
          <w:shd w:val="clear" w:color="auto" w:fill="FFFFFF"/>
        </w:rPr>
        <w:t>Illes</w:t>
      </w:r>
      <w:proofErr w:type="spellEnd"/>
      <w:r w:rsidRPr="00734AB6">
        <w:rPr>
          <w:rFonts w:asciiTheme="majorHAnsi" w:hAnsiTheme="majorHAnsi" w:cstheme="minorHAnsi"/>
          <w:shd w:val="clear" w:color="auto" w:fill="FFFFFF"/>
        </w:rPr>
        <w:t xml:space="preserve">, J., Cook-Deegan, R., Gardner, H., Kandel, E., King, P., ... &amp; </w:t>
      </w:r>
      <w:proofErr w:type="spellStart"/>
      <w:r w:rsidRPr="00734AB6">
        <w:rPr>
          <w:rFonts w:asciiTheme="majorHAnsi" w:hAnsiTheme="majorHAnsi" w:cstheme="minorHAnsi"/>
          <w:shd w:val="clear" w:color="auto" w:fill="FFFFFF"/>
        </w:rPr>
        <w:t>Wolpe</w:t>
      </w:r>
      <w:proofErr w:type="spellEnd"/>
      <w:r w:rsidRPr="00734AB6">
        <w:rPr>
          <w:rFonts w:asciiTheme="majorHAnsi" w:hAnsiTheme="majorHAnsi" w:cstheme="minorHAnsi"/>
          <w:shd w:val="clear" w:color="auto" w:fill="FFFFFF"/>
        </w:rPr>
        <w:t>, P. R. (2004). Neurocognitive enhancement: what can we do and what should we do?. </w:t>
      </w:r>
      <w:r w:rsidRPr="00734AB6">
        <w:rPr>
          <w:rFonts w:asciiTheme="majorHAnsi" w:hAnsiTheme="majorHAnsi" w:cstheme="minorHAnsi"/>
          <w:i/>
          <w:iCs/>
          <w:shd w:val="clear" w:color="auto" w:fill="FFFFFF"/>
        </w:rPr>
        <w:t xml:space="preserve">Nature </w:t>
      </w:r>
      <w:r w:rsidR="00384997" w:rsidRPr="00734AB6">
        <w:rPr>
          <w:rFonts w:asciiTheme="majorHAnsi" w:hAnsiTheme="majorHAnsi" w:cstheme="minorHAnsi"/>
          <w:i/>
          <w:iCs/>
          <w:shd w:val="clear" w:color="auto" w:fill="FFFFFF"/>
        </w:rPr>
        <w:t>Reviews Neuroscience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5</w:t>
      </w:r>
      <w:r w:rsidRPr="00734AB6">
        <w:rPr>
          <w:rFonts w:asciiTheme="majorHAnsi" w:hAnsiTheme="majorHAnsi" w:cstheme="minorHAnsi"/>
          <w:shd w:val="clear" w:color="auto" w:fill="FFFFFF"/>
        </w:rPr>
        <w:t>(5), 421-425.</w:t>
      </w:r>
    </w:p>
    <w:p w14:paraId="06F32358"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Ferrari, J. R. (1989). Reliability of academic and dispositional measures of procrastination. </w:t>
      </w:r>
      <w:r w:rsidRPr="00734AB6">
        <w:rPr>
          <w:rFonts w:asciiTheme="majorHAnsi" w:eastAsia="Calibri" w:hAnsiTheme="majorHAnsi" w:cs="Calibri"/>
          <w:i/>
          <w:iCs/>
        </w:rPr>
        <w:t>Psychological Reports</w:t>
      </w:r>
      <w:r w:rsidRPr="00734AB6">
        <w:rPr>
          <w:rFonts w:asciiTheme="majorHAnsi" w:eastAsia="Calibri" w:hAnsiTheme="majorHAnsi" w:cs="Calibri"/>
        </w:rPr>
        <w:t>, </w:t>
      </w:r>
      <w:r w:rsidRPr="00734AB6">
        <w:rPr>
          <w:rFonts w:asciiTheme="majorHAnsi" w:eastAsia="Calibri" w:hAnsiTheme="majorHAnsi" w:cs="Calibri"/>
          <w:i/>
          <w:iCs/>
        </w:rPr>
        <w:t>64</w:t>
      </w:r>
      <w:r w:rsidRPr="00734AB6">
        <w:rPr>
          <w:rFonts w:asciiTheme="majorHAnsi" w:eastAsia="Calibri" w:hAnsiTheme="majorHAnsi" w:cs="Calibri"/>
        </w:rPr>
        <w:t>(3_suppl), 1057-1058.</w:t>
      </w:r>
    </w:p>
    <w:p w14:paraId="389F8ED5" w14:textId="52F655F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Ferrari, J. R., Johnson, J. L., &amp; McCown, W. G. (1995). </w:t>
      </w:r>
      <w:r w:rsidRPr="00734AB6">
        <w:rPr>
          <w:rFonts w:asciiTheme="majorHAnsi" w:eastAsia="Calibri" w:hAnsiTheme="majorHAnsi" w:cs="Calibri"/>
          <w:i/>
          <w:iCs/>
        </w:rPr>
        <w:t>Procrastination and task avoidance: Theory, research, and treatment</w:t>
      </w:r>
      <w:r w:rsidRPr="00734AB6">
        <w:rPr>
          <w:rFonts w:asciiTheme="majorHAnsi" w:eastAsia="Calibri" w:hAnsiTheme="majorHAnsi" w:cs="Calibri"/>
        </w:rPr>
        <w:t xml:space="preserve">. </w:t>
      </w:r>
      <w:r w:rsidR="00AB6F19" w:rsidRPr="00734AB6">
        <w:rPr>
          <w:rFonts w:asciiTheme="majorHAnsi" w:eastAsia="Calibri" w:hAnsiTheme="majorHAnsi" w:cs="Calibri"/>
        </w:rPr>
        <w:t>New York: Plenum Press</w:t>
      </w:r>
      <w:r w:rsidRPr="00734AB6">
        <w:rPr>
          <w:rFonts w:asciiTheme="majorHAnsi" w:eastAsia="Calibri" w:hAnsiTheme="majorHAnsi" w:cs="Calibri"/>
        </w:rPr>
        <w:t>.</w:t>
      </w:r>
    </w:p>
    <w:p w14:paraId="5C374D21" w14:textId="77BF3ED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Ferrari, J. R., &amp; Sanders, S. E. (2006). Procrastination Rates Among Adults With and Without AD/HD: A Pilot Study. </w:t>
      </w:r>
      <w:proofErr w:type="spellStart"/>
      <w:r w:rsidRPr="00734AB6">
        <w:rPr>
          <w:rFonts w:asciiTheme="majorHAnsi" w:eastAsia="Calibri" w:hAnsiTheme="majorHAnsi" w:cs="Calibri"/>
          <w:i/>
          <w:iCs/>
        </w:rPr>
        <w:t>Counseling</w:t>
      </w:r>
      <w:proofErr w:type="spellEnd"/>
      <w:r w:rsidRPr="00734AB6">
        <w:rPr>
          <w:rFonts w:asciiTheme="majorHAnsi" w:eastAsia="Calibri" w:hAnsiTheme="majorHAnsi" w:cs="Calibri"/>
          <w:i/>
          <w:iCs/>
        </w:rPr>
        <w:t xml:space="preserve"> &amp; Clinical Psychology Journal</w:t>
      </w:r>
      <w:r w:rsidRPr="00734AB6">
        <w:rPr>
          <w:rFonts w:asciiTheme="majorHAnsi" w:eastAsia="Calibri" w:hAnsiTheme="majorHAnsi" w:cs="Calibri"/>
        </w:rPr>
        <w:t>, </w:t>
      </w:r>
      <w:r w:rsidRPr="00734AB6">
        <w:rPr>
          <w:rFonts w:asciiTheme="majorHAnsi" w:eastAsia="Calibri" w:hAnsiTheme="majorHAnsi" w:cs="Calibri"/>
          <w:i/>
          <w:iCs/>
        </w:rPr>
        <w:t>3</w:t>
      </w:r>
      <w:r w:rsidR="00AB6F19" w:rsidRPr="00734AB6">
        <w:rPr>
          <w:rFonts w:asciiTheme="majorHAnsi" w:eastAsia="Calibri" w:hAnsiTheme="majorHAnsi" w:cs="Calibri"/>
        </w:rPr>
        <w:t>(1), 2-9.</w:t>
      </w:r>
    </w:p>
    <w:p w14:paraId="012A5CF2" w14:textId="0807DF51" w:rsidR="00FC145C" w:rsidRPr="00734AB6" w:rsidRDefault="00FC145C"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Ferraro, L. N., Antonelli, T., O'Connor, W., </w:t>
      </w:r>
      <w:proofErr w:type="spellStart"/>
      <w:r w:rsidRPr="00734AB6">
        <w:rPr>
          <w:rFonts w:asciiTheme="majorHAnsi" w:hAnsiTheme="majorHAnsi" w:cstheme="minorHAnsi"/>
          <w:shd w:val="clear" w:color="auto" w:fill="FFFFFF"/>
        </w:rPr>
        <w:t>Tanganelli</w:t>
      </w:r>
      <w:proofErr w:type="spellEnd"/>
      <w:r w:rsidRPr="00734AB6">
        <w:rPr>
          <w:rFonts w:asciiTheme="majorHAnsi" w:hAnsiTheme="majorHAnsi" w:cstheme="minorHAnsi"/>
          <w:shd w:val="clear" w:color="auto" w:fill="FFFFFF"/>
        </w:rPr>
        <w:t xml:space="preserve">, S., Rambert, F. A., &amp; </w:t>
      </w:r>
      <w:proofErr w:type="spellStart"/>
      <w:r w:rsidRPr="00734AB6">
        <w:rPr>
          <w:rFonts w:asciiTheme="majorHAnsi" w:hAnsiTheme="majorHAnsi" w:cstheme="minorHAnsi"/>
          <w:shd w:val="clear" w:color="auto" w:fill="FFFFFF"/>
        </w:rPr>
        <w:t>Fuxe</w:t>
      </w:r>
      <w:proofErr w:type="spellEnd"/>
      <w:r w:rsidRPr="00734AB6">
        <w:rPr>
          <w:rFonts w:asciiTheme="majorHAnsi" w:hAnsiTheme="majorHAnsi" w:cstheme="minorHAnsi"/>
          <w:shd w:val="clear" w:color="auto" w:fill="FFFFFF"/>
        </w:rPr>
        <w:t>, K. (1997</w:t>
      </w:r>
      <w:r w:rsidR="00590BA9" w:rsidRPr="00734AB6">
        <w:rPr>
          <w:rFonts w:asciiTheme="majorHAnsi" w:hAnsiTheme="majorHAnsi" w:cstheme="minorHAnsi"/>
          <w:shd w:val="clear" w:color="auto" w:fill="FFFFFF"/>
        </w:rPr>
        <w:t>a</w:t>
      </w:r>
      <w:r w:rsidRPr="00734AB6">
        <w:rPr>
          <w:rFonts w:asciiTheme="majorHAnsi" w:hAnsiTheme="majorHAnsi" w:cstheme="minorHAnsi"/>
          <w:shd w:val="clear" w:color="auto" w:fill="FFFFFF"/>
        </w:rPr>
        <w:t xml:space="preserve">). Modafinil: an </w:t>
      </w:r>
      <w:proofErr w:type="spellStart"/>
      <w:r w:rsidRPr="00734AB6">
        <w:rPr>
          <w:rFonts w:asciiTheme="majorHAnsi" w:hAnsiTheme="majorHAnsi" w:cstheme="minorHAnsi"/>
          <w:shd w:val="clear" w:color="auto" w:fill="FFFFFF"/>
        </w:rPr>
        <w:t>antinarcoleptic</w:t>
      </w:r>
      <w:proofErr w:type="spellEnd"/>
      <w:r w:rsidRPr="00734AB6">
        <w:rPr>
          <w:rFonts w:asciiTheme="majorHAnsi" w:hAnsiTheme="majorHAnsi" w:cstheme="minorHAnsi"/>
          <w:shd w:val="clear" w:color="auto" w:fill="FFFFFF"/>
        </w:rPr>
        <w:t xml:space="preserve"> drug with a different neurochemical profile to d-amphetamine and dopamine uptake blockers. </w:t>
      </w:r>
      <w:r w:rsidRPr="00734AB6">
        <w:rPr>
          <w:rFonts w:asciiTheme="majorHAnsi" w:hAnsiTheme="majorHAnsi" w:cstheme="minorHAnsi"/>
          <w:i/>
          <w:shd w:val="clear" w:color="auto" w:fill="FFFFFF"/>
        </w:rPr>
        <w:t>Biological Psychiatry,</w:t>
      </w:r>
      <w:r w:rsidRPr="00734AB6">
        <w:rPr>
          <w:rFonts w:asciiTheme="majorHAnsi" w:hAnsiTheme="majorHAnsi" w:cstheme="minorHAnsi"/>
          <w:shd w:val="clear" w:color="auto" w:fill="FFFFFF"/>
        </w:rPr>
        <w:t xml:space="preserve"> 42, 1181-1183.</w:t>
      </w:r>
    </w:p>
    <w:p w14:paraId="5096DD54" w14:textId="6BC23096"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 xml:space="preserve">Ferraro, L., Antonelli, T., O'Connor, W. T., </w:t>
      </w:r>
      <w:proofErr w:type="spellStart"/>
      <w:r w:rsidRPr="00734AB6">
        <w:rPr>
          <w:rFonts w:asciiTheme="majorHAnsi" w:eastAsia="Calibri" w:hAnsiTheme="majorHAnsi" w:cs="Calibri"/>
        </w:rPr>
        <w:t>Tanganelli</w:t>
      </w:r>
      <w:proofErr w:type="spellEnd"/>
      <w:r w:rsidRPr="00734AB6">
        <w:rPr>
          <w:rFonts w:asciiTheme="majorHAnsi" w:eastAsia="Calibri" w:hAnsiTheme="majorHAnsi" w:cs="Calibri"/>
        </w:rPr>
        <w:t xml:space="preserve">, S., Rambert, F., &amp; </w:t>
      </w:r>
      <w:proofErr w:type="spellStart"/>
      <w:r w:rsidRPr="00734AB6">
        <w:rPr>
          <w:rFonts w:asciiTheme="majorHAnsi" w:eastAsia="Calibri" w:hAnsiTheme="majorHAnsi" w:cs="Calibri"/>
        </w:rPr>
        <w:t>Fuxe</w:t>
      </w:r>
      <w:proofErr w:type="spellEnd"/>
      <w:r w:rsidRPr="00734AB6">
        <w:rPr>
          <w:rFonts w:asciiTheme="majorHAnsi" w:eastAsia="Calibri" w:hAnsiTheme="majorHAnsi" w:cs="Calibri"/>
        </w:rPr>
        <w:t>, K. (1997</w:t>
      </w:r>
      <w:r w:rsidR="00590BA9" w:rsidRPr="00734AB6">
        <w:rPr>
          <w:rFonts w:asciiTheme="majorHAnsi" w:eastAsia="Calibri" w:hAnsiTheme="majorHAnsi" w:cs="Calibri"/>
        </w:rPr>
        <w:t>b</w:t>
      </w:r>
      <w:r w:rsidRPr="00734AB6">
        <w:rPr>
          <w:rFonts w:asciiTheme="majorHAnsi" w:eastAsia="Calibri" w:hAnsiTheme="majorHAnsi" w:cs="Calibri"/>
        </w:rPr>
        <w:t xml:space="preserve">). The </w:t>
      </w:r>
      <w:proofErr w:type="spellStart"/>
      <w:r w:rsidRPr="00734AB6">
        <w:rPr>
          <w:rFonts w:asciiTheme="majorHAnsi" w:eastAsia="Calibri" w:hAnsiTheme="majorHAnsi" w:cs="Calibri"/>
        </w:rPr>
        <w:t>antinarcoleptic</w:t>
      </w:r>
      <w:proofErr w:type="spellEnd"/>
      <w:r w:rsidRPr="00734AB6">
        <w:rPr>
          <w:rFonts w:asciiTheme="majorHAnsi" w:eastAsia="Calibri" w:hAnsiTheme="majorHAnsi" w:cs="Calibri"/>
        </w:rPr>
        <w:t xml:space="preserve"> drug modafinil increases glutamate release in thalamic areas and hippocampus. </w:t>
      </w:r>
      <w:proofErr w:type="spellStart"/>
      <w:r w:rsidRPr="00734AB6">
        <w:rPr>
          <w:rFonts w:asciiTheme="majorHAnsi" w:eastAsia="Calibri" w:hAnsiTheme="majorHAnsi" w:cs="Calibri"/>
          <w:i/>
          <w:iCs/>
        </w:rPr>
        <w:t>Neuroreport</w:t>
      </w:r>
      <w:proofErr w:type="spellEnd"/>
      <w:r w:rsidRPr="00734AB6">
        <w:rPr>
          <w:rFonts w:asciiTheme="majorHAnsi" w:eastAsia="Calibri" w:hAnsiTheme="majorHAnsi" w:cs="Calibri"/>
        </w:rPr>
        <w:t>, </w:t>
      </w:r>
      <w:r w:rsidRPr="00734AB6">
        <w:rPr>
          <w:rFonts w:asciiTheme="majorHAnsi" w:eastAsia="Calibri" w:hAnsiTheme="majorHAnsi" w:cs="Calibri"/>
          <w:i/>
          <w:iCs/>
        </w:rPr>
        <w:t>8</w:t>
      </w:r>
      <w:r w:rsidRPr="00734AB6">
        <w:rPr>
          <w:rFonts w:asciiTheme="majorHAnsi" w:eastAsia="Calibri" w:hAnsiTheme="majorHAnsi" w:cs="Calibri"/>
        </w:rPr>
        <w:t>(13), 2883-2887.</w:t>
      </w:r>
    </w:p>
    <w:p w14:paraId="45A2DD93" w14:textId="22671D66"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Finke, K</w:t>
      </w:r>
      <w:r w:rsidR="00AB6F19"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Dodds</w:t>
      </w:r>
      <w:proofErr w:type="spellEnd"/>
      <w:r w:rsidRPr="00734AB6">
        <w:rPr>
          <w:rFonts w:asciiTheme="majorHAnsi" w:eastAsia="Calibri" w:hAnsiTheme="majorHAnsi" w:cs="Calibri"/>
        </w:rPr>
        <w:t>, C</w:t>
      </w:r>
      <w:r w:rsidR="00AB6F19" w:rsidRPr="00734AB6">
        <w:rPr>
          <w:rFonts w:asciiTheme="majorHAnsi" w:eastAsia="Calibri" w:hAnsiTheme="majorHAnsi" w:cs="Calibri"/>
        </w:rPr>
        <w:t xml:space="preserve">. </w:t>
      </w:r>
      <w:r w:rsidRPr="00734AB6">
        <w:rPr>
          <w:rFonts w:asciiTheme="majorHAnsi" w:eastAsia="Calibri" w:hAnsiTheme="majorHAnsi" w:cs="Calibri"/>
        </w:rPr>
        <w:t>M</w:t>
      </w:r>
      <w:r w:rsidR="00AB6F19"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Bublak</w:t>
      </w:r>
      <w:proofErr w:type="spellEnd"/>
      <w:r w:rsidRPr="00734AB6">
        <w:rPr>
          <w:rFonts w:asciiTheme="majorHAnsi" w:eastAsia="Calibri" w:hAnsiTheme="majorHAnsi" w:cs="Calibri"/>
        </w:rPr>
        <w:t>, P</w:t>
      </w:r>
      <w:r w:rsidR="00AB6F19"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Regenthal</w:t>
      </w:r>
      <w:proofErr w:type="spellEnd"/>
      <w:r w:rsidRPr="00734AB6">
        <w:rPr>
          <w:rFonts w:asciiTheme="majorHAnsi" w:eastAsia="Calibri" w:hAnsiTheme="majorHAnsi" w:cs="Calibri"/>
        </w:rPr>
        <w:t>, R</w:t>
      </w:r>
      <w:r w:rsidR="00AB6F19" w:rsidRPr="00734AB6">
        <w:rPr>
          <w:rFonts w:asciiTheme="majorHAnsi" w:eastAsia="Calibri" w:hAnsiTheme="majorHAnsi" w:cs="Calibri"/>
        </w:rPr>
        <w:t>.</w:t>
      </w:r>
      <w:r w:rsidRPr="00734AB6">
        <w:rPr>
          <w:rFonts w:asciiTheme="majorHAnsi" w:eastAsia="Calibri" w:hAnsiTheme="majorHAnsi" w:cs="Calibri"/>
        </w:rPr>
        <w:t>, Baumann, F</w:t>
      </w:r>
      <w:r w:rsidR="00AB6F19" w:rsidRPr="00734AB6">
        <w:rPr>
          <w:rFonts w:asciiTheme="majorHAnsi" w:eastAsia="Calibri" w:hAnsiTheme="majorHAnsi" w:cs="Calibri"/>
        </w:rPr>
        <w:t>.</w:t>
      </w:r>
      <w:r w:rsidRPr="00734AB6">
        <w:rPr>
          <w:rFonts w:asciiTheme="majorHAnsi" w:eastAsia="Calibri" w:hAnsiTheme="majorHAnsi" w:cs="Calibri"/>
        </w:rPr>
        <w:t>, Manly, T</w:t>
      </w:r>
      <w:r w:rsidR="00AB6F19"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Müller, U</w:t>
      </w:r>
      <w:r w:rsidR="00AB6F19" w:rsidRPr="00734AB6">
        <w:rPr>
          <w:rFonts w:asciiTheme="majorHAnsi" w:eastAsia="Calibri" w:hAnsiTheme="majorHAnsi" w:cs="Calibri"/>
        </w:rPr>
        <w:t>.</w:t>
      </w:r>
      <w:r w:rsidRPr="00734AB6">
        <w:rPr>
          <w:rFonts w:asciiTheme="majorHAnsi" w:eastAsia="Calibri" w:hAnsiTheme="majorHAnsi" w:cs="Calibri"/>
        </w:rPr>
        <w:t xml:space="preserve"> (2010). Effects of modafinil and methylphenidate on visual attention capacity: a TVA-based study. </w:t>
      </w:r>
      <w:r w:rsidRPr="00734AB6">
        <w:rPr>
          <w:rFonts w:asciiTheme="majorHAnsi" w:eastAsia="Calibri" w:hAnsiTheme="majorHAnsi" w:cs="Calibri"/>
          <w:i/>
          <w:iCs/>
        </w:rPr>
        <w:t>Psychopharmacology</w:t>
      </w:r>
      <w:r w:rsidRPr="00734AB6">
        <w:rPr>
          <w:rFonts w:asciiTheme="majorHAnsi" w:eastAsia="Calibri" w:hAnsiTheme="majorHAnsi" w:cs="Calibri"/>
        </w:rPr>
        <w:t>, </w:t>
      </w:r>
      <w:r w:rsidRPr="00734AB6">
        <w:rPr>
          <w:rFonts w:asciiTheme="majorHAnsi" w:eastAsia="Calibri" w:hAnsiTheme="majorHAnsi" w:cs="Calibri"/>
          <w:i/>
          <w:iCs/>
        </w:rPr>
        <w:t>210</w:t>
      </w:r>
      <w:r w:rsidRPr="00734AB6">
        <w:rPr>
          <w:rFonts w:asciiTheme="majorHAnsi" w:eastAsia="Calibri" w:hAnsiTheme="majorHAnsi" w:cs="Calibri"/>
        </w:rPr>
        <w:t>(3), 317-329.</w:t>
      </w:r>
    </w:p>
    <w:p w14:paraId="141B260C"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Fitz, N. S., Nadler, R., </w:t>
      </w:r>
      <w:proofErr w:type="spellStart"/>
      <w:r w:rsidRPr="00734AB6">
        <w:rPr>
          <w:rFonts w:asciiTheme="majorHAnsi" w:hAnsiTheme="majorHAnsi" w:cs="Arial"/>
        </w:rPr>
        <w:t>Manogaran</w:t>
      </w:r>
      <w:proofErr w:type="spellEnd"/>
      <w:r w:rsidRPr="00734AB6">
        <w:rPr>
          <w:rFonts w:asciiTheme="majorHAnsi" w:hAnsiTheme="majorHAnsi" w:cs="Arial"/>
        </w:rPr>
        <w:t xml:space="preserve">, P., Chong, E. W., &amp; Reiner, P. B. (2014). Public attitudes toward cognitive enhancement. </w:t>
      </w:r>
      <w:proofErr w:type="spellStart"/>
      <w:r w:rsidRPr="00734AB6">
        <w:rPr>
          <w:rFonts w:asciiTheme="majorHAnsi" w:hAnsiTheme="majorHAnsi" w:cs="Arial"/>
          <w:i/>
        </w:rPr>
        <w:t>Neuroethics</w:t>
      </w:r>
      <w:proofErr w:type="spellEnd"/>
      <w:r w:rsidRPr="00734AB6">
        <w:rPr>
          <w:rFonts w:asciiTheme="majorHAnsi" w:hAnsiTheme="majorHAnsi" w:cs="Arial"/>
          <w:i/>
        </w:rPr>
        <w:t>, 7</w:t>
      </w:r>
      <w:r w:rsidRPr="00734AB6">
        <w:rPr>
          <w:rFonts w:asciiTheme="majorHAnsi" w:hAnsiTheme="majorHAnsi" w:cs="Arial"/>
        </w:rPr>
        <w:t>(2), 173-188.</w:t>
      </w:r>
    </w:p>
    <w:p w14:paraId="708F656F" w14:textId="755C1A54"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Fisher, A., &amp; </w:t>
      </w:r>
      <w:proofErr w:type="spellStart"/>
      <w:r w:rsidRPr="00734AB6">
        <w:rPr>
          <w:rFonts w:asciiTheme="majorHAnsi" w:hAnsiTheme="majorHAnsi" w:cstheme="minorHAnsi"/>
          <w:shd w:val="clear" w:color="auto" w:fill="FFFFFF"/>
        </w:rPr>
        <w:t>Kloos</w:t>
      </w:r>
      <w:proofErr w:type="spellEnd"/>
      <w:r w:rsidRPr="00734AB6">
        <w:rPr>
          <w:rFonts w:asciiTheme="majorHAnsi" w:hAnsiTheme="majorHAnsi" w:cstheme="minorHAnsi"/>
          <w:shd w:val="clear" w:color="auto" w:fill="FFFFFF"/>
        </w:rPr>
        <w:t xml:space="preserve">, H. (2016). Development of selective sustained attention: The role of executive functions. In J. A. Griffin, P. McCardle, &amp; L. S. Freund (Eds.), </w:t>
      </w:r>
      <w:r w:rsidRPr="00734AB6">
        <w:rPr>
          <w:rFonts w:asciiTheme="majorHAnsi" w:hAnsiTheme="majorHAnsi" w:cstheme="minorHAnsi"/>
          <w:i/>
          <w:shd w:val="clear" w:color="auto" w:fill="FFFFFF"/>
        </w:rPr>
        <w:t>Executive function in preschool-age children: Integrating measurement, neurodevelopment, and translational research</w:t>
      </w:r>
      <w:r w:rsidRPr="00734AB6">
        <w:rPr>
          <w:rFonts w:asciiTheme="majorHAnsi" w:hAnsiTheme="majorHAnsi" w:cstheme="minorHAnsi"/>
          <w:shd w:val="clear" w:color="auto" w:fill="FFFFFF"/>
        </w:rPr>
        <w:t xml:space="preserve"> (pp. 215–237). </w:t>
      </w:r>
      <w:r w:rsidR="00E3790F" w:rsidRPr="00734AB6">
        <w:rPr>
          <w:rFonts w:asciiTheme="majorHAnsi" w:hAnsiTheme="majorHAnsi" w:cstheme="minorHAnsi"/>
          <w:shd w:val="clear" w:color="auto" w:fill="FFFFFF"/>
        </w:rPr>
        <w:t>Washington DC</w:t>
      </w:r>
      <w:r w:rsidR="00AB6F19" w:rsidRPr="00734AB6">
        <w:rPr>
          <w:rFonts w:asciiTheme="majorHAnsi" w:hAnsiTheme="majorHAnsi" w:cstheme="minorHAnsi"/>
          <w:shd w:val="clear" w:color="auto" w:fill="FFFFFF"/>
        </w:rPr>
        <w:t xml:space="preserve">: </w:t>
      </w:r>
      <w:r w:rsidRPr="00734AB6">
        <w:rPr>
          <w:rFonts w:asciiTheme="majorHAnsi" w:hAnsiTheme="majorHAnsi" w:cstheme="minorHAnsi"/>
          <w:shd w:val="clear" w:color="auto" w:fill="FFFFFF"/>
        </w:rPr>
        <w:t xml:space="preserve">American Psychological Association. </w:t>
      </w:r>
    </w:p>
    <w:p w14:paraId="483353AD" w14:textId="04E6237F"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Fond, G., </w:t>
      </w:r>
      <w:proofErr w:type="spellStart"/>
      <w:r w:rsidRPr="00734AB6">
        <w:rPr>
          <w:rFonts w:asciiTheme="majorHAnsi" w:hAnsiTheme="majorHAnsi" w:cstheme="minorHAnsi"/>
          <w:shd w:val="clear" w:color="auto" w:fill="FFFFFF"/>
        </w:rPr>
        <w:t>Gavaret</w:t>
      </w:r>
      <w:proofErr w:type="spellEnd"/>
      <w:r w:rsidRPr="00734AB6">
        <w:rPr>
          <w:rFonts w:asciiTheme="majorHAnsi" w:hAnsiTheme="majorHAnsi" w:cstheme="minorHAnsi"/>
          <w:shd w:val="clear" w:color="auto" w:fill="FFFFFF"/>
        </w:rPr>
        <w:t xml:space="preserve">, M., Vidal, C., Brunel, L., </w:t>
      </w:r>
      <w:proofErr w:type="spellStart"/>
      <w:r w:rsidRPr="00734AB6">
        <w:rPr>
          <w:rFonts w:asciiTheme="majorHAnsi" w:hAnsiTheme="majorHAnsi" w:cstheme="minorHAnsi"/>
          <w:shd w:val="clear" w:color="auto" w:fill="FFFFFF"/>
        </w:rPr>
        <w:t>Riveline</w:t>
      </w:r>
      <w:proofErr w:type="spellEnd"/>
      <w:r w:rsidRPr="00734AB6">
        <w:rPr>
          <w:rFonts w:asciiTheme="majorHAnsi" w:hAnsiTheme="majorHAnsi" w:cstheme="minorHAnsi"/>
          <w:shd w:val="clear" w:color="auto" w:fill="FFFFFF"/>
        </w:rPr>
        <w:t xml:space="preserve">, J. P., </w:t>
      </w:r>
      <w:proofErr w:type="spellStart"/>
      <w:r w:rsidRPr="00734AB6">
        <w:rPr>
          <w:rFonts w:asciiTheme="majorHAnsi" w:hAnsiTheme="majorHAnsi" w:cstheme="minorHAnsi"/>
          <w:shd w:val="clear" w:color="auto" w:fill="FFFFFF"/>
        </w:rPr>
        <w:t>Micoulaud</w:t>
      </w:r>
      <w:proofErr w:type="spellEnd"/>
      <w:r w:rsidRPr="00734AB6">
        <w:rPr>
          <w:rFonts w:asciiTheme="majorHAnsi" w:hAnsiTheme="majorHAnsi" w:cstheme="minorHAnsi"/>
          <w:shd w:val="clear" w:color="auto" w:fill="FFFFFF"/>
        </w:rPr>
        <w:t xml:space="preserve">-Franchi, J. A., &amp; Domenech, P. (2016). (Mis) use of Prescribed Stimulants in the Medical Student Community: Motives and </w:t>
      </w:r>
      <w:proofErr w:type="spellStart"/>
      <w:r w:rsidRPr="00734AB6">
        <w:rPr>
          <w:rFonts w:asciiTheme="majorHAnsi" w:hAnsiTheme="majorHAnsi" w:cstheme="minorHAnsi"/>
          <w:shd w:val="clear" w:color="auto" w:fill="FFFFFF"/>
        </w:rPr>
        <w:t>Behaviors</w:t>
      </w:r>
      <w:proofErr w:type="spellEnd"/>
      <w:r w:rsidRPr="00734AB6">
        <w:rPr>
          <w:rFonts w:asciiTheme="majorHAnsi" w:hAnsiTheme="majorHAnsi" w:cstheme="minorHAnsi"/>
          <w:shd w:val="clear" w:color="auto" w:fill="FFFFFF"/>
        </w:rPr>
        <w:t>: A Population-Based Cross-Sectional Study.</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Medicine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95</w:t>
      </w:r>
      <w:r w:rsidR="00163BDB" w:rsidRPr="00734AB6">
        <w:rPr>
          <w:rFonts w:asciiTheme="majorHAnsi" w:hAnsiTheme="majorHAnsi" w:cstheme="minorHAnsi"/>
          <w:shd w:val="clear" w:color="auto" w:fill="FFFFFF"/>
        </w:rPr>
        <w:t>(16), e3366.</w:t>
      </w:r>
    </w:p>
    <w:p w14:paraId="79935F88"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Franke, A. G., </w:t>
      </w:r>
      <w:proofErr w:type="spellStart"/>
      <w:r w:rsidRPr="00734AB6">
        <w:rPr>
          <w:rFonts w:asciiTheme="majorHAnsi" w:hAnsiTheme="majorHAnsi" w:cstheme="minorHAnsi"/>
          <w:shd w:val="clear" w:color="auto" w:fill="FFFFFF"/>
        </w:rPr>
        <w:t>Bonertz</w:t>
      </w:r>
      <w:proofErr w:type="spellEnd"/>
      <w:r w:rsidRPr="00734AB6">
        <w:rPr>
          <w:rFonts w:asciiTheme="majorHAnsi" w:hAnsiTheme="majorHAnsi" w:cstheme="minorHAnsi"/>
          <w:shd w:val="clear" w:color="auto" w:fill="FFFFFF"/>
        </w:rPr>
        <w:t xml:space="preserve">, C., </w:t>
      </w:r>
      <w:proofErr w:type="spellStart"/>
      <w:r w:rsidRPr="00734AB6">
        <w:rPr>
          <w:rFonts w:asciiTheme="majorHAnsi" w:hAnsiTheme="majorHAnsi" w:cstheme="minorHAnsi"/>
          <w:shd w:val="clear" w:color="auto" w:fill="FFFFFF"/>
        </w:rPr>
        <w:t>Christmann</w:t>
      </w:r>
      <w:proofErr w:type="spellEnd"/>
      <w:r w:rsidRPr="00734AB6">
        <w:rPr>
          <w:rFonts w:asciiTheme="majorHAnsi" w:hAnsiTheme="majorHAnsi" w:cstheme="minorHAnsi"/>
          <w:shd w:val="clear" w:color="auto" w:fill="FFFFFF"/>
        </w:rPr>
        <w:t xml:space="preserve">, M., Huss, M., </w:t>
      </w:r>
      <w:proofErr w:type="spellStart"/>
      <w:r w:rsidRPr="00734AB6">
        <w:rPr>
          <w:rFonts w:asciiTheme="majorHAnsi" w:hAnsiTheme="majorHAnsi" w:cstheme="minorHAnsi"/>
          <w:shd w:val="clear" w:color="auto" w:fill="FFFFFF"/>
        </w:rPr>
        <w:t>Fellgiebel</w:t>
      </w:r>
      <w:proofErr w:type="spellEnd"/>
      <w:r w:rsidRPr="00734AB6">
        <w:rPr>
          <w:rFonts w:asciiTheme="majorHAnsi" w:hAnsiTheme="majorHAnsi" w:cstheme="minorHAnsi"/>
          <w:shd w:val="clear" w:color="auto" w:fill="FFFFFF"/>
        </w:rPr>
        <w:t xml:space="preserve">, A., </w:t>
      </w:r>
      <w:proofErr w:type="spellStart"/>
      <w:r w:rsidRPr="00734AB6">
        <w:rPr>
          <w:rFonts w:asciiTheme="majorHAnsi" w:hAnsiTheme="majorHAnsi" w:cstheme="minorHAnsi"/>
          <w:shd w:val="clear" w:color="auto" w:fill="FFFFFF"/>
        </w:rPr>
        <w:t>Hildt</w:t>
      </w:r>
      <w:proofErr w:type="spellEnd"/>
      <w:r w:rsidRPr="00734AB6">
        <w:rPr>
          <w:rFonts w:asciiTheme="majorHAnsi" w:hAnsiTheme="majorHAnsi" w:cstheme="minorHAnsi"/>
          <w:shd w:val="clear" w:color="auto" w:fill="FFFFFF"/>
        </w:rPr>
        <w:t xml:space="preserve">, E., &amp; </w:t>
      </w:r>
      <w:proofErr w:type="spellStart"/>
      <w:r w:rsidRPr="00734AB6">
        <w:rPr>
          <w:rFonts w:asciiTheme="majorHAnsi" w:hAnsiTheme="majorHAnsi" w:cstheme="minorHAnsi"/>
          <w:shd w:val="clear" w:color="auto" w:fill="FFFFFF"/>
        </w:rPr>
        <w:t>Lieb</w:t>
      </w:r>
      <w:proofErr w:type="spellEnd"/>
      <w:r w:rsidRPr="00734AB6">
        <w:rPr>
          <w:rFonts w:asciiTheme="majorHAnsi" w:hAnsiTheme="majorHAnsi" w:cstheme="minorHAnsi"/>
          <w:shd w:val="clear" w:color="auto" w:fill="FFFFFF"/>
        </w:rPr>
        <w:t>, K. (2011). Non-medical use of prescription stimulants and illicit use of stimulants for cognitive enhancement in pupils and students in Germany.</w:t>
      </w:r>
      <w:r w:rsidRPr="00734AB6">
        <w:rPr>
          <w:rStyle w:val="apple-converted-space"/>
          <w:rFonts w:asciiTheme="majorHAnsi" w:hAnsiTheme="majorHAnsi" w:cstheme="minorHAnsi"/>
          <w:shd w:val="clear" w:color="auto" w:fill="FFFFFF"/>
        </w:rPr>
        <w:t> </w:t>
      </w:r>
      <w:proofErr w:type="spellStart"/>
      <w:r w:rsidRPr="00734AB6">
        <w:rPr>
          <w:rFonts w:asciiTheme="majorHAnsi" w:hAnsiTheme="majorHAnsi" w:cstheme="minorHAnsi"/>
          <w:i/>
          <w:iCs/>
          <w:shd w:val="clear" w:color="auto" w:fill="FFFFFF"/>
        </w:rPr>
        <w:t>Pharmacopsychiatry</w:t>
      </w:r>
      <w:proofErr w:type="spellEnd"/>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44</w:t>
      </w:r>
      <w:r w:rsidRPr="00734AB6">
        <w:rPr>
          <w:rFonts w:asciiTheme="majorHAnsi" w:hAnsiTheme="majorHAnsi" w:cstheme="minorHAnsi"/>
          <w:shd w:val="clear" w:color="auto" w:fill="FFFFFF"/>
        </w:rPr>
        <w:t>(02), 60-66.</w:t>
      </w:r>
    </w:p>
    <w:p w14:paraId="5396A48B" w14:textId="33C5A909" w:rsidR="002A3D08" w:rsidRPr="00734AB6" w:rsidRDefault="002A3D08"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Franken, I. H., van </w:t>
      </w:r>
      <w:proofErr w:type="spellStart"/>
      <w:r w:rsidRPr="00734AB6">
        <w:rPr>
          <w:rFonts w:asciiTheme="majorHAnsi" w:eastAsia="Calibri" w:hAnsiTheme="majorHAnsi" w:cs="Calibri"/>
        </w:rPr>
        <w:t>Strien</w:t>
      </w:r>
      <w:proofErr w:type="spellEnd"/>
      <w:r w:rsidRPr="00734AB6">
        <w:rPr>
          <w:rFonts w:asciiTheme="majorHAnsi" w:eastAsia="Calibri" w:hAnsiTheme="majorHAnsi" w:cs="Calibri"/>
        </w:rPr>
        <w:t xml:space="preserve">, J. W., &amp; </w:t>
      </w:r>
      <w:proofErr w:type="spellStart"/>
      <w:r w:rsidRPr="00734AB6">
        <w:rPr>
          <w:rFonts w:asciiTheme="majorHAnsi" w:eastAsia="Calibri" w:hAnsiTheme="majorHAnsi" w:cs="Calibri"/>
        </w:rPr>
        <w:t>Kuijpers</w:t>
      </w:r>
      <w:proofErr w:type="spellEnd"/>
      <w:r w:rsidRPr="00734AB6">
        <w:rPr>
          <w:rFonts w:asciiTheme="majorHAnsi" w:eastAsia="Calibri" w:hAnsiTheme="majorHAnsi" w:cs="Calibri"/>
        </w:rPr>
        <w:t>, I. (2010). Evidence for a deficit in the salience attribution to errors in smokers. </w:t>
      </w:r>
      <w:r w:rsidRPr="00734AB6">
        <w:rPr>
          <w:rFonts w:asciiTheme="majorHAnsi" w:eastAsia="Calibri" w:hAnsiTheme="majorHAnsi" w:cs="Calibri"/>
          <w:i/>
          <w:iCs/>
        </w:rPr>
        <w:t>Drug and Alcohol Dependence</w:t>
      </w:r>
      <w:r w:rsidRPr="00734AB6">
        <w:rPr>
          <w:rFonts w:asciiTheme="majorHAnsi" w:eastAsia="Calibri" w:hAnsiTheme="majorHAnsi" w:cs="Calibri"/>
        </w:rPr>
        <w:t>, </w:t>
      </w:r>
      <w:r w:rsidRPr="00734AB6">
        <w:rPr>
          <w:rFonts w:asciiTheme="majorHAnsi" w:eastAsia="Calibri" w:hAnsiTheme="majorHAnsi" w:cs="Calibri"/>
          <w:i/>
          <w:iCs/>
        </w:rPr>
        <w:t>106</w:t>
      </w:r>
      <w:r w:rsidRPr="00734AB6">
        <w:rPr>
          <w:rFonts w:asciiTheme="majorHAnsi" w:eastAsia="Calibri" w:hAnsiTheme="majorHAnsi" w:cs="Calibri"/>
        </w:rPr>
        <w:t>(2-3), 181-185.</w:t>
      </w:r>
    </w:p>
    <w:p w14:paraId="0A66CA52"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Friedman, N. P., &amp; Miyake, A. (2017). Unity and diversity of executive functions: Individual differences as a window on cognitive structure. </w:t>
      </w:r>
      <w:r w:rsidRPr="00734AB6">
        <w:rPr>
          <w:rFonts w:asciiTheme="majorHAnsi" w:eastAsia="Calibri" w:hAnsiTheme="majorHAnsi" w:cs="Calibri"/>
          <w:i/>
        </w:rPr>
        <w:t>Cortex, 86</w:t>
      </w:r>
      <w:r w:rsidRPr="00734AB6">
        <w:rPr>
          <w:rFonts w:asciiTheme="majorHAnsi" w:eastAsia="Calibri" w:hAnsiTheme="majorHAnsi" w:cs="Calibri"/>
        </w:rPr>
        <w:t>, 186-204.</w:t>
      </w:r>
    </w:p>
    <w:p w14:paraId="246C6363"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Frye, M. A., </w:t>
      </w:r>
      <w:proofErr w:type="spellStart"/>
      <w:r w:rsidRPr="00734AB6">
        <w:rPr>
          <w:rFonts w:asciiTheme="majorHAnsi" w:hAnsiTheme="majorHAnsi" w:cs="Arial"/>
        </w:rPr>
        <w:t>Grunze</w:t>
      </w:r>
      <w:proofErr w:type="spellEnd"/>
      <w:r w:rsidRPr="00734AB6">
        <w:rPr>
          <w:rFonts w:asciiTheme="majorHAnsi" w:hAnsiTheme="majorHAnsi" w:cs="Arial"/>
        </w:rPr>
        <w:t xml:space="preserve">, H., </w:t>
      </w:r>
      <w:proofErr w:type="spellStart"/>
      <w:r w:rsidRPr="00734AB6">
        <w:rPr>
          <w:rFonts w:asciiTheme="majorHAnsi" w:hAnsiTheme="majorHAnsi" w:cs="Arial"/>
        </w:rPr>
        <w:t>Suppes</w:t>
      </w:r>
      <w:proofErr w:type="spellEnd"/>
      <w:r w:rsidRPr="00734AB6">
        <w:rPr>
          <w:rFonts w:asciiTheme="majorHAnsi" w:hAnsiTheme="majorHAnsi" w:cs="Arial"/>
        </w:rPr>
        <w:t xml:space="preserve">, T., McElroy, S. L., Keck Jr, P. E., Walden, J., ... &amp; </w:t>
      </w:r>
      <w:proofErr w:type="spellStart"/>
      <w:r w:rsidRPr="00734AB6">
        <w:rPr>
          <w:rFonts w:asciiTheme="majorHAnsi" w:hAnsiTheme="majorHAnsi" w:cs="Arial"/>
        </w:rPr>
        <w:t>Mintz</w:t>
      </w:r>
      <w:proofErr w:type="spellEnd"/>
      <w:r w:rsidRPr="00734AB6">
        <w:rPr>
          <w:rFonts w:asciiTheme="majorHAnsi" w:hAnsiTheme="majorHAnsi" w:cs="Arial"/>
        </w:rPr>
        <w:t xml:space="preserve">, J. (2007). A placebo-controlled evaluation of adjunctive modafinil in the treatment of bipolar depression. </w:t>
      </w:r>
      <w:r w:rsidRPr="00734AB6">
        <w:rPr>
          <w:rFonts w:asciiTheme="majorHAnsi" w:hAnsiTheme="majorHAnsi" w:cs="Arial"/>
          <w:i/>
        </w:rPr>
        <w:t>American Journal of Psychiatry</w:t>
      </w:r>
      <w:r w:rsidRPr="00734AB6">
        <w:rPr>
          <w:rFonts w:asciiTheme="majorHAnsi" w:hAnsiTheme="majorHAnsi" w:cs="Arial"/>
        </w:rPr>
        <w:t xml:space="preserve">, </w:t>
      </w:r>
      <w:r w:rsidRPr="00734AB6">
        <w:rPr>
          <w:rFonts w:asciiTheme="majorHAnsi" w:hAnsiTheme="majorHAnsi" w:cs="Arial"/>
          <w:i/>
        </w:rPr>
        <w:t>164</w:t>
      </w:r>
      <w:r w:rsidRPr="00734AB6">
        <w:rPr>
          <w:rFonts w:asciiTheme="majorHAnsi" w:hAnsiTheme="majorHAnsi" w:cs="Arial"/>
        </w:rPr>
        <w:t>(8), 1242-1249.</w:t>
      </w:r>
    </w:p>
    <w:p w14:paraId="6D2D9E42" w14:textId="1C3AE785"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Fuermaier</w:t>
      </w:r>
      <w:proofErr w:type="spellEnd"/>
      <w:r w:rsidRPr="00734AB6">
        <w:rPr>
          <w:rFonts w:asciiTheme="majorHAnsi" w:eastAsia="Calibri" w:hAnsiTheme="majorHAnsi" w:cs="Calibri"/>
        </w:rPr>
        <w:t xml:space="preserve">, A. B., </w:t>
      </w:r>
      <w:proofErr w:type="spellStart"/>
      <w:r w:rsidRPr="00734AB6">
        <w:rPr>
          <w:rFonts w:asciiTheme="majorHAnsi" w:eastAsia="Calibri" w:hAnsiTheme="majorHAnsi" w:cs="Calibri"/>
        </w:rPr>
        <w:t>Tucha</w:t>
      </w:r>
      <w:proofErr w:type="spellEnd"/>
      <w:r w:rsidRPr="00734AB6">
        <w:rPr>
          <w:rFonts w:asciiTheme="majorHAnsi" w:eastAsia="Calibri" w:hAnsiTheme="majorHAnsi" w:cs="Calibri"/>
        </w:rPr>
        <w:t xml:space="preserve">, L., Koerts, J., </w:t>
      </w:r>
      <w:proofErr w:type="spellStart"/>
      <w:r w:rsidRPr="00734AB6">
        <w:rPr>
          <w:rFonts w:asciiTheme="majorHAnsi" w:eastAsia="Calibri" w:hAnsiTheme="majorHAnsi" w:cs="Calibri"/>
        </w:rPr>
        <w:t>Aschenbrenner</w:t>
      </w:r>
      <w:proofErr w:type="spellEnd"/>
      <w:r w:rsidRPr="00734AB6">
        <w:rPr>
          <w:rFonts w:asciiTheme="majorHAnsi" w:eastAsia="Calibri" w:hAnsiTheme="majorHAnsi" w:cs="Calibri"/>
        </w:rPr>
        <w:t xml:space="preserve">, S., Westermann, C., </w:t>
      </w:r>
      <w:proofErr w:type="spellStart"/>
      <w:r w:rsidRPr="00734AB6">
        <w:rPr>
          <w:rFonts w:asciiTheme="majorHAnsi" w:eastAsia="Calibri" w:hAnsiTheme="majorHAnsi" w:cs="Calibri"/>
        </w:rPr>
        <w:t>Weisbrod</w:t>
      </w:r>
      <w:proofErr w:type="spellEnd"/>
      <w:r w:rsidRPr="00734AB6">
        <w:rPr>
          <w:rFonts w:asciiTheme="majorHAnsi" w:eastAsia="Calibri" w:hAnsiTheme="majorHAnsi" w:cs="Calibri"/>
        </w:rPr>
        <w:t xml:space="preserve">, M., ... &amp; </w:t>
      </w:r>
      <w:proofErr w:type="spellStart"/>
      <w:r w:rsidRPr="00734AB6">
        <w:rPr>
          <w:rFonts w:asciiTheme="majorHAnsi" w:eastAsia="Calibri" w:hAnsiTheme="majorHAnsi" w:cs="Calibri"/>
        </w:rPr>
        <w:t>Tucha</w:t>
      </w:r>
      <w:proofErr w:type="spellEnd"/>
      <w:r w:rsidRPr="00734AB6">
        <w:rPr>
          <w:rFonts w:asciiTheme="majorHAnsi" w:eastAsia="Calibri" w:hAnsiTheme="majorHAnsi" w:cs="Calibri"/>
        </w:rPr>
        <w:t>, O. (2013). Complex prospective memory in adults with attention deficit hyperactivity disorder. </w:t>
      </w:r>
      <w:proofErr w:type="spellStart"/>
      <w:r w:rsidRPr="00734AB6">
        <w:rPr>
          <w:rFonts w:asciiTheme="majorHAnsi" w:eastAsia="Calibri" w:hAnsiTheme="majorHAnsi" w:cs="Calibri"/>
          <w:i/>
          <w:iCs/>
        </w:rPr>
        <w:t>PloS</w:t>
      </w:r>
      <w:proofErr w:type="spellEnd"/>
      <w:r w:rsidRPr="00734AB6">
        <w:rPr>
          <w:rFonts w:asciiTheme="majorHAnsi" w:eastAsia="Calibri" w:hAnsiTheme="majorHAnsi" w:cs="Calibri"/>
          <w:i/>
          <w:iCs/>
        </w:rPr>
        <w:t xml:space="preserve"> </w:t>
      </w:r>
      <w:r w:rsidR="00163BDB" w:rsidRPr="00734AB6">
        <w:rPr>
          <w:rFonts w:asciiTheme="majorHAnsi" w:eastAsia="Calibri" w:hAnsiTheme="majorHAnsi" w:cs="Calibri"/>
          <w:i/>
          <w:iCs/>
        </w:rPr>
        <w:t>O</w:t>
      </w:r>
      <w:r w:rsidRPr="00734AB6">
        <w:rPr>
          <w:rFonts w:asciiTheme="majorHAnsi" w:eastAsia="Calibri" w:hAnsiTheme="majorHAnsi" w:cs="Calibri"/>
          <w:i/>
          <w:iCs/>
        </w:rPr>
        <w:t>ne</w:t>
      </w:r>
      <w:r w:rsidRPr="00734AB6">
        <w:rPr>
          <w:rFonts w:asciiTheme="majorHAnsi" w:eastAsia="Calibri" w:hAnsiTheme="majorHAnsi" w:cs="Calibri"/>
        </w:rPr>
        <w:t>, </w:t>
      </w:r>
      <w:r w:rsidRPr="00734AB6">
        <w:rPr>
          <w:rFonts w:asciiTheme="majorHAnsi" w:eastAsia="Calibri" w:hAnsiTheme="majorHAnsi" w:cs="Calibri"/>
          <w:i/>
          <w:iCs/>
        </w:rPr>
        <w:t>8</w:t>
      </w:r>
      <w:r w:rsidRPr="00734AB6">
        <w:rPr>
          <w:rFonts w:asciiTheme="majorHAnsi" w:eastAsia="Calibri" w:hAnsiTheme="majorHAnsi" w:cs="Calibri"/>
        </w:rPr>
        <w:t>(3).</w:t>
      </w:r>
    </w:p>
    <w:p w14:paraId="0A1D4D41"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Garnier-Dykstra, L. M., </w:t>
      </w:r>
      <w:proofErr w:type="spellStart"/>
      <w:r w:rsidRPr="00734AB6">
        <w:rPr>
          <w:rFonts w:asciiTheme="majorHAnsi" w:eastAsia="Calibri" w:hAnsiTheme="majorHAnsi" w:cs="Calibri"/>
        </w:rPr>
        <w:t>Pinchevsky</w:t>
      </w:r>
      <w:proofErr w:type="spellEnd"/>
      <w:r w:rsidRPr="00734AB6">
        <w:rPr>
          <w:rFonts w:asciiTheme="majorHAnsi" w:eastAsia="Calibri" w:hAnsiTheme="majorHAnsi" w:cs="Calibri"/>
        </w:rPr>
        <w:t xml:space="preserve">, G. M., </w:t>
      </w:r>
      <w:proofErr w:type="spellStart"/>
      <w:r w:rsidRPr="00734AB6">
        <w:rPr>
          <w:rFonts w:asciiTheme="majorHAnsi" w:eastAsia="Calibri" w:hAnsiTheme="majorHAnsi" w:cs="Calibri"/>
        </w:rPr>
        <w:t>Caldeira</w:t>
      </w:r>
      <w:proofErr w:type="spellEnd"/>
      <w:r w:rsidRPr="00734AB6">
        <w:rPr>
          <w:rFonts w:asciiTheme="majorHAnsi" w:eastAsia="Calibri" w:hAnsiTheme="majorHAnsi" w:cs="Calibri"/>
        </w:rPr>
        <w:t xml:space="preserve">, K. M., Vincent, K. B., &amp; </w:t>
      </w:r>
      <w:proofErr w:type="spellStart"/>
      <w:r w:rsidRPr="00734AB6">
        <w:rPr>
          <w:rFonts w:asciiTheme="majorHAnsi" w:eastAsia="Calibri" w:hAnsiTheme="majorHAnsi" w:cs="Calibri"/>
        </w:rPr>
        <w:t>Arria</w:t>
      </w:r>
      <w:proofErr w:type="spellEnd"/>
      <w:r w:rsidRPr="00734AB6">
        <w:rPr>
          <w:rFonts w:asciiTheme="majorHAnsi" w:eastAsia="Calibri" w:hAnsiTheme="majorHAnsi" w:cs="Calibri"/>
        </w:rPr>
        <w:t>, A. M. (2010). Self-reported adult attention-deficit/hyperactivity disorder symptoms among college students. </w:t>
      </w:r>
      <w:r w:rsidRPr="00734AB6">
        <w:rPr>
          <w:rFonts w:asciiTheme="majorHAnsi" w:eastAsia="Calibri" w:hAnsiTheme="majorHAnsi" w:cs="Calibri"/>
          <w:i/>
          <w:iCs/>
        </w:rPr>
        <w:t>Journal of American College Health</w:t>
      </w:r>
      <w:r w:rsidRPr="00734AB6">
        <w:rPr>
          <w:rFonts w:asciiTheme="majorHAnsi" w:eastAsia="Calibri" w:hAnsiTheme="majorHAnsi" w:cs="Calibri"/>
        </w:rPr>
        <w:t>, </w:t>
      </w:r>
      <w:r w:rsidRPr="00734AB6">
        <w:rPr>
          <w:rFonts w:asciiTheme="majorHAnsi" w:eastAsia="Calibri" w:hAnsiTheme="majorHAnsi" w:cs="Calibri"/>
          <w:i/>
          <w:iCs/>
        </w:rPr>
        <w:t>59</w:t>
      </w:r>
      <w:r w:rsidRPr="00734AB6">
        <w:rPr>
          <w:rFonts w:asciiTheme="majorHAnsi" w:eastAsia="Calibri" w:hAnsiTheme="majorHAnsi" w:cs="Calibri"/>
        </w:rPr>
        <w:t>(2), 133-136.</w:t>
      </w:r>
    </w:p>
    <w:p w14:paraId="21297315" w14:textId="65EF579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Gilbert, J</w:t>
      </w:r>
      <w:r w:rsidR="00163BDB" w:rsidRPr="00734AB6">
        <w:rPr>
          <w:rFonts w:asciiTheme="majorHAnsi" w:eastAsia="Calibri" w:hAnsiTheme="majorHAnsi" w:cs="Calibri"/>
        </w:rPr>
        <w:t xml:space="preserve">. </w:t>
      </w:r>
      <w:r w:rsidRPr="00734AB6">
        <w:rPr>
          <w:rFonts w:asciiTheme="majorHAnsi" w:eastAsia="Calibri" w:hAnsiTheme="majorHAnsi" w:cs="Calibri"/>
        </w:rPr>
        <w:t>G</w:t>
      </w:r>
      <w:r w:rsidR="00163BDB" w:rsidRPr="00734AB6">
        <w:rPr>
          <w:rFonts w:asciiTheme="majorHAnsi" w:eastAsia="Calibri" w:hAnsiTheme="majorHAnsi" w:cs="Calibri"/>
        </w:rPr>
        <w:t>.</w:t>
      </w:r>
      <w:r w:rsidRPr="00734AB6">
        <w:rPr>
          <w:rFonts w:asciiTheme="majorHAnsi" w:eastAsia="Calibri" w:hAnsiTheme="majorHAnsi" w:cs="Calibri"/>
        </w:rPr>
        <w:t>, Donnelly, K</w:t>
      </w:r>
      <w:r w:rsidR="00163BDB" w:rsidRPr="00734AB6">
        <w:rPr>
          <w:rFonts w:asciiTheme="majorHAnsi" w:eastAsia="Calibri" w:hAnsiTheme="majorHAnsi" w:cs="Calibri"/>
        </w:rPr>
        <w:t xml:space="preserve">. </w:t>
      </w:r>
      <w:r w:rsidRPr="00734AB6">
        <w:rPr>
          <w:rFonts w:asciiTheme="majorHAnsi" w:eastAsia="Calibri" w:hAnsiTheme="majorHAnsi" w:cs="Calibri"/>
        </w:rPr>
        <w:t>J</w:t>
      </w:r>
      <w:r w:rsidR="00163BDB" w:rsidRPr="00734AB6">
        <w:rPr>
          <w:rFonts w:asciiTheme="majorHAnsi" w:eastAsia="Calibri" w:hAnsiTheme="majorHAnsi" w:cs="Calibri"/>
        </w:rPr>
        <w:t>.</w:t>
      </w:r>
      <w:r w:rsidRPr="00734AB6">
        <w:rPr>
          <w:rFonts w:asciiTheme="majorHAnsi" w:eastAsia="Calibri" w:hAnsiTheme="majorHAnsi" w:cs="Calibri"/>
        </w:rPr>
        <w:t>, Zimmer, L</w:t>
      </w:r>
      <w:r w:rsidR="00163BDB" w:rsidRPr="00734AB6">
        <w:rPr>
          <w:rFonts w:asciiTheme="majorHAnsi" w:eastAsia="Calibri" w:hAnsiTheme="majorHAnsi" w:cs="Calibri"/>
        </w:rPr>
        <w:t xml:space="preserve">. </w:t>
      </w:r>
      <w:r w:rsidRPr="00734AB6">
        <w:rPr>
          <w:rFonts w:asciiTheme="majorHAnsi" w:eastAsia="Calibri" w:hAnsiTheme="majorHAnsi" w:cs="Calibri"/>
        </w:rPr>
        <w:t>E</w:t>
      </w:r>
      <w:r w:rsidR="00163BDB"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Kubis</w:t>
      </w:r>
      <w:proofErr w:type="spellEnd"/>
      <w:r w:rsidRPr="00734AB6">
        <w:rPr>
          <w:rFonts w:asciiTheme="majorHAnsi" w:eastAsia="Calibri" w:hAnsiTheme="majorHAnsi" w:cs="Calibri"/>
        </w:rPr>
        <w:t>, J</w:t>
      </w:r>
      <w:r w:rsidR="00163BDB" w:rsidRPr="00734AB6">
        <w:rPr>
          <w:rFonts w:asciiTheme="majorHAnsi" w:eastAsia="Calibri" w:hAnsiTheme="majorHAnsi" w:cs="Calibri"/>
        </w:rPr>
        <w:t xml:space="preserve">. </w:t>
      </w:r>
      <w:r w:rsidRPr="00734AB6">
        <w:rPr>
          <w:rFonts w:asciiTheme="majorHAnsi" w:eastAsia="Calibri" w:hAnsiTheme="majorHAnsi" w:cs="Calibri"/>
        </w:rPr>
        <w:t>F</w:t>
      </w:r>
      <w:r w:rsidR="00163BDB" w:rsidRPr="00734AB6">
        <w:rPr>
          <w:rFonts w:asciiTheme="majorHAnsi" w:eastAsia="Calibri" w:hAnsiTheme="majorHAnsi" w:cs="Calibri"/>
        </w:rPr>
        <w:t>.</w:t>
      </w:r>
      <w:r w:rsidRPr="00734AB6">
        <w:rPr>
          <w:rFonts w:asciiTheme="majorHAnsi" w:eastAsia="Calibri" w:hAnsiTheme="majorHAnsi" w:cs="Calibri"/>
        </w:rPr>
        <w:t xml:space="preserve"> (1973).  Effect of magnesium pemoline and methylphenidate on memory improvement and mood in normal aging subjects, </w:t>
      </w:r>
      <w:r w:rsidRPr="00734AB6">
        <w:rPr>
          <w:rFonts w:asciiTheme="majorHAnsi" w:eastAsia="Calibri" w:hAnsiTheme="majorHAnsi" w:cs="Calibri"/>
          <w:i/>
        </w:rPr>
        <w:t>International Journal of Aging and Human Development</w:t>
      </w:r>
      <w:r w:rsidRPr="00734AB6">
        <w:rPr>
          <w:rFonts w:asciiTheme="majorHAnsi" w:eastAsia="Calibri" w:hAnsiTheme="majorHAnsi" w:cs="Calibri"/>
        </w:rPr>
        <w:t xml:space="preserve">, </w:t>
      </w:r>
      <w:r w:rsidRPr="00734AB6">
        <w:rPr>
          <w:rFonts w:asciiTheme="majorHAnsi" w:eastAsia="Calibri" w:hAnsiTheme="majorHAnsi" w:cs="Calibri"/>
          <w:i/>
        </w:rPr>
        <w:t>4,</w:t>
      </w:r>
      <w:r w:rsidRPr="00734AB6">
        <w:rPr>
          <w:rFonts w:asciiTheme="majorHAnsi" w:eastAsia="Calibri" w:hAnsiTheme="majorHAnsi" w:cs="Calibri"/>
        </w:rPr>
        <w:t xml:space="preserve"> 35-51.</w:t>
      </w:r>
    </w:p>
    <w:p w14:paraId="4E30B682" w14:textId="6080DD02"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Gilleen</w:t>
      </w:r>
      <w:proofErr w:type="spellEnd"/>
      <w:r w:rsidRPr="00734AB6">
        <w:rPr>
          <w:rFonts w:asciiTheme="majorHAnsi" w:eastAsia="Calibri" w:hAnsiTheme="majorHAnsi" w:cs="Calibri"/>
        </w:rPr>
        <w:t>, J</w:t>
      </w:r>
      <w:r w:rsidR="00163BDB"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Michalopoulou</w:t>
      </w:r>
      <w:proofErr w:type="spellEnd"/>
      <w:r w:rsidRPr="00734AB6">
        <w:rPr>
          <w:rFonts w:asciiTheme="majorHAnsi" w:eastAsia="Calibri" w:hAnsiTheme="majorHAnsi" w:cs="Calibri"/>
        </w:rPr>
        <w:t>, P</w:t>
      </w:r>
      <w:r w:rsidR="00163BDB" w:rsidRPr="00734AB6">
        <w:rPr>
          <w:rFonts w:asciiTheme="majorHAnsi" w:eastAsia="Calibri" w:hAnsiTheme="majorHAnsi" w:cs="Calibri"/>
        </w:rPr>
        <w:t xml:space="preserve">. </w:t>
      </w:r>
      <w:r w:rsidRPr="00734AB6">
        <w:rPr>
          <w:rFonts w:asciiTheme="majorHAnsi" w:eastAsia="Calibri" w:hAnsiTheme="majorHAnsi" w:cs="Calibri"/>
        </w:rPr>
        <w:t>G</w:t>
      </w:r>
      <w:r w:rsidR="00163BDB" w:rsidRPr="00734AB6">
        <w:rPr>
          <w:rFonts w:asciiTheme="majorHAnsi" w:eastAsia="Calibri" w:hAnsiTheme="majorHAnsi" w:cs="Calibri"/>
        </w:rPr>
        <w:t>.</w:t>
      </w:r>
      <w:r w:rsidRPr="00734AB6">
        <w:rPr>
          <w:rFonts w:asciiTheme="majorHAnsi" w:eastAsia="Calibri" w:hAnsiTheme="majorHAnsi" w:cs="Calibri"/>
        </w:rPr>
        <w:t>, Reichenberg, A</w:t>
      </w:r>
      <w:r w:rsidR="00163BDB" w:rsidRPr="00734AB6">
        <w:rPr>
          <w:rFonts w:asciiTheme="majorHAnsi" w:eastAsia="Calibri" w:hAnsiTheme="majorHAnsi" w:cs="Calibri"/>
        </w:rPr>
        <w:t>.</w:t>
      </w:r>
      <w:r w:rsidRPr="00734AB6">
        <w:rPr>
          <w:rFonts w:asciiTheme="majorHAnsi" w:eastAsia="Calibri" w:hAnsiTheme="majorHAnsi" w:cs="Calibri"/>
        </w:rPr>
        <w:t>, Drake, R</w:t>
      </w:r>
      <w:r w:rsidR="00163BDB" w:rsidRPr="00734AB6">
        <w:rPr>
          <w:rFonts w:asciiTheme="majorHAnsi" w:eastAsia="Calibri" w:hAnsiTheme="majorHAnsi" w:cs="Calibri"/>
        </w:rPr>
        <w:t>.</w:t>
      </w:r>
      <w:r w:rsidRPr="00734AB6">
        <w:rPr>
          <w:rFonts w:asciiTheme="majorHAnsi" w:eastAsia="Calibri" w:hAnsiTheme="majorHAnsi" w:cs="Calibri"/>
        </w:rPr>
        <w:t>, Wykes, T</w:t>
      </w:r>
      <w:r w:rsidR="00163BDB" w:rsidRPr="00734AB6">
        <w:rPr>
          <w:rFonts w:asciiTheme="majorHAnsi" w:eastAsia="Calibri" w:hAnsiTheme="majorHAnsi" w:cs="Calibri"/>
        </w:rPr>
        <w:t>.</w:t>
      </w:r>
      <w:r w:rsidRPr="00734AB6">
        <w:rPr>
          <w:rFonts w:asciiTheme="majorHAnsi" w:eastAsia="Calibri" w:hAnsiTheme="majorHAnsi" w:cs="Calibri"/>
        </w:rPr>
        <w:t>, Lewis, S</w:t>
      </w:r>
      <w:r w:rsidR="00163BDB" w:rsidRPr="00734AB6">
        <w:rPr>
          <w:rFonts w:asciiTheme="majorHAnsi" w:eastAsia="Calibri" w:hAnsiTheme="majorHAnsi" w:cs="Calibri"/>
        </w:rPr>
        <w:t xml:space="preserve">. </w:t>
      </w:r>
      <w:r w:rsidRPr="00734AB6">
        <w:rPr>
          <w:rFonts w:asciiTheme="majorHAnsi" w:eastAsia="Calibri" w:hAnsiTheme="majorHAnsi" w:cs="Calibri"/>
        </w:rPr>
        <w:t>W</w:t>
      </w:r>
      <w:r w:rsidR="00163BDB"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Kapur</w:t>
      </w:r>
      <w:proofErr w:type="spellEnd"/>
      <w:r w:rsidRPr="00734AB6">
        <w:rPr>
          <w:rFonts w:asciiTheme="majorHAnsi" w:eastAsia="Calibri" w:hAnsiTheme="majorHAnsi" w:cs="Calibri"/>
        </w:rPr>
        <w:t>, S</w:t>
      </w:r>
      <w:r w:rsidR="00163BDB" w:rsidRPr="00734AB6">
        <w:rPr>
          <w:rFonts w:asciiTheme="majorHAnsi" w:eastAsia="Calibri" w:hAnsiTheme="majorHAnsi" w:cs="Calibri"/>
        </w:rPr>
        <w:t>.</w:t>
      </w:r>
      <w:r w:rsidRPr="00734AB6">
        <w:rPr>
          <w:rFonts w:asciiTheme="majorHAnsi" w:eastAsia="Calibri" w:hAnsiTheme="majorHAnsi" w:cs="Calibri"/>
        </w:rPr>
        <w:t xml:space="preserve"> (2014).  Modafinil combined with cognitive training is associated with improved learning in healthy volunteers – a randomised controlled trial, </w:t>
      </w:r>
      <w:r w:rsidRPr="00734AB6">
        <w:rPr>
          <w:rFonts w:asciiTheme="majorHAnsi" w:eastAsia="Calibri" w:hAnsiTheme="majorHAnsi" w:cs="Calibri"/>
          <w:i/>
        </w:rPr>
        <w:t>European Neuropsychopharmacology</w:t>
      </w:r>
      <w:r w:rsidRPr="00734AB6">
        <w:rPr>
          <w:rFonts w:asciiTheme="majorHAnsi" w:eastAsia="Calibri" w:hAnsiTheme="majorHAnsi" w:cs="Calibri"/>
        </w:rPr>
        <w:t xml:space="preserve">, </w:t>
      </w:r>
      <w:r w:rsidRPr="00734AB6">
        <w:rPr>
          <w:rFonts w:asciiTheme="majorHAnsi" w:eastAsia="Calibri" w:hAnsiTheme="majorHAnsi" w:cs="Calibri"/>
          <w:i/>
        </w:rPr>
        <w:t>24,</w:t>
      </w:r>
      <w:r w:rsidRPr="00734AB6">
        <w:rPr>
          <w:rFonts w:asciiTheme="majorHAnsi" w:eastAsia="Calibri" w:hAnsiTheme="majorHAnsi" w:cs="Calibri"/>
        </w:rPr>
        <w:t xml:space="preserve"> 529-539. </w:t>
      </w:r>
    </w:p>
    <w:p w14:paraId="6396656F" w14:textId="0F879F7F" w:rsidR="002A5C85" w:rsidRPr="00734AB6" w:rsidRDefault="002A5C85" w:rsidP="00796635">
      <w:pPr>
        <w:spacing w:line="360" w:lineRule="auto"/>
        <w:ind w:left="851" w:hanging="851"/>
        <w:rPr>
          <w:rFonts w:asciiTheme="majorHAnsi" w:hAnsiTheme="majorHAnsi"/>
        </w:rPr>
      </w:pPr>
      <w:r w:rsidRPr="00734AB6">
        <w:rPr>
          <w:rFonts w:asciiTheme="majorHAnsi" w:hAnsiTheme="majorHAnsi"/>
        </w:rPr>
        <w:t xml:space="preserve">Ginsberg, Y., </w:t>
      </w:r>
      <w:proofErr w:type="spellStart"/>
      <w:r w:rsidRPr="00734AB6">
        <w:rPr>
          <w:rFonts w:asciiTheme="majorHAnsi" w:hAnsiTheme="majorHAnsi"/>
        </w:rPr>
        <w:t>Beusterien</w:t>
      </w:r>
      <w:proofErr w:type="spellEnd"/>
      <w:r w:rsidRPr="00734AB6">
        <w:rPr>
          <w:rFonts w:asciiTheme="majorHAnsi" w:hAnsiTheme="majorHAnsi"/>
        </w:rPr>
        <w:t xml:space="preserve">, K. M., Amos, K., </w:t>
      </w:r>
      <w:proofErr w:type="spellStart"/>
      <w:r w:rsidRPr="00734AB6">
        <w:rPr>
          <w:rFonts w:asciiTheme="majorHAnsi" w:hAnsiTheme="majorHAnsi"/>
        </w:rPr>
        <w:t>Jousselin</w:t>
      </w:r>
      <w:proofErr w:type="spellEnd"/>
      <w:r w:rsidRPr="00734AB6">
        <w:rPr>
          <w:rFonts w:asciiTheme="majorHAnsi" w:hAnsiTheme="majorHAnsi"/>
        </w:rPr>
        <w:t xml:space="preserve">, C., &amp; </w:t>
      </w:r>
      <w:proofErr w:type="spellStart"/>
      <w:r w:rsidRPr="00734AB6">
        <w:rPr>
          <w:rFonts w:asciiTheme="majorHAnsi" w:hAnsiTheme="majorHAnsi"/>
        </w:rPr>
        <w:t>Asherson</w:t>
      </w:r>
      <w:proofErr w:type="spellEnd"/>
      <w:r w:rsidRPr="00734AB6">
        <w:rPr>
          <w:rFonts w:asciiTheme="majorHAnsi" w:hAnsiTheme="majorHAnsi"/>
        </w:rPr>
        <w:t>, P. (2014). The unmet needs of all adults with ADHD are not the same: a focus on Europe. </w:t>
      </w:r>
      <w:r w:rsidR="00A87CF6" w:rsidRPr="00734AB6">
        <w:rPr>
          <w:rFonts w:asciiTheme="majorHAnsi" w:hAnsiTheme="majorHAnsi"/>
          <w:i/>
          <w:iCs/>
        </w:rPr>
        <w:t>Expert Review of N</w:t>
      </w:r>
      <w:r w:rsidRPr="00734AB6">
        <w:rPr>
          <w:rFonts w:asciiTheme="majorHAnsi" w:hAnsiTheme="majorHAnsi"/>
          <w:i/>
          <w:iCs/>
        </w:rPr>
        <w:t>eurotherapeutics</w:t>
      </w:r>
      <w:r w:rsidRPr="00734AB6">
        <w:rPr>
          <w:rFonts w:asciiTheme="majorHAnsi" w:hAnsiTheme="majorHAnsi"/>
        </w:rPr>
        <w:t>, </w:t>
      </w:r>
      <w:r w:rsidRPr="00734AB6">
        <w:rPr>
          <w:rFonts w:asciiTheme="majorHAnsi" w:hAnsiTheme="majorHAnsi"/>
          <w:i/>
          <w:iCs/>
        </w:rPr>
        <w:t>14</w:t>
      </w:r>
      <w:r w:rsidRPr="00734AB6">
        <w:rPr>
          <w:rFonts w:asciiTheme="majorHAnsi" w:hAnsiTheme="majorHAnsi"/>
        </w:rPr>
        <w:t>(7), 799-812.</w:t>
      </w:r>
    </w:p>
    <w:p w14:paraId="50D93AB3" w14:textId="77777777" w:rsidR="00796635" w:rsidRPr="00734AB6" w:rsidRDefault="00796635" w:rsidP="00796635">
      <w:pPr>
        <w:spacing w:line="360" w:lineRule="auto"/>
        <w:ind w:left="851" w:hanging="851"/>
        <w:rPr>
          <w:rFonts w:asciiTheme="majorHAnsi" w:hAnsiTheme="majorHAnsi"/>
        </w:rPr>
      </w:pPr>
      <w:proofErr w:type="spellStart"/>
      <w:r w:rsidRPr="00734AB6">
        <w:rPr>
          <w:rFonts w:asciiTheme="majorHAnsi" w:hAnsiTheme="majorHAnsi"/>
        </w:rPr>
        <w:t>Gizer</w:t>
      </w:r>
      <w:proofErr w:type="spellEnd"/>
      <w:r w:rsidRPr="00734AB6">
        <w:rPr>
          <w:rFonts w:asciiTheme="majorHAnsi" w:hAnsiTheme="majorHAnsi"/>
        </w:rPr>
        <w:t xml:space="preserve">, I. R., Waldman, I. D., Abramowitz, A., Barr, C. L., Feng, Y., </w:t>
      </w:r>
      <w:proofErr w:type="spellStart"/>
      <w:r w:rsidRPr="00734AB6">
        <w:rPr>
          <w:rFonts w:asciiTheme="majorHAnsi" w:hAnsiTheme="majorHAnsi"/>
        </w:rPr>
        <w:t>Wigg</w:t>
      </w:r>
      <w:proofErr w:type="spellEnd"/>
      <w:r w:rsidRPr="00734AB6">
        <w:rPr>
          <w:rFonts w:asciiTheme="majorHAnsi" w:hAnsiTheme="majorHAnsi"/>
        </w:rPr>
        <w:t>, K. G., ... &amp; Rowe, D. C. (2008). Relations between multi-informant assessments of ADHD symptoms, DAT1, and DRD4. </w:t>
      </w:r>
      <w:r w:rsidRPr="00734AB6">
        <w:rPr>
          <w:rFonts w:asciiTheme="majorHAnsi" w:hAnsiTheme="majorHAnsi"/>
          <w:i/>
          <w:iCs/>
        </w:rPr>
        <w:t>Journal of Abnormal Psychology</w:t>
      </w:r>
      <w:r w:rsidRPr="00734AB6">
        <w:rPr>
          <w:rFonts w:asciiTheme="majorHAnsi" w:hAnsiTheme="majorHAnsi"/>
        </w:rPr>
        <w:t>, </w:t>
      </w:r>
      <w:r w:rsidRPr="00734AB6">
        <w:rPr>
          <w:rFonts w:asciiTheme="majorHAnsi" w:hAnsiTheme="majorHAnsi"/>
          <w:i/>
          <w:iCs/>
        </w:rPr>
        <w:t>117</w:t>
      </w:r>
      <w:r w:rsidRPr="00734AB6">
        <w:rPr>
          <w:rFonts w:asciiTheme="majorHAnsi" w:hAnsiTheme="majorHAnsi"/>
        </w:rPr>
        <w:t>(4), 869.</w:t>
      </w:r>
    </w:p>
    <w:p w14:paraId="18E77752" w14:textId="77777777" w:rsidR="00D517ED" w:rsidRPr="00734AB6" w:rsidRDefault="00D517ED" w:rsidP="00D517ED">
      <w:pPr>
        <w:spacing w:line="360" w:lineRule="auto"/>
        <w:ind w:left="709" w:hanging="709"/>
        <w:rPr>
          <w:rFonts w:asciiTheme="majorHAnsi" w:hAnsiTheme="majorHAnsi"/>
        </w:rPr>
      </w:pPr>
      <w:proofErr w:type="spellStart"/>
      <w:r w:rsidRPr="00734AB6">
        <w:rPr>
          <w:rFonts w:asciiTheme="majorHAnsi" w:hAnsiTheme="majorHAnsi"/>
        </w:rPr>
        <w:t>Glannon</w:t>
      </w:r>
      <w:proofErr w:type="spellEnd"/>
      <w:r w:rsidRPr="00734AB6">
        <w:rPr>
          <w:rFonts w:asciiTheme="majorHAnsi" w:hAnsiTheme="majorHAnsi"/>
        </w:rPr>
        <w:t>, W. (2006). Psychopharmacology and memory. </w:t>
      </w:r>
      <w:r w:rsidRPr="00734AB6">
        <w:rPr>
          <w:rFonts w:asciiTheme="majorHAnsi" w:hAnsiTheme="majorHAnsi"/>
          <w:i/>
          <w:iCs/>
        </w:rPr>
        <w:t>Journal of Medical Ethics</w:t>
      </w:r>
      <w:r w:rsidRPr="00734AB6">
        <w:rPr>
          <w:rFonts w:asciiTheme="majorHAnsi" w:hAnsiTheme="majorHAnsi"/>
        </w:rPr>
        <w:t>, </w:t>
      </w:r>
      <w:r w:rsidRPr="00734AB6">
        <w:rPr>
          <w:rFonts w:asciiTheme="majorHAnsi" w:hAnsiTheme="majorHAnsi"/>
          <w:i/>
          <w:iCs/>
        </w:rPr>
        <w:t>32</w:t>
      </w:r>
      <w:r w:rsidRPr="00734AB6">
        <w:rPr>
          <w:rFonts w:asciiTheme="majorHAnsi" w:hAnsiTheme="majorHAnsi"/>
        </w:rPr>
        <w:t>(2), 74-78.</w:t>
      </w:r>
    </w:p>
    <w:p w14:paraId="6798DE61" w14:textId="2E345BBA"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Gobbi</w:t>
      </w:r>
      <w:proofErr w:type="spellEnd"/>
      <w:r w:rsidRPr="00734AB6">
        <w:rPr>
          <w:rFonts w:asciiTheme="majorHAnsi" w:eastAsia="Calibri" w:hAnsiTheme="majorHAnsi" w:cs="Calibri"/>
        </w:rPr>
        <w:t>, G</w:t>
      </w:r>
      <w:r w:rsidR="002614D2" w:rsidRPr="00734AB6">
        <w:rPr>
          <w:rFonts w:asciiTheme="majorHAnsi" w:eastAsia="Calibri" w:hAnsiTheme="majorHAnsi" w:cs="Calibri"/>
        </w:rPr>
        <w:t>.</w:t>
      </w:r>
      <w:r w:rsidRPr="00734AB6">
        <w:rPr>
          <w:rFonts w:asciiTheme="majorHAnsi" w:eastAsia="Calibri" w:hAnsiTheme="majorHAnsi" w:cs="Calibri"/>
        </w:rPr>
        <w:t>, Slater, S</w:t>
      </w:r>
      <w:r w:rsidR="002614D2" w:rsidRPr="00734AB6">
        <w:rPr>
          <w:rFonts w:asciiTheme="majorHAnsi" w:eastAsia="Calibri" w:hAnsiTheme="majorHAnsi" w:cs="Calibri"/>
        </w:rPr>
        <w:t>.</w:t>
      </w:r>
      <w:r w:rsidRPr="00734AB6">
        <w:rPr>
          <w:rFonts w:asciiTheme="majorHAnsi" w:eastAsia="Calibri" w:hAnsiTheme="majorHAnsi" w:cs="Calibri"/>
        </w:rPr>
        <w:t>, Boucher, N</w:t>
      </w:r>
      <w:r w:rsidR="002614D2"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Debonnel</w:t>
      </w:r>
      <w:proofErr w:type="spellEnd"/>
      <w:r w:rsidRPr="00734AB6">
        <w:rPr>
          <w:rFonts w:asciiTheme="majorHAnsi" w:eastAsia="Calibri" w:hAnsiTheme="majorHAnsi" w:cs="Calibri"/>
        </w:rPr>
        <w:t>, G</w:t>
      </w:r>
      <w:r w:rsidR="002614D2" w:rsidRPr="00734AB6">
        <w:rPr>
          <w:rFonts w:asciiTheme="majorHAnsi" w:eastAsia="Calibri" w:hAnsiTheme="majorHAnsi" w:cs="Calibri"/>
        </w:rPr>
        <w:t>.</w:t>
      </w:r>
      <w:r w:rsidRPr="00734AB6">
        <w:rPr>
          <w:rFonts w:asciiTheme="majorHAnsi" w:eastAsia="Calibri" w:hAnsiTheme="majorHAnsi" w:cs="Calibri"/>
        </w:rPr>
        <w:t xml:space="preserve"> </w:t>
      </w:r>
      <w:r w:rsidR="00E369E2"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Blier</w:t>
      </w:r>
      <w:proofErr w:type="spellEnd"/>
      <w:r w:rsidRPr="00734AB6">
        <w:rPr>
          <w:rFonts w:asciiTheme="majorHAnsi" w:eastAsia="Calibri" w:hAnsiTheme="majorHAnsi" w:cs="Calibri"/>
        </w:rPr>
        <w:t>, P</w:t>
      </w:r>
      <w:r w:rsidR="002614D2" w:rsidRPr="00734AB6">
        <w:rPr>
          <w:rFonts w:asciiTheme="majorHAnsi" w:eastAsia="Calibri" w:hAnsiTheme="majorHAnsi" w:cs="Calibri"/>
        </w:rPr>
        <w:t>.</w:t>
      </w:r>
      <w:r w:rsidRPr="00734AB6">
        <w:rPr>
          <w:rFonts w:asciiTheme="majorHAnsi" w:eastAsia="Calibri" w:hAnsiTheme="majorHAnsi" w:cs="Calibri"/>
        </w:rPr>
        <w:t xml:space="preserve"> (2003).  Neurochemical and psychotropic effects of bupropion in healthy male subjects, </w:t>
      </w:r>
      <w:r w:rsidRPr="00734AB6">
        <w:rPr>
          <w:rFonts w:asciiTheme="majorHAnsi" w:eastAsia="Calibri" w:hAnsiTheme="majorHAnsi" w:cs="Calibri"/>
          <w:i/>
        </w:rPr>
        <w:t>Journal of Clinical Psychopharmacology</w:t>
      </w:r>
      <w:r w:rsidRPr="00734AB6">
        <w:rPr>
          <w:rFonts w:asciiTheme="majorHAnsi" w:eastAsia="Calibri" w:hAnsiTheme="majorHAnsi" w:cs="Calibri"/>
        </w:rPr>
        <w:t xml:space="preserve">, </w:t>
      </w:r>
      <w:r w:rsidRPr="00734AB6">
        <w:rPr>
          <w:rFonts w:asciiTheme="majorHAnsi" w:eastAsia="Calibri" w:hAnsiTheme="majorHAnsi" w:cs="Calibri"/>
          <w:i/>
        </w:rPr>
        <w:t>23,</w:t>
      </w:r>
      <w:r w:rsidRPr="00734AB6">
        <w:rPr>
          <w:rFonts w:asciiTheme="majorHAnsi" w:eastAsia="Calibri" w:hAnsiTheme="majorHAnsi" w:cs="Calibri"/>
        </w:rPr>
        <w:t xml:space="preserve"> 2330239.</w:t>
      </w:r>
    </w:p>
    <w:p w14:paraId="32BE272D"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Gonzalez-Burgos, I., &amp; Feria-Velasco, A. (2008). Serotonin/dopamine interaction in memory formation. </w:t>
      </w:r>
      <w:r w:rsidRPr="00734AB6">
        <w:rPr>
          <w:rFonts w:asciiTheme="majorHAnsi" w:eastAsia="Calibri" w:hAnsiTheme="majorHAnsi" w:cs="Calibri"/>
          <w:i/>
          <w:iCs/>
        </w:rPr>
        <w:t>Progress in brain research</w:t>
      </w:r>
      <w:r w:rsidRPr="00734AB6">
        <w:rPr>
          <w:rFonts w:asciiTheme="majorHAnsi" w:eastAsia="Calibri" w:hAnsiTheme="majorHAnsi" w:cs="Calibri"/>
        </w:rPr>
        <w:t>, </w:t>
      </w:r>
      <w:r w:rsidRPr="00734AB6">
        <w:rPr>
          <w:rFonts w:asciiTheme="majorHAnsi" w:eastAsia="Calibri" w:hAnsiTheme="majorHAnsi" w:cs="Calibri"/>
          <w:i/>
          <w:iCs/>
        </w:rPr>
        <w:t>172</w:t>
      </w:r>
      <w:r w:rsidRPr="00734AB6">
        <w:rPr>
          <w:rFonts w:asciiTheme="majorHAnsi" w:eastAsia="Calibri" w:hAnsiTheme="majorHAnsi" w:cs="Calibri"/>
        </w:rPr>
        <w:t>, 603-623.</w:t>
      </w:r>
    </w:p>
    <w:p w14:paraId="43F1C8CE" w14:textId="5C0C55E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Graham, M., &amp; Dutton, W. H. (Eds.). (2019). Society and the internet: How networks of information and communication are changing our lives. </w:t>
      </w:r>
      <w:r w:rsidR="002614D2" w:rsidRPr="00734AB6">
        <w:rPr>
          <w:rFonts w:asciiTheme="majorHAnsi" w:eastAsia="Calibri" w:hAnsiTheme="majorHAnsi" w:cs="Calibri"/>
        </w:rPr>
        <w:t xml:space="preserve">Oxford: </w:t>
      </w:r>
      <w:r w:rsidRPr="00734AB6">
        <w:rPr>
          <w:rFonts w:asciiTheme="majorHAnsi" w:eastAsia="Calibri" w:hAnsiTheme="majorHAnsi" w:cs="Calibri"/>
        </w:rPr>
        <w:t>Oxford University Press.</w:t>
      </w:r>
    </w:p>
    <w:p w14:paraId="2DB17069" w14:textId="6F954153"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Grant, D., &amp; Berg, E. A. (1</w:t>
      </w:r>
      <w:r w:rsidR="00E20D54" w:rsidRPr="00734AB6">
        <w:rPr>
          <w:rFonts w:asciiTheme="majorHAnsi" w:hAnsiTheme="majorHAnsi" w:cs="Arial"/>
        </w:rPr>
        <w:t>9</w:t>
      </w:r>
      <w:r w:rsidRPr="00734AB6">
        <w:rPr>
          <w:rFonts w:asciiTheme="majorHAnsi" w:hAnsiTheme="majorHAnsi" w:cs="Arial"/>
        </w:rPr>
        <w:t xml:space="preserve">48). </w:t>
      </w:r>
      <w:r w:rsidRPr="00734AB6">
        <w:rPr>
          <w:rFonts w:asciiTheme="majorHAnsi" w:hAnsiTheme="majorHAnsi" w:cs="Arial"/>
          <w:i/>
        </w:rPr>
        <w:t>Wisconsin Card Sorting Test</w:t>
      </w:r>
      <w:r w:rsidRPr="00734AB6">
        <w:rPr>
          <w:rFonts w:asciiTheme="majorHAnsi" w:hAnsiTheme="majorHAnsi" w:cs="Arial"/>
        </w:rPr>
        <w:t>. Lost Angeles: Western Psychological Corporation.</w:t>
      </w:r>
    </w:p>
    <w:p w14:paraId="0B32435D"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Gratton, G., Coles, M. G., &amp; </w:t>
      </w:r>
      <w:proofErr w:type="spellStart"/>
      <w:r w:rsidRPr="00734AB6">
        <w:rPr>
          <w:rFonts w:asciiTheme="majorHAnsi" w:hAnsiTheme="majorHAnsi" w:cs="Arial"/>
        </w:rPr>
        <w:t>Donchin</w:t>
      </w:r>
      <w:proofErr w:type="spellEnd"/>
      <w:r w:rsidRPr="00734AB6">
        <w:rPr>
          <w:rFonts w:asciiTheme="majorHAnsi" w:hAnsiTheme="majorHAnsi" w:cs="Arial"/>
        </w:rPr>
        <w:t>, E. (1992). Optimizing the use of information: strategic control of activation of responses. </w:t>
      </w:r>
      <w:r w:rsidRPr="00734AB6">
        <w:rPr>
          <w:rFonts w:asciiTheme="majorHAnsi" w:hAnsiTheme="majorHAnsi" w:cs="Arial"/>
          <w:i/>
          <w:iCs/>
        </w:rPr>
        <w:t>Journal of Experimental Psychology: General</w:t>
      </w:r>
      <w:r w:rsidRPr="00734AB6">
        <w:rPr>
          <w:rFonts w:asciiTheme="majorHAnsi" w:hAnsiTheme="majorHAnsi" w:cs="Arial"/>
        </w:rPr>
        <w:t>, </w:t>
      </w:r>
      <w:r w:rsidRPr="00734AB6">
        <w:rPr>
          <w:rFonts w:asciiTheme="majorHAnsi" w:hAnsiTheme="majorHAnsi" w:cs="Arial"/>
          <w:i/>
          <w:iCs/>
        </w:rPr>
        <w:t>121</w:t>
      </w:r>
      <w:r w:rsidRPr="00734AB6">
        <w:rPr>
          <w:rFonts w:asciiTheme="majorHAnsi" w:hAnsiTheme="majorHAnsi" w:cs="Arial"/>
        </w:rPr>
        <w:t>(4), 480.</w:t>
      </w:r>
    </w:p>
    <w:p w14:paraId="224F0ABF"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Gray, S., </w:t>
      </w:r>
      <w:proofErr w:type="spellStart"/>
      <w:r w:rsidRPr="00734AB6">
        <w:rPr>
          <w:rFonts w:asciiTheme="majorHAnsi" w:hAnsiTheme="majorHAnsi" w:cs="Arial"/>
        </w:rPr>
        <w:t>Woltering</w:t>
      </w:r>
      <w:proofErr w:type="spellEnd"/>
      <w:r w:rsidRPr="00734AB6">
        <w:rPr>
          <w:rFonts w:asciiTheme="majorHAnsi" w:hAnsiTheme="majorHAnsi" w:cs="Arial"/>
        </w:rPr>
        <w:t xml:space="preserve">, S., </w:t>
      </w:r>
      <w:proofErr w:type="spellStart"/>
      <w:r w:rsidRPr="00734AB6">
        <w:rPr>
          <w:rFonts w:asciiTheme="majorHAnsi" w:hAnsiTheme="majorHAnsi" w:cs="Arial"/>
        </w:rPr>
        <w:t>Mawjee</w:t>
      </w:r>
      <w:proofErr w:type="spellEnd"/>
      <w:r w:rsidRPr="00734AB6">
        <w:rPr>
          <w:rFonts w:asciiTheme="majorHAnsi" w:hAnsiTheme="majorHAnsi" w:cs="Arial"/>
        </w:rPr>
        <w:t xml:space="preserve">, K., &amp; </w:t>
      </w:r>
      <w:proofErr w:type="spellStart"/>
      <w:r w:rsidRPr="00734AB6">
        <w:rPr>
          <w:rFonts w:asciiTheme="majorHAnsi" w:hAnsiTheme="majorHAnsi" w:cs="Arial"/>
        </w:rPr>
        <w:t>Tannock</w:t>
      </w:r>
      <w:proofErr w:type="spellEnd"/>
      <w:r w:rsidRPr="00734AB6">
        <w:rPr>
          <w:rFonts w:asciiTheme="majorHAnsi" w:hAnsiTheme="majorHAnsi" w:cs="Arial"/>
        </w:rPr>
        <w:t>, R. (2014). The Adult ADHD Self-Report Scale (ASRS): utility in college students with attention-deficit/hyperactivity disorder. </w:t>
      </w:r>
      <w:proofErr w:type="spellStart"/>
      <w:r w:rsidRPr="00734AB6">
        <w:rPr>
          <w:rFonts w:asciiTheme="majorHAnsi" w:hAnsiTheme="majorHAnsi" w:cs="Arial"/>
          <w:i/>
          <w:iCs/>
        </w:rPr>
        <w:t>PeerJ</w:t>
      </w:r>
      <w:proofErr w:type="spellEnd"/>
      <w:r w:rsidRPr="00734AB6">
        <w:rPr>
          <w:rFonts w:asciiTheme="majorHAnsi" w:hAnsiTheme="majorHAnsi" w:cs="Arial"/>
        </w:rPr>
        <w:t>, </w:t>
      </w:r>
      <w:r w:rsidRPr="00734AB6">
        <w:rPr>
          <w:rFonts w:asciiTheme="majorHAnsi" w:hAnsiTheme="majorHAnsi" w:cs="Arial"/>
          <w:i/>
          <w:iCs/>
        </w:rPr>
        <w:t>2</w:t>
      </w:r>
      <w:r w:rsidRPr="00734AB6">
        <w:rPr>
          <w:rFonts w:asciiTheme="majorHAnsi" w:hAnsiTheme="majorHAnsi" w:cs="Arial"/>
        </w:rPr>
        <w:t>, e324.</w:t>
      </w:r>
    </w:p>
    <w:p w14:paraId="4D5C118F"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Greely, H., Sahakian, B., Harris, J., Kessler, R. C., Gazzaniga, M., Campbell, P., &amp; Farah, M. J. (2008). Towards responsible use of cognitive-enhancing drugs by the healthy. </w:t>
      </w:r>
      <w:r w:rsidRPr="00734AB6">
        <w:rPr>
          <w:rFonts w:asciiTheme="majorHAnsi" w:hAnsiTheme="majorHAnsi" w:cs="Arial"/>
          <w:i/>
        </w:rPr>
        <w:t>Nature</w:t>
      </w:r>
      <w:r w:rsidRPr="00734AB6">
        <w:rPr>
          <w:rFonts w:asciiTheme="majorHAnsi" w:hAnsiTheme="majorHAnsi" w:cs="Arial"/>
        </w:rPr>
        <w:t xml:space="preserve">, </w:t>
      </w:r>
      <w:r w:rsidRPr="00734AB6">
        <w:rPr>
          <w:rFonts w:asciiTheme="majorHAnsi" w:hAnsiTheme="majorHAnsi" w:cs="Arial"/>
          <w:i/>
        </w:rPr>
        <w:t>456</w:t>
      </w:r>
      <w:r w:rsidRPr="00734AB6">
        <w:rPr>
          <w:rFonts w:asciiTheme="majorHAnsi" w:hAnsiTheme="majorHAnsi" w:cs="Arial"/>
        </w:rPr>
        <w:t>(7223), 702.</w:t>
      </w:r>
    </w:p>
    <w:p w14:paraId="740A6384"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lastRenderedPageBreak/>
        <w:t xml:space="preserve">Greenberg, L. M. (1990). </w:t>
      </w:r>
      <w:r w:rsidRPr="00734AB6">
        <w:rPr>
          <w:rFonts w:asciiTheme="majorHAnsi" w:hAnsiTheme="majorHAnsi" w:cs="Arial"/>
          <w:i/>
        </w:rPr>
        <w:t>The test of variables of attention (versions 5. 01, 5.0 A).</w:t>
      </w:r>
      <w:r w:rsidRPr="00734AB6">
        <w:rPr>
          <w:rFonts w:asciiTheme="majorHAnsi" w:hAnsiTheme="majorHAnsi" w:cs="Arial"/>
        </w:rPr>
        <w:t> </w:t>
      </w:r>
      <w:r w:rsidRPr="00734AB6">
        <w:rPr>
          <w:rFonts w:asciiTheme="majorHAnsi" w:hAnsiTheme="majorHAnsi" w:cs="Arial"/>
          <w:iCs/>
        </w:rPr>
        <w:t>Los Alamitos, CA: Universal Attention Disorders</w:t>
      </w:r>
      <w:r w:rsidRPr="00734AB6">
        <w:rPr>
          <w:rFonts w:asciiTheme="majorHAnsi" w:hAnsiTheme="majorHAnsi" w:cs="Arial"/>
        </w:rPr>
        <w:t>.</w:t>
      </w:r>
    </w:p>
    <w:p w14:paraId="4D98A993"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Greenberg, L., </w:t>
      </w:r>
      <w:proofErr w:type="spellStart"/>
      <w:r w:rsidRPr="00734AB6">
        <w:rPr>
          <w:rFonts w:asciiTheme="majorHAnsi" w:hAnsiTheme="majorHAnsi" w:cs="Arial"/>
        </w:rPr>
        <w:t>Kindschi</w:t>
      </w:r>
      <w:proofErr w:type="spellEnd"/>
      <w:r w:rsidRPr="00734AB6">
        <w:rPr>
          <w:rFonts w:asciiTheme="majorHAnsi" w:hAnsiTheme="majorHAnsi" w:cs="Arial"/>
        </w:rPr>
        <w:t>, C. L., &amp; Corman, C. M. (2000). TOVA: Test of Variables of Attention. Los Alamitos, CA: Universal Attention Disorders.</w:t>
      </w:r>
    </w:p>
    <w:p w14:paraId="63D748C9" w14:textId="77777777" w:rsidR="00D517ED" w:rsidRPr="00734AB6" w:rsidRDefault="00D517ED" w:rsidP="00D517ED">
      <w:pPr>
        <w:spacing w:line="360" w:lineRule="auto"/>
        <w:ind w:left="709" w:hanging="709"/>
        <w:rPr>
          <w:rFonts w:asciiTheme="majorHAnsi" w:hAnsiTheme="majorHAnsi"/>
        </w:rPr>
      </w:pPr>
      <w:r w:rsidRPr="00734AB6">
        <w:rPr>
          <w:rFonts w:asciiTheme="majorHAnsi" w:hAnsiTheme="majorHAnsi"/>
        </w:rPr>
        <w:t> </w:t>
      </w:r>
      <w:r w:rsidRPr="00734AB6">
        <w:rPr>
          <w:rFonts w:asciiTheme="majorHAnsi" w:hAnsiTheme="majorHAnsi"/>
          <w:iCs/>
        </w:rPr>
        <w:t xml:space="preserve">Green List, (2003). Annex to the annual statistical report on psychotropic substances (form P) </w:t>
      </w:r>
      <w:r w:rsidRPr="00734AB6">
        <w:rPr>
          <w:rFonts w:asciiTheme="majorHAnsi" w:hAnsiTheme="majorHAnsi"/>
        </w:rPr>
        <w:t xml:space="preserve">23rd edition. August 2003. International Narcotics Board, Vienna International Centre. Accessed from </w:t>
      </w:r>
      <w:hyperlink r:id="rId33" w:history="1">
        <w:r w:rsidRPr="00734AB6">
          <w:rPr>
            <w:rStyle w:val="Hyperlink"/>
          </w:rPr>
          <w:t>https://web.archive.org/web/20120831222336/http://www.incb.org/pdf/e/list/green.pdf</w:t>
        </w:r>
      </w:hyperlink>
      <w:r w:rsidRPr="00734AB6">
        <w:rPr>
          <w:rFonts w:asciiTheme="majorHAnsi" w:hAnsiTheme="majorHAnsi"/>
        </w:rPr>
        <w:t xml:space="preserve"> </w:t>
      </w:r>
    </w:p>
    <w:p w14:paraId="55E46706"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Gustavson</w:t>
      </w:r>
      <w:proofErr w:type="spellEnd"/>
      <w:r w:rsidRPr="00734AB6">
        <w:rPr>
          <w:rFonts w:asciiTheme="majorHAnsi" w:hAnsiTheme="majorHAnsi" w:cstheme="minorHAnsi"/>
          <w:shd w:val="clear" w:color="auto" w:fill="FFFFFF"/>
        </w:rPr>
        <w:t>, D. E., Stallings, M. C., Corley, R. P., Miyake, A., Hewitt, J. K., &amp; Friedman, N. P. (2017). Executive functions and substance use: Relations in late adolescence and early adulthood.</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Journal of Abnormal Psychology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126</w:t>
      </w:r>
      <w:r w:rsidRPr="00734AB6">
        <w:rPr>
          <w:rFonts w:asciiTheme="majorHAnsi" w:hAnsiTheme="majorHAnsi" w:cstheme="minorHAnsi"/>
          <w:shd w:val="clear" w:color="auto" w:fill="FFFFFF"/>
        </w:rPr>
        <w:t>(2), 257.</w:t>
      </w:r>
    </w:p>
    <w:p w14:paraId="36513C07" w14:textId="77777777" w:rsidR="004676EF" w:rsidRPr="00734AB6" w:rsidRDefault="004676EF" w:rsidP="00D06771">
      <w:pPr>
        <w:spacing w:line="360" w:lineRule="auto"/>
        <w:ind w:left="720" w:hanging="720"/>
        <w:rPr>
          <w:rFonts w:asciiTheme="majorHAnsi" w:hAnsiTheme="majorHAnsi" w:cstheme="minorHAnsi"/>
          <w:i/>
          <w:shd w:val="clear" w:color="auto" w:fill="FFFFFF"/>
        </w:rPr>
      </w:pPr>
      <w:r w:rsidRPr="00734AB6">
        <w:rPr>
          <w:rFonts w:asciiTheme="majorHAnsi" w:hAnsiTheme="majorHAnsi" w:cstheme="minorHAnsi"/>
          <w:shd w:val="clear" w:color="auto" w:fill="FFFFFF"/>
        </w:rPr>
        <w:t xml:space="preserve">Guy, W.E. (1976). ECDEU assessment manual for psychopharmacology-revised (DHEW </w:t>
      </w:r>
      <w:proofErr w:type="spellStart"/>
      <w:r w:rsidRPr="00734AB6">
        <w:rPr>
          <w:rFonts w:asciiTheme="majorHAnsi" w:hAnsiTheme="majorHAnsi" w:cstheme="minorHAnsi"/>
          <w:shd w:val="clear" w:color="auto" w:fill="FFFFFF"/>
        </w:rPr>
        <w:t>Publ</w:t>
      </w:r>
      <w:proofErr w:type="spellEnd"/>
      <w:r w:rsidRPr="00734AB6">
        <w:rPr>
          <w:rFonts w:asciiTheme="majorHAnsi" w:hAnsiTheme="majorHAnsi" w:cstheme="minorHAnsi"/>
          <w:shd w:val="clear" w:color="auto" w:fill="FFFFFF"/>
        </w:rPr>
        <w:t xml:space="preserve"> No ADM 76-338). Rockville, MD, us Department of Health, Education, and Welfare. </w:t>
      </w:r>
      <w:r w:rsidRPr="00734AB6">
        <w:rPr>
          <w:rFonts w:asciiTheme="majorHAnsi" w:hAnsiTheme="majorHAnsi" w:cstheme="minorHAnsi"/>
          <w:i/>
          <w:shd w:val="clear" w:color="auto" w:fill="FFFFFF"/>
        </w:rPr>
        <w:t>Public Health Service, Alcohol, Drug Abuse, and Mental Health Administration, NIMH Psychopharmacology Research Branch, Division of Extramural Research Programs, 1076, 534-7.</w:t>
      </w:r>
    </w:p>
    <w:p w14:paraId="20FF65C3" w14:textId="426A1D3E" w:rsidR="000B34DB" w:rsidRPr="00734AB6" w:rsidRDefault="000B34DB"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Hallett, P. E. (1978). Primary and secondary saccades to goals defined by instructions</w:t>
      </w:r>
      <w:r w:rsidR="00671CE2" w:rsidRPr="00734AB6">
        <w:rPr>
          <w:rFonts w:asciiTheme="majorHAnsi" w:eastAsia="Calibri" w:hAnsiTheme="majorHAnsi" w:cs="Calibri"/>
        </w:rPr>
        <w:t xml:space="preserve">. </w:t>
      </w:r>
      <w:r w:rsidR="00671CE2" w:rsidRPr="00734AB6">
        <w:rPr>
          <w:rFonts w:asciiTheme="majorHAnsi" w:eastAsia="Calibri" w:hAnsiTheme="majorHAnsi" w:cs="Calibri"/>
          <w:i/>
        </w:rPr>
        <w:t>Vision Research, 20</w:t>
      </w:r>
      <w:r w:rsidR="00671CE2" w:rsidRPr="00734AB6">
        <w:rPr>
          <w:rFonts w:asciiTheme="majorHAnsi" w:eastAsia="Calibri" w:hAnsiTheme="majorHAnsi" w:cs="Calibri"/>
        </w:rPr>
        <w:t>, 1279096.</w:t>
      </w:r>
    </w:p>
    <w:p w14:paraId="6578B321" w14:textId="05E4943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Hamilton, M. A. X. (1959). The assessment of anxiety states by rating. </w:t>
      </w:r>
      <w:r w:rsidRPr="00734AB6">
        <w:rPr>
          <w:rFonts w:asciiTheme="majorHAnsi" w:eastAsia="Calibri" w:hAnsiTheme="majorHAnsi" w:cs="Calibri"/>
          <w:i/>
          <w:iCs/>
        </w:rPr>
        <w:t xml:space="preserve">British </w:t>
      </w:r>
      <w:r w:rsidR="00006F4F" w:rsidRPr="00734AB6">
        <w:rPr>
          <w:rFonts w:asciiTheme="majorHAnsi" w:eastAsia="Calibri" w:hAnsiTheme="majorHAnsi" w:cs="Calibri"/>
          <w:i/>
          <w:iCs/>
        </w:rPr>
        <w:t>Journal of Medical P</w:t>
      </w:r>
      <w:r w:rsidRPr="00734AB6">
        <w:rPr>
          <w:rFonts w:asciiTheme="majorHAnsi" w:eastAsia="Calibri" w:hAnsiTheme="majorHAnsi" w:cs="Calibri"/>
          <w:i/>
          <w:iCs/>
        </w:rPr>
        <w:t>sychology</w:t>
      </w:r>
      <w:r w:rsidRPr="00734AB6">
        <w:rPr>
          <w:rFonts w:asciiTheme="majorHAnsi" w:eastAsia="Calibri" w:hAnsiTheme="majorHAnsi" w:cs="Calibri"/>
        </w:rPr>
        <w:t>, </w:t>
      </w:r>
      <w:r w:rsidRPr="00734AB6">
        <w:rPr>
          <w:rFonts w:asciiTheme="majorHAnsi" w:eastAsia="Calibri" w:hAnsiTheme="majorHAnsi" w:cs="Calibri"/>
          <w:i/>
          <w:iCs/>
        </w:rPr>
        <w:t>32</w:t>
      </w:r>
      <w:r w:rsidRPr="00734AB6">
        <w:rPr>
          <w:rFonts w:asciiTheme="majorHAnsi" w:eastAsia="Calibri" w:hAnsiTheme="majorHAnsi" w:cs="Calibri"/>
        </w:rPr>
        <w:t>(1), 50-55.</w:t>
      </w:r>
    </w:p>
    <w:p w14:paraId="627CE9FA" w14:textId="7D25A7AD"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Hamilton, M. (1960). A rating scale for depression. </w:t>
      </w:r>
      <w:r w:rsidRPr="00734AB6">
        <w:rPr>
          <w:rFonts w:asciiTheme="majorHAnsi" w:eastAsia="Calibri" w:hAnsiTheme="majorHAnsi" w:cs="Calibri"/>
          <w:i/>
          <w:iCs/>
        </w:rPr>
        <w:t xml:space="preserve">Journal of </w:t>
      </w:r>
      <w:r w:rsidR="00006F4F" w:rsidRPr="00734AB6">
        <w:rPr>
          <w:rFonts w:asciiTheme="majorHAnsi" w:eastAsia="Calibri" w:hAnsiTheme="majorHAnsi" w:cs="Calibri"/>
          <w:i/>
          <w:iCs/>
        </w:rPr>
        <w:t>Neurology, Neurosurgery, and Psychiatry</w:t>
      </w:r>
      <w:r w:rsidR="00006F4F" w:rsidRPr="00734AB6">
        <w:rPr>
          <w:rFonts w:asciiTheme="majorHAnsi" w:eastAsia="Calibri" w:hAnsiTheme="majorHAnsi" w:cs="Calibri"/>
        </w:rPr>
        <w:t>,</w:t>
      </w:r>
      <w:r w:rsidRPr="00734AB6">
        <w:rPr>
          <w:rFonts w:asciiTheme="majorHAnsi" w:eastAsia="Calibri" w:hAnsiTheme="majorHAnsi" w:cs="Calibri"/>
        </w:rPr>
        <w:t> </w:t>
      </w:r>
      <w:r w:rsidRPr="00734AB6">
        <w:rPr>
          <w:rFonts w:asciiTheme="majorHAnsi" w:eastAsia="Calibri" w:hAnsiTheme="majorHAnsi" w:cs="Calibri"/>
          <w:i/>
          <w:iCs/>
        </w:rPr>
        <w:t>23</w:t>
      </w:r>
      <w:r w:rsidRPr="00734AB6">
        <w:rPr>
          <w:rFonts w:asciiTheme="majorHAnsi" w:eastAsia="Calibri" w:hAnsiTheme="majorHAnsi" w:cs="Calibri"/>
        </w:rPr>
        <w:t>(1), 56.</w:t>
      </w:r>
    </w:p>
    <w:p w14:paraId="1923D122" w14:textId="77777777" w:rsidR="00E5175A" w:rsidRPr="00734AB6" w:rsidRDefault="00E5175A" w:rsidP="00E5175A">
      <w:pPr>
        <w:spacing w:line="360" w:lineRule="auto"/>
        <w:ind w:left="709" w:hanging="709"/>
        <w:rPr>
          <w:rFonts w:asciiTheme="majorHAnsi" w:hAnsiTheme="majorHAnsi" w:cstheme="majorHAnsi"/>
        </w:rPr>
      </w:pPr>
      <w:r w:rsidRPr="00734AB6">
        <w:rPr>
          <w:rFonts w:asciiTheme="majorHAnsi" w:hAnsiTheme="majorHAnsi" w:cstheme="majorHAnsi"/>
        </w:rPr>
        <w:t>Hampshire, A., Chamberlain, S. R., Monti, M. M., Duncan, J., &amp; Owen, A. M. (2010). The role of the right inferior frontal gyrus: inhibition and attentional control. </w:t>
      </w:r>
      <w:r w:rsidRPr="00734AB6">
        <w:rPr>
          <w:rFonts w:asciiTheme="majorHAnsi" w:hAnsiTheme="majorHAnsi" w:cstheme="majorHAnsi"/>
          <w:i/>
          <w:iCs/>
        </w:rPr>
        <w:t>Neuroimage</w:t>
      </w:r>
      <w:r w:rsidRPr="00734AB6">
        <w:rPr>
          <w:rFonts w:asciiTheme="majorHAnsi" w:hAnsiTheme="majorHAnsi" w:cstheme="majorHAnsi"/>
        </w:rPr>
        <w:t>, </w:t>
      </w:r>
      <w:r w:rsidRPr="00734AB6">
        <w:rPr>
          <w:rFonts w:asciiTheme="majorHAnsi" w:hAnsiTheme="majorHAnsi" w:cstheme="majorHAnsi"/>
          <w:i/>
          <w:iCs/>
        </w:rPr>
        <w:t>50</w:t>
      </w:r>
      <w:r w:rsidRPr="00734AB6">
        <w:rPr>
          <w:rFonts w:asciiTheme="majorHAnsi" w:hAnsiTheme="majorHAnsi" w:cstheme="majorHAnsi"/>
        </w:rPr>
        <w:t>(3), 1313-1319.</w:t>
      </w:r>
    </w:p>
    <w:p w14:paraId="62575470" w14:textId="2A387F7A" w:rsidR="00E5175A" w:rsidRPr="00734AB6" w:rsidRDefault="00E5175A" w:rsidP="00E5175A">
      <w:pPr>
        <w:spacing w:line="360" w:lineRule="auto"/>
        <w:ind w:left="709" w:hanging="709"/>
        <w:rPr>
          <w:rFonts w:asciiTheme="majorHAnsi" w:hAnsiTheme="majorHAnsi" w:cstheme="majorHAnsi"/>
        </w:rPr>
      </w:pPr>
      <w:r w:rsidRPr="00734AB6">
        <w:rPr>
          <w:rFonts w:asciiTheme="majorHAnsi" w:hAnsiTheme="majorHAnsi" w:cstheme="majorHAnsi"/>
        </w:rPr>
        <w:t>Hariri, A. R., &amp; Holmes, A. (2006). Genetics of emotional regulation: the role of the serotonin transporter in neural function. </w:t>
      </w:r>
      <w:r w:rsidRPr="00734AB6">
        <w:rPr>
          <w:rFonts w:asciiTheme="majorHAnsi" w:hAnsiTheme="majorHAnsi" w:cstheme="majorHAnsi"/>
          <w:i/>
          <w:iCs/>
        </w:rPr>
        <w:t>Trends in Cognitive Sciences</w:t>
      </w:r>
      <w:r w:rsidRPr="00734AB6">
        <w:rPr>
          <w:rFonts w:asciiTheme="majorHAnsi" w:hAnsiTheme="majorHAnsi" w:cstheme="majorHAnsi"/>
        </w:rPr>
        <w:t>, </w:t>
      </w:r>
      <w:r w:rsidRPr="00734AB6">
        <w:rPr>
          <w:rFonts w:asciiTheme="majorHAnsi" w:hAnsiTheme="majorHAnsi" w:cstheme="majorHAnsi"/>
          <w:i/>
          <w:iCs/>
        </w:rPr>
        <w:t>10</w:t>
      </w:r>
      <w:r w:rsidRPr="00734AB6">
        <w:rPr>
          <w:rFonts w:asciiTheme="majorHAnsi" w:hAnsiTheme="majorHAnsi" w:cstheme="majorHAnsi"/>
        </w:rPr>
        <w:t>(4), 182-191.</w:t>
      </w:r>
    </w:p>
    <w:p w14:paraId="5CA6698A"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Heishman</w:t>
      </w:r>
      <w:proofErr w:type="spellEnd"/>
      <w:r w:rsidRPr="00734AB6">
        <w:rPr>
          <w:rFonts w:asciiTheme="majorHAnsi" w:eastAsia="Calibri" w:hAnsiTheme="majorHAnsi" w:cs="Calibri"/>
        </w:rPr>
        <w:t xml:space="preserve">, S. J., </w:t>
      </w:r>
      <w:proofErr w:type="spellStart"/>
      <w:r w:rsidRPr="00734AB6">
        <w:rPr>
          <w:rFonts w:asciiTheme="majorHAnsi" w:eastAsia="Calibri" w:hAnsiTheme="majorHAnsi" w:cs="Calibri"/>
        </w:rPr>
        <w:t>Kleykamp</w:t>
      </w:r>
      <w:proofErr w:type="spellEnd"/>
      <w:r w:rsidRPr="00734AB6">
        <w:rPr>
          <w:rFonts w:asciiTheme="majorHAnsi" w:eastAsia="Calibri" w:hAnsiTheme="majorHAnsi" w:cs="Calibri"/>
        </w:rPr>
        <w:t>, B. A., &amp; Singleton, E. G. (2010). Meta-analysis of the acute effects of nicotine and smoking on human performance. </w:t>
      </w:r>
      <w:r w:rsidRPr="00734AB6">
        <w:rPr>
          <w:rFonts w:asciiTheme="majorHAnsi" w:eastAsia="Calibri" w:hAnsiTheme="majorHAnsi" w:cs="Calibri"/>
          <w:i/>
          <w:iCs/>
        </w:rPr>
        <w:t>Psychopharmacology</w:t>
      </w:r>
      <w:r w:rsidRPr="00734AB6">
        <w:rPr>
          <w:rFonts w:asciiTheme="majorHAnsi" w:eastAsia="Calibri" w:hAnsiTheme="majorHAnsi" w:cs="Calibri"/>
        </w:rPr>
        <w:t>, </w:t>
      </w:r>
      <w:r w:rsidRPr="00734AB6">
        <w:rPr>
          <w:rFonts w:asciiTheme="majorHAnsi" w:eastAsia="Calibri" w:hAnsiTheme="majorHAnsi" w:cs="Calibri"/>
          <w:i/>
          <w:iCs/>
        </w:rPr>
        <w:t>210</w:t>
      </w:r>
      <w:r w:rsidRPr="00734AB6">
        <w:rPr>
          <w:rFonts w:asciiTheme="majorHAnsi" w:eastAsia="Calibri" w:hAnsiTheme="majorHAnsi" w:cs="Calibri"/>
        </w:rPr>
        <w:t>(4), 453-469.</w:t>
      </w:r>
    </w:p>
    <w:p w14:paraId="68F72781" w14:textId="77777777" w:rsidR="00D517ED" w:rsidRPr="00734AB6" w:rsidRDefault="00D517ED" w:rsidP="00D517ED">
      <w:pPr>
        <w:spacing w:line="360" w:lineRule="auto"/>
        <w:ind w:left="851" w:hanging="851"/>
        <w:rPr>
          <w:rFonts w:asciiTheme="majorHAnsi" w:hAnsiTheme="majorHAnsi"/>
        </w:rPr>
      </w:pPr>
      <w:r w:rsidRPr="00734AB6">
        <w:rPr>
          <w:rFonts w:asciiTheme="majorHAnsi" w:hAnsiTheme="majorHAnsi"/>
        </w:rPr>
        <w:lastRenderedPageBreak/>
        <w:t xml:space="preserve">Herrmann, M. J., Walter, A., </w:t>
      </w:r>
      <w:proofErr w:type="spellStart"/>
      <w:r w:rsidRPr="00734AB6">
        <w:rPr>
          <w:rFonts w:asciiTheme="majorHAnsi" w:hAnsiTheme="majorHAnsi"/>
        </w:rPr>
        <w:t>Schreppel</w:t>
      </w:r>
      <w:proofErr w:type="spellEnd"/>
      <w:r w:rsidRPr="00734AB6">
        <w:rPr>
          <w:rFonts w:asciiTheme="majorHAnsi" w:hAnsiTheme="majorHAnsi"/>
        </w:rPr>
        <w:t xml:space="preserve">, T., </w:t>
      </w:r>
      <w:proofErr w:type="spellStart"/>
      <w:r w:rsidRPr="00734AB6">
        <w:rPr>
          <w:rFonts w:asciiTheme="majorHAnsi" w:hAnsiTheme="majorHAnsi"/>
        </w:rPr>
        <w:t>Ehlis</w:t>
      </w:r>
      <w:proofErr w:type="spellEnd"/>
      <w:r w:rsidRPr="00734AB6">
        <w:rPr>
          <w:rFonts w:asciiTheme="majorHAnsi" w:hAnsiTheme="majorHAnsi"/>
        </w:rPr>
        <w:t xml:space="preserve">, A. C., Pauli, P., </w:t>
      </w:r>
      <w:proofErr w:type="spellStart"/>
      <w:r w:rsidRPr="00734AB6">
        <w:rPr>
          <w:rFonts w:asciiTheme="majorHAnsi" w:hAnsiTheme="majorHAnsi"/>
        </w:rPr>
        <w:t>Lesch</w:t>
      </w:r>
      <w:proofErr w:type="spellEnd"/>
      <w:r w:rsidRPr="00734AB6">
        <w:rPr>
          <w:rFonts w:asciiTheme="majorHAnsi" w:hAnsiTheme="majorHAnsi"/>
        </w:rPr>
        <w:t xml:space="preserve">, K. P., &amp; </w:t>
      </w:r>
      <w:proofErr w:type="spellStart"/>
      <w:r w:rsidRPr="00734AB6">
        <w:rPr>
          <w:rFonts w:asciiTheme="majorHAnsi" w:hAnsiTheme="majorHAnsi"/>
        </w:rPr>
        <w:t>Fallgatter</w:t>
      </w:r>
      <w:proofErr w:type="spellEnd"/>
      <w:r w:rsidRPr="00734AB6">
        <w:rPr>
          <w:rFonts w:asciiTheme="majorHAnsi" w:hAnsiTheme="majorHAnsi"/>
        </w:rPr>
        <w:t>, A. J. (2007). D4 receptor gene variation modulates activation of prefrontal cortex during working memory. </w:t>
      </w:r>
      <w:r w:rsidRPr="00734AB6">
        <w:rPr>
          <w:rFonts w:asciiTheme="majorHAnsi" w:hAnsiTheme="majorHAnsi"/>
          <w:i/>
          <w:iCs/>
        </w:rPr>
        <w:t>European Journal of Neuroscience</w:t>
      </w:r>
      <w:r w:rsidRPr="00734AB6">
        <w:rPr>
          <w:rFonts w:asciiTheme="majorHAnsi" w:hAnsiTheme="majorHAnsi"/>
        </w:rPr>
        <w:t>, </w:t>
      </w:r>
      <w:r w:rsidRPr="00734AB6">
        <w:rPr>
          <w:rFonts w:asciiTheme="majorHAnsi" w:hAnsiTheme="majorHAnsi"/>
          <w:i/>
          <w:iCs/>
        </w:rPr>
        <w:t>26</w:t>
      </w:r>
      <w:r w:rsidRPr="00734AB6">
        <w:rPr>
          <w:rFonts w:asciiTheme="majorHAnsi" w:hAnsiTheme="majorHAnsi"/>
        </w:rPr>
        <w:t>(10), 2713-2718.</w:t>
      </w:r>
    </w:p>
    <w:p w14:paraId="2900A042" w14:textId="5D097CDC" w:rsidR="00270C07" w:rsidRPr="00734AB6" w:rsidRDefault="00270C07"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Hewson, C. (2003). Conducting research on the internet. </w:t>
      </w:r>
      <w:r w:rsidR="00006F4F" w:rsidRPr="00734AB6">
        <w:rPr>
          <w:rFonts w:asciiTheme="majorHAnsi" w:eastAsia="Calibri" w:hAnsiTheme="majorHAnsi" w:cs="Calibri"/>
          <w:i/>
          <w:iCs/>
        </w:rPr>
        <w:t>The Psychologist,</w:t>
      </w:r>
      <w:r w:rsidRPr="00734AB6">
        <w:rPr>
          <w:rFonts w:asciiTheme="majorHAnsi" w:eastAsia="Calibri" w:hAnsiTheme="majorHAnsi" w:cs="Calibri"/>
        </w:rPr>
        <w:t> </w:t>
      </w:r>
      <w:r w:rsidRPr="00734AB6">
        <w:rPr>
          <w:rFonts w:asciiTheme="majorHAnsi" w:eastAsia="Calibri" w:hAnsiTheme="majorHAnsi" w:cs="Calibri"/>
          <w:i/>
          <w:iCs/>
        </w:rPr>
        <w:t>16</w:t>
      </w:r>
      <w:r w:rsidRPr="00734AB6">
        <w:rPr>
          <w:rFonts w:asciiTheme="majorHAnsi" w:eastAsia="Calibri" w:hAnsiTheme="majorHAnsi" w:cs="Calibri"/>
        </w:rPr>
        <w:t>(6), 290-293.</w:t>
      </w:r>
    </w:p>
    <w:p w14:paraId="4F1DFFBB" w14:textId="4419B9DD" w:rsidR="000E0545" w:rsidRPr="00734AB6" w:rsidRDefault="000E0545"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Hewson, C., &amp; Stewart, D. W. (2014). Internet research methods. </w:t>
      </w:r>
      <w:r w:rsidRPr="00734AB6">
        <w:rPr>
          <w:rFonts w:asciiTheme="majorHAnsi" w:eastAsia="Calibri" w:hAnsiTheme="majorHAnsi" w:cs="Calibri"/>
          <w:i/>
          <w:iCs/>
        </w:rPr>
        <w:t xml:space="preserve">Wiley </w:t>
      </w:r>
      <w:proofErr w:type="spellStart"/>
      <w:r w:rsidRPr="00734AB6">
        <w:rPr>
          <w:rFonts w:asciiTheme="majorHAnsi" w:eastAsia="Calibri" w:hAnsiTheme="majorHAnsi" w:cs="Calibri"/>
          <w:i/>
          <w:iCs/>
        </w:rPr>
        <w:t>StatsRef</w:t>
      </w:r>
      <w:proofErr w:type="spellEnd"/>
      <w:r w:rsidRPr="00734AB6">
        <w:rPr>
          <w:rFonts w:asciiTheme="majorHAnsi" w:eastAsia="Calibri" w:hAnsiTheme="majorHAnsi" w:cs="Calibri"/>
          <w:i/>
          <w:iCs/>
        </w:rPr>
        <w:t xml:space="preserve">: Statistics </w:t>
      </w:r>
      <w:r w:rsidR="005F40F8" w:rsidRPr="00734AB6">
        <w:rPr>
          <w:rFonts w:asciiTheme="majorHAnsi" w:eastAsia="Calibri" w:hAnsiTheme="majorHAnsi" w:cs="Calibri"/>
          <w:i/>
          <w:iCs/>
        </w:rPr>
        <w:t>Reference Online</w:t>
      </w:r>
      <w:r w:rsidRPr="00734AB6">
        <w:rPr>
          <w:rFonts w:asciiTheme="majorHAnsi" w:eastAsia="Calibri" w:hAnsiTheme="majorHAnsi" w:cs="Calibri"/>
        </w:rPr>
        <w:t>, 1-6.</w:t>
      </w:r>
    </w:p>
    <w:p w14:paraId="772BC88B" w14:textId="0CC97AEF"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Hockenhull</w:t>
      </w:r>
      <w:proofErr w:type="spellEnd"/>
      <w:r w:rsidRPr="00734AB6">
        <w:rPr>
          <w:rFonts w:asciiTheme="majorHAnsi" w:eastAsia="Calibri" w:hAnsiTheme="majorHAnsi" w:cs="Calibri"/>
        </w:rPr>
        <w:t>, J., Wood, D. M., &amp; Dargan, P. I. (2020). The Availability of Modafinil and Methylphenidate Purchased from the Internet in the United Kingdom Without a Prescription. </w:t>
      </w:r>
      <w:r w:rsidRPr="00734AB6">
        <w:rPr>
          <w:rFonts w:asciiTheme="majorHAnsi" w:eastAsia="Calibri" w:hAnsiTheme="majorHAnsi" w:cs="Calibri"/>
          <w:i/>
          <w:iCs/>
        </w:rPr>
        <w:t xml:space="preserve">Substance </w:t>
      </w:r>
      <w:r w:rsidR="005F40F8" w:rsidRPr="00734AB6">
        <w:rPr>
          <w:rFonts w:asciiTheme="majorHAnsi" w:eastAsia="Calibri" w:hAnsiTheme="majorHAnsi" w:cs="Calibri"/>
          <w:i/>
          <w:iCs/>
        </w:rPr>
        <w:t>U</w:t>
      </w:r>
      <w:r w:rsidRPr="00734AB6">
        <w:rPr>
          <w:rFonts w:asciiTheme="majorHAnsi" w:eastAsia="Calibri" w:hAnsiTheme="majorHAnsi" w:cs="Calibri"/>
          <w:i/>
          <w:iCs/>
        </w:rPr>
        <w:t xml:space="preserve">se &amp; </w:t>
      </w:r>
      <w:r w:rsidR="005F40F8" w:rsidRPr="00734AB6">
        <w:rPr>
          <w:rFonts w:asciiTheme="majorHAnsi" w:eastAsia="Calibri" w:hAnsiTheme="majorHAnsi" w:cs="Calibri"/>
          <w:i/>
          <w:iCs/>
        </w:rPr>
        <w:t>M</w:t>
      </w:r>
      <w:r w:rsidRPr="00734AB6">
        <w:rPr>
          <w:rFonts w:asciiTheme="majorHAnsi" w:eastAsia="Calibri" w:hAnsiTheme="majorHAnsi" w:cs="Calibri"/>
          <w:i/>
          <w:iCs/>
        </w:rPr>
        <w:t>isuse</w:t>
      </w:r>
      <w:r w:rsidRPr="00734AB6">
        <w:rPr>
          <w:rFonts w:asciiTheme="majorHAnsi" w:eastAsia="Calibri" w:hAnsiTheme="majorHAnsi" w:cs="Calibri"/>
        </w:rPr>
        <w:t>, </w:t>
      </w:r>
      <w:r w:rsidRPr="00734AB6">
        <w:rPr>
          <w:rFonts w:asciiTheme="majorHAnsi" w:eastAsia="Calibri" w:hAnsiTheme="majorHAnsi" w:cs="Calibri"/>
          <w:i/>
          <w:iCs/>
        </w:rPr>
        <w:t>55</w:t>
      </w:r>
      <w:r w:rsidRPr="00734AB6">
        <w:rPr>
          <w:rFonts w:asciiTheme="majorHAnsi" w:eastAsia="Calibri" w:hAnsiTheme="majorHAnsi" w:cs="Calibri"/>
        </w:rPr>
        <w:t>(1), 56-65.</w:t>
      </w:r>
    </w:p>
    <w:p w14:paraId="65B96E89" w14:textId="1DD2332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Hofmann, W., Schmeichel, B. J., &amp; Baddeley, A. D. (2012). Executive functions and self-regulation. </w:t>
      </w:r>
      <w:r w:rsidRPr="00734AB6">
        <w:rPr>
          <w:rFonts w:asciiTheme="majorHAnsi" w:eastAsia="Calibri" w:hAnsiTheme="majorHAnsi" w:cs="Calibri"/>
          <w:i/>
          <w:iCs/>
        </w:rPr>
        <w:t xml:space="preserve">Trends in </w:t>
      </w:r>
      <w:r w:rsidR="005F40F8" w:rsidRPr="00734AB6">
        <w:rPr>
          <w:rFonts w:asciiTheme="majorHAnsi" w:eastAsia="Calibri" w:hAnsiTheme="majorHAnsi" w:cs="Calibri"/>
          <w:i/>
          <w:iCs/>
        </w:rPr>
        <w:t>Cognitive Sciences</w:t>
      </w:r>
      <w:r w:rsidRPr="00734AB6">
        <w:rPr>
          <w:rFonts w:asciiTheme="majorHAnsi" w:eastAsia="Calibri" w:hAnsiTheme="majorHAnsi" w:cs="Calibri"/>
        </w:rPr>
        <w:t>, </w:t>
      </w:r>
      <w:r w:rsidRPr="00734AB6">
        <w:rPr>
          <w:rFonts w:asciiTheme="majorHAnsi" w:eastAsia="Calibri" w:hAnsiTheme="majorHAnsi" w:cs="Calibri"/>
          <w:i/>
          <w:iCs/>
        </w:rPr>
        <w:t>16</w:t>
      </w:r>
      <w:r w:rsidRPr="00734AB6">
        <w:rPr>
          <w:rFonts w:asciiTheme="majorHAnsi" w:eastAsia="Calibri" w:hAnsiTheme="majorHAnsi" w:cs="Calibri"/>
        </w:rPr>
        <w:t>(3), 174-180.</w:t>
      </w:r>
    </w:p>
    <w:p w14:paraId="7123A4C6" w14:textId="4433F175" w:rsidR="00480859" w:rsidRPr="00734AB6" w:rsidRDefault="00480859"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Holloway, K., &amp; Bennett, T. (2012). Prescription drug misuse among university staff and students: A survey of motives, nature and extent. </w:t>
      </w:r>
      <w:r w:rsidRPr="00734AB6">
        <w:rPr>
          <w:rFonts w:asciiTheme="majorHAnsi" w:eastAsia="Calibri" w:hAnsiTheme="majorHAnsi" w:cs="Calibri"/>
          <w:i/>
          <w:iCs/>
        </w:rPr>
        <w:t xml:space="preserve">Drugs: </w:t>
      </w:r>
      <w:r w:rsidR="005F40F8" w:rsidRPr="00734AB6">
        <w:rPr>
          <w:rFonts w:asciiTheme="majorHAnsi" w:eastAsia="Calibri" w:hAnsiTheme="majorHAnsi" w:cs="Calibri"/>
          <w:i/>
          <w:iCs/>
        </w:rPr>
        <w:t xml:space="preserve">Education, Prevention </w:t>
      </w:r>
      <w:r w:rsidRPr="00734AB6">
        <w:rPr>
          <w:rFonts w:asciiTheme="majorHAnsi" w:eastAsia="Calibri" w:hAnsiTheme="majorHAnsi" w:cs="Calibri"/>
          <w:i/>
          <w:iCs/>
        </w:rPr>
        <w:t xml:space="preserve">and </w:t>
      </w:r>
      <w:r w:rsidR="005F40F8" w:rsidRPr="00734AB6">
        <w:rPr>
          <w:rFonts w:asciiTheme="majorHAnsi" w:eastAsia="Calibri" w:hAnsiTheme="majorHAnsi" w:cs="Calibri"/>
          <w:i/>
          <w:iCs/>
        </w:rPr>
        <w:t>P</w:t>
      </w:r>
      <w:r w:rsidRPr="00734AB6">
        <w:rPr>
          <w:rFonts w:asciiTheme="majorHAnsi" w:eastAsia="Calibri" w:hAnsiTheme="majorHAnsi" w:cs="Calibri"/>
          <w:i/>
          <w:iCs/>
        </w:rPr>
        <w:t>olicy</w:t>
      </w:r>
      <w:r w:rsidRPr="00734AB6">
        <w:rPr>
          <w:rFonts w:asciiTheme="majorHAnsi" w:eastAsia="Calibri" w:hAnsiTheme="majorHAnsi" w:cs="Calibri"/>
        </w:rPr>
        <w:t>, </w:t>
      </w:r>
      <w:r w:rsidRPr="00734AB6">
        <w:rPr>
          <w:rFonts w:asciiTheme="majorHAnsi" w:eastAsia="Calibri" w:hAnsiTheme="majorHAnsi" w:cs="Calibri"/>
          <w:i/>
          <w:iCs/>
        </w:rPr>
        <w:t>19</w:t>
      </w:r>
      <w:r w:rsidRPr="00734AB6">
        <w:rPr>
          <w:rFonts w:asciiTheme="majorHAnsi" w:eastAsia="Calibri" w:hAnsiTheme="majorHAnsi" w:cs="Calibri"/>
        </w:rPr>
        <w:t>(2), 137-144.</w:t>
      </w:r>
    </w:p>
    <w:p w14:paraId="0363EE98" w14:textId="77777777" w:rsidR="00E5175A" w:rsidRPr="00734AB6" w:rsidRDefault="00E5175A" w:rsidP="00E5175A">
      <w:pPr>
        <w:spacing w:line="360" w:lineRule="auto"/>
        <w:ind w:left="709" w:hanging="709"/>
        <w:rPr>
          <w:rFonts w:asciiTheme="majorHAnsi" w:hAnsiTheme="majorHAnsi" w:cstheme="majorHAnsi"/>
        </w:rPr>
      </w:pPr>
      <w:r w:rsidRPr="00734AB6">
        <w:rPr>
          <w:rFonts w:asciiTheme="majorHAnsi" w:hAnsiTheme="majorHAnsi" w:cstheme="majorHAnsi"/>
        </w:rPr>
        <w:t>Holmes, J., &amp; Gathercole, S. E. (2014). Taking working memory training from the laboratory into schools. </w:t>
      </w:r>
      <w:r w:rsidRPr="00734AB6">
        <w:rPr>
          <w:rFonts w:asciiTheme="majorHAnsi" w:hAnsiTheme="majorHAnsi" w:cstheme="majorHAnsi"/>
          <w:i/>
          <w:iCs/>
        </w:rPr>
        <w:t>Educational Psychology</w:t>
      </w:r>
      <w:r w:rsidRPr="00734AB6">
        <w:rPr>
          <w:rFonts w:asciiTheme="majorHAnsi" w:hAnsiTheme="majorHAnsi" w:cstheme="majorHAnsi"/>
        </w:rPr>
        <w:t>, </w:t>
      </w:r>
      <w:r w:rsidRPr="00734AB6">
        <w:rPr>
          <w:rFonts w:asciiTheme="majorHAnsi" w:hAnsiTheme="majorHAnsi" w:cstheme="majorHAnsi"/>
          <w:i/>
          <w:iCs/>
        </w:rPr>
        <w:t>34</w:t>
      </w:r>
      <w:r w:rsidRPr="00734AB6">
        <w:rPr>
          <w:rFonts w:asciiTheme="majorHAnsi" w:hAnsiTheme="majorHAnsi" w:cstheme="majorHAnsi"/>
        </w:rPr>
        <w:t>(4), 440-450.</w:t>
      </w:r>
    </w:p>
    <w:p w14:paraId="15D2694B"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Home Office (1971).  Misuse of Drugs Act.  Retrieved May 25, 2017, from http://www.legislation.gov.uk/ukpga/1971/38/pdfs/ukpga_19710038_en.pdf</w:t>
      </w:r>
    </w:p>
    <w:p w14:paraId="441E2ED3"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Home Office (2016). Psychoactive Substances Act.  Retrieved May 25, 2017, from http://www.legislation.gov.uk/ukpga/2016/2/contents/enacted</w:t>
      </w:r>
    </w:p>
    <w:p w14:paraId="54F7208E"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Hopko</w:t>
      </w:r>
      <w:proofErr w:type="spellEnd"/>
      <w:r w:rsidRPr="00734AB6">
        <w:rPr>
          <w:rFonts w:asciiTheme="majorHAnsi" w:hAnsiTheme="majorHAnsi" w:cstheme="minorHAnsi"/>
          <w:shd w:val="clear" w:color="auto" w:fill="FFFFFF"/>
        </w:rPr>
        <w:t>, D. R., Hunt, M. K., &amp; Armento, M. E. (2005). Attentional task aptitude and performance anxiety. </w:t>
      </w:r>
      <w:r w:rsidRPr="00734AB6">
        <w:rPr>
          <w:rFonts w:asciiTheme="majorHAnsi" w:hAnsiTheme="majorHAnsi" w:cstheme="minorHAnsi"/>
          <w:i/>
          <w:iCs/>
          <w:shd w:val="clear" w:color="auto" w:fill="FFFFFF"/>
        </w:rPr>
        <w:t>International Journal of Stress Management</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12</w:t>
      </w:r>
      <w:r w:rsidRPr="00734AB6">
        <w:rPr>
          <w:rFonts w:asciiTheme="majorHAnsi" w:hAnsiTheme="majorHAnsi" w:cstheme="minorHAnsi"/>
          <w:shd w:val="clear" w:color="auto" w:fill="FFFFFF"/>
        </w:rPr>
        <w:t>(4), 389.</w:t>
      </w:r>
    </w:p>
    <w:p w14:paraId="27A8C180" w14:textId="2B06246C"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Husain, M., &amp; Mehta, M. A. (2011). Cognitive enhancement by drugs in health and disease. </w:t>
      </w:r>
      <w:r w:rsidRPr="00734AB6">
        <w:rPr>
          <w:rFonts w:asciiTheme="majorHAnsi" w:hAnsiTheme="majorHAnsi" w:cstheme="minorHAnsi"/>
          <w:i/>
          <w:iCs/>
          <w:shd w:val="clear" w:color="auto" w:fill="FFFFFF"/>
        </w:rPr>
        <w:t xml:space="preserve">Trends in </w:t>
      </w:r>
      <w:r w:rsidR="005F40F8" w:rsidRPr="00734AB6">
        <w:rPr>
          <w:rFonts w:asciiTheme="majorHAnsi" w:hAnsiTheme="majorHAnsi" w:cstheme="minorHAnsi"/>
          <w:i/>
          <w:iCs/>
          <w:shd w:val="clear" w:color="auto" w:fill="FFFFFF"/>
        </w:rPr>
        <w:t>Cognitive Sciences</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15</w:t>
      </w:r>
      <w:r w:rsidRPr="00734AB6">
        <w:rPr>
          <w:rFonts w:asciiTheme="majorHAnsi" w:hAnsiTheme="majorHAnsi" w:cstheme="minorHAnsi"/>
          <w:shd w:val="clear" w:color="auto" w:fill="FFFFFF"/>
        </w:rPr>
        <w:t>(1), 28-36.</w:t>
      </w:r>
    </w:p>
    <w:p w14:paraId="10142425" w14:textId="6B226F94"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Hutton, S. B. (2008). Cognitive control of saccadic eye movements. </w:t>
      </w:r>
      <w:r w:rsidRPr="00734AB6">
        <w:rPr>
          <w:rFonts w:asciiTheme="majorHAnsi" w:hAnsiTheme="majorHAnsi" w:cstheme="minorHAnsi"/>
          <w:i/>
          <w:iCs/>
          <w:shd w:val="clear" w:color="auto" w:fill="FFFFFF"/>
        </w:rPr>
        <w:t xml:space="preserve">Brain and </w:t>
      </w:r>
      <w:r w:rsidR="005F40F8" w:rsidRPr="00734AB6">
        <w:rPr>
          <w:rFonts w:asciiTheme="majorHAnsi" w:hAnsiTheme="majorHAnsi" w:cstheme="minorHAnsi"/>
          <w:i/>
          <w:iCs/>
          <w:shd w:val="clear" w:color="auto" w:fill="FFFFFF"/>
        </w:rPr>
        <w:t>C</w:t>
      </w:r>
      <w:r w:rsidRPr="00734AB6">
        <w:rPr>
          <w:rFonts w:asciiTheme="majorHAnsi" w:hAnsiTheme="majorHAnsi" w:cstheme="minorHAnsi"/>
          <w:i/>
          <w:iCs/>
          <w:shd w:val="clear" w:color="auto" w:fill="FFFFFF"/>
        </w:rPr>
        <w:t>ognition</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68</w:t>
      </w:r>
      <w:r w:rsidRPr="00734AB6">
        <w:rPr>
          <w:rFonts w:asciiTheme="majorHAnsi" w:hAnsiTheme="majorHAnsi" w:cstheme="minorHAnsi"/>
          <w:shd w:val="clear" w:color="auto" w:fill="FFFFFF"/>
        </w:rPr>
        <w:t>(3), 327-340.</w:t>
      </w:r>
    </w:p>
    <w:p w14:paraId="6FBB4E58"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Hutton, S. B., &amp; Ettinger, U. (2006). The </w:t>
      </w:r>
      <w:proofErr w:type="spellStart"/>
      <w:r w:rsidRPr="00734AB6">
        <w:rPr>
          <w:rFonts w:asciiTheme="majorHAnsi" w:hAnsiTheme="majorHAnsi" w:cstheme="minorHAnsi"/>
          <w:shd w:val="clear" w:color="auto" w:fill="FFFFFF"/>
        </w:rPr>
        <w:t>antisaccade</w:t>
      </w:r>
      <w:proofErr w:type="spellEnd"/>
      <w:r w:rsidRPr="00734AB6">
        <w:rPr>
          <w:rFonts w:asciiTheme="majorHAnsi" w:hAnsiTheme="majorHAnsi" w:cstheme="minorHAnsi"/>
          <w:shd w:val="clear" w:color="auto" w:fill="FFFFFF"/>
        </w:rPr>
        <w:t xml:space="preserve"> task as a research tool in psychopathology: a critical review. </w:t>
      </w:r>
      <w:r w:rsidRPr="00734AB6">
        <w:rPr>
          <w:rFonts w:asciiTheme="majorHAnsi" w:hAnsiTheme="majorHAnsi" w:cstheme="minorHAnsi"/>
          <w:i/>
          <w:shd w:val="clear" w:color="auto" w:fill="FFFFFF"/>
        </w:rPr>
        <w:t>Psychophysiology</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43</w:t>
      </w:r>
      <w:r w:rsidRPr="00734AB6">
        <w:rPr>
          <w:rFonts w:asciiTheme="majorHAnsi" w:hAnsiTheme="majorHAnsi" w:cstheme="minorHAnsi"/>
          <w:shd w:val="clear" w:color="auto" w:fill="FFFFFF"/>
        </w:rPr>
        <w:t>(3), 302-313.</w:t>
      </w:r>
    </w:p>
    <w:p w14:paraId="7FB97AEE" w14:textId="13BE9AB5"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Hysek</w:t>
      </w:r>
      <w:proofErr w:type="spellEnd"/>
      <w:r w:rsidRPr="00734AB6">
        <w:rPr>
          <w:rFonts w:asciiTheme="majorHAnsi" w:hAnsiTheme="majorHAnsi" w:cstheme="minorHAnsi"/>
          <w:shd w:val="clear" w:color="auto" w:fill="FFFFFF"/>
        </w:rPr>
        <w:t xml:space="preserve">, C. M., </w:t>
      </w:r>
      <w:proofErr w:type="spellStart"/>
      <w:r w:rsidRPr="00734AB6">
        <w:rPr>
          <w:rFonts w:asciiTheme="majorHAnsi" w:hAnsiTheme="majorHAnsi" w:cstheme="minorHAnsi"/>
          <w:shd w:val="clear" w:color="auto" w:fill="FFFFFF"/>
        </w:rPr>
        <w:t>Simmler</w:t>
      </w:r>
      <w:proofErr w:type="spellEnd"/>
      <w:r w:rsidRPr="00734AB6">
        <w:rPr>
          <w:rFonts w:asciiTheme="majorHAnsi" w:hAnsiTheme="majorHAnsi" w:cstheme="minorHAnsi"/>
          <w:shd w:val="clear" w:color="auto" w:fill="FFFFFF"/>
        </w:rPr>
        <w:t xml:space="preserve">, L. D., Schillinger, N., Meyer, N., Schmid, Y., </w:t>
      </w:r>
      <w:proofErr w:type="spellStart"/>
      <w:r w:rsidRPr="00734AB6">
        <w:rPr>
          <w:rFonts w:asciiTheme="majorHAnsi" w:hAnsiTheme="majorHAnsi" w:cstheme="minorHAnsi"/>
          <w:shd w:val="clear" w:color="auto" w:fill="FFFFFF"/>
        </w:rPr>
        <w:t>Donzelli</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Grouzmann</w:t>
      </w:r>
      <w:proofErr w:type="spellEnd"/>
      <w:r w:rsidRPr="00734AB6">
        <w:rPr>
          <w:rFonts w:asciiTheme="majorHAnsi" w:hAnsiTheme="majorHAnsi" w:cstheme="minorHAnsi"/>
          <w:shd w:val="clear" w:color="auto" w:fill="FFFFFF"/>
        </w:rPr>
        <w:t xml:space="preserve">, E., &amp; </w:t>
      </w:r>
      <w:proofErr w:type="spellStart"/>
      <w:r w:rsidRPr="00734AB6">
        <w:rPr>
          <w:rFonts w:asciiTheme="majorHAnsi" w:hAnsiTheme="majorHAnsi" w:cstheme="minorHAnsi"/>
          <w:shd w:val="clear" w:color="auto" w:fill="FFFFFF"/>
        </w:rPr>
        <w:t>Liechti</w:t>
      </w:r>
      <w:proofErr w:type="spellEnd"/>
      <w:r w:rsidRPr="00734AB6">
        <w:rPr>
          <w:rFonts w:asciiTheme="majorHAnsi" w:hAnsiTheme="majorHAnsi" w:cstheme="minorHAnsi"/>
          <w:shd w:val="clear" w:color="auto" w:fill="FFFFFF"/>
        </w:rPr>
        <w:t xml:space="preserve">, M. E. (2014). Pharmacokinetic and pharmacodynamic effects of methylphenidate </w:t>
      </w:r>
      <w:r w:rsidRPr="00734AB6">
        <w:rPr>
          <w:rFonts w:asciiTheme="majorHAnsi" w:hAnsiTheme="majorHAnsi" w:cstheme="minorHAnsi"/>
          <w:shd w:val="clear" w:color="auto" w:fill="FFFFFF"/>
        </w:rPr>
        <w:lastRenderedPageBreak/>
        <w:t>and MDMA administered alone or in combination.</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 xml:space="preserve">International </w:t>
      </w:r>
      <w:r w:rsidR="005F40F8" w:rsidRPr="00734AB6">
        <w:rPr>
          <w:rFonts w:asciiTheme="majorHAnsi" w:hAnsiTheme="majorHAnsi" w:cstheme="minorHAnsi"/>
          <w:i/>
          <w:iCs/>
          <w:shd w:val="clear" w:color="auto" w:fill="FFFFFF"/>
        </w:rPr>
        <w:t>Journal of N</w:t>
      </w:r>
      <w:r w:rsidRPr="00734AB6">
        <w:rPr>
          <w:rFonts w:asciiTheme="majorHAnsi" w:hAnsiTheme="majorHAnsi" w:cstheme="minorHAnsi"/>
          <w:i/>
          <w:iCs/>
          <w:shd w:val="clear" w:color="auto" w:fill="FFFFFF"/>
        </w:rPr>
        <w:t>europsychopharmacology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17</w:t>
      </w:r>
      <w:r w:rsidRPr="00734AB6">
        <w:rPr>
          <w:rFonts w:asciiTheme="majorHAnsi" w:hAnsiTheme="majorHAnsi" w:cstheme="minorHAnsi"/>
          <w:shd w:val="clear" w:color="auto" w:fill="FFFFFF"/>
        </w:rPr>
        <w:t>(3), 371-381.</w:t>
      </w:r>
    </w:p>
    <w:p w14:paraId="09ADEB22"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shd w:val="clear" w:color="auto" w:fill="FFFFFF"/>
        </w:rPr>
        <w:t xml:space="preserve">Ikeda, Y., </w:t>
      </w:r>
      <w:proofErr w:type="spellStart"/>
      <w:r w:rsidRPr="00734AB6">
        <w:rPr>
          <w:rFonts w:asciiTheme="majorHAnsi" w:hAnsiTheme="majorHAnsi" w:cstheme="minorHAnsi"/>
          <w:shd w:val="clear" w:color="auto" w:fill="FFFFFF"/>
        </w:rPr>
        <w:t>Funayama</w:t>
      </w:r>
      <w:proofErr w:type="spellEnd"/>
      <w:r w:rsidRPr="00734AB6">
        <w:rPr>
          <w:rFonts w:asciiTheme="majorHAnsi" w:hAnsiTheme="majorHAnsi" w:cstheme="minorHAnsi"/>
          <w:shd w:val="clear" w:color="auto" w:fill="FFFFFF"/>
        </w:rPr>
        <w:t xml:space="preserve">, T., Tateno, A., </w:t>
      </w:r>
      <w:proofErr w:type="spellStart"/>
      <w:r w:rsidRPr="00734AB6">
        <w:rPr>
          <w:rFonts w:asciiTheme="majorHAnsi" w:hAnsiTheme="majorHAnsi" w:cstheme="minorHAnsi"/>
          <w:shd w:val="clear" w:color="auto" w:fill="FFFFFF"/>
        </w:rPr>
        <w:t>Fukayama</w:t>
      </w:r>
      <w:proofErr w:type="spellEnd"/>
      <w:r w:rsidRPr="00734AB6">
        <w:rPr>
          <w:rFonts w:asciiTheme="majorHAnsi" w:hAnsiTheme="majorHAnsi" w:cstheme="minorHAnsi"/>
          <w:shd w:val="clear" w:color="auto" w:fill="FFFFFF"/>
        </w:rPr>
        <w:t>, H., Okubo, Y., &amp; Suzuki, H. (2017). Modafinil enhances alerting-related brain activity in attention networks.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Psychopharmacology</w:t>
      </w:r>
      <w:r w:rsidRPr="00734AB6">
        <w:rPr>
          <w:rFonts w:asciiTheme="majorHAnsi" w:hAnsiTheme="majorHAnsi" w:cstheme="minorHAnsi"/>
          <w:shd w:val="clear" w:color="auto" w:fill="FFFFFF"/>
        </w:rPr>
        <w:t>, 1-13.</w:t>
      </w:r>
    </w:p>
    <w:p w14:paraId="702235C4" w14:textId="7FDC3E3E"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Ilieva</w:t>
      </w:r>
      <w:proofErr w:type="spellEnd"/>
      <w:r w:rsidRPr="00734AB6">
        <w:rPr>
          <w:rFonts w:asciiTheme="majorHAnsi" w:hAnsiTheme="majorHAnsi" w:cstheme="minorHAnsi"/>
          <w:shd w:val="clear" w:color="auto" w:fill="FFFFFF"/>
        </w:rPr>
        <w:t>, I. P., &amp; Farah, M. J. (2015). Attention, motivation, and study habits in users of unprescribed ADHD medication. </w:t>
      </w:r>
      <w:r w:rsidRPr="00734AB6">
        <w:rPr>
          <w:rFonts w:asciiTheme="majorHAnsi" w:hAnsiTheme="majorHAnsi" w:cstheme="minorHAnsi"/>
          <w:i/>
          <w:iCs/>
          <w:shd w:val="clear" w:color="auto" w:fill="FFFFFF"/>
        </w:rPr>
        <w:t xml:space="preserve">Journal of </w:t>
      </w:r>
      <w:r w:rsidR="005F40F8" w:rsidRPr="00734AB6">
        <w:rPr>
          <w:rFonts w:asciiTheme="majorHAnsi" w:hAnsiTheme="majorHAnsi" w:cstheme="minorHAnsi"/>
          <w:i/>
          <w:iCs/>
          <w:shd w:val="clear" w:color="auto" w:fill="FFFFFF"/>
        </w:rPr>
        <w:t>Attention Disorders</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23</w:t>
      </w:r>
      <w:r w:rsidRPr="00734AB6">
        <w:rPr>
          <w:rFonts w:asciiTheme="majorHAnsi" w:hAnsiTheme="majorHAnsi" w:cstheme="minorHAnsi"/>
          <w:shd w:val="clear" w:color="auto" w:fill="FFFFFF"/>
        </w:rPr>
        <w:t>(2), 149-162.</w:t>
      </w:r>
    </w:p>
    <w:p w14:paraId="6B7585CE"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International Telecommunications Union. (2019). </w:t>
      </w:r>
      <w:r w:rsidRPr="00734AB6">
        <w:rPr>
          <w:rFonts w:asciiTheme="majorHAnsi" w:hAnsiTheme="majorHAnsi" w:cstheme="minorHAnsi"/>
          <w:i/>
          <w:shd w:val="clear" w:color="auto" w:fill="FFFFFF"/>
        </w:rPr>
        <w:t xml:space="preserve">Measuring digital development: facts and figures 2019. </w:t>
      </w:r>
      <w:r w:rsidRPr="00734AB6">
        <w:rPr>
          <w:rFonts w:asciiTheme="majorHAnsi" w:hAnsiTheme="majorHAnsi" w:cstheme="minorHAnsi"/>
          <w:shd w:val="clear" w:color="auto" w:fill="FFFFFF"/>
        </w:rPr>
        <w:t xml:space="preserve">Retrieved from </w:t>
      </w:r>
      <w:hyperlink r:id="rId34" w:history="1">
        <w:r w:rsidRPr="00734AB6">
          <w:rPr>
            <w:rStyle w:val="Hyperlink"/>
            <w:rFonts w:asciiTheme="majorHAnsi" w:hAnsiTheme="majorHAnsi" w:cstheme="minorHAnsi"/>
            <w:shd w:val="clear" w:color="auto" w:fill="FFFFFF"/>
          </w:rPr>
          <w:t>https://www.itu.int/en/ITU-D/Statistics/Pages/facts/default.aspx</w:t>
        </w:r>
      </w:hyperlink>
    </w:p>
    <w:p w14:paraId="3CC383AB" w14:textId="77777777" w:rsidR="00D517ED" w:rsidRPr="00734AB6" w:rsidRDefault="00D517ED" w:rsidP="00D517ED">
      <w:pPr>
        <w:spacing w:line="360" w:lineRule="auto"/>
        <w:ind w:left="851" w:hanging="851"/>
        <w:rPr>
          <w:rFonts w:asciiTheme="majorHAnsi" w:hAnsiTheme="majorHAnsi"/>
        </w:rPr>
      </w:pPr>
      <w:proofErr w:type="spellStart"/>
      <w:r w:rsidRPr="00734AB6">
        <w:rPr>
          <w:rFonts w:asciiTheme="majorHAnsi" w:hAnsiTheme="majorHAnsi"/>
        </w:rPr>
        <w:t>Ishimatsu</w:t>
      </w:r>
      <w:proofErr w:type="spellEnd"/>
      <w:r w:rsidRPr="00734AB6">
        <w:rPr>
          <w:rFonts w:asciiTheme="majorHAnsi" w:hAnsiTheme="majorHAnsi"/>
        </w:rPr>
        <w:t xml:space="preserve">, M., </w:t>
      </w:r>
      <w:proofErr w:type="spellStart"/>
      <w:r w:rsidRPr="00734AB6">
        <w:rPr>
          <w:rFonts w:asciiTheme="majorHAnsi" w:hAnsiTheme="majorHAnsi"/>
        </w:rPr>
        <w:t>Kidani</w:t>
      </w:r>
      <w:proofErr w:type="spellEnd"/>
      <w:r w:rsidRPr="00734AB6">
        <w:rPr>
          <w:rFonts w:asciiTheme="majorHAnsi" w:hAnsiTheme="majorHAnsi"/>
        </w:rPr>
        <w:t xml:space="preserve">, Y., Tsuda, A., &amp; </w:t>
      </w:r>
      <w:proofErr w:type="spellStart"/>
      <w:r w:rsidRPr="00734AB6">
        <w:rPr>
          <w:rFonts w:asciiTheme="majorHAnsi" w:hAnsiTheme="majorHAnsi"/>
        </w:rPr>
        <w:t>Akasu</w:t>
      </w:r>
      <w:proofErr w:type="spellEnd"/>
      <w:r w:rsidRPr="00734AB6">
        <w:rPr>
          <w:rFonts w:asciiTheme="majorHAnsi" w:hAnsiTheme="majorHAnsi"/>
        </w:rPr>
        <w:t>, T. (2002). Effects of methylphenidate on the membrane potential and current in neurons of the rat locus coeruleus. </w:t>
      </w:r>
      <w:r w:rsidRPr="00734AB6">
        <w:rPr>
          <w:rFonts w:asciiTheme="majorHAnsi" w:hAnsiTheme="majorHAnsi"/>
          <w:i/>
          <w:iCs/>
        </w:rPr>
        <w:t>Journal of Neurophysiology</w:t>
      </w:r>
      <w:r w:rsidRPr="00734AB6">
        <w:rPr>
          <w:rFonts w:asciiTheme="majorHAnsi" w:hAnsiTheme="majorHAnsi"/>
        </w:rPr>
        <w:t>, </w:t>
      </w:r>
      <w:r w:rsidRPr="00734AB6">
        <w:rPr>
          <w:rFonts w:asciiTheme="majorHAnsi" w:hAnsiTheme="majorHAnsi"/>
          <w:i/>
          <w:iCs/>
        </w:rPr>
        <w:t>87</w:t>
      </w:r>
      <w:r w:rsidRPr="00734AB6">
        <w:rPr>
          <w:rFonts w:asciiTheme="majorHAnsi" w:hAnsiTheme="majorHAnsi"/>
        </w:rPr>
        <w:t>(3), 1206-1212.</w:t>
      </w:r>
    </w:p>
    <w:p w14:paraId="169B155E" w14:textId="7DA32756"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Ishizuka, T., </w:t>
      </w:r>
      <w:proofErr w:type="spellStart"/>
      <w:r w:rsidRPr="00734AB6">
        <w:rPr>
          <w:rFonts w:asciiTheme="majorHAnsi" w:hAnsiTheme="majorHAnsi" w:cstheme="minorHAnsi"/>
          <w:shd w:val="clear" w:color="auto" w:fill="FFFFFF"/>
        </w:rPr>
        <w:t>Murotani</w:t>
      </w:r>
      <w:proofErr w:type="spellEnd"/>
      <w:r w:rsidRPr="00734AB6">
        <w:rPr>
          <w:rFonts w:asciiTheme="majorHAnsi" w:hAnsiTheme="majorHAnsi" w:cstheme="minorHAnsi"/>
          <w:shd w:val="clear" w:color="auto" w:fill="FFFFFF"/>
        </w:rPr>
        <w:t xml:space="preserve">, T., &amp; </w:t>
      </w:r>
      <w:proofErr w:type="spellStart"/>
      <w:r w:rsidRPr="00734AB6">
        <w:rPr>
          <w:rFonts w:asciiTheme="majorHAnsi" w:hAnsiTheme="majorHAnsi" w:cstheme="minorHAnsi"/>
          <w:shd w:val="clear" w:color="auto" w:fill="FFFFFF"/>
        </w:rPr>
        <w:t>Yamatodani</w:t>
      </w:r>
      <w:proofErr w:type="spellEnd"/>
      <w:r w:rsidRPr="00734AB6">
        <w:rPr>
          <w:rFonts w:asciiTheme="majorHAnsi" w:hAnsiTheme="majorHAnsi" w:cstheme="minorHAnsi"/>
          <w:shd w:val="clear" w:color="auto" w:fill="FFFFFF"/>
        </w:rPr>
        <w:t xml:space="preserve">, A. (2010). </w:t>
      </w:r>
      <w:proofErr w:type="spellStart"/>
      <w:r w:rsidRPr="00734AB6">
        <w:rPr>
          <w:rFonts w:asciiTheme="majorHAnsi" w:hAnsiTheme="majorHAnsi" w:cstheme="minorHAnsi"/>
          <w:shd w:val="clear" w:color="auto" w:fill="FFFFFF"/>
        </w:rPr>
        <w:t>Modanifil</w:t>
      </w:r>
      <w:proofErr w:type="spellEnd"/>
      <w:r w:rsidRPr="00734AB6">
        <w:rPr>
          <w:rFonts w:asciiTheme="majorHAnsi" w:hAnsiTheme="majorHAnsi" w:cstheme="minorHAnsi"/>
          <w:shd w:val="clear" w:color="auto" w:fill="FFFFFF"/>
        </w:rPr>
        <w:t xml:space="preserve"> activates the histaminergic system through the orexinergic neurons. </w:t>
      </w:r>
      <w:r w:rsidR="005F40F8" w:rsidRPr="00734AB6">
        <w:rPr>
          <w:rFonts w:asciiTheme="majorHAnsi" w:hAnsiTheme="majorHAnsi" w:cstheme="minorHAnsi"/>
          <w:i/>
          <w:shd w:val="clear" w:color="auto" w:fill="FFFFFF"/>
        </w:rPr>
        <w:t>Neuroscience L</w:t>
      </w:r>
      <w:r w:rsidRPr="00734AB6">
        <w:rPr>
          <w:rFonts w:asciiTheme="majorHAnsi" w:hAnsiTheme="majorHAnsi" w:cstheme="minorHAnsi"/>
          <w:i/>
          <w:shd w:val="clear" w:color="auto" w:fill="FFFFFF"/>
        </w:rPr>
        <w:t>etters</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483</w:t>
      </w:r>
      <w:r w:rsidRPr="00734AB6">
        <w:rPr>
          <w:rFonts w:asciiTheme="majorHAnsi" w:hAnsiTheme="majorHAnsi" w:cstheme="minorHAnsi"/>
          <w:shd w:val="clear" w:color="auto" w:fill="FFFFFF"/>
        </w:rPr>
        <w:t>(3), 193-196.</w:t>
      </w:r>
    </w:p>
    <w:p w14:paraId="568F6F6B"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Jasinski</w:t>
      </w:r>
      <w:proofErr w:type="spellEnd"/>
      <w:r w:rsidRPr="00734AB6">
        <w:rPr>
          <w:rFonts w:asciiTheme="majorHAnsi" w:hAnsiTheme="majorHAnsi" w:cstheme="minorHAnsi"/>
          <w:shd w:val="clear" w:color="auto" w:fill="FFFFFF"/>
        </w:rPr>
        <w:t>, D. R. (2000). An evaluation of the abuse potential of modafinil using methylphenidate as a reference.</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Journal of 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14</w:t>
      </w:r>
      <w:r w:rsidRPr="00734AB6">
        <w:rPr>
          <w:rFonts w:asciiTheme="majorHAnsi" w:hAnsiTheme="majorHAnsi" w:cstheme="minorHAnsi"/>
          <w:shd w:val="clear" w:color="auto" w:fill="FFFFFF"/>
        </w:rPr>
        <w:t>(1), 53-60.</w:t>
      </w:r>
    </w:p>
    <w:p w14:paraId="690A852B" w14:textId="690D747A" w:rsidR="00833A43" w:rsidRPr="00734AB6" w:rsidRDefault="00833A43"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Johnson, M. E., Fisher, D. G., Montoya, I., Booth, R., Rhodes, F., Andersen, M., ... &amp; Williams, M. (2000). Reliability and validity of not-in-treatment drug users' follow-up self-reports. </w:t>
      </w:r>
      <w:r w:rsidRPr="00734AB6">
        <w:rPr>
          <w:rFonts w:asciiTheme="majorHAnsi" w:eastAsia="Calibri" w:hAnsiTheme="majorHAnsi" w:cs="Calibri"/>
          <w:i/>
          <w:iCs/>
        </w:rPr>
        <w:t xml:space="preserve">AIDS and </w:t>
      </w:r>
      <w:proofErr w:type="spellStart"/>
      <w:r w:rsidRPr="00734AB6">
        <w:rPr>
          <w:rFonts w:asciiTheme="majorHAnsi" w:eastAsia="Calibri" w:hAnsiTheme="majorHAnsi" w:cs="Calibri"/>
          <w:i/>
          <w:iCs/>
        </w:rPr>
        <w:t>Behavior</w:t>
      </w:r>
      <w:proofErr w:type="spellEnd"/>
      <w:r w:rsidRPr="00734AB6">
        <w:rPr>
          <w:rFonts w:asciiTheme="majorHAnsi" w:eastAsia="Calibri" w:hAnsiTheme="majorHAnsi" w:cs="Calibri"/>
        </w:rPr>
        <w:t>, </w:t>
      </w:r>
      <w:r w:rsidRPr="00734AB6">
        <w:rPr>
          <w:rFonts w:asciiTheme="majorHAnsi" w:eastAsia="Calibri" w:hAnsiTheme="majorHAnsi" w:cs="Calibri"/>
          <w:i/>
          <w:iCs/>
        </w:rPr>
        <w:t>4</w:t>
      </w:r>
      <w:r w:rsidRPr="00734AB6">
        <w:rPr>
          <w:rFonts w:asciiTheme="majorHAnsi" w:eastAsia="Calibri" w:hAnsiTheme="majorHAnsi" w:cs="Calibri"/>
        </w:rPr>
        <w:t>(4), 373-380.</w:t>
      </w:r>
    </w:p>
    <w:p w14:paraId="473B5DB4"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Joinson</w:t>
      </w:r>
      <w:proofErr w:type="spellEnd"/>
      <w:r w:rsidRPr="00734AB6">
        <w:rPr>
          <w:rFonts w:asciiTheme="majorHAnsi" w:eastAsia="Calibri" w:hAnsiTheme="majorHAnsi" w:cs="Calibri"/>
        </w:rPr>
        <w:t>, A. (1999). Social desirability, anonymity, and Internet-based questionnaires. </w:t>
      </w:r>
      <w:proofErr w:type="spellStart"/>
      <w:r w:rsidRPr="00734AB6">
        <w:rPr>
          <w:rFonts w:asciiTheme="majorHAnsi" w:eastAsia="Calibri" w:hAnsiTheme="majorHAnsi" w:cs="Calibri"/>
          <w:i/>
          <w:iCs/>
        </w:rPr>
        <w:t>Behavior</w:t>
      </w:r>
      <w:proofErr w:type="spellEnd"/>
      <w:r w:rsidRPr="00734AB6">
        <w:rPr>
          <w:rFonts w:asciiTheme="majorHAnsi" w:eastAsia="Calibri" w:hAnsiTheme="majorHAnsi" w:cs="Calibri"/>
          <w:i/>
          <w:iCs/>
        </w:rPr>
        <w:t xml:space="preserve"> Research Methods, Instruments, &amp; Computers</w:t>
      </w:r>
      <w:r w:rsidRPr="00734AB6">
        <w:rPr>
          <w:rFonts w:asciiTheme="majorHAnsi" w:eastAsia="Calibri" w:hAnsiTheme="majorHAnsi" w:cs="Calibri"/>
        </w:rPr>
        <w:t>, </w:t>
      </w:r>
      <w:r w:rsidRPr="00734AB6">
        <w:rPr>
          <w:rFonts w:asciiTheme="majorHAnsi" w:eastAsia="Calibri" w:hAnsiTheme="majorHAnsi" w:cs="Calibri"/>
          <w:i/>
          <w:iCs/>
        </w:rPr>
        <w:t>31</w:t>
      </w:r>
      <w:r w:rsidRPr="00734AB6">
        <w:rPr>
          <w:rFonts w:asciiTheme="majorHAnsi" w:eastAsia="Calibri" w:hAnsiTheme="majorHAnsi" w:cs="Calibri"/>
        </w:rPr>
        <w:t>(3), 433-438.</w:t>
      </w:r>
    </w:p>
    <w:p w14:paraId="4B8692F0" w14:textId="6DDA36D2"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Joint Formul</w:t>
      </w:r>
      <w:r w:rsidR="00D24BE2" w:rsidRPr="00734AB6">
        <w:rPr>
          <w:rFonts w:asciiTheme="majorHAnsi" w:eastAsia="Calibri" w:hAnsiTheme="majorHAnsi" w:cs="Calibri"/>
        </w:rPr>
        <w:t>ary Committee. (2017). British N</w:t>
      </w:r>
      <w:r w:rsidRPr="00734AB6">
        <w:rPr>
          <w:rFonts w:asciiTheme="majorHAnsi" w:eastAsia="Calibri" w:hAnsiTheme="majorHAnsi" w:cs="Calibri"/>
        </w:rPr>
        <w:t xml:space="preserve">ational </w:t>
      </w:r>
      <w:r w:rsidR="00D24BE2" w:rsidRPr="00734AB6">
        <w:rPr>
          <w:rFonts w:asciiTheme="majorHAnsi" w:eastAsia="Calibri" w:hAnsiTheme="majorHAnsi" w:cs="Calibri"/>
        </w:rPr>
        <w:t>F</w:t>
      </w:r>
      <w:r w:rsidRPr="00734AB6">
        <w:rPr>
          <w:rFonts w:asciiTheme="majorHAnsi" w:eastAsia="Calibri" w:hAnsiTheme="majorHAnsi" w:cs="Calibri"/>
        </w:rPr>
        <w:t>ormulary. Retrieved from </w:t>
      </w:r>
      <w:hyperlink r:id="rId35" w:history="1">
        <w:r w:rsidRPr="00734AB6">
          <w:rPr>
            <w:rStyle w:val="Hyperlink"/>
            <w:rFonts w:asciiTheme="majorHAnsi" w:eastAsia="Calibri" w:hAnsiTheme="majorHAnsi" w:cs="Calibri"/>
          </w:rPr>
          <w:t>https://www.evidence.nhs.uk/formulary/bnf/current/4-central-nervous-system/44-cns-stimulants-and-drugs-used-for-attention-deficit-hyperactivity-disorder/methylphenidate-hydrochloride</w:t>
        </w:r>
      </w:hyperlink>
      <w:r w:rsidRPr="00734AB6">
        <w:rPr>
          <w:rFonts w:asciiTheme="majorHAnsi" w:eastAsia="Calibri" w:hAnsiTheme="majorHAnsi" w:cs="Calibri"/>
        </w:rPr>
        <w:t xml:space="preserve"> </w:t>
      </w:r>
    </w:p>
    <w:p w14:paraId="04BFE525" w14:textId="5A60AA05"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Juengst</w:t>
      </w:r>
      <w:proofErr w:type="spellEnd"/>
      <w:r w:rsidRPr="00734AB6">
        <w:rPr>
          <w:rFonts w:asciiTheme="majorHAnsi" w:eastAsia="Calibri" w:hAnsiTheme="majorHAnsi" w:cs="Calibri"/>
        </w:rPr>
        <w:t>, E.T. (1998). What does en</w:t>
      </w:r>
      <w:r w:rsidR="005F40F8" w:rsidRPr="00734AB6">
        <w:rPr>
          <w:rFonts w:asciiTheme="majorHAnsi" w:eastAsia="Calibri" w:hAnsiTheme="majorHAnsi" w:cs="Calibri"/>
        </w:rPr>
        <w:t xml:space="preserve">hancement mean? In: E. </w:t>
      </w:r>
      <w:proofErr w:type="spellStart"/>
      <w:r w:rsidR="005F40F8" w:rsidRPr="00734AB6">
        <w:rPr>
          <w:rFonts w:asciiTheme="majorHAnsi" w:eastAsia="Calibri" w:hAnsiTheme="majorHAnsi" w:cs="Calibri"/>
        </w:rPr>
        <w:t>Parens</w:t>
      </w:r>
      <w:proofErr w:type="spellEnd"/>
      <w:r w:rsidR="005F40F8" w:rsidRPr="00734AB6">
        <w:rPr>
          <w:rFonts w:asciiTheme="majorHAnsi" w:eastAsia="Calibri" w:hAnsiTheme="majorHAnsi" w:cs="Calibri"/>
        </w:rPr>
        <w:t xml:space="preserve"> (E</w:t>
      </w:r>
      <w:r w:rsidRPr="00734AB6">
        <w:rPr>
          <w:rFonts w:asciiTheme="majorHAnsi" w:eastAsia="Calibri" w:hAnsiTheme="majorHAnsi" w:cs="Calibri"/>
        </w:rPr>
        <w:t>d</w:t>
      </w:r>
      <w:r w:rsidR="005F40F8" w:rsidRPr="00734AB6">
        <w:rPr>
          <w:rFonts w:asciiTheme="majorHAnsi" w:eastAsia="Calibri" w:hAnsiTheme="majorHAnsi" w:cs="Calibri"/>
        </w:rPr>
        <w:t>.</w:t>
      </w:r>
      <w:r w:rsidRPr="00734AB6">
        <w:rPr>
          <w:rFonts w:asciiTheme="majorHAnsi" w:eastAsia="Calibri" w:hAnsiTheme="majorHAnsi" w:cs="Calibri"/>
        </w:rPr>
        <w:t>) Enhancing human traits: ethical and social implications (pp</w:t>
      </w:r>
      <w:r w:rsidR="005F40F8" w:rsidRPr="00734AB6">
        <w:rPr>
          <w:rFonts w:asciiTheme="majorHAnsi" w:eastAsia="Calibri" w:hAnsiTheme="majorHAnsi" w:cs="Calibri"/>
        </w:rPr>
        <w:t>.</w:t>
      </w:r>
      <w:r w:rsidRPr="00734AB6">
        <w:rPr>
          <w:rFonts w:asciiTheme="majorHAnsi" w:eastAsia="Calibri" w:hAnsiTheme="majorHAnsi" w:cs="Calibri"/>
        </w:rPr>
        <w:t xml:space="preserve"> 29–47). Washington: Georgetown University Press.</w:t>
      </w:r>
    </w:p>
    <w:p w14:paraId="7757CAAD" w14:textId="77777777" w:rsidR="00D517ED" w:rsidRPr="00734AB6" w:rsidRDefault="00D517ED" w:rsidP="00D517ED">
      <w:pPr>
        <w:spacing w:line="360" w:lineRule="auto"/>
        <w:ind w:left="851" w:hanging="851"/>
        <w:rPr>
          <w:rFonts w:asciiTheme="majorHAnsi" w:hAnsiTheme="majorHAnsi"/>
        </w:rPr>
      </w:pPr>
      <w:r w:rsidRPr="00734AB6">
        <w:rPr>
          <w:rFonts w:asciiTheme="majorHAnsi" w:hAnsiTheme="majorHAnsi"/>
        </w:rPr>
        <w:t>Kandel, D. B., Huang, F. Y., &amp; Davies, M. (2001). Comorbidity between patterns of substance use dependence and psychiatric syndromes. </w:t>
      </w:r>
      <w:r w:rsidRPr="00734AB6">
        <w:rPr>
          <w:rFonts w:asciiTheme="majorHAnsi" w:hAnsiTheme="majorHAnsi"/>
          <w:i/>
          <w:iCs/>
        </w:rPr>
        <w:t>Drug and Alcohol Dependence</w:t>
      </w:r>
      <w:r w:rsidRPr="00734AB6">
        <w:rPr>
          <w:rFonts w:asciiTheme="majorHAnsi" w:hAnsiTheme="majorHAnsi"/>
        </w:rPr>
        <w:t>, </w:t>
      </w:r>
      <w:r w:rsidRPr="00734AB6">
        <w:rPr>
          <w:rFonts w:asciiTheme="majorHAnsi" w:hAnsiTheme="majorHAnsi"/>
          <w:i/>
          <w:iCs/>
        </w:rPr>
        <w:t>64</w:t>
      </w:r>
      <w:r w:rsidRPr="00734AB6">
        <w:rPr>
          <w:rFonts w:asciiTheme="majorHAnsi" w:hAnsiTheme="majorHAnsi"/>
        </w:rPr>
        <w:t>(2), 233-241.</w:t>
      </w:r>
    </w:p>
    <w:p w14:paraId="50C67BC1" w14:textId="3221AC24"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Kane, M. J., </w:t>
      </w:r>
      <w:proofErr w:type="spellStart"/>
      <w:r w:rsidRPr="00734AB6">
        <w:rPr>
          <w:rFonts w:asciiTheme="majorHAnsi" w:hAnsiTheme="majorHAnsi" w:cstheme="minorHAnsi"/>
          <w:shd w:val="clear" w:color="auto" w:fill="FFFFFF"/>
        </w:rPr>
        <w:t>Bleckley</w:t>
      </w:r>
      <w:proofErr w:type="spellEnd"/>
      <w:r w:rsidRPr="00734AB6">
        <w:rPr>
          <w:rFonts w:asciiTheme="majorHAnsi" w:hAnsiTheme="majorHAnsi" w:cstheme="minorHAnsi"/>
          <w:shd w:val="clear" w:color="auto" w:fill="FFFFFF"/>
        </w:rPr>
        <w:t>, M. K., Conway, A. R., &amp; Engle, R. W. (2001). A controlled-attention view of working-memory capacity. </w:t>
      </w:r>
      <w:r w:rsidRPr="00734AB6">
        <w:rPr>
          <w:rFonts w:asciiTheme="majorHAnsi" w:hAnsiTheme="majorHAnsi" w:cstheme="minorHAnsi"/>
          <w:i/>
          <w:iCs/>
          <w:shd w:val="clear" w:color="auto" w:fill="FFFFFF"/>
        </w:rPr>
        <w:t xml:space="preserve">Journal of </w:t>
      </w:r>
      <w:r w:rsidR="002E46BC" w:rsidRPr="00734AB6">
        <w:rPr>
          <w:rFonts w:asciiTheme="majorHAnsi" w:hAnsiTheme="majorHAnsi" w:cstheme="minorHAnsi"/>
          <w:i/>
          <w:iCs/>
          <w:shd w:val="clear" w:color="auto" w:fill="FFFFFF"/>
        </w:rPr>
        <w:t>Experimental Psychology</w:t>
      </w:r>
      <w:r w:rsidRPr="00734AB6">
        <w:rPr>
          <w:rFonts w:asciiTheme="majorHAnsi" w:hAnsiTheme="majorHAnsi" w:cstheme="minorHAnsi"/>
          <w:i/>
          <w:iCs/>
          <w:shd w:val="clear" w:color="auto" w:fill="FFFFFF"/>
        </w:rPr>
        <w:t>: General</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130</w:t>
      </w:r>
      <w:r w:rsidRPr="00734AB6">
        <w:rPr>
          <w:rFonts w:asciiTheme="majorHAnsi" w:hAnsiTheme="majorHAnsi" w:cstheme="minorHAnsi"/>
          <w:shd w:val="clear" w:color="auto" w:fill="FFFFFF"/>
        </w:rPr>
        <w:t>(2), 169.</w:t>
      </w:r>
    </w:p>
    <w:p w14:paraId="6986879B"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lastRenderedPageBreak/>
        <w:t>Karaman</w:t>
      </w:r>
      <w:proofErr w:type="spellEnd"/>
      <w:r w:rsidRPr="00734AB6">
        <w:rPr>
          <w:rFonts w:asciiTheme="majorHAnsi" w:hAnsiTheme="majorHAnsi" w:cstheme="minorHAnsi"/>
          <w:shd w:val="clear" w:color="auto" w:fill="FFFFFF"/>
        </w:rPr>
        <w:t xml:space="preserve">, M. &amp; Ilhan, A.E. (2010).  Stevens-Johnson Syndrome, </w:t>
      </w:r>
      <w:r w:rsidRPr="00734AB6">
        <w:rPr>
          <w:rFonts w:asciiTheme="majorHAnsi" w:hAnsiTheme="majorHAnsi" w:cstheme="minorHAnsi"/>
          <w:i/>
          <w:shd w:val="clear" w:color="auto" w:fill="FFFFFF"/>
        </w:rPr>
        <w:t xml:space="preserve">KBB </w:t>
      </w:r>
      <w:proofErr w:type="spellStart"/>
      <w:r w:rsidRPr="00734AB6">
        <w:rPr>
          <w:rFonts w:asciiTheme="majorHAnsi" w:hAnsiTheme="majorHAnsi" w:cstheme="minorHAnsi"/>
          <w:i/>
          <w:shd w:val="clear" w:color="auto" w:fill="FFFFFF"/>
        </w:rPr>
        <w:t>ve</w:t>
      </w:r>
      <w:proofErr w:type="spellEnd"/>
      <w:r w:rsidRPr="00734AB6">
        <w:rPr>
          <w:rFonts w:asciiTheme="majorHAnsi" w:hAnsiTheme="majorHAnsi" w:cstheme="minorHAnsi"/>
          <w:i/>
          <w:shd w:val="clear" w:color="auto" w:fill="FFFFFF"/>
        </w:rPr>
        <w:t xml:space="preserve"> BBC </w:t>
      </w:r>
      <w:proofErr w:type="spellStart"/>
      <w:r w:rsidRPr="00734AB6">
        <w:rPr>
          <w:rFonts w:asciiTheme="majorHAnsi" w:hAnsiTheme="majorHAnsi" w:cstheme="minorHAnsi"/>
          <w:i/>
          <w:shd w:val="clear" w:color="auto" w:fill="FFFFFF"/>
        </w:rPr>
        <w:t>Dergisi</w:t>
      </w:r>
      <w:proofErr w:type="spellEnd"/>
      <w:r w:rsidRPr="00734AB6">
        <w:rPr>
          <w:rFonts w:asciiTheme="majorHAnsi" w:hAnsiTheme="majorHAnsi" w:cstheme="minorHAnsi"/>
          <w:shd w:val="clear" w:color="auto" w:fill="FFFFFF"/>
        </w:rPr>
        <w:t>, 18(2), 47-50.</w:t>
      </w:r>
    </w:p>
    <w:p w14:paraId="3D47833A"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shd w:val="clear" w:color="auto" w:fill="FFFFFF"/>
        </w:rPr>
        <w:t>Keane, H. (2008). Pleasure and discipline in the uses of Ritalin.</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International Journal of Drug Policy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19</w:t>
      </w:r>
      <w:r w:rsidRPr="00734AB6">
        <w:rPr>
          <w:rFonts w:asciiTheme="majorHAnsi" w:hAnsiTheme="majorHAnsi" w:cstheme="minorHAnsi"/>
          <w:shd w:val="clear" w:color="auto" w:fill="FFFFFF"/>
        </w:rPr>
        <w:t>(5), 401-409.</w:t>
      </w:r>
    </w:p>
    <w:p w14:paraId="7B8226DA" w14:textId="660B7264"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Keating, G</w:t>
      </w:r>
      <w:r w:rsidR="002E46BC" w:rsidRPr="00734AB6">
        <w:rPr>
          <w:rFonts w:asciiTheme="majorHAnsi" w:eastAsia="Calibri" w:hAnsiTheme="majorHAnsi" w:cs="Calibri"/>
        </w:rPr>
        <w:t xml:space="preserve">. </w:t>
      </w:r>
      <w:r w:rsidRPr="00734AB6">
        <w:rPr>
          <w:rFonts w:asciiTheme="majorHAnsi" w:eastAsia="Calibri" w:hAnsiTheme="majorHAnsi" w:cs="Calibri"/>
        </w:rPr>
        <w:t>M</w:t>
      </w:r>
      <w:r w:rsidR="002E46BC"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Raffin M</w:t>
      </w:r>
      <w:r w:rsidR="002E46BC" w:rsidRPr="00734AB6">
        <w:rPr>
          <w:rFonts w:asciiTheme="majorHAnsi" w:eastAsia="Calibri" w:hAnsiTheme="majorHAnsi" w:cs="Calibri"/>
        </w:rPr>
        <w:t xml:space="preserve">. </w:t>
      </w:r>
      <w:r w:rsidRPr="00734AB6">
        <w:rPr>
          <w:rFonts w:asciiTheme="majorHAnsi" w:eastAsia="Calibri" w:hAnsiTheme="majorHAnsi" w:cs="Calibri"/>
        </w:rPr>
        <w:t>J</w:t>
      </w:r>
      <w:r w:rsidR="002E46BC" w:rsidRPr="00734AB6">
        <w:rPr>
          <w:rFonts w:asciiTheme="majorHAnsi" w:eastAsia="Calibri" w:hAnsiTheme="majorHAnsi" w:cs="Calibri"/>
        </w:rPr>
        <w:t>.</w:t>
      </w:r>
      <w:r w:rsidRPr="00734AB6">
        <w:rPr>
          <w:rFonts w:asciiTheme="majorHAnsi" w:eastAsia="Calibri" w:hAnsiTheme="majorHAnsi" w:cs="Calibri"/>
        </w:rPr>
        <w:t xml:space="preserve"> (2005).  Modafinil a review of its use in excessive sleepiness associated with obstructive sleep apnoea/ hypopnoea syndrome and shift work sleep disorder. </w:t>
      </w:r>
      <w:r w:rsidRPr="00734AB6">
        <w:rPr>
          <w:rFonts w:asciiTheme="majorHAnsi" w:eastAsia="Calibri" w:hAnsiTheme="majorHAnsi" w:cs="Calibri"/>
          <w:i/>
        </w:rPr>
        <w:t>CNS Drugs</w:t>
      </w:r>
      <w:r w:rsidRPr="00734AB6">
        <w:rPr>
          <w:rFonts w:asciiTheme="majorHAnsi" w:eastAsia="Calibri" w:hAnsiTheme="majorHAnsi" w:cs="Calibri"/>
        </w:rPr>
        <w:t xml:space="preserve">, </w:t>
      </w:r>
      <w:r w:rsidRPr="00734AB6">
        <w:rPr>
          <w:rFonts w:asciiTheme="majorHAnsi" w:eastAsia="Calibri" w:hAnsiTheme="majorHAnsi" w:cs="Calibri"/>
          <w:i/>
        </w:rPr>
        <w:t>19</w:t>
      </w:r>
      <w:r w:rsidRPr="00734AB6">
        <w:rPr>
          <w:rFonts w:asciiTheme="majorHAnsi" w:eastAsia="Calibri" w:hAnsiTheme="majorHAnsi" w:cs="Calibri"/>
        </w:rPr>
        <w:t>(9), 785-803.</w:t>
      </w:r>
    </w:p>
    <w:p w14:paraId="42ACF86B" w14:textId="4931101B" w:rsidR="00E5175A" w:rsidRPr="00734AB6" w:rsidRDefault="00E5175A" w:rsidP="00E5175A">
      <w:pPr>
        <w:spacing w:line="360" w:lineRule="auto"/>
        <w:ind w:left="709" w:hanging="709"/>
        <w:rPr>
          <w:rFonts w:asciiTheme="majorHAnsi" w:hAnsiTheme="majorHAnsi" w:cstheme="majorHAnsi"/>
        </w:rPr>
      </w:pPr>
      <w:proofErr w:type="spellStart"/>
      <w:r w:rsidRPr="00734AB6">
        <w:rPr>
          <w:rFonts w:asciiTheme="majorHAnsi" w:hAnsiTheme="majorHAnsi" w:cstheme="majorHAnsi"/>
        </w:rPr>
        <w:t>Kehagia</w:t>
      </w:r>
      <w:proofErr w:type="spellEnd"/>
      <w:r w:rsidRPr="00734AB6">
        <w:rPr>
          <w:rFonts w:asciiTheme="majorHAnsi" w:hAnsiTheme="majorHAnsi" w:cstheme="majorHAnsi"/>
        </w:rPr>
        <w:t xml:space="preserve">, A. A., Murray, G. K., &amp; Robbins, T. W. (2010). Learning and cognitive flexibility: </w:t>
      </w:r>
      <w:proofErr w:type="spellStart"/>
      <w:r w:rsidRPr="00734AB6">
        <w:rPr>
          <w:rFonts w:asciiTheme="majorHAnsi" w:hAnsiTheme="majorHAnsi" w:cstheme="majorHAnsi"/>
        </w:rPr>
        <w:t>frontostriatal</w:t>
      </w:r>
      <w:proofErr w:type="spellEnd"/>
      <w:r w:rsidRPr="00734AB6">
        <w:rPr>
          <w:rFonts w:asciiTheme="majorHAnsi" w:hAnsiTheme="majorHAnsi" w:cstheme="majorHAnsi"/>
        </w:rPr>
        <w:t xml:space="preserve"> function and monoaminergic modulation. </w:t>
      </w:r>
      <w:r w:rsidRPr="00734AB6">
        <w:rPr>
          <w:rFonts w:asciiTheme="majorHAnsi" w:hAnsiTheme="majorHAnsi" w:cstheme="majorHAnsi"/>
          <w:i/>
          <w:iCs/>
        </w:rPr>
        <w:t>Current Opinion in Neurobiology</w:t>
      </w:r>
      <w:r w:rsidRPr="00734AB6">
        <w:rPr>
          <w:rFonts w:asciiTheme="majorHAnsi" w:hAnsiTheme="majorHAnsi" w:cstheme="majorHAnsi"/>
        </w:rPr>
        <w:t>, </w:t>
      </w:r>
      <w:r w:rsidRPr="00734AB6">
        <w:rPr>
          <w:rFonts w:asciiTheme="majorHAnsi" w:hAnsiTheme="majorHAnsi" w:cstheme="majorHAnsi"/>
          <w:i/>
          <w:iCs/>
        </w:rPr>
        <w:t>20</w:t>
      </w:r>
      <w:r w:rsidRPr="00734AB6">
        <w:rPr>
          <w:rFonts w:asciiTheme="majorHAnsi" w:hAnsiTheme="majorHAnsi" w:cstheme="majorHAnsi"/>
        </w:rPr>
        <w:t>(2), 199-204.</w:t>
      </w:r>
    </w:p>
    <w:p w14:paraId="77768E3A" w14:textId="77777777" w:rsidR="00D517ED" w:rsidRPr="00734AB6" w:rsidRDefault="00D517ED" w:rsidP="00D517ED">
      <w:pPr>
        <w:spacing w:line="360" w:lineRule="auto"/>
        <w:ind w:left="851" w:hanging="851"/>
        <w:rPr>
          <w:rFonts w:asciiTheme="majorHAnsi" w:hAnsiTheme="majorHAnsi"/>
        </w:rPr>
      </w:pPr>
      <w:proofErr w:type="spellStart"/>
      <w:r w:rsidRPr="00734AB6">
        <w:rPr>
          <w:rFonts w:asciiTheme="majorHAnsi" w:hAnsiTheme="majorHAnsi"/>
        </w:rPr>
        <w:t>Keles</w:t>
      </w:r>
      <w:proofErr w:type="spellEnd"/>
      <w:r w:rsidRPr="00734AB6">
        <w:rPr>
          <w:rFonts w:asciiTheme="majorHAnsi" w:hAnsiTheme="majorHAnsi"/>
        </w:rPr>
        <w:t xml:space="preserve">, B., McCrae, N., &amp; </w:t>
      </w:r>
      <w:proofErr w:type="spellStart"/>
      <w:r w:rsidRPr="00734AB6">
        <w:rPr>
          <w:rFonts w:asciiTheme="majorHAnsi" w:hAnsiTheme="majorHAnsi"/>
        </w:rPr>
        <w:t>Grealish</w:t>
      </w:r>
      <w:proofErr w:type="spellEnd"/>
      <w:r w:rsidRPr="00734AB6">
        <w:rPr>
          <w:rFonts w:asciiTheme="majorHAnsi" w:hAnsiTheme="majorHAnsi"/>
        </w:rPr>
        <w:t>, A. (2020). A systematic review: the influence of social media on depression, anxiety and psychological distress in adolescents. </w:t>
      </w:r>
      <w:r w:rsidRPr="00734AB6">
        <w:rPr>
          <w:rFonts w:asciiTheme="majorHAnsi" w:hAnsiTheme="majorHAnsi"/>
          <w:i/>
          <w:iCs/>
        </w:rPr>
        <w:t>International Journal of Adolescence and Youth</w:t>
      </w:r>
      <w:r w:rsidRPr="00734AB6">
        <w:rPr>
          <w:rFonts w:asciiTheme="majorHAnsi" w:hAnsiTheme="majorHAnsi"/>
        </w:rPr>
        <w:t>, </w:t>
      </w:r>
      <w:r w:rsidRPr="00734AB6">
        <w:rPr>
          <w:rFonts w:asciiTheme="majorHAnsi" w:hAnsiTheme="majorHAnsi"/>
          <w:i/>
          <w:iCs/>
        </w:rPr>
        <w:t>25</w:t>
      </w:r>
      <w:r w:rsidRPr="00734AB6">
        <w:rPr>
          <w:rFonts w:asciiTheme="majorHAnsi" w:hAnsiTheme="majorHAnsi"/>
        </w:rPr>
        <w:t>(1), 79-93.</w:t>
      </w:r>
    </w:p>
    <w:p w14:paraId="4B1970C8" w14:textId="38FA6230"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Kelly, T</w:t>
      </w:r>
      <w:r w:rsidR="002E46BC" w:rsidRPr="00734AB6">
        <w:rPr>
          <w:rFonts w:asciiTheme="majorHAnsi" w:eastAsia="Calibri" w:hAnsiTheme="majorHAnsi" w:cs="Calibri"/>
        </w:rPr>
        <w:t xml:space="preserve">. </w:t>
      </w:r>
      <w:r w:rsidRPr="00734AB6">
        <w:rPr>
          <w:rFonts w:asciiTheme="majorHAnsi" w:eastAsia="Calibri" w:hAnsiTheme="majorHAnsi" w:cs="Calibri"/>
        </w:rPr>
        <w:t>H</w:t>
      </w:r>
      <w:r w:rsidR="002E46BC"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Delzer</w:t>
      </w:r>
      <w:proofErr w:type="spellEnd"/>
      <w:r w:rsidRPr="00734AB6">
        <w:rPr>
          <w:rFonts w:asciiTheme="majorHAnsi" w:eastAsia="Calibri" w:hAnsiTheme="majorHAnsi" w:cs="Calibri"/>
        </w:rPr>
        <w:t>, T</w:t>
      </w:r>
      <w:r w:rsidR="002E46BC" w:rsidRPr="00734AB6">
        <w:rPr>
          <w:rFonts w:asciiTheme="majorHAnsi" w:eastAsia="Calibri" w:hAnsiTheme="majorHAnsi" w:cs="Calibri"/>
        </w:rPr>
        <w:t xml:space="preserve">. </w:t>
      </w:r>
      <w:r w:rsidRPr="00734AB6">
        <w:rPr>
          <w:rFonts w:asciiTheme="majorHAnsi" w:eastAsia="Calibri" w:hAnsiTheme="majorHAnsi" w:cs="Calibri"/>
        </w:rPr>
        <w:t>A</w:t>
      </w:r>
      <w:r w:rsidR="002E46BC" w:rsidRPr="00734AB6">
        <w:rPr>
          <w:rFonts w:asciiTheme="majorHAnsi" w:eastAsia="Calibri" w:hAnsiTheme="majorHAnsi" w:cs="Calibri"/>
        </w:rPr>
        <w:t>.</w:t>
      </w:r>
      <w:r w:rsidRPr="00734AB6">
        <w:rPr>
          <w:rFonts w:asciiTheme="majorHAnsi" w:eastAsia="Calibri" w:hAnsiTheme="majorHAnsi" w:cs="Calibri"/>
        </w:rPr>
        <w:t>, Martin, C</w:t>
      </w:r>
      <w:r w:rsidR="002E46BC" w:rsidRPr="00734AB6">
        <w:rPr>
          <w:rFonts w:asciiTheme="majorHAnsi" w:eastAsia="Calibri" w:hAnsiTheme="majorHAnsi" w:cs="Calibri"/>
        </w:rPr>
        <w:t xml:space="preserve">. </w:t>
      </w:r>
      <w:r w:rsidRPr="00734AB6">
        <w:rPr>
          <w:rFonts w:asciiTheme="majorHAnsi" w:eastAsia="Calibri" w:hAnsiTheme="majorHAnsi" w:cs="Calibri"/>
        </w:rPr>
        <w:t>A</w:t>
      </w:r>
      <w:r w:rsidR="002E46BC" w:rsidRPr="00734AB6">
        <w:rPr>
          <w:rFonts w:asciiTheme="majorHAnsi" w:eastAsia="Calibri" w:hAnsiTheme="majorHAnsi" w:cs="Calibri"/>
        </w:rPr>
        <w:t>.</w:t>
      </w:r>
      <w:r w:rsidRPr="00734AB6">
        <w:rPr>
          <w:rFonts w:asciiTheme="majorHAnsi" w:eastAsia="Calibri" w:hAnsiTheme="majorHAnsi" w:cs="Calibri"/>
        </w:rPr>
        <w:t>, Harrington, N</w:t>
      </w:r>
      <w:r w:rsidR="002E46BC" w:rsidRPr="00734AB6">
        <w:rPr>
          <w:rFonts w:asciiTheme="majorHAnsi" w:eastAsia="Calibri" w:hAnsiTheme="majorHAnsi" w:cs="Calibri"/>
        </w:rPr>
        <w:t xml:space="preserve">. </w:t>
      </w:r>
      <w:r w:rsidRPr="00734AB6">
        <w:rPr>
          <w:rFonts w:asciiTheme="majorHAnsi" w:eastAsia="Calibri" w:hAnsiTheme="majorHAnsi" w:cs="Calibri"/>
        </w:rPr>
        <w:t>G</w:t>
      </w:r>
      <w:r w:rsidR="002E46BC" w:rsidRPr="00734AB6">
        <w:rPr>
          <w:rFonts w:asciiTheme="majorHAnsi" w:eastAsia="Calibri" w:hAnsiTheme="majorHAnsi" w:cs="Calibri"/>
        </w:rPr>
        <w:t>.</w:t>
      </w:r>
      <w:r w:rsidRPr="00734AB6">
        <w:rPr>
          <w:rFonts w:asciiTheme="majorHAnsi" w:eastAsia="Calibri" w:hAnsiTheme="majorHAnsi" w:cs="Calibri"/>
        </w:rPr>
        <w:t>, Hays, L</w:t>
      </w:r>
      <w:r w:rsidR="002E46BC" w:rsidRPr="00734AB6">
        <w:rPr>
          <w:rFonts w:asciiTheme="majorHAnsi" w:eastAsia="Calibri" w:hAnsiTheme="majorHAnsi" w:cs="Calibri"/>
        </w:rPr>
        <w:t xml:space="preserve">. </w:t>
      </w:r>
      <w:r w:rsidRPr="00734AB6">
        <w:rPr>
          <w:rFonts w:asciiTheme="majorHAnsi" w:eastAsia="Calibri" w:hAnsiTheme="majorHAnsi" w:cs="Calibri"/>
        </w:rPr>
        <w:t>R</w:t>
      </w:r>
      <w:r w:rsidR="002E46BC"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Bardo, M</w:t>
      </w:r>
      <w:r w:rsidR="002E46BC" w:rsidRPr="00734AB6">
        <w:rPr>
          <w:rFonts w:asciiTheme="majorHAnsi" w:eastAsia="Calibri" w:hAnsiTheme="majorHAnsi" w:cs="Calibri"/>
        </w:rPr>
        <w:t xml:space="preserve">. </w:t>
      </w:r>
      <w:r w:rsidRPr="00734AB6">
        <w:rPr>
          <w:rFonts w:asciiTheme="majorHAnsi" w:eastAsia="Calibri" w:hAnsiTheme="majorHAnsi" w:cs="Calibri"/>
        </w:rPr>
        <w:t>T</w:t>
      </w:r>
      <w:r w:rsidR="002E46BC" w:rsidRPr="00734AB6">
        <w:rPr>
          <w:rFonts w:asciiTheme="majorHAnsi" w:eastAsia="Calibri" w:hAnsiTheme="majorHAnsi" w:cs="Calibri"/>
        </w:rPr>
        <w:t>.</w:t>
      </w:r>
      <w:r w:rsidRPr="00734AB6">
        <w:rPr>
          <w:rFonts w:asciiTheme="majorHAnsi" w:eastAsia="Calibri" w:hAnsiTheme="majorHAnsi" w:cs="Calibri"/>
        </w:rPr>
        <w:t xml:space="preserve"> (2009). Performance and subjective effects of diazepam and d-amphetamine in high and low sensation seekers. </w:t>
      </w:r>
      <w:r w:rsidRPr="00734AB6">
        <w:rPr>
          <w:rFonts w:asciiTheme="majorHAnsi" w:eastAsia="Calibri" w:hAnsiTheme="majorHAnsi" w:cs="Calibri"/>
          <w:i/>
          <w:iCs/>
        </w:rPr>
        <w:t>Behavioural Pharmacology</w:t>
      </w:r>
      <w:r w:rsidRPr="00734AB6">
        <w:rPr>
          <w:rFonts w:asciiTheme="majorHAnsi" w:eastAsia="Calibri" w:hAnsiTheme="majorHAnsi" w:cs="Calibri"/>
        </w:rPr>
        <w:t>, </w:t>
      </w:r>
      <w:r w:rsidRPr="00734AB6">
        <w:rPr>
          <w:rFonts w:asciiTheme="majorHAnsi" w:eastAsia="Calibri" w:hAnsiTheme="majorHAnsi" w:cs="Calibri"/>
          <w:i/>
          <w:iCs/>
        </w:rPr>
        <w:t>20</w:t>
      </w:r>
      <w:r w:rsidRPr="00734AB6">
        <w:rPr>
          <w:rFonts w:asciiTheme="majorHAnsi" w:eastAsia="Calibri" w:hAnsiTheme="majorHAnsi" w:cs="Calibri"/>
        </w:rPr>
        <w:t xml:space="preserve">(5-6), 505. </w:t>
      </w:r>
    </w:p>
    <w:p w14:paraId="22ED9A89"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Kerns, K. A., &amp; Price, K. J. (2001). An investigation of prospective memory in children with ADHD. </w:t>
      </w:r>
      <w:r w:rsidRPr="00734AB6">
        <w:rPr>
          <w:rFonts w:asciiTheme="majorHAnsi" w:eastAsia="Calibri" w:hAnsiTheme="majorHAnsi" w:cs="Calibri"/>
          <w:i/>
          <w:iCs/>
        </w:rPr>
        <w:t>Child Neuropsychology</w:t>
      </w:r>
      <w:r w:rsidRPr="00734AB6">
        <w:rPr>
          <w:rFonts w:asciiTheme="majorHAnsi" w:eastAsia="Calibri" w:hAnsiTheme="majorHAnsi" w:cs="Calibri"/>
        </w:rPr>
        <w:t>, </w:t>
      </w:r>
      <w:r w:rsidRPr="00734AB6">
        <w:rPr>
          <w:rFonts w:asciiTheme="majorHAnsi" w:eastAsia="Calibri" w:hAnsiTheme="majorHAnsi" w:cs="Calibri"/>
          <w:i/>
          <w:iCs/>
        </w:rPr>
        <w:t>7</w:t>
      </w:r>
      <w:r w:rsidRPr="00734AB6">
        <w:rPr>
          <w:rFonts w:asciiTheme="majorHAnsi" w:eastAsia="Calibri" w:hAnsiTheme="majorHAnsi" w:cs="Calibri"/>
        </w:rPr>
        <w:t>(3), 162-171.</w:t>
      </w:r>
    </w:p>
    <w:p w14:paraId="104E4347" w14:textId="1C3109F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Kerr, C. W., Drake, J., Milch, R. A., Brazeau, D. A., </w:t>
      </w:r>
      <w:proofErr w:type="spellStart"/>
      <w:r w:rsidRPr="00734AB6">
        <w:rPr>
          <w:rFonts w:asciiTheme="majorHAnsi" w:eastAsia="Calibri" w:hAnsiTheme="majorHAnsi" w:cs="Calibri"/>
        </w:rPr>
        <w:t>Skretny</w:t>
      </w:r>
      <w:proofErr w:type="spellEnd"/>
      <w:r w:rsidRPr="00734AB6">
        <w:rPr>
          <w:rFonts w:asciiTheme="majorHAnsi" w:eastAsia="Calibri" w:hAnsiTheme="majorHAnsi" w:cs="Calibri"/>
        </w:rPr>
        <w:t xml:space="preserve">, J. A., Brazeau, G. A., &amp; Donnelly, J. P. (2012). Effects of methylphenidate on fatigue and depression: a randomized, double-blind, placebo-controlled trial. </w:t>
      </w:r>
      <w:r w:rsidRPr="00734AB6">
        <w:rPr>
          <w:rFonts w:asciiTheme="majorHAnsi" w:eastAsia="Calibri" w:hAnsiTheme="majorHAnsi" w:cs="Calibri"/>
          <w:i/>
        </w:rPr>
        <w:t xml:space="preserve">Journal </w:t>
      </w:r>
      <w:r w:rsidR="002E46BC" w:rsidRPr="00734AB6">
        <w:rPr>
          <w:rFonts w:asciiTheme="majorHAnsi" w:eastAsia="Calibri" w:hAnsiTheme="majorHAnsi" w:cs="Calibri"/>
          <w:i/>
        </w:rPr>
        <w:t>of Pain and Symptom Management</w:t>
      </w:r>
      <w:r w:rsidRPr="00734AB6">
        <w:rPr>
          <w:rFonts w:asciiTheme="majorHAnsi" w:eastAsia="Calibri" w:hAnsiTheme="majorHAnsi" w:cs="Calibri"/>
        </w:rPr>
        <w:t xml:space="preserve">, </w:t>
      </w:r>
      <w:r w:rsidRPr="00734AB6">
        <w:rPr>
          <w:rFonts w:asciiTheme="majorHAnsi" w:eastAsia="Calibri" w:hAnsiTheme="majorHAnsi" w:cs="Calibri"/>
          <w:i/>
        </w:rPr>
        <w:t>43</w:t>
      </w:r>
      <w:r w:rsidRPr="00734AB6">
        <w:rPr>
          <w:rFonts w:asciiTheme="majorHAnsi" w:eastAsia="Calibri" w:hAnsiTheme="majorHAnsi" w:cs="Calibri"/>
        </w:rPr>
        <w:t>(1), 68-77.</w:t>
      </w:r>
    </w:p>
    <w:p w14:paraId="2577B58A" w14:textId="713B80CF"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Kessler, R. C., Adler, L., Ames, M., </w:t>
      </w:r>
      <w:proofErr w:type="spellStart"/>
      <w:r w:rsidRPr="00734AB6">
        <w:rPr>
          <w:rFonts w:asciiTheme="majorHAnsi" w:hAnsiTheme="majorHAnsi" w:cstheme="minorHAnsi"/>
          <w:shd w:val="clear" w:color="auto" w:fill="FFFFFF"/>
        </w:rPr>
        <w:t>Demler</w:t>
      </w:r>
      <w:proofErr w:type="spellEnd"/>
      <w:r w:rsidRPr="00734AB6">
        <w:rPr>
          <w:rFonts w:asciiTheme="majorHAnsi" w:hAnsiTheme="majorHAnsi" w:cstheme="minorHAnsi"/>
          <w:shd w:val="clear" w:color="auto" w:fill="FFFFFF"/>
        </w:rPr>
        <w:t xml:space="preserve">, O., </w:t>
      </w:r>
      <w:proofErr w:type="spellStart"/>
      <w:r w:rsidRPr="00734AB6">
        <w:rPr>
          <w:rFonts w:asciiTheme="majorHAnsi" w:hAnsiTheme="majorHAnsi" w:cstheme="minorHAnsi"/>
          <w:shd w:val="clear" w:color="auto" w:fill="FFFFFF"/>
        </w:rPr>
        <w:t>Faraone</w:t>
      </w:r>
      <w:proofErr w:type="spellEnd"/>
      <w:r w:rsidRPr="00734AB6">
        <w:rPr>
          <w:rFonts w:asciiTheme="majorHAnsi" w:hAnsiTheme="majorHAnsi" w:cstheme="minorHAnsi"/>
          <w:shd w:val="clear" w:color="auto" w:fill="FFFFFF"/>
        </w:rPr>
        <w:t xml:space="preserve">, S., </w:t>
      </w:r>
      <w:proofErr w:type="spellStart"/>
      <w:r w:rsidRPr="00734AB6">
        <w:rPr>
          <w:rFonts w:asciiTheme="majorHAnsi" w:hAnsiTheme="majorHAnsi" w:cstheme="minorHAnsi"/>
          <w:shd w:val="clear" w:color="auto" w:fill="FFFFFF"/>
        </w:rPr>
        <w:t>Hiripi</w:t>
      </w:r>
      <w:proofErr w:type="spellEnd"/>
      <w:r w:rsidRPr="00734AB6">
        <w:rPr>
          <w:rFonts w:asciiTheme="majorHAnsi" w:hAnsiTheme="majorHAnsi" w:cstheme="minorHAnsi"/>
          <w:shd w:val="clear" w:color="auto" w:fill="FFFFFF"/>
        </w:rPr>
        <w:t xml:space="preserve">, E. V. A., ... &amp; </w:t>
      </w:r>
      <w:proofErr w:type="spellStart"/>
      <w:r w:rsidRPr="00734AB6">
        <w:rPr>
          <w:rFonts w:asciiTheme="majorHAnsi" w:hAnsiTheme="majorHAnsi" w:cstheme="minorHAnsi"/>
          <w:shd w:val="clear" w:color="auto" w:fill="FFFFFF"/>
        </w:rPr>
        <w:t>Ustun</w:t>
      </w:r>
      <w:proofErr w:type="spellEnd"/>
      <w:r w:rsidRPr="00734AB6">
        <w:rPr>
          <w:rFonts w:asciiTheme="majorHAnsi" w:hAnsiTheme="majorHAnsi" w:cstheme="minorHAnsi"/>
          <w:shd w:val="clear" w:color="auto" w:fill="FFFFFF"/>
        </w:rPr>
        <w:t>, T. B. (2005). The World Health Organization Adult ADHD Self-Report Scale (ASRS): a short screening scale for use in the general population. </w:t>
      </w:r>
      <w:r w:rsidRPr="00734AB6">
        <w:rPr>
          <w:rFonts w:asciiTheme="majorHAnsi" w:hAnsiTheme="majorHAnsi" w:cstheme="minorHAnsi"/>
          <w:i/>
          <w:iCs/>
          <w:shd w:val="clear" w:color="auto" w:fill="FFFFFF"/>
        </w:rPr>
        <w:t xml:space="preserve">Psychological </w:t>
      </w:r>
      <w:r w:rsidR="002E46BC" w:rsidRPr="00734AB6">
        <w:rPr>
          <w:rFonts w:asciiTheme="majorHAnsi" w:hAnsiTheme="majorHAnsi" w:cstheme="minorHAnsi"/>
          <w:i/>
          <w:iCs/>
          <w:shd w:val="clear" w:color="auto" w:fill="FFFFFF"/>
        </w:rPr>
        <w:t>M</w:t>
      </w:r>
      <w:r w:rsidRPr="00734AB6">
        <w:rPr>
          <w:rFonts w:asciiTheme="majorHAnsi" w:hAnsiTheme="majorHAnsi" w:cstheme="minorHAnsi"/>
          <w:i/>
          <w:iCs/>
          <w:shd w:val="clear" w:color="auto" w:fill="FFFFFF"/>
        </w:rPr>
        <w:t>edicine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35</w:t>
      </w:r>
      <w:r w:rsidRPr="00734AB6">
        <w:rPr>
          <w:rFonts w:asciiTheme="majorHAnsi" w:hAnsiTheme="majorHAnsi" w:cstheme="minorHAnsi"/>
          <w:shd w:val="clear" w:color="auto" w:fill="FFFFFF"/>
        </w:rPr>
        <w:t>(2), 245-256.</w:t>
      </w:r>
    </w:p>
    <w:p w14:paraId="7C7C3231" w14:textId="0C99A375"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Kim, D. (2012). Practical use and risk of modafinil, a novel waking drug.</w:t>
      </w:r>
      <w:r w:rsidRPr="00734AB6">
        <w:rPr>
          <w:rStyle w:val="apple-converted-space"/>
          <w:rFonts w:asciiTheme="majorHAnsi" w:hAnsiTheme="majorHAnsi" w:cstheme="minorHAnsi"/>
          <w:shd w:val="clear" w:color="auto" w:fill="FFFFFF"/>
        </w:rPr>
        <w:t> </w:t>
      </w:r>
      <w:r w:rsidR="002E46BC" w:rsidRPr="00734AB6">
        <w:rPr>
          <w:rFonts w:asciiTheme="majorHAnsi" w:hAnsiTheme="majorHAnsi" w:cstheme="minorHAnsi"/>
          <w:i/>
          <w:iCs/>
          <w:shd w:val="clear" w:color="auto" w:fill="FFFFFF"/>
        </w:rPr>
        <w:t>Environmental H</w:t>
      </w:r>
      <w:r w:rsidRPr="00734AB6">
        <w:rPr>
          <w:rFonts w:asciiTheme="majorHAnsi" w:hAnsiTheme="majorHAnsi" w:cstheme="minorHAnsi"/>
          <w:i/>
          <w:iCs/>
          <w:shd w:val="clear" w:color="auto" w:fill="FFFFFF"/>
        </w:rPr>
        <w:t xml:space="preserve">ealth and </w:t>
      </w:r>
      <w:r w:rsidR="002E46BC" w:rsidRPr="00734AB6">
        <w:rPr>
          <w:rFonts w:asciiTheme="majorHAnsi" w:hAnsiTheme="majorHAnsi" w:cstheme="minorHAnsi"/>
          <w:i/>
          <w:iCs/>
          <w:shd w:val="clear" w:color="auto" w:fill="FFFFFF"/>
        </w:rPr>
        <w:t>T</w:t>
      </w:r>
      <w:r w:rsidRPr="00734AB6">
        <w:rPr>
          <w:rFonts w:asciiTheme="majorHAnsi" w:hAnsiTheme="majorHAnsi" w:cstheme="minorHAnsi"/>
          <w:i/>
          <w:iCs/>
          <w:shd w:val="clear" w:color="auto" w:fill="FFFFFF"/>
        </w:rPr>
        <w:t>oxicology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27</w:t>
      </w:r>
      <w:r w:rsidRPr="00734AB6">
        <w:rPr>
          <w:rFonts w:asciiTheme="majorHAnsi" w:hAnsiTheme="majorHAnsi" w:cstheme="minorHAnsi"/>
          <w:shd w:val="clear" w:color="auto" w:fill="FFFFFF"/>
        </w:rPr>
        <w:t>, e2012007.</w:t>
      </w:r>
    </w:p>
    <w:p w14:paraId="3154A744" w14:textId="5F190DAD" w:rsidR="00057E8A" w:rsidRPr="00734AB6" w:rsidRDefault="00057E8A"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Kim, J. H., Lee, E. H., &amp; </w:t>
      </w:r>
      <w:proofErr w:type="spellStart"/>
      <w:r w:rsidRPr="00734AB6">
        <w:rPr>
          <w:rFonts w:asciiTheme="majorHAnsi" w:eastAsia="Calibri" w:hAnsiTheme="majorHAnsi" w:cs="Calibri"/>
        </w:rPr>
        <w:t>Joung</w:t>
      </w:r>
      <w:proofErr w:type="spellEnd"/>
      <w:r w:rsidRPr="00734AB6">
        <w:rPr>
          <w:rFonts w:asciiTheme="majorHAnsi" w:eastAsia="Calibri" w:hAnsiTheme="majorHAnsi" w:cs="Calibri"/>
        </w:rPr>
        <w:t>, Y. S. (2013). The WHO Adult ADHD Self-Report Scale: reliability and validity of the Korean version. </w:t>
      </w:r>
      <w:r w:rsidR="002E46BC" w:rsidRPr="00734AB6">
        <w:rPr>
          <w:rFonts w:asciiTheme="majorHAnsi" w:eastAsia="Calibri" w:hAnsiTheme="majorHAnsi" w:cs="Calibri"/>
          <w:i/>
          <w:iCs/>
        </w:rPr>
        <w:t>Psychiatry I</w:t>
      </w:r>
      <w:r w:rsidRPr="00734AB6">
        <w:rPr>
          <w:rFonts w:asciiTheme="majorHAnsi" w:eastAsia="Calibri" w:hAnsiTheme="majorHAnsi" w:cs="Calibri"/>
          <w:i/>
          <w:iCs/>
        </w:rPr>
        <w:t>nvestigation</w:t>
      </w:r>
      <w:r w:rsidRPr="00734AB6">
        <w:rPr>
          <w:rFonts w:asciiTheme="majorHAnsi" w:eastAsia="Calibri" w:hAnsiTheme="majorHAnsi" w:cs="Calibri"/>
        </w:rPr>
        <w:t>, </w:t>
      </w:r>
      <w:r w:rsidRPr="00734AB6">
        <w:rPr>
          <w:rFonts w:asciiTheme="majorHAnsi" w:eastAsia="Calibri" w:hAnsiTheme="majorHAnsi" w:cs="Calibri"/>
          <w:i/>
          <w:iCs/>
        </w:rPr>
        <w:t>10</w:t>
      </w:r>
      <w:r w:rsidRPr="00734AB6">
        <w:rPr>
          <w:rFonts w:asciiTheme="majorHAnsi" w:eastAsia="Calibri" w:hAnsiTheme="majorHAnsi" w:cs="Calibri"/>
        </w:rPr>
        <w:t>(1), 41.</w:t>
      </w:r>
    </w:p>
    <w:p w14:paraId="439E7172"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Kim, S., Liu, Z., </w:t>
      </w:r>
      <w:proofErr w:type="spellStart"/>
      <w:r w:rsidRPr="00734AB6">
        <w:rPr>
          <w:rFonts w:asciiTheme="majorHAnsi" w:eastAsia="Calibri" w:hAnsiTheme="majorHAnsi" w:cs="Calibri"/>
        </w:rPr>
        <w:t>Glizer</w:t>
      </w:r>
      <w:proofErr w:type="spellEnd"/>
      <w:r w:rsidRPr="00734AB6">
        <w:rPr>
          <w:rFonts w:asciiTheme="majorHAnsi" w:eastAsia="Calibri" w:hAnsiTheme="majorHAnsi" w:cs="Calibri"/>
        </w:rPr>
        <w:t xml:space="preserve">, D., </w:t>
      </w:r>
      <w:proofErr w:type="spellStart"/>
      <w:r w:rsidRPr="00734AB6">
        <w:rPr>
          <w:rFonts w:asciiTheme="majorHAnsi" w:eastAsia="Calibri" w:hAnsiTheme="majorHAnsi" w:cs="Calibri"/>
        </w:rPr>
        <w:t>Tannock</w:t>
      </w:r>
      <w:proofErr w:type="spellEnd"/>
      <w:r w:rsidRPr="00734AB6">
        <w:rPr>
          <w:rFonts w:asciiTheme="majorHAnsi" w:eastAsia="Calibri" w:hAnsiTheme="majorHAnsi" w:cs="Calibri"/>
        </w:rPr>
        <w:t xml:space="preserve">, R., &amp; </w:t>
      </w:r>
      <w:proofErr w:type="spellStart"/>
      <w:r w:rsidRPr="00734AB6">
        <w:rPr>
          <w:rFonts w:asciiTheme="majorHAnsi" w:eastAsia="Calibri" w:hAnsiTheme="majorHAnsi" w:cs="Calibri"/>
        </w:rPr>
        <w:t>Woltering</w:t>
      </w:r>
      <w:proofErr w:type="spellEnd"/>
      <w:r w:rsidRPr="00734AB6">
        <w:rPr>
          <w:rFonts w:asciiTheme="majorHAnsi" w:eastAsia="Calibri" w:hAnsiTheme="majorHAnsi" w:cs="Calibri"/>
        </w:rPr>
        <w:t>, S. (2014). Adult ADHD and working memory: neural evidence of impaired encoding. </w:t>
      </w:r>
      <w:r w:rsidRPr="00734AB6">
        <w:rPr>
          <w:rFonts w:asciiTheme="majorHAnsi" w:eastAsia="Calibri" w:hAnsiTheme="majorHAnsi" w:cs="Calibri"/>
          <w:i/>
          <w:iCs/>
        </w:rPr>
        <w:t>Clinical Neurophysiology</w:t>
      </w:r>
      <w:r w:rsidRPr="00734AB6">
        <w:rPr>
          <w:rFonts w:asciiTheme="majorHAnsi" w:eastAsia="Calibri" w:hAnsiTheme="majorHAnsi" w:cs="Calibri"/>
        </w:rPr>
        <w:t>, </w:t>
      </w:r>
      <w:r w:rsidRPr="00734AB6">
        <w:rPr>
          <w:rFonts w:asciiTheme="majorHAnsi" w:eastAsia="Calibri" w:hAnsiTheme="majorHAnsi" w:cs="Calibri"/>
          <w:i/>
          <w:iCs/>
        </w:rPr>
        <w:t>125</w:t>
      </w:r>
      <w:r w:rsidRPr="00734AB6">
        <w:rPr>
          <w:rFonts w:asciiTheme="majorHAnsi" w:eastAsia="Calibri" w:hAnsiTheme="majorHAnsi" w:cs="Calibri"/>
        </w:rPr>
        <w:t>(8), 1596-1603.</w:t>
      </w:r>
    </w:p>
    <w:p w14:paraId="3072EEC4" w14:textId="1D01485A"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Kimko</w:t>
      </w:r>
      <w:proofErr w:type="spellEnd"/>
      <w:r w:rsidRPr="00734AB6">
        <w:rPr>
          <w:rFonts w:asciiTheme="majorHAnsi" w:eastAsia="Calibri" w:hAnsiTheme="majorHAnsi" w:cs="Calibri"/>
        </w:rPr>
        <w:t>, H</w:t>
      </w:r>
      <w:r w:rsidR="002E46BC" w:rsidRPr="00734AB6">
        <w:rPr>
          <w:rFonts w:asciiTheme="majorHAnsi" w:eastAsia="Calibri" w:hAnsiTheme="majorHAnsi" w:cs="Calibri"/>
        </w:rPr>
        <w:t xml:space="preserve">. </w:t>
      </w:r>
      <w:r w:rsidRPr="00734AB6">
        <w:rPr>
          <w:rFonts w:asciiTheme="majorHAnsi" w:eastAsia="Calibri" w:hAnsiTheme="majorHAnsi" w:cs="Calibri"/>
        </w:rPr>
        <w:t>C</w:t>
      </w:r>
      <w:r w:rsidR="002E46BC" w:rsidRPr="00734AB6">
        <w:rPr>
          <w:rFonts w:asciiTheme="majorHAnsi" w:eastAsia="Calibri" w:hAnsiTheme="majorHAnsi" w:cs="Calibri"/>
        </w:rPr>
        <w:t>.</w:t>
      </w:r>
      <w:r w:rsidRPr="00734AB6">
        <w:rPr>
          <w:rFonts w:asciiTheme="majorHAnsi" w:eastAsia="Calibri" w:hAnsiTheme="majorHAnsi" w:cs="Calibri"/>
        </w:rPr>
        <w:t>, Cross, J</w:t>
      </w:r>
      <w:r w:rsidR="008B5D30" w:rsidRPr="00734AB6">
        <w:rPr>
          <w:rFonts w:asciiTheme="majorHAnsi" w:eastAsia="Calibri" w:hAnsiTheme="majorHAnsi" w:cs="Calibri"/>
        </w:rPr>
        <w:t>.</w:t>
      </w:r>
      <w:r w:rsidR="002E46BC" w:rsidRPr="00734AB6">
        <w:rPr>
          <w:rFonts w:asciiTheme="majorHAnsi" w:eastAsia="Calibri" w:hAnsiTheme="majorHAnsi" w:cs="Calibri"/>
        </w:rPr>
        <w:t xml:space="preserve"> </w:t>
      </w:r>
      <w:r w:rsidRPr="00734AB6">
        <w:rPr>
          <w:rFonts w:asciiTheme="majorHAnsi" w:eastAsia="Calibri" w:hAnsiTheme="majorHAnsi" w:cs="Calibri"/>
        </w:rPr>
        <w:t>T</w:t>
      </w:r>
      <w:r w:rsidR="008B5D30"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Abernethy, D</w:t>
      </w:r>
      <w:r w:rsidR="002E46BC" w:rsidRPr="00734AB6">
        <w:rPr>
          <w:rFonts w:asciiTheme="majorHAnsi" w:eastAsia="Calibri" w:hAnsiTheme="majorHAnsi" w:cs="Calibri"/>
        </w:rPr>
        <w:t xml:space="preserve">. </w:t>
      </w:r>
      <w:r w:rsidRPr="00734AB6">
        <w:rPr>
          <w:rFonts w:asciiTheme="majorHAnsi" w:eastAsia="Calibri" w:hAnsiTheme="majorHAnsi" w:cs="Calibri"/>
        </w:rPr>
        <w:t>R</w:t>
      </w:r>
      <w:r w:rsidR="002E46BC" w:rsidRPr="00734AB6">
        <w:rPr>
          <w:rFonts w:asciiTheme="majorHAnsi" w:eastAsia="Calibri" w:hAnsiTheme="majorHAnsi" w:cs="Calibri"/>
        </w:rPr>
        <w:t>.</w:t>
      </w:r>
      <w:r w:rsidRPr="00734AB6">
        <w:rPr>
          <w:rFonts w:asciiTheme="majorHAnsi" w:eastAsia="Calibri" w:hAnsiTheme="majorHAnsi" w:cs="Calibri"/>
        </w:rPr>
        <w:t xml:space="preserve"> (1999). Pharmacokinetics and clinical effectiveness of methylphenidate. </w:t>
      </w:r>
      <w:r w:rsidRPr="00734AB6">
        <w:rPr>
          <w:rFonts w:asciiTheme="majorHAnsi" w:eastAsia="Calibri" w:hAnsiTheme="majorHAnsi" w:cs="Calibri"/>
          <w:i/>
          <w:iCs/>
        </w:rPr>
        <w:t>Clinical Pharmacokinetics</w:t>
      </w:r>
      <w:r w:rsidRPr="00734AB6">
        <w:rPr>
          <w:rFonts w:asciiTheme="majorHAnsi" w:eastAsia="Calibri" w:hAnsiTheme="majorHAnsi" w:cs="Calibri"/>
        </w:rPr>
        <w:t>, </w:t>
      </w:r>
      <w:r w:rsidRPr="00734AB6">
        <w:rPr>
          <w:rFonts w:asciiTheme="majorHAnsi" w:eastAsia="Calibri" w:hAnsiTheme="majorHAnsi" w:cs="Calibri"/>
          <w:i/>
          <w:iCs/>
        </w:rPr>
        <w:t>37</w:t>
      </w:r>
      <w:r w:rsidRPr="00734AB6">
        <w:rPr>
          <w:rFonts w:asciiTheme="majorHAnsi" w:eastAsia="Calibri" w:hAnsiTheme="majorHAnsi" w:cs="Calibri"/>
        </w:rPr>
        <w:t>(6), 457-470.</w:t>
      </w:r>
    </w:p>
    <w:p w14:paraId="34552497" w14:textId="47A3D8DD"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Kinman</w:t>
      </w:r>
      <w:proofErr w:type="spellEnd"/>
      <w:r w:rsidRPr="00734AB6">
        <w:rPr>
          <w:rFonts w:asciiTheme="majorHAnsi" w:eastAsia="Calibri" w:hAnsiTheme="majorHAnsi" w:cs="Calibri"/>
        </w:rPr>
        <w:t>, B</w:t>
      </w:r>
      <w:r w:rsidR="002E46BC" w:rsidRPr="00734AB6">
        <w:rPr>
          <w:rFonts w:asciiTheme="majorHAnsi" w:eastAsia="Calibri" w:hAnsiTheme="majorHAnsi" w:cs="Calibri"/>
        </w:rPr>
        <w:t xml:space="preserve">. </w:t>
      </w:r>
      <w:r w:rsidRPr="00734AB6">
        <w:rPr>
          <w:rFonts w:asciiTheme="majorHAnsi" w:eastAsia="Calibri" w:hAnsiTheme="majorHAnsi" w:cs="Calibri"/>
        </w:rPr>
        <w:t>A</w:t>
      </w:r>
      <w:r w:rsidR="002E46BC" w:rsidRPr="00734AB6">
        <w:rPr>
          <w:rFonts w:asciiTheme="majorHAnsi" w:eastAsia="Calibri" w:hAnsiTheme="majorHAnsi" w:cs="Calibri"/>
        </w:rPr>
        <w:t>.</w:t>
      </w:r>
      <w:r w:rsidRPr="00734AB6">
        <w:rPr>
          <w:rFonts w:asciiTheme="majorHAnsi" w:eastAsia="Calibri" w:hAnsiTheme="majorHAnsi" w:cs="Calibri"/>
        </w:rPr>
        <w:t>, Armstrong, K</w:t>
      </w:r>
      <w:r w:rsidR="002E46BC" w:rsidRPr="00734AB6">
        <w:rPr>
          <w:rFonts w:asciiTheme="majorHAnsi" w:eastAsia="Calibri" w:hAnsiTheme="majorHAnsi" w:cs="Calibri"/>
        </w:rPr>
        <w:t xml:space="preserve">. </w:t>
      </w:r>
      <w:r w:rsidRPr="00734AB6">
        <w:rPr>
          <w:rFonts w:asciiTheme="majorHAnsi" w:eastAsia="Calibri" w:hAnsiTheme="majorHAnsi" w:cs="Calibri"/>
        </w:rPr>
        <w:t>J</w:t>
      </w:r>
      <w:r w:rsidR="002E46BC"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Hood, K</w:t>
      </w:r>
      <w:r w:rsidR="002E46BC" w:rsidRPr="00734AB6">
        <w:rPr>
          <w:rFonts w:asciiTheme="majorHAnsi" w:eastAsia="Calibri" w:hAnsiTheme="majorHAnsi" w:cs="Calibri"/>
        </w:rPr>
        <w:t xml:space="preserve">. </w:t>
      </w:r>
      <w:r w:rsidRPr="00734AB6">
        <w:rPr>
          <w:rFonts w:asciiTheme="majorHAnsi" w:eastAsia="Calibri" w:hAnsiTheme="majorHAnsi" w:cs="Calibri"/>
        </w:rPr>
        <w:t>B</w:t>
      </w:r>
      <w:r w:rsidR="002E46BC" w:rsidRPr="00734AB6">
        <w:rPr>
          <w:rFonts w:asciiTheme="majorHAnsi" w:eastAsia="Calibri" w:hAnsiTheme="majorHAnsi" w:cs="Calibri"/>
        </w:rPr>
        <w:t>.</w:t>
      </w:r>
      <w:r w:rsidRPr="00734AB6">
        <w:rPr>
          <w:rFonts w:asciiTheme="majorHAnsi" w:eastAsia="Calibri" w:hAnsiTheme="majorHAnsi" w:cs="Calibri"/>
        </w:rPr>
        <w:t xml:space="preserve"> (2016). Perceptions of risks and benefits among </w:t>
      </w:r>
      <w:proofErr w:type="spellStart"/>
      <w:r w:rsidRPr="00734AB6">
        <w:rPr>
          <w:rFonts w:asciiTheme="majorHAnsi" w:eastAsia="Calibri" w:hAnsiTheme="majorHAnsi" w:cs="Calibri"/>
        </w:rPr>
        <w:t>nonprescription</w:t>
      </w:r>
      <w:proofErr w:type="spellEnd"/>
      <w:r w:rsidRPr="00734AB6">
        <w:rPr>
          <w:rFonts w:asciiTheme="majorHAnsi" w:eastAsia="Calibri" w:hAnsiTheme="majorHAnsi" w:cs="Calibri"/>
        </w:rPr>
        <w:t xml:space="preserve"> stimulant consumers, diverters, and non-users. </w:t>
      </w:r>
      <w:r w:rsidRPr="00734AB6">
        <w:rPr>
          <w:rFonts w:asciiTheme="majorHAnsi" w:eastAsia="Calibri" w:hAnsiTheme="majorHAnsi" w:cs="Calibri"/>
          <w:i/>
        </w:rPr>
        <w:t>Substance Use and Misuse</w:t>
      </w:r>
      <w:r w:rsidRPr="00734AB6">
        <w:rPr>
          <w:rFonts w:asciiTheme="majorHAnsi" w:eastAsia="Calibri" w:hAnsiTheme="majorHAnsi" w:cs="Calibri"/>
        </w:rPr>
        <w:t xml:space="preserve">, </w:t>
      </w:r>
      <w:r w:rsidRPr="00734AB6">
        <w:rPr>
          <w:rFonts w:asciiTheme="majorHAnsi" w:eastAsia="Calibri" w:hAnsiTheme="majorHAnsi" w:cs="Calibri"/>
          <w:i/>
        </w:rPr>
        <w:t>52</w:t>
      </w:r>
      <w:r w:rsidRPr="00734AB6">
        <w:rPr>
          <w:rFonts w:asciiTheme="majorHAnsi" w:eastAsia="Calibri" w:hAnsiTheme="majorHAnsi" w:cs="Calibri"/>
        </w:rPr>
        <w:t>(10):1256-1265, DOI: 10.1080/10826084.2016.1273954</w:t>
      </w:r>
    </w:p>
    <w:p w14:paraId="41698C5F" w14:textId="29DFA240"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Kirkpatrick, M</w:t>
      </w:r>
      <w:r w:rsidR="002E46BC" w:rsidRPr="00734AB6">
        <w:rPr>
          <w:rFonts w:asciiTheme="majorHAnsi" w:eastAsia="Calibri" w:hAnsiTheme="majorHAnsi" w:cs="Calibri"/>
        </w:rPr>
        <w:t xml:space="preserve">. </w:t>
      </w:r>
      <w:r w:rsidRPr="00734AB6">
        <w:rPr>
          <w:rFonts w:asciiTheme="majorHAnsi" w:eastAsia="Calibri" w:hAnsiTheme="majorHAnsi" w:cs="Calibri"/>
        </w:rPr>
        <w:t>G</w:t>
      </w:r>
      <w:r w:rsidR="002E46BC"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Johanson</w:t>
      </w:r>
      <w:proofErr w:type="spellEnd"/>
      <w:r w:rsidRPr="00734AB6">
        <w:rPr>
          <w:rFonts w:asciiTheme="majorHAnsi" w:eastAsia="Calibri" w:hAnsiTheme="majorHAnsi" w:cs="Calibri"/>
        </w:rPr>
        <w:t>, C</w:t>
      </w:r>
      <w:r w:rsidR="002E46BC"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de Wit, H</w:t>
      </w:r>
      <w:r w:rsidR="002E46BC" w:rsidRPr="00734AB6">
        <w:rPr>
          <w:rFonts w:asciiTheme="majorHAnsi" w:eastAsia="Calibri" w:hAnsiTheme="majorHAnsi" w:cs="Calibri"/>
        </w:rPr>
        <w:t>.</w:t>
      </w:r>
      <w:r w:rsidRPr="00734AB6">
        <w:rPr>
          <w:rFonts w:asciiTheme="majorHAnsi" w:eastAsia="Calibri" w:hAnsiTheme="majorHAnsi" w:cs="Calibri"/>
        </w:rPr>
        <w:t xml:space="preserve"> (2013). Personality and the acute subjective effects of d-amphetamine in humans. </w:t>
      </w:r>
      <w:r w:rsidRPr="00734AB6">
        <w:rPr>
          <w:rFonts w:asciiTheme="majorHAnsi" w:eastAsia="Calibri" w:hAnsiTheme="majorHAnsi" w:cs="Calibri"/>
          <w:i/>
        </w:rPr>
        <w:t>Journal of Psychopharmacology</w:t>
      </w:r>
      <w:r w:rsidRPr="00734AB6">
        <w:rPr>
          <w:rFonts w:asciiTheme="majorHAnsi" w:eastAsia="Calibri" w:hAnsiTheme="majorHAnsi" w:cs="Calibri"/>
        </w:rPr>
        <w:t xml:space="preserve">, </w:t>
      </w:r>
      <w:r w:rsidRPr="00734AB6">
        <w:rPr>
          <w:rFonts w:asciiTheme="majorHAnsi" w:eastAsia="Calibri" w:hAnsiTheme="majorHAnsi" w:cs="Calibri"/>
          <w:i/>
        </w:rPr>
        <w:t>27</w:t>
      </w:r>
      <w:r w:rsidRPr="00734AB6">
        <w:rPr>
          <w:rFonts w:asciiTheme="majorHAnsi" w:eastAsia="Calibri" w:hAnsiTheme="majorHAnsi" w:cs="Calibri"/>
        </w:rPr>
        <w:t xml:space="preserve">(3), 256-264. </w:t>
      </w:r>
    </w:p>
    <w:p w14:paraId="6F9D1500" w14:textId="77777777" w:rsidR="00D517ED" w:rsidRPr="00734AB6" w:rsidRDefault="00D517ED" w:rsidP="00D517ED">
      <w:pPr>
        <w:spacing w:line="360" w:lineRule="auto"/>
        <w:ind w:left="851" w:hanging="851"/>
        <w:rPr>
          <w:rFonts w:asciiTheme="majorHAnsi" w:hAnsiTheme="majorHAnsi"/>
        </w:rPr>
      </w:pPr>
      <w:r w:rsidRPr="00734AB6">
        <w:rPr>
          <w:rFonts w:asciiTheme="majorHAnsi" w:hAnsiTheme="majorHAnsi"/>
        </w:rPr>
        <w:t xml:space="preserve">Klassen, R. M., </w:t>
      </w:r>
      <w:proofErr w:type="spellStart"/>
      <w:r w:rsidRPr="00734AB6">
        <w:rPr>
          <w:rFonts w:asciiTheme="majorHAnsi" w:hAnsiTheme="majorHAnsi"/>
        </w:rPr>
        <w:t>Krawchuk</w:t>
      </w:r>
      <w:proofErr w:type="spellEnd"/>
      <w:r w:rsidRPr="00734AB6">
        <w:rPr>
          <w:rFonts w:asciiTheme="majorHAnsi" w:hAnsiTheme="majorHAnsi"/>
        </w:rPr>
        <w:t>, L. L., &amp; Rajani, S. (2008). Academic procrastination of undergraduates: Low self-efficacy to self-regulate predicts higher levels of procrastination. </w:t>
      </w:r>
      <w:r w:rsidRPr="00734AB6">
        <w:rPr>
          <w:rFonts w:asciiTheme="majorHAnsi" w:hAnsiTheme="majorHAnsi"/>
          <w:i/>
          <w:iCs/>
        </w:rPr>
        <w:t>Contemporary Educational Psychology</w:t>
      </w:r>
      <w:r w:rsidRPr="00734AB6">
        <w:rPr>
          <w:rFonts w:asciiTheme="majorHAnsi" w:hAnsiTheme="majorHAnsi"/>
        </w:rPr>
        <w:t>, </w:t>
      </w:r>
      <w:r w:rsidRPr="00734AB6">
        <w:rPr>
          <w:rFonts w:asciiTheme="majorHAnsi" w:hAnsiTheme="majorHAnsi"/>
          <w:i/>
          <w:iCs/>
        </w:rPr>
        <w:t>33</w:t>
      </w:r>
      <w:r w:rsidRPr="00734AB6">
        <w:rPr>
          <w:rFonts w:asciiTheme="majorHAnsi" w:hAnsiTheme="majorHAnsi"/>
        </w:rPr>
        <w:t>(4), 915-931.</w:t>
      </w:r>
    </w:p>
    <w:p w14:paraId="32719F38" w14:textId="6E1AB553" w:rsidR="00DD1656" w:rsidRPr="00734AB6" w:rsidRDefault="00DD1656"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Kliegel</w:t>
      </w:r>
      <w:proofErr w:type="spellEnd"/>
      <w:r w:rsidRPr="00734AB6">
        <w:rPr>
          <w:rFonts w:asciiTheme="majorHAnsi" w:hAnsiTheme="majorHAnsi" w:cstheme="minorHAnsi"/>
          <w:shd w:val="clear" w:color="auto" w:fill="FFFFFF"/>
        </w:rPr>
        <w:t xml:space="preserve">, M., &amp; </w:t>
      </w:r>
      <w:proofErr w:type="spellStart"/>
      <w:r w:rsidRPr="00734AB6">
        <w:rPr>
          <w:rFonts w:asciiTheme="majorHAnsi" w:hAnsiTheme="majorHAnsi" w:cstheme="minorHAnsi"/>
          <w:shd w:val="clear" w:color="auto" w:fill="FFFFFF"/>
        </w:rPr>
        <w:t>JÄger</w:t>
      </w:r>
      <w:proofErr w:type="spellEnd"/>
      <w:r w:rsidRPr="00734AB6">
        <w:rPr>
          <w:rFonts w:asciiTheme="majorHAnsi" w:hAnsiTheme="majorHAnsi" w:cstheme="minorHAnsi"/>
          <w:shd w:val="clear" w:color="auto" w:fill="FFFFFF"/>
        </w:rPr>
        <w:t>, T. (2006). Can the prospective and retrospective memory questionnaire (PRMQ) predict actual prospective memory performance?. </w:t>
      </w:r>
      <w:r w:rsidRPr="00734AB6">
        <w:rPr>
          <w:rFonts w:asciiTheme="majorHAnsi" w:hAnsiTheme="majorHAnsi" w:cstheme="minorHAnsi"/>
          <w:i/>
          <w:iCs/>
          <w:shd w:val="clear" w:color="auto" w:fill="FFFFFF"/>
        </w:rPr>
        <w:t>Current Psychology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25</w:t>
      </w:r>
      <w:r w:rsidRPr="00734AB6">
        <w:rPr>
          <w:rFonts w:asciiTheme="majorHAnsi" w:hAnsiTheme="majorHAnsi" w:cstheme="minorHAnsi"/>
          <w:shd w:val="clear" w:color="auto" w:fill="FFFFFF"/>
        </w:rPr>
        <w:t>(3), 182-191.</w:t>
      </w:r>
    </w:p>
    <w:p w14:paraId="093AF859"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Kliegel</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Ropeter</w:t>
      </w:r>
      <w:proofErr w:type="spellEnd"/>
      <w:r w:rsidRPr="00734AB6">
        <w:rPr>
          <w:rFonts w:asciiTheme="majorHAnsi" w:hAnsiTheme="majorHAnsi" w:cstheme="minorHAnsi"/>
          <w:shd w:val="clear" w:color="auto" w:fill="FFFFFF"/>
        </w:rPr>
        <w:t>, A., &amp; Mackinlay, R. (2006). Complex prospective memory in children with ADHD. </w:t>
      </w:r>
      <w:r w:rsidRPr="00734AB6">
        <w:rPr>
          <w:rFonts w:asciiTheme="majorHAnsi" w:hAnsiTheme="majorHAnsi" w:cstheme="minorHAnsi"/>
          <w:i/>
          <w:iCs/>
          <w:shd w:val="clear" w:color="auto" w:fill="FFFFFF"/>
        </w:rPr>
        <w:t>Child Neuropsychology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12</w:t>
      </w:r>
      <w:r w:rsidRPr="00734AB6">
        <w:rPr>
          <w:rFonts w:asciiTheme="majorHAnsi" w:hAnsiTheme="majorHAnsi" w:cstheme="minorHAnsi"/>
          <w:shd w:val="clear" w:color="auto" w:fill="FFFFFF"/>
        </w:rPr>
        <w:t>(6), 407-419.</w:t>
      </w:r>
    </w:p>
    <w:p w14:paraId="23305ECB"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Klinge</w:t>
      </w:r>
      <w:proofErr w:type="spellEnd"/>
      <w:r w:rsidRPr="00734AB6">
        <w:rPr>
          <w:rFonts w:asciiTheme="majorHAnsi" w:hAnsiTheme="majorHAnsi" w:cstheme="minorHAnsi"/>
          <w:shd w:val="clear" w:color="auto" w:fill="FFFFFF"/>
        </w:rPr>
        <w:t xml:space="preserve">, C., Shuttleworth, C., Muglia, P., </w:t>
      </w:r>
      <w:proofErr w:type="spellStart"/>
      <w:r w:rsidRPr="00734AB6">
        <w:rPr>
          <w:rFonts w:asciiTheme="majorHAnsi" w:hAnsiTheme="majorHAnsi" w:cstheme="minorHAnsi"/>
          <w:shd w:val="clear" w:color="auto" w:fill="FFFFFF"/>
        </w:rPr>
        <w:t>Nobre</w:t>
      </w:r>
      <w:proofErr w:type="spellEnd"/>
      <w:r w:rsidRPr="00734AB6">
        <w:rPr>
          <w:rFonts w:asciiTheme="majorHAnsi" w:hAnsiTheme="majorHAnsi" w:cstheme="minorHAnsi"/>
          <w:shd w:val="clear" w:color="auto" w:fill="FFFFFF"/>
        </w:rPr>
        <w:t xml:space="preserve">, A. C., Harmer, C. J., &amp; Murphy, S. E. (2018). Methylphenidate enhances implicit learning in healthy adults. </w:t>
      </w:r>
      <w:r w:rsidRPr="00734AB6">
        <w:rPr>
          <w:rFonts w:asciiTheme="majorHAnsi" w:hAnsiTheme="majorHAnsi" w:cstheme="minorHAnsi"/>
          <w:i/>
          <w:shd w:val="clear" w:color="auto" w:fill="FFFFFF"/>
        </w:rPr>
        <w:t>Journal of Psychopharmacology, 32</w:t>
      </w:r>
      <w:r w:rsidRPr="00734AB6">
        <w:rPr>
          <w:rFonts w:asciiTheme="majorHAnsi" w:hAnsiTheme="majorHAnsi" w:cstheme="minorHAnsi"/>
          <w:shd w:val="clear" w:color="auto" w:fill="FFFFFF"/>
        </w:rPr>
        <w:t>(1), 70-80.</w:t>
      </w:r>
    </w:p>
    <w:p w14:paraId="5B79ADB1" w14:textId="1CACAB61"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Kollins</w:t>
      </w:r>
      <w:proofErr w:type="spellEnd"/>
      <w:r w:rsidRPr="00734AB6">
        <w:rPr>
          <w:rFonts w:asciiTheme="majorHAnsi" w:eastAsia="Calibri" w:hAnsiTheme="majorHAnsi" w:cs="Calibri"/>
        </w:rPr>
        <w:t>, S</w:t>
      </w:r>
      <w:r w:rsidR="002E46BC" w:rsidRPr="00734AB6">
        <w:rPr>
          <w:rFonts w:asciiTheme="majorHAnsi" w:eastAsia="Calibri" w:hAnsiTheme="majorHAnsi" w:cs="Calibri"/>
        </w:rPr>
        <w:t xml:space="preserve">. </w:t>
      </w:r>
      <w:r w:rsidRPr="00734AB6">
        <w:rPr>
          <w:rFonts w:asciiTheme="majorHAnsi" w:eastAsia="Calibri" w:hAnsiTheme="majorHAnsi" w:cs="Calibri"/>
        </w:rPr>
        <w:t>H</w:t>
      </w:r>
      <w:r w:rsidR="002E46BC" w:rsidRPr="00734AB6">
        <w:rPr>
          <w:rFonts w:asciiTheme="majorHAnsi" w:eastAsia="Calibri" w:hAnsiTheme="majorHAnsi" w:cs="Calibri"/>
        </w:rPr>
        <w:t>.</w:t>
      </w:r>
      <w:r w:rsidRPr="00734AB6">
        <w:rPr>
          <w:rFonts w:asciiTheme="majorHAnsi" w:eastAsia="Calibri" w:hAnsiTheme="majorHAnsi" w:cs="Calibri"/>
        </w:rPr>
        <w:t>, MacDonald, E</w:t>
      </w:r>
      <w:r w:rsidR="002E46BC" w:rsidRPr="00734AB6">
        <w:rPr>
          <w:rFonts w:asciiTheme="majorHAnsi" w:eastAsia="Calibri" w:hAnsiTheme="majorHAnsi" w:cs="Calibri"/>
        </w:rPr>
        <w:t xml:space="preserve">. </w:t>
      </w:r>
      <w:r w:rsidRPr="00734AB6">
        <w:rPr>
          <w:rFonts w:asciiTheme="majorHAnsi" w:eastAsia="Calibri" w:hAnsiTheme="majorHAnsi" w:cs="Calibri"/>
        </w:rPr>
        <w:t>K</w:t>
      </w:r>
      <w:r w:rsidR="002E46BC"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Rush, C</w:t>
      </w:r>
      <w:r w:rsidR="002E46BC" w:rsidRPr="00734AB6">
        <w:rPr>
          <w:rFonts w:asciiTheme="majorHAnsi" w:eastAsia="Calibri" w:hAnsiTheme="majorHAnsi" w:cs="Calibri"/>
        </w:rPr>
        <w:t xml:space="preserve">. </w:t>
      </w:r>
      <w:r w:rsidRPr="00734AB6">
        <w:rPr>
          <w:rFonts w:asciiTheme="majorHAnsi" w:eastAsia="Calibri" w:hAnsiTheme="majorHAnsi" w:cs="Calibri"/>
        </w:rPr>
        <w:t>R</w:t>
      </w:r>
      <w:r w:rsidR="002E46BC" w:rsidRPr="00734AB6">
        <w:rPr>
          <w:rFonts w:asciiTheme="majorHAnsi" w:eastAsia="Calibri" w:hAnsiTheme="majorHAnsi" w:cs="Calibri"/>
        </w:rPr>
        <w:t>.</w:t>
      </w:r>
      <w:r w:rsidRPr="00734AB6">
        <w:rPr>
          <w:rFonts w:asciiTheme="majorHAnsi" w:eastAsia="Calibri" w:hAnsiTheme="majorHAnsi" w:cs="Calibri"/>
        </w:rPr>
        <w:t xml:space="preserve"> (2001). Assessing the abuse potential of methylphenidate in nonhuman and human subjects: A review. </w:t>
      </w:r>
      <w:r w:rsidRPr="00734AB6">
        <w:rPr>
          <w:rFonts w:asciiTheme="majorHAnsi" w:eastAsia="Calibri" w:hAnsiTheme="majorHAnsi" w:cs="Calibri"/>
          <w:i/>
          <w:iCs/>
        </w:rPr>
        <w:t xml:space="preserve">Pharmacology Biochemistry and </w:t>
      </w:r>
      <w:proofErr w:type="spellStart"/>
      <w:r w:rsidRPr="00734AB6">
        <w:rPr>
          <w:rFonts w:asciiTheme="majorHAnsi" w:eastAsia="Calibri" w:hAnsiTheme="majorHAnsi" w:cs="Calibri"/>
          <w:i/>
          <w:iCs/>
        </w:rPr>
        <w:t>Behavior</w:t>
      </w:r>
      <w:proofErr w:type="spellEnd"/>
      <w:r w:rsidRPr="00734AB6">
        <w:rPr>
          <w:rFonts w:asciiTheme="majorHAnsi" w:eastAsia="Calibri" w:hAnsiTheme="majorHAnsi" w:cs="Calibri"/>
        </w:rPr>
        <w:t>, </w:t>
      </w:r>
      <w:r w:rsidRPr="00734AB6">
        <w:rPr>
          <w:rFonts w:asciiTheme="majorHAnsi" w:eastAsia="Calibri" w:hAnsiTheme="majorHAnsi" w:cs="Calibri"/>
          <w:i/>
          <w:iCs/>
        </w:rPr>
        <w:t>68</w:t>
      </w:r>
      <w:r w:rsidRPr="00734AB6">
        <w:rPr>
          <w:rFonts w:asciiTheme="majorHAnsi" w:eastAsia="Calibri" w:hAnsiTheme="majorHAnsi" w:cs="Calibri"/>
        </w:rPr>
        <w:t>(3), 611-627.</w:t>
      </w:r>
    </w:p>
    <w:p w14:paraId="5E96C852" w14:textId="77777777" w:rsidR="00D517ED" w:rsidRPr="00734AB6" w:rsidRDefault="00D517ED" w:rsidP="00D517ED">
      <w:pPr>
        <w:spacing w:line="360" w:lineRule="auto"/>
        <w:ind w:left="720" w:hanging="720"/>
        <w:rPr>
          <w:rFonts w:asciiTheme="majorHAnsi" w:hAnsiTheme="majorHAnsi" w:cstheme="minorHAnsi"/>
        </w:rPr>
      </w:pPr>
      <w:r w:rsidRPr="00734AB6">
        <w:rPr>
          <w:rFonts w:asciiTheme="majorHAnsi" w:hAnsiTheme="majorHAnsi" w:cstheme="minorHAnsi"/>
          <w:shd w:val="clear" w:color="auto" w:fill="FFFFFF"/>
        </w:rPr>
        <w:t>Konrad, K., &amp; Eickhoff, S. B. (2010). Is the ADHD brain wired differently? A review on structural and functional connectivity in attention deficit hyperactivity disorder.</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Human Brain Mapping</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31</w:t>
      </w:r>
      <w:r w:rsidRPr="00734AB6">
        <w:rPr>
          <w:rFonts w:asciiTheme="majorHAnsi" w:hAnsiTheme="majorHAnsi" w:cstheme="minorHAnsi"/>
          <w:shd w:val="clear" w:color="auto" w:fill="FFFFFF"/>
        </w:rPr>
        <w:t>(6), 904-916.</w:t>
      </w:r>
    </w:p>
    <w:p w14:paraId="21E9421F" w14:textId="77777777" w:rsidR="00D517ED" w:rsidRPr="00734AB6" w:rsidRDefault="00D517ED" w:rsidP="00D517ED">
      <w:pPr>
        <w:spacing w:line="360" w:lineRule="auto"/>
        <w:ind w:left="851" w:hanging="851"/>
        <w:rPr>
          <w:rFonts w:asciiTheme="majorHAnsi" w:hAnsiTheme="majorHAnsi"/>
        </w:rPr>
      </w:pPr>
      <w:r w:rsidRPr="00734AB6">
        <w:rPr>
          <w:rFonts w:asciiTheme="majorHAnsi" w:hAnsiTheme="majorHAnsi"/>
        </w:rPr>
        <w:t xml:space="preserve">Konrad, K., Günther, T., </w:t>
      </w:r>
      <w:proofErr w:type="spellStart"/>
      <w:r w:rsidRPr="00734AB6">
        <w:rPr>
          <w:rFonts w:asciiTheme="majorHAnsi" w:hAnsiTheme="majorHAnsi"/>
        </w:rPr>
        <w:t>Hanisch</w:t>
      </w:r>
      <w:proofErr w:type="spellEnd"/>
      <w:r w:rsidRPr="00734AB6">
        <w:rPr>
          <w:rFonts w:asciiTheme="majorHAnsi" w:hAnsiTheme="majorHAnsi"/>
        </w:rPr>
        <w:t xml:space="preserve">, C., &amp; </w:t>
      </w:r>
      <w:proofErr w:type="spellStart"/>
      <w:r w:rsidRPr="00734AB6">
        <w:rPr>
          <w:rFonts w:asciiTheme="majorHAnsi" w:hAnsiTheme="majorHAnsi"/>
        </w:rPr>
        <w:t>Herpertz-Dahlmann</w:t>
      </w:r>
      <w:proofErr w:type="spellEnd"/>
      <w:r w:rsidRPr="00734AB6">
        <w:rPr>
          <w:rFonts w:asciiTheme="majorHAnsi" w:hAnsiTheme="majorHAnsi"/>
        </w:rPr>
        <w:t>, B. (2004). Differential effects of methylphenidate on attentional functions in children with attention-deficit/hyperactivity disorder. </w:t>
      </w:r>
      <w:r w:rsidRPr="00734AB6">
        <w:rPr>
          <w:rFonts w:asciiTheme="majorHAnsi" w:hAnsiTheme="majorHAnsi"/>
          <w:i/>
          <w:iCs/>
        </w:rPr>
        <w:t>Journal of the American Academy of Child &amp; Adolescent Psychiatry</w:t>
      </w:r>
      <w:r w:rsidRPr="00734AB6">
        <w:rPr>
          <w:rFonts w:asciiTheme="majorHAnsi" w:hAnsiTheme="majorHAnsi"/>
        </w:rPr>
        <w:t>, </w:t>
      </w:r>
      <w:r w:rsidRPr="00734AB6">
        <w:rPr>
          <w:rFonts w:asciiTheme="majorHAnsi" w:hAnsiTheme="majorHAnsi"/>
          <w:i/>
          <w:iCs/>
        </w:rPr>
        <w:t>43</w:t>
      </w:r>
      <w:r w:rsidRPr="00734AB6">
        <w:rPr>
          <w:rFonts w:asciiTheme="majorHAnsi" w:hAnsiTheme="majorHAnsi"/>
        </w:rPr>
        <w:t>(2), 191-198.</w:t>
      </w:r>
    </w:p>
    <w:p w14:paraId="7EC5772A" w14:textId="77777777" w:rsidR="00D517ED" w:rsidRPr="00734AB6" w:rsidRDefault="00D517ED" w:rsidP="00D517ED">
      <w:pPr>
        <w:spacing w:line="360" w:lineRule="auto"/>
        <w:ind w:left="851" w:hanging="851"/>
        <w:rPr>
          <w:rFonts w:asciiTheme="majorHAnsi" w:hAnsiTheme="majorHAnsi"/>
        </w:rPr>
      </w:pPr>
      <w:r w:rsidRPr="00734AB6">
        <w:rPr>
          <w:rFonts w:asciiTheme="majorHAnsi" w:hAnsiTheme="majorHAnsi"/>
        </w:rPr>
        <w:t>Krishnan, R., &amp; Chary, K. V. (2015). A rare case modafinil dependence. </w:t>
      </w:r>
      <w:r w:rsidRPr="00734AB6">
        <w:rPr>
          <w:rFonts w:asciiTheme="majorHAnsi" w:hAnsiTheme="majorHAnsi"/>
          <w:i/>
          <w:iCs/>
        </w:rPr>
        <w:t>Journal of Pharmacology &amp; Pharmacotherapeutics</w:t>
      </w:r>
      <w:r w:rsidRPr="00734AB6">
        <w:rPr>
          <w:rFonts w:asciiTheme="majorHAnsi" w:hAnsiTheme="majorHAnsi"/>
        </w:rPr>
        <w:t>, </w:t>
      </w:r>
      <w:r w:rsidRPr="00734AB6">
        <w:rPr>
          <w:rFonts w:asciiTheme="majorHAnsi" w:hAnsiTheme="majorHAnsi"/>
          <w:i/>
          <w:iCs/>
        </w:rPr>
        <w:t>6</w:t>
      </w:r>
      <w:r w:rsidRPr="00734AB6">
        <w:rPr>
          <w:rFonts w:asciiTheme="majorHAnsi" w:hAnsiTheme="majorHAnsi"/>
        </w:rPr>
        <w:t>(1), 49.</w:t>
      </w:r>
    </w:p>
    <w:p w14:paraId="0EBBDF65" w14:textId="5776D8E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Kross</w:t>
      </w:r>
      <w:proofErr w:type="spellEnd"/>
      <w:r w:rsidRPr="00734AB6">
        <w:rPr>
          <w:rFonts w:asciiTheme="majorHAnsi" w:hAnsiTheme="majorHAnsi" w:cstheme="minorHAnsi"/>
          <w:shd w:val="clear" w:color="auto" w:fill="FFFFFF"/>
        </w:rPr>
        <w:t xml:space="preserve">, E., Verduyn, P., </w:t>
      </w:r>
      <w:proofErr w:type="spellStart"/>
      <w:r w:rsidRPr="00734AB6">
        <w:rPr>
          <w:rFonts w:asciiTheme="majorHAnsi" w:hAnsiTheme="majorHAnsi" w:cstheme="minorHAnsi"/>
          <w:shd w:val="clear" w:color="auto" w:fill="FFFFFF"/>
        </w:rPr>
        <w:t>Demiralp</w:t>
      </w:r>
      <w:proofErr w:type="spellEnd"/>
      <w:r w:rsidRPr="00734AB6">
        <w:rPr>
          <w:rFonts w:asciiTheme="majorHAnsi" w:hAnsiTheme="majorHAnsi" w:cstheme="minorHAnsi"/>
          <w:shd w:val="clear" w:color="auto" w:fill="FFFFFF"/>
        </w:rPr>
        <w:t>, E., Park, J., Lee, D. S., Lin, N., ... &amp; Ybarra, O. (2013). Facebook use predicts declines in subjective well-being in young adults. </w:t>
      </w:r>
      <w:proofErr w:type="spellStart"/>
      <w:r w:rsidRPr="00734AB6">
        <w:rPr>
          <w:rFonts w:asciiTheme="majorHAnsi" w:hAnsiTheme="majorHAnsi" w:cstheme="minorHAnsi"/>
          <w:i/>
          <w:iCs/>
          <w:shd w:val="clear" w:color="auto" w:fill="FFFFFF"/>
        </w:rPr>
        <w:t>PloS</w:t>
      </w:r>
      <w:proofErr w:type="spellEnd"/>
      <w:r w:rsidRPr="00734AB6">
        <w:rPr>
          <w:rFonts w:asciiTheme="majorHAnsi" w:hAnsiTheme="majorHAnsi" w:cstheme="minorHAnsi"/>
          <w:i/>
          <w:iCs/>
          <w:shd w:val="clear" w:color="auto" w:fill="FFFFFF"/>
        </w:rPr>
        <w:t xml:space="preserve"> </w:t>
      </w:r>
      <w:r w:rsidR="007D49E9" w:rsidRPr="00734AB6">
        <w:rPr>
          <w:rFonts w:asciiTheme="majorHAnsi" w:hAnsiTheme="majorHAnsi" w:cstheme="minorHAnsi"/>
          <w:i/>
          <w:iCs/>
          <w:shd w:val="clear" w:color="auto" w:fill="FFFFFF"/>
        </w:rPr>
        <w:t>O</w:t>
      </w:r>
      <w:r w:rsidRPr="00734AB6">
        <w:rPr>
          <w:rFonts w:asciiTheme="majorHAnsi" w:hAnsiTheme="majorHAnsi" w:cstheme="minorHAnsi"/>
          <w:i/>
          <w:iCs/>
          <w:shd w:val="clear" w:color="auto" w:fill="FFFFFF"/>
        </w:rPr>
        <w:t>ne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8</w:t>
      </w:r>
      <w:r w:rsidRPr="00734AB6">
        <w:rPr>
          <w:rFonts w:asciiTheme="majorHAnsi" w:hAnsiTheme="majorHAnsi" w:cstheme="minorHAnsi"/>
          <w:shd w:val="clear" w:color="auto" w:fill="FFFFFF"/>
        </w:rPr>
        <w:t>(8), e69841.</w:t>
      </w:r>
    </w:p>
    <w:p w14:paraId="5875DEA3" w14:textId="40389F2D"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Kumar, K., &amp; Sachdeva, A. (2015). </w:t>
      </w:r>
      <w:r w:rsidR="007701AF" w:rsidRPr="00734AB6">
        <w:rPr>
          <w:rFonts w:asciiTheme="majorHAnsi" w:hAnsiTheme="majorHAnsi" w:cstheme="minorHAnsi"/>
          <w:shd w:val="clear" w:color="auto" w:fill="FFFFFF"/>
        </w:rPr>
        <w:t>Pharmacological cognitive enhancers in neuro-psychiatry-a critical appraisal</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007701AF" w:rsidRPr="00734AB6">
        <w:rPr>
          <w:rStyle w:val="apple-converted-space"/>
          <w:rFonts w:asciiTheme="majorHAnsi" w:hAnsiTheme="majorHAnsi" w:cstheme="minorHAnsi"/>
          <w:shd w:val="clear" w:color="auto" w:fill="FFFFFF"/>
        </w:rPr>
        <w:t>S</w:t>
      </w:r>
      <w:r w:rsidRPr="00734AB6">
        <w:rPr>
          <w:rFonts w:asciiTheme="majorHAnsi" w:hAnsiTheme="majorHAnsi" w:cstheme="minorHAnsi"/>
          <w:i/>
          <w:iCs/>
          <w:shd w:val="clear" w:color="auto" w:fill="FFFFFF"/>
        </w:rPr>
        <w:t>troke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14</w:t>
      </w:r>
      <w:r w:rsidRPr="00734AB6">
        <w:rPr>
          <w:rFonts w:asciiTheme="majorHAnsi" w:hAnsiTheme="majorHAnsi" w:cstheme="minorHAnsi"/>
          <w:shd w:val="clear" w:color="auto" w:fill="FFFFFF"/>
        </w:rPr>
        <w:t>(15), 16-17.</w:t>
      </w:r>
    </w:p>
    <w:p w14:paraId="3CEAEEDA" w14:textId="1C1E3184"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lastRenderedPageBreak/>
        <w:t>Kutlu</w:t>
      </w:r>
      <w:proofErr w:type="spellEnd"/>
      <w:r w:rsidRPr="00734AB6">
        <w:rPr>
          <w:rFonts w:asciiTheme="majorHAnsi" w:hAnsiTheme="majorHAnsi" w:cstheme="minorHAnsi"/>
          <w:shd w:val="clear" w:color="auto" w:fill="FFFFFF"/>
        </w:rPr>
        <w:t xml:space="preserve">, A., </w:t>
      </w:r>
      <w:proofErr w:type="spellStart"/>
      <w:r w:rsidRPr="00734AB6">
        <w:rPr>
          <w:rFonts w:asciiTheme="majorHAnsi" w:hAnsiTheme="majorHAnsi" w:cstheme="minorHAnsi"/>
          <w:shd w:val="clear" w:color="auto" w:fill="FFFFFF"/>
        </w:rPr>
        <w:t>Ardic</w:t>
      </w:r>
      <w:proofErr w:type="spellEnd"/>
      <w:r w:rsidRPr="00734AB6">
        <w:rPr>
          <w:rFonts w:asciiTheme="majorHAnsi" w:hAnsiTheme="majorHAnsi" w:cstheme="minorHAnsi"/>
          <w:shd w:val="clear" w:color="auto" w:fill="FFFFFF"/>
        </w:rPr>
        <w:t xml:space="preserve">, U. A., &amp; </w:t>
      </w:r>
      <w:proofErr w:type="spellStart"/>
      <w:r w:rsidRPr="00734AB6">
        <w:rPr>
          <w:rFonts w:asciiTheme="majorHAnsi" w:hAnsiTheme="majorHAnsi" w:cstheme="minorHAnsi"/>
          <w:shd w:val="clear" w:color="auto" w:fill="FFFFFF"/>
        </w:rPr>
        <w:t>Ercan</w:t>
      </w:r>
      <w:proofErr w:type="spellEnd"/>
      <w:r w:rsidRPr="00734AB6">
        <w:rPr>
          <w:rFonts w:asciiTheme="majorHAnsi" w:hAnsiTheme="majorHAnsi" w:cstheme="minorHAnsi"/>
          <w:shd w:val="clear" w:color="auto" w:fill="FFFFFF"/>
        </w:rPr>
        <w:t>, E. S. (2017). Effect of methylphenidate on emotional dysregulation in children with attention-deficit/hyperactivity disorder+ oppositional defiant disorder/conduct disorder. </w:t>
      </w:r>
      <w:r w:rsidRPr="00734AB6">
        <w:rPr>
          <w:rFonts w:asciiTheme="majorHAnsi" w:hAnsiTheme="majorHAnsi" w:cstheme="minorHAnsi"/>
          <w:i/>
          <w:iCs/>
          <w:shd w:val="clear" w:color="auto" w:fill="FFFFFF"/>
        </w:rPr>
        <w:t xml:space="preserve">Journal of </w:t>
      </w:r>
      <w:r w:rsidR="007D49E9" w:rsidRPr="00734AB6">
        <w:rPr>
          <w:rFonts w:asciiTheme="majorHAnsi" w:hAnsiTheme="majorHAnsi" w:cstheme="minorHAnsi"/>
          <w:i/>
          <w:iCs/>
          <w:shd w:val="clear" w:color="auto" w:fill="FFFFFF"/>
        </w:rPr>
        <w:t>Clinical Psychopharmacology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37</w:t>
      </w:r>
      <w:r w:rsidRPr="00734AB6">
        <w:rPr>
          <w:rFonts w:asciiTheme="majorHAnsi" w:hAnsiTheme="majorHAnsi" w:cstheme="minorHAnsi"/>
          <w:shd w:val="clear" w:color="auto" w:fill="FFFFFF"/>
        </w:rPr>
        <w:t>(2), 220-225.</w:t>
      </w:r>
    </w:p>
    <w:p w14:paraId="1BDA00A8" w14:textId="393DA565"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Laakso</w:t>
      </w:r>
      <w:proofErr w:type="spellEnd"/>
      <w:r w:rsidRPr="00734AB6">
        <w:rPr>
          <w:rFonts w:asciiTheme="majorHAnsi" w:hAnsiTheme="majorHAnsi" w:cstheme="minorHAnsi"/>
          <w:shd w:val="clear" w:color="auto" w:fill="FFFFFF"/>
        </w:rPr>
        <w:t xml:space="preserve">, A., </w:t>
      </w:r>
      <w:proofErr w:type="spellStart"/>
      <w:r w:rsidRPr="00734AB6">
        <w:rPr>
          <w:rFonts w:asciiTheme="majorHAnsi" w:hAnsiTheme="majorHAnsi" w:cstheme="minorHAnsi"/>
          <w:shd w:val="clear" w:color="auto" w:fill="FFFFFF"/>
        </w:rPr>
        <w:t>Vilkman</w:t>
      </w:r>
      <w:proofErr w:type="spellEnd"/>
      <w:r w:rsidRPr="00734AB6">
        <w:rPr>
          <w:rFonts w:asciiTheme="majorHAnsi" w:hAnsiTheme="majorHAnsi" w:cstheme="minorHAnsi"/>
          <w:shd w:val="clear" w:color="auto" w:fill="FFFFFF"/>
        </w:rPr>
        <w:t xml:space="preserve">, H., </w:t>
      </w:r>
      <w:proofErr w:type="spellStart"/>
      <w:r w:rsidRPr="00734AB6">
        <w:rPr>
          <w:rFonts w:asciiTheme="majorHAnsi" w:hAnsiTheme="majorHAnsi" w:cstheme="minorHAnsi"/>
          <w:shd w:val="clear" w:color="auto" w:fill="FFFFFF"/>
        </w:rPr>
        <w:t>Örgen</w:t>
      </w:r>
      <w:proofErr w:type="spellEnd"/>
      <w:r w:rsidRPr="00734AB6">
        <w:rPr>
          <w:rFonts w:asciiTheme="majorHAnsi" w:hAnsiTheme="majorHAnsi" w:cstheme="minorHAnsi"/>
          <w:shd w:val="clear" w:color="auto" w:fill="FFFFFF"/>
        </w:rPr>
        <w:t xml:space="preserve"> Bergman, J., </w:t>
      </w:r>
      <w:proofErr w:type="spellStart"/>
      <w:r w:rsidRPr="00734AB6">
        <w:rPr>
          <w:rFonts w:asciiTheme="majorHAnsi" w:hAnsiTheme="majorHAnsi" w:cstheme="minorHAnsi"/>
          <w:shd w:val="clear" w:color="auto" w:fill="FFFFFF"/>
        </w:rPr>
        <w:t>Haaparanta</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Solin</w:t>
      </w:r>
      <w:proofErr w:type="spellEnd"/>
      <w:r w:rsidRPr="00734AB6">
        <w:rPr>
          <w:rFonts w:asciiTheme="majorHAnsi" w:hAnsiTheme="majorHAnsi" w:cstheme="minorHAnsi"/>
          <w:shd w:val="clear" w:color="auto" w:fill="FFFFFF"/>
        </w:rPr>
        <w:t xml:space="preserve">, O., </w:t>
      </w:r>
      <w:proofErr w:type="spellStart"/>
      <w:r w:rsidRPr="00734AB6">
        <w:rPr>
          <w:rFonts w:asciiTheme="majorHAnsi" w:hAnsiTheme="majorHAnsi" w:cstheme="minorHAnsi"/>
          <w:shd w:val="clear" w:color="auto" w:fill="FFFFFF"/>
        </w:rPr>
        <w:t>Syvälahti</w:t>
      </w:r>
      <w:proofErr w:type="spellEnd"/>
      <w:r w:rsidRPr="00734AB6">
        <w:rPr>
          <w:rFonts w:asciiTheme="majorHAnsi" w:hAnsiTheme="majorHAnsi" w:cstheme="minorHAnsi"/>
          <w:shd w:val="clear" w:color="auto" w:fill="FFFFFF"/>
        </w:rPr>
        <w:t xml:space="preserve">, E., ... &amp; </w:t>
      </w:r>
      <w:proofErr w:type="spellStart"/>
      <w:r w:rsidRPr="00734AB6">
        <w:rPr>
          <w:rFonts w:asciiTheme="majorHAnsi" w:hAnsiTheme="majorHAnsi" w:cstheme="minorHAnsi"/>
          <w:shd w:val="clear" w:color="auto" w:fill="FFFFFF"/>
        </w:rPr>
        <w:t>Hietala</w:t>
      </w:r>
      <w:proofErr w:type="spellEnd"/>
      <w:r w:rsidRPr="00734AB6">
        <w:rPr>
          <w:rFonts w:asciiTheme="majorHAnsi" w:hAnsiTheme="majorHAnsi" w:cstheme="minorHAnsi"/>
          <w:shd w:val="clear" w:color="auto" w:fill="FFFFFF"/>
        </w:rPr>
        <w:t xml:space="preserve">, J. (2002). Sex differences in striatal presynaptic dopamine synthesis capacity in healthy subjects. </w:t>
      </w:r>
      <w:r w:rsidRPr="00734AB6">
        <w:rPr>
          <w:rFonts w:asciiTheme="majorHAnsi" w:hAnsiTheme="majorHAnsi" w:cstheme="minorHAnsi"/>
          <w:i/>
          <w:shd w:val="clear" w:color="auto" w:fill="FFFFFF"/>
        </w:rPr>
        <w:t xml:space="preserve">Biological </w:t>
      </w:r>
      <w:r w:rsidR="007D49E9" w:rsidRPr="00734AB6">
        <w:rPr>
          <w:rFonts w:asciiTheme="majorHAnsi" w:hAnsiTheme="majorHAnsi" w:cstheme="minorHAnsi"/>
          <w:i/>
          <w:shd w:val="clear" w:color="auto" w:fill="FFFFFF"/>
        </w:rPr>
        <w:t>Psychiatry</w:t>
      </w:r>
      <w:r w:rsidRPr="00734AB6">
        <w:rPr>
          <w:rFonts w:asciiTheme="majorHAnsi" w:hAnsiTheme="majorHAnsi" w:cstheme="minorHAnsi"/>
          <w:i/>
          <w:shd w:val="clear" w:color="auto" w:fill="FFFFFF"/>
        </w:rPr>
        <w:t>, 52</w:t>
      </w:r>
      <w:r w:rsidRPr="00734AB6">
        <w:rPr>
          <w:rFonts w:asciiTheme="majorHAnsi" w:hAnsiTheme="majorHAnsi" w:cstheme="minorHAnsi"/>
          <w:shd w:val="clear" w:color="auto" w:fill="FFFFFF"/>
        </w:rPr>
        <w:t>(7), 759-763.</w:t>
      </w:r>
    </w:p>
    <w:p w14:paraId="1557F03F" w14:textId="4D54CA49"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Lad, M., &amp; Harrison, N. (2012). Smarter, faster, harder.</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Student B</w:t>
      </w:r>
      <w:r w:rsidR="007D49E9" w:rsidRPr="00734AB6">
        <w:rPr>
          <w:rFonts w:asciiTheme="majorHAnsi" w:hAnsiTheme="majorHAnsi" w:cstheme="minorHAnsi"/>
          <w:i/>
          <w:iCs/>
          <w:shd w:val="clear" w:color="auto" w:fill="FFFFFF"/>
        </w:rPr>
        <w:t xml:space="preserve">ritish </w:t>
      </w:r>
      <w:r w:rsidRPr="00734AB6">
        <w:rPr>
          <w:rFonts w:asciiTheme="majorHAnsi" w:hAnsiTheme="majorHAnsi" w:cstheme="minorHAnsi"/>
          <w:i/>
          <w:iCs/>
          <w:shd w:val="clear" w:color="auto" w:fill="FFFFFF"/>
        </w:rPr>
        <w:t>M</w:t>
      </w:r>
      <w:r w:rsidR="007D49E9" w:rsidRPr="00734AB6">
        <w:rPr>
          <w:rFonts w:asciiTheme="majorHAnsi" w:hAnsiTheme="majorHAnsi" w:cstheme="minorHAnsi"/>
          <w:i/>
          <w:iCs/>
          <w:shd w:val="clear" w:color="auto" w:fill="FFFFFF"/>
        </w:rPr>
        <w:t xml:space="preserve">edical </w:t>
      </w:r>
      <w:r w:rsidRPr="00734AB6">
        <w:rPr>
          <w:rFonts w:asciiTheme="majorHAnsi" w:hAnsiTheme="majorHAnsi" w:cstheme="minorHAnsi"/>
          <w:i/>
          <w:iCs/>
          <w:shd w:val="clear" w:color="auto" w:fill="FFFFFF"/>
        </w:rPr>
        <w:t>J</w:t>
      </w:r>
      <w:r w:rsidR="007D49E9" w:rsidRPr="00734AB6">
        <w:rPr>
          <w:rFonts w:asciiTheme="majorHAnsi" w:hAnsiTheme="majorHAnsi" w:cstheme="minorHAnsi"/>
          <w:i/>
          <w:iCs/>
          <w:shd w:val="clear" w:color="auto" w:fill="FFFFFF"/>
        </w:rPr>
        <w:t>ournal</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007D49E9" w:rsidRPr="00734AB6">
        <w:rPr>
          <w:rFonts w:asciiTheme="majorHAnsi" w:hAnsiTheme="majorHAnsi" w:cstheme="minorHAnsi"/>
          <w:i/>
          <w:iCs/>
          <w:shd w:val="clear" w:color="auto" w:fill="FFFFFF"/>
        </w:rPr>
        <w:t>345:e5105</w:t>
      </w:r>
      <w:r w:rsidRPr="00734AB6">
        <w:rPr>
          <w:rFonts w:asciiTheme="majorHAnsi" w:hAnsiTheme="majorHAnsi" w:cstheme="minorHAnsi"/>
          <w:shd w:val="clear" w:color="auto" w:fill="FFFFFF"/>
        </w:rPr>
        <w:t>.</w:t>
      </w:r>
    </w:p>
    <w:p w14:paraId="69A851BD" w14:textId="14ABEBCA"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Lanni</w:t>
      </w:r>
      <w:proofErr w:type="spellEnd"/>
      <w:r w:rsidRPr="00734AB6">
        <w:rPr>
          <w:rFonts w:asciiTheme="majorHAnsi" w:eastAsia="Calibri" w:hAnsiTheme="majorHAnsi" w:cs="Calibri"/>
        </w:rPr>
        <w:t>, C</w:t>
      </w:r>
      <w:r w:rsidR="007D49E9"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Lenzken</w:t>
      </w:r>
      <w:proofErr w:type="spellEnd"/>
      <w:r w:rsidRPr="00734AB6">
        <w:rPr>
          <w:rFonts w:asciiTheme="majorHAnsi" w:eastAsia="Calibri" w:hAnsiTheme="majorHAnsi" w:cs="Calibri"/>
        </w:rPr>
        <w:t>, S</w:t>
      </w:r>
      <w:r w:rsidR="007D49E9" w:rsidRPr="00734AB6">
        <w:rPr>
          <w:rFonts w:asciiTheme="majorHAnsi" w:eastAsia="Calibri" w:hAnsiTheme="majorHAnsi" w:cs="Calibri"/>
        </w:rPr>
        <w:t xml:space="preserve">. </w:t>
      </w:r>
      <w:r w:rsidRPr="00734AB6">
        <w:rPr>
          <w:rFonts w:asciiTheme="majorHAnsi" w:eastAsia="Calibri" w:hAnsiTheme="majorHAnsi" w:cs="Calibri"/>
        </w:rPr>
        <w:t>C</w:t>
      </w:r>
      <w:r w:rsidR="007D49E9" w:rsidRPr="00734AB6">
        <w:rPr>
          <w:rFonts w:asciiTheme="majorHAnsi" w:eastAsia="Calibri" w:hAnsiTheme="majorHAnsi" w:cs="Calibri"/>
        </w:rPr>
        <w:t>.</w:t>
      </w:r>
      <w:r w:rsidRPr="00734AB6">
        <w:rPr>
          <w:rFonts w:asciiTheme="majorHAnsi" w:eastAsia="Calibri" w:hAnsiTheme="majorHAnsi" w:cs="Calibri"/>
        </w:rPr>
        <w:t>, Pascale, A</w:t>
      </w:r>
      <w:r w:rsidR="007D49E9" w:rsidRPr="00734AB6">
        <w:rPr>
          <w:rFonts w:asciiTheme="majorHAnsi" w:eastAsia="Calibri" w:hAnsiTheme="majorHAnsi" w:cs="Calibri"/>
        </w:rPr>
        <w:t>.</w:t>
      </w:r>
      <w:r w:rsidRPr="00734AB6">
        <w:rPr>
          <w:rFonts w:asciiTheme="majorHAnsi" w:eastAsia="Calibri" w:hAnsiTheme="majorHAnsi" w:cs="Calibri"/>
        </w:rPr>
        <w:t>, Vecchio, I</w:t>
      </w:r>
      <w:r w:rsidR="007D49E9" w:rsidRPr="00734AB6">
        <w:rPr>
          <w:rFonts w:asciiTheme="majorHAnsi" w:eastAsia="Calibri" w:hAnsiTheme="majorHAnsi" w:cs="Calibri"/>
        </w:rPr>
        <w:t xml:space="preserve">. </w:t>
      </w:r>
      <w:r w:rsidRPr="00734AB6">
        <w:rPr>
          <w:rFonts w:asciiTheme="majorHAnsi" w:eastAsia="Calibri" w:hAnsiTheme="majorHAnsi" w:cs="Calibri"/>
        </w:rPr>
        <w:t>D</w:t>
      </w:r>
      <w:r w:rsidR="007D49E9"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Racchi</w:t>
      </w:r>
      <w:proofErr w:type="spellEnd"/>
      <w:r w:rsidRPr="00734AB6">
        <w:rPr>
          <w:rFonts w:asciiTheme="majorHAnsi" w:eastAsia="Calibri" w:hAnsiTheme="majorHAnsi" w:cs="Calibri"/>
        </w:rPr>
        <w:t>, M</w:t>
      </w:r>
      <w:r w:rsidR="007D49E9" w:rsidRPr="00734AB6">
        <w:rPr>
          <w:rFonts w:asciiTheme="majorHAnsi" w:eastAsia="Calibri" w:hAnsiTheme="majorHAnsi" w:cs="Calibri"/>
        </w:rPr>
        <w:t>.</w:t>
      </w:r>
      <w:r w:rsidRPr="00734AB6">
        <w:rPr>
          <w:rFonts w:asciiTheme="majorHAnsi" w:eastAsia="Calibri" w:hAnsiTheme="majorHAnsi" w:cs="Calibri"/>
        </w:rPr>
        <w:t>, Pistoia, F</w:t>
      </w:r>
      <w:r w:rsidR="007D49E9"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Govoni</w:t>
      </w:r>
      <w:proofErr w:type="spellEnd"/>
      <w:r w:rsidRPr="00734AB6">
        <w:rPr>
          <w:rFonts w:asciiTheme="majorHAnsi" w:eastAsia="Calibri" w:hAnsiTheme="majorHAnsi" w:cs="Calibri"/>
        </w:rPr>
        <w:t>, S</w:t>
      </w:r>
      <w:r w:rsidR="007D49E9" w:rsidRPr="00734AB6">
        <w:rPr>
          <w:rFonts w:asciiTheme="majorHAnsi" w:eastAsia="Calibri" w:hAnsiTheme="majorHAnsi" w:cs="Calibri"/>
        </w:rPr>
        <w:t>.</w:t>
      </w:r>
      <w:r w:rsidRPr="00734AB6">
        <w:rPr>
          <w:rFonts w:asciiTheme="majorHAnsi" w:eastAsia="Calibri" w:hAnsiTheme="majorHAnsi" w:cs="Calibri"/>
        </w:rPr>
        <w:t xml:space="preserve"> (2008). Cognition enhancers between treating and doping the mind. </w:t>
      </w:r>
      <w:r w:rsidRPr="00734AB6">
        <w:rPr>
          <w:rFonts w:asciiTheme="majorHAnsi" w:eastAsia="Calibri" w:hAnsiTheme="majorHAnsi" w:cs="Calibri"/>
          <w:i/>
        </w:rPr>
        <w:t>Pharmacological Research, 57</w:t>
      </w:r>
      <w:r w:rsidRPr="00734AB6">
        <w:rPr>
          <w:rFonts w:asciiTheme="majorHAnsi" w:eastAsia="Calibri" w:hAnsiTheme="majorHAnsi" w:cs="Calibri"/>
        </w:rPr>
        <w:t>(3), 196-213. doi:10.1016/j.phrs.2008.02.004</w:t>
      </w:r>
    </w:p>
    <w:p w14:paraId="7954A9FB"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Larson, G. E., Alderton, D. L., </w:t>
      </w:r>
      <w:proofErr w:type="spellStart"/>
      <w:r w:rsidRPr="00734AB6">
        <w:rPr>
          <w:rFonts w:asciiTheme="majorHAnsi" w:eastAsia="Calibri" w:hAnsiTheme="majorHAnsi" w:cs="Calibri"/>
        </w:rPr>
        <w:t>Neideffer</w:t>
      </w:r>
      <w:proofErr w:type="spellEnd"/>
      <w:r w:rsidRPr="00734AB6">
        <w:rPr>
          <w:rFonts w:asciiTheme="majorHAnsi" w:eastAsia="Calibri" w:hAnsiTheme="majorHAnsi" w:cs="Calibri"/>
        </w:rPr>
        <w:t>, M., &amp; Underhill, E. (1997). Further evidence on dimensionality and correlates of the Cognitive Failures Questionnaire. </w:t>
      </w:r>
      <w:r w:rsidRPr="00734AB6">
        <w:rPr>
          <w:rFonts w:asciiTheme="majorHAnsi" w:eastAsia="Calibri" w:hAnsiTheme="majorHAnsi" w:cs="Calibri"/>
          <w:i/>
          <w:iCs/>
        </w:rPr>
        <w:t>British Journal of Psychology</w:t>
      </w:r>
      <w:r w:rsidRPr="00734AB6">
        <w:rPr>
          <w:rFonts w:asciiTheme="majorHAnsi" w:eastAsia="Calibri" w:hAnsiTheme="majorHAnsi" w:cs="Calibri"/>
        </w:rPr>
        <w:t>, </w:t>
      </w:r>
      <w:r w:rsidRPr="00734AB6">
        <w:rPr>
          <w:rFonts w:asciiTheme="majorHAnsi" w:eastAsia="Calibri" w:hAnsiTheme="majorHAnsi" w:cs="Calibri"/>
          <w:i/>
          <w:iCs/>
        </w:rPr>
        <w:t>88</w:t>
      </w:r>
      <w:r w:rsidRPr="00734AB6">
        <w:rPr>
          <w:rFonts w:asciiTheme="majorHAnsi" w:eastAsia="Calibri" w:hAnsiTheme="majorHAnsi" w:cs="Calibri"/>
        </w:rPr>
        <w:t>(1), 29-38.</w:t>
      </w:r>
    </w:p>
    <w:p w14:paraId="5CCA5157" w14:textId="77777777" w:rsidR="00E5175A" w:rsidRPr="00734AB6" w:rsidRDefault="00E5175A" w:rsidP="00E5175A">
      <w:pPr>
        <w:spacing w:line="360" w:lineRule="auto"/>
        <w:ind w:left="851" w:hanging="851"/>
        <w:rPr>
          <w:rFonts w:asciiTheme="majorHAnsi" w:hAnsiTheme="majorHAnsi" w:cstheme="majorHAnsi"/>
        </w:rPr>
      </w:pPr>
      <w:proofErr w:type="spellStart"/>
      <w:r w:rsidRPr="00734AB6">
        <w:rPr>
          <w:rFonts w:asciiTheme="majorHAnsi" w:hAnsiTheme="majorHAnsi" w:cstheme="majorHAnsi"/>
        </w:rPr>
        <w:t>Lehto</w:t>
      </w:r>
      <w:proofErr w:type="spellEnd"/>
      <w:r w:rsidRPr="00734AB6">
        <w:rPr>
          <w:rFonts w:asciiTheme="majorHAnsi" w:hAnsiTheme="majorHAnsi" w:cstheme="majorHAnsi"/>
        </w:rPr>
        <w:t xml:space="preserve">, J. E., </w:t>
      </w:r>
      <w:proofErr w:type="spellStart"/>
      <w:r w:rsidRPr="00734AB6">
        <w:rPr>
          <w:rFonts w:asciiTheme="majorHAnsi" w:hAnsiTheme="majorHAnsi" w:cstheme="majorHAnsi"/>
        </w:rPr>
        <w:t>Juujärvi</w:t>
      </w:r>
      <w:proofErr w:type="spellEnd"/>
      <w:r w:rsidRPr="00734AB6">
        <w:rPr>
          <w:rFonts w:asciiTheme="majorHAnsi" w:hAnsiTheme="majorHAnsi" w:cstheme="majorHAnsi"/>
        </w:rPr>
        <w:t xml:space="preserve">, P., </w:t>
      </w:r>
      <w:proofErr w:type="spellStart"/>
      <w:r w:rsidRPr="00734AB6">
        <w:rPr>
          <w:rFonts w:asciiTheme="majorHAnsi" w:hAnsiTheme="majorHAnsi" w:cstheme="majorHAnsi"/>
        </w:rPr>
        <w:t>Kooistra</w:t>
      </w:r>
      <w:proofErr w:type="spellEnd"/>
      <w:r w:rsidRPr="00734AB6">
        <w:rPr>
          <w:rFonts w:asciiTheme="majorHAnsi" w:hAnsiTheme="majorHAnsi" w:cstheme="majorHAnsi"/>
        </w:rPr>
        <w:t xml:space="preserve">, L., &amp; </w:t>
      </w:r>
      <w:proofErr w:type="spellStart"/>
      <w:r w:rsidRPr="00734AB6">
        <w:rPr>
          <w:rFonts w:asciiTheme="majorHAnsi" w:hAnsiTheme="majorHAnsi" w:cstheme="majorHAnsi"/>
        </w:rPr>
        <w:t>Pulkkinen</w:t>
      </w:r>
      <w:proofErr w:type="spellEnd"/>
      <w:r w:rsidRPr="00734AB6">
        <w:rPr>
          <w:rFonts w:asciiTheme="majorHAnsi" w:hAnsiTheme="majorHAnsi" w:cstheme="majorHAnsi"/>
        </w:rPr>
        <w:t>, L. (2003). Dimensions of executive functioning: Evidence from children. </w:t>
      </w:r>
      <w:r w:rsidRPr="00734AB6">
        <w:rPr>
          <w:rFonts w:asciiTheme="majorHAnsi" w:hAnsiTheme="majorHAnsi" w:cstheme="majorHAnsi"/>
          <w:i/>
          <w:iCs/>
        </w:rPr>
        <w:t>British Journal of Developmental Psychology</w:t>
      </w:r>
      <w:r w:rsidRPr="00734AB6">
        <w:rPr>
          <w:rFonts w:asciiTheme="majorHAnsi" w:hAnsiTheme="majorHAnsi" w:cstheme="majorHAnsi"/>
        </w:rPr>
        <w:t>, </w:t>
      </w:r>
      <w:r w:rsidRPr="00734AB6">
        <w:rPr>
          <w:rFonts w:asciiTheme="majorHAnsi" w:hAnsiTheme="majorHAnsi" w:cstheme="majorHAnsi"/>
          <w:i/>
          <w:iCs/>
        </w:rPr>
        <w:t>21</w:t>
      </w:r>
      <w:r w:rsidRPr="00734AB6">
        <w:rPr>
          <w:rFonts w:asciiTheme="majorHAnsi" w:hAnsiTheme="majorHAnsi" w:cstheme="majorHAnsi"/>
        </w:rPr>
        <w:t>(1), 59-80.</w:t>
      </w:r>
    </w:p>
    <w:p w14:paraId="59979278"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Leon, M. R., Harms, P. D., &amp; Gilmer, D. O. (2019). PCE use in the workplace: The open secret of performance enhancement. </w:t>
      </w:r>
      <w:r w:rsidRPr="00734AB6">
        <w:rPr>
          <w:rFonts w:asciiTheme="majorHAnsi" w:hAnsiTheme="majorHAnsi" w:cstheme="minorHAnsi"/>
          <w:i/>
          <w:iCs/>
          <w:shd w:val="clear" w:color="auto" w:fill="FFFFFF"/>
        </w:rPr>
        <w:t>Journal of Management Inquiry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28</w:t>
      </w:r>
      <w:r w:rsidRPr="00734AB6">
        <w:rPr>
          <w:rFonts w:asciiTheme="majorHAnsi" w:hAnsiTheme="majorHAnsi" w:cstheme="minorHAnsi"/>
          <w:shd w:val="clear" w:color="auto" w:fill="FFFFFF"/>
        </w:rPr>
        <w:t>(1), 67-70.</w:t>
      </w:r>
    </w:p>
    <w:p w14:paraId="26DAE774" w14:textId="49CB9FDC"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León, K. S., &amp; Martínez, D. E. (2017). To Study, to Party, or Both? Assessing Risk Factors for Non-Prescribed Stimulant Use among Middle and High School Students.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 xml:space="preserve">Journal of </w:t>
      </w:r>
      <w:r w:rsidR="007D49E9" w:rsidRPr="00734AB6">
        <w:rPr>
          <w:rFonts w:asciiTheme="majorHAnsi" w:hAnsiTheme="majorHAnsi" w:cstheme="minorHAnsi"/>
          <w:i/>
          <w:iCs/>
          <w:shd w:val="clear" w:color="auto" w:fill="FFFFFF"/>
        </w:rPr>
        <w:t>P</w:t>
      </w:r>
      <w:r w:rsidRPr="00734AB6">
        <w:rPr>
          <w:rFonts w:asciiTheme="majorHAnsi" w:hAnsiTheme="majorHAnsi" w:cstheme="minorHAnsi"/>
          <w:i/>
          <w:iCs/>
          <w:shd w:val="clear" w:color="auto" w:fill="FFFFFF"/>
        </w:rPr>
        <w:t xml:space="preserve">sychoactive </w:t>
      </w:r>
      <w:r w:rsidR="007D49E9" w:rsidRPr="00734AB6">
        <w:rPr>
          <w:rFonts w:asciiTheme="majorHAnsi" w:hAnsiTheme="majorHAnsi" w:cstheme="minorHAnsi"/>
          <w:i/>
          <w:iCs/>
          <w:shd w:val="clear" w:color="auto" w:fill="FFFFFF"/>
        </w:rPr>
        <w:t>D</w:t>
      </w:r>
      <w:r w:rsidRPr="00734AB6">
        <w:rPr>
          <w:rFonts w:asciiTheme="majorHAnsi" w:hAnsiTheme="majorHAnsi" w:cstheme="minorHAnsi"/>
          <w:i/>
          <w:iCs/>
          <w:shd w:val="clear" w:color="auto" w:fill="FFFFFF"/>
        </w:rPr>
        <w:t>rugs</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49</w:t>
      </w:r>
      <w:r w:rsidRPr="00734AB6">
        <w:rPr>
          <w:rFonts w:asciiTheme="majorHAnsi" w:hAnsiTheme="majorHAnsi" w:cstheme="minorHAnsi"/>
          <w:shd w:val="clear" w:color="auto" w:fill="FFFFFF"/>
        </w:rPr>
        <w:t>(1), 22-30.</w:t>
      </w:r>
    </w:p>
    <w:p w14:paraId="36EE0929"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shd w:val="clear" w:color="auto" w:fill="FFFFFF"/>
        </w:rPr>
        <w:t xml:space="preserve">Liddle, E. B., Hollis, C., Batty, M. J., Groom, M. J., </w:t>
      </w:r>
      <w:proofErr w:type="spellStart"/>
      <w:r w:rsidRPr="00734AB6">
        <w:rPr>
          <w:rFonts w:asciiTheme="majorHAnsi" w:hAnsiTheme="majorHAnsi" w:cstheme="minorHAnsi"/>
          <w:shd w:val="clear" w:color="auto" w:fill="FFFFFF"/>
        </w:rPr>
        <w:t>Totman</w:t>
      </w:r>
      <w:proofErr w:type="spellEnd"/>
      <w:r w:rsidRPr="00734AB6">
        <w:rPr>
          <w:rFonts w:asciiTheme="majorHAnsi" w:hAnsiTheme="majorHAnsi" w:cstheme="minorHAnsi"/>
          <w:shd w:val="clear" w:color="auto" w:fill="FFFFFF"/>
        </w:rPr>
        <w:t xml:space="preserve">, J. J., </w:t>
      </w:r>
      <w:proofErr w:type="spellStart"/>
      <w:r w:rsidRPr="00734AB6">
        <w:rPr>
          <w:rFonts w:asciiTheme="majorHAnsi" w:hAnsiTheme="majorHAnsi" w:cstheme="minorHAnsi"/>
          <w:shd w:val="clear" w:color="auto" w:fill="FFFFFF"/>
        </w:rPr>
        <w:t>Liotti</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Scerif</w:t>
      </w:r>
      <w:proofErr w:type="spellEnd"/>
      <w:r w:rsidRPr="00734AB6">
        <w:rPr>
          <w:rFonts w:asciiTheme="majorHAnsi" w:hAnsiTheme="majorHAnsi" w:cstheme="minorHAnsi"/>
          <w:shd w:val="clear" w:color="auto" w:fill="FFFFFF"/>
        </w:rPr>
        <w:t>, G. &amp; Liddle, P. F. (2011). Task</w:t>
      </w:r>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related default mode network modulation and inhibitory control in ADHD: Effects of motivation and methylphenidate.</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Journal of Child Psychology and Psychiatry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52</w:t>
      </w:r>
      <w:r w:rsidRPr="00734AB6">
        <w:rPr>
          <w:rFonts w:asciiTheme="majorHAnsi" w:hAnsiTheme="majorHAnsi" w:cstheme="minorHAnsi"/>
          <w:shd w:val="clear" w:color="auto" w:fill="FFFFFF"/>
        </w:rPr>
        <w:t>(7), 761-771.</w:t>
      </w:r>
    </w:p>
    <w:p w14:paraId="64E23053" w14:textId="58A6D27D"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Liechti</w:t>
      </w:r>
      <w:proofErr w:type="spellEnd"/>
      <w:r w:rsidRPr="00734AB6">
        <w:rPr>
          <w:rFonts w:asciiTheme="majorHAnsi" w:eastAsia="Calibri" w:hAnsiTheme="majorHAnsi" w:cs="Calibri"/>
        </w:rPr>
        <w:t>, M</w:t>
      </w:r>
      <w:r w:rsidR="001375A3" w:rsidRPr="00734AB6">
        <w:rPr>
          <w:rFonts w:asciiTheme="majorHAnsi" w:eastAsia="Calibri" w:hAnsiTheme="majorHAnsi" w:cs="Calibri"/>
        </w:rPr>
        <w:t xml:space="preserve">. </w:t>
      </w:r>
      <w:r w:rsidRPr="00734AB6">
        <w:rPr>
          <w:rFonts w:asciiTheme="majorHAnsi" w:eastAsia="Calibri" w:hAnsiTheme="majorHAnsi" w:cs="Calibri"/>
        </w:rPr>
        <w:t>E</w:t>
      </w:r>
      <w:r w:rsidR="001375A3"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Vollenweider</w:t>
      </w:r>
      <w:proofErr w:type="spellEnd"/>
      <w:r w:rsidRPr="00734AB6">
        <w:rPr>
          <w:rFonts w:asciiTheme="majorHAnsi" w:eastAsia="Calibri" w:hAnsiTheme="majorHAnsi" w:cs="Calibri"/>
        </w:rPr>
        <w:t>, F</w:t>
      </w:r>
      <w:r w:rsidR="001375A3" w:rsidRPr="00734AB6">
        <w:rPr>
          <w:rFonts w:asciiTheme="majorHAnsi" w:eastAsia="Calibri" w:hAnsiTheme="majorHAnsi" w:cs="Calibri"/>
        </w:rPr>
        <w:t xml:space="preserve">. </w:t>
      </w:r>
      <w:r w:rsidRPr="00734AB6">
        <w:rPr>
          <w:rFonts w:asciiTheme="majorHAnsi" w:eastAsia="Calibri" w:hAnsiTheme="majorHAnsi" w:cs="Calibri"/>
        </w:rPr>
        <w:t>X</w:t>
      </w:r>
      <w:r w:rsidR="001375A3" w:rsidRPr="00734AB6">
        <w:rPr>
          <w:rFonts w:asciiTheme="majorHAnsi" w:eastAsia="Calibri" w:hAnsiTheme="majorHAnsi" w:cs="Calibri"/>
        </w:rPr>
        <w:t>.</w:t>
      </w:r>
      <w:r w:rsidRPr="00734AB6">
        <w:rPr>
          <w:rFonts w:asciiTheme="majorHAnsi" w:eastAsia="Calibri" w:hAnsiTheme="majorHAnsi" w:cs="Calibri"/>
        </w:rPr>
        <w:t xml:space="preserve"> (2001). Which neuroreceptors mediate the subjective effects of MDMA in humans? A summary of mechanistic studies. </w:t>
      </w:r>
      <w:r w:rsidRPr="00734AB6">
        <w:rPr>
          <w:rFonts w:asciiTheme="majorHAnsi" w:eastAsia="Calibri" w:hAnsiTheme="majorHAnsi" w:cs="Calibri"/>
          <w:i/>
          <w:iCs/>
        </w:rPr>
        <w:t>Human Psychopharmacology: Clinical and Experimental</w:t>
      </w:r>
      <w:r w:rsidRPr="00734AB6">
        <w:rPr>
          <w:rFonts w:asciiTheme="majorHAnsi" w:eastAsia="Calibri" w:hAnsiTheme="majorHAnsi" w:cs="Calibri"/>
        </w:rPr>
        <w:t>, </w:t>
      </w:r>
      <w:r w:rsidRPr="00734AB6">
        <w:rPr>
          <w:rFonts w:asciiTheme="majorHAnsi" w:eastAsia="Calibri" w:hAnsiTheme="majorHAnsi" w:cs="Calibri"/>
          <w:i/>
          <w:iCs/>
        </w:rPr>
        <w:t>16</w:t>
      </w:r>
      <w:r w:rsidRPr="00734AB6">
        <w:rPr>
          <w:rFonts w:asciiTheme="majorHAnsi" w:eastAsia="Calibri" w:hAnsiTheme="majorHAnsi" w:cs="Calibri"/>
        </w:rPr>
        <w:t>(8), 589-598.</w:t>
      </w:r>
    </w:p>
    <w:p w14:paraId="5464D677" w14:textId="6888B74C"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Lin, L. Y., </w:t>
      </w:r>
      <w:proofErr w:type="spellStart"/>
      <w:r w:rsidRPr="00734AB6">
        <w:rPr>
          <w:rFonts w:asciiTheme="majorHAnsi" w:hAnsiTheme="majorHAnsi" w:cstheme="minorHAnsi"/>
        </w:rPr>
        <w:t>Sidani</w:t>
      </w:r>
      <w:proofErr w:type="spellEnd"/>
      <w:r w:rsidRPr="00734AB6">
        <w:rPr>
          <w:rFonts w:asciiTheme="majorHAnsi" w:hAnsiTheme="majorHAnsi" w:cstheme="minorHAnsi"/>
        </w:rPr>
        <w:t xml:space="preserve">, J. E., </w:t>
      </w:r>
      <w:proofErr w:type="spellStart"/>
      <w:r w:rsidRPr="00734AB6">
        <w:rPr>
          <w:rFonts w:asciiTheme="majorHAnsi" w:hAnsiTheme="majorHAnsi" w:cstheme="minorHAnsi"/>
        </w:rPr>
        <w:t>Shensa</w:t>
      </w:r>
      <w:proofErr w:type="spellEnd"/>
      <w:r w:rsidRPr="00734AB6">
        <w:rPr>
          <w:rFonts w:asciiTheme="majorHAnsi" w:hAnsiTheme="majorHAnsi" w:cstheme="minorHAnsi"/>
        </w:rPr>
        <w:t xml:space="preserve">, A., </w:t>
      </w:r>
      <w:proofErr w:type="spellStart"/>
      <w:r w:rsidRPr="00734AB6">
        <w:rPr>
          <w:rFonts w:asciiTheme="majorHAnsi" w:hAnsiTheme="majorHAnsi" w:cstheme="minorHAnsi"/>
        </w:rPr>
        <w:t>Radovic</w:t>
      </w:r>
      <w:proofErr w:type="spellEnd"/>
      <w:r w:rsidRPr="00734AB6">
        <w:rPr>
          <w:rFonts w:asciiTheme="majorHAnsi" w:hAnsiTheme="majorHAnsi" w:cstheme="minorHAnsi"/>
        </w:rPr>
        <w:t>, A., Miller, E., Colditz, J. B., ... &amp; Primack, B. A. (2016). Association between social media use and depression among US young adults. </w:t>
      </w:r>
      <w:r w:rsidR="001375A3" w:rsidRPr="00734AB6">
        <w:rPr>
          <w:rFonts w:asciiTheme="majorHAnsi" w:hAnsiTheme="majorHAnsi" w:cstheme="minorHAnsi"/>
          <w:i/>
          <w:iCs/>
        </w:rPr>
        <w:t>Depression and A</w:t>
      </w:r>
      <w:r w:rsidRPr="00734AB6">
        <w:rPr>
          <w:rFonts w:asciiTheme="majorHAnsi" w:hAnsiTheme="majorHAnsi" w:cstheme="minorHAnsi"/>
          <w:i/>
          <w:iCs/>
        </w:rPr>
        <w:t>nxiety</w:t>
      </w:r>
      <w:r w:rsidRPr="00734AB6">
        <w:rPr>
          <w:rFonts w:asciiTheme="majorHAnsi" w:hAnsiTheme="majorHAnsi" w:cstheme="minorHAnsi"/>
        </w:rPr>
        <w:t>, </w:t>
      </w:r>
      <w:r w:rsidRPr="00734AB6">
        <w:rPr>
          <w:rFonts w:asciiTheme="majorHAnsi" w:hAnsiTheme="majorHAnsi" w:cstheme="minorHAnsi"/>
          <w:i/>
          <w:iCs/>
        </w:rPr>
        <w:t>33</w:t>
      </w:r>
      <w:r w:rsidRPr="00734AB6">
        <w:rPr>
          <w:rFonts w:asciiTheme="majorHAnsi" w:hAnsiTheme="majorHAnsi" w:cstheme="minorHAnsi"/>
        </w:rPr>
        <w:t>(4), 323-331.</w:t>
      </w:r>
    </w:p>
    <w:p w14:paraId="3B8465CD"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rPr>
        <w:lastRenderedPageBreak/>
        <w:t>Linssen</w:t>
      </w:r>
      <w:proofErr w:type="spellEnd"/>
      <w:r w:rsidRPr="00734AB6">
        <w:rPr>
          <w:rFonts w:asciiTheme="majorHAnsi" w:hAnsiTheme="majorHAnsi" w:cstheme="minorHAnsi"/>
        </w:rPr>
        <w:t xml:space="preserve">, A.M.W., </w:t>
      </w:r>
      <w:proofErr w:type="spellStart"/>
      <w:r w:rsidRPr="00734AB6">
        <w:rPr>
          <w:rFonts w:asciiTheme="majorHAnsi" w:hAnsiTheme="majorHAnsi" w:cstheme="minorHAnsi"/>
        </w:rPr>
        <w:t>Sambeth</w:t>
      </w:r>
      <w:proofErr w:type="spellEnd"/>
      <w:r w:rsidRPr="00734AB6">
        <w:rPr>
          <w:rFonts w:asciiTheme="majorHAnsi" w:hAnsiTheme="majorHAnsi" w:cstheme="minorHAnsi"/>
        </w:rPr>
        <w:t xml:space="preserve">, A., </w:t>
      </w:r>
      <w:proofErr w:type="spellStart"/>
      <w:r w:rsidRPr="00734AB6">
        <w:rPr>
          <w:rFonts w:asciiTheme="majorHAnsi" w:hAnsiTheme="majorHAnsi" w:cstheme="minorHAnsi"/>
        </w:rPr>
        <w:t>Vuurman</w:t>
      </w:r>
      <w:proofErr w:type="spellEnd"/>
      <w:r w:rsidRPr="00734AB6">
        <w:rPr>
          <w:rFonts w:asciiTheme="majorHAnsi" w:hAnsiTheme="majorHAnsi" w:cstheme="minorHAnsi"/>
        </w:rPr>
        <w:t xml:space="preserve">, E.F.P.M., &amp; Riedel, W.J. (2014). Cognitive effects of methylphenidate in healthy volunteers: a review of single dose studies, </w:t>
      </w:r>
      <w:r w:rsidRPr="00734AB6">
        <w:rPr>
          <w:rFonts w:asciiTheme="majorHAnsi" w:hAnsiTheme="majorHAnsi" w:cstheme="minorHAnsi"/>
          <w:i/>
        </w:rPr>
        <w:t>International Journal of Neuropsychopharmacology</w:t>
      </w:r>
      <w:r w:rsidRPr="00734AB6">
        <w:rPr>
          <w:rFonts w:asciiTheme="majorHAnsi" w:hAnsiTheme="majorHAnsi" w:cstheme="minorHAnsi"/>
        </w:rPr>
        <w:t>, 17, 961-977.</w:t>
      </w:r>
    </w:p>
    <w:p w14:paraId="614249C1"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Linssen</w:t>
      </w:r>
      <w:proofErr w:type="spellEnd"/>
      <w:r w:rsidRPr="00734AB6">
        <w:rPr>
          <w:rFonts w:asciiTheme="majorHAnsi" w:eastAsia="Calibri" w:hAnsiTheme="majorHAnsi" w:cs="Calibri"/>
        </w:rPr>
        <w:t xml:space="preserve">, A. M. W., </w:t>
      </w:r>
      <w:proofErr w:type="spellStart"/>
      <w:r w:rsidRPr="00734AB6">
        <w:rPr>
          <w:rFonts w:asciiTheme="majorHAnsi" w:eastAsia="Calibri" w:hAnsiTheme="majorHAnsi" w:cs="Calibri"/>
        </w:rPr>
        <w:t>Vuurman</w:t>
      </w:r>
      <w:proofErr w:type="spellEnd"/>
      <w:r w:rsidRPr="00734AB6">
        <w:rPr>
          <w:rFonts w:asciiTheme="majorHAnsi" w:eastAsia="Calibri" w:hAnsiTheme="majorHAnsi" w:cs="Calibri"/>
        </w:rPr>
        <w:t xml:space="preserve">, E. F. P. M., </w:t>
      </w:r>
      <w:proofErr w:type="spellStart"/>
      <w:r w:rsidRPr="00734AB6">
        <w:rPr>
          <w:rFonts w:asciiTheme="majorHAnsi" w:eastAsia="Calibri" w:hAnsiTheme="majorHAnsi" w:cs="Calibri"/>
        </w:rPr>
        <w:t>Sambeth</w:t>
      </w:r>
      <w:proofErr w:type="spellEnd"/>
      <w:r w:rsidRPr="00734AB6">
        <w:rPr>
          <w:rFonts w:asciiTheme="majorHAnsi" w:eastAsia="Calibri" w:hAnsiTheme="majorHAnsi" w:cs="Calibri"/>
        </w:rPr>
        <w:t>, A., &amp; Riedel, W. J. (2012). Methylphenidate produces selective enhancement of declarative memory consolidation in healthy volunteers. </w:t>
      </w:r>
      <w:r w:rsidRPr="00734AB6">
        <w:rPr>
          <w:rFonts w:asciiTheme="majorHAnsi" w:eastAsia="Calibri" w:hAnsiTheme="majorHAnsi" w:cs="Calibri"/>
          <w:i/>
          <w:iCs/>
        </w:rPr>
        <w:t>Psychopharmacology</w:t>
      </w:r>
      <w:r w:rsidRPr="00734AB6">
        <w:rPr>
          <w:rFonts w:asciiTheme="majorHAnsi" w:eastAsia="Calibri" w:hAnsiTheme="majorHAnsi" w:cs="Calibri"/>
        </w:rPr>
        <w:t>, </w:t>
      </w:r>
      <w:r w:rsidRPr="00734AB6">
        <w:rPr>
          <w:rFonts w:asciiTheme="majorHAnsi" w:eastAsia="Calibri" w:hAnsiTheme="majorHAnsi" w:cs="Calibri"/>
          <w:i/>
          <w:iCs/>
        </w:rPr>
        <w:t>221</w:t>
      </w:r>
      <w:r w:rsidRPr="00734AB6">
        <w:rPr>
          <w:rFonts w:asciiTheme="majorHAnsi" w:eastAsia="Calibri" w:hAnsiTheme="majorHAnsi" w:cs="Calibri"/>
        </w:rPr>
        <w:t>(4), 611-619.</w:t>
      </w:r>
    </w:p>
    <w:p w14:paraId="47145A9D" w14:textId="1767AF4A" w:rsidR="004676EF" w:rsidRPr="00734AB6" w:rsidRDefault="004676EF" w:rsidP="00D06771">
      <w:pPr>
        <w:spacing w:line="360" w:lineRule="auto"/>
        <w:ind w:left="720" w:hanging="720"/>
        <w:rPr>
          <w:rFonts w:asciiTheme="majorHAnsi" w:eastAsia="Calibri" w:hAnsiTheme="majorHAnsi" w:cs="Calibri"/>
          <w:i/>
        </w:rPr>
      </w:pPr>
      <w:r w:rsidRPr="00734AB6">
        <w:rPr>
          <w:rFonts w:asciiTheme="majorHAnsi" w:eastAsia="Calibri" w:hAnsiTheme="majorHAnsi" w:cs="Calibri"/>
        </w:rPr>
        <w:t>Logue, S</w:t>
      </w:r>
      <w:r w:rsidR="00E8349E" w:rsidRPr="00734AB6">
        <w:rPr>
          <w:rFonts w:asciiTheme="majorHAnsi" w:eastAsia="Calibri" w:hAnsiTheme="majorHAnsi" w:cs="Calibri"/>
        </w:rPr>
        <w:t xml:space="preserve">. </w:t>
      </w:r>
      <w:r w:rsidRPr="00734AB6">
        <w:rPr>
          <w:rFonts w:asciiTheme="majorHAnsi" w:eastAsia="Calibri" w:hAnsiTheme="majorHAnsi" w:cs="Calibri"/>
        </w:rPr>
        <w:t>F</w:t>
      </w:r>
      <w:r w:rsidR="00E8349E"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Gould, T</w:t>
      </w:r>
      <w:r w:rsidR="00E8349E" w:rsidRPr="00734AB6">
        <w:rPr>
          <w:rFonts w:asciiTheme="majorHAnsi" w:eastAsia="Calibri" w:hAnsiTheme="majorHAnsi" w:cs="Calibri"/>
        </w:rPr>
        <w:t xml:space="preserve">. </w:t>
      </w:r>
      <w:r w:rsidRPr="00734AB6">
        <w:rPr>
          <w:rFonts w:asciiTheme="majorHAnsi" w:eastAsia="Calibri" w:hAnsiTheme="majorHAnsi" w:cs="Calibri"/>
        </w:rPr>
        <w:t>J</w:t>
      </w:r>
      <w:r w:rsidR="00E8349E" w:rsidRPr="00734AB6">
        <w:rPr>
          <w:rFonts w:asciiTheme="majorHAnsi" w:eastAsia="Calibri" w:hAnsiTheme="majorHAnsi" w:cs="Calibri"/>
        </w:rPr>
        <w:t>.</w:t>
      </w:r>
      <w:r w:rsidRPr="00734AB6">
        <w:rPr>
          <w:rFonts w:asciiTheme="majorHAnsi" w:eastAsia="Calibri" w:hAnsiTheme="majorHAnsi" w:cs="Calibri"/>
        </w:rPr>
        <w:t xml:space="preserve"> (2014). The neural and genetic basis of executive function: Attention, cognitive flexibility, and response inhibition. </w:t>
      </w:r>
      <w:r w:rsidRPr="00734AB6">
        <w:rPr>
          <w:rFonts w:asciiTheme="majorHAnsi" w:eastAsia="Calibri" w:hAnsiTheme="majorHAnsi" w:cs="Calibri"/>
          <w:i/>
          <w:iCs/>
        </w:rPr>
        <w:t xml:space="preserve">Pharmacology Biochemistry and </w:t>
      </w:r>
      <w:proofErr w:type="spellStart"/>
      <w:r w:rsidRPr="00734AB6">
        <w:rPr>
          <w:rFonts w:asciiTheme="majorHAnsi" w:eastAsia="Calibri" w:hAnsiTheme="majorHAnsi" w:cs="Calibri"/>
          <w:i/>
          <w:iCs/>
        </w:rPr>
        <w:t>Behavior</w:t>
      </w:r>
      <w:proofErr w:type="spellEnd"/>
      <w:r w:rsidRPr="00734AB6">
        <w:rPr>
          <w:rFonts w:asciiTheme="majorHAnsi" w:eastAsia="Calibri" w:hAnsiTheme="majorHAnsi" w:cs="Calibri"/>
        </w:rPr>
        <w:t>, </w:t>
      </w:r>
      <w:r w:rsidRPr="00734AB6">
        <w:rPr>
          <w:rFonts w:asciiTheme="majorHAnsi" w:eastAsia="Calibri" w:hAnsiTheme="majorHAnsi" w:cs="Calibri"/>
          <w:i/>
          <w:iCs/>
        </w:rPr>
        <w:t>123</w:t>
      </w:r>
      <w:r w:rsidRPr="00734AB6">
        <w:rPr>
          <w:rFonts w:asciiTheme="majorHAnsi" w:eastAsia="Calibri" w:hAnsiTheme="majorHAnsi" w:cs="Calibri"/>
        </w:rPr>
        <w:t>, 45-54. doi.org/10.1016/j.pbb.2013.08.007</w:t>
      </w:r>
    </w:p>
    <w:p w14:paraId="72E50948"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Luce, G. G. (1971). </w:t>
      </w:r>
      <w:r w:rsidRPr="00734AB6">
        <w:rPr>
          <w:rFonts w:asciiTheme="majorHAnsi" w:hAnsiTheme="majorHAnsi" w:cstheme="minorHAnsi"/>
          <w:i/>
        </w:rPr>
        <w:t>Biological rhythms in Human and Animal Physiology</w:t>
      </w:r>
      <w:r w:rsidRPr="00734AB6">
        <w:rPr>
          <w:rFonts w:asciiTheme="majorHAnsi" w:hAnsiTheme="majorHAnsi" w:cstheme="minorHAnsi"/>
        </w:rPr>
        <w:t xml:space="preserve">. New York: Dover Publication; </w:t>
      </w:r>
    </w:p>
    <w:p w14:paraId="57A1FD99"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Maher, B. (2008). Poll results: Look who's doping. </w:t>
      </w:r>
      <w:r w:rsidRPr="00734AB6">
        <w:rPr>
          <w:rFonts w:asciiTheme="majorHAnsi" w:hAnsiTheme="majorHAnsi" w:cstheme="minorHAnsi"/>
          <w:i/>
          <w:iCs/>
        </w:rPr>
        <w:t>Nature,</w:t>
      </w:r>
      <w:r w:rsidRPr="00734AB6">
        <w:rPr>
          <w:rFonts w:asciiTheme="majorHAnsi" w:hAnsiTheme="majorHAnsi" w:cstheme="minorHAnsi"/>
        </w:rPr>
        <w:t xml:space="preserve"> </w:t>
      </w:r>
      <w:r w:rsidRPr="00734AB6">
        <w:rPr>
          <w:rFonts w:asciiTheme="majorHAnsi" w:hAnsiTheme="majorHAnsi" w:cstheme="minorHAnsi"/>
          <w:i/>
          <w:iCs/>
        </w:rPr>
        <w:t>452</w:t>
      </w:r>
      <w:r w:rsidRPr="00734AB6">
        <w:rPr>
          <w:rFonts w:asciiTheme="majorHAnsi" w:hAnsiTheme="majorHAnsi" w:cstheme="minorHAnsi"/>
        </w:rPr>
        <w:t xml:space="preserve">(7188), 674-675. </w:t>
      </w:r>
    </w:p>
    <w:p w14:paraId="7C8ACCE4" w14:textId="77147293"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Maier, L</w:t>
      </w:r>
      <w:r w:rsidR="00E8349E" w:rsidRPr="00734AB6">
        <w:rPr>
          <w:rFonts w:asciiTheme="majorHAnsi" w:eastAsia="Calibri" w:hAnsiTheme="majorHAnsi" w:cs="Calibri"/>
        </w:rPr>
        <w:t xml:space="preserve">. </w:t>
      </w:r>
      <w:r w:rsidRPr="00734AB6">
        <w:rPr>
          <w:rFonts w:asciiTheme="majorHAnsi" w:eastAsia="Calibri" w:hAnsiTheme="majorHAnsi" w:cs="Calibri"/>
        </w:rPr>
        <w:t>J</w:t>
      </w:r>
      <w:r w:rsidR="00E8349E"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Haug</w:t>
      </w:r>
      <w:proofErr w:type="spellEnd"/>
      <w:r w:rsidRPr="00734AB6">
        <w:rPr>
          <w:rFonts w:asciiTheme="majorHAnsi" w:eastAsia="Calibri" w:hAnsiTheme="majorHAnsi" w:cs="Calibri"/>
        </w:rPr>
        <w:t>, S</w:t>
      </w:r>
      <w:r w:rsidR="00E8349E"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Schaub, M</w:t>
      </w:r>
      <w:r w:rsidR="00E8349E" w:rsidRPr="00734AB6">
        <w:rPr>
          <w:rFonts w:asciiTheme="majorHAnsi" w:eastAsia="Calibri" w:hAnsiTheme="majorHAnsi" w:cs="Calibri"/>
        </w:rPr>
        <w:t xml:space="preserve">. </w:t>
      </w:r>
      <w:r w:rsidRPr="00734AB6">
        <w:rPr>
          <w:rFonts w:asciiTheme="majorHAnsi" w:eastAsia="Calibri" w:hAnsiTheme="majorHAnsi" w:cs="Calibri"/>
        </w:rPr>
        <w:t>P</w:t>
      </w:r>
      <w:r w:rsidR="00E8349E" w:rsidRPr="00734AB6">
        <w:rPr>
          <w:rFonts w:asciiTheme="majorHAnsi" w:eastAsia="Calibri" w:hAnsiTheme="majorHAnsi" w:cs="Calibri"/>
        </w:rPr>
        <w:t>.</w:t>
      </w:r>
      <w:r w:rsidRPr="00734AB6">
        <w:rPr>
          <w:rFonts w:asciiTheme="majorHAnsi" w:eastAsia="Calibri" w:hAnsiTheme="majorHAnsi" w:cs="Calibri"/>
        </w:rPr>
        <w:t xml:space="preserve"> (2016). Prevalence of and motives for pharmacological neuroenhancement in Switzerland—results from a national internet panel. </w:t>
      </w:r>
      <w:r w:rsidRPr="00734AB6">
        <w:rPr>
          <w:rFonts w:asciiTheme="majorHAnsi" w:eastAsia="Calibri" w:hAnsiTheme="majorHAnsi" w:cs="Calibri"/>
          <w:i/>
          <w:iCs/>
        </w:rPr>
        <w:t>Addiction</w:t>
      </w:r>
      <w:r w:rsidRPr="00734AB6">
        <w:rPr>
          <w:rFonts w:asciiTheme="majorHAnsi" w:eastAsia="Calibri" w:hAnsiTheme="majorHAnsi" w:cs="Calibri"/>
        </w:rPr>
        <w:t>, </w:t>
      </w:r>
      <w:r w:rsidRPr="00734AB6">
        <w:rPr>
          <w:rFonts w:asciiTheme="majorHAnsi" w:eastAsia="Calibri" w:hAnsiTheme="majorHAnsi" w:cs="Calibri"/>
          <w:i/>
          <w:iCs/>
        </w:rPr>
        <w:t>111</w:t>
      </w:r>
      <w:r w:rsidRPr="00734AB6">
        <w:rPr>
          <w:rFonts w:asciiTheme="majorHAnsi" w:eastAsia="Calibri" w:hAnsiTheme="majorHAnsi" w:cs="Calibri"/>
        </w:rPr>
        <w:t>(2), 280-295.</w:t>
      </w:r>
    </w:p>
    <w:p w14:paraId="73E33FC2"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Maier, L. J., </w:t>
      </w:r>
      <w:proofErr w:type="spellStart"/>
      <w:r w:rsidRPr="00734AB6">
        <w:rPr>
          <w:rFonts w:asciiTheme="majorHAnsi" w:eastAsia="Calibri" w:hAnsiTheme="majorHAnsi" w:cs="Calibri"/>
        </w:rPr>
        <w:t>Liakoni</w:t>
      </w:r>
      <w:proofErr w:type="spellEnd"/>
      <w:r w:rsidRPr="00734AB6">
        <w:rPr>
          <w:rFonts w:asciiTheme="majorHAnsi" w:eastAsia="Calibri" w:hAnsiTheme="majorHAnsi" w:cs="Calibri"/>
        </w:rPr>
        <w:t xml:space="preserve">, E., </w:t>
      </w:r>
      <w:proofErr w:type="spellStart"/>
      <w:r w:rsidRPr="00734AB6">
        <w:rPr>
          <w:rFonts w:asciiTheme="majorHAnsi" w:eastAsia="Calibri" w:hAnsiTheme="majorHAnsi" w:cs="Calibri"/>
        </w:rPr>
        <w:t>Schildmann</w:t>
      </w:r>
      <w:proofErr w:type="spellEnd"/>
      <w:r w:rsidRPr="00734AB6">
        <w:rPr>
          <w:rFonts w:asciiTheme="majorHAnsi" w:eastAsia="Calibri" w:hAnsiTheme="majorHAnsi" w:cs="Calibri"/>
        </w:rPr>
        <w:t xml:space="preserve">, J., Schaub, M. P., &amp; </w:t>
      </w:r>
      <w:proofErr w:type="spellStart"/>
      <w:r w:rsidRPr="00734AB6">
        <w:rPr>
          <w:rFonts w:asciiTheme="majorHAnsi" w:eastAsia="Calibri" w:hAnsiTheme="majorHAnsi" w:cs="Calibri"/>
        </w:rPr>
        <w:t>Liechti</w:t>
      </w:r>
      <w:proofErr w:type="spellEnd"/>
      <w:r w:rsidRPr="00734AB6">
        <w:rPr>
          <w:rFonts w:asciiTheme="majorHAnsi" w:eastAsia="Calibri" w:hAnsiTheme="majorHAnsi" w:cs="Calibri"/>
        </w:rPr>
        <w:t>, M. E. (2015). Swiss university students’ attitudes toward pharmacological cognitive enhancement. </w:t>
      </w:r>
      <w:proofErr w:type="spellStart"/>
      <w:r w:rsidRPr="00734AB6">
        <w:rPr>
          <w:rFonts w:asciiTheme="majorHAnsi" w:eastAsia="Calibri" w:hAnsiTheme="majorHAnsi" w:cs="Calibri"/>
          <w:i/>
          <w:iCs/>
        </w:rPr>
        <w:t>PLoS</w:t>
      </w:r>
      <w:proofErr w:type="spellEnd"/>
      <w:r w:rsidRPr="00734AB6">
        <w:rPr>
          <w:rFonts w:asciiTheme="majorHAnsi" w:eastAsia="Calibri" w:hAnsiTheme="majorHAnsi" w:cs="Calibri"/>
          <w:i/>
          <w:iCs/>
        </w:rPr>
        <w:t xml:space="preserve"> One</w:t>
      </w:r>
      <w:r w:rsidRPr="00734AB6">
        <w:rPr>
          <w:rFonts w:asciiTheme="majorHAnsi" w:eastAsia="Calibri" w:hAnsiTheme="majorHAnsi" w:cs="Calibri"/>
        </w:rPr>
        <w:t>, </w:t>
      </w:r>
      <w:r w:rsidRPr="00734AB6">
        <w:rPr>
          <w:rFonts w:asciiTheme="majorHAnsi" w:eastAsia="Calibri" w:hAnsiTheme="majorHAnsi" w:cs="Calibri"/>
          <w:i/>
          <w:iCs/>
        </w:rPr>
        <w:t>10</w:t>
      </w:r>
      <w:r w:rsidRPr="00734AB6">
        <w:rPr>
          <w:rFonts w:asciiTheme="majorHAnsi" w:eastAsia="Calibri" w:hAnsiTheme="majorHAnsi" w:cs="Calibri"/>
        </w:rPr>
        <w:t>(12).</w:t>
      </w:r>
    </w:p>
    <w:p w14:paraId="31592ED1" w14:textId="77777777"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Mann, N., &amp; </w:t>
      </w:r>
      <w:proofErr w:type="spellStart"/>
      <w:r w:rsidRPr="00734AB6">
        <w:rPr>
          <w:rFonts w:asciiTheme="majorHAnsi" w:hAnsiTheme="majorHAnsi" w:cs="Arial"/>
        </w:rPr>
        <w:t>Bitsios</w:t>
      </w:r>
      <w:proofErr w:type="spellEnd"/>
      <w:r w:rsidRPr="00734AB6">
        <w:rPr>
          <w:rFonts w:asciiTheme="majorHAnsi" w:hAnsiTheme="majorHAnsi" w:cs="Arial"/>
        </w:rPr>
        <w:t>, P. (2009). Modafinil treatment of amphetamine abuse in adult ADHD. </w:t>
      </w:r>
      <w:r w:rsidRPr="00734AB6">
        <w:rPr>
          <w:rFonts w:asciiTheme="majorHAnsi" w:hAnsiTheme="majorHAnsi" w:cs="Arial"/>
          <w:i/>
          <w:iCs/>
        </w:rPr>
        <w:t>Journal of Psychopharmacology</w:t>
      </w:r>
      <w:r w:rsidRPr="00734AB6">
        <w:rPr>
          <w:rFonts w:asciiTheme="majorHAnsi" w:hAnsiTheme="majorHAnsi" w:cs="Arial"/>
        </w:rPr>
        <w:t>, </w:t>
      </w:r>
      <w:r w:rsidRPr="00734AB6">
        <w:rPr>
          <w:rFonts w:asciiTheme="majorHAnsi" w:hAnsiTheme="majorHAnsi" w:cs="Arial"/>
          <w:i/>
          <w:iCs/>
        </w:rPr>
        <w:t>23</w:t>
      </w:r>
      <w:r w:rsidRPr="00734AB6">
        <w:rPr>
          <w:rFonts w:asciiTheme="majorHAnsi" w:hAnsiTheme="majorHAnsi" w:cs="Arial"/>
        </w:rPr>
        <w:t>(4), 468-471.</w:t>
      </w:r>
    </w:p>
    <w:p w14:paraId="6E768630"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Mantini</w:t>
      </w:r>
      <w:proofErr w:type="spellEnd"/>
      <w:r w:rsidRPr="00734AB6">
        <w:rPr>
          <w:rFonts w:asciiTheme="majorHAnsi" w:hAnsiTheme="majorHAnsi" w:cstheme="minorHAnsi"/>
          <w:shd w:val="clear" w:color="auto" w:fill="FFFFFF"/>
        </w:rPr>
        <w:t xml:space="preserve">, D., </w:t>
      </w:r>
      <w:proofErr w:type="spellStart"/>
      <w:r w:rsidRPr="00734AB6">
        <w:rPr>
          <w:rFonts w:asciiTheme="majorHAnsi" w:hAnsiTheme="majorHAnsi" w:cstheme="minorHAnsi"/>
          <w:shd w:val="clear" w:color="auto" w:fill="FFFFFF"/>
        </w:rPr>
        <w:t>Perrucci</w:t>
      </w:r>
      <w:proofErr w:type="spellEnd"/>
      <w:r w:rsidRPr="00734AB6">
        <w:rPr>
          <w:rFonts w:asciiTheme="majorHAnsi" w:hAnsiTheme="majorHAnsi" w:cstheme="minorHAnsi"/>
          <w:shd w:val="clear" w:color="auto" w:fill="FFFFFF"/>
        </w:rPr>
        <w:t xml:space="preserve">, M. G., Del </w:t>
      </w:r>
      <w:proofErr w:type="spellStart"/>
      <w:r w:rsidRPr="00734AB6">
        <w:rPr>
          <w:rFonts w:asciiTheme="majorHAnsi" w:hAnsiTheme="majorHAnsi" w:cstheme="minorHAnsi"/>
          <w:shd w:val="clear" w:color="auto" w:fill="FFFFFF"/>
        </w:rPr>
        <w:t>Gratta</w:t>
      </w:r>
      <w:proofErr w:type="spellEnd"/>
      <w:r w:rsidRPr="00734AB6">
        <w:rPr>
          <w:rFonts w:asciiTheme="majorHAnsi" w:hAnsiTheme="majorHAnsi" w:cstheme="minorHAnsi"/>
          <w:shd w:val="clear" w:color="auto" w:fill="FFFFFF"/>
        </w:rPr>
        <w:t xml:space="preserve">, C., Romani, G. L., &amp; </w:t>
      </w:r>
      <w:proofErr w:type="spellStart"/>
      <w:r w:rsidRPr="00734AB6">
        <w:rPr>
          <w:rFonts w:asciiTheme="majorHAnsi" w:hAnsiTheme="majorHAnsi" w:cstheme="minorHAnsi"/>
          <w:shd w:val="clear" w:color="auto" w:fill="FFFFFF"/>
        </w:rPr>
        <w:t>Corbetta</w:t>
      </w:r>
      <w:proofErr w:type="spellEnd"/>
      <w:r w:rsidRPr="00734AB6">
        <w:rPr>
          <w:rFonts w:asciiTheme="majorHAnsi" w:hAnsiTheme="majorHAnsi" w:cstheme="minorHAnsi"/>
          <w:shd w:val="clear" w:color="auto" w:fill="FFFFFF"/>
        </w:rPr>
        <w:t>, M. (2007). Electrophysiological signatures of resting state networks in the human brain.</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Proceedings of the National Academy of Sciences</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104</w:t>
      </w:r>
      <w:r w:rsidRPr="00734AB6">
        <w:rPr>
          <w:rFonts w:asciiTheme="majorHAnsi" w:hAnsiTheme="majorHAnsi" w:cstheme="minorHAnsi"/>
          <w:shd w:val="clear" w:color="auto" w:fill="FFFFFF"/>
        </w:rPr>
        <w:t>(32), 13170-13175.</w:t>
      </w:r>
    </w:p>
    <w:p w14:paraId="62BC3236"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Massen</w:t>
      </w:r>
      <w:proofErr w:type="spellEnd"/>
      <w:r w:rsidRPr="00734AB6">
        <w:rPr>
          <w:rFonts w:asciiTheme="majorHAnsi" w:hAnsiTheme="majorHAnsi" w:cstheme="minorHAnsi"/>
          <w:shd w:val="clear" w:color="auto" w:fill="FFFFFF"/>
        </w:rPr>
        <w:t xml:space="preserve">, C. (2004). Parallel programming of exogenous and endogenous components in the </w:t>
      </w:r>
      <w:proofErr w:type="spellStart"/>
      <w:r w:rsidRPr="00734AB6">
        <w:rPr>
          <w:rFonts w:asciiTheme="majorHAnsi" w:hAnsiTheme="majorHAnsi" w:cstheme="minorHAnsi"/>
          <w:shd w:val="clear" w:color="auto" w:fill="FFFFFF"/>
        </w:rPr>
        <w:t>antisaccade</w:t>
      </w:r>
      <w:proofErr w:type="spellEnd"/>
      <w:r w:rsidRPr="00734AB6">
        <w:rPr>
          <w:rFonts w:asciiTheme="majorHAnsi" w:hAnsiTheme="majorHAnsi" w:cstheme="minorHAnsi"/>
          <w:shd w:val="clear" w:color="auto" w:fill="FFFFFF"/>
        </w:rPr>
        <w:t xml:space="preserve"> task. </w:t>
      </w:r>
      <w:r w:rsidRPr="00734AB6">
        <w:rPr>
          <w:rFonts w:asciiTheme="majorHAnsi" w:hAnsiTheme="majorHAnsi" w:cstheme="minorHAnsi"/>
          <w:i/>
          <w:iCs/>
          <w:shd w:val="clear" w:color="auto" w:fill="FFFFFF"/>
        </w:rPr>
        <w:t>Quarterly Journal of Experimental Psychology Section A</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57</w:t>
      </w:r>
      <w:r w:rsidRPr="00734AB6">
        <w:rPr>
          <w:rFonts w:asciiTheme="majorHAnsi" w:hAnsiTheme="majorHAnsi" w:cstheme="minorHAnsi"/>
          <w:shd w:val="clear" w:color="auto" w:fill="FFFFFF"/>
        </w:rPr>
        <w:t>(3), 475-498.</w:t>
      </w:r>
    </w:p>
    <w:p w14:paraId="60FE72C6" w14:textId="2F62FB15" w:rsidR="00A87CF6" w:rsidRPr="00734AB6" w:rsidRDefault="00A87CF6"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Matheson, L., </w:t>
      </w:r>
      <w:proofErr w:type="spellStart"/>
      <w:r w:rsidRPr="00734AB6">
        <w:rPr>
          <w:rFonts w:asciiTheme="majorHAnsi" w:hAnsiTheme="majorHAnsi" w:cstheme="minorHAnsi"/>
          <w:shd w:val="clear" w:color="auto" w:fill="FFFFFF"/>
        </w:rPr>
        <w:t>Asherson</w:t>
      </w:r>
      <w:proofErr w:type="spellEnd"/>
      <w:r w:rsidRPr="00734AB6">
        <w:rPr>
          <w:rFonts w:asciiTheme="majorHAnsi" w:hAnsiTheme="majorHAnsi" w:cstheme="minorHAnsi"/>
          <w:shd w:val="clear" w:color="auto" w:fill="FFFFFF"/>
        </w:rPr>
        <w:t xml:space="preserve">, P., Wong, I. C. K., </w:t>
      </w:r>
      <w:proofErr w:type="spellStart"/>
      <w:r w:rsidRPr="00734AB6">
        <w:rPr>
          <w:rFonts w:asciiTheme="majorHAnsi" w:hAnsiTheme="majorHAnsi" w:cstheme="minorHAnsi"/>
          <w:shd w:val="clear" w:color="auto" w:fill="FFFFFF"/>
        </w:rPr>
        <w:t>Hodgkins</w:t>
      </w:r>
      <w:proofErr w:type="spellEnd"/>
      <w:r w:rsidRPr="00734AB6">
        <w:rPr>
          <w:rFonts w:asciiTheme="majorHAnsi" w:hAnsiTheme="majorHAnsi" w:cstheme="minorHAnsi"/>
          <w:shd w:val="clear" w:color="auto" w:fill="FFFFFF"/>
        </w:rPr>
        <w:t xml:space="preserve">, P., </w:t>
      </w:r>
      <w:proofErr w:type="spellStart"/>
      <w:r w:rsidRPr="00734AB6">
        <w:rPr>
          <w:rFonts w:asciiTheme="majorHAnsi" w:hAnsiTheme="majorHAnsi" w:cstheme="minorHAnsi"/>
          <w:shd w:val="clear" w:color="auto" w:fill="FFFFFF"/>
        </w:rPr>
        <w:t>Setyawan</w:t>
      </w:r>
      <w:proofErr w:type="spellEnd"/>
      <w:r w:rsidRPr="00734AB6">
        <w:rPr>
          <w:rFonts w:asciiTheme="majorHAnsi" w:hAnsiTheme="majorHAnsi" w:cstheme="minorHAnsi"/>
          <w:shd w:val="clear" w:color="auto" w:fill="FFFFFF"/>
        </w:rPr>
        <w:t xml:space="preserve">, J., </w:t>
      </w:r>
      <w:proofErr w:type="spellStart"/>
      <w:r w:rsidRPr="00734AB6">
        <w:rPr>
          <w:rFonts w:asciiTheme="majorHAnsi" w:hAnsiTheme="majorHAnsi" w:cstheme="minorHAnsi"/>
          <w:shd w:val="clear" w:color="auto" w:fill="FFFFFF"/>
        </w:rPr>
        <w:t>Sasane</w:t>
      </w:r>
      <w:proofErr w:type="spellEnd"/>
      <w:r w:rsidRPr="00734AB6">
        <w:rPr>
          <w:rFonts w:asciiTheme="majorHAnsi" w:hAnsiTheme="majorHAnsi" w:cstheme="minorHAnsi"/>
          <w:shd w:val="clear" w:color="auto" w:fill="FFFFFF"/>
        </w:rPr>
        <w:t>, R., &amp; Clifford, S. (2013). Adult ADHD patient experiences of impairment, service provision and clinical management in England: a qualitative study. </w:t>
      </w:r>
      <w:r w:rsidRPr="00734AB6">
        <w:rPr>
          <w:rFonts w:asciiTheme="majorHAnsi" w:hAnsiTheme="majorHAnsi" w:cstheme="minorHAnsi"/>
          <w:i/>
          <w:iCs/>
          <w:shd w:val="clear" w:color="auto" w:fill="FFFFFF"/>
        </w:rPr>
        <w:t>BMC Health Services Research</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13</w:t>
      </w:r>
      <w:r w:rsidRPr="00734AB6">
        <w:rPr>
          <w:rFonts w:asciiTheme="majorHAnsi" w:hAnsiTheme="majorHAnsi" w:cstheme="minorHAnsi"/>
          <w:shd w:val="clear" w:color="auto" w:fill="FFFFFF"/>
        </w:rPr>
        <w:t>(1), 184.</w:t>
      </w:r>
    </w:p>
    <w:p w14:paraId="68DF2EEF"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Mattay</w:t>
      </w:r>
      <w:proofErr w:type="spellEnd"/>
      <w:r w:rsidRPr="00734AB6">
        <w:rPr>
          <w:rFonts w:asciiTheme="majorHAnsi" w:hAnsiTheme="majorHAnsi" w:cstheme="minorHAnsi"/>
          <w:shd w:val="clear" w:color="auto" w:fill="FFFFFF"/>
        </w:rPr>
        <w:t xml:space="preserve">, V. S., </w:t>
      </w:r>
      <w:proofErr w:type="spellStart"/>
      <w:r w:rsidRPr="00734AB6">
        <w:rPr>
          <w:rFonts w:asciiTheme="majorHAnsi" w:hAnsiTheme="majorHAnsi" w:cstheme="minorHAnsi"/>
          <w:shd w:val="clear" w:color="auto" w:fill="FFFFFF"/>
        </w:rPr>
        <w:t>Callicott</w:t>
      </w:r>
      <w:proofErr w:type="spellEnd"/>
      <w:r w:rsidRPr="00734AB6">
        <w:rPr>
          <w:rFonts w:asciiTheme="majorHAnsi" w:hAnsiTheme="majorHAnsi" w:cstheme="minorHAnsi"/>
          <w:shd w:val="clear" w:color="auto" w:fill="FFFFFF"/>
        </w:rPr>
        <w:t xml:space="preserve">, J. H., </w:t>
      </w:r>
      <w:proofErr w:type="spellStart"/>
      <w:r w:rsidRPr="00734AB6">
        <w:rPr>
          <w:rFonts w:asciiTheme="majorHAnsi" w:hAnsiTheme="majorHAnsi" w:cstheme="minorHAnsi"/>
          <w:shd w:val="clear" w:color="auto" w:fill="FFFFFF"/>
        </w:rPr>
        <w:t>Bertolino</w:t>
      </w:r>
      <w:proofErr w:type="spellEnd"/>
      <w:r w:rsidRPr="00734AB6">
        <w:rPr>
          <w:rFonts w:asciiTheme="majorHAnsi" w:hAnsiTheme="majorHAnsi" w:cstheme="minorHAnsi"/>
          <w:shd w:val="clear" w:color="auto" w:fill="FFFFFF"/>
        </w:rPr>
        <w:t>, A., Heaton, I., Frank, J. A., Coppola, R., Berman, K.F., Goldberg, T.E. &amp; Weinberger, D. R. (2000). Effects of dextroamphetamine on cognitive performance and cortical activation.</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Neuroimage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12</w:t>
      </w:r>
      <w:r w:rsidRPr="00734AB6">
        <w:rPr>
          <w:rFonts w:asciiTheme="majorHAnsi" w:hAnsiTheme="majorHAnsi" w:cstheme="minorHAnsi"/>
          <w:shd w:val="clear" w:color="auto" w:fill="FFFFFF"/>
        </w:rPr>
        <w:t>(3), 268-275.</w:t>
      </w:r>
    </w:p>
    <w:p w14:paraId="5518878D"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Mattay</w:t>
      </w:r>
      <w:proofErr w:type="spellEnd"/>
      <w:r w:rsidRPr="00734AB6">
        <w:rPr>
          <w:rFonts w:asciiTheme="majorHAnsi" w:hAnsiTheme="majorHAnsi" w:cstheme="minorHAnsi"/>
          <w:shd w:val="clear" w:color="auto" w:fill="FFFFFF"/>
        </w:rPr>
        <w:t xml:space="preserve">, V. S., Goldberg, T. E., </w:t>
      </w:r>
      <w:proofErr w:type="spellStart"/>
      <w:r w:rsidRPr="00734AB6">
        <w:rPr>
          <w:rFonts w:asciiTheme="majorHAnsi" w:hAnsiTheme="majorHAnsi" w:cstheme="minorHAnsi"/>
          <w:shd w:val="clear" w:color="auto" w:fill="FFFFFF"/>
        </w:rPr>
        <w:t>Fera</w:t>
      </w:r>
      <w:proofErr w:type="spellEnd"/>
      <w:r w:rsidRPr="00734AB6">
        <w:rPr>
          <w:rFonts w:asciiTheme="majorHAnsi" w:hAnsiTheme="majorHAnsi" w:cstheme="minorHAnsi"/>
          <w:shd w:val="clear" w:color="auto" w:fill="FFFFFF"/>
        </w:rPr>
        <w:t xml:space="preserve">, F., Hariri, A. R., </w:t>
      </w:r>
      <w:proofErr w:type="spellStart"/>
      <w:r w:rsidRPr="00734AB6">
        <w:rPr>
          <w:rFonts w:asciiTheme="majorHAnsi" w:hAnsiTheme="majorHAnsi" w:cstheme="minorHAnsi"/>
          <w:shd w:val="clear" w:color="auto" w:fill="FFFFFF"/>
        </w:rPr>
        <w:t>Tessitore</w:t>
      </w:r>
      <w:proofErr w:type="spellEnd"/>
      <w:r w:rsidRPr="00734AB6">
        <w:rPr>
          <w:rFonts w:asciiTheme="majorHAnsi" w:hAnsiTheme="majorHAnsi" w:cstheme="minorHAnsi"/>
          <w:shd w:val="clear" w:color="auto" w:fill="FFFFFF"/>
        </w:rPr>
        <w:t xml:space="preserve">, A., Egan, M. F., </w:t>
      </w:r>
      <w:proofErr w:type="spellStart"/>
      <w:r w:rsidRPr="00734AB6">
        <w:rPr>
          <w:rFonts w:asciiTheme="majorHAnsi" w:hAnsiTheme="majorHAnsi" w:cstheme="minorHAnsi"/>
          <w:shd w:val="clear" w:color="auto" w:fill="FFFFFF"/>
        </w:rPr>
        <w:t>Kolachana</w:t>
      </w:r>
      <w:proofErr w:type="spellEnd"/>
      <w:r w:rsidRPr="00734AB6">
        <w:rPr>
          <w:rFonts w:asciiTheme="majorHAnsi" w:hAnsiTheme="majorHAnsi" w:cstheme="minorHAnsi"/>
          <w:shd w:val="clear" w:color="auto" w:fill="FFFFFF"/>
        </w:rPr>
        <w:t xml:space="preserve">, B., </w:t>
      </w:r>
      <w:proofErr w:type="spellStart"/>
      <w:r w:rsidRPr="00734AB6">
        <w:rPr>
          <w:rFonts w:asciiTheme="majorHAnsi" w:hAnsiTheme="majorHAnsi" w:cstheme="minorHAnsi"/>
          <w:shd w:val="clear" w:color="auto" w:fill="FFFFFF"/>
        </w:rPr>
        <w:t>Callicott</w:t>
      </w:r>
      <w:proofErr w:type="spellEnd"/>
      <w:r w:rsidRPr="00734AB6">
        <w:rPr>
          <w:rFonts w:asciiTheme="majorHAnsi" w:hAnsiTheme="majorHAnsi" w:cstheme="minorHAnsi"/>
          <w:shd w:val="clear" w:color="auto" w:fill="FFFFFF"/>
        </w:rPr>
        <w:t xml:space="preserve">, J.H., &amp; Weinberger, D. R. (2003). Catechol O-methyltransferase val158-met </w:t>
      </w:r>
      <w:r w:rsidRPr="00734AB6">
        <w:rPr>
          <w:rFonts w:asciiTheme="majorHAnsi" w:hAnsiTheme="majorHAnsi" w:cstheme="minorHAnsi"/>
          <w:shd w:val="clear" w:color="auto" w:fill="FFFFFF"/>
        </w:rPr>
        <w:lastRenderedPageBreak/>
        <w:t>genotype and individual variation in the brain response to amphetamine.</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Proceedings of the National Academy of Sciences</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100</w:t>
      </w:r>
      <w:r w:rsidRPr="00734AB6">
        <w:rPr>
          <w:rFonts w:asciiTheme="majorHAnsi" w:hAnsiTheme="majorHAnsi" w:cstheme="minorHAnsi"/>
          <w:shd w:val="clear" w:color="auto" w:fill="FFFFFF"/>
        </w:rPr>
        <w:t>(10), 6186-6191.</w:t>
      </w:r>
    </w:p>
    <w:p w14:paraId="29150850" w14:textId="4F419781"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McCabe, S</w:t>
      </w:r>
      <w:r w:rsidR="00E8349E" w:rsidRPr="00734AB6">
        <w:rPr>
          <w:rFonts w:asciiTheme="majorHAnsi" w:eastAsia="Calibri" w:hAnsiTheme="majorHAnsi" w:cs="Calibri"/>
        </w:rPr>
        <w:t xml:space="preserve">. </w:t>
      </w:r>
      <w:r w:rsidRPr="00734AB6">
        <w:rPr>
          <w:rFonts w:asciiTheme="majorHAnsi" w:eastAsia="Calibri" w:hAnsiTheme="majorHAnsi" w:cs="Calibri"/>
        </w:rPr>
        <w:t>E</w:t>
      </w:r>
      <w:r w:rsidR="00E8349E" w:rsidRPr="00734AB6">
        <w:rPr>
          <w:rFonts w:asciiTheme="majorHAnsi" w:eastAsia="Calibri" w:hAnsiTheme="majorHAnsi" w:cs="Calibri"/>
        </w:rPr>
        <w:t>.</w:t>
      </w:r>
      <w:r w:rsidRPr="00734AB6">
        <w:rPr>
          <w:rFonts w:asciiTheme="majorHAnsi" w:eastAsia="Calibri" w:hAnsiTheme="majorHAnsi" w:cs="Calibri"/>
        </w:rPr>
        <w:t>, Knight, J</w:t>
      </w:r>
      <w:r w:rsidR="00E8349E" w:rsidRPr="00734AB6">
        <w:rPr>
          <w:rFonts w:asciiTheme="majorHAnsi" w:eastAsia="Calibri" w:hAnsiTheme="majorHAnsi" w:cs="Calibri"/>
        </w:rPr>
        <w:t xml:space="preserve">. </w:t>
      </w:r>
      <w:r w:rsidRPr="00734AB6">
        <w:rPr>
          <w:rFonts w:asciiTheme="majorHAnsi" w:eastAsia="Calibri" w:hAnsiTheme="majorHAnsi" w:cs="Calibri"/>
        </w:rPr>
        <w:t>R</w:t>
      </w:r>
      <w:r w:rsidR="00E8349E"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Teter</w:t>
      </w:r>
      <w:proofErr w:type="spellEnd"/>
      <w:r w:rsidRPr="00734AB6">
        <w:rPr>
          <w:rFonts w:asciiTheme="majorHAnsi" w:eastAsia="Calibri" w:hAnsiTheme="majorHAnsi" w:cs="Calibri"/>
        </w:rPr>
        <w:t>, C</w:t>
      </w:r>
      <w:r w:rsidR="00E8349E" w:rsidRPr="00734AB6">
        <w:rPr>
          <w:rFonts w:asciiTheme="majorHAnsi" w:eastAsia="Calibri" w:hAnsiTheme="majorHAnsi" w:cs="Calibri"/>
        </w:rPr>
        <w:t xml:space="preserve">. </w:t>
      </w:r>
      <w:r w:rsidRPr="00734AB6">
        <w:rPr>
          <w:rFonts w:asciiTheme="majorHAnsi" w:eastAsia="Calibri" w:hAnsiTheme="majorHAnsi" w:cs="Calibri"/>
        </w:rPr>
        <w:t>J</w:t>
      </w:r>
      <w:r w:rsidR="00E8349E"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Wechsler, H</w:t>
      </w:r>
      <w:r w:rsidR="00E8349E" w:rsidRPr="00734AB6">
        <w:rPr>
          <w:rFonts w:asciiTheme="majorHAnsi" w:eastAsia="Calibri" w:hAnsiTheme="majorHAnsi" w:cs="Calibri"/>
        </w:rPr>
        <w:t>.</w:t>
      </w:r>
      <w:r w:rsidRPr="00734AB6">
        <w:rPr>
          <w:rFonts w:asciiTheme="majorHAnsi" w:eastAsia="Calibri" w:hAnsiTheme="majorHAnsi" w:cs="Calibri"/>
        </w:rPr>
        <w:t xml:space="preserve"> (2005). Non-medical use of prescription stimulants among US college students: Prevalence and correlates from a national survey. </w:t>
      </w:r>
      <w:r w:rsidRPr="00734AB6">
        <w:rPr>
          <w:rFonts w:asciiTheme="majorHAnsi" w:eastAsia="Calibri" w:hAnsiTheme="majorHAnsi" w:cs="Calibri"/>
          <w:i/>
          <w:iCs/>
        </w:rPr>
        <w:t>Addiction,</w:t>
      </w:r>
      <w:r w:rsidRPr="00734AB6">
        <w:rPr>
          <w:rFonts w:asciiTheme="majorHAnsi" w:eastAsia="Calibri" w:hAnsiTheme="majorHAnsi" w:cs="Calibri"/>
        </w:rPr>
        <w:t xml:space="preserve"> </w:t>
      </w:r>
      <w:r w:rsidRPr="00734AB6">
        <w:rPr>
          <w:rFonts w:asciiTheme="majorHAnsi" w:eastAsia="Calibri" w:hAnsiTheme="majorHAnsi" w:cs="Calibri"/>
          <w:i/>
          <w:iCs/>
        </w:rPr>
        <w:t>100</w:t>
      </w:r>
      <w:r w:rsidRPr="00734AB6">
        <w:rPr>
          <w:rFonts w:asciiTheme="majorHAnsi" w:eastAsia="Calibri" w:hAnsiTheme="majorHAnsi" w:cs="Calibri"/>
        </w:rPr>
        <w:t xml:space="preserve">(1), 96-106. </w:t>
      </w:r>
    </w:p>
    <w:p w14:paraId="403BF57B" w14:textId="77777777" w:rsidR="00A17613" w:rsidRPr="00734AB6" w:rsidRDefault="00A17613" w:rsidP="00A17613">
      <w:pPr>
        <w:spacing w:line="360" w:lineRule="auto"/>
        <w:ind w:left="709" w:hanging="709"/>
        <w:rPr>
          <w:rFonts w:asciiTheme="majorHAnsi" w:hAnsiTheme="majorHAnsi"/>
        </w:rPr>
      </w:pPr>
      <w:r w:rsidRPr="00734AB6">
        <w:rPr>
          <w:rFonts w:asciiTheme="majorHAnsi" w:hAnsiTheme="majorHAnsi"/>
        </w:rPr>
        <w:t xml:space="preserve">McCabe, S. E., Morales, M., Cranford, J. A., </w:t>
      </w:r>
      <w:proofErr w:type="spellStart"/>
      <w:r w:rsidRPr="00734AB6">
        <w:rPr>
          <w:rFonts w:asciiTheme="majorHAnsi" w:hAnsiTheme="majorHAnsi"/>
        </w:rPr>
        <w:t>Delva</w:t>
      </w:r>
      <w:proofErr w:type="spellEnd"/>
      <w:r w:rsidRPr="00734AB6">
        <w:rPr>
          <w:rFonts w:asciiTheme="majorHAnsi" w:hAnsiTheme="majorHAnsi"/>
        </w:rPr>
        <w:t>, J., McPherson, M. D., &amp; Boyd, C. J. (2007). Race/ethnicity and gender differences in drug use and abuse among college students. </w:t>
      </w:r>
      <w:r w:rsidRPr="00734AB6">
        <w:rPr>
          <w:rFonts w:asciiTheme="majorHAnsi" w:hAnsiTheme="majorHAnsi"/>
          <w:i/>
          <w:iCs/>
        </w:rPr>
        <w:t>Journal of Ethnicity in Substance Abuse</w:t>
      </w:r>
      <w:r w:rsidRPr="00734AB6">
        <w:rPr>
          <w:rFonts w:asciiTheme="majorHAnsi" w:hAnsiTheme="majorHAnsi"/>
        </w:rPr>
        <w:t>, </w:t>
      </w:r>
      <w:r w:rsidRPr="00734AB6">
        <w:rPr>
          <w:rFonts w:asciiTheme="majorHAnsi" w:hAnsiTheme="majorHAnsi"/>
          <w:i/>
          <w:iCs/>
        </w:rPr>
        <w:t>6</w:t>
      </w:r>
      <w:r w:rsidRPr="00734AB6">
        <w:rPr>
          <w:rFonts w:asciiTheme="majorHAnsi" w:hAnsiTheme="majorHAnsi"/>
        </w:rPr>
        <w:t>(2), 75-95.</w:t>
      </w:r>
    </w:p>
    <w:p w14:paraId="26ECA19B" w14:textId="55E443DE"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McCabe, S. E., </w:t>
      </w:r>
      <w:proofErr w:type="spellStart"/>
      <w:r w:rsidRPr="00734AB6">
        <w:rPr>
          <w:rFonts w:asciiTheme="majorHAnsi" w:hAnsiTheme="majorHAnsi" w:cs="Arial"/>
        </w:rPr>
        <w:t>Teter</w:t>
      </w:r>
      <w:proofErr w:type="spellEnd"/>
      <w:r w:rsidRPr="00734AB6">
        <w:rPr>
          <w:rFonts w:asciiTheme="majorHAnsi" w:hAnsiTheme="majorHAnsi" w:cs="Arial"/>
        </w:rPr>
        <w:t>, C. J., &amp; Boyd, C. J. (2006). Medical use, illicit use and diversion of prescription stimulant medication. </w:t>
      </w:r>
      <w:r w:rsidRPr="00734AB6">
        <w:rPr>
          <w:rFonts w:asciiTheme="majorHAnsi" w:hAnsiTheme="majorHAnsi" w:cs="Arial"/>
          <w:i/>
          <w:iCs/>
        </w:rPr>
        <w:t xml:space="preserve">Journal of </w:t>
      </w:r>
      <w:r w:rsidR="00E8349E" w:rsidRPr="00734AB6">
        <w:rPr>
          <w:rFonts w:asciiTheme="majorHAnsi" w:hAnsiTheme="majorHAnsi" w:cs="Arial"/>
          <w:i/>
          <w:iCs/>
        </w:rPr>
        <w:t>Psychoactive Drugs</w:t>
      </w:r>
      <w:r w:rsidRPr="00734AB6">
        <w:rPr>
          <w:rFonts w:asciiTheme="majorHAnsi" w:hAnsiTheme="majorHAnsi" w:cs="Arial"/>
        </w:rPr>
        <w:t>, </w:t>
      </w:r>
      <w:r w:rsidRPr="00734AB6">
        <w:rPr>
          <w:rFonts w:asciiTheme="majorHAnsi" w:hAnsiTheme="majorHAnsi" w:cs="Arial"/>
          <w:i/>
          <w:iCs/>
        </w:rPr>
        <w:t>38</w:t>
      </w:r>
      <w:r w:rsidRPr="00734AB6">
        <w:rPr>
          <w:rFonts w:asciiTheme="majorHAnsi" w:hAnsiTheme="majorHAnsi" w:cs="Arial"/>
        </w:rPr>
        <w:t>(1), 43-56.</w:t>
      </w:r>
    </w:p>
    <w:p w14:paraId="19E896EC" w14:textId="77777777" w:rsidR="00A17613" w:rsidRPr="00734AB6" w:rsidRDefault="00A17613" w:rsidP="00A17613">
      <w:pPr>
        <w:spacing w:line="360" w:lineRule="auto"/>
        <w:ind w:left="851" w:hanging="851"/>
        <w:rPr>
          <w:rFonts w:asciiTheme="majorHAnsi" w:hAnsiTheme="majorHAnsi"/>
        </w:rPr>
      </w:pPr>
      <w:r w:rsidRPr="00734AB6">
        <w:rPr>
          <w:rFonts w:asciiTheme="majorHAnsi" w:hAnsiTheme="majorHAnsi"/>
        </w:rPr>
        <w:t xml:space="preserve">McCracken, J. T., Smalley, S. L., McGough, J. J., Crawford, L., </w:t>
      </w:r>
      <w:proofErr w:type="spellStart"/>
      <w:r w:rsidRPr="00734AB6">
        <w:rPr>
          <w:rFonts w:asciiTheme="majorHAnsi" w:hAnsiTheme="majorHAnsi"/>
        </w:rPr>
        <w:t>Del'Homme</w:t>
      </w:r>
      <w:proofErr w:type="spellEnd"/>
      <w:r w:rsidRPr="00734AB6">
        <w:rPr>
          <w:rFonts w:asciiTheme="majorHAnsi" w:hAnsiTheme="majorHAnsi"/>
        </w:rPr>
        <w:t>, M., Cantor, R. M., ... &amp; Nelson, S. F. (2000). Evidence for linkage of a tandem duplication polymorphism upstream of the dopamine D4 receptor gene (DRD4) with attention deficit hyperactivity disorder (ADHD). </w:t>
      </w:r>
      <w:r w:rsidRPr="00734AB6">
        <w:rPr>
          <w:rFonts w:asciiTheme="majorHAnsi" w:hAnsiTheme="majorHAnsi"/>
          <w:i/>
          <w:iCs/>
        </w:rPr>
        <w:t>Molecular Psychiatry</w:t>
      </w:r>
      <w:r w:rsidRPr="00734AB6">
        <w:rPr>
          <w:rFonts w:asciiTheme="majorHAnsi" w:hAnsiTheme="majorHAnsi"/>
        </w:rPr>
        <w:t>, </w:t>
      </w:r>
      <w:r w:rsidRPr="00734AB6">
        <w:rPr>
          <w:rFonts w:asciiTheme="majorHAnsi" w:hAnsiTheme="majorHAnsi"/>
          <w:i/>
          <w:iCs/>
        </w:rPr>
        <w:t>5</w:t>
      </w:r>
      <w:r w:rsidRPr="00734AB6">
        <w:rPr>
          <w:rFonts w:asciiTheme="majorHAnsi" w:hAnsiTheme="majorHAnsi"/>
        </w:rPr>
        <w:t>(5), 531-536.</w:t>
      </w:r>
    </w:p>
    <w:p w14:paraId="7540FD6B" w14:textId="3EC1CE5E" w:rsidR="00AC4CD6" w:rsidRPr="00734AB6" w:rsidRDefault="00AC4CD6" w:rsidP="00D06771">
      <w:pPr>
        <w:spacing w:line="360" w:lineRule="auto"/>
        <w:ind w:left="720" w:hanging="720"/>
        <w:rPr>
          <w:rFonts w:asciiTheme="majorHAnsi" w:hAnsiTheme="majorHAnsi" w:cs="Arial"/>
        </w:rPr>
      </w:pPr>
      <w:r w:rsidRPr="00734AB6">
        <w:rPr>
          <w:rFonts w:asciiTheme="majorHAnsi" w:hAnsiTheme="majorHAnsi" w:cs="Arial"/>
        </w:rPr>
        <w:t>McDermott, H., Lane, H., &amp; Alonso, M. (2020). Working smart: the use of ‘cognitive enhancers’ by UK university students. </w:t>
      </w:r>
      <w:r w:rsidRPr="00734AB6">
        <w:rPr>
          <w:rFonts w:asciiTheme="majorHAnsi" w:hAnsiTheme="majorHAnsi" w:cs="Arial"/>
          <w:i/>
          <w:iCs/>
        </w:rPr>
        <w:t>Journal of Further and Higher Education</w:t>
      </w:r>
      <w:r w:rsidRPr="00734AB6">
        <w:rPr>
          <w:rFonts w:asciiTheme="majorHAnsi" w:hAnsiTheme="majorHAnsi" w:cs="Arial"/>
        </w:rPr>
        <w:t>, 1-14.</w:t>
      </w:r>
    </w:p>
    <w:p w14:paraId="5F008828" w14:textId="11B382E4" w:rsidR="004676EF" w:rsidRPr="00734AB6" w:rsidRDefault="004676EF" w:rsidP="00D06771">
      <w:pPr>
        <w:spacing w:line="360" w:lineRule="auto"/>
        <w:ind w:left="720" w:hanging="720"/>
        <w:rPr>
          <w:rFonts w:asciiTheme="majorHAnsi" w:hAnsiTheme="majorHAnsi" w:cs="Arial"/>
        </w:rPr>
      </w:pPr>
      <w:r w:rsidRPr="00734AB6">
        <w:rPr>
          <w:rFonts w:asciiTheme="majorHAnsi" w:hAnsiTheme="majorHAnsi" w:cs="Arial"/>
        </w:rPr>
        <w:t xml:space="preserve">McGregor, C., </w:t>
      </w:r>
      <w:proofErr w:type="spellStart"/>
      <w:r w:rsidRPr="00734AB6">
        <w:rPr>
          <w:rFonts w:asciiTheme="majorHAnsi" w:hAnsiTheme="majorHAnsi" w:cs="Arial"/>
        </w:rPr>
        <w:t>Srisurapanont</w:t>
      </w:r>
      <w:proofErr w:type="spellEnd"/>
      <w:r w:rsidRPr="00734AB6">
        <w:rPr>
          <w:rFonts w:asciiTheme="majorHAnsi" w:hAnsiTheme="majorHAnsi" w:cs="Arial"/>
        </w:rPr>
        <w:t xml:space="preserve">, M., Mitchell, A., Wickes, W., &amp; White, J. M. (2008). Symptoms and sleep patterns during inpatient treatment of methamphetamine withdrawal: a comparison of mirtazapine and modafinil with treatment as usual. </w:t>
      </w:r>
      <w:r w:rsidRPr="00734AB6">
        <w:rPr>
          <w:rFonts w:asciiTheme="majorHAnsi" w:hAnsiTheme="majorHAnsi" w:cs="Arial"/>
          <w:i/>
        </w:rPr>
        <w:t xml:space="preserve">Journal of </w:t>
      </w:r>
      <w:r w:rsidR="00581241" w:rsidRPr="00734AB6">
        <w:rPr>
          <w:rFonts w:asciiTheme="majorHAnsi" w:hAnsiTheme="majorHAnsi" w:cs="Arial"/>
          <w:i/>
        </w:rPr>
        <w:t>Substance Abuse Treatment</w:t>
      </w:r>
      <w:r w:rsidRPr="00734AB6">
        <w:rPr>
          <w:rFonts w:asciiTheme="majorHAnsi" w:hAnsiTheme="majorHAnsi" w:cs="Arial"/>
        </w:rPr>
        <w:t xml:space="preserve">, </w:t>
      </w:r>
      <w:r w:rsidRPr="00734AB6">
        <w:rPr>
          <w:rFonts w:asciiTheme="majorHAnsi" w:hAnsiTheme="majorHAnsi" w:cs="Arial"/>
          <w:i/>
        </w:rPr>
        <w:t>35</w:t>
      </w:r>
      <w:r w:rsidRPr="00734AB6">
        <w:rPr>
          <w:rFonts w:asciiTheme="majorHAnsi" w:hAnsiTheme="majorHAnsi" w:cs="Arial"/>
        </w:rPr>
        <w:t>(3), 334-342.</w:t>
      </w:r>
    </w:p>
    <w:p w14:paraId="32743FFF"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McNair, D. M., </w:t>
      </w:r>
      <w:proofErr w:type="spellStart"/>
      <w:r w:rsidRPr="00734AB6">
        <w:rPr>
          <w:rFonts w:asciiTheme="majorHAnsi" w:eastAsia="Calibri" w:hAnsiTheme="majorHAnsi" w:cs="Calibri"/>
        </w:rPr>
        <w:t>Lorr</w:t>
      </w:r>
      <w:proofErr w:type="spellEnd"/>
      <w:r w:rsidRPr="00734AB6">
        <w:rPr>
          <w:rFonts w:asciiTheme="majorHAnsi" w:eastAsia="Calibri" w:hAnsiTheme="majorHAnsi" w:cs="Calibri"/>
        </w:rPr>
        <w:t xml:space="preserve">, M., &amp; </w:t>
      </w:r>
      <w:proofErr w:type="spellStart"/>
      <w:r w:rsidRPr="00734AB6">
        <w:rPr>
          <w:rFonts w:asciiTheme="majorHAnsi" w:eastAsia="Calibri" w:hAnsiTheme="majorHAnsi" w:cs="Calibri"/>
        </w:rPr>
        <w:t>Droppleman</w:t>
      </w:r>
      <w:proofErr w:type="spellEnd"/>
      <w:r w:rsidRPr="00734AB6">
        <w:rPr>
          <w:rFonts w:asciiTheme="majorHAnsi" w:eastAsia="Calibri" w:hAnsiTheme="majorHAnsi" w:cs="Calibri"/>
        </w:rPr>
        <w:t xml:space="preserve">, L. F. (1971). </w:t>
      </w:r>
      <w:r w:rsidRPr="00734AB6">
        <w:rPr>
          <w:rFonts w:asciiTheme="majorHAnsi" w:eastAsia="Calibri" w:hAnsiTheme="majorHAnsi" w:cs="Calibri"/>
          <w:i/>
        </w:rPr>
        <w:t>Manual for the profile of mood states (POMS).</w:t>
      </w:r>
      <w:r w:rsidRPr="00734AB6">
        <w:rPr>
          <w:rFonts w:asciiTheme="majorHAnsi" w:eastAsia="Calibri" w:hAnsiTheme="majorHAnsi" w:cs="Calibri"/>
        </w:rPr>
        <w:t> </w:t>
      </w:r>
      <w:r w:rsidRPr="00734AB6">
        <w:rPr>
          <w:rFonts w:asciiTheme="majorHAnsi" w:eastAsia="Calibri" w:hAnsiTheme="majorHAnsi" w:cs="Calibri"/>
          <w:iCs/>
        </w:rPr>
        <w:t>San Diego: Educational and Industrial Testing Service</w:t>
      </w:r>
      <w:r w:rsidRPr="00734AB6">
        <w:rPr>
          <w:rFonts w:asciiTheme="majorHAnsi" w:eastAsia="Calibri" w:hAnsiTheme="majorHAnsi" w:cs="Calibri"/>
        </w:rPr>
        <w:t>.</w:t>
      </w:r>
    </w:p>
    <w:p w14:paraId="30C7EED5"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Meier, M. E., </w:t>
      </w:r>
      <w:proofErr w:type="spellStart"/>
      <w:r w:rsidRPr="00734AB6">
        <w:rPr>
          <w:rFonts w:asciiTheme="majorHAnsi" w:eastAsia="Calibri" w:hAnsiTheme="majorHAnsi" w:cs="Calibri"/>
        </w:rPr>
        <w:t>Smeekens</w:t>
      </w:r>
      <w:proofErr w:type="spellEnd"/>
      <w:r w:rsidRPr="00734AB6">
        <w:rPr>
          <w:rFonts w:asciiTheme="majorHAnsi" w:eastAsia="Calibri" w:hAnsiTheme="majorHAnsi" w:cs="Calibri"/>
        </w:rPr>
        <w:t xml:space="preserve">, B. A., Silvia, P. J., </w:t>
      </w:r>
      <w:proofErr w:type="spellStart"/>
      <w:r w:rsidRPr="00734AB6">
        <w:rPr>
          <w:rFonts w:asciiTheme="majorHAnsi" w:eastAsia="Calibri" w:hAnsiTheme="majorHAnsi" w:cs="Calibri"/>
        </w:rPr>
        <w:t>Kwapil</w:t>
      </w:r>
      <w:proofErr w:type="spellEnd"/>
      <w:r w:rsidRPr="00734AB6">
        <w:rPr>
          <w:rFonts w:asciiTheme="majorHAnsi" w:eastAsia="Calibri" w:hAnsiTheme="majorHAnsi" w:cs="Calibri"/>
        </w:rPr>
        <w:t xml:space="preserve">, T. R., &amp; Kane, M. J. (2018). Working memory capacity and the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task: A microanalytic–</w:t>
      </w:r>
      <w:proofErr w:type="spellStart"/>
      <w:r w:rsidRPr="00734AB6">
        <w:rPr>
          <w:rFonts w:asciiTheme="majorHAnsi" w:eastAsia="Calibri" w:hAnsiTheme="majorHAnsi" w:cs="Calibri"/>
        </w:rPr>
        <w:t>macroanalytic</w:t>
      </w:r>
      <w:proofErr w:type="spellEnd"/>
      <w:r w:rsidRPr="00734AB6">
        <w:rPr>
          <w:rFonts w:asciiTheme="majorHAnsi" w:eastAsia="Calibri" w:hAnsiTheme="majorHAnsi" w:cs="Calibri"/>
        </w:rPr>
        <w:t xml:space="preserve"> investigation of individual differences in goal activation and maintenance. </w:t>
      </w:r>
      <w:r w:rsidRPr="00734AB6">
        <w:rPr>
          <w:rFonts w:asciiTheme="majorHAnsi" w:eastAsia="Calibri" w:hAnsiTheme="majorHAnsi" w:cs="Calibri"/>
          <w:i/>
          <w:iCs/>
        </w:rPr>
        <w:t>Journal of Experimental Psychology: Learning, Memory, and Cognition</w:t>
      </w:r>
      <w:r w:rsidRPr="00734AB6">
        <w:rPr>
          <w:rFonts w:asciiTheme="majorHAnsi" w:eastAsia="Calibri" w:hAnsiTheme="majorHAnsi" w:cs="Calibri"/>
        </w:rPr>
        <w:t>, </w:t>
      </w:r>
      <w:r w:rsidRPr="00734AB6">
        <w:rPr>
          <w:rFonts w:asciiTheme="majorHAnsi" w:eastAsia="Calibri" w:hAnsiTheme="majorHAnsi" w:cs="Calibri"/>
          <w:i/>
          <w:iCs/>
        </w:rPr>
        <w:t>44</w:t>
      </w:r>
      <w:r w:rsidRPr="00734AB6">
        <w:rPr>
          <w:rFonts w:asciiTheme="majorHAnsi" w:eastAsia="Calibri" w:hAnsiTheme="majorHAnsi" w:cs="Calibri"/>
        </w:rPr>
        <w:t>(1), 68.</w:t>
      </w:r>
    </w:p>
    <w:p w14:paraId="1683DB42" w14:textId="77777777" w:rsidR="00A17613" w:rsidRPr="00734AB6" w:rsidRDefault="00A17613" w:rsidP="00A17613">
      <w:pPr>
        <w:spacing w:line="360" w:lineRule="auto"/>
        <w:ind w:left="851" w:hanging="851"/>
        <w:rPr>
          <w:rFonts w:asciiTheme="majorHAnsi" w:hAnsiTheme="majorHAnsi"/>
        </w:rPr>
      </w:pPr>
      <w:proofErr w:type="spellStart"/>
      <w:r w:rsidRPr="00734AB6">
        <w:rPr>
          <w:rFonts w:asciiTheme="majorHAnsi" w:hAnsiTheme="majorHAnsi"/>
        </w:rPr>
        <w:t>Milich</w:t>
      </w:r>
      <w:proofErr w:type="spellEnd"/>
      <w:r w:rsidRPr="00734AB6">
        <w:rPr>
          <w:rFonts w:asciiTheme="majorHAnsi" w:hAnsiTheme="majorHAnsi"/>
        </w:rPr>
        <w:t xml:space="preserve">, R., </w:t>
      </w:r>
      <w:proofErr w:type="spellStart"/>
      <w:r w:rsidRPr="00734AB6">
        <w:rPr>
          <w:rFonts w:asciiTheme="majorHAnsi" w:hAnsiTheme="majorHAnsi"/>
        </w:rPr>
        <w:t>Balentine</w:t>
      </w:r>
      <w:proofErr w:type="spellEnd"/>
      <w:r w:rsidRPr="00734AB6">
        <w:rPr>
          <w:rFonts w:asciiTheme="majorHAnsi" w:hAnsiTheme="majorHAnsi"/>
        </w:rPr>
        <w:t xml:space="preserve">, A. C., &amp; </w:t>
      </w:r>
      <w:proofErr w:type="spellStart"/>
      <w:r w:rsidRPr="00734AB6">
        <w:rPr>
          <w:rFonts w:asciiTheme="majorHAnsi" w:hAnsiTheme="majorHAnsi"/>
        </w:rPr>
        <w:t>Lynam</w:t>
      </w:r>
      <w:proofErr w:type="spellEnd"/>
      <w:r w:rsidRPr="00734AB6">
        <w:rPr>
          <w:rFonts w:asciiTheme="majorHAnsi" w:hAnsiTheme="majorHAnsi"/>
        </w:rPr>
        <w:t>, D. R. (2001). ADHD combined type and ADHD predominantly inattentive type are distinct and unrelated disorders. </w:t>
      </w:r>
      <w:r w:rsidRPr="00734AB6">
        <w:rPr>
          <w:rFonts w:asciiTheme="majorHAnsi" w:hAnsiTheme="majorHAnsi"/>
          <w:i/>
          <w:iCs/>
        </w:rPr>
        <w:t>Clinical Psychology: Science and Practice</w:t>
      </w:r>
      <w:r w:rsidRPr="00734AB6">
        <w:rPr>
          <w:rFonts w:asciiTheme="majorHAnsi" w:hAnsiTheme="majorHAnsi"/>
        </w:rPr>
        <w:t>, </w:t>
      </w:r>
      <w:r w:rsidRPr="00734AB6">
        <w:rPr>
          <w:rFonts w:asciiTheme="majorHAnsi" w:hAnsiTheme="majorHAnsi"/>
          <w:i/>
          <w:iCs/>
        </w:rPr>
        <w:t>8</w:t>
      </w:r>
      <w:r w:rsidRPr="00734AB6">
        <w:rPr>
          <w:rFonts w:asciiTheme="majorHAnsi" w:hAnsiTheme="majorHAnsi"/>
        </w:rPr>
        <w:t>(4), 463-488.</w:t>
      </w:r>
    </w:p>
    <w:p w14:paraId="168C2472" w14:textId="09FDEF7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Miller, T. W., </w:t>
      </w:r>
      <w:proofErr w:type="spellStart"/>
      <w:r w:rsidRPr="00734AB6">
        <w:rPr>
          <w:rFonts w:asciiTheme="majorHAnsi" w:eastAsia="Calibri" w:hAnsiTheme="majorHAnsi" w:cs="Calibri"/>
        </w:rPr>
        <w:t>Nigg</w:t>
      </w:r>
      <w:proofErr w:type="spellEnd"/>
      <w:r w:rsidRPr="00734AB6">
        <w:rPr>
          <w:rFonts w:asciiTheme="majorHAnsi" w:eastAsia="Calibri" w:hAnsiTheme="majorHAnsi" w:cs="Calibri"/>
        </w:rPr>
        <w:t xml:space="preserve">, J. T., &amp; </w:t>
      </w:r>
      <w:proofErr w:type="spellStart"/>
      <w:r w:rsidRPr="00734AB6">
        <w:rPr>
          <w:rFonts w:asciiTheme="majorHAnsi" w:eastAsia="Calibri" w:hAnsiTheme="majorHAnsi" w:cs="Calibri"/>
        </w:rPr>
        <w:t>Faraone</w:t>
      </w:r>
      <w:proofErr w:type="spellEnd"/>
      <w:r w:rsidRPr="00734AB6">
        <w:rPr>
          <w:rFonts w:asciiTheme="majorHAnsi" w:eastAsia="Calibri" w:hAnsiTheme="majorHAnsi" w:cs="Calibri"/>
        </w:rPr>
        <w:t>, S. V. (2007). Axis I and II comorbidity in adults with ADHD. </w:t>
      </w:r>
      <w:r w:rsidRPr="00734AB6">
        <w:rPr>
          <w:rFonts w:asciiTheme="majorHAnsi" w:eastAsia="Calibri" w:hAnsiTheme="majorHAnsi" w:cs="Calibri"/>
          <w:i/>
          <w:iCs/>
        </w:rPr>
        <w:t xml:space="preserve">Journal of </w:t>
      </w:r>
      <w:r w:rsidR="00581241" w:rsidRPr="00734AB6">
        <w:rPr>
          <w:rFonts w:asciiTheme="majorHAnsi" w:eastAsia="Calibri" w:hAnsiTheme="majorHAnsi" w:cs="Calibri"/>
          <w:i/>
          <w:iCs/>
        </w:rPr>
        <w:t>Abnormal Psychology</w:t>
      </w:r>
      <w:r w:rsidRPr="00734AB6">
        <w:rPr>
          <w:rFonts w:asciiTheme="majorHAnsi" w:eastAsia="Calibri" w:hAnsiTheme="majorHAnsi" w:cs="Calibri"/>
        </w:rPr>
        <w:t>, </w:t>
      </w:r>
      <w:r w:rsidRPr="00734AB6">
        <w:rPr>
          <w:rFonts w:asciiTheme="majorHAnsi" w:eastAsia="Calibri" w:hAnsiTheme="majorHAnsi" w:cs="Calibri"/>
          <w:i/>
          <w:iCs/>
        </w:rPr>
        <w:t>116</w:t>
      </w:r>
      <w:r w:rsidRPr="00734AB6">
        <w:rPr>
          <w:rFonts w:asciiTheme="majorHAnsi" w:eastAsia="Calibri" w:hAnsiTheme="majorHAnsi" w:cs="Calibri"/>
        </w:rPr>
        <w:t>(3), 519.</w:t>
      </w:r>
    </w:p>
    <w:p w14:paraId="38B0B947" w14:textId="77777777" w:rsidR="00A17613" w:rsidRPr="00734AB6" w:rsidRDefault="00A17613" w:rsidP="00A17613">
      <w:pPr>
        <w:spacing w:line="360" w:lineRule="auto"/>
        <w:ind w:left="851" w:hanging="851"/>
        <w:rPr>
          <w:rFonts w:asciiTheme="majorHAnsi" w:hAnsiTheme="majorHAnsi"/>
        </w:rPr>
      </w:pPr>
      <w:r w:rsidRPr="00734AB6">
        <w:rPr>
          <w:rFonts w:asciiTheme="majorHAnsi" w:hAnsiTheme="majorHAnsi"/>
        </w:rPr>
        <w:lastRenderedPageBreak/>
        <w:t xml:space="preserve">Millstein, R. B., </w:t>
      </w:r>
      <w:proofErr w:type="spellStart"/>
      <w:r w:rsidRPr="00734AB6">
        <w:rPr>
          <w:rFonts w:asciiTheme="majorHAnsi" w:hAnsiTheme="majorHAnsi"/>
        </w:rPr>
        <w:t>Wilens</w:t>
      </w:r>
      <w:proofErr w:type="spellEnd"/>
      <w:r w:rsidRPr="00734AB6">
        <w:rPr>
          <w:rFonts w:asciiTheme="majorHAnsi" w:hAnsiTheme="majorHAnsi"/>
        </w:rPr>
        <w:t>, T. E., Biederman, J., &amp; Spencer, T. J. (1997). Presenting ADHD symptoms and subtypes in clinically referred adults with ADHD. </w:t>
      </w:r>
      <w:r w:rsidRPr="00734AB6">
        <w:rPr>
          <w:rFonts w:asciiTheme="majorHAnsi" w:hAnsiTheme="majorHAnsi"/>
          <w:i/>
          <w:iCs/>
        </w:rPr>
        <w:t>Journal of Attention Disorders</w:t>
      </w:r>
      <w:r w:rsidRPr="00734AB6">
        <w:rPr>
          <w:rFonts w:asciiTheme="majorHAnsi" w:hAnsiTheme="majorHAnsi"/>
        </w:rPr>
        <w:t>, </w:t>
      </w:r>
      <w:r w:rsidRPr="00734AB6">
        <w:rPr>
          <w:rFonts w:asciiTheme="majorHAnsi" w:hAnsiTheme="majorHAnsi"/>
          <w:i/>
          <w:iCs/>
        </w:rPr>
        <w:t>2</w:t>
      </w:r>
      <w:r w:rsidRPr="00734AB6">
        <w:rPr>
          <w:rFonts w:asciiTheme="majorHAnsi" w:hAnsiTheme="majorHAnsi"/>
        </w:rPr>
        <w:t>(3), 159-166.</w:t>
      </w:r>
    </w:p>
    <w:p w14:paraId="195EE06A" w14:textId="0BF7B7F4"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Minzenberg</w:t>
      </w:r>
      <w:proofErr w:type="spellEnd"/>
      <w:r w:rsidRPr="00734AB6">
        <w:rPr>
          <w:rFonts w:asciiTheme="majorHAnsi" w:eastAsia="Calibri" w:hAnsiTheme="majorHAnsi" w:cs="Calibri"/>
        </w:rPr>
        <w:t>, M</w:t>
      </w:r>
      <w:r w:rsidR="00581241" w:rsidRPr="00734AB6">
        <w:rPr>
          <w:rFonts w:asciiTheme="majorHAnsi" w:eastAsia="Calibri" w:hAnsiTheme="majorHAnsi" w:cs="Calibri"/>
        </w:rPr>
        <w:t xml:space="preserve">. </w:t>
      </w:r>
      <w:r w:rsidRPr="00734AB6">
        <w:rPr>
          <w:rFonts w:asciiTheme="majorHAnsi" w:eastAsia="Calibri" w:hAnsiTheme="majorHAnsi" w:cs="Calibri"/>
        </w:rPr>
        <w:t>J</w:t>
      </w:r>
      <w:r w:rsidR="00581241"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Carter, C</w:t>
      </w:r>
      <w:r w:rsidR="00581241" w:rsidRPr="00734AB6">
        <w:rPr>
          <w:rFonts w:asciiTheme="majorHAnsi" w:eastAsia="Calibri" w:hAnsiTheme="majorHAnsi" w:cs="Calibri"/>
        </w:rPr>
        <w:t xml:space="preserve">. </w:t>
      </w:r>
      <w:r w:rsidRPr="00734AB6">
        <w:rPr>
          <w:rFonts w:asciiTheme="majorHAnsi" w:eastAsia="Calibri" w:hAnsiTheme="majorHAnsi" w:cs="Calibri"/>
        </w:rPr>
        <w:t>S</w:t>
      </w:r>
      <w:r w:rsidR="00581241" w:rsidRPr="00734AB6">
        <w:rPr>
          <w:rFonts w:asciiTheme="majorHAnsi" w:eastAsia="Calibri" w:hAnsiTheme="majorHAnsi" w:cs="Calibri"/>
        </w:rPr>
        <w:t>.</w:t>
      </w:r>
      <w:r w:rsidRPr="00734AB6">
        <w:rPr>
          <w:rFonts w:asciiTheme="majorHAnsi" w:eastAsia="Calibri" w:hAnsiTheme="majorHAnsi" w:cs="Calibri"/>
        </w:rPr>
        <w:t xml:space="preserve"> (2008). Modafinil: A review of neurochemical actions and effects on cognition. </w:t>
      </w:r>
      <w:r w:rsidRPr="00734AB6">
        <w:rPr>
          <w:rFonts w:asciiTheme="majorHAnsi" w:eastAsia="Calibri" w:hAnsiTheme="majorHAnsi" w:cs="Calibri"/>
          <w:i/>
          <w:iCs/>
        </w:rPr>
        <w:t>Neuropsychopharmacology,</w:t>
      </w:r>
      <w:r w:rsidRPr="00734AB6">
        <w:rPr>
          <w:rFonts w:asciiTheme="majorHAnsi" w:eastAsia="Calibri" w:hAnsiTheme="majorHAnsi" w:cs="Calibri"/>
        </w:rPr>
        <w:t xml:space="preserve"> </w:t>
      </w:r>
      <w:r w:rsidRPr="00734AB6">
        <w:rPr>
          <w:rFonts w:asciiTheme="majorHAnsi" w:eastAsia="Calibri" w:hAnsiTheme="majorHAnsi" w:cs="Calibri"/>
          <w:i/>
          <w:iCs/>
        </w:rPr>
        <w:t>33</w:t>
      </w:r>
      <w:r w:rsidRPr="00734AB6">
        <w:rPr>
          <w:rFonts w:asciiTheme="majorHAnsi" w:eastAsia="Calibri" w:hAnsiTheme="majorHAnsi" w:cs="Calibri"/>
        </w:rPr>
        <w:t xml:space="preserve">(7), 1477-1502. </w:t>
      </w:r>
    </w:p>
    <w:p w14:paraId="67D40DEC"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Minzenberg</w:t>
      </w:r>
      <w:proofErr w:type="spellEnd"/>
      <w:r w:rsidRPr="00734AB6">
        <w:rPr>
          <w:rFonts w:asciiTheme="majorHAnsi" w:hAnsiTheme="majorHAnsi" w:cstheme="minorHAnsi"/>
          <w:shd w:val="clear" w:color="auto" w:fill="FFFFFF"/>
        </w:rPr>
        <w:t>, M. J., Yoon, J. H., &amp; Carter, C. S. (2011). Modafinil modulation of the default mode network.</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215</w:t>
      </w:r>
      <w:r w:rsidRPr="00734AB6">
        <w:rPr>
          <w:rFonts w:asciiTheme="majorHAnsi" w:hAnsiTheme="majorHAnsi" w:cstheme="minorHAnsi"/>
          <w:shd w:val="clear" w:color="auto" w:fill="FFFFFF"/>
        </w:rPr>
        <w:t>(1), 23-31.</w:t>
      </w:r>
    </w:p>
    <w:p w14:paraId="4D26FCE6" w14:textId="53D01492"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Mirsky, A. F., Anthony, B. J., Duncan, C. C., Ahearn, M. B., &amp; Kellam, S. G. (1991). Analysis of the elements of attention: A neuropsychological approach. </w:t>
      </w:r>
      <w:r w:rsidRPr="00734AB6">
        <w:rPr>
          <w:rFonts w:asciiTheme="majorHAnsi" w:hAnsiTheme="majorHAnsi" w:cstheme="minorHAnsi"/>
          <w:i/>
          <w:shd w:val="clear" w:color="auto" w:fill="FFFFFF"/>
        </w:rPr>
        <w:t xml:space="preserve">Neuropsychology </w:t>
      </w:r>
      <w:r w:rsidR="00581241" w:rsidRPr="00734AB6">
        <w:rPr>
          <w:rFonts w:asciiTheme="majorHAnsi" w:hAnsiTheme="majorHAnsi" w:cstheme="minorHAnsi"/>
          <w:i/>
          <w:shd w:val="clear" w:color="auto" w:fill="FFFFFF"/>
        </w:rPr>
        <w:t>R</w:t>
      </w:r>
      <w:r w:rsidRPr="00734AB6">
        <w:rPr>
          <w:rFonts w:asciiTheme="majorHAnsi" w:hAnsiTheme="majorHAnsi" w:cstheme="minorHAnsi"/>
          <w:i/>
          <w:shd w:val="clear" w:color="auto" w:fill="FFFFFF"/>
        </w:rPr>
        <w:t>eview</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2</w:t>
      </w:r>
      <w:r w:rsidRPr="00734AB6">
        <w:rPr>
          <w:rFonts w:asciiTheme="majorHAnsi" w:hAnsiTheme="majorHAnsi" w:cstheme="minorHAnsi"/>
          <w:shd w:val="clear" w:color="auto" w:fill="FFFFFF"/>
        </w:rPr>
        <w:t>(2), 109-145.</w:t>
      </w:r>
    </w:p>
    <w:p w14:paraId="6BC0E3C3" w14:textId="7A578F34"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Mitler</w:t>
      </w:r>
      <w:proofErr w:type="spellEnd"/>
      <w:r w:rsidRPr="00734AB6">
        <w:rPr>
          <w:rFonts w:asciiTheme="majorHAnsi" w:hAnsiTheme="majorHAnsi" w:cstheme="minorHAnsi"/>
          <w:shd w:val="clear" w:color="auto" w:fill="FFFFFF"/>
        </w:rPr>
        <w:t xml:space="preserve">, M. M., Harsh, J., </w:t>
      </w:r>
      <w:proofErr w:type="spellStart"/>
      <w:r w:rsidRPr="00734AB6">
        <w:rPr>
          <w:rFonts w:asciiTheme="majorHAnsi" w:hAnsiTheme="majorHAnsi" w:cstheme="minorHAnsi"/>
          <w:shd w:val="clear" w:color="auto" w:fill="FFFFFF"/>
        </w:rPr>
        <w:t>Hirshkowitz</w:t>
      </w:r>
      <w:proofErr w:type="spellEnd"/>
      <w:r w:rsidRPr="00734AB6">
        <w:rPr>
          <w:rFonts w:asciiTheme="majorHAnsi" w:hAnsiTheme="majorHAnsi" w:cstheme="minorHAnsi"/>
          <w:shd w:val="clear" w:color="auto" w:fill="FFFFFF"/>
        </w:rPr>
        <w:t xml:space="preserve">, M., </w:t>
      </w:r>
      <w:proofErr w:type="spellStart"/>
      <w:r w:rsidRPr="00734AB6">
        <w:rPr>
          <w:rFonts w:asciiTheme="majorHAnsi" w:hAnsiTheme="majorHAnsi" w:cstheme="minorHAnsi"/>
          <w:shd w:val="clear" w:color="auto" w:fill="FFFFFF"/>
        </w:rPr>
        <w:t>Guilleminault</w:t>
      </w:r>
      <w:proofErr w:type="spellEnd"/>
      <w:r w:rsidRPr="00734AB6">
        <w:rPr>
          <w:rFonts w:asciiTheme="majorHAnsi" w:hAnsiTheme="majorHAnsi" w:cstheme="minorHAnsi"/>
          <w:shd w:val="clear" w:color="auto" w:fill="FFFFFF"/>
        </w:rPr>
        <w:t xml:space="preserve">, C., &amp; US Modafinil in Narcolepsy </w:t>
      </w:r>
      <w:proofErr w:type="spellStart"/>
      <w:r w:rsidRPr="00734AB6">
        <w:rPr>
          <w:rFonts w:asciiTheme="majorHAnsi" w:hAnsiTheme="majorHAnsi" w:cstheme="minorHAnsi"/>
          <w:shd w:val="clear" w:color="auto" w:fill="FFFFFF"/>
        </w:rPr>
        <w:t>Multicenter</w:t>
      </w:r>
      <w:proofErr w:type="spellEnd"/>
      <w:r w:rsidRPr="00734AB6">
        <w:rPr>
          <w:rFonts w:asciiTheme="majorHAnsi" w:hAnsiTheme="majorHAnsi" w:cstheme="minorHAnsi"/>
          <w:shd w:val="clear" w:color="auto" w:fill="FFFFFF"/>
        </w:rPr>
        <w:t xml:space="preserve"> Study Group. (2000). Long-term efficacy and safety of modafinil (PROVIGIL®) for the treatment of excessive daytime sleepiness associated with narcolepsy.</w:t>
      </w:r>
      <w:r w:rsidRPr="00734AB6">
        <w:rPr>
          <w:rStyle w:val="apple-converted-space"/>
          <w:rFonts w:asciiTheme="majorHAnsi" w:hAnsiTheme="majorHAnsi" w:cstheme="minorHAnsi"/>
          <w:shd w:val="clear" w:color="auto" w:fill="FFFFFF"/>
        </w:rPr>
        <w:t> </w:t>
      </w:r>
      <w:r w:rsidR="00581241" w:rsidRPr="00734AB6">
        <w:rPr>
          <w:rFonts w:asciiTheme="majorHAnsi" w:hAnsiTheme="majorHAnsi" w:cstheme="minorHAnsi"/>
          <w:i/>
          <w:iCs/>
          <w:shd w:val="clear" w:color="auto" w:fill="FFFFFF"/>
        </w:rPr>
        <w:t>Sleep M</w:t>
      </w:r>
      <w:r w:rsidRPr="00734AB6">
        <w:rPr>
          <w:rFonts w:asciiTheme="majorHAnsi" w:hAnsiTheme="majorHAnsi" w:cstheme="minorHAnsi"/>
          <w:i/>
          <w:iCs/>
          <w:shd w:val="clear" w:color="auto" w:fill="FFFFFF"/>
        </w:rPr>
        <w:t>edicine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w:t>
      </w:r>
      <w:r w:rsidRPr="00734AB6">
        <w:rPr>
          <w:rFonts w:asciiTheme="majorHAnsi" w:hAnsiTheme="majorHAnsi" w:cstheme="minorHAnsi"/>
          <w:shd w:val="clear" w:color="auto" w:fill="FFFFFF"/>
        </w:rPr>
        <w:t>(3), 231-243.</w:t>
      </w:r>
    </w:p>
    <w:p w14:paraId="61EE925E" w14:textId="6D76E06D"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Montgomery, S</w:t>
      </w:r>
      <w:r w:rsidR="00581241" w:rsidRPr="00734AB6">
        <w:rPr>
          <w:rFonts w:asciiTheme="majorHAnsi" w:eastAsia="Calibri" w:hAnsiTheme="majorHAnsi" w:cs="Calibri"/>
        </w:rPr>
        <w:t xml:space="preserve">. </w:t>
      </w:r>
      <w:r w:rsidRPr="00734AB6">
        <w:rPr>
          <w:rFonts w:asciiTheme="majorHAnsi" w:eastAsia="Calibri" w:hAnsiTheme="majorHAnsi" w:cs="Calibri"/>
        </w:rPr>
        <w:t>A</w:t>
      </w:r>
      <w:r w:rsidR="00581241" w:rsidRPr="00734AB6">
        <w:rPr>
          <w:rFonts w:asciiTheme="majorHAnsi" w:eastAsia="Calibri" w:hAnsiTheme="majorHAnsi" w:cs="Calibri"/>
        </w:rPr>
        <w:t>.</w:t>
      </w:r>
      <w:r w:rsidRPr="00734AB6">
        <w:rPr>
          <w:rFonts w:asciiTheme="majorHAnsi" w:eastAsia="Calibri" w:hAnsiTheme="majorHAnsi" w:cs="Calibri"/>
        </w:rPr>
        <w:t xml:space="preserve"> (2008). The under-recognized role of dopamine in the treatment of major depressive disorder. </w:t>
      </w:r>
      <w:r w:rsidRPr="00734AB6">
        <w:rPr>
          <w:rFonts w:asciiTheme="majorHAnsi" w:eastAsia="Calibri" w:hAnsiTheme="majorHAnsi" w:cs="Calibri"/>
          <w:i/>
          <w:iCs/>
        </w:rPr>
        <w:t>International Clinical Psychopharmacology</w:t>
      </w:r>
      <w:r w:rsidRPr="00734AB6">
        <w:rPr>
          <w:rFonts w:asciiTheme="majorHAnsi" w:eastAsia="Calibri" w:hAnsiTheme="majorHAnsi" w:cs="Calibri"/>
        </w:rPr>
        <w:t>, </w:t>
      </w:r>
      <w:r w:rsidRPr="00734AB6">
        <w:rPr>
          <w:rFonts w:asciiTheme="majorHAnsi" w:eastAsia="Calibri" w:hAnsiTheme="majorHAnsi" w:cs="Calibri"/>
          <w:i/>
          <w:iCs/>
        </w:rPr>
        <w:t>23</w:t>
      </w:r>
      <w:r w:rsidRPr="00734AB6">
        <w:rPr>
          <w:rFonts w:asciiTheme="majorHAnsi" w:eastAsia="Calibri" w:hAnsiTheme="majorHAnsi" w:cs="Calibri"/>
        </w:rPr>
        <w:t>(2), 63-69.</w:t>
      </w:r>
    </w:p>
    <w:p w14:paraId="18721AF5" w14:textId="1FC4EFC0"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Morgan, C</w:t>
      </w:r>
      <w:r w:rsidR="00BA2746" w:rsidRPr="00734AB6">
        <w:rPr>
          <w:rFonts w:asciiTheme="majorHAnsi" w:eastAsia="Calibri" w:hAnsiTheme="majorHAnsi" w:cs="Calibri"/>
        </w:rPr>
        <w:t xml:space="preserve">. </w:t>
      </w:r>
      <w:r w:rsidRPr="00734AB6">
        <w:rPr>
          <w:rFonts w:asciiTheme="majorHAnsi" w:eastAsia="Calibri" w:hAnsiTheme="majorHAnsi" w:cs="Calibri"/>
        </w:rPr>
        <w:t>J</w:t>
      </w:r>
      <w:r w:rsidR="00BA2746" w:rsidRPr="00734AB6">
        <w:rPr>
          <w:rFonts w:asciiTheme="majorHAnsi" w:eastAsia="Calibri" w:hAnsiTheme="majorHAnsi" w:cs="Calibri"/>
        </w:rPr>
        <w:t>.</w:t>
      </w:r>
      <w:r w:rsidRPr="00734AB6">
        <w:rPr>
          <w:rFonts w:asciiTheme="majorHAnsi" w:eastAsia="Calibri" w:hAnsiTheme="majorHAnsi" w:cs="Calibri"/>
        </w:rPr>
        <w:t>, Noronha, L</w:t>
      </w:r>
      <w:r w:rsidR="00BA2746" w:rsidRPr="00734AB6">
        <w:rPr>
          <w:rFonts w:asciiTheme="majorHAnsi" w:eastAsia="Calibri" w:hAnsiTheme="majorHAnsi" w:cs="Calibri"/>
        </w:rPr>
        <w:t xml:space="preserve">. </w:t>
      </w:r>
      <w:r w:rsidRPr="00734AB6">
        <w:rPr>
          <w:rFonts w:asciiTheme="majorHAnsi" w:eastAsia="Calibri" w:hAnsiTheme="majorHAnsi" w:cs="Calibri"/>
        </w:rPr>
        <w:t>A</w:t>
      </w:r>
      <w:r w:rsidR="00BA2746"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Muetzelfeldt</w:t>
      </w:r>
      <w:proofErr w:type="spellEnd"/>
      <w:r w:rsidRPr="00734AB6">
        <w:rPr>
          <w:rFonts w:asciiTheme="majorHAnsi" w:eastAsia="Calibri" w:hAnsiTheme="majorHAnsi" w:cs="Calibri"/>
        </w:rPr>
        <w:t>, M</w:t>
      </w:r>
      <w:r w:rsidR="00BA2746" w:rsidRPr="00734AB6">
        <w:rPr>
          <w:rFonts w:asciiTheme="majorHAnsi" w:eastAsia="Calibri" w:hAnsiTheme="majorHAnsi" w:cs="Calibri"/>
        </w:rPr>
        <w:t>.</w:t>
      </w:r>
      <w:r w:rsidRPr="00734AB6">
        <w:rPr>
          <w:rFonts w:asciiTheme="majorHAnsi" w:eastAsia="Calibri" w:hAnsiTheme="majorHAnsi" w:cs="Calibri"/>
        </w:rPr>
        <w:t>, Feilding, A</w:t>
      </w:r>
      <w:r w:rsidR="00BA2746"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Curran, H</w:t>
      </w:r>
      <w:r w:rsidR="00BA2746" w:rsidRPr="00734AB6">
        <w:rPr>
          <w:rFonts w:asciiTheme="majorHAnsi" w:eastAsia="Calibri" w:hAnsiTheme="majorHAnsi" w:cs="Calibri"/>
        </w:rPr>
        <w:t xml:space="preserve">. </w:t>
      </w:r>
      <w:r w:rsidRPr="00734AB6">
        <w:rPr>
          <w:rFonts w:asciiTheme="majorHAnsi" w:eastAsia="Calibri" w:hAnsiTheme="majorHAnsi" w:cs="Calibri"/>
        </w:rPr>
        <w:t>V</w:t>
      </w:r>
      <w:r w:rsidR="00BA2746" w:rsidRPr="00734AB6">
        <w:rPr>
          <w:rFonts w:asciiTheme="majorHAnsi" w:eastAsia="Calibri" w:hAnsiTheme="majorHAnsi" w:cs="Calibri"/>
        </w:rPr>
        <w:t>.</w:t>
      </w:r>
      <w:r w:rsidRPr="00734AB6">
        <w:rPr>
          <w:rFonts w:asciiTheme="majorHAnsi" w:eastAsia="Calibri" w:hAnsiTheme="majorHAnsi" w:cs="Calibri"/>
        </w:rPr>
        <w:t xml:space="preserve"> (2013). Harms and benefits associated with psychoactive drugs: Findings of an international survey of active drug users. </w:t>
      </w:r>
      <w:r w:rsidRPr="00734AB6">
        <w:rPr>
          <w:rFonts w:asciiTheme="majorHAnsi" w:eastAsia="Calibri" w:hAnsiTheme="majorHAnsi" w:cs="Calibri"/>
          <w:i/>
          <w:iCs/>
        </w:rPr>
        <w:t>Journal of Psychopharmacology</w:t>
      </w:r>
      <w:r w:rsidRPr="00734AB6">
        <w:rPr>
          <w:rFonts w:asciiTheme="majorHAnsi" w:eastAsia="Calibri" w:hAnsiTheme="majorHAnsi" w:cs="Calibri"/>
        </w:rPr>
        <w:t>, </w:t>
      </w:r>
      <w:r w:rsidRPr="00734AB6">
        <w:rPr>
          <w:rFonts w:asciiTheme="majorHAnsi" w:eastAsia="Calibri" w:hAnsiTheme="majorHAnsi" w:cs="Calibri"/>
          <w:i/>
          <w:iCs/>
        </w:rPr>
        <w:t>27</w:t>
      </w:r>
      <w:r w:rsidRPr="00734AB6">
        <w:rPr>
          <w:rFonts w:asciiTheme="majorHAnsi" w:eastAsia="Calibri" w:hAnsiTheme="majorHAnsi" w:cs="Calibri"/>
        </w:rPr>
        <w:t>(6), 497-506.</w:t>
      </w:r>
    </w:p>
    <w:p w14:paraId="6C80F7AD"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Morgan, P. T., Pace-Schott, E., Pittman, B., </w:t>
      </w:r>
      <w:proofErr w:type="spellStart"/>
      <w:r w:rsidRPr="00734AB6">
        <w:rPr>
          <w:rFonts w:asciiTheme="majorHAnsi" w:hAnsiTheme="majorHAnsi" w:cstheme="minorHAnsi"/>
          <w:shd w:val="clear" w:color="auto" w:fill="FFFFFF"/>
        </w:rPr>
        <w:t>Stickgold</w:t>
      </w:r>
      <w:proofErr w:type="spellEnd"/>
      <w:r w:rsidRPr="00734AB6">
        <w:rPr>
          <w:rFonts w:asciiTheme="majorHAnsi" w:hAnsiTheme="majorHAnsi" w:cstheme="minorHAnsi"/>
          <w:shd w:val="clear" w:color="auto" w:fill="FFFFFF"/>
        </w:rPr>
        <w:t xml:space="preserve">, R., &amp; </w:t>
      </w:r>
      <w:proofErr w:type="spellStart"/>
      <w:r w:rsidRPr="00734AB6">
        <w:rPr>
          <w:rFonts w:asciiTheme="majorHAnsi" w:hAnsiTheme="majorHAnsi" w:cstheme="minorHAnsi"/>
          <w:shd w:val="clear" w:color="auto" w:fill="FFFFFF"/>
        </w:rPr>
        <w:t>Malison</w:t>
      </w:r>
      <w:proofErr w:type="spellEnd"/>
      <w:r w:rsidRPr="00734AB6">
        <w:rPr>
          <w:rFonts w:asciiTheme="majorHAnsi" w:hAnsiTheme="majorHAnsi" w:cstheme="minorHAnsi"/>
          <w:shd w:val="clear" w:color="auto" w:fill="FFFFFF"/>
        </w:rPr>
        <w:t>, R. T. (2010). Normalizing effects of modafinil on sleep in chronic cocaine users.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American Journal of Psychiatry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167</w:t>
      </w:r>
      <w:r w:rsidRPr="00734AB6">
        <w:rPr>
          <w:rFonts w:asciiTheme="majorHAnsi" w:hAnsiTheme="majorHAnsi" w:cstheme="minorHAnsi"/>
          <w:shd w:val="clear" w:color="auto" w:fill="FFFFFF"/>
        </w:rPr>
        <w:t>(3), 331-340.</w:t>
      </w:r>
    </w:p>
    <w:p w14:paraId="70FC493F" w14:textId="77777777" w:rsidR="00A17613" w:rsidRPr="00734AB6" w:rsidRDefault="00A17613" w:rsidP="00A17613">
      <w:pPr>
        <w:spacing w:line="360" w:lineRule="auto"/>
        <w:ind w:left="851" w:hanging="851"/>
        <w:rPr>
          <w:rFonts w:asciiTheme="majorHAnsi" w:hAnsiTheme="majorHAnsi"/>
        </w:rPr>
      </w:pPr>
      <w:r w:rsidRPr="00734AB6">
        <w:rPr>
          <w:rFonts w:asciiTheme="majorHAnsi" w:hAnsiTheme="majorHAnsi"/>
        </w:rPr>
        <w:t>Müller, C. P., &amp; Schumann, G. (2011). Drugs as instruments: A new framework for non-addictive psychoactive drug use. </w:t>
      </w:r>
      <w:proofErr w:type="spellStart"/>
      <w:r w:rsidRPr="00734AB6">
        <w:rPr>
          <w:rFonts w:asciiTheme="majorHAnsi" w:hAnsiTheme="majorHAnsi"/>
          <w:i/>
          <w:iCs/>
        </w:rPr>
        <w:t>Behavioral</w:t>
      </w:r>
      <w:proofErr w:type="spellEnd"/>
      <w:r w:rsidRPr="00734AB6">
        <w:rPr>
          <w:rFonts w:asciiTheme="majorHAnsi" w:hAnsiTheme="majorHAnsi"/>
          <w:i/>
          <w:iCs/>
        </w:rPr>
        <w:t xml:space="preserve"> and Brain Sciences</w:t>
      </w:r>
      <w:r w:rsidRPr="00734AB6">
        <w:rPr>
          <w:rFonts w:asciiTheme="majorHAnsi" w:hAnsiTheme="majorHAnsi"/>
        </w:rPr>
        <w:t>, </w:t>
      </w:r>
      <w:r w:rsidRPr="00734AB6">
        <w:rPr>
          <w:rFonts w:asciiTheme="majorHAnsi" w:hAnsiTheme="majorHAnsi"/>
          <w:i/>
          <w:iCs/>
        </w:rPr>
        <w:t>34</w:t>
      </w:r>
      <w:r w:rsidRPr="00734AB6">
        <w:rPr>
          <w:rFonts w:asciiTheme="majorHAnsi" w:hAnsiTheme="majorHAnsi"/>
        </w:rPr>
        <w:t>(6), 293.</w:t>
      </w:r>
    </w:p>
    <w:p w14:paraId="2AAA9D69"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Müller, U., </w:t>
      </w:r>
      <w:proofErr w:type="spellStart"/>
      <w:r w:rsidRPr="00734AB6">
        <w:rPr>
          <w:rFonts w:asciiTheme="majorHAnsi" w:hAnsiTheme="majorHAnsi" w:cstheme="minorHAnsi"/>
          <w:shd w:val="clear" w:color="auto" w:fill="FFFFFF"/>
        </w:rPr>
        <w:t>Steffenhagen</w:t>
      </w:r>
      <w:proofErr w:type="spellEnd"/>
      <w:r w:rsidRPr="00734AB6">
        <w:rPr>
          <w:rFonts w:asciiTheme="majorHAnsi" w:hAnsiTheme="majorHAnsi" w:cstheme="minorHAnsi"/>
          <w:shd w:val="clear" w:color="auto" w:fill="FFFFFF"/>
        </w:rPr>
        <w:t xml:space="preserve">, N., </w:t>
      </w:r>
      <w:proofErr w:type="spellStart"/>
      <w:r w:rsidRPr="00734AB6">
        <w:rPr>
          <w:rFonts w:asciiTheme="majorHAnsi" w:hAnsiTheme="majorHAnsi" w:cstheme="minorHAnsi"/>
          <w:shd w:val="clear" w:color="auto" w:fill="FFFFFF"/>
        </w:rPr>
        <w:t>Regenthal</w:t>
      </w:r>
      <w:proofErr w:type="spellEnd"/>
      <w:r w:rsidRPr="00734AB6">
        <w:rPr>
          <w:rFonts w:asciiTheme="majorHAnsi" w:hAnsiTheme="majorHAnsi" w:cstheme="minorHAnsi"/>
          <w:shd w:val="clear" w:color="auto" w:fill="FFFFFF"/>
        </w:rPr>
        <w:t xml:space="preserve">, R., &amp; </w:t>
      </w:r>
      <w:proofErr w:type="spellStart"/>
      <w:r w:rsidRPr="00734AB6">
        <w:rPr>
          <w:rFonts w:asciiTheme="majorHAnsi" w:hAnsiTheme="majorHAnsi" w:cstheme="minorHAnsi"/>
          <w:shd w:val="clear" w:color="auto" w:fill="FFFFFF"/>
        </w:rPr>
        <w:t>Bublak</w:t>
      </w:r>
      <w:proofErr w:type="spellEnd"/>
      <w:r w:rsidRPr="00734AB6">
        <w:rPr>
          <w:rFonts w:asciiTheme="majorHAnsi" w:hAnsiTheme="majorHAnsi" w:cstheme="minorHAnsi"/>
          <w:shd w:val="clear" w:color="auto" w:fill="FFFFFF"/>
        </w:rPr>
        <w:t>, P. (2004). Effects of modafinil on working memory processes in humans.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177</w:t>
      </w:r>
      <w:r w:rsidRPr="00734AB6">
        <w:rPr>
          <w:rFonts w:asciiTheme="majorHAnsi" w:hAnsiTheme="majorHAnsi" w:cstheme="minorHAnsi"/>
          <w:shd w:val="clear" w:color="auto" w:fill="FFFFFF"/>
        </w:rPr>
        <w:t>(1-2), 161-169.</w:t>
      </w:r>
    </w:p>
    <w:p w14:paraId="6E659ED5"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Müller, U., von </w:t>
      </w:r>
      <w:proofErr w:type="spellStart"/>
      <w:r w:rsidRPr="00734AB6">
        <w:rPr>
          <w:rFonts w:asciiTheme="majorHAnsi" w:hAnsiTheme="majorHAnsi" w:cstheme="minorHAnsi"/>
          <w:shd w:val="clear" w:color="auto" w:fill="FFFFFF"/>
        </w:rPr>
        <w:t>Cramon</w:t>
      </w:r>
      <w:proofErr w:type="spellEnd"/>
      <w:r w:rsidRPr="00734AB6">
        <w:rPr>
          <w:rFonts w:asciiTheme="majorHAnsi" w:hAnsiTheme="majorHAnsi" w:cstheme="minorHAnsi"/>
          <w:shd w:val="clear" w:color="auto" w:fill="FFFFFF"/>
        </w:rPr>
        <w:t xml:space="preserve">, D. Y., &amp; </w:t>
      </w:r>
      <w:proofErr w:type="spellStart"/>
      <w:r w:rsidRPr="00734AB6">
        <w:rPr>
          <w:rFonts w:asciiTheme="majorHAnsi" w:hAnsiTheme="majorHAnsi" w:cstheme="minorHAnsi"/>
          <w:shd w:val="clear" w:color="auto" w:fill="FFFFFF"/>
        </w:rPr>
        <w:t>Pollmann</w:t>
      </w:r>
      <w:proofErr w:type="spellEnd"/>
      <w:r w:rsidRPr="00734AB6">
        <w:rPr>
          <w:rFonts w:asciiTheme="majorHAnsi" w:hAnsiTheme="majorHAnsi" w:cstheme="minorHAnsi"/>
          <w:shd w:val="clear" w:color="auto" w:fill="FFFFFF"/>
        </w:rPr>
        <w:t xml:space="preserve">, S. (1998). D1-versus D2-receptor modulation of visuospatial working memory in humans. </w:t>
      </w:r>
      <w:r w:rsidRPr="00734AB6">
        <w:rPr>
          <w:rFonts w:asciiTheme="majorHAnsi" w:hAnsiTheme="majorHAnsi" w:cstheme="minorHAnsi"/>
          <w:i/>
          <w:shd w:val="clear" w:color="auto" w:fill="FFFFFF"/>
        </w:rPr>
        <w:t>Journal of Neuroscience, 18</w:t>
      </w:r>
      <w:r w:rsidRPr="00734AB6">
        <w:rPr>
          <w:rFonts w:asciiTheme="majorHAnsi" w:hAnsiTheme="majorHAnsi" w:cstheme="minorHAnsi"/>
          <w:shd w:val="clear" w:color="auto" w:fill="FFFFFF"/>
        </w:rPr>
        <w:t>(7), 2720-2728.</w:t>
      </w:r>
    </w:p>
    <w:p w14:paraId="4B8B3B7A"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Munoz, D. P., &amp; </w:t>
      </w:r>
      <w:proofErr w:type="spellStart"/>
      <w:r w:rsidRPr="00734AB6">
        <w:rPr>
          <w:rFonts w:asciiTheme="majorHAnsi" w:hAnsiTheme="majorHAnsi" w:cstheme="minorHAnsi"/>
          <w:shd w:val="clear" w:color="auto" w:fill="FFFFFF"/>
        </w:rPr>
        <w:t>Everling</w:t>
      </w:r>
      <w:proofErr w:type="spellEnd"/>
      <w:r w:rsidRPr="00734AB6">
        <w:rPr>
          <w:rFonts w:asciiTheme="majorHAnsi" w:hAnsiTheme="majorHAnsi" w:cstheme="minorHAnsi"/>
          <w:shd w:val="clear" w:color="auto" w:fill="FFFFFF"/>
        </w:rPr>
        <w:t>, S. (2004). Look away: the anti-saccade task and the voluntary control of eye movement. </w:t>
      </w:r>
      <w:r w:rsidRPr="00734AB6">
        <w:rPr>
          <w:rFonts w:asciiTheme="majorHAnsi" w:hAnsiTheme="majorHAnsi" w:cstheme="minorHAnsi"/>
          <w:i/>
          <w:iCs/>
          <w:shd w:val="clear" w:color="auto" w:fill="FFFFFF"/>
        </w:rPr>
        <w:t>Nature Reviews Neuroscience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5</w:t>
      </w:r>
      <w:r w:rsidRPr="00734AB6">
        <w:rPr>
          <w:rFonts w:asciiTheme="majorHAnsi" w:hAnsiTheme="majorHAnsi" w:cstheme="minorHAnsi"/>
          <w:shd w:val="clear" w:color="auto" w:fill="FFFFFF"/>
        </w:rPr>
        <w:t>(3), 218-228.</w:t>
      </w:r>
    </w:p>
    <w:p w14:paraId="3579961E"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lastRenderedPageBreak/>
        <w:t xml:space="preserve">Myrick, H., Malcolm, R., Taylor, B., &amp; </w:t>
      </w:r>
      <w:proofErr w:type="spellStart"/>
      <w:r w:rsidRPr="00734AB6">
        <w:rPr>
          <w:rFonts w:asciiTheme="majorHAnsi" w:hAnsiTheme="majorHAnsi" w:cstheme="minorHAnsi"/>
          <w:shd w:val="clear" w:color="auto" w:fill="FFFFFF"/>
        </w:rPr>
        <w:t>LaRowe</w:t>
      </w:r>
      <w:proofErr w:type="spellEnd"/>
      <w:r w:rsidRPr="00734AB6">
        <w:rPr>
          <w:rFonts w:asciiTheme="majorHAnsi" w:hAnsiTheme="majorHAnsi" w:cstheme="minorHAnsi"/>
          <w:shd w:val="clear" w:color="auto" w:fill="FFFFFF"/>
        </w:rPr>
        <w:t>, S. (2004). Modafinil: preclinical, clinical, and post-marketing surveillance—a review of abuse liability issues.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Annals of Clinical Psychiatry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16</w:t>
      </w:r>
      <w:r w:rsidRPr="00734AB6">
        <w:rPr>
          <w:rFonts w:asciiTheme="majorHAnsi" w:hAnsiTheme="majorHAnsi" w:cstheme="minorHAnsi"/>
          <w:shd w:val="clear" w:color="auto" w:fill="FFFFFF"/>
        </w:rPr>
        <w:t>(2), 101-109.</w:t>
      </w:r>
    </w:p>
    <w:p w14:paraId="3E552C9B" w14:textId="6E7E8B7F" w:rsidR="009B0ED0" w:rsidRPr="00734AB6" w:rsidRDefault="009B0ED0"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Nasr, S., Wendt, B., &amp; Steiner, K. (2006). Absence of mood switch with and tolerance to modafinil: a replication study from a large private practice. </w:t>
      </w:r>
      <w:r w:rsidRPr="00734AB6">
        <w:rPr>
          <w:rFonts w:asciiTheme="majorHAnsi" w:hAnsiTheme="majorHAnsi" w:cstheme="minorHAnsi"/>
          <w:i/>
          <w:iCs/>
          <w:shd w:val="clear" w:color="auto" w:fill="FFFFFF"/>
        </w:rPr>
        <w:t xml:space="preserve">Journal of </w:t>
      </w:r>
      <w:r w:rsidR="00BA2746" w:rsidRPr="00734AB6">
        <w:rPr>
          <w:rFonts w:asciiTheme="majorHAnsi" w:hAnsiTheme="majorHAnsi" w:cstheme="minorHAnsi"/>
          <w:i/>
          <w:iCs/>
          <w:shd w:val="clear" w:color="auto" w:fill="FFFFFF"/>
        </w:rPr>
        <w:t>Affective Disorders</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95</w:t>
      </w:r>
      <w:r w:rsidRPr="00734AB6">
        <w:rPr>
          <w:rFonts w:asciiTheme="majorHAnsi" w:hAnsiTheme="majorHAnsi" w:cstheme="minorHAnsi"/>
          <w:shd w:val="clear" w:color="auto" w:fill="FFFFFF"/>
        </w:rPr>
        <w:t>(1-3), 111-114.</w:t>
      </w:r>
    </w:p>
    <w:p w14:paraId="77AECE8B"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Nguyen, B., Steel, P., &amp; Ferrari, J. R. (2013). Procrastination's impact in the workplace and the workplace's impact on procrastination. </w:t>
      </w:r>
      <w:r w:rsidRPr="00734AB6">
        <w:rPr>
          <w:rFonts w:asciiTheme="majorHAnsi" w:eastAsia="Calibri" w:hAnsiTheme="majorHAnsi" w:cs="Calibri"/>
          <w:i/>
          <w:iCs/>
        </w:rPr>
        <w:t>International Journal of Selection and Assessment</w:t>
      </w:r>
      <w:r w:rsidRPr="00734AB6">
        <w:rPr>
          <w:rFonts w:asciiTheme="majorHAnsi" w:eastAsia="Calibri" w:hAnsiTheme="majorHAnsi" w:cs="Calibri"/>
        </w:rPr>
        <w:t>, </w:t>
      </w:r>
      <w:r w:rsidRPr="00734AB6">
        <w:rPr>
          <w:rFonts w:asciiTheme="majorHAnsi" w:eastAsia="Calibri" w:hAnsiTheme="majorHAnsi" w:cs="Calibri"/>
          <w:i/>
          <w:iCs/>
        </w:rPr>
        <w:t>21</w:t>
      </w:r>
      <w:r w:rsidRPr="00734AB6">
        <w:rPr>
          <w:rFonts w:asciiTheme="majorHAnsi" w:eastAsia="Calibri" w:hAnsiTheme="majorHAnsi" w:cs="Calibri"/>
        </w:rPr>
        <w:t>(4), 388-399.</w:t>
      </w:r>
    </w:p>
    <w:p w14:paraId="0836A23C"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NIDA (2015), </w:t>
      </w:r>
      <w:r w:rsidRPr="00734AB6">
        <w:rPr>
          <w:rFonts w:asciiTheme="majorHAnsi" w:eastAsia="Calibri" w:hAnsiTheme="majorHAnsi" w:cs="Calibri"/>
          <w:i/>
          <w:iCs/>
        </w:rPr>
        <w:t>2014 National Survey on Drug Use and Health: Detailed Tables</w:t>
      </w:r>
      <w:r w:rsidRPr="00734AB6">
        <w:rPr>
          <w:rFonts w:asciiTheme="majorHAnsi" w:eastAsia="Calibri" w:hAnsiTheme="majorHAnsi" w:cs="Calibri"/>
        </w:rPr>
        <w:t>.  Rockville, MD, Substance Abuse and Mental Health Services Administration</w:t>
      </w:r>
    </w:p>
    <w:p w14:paraId="32FA9577" w14:textId="07CDF904"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Niermann</w:t>
      </w:r>
      <w:proofErr w:type="spellEnd"/>
      <w:r w:rsidRPr="00734AB6">
        <w:rPr>
          <w:rFonts w:asciiTheme="majorHAnsi" w:hAnsiTheme="majorHAnsi" w:cstheme="minorHAnsi"/>
          <w:shd w:val="clear" w:color="auto" w:fill="FFFFFF"/>
        </w:rPr>
        <w:t xml:space="preserve">, H. C., &amp; </w:t>
      </w:r>
      <w:proofErr w:type="spellStart"/>
      <w:r w:rsidRPr="00734AB6">
        <w:rPr>
          <w:rFonts w:asciiTheme="majorHAnsi" w:hAnsiTheme="majorHAnsi" w:cstheme="minorHAnsi"/>
          <w:shd w:val="clear" w:color="auto" w:fill="FFFFFF"/>
        </w:rPr>
        <w:t>Scheres</w:t>
      </w:r>
      <w:proofErr w:type="spellEnd"/>
      <w:r w:rsidRPr="00734AB6">
        <w:rPr>
          <w:rFonts w:asciiTheme="majorHAnsi" w:hAnsiTheme="majorHAnsi" w:cstheme="minorHAnsi"/>
          <w:shd w:val="clear" w:color="auto" w:fill="FFFFFF"/>
        </w:rPr>
        <w:t>, A. (2014). The relation between procrastination and symptoms of attention‐deficit hyperactivity disorder (ADHD) in undergraduate students. </w:t>
      </w:r>
      <w:r w:rsidR="00BA2746" w:rsidRPr="00734AB6">
        <w:rPr>
          <w:rFonts w:asciiTheme="majorHAnsi" w:hAnsiTheme="majorHAnsi" w:cstheme="minorHAnsi"/>
          <w:i/>
          <w:iCs/>
          <w:shd w:val="clear" w:color="auto" w:fill="FFFFFF"/>
        </w:rPr>
        <w:t>International Journal of M</w:t>
      </w:r>
      <w:r w:rsidRPr="00734AB6">
        <w:rPr>
          <w:rFonts w:asciiTheme="majorHAnsi" w:hAnsiTheme="majorHAnsi" w:cstheme="minorHAnsi"/>
          <w:i/>
          <w:iCs/>
          <w:shd w:val="clear" w:color="auto" w:fill="FFFFFF"/>
        </w:rPr>
        <w:t xml:space="preserve">ethods in </w:t>
      </w:r>
      <w:r w:rsidR="00BA2746" w:rsidRPr="00734AB6">
        <w:rPr>
          <w:rFonts w:asciiTheme="majorHAnsi" w:hAnsiTheme="majorHAnsi" w:cstheme="minorHAnsi"/>
          <w:i/>
          <w:iCs/>
          <w:shd w:val="clear" w:color="auto" w:fill="FFFFFF"/>
        </w:rPr>
        <w:t>Psychiatric Research</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23</w:t>
      </w:r>
      <w:r w:rsidRPr="00734AB6">
        <w:rPr>
          <w:rFonts w:asciiTheme="majorHAnsi" w:hAnsiTheme="majorHAnsi" w:cstheme="minorHAnsi"/>
          <w:shd w:val="clear" w:color="auto" w:fill="FFFFFF"/>
        </w:rPr>
        <w:t>(4), 411-421.</w:t>
      </w:r>
    </w:p>
    <w:p w14:paraId="5244BC83"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Noorani</w:t>
      </w:r>
      <w:proofErr w:type="spellEnd"/>
      <w:r w:rsidRPr="00734AB6">
        <w:rPr>
          <w:rFonts w:asciiTheme="majorHAnsi" w:hAnsiTheme="majorHAnsi" w:cstheme="minorHAnsi"/>
          <w:shd w:val="clear" w:color="auto" w:fill="FFFFFF"/>
        </w:rPr>
        <w:t xml:space="preserve">, I., &amp; Carpenter, R. H. S. (2013). </w:t>
      </w:r>
      <w:proofErr w:type="spellStart"/>
      <w:r w:rsidRPr="00734AB6">
        <w:rPr>
          <w:rFonts w:asciiTheme="majorHAnsi" w:hAnsiTheme="majorHAnsi" w:cstheme="minorHAnsi"/>
          <w:shd w:val="clear" w:color="auto" w:fill="FFFFFF"/>
        </w:rPr>
        <w:t>Antisaccades</w:t>
      </w:r>
      <w:proofErr w:type="spellEnd"/>
      <w:r w:rsidRPr="00734AB6">
        <w:rPr>
          <w:rFonts w:asciiTheme="majorHAnsi" w:hAnsiTheme="majorHAnsi" w:cstheme="minorHAnsi"/>
          <w:shd w:val="clear" w:color="auto" w:fill="FFFFFF"/>
        </w:rPr>
        <w:t xml:space="preserve"> as decisions: LATER model predicts latency distributions and error responses. </w:t>
      </w:r>
      <w:r w:rsidRPr="00734AB6">
        <w:rPr>
          <w:rFonts w:asciiTheme="majorHAnsi" w:hAnsiTheme="majorHAnsi" w:cstheme="minorHAnsi"/>
          <w:i/>
          <w:iCs/>
          <w:shd w:val="clear" w:color="auto" w:fill="FFFFFF"/>
        </w:rPr>
        <w:t>European Journal of Neuroscience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37</w:t>
      </w:r>
      <w:r w:rsidRPr="00734AB6">
        <w:rPr>
          <w:rFonts w:asciiTheme="majorHAnsi" w:hAnsiTheme="majorHAnsi" w:cstheme="minorHAnsi"/>
          <w:shd w:val="clear" w:color="auto" w:fill="FFFFFF"/>
        </w:rPr>
        <w:t>(2), 330-338.</w:t>
      </w:r>
    </w:p>
    <w:p w14:paraId="3200D5F7" w14:textId="7D51D263"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Novak, S. P., </w:t>
      </w:r>
      <w:proofErr w:type="spellStart"/>
      <w:r w:rsidRPr="00734AB6">
        <w:rPr>
          <w:rFonts w:asciiTheme="majorHAnsi" w:hAnsiTheme="majorHAnsi" w:cstheme="minorHAnsi"/>
          <w:shd w:val="clear" w:color="auto" w:fill="FFFFFF"/>
        </w:rPr>
        <w:t>Kroutil</w:t>
      </w:r>
      <w:proofErr w:type="spellEnd"/>
      <w:r w:rsidRPr="00734AB6">
        <w:rPr>
          <w:rFonts w:asciiTheme="majorHAnsi" w:hAnsiTheme="majorHAnsi" w:cstheme="minorHAnsi"/>
          <w:shd w:val="clear" w:color="auto" w:fill="FFFFFF"/>
        </w:rPr>
        <w:t>, L. A., Williams, R. L., &amp; Van Brunt, D. L. (2007). The nonmedical use of prescription ADHD medications: results from a national Internet panel. </w:t>
      </w:r>
      <w:r w:rsidRPr="00734AB6">
        <w:rPr>
          <w:rFonts w:asciiTheme="majorHAnsi" w:hAnsiTheme="majorHAnsi" w:cstheme="minorHAnsi"/>
          <w:i/>
          <w:iCs/>
          <w:shd w:val="clear" w:color="auto" w:fill="FFFFFF"/>
        </w:rPr>
        <w:t xml:space="preserve">Substance </w:t>
      </w:r>
      <w:r w:rsidR="00BA2746" w:rsidRPr="00734AB6">
        <w:rPr>
          <w:rFonts w:asciiTheme="majorHAnsi" w:hAnsiTheme="majorHAnsi" w:cstheme="minorHAnsi"/>
          <w:i/>
          <w:iCs/>
          <w:shd w:val="clear" w:color="auto" w:fill="FFFFFF"/>
        </w:rPr>
        <w:t>Abuse Treatment, Prevention, and Policy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w:t>
      </w:r>
      <w:r w:rsidRPr="00734AB6">
        <w:rPr>
          <w:rFonts w:asciiTheme="majorHAnsi" w:hAnsiTheme="majorHAnsi" w:cstheme="minorHAnsi"/>
          <w:shd w:val="clear" w:color="auto" w:fill="FFFFFF"/>
        </w:rPr>
        <w:t>(1), 32.</w:t>
      </w:r>
    </w:p>
    <w:p w14:paraId="651D3F8B"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Nutt, D. (2009</w:t>
      </w:r>
      <w:r w:rsidRPr="00734AB6">
        <w:rPr>
          <w:rFonts w:asciiTheme="majorHAnsi" w:hAnsiTheme="majorHAnsi" w:cstheme="minorHAnsi"/>
          <w:i/>
          <w:shd w:val="clear" w:color="auto" w:fill="FFFFFF"/>
        </w:rPr>
        <w:t>). Estimating drug harms: a risky business.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Cs/>
          <w:shd w:val="clear" w:color="auto" w:fill="FFFFFF"/>
        </w:rPr>
        <w:t>London: Centre for Crime and Justice Studies</w:t>
      </w:r>
      <w:r w:rsidRPr="00734AB6">
        <w:rPr>
          <w:rFonts w:asciiTheme="majorHAnsi" w:hAnsiTheme="majorHAnsi" w:cstheme="minorHAnsi"/>
          <w:shd w:val="clear" w:color="auto" w:fill="FFFFFF"/>
        </w:rPr>
        <w:t>.</w:t>
      </w:r>
    </w:p>
    <w:p w14:paraId="6448FDA6" w14:textId="77777777" w:rsidR="005208C0" w:rsidRPr="00734AB6" w:rsidRDefault="005208C0" w:rsidP="005208C0">
      <w:pPr>
        <w:spacing w:line="360" w:lineRule="auto"/>
        <w:ind w:left="709" w:hanging="709"/>
        <w:rPr>
          <w:rFonts w:asciiTheme="majorHAnsi" w:hAnsiTheme="majorHAnsi"/>
        </w:rPr>
      </w:pPr>
      <w:r w:rsidRPr="00734AB6">
        <w:rPr>
          <w:rFonts w:asciiTheme="majorHAnsi" w:hAnsiTheme="majorHAnsi"/>
        </w:rPr>
        <w:t xml:space="preserve">Nutt, D., </w:t>
      </w:r>
      <w:proofErr w:type="spellStart"/>
      <w:r w:rsidRPr="00734AB6">
        <w:rPr>
          <w:rFonts w:asciiTheme="majorHAnsi" w:hAnsiTheme="majorHAnsi"/>
        </w:rPr>
        <w:t>Demyttenaere</w:t>
      </w:r>
      <w:proofErr w:type="spellEnd"/>
      <w:r w:rsidRPr="00734AB6">
        <w:rPr>
          <w:rFonts w:asciiTheme="majorHAnsi" w:hAnsiTheme="majorHAnsi"/>
        </w:rPr>
        <w:t xml:space="preserve">, K., </w:t>
      </w:r>
      <w:proofErr w:type="spellStart"/>
      <w:r w:rsidRPr="00734AB6">
        <w:rPr>
          <w:rFonts w:asciiTheme="majorHAnsi" w:hAnsiTheme="majorHAnsi"/>
        </w:rPr>
        <w:t>Janka</w:t>
      </w:r>
      <w:proofErr w:type="spellEnd"/>
      <w:r w:rsidRPr="00734AB6">
        <w:rPr>
          <w:rFonts w:asciiTheme="majorHAnsi" w:hAnsiTheme="majorHAnsi"/>
        </w:rPr>
        <w:t xml:space="preserve">, Z., </w:t>
      </w:r>
      <w:proofErr w:type="spellStart"/>
      <w:r w:rsidRPr="00734AB6">
        <w:rPr>
          <w:rFonts w:asciiTheme="majorHAnsi" w:hAnsiTheme="majorHAnsi"/>
        </w:rPr>
        <w:t>Aarre</w:t>
      </w:r>
      <w:proofErr w:type="spellEnd"/>
      <w:r w:rsidRPr="00734AB6">
        <w:rPr>
          <w:rFonts w:asciiTheme="majorHAnsi" w:hAnsiTheme="majorHAnsi"/>
        </w:rPr>
        <w:t xml:space="preserve">, T., </w:t>
      </w:r>
      <w:proofErr w:type="spellStart"/>
      <w:r w:rsidRPr="00734AB6">
        <w:rPr>
          <w:rFonts w:asciiTheme="majorHAnsi" w:hAnsiTheme="majorHAnsi"/>
        </w:rPr>
        <w:t>Bourin</w:t>
      </w:r>
      <w:proofErr w:type="spellEnd"/>
      <w:r w:rsidRPr="00734AB6">
        <w:rPr>
          <w:rFonts w:asciiTheme="majorHAnsi" w:hAnsiTheme="majorHAnsi"/>
        </w:rPr>
        <w:t xml:space="preserve">, M., </w:t>
      </w:r>
      <w:proofErr w:type="spellStart"/>
      <w:r w:rsidRPr="00734AB6">
        <w:rPr>
          <w:rFonts w:asciiTheme="majorHAnsi" w:hAnsiTheme="majorHAnsi"/>
        </w:rPr>
        <w:t>Canonico</w:t>
      </w:r>
      <w:proofErr w:type="spellEnd"/>
      <w:r w:rsidRPr="00734AB6">
        <w:rPr>
          <w:rFonts w:asciiTheme="majorHAnsi" w:hAnsiTheme="majorHAnsi"/>
        </w:rPr>
        <w:t>, P. L., ... &amp; Stahl, S. (2007). The other face of depression, reduced positive affect: the role of catecholamines in causation and cure. </w:t>
      </w:r>
      <w:r w:rsidRPr="00734AB6">
        <w:rPr>
          <w:rFonts w:asciiTheme="majorHAnsi" w:hAnsiTheme="majorHAnsi"/>
          <w:i/>
          <w:iCs/>
        </w:rPr>
        <w:t>Journal of Psychopharmacology</w:t>
      </w:r>
      <w:r w:rsidRPr="00734AB6">
        <w:rPr>
          <w:rFonts w:asciiTheme="majorHAnsi" w:hAnsiTheme="majorHAnsi"/>
        </w:rPr>
        <w:t>, </w:t>
      </w:r>
      <w:r w:rsidRPr="00734AB6">
        <w:rPr>
          <w:rFonts w:asciiTheme="majorHAnsi" w:hAnsiTheme="majorHAnsi"/>
          <w:i/>
          <w:iCs/>
        </w:rPr>
        <w:t>21</w:t>
      </w:r>
      <w:r w:rsidRPr="00734AB6">
        <w:rPr>
          <w:rFonts w:asciiTheme="majorHAnsi" w:hAnsiTheme="majorHAnsi"/>
        </w:rPr>
        <w:t>(5), 461-471.</w:t>
      </w:r>
    </w:p>
    <w:p w14:paraId="0ECB8B91" w14:textId="03430F5A" w:rsidR="00500566" w:rsidRPr="00734AB6" w:rsidRDefault="00500566" w:rsidP="00D06771">
      <w:pPr>
        <w:spacing w:line="360" w:lineRule="auto"/>
        <w:ind w:left="720" w:hanging="720"/>
        <w:rPr>
          <w:rFonts w:asciiTheme="majorHAnsi" w:hAnsiTheme="majorHAnsi" w:cs="Arial"/>
        </w:rPr>
      </w:pPr>
      <w:r w:rsidRPr="00734AB6">
        <w:rPr>
          <w:rFonts w:asciiTheme="majorHAnsi" w:hAnsiTheme="majorHAnsi" w:cs="Arial"/>
        </w:rPr>
        <w:t>O’Brien, C. P. (2011). Drug addiction. </w:t>
      </w:r>
      <w:r w:rsidR="00BA2746" w:rsidRPr="00734AB6">
        <w:rPr>
          <w:rFonts w:asciiTheme="majorHAnsi" w:hAnsiTheme="majorHAnsi" w:cs="Arial"/>
        </w:rPr>
        <w:t xml:space="preserve">In </w:t>
      </w:r>
      <w:r w:rsidR="009437B4" w:rsidRPr="00734AB6">
        <w:rPr>
          <w:rFonts w:asciiTheme="majorHAnsi" w:hAnsiTheme="majorHAnsi" w:cs="Arial"/>
        </w:rPr>
        <w:t xml:space="preserve">L. L. Brunton, B. A. </w:t>
      </w:r>
      <w:proofErr w:type="spellStart"/>
      <w:r w:rsidR="009437B4" w:rsidRPr="00734AB6">
        <w:rPr>
          <w:rFonts w:asciiTheme="majorHAnsi" w:hAnsiTheme="majorHAnsi" w:cs="Arial"/>
        </w:rPr>
        <w:t>Chabner</w:t>
      </w:r>
      <w:proofErr w:type="spellEnd"/>
      <w:r w:rsidR="009437B4" w:rsidRPr="00734AB6">
        <w:rPr>
          <w:rFonts w:asciiTheme="majorHAnsi" w:hAnsiTheme="majorHAnsi" w:cs="Arial"/>
        </w:rPr>
        <w:t xml:space="preserve"> &amp; B. C. </w:t>
      </w:r>
      <w:proofErr w:type="spellStart"/>
      <w:r w:rsidR="009437B4" w:rsidRPr="00734AB6">
        <w:rPr>
          <w:rFonts w:asciiTheme="majorHAnsi" w:hAnsiTheme="majorHAnsi" w:cs="Arial"/>
        </w:rPr>
        <w:t>Knollmann</w:t>
      </w:r>
      <w:proofErr w:type="spellEnd"/>
      <w:r w:rsidR="009437B4" w:rsidRPr="00734AB6">
        <w:rPr>
          <w:rFonts w:asciiTheme="majorHAnsi" w:hAnsiTheme="majorHAnsi" w:cs="Arial"/>
        </w:rPr>
        <w:t xml:space="preserve"> (Eds.) </w:t>
      </w:r>
      <w:r w:rsidRPr="00734AB6">
        <w:rPr>
          <w:rFonts w:asciiTheme="majorHAnsi" w:hAnsiTheme="majorHAnsi" w:cs="Arial"/>
          <w:i/>
          <w:iCs/>
        </w:rPr>
        <w:t xml:space="preserve">Goodman &amp; Gilman’s the pharmacological basis of therapeutics. 12th ed. </w:t>
      </w:r>
      <w:r w:rsidR="009A3DC3" w:rsidRPr="00734AB6">
        <w:rPr>
          <w:rFonts w:asciiTheme="majorHAnsi" w:hAnsiTheme="majorHAnsi" w:cs="Arial"/>
          <w:iCs/>
        </w:rPr>
        <w:t xml:space="preserve">(pp. 649-66). </w:t>
      </w:r>
      <w:r w:rsidRPr="00734AB6">
        <w:rPr>
          <w:rFonts w:asciiTheme="majorHAnsi" w:hAnsiTheme="majorHAnsi" w:cs="Arial"/>
          <w:iCs/>
        </w:rPr>
        <w:t>New York: McGraw-Hill</w:t>
      </w:r>
      <w:r w:rsidR="009A3DC3" w:rsidRPr="00734AB6">
        <w:rPr>
          <w:rFonts w:asciiTheme="majorHAnsi" w:hAnsiTheme="majorHAnsi" w:cs="Arial"/>
        </w:rPr>
        <w:t>.</w:t>
      </w:r>
    </w:p>
    <w:p w14:paraId="737DD815" w14:textId="454A373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Ott, R</w:t>
      </w:r>
      <w:r w:rsidR="008F43F2" w:rsidRPr="00734AB6">
        <w:rPr>
          <w:rFonts w:asciiTheme="majorHAnsi" w:eastAsia="Calibri" w:hAnsiTheme="majorHAnsi" w:cs="Calibri"/>
        </w:rPr>
        <w:t>.</w:t>
      </w:r>
      <w:r w:rsidRPr="00734AB6">
        <w:rPr>
          <w:rFonts w:asciiTheme="majorHAnsi" w:eastAsia="Calibri" w:hAnsiTheme="majorHAnsi" w:cs="Calibri"/>
        </w:rPr>
        <w:t xml:space="preserve"> </w:t>
      </w:r>
      <w:r w:rsidR="008F43F2" w:rsidRPr="00734AB6">
        <w:rPr>
          <w:rFonts w:asciiTheme="majorHAnsi" w:eastAsia="Calibri" w:hAnsiTheme="majorHAnsi" w:cs="Calibri"/>
        </w:rPr>
        <w:t>&amp;</w:t>
      </w:r>
      <w:r w:rsidRPr="00734AB6">
        <w:rPr>
          <w:rFonts w:asciiTheme="majorHAnsi" w:eastAsia="Calibri" w:hAnsiTheme="majorHAnsi" w:cs="Calibri"/>
        </w:rPr>
        <w:t xml:space="preserve"> Biller-</w:t>
      </w:r>
      <w:proofErr w:type="spellStart"/>
      <w:r w:rsidRPr="00734AB6">
        <w:rPr>
          <w:rFonts w:asciiTheme="majorHAnsi" w:eastAsia="Calibri" w:hAnsiTheme="majorHAnsi" w:cs="Calibri"/>
        </w:rPr>
        <w:t>Andorno</w:t>
      </w:r>
      <w:proofErr w:type="spellEnd"/>
      <w:r w:rsidRPr="00734AB6">
        <w:rPr>
          <w:rFonts w:asciiTheme="majorHAnsi" w:eastAsia="Calibri" w:hAnsiTheme="majorHAnsi" w:cs="Calibri"/>
        </w:rPr>
        <w:t>, N</w:t>
      </w:r>
      <w:r w:rsidR="008F43F2" w:rsidRPr="00734AB6">
        <w:rPr>
          <w:rFonts w:asciiTheme="majorHAnsi" w:eastAsia="Calibri" w:hAnsiTheme="majorHAnsi" w:cs="Calibri"/>
        </w:rPr>
        <w:t>.</w:t>
      </w:r>
      <w:r w:rsidRPr="00734AB6">
        <w:rPr>
          <w:rFonts w:asciiTheme="majorHAnsi" w:eastAsia="Calibri" w:hAnsiTheme="majorHAnsi" w:cs="Calibri"/>
        </w:rPr>
        <w:t xml:space="preserve"> (2014). Neuroenhancement among Swiss students–a comparison of users and non-users. </w:t>
      </w:r>
      <w:proofErr w:type="spellStart"/>
      <w:r w:rsidRPr="00734AB6">
        <w:rPr>
          <w:rFonts w:asciiTheme="majorHAnsi" w:eastAsia="Calibri" w:hAnsiTheme="majorHAnsi" w:cs="Calibri"/>
          <w:i/>
          <w:iCs/>
        </w:rPr>
        <w:t>Pharmacopsychiatry</w:t>
      </w:r>
      <w:proofErr w:type="spellEnd"/>
      <w:r w:rsidRPr="00734AB6">
        <w:rPr>
          <w:rFonts w:asciiTheme="majorHAnsi" w:eastAsia="Calibri" w:hAnsiTheme="majorHAnsi" w:cs="Calibri"/>
        </w:rPr>
        <w:t>, </w:t>
      </w:r>
      <w:r w:rsidRPr="00734AB6">
        <w:rPr>
          <w:rFonts w:asciiTheme="majorHAnsi" w:eastAsia="Calibri" w:hAnsiTheme="majorHAnsi" w:cs="Calibri"/>
          <w:i/>
          <w:iCs/>
        </w:rPr>
        <w:t>47</w:t>
      </w:r>
      <w:r w:rsidRPr="00734AB6">
        <w:rPr>
          <w:rFonts w:asciiTheme="majorHAnsi" w:eastAsia="Calibri" w:hAnsiTheme="majorHAnsi" w:cs="Calibri"/>
        </w:rPr>
        <w:t>(01), 22-28.</w:t>
      </w:r>
    </w:p>
    <w:p w14:paraId="39D25FD3" w14:textId="74250F85" w:rsidR="004676EF" w:rsidRPr="00734AB6" w:rsidRDefault="004676EF" w:rsidP="00D06771">
      <w:pPr>
        <w:spacing w:line="360" w:lineRule="auto"/>
        <w:ind w:left="720" w:hanging="720"/>
        <w:rPr>
          <w:rFonts w:asciiTheme="majorHAnsi" w:hAnsiTheme="majorHAnsi" w:cs="Arial"/>
        </w:rPr>
      </w:pPr>
      <w:proofErr w:type="spellStart"/>
      <w:r w:rsidRPr="00734AB6">
        <w:rPr>
          <w:rFonts w:asciiTheme="majorHAnsi" w:hAnsiTheme="majorHAnsi" w:cs="Arial"/>
        </w:rPr>
        <w:t>Parens</w:t>
      </w:r>
      <w:proofErr w:type="spellEnd"/>
      <w:r w:rsidR="008F43F2" w:rsidRPr="00734AB6">
        <w:rPr>
          <w:rFonts w:asciiTheme="majorHAnsi" w:hAnsiTheme="majorHAnsi" w:cs="Arial"/>
        </w:rPr>
        <w:t>, E.</w:t>
      </w:r>
      <w:r w:rsidRPr="00734AB6">
        <w:rPr>
          <w:rFonts w:asciiTheme="majorHAnsi" w:hAnsiTheme="majorHAnsi" w:cs="Arial"/>
        </w:rPr>
        <w:t xml:space="preserve"> (Ed.)</w:t>
      </w:r>
      <w:r w:rsidR="008F43F2" w:rsidRPr="00734AB6">
        <w:rPr>
          <w:rFonts w:asciiTheme="majorHAnsi" w:hAnsiTheme="majorHAnsi" w:cs="Arial"/>
        </w:rPr>
        <w:t>. (1998).</w:t>
      </w:r>
      <w:r w:rsidRPr="00734AB6">
        <w:rPr>
          <w:rFonts w:asciiTheme="majorHAnsi" w:hAnsiTheme="majorHAnsi" w:cs="Arial"/>
        </w:rPr>
        <w:t xml:space="preserve"> </w:t>
      </w:r>
      <w:r w:rsidRPr="00734AB6">
        <w:rPr>
          <w:rFonts w:asciiTheme="majorHAnsi" w:hAnsiTheme="majorHAnsi" w:cs="Arial"/>
          <w:i/>
        </w:rPr>
        <w:t>Enhancing Human Traits: Ethical and Societal Implications</w:t>
      </w:r>
      <w:r w:rsidRPr="00734AB6">
        <w:rPr>
          <w:rFonts w:asciiTheme="majorHAnsi" w:hAnsiTheme="majorHAnsi" w:cs="Arial"/>
        </w:rPr>
        <w:t xml:space="preserve"> (pp.29 – 47). </w:t>
      </w:r>
      <w:r w:rsidR="00E85170" w:rsidRPr="00734AB6">
        <w:rPr>
          <w:rFonts w:asciiTheme="majorHAnsi" w:hAnsiTheme="majorHAnsi" w:cs="Arial"/>
        </w:rPr>
        <w:t xml:space="preserve">Washington DC: </w:t>
      </w:r>
      <w:r w:rsidRPr="00734AB6">
        <w:rPr>
          <w:rFonts w:asciiTheme="majorHAnsi" w:hAnsiTheme="majorHAnsi" w:cs="Arial"/>
        </w:rPr>
        <w:t>Georgetown University Press</w:t>
      </w:r>
    </w:p>
    <w:p w14:paraId="56B2F067" w14:textId="15E4F085"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r w:rsidRPr="00734AB6">
        <w:rPr>
          <w:rFonts w:asciiTheme="majorHAnsi" w:hAnsiTheme="majorHAnsi" w:cstheme="minorHAnsi"/>
          <w:shd w:val="clear" w:color="auto" w:fill="FFFFFF"/>
        </w:rPr>
        <w:lastRenderedPageBreak/>
        <w:t xml:space="preserve">Partridge, B. J., Bell, S. K., </w:t>
      </w:r>
      <w:proofErr w:type="spellStart"/>
      <w:r w:rsidRPr="00734AB6">
        <w:rPr>
          <w:rFonts w:asciiTheme="majorHAnsi" w:hAnsiTheme="majorHAnsi" w:cstheme="minorHAnsi"/>
          <w:shd w:val="clear" w:color="auto" w:fill="FFFFFF"/>
        </w:rPr>
        <w:t>Lucke</w:t>
      </w:r>
      <w:proofErr w:type="spellEnd"/>
      <w:r w:rsidRPr="00734AB6">
        <w:rPr>
          <w:rFonts w:asciiTheme="majorHAnsi" w:hAnsiTheme="majorHAnsi" w:cstheme="minorHAnsi"/>
          <w:shd w:val="clear" w:color="auto" w:fill="FFFFFF"/>
        </w:rPr>
        <w:t xml:space="preserve">, J. C., </w:t>
      </w:r>
      <w:proofErr w:type="spellStart"/>
      <w:r w:rsidRPr="00734AB6">
        <w:rPr>
          <w:rFonts w:asciiTheme="majorHAnsi" w:hAnsiTheme="majorHAnsi" w:cstheme="minorHAnsi"/>
          <w:shd w:val="clear" w:color="auto" w:fill="FFFFFF"/>
        </w:rPr>
        <w:t>Yeates</w:t>
      </w:r>
      <w:proofErr w:type="spellEnd"/>
      <w:r w:rsidRPr="00734AB6">
        <w:rPr>
          <w:rFonts w:asciiTheme="majorHAnsi" w:hAnsiTheme="majorHAnsi" w:cstheme="minorHAnsi"/>
          <w:shd w:val="clear" w:color="auto" w:fill="FFFFFF"/>
        </w:rPr>
        <w:t>, S., &amp; Hall, W. D. (2011). Smart drugs “as common as coffee”: media hype about neuroenhancement.</w:t>
      </w:r>
      <w:r w:rsidRPr="00734AB6">
        <w:rPr>
          <w:rStyle w:val="apple-converted-space"/>
          <w:rFonts w:asciiTheme="majorHAnsi" w:hAnsiTheme="majorHAnsi" w:cstheme="minorHAnsi"/>
          <w:shd w:val="clear" w:color="auto" w:fill="FFFFFF"/>
        </w:rPr>
        <w:t> </w:t>
      </w:r>
      <w:proofErr w:type="spellStart"/>
      <w:r w:rsidRPr="00734AB6">
        <w:rPr>
          <w:rFonts w:asciiTheme="majorHAnsi" w:hAnsiTheme="majorHAnsi" w:cstheme="minorHAnsi"/>
          <w:i/>
          <w:iCs/>
          <w:shd w:val="clear" w:color="auto" w:fill="FFFFFF"/>
        </w:rPr>
        <w:t>PloS</w:t>
      </w:r>
      <w:proofErr w:type="spellEnd"/>
      <w:r w:rsidRPr="00734AB6">
        <w:rPr>
          <w:rFonts w:asciiTheme="majorHAnsi" w:hAnsiTheme="majorHAnsi" w:cstheme="minorHAnsi"/>
          <w:i/>
          <w:iCs/>
          <w:shd w:val="clear" w:color="auto" w:fill="FFFFFF"/>
        </w:rPr>
        <w:t xml:space="preserve"> </w:t>
      </w:r>
      <w:r w:rsidR="00E85170" w:rsidRPr="00734AB6">
        <w:rPr>
          <w:rFonts w:asciiTheme="majorHAnsi" w:hAnsiTheme="majorHAnsi" w:cstheme="minorHAnsi"/>
          <w:i/>
          <w:iCs/>
          <w:shd w:val="clear" w:color="auto" w:fill="FFFFFF"/>
        </w:rPr>
        <w:t>O</w:t>
      </w:r>
      <w:r w:rsidRPr="00734AB6">
        <w:rPr>
          <w:rFonts w:asciiTheme="majorHAnsi" w:hAnsiTheme="majorHAnsi" w:cstheme="minorHAnsi"/>
          <w:i/>
          <w:iCs/>
          <w:shd w:val="clear" w:color="auto" w:fill="FFFFFF"/>
        </w:rPr>
        <w:t>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6</w:t>
      </w:r>
      <w:r w:rsidRPr="00734AB6">
        <w:rPr>
          <w:rFonts w:asciiTheme="majorHAnsi" w:hAnsiTheme="majorHAnsi" w:cstheme="minorHAnsi"/>
          <w:shd w:val="clear" w:color="auto" w:fill="FFFFFF"/>
        </w:rPr>
        <w:t>(11), e28416.</w:t>
      </w:r>
    </w:p>
    <w:p w14:paraId="29BD7596" w14:textId="49852F5A"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Patton, J</w:t>
      </w:r>
      <w:r w:rsidR="00E85170" w:rsidRPr="00734AB6">
        <w:rPr>
          <w:rFonts w:asciiTheme="majorHAnsi" w:eastAsia="Calibri" w:hAnsiTheme="majorHAnsi" w:cs="Calibri"/>
        </w:rPr>
        <w:t xml:space="preserve">. </w:t>
      </w:r>
      <w:r w:rsidRPr="00734AB6">
        <w:rPr>
          <w:rFonts w:asciiTheme="majorHAnsi" w:eastAsia="Calibri" w:hAnsiTheme="majorHAnsi" w:cs="Calibri"/>
        </w:rPr>
        <w:t>H</w:t>
      </w:r>
      <w:r w:rsidR="00E85170" w:rsidRPr="00734AB6">
        <w:rPr>
          <w:rFonts w:asciiTheme="majorHAnsi" w:eastAsia="Calibri" w:hAnsiTheme="majorHAnsi" w:cs="Calibri"/>
        </w:rPr>
        <w:t>.</w:t>
      </w:r>
      <w:r w:rsidRPr="00734AB6">
        <w:rPr>
          <w:rFonts w:asciiTheme="majorHAnsi" w:eastAsia="Calibri" w:hAnsiTheme="majorHAnsi" w:cs="Calibri"/>
        </w:rPr>
        <w:t>, Stanford, M</w:t>
      </w:r>
      <w:r w:rsidR="00E85170" w:rsidRPr="00734AB6">
        <w:rPr>
          <w:rFonts w:asciiTheme="majorHAnsi" w:eastAsia="Calibri" w:hAnsiTheme="majorHAnsi" w:cs="Calibri"/>
        </w:rPr>
        <w:t xml:space="preserve">. </w:t>
      </w:r>
      <w:r w:rsidRPr="00734AB6">
        <w:rPr>
          <w:rFonts w:asciiTheme="majorHAnsi" w:eastAsia="Calibri" w:hAnsiTheme="majorHAnsi" w:cs="Calibri"/>
        </w:rPr>
        <w:t>S</w:t>
      </w:r>
      <w:r w:rsidR="00E85170"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Barratt, E</w:t>
      </w:r>
      <w:r w:rsidR="00E85170" w:rsidRPr="00734AB6">
        <w:rPr>
          <w:rFonts w:asciiTheme="majorHAnsi" w:eastAsia="Calibri" w:hAnsiTheme="majorHAnsi" w:cs="Calibri"/>
        </w:rPr>
        <w:t xml:space="preserve">. </w:t>
      </w:r>
      <w:r w:rsidRPr="00734AB6">
        <w:rPr>
          <w:rFonts w:asciiTheme="majorHAnsi" w:eastAsia="Calibri" w:hAnsiTheme="majorHAnsi" w:cs="Calibri"/>
        </w:rPr>
        <w:t>S</w:t>
      </w:r>
      <w:r w:rsidR="00E85170" w:rsidRPr="00734AB6">
        <w:rPr>
          <w:rFonts w:asciiTheme="majorHAnsi" w:eastAsia="Calibri" w:hAnsiTheme="majorHAnsi" w:cs="Calibri"/>
        </w:rPr>
        <w:t>.</w:t>
      </w:r>
      <w:r w:rsidRPr="00734AB6">
        <w:rPr>
          <w:rFonts w:asciiTheme="majorHAnsi" w:eastAsia="Calibri" w:hAnsiTheme="majorHAnsi" w:cs="Calibri"/>
        </w:rPr>
        <w:t xml:space="preserve"> (1995). Factor structure of the Barratt Impulsiveness Scale. </w:t>
      </w:r>
      <w:r w:rsidRPr="00734AB6">
        <w:rPr>
          <w:rFonts w:asciiTheme="majorHAnsi" w:eastAsia="Calibri" w:hAnsiTheme="majorHAnsi" w:cs="Calibri"/>
          <w:i/>
        </w:rPr>
        <w:t>Journal of Clinical Psychology</w:t>
      </w:r>
      <w:r w:rsidRPr="00734AB6">
        <w:rPr>
          <w:rFonts w:asciiTheme="majorHAnsi" w:eastAsia="Calibri" w:hAnsiTheme="majorHAnsi" w:cs="Calibri"/>
        </w:rPr>
        <w:t xml:space="preserve">, </w:t>
      </w:r>
      <w:r w:rsidRPr="00734AB6">
        <w:rPr>
          <w:rFonts w:asciiTheme="majorHAnsi" w:eastAsia="Calibri" w:hAnsiTheme="majorHAnsi" w:cs="Calibri"/>
          <w:i/>
        </w:rPr>
        <w:t>51</w:t>
      </w:r>
      <w:r w:rsidRPr="00734AB6">
        <w:rPr>
          <w:rFonts w:asciiTheme="majorHAnsi" w:eastAsia="Calibri" w:hAnsiTheme="majorHAnsi" w:cs="Calibri"/>
        </w:rPr>
        <w:t>(6), 768-774</w:t>
      </w:r>
    </w:p>
    <w:p w14:paraId="6454D0FC" w14:textId="4D134ED4"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Paul, M. J., Chisolm, M. S., Johnson, M. W., </w:t>
      </w:r>
      <w:proofErr w:type="spellStart"/>
      <w:r w:rsidRPr="00734AB6">
        <w:rPr>
          <w:rFonts w:asciiTheme="majorHAnsi" w:eastAsia="Calibri" w:hAnsiTheme="majorHAnsi" w:cs="Calibri"/>
        </w:rPr>
        <w:t>Vandrey</w:t>
      </w:r>
      <w:proofErr w:type="spellEnd"/>
      <w:r w:rsidRPr="00734AB6">
        <w:rPr>
          <w:rFonts w:asciiTheme="majorHAnsi" w:eastAsia="Calibri" w:hAnsiTheme="majorHAnsi" w:cs="Calibri"/>
        </w:rPr>
        <w:t xml:space="preserve">, R. G., &amp; </w:t>
      </w:r>
      <w:proofErr w:type="spellStart"/>
      <w:r w:rsidRPr="00734AB6">
        <w:rPr>
          <w:rFonts w:asciiTheme="majorHAnsi" w:eastAsia="Calibri" w:hAnsiTheme="majorHAnsi" w:cs="Calibri"/>
        </w:rPr>
        <w:t>Dredze</w:t>
      </w:r>
      <w:proofErr w:type="spellEnd"/>
      <w:r w:rsidRPr="00734AB6">
        <w:rPr>
          <w:rFonts w:asciiTheme="majorHAnsi" w:eastAsia="Calibri" w:hAnsiTheme="majorHAnsi" w:cs="Calibri"/>
        </w:rPr>
        <w:t xml:space="preserve">, M. (2016). Assessing the validity of online drug forums as a source for estimating demographic and temporal trends in drug use. Journal of </w:t>
      </w:r>
      <w:r w:rsidR="00E85170" w:rsidRPr="00734AB6">
        <w:rPr>
          <w:rFonts w:asciiTheme="majorHAnsi" w:eastAsia="Calibri" w:hAnsiTheme="majorHAnsi" w:cs="Calibri"/>
        </w:rPr>
        <w:t>Addiction Medicine</w:t>
      </w:r>
      <w:r w:rsidRPr="00734AB6">
        <w:rPr>
          <w:rFonts w:asciiTheme="majorHAnsi" w:eastAsia="Calibri" w:hAnsiTheme="majorHAnsi" w:cs="Calibri"/>
        </w:rPr>
        <w:t xml:space="preserve">, </w:t>
      </w:r>
      <w:r w:rsidRPr="00734AB6">
        <w:rPr>
          <w:rFonts w:asciiTheme="majorHAnsi" w:eastAsia="Calibri" w:hAnsiTheme="majorHAnsi" w:cs="Calibri"/>
          <w:i/>
        </w:rPr>
        <w:t>10</w:t>
      </w:r>
      <w:r w:rsidRPr="00734AB6">
        <w:rPr>
          <w:rFonts w:asciiTheme="majorHAnsi" w:eastAsia="Calibri" w:hAnsiTheme="majorHAnsi" w:cs="Calibri"/>
        </w:rPr>
        <w:t>(5), 324-330.</w:t>
      </w:r>
    </w:p>
    <w:p w14:paraId="24E2370E" w14:textId="7BE950DC"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Peñaloza</w:t>
      </w:r>
      <w:proofErr w:type="spellEnd"/>
      <w:r w:rsidRPr="00734AB6">
        <w:rPr>
          <w:rFonts w:asciiTheme="majorHAnsi" w:eastAsia="Calibri" w:hAnsiTheme="majorHAnsi" w:cs="Calibri"/>
        </w:rPr>
        <w:t>, R</w:t>
      </w:r>
      <w:r w:rsidR="00E85170" w:rsidRPr="00734AB6">
        <w:rPr>
          <w:rFonts w:asciiTheme="majorHAnsi" w:eastAsia="Calibri" w:hAnsiTheme="majorHAnsi" w:cs="Calibri"/>
        </w:rPr>
        <w:t>.</w:t>
      </w:r>
      <w:r w:rsidRPr="00734AB6">
        <w:rPr>
          <w:rFonts w:asciiTheme="majorHAnsi" w:eastAsia="Calibri" w:hAnsiTheme="majorHAnsi" w:cs="Calibri"/>
        </w:rPr>
        <w:t xml:space="preserve"> A</w:t>
      </w:r>
      <w:r w:rsidR="00E85170" w:rsidRPr="00734AB6">
        <w:rPr>
          <w:rFonts w:asciiTheme="majorHAnsi" w:eastAsia="Calibri" w:hAnsiTheme="majorHAnsi" w:cs="Calibri"/>
        </w:rPr>
        <w:t>.</w:t>
      </w:r>
      <w:r w:rsidRPr="00734AB6">
        <w:rPr>
          <w:rFonts w:asciiTheme="majorHAnsi" w:eastAsia="Calibri" w:hAnsiTheme="majorHAnsi" w:cs="Calibri"/>
        </w:rPr>
        <w:t>, Sarkar, U</w:t>
      </w:r>
      <w:r w:rsidR="00E85170"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Claman</w:t>
      </w:r>
      <w:proofErr w:type="spellEnd"/>
      <w:r w:rsidRPr="00734AB6">
        <w:rPr>
          <w:rFonts w:asciiTheme="majorHAnsi" w:eastAsia="Calibri" w:hAnsiTheme="majorHAnsi" w:cs="Calibri"/>
        </w:rPr>
        <w:t>, D</w:t>
      </w:r>
      <w:r w:rsidR="00E85170" w:rsidRPr="00734AB6">
        <w:rPr>
          <w:rFonts w:asciiTheme="majorHAnsi" w:eastAsia="Calibri" w:hAnsiTheme="majorHAnsi" w:cs="Calibri"/>
        </w:rPr>
        <w:t xml:space="preserve">. </w:t>
      </w:r>
      <w:r w:rsidRPr="00734AB6">
        <w:rPr>
          <w:rFonts w:asciiTheme="majorHAnsi" w:eastAsia="Calibri" w:hAnsiTheme="majorHAnsi" w:cs="Calibri"/>
        </w:rPr>
        <w:t>M</w:t>
      </w:r>
      <w:r w:rsidR="00E85170"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Omachi</w:t>
      </w:r>
      <w:proofErr w:type="spellEnd"/>
      <w:r w:rsidRPr="00734AB6">
        <w:rPr>
          <w:rFonts w:asciiTheme="majorHAnsi" w:eastAsia="Calibri" w:hAnsiTheme="majorHAnsi" w:cs="Calibri"/>
        </w:rPr>
        <w:t>, T</w:t>
      </w:r>
      <w:r w:rsidR="00E85170" w:rsidRPr="00734AB6">
        <w:rPr>
          <w:rFonts w:asciiTheme="majorHAnsi" w:eastAsia="Calibri" w:hAnsiTheme="majorHAnsi" w:cs="Calibri"/>
        </w:rPr>
        <w:t xml:space="preserve">. </w:t>
      </w:r>
      <w:r w:rsidRPr="00734AB6">
        <w:rPr>
          <w:rFonts w:asciiTheme="majorHAnsi" w:eastAsia="Calibri" w:hAnsiTheme="majorHAnsi" w:cs="Calibri"/>
        </w:rPr>
        <w:t>A</w:t>
      </w:r>
      <w:r w:rsidR="00E85170" w:rsidRPr="00734AB6">
        <w:rPr>
          <w:rFonts w:asciiTheme="majorHAnsi" w:eastAsia="Calibri" w:hAnsiTheme="majorHAnsi" w:cs="Calibri"/>
        </w:rPr>
        <w:t>.</w:t>
      </w:r>
      <w:r w:rsidRPr="00734AB6">
        <w:rPr>
          <w:rFonts w:asciiTheme="majorHAnsi" w:eastAsia="Calibri" w:hAnsiTheme="majorHAnsi" w:cs="Calibri"/>
        </w:rPr>
        <w:t xml:space="preserve"> (2013). Trends in on-label and off-label modafinil use in a nationally representative sample. </w:t>
      </w:r>
      <w:r w:rsidRPr="00734AB6">
        <w:rPr>
          <w:rFonts w:asciiTheme="majorHAnsi" w:eastAsia="Calibri" w:hAnsiTheme="majorHAnsi" w:cs="Calibri"/>
          <w:i/>
          <w:iCs/>
        </w:rPr>
        <w:t>JAMA Internal Medicine</w:t>
      </w:r>
      <w:r w:rsidRPr="00734AB6">
        <w:rPr>
          <w:rFonts w:asciiTheme="majorHAnsi" w:eastAsia="Calibri" w:hAnsiTheme="majorHAnsi" w:cs="Calibri"/>
        </w:rPr>
        <w:t>, </w:t>
      </w:r>
      <w:r w:rsidRPr="00734AB6">
        <w:rPr>
          <w:rFonts w:asciiTheme="majorHAnsi" w:eastAsia="Calibri" w:hAnsiTheme="majorHAnsi" w:cs="Calibri"/>
          <w:i/>
          <w:iCs/>
        </w:rPr>
        <w:t>173</w:t>
      </w:r>
      <w:r w:rsidRPr="00734AB6">
        <w:rPr>
          <w:rFonts w:asciiTheme="majorHAnsi" w:eastAsia="Calibri" w:hAnsiTheme="majorHAnsi" w:cs="Calibri"/>
        </w:rPr>
        <w:t>(8), 704-706.</w:t>
      </w:r>
    </w:p>
    <w:p w14:paraId="1566CFF5" w14:textId="77777777"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Pereira, F. A., </w:t>
      </w:r>
      <w:proofErr w:type="spellStart"/>
      <w:r w:rsidRPr="00734AB6">
        <w:rPr>
          <w:rFonts w:asciiTheme="majorHAnsi" w:hAnsiTheme="majorHAnsi" w:cstheme="minorHAnsi"/>
          <w:shd w:val="clear" w:color="auto" w:fill="FFFFFF"/>
        </w:rPr>
        <w:t>Mudgil</w:t>
      </w:r>
      <w:proofErr w:type="spellEnd"/>
      <w:r w:rsidRPr="00734AB6">
        <w:rPr>
          <w:rFonts w:asciiTheme="majorHAnsi" w:hAnsiTheme="majorHAnsi" w:cstheme="minorHAnsi"/>
          <w:shd w:val="clear" w:color="auto" w:fill="FFFFFF"/>
        </w:rPr>
        <w:t xml:space="preserve">, A. V., &amp; </w:t>
      </w:r>
      <w:proofErr w:type="spellStart"/>
      <w:r w:rsidRPr="00734AB6">
        <w:rPr>
          <w:rFonts w:asciiTheme="majorHAnsi" w:hAnsiTheme="majorHAnsi" w:cstheme="minorHAnsi"/>
          <w:shd w:val="clear" w:color="auto" w:fill="FFFFFF"/>
        </w:rPr>
        <w:t>Rosmarin</w:t>
      </w:r>
      <w:proofErr w:type="spellEnd"/>
      <w:r w:rsidRPr="00734AB6">
        <w:rPr>
          <w:rFonts w:asciiTheme="majorHAnsi" w:hAnsiTheme="majorHAnsi" w:cstheme="minorHAnsi"/>
          <w:shd w:val="clear" w:color="auto" w:fill="FFFFFF"/>
        </w:rPr>
        <w:t>, D. M. (2007). Toxic epidermal necrolysis.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Journal of the American Academy of Dermatology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56</w:t>
      </w:r>
      <w:r w:rsidRPr="00734AB6">
        <w:rPr>
          <w:rFonts w:asciiTheme="majorHAnsi" w:hAnsiTheme="majorHAnsi" w:cstheme="minorHAnsi"/>
          <w:shd w:val="clear" w:color="auto" w:fill="FFFFFF"/>
        </w:rPr>
        <w:t>(2), 181-200.</w:t>
      </w:r>
    </w:p>
    <w:p w14:paraId="2444A280" w14:textId="03E324B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Peterkin, A. L., Crone, C. C., Sheridan, M. J., &amp; Wise, T. N. (2011). Cognitive performance enhancement: misuse or self-treatment?. </w:t>
      </w:r>
      <w:r w:rsidRPr="00734AB6">
        <w:rPr>
          <w:rFonts w:asciiTheme="majorHAnsi" w:eastAsia="Calibri" w:hAnsiTheme="majorHAnsi" w:cs="Calibri"/>
          <w:i/>
          <w:iCs/>
        </w:rPr>
        <w:t xml:space="preserve">Journal of </w:t>
      </w:r>
      <w:r w:rsidR="00E85170" w:rsidRPr="00734AB6">
        <w:rPr>
          <w:rFonts w:asciiTheme="majorHAnsi" w:eastAsia="Calibri" w:hAnsiTheme="majorHAnsi" w:cs="Calibri"/>
          <w:i/>
          <w:iCs/>
        </w:rPr>
        <w:t>Attention Disorders</w:t>
      </w:r>
      <w:r w:rsidRPr="00734AB6">
        <w:rPr>
          <w:rFonts w:asciiTheme="majorHAnsi" w:eastAsia="Calibri" w:hAnsiTheme="majorHAnsi" w:cs="Calibri"/>
        </w:rPr>
        <w:t>, </w:t>
      </w:r>
      <w:r w:rsidRPr="00734AB6">
        <w:rPr>
          <w:rFonts w:asciiTheme="majorHAnsi" w:eastAsia="Calibri" w:hAnsiTheme="majorHAnsi" w:cs="Calibri"/>
          <w:i/>
          <w:iCs/>
        </w:rPr>
        <w:t>15</w:t>
      </w:r>
      <w:r w:rsidRPr="00734AB6">
        <w:rPr>
          <w:rFonts w:asciiTheme="majorHAnsi" w:eastAsia="Calibri" w:hAnsiTheme="majorHAnsi" w:cs="Calibri"/>
        </w:rPr>
        <w:t>(4), 263-268.</w:t>
      </w:r>
    </w:p>
    <w:p w14:paraId="781AE0B0" w14:textId="062838B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Petersen, M</w:t>
      </w:r>
      <w:r w:rsidR="00E85170" w:rsidRPr="00734AB6">
        <w:rPr>
          <w:rFonts w:asciiTheme="majorHAnsi" w:eastAsia="Calibri" w:hAnsiTheme="majorHAnsi" w:cs="Calibri"/>
        </w:rPr>
        <w:t xml:space="preserve">. </w:t>
      </w:r>
      <w:r w:rsidRPr="00734AB6">
        <w:rPr>
          <w:rFonts w:asciiTheme="majorHAnsi" w:eastAsia="Calibri" w:hAnsiTheme="majorHAnsi" w:cs="Calibri"/>
        </w:rPr>
        <w:t>A</w:t>
      </w:r>
      <w:r w:rsidR="00E85170"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Nørgaard</w:t>
      </w:r>
      <w:proofErr w:type="spellEnd"/>
      <w:r w:rsidRPr="00734AB6">
        <w:rPr>
          <w:rFonts w:asciiTheme="majorHAnsi" w:eastAsia="Calibri" w:hAnsiTheme="majorHAnsi" w:cs="Calibri"/>
        </w:rPr>
        <w:t>, L</w:t>
      </w:r>
      <w:r w:rsidR="00E85170" w:rsidRPr="00734AB6">
        <w:rPr>
          <w:rFonts w:asciiTheme="majorHAnsi" w:eastAsia="Calibri" w:hAnsiTheme="majorHAnsi" w:cs="Calibri"/>
        </w:rPr>
        <w:t xml:space="preserve">. </w:t>
      </w:r>
      <w:r w:rsidRPr="00734AB6">
        <w:rPr>
          <w:rFonts w:asciiTheme="majorHAnsi" w:eastAsia="Calibri" w:hAnsiTheme="majorHAnsi" w:cs="Calibri"/>
        </w:rPr>
        <w:t>S</w:t>
      </w:r>
      <w:r w:rsidR="00E85170" w:rsidRPr="00734AB6">
        <w:rPr>
          <w:rFonts w:asciiTheme="majorHAnsi" w:eastAsia="Calibri" w:hAnsiTheme="majorHAnsi" w:cs="Calibri"/>
        </w:rPr>
        <w:t>.</w:t>
      </w:r>
      <w:r w:rsidRPr="00734AB6">
        <w:rPr>
          <w:rFonts w:asciiTheme="majorHAnsi" w:eastAsia="Calibri" w:hAnsiTheme="majorHAnsi" w:cs="Calibri"/>
        </w:rPr>
        <w:t xml:space="preserve"> </w:t>
      </w:r>
      <w:r w:rsidR="00025126"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Traulsen</w:t>
      </w:r>
      <w:proofErr w:type="spellEnd"/>
      <w:r w:rsidRPr="00734AB6">
        <w:rPr>
          <w:rFonts w:asciiTheme="majorHAnsi" w:eastAsia="Calibri" w:hAnsiTheme="majorHAnsi" w:cs="Calibri"/>
        </w:rPr>
        <w:t>, J</w:t>
      </w:r>
      <w:r w:rsidR="00E85170" w:rsidRPr="00734AB6">
        <w:rPr>
          <w:rFonts w:asciiTheme="majorHAnsi" w:eastAsia="Calibri" w:hAnsiTheme="majorHAnsi" w:cs="Calibri"/>
        </w:rPr>
        <w:t xml:space="preserve">. </w:t>
      </w:r>
      <w:r w:rsidRPr="00734AB6">
        <w:rPr>
          <w:rFonts w:asciiTheme="majorHAnsi" w:eastAsia="Calibri" w:hAnsiTheme="majorHAnsi" w:cs="Calibri"/>
        </w:rPr>
        <w:t>M</w:t>
      </w:r>
      <w:r w:rsidR="00E85170" w:rsidRPr="00734AB6">
        <w:rPr>
          <w:rFonts w:asciiTheme="majorHAnsi" w:eastAsia="Calibri" w:hAnsiTheme="majorHAnsi" w:cs="Calibri"/>
        </w:rPr>
        <w:t>.</w:t>
      </w:r>
      <w:r w:rsidRPr="00734AB6">
        <w:rPr>
          <w:rFonts w:asciiTheme="majorHAnsi" w:eastAsia="Calibri" w:hAnsiTheme="majorHAnsi" w:cs="Calibri"/>
        </w:rPr>
        <w:t xml:space="preserve"> (2015). Pursuing pleasures of productivity: University students’ use of prescription stimulants for enhancement and the moral uncertainty of making work fun. </w:t>
      </w:r>
      <w:r w:rsidRPr="00734AB6">
        <w:rPr>
          <w:rFonts w:asciiTheme="majorHAnsi" w:eastAsia="Calibri" w:hAnsiTheme="majorHAnsi" w:cs="Calibri"/>
          <w:i/>
          <w:iCs/>
        </w:rPr>
        <w:t>Culture, Medicine, and Psychiatry</w:t>
      </w:r>
      <w:r w:rsidRPr="00734AB6">
        <w:rPr>
          <w:rFonts w:asciiTheme="majorHAnsi" w:eastAsia="Calibri" w:hAnsiTheme="majorHAnsi" w:cs="Calibri"/>
        </w:rPr>
        <w:t>, </w:t>
      </w:r>
      <w:r w:rsidRPr="00734AB6">
        <w:rPr>
          <w:rFonts w:asciiTheme="majorHAnsi" w:eastAsia="Calibri" w:hAnsiTheme="majorHAnsi" w:cs="Calibri"/>
          <w:i/>
          <w:iCs/>
        </w:rPr>
        <w:t>39</w:t>
      </w:r>
      <w:r w:rsidRPr="00734AB6">
        <w:rPr>
          <w:rFonts w:asciiTheme="majorHAnsi" w:eastAsia="Calibri" w:hAnsiTheme="majorHAnsi" w:cs="Calibri"/>
        </w:rPr>
        <w:t>(4), 665-679.</w:t>
      </w:r>
    </w:p>
    <w:p w14:paraId="3A2AB820" w14:textId="77777777"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Ploner</w:t>
      </w:r>
      <w:proofErr w:type="spellEnd"/>
      <w:r w:rsidRPr="00734AB6">
        <w:rPr>
          <w:rFonts w:asciiTheme="majorHAnsi" w:hAnsiTheme="majorHAnsi" w:cstheme="minorHAnsi"/>
          <w:shd w:val="clear" w:color="auto" w:fill="FFFFFF"/>
        </w:rPr>
        <w:t xml:space="preserve">, C. J., </w:t>
      </w:r>
      <w:proofErr w:type="spellStart"/>
      <w:r w:rsidRPr="00734AB6">
        <w:rPr>
          <w:rFonts w:asciiTheme="majorHAnsi" w:hAnsiTheme="majorHAnsi" w:cstheme="minorHAnsi"/>
          <w:shd w:val="clear" w:color="auto" w:fill="FFFFFF"/>
        </w:rPr>
        <w:t>Gaymard</w:t>
      </w:r>
      <w:proofErr w:type="spellEnd"/>
      <w:r w:rsidRPr="00734AB6">
        <w:rPr>
          <w:rFonts w:asciiTheme="majorHAnsi" w:hAnsiTheme="majorHAnsi" w:cstheme="minorHAnsi"/>
          <w:shd w:val="clear" w:color="auto" w:fill="FFFFFF"/>
        </w:rPr>
        <w:t xml:space="preserve">, B. M., </w:t>
      </w:r>
      <w:proofErr w:type="spellStart"/>
      <w:r w:rsidRPr="00734AB6">
        <w:rPr>
          <w:rFonts w:asciiTheme="majorHAnsi" w:hAnsiTheme="majorHAnsi" w:cstheme="minorHAnsi"/>
          <w:shd w:val="clear" w:color="auto" w:fill="FFFFFF"/>
        </w:rPr>
        <w:t>Rivaud-Péchoux</w:t>
      </w:r>
      <w:proofErr w:type="spellEnd"/>
      <w:r w:rsidRPr="00734AB6">
        <w:rPr>
          <w:rFonts w:asciiTheme="majorHAnsi" w:hAnsiTheme="majorHAnsi" w:cstheme="minorHAnsi"/>
          <w:shd w:val="clear" w:color="auto" w:fill="FFFFFF"/>
        </w:rPr>
        <w:t>, S., &amp; Pierrot-</w:t>
      </w:r>
      <w:proofErr w:type="spellStart"/>
      <w:r w:rsidRPr="00734AB6">
        <w:rPr>
          <w:rFonts w:asciiTheme="majorHAnsi" w:hAnsiTheme="majorHAnsi" w:cstheme="minorHAnsi"/>
          <w:shd w:val="clear" w:color="auto" w:fill="FFFFFF"/>
        </w:rPr>
        <w:t>Deseilligny</w:t>
      </w:r>
      <w:proofErr w:type="spellEnd"/>
      <w:r w:rsidRPr="00734AB6">
        <w:rPr>
          <w:rFonts w:asciiTheme="majorHAnsi" w:hAnsiTheme="majorHAnsi" w:cstheme="minorHAnsi"/>
          <w:shd w:val="clear" w:color="auto" w:fill="FFFFFF"/>
        </w:rPr>
        <w:t xml:space="preserve">, C. (2005). The prefrontal substrate of reflexive saccade inhibition in humans. </w:t>
      </w:r>
      <w:r w:rsidRPr="00734AB6">
        <w:rPr>
          <w:rFonts w:asciiTheme="majorHAnsi" w:hAnsiTheme="majorHAnsi" w:cstheme="minorHAnsi"/>
          <w:i/>
          <w:shd w:val="clear" w:color="auto" w:fill="FFFFFF"/>
        </w:rPr>
        <w:t>Biological psychiatry</w:t>
      </w:r>
      <w:r w:rsidRPr="00734AB6">
        <w:rPr>
          <w:rFonts w:asciiTheme="majorHAnsi" w:hAnsiTheme="majorHAnsi" w:cstheme="minorHAnsi"/>
          <w:shd w:val="clear" w:color="auto" w:fill="FFFFFF"/>
        </w:rPr>
        <w:t>, 57(10), 1159-1165.</w:t>
      </w:r>
    </w:p>
    <w:p w14:paraId="13E66497" w14:textId="77777777"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Poliakoff</w:t>
      </w:r>
      <w:proofErr w:type="spellEnd"/>
      <w:r w:rsidRPr="00734AB6">
        <w:rPr>
          <w:rFonts w:asciiTheme="majorHAnsi" w:hAnsiTheme="majorHAnsi" w:cstheme="minorHAnsi"/>
          <w:shd w:val="clear" w:color="auto" w:fill="FFFFFF"/>
        </w:rPr>
        <w:t>, E., &amp; Smith-Spark, J. H. (2008). Everyday cognitive failures and memory problems in Parkinson’s patients without dementia. </w:t>
      </w:r>
      <w:r w:rsidRPr="00734AB6">
        <w:rPr>
          <w:rFonts w:asciiTheme="majorHAnsi" w:hAnsiTheme="majorHAnsi" w:cstheme="minorHAnsi"/>
          <w:i/>
          <w:iCs/>
          <w:shd w:val="clear" w:color="auto" w:fill="FFFFFF"/>
        </w:rPr>
        <w:t>Brain and Cognition</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67</w:t>
      </w:r>
      <w:r w:rsidRPr="00734AB6">
        <w:rPr>
          <w:rFonts w:asciiTheme="majorHAnsi" w:hAnsiTheme="majorHAnsi" w:cstheme="minorHAnsi"/>
          <w:shd w:val="clear" w:color="auto" w:fill="FFFFFF"/>
        </w:rPr>
        <w:t>(3), 340-350.</w:t>
      </w:r>
    </w:p>
    <w:p w14:paraId="08ADBAD8" w14:textId="77777777"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Pollina</w:t>
      </w:r>
      <w:proofErr w:type="spellEnd"/>
      <w:r w:rsidRPr="00734AB6">
        <w:rPr>
          <w:rFonts w:asciiTheme="majorHAnsi" w:hAnsiTheme="majorHAnsi" w:cstheme="minorHAnsi"/>
          <w:shd w:val="clear" w:color="auto" w:fill="FFFFFF"/>
        </w:rPr>
        <w:t xml:space="preserve">, L. K., Greene, A. L., </w:t>
      </w:r>
      <w:proofErr w:type="spellStart"/>
      <w:r w:rsidRPr="00734AB6">
        <w:rPr>
          <w:rFonts w:asciiTheme="majorHAnsi" w:hAnsiTheme="majorHAnsi" w:cstheme="minorHAnsi"/>
          <w:shd w:val="clear" w:color="auto" w:fill="FFFFFF"/>
        </w:rPr>
        <w:t>Tunick</w:t>
      </w:r>
      <w:proofErr w:type="spellEnd"/>
      <w:r w:rsidRPr="00734AB6">
        <w:rPr>
          <w:rFonts w:asciiTheme="majorHAnsi" w:hAnsiTheme="majorHAnsi" w:cstheme="minorHAnsi"/>
          <w:shd w:val="clear" w:color="auto" w:fill="FFFFFF"/>
        </w:rPr>
        <w:t>, R. H., &amp; Puckett, J. M. (1992). Dimensions of everyday memory in young adulthood. </w:t>
      </w:r>
      <w:r w:rsidRPr="00734AB6">
        <w:rPr>
          <w:rFonts w:asciiTheme="majorHAnsi" w:hAnsiTheme="majorHAnsi" w:cstheme="minorHAnsi"/>
          <w:i/>
          <w:iCs/>
          <w:shd w:val="clear" w:color="auto" w:fill="FFFFFF"/>
        </w:rPr>
        <w:t>British Journal of Psychology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83</w:t>
      </w:r>
      <w:r w:rsidRPr="00734AB6">
        <w:rPr>
          <w:rFonts w:asciiTheme="majorHAnsi" w:hAnsiTheme="majorHAnsi" w:cstheme="minorHAnsi"/>
          <w:shd w:val="clear" w:color="auto" w:fill="FFFFFF"/>
        </w:rPr>
        <w:t>(3), 305-321.</w:t>
      </w:r>
    </w:p>
    <w:p w14:paraId="0BE5969C" w14:textId="1EF4C7C4"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Posner, M. I., &amp; Petersen, S. E. (1990). The attention system of the human brain. </w:t>
      </w:r>
      <w:r w:rsidRPr="00734AB6">
        <w:rPr>
          <w:rFonts w:asciiTheme="majorHAnsi" w:hAnsiTheme="majorHAnsi" w:cstheme="minorHAnsi"/>
          <w:i/>
          <w:shd w:val="clear" w:color="auto" w:fill="FFFFFF"/>
        </w:rPr>
        <w:t xml:space="preserve">Annual </w:t>
      </w:r>
      <w:r w:rsidR="00BC1C84" w:rsidRPr="00734AB6">
        <w:rPr>
          <w:rFonts w:asciiTheme="majorHAnsi" w:hAnsiTheme="majorHAnsi" w:cstheme="minorHAnsi"/>
          <w:i/>
          <w:shd w:val="clear" w:color="auto" w:fill="FFFFFF"/>
        </w:rPr>
        <w:t>R</w:t>
      </w:r>
      <w:r w:rsidRPr="00734AB6">
        <w:rPr>
          <w:rFonts w:asciiTheme="majorHAnsi" w:hAnsiTheme="majorHAnsi" w:cstheme="minorHAnsi"/>
          <w:i/>
          <w:shd w:val="clear" w:color="auto" w:fill="FFFFFF"/>
        </w:rPr>
        <w:t xml:space="preserve">eview of </w:t>
      </w:r>
      <w:r w:rsidR="00BC1C84" w:rsidRPr="00734AB6">
        <w:rPr>
          <w:rFonts w:asciiTheme="majorHAnsi" w:hAnsiTheme="majorHAnsi" w:cstheme="minorHAnsi"/>
          <w:i/>
          <w:shd w:val="clear" w:color="auto" w:fill="FFFFFF"/>
        </w:rPr>
        <w:t>N</w:t>
      </w:r>
      <w:r w:rsidRPr="00734AB6">
        <w:rPr>
          <w:rFonts w:asciiTheme="majorHAnsi" w:hAnsiTheme="majorHAnsi" w:cstheme="minorHAnsi"/>
          <w:i/>
          <w:shd w:val="clear" w:color="auto" w:fill="FFFFFF"/>
        </w:rPr>
        <w:t>euroscience, 13</w:t>
      </w:r>
      <w:r w:rsidRPr="00734AB6">
        <w:rPr>
          <w:rFonts w:asciiTheme="majorHAnsi" w:hAnsiTheme="majorHAnsi" w:cstheme="minorHAnsi"/>
          <w:shd w:val="clear" w:color="auto" w:fill="FFFFFF"/>
        </w:rPr>
        <w:t>(1), 25-42.</w:t>
      </w:r>
    </w:p>
    <w:p w14:paraId="01CFA39C" w14:textId="77777777" w:rsidR="004676EF" w:rsidRPr="00734AB6" w:rsidRDefault="004676EF" w:rsidP="00D06771">
      <w:pPr>
        <w:autoSpaceDE w:val="0"/>
        <w:autoSpaceDN w:val="0"/>
        <w:adjustRightInd w:val="0"/>
        <w:spacing w:line="360" w:lineRule="auto"/>
        <w:ind w:left="720" w:right="-234" w:hanging="720"/>
        <w:rPr>
          <w:rFonts w:asciiTheme="majorHAnsi" w:hAnsiTheme="majorHAnsi" w:cstheme="minorHAnsi"/>
          <w:shd w:val="clear" w:color="auto" w:fill="FFFFFF"/>
        </w:rPr>
      </w:pPr>
      <w:r w:rsidRPr="00734AB6">
        <w:rPr>
          <w:rFonts w:asciiTheme="majorHAnsi" w:hAnsiTheme="majorHAnsi" w:cstheme="minorHAnsi"/>
          <w:shd w:val="clear" w:color="auto" w:fill="FFFFFF"/>
        </w:rPr>
        <w:t>Poulin, C. (2007). From attention</w:t>
      </w:r>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deficit/hyperactivity disorder to medical stimulant use to the diversion of prescribed stimulants to non</w:t>
      </w:r>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medical stimulant use: connecting the dots.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Addiction</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102</w:t>
      </w:r>
      <w:r w:rsidRPr="00734AB6">
        <w:rPr>
          <w:rFonts w:asciiTheme="majorHAnsi" w:hAnsiTheme="majorHAnsi" w:cstheme="minorHAnsi"/>
          <w:shd w:val="clear" w:color="auto" w:fill="FFFFFF"/>
        </w:rPr>
        <w:t>(5), 740-751.</w:t>
      </w:r>
    </w:p>
    <w:p w14:paraId="15C44F59" w14:textId="4E775EAD"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Price, C</w:t>
      </w:r>
      <w:r w:rsidR="00BC1C84" w:rsidRPr="00734AB6">
        <w:rPr>
          <w:rFonts w:asciiTheme="majorHAnsi" w:eastAsia="Calibri" w:hAnsiTheme="majorHAnsi" w:cs="Calibri"/>
        </w:rPr>
        <w:t xml:space="preserve">. </w:t>
      </w:r>
      <w:r w:rsidRPr="00734AB6">
        <w:rPr>
          <w:rFonts w:asciiTheme="majorHAnsi" w:eastAsia="Calibri" w:hAnsiTheme="majorHAnsi" w:cs="Calibri"/>
        </w:rPr>
        <w:t>S</w:t>
      </w:r>
      <w:r w:rsidR="00BC1C84" w:rsidRPr="00734AB6">
        <w:rPr>
          <w:rFonts w:asciiTheme="majorHAnsi" w:eastAsia="Calibri" w:hAnsiTheme="majorHAnsi" w:cs="Calibri"/>
        </w:rPr>
        <w:t>.</w:t>
      </w:r>
      <w:r w:rsidRPr="00734AB6">
        <w:rPr>
          <w:rFonts w:asciiTheme="majorHAnsi" w:eastAsia="Calibri" w:hAnsiTheme="majorHAnsi" w:cs="Calibri"/>
        </w:rPr>
        <w:t xml:space="preserve"> </w:t>
      </w:r>
      <w:r w:rsidR="009B1712" w:rsidRPr="00734AB6">
        <w:rPr>
          <w:rFonts w:asciiTheme="majorHAnsi" w:eastAsia="Calibri" w:hAnsiTheme="majorHAnsi" w:cs="Calibri"/>
        </w:rPr>
        <w:t>&amp;</w:t>
      </w:r>
      <w:r w:rsidRPr="00734AB6">
        <w:rPr>
          <w:rFonts w:asciiTheme="majorHAnsi" w:eastAsia="Calibri" w:hAnsiTheme="majorHAnsi" w:cs="Calibri"/>
        </w:rPr>
        <w:t xml:space="preserve"> Taylor, F</w:t>
      </w:r>
      <w:r w:rsidR="00BC1C84" w:rsidRPr="00734AB6">
        <w:rPr>
          <w:rFonts w:asciiTheme="majorHAnsi" w:eastAsia="Calibri" w:hAnsiTheme="majorHAnsi" w:cs="Calibri"/>
        </w:rPr>
        <w:t xml:space="preserve">. </w:t>
      </w:r>
      <w:r w:rsidRPr="00734AB6">
        <w:rPr>
          <w:rFonts w:asciiTheme="majorHAnsi" w:eastAsia="Calibri" w:hAnsiTheme="majorHAnsi" w:cs="Calibri"/>
        </w:rPr>
        <w:t>B</w:t>
      </w:r>
      <w:r w:rsidR="00BC1C84" w:rsidRPr="00734AB6">
        <w:rPr>
          <w:rFonts w:asciiTheme="majorHAnsi" w:eastAsia="Calibri" w:hAnsiTheme="majorHAnsi" w:cs="Calibri"/>
        </w:rPr>
        <w:t>.</w:t>
      </w:r>
      <w:r w:rsidRPr="00734AB6">
        <w:rPr>
          <w:rFonts w:asciiTheme="majorHAnsi" w:eastAsia="Calibri" w:hAnsiTheme="majorHAnsi" w:cs="Calibri"/>
        </w:rPr>
        <w:t xml:space="preserve"> (2005). A retrospective chart review of the effects of modafinil on depression as monotherapy and as adjunctive therapy. </w:t>
      </w:r>
      <w:r w:rsidR="00BC1C84" w:rsidRPr="00734AB6">
        <w:rPr>
          <w:rFonts w:asciiTheme="majorHAnsi" w:eastAsia="Calibri" w:hAnsiTheme="majorHAnsi" w:cs="Calibri"/>
          <w:i/>
          <w:iCs/>
        </w:rPr>
        <w:t>Depression and A</w:t>
      </w:r>
      <w:r w:rsidRPr="00734AB6">
        <w:rPr>
          <w:rFonts w:asciiTheme="majorHAnsi" w:eastAsia="Calibri" w:hAnsiTheme="majorHAnsi" w:cs="Calibri"/>
          <w:i/>
          <w:iCs/>
        </w:rPr>
        <w:t>nxiety</w:t>
      </w:r>
      <w:r w:rsidRPr="00734AB6">
        <w:rPr>
          <w:rFonts w:asciiTheme="majorHAnsi" w:eastAsia="Calibri" w:hAnsiTheme="majorHAnsi" w:cs="Calibri"/>
        </w:rPr>
        <w:t>, </w:t>
      </w:r>
      <w:r w:rsidRPr="00734AB6">
        <w:rPr>
          <w:rFonts w:asciiTheme="majorHAnsi" w:eastAsia="Calibri" w:hAnsiTheme="majorHAnsi" w:cs="Calibri"/>
          <w:i/>
          <w:iCs/>
        </w:rPr>
        <w:t>21</w:t>
      </w:r>
      <w:r w:rsidRPr="00734AB6">
        <w:rPr>
          <w:rFonts w:asciiTheme="majorHAnsi" w:eastAsia="Calibri" w:hAnsiTheme="majorHAnsi" w:cs="Calibri"/>
        </w:rPr>
        <w:t>(4), 149-153.</w:t>
      </w:r>
    </w:p>
    <w:p w14:paraId="2724BB3D" w14:textId="66857BD4"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 xml:space="preserve">Primack, B. A., </w:t>
      </w:r>
      <w:proofErr w:type="spellStart"/>
      <w:r w:rsidRPr="00734AB6">
        <w:rPr>
          <w:rFonts w:asciiTheme="majorHAnsi" w:eastAsia="Calibri" w:hAnsiTheme="majorHAnsi" w:cs="Calibri"/>
        </w:rPr>
        <w:t>Shensa</w:t>
      </w:r>
      <w:proofErr w:type="spellEnd"/>
      <w:r w:rsidRPr="00734AB6">
        <w:rPr>
          <w:rFonts w:asciiTheme="majorHAnsi" w:eastAsia="Calibri" w:hAnsiTheme="majorHAnsi" w:cs="Calibri"/>
        </w:rPr>
        <w:t xml:space="preserve">, A., Escobar-Viera, C. G., Barrett, E. L., </w:t>
      </w:r>
      <w:proofErr w:type="spellStart"/>
      <w:r w:rsidRPr="00734AB6">
        <w:rPr>
          <w:rFonts w:asciiTheme="majorHAnsi" w:eastAsia="Calibri" w:hAnsiTheme="majorHAnsi" w:cs="Calibri"/>
        </w:rPr>
        <w:t>Sidani</w:t>
      </w:r>
      <w:proofErr w:type="spellEnd"/>
      <w:r w:rsidRPr="00734AB6">
        <w:rPr>
          <w:rFonts w:asciiTheme="majorHAnsi" w:eastAsia="Calibri" w:hAnsiTheme="majorHAnsi" w:cs="Calibri"/>
        </w:rPr>
        <w:t>, J. E., Colditz, J. B., &amp; James, A. E. (2017). Use of multiple social media platforms and symptoms of depression and anxiety: A nationally-representative study among US young adults. </w:t>
      </w:r>
      <w:r w:rsidRPr="00734AB6">
        <w:rPr>
          <w:rFonts w:asciiTheme="majorHAnsi" w:eastAsia="Calibri" w:hAnsiTheme="majorHAnsi" w:cs="Calibri"/>
          <w:i/>
          <w:iCs/>
        </w:rPr>
        <w:t xml:space="preserve">Computers in </w:t>
      </w:r>
      <w:r w:rsidR="00BC1C84" w:rsidRPr="00734AB6">
        <w:rPr>
          <w:rFonts w:asciiTheme="majorHAnsi" w:eastAsia="Calibri" w:hAnsiTheme="majorHAnsi" w:cs="Calibri"/>
          <w:i/>
          <w:iCs/>
        </w:rPr>
        <w:t>H</w:t>
      </w:r>
      <w:r w:rsidRPr="00734AB6">
        <w:rPr>
          <w:rFonts w:asciiTheme="majorHAnsi" w:eastAsia="Calibri" w:hAnsiTheme="majorHAnsi" w:cs="Calibri"/>
          <w:i/>
          <w:iCs/>
        </w:rPr>
        <w:t xml:space="preserve">uman </w:t>
      </w:r>
      <w:proofErr w:type="spellStart"/>
      <w:r w:rsidR="00BC1C84" w:rsidRPr="00734AB6">
        <w:rPr>
          <w:rFonts w:asciiTheme="majorHAnsi" w:eastAsia="Calibri" w:hAnsiTheme="majorHAnsi" w:cs="Calibri"/>
          <w:i/>
          <w:iCs/>
        </w:rPr>
        <w:t>B</w:t>
      </w:r>
      <w:r w:rsidRPr="00734AB6">
        <w:rPr>
          <w:rFonts w:asciiTheme="majorHAnsi" w:eastAsia="Calibri" w:hAnsiTheme="majorHAnsi" w:cs="Calibri"/>
          <w:i/>
          <w:iCs/>
        </w:rPr>
        <w:t>ehavior</w:t>
      </w:r>
      <w:proofErr w:type="spellEnd"/>
      <w:r w:rsidRPr="00734AB6">
        <w:rPr>
          <w:rFonts w:asciiTheme="majorHAnsi" w:eastAsia="Calibri" w:hAnsiTheme="majorHAnsi" w:cs="Calibri"/>
        </w:rPr>
        <w:t>, </w:t>
      </w:r>
      <w:r w:rsidRPr="00734AB6">
        <w:rPr>
          <w:rFonts w:asciiTheme="majorHAnsi" w:eastAsia="Calibri" w:hAnsiTheme="majorHAnsi" w:cs="Calibri"/>
          <w:i/>
          <w:iCs/>
        </w:rPr>
        <w:t>69</w:t>
      </w:r>
      <w:r w:rsidRPr="00734AB6">
        <w:rPr>
          <w:rFonts w:asciiTheme="majorHAnsi" w:eastAsia="Calibri" w:hAnsiTheme="majorHAnsi" w:cs="Calibri"/>
        </w:rPr>
        <w:t>, 1-9.</w:t>
      </w:r>
    </w:p>
    <w:p w14:paraId="472FDC97"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Provigil (n.d.) Modafinil datasheet. Retrieved from </w:t>
      </w:r>
      <w:hyperlink r:id="rId36" w:history="1">
        <w:r w:rsidRPr="00734AB6">
          <w:rPr>
            <w:rStyle w:val="Hyperlink"/>
            <w:rFonts w:asciiTheme="majorHAnsi" w:eastAsia="Calibri" w:hAnsiTheme="majorHAnsi" w:cs="Calibri"/>
          </w:rPr>
          <w:t>http://www.provigil.com/PDFs/prescribing_info.pdf</w:t>
        </w:r>
      </w:hyperlink>
      <w:r w:rsidRPr="00734AB6">
        <w:rPr>
          <w:rFonts w:asciiTheme="majorHAnsi" w:eastAsia="Calibri" w:hAnsiTheme="majorHAnsi" w:cs="Calibri"/>
        </w:rPr>
        <w:t xml:space="preserve"> </w:t>
      </w:r>
    </w:p>
    <w:p w14:paraId="225E556D" w14:textId="77777777" w:rsidR="00C15975" w:rsidRPr="00734AB6" w:rsidRDefault="00C15975" w:rsidP="00C15975">
      <w:pPr>
        <w:spacing w:line="360" w:lineRule="auto"/>
        <w:ind w:left="851" w:hanging="851"/>
        <w:rPr>
          <w:rFonts w:asciiTheme="majorHAnsi" w:hAnsiTheme="majorHAnsi"/>
        </w:rPr>
      </w:pPr>
      <w:proofErr w:type="spellStart"/>
      <w:r w:rsidRPr="00734AB6">
        <w:rPr>
          <w:rFonts w:asciiTheme="majorHAnsi" w:hAnsiTheme="majorHAnsi"/>
        </w:rPr>
        <w:t>Pustovrh</w:t>
      </w:r>
      <w:proofErr w:type="spellEnd"/>
      <w:r w:rsidRPr="00734AB6">
        <w:rPr>
          <w:rFonts w:asciiTheme="majorHAnsi" w:hAnsiTheme="majorHAnsi"/>
        </w:rPr>
        <w:t xml:space="preserve">, T., Mali, F., &amp; </w:t>
      </w:r>
      <w:proofErr w:type="spellStart"/>
      <w:r w:rsidRPr="00734AB6">
        <w:rPr>
          <w:rFonts w:asciiTheme="majorHAnsi" w:hAnsiTheme="majorHAnsi"/>
        </w:rPr>
        <w:t>Arnaldi</w:t>
      </w:r>
      <w:proofErr w:type="spellEnd"/>
      <w:r w:rsidRPr="00734AB6">
        <w:rPr>
          <w:rFonts w:asciiTheme="majorHAnsi" w:hAnsiTheme="majorHAnsi"/>
        </w:rPr>
        <w:t>, S. (2018). Are better workers also better humans? On pharmacological cognitive enhancement in the workplace and conflicting societal domains. </w:t>
      </w:r>
      <w:proofErr w:type="spellStart"/>
      <w:r w:rsidRPr="00734AB6">
        <w:rPr>
          <w:rFonts w:asciiTheme="majorHAnsi" w:hAnsiTheme="majorHAnsi"/>
          <w:i/>
          <w:iCs/>
        </w:rPr>
        <w:t>NanoEthics</w:t>
      </w:r>
      <w:proofErr w:type="spellEnd"/>
      <w:r w:rsidRPr="00734AB6">
        <w:rPr>
          <w:rFonts w:asciiTheme="majorHAnsi" w:hAnsiTheme="majorHAnsi"/>
        </w:rPr>
        <w:t>, </w:t>
      </w:r>
      <w:r w:rsidRPr="00734AB6">
        <w:rPr>
          <w:rFonts w:asciiTheme="majorHAnsi" w:hAnsiTheme="majorHAnsi"/>
          <w:i/>
          <w:iCs/>
        </w:rPr>
        <w:t>12</w:t>
      </w:r>
      <w:r w:rsidRPr="00734AB6">
        <w:rPr>
          <w:rFonts w:asciiTheme="majorHAnsi" w:hAnsiTheme="majorHAnsi"/>
        </w:rPr>
        <w:t>(3), 301-313.</w:t>
      </w:r>
    </w:p>
    <w:p w14:paraId="122E66FF" w14:textId="67692412"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Quintero, G., &amp; </w:t>
      </w:r>
      <w:proofErr w:type="spellStart"/>
      <w:r w:rsidRPr="00734AB6">
        <w:rPr>
          <w:rFonts w:asciiTheme="majorHAnsi" w:hAnsiTheme="majorHAnsi" w:cstheme="minorHAnsi"/>
          <w:shd w:val="clear" w:color="auto" w:fill="FFFFFF"/>
        </w:rPr>
        <w:t>Nichter</w:t>
      </w:r>
      <w:proofErr w:type="spellEnd"/>
      <w:r w:rsidRPr="00734AB6">
        <w:rPr>
          <w:rFonts w:asciiTheme="majorHAnsi" w:hAnsiTheme="majorHAnsi" w:cstheme="minorHAnsi"/>
          <w:shd w:val="clear" w:color="auto" w:fill="FFFFFF"/>
        </w:rPr>
        <w:t>, M. (2011). Self-medication, and recreational drug use.</w:t>
      </w:r>
      <w:r w:rsidR="00BC1C84" w:rsidRPr="00734AB6">
        <w:rPr>
          <w:rStyle w:val="apple-converted-space"/>
          <w:rFonts w:asciiTheme="majorHAnsi" w:hAnsiTheme="majorHAnsi" w:cstheme="minorHAnsi"/>
          <w:shd w:val="clear" w:color="auto" w:fill="FFFFFF"/>
        </w:rPr>
        <w:t xml:space="preserve"> </w:t>
      </w:r>
      <w:r w:rsidR="00BC1C84" w:rsidRPr="00734AB6">
        <w:rPr>
          <w:rFonts w:asciiTheme="majorHAnsi" w:hAnsiTheme="majorHAnsi" w:cstheme="minorHAnsi"/>
          <w:i/>
          <w:iCs/>
          <w:shd w:val="clear" w:color="auto" w:fill="FFFFFF"/>
        </w:rPr>
        <w:t>A C</w:t>
      </w:r>
      <w:r w:rsidRPr="00734AB6">
        <w:rPr>
          <w:rFonts w:asciiTheme="majorHAnsi" w:hAnsiTheme="majorHAnsi" w:cstheme="minorHAnsi"/>
          <w:i/>
          <w:iCs/>
          <w:shd w:val="clear" w:color="auto" w:fill="FFFFFF"/>
        </w:rPr>
        <w:t xml:space="preserve">ompanion to </w:t>
      </w:r>
      <w:r w:rsidR="00BC1C84" w:rsidRPr="00734AB6">
        <w:rPr>
          <w:rFonts w:asciiTheme="majorHAnsi" w:hAnsiTheme="majorHAnsi" w:cstheme="minorHAnsi"/>
          <w:i/>
          <w:iCs/>
          <w:shd w:val="clear" w:color="auto" w:fill="FFFFFF"/>
        </w:rPr>
        <w:t>M</w:t>
      </w:r>
      <w:r w:rsidRPr="00734AB6">
        <w:rPr>
          <w:rFonts w:asciiTheme="majorHAnsi" w:hAnsiTheme="majorHAnsi" w:cstheme="minorHAnsi"/>
          <w:i/>
          <w:iCs/>
          <w:shd w:val="clear" w:color="auto" w:fill="FFFFFF"/>
        </w:rPr>
        <w:t xml:space="preserve">edical </w:t>
      </w:r>
      <w:r w:rsidR="00BC1C84" w:rsidRPr="00734AB6">
        <w:rPr>
          <w:rFonts w:asciiTheme="majorHAnsi" w:hAnsiTheme="majorHAnsi" w:cstheme="minorHAnsi"/>
          <w:i/>
          <w:iCs/>
          <w:shd w:val="clear" w:color="auto" w:fill="FFFFFF"/>
        </w:rPr>
        <w:t>A</w:t>
      </w:r>
      <w:r w:rsidRPr="00734AB6">
        <w:rPr>
          <w:rFonts w:asciiTheme="majorHAnsi" w:hAnsiTheme="majorHAnsi" w:cstheme="minorHAnsi"/>
          <w:i/>
          <w:iCs/>
          <w:shd w:val="clear" w:color="auto" w:fill="FFFFFF"/>
        </w:rPr>
        <w:t>nthropology</w:t>
      </w:r>
      <w:r w:rsidRPr="00734AB6">
        <w:rPr>
          <w:rFonts w:asciiTheme="majorHAnsi" w:hAnsiTheme="majorHAnsi" w:cstheme="minorHAnsi"/>
          <w:shd w:val="clear" w:color="auto" w:fill="FFFFFF"/>
        </w:rPr>
        <w:t>,</w:t>
      </w:r>
      <w:r w:rsidR="00BC1C84" w:rsidRPr="00734AB6">
        <w:rPr>
          <w:rStyle w:val="apple-converted-space"/>
          <w:rFonts w:asciiTheme="majorHAnsi" w:hAnsiTheme="majorHAnsi" w:cstheme="minorHAnsi"/>
          <w:shd w:val="clear" w:color="auto" w:fill="FFFFFF"/>
        </w:rPr>
        <w:t xml:space="preserve"> </w:t>
      </w:r>
      <w:r w:rsidRPr="00734AB6">
        <w:rPr>
          <w:rFonts w:asciiTheme="majorHAnsi" w:hAnsiTheme="majorHAnsi" w:cstheme="minorHAnsi"/>
          <w:i/>
          <w:iCs/>
          <w:shd w:val="clear" w:color="auto" w:fill="FFFFFF"/>
        </w:rPr>
        <w:t>17</w:t>
      </w:r>
      <w:r w:rsidRPr="00734AB6">
        <w:rPr>
          <w:rFonts w:asciiTheme="majorHAnsi" w:hAnsiTheme="majorHAnsi" w:cstheme="minorHAnsi"/>
          <w:shd w:val="clear" w:color="auto" w:fill="FFFFFF"/>
        </w:rPr>
        <w:t>, 339-350.</w:t>
      </w:r>
    </w:p>
    <w:p w14:paraId="19320BD2"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rPr>
        <w:t>Rabbitt</w:t>
      </w:r>
      <w:proofErr w:type="spellEnd"/>
      <w:r w:rsidRPr="00734AB6">
        <w:rPr>
          <w:rFonts w:asciiTheme="majorHAnsi" w:hAnsiTheme="majorHAnsi" w:cstheme="minorHAnsi"/>
        </w:rPr>
        <w:t>, P. (1997). Introduction: Methodologies and models in the study of</w:t>
      </w:r>
      <w:r w:rsidRPr="00734AB6">
        <w:rPr>
          <w:rFonts w:asciiTheme="majorHAnsi" w:hAnsiTheme="majorHAnsi" w:cstheme="minorHAnsi"/>
        </w:rPr>
        <w:br/>
        <w:t xml:space="preserve">Executive function. In P. </w:t>
      </w:r>
      <w:proofErr w:type="spellStart"/>
      <w:r w:rsidRPr="00734AB6">
        <w:rPr>
          <w:rFonts w:asciiTheme="majorHAnsi" w:hAnsiTheme="majorHAnsi" w:cstheme="minorHAnsi"/>
        </w:rPr>
        <w:t>Rabbitt</w:t>
      </w:r>
      <w:proofErr w:type="spellEnd"/>
      <w:r w:rsidRPr="00734AB6">
        <w:rPr>
          <w:rFonts w:asciiTheme="majorHAnsi" w:hAnsiTheme="majorHAnsi" w:cstheme="minorHAnsi"/>
        </w:rPr>
        <w:t xml:space="preserve"> (Ed.), </w:t>
      </w:r>
      <w:r w:rsidRPr="00734AB6">
        <w:rPr>
          <w:rFonts w:asciiTheme="majorHAnsi" w:hAnsiTheme="majorHAnsi" w:cstheme="minorHAnsi"/>
          <w:i/>
        </w:rPr>
        <w:t>Methodology of Frontal and Executive Function</w:t>
      </w:r>
      <w:r w:rsidRPr="00734AB6">
        <w:rPr>
          <w:rFonts w:asciiTheme="majorHAnsi" w:hAnsiTheme="majorHAnsi" w:cstheme="minorHAnsi"/>
        </w:rPr>
        <w:t xml:space="preserve"> (pp. 1-38). Hove: Psychology Press.</w:t>
      </w:r>
    </w:p>
    <w:p w14:paraId="2FFC4032" w14:textId="425AE306"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Rabin, L. A., Fogel, J., &amp; Nutter-Upham, K. E. (2011). Academic procrastination in college students: The role of self-reported executive function. </w:t>
      </w:r>
      <w:r w:rsidR="00BC1C84" w:rsidRPr="00734AB6">
        <w:rPr>
          <w:rFonts w:asciiTheme="majorHAnsi" w:eastAsia="Calibri" w:hAnsiTheme="majorHAnsi" w:cs="Calibri"/>
          <w:i/>
          <w:iCs/>
        </w:rPr>
        <w:t>Journal of C</w:t>
      </w:r>
      <w:r w:rsidRPr="00734AB6">
        <w:rPr>
          <w:rFonts w:asciiTheme="majorHAnsi" w:eastAsia="Calibri" w:hAnsiTheme="majorHAnsi" w:cs="Calibri"/>
          <w:i/>
          <w:iCs/>
        </w:rPr>
        <w:t xml:space="preserve">linical and </w:t>
      </w:r>
      <w:r w:rsidR="00BC1C84" w:rsidRPr="00734AB6">
        <w:rPr>
          <w:rFonts w:asciiTheme="majorHAnsi" w:eastAsia="Calibri" w:hAnsiTheme="majorHAnsi" w:cs="Calibri"/>
          <w:i/>
          <w:iCs/>
        </w:rPr>
        <w:t>Experimental N</w:t>
      </w:r>
      <w:r w:rsidRPr="00734AB6">
        <w:rPr>
          <w:rFonts w:asciiTheme="majorHAnsi" w:eastAsia="Calibri" w:hAnsiTheme="majorHAnsi" w:cs="Calibri"/>
          <w:i/>
          <w:iCs/>
        </w:rPr>
        <w:t>europsychology</w:t>
      </w:r>
      <w:r w:rsidRPr="00734AB6">
        <w:rPr>
          <w:rFonts w:asciiTheme="majorHAnsi" w:eastAsia="Calibri" w:hAnsiTheme="majorHAnsi" w:cs="Calibri"/>
        </w:rPr>
        <w:t>, </w:t>
      </w:r>
      <w:r w:rsidRPr="00734AB6">
        <w:rPr>
          <w:rFonts w:asciiTheme="majorHAnsi" w:eastAsia="Calibri" w:hAnsiTheme="majorHAnsi" w:cs="Calibri"/>
          <w:i/>
          <w:iCs/>
        </w:rPr>
        <w:t>33</w:t>
      </w:r>
      <w:r w:rsidRPr="00734AB6">
        <w:rPr>
          <w:rFonts w:asciiTheme="majorHAnsi" w:eastAsia="Calibri" w:hAnsiTheme="majorHAnsi" w:cs="Calibri"/>
        </w:rPr>
        <w:t>(3), 344-357.</w:t>
      </w:r>
    </w:p>
    <w:p w14:paraId="7B378DE2" w14:textId="035983FF"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Rabiner</w:t>
      </w:r>
      <w:proofErr w:type="spellEnd"/>
      <w:r w:rsidRPr="00734AB6">
        <w:rPr>
          <w:rFonts w:asciiTheme="majorHAnsi" w:eastAsia="Calibri" w:hAnsiTheme="majorHAnsi" w:cs="Calibri"/>
        </w:rPr>
        <w:t>, D</w:t>
      </w:r>
      <w:r w:rsidR="00BC1C84" w:rsidRPr="00734AB6">
        <w:rPr>
          <w:rFonts w:asciiTheme="majorHAnsi" w:eastAsia="Calibri" w:hAnsiTheme="majorHAnsi" w:cs="Calibri"/>
        </w:rPr>
        <w:t xml:space="preserve">. </w:t>
      </w:r>
      <w:r w:rsidRPr="00734AB6">
        <w:rPr>
          <w:rFonts w:asciiTheme="majorHAnsi" w:eastAsia="Calibri" w:hAnsiTheme="majorHAnsi" w:cs="Calibri"/>
        </w:rPr>
        <w:t>L</w:t>
      </w:r>
      <w:r w:rsidR="00BC1C84"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Anastopoulos</w:t>
      </w:r>
      <w:proofErr w:type="spellEnd"/>
      <w:r w:rsidRPr="00734AB6">
        <w:rPr>
          <w:rFonts w:asciiTheme="majorHAnsi" w:eastAsia="Calibri" w:hAnsiTheme="majorHAnsi" w:cs="Calibri"/>
        </w:rPr>
        <w:t>, A</w:t>
      </w:r>
      <w:r w:rsidR="00BC1C84" w:rsidRPr="00734AB6">
        <w:rPr>
          <w:rFonts w:asciiTheme="majorHAnsi" w:eastAsia="Calibri" w:hAnsiTheme="majorHAnsi" w:cs="Calibri"/>
        </w:rPr>
        <w:t xml:space="preserve">. </w:t>
      </w:r>
      <w:r w:rsidRPr="00734AB6">
        <w:rPr>
          <w:rFonts w:asciiTheme="majorHAnsi" w:eastAsia="Calibri" w:hAnsiTheme="majorHAnsi" w:cs="Calibri"/>
        </w:rPr>
        <w:t>D</w:t>
      </w:r>
      <w:r w:rsidR="00BC1C84" w:rsidRPr="00734AB6">
        <w:rPr>
          <w:rFonts w:asciiTheme="majorHAnsi" w:eastAsia="Calibri" w:hAnsiTheme="majorHAnsi" w:cs="Calibri"/>
        </w:rPr>
        <w:t>.</w:t>
      </w:r>
      <w:r w:rsidRPr="00734AB6">
        <w:rPr>
          <w:rFonts w:asciiTheme="majorHAnsi" w:eastAsia="Calibri" w:hAnsiTheme="majorHAnsi" w:cs="Calibri"/>
        </w:rPr>
        <w:t>, Costello, E</w:t>
      </w:r>
      <w:r w:rsidR="00BC1C84" w:rsidRPr="00734AB6">
        <w:rPr>
          <w:rFonts w:asciiTheme="majorHAnsi" w:eastAsia="Calibri" w:hAnsiTheme="majorHAnsi" w:cs="Calibri"/>
        </w:rPr>
        <w:t xml:space="preserve">. </w:t>
      </w:r>
      <w:r w:rsidRPr="00734AB6">
        <w:rPr>
          <w:rFonts w:asciiTheme="majorHAnsi" w:eastAsia="Calibri" w:hAnsiTheme="majorHAnsi" w:cs="Calibri"/>
        </w:rPr>
        <w:t>J</w:t>
      </w:r>
      <w:r w:rsidR="00BC1C84" w:rsidRPr="00734AB6">
        <w:rPr>
          <w:rFonts w:asciiTheme="majorHAnsi" w:eastAsia="Calibri" w:hAnsiTheme="majorHAnsi" w:cs="Calibri"/>
        </w:rPr>
        <w:t>.</w:t>
      </w:r>
      <w:r w:rsidRPr="00734AB6">
        <w:rPr>
          <w:rFonts w:asciiTheme="majorHAnsi" w:eastAsia="Calibri" w:hAnsiTheme="majorHAnsi" w:cs="Calibri"/>
        </w:rPr>
        <w:t>, Hoyle, R</w:t>
      </w:r>
      <w:r w:rsidR="00BC1C84" w:rsidRPr="00734AB6">
        <w:rPr>
          <w:rFonts w:asciiTheme="majorHAnsi" w:eastAsia="Calibri" w:hAnsiTheme="majorHAnsi" w:cs="Calibri"/>
        </w:rPr>
        <w:t xml:space="preserve">. </w:t>
      </w:r>
      <w:r w:rsidRPr="00734AB6">
        <w:rPr>
          <w:rFonts w:asciiTheme="majorHAnsi" w:eastAsia="Calibri" w:hAnsiTheme="majorHAnsi" w:cs="Calibri"/>
        </w:rPr>
        <w:t>H</w:t>
      </w:r>
      <w:r w:rsidR="00BC1C84" w:rsidRPr="00734AB6">
        <w:rPr>
          <w:rFonts w:asciiTheme="majorHAnsi" w:eastAsia="Calibri" w:hAnsiTheme="majorHAnsi" w:cs="Calibri"/>
        </w:rPr>
        <w:t>.</w:t>
      </w:r>
      <w:r w:rsidRPr="00734AB6">
        <w:rPr>
          <w:rFonts w:asciiTheme="majorHAnsi" w:eastAsia="Calibri" w:hAnsiTheme="majorHAnsi" w:cs="Calibri"/>
        </w:rPr>
        <w:t>, McCabe, S</w:t>
      </w:r>
      <w:r w:rsidR="00BC1C84" w:rsidRPr="00734AB6">
        <w:rPr>
          <w:rFonts w:asciiTheme="majorHAnsi" w:eastAsia="Calibri" w:hAnsiTheme="majorHAnsi" w:cs="Calibri"/>
        </w:rPr>
        <w:t xml:space="preserve">. </w:t>
      </w:r>
      <w:r w:rsidRPr="00734AB6">
        <w:rPr>
          <w:rFonts w:asciiTheme="majorHAnsi" w:eastAsia="Calibri" w:hAnsiTheme="majorHAnsi" w:cs="Calibri"/>
        </w:rPr>
        <w:t>E</w:t>
      </w:r>
      <w:r w:rsidR="00BC1C84" w:rsidRPr="00734AB6">
        <w:rPr>
          <w:rFonts w:asciiTheme="majorHAnsi" w:eastAsia="Calibri" w:hAnsiTheme="majorHAnsi" w:cs="Calibri"/>
        </w:rPr>
        <w:t>.</w:t>
      </w:r>
      <w:r w:rsidRPr="00734AB6">
        <w:rPr>
          <w:rFonts w:asciiTheme="majorHAnsi" w:eastAsia="Calibri" w:hAnsiTheme="majorHAnsi" w:cs="Calibri"/>
        </w:rPr>
        <w:t xml:space="preserve"> </w:t>
      </w:r>
      <w:r w:rsidR="00BC1C84"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Swartzwelder</w:t>
      </w:r>
      <w:proofErr w:type="spellEnd"/>
      <w:r w:rsidRPr="00734AB6">
        <w:rPr>
          <w:rFonts w:asciiTheme="majorHAnsi" w:eastAsia="Calibri" w:hAnsiTheme="majorHAnsi" w:cs="Calibri"/>
        </w:rPr>
        <w:t>, H</w:t>
      </w:r>
      <w:r w:rsidR="00BC1C84" w:rsidRPr="00734AB6">
        <w:rPr>
          <w:rFonts w:asciiTheme="majorHAnsi" w:eastAsia="Calibri" w:hAnsiTheme="majorHAnsi" w:cs="Calibri"/>
        </w:rPr>
        <w:t xml:space="preserve">. </w:t>
      </w:r>
      <w:r w:rsidRPr="00734AB6">
        <w:rPr>
          <w:rFonts w:asciiTheme="majorHAnsi" w:eastAsia="Calibri" w:hAnsiTheme="majorHAnsi" w:cs="Calibri"/>
        </w:rPr>
        <w:t>S</w:t>
      </w:r>
      <w:r w:rsidR="00BC1C84" w:rsidRPr="00734AB6">
        <w:rPr>
          <w:rFonts w:asciiTheme="majorHAnsi" w:eastAsia="Calibri" w:hAnsiTheme="majorHAnsi" w:cs="Calibri"/>
        </w:rPr>
        <w:t>.</w:t>
      </w:r>
      <w:r w:rsidRPr="00734AB6">
        <w:rPr>
          <w:rFonts w:asciiTheme="majorHAnsi" w:eastAsia="Calibri" w:hAnsiTheme="majorHAnsi" w:cs="Calibri"/>
        </w:rPr>
        <w:t xml:space="preserve"> (2009). Motives and perceived consequences of nonmedical ADHD medication use by college students: Are students treating themselves for attention problems?  </w:t>
      </w:r>
      <w:r w:rsidRPr="00734AB6">
        <w:rPr>
          <w:rFonts w:asciiTheme="majorHAnsi" w:eastAsia="Calibri" w:hAnsiTheme="majorHAnsi" w:cs="Calibri"/>
          <w:i/>
        </w:rPr>
        <w:t>Journal of Attention Disorders, 13</w:t>
      </w:r>
      <w:r w:rsidRPr="00734AB6">
        <w:rPr>
          <w:rFonts w:asciiTheme="majorHAnsi" w:eastAsia="Calibri" w:hAnsiTheme="majorHAnsi" w:cs="Calibri"/>
        </w:rPr>
        <w:t>(3), 259-270.</w:t>
      </w:r>
    </w:p>
    <w:p w14:paraId="1D4B217F" w14:textId="7DFA613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Ragan, C</w:t>
      </w:r>
      <w:r w:rsidR="00BC1C84" w:rsidRPr="00734AB6">
        <w:rPr>
          <w:rFonts w:asciiTheme="majorHAnsi" w:eastAsia="Calibri" w:hAnsiTheme="majorHAnsi" w:cs="Calibri"/>
        </w:rPr>
        <w:t xml:space="preserve">. </w:t>
      </w:r>
      <w:r w:rsidRPr="00734AB6">
        <w:rPr>
          <w:rFonts w:asciiTheme="majorHAnsi" w:eastAsia="Calibri" w:hAnsiTheme="majorHAnsi" w:cs="Calibri"/>
        </w:rPr>
        <w:t>I</w:t>
      </w:r>
      <w:r w:rsidR="00BC1C84" w:rsidRPr="00734AB6">
        <w:rPr>
          <w:rFonts w:asciiTheme="majorHAnsi" w:eastAsia="Calibri" w:hAnsiTheme="majorHAnsi" w:cs="Calibri"/>
        </w:rPr>
        <w:t>.</w:t>
      </w:r>
      <w:r w:rsidRPr="00734AB6">
        <w:rPr>
          <w:rFonts w:asciiTheme="majorHAnsi" w:eastAsia="Calibri" w:hAnsiTheme="majorHAnsi" w:cs="Calibri"/>
        </w:rPr>
        <w:t>, Bard, I</w:t>
      </w:r>
      <w:r w:rsidR="00BC1C84" w:rsidRPr="00734AB6">
        <w:rPr>
          <w:rFonts w:asciiTheme="majorHAnsi" w:eastAsia="Calibri" w:hAnsiTheme="majorHAnsi" w:cs="Calibri"/>
        </w:rPr>
        <w:t>.</w:t>
      </w:r>
      <w:r w:rsidRPr="00734AB6">
        <w:rPr>
          <w:rFonts w:asciiTheme="majorHAnsi" w:eastAsia="Calibri" w:hAnsiTheme="majorHAnsi" w:cs="Calibri"/>
        </w:rPr>
        <w:t xml:space="preserve"> </w:t>
      </w:r>
      <w:r w:rsidR="00BC1C84" w:rsidRPr="00734AB6">
        <w:rPr>
          <w:rFonts w:asciiTheme="majorHAnsi" w:eastAsia="Calibri" w:hAnsiTheme="majorHAnsi" w:cs="Calibri"/>
        </w:rPr>
        <w:t>&amp;</w:t>
      </w:r>
      <w:r w:rsidRPr="00734AB6">
        <w:rPr>
          <w:rFonts w:asciiTheme="majorHAnsi" w:eastAsia="Calibri" w:hAnsiTheme="majorHAnsi" w:cs="Calibri"/>
        </w:rPr>
        <w:t xml:space="preserve"> Singh, I</w:t>
      </w:r>
      <w:r w:rsidR="00BC1C84" w:rsidRPr="00734AB6">
        <w:rPr>
          <w:rFonts w:asciiTheme="majorHAnsi" w:eastAsia="Calibri" w:hAnsiTheme="majorHAnsi" w:cs="Calibri"/>
        </w:rPr>
        <w:t>.</w:t>
      </w:r>
      <w:r w:rsidRPr="00734AB6">
        <w:rPr>
          <w:rFonts w:asciiTheme="majorHAnsi" w:eastAsia="Calibri" w:hAnsiTheme="majorHAnsi" w:cs="Calibri"/>
        </w:rPr>
        <w:t xml:space="preserve"> (2013). What should we do about student use of cognitive enhancers? An analysis of current evidence. </w:t>
      </w:r>
      <w:r w:rsidRPr="00734AB6">
        <w:rPr>
          <w:rFonts w:asciiTheme="majorHAnsi" w:eastAsia="Calibri" w:hAnsiTheme="majorHAnsi" w:cs="Calibri"/>
          <w:i/>
          <w:iCs/>
        </w:rPr>
        <w:t>Neuropharmacology</w:t>
      </w:r>
      <w:r w:rsidRPr="00734AB6">
        <w:rPr>
          <w:rFonts w:asciiTheme="majorHAnsi" w:eastAsia="Calibri" w:hAnsiTheme="majorHAnsi" w:cs="Calibri"/>
        </w:rPr>
        <w:t>, </w:t>
      </w:r>
      <w:r w:rsidRPr="00734AB6">
        <w:rPr>
          <w:rFonts w:asciiTheme="majorHAnsi" w:eastAsia="Calibri" w:hAnsiTheme="majorHAnsi" w:cs="Calibri"/>
          <w:i/>
          <w:iCs/>
        </w:rPr>
        <w:t>64</w:t>
      </w:r>
      <w:r w:rsidRPr="00734AB6">
        <w:rPr>
          <w:rFonts w:asciiTheme="majorHAnsi" w:eastAsia="Calibri" w:hAnsiTheme="majorHAnsi" w:cs="Calibri"/>
        </w:rPr>
        <w:t>, 588-595</w:t>
      </w:r>
    </w:p>
    <w:p w14:paraId="449B901E"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Rasetti</w:t>
      </w:r>
      <w:proofErr w:type="spellEnd"/>
      <w:r w:rsidRPr="00734AB6">
        <w:rPr>
          <w:rFonts w:asciiTheme="majorHAnsi" w:eastAsia="Calibri" w:hAnsiTheme="majorHAnsi" w:cs="Calibri"/>
        </w:rPr>
        <w:t xml:space="preserve">, R., </w:t>
      </w:r>
      <w:proofErr w:type="spellStart"/>
      <w:r w:rsidRPr="00734AB6">
        <w:rPr>
          <w:rFonts w:asciiTheme="majorHAnsi" w:eastAsia="Calibri" w:hAnsiTheme="majorHAnsi" w:cs="Calibri"/>
        </w:rPr>
        <w:t>Mattay</w:t>
      </w:r>
      <w:proofErr w:type="spellEnd"/>
      <w:r w:rsidRPr="00734AB6">
        <w:rPr>
          <w:rFonts w:asciiTheme="majorHAnsi" w:eastAsia="Calibri" w:hAnsiTheme="majorHAnsi" w:cs="Calibri"/>
        </w:rPr>
        <w:t xml:space="preserve">, V. S., Stankevich, B., </w:t>
      </w:r>
      <w:proofErr w:type="spellStart"/>
      <w:r w:rsidRPr="00734AB6">
        <w:rPr>
          <w:rFonts w:asciiTheme="majorHAnsi" w:eastAsia="Calibri" w:hAnsiTheme="majorHAnsi" w:cs="Calibri"/>
        </w:rPr>
        <w:t>Skjei</w:t>
      </w:r>
      <w:proofErr w:type="spellEnd"/>
      <w:r w:rsidRPr="00734AB6">
        <w:rPr>
          <w:rFonts w:asciiTheme="majorHAnsi" w:eastAsia="Calibri" w:hAnsiTheme="majorHAnsi" w:cs="Calibri"/>
        </w:rPr>
        <w:t xml:space="preserve">, K., Blasi, G., </w:t>
      </w:r>
      <w:proofErr w:type="spellStart"/>
      <w:r w:rsidRPr="00734AB6">
        <w:rPr>
          <w:rFonts w:asciiTheme="majorHAnsi" w:eastAsia="Calibri" w:hAnsiTheme="majorHAnsi" w:cs="Calibri"/>
        </w:rPr>
        <w:t>Sambataro</w:t>
      </w:r>
      <w:proofErr w:type="spellEnd"/>
      <w:r w:rsidRPr="00734AB6">
        <w:rPr>
          <w:rFonts w:asciiTheme="majorHAnsi" w:eastAsia="Calibri" w:hAnsiTheme="majorHAnsi" w:cs="Calibri"/>
        </w:rPr>
        <w:t>, F., ... &amp; Weinberger, D. R. (2010). Modulatory effects of modafinil on neural circuits regulating emotion and cognition. </w:t>
      </w:r>
      <w:r w:rsidRPr="00734AB6">
        <w:rPr>
          <w:rFonts w:asciiTheme="majorHAnsi" w:eastAsia="Calibri" w:hAnsiTheme="majorHAnsi" w:cs="Calibri"/>
          <w:i/>
          <w:iCs/>
        </w:rPr>
        <w:t>Neuropsychopharmacology</w:t>
      </w:r>
      <w:r w:rsidRPr="00734AB6">
        <w:rPr>
          <w:rFonts w:asciiTheme="majorHAnsi" w:eastAsia="Calibri" w:hAnsiTheme="majorHAnsi" w:cs="Calibri"/>
        </w:rPr>
        <w:t>, </w:t>
      </w:r>
      <w:r w:rsidRPr="00734AB6">
        <w:rPr>
          <w:rFonts w:asciiTheme="majorHAnsi" w:eastAsia="Calibri" w:hAnsiTheme="majorHAnsi" w:cs="Calibri"/>
          <w:i/>
          <w:iCs/>
        </w:rPr>
        <w:t>35</w:t>
      </w:r>
      <w:r w:rsidRPr="00734AB6">
        <w:rPr>
          <w:rFonts w:asciiTheme="majorHAnsi" w:eastAsia="Calibri" w:hAnsiTheme="majorHAnsi" w:cs="Calibri"/>
        </w:rPr>
        <w:t>(10), 2101.</w:t>
      </w:r>
    </w:p>
    <w:p w14:paraId="4FD4EBCC" w14:textId="77777777" w:rsidR="00C15975" w:rsidRPr="00734AB6" w:rsidRDefault="00C15975" w:rsidP="00C15975">
      <w:pPr>
        <w:spacing w:line="360" w:lineRule="auto"/>
        <w:ind w:left="851" w:hanging="851"/>
        <w:rPr>
          <w:rFonts w:asciiTheme="majorHAnsi" w:hAnsiTheme="majorHAnsi"/>
        </w:rPr>
      </w:pPr>
      <w:proofErr w:type="spellStart"/>
      <w:r w:rsidRPr="00734AB6">
        <w:rPr>
          <w:rFonts w:asciiTheme="majorHAnsi" w:hAnsiTheme="majorHAnsi"/>
        </w:rPr>
        <w:t>Rebetez</w:t>
      </w:r>
      <w:proofErr w:type="spellEnd"/>
      <w:r w:rsidRPr="00734AB6">
        <w:rPr>
          <w:rFonts w:asciiTheme="majorHAnsi" w:hAnsiTheme="majorHAnsi"/>
        </w:rPr>
        <w:t xml:space="preserve">, M. M. L., </w:t>
      </w:r>
      <w:proofErr w:type="spellStart"/>
      <w:r w:rsidRPr="00734AB6">
        <w:rPr>
          <w:rFonts w:asciiTheme="majorHAnsi" w:hAnsiTheme="majorHAnsi"/>
        </w:rPr>
        <w:t>Rochat</w:t>
      </w:r>
      <w:proofErr w:type="spellEnd"/>
      <w:r w:rsidRPr="00734AB6">
        <w:rPr>
          <w:rFonts w:asciiTheme="majorHAnsi" w:hAnsiTheme="majorHAnsi"/>
        </w:rPr>
        <w:t>, L., Gay, P., &amp; Van der Linden, M. (2014). Validation of a French version of the Pure Procrastination Scale (PPS). </w:t>
      </w:r>
      <w:r w:rsidRPr="00734AB6">
        <w:rPr>
          <w:rFonts w:asciiTheme="majorHAnsi" w:hAnsiTheme="majorHAnsi"/>
          <w:i/>
          <w:iCs/>
        </w:rPr>
        <w:t>Comprehensive Psychiatry</w:t>
      </w:r>
      <w:r w:rsidRPr="00734AB6">
        <w:rPr>
          <w:rFonts w:asciiTheme="majorHAnsi" w:hAnsiTheme="majorHAnsi"/>
        </w:rPr>
        <w:t>, </w:t>
      </w:r>
      <w:r w:rsidRPr="00734AB6">
        <w:rPr>
          <w:rFonts w:asciiTheme="majorHAnsi" w:hAnsiTheme="majorHAnsi"/>
          <w:i/>
          <w:iCs/>
        </w:rPr>
        <w:t>55</w:t>
      </w:r>
      <w:r w:rsidRPr="00734AB6">
        <w:rPr>
          <w:rFonts w:asciiTheme="majorHAnsi" w:hAnsiTheme="majorHAnsi"/>
        </w:rPr>
        <w:t>(6), 1442-1447.</w:t>
      </w:r>
    </w:p>
    <w:p w14:paraId="61014731" w14:textId="634B5E12" w:rsidR="009E41AE" w:rsidRPr="00734AB6" w:rsidRDefault="009E41AE"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Reips</w:t>
      </w:r>
      <w:proofErr w:type="spellEnd"/>
      <w:r w:rsidRPr="00734AB6">
        <w:rPr>
          <w:rFonts w:asciiTheme="majorHAnsi" w:eastAsia="Calibri" w:hAnsiTheme="majorHAnsi" w:cs="Calibri"/>
        </w:rPr>
        <w:t>, U. D. (2002). Standards for Internet-based experimenting. </w:t>
      </w:r>
      <w:r w:rsidR="00BC1C84" w:rsidRPr="00734AB6">
        <w:rPr>
          <w:rFonts w:asciiTheme="majorHAnsi" w:eastAsia="Calibri" w:hAnsiTheme="majorHAnsi" w:cs="Calibri"/>
          <w:i/>
          <w:iCs/>
        </w:rPr>
        <w:t>Experimental P</w:t>
      </w:r>
      <w:r w:rsidRPr="00734AB6">
        <w:rPr>
          <w:rFonts w:asciiTheme="majorHAnsi" w:eastAsia="Calibri" w:hAnsiTheme="majorHAnsi" w:cs="Calibri"/>
          <w:i/>
          <w:iCs/>
        </w:rPr>
        <w:t>sychology</w:t>
      </w:r>
      <w:r w:rsidRPr="00734AB6">
        <w:rPr>
          <w:rFonts w:asciiTheme="majorHAnsi" w:eastAsia="Calibri" w:hAnsiTheme="majorHAnsi" w:cs="Calibri"/>
        </w:rPr>
        <w:t>, </w:t>
      </w:r>
      <w:r w:rsidRPr="00734AB6">
        <w:rPr>
          <w:rFonts w:asciiTheme="majorHAnsi" w:eastAsia="Calibri" w:hAnsiTheme="majorHAnsi" w:cs="Calibri"/>
          <w:i/>
          <w:iCs/>
        </w:rPr>
        <w:t>49</w:t>
      </w:r>
      <w:r w:rsidRPr="00734AB6">
        <w:rPr>
          <w:rFonts w:asciiTheme="majorHAnsi" w:eastAsia="Calibri" w:hAnsiTheme="majorHAnsi" w:cs="Calibri"/>
        </w:rPr>
        <w:t>(4), 243.</w:t>
      </w:r>
    </w:p>
    <w:p w14:paraId="4358835E" w14:textId="5EF148D3" w:rsidR="00AB03F3" w:rsidRPr="00734AB6" w:rsidRDefault="00AB03F3"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Renoux</w:t>
      </w:r>
      <w:proofErr w:type="spellEnd"/>
      <w:r w:rsidRPr="00734AB6">
        <w:rPr>
          <w:rFonts w:asciiTheme="majorHAnsi" w:eastAsia="Calibri" w:hAnsiTheme="majorHAnsi" w:cs="Calibri"/>
        </w:rPr>
        <w:t xml:space="preserve">, C., Shin, J. Y., </w:t>
      </w:r>
      <w:proofErr w:type="spellStart"/>
      <w:r w:rsidRPr="00734AB6">
        <w:rPr>
          <w:rFonts w:asciiTheme="majorHAnsi" w:eastAsia="Calibri" w:hAnsiTheme="majorHAnsi" w:cs="Calibri"/>
        </w:rPr>
        <w:t>Dell'Aniello</w:t>
      </w:r>
      <w:proofErr w:type="spellEnd"/>
      <w:r w:rsidRPr="00734AB6">
        <w:rPr>
          <w:rFonts w:asciiTheme="majorHAnsi" w:eastAsia="Calibri" w:hAnsiTheme="majorHAnsi" w:cs="Calibri"/>
        </w:rPr>
        <w:t xml:space="preserve">, S., Fergusson, E., &amp; </w:t>
      </w:r>
      <w:proofErr w:type="spellStart"/>
      <w:r w:rsidRPr="00734AB6">
        <w:rPr>
          <w:rFonts w:asciiTheme="majorHAnsi" w:eastAsia="Calibri" w:hAnsiTheme="majorHAnsi" w:cs="Calibri"/>
        </w:rPr>
        <w:t>Suissa</w:t>
      </w:r>
      <w:proofErr w:type="spellEnd"/>
      <w:r w:rsidRPr="00734AB6">
        <w:rPr>
          <w:rFonts w:asciiTheme="majorHAnsi" w:eastAsia="Calibri" w:hAnsiTheme="majorHAnsi" w:cs="Calibri"/>
        </w:rPr>
        <w:t>, S. (2016). Prescribing trends of attention‐deficit hyperactivity disorder (ADHD) medications in UK primary care, 1995–2015. </w:t>
      </w:r>
      <w:r w:rsidR="00E65628" w:rsidRPr="00734AB6">
        <w:rPr>
          <w:rFonts w:asciiTheme="majorHAnsi" w:eastAsia="Calibri" w:hAnsiTheme="majorHAnsi" w:cs="Calibri"/>
          <w:i/>
          <w:iCs/>
        </w:rPr>
        <w:t>British Journal of Clinical P</w:t>
      </w:r>
      <w:r w:rsidRPr="00734AB6">
        <w:rPr>
          <w:rFonts w:asciiTheme="majorHAnsi" w:eastAsia="Calibri" w:hAnsiTheme="majorHAnsi" w:cs="Calibri"/>
          <w:i/>
          <w:iCs/>
        </w:rPr>
        <w:t>harmacology</w:t>
      </w:r>
      <w:r w:rsidRPr="00734AB6">
        <w:rPr>
          <w:rFonts w:asciiTheme="majorHAnsi" w:eastAsia="Calibri" w:hAnsiTheme="majorHAnsi" w:cs="Calibri"/>
        </w:rPr>
        <w:t>, </w:t>
      </w:r>
      <w:r w:rsidRPr="00734AB6">
        <w:rPr>
          <w:rFonts w:asciiTheme="majorHAnsi" w:eastAsia="Calibri" w:hAnsiTheme="majorHAnsi" w:cs="Calibri"/>
          <w:i/>
          <w:iCs/>
        </w:rPr>
        <w:t>82</w:t>
      </w:r>
      <w:r w:rsidRPr="00734AB6">
        <w:rPr>
          <w:rFonts w:asciiTheme="majorHAnsi" w:eastAsia="Calibri" w:hAnsiTheme="majorHAnsi" w:cs="Calibri"/>
        </w:rPr>
        <w:t>(3), 858-868.</w:t>
      </w:r>
    </w:p>
    <w:p w14:paraId="1EF4A598" w14:textId="1A692EF6"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Repantis</w:t>
      </w:r>
      <w:proofErr w:type="spellEnd"/>
      <w:r w:rsidRPr="00734AB6">
        <w:rPr>
          <w:rFonts w:asciiTheme="majorHAnsi" w:eastAsia="Calibri" w:hAnsiTheme="majorHAnsi" w:cs="Calibri"/>
        </w:rPr>
        <w:t>, D</w:t>
      </w:r>
      <w:r w:rsidR="00BC1C84" w:rsidRPr="00734AB6">
        <w:rPr>
          <w:rFonts w:asciiTheme="majorHAnsi" w:eastAsia="Calibri" w:hAnsiTheme="majorHAnsi" w:cs="Calibri"/>
        </w:rPr>
        <w:t>.</w:t>
      </w:r>
      <w:r w:rsidRPr="00734AB6">
        <w:rPr>
          <w:rFonts w:asciiTheme="majorHAnsi" w:eastAsia="Calibri" w:hAnsiTheme="majorHAnsi" w:cs="Calibri"/>
        </w:rPr>
        <w:t>, Schlattmann, P</w:t>
      </w:r>
      <w:r w:rsidR="00BC1C84"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Laisney</w:t>
      </w:r>
      <w:proofErr w:type="spellEnd"/>
      <w:r w:rsidRPr="00734AB6">
        <w:rPr>
          <w:rFonts w:asciiTheme="majorHAnsi" w:eastAsia="Calibri" w:hAnsiTheme="majorHAnsi" w:cs="Calibri"/>
        </w:rPr>
        <w:t>, O</w:t>
      </w:r>
      <w:r w:rsidR="00BC1C84" w:rsidRPr="00734AB6">
        <w:rPr>
          <w:rFonts w:asciiTheme="majorHAnsi" w:eastAsia="Calibri" w:hAnsiTheme="majorHAnsi" w:cs="Calibri"/>
        </w:rPr>
        <w:t>.</w:t>
      </w:r>
      <w:r w:rsidRPr="00734AB6">
        <w:rPr>
          <w:rFonts w:asciiTheme="majorHAnsi" w:eastAsia="Calibri" w:hAnsiTheme="majorHAnsi" w:cs="Calibri"/>
        </w:rPr>
        <w:t xml:space="preserve"> </w:t>
      </w:r>
      <w:r w:rsidR="009B1712" w:rsidRPr="00734AB6">
        <w:rPr>
          <w:rFonts w:asciiTheme="majorHAnsi" w:eastAsia="Calibri" w:hAnsiTheme="majorHAnsi" w:cs="Calibri"/>
        </w:rPr>
        <w:t>&amp;</w:t>
      </w:r>
      <w:r w:rsidRPr="00734AB6">
        <w:rPr>
          <w:rFonts w:asciiTheme="majorHAnsi" w:eastAsia="Calibri" w:hAnsiTheme="majorHAnsi" w:cs="Calibri"/>
        </w:rPr>
        <w:t xml:space="preserve"> Heuser, I</w:t>
      </w:r>
      <w:r w:rsidR="00BC1C84" w:rsidRPr="00734AB6">
        <w:rPr>
          <w:rFonts w:asciiTheme="majorHAnsi" w:eastAsia="Calibri" w:hAnsiTheme="majorHAnsi" w:cs="Calibri"/>
        </w:rPr>
        <w:t>.</w:t>
      </w:r>
      <w:r w:rsidRPr="00734AB6">
        <w:rPr>
          <w:rFonts w:asciiTheme="majorHAnsi" w:eastAsia="Calibri" w:hAnsiTheme="majorHAnsi" w:cs="Calibri"/>
        </w:rPr>
        <w:t xml:space="preserve"> (2010). Modafinil and methylphenidate for neuroenhancement in healthy individuals: A systematic review. </w:t>
      </w:r>
      <w:r w:rsidRPr="00734AB6">
        <w:rPr>
          <w:rFonts w:asciiTheme="majorHAnsi" w:eastAsia="Calibri" w:hAnsiTheme="majorHAnsi" w:cs="Calibri"/>
          <w:i/>
        </w:rPr>
        <w:t>Pharmacological Research, 62</w:t>
      </w:r>
      <w:r w:rsidRPr="00734AB6">
        <w:rPr>
          <w:rFonts w:asciiTheme="majorHAnsi" w:eastAsia="Calibri" w:hAnsiTheme="majorHAnsi" w:cs="Calibri"/>
        </w:rPr>
        <w:t>(3), 187-206.</w:t>
      </w:r>
    </w:p>
    <w:p w14:paraId="2A8171C4" w14:textId="1BBEAB54"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Ressler, K</w:t>
      </w:r>
      <w:r w:rsidR="00BC1C84" w:rsidRPr="00734AB6">
        <w:rPr>
          <w:rFonts w:asciiTheme="majorHAnsi" w:eastAsia="Calibri" w:hAnsiTheme="majorHAnsi" w:cs="Calibri"/>
        </w:rPr>
        <w:t xml:space="preserve">. </w:t>
      </w:r>
      <w:r w:rsidRPr="00734AB6">
        <w:rPr>
          <w:rFonts w:asciiTheme="majorHAnsi" w:eastAsia="Calibri" w:hAnsiTheme="majorHAnsi" w:cs="Calibri"/>
        </w:rPr>
        <w:t>J</w:t>
      </w:r>
      <w:r w:rsidR="00BC1C84" w:rsidRPr="00734AB6">
        <w:rPr>
          <w:rFonts w:asciiTheme="majorHAnsi" w:eastAsia="Calibri" w:hAnsiTheme="majorHAnsi" w:cs="Calibri"/>
        </w:rPr>
        <w:t>.</w:t>
      </w:r>
      <w:r w:rsidRPr="00734AB6">
        <w:rPr>
          <w:rFonts w:asciiTheme="majorHAnsi" w:eastAsia="Calibri" w:hAnsiTheme="majorHAnsi" w:cs="Calibri"/>
        </w:rPr>
        <w:t xml:space="preserve"> </w:t>
      </w:r>
      <w:r w:rsidR="00BC1C84"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Nemeroff</w:t>
      </w:r>
      <w:proofErr w:type="spellEnd"/>
      <w:r w:rsidRPr="00734AB6">
        <w:rPr>
          <w:rFonts w:asciiTheme="majorHAnsi" w:eastAsia="Calibri" w:hAnsiTheme="majorHAnsi" w:cs="Calibri"/>
        </w:rPr>
        <w:t>, C</w:t>
      </w:r>
      <w:r w:rsidR="00BC1C84" w:rsidRPr="00734AB6">
        <w:rPr>
          <w:rFonts w:asciiTheme="majorHAnsi" w:eastAsia="Calibri" w:hAnsiTheme="majorHAnsi" w:cs="Calibri"/>
        </w:rPr>
        <w:t xml:space="preserve">. </w:t>
      </w:r>
      <w:r w:rsidRPr="00734AB6">
        <w:rPr>
          <w:rFonts w:asciiTheme="majorHAnsi" w:eastAsia="Calibri" w:hAnsiTheme="majorHAnsi" w:cs="Calibri"/>
        </w:rPr>
        <w:t>B</w:t>
      </w:r>
      <w:r w:rsidR="00BC1C84" w:rsidRPr="00734AB6">
        <w:rPr>
          <w:rFonts w:asciiTheme="majorHAnsi" w:eastAsia="Calibri" w:hAnsiTheme="majorHAnsi" w:cs="Calibri"/>
        </w:rPr>
        <w:t>.</w:t>
      </w:r>
      <w:r w:rsidRPr="00734AB6">
        <w:rPr>
          <w:rFonts w:asciiTheme="majorHAnsi" w:eastAsia="Calibri" w:hAnsiTheme="majorHAnsi" w:cs="Calibri"/>
        </w:rPr>
        <w:t xml:space="preserve"> (2000). Role of serotonergic and noradrenergic systems in the pathophysiology of depression and anxiety disorders. </w:t>
      </w:r>
      <w:r w:rsidR="00BC1C84" w:rsidRPr="00734AB6">
        <w:rPr>
          <w:rFonts w:asciiTheme="majorHAnsi" w:eastAsia="Calibri" w:hAnsiTheme="majorHAnsi" w:cs="Calibri"/>
          <w:i/>
          <w:iCs/>
        </w:rPr>
        <w:t>Depression and A</w:t>
      </w:r>
      <w:r w:rsidRPr="00734AB6">
        <w:rPr>
          <w:rFonts w:asciiTheme="majorHAnsi" w:eastAsia="Calibri" w:hAnsiTheme="majorHAnsi" w:cs="Calibri"/>
          <w:i/>
          <w:iCs/>
        </w:rPr>
        <w:t>nxiety</w:t>
      </w:r>
      <w:r w:rsidRPr="00734AB6">
        <w:rPr>
          <w:rFonts w:asciiTheme="majorHAnsi" w:eastAsia="Calibri" w:hAnsiTheme="majorHAnsi" w:cs="Calibri"/>
        </w:rPr>
        <w:t>, </w:t>
      </w:r>
      <w:r w:rsidRPr="00734AB6">
        <w:rPr>
          <w:rFonts w:asciiTheme="majorHAnsi" w:eastAsia="Calibri" w:hAnsiTheme="majorHAnsi" w:cs="Calibri"/>
          <w:i/>
          <w:iCs/>
        </w:rPr>
        <w:t>12</w:t>
      </w:r>
      <w:r w:rsidRPr="00734AB6">
        <w:rPr>
          <w:rFonts w:asciiTheme="majorHAnsi" w:eastAsia="Calibri" w:hAnsiTheme="majorHAnsi" w:cs="Calibri"/>
        </w:rPr>
        <w:t>(S1), 2-19.</w:t>
      </w:r>
    </w:p>
    <w:p w14:paraId="7A0A06C6"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Ridderinkhof</w:t>
      </w:r>
      <w:proofErr w:type="spellEnd"/>
      <w:r w:rsidRPr="00734AB6">
        <w:rPr>
          <w:rFonts w:asciiTheme="majorHAnsi" w:eastAsia="Calibri" w:hAnsiTheme="majorHAnsi" w:cs="Calibri"/>
        </w:rPr>
        <w:t xml:space="preserve">, K. R., &amp; van der </w:t>
      </w:r>
      <w:proofErr w:type="spellStart"/>
      <w:r w:rsidRPr="00734AB6">
        <w:rPr>
          <w:rFonts w:asciiTheme="majorHAnsi" w:eastAsia="Calibri" w:hAnsiTheme="majorHAnsi" w:cs="Calibri"/>
        </w:rPr>
        <w:t>Molen</w:t>
      </w:r>
      <w:proofErr w:type="spellEnd"/>
      <w:r w:rsidRPr="00734AB6">
        <w:rPr>
          <w:rFonts w:asciiTheme="majorHAnsi" w:eastAsia="Calibri" w:hAnsiTheme="majorHAnsi" w:cs="Calibri"/>
        </w:rPr>
        <w:t>, M. W. (1995). A psychophysiological analysis of developmental differences in the ability to resist interference. </w:t>
      </w:r>
      <w:r w:rsidRPr="00734AB6">
        <w:rPr>
          <w:rFonts w:asciiTheme="majorHAnsi" w:eastAsia="Calibri" w:hAnsiTheme="majorHAnsi" w:cs="Calibri"/>
          <w:i/>
          <w:iCs/>
        </w:rPr>
        <w:t>Child Development</w:t>
      </w:r>
      <w:r w:rsidRPr="00734AB6">
        <w:rPr>
          <w:rFonts w:asciiTheme="majorHAnsi" w:eastAsia="Calibri" w:hAnsiTheme="majorHAnsi" w:cs="Calibri"/>
        </w:rPr>
        <w:t>, </w:t>
      </w:r>
      <w:r w:rsidRPr="00734AB6">
        <w:rPr>
          <w:rFonts w:asciiTheme="majorHAnsi" w:eastAsia="Calibri" w:hAnsiTheme="majorHAnsi" w:cs="Calibri"/>
          <w:i/>
          <w:iCs/>
        </w:rPr>
        <w:t>66</w:t>
      </w:r>
      <w:r w:rsidRPr="00734AB6">
        <w:rPr>
          <w:rFonts w:asciiTheme="majorHAnsi" w:eastAsia="Calibri" w:hAnsiTheme="majorHAnsi" w:cs="Calibri"/>
        </w:rPr>
        <w:t>(4), 1040-1056.</w:t>
      </w:r>
    </w:p>
    <w:p w14:paraId="6DB2C680" w14:textId="4E7065C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Ridderinkhof</w:t>
      </w:r>
      <w:proofErr w:type="spellEnd"/>
      <w:r w:rsidRPr="00734AB6">
        <w:rPr>
          <w:rFonts w:asciiTheme="majorHAnsi" w:eastAsia="Calibri" w:hAnsiTheme="majorHAnsi" w:cs="Calibri"/>
        </w:rPr>
        <w:t xml:space="preserve">, K. R., van der </w:t>
      </w:r>
      <w:proofErr w:type="spellStart"/>
      <w:r w:rsidRPr="00734AB6">
        <w:rPr>
          <w:rFonts w:asciiTheme="majorHAnsi" w:eastAsia="Calibri" w:hAnsiTheme="majorHAnsi" w:cs="Calibri"/>
        </w:rPr>
        <w:t>Molen</w:t>
      </w:r>
      <w:proofErr w:type="spellEnd"/>
      <w:r w:rsidRPr="00734AB6">
        <w:rPr>
          <w:rFonts w:asciiTheme="majorHAnsi" w:eastAsia="Calibri" w:hAnsiTheme="majorHAnsi" w:cs="Calibri"/>
        </w:rPr>
        <w:t xml:space="preserve">, M. W., Band, G. P., &amp; </w:t>
      </w:r>
      <w:proofErr w:type="spellStart"/>
      <w:r w:rsidRPr="00734AB6">
        <w:rPr>
          <w:rFonts w:asciiTheme="majorHAnsi" w:eastAsia="Calibri" w:hAnsiTheme="majorHAnsi" w:cs="Calibri"/>
        </w:rPr>
        <w:t>Bashore</w:t>
      </w:r>
      <w:proofErr w:type="spellEnd"/>
      <w:r w:rsidRPr="00734AB6">
        <w:rPr>
          <w:rFonts w:asciiTheme="majorHAnsi" w:eastAsia="Calibri" w:hAnsiTheme="majorHAnsi" w:cs="Calibri"/>
        </w:rPr>
        <w:t>, T. R. (1997). Sources of interference from irrelevant information: A developmental study. </w:t>
      </w:r>
      <w:r w:rsidR="00FE36FA" w:rsidRPr="00734AB6">
        <w:rPr>
          <w:rFonts w:asciiTheme="majorHAnsi" w:eastAsia="Calibri" w:hAnsiTheme="majorHAnsi" w:cs="Calibri"/>
          <w:i/>
          <w:iCs/>
        </w:rPr>
        <w:t>Journal of E</w:t>
      </w:r>
      <w:r w:rsidRPr="00734AB6">
        <w:rPr>
          <w:rFonts w:asciiTheme="majorHAnsi" w:eastAsia="Calibri" w:hAnsiTheme="majorHAnsi" w:cs="Calibri"/>
          <w:i/>
          <w:iCs/>
        </w:rPr>
        <w:t xml:space="preserve">xperimental </w:t>
      </w:r>
      <w:r w:rsidR="00FE36FA" w:rsidRPr="00734AB6">
        <w:rPr>
          <w:rFonts w:asciiTheme="majorHAnsi" w:eastAsia="Calibri" w:hAnsiTheme="majorHAnsi" w:cs="Calibri"/>
          <w:i/>
          <w:iCs/>
        </w:rPr>
        <w:t>C</w:t>
      </w:r>
      <w:r w:rsidRPr="00734AB6">
        <w:rPr>
          <w:rFonts w:asciiTheme="majorHAnsi" w:eastAsia="Calibri" w:hAnsiTheme="majorHAnsi" w:cs="Calibri"/>
          <w:i/>
          <w:iCs/>
        </w:rPr>
        <w:t xml:space="preserve">hild </w:t>
      </w:r>
      <w:r w:rsidR="00FE36FA" w:rsidRPr="00734AB6">
        <w:rPr>
          <w:rFonts w:asciiTheme="majorHAnsi" w:eastAsia="Calibri" w:hAnsiTheme="majorHAnsi" w:cs="Calibri"/>
          <w:i/>
          <w:iCs/>
        </w:rPr>
        <w:t>P</w:t>
      </w:r>
      <w:r w:rsidRPr="00734AB6">
        <w:rPr>
          <w:rFonts w:asciiTheme="majorHAnsi" w:eastAsia="Calibri" w:hAnsiTheme="majorHAnsi" w:cs="Calibri"/>
          <w:i/>
          <w:iCs/>
        </w:rPr>
        <w:t>sychology</w:t>
      </w:r>
      <w:r w:rsidRPr="00734AB6">
        <w:rPr>
          <w:rFonts w:asciiTheme="majorHAnsi" w:eastAsia="Calibri" w:hAnsiTheme="majorHAnsi" w:cs="Calibri"/>
        </w:rPr>
        <w:t>, </w:t>
      </w:r>
      <w:r w:rsidRPr="00734AB6">
        <w:rPr>
          <w:rFonts w:asciiTheme="majorHAnsi" w:eastAsia="Calibri" w:hAnsiTheme="majorHAnsi" w:cs="Calibri"/>
          <w:i/>
          <w:iCs/>
        </w:rPr>
        <w:t>65</w:t>
      </w:r>
      <w:r w:rsidRPr="00734AB6">
        <w:rPr>
          <w:rFonts w:asciiTheme="majorHAnsi" w:eastAsia="Calibri" w:hAnsiTheme="majorHAnsi" w:cs="Calibri"/>
        </w:rPr>
        <w:t>(3), 315-341.</w:t>
      </w:r>
    </w:p>
    <w:p w14:paraId="7E75FDFA"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Ritalin (n.d.) Methylphenidate datasheet. Retrieved from </w:t>
      </w:r>
      <w:hyperlink r:id="rId37" w:history="1">
        <w:r w:rsidRPr="00734AB6">
          <w:rPr>
            <w:rStyle w:val="Hyperlink"/>
            <w:rFonts w:asciiTheme="majorHAnsi" w:eastAsia="Calibri" w:hAnsiTheme="majorHAnsi" w:cs="Calibri"/>
          </w:rPr>
          <w:t>http://www.parma.us.novartis.com/sites/www.pharma.us.novartis.com/files/ritalin_ritalin-sr.pdf</w:t>
        </w:r>
      </w:hyperlink>
      <w:r w:rsidRPr="00734AB6">
        <w:rPr>
          <w:rFonts w:asciiTheme="majorHAnsi" w:eastAsia="Calibri" w:hAnsiTheme="majorHAnsi" w:cs="Calibri"/>
        </w:rPr>
        <w:t xml:space="preserve"> </w:t>
      </w:r>
    </w:p>
    <w:p w14:paraId="0F9D6C2A" w14:textId="5E9E7F11"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Robertson, P</w:t>
      </w:r>
      <w:r w:rsidR="00FE36FA" w:rsidRPr="00734AB6">
        <w:rPr>
          <w:rFonts w:asciiTheme="majorHAnsi" w:eastAsia="Calibri" w:hAnsiTheme="majorHAnsi" w:cs="Calibri"/>
        </w:rPr>
        <w:t>.</w:t>
      </w:r>
      <w:r w:rsidRPr="00734AB6">
        <w:rPr>
          <w:rFonts w:asciiTheme="majorHAnsi" w:eastAsia="Calibri" w:hAnsiTheme="majorHAnsi" w:cs="Calibri"/>
        </w:rPr>
        <w:t xml:space="preserve"> </w:t>
      </w:r>
      <w:r w:rsidR="00FE36FA"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Hellriegel</w:t>
      </w:r>
      <w:proofErr w:type="spellEnd"/>
      <w:r w:rsidRPr="00734AB6">
        <w:rPr>
          <w:rFonts w:asciiTheme="majorHAnsi" w:eastAsia="Calibri" w:hAnsiTheme="majorHAnsi" w:cs="Calibri"/>
        </w:rPr>
        <w:t>, E</w:t>
      </w:r>
      <w:r w:rsidR="00FE36FA" w:rsidRPr="00734AB6">
        <w:rPr>
          <w:rFonts w:asciiTheme="majorHAnsi" w:eastAsia="Calibri" w:hAnsiTheme="majorHAnsi" w:cs="Calibri"/>
        </w:rPr>
        <w:t xml:space="preserve">. </w:t>
      </w:r>
      <w:r w:rsidRPr="00734AB6">
        <w:rPr>
          <w:rFonts w:asciiTheme="majorHAnsi" w:eastAsia="Calibri" w:hAnsiTheme="majorHAnsi" w:cs="Calibri"/>
        </w:rPr>
        <w:t>T</w:t>
      </w:r>
      <w:r w:rsidR="00FE36FA" w:rsidRPr="00734AB6">
        <w:rPr>
          <w:rFonts w:asciiTheme="majorHAnsi" w:eastAsia="Calibri" w:hAnsiTheme="majorHAnsi" w:cs="Calibri"/>
        </w:rPr>
        <w:t>.</w:t>
      </w:r>
      <w:r w:rsidRPr="00734AB6">
        <w:rPr>
          <w:rFonts w:asciiTheme="majorHAnsi" w:eastAsia="Calibri" w:hAnsiTheme="majorHAnsi" w:cs="Calibri"/>
        </w:rPr>
        <w:t xml:space="preserve"> (2003). Clinical pharmacokinetic profile of modafinil. </w:t>
      </w:r>
      <w:r w:rsidRPr="00734AB6">
        <w:rPr>
          <w:rFonts w:asciiTheme="majorHAnsi" w:eastAsia="Calibri" w:hAnsiTheme="majorHAnsi" w:cs="Calibri"/>
          <w:i/>
          <w:iCs/>
        </w:rPr>
        <w:t>Clinical Pharmacokinetics</w:t>
      </w:r>
      <w:r w:rsidRPr="00734AB6">
        <w:rPr>
          <w:rFonts w:asciiTheme="majorHAnsi" w:eastAsia="Calibri" w:hAnsiTheme="majorHAnsi" w:cs="Calibri"/>
        </w:rPr>
        <w:t>, </w:t>
      </w:r>
      <w:r w:rsidRPr="00734AB6">
        <w:rPr>
          <w:rFonts w:asciiTheme="majorHAnsi" w:eastAsia="Calibri" w:hAnsiTheme="majorHAnsi" w:cs="Calibri"/>
          <w:i/>
          <w:iCs/>
        </w:rPr>
        <w:t>42</w:t>
      </w:r>
      <w:r w:rsidRPr="00734AB6">
        <w:rPr>
          <w:rFonts w:asciiTheme="majorHAnsi" w:eastAsia="Calibri" w:hAnsiTheme="majorHAnsi" w:cs="Calibri"/>
        </w:rPr>
        <w:t>(2), 123-137.</w:t>
      </w:r>
    </w:p>
    <w:p w14:paraId="254B42FA"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Rodrı́guez-Fornells</w:t>
      </w:r>
      <w:proofErr w:type="spellEnd"/>
      <w:r w:rsidRPr="00734AB6">
        <w:rPr>
          <w:rFonts w:asciiTheme="majorHAnsi" w:eastAsia="Calibri" w:hAnsiTheme="majorHAnsi" w:cs="Calibri"/>
        </w:rPr>
        <w:t xml:space="preserve">, A., </w:t>
      </w:r>
      <w:proofErr w:type="spellStart"/>
      <w:r w:rsidRPr="00734AB6">
        <w:rPr>
          <w:rFonts w:asciiTheme="majorHAnsi" w:eastAsia="Calibri" w:hAnsiTheme="majorHAnsi" w:cs="Calibri"/>
        </w:rPr>
        <w:t>Kurzbuch</w:t>
      </w:r>
      <w:proofErr w:type="spellEnd"/>
      <w:r w:rsidRPr="00734AB6">
        <w:rPr>
          <w:rFonts w:asciiTheme="majorHAnsi" w:eastAsia="Calibri" w:hAnsiTheme="majorHAnsi" w:cs="Calibri"/>
        </w:rPr>
        <w:t xml:space="preserve">, A. R., &amp; </w:t>
      </w:r>
      <w:proofErr w:type="spellStart"/>
      <w:r w:rsidRPr="00734AB6">
        <w:rPr>
          <w:rFonts w:asciiTheme="majorHAnsi" w:eastAsia="Calibri" w:hAnsiTheme="majorHAnsi" w:cs="Calibri"/>
        </w:rPr>
        <w:t>Münte</w:t>
      </w:r>
      <w:proofErr w:type="spellEnd"/>
      <w:r w:rsidRPr="00734AB6">
        <w:rPr>
          <w:rFonts w:asciiTheme="majorHAnsi" w:eastAsia="Calibri" w:hAnsiTheme="majorHAnsi" w:cs="Calibri"/>
        </w:rPr>
        <w:t>, T. F. (2002). Time course of error detection and correction in humans: neurophysiological evidence. </w:t>
      </w:r>
      <w:r w:rsidRPr="00734AB6">
        <w:rPr>
          <w:rFonts w:asciiTheme="majorHAnsi" w:eastAsia="Calibri" w:hAnsiTheme="majorHAnsi" w:cs="Calibri"/>
          <w:i/>
          <w:iCs/>
        </w:rPr>
        <w:t>Journal of Neuroscience</w:t>
      </w:r>
      <w:r w:rsidRPr="00734AB6">
        <w:rPr>
          <w:rFonts w:asciiTheme="majorHAnsi" w:eastAsia="Calibri" w:hAnsiTheme="majorHAnsi" w:cs="Calibri"/>
        </w:rPr>
        <w:t>, </w:t>
      </w:r>
      <w:r w:rsidRPr="00734AB6">
        <w:rPr>
          <w:rFonts w:asciiTheme="majorHAnsi" w:eastAsia="Calibri" w:hAnsiTheme="majorHAnsi" w:cs="Calibri"/>
          <w:i/>
          <w:iCs/>
        </w:rPr>
        <w:t>22</w:t>
      </w:r>
      <w:r w:rsidRPr="00734AB6">
        <w:rPr>
          <w:rFonts w:asciiTheme="majorHAnsi" w:eastAsia="Calibri" w:hAnsiTheme="majorHAnsi" w:cs="Calibri"/>
        </w:rPr>
        <w:t>(22), 9990-9996.</w:t>
      </w:r>
    </w:p>
    <w:p w14:paraId="535541BE" w14:textId="5999745E"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Roediger, H. L., &amp; </w:t>
      </w:r>
      <w:proofErr w:type="spellStart"/>
      <w:r w:rsidRPr="00734AB6">
        <w:rPr>
          <w:rFonts w:asciiTheme="majorHAnsi" w:eastAsia="Calibri" w:hAnsiTheme="majorHAnsi" w:cs="Calibri"/>
        </w:rPr>
        <w:t>Nestojko</w:t>
      </w:r>
      <w:proofErr w:type="spellEnd"/>
      <w:r w:rsidRPr="00734AB6">
        <w:rPr>
          <w:rFonts w:asciiTheme="majorHAnsi" w:eastAsia="Calibri" w:hAnsiTheme="majorHAnsi" w:cs="Calibri"/>
        </w:rPr>
        <w:t>, J. F. (2015). The relative benefits of studying and testing on long-term retention. In </w:t>
      </w:r>
      <w:r w:rsidRPr="00734AB6">
        <w:rPr>
          <w:rFonts w:asciiTheme="majorHAnsi" w:eastAsia="Calibri" w:hAnsiTheme="majorHAnsi" w:cs="Calibri"/>
          <w:i/>
          <w:iCs/>
        </w:rPr>
        <w:t xml:space="preserve">Cognitive </w:t>
      </w:r>
      <w:proofErr w:type="spellStart"/>
      <w:r w:rsidRPr="00734AB6">
        <w:rPr>
          <w:rFonts w:asciiTheme="majorHAnsi" w:eastAsia="Calibri" w:hAnsiTheme="majorHAnsi" w:cs="Calibri"/>
          <w:i/>
          <w:iCs/>
        </w:rPr>
        <w:t>Modeling</w:t>
      </w:r>
      <w:proofErr w:type="spellEnd"/>
      <w:r w:rsidRPr="00734AB6">
        <w:rPr>
          <w:rFonts w:asciiTheme="majorHAnsi" w:eastAsia="Calibri" w:hAnsiTheme="majorHAnsi" w:cs="Calibri"/>
          <w:i/>
          <w:iCs/>
        </w:rPr>
        <w:t xml:space="preserve"> in Perception and Memory</w:t>
      </w:r>
      <w:r w:rsidRPr="00734AB6">
        <w:rPr>
          <w:rFonts w:asciiTheme="majorHAnsi" w:eastAsia="Calibri" w:hAnsiTheme="majorHAnsi" w:cs="Calibri"/>
        </w:rPr>
        <w:t xml:space="preserve"> (pp. 109-121). </w:t>
      </w:r>
      <w:r w:rsidR="00FE36FA" w:rsidRPr="00734AB6">
        <w:rPr>
          <w:rFonts w:asciiTheme="majorHAnsi" w:eastAsia="Calibri" w:hAnsiTheme="majorHAnsi" w:cs="Calibri"/>
        </w:rPr>
        <w:t xml:space="preserve">New York: </w:t>
      </w:r>
      <w:r w:rsidRPr="00734AB6">
        <w:rPr>
          <w:rFonts w:asciiTheme="majorHAnsi" w:eastAsia="Calibri" w:hAnsiTheme="majorHAnsi" w:cs="Calibri"/>
        </w:rPr>
        <w:t>Psychology Press.</w:t>
      </w:r>
    </w:p>
    <w:p w14:paraId="08C7F676"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Rosario-Hernández, E., </w:t>
      </w:r>
      <w:proofErr w:type="spellStart"/>
      <w:r w:rsidRPr="00734AB6">
        <w:rPr>
          <w:rFonts w:asciiTheme="majorHAnsi" w:eastAsia="Calibri" w:hAnsiTheme="majorHAnsi" w:cs="Calibri"/>
        </w:rPr>
        <w:t>Rovira-Millán</w:t>
      </w:r>
      <w:proofErr w:type="spellEnd"/>
      <w:r w:rsidRPr="00734AB6">
        <w:rPr>
          <w:rFonts w:asciiTheme="majorHAnsi" w:eastAsia="Calibri" w:hAnsiTheme="majorHAnsi" w:cs="Calibri"/>
        </w:rPr>
        <w:t xml:space="preserve">, L., Santiago-Pacheco, E., </w:t>
      </w:r>
      <w:proofErr w:type="spellStart"/>
      <w:r w:rsidRPr="00734AB6">
        <w:rPr>
          <w:rFonts w:asciiTheme="majorHAnsi" w:eastAsia="Calibri" w:hAnsiTheme="majorHAnsi" w:cs="Calibri"/>
        </w:rPr>
        <w:t>Arzola</w:t>
      </w:r>
      <w:proofErr w:type="spellEnd"/>
      <w:r w:rsidRPr="00734AB6">
        <w:rPr>
          <w:rFonts w:asciiTheme="majorHAnsi" w:eastAsia="Calibri" w:hAnsiTheme="majorHAnsi" w:cs="Calibri"/>
        </w:rPr>
        <w:t xml:space="preserve">-Berrios, X., </w:t>
      </w:r>
      <w:proofErr w:type="spellStart"/>
      <w:r w:rsidRPr="00734AB6">
        <w:rPr>
          <w:rFonts w:asciiTheme="majorHAnsi" w:eastAsia="Calibri" w:hAnsiTheme="majorHAnsi" w:cs="Calibri"/>
        </w:rPr>
        <w:t>Padovani</w:t>
      </w:r>
      <w:proofErr w:type="spellEnd"/>
      <w:r w:rsidRPr="00734AB6">
        <w:rPr>
          <w:rFonts w:asciiTheme="majorHAnsi" w:eastAsia="Calibri" w:hAnsiTheme="majorHAnsi" w:cs="Calibri"/>
        </w:rPr>
        <w:t xml:space="preserve">, C. M., </w:t>
      </w:r>
      <w:proofErr w:type="spellStart"/>
      <w:r w:rsidRPr="00734AB6">
        <w:rPr>
          <w:rFonts w:asciiTheme="majorHAnsi" w:eastAsia="Calibri" w:hAnsiTheme="majorHAnsi" w:cs="Calibri"/>
        </w:rPr>
        <w:t>Francesquini</w:t>
      </w:r>
      <w:proofErr w:type="spellEnd"/>
      <w:r w:rsidRPr="00734AB6">
        <w:rPr>
          <w:rFonts w:asciiTheme="majorHAnsi" w:eastAsia="Calibri" w:hAnsiTheme="majorHAnsi" w:cs="Calibri"/>
        </w:rPr>
        <w:t xml:space="preserve">-Oquendo, S., ... &amp; </w:t>
      </w:r>
      <w:proofErr w:type="spellStart"/>
      <w:r w:rsidRPr="00734AB6">
        <w:rPr>
          <w:rFonts w:asciiTheme="majorHAnsi" w:eastAsia="Calibri" w:hAnsiTheme="majorHAnsi" w:cs="Calibri"/>
        </w:rPr>
        <w:t>Vélez</w:t>
      </w:r>
      <w:proofErr w:type="spellEnd"/>
      <w:r w:rsidRPr="00734AB6">
        <w:rPr>
          <w:rFonts w:asciiTheme="majorHAnsi" w:eastAsia="Calibri" w:hAnsiTheme="majorHAnsi" w:cs="Calibri"/>
        </w:rPr>
        <w:t>, E. (2020). ADHD and its Effects on Job Performance: A Moderated Mediation Model. </w:t>
      </w:r>
      <w:proofErr w:type="spellStart"/>
      <w:r w:rsidRPr="00734AB6">
        <w:rPr>
          <w:rFonts w:asciiTheme="majorHAnsi" w:eastAsia="Calibri" w:hAnsiTheme="majorHAnsi" w:cs="Calibri"/>
          <w:i/>
          <w:iCs/>
        </w:rPr>
        <w:t>Revista</w:t>
      </w:r>
      <w:proofErr w:type="spellEnd"/>
      <w:r w:rsidRPr="00734AB6">
        <w:rPr>
          <w:rFonts w:asciiTheme="majorHAnsi" w:eastAsia="Calibri" w:hAnsiTheme="majorHAnsi" w:cs="Calibri"/>
          <w:i/>
          <w:iCs/>
        </w:rPr>
        <w:t xml:space="preserve"> </w:t>
      </w:r>
      <w:proofErr w:type="spellStart"/>
      <w:r w:rsidRPr="00734AB6">
        <w:rPr>
          <w:rFonts w:asciiTheme="majorHAnsi" w:eastAsia="Calibri" w:hAnsiTheme="majorHAnsi" w:cs="Calibri"/>
          <w:i/>
          <w:iCs/>
        </w:rPr>
        <w:t>Caribeña</w:t>
      </w:r>
      <w:proofErr w:type="spellEnd"/>
      <w:r w:rsidRPr="00734AB6">
        <w:rPr>
          <w:rFonts w:asciiTheme="majorHAnsi" w:eastAsia="Calibri" w:hAnsiTheme="majorHAnsi" w:cs="Calibri"/>
          <w:i/>
          <w:iCs/>
        </w:rPr>
        <w:t xml:space="preserve"> de </w:t>
      </w:r>
      <w:proofErr w:type="spellStart"/>
      <w:r w:rsidRPr="00734AB6">
        <w:rPr>
          <w:rFonts w:asciiTheme="majorHAnsi" w:eastAsia="Calibri" w:hAnsiTheme="majorHAnsi" w:cs="Calibri"/>
          <w:i/>
          <w:iCs/>
        </w:rPr>
        <w:t>Psicología</w:t>
      </w:r>
      <w:proofErr w:type="spellEnd"/>
      <w:r w:rsidRPr="00734AB6">
        <w:rPr>
          <w:rFonts w:asciiTheme="majorHAnsi" w:eastAsia="Calibri" w:hAnsiTheme="majorHAnsi" w:cs="Calibri"/>
        </w:rPr>
        <w:t>, </w:t>
      </w:r>
      <w:r w:rsidRPr="00734AB6">
        <w:rPr>
          <w:rFonts w:asciiTheme="majorHAnsi" w:eastAsia="Calibri" w:hAnsiTheme="majorHAnsi" w:cs="Calibri"/>
          <w:i/>
          <w:iCs/>
        </w:rPr>
        <w:t>4</w:t>
      </w:r>
      <w:r w:rsidRPr="00734AB6">
        <w:rPr>
          <w:rFonts w:asciiTheme="majorHAnsi" w:eastAsia="Calibri" w:hAnsiTheme="majorHAnsi" w:cs="Calibri"/>
        </w:rPr>
        <w:t>(1), 1-25.</w:t>
      </w:r>
    </w:p>
    <w:p w14:paraId="7A46B793" w14:textId="26C5FDDB"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Ross, M. M., </w:t>
      </w:r>
      <w:proofErr w:type="spellStart"/>
      <w:r w:rsidRPr="00734AB6">
        <w:rPr>
          <w:rFonts w:asciiTheme="majorHAnsi" w:eastAsia="Calibri" w:hAnsiTheme="majorHAnsi" w:cs="Calibri"/>
        </w:rPr>
        <w:t>Arria</w:t>
      </w:r>
      <w:proofErr w:type="spellEnd"/>
      <w:r w:rsidRPr="00734AB6">
        <w:rPr>
          <w:rFonts w:asciiTheme="majorHAnsi" w:eastAsia="Calibri" w:hAnsiTheme="majorHAnsi" w:cs="Calibri"/>
        </w:rPr>
        <w:t>, A. M., Brown, J. P., Mullins, C. D., Schiffman, J., &amp; Simoni-</w:t>
      </w:r>
      <w:proofErr w:type="spellStart"/>
      <w:r w:rsidRPr="00734AB6">
        <w:rPr>
          <w:rFonts w:asciiTheme="majorHAnsi" w:eastAsia="Calibri" w:hAnsiTheme="majorHAnsi" w:cs="Calibri"/>
        </w:rPr>
        <w:t>Wastila</w:t>
      </w:r>
      <w:proofErr w:type="spellEnd"/>
      <w:r w:rsidRPr="00734AB6">
        <w:rPr>
          <w:rFonts w:asciiTheme="majorHAnsi" w:eastAsia="Calibri" w:hAnsiTheme="majorHAnsi" w:cs="Calibri"/>
        </w:rPr>
        <w:t xml:space="preserve">, L. (2018). College students' perceived benefit-to-risk </w:t>
      </w:r>
      <w:proofErr w:type="spellStart"/>
      <w:r w:rsidRPr="00734AB6">
        <w:rPr>
          <w:rFonts w:asciiTheme="majorHAnsi" w:eastAsia="Calibri" w:hAnsiTheme="majorHAnsi" w:cs="Calibri"/>
        </w:rPr>
        <w:t>tradeoffs</w:t>
      </w:r>
      <w:proofErr w:type="spellEnd"/>
      <w:r w:rsidRPr="00734AB6">
        <w:rPr>
          <w:rFonts w:asciiTheme="majorHAnsi" w:eastAsia="Calibri" w:hAnsiTheme="majorHAnsi" w:cs="Calibri"/>
        </w:rPr>
        <w:t xml:space="preserve"> for nonmedical use of prescription stimulants: Implications for i</w:t>
      </w:r>
      <w:r w:rsidR="00FE36FA" w:rsidRPr="00734AB6">
        <w:rPr>
          <w:rFonts w:asciiTheme="majorHAnsi" w:eastAsia="Calibri" w:hAnsiTheme="majorHAnsi" w:cs="Calibri"/>
        </w:rPr>
        <w:t xml:space="preserve">ntervention designs. </w:t>
      </w:r>
      <w:r w:rsidR="00FE36FA" w:rsidRPr="00734AB6">
        <w:rPr>
          <w:rFonts w:asciiTheme="majorHAnsi" w:eastAsia="Calibri" w:hAnsiTheme="majorHAnsi" w:cs="Calibri"/>
          <w:i/>
        </w:rPr>
        <w:t xml:space="preserve">Addictive </w:t>
      </w:r>
      <w:proofErr w:type="spellStart"/>
      <w:r w:rsidR="00FE36FA" w:rsidRPr="00734AB6">
        <w:rPr>
          <w:rFonts w:asciiTheme="majorHAnsi" w:eastAsia="Calibri" w:hAnsiTheme="majorHAnsi" w:cs="Calibri"/>
          <w:i/>
        </w:rPr>
        <w:t>B</w:t>
      </w:r>
      <w:r w:rsidRPr="00734AB6">
        <w:rPr>
          <w:rFonts w:asciiTheme="majorHAnsi" w:eastAsia="Calibri" w:hAnsiTheme="majorHAnsi" w:cs="Calibri"/>
          <w:i/>
        </w:rPr>
        <w:t>ehaviors</w:t>
      </w:r>
      <w:proofErr w:type="spellEnd"/>
      <w:r w:rsidRPr="00734AB6">
        <w:rPr>
          <w:rFonts w:asciiTheme="majorHAnsi" w:eastAsia="Calibri" w:hAnsiTheme="majorHAnsi" w:cs="Calibri"/>
          <w:i/>
        </w:rPr>
        <w:t>, 79</w:t>
      </w:r>
      <w:r w:rsidRPr="00734AB6">
        <w:rPr>
          <w:rFonts w:asciiTheme="majorHAnsi" w:eastAsia="Calibri" w:hAnsiTheme="majorHAnsi" w:cs="Calibri"/>
        </w:rPr>
        <w:t>, 45-51.</w:t>
      </w:r>
    </w:p>
    <w:p w14:paraId="66DC24D5"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 xml:space="preserve">Roth, R. M., </w:t>
      </w:r>
      <w:proofErr w:type="spellStart"/>
      <w:r w:rsidRPr="00734AB6">
        <w:rPr>
          <w:rFonts w:asciiTheme="majorHAnsi" w:eastAsia="Calibri" w:hAnsiTheme="majorHAnsi" w:cs="Calibri"/>
        </w:rPr>
        <w:t>isquith</w:t>
      </w:r>
      <w:proofErr w:type="spellEnd"/>
      <w:r w:rsidRPr="00734AB6">
        <w:rPr>
          <w:rFonts w:asciiTheme="majorHAnsi" w:eastAsia="Calibri" w:hAnsiTheme="majorHAnsi" w:cs="Calibri"/>
        </w:rPr>
        <w:t xml:space="preserve">, P. K., &amp; </w:t>
      </w:r>
      <w:proofErr w:type="spellStart"/>
      <w:r w:rsidRPr="00734AB6">
        <w:rPr>
          <w:rFonts w:asciiTheme="majorHAnsi" w:eastAsia="Calibri" w:hAnsiTheme="majorHAnsi" w:cs="Calibri"/>
        </w:rPr>
        <w:t>Gioia</w:t>
      </w:r>
      <w:proofErr w:type="spellEnd"/>
      <w:r w:rsidRPr="00734AB6">
        <w:rPr>
          <w:rFonts w:asciiTheme="majorHAnsi" w:eastAsia="Calibri" w:hAnsiTheme="majorHAnsi" w:cs="Calibri"/>
        </w:rPr>
        <w:t>, G. A. (2005). </w:t>
      </w:r>
      <w:proofErr w:type="spellStart"/>
      <w:r w:rsidRPr="00734AB6">
        <w:rPr>
          <w:rFonts w:asciiTheme="majorHAnsi" w:eastAsia="Calibri" w:hAnsiTheme="majorHAnsi" w:cs="Calibri"/>
          <w:i/>
          <w:iCs/>
        </w:rPr>
        <w:t>Behavior</w:t>
      </w:r>
      <w:proofErr w:type="spellEnd"/>
      <w:r w:rsidRPr="00734AB6">
        <w:rPr>
          <w:rFonts w:asciiTheme="majorHAnsi" w:eastAsia="Calibri" w:hAnsiTheme="majorHAnsi" w:cs="Calibri"/>
          <w:i/>
          <w:iCs/>
        </w:rPr>
        <w:t xml:space="preserve"> rating inventory of executive function--adult version</w:t>
      </w:r>
      <w:r w:rsidRPr="00734AB6">
        <w:rPr>
          <w:rFonts w:asciiTheme="majorHAnsi" w:eastAsia="Calibri" w:hAnsiTheme="majorHAnsi" w:cs="Calibri"/>
        </w:rPr>
        <w:t>. Lutz, FL: Psychological Assessment Resources.</w:t>
      </w:r>
    </w:p>
    <w:p w14:paraId="227E8731" w14:textId="77777777" w:rsidR="00C15975" w:rsidRPr="00734AB6" w:rsidRDefault="00C15975" w:rsidP="00C15975">
      <w:pPr>
        <w:spacing w:line="360" w:lineRule="auto"/>
        <w:ind w:left="851" w:hanging="851"/>
        <w:rPr>
          <w:rFonts w:asciiTheme="majorHAnsi" w:hAnsiTheme="majorHAnsi"/>
        </w:rPr>
      </w:pPr>
      <w:r w:rsidRPr="00734AB6">
        <w:rPr>
          <w:rFonts w:asciiTheme="majorHAnsi" w:hAnsiTheme="majorHAnsi"/>
        </w:rPr>
        <w:t xml:space="preserve">Rowe, D. C., </w:t>
      </w:r>
      <w:proofErr w:type="spellStart"/>
      <w:r w:rsidRPr="00734AB6">
        <w:rPr>
          <w:rFonts w:asciiTheme="majorHAnsi" w:hAnsiTheme="majorHAnsi"/>
        </w:rPr>
        <w:t>Stever</w:t>
      </w:r>
      <w:proofErr w:type="spellEnd"/>
      <w:r w:rsidRPr="00734AB6">
        <w:rPr>
          <w:rFonts w:asciiTheme="majorHAnsi" w:hAnsiTheme="majorHAnsi"/>
        </w:rPr>
        <w:t xml:space="preserve">, C., </w:t>
      </w:r>
      <w:proofErr w:type="spellStart"/>
      <w:r w:rsidRPr="00734AB6">
        <w:rPr>
          <w:rFonts w:asciiTheme="majorHAnsi" w:hAnsiTheme="majorHAnsi"/>
        </w:rPr>
        <w:t>Giedinghagen</w:t>
      </w:r>
      <w:proofErr w:type="spellEnd"/>
      <w:r w:rsidRPr="00734AB6">
        <w:rPr>
          <w:rFonts w:asciiTheme="majorHAnsi" w:hAnsiTheme="majorHAnsi"/>
        </w:rPr>
        <w:t xml:space="preserve">, L. N., Gard, J. M. C., Cleveland, H. H., </w:t>
      </w:r>
      <w:proofErr w:type="spellStart"/>
      <w:r w:rsidRPr="00734AB6">
        <w:rPr>
          <w:rFonts w:asciiTheme="majorHAnsi" w:hAnsiTheme="majorHAnsi"/>
        </w:rPr>
        <w:t>Terris</w:t>
      </w:r>
      <w:proofErr w:type="spellEnd"/>
      <w:r w:rsidRPr="00734AB6">
        <w:rPr>
          <w:rFonts w:asciiTheme="majorHAnsi" w:hAnsiTheme="majorHAnsi"/>
        </w:rPr>
        <w:t>, S. T., ... &amp; Waldman, I. D. (1998). Dopamine DRD4 receptor polymorphism and attention deficit hyperactivity disorder. </w:t>
      </w:r>
      <w:r w:rsidRPr="00734AB6">
        <w:rPr>
          <w:rFonts w:asciiTheme="majorHAnsi" w:hAnsiTheme="majorHAnsi"/>
          <w:i/>
          <w:iCs/>
        </w:rPr>
        <w:t>Molecular Psychiatry</w:t>
      </w:r>
      <w:r w:rsidRPr="00734AB6">
        <w:rPr>
          <w:rFonts w:asciiTheme="majorHAnsi" w:hAnsiTheme="majorHAnsi"/>
        </w:rPr>
        <w:t>, </w:t>
      </w:r>
      <w:r w:rsidRPr="00734AB6">
        <w:rPr>
          <w:rFonts w:asciiTheme="majorHAnsi" w:hAnsiTheme="majorHAnsi"/>
          <w:i/>
          <w:iCs/>
        </w:rPr>
        <w:t>3</w:t>
      </w:r>
      <w:r w:rsidRPr="00734AB6">
        <w:rPr>
          <w:rFonts w:asciiTheme="majorHAnsi" w:hAnsiTheme="majorHAnsi"/>
        </w:rPr>
        <w:t>(5), 419-426.</w:t>
      </w:r>
    </w:p>
    <w:p w14:paraId="493EBA42" w14:textId="7777777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Rugino</w:t>
      </w:r>
      <w:proofErr w:type="spellEnd"/>
      <w:r w:rsidRPr="00734AB6">
        <w:rPr>
          <w:rFonts w:asciiTheme="majorHAnsi" w:eastAsia="Calibri" w:hAnsiTheme="majorHAnsi" w:cs="Calibri"/>
        </w:rPr>
        <w:t>, T (2007). A review of modafinil film-coated tablets for Attention-Deficit/Hyperactivity Disorder in children and adolescents. </w:t>
      </w:r>
      <w:r w:rsidRPr="00734AB6">
        <w:rPr>
          <w:rFonts w:asciiTheme="majorHAnsi" w:eastAsia="Calibri" w:hAnsiTheme="majorHAnsi" w:cs="Calibri"/>
          <w:i/>
          <w:iCs/>
        </w:rPr>
        <w:t>Neuropsychiatric Disease and Treatment</w:t>
      </w:r>
      <w:r w:rsidRPr="00734AB6">
        <w:rPr>
          <w:rFonts w:asciiTheme="majorHAnsi" w:eastAsia="Calibri" w:hAnsiTheme="majorHAnsi" w:cs="Calibri"/>
        </w:rPr>
        <w:t>, </w:t>
      </w:r>
      <w:r w:rsidRPr="00734AB6">
        <w:rPr>
          <w:rFonts w:asciiTheme="majorHAnsi" w:eastAsia="Calibri" w:hAnsiTheme="majorHAnsi" w:cs="Calibri"/>
          <w:i/>
          <w:iCs/>
        </w:rPr>
        <w:t>3</w:t>
      </w:r>
      <w:r w:rsidRPr="00734AB6">
        <w:rPr>
          <w:rFonts w:asciiTheme="majorHAnsi" w:eastAsia="Calibri" w:hAnsiTheme="majorHAnsi" w:cs="Calibri"/>
        </w:rPr>
        <w:t>(3), 293.</w:t>
      </w:r>
    </w:p>
    <w:p w14:paraId="067C62A0" w14:textId="1F5B00DF"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Rugino</w:t>
      </w:r>
      <w:proofErr w:type="spellEnd"/>
      <w:r w:rsidRPr="00734AB6">
        <w:rPr>
          <w:rFonts w:asciiTheme="majorHAnsi" w:hAnsiTheme="majorHAnsi" w:cstheme="minorHAnsi"/>
          <w:shd w:val="clear" w:color="auto" w:fill="FFFFFF"/>
        </w:rPr>
        <w:t xml:space="preserve">, T. A., &amp; </w:t>
      </w:r>
      <w:proofErr w:type="spellStart"/>
      <w:r w:rsidRPr="00734AB6">
        <w:rPr>
          <w:rFonts w:asciiTheme="majorHAnsi" w:hAnsiTheme="majorHAnsi" w:cstheme="minorHAnsi"/>
          <w:shd w:val="clear" w:color="auto" w:fill="FFFFFF"/>
        </w:rPr>
        <w:t>Samsock</w:t>
      </w:r>
      <w:proofErr w:type="spellEnd"/>
      <w:r w:rsidRPr="00734AB6">
        <w:rPr>
          <w:rFonts w:asciiTheme="majorHAnsi" w:hAnsiTheme="majorHAnsi" w:cstheme="minorHAnsi"/>
          <w:shd w:val="clear" w:color="auto" w:fill="FFFFFF"/>
        </w:rPr>
        <w:t xml:space="preserve">, T. C. (2003). Modafinil in children with attention-deficit hyperactivity disorder. </w:t>
      </w:r>
      <w:proofErr w:type="spellStart"/>
      <w:r w:rsidR="00FE36FA" w:rsidRPr="00734AB6">
        <w:rPr>
          <w:rFonts w:asciiTheme="majorHAnsi" w:hAnsiTheme="majorHAnsi" w:cstheme="minorHAnsi"/>
          <w:i/>
          <w:shd w:val="clear" w:color="auto" w:fill="FFFFFF"/>
        </w:rPr>
        <w:t>Pediatric</w:t>
      </w:r>
      <w:proofErr w:type="spellEnd"/>
      <w:r w:rsidR="00FE36FA" w:rsidRPr="00734AB6">
        <w:rPr>
          <w:rFonts w:asciiTheme="majorHAnsi" w:hAnsiTheme="majorHAnsi" w:cstheme="minorHAnsi"/>
          <w:i/>
          <w:shd w:val="clear" w:color="auto" w:fill="FFFFFF"/>
        </w:rPr>
        <w:t xml:space="preserve"> N</w:t>
      </w:r>
      <w:r w:rsidRPr="00734AB6">
        <w:rPr>
          <w:rFonts w:asciiTheme="majorHAnsi" w:hAnsiTheme="majorHAnsi" w:cstheme="minorHAnsi"/>
          <w:i/>
          <w:shd w:val="clear" w:color="auto" w:fill="FFFFFF"/>
        </w:rPr>
        <w:t>eurology</w:t>
      </w:r>
      <w:r w:rsidRPr="00734AB6">
        <w:rPr>
          <w:rFonts w:asciiTheme="majorHAnsi" w:hAnsiTheme="majorHAnsi" w:cstheme="minorHAnsi"/>
          <w:shd w:val="clear" w:color="auto" w:fill="FFFFFF"/>
        </w:rPr>
        <w:t>, 29(2), 136-142.</w:t>
      </w:r>
    </w:p>
    <w:p w14:paraId="6CE05622" w14:textId="22C71C10"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Rush, A. J., Giles, D. E., </w:t>
      </w:r>
      <w:proofErr w:type="spellStart"/>
      <w:r w:rsidRPr="00734AB6">
        <w:rPr>
          <w:rFonts w:asciiTheme="majorHAnsi" w:hAnsiTheme="majorHAnsi" w:cstheme="minorHAnsi"/>
          <w:shd w:val="clear" w:color="auto" w:fill="FFFFFF"/>
        </w:rPr>
        <w:t>Schlesser</w:t>
      </w:r>
      <w:proofErr w:type="spellEnd"/>
      <w:r w:rsidRPr="00734AB6">
        <w:rPr>
          <w:rFonts w:asciiTheme="majorHAnsi" w:hAnsiTheme="majorHAnsi" w:cstheme="minorHAnsi"/>
          <w:shd w:val="clear" w:color="auto" w:fill="FFFFFF"/>
        </w:rPr>
        <w:t xml:space="preserve">, M. A., Fulton, C. L., </w:t>
      </w:r>
      <w:proofErr w:type="spellStart"/>
      <w:r w:rsidRPr="00734AB6">
        <w:rPr>
          <w:rFonts w:asciiTheme="majorHAnsi" w:hAnsiTheme="majorHAnsi" w:cstheme="minorHAnsi"/>
          <w:shd w:val="clear" w:color="auto" w:fill="FFFFFF"/>
        </w:rPr>
        <w:t>Weissenburger</w:t>
      </w:r>
      <w:proofErr w:type="spellEnd"/>
      <w:r w:rsidRPr="00734AB6">
        <w:rPr>
          <w:rFonts w:asciiTheme="majorHAnsi" w:hAnsiTheme="majorHAnsi" w:cstheme="minorHAnsi"/>
          <w:shd w:val="clear" w:color="auto" w:fill="FFFFFF"/>
        </w:rPr>
        <w:t>, J., &amp; Burns, C. (1986). The inventory for depressive symptomatology (IDS): pr</w:t>
      </w:r>
      <w:r w:rsidR="00FE36FA" w:rsidRPr="00734AB6">
        <w:rPr>
          <w:rFonts w:asciiTheme="majorHAnsi" w:hAnsiTheme="majorHAnsi" w:cstheme="minorHAnsi"/>
          <w:shd w:val="clear" w:color="auto" w:fill="FFFFFF"/>
        </w:rPr>
        <w:t xml:space="preserve">eliminary findings. </w:t>
      </w:r>
      <w:r w:rsidR="00FE36FA" w:rsidRPr="00734AB6">
        <w:rPr>
          <w:rFonts w:asciiTheme="majorHAnsi" w:hAnsiTheme="majorHAnsi" w:cstheme="minorHAnsi"/>
          <w:i/>
          <w:shd w:val="clear" w:color="auto" w:fill="FFFFFF"/>
        </w:rPr>
        <w:t>Psychiatry R</w:t>
      </w:r>
      <w:r w:rsidRPr="00734AB6">
        <w:rPr>
          <w:rFonts w:asciiTheme="majorHAnsi" w:hAnsiTheme="majorHAnsi" w:cstheme="minorHAnsi"/>
          <w:i/>
          <w:shd w:val="clear" w:color="auto" w:fill="FFFFFF"/>
        </w:rPr>
        <w:t>esearch,</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18</w:t>
      </w:r>
      <w:r w:rsidRPr="00734AB6">
        <w:rPr>
          <w:rFonts w:asciiTheme="majorHAnsi" w:hAnsiTheme="majorHAnsi" w:cstheme="minorHAnsi"/>
          <w:shd w:val="clear" w:color="auto" w:fill="FFFFFF"/>
        </w:rPr>
        <w:t>(1), 65-87.</w:t>
      </w:r>
    </w:p>
    <w:p w14:paraId="75555786"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Rycroft, N., Hutton, S. B., </w:t>
      </w:r>
      <w:proofErr w:type="spellStart"/>
      <w:r w:rsidRPr="00734AB6">
        <w:rPr>
          <w:rFonts w:asciiTheme="majorHAnsi" w:hAnsiTheme="majorHAnsi" w:cstheme="minorHAnsi"/>
          <w:shd w:val="clear" w:color="auto" w:fill="FFFFFF"/>
        </w:rPr>
        <w:t>Clowry</w:t>
      </w:r>
      <w:proofErr w:type="spellEnd"/>
      <w:r w:rsidRPr="00734AB6">
        <w:rPr>
          <w:rFonts w:asciiTheme="majorHAnsi" w:hAnsiTheme="majorHAnsi" w:cstheme="minorHAnsi"/>
          <w:shd w:val="clear" w:color="auto" w:fill="FFFFFF"/>
        </w:rPr>
        <w:t xml:space="preserve">, O., </w:t>
      </w:r>
      <w:proofErr w:type="spellStart"/>
      <w:r w:rsidRPr="00734AB6">
        <w:rPr>
          <w:rFonts w:asciiTheme="majorHAnsi" w:hAnsiTheme="majorHAnsi" w:cstheme="minorHAnsi"/>
          <w:shd w:val="clear" w:color="auto" w:fill="FFFFFF"/>
        </w:rPr>
        <w:t>Groomsbridge</w:t>
      </w:r>
      <w:proofErr w:type="spellEnd"/>
      <w:r w:rsidRPr="00734AB6">
        <w:rPr>
          <w:rFonts w:asciiTheme="majorHAnsi" w:hAnsiTheme="majorHAnsi" w:cstheme="minorHAnsi"/>
          <w:shd w:val="clear" w:color="auto" w:fill="FFFFFF"/>
        </w:rPr>
        <w:t xml:space="preserve">, C., Sierakowski, A., &amp; Rusted, J. M. (2007). Non-cholinergic modulation of </w:t>
      </w:r>
      <w:proofErr w:type="spellStart"/>
      <w:r w:rsidRPr="00734AB6">
        <w:rPr>
          <w:rFonts w:asciiTheme="majorHAnsi" w:hAnsiTheme="majorHAnsi" w:cstheme="minorHAnsi"/>
          <w:shd w:val="clear" w:color="auto" w:fill="FFFFFF"/>
        </w:rPr>
        <w:t>antisaccade</w:t>
      </w:r>
      <w:proofErr w:type="spellEnd"/>
      <w:r w:rsidRPr="00734AB6">
        <w:rPr>
          <w:rFonts w:asciiTheme="majorHAnsi" w:hAnsiTheme="majorHAnsi" w:cstheme="minorHAnsi"/>
          <w:shd w:val="clear" w:color="auto" w:fill="FFFFFF"/>
        </w:rPr>
        <w:t xml:space="preserve"> performance: a modafinil-nicotine comparison.</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195</w:t>
      </w:r>
      <w:r w:rsidRPr="00734AB6">
        <w:rPr>
          <w:rFonts w:asciiTheme="majorHAnsi" w:hAnsiTheme="majorHAnsi" w:cstheme="minorHAnsi"/>
          <w:shd w:val="clear" w:color="auto" w:fill="FFFFFF"/>
        </w:rPr>
        <w:t>(2), 245-253.</w:t>
      </w:r>
    </w:p>
    <w:p w14:paraId="660BB593" w14:textId="3EDA839D" w:rsidR="004676EF" w:rsidRPr="00734AB6" w:rsidRDefault="00FE36FA"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Sahakian, B. J., </w:t>
      </w:r>
      <w:proofErr w:type="spellStart"/>
      <w:r w:rsidRPr="00734AB6">
        <w:rPr>
          <w:rFonts w:asciiTheme="majorHAnsi" w:hAnsiTheme="majorHAnsi" w:cstheme="minorHAnsi"/>
          <w:shd w:val="clear" w:color="auto" w:fill="FFFFFF"/>
        </w:rPr>
        <w:t>Bruhl</w:t>
      </w:r>
      <w:proofErr w:type="spellEnd"/>
      <w:r w:rsidRPr="00734AB6">
        <w:rPr>
          <w:rFonts w:asciiTheme="majorHAnsi" w:hAnsiTheme="majorHAnsi" w:cstheme="minorHAnsi"/>
          <w:shd w:val="clear" w:color="auto" w:fill="FFFFFF"/>
        </w:rPr>
        <w:t xml:space="preserve">, A. B., Cook, J., </w:t>
      </w:r>
      <w:proofErr w:type="spellStart"/>
      <w:r w:rsidRPr="00734AB6">
        <w:rPr>
          <w:rFonts w:asciiTheme="majorHAnsi" w:hAnsiTheme="majorHAnsi" w:cstheme="minorHAnsi"/>
          <w:shd w:val="clear" w:color="auto" w:fill="FFFFFF"/>
        </w:rPr>
        <w:t>Killikelly</w:t>
      </w:r>
      <w:proofErr w:type="spellEnd"/>
      <w:r w:rsidRPr="00734AB6">
        <w:rPr>
          <w:rFonts w:asciiTheme="majorHAnsi" w:hAnsiTheme="majorHAnsi" w:cstheme="minorHAnsi"/>
          <w:shd w:val="clear" w:color="auto" w:fill="FFFFFF"/>
        </w:rPr>
        <w:t xml:space="preserve">, C., </w:t>
      </w:r>
      <w:proofErr w:type="spellStart"/>
      <w:r w:rsidRPr="00734AB6">
        <w:rPr>
          <w:rFonts w:asciiTheme="majorHAnsi" w:hAnsiTheme="majorHAnsi" w:cstheme="minorHAnsi"/>
          <w:shd w:val="clear" w:color="auto" w:fill="FFFFFF"/>
        </w:rPr>
        <w:t>Savulich</w:t>
      </w:r>
      <w:proofErr w:type="spellEnd"/>
      <w:r w:rsidRPr="00734AB6">
        <w:rPr>
          <w:rFonts w:asciiTheme="majorHAnsi" w:hAnsiTheme="majorHAnsi" w:cstheme="minorHAnsi"/>
          <w:shd w:val="clear" w:color="auto" w:fill="FFFFFF"/>
        </w:rPr>
        <w:t>, G., Piercy, T., ... &amp; Jones, P. B. (2015). The impact of neuroscience on society: cognitive enhancement in neuropsychiatric disorders and in healthy people. </w:t>
      </w:r>
      <w:r w:rsidRPr="00734AB6">
        <w:rPr>
          <w:rFonts w:asciiTheme="majorHAnsi" w:hAnsiTheme="majorHAnsi" w:cstheme="minorHAnsi"/>
          <w:i/>
          <w:iCs/>
          <w:shd w:val="clear" w:color="auto" w:fill="FFFFFF"/>
        </w:rPr>
        <w:t>Philosophical Transactions of the Royal Society B: Biological Sciences</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370</w:t>
      </w:r>
      <w:r w:rsidRPr="00734AB6">
        <w:rPr>
          <w:rFonts w:asciiTheme="majorHAnsi" w:hAnsiTheme="majorHAnsi" w:cstheme="minorHAnsi"/>
          <w:shd w:val="clear" w:color="auto" w:fill="FFFFFF"/>
        </w:rPr>
        <w:t>(1677), 20140214</w:t>
      </w:r>
      <w:r w:rsidR="004676EF" w:rsidRPr="00734AB6">
        <w:rPr>
          <w:rFonts w:asciiTheme="majorHAnsi" w:hAnsiTheme="majorHAnsi" w:cstheme="minorHAnsi"/>
          <w:shd w:val="clear" w:color="auto" w:fill="FFFFFF"/>
        </w:rPr>
        <w:t>.</w:t>
      </w:r>
    </w:p>
    <w:p w14:paraId="7663CEE1"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shd w:val="clear" w:color="auto" w:fill="FFFFFF"/>
        </w:rPr>
        <w:t xml:space="preserve">Sahakian, B. J., &amp; </w:t>
      </w:r>
      <w:proofErr w:type="spellStart"/>
      <w:r w:rsidRPr="00734AB6">
        <w:rPr>
          <w:rFonts w:asciiTheme="majorHAnsi" w:hAnsiTheme="majorHAnsi" w:cstheme="minorHAnsi"/>
          <w:shd w:val="clear" w:color="auto" w:fill="FFFFFF"/>
        </w:rPr>
        <w:t>Morein</w:t>
      </w:r>
      <w:proofErr w:type="spellEnd"/>
      <w:r w:rsidRPr="00734AB6">
        <w:rPr>
          <w:rFonts w:asciiTheme="majorHAnsi" w:hAnsiTheme="majorHAnsi" w:cstheme="minorHAnsi"/>
          <w:shd w:val="clear" w:color="auto" w:fill="FFFFFF"/>
        </w:rPr>
        <w:t>-Zamir, S. (2011). Neuroethical issues in cognitive enhancement.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Journal of 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25</w:t>
      </w:r>
      <w:r w:rsidRPr="00734AB6">
        <w:rPr>
          <w:rFonts w:asciiTheme="majorHAnsi" w:hAnsiTheme="majorHAnsi" w:cstheme="minorHAnsi"/>
          <w:shd w:val="clear" w:color="auto" w:fill="FFFFFF"/>
        </w:rPr>
        <w:t>(2), 197-204.</w:t>
      </w:r>
    </w:p>
    <w:p w14:paraId="6E047450"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Sanders, A. F., &amp; </w:t>
      </w:r>
      <w:proofErr w:type="spellStart"/>
      <w:r w:rsidRPr="00734AB6">
        <w:rPr>
          <w:rFonts w:asciiTheme="majorHAnsi" w:eastAsia="Calibri" w:hAnsiTheme="majorHAnsi" w:cs="Calibri"/>
        </w:rPr>
        <w:t>Lamers</w:t>
      </w:r>
      <w:proofErr w:type="spellEnd"/>
      <w:r w:rsidRPr="00734AB6">
        <w:rPr>
          <w:rFonts w:asciiTheme="majorHAnsi" w:eastAsia="Calibri" w:hAnsiTheme="majorHAnsi" w:cs="Calibri"/>
        </w:rPr>
        <w:t>, J. M. (2002). The Eriksen flanker effect revisited. </w:t>
      </w:r>
      <w:r w:rsidRPr="00734AB6">
        <w:rPr>
          <w:rFonts w:asciiTheme="majorHAnsi" w:eastAsia="Calibri" w:hAnsiTheme="majorHAnsi" w:cs="Calibri"/>
          <w:i/>
          <w:iCs/>
        </w:rPr>
        <w:t xml:space="preserve">Acta </w:t>
      </w:r>
      <w:proofErr w:type="spellStart"/>
      <w:r w:rsidRPr="00734AB6">
        <w:rPr>
          <w:rFonts w:asciiTheme="majorHAnsi" w:eastAsia="Calibri" w:hAnsiTheme="majorHAnsi" w:cs="Calibri"/>
          <w:i/>
          <w:iCs/>
        </w:rPr>
        <w:t>Psychologica</w:t>
      </w:r>
      <w:proofErr w:type="spellEnd"/>
      <w:r w:rsidRPr="00734AB6">
        <w:rPr>
          <w:rFonts w:asciiTheme="majorHAnsi" w:eastAsia="Calibri" w:hAnsiTheme="majorHAnsi" w:cs="Calibri"/>
        </w:rPr>
        <w:t>, </w:t>
      </w:r>
      <w:r w:rsidRPr="00734AB6">
        <w:rPr>
          <w:rFonts w:asciiTheme="majorHAnsi" w:eastAsia="Calibri" w:hAnsiTheme="majorHAnsi" w:cs="Calibri"/>
          <w:i/>
          <w:iCs/>
        </w:rPr>
        <w:t>109</w:t>
      </w:r>
      <w:r w:rsidRPr="00734AB6">
        <w:rPr>
          <w:rFonts w:asciiTheme="majorHAnsi" w:eastAsia="Calibri" w:hAnsiTheme="majorHAnsi" w:cs="Calibri"/>
        </w:rPr>
        <w:t>(1), 41-56.</w:t>
      </w:r>
    </w:p>
    <w:p w14:paraId="5DF3556F"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Sattler, S., &amp; </w:t>
      </w:r>
      <w:proofErr w:type="spellStart"/>
      <w:r w:rsidRPr="00734AB6">
        <w:rPr>
          <w:rFonts w:asciiTheme="majorHAnsi" w:hAnsiTheme="majorHAnsi" w:cstheme="minorHAnsi"/>
          <w:shd w:val="clear" w:color="auto" w:fill="FFFFFF"/>
        </w:rPr>
        <w:t>Wiegel</w:t>
      </w:r>
      <w:proofErr w:type="spellEnd"/>
      <w:r w:rsidRPr="00734AB6">
        <w:rPr>
          <w:rFonts w:asciiTheme="majorHAnsi" w:hAnsiTheme="majorHAnsi" w:cstheme="minorHAnsi"/>
          <w:shd w:val="clear" w:color="auto" w:fill="FFFFFF"/>
        </w:rPr>
        <w:t>, C. (2013). Cognitive test anxiety and cognitive enhancement: the influence of students’ worries on their use of performance-enhancing drugs. </w:t>
      </w:r>
      <w:r w:rsidRPr="00734AB6">
        <w:rPr>
          <w:rFonts w:asciiTheme="majorHAnsi" w:hAnsiTheme="majorHAnsi" w:cstheme="minorHAnsi"/>
          <w:i/>
          <w:iCs/>
          <w:shd w:val="clear" w:color="auto" w:fill="FFFFFF"/>
        </w:rPr>
        <w:t>Substance Use &amp; Misuse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48</w:t>
      </w:r>
      <w:r w:rsidRPr="00734AB6">
        <w:rPr>
          <w:rFonts w:asciiTheme="majorHAnsi" w:hAnsiTheme="majorHAnsi" w:cstheme="minorHAnsi"/>
          <w:shd w:val="clear" w:color="auto" w:fill="FFFFFF"/>
        </w:rPr>
        <w:t>(3), 220-232.</w:t>
      </w:r>
    </w:p>
    <w:p w14:paraId="5B216DB9" w14:textId="25E6B3B4"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shd w:val="clear" w:color="auto" w:fill="FFFFFF"/>
        </w:rPr>
        <w:t>Saurat</w:t>
      </w:r>
      <w:proofErr w:type="spellEnd"/>
      <w:r w:rsidRPr="00734AB6">
        <w:rPr>
          <w:rFonts w:asciiTheme="majorHAnsi" w:hAnsiTheme="majorHAnsi" w:cstheme="minorHAnsi"/>
          <w:shd w:val="clear" w:color="auto" w:fill="FFFFFF"/>
        </w:rPr>
        <w:t>, J. H. (2001). Toxic epidermal necrolysis and Stevens Johnson Syndrome: spectrum, mechanism and therapy</w:t>
      </w:r>
      <w:r w:rsidR="00A402D7" w:rsidRPr="00734AB6">
        <w:rPr>
          <w:rFonts w:asciiTheme="majorHAnsi" w:hAnsiTheme="majorHAnsi" w:cstheme="minorHAnsi"/>
          <w:shd w:val="clear" w:color="auto" w:fill="FFFFFF"/>
        </w:rPr>
        <w:t>.</w:t>
      </w:r>
      <w:r w:rsidR="00A402D7" w:rsidRPr="00734AB6">
        <w:rPr>
          <w:rStyle w:val="apple-converted-space"/>
          <w:rFonts w:asciiTheme="majorHAnsi" w:hAnsiTheme="majorHAnsi" w:cstheme="minorHAnsi"/>
          <w:shd w:val="clear" w:color="auto" w:fill="FFFFFF"/>
        </w:rPr>
        <w:t> </w:t>
      </w:r>
      <w:r w:rsidR="00A402D7" w:rsidRPr="00734AB6">
        <w:rPr>
          <w:rFonts w:asciiTheme="majorHAnsi" w:hAnsiTheme="majorHAnsi" w:cstheme="minorHAnsi"/>
          <w:i/>
          <w:iCs/>
          <w:shd w:val="clear" w:color="auto" w:fill="FFFFFF"/>
        </w:rPr>
        <w:t>Keio Journal of Medicine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50</w:t>
      </w:r>
      <w:r w:rsidRPr="00734AB6">
        <w:rPr>
          <w:rFonts w:asciiTheme="majorHAnsi" w:hAnsiTheme="majorHAnsi" w:cstheme="minorHAnsi"/>
          <w:shd w:val="clear" w:color="auto" w:fill="FFFFFF"/>
        </w:rPr>
        <w:t>(3), 198-198.</w:t>
      </w:r>
    </w:p>
    <w:p w14:paraId="39F7D7B6" w14:textId="77777777" w:rsidR="00A402D7" w:rsidRPr="00734AB6" w:rsidRDefault="00A402D7"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Savulich</w:t>
      </w:r>
      <w:proofErr w:type="spellEnd"/>
      <w:r w:rsidRPr="00734AB6">
        <w:rPr>
          <w:rFonts w:asciiTheme="majorHAnsi" w:hAnsiTheme="majorHAnsi" w:cstheme="minorHAnsi"/>
          <w:shd w:val="clear" w:color="auto" w:fill="FFFFFF"/>
        </w:rPr>
        <w:t xml:space="preserve">, G., Piercy, T., </w:t>
      </w:r>
      <w:proofErr w:type="spellStart"/>
      <w:r w:rsidRPr="00734AB6">
        <w:rPr>
          <w:rFonts w:asciiTheme="majorHAnsi" w:hAnsiTheme="majorHAnsi" w:cstheme="minorHAnsi"/>
          <w:shd w:val="clear" w:color="auto" w:fill="FFFFFF"/>
        </w:rPr>
        <w:t>Brühl</w:t>
      </w:r>
      <w:proofErr w:type="spellEnd"/>
      <w:r w:rsidRPr="00734AB6">
        <w:rPr>
          <w:rFonts w:asciiTheme="majorHAnsi" w:hAnsiTheme="majorHAnsi" w:cstheme="minorHAnsi"/>
          <w:shd w:val="clear" w:color="auto" w:fill="FFFFFF"/>
        </w:rPr>
        <w:t>, A. B., Fox, C., Suckling, J., Rowe, J. B., ... &amp; Sahakian, B. J. (2017). Focusing the neuroscience and societal implications of cognitive enhancers. </w:t>
      </w:r>
      <w:r w:rsidRPr="00734AB6">
        <w:rPr>
          <w:rFonts w:asciiTheme="majorHAnsi" w:hAnsiTheme="majorHAnsi" w:cstheme="minorHAnsi"/>
          <w:i/>
          <w:iCs/>
          <w:shd w:val="clear" w:color="auto" w:fill="FFFFFF"/>
        </w:rPr>
        <w:t>Clinical Pharmacology &amp; Therapeutics</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101</w:t>
      </w:r>
      <w:r w:rsidRPr="00734AB6">
        <w:rPr>
          <w:rFonts w:asciiTheme="majorHAnsi" w:hAnsiTheme="majorHAnsi" w:cstheme="minorHAnsi"/>
          <w:shd w:val="clear" w:color="auto" w:fill="FFFFFF"/>
        </w:rPr>
        <w:t xml:space="preserve">(2), 170-172. </w:t>
      </w:r>
    </w:p>
    <w:p w14:paraId="0BEE1EB1" w14:textId="2CADBE22"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Schelle</w:t>
      </w:r>
      <w:proofErr w:type="spellEnd"/>
      <w:r w:rsidRPr="00734AB6">
        <w:rPr>
          <w:rFonts w:asciiTheme="majorHAnsi" w:eastAsia="Calibri" w:hAnsiTheme="majorHAnsi" w:cs="Calibri"/>
        </w:rPr>
        <w:t xml:space="preserve">, K. J., </w:t>
      </w:r>
      <w:proofErr w:type="spellStart"/>
      <w:r w:rsidRPr="00734AB6">
        <w:rPr>
          <w:rFonts w:asciiTheme="majorHAnsi" w:eastAsia="Calibri" w:hAnsiTheme="majorHAnsi" w:cs="Calibri"/>
        </w:rPr>
        <w:t>Faulmüller</w:t>
      </w:r>
      <w:proofErr w:type="spellEnd"/>
      <w:r w:rsidRPr="00734AB6">
        <w:rPr>
          <w:rFonts w:asciiTheme="majorHAnsi" w:eastAsia="Calibri" w:hAnsiTheme="majorHAnsi" w:cs="Calibri"/>
        </w:rPr>
        <w:t xml:space="preserve">, N., </w:t>
      </w:r>
      <w:proofErr w:type="spellStart"/>
      <w:r w:rsidRPr="00734AB6">
        <w:rPr>
          <w:rFonts w:asciiTheme="majorHAnsi" w:eastAsia="Calibri" w:hAnsiTheme="majorHAnsi" w:cs="Calibri"/>
        </w:rPr>
        <w:t>Caviola</w:t>
      </w:r>
      <w:proofErr w:type="spellEnd"/>
      <w:r w:rsidRPr="00734AB6">
        <w:rPr>
          <w:rFonts w:asciiTheme="majorHAnsi" w:eastAsia="Calibri" w:hAnsiTheme="majorHAnsi" w:cs="Calibri"/>
        </w:rPr>
        <w:t xml:space="preserve">, L., &amp; </w:t>
      </w:r>
      <w:proofErr w:type="spellStart"/>
      <w:r w:rsidRPr="00734AB6">
        <w:rPr>
          <w:rFonts w:asciiTheme="majorHAnsi" w:eastAsia="Calibri" w:hAnsiTheme="majorHAnsi" w:cs="Calibri"/>
        </w:rPr>
        <w:t>Hewstone</w:t>
      </w:r>
      <w:proofErr w:type="spellEnd"/>
      <w:r w:rsidRPr="00734AB6">
        <w:rPr>
          <w:rFonts w:asciiTheme="majorHAnsi" w:eastAsia="Calibri" w:hAnsiTheme="majorHAnsi" w:cs="Calibri"/>
        </w:rPr>
        <w:t xml:space="preserve">, M. (2014). Attitudes toward pharmacological cognitive enhancement—a review. Frontiers in </w:t>
      </w:r>
      <w:r w:rsidR="00A402D7" w:rsidRPr="00734AB6">
        <w:rPr>
          <w:rFonts w:asciiTheme="majorHAnsi" w:eastAsia="Calibri" w:hAnsiTheme="majorHAnsi" w:cs="Calibri"/>
        </w:rPr>
        <w:t>Systems Neuroscience</w:t>
      </w:r>
      <w:r w:rsidRPr="00734AB6">
        <w:rPr>
          <w:rFonts w:asciiTheme="majorHAnsi" w:eastAsia="Calibri" w:hAnsiTheme="majorHAnsi" w:cs="Calibri"/>
        </w:rPr>
        <w:t>, 8, 53.</w:t>
      </w:r>
    </w:p>
    <w:p w14:paraId="491C1A3B" w14:textId="361BE169" w:rsidR="004676EF" w:rsidRPr="00734AB6" w:rsidRDefault="00A402D7"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Schelle</w:t>
      </w:r>
      <w:proofErr w:type="spellEnd"/>
      <w:r w:rsidRPr="00734AB6">
        <w:rPr>
          <w:rFonts w:asciiTheme="majorHAnsi" w:eastAsia="Calibri" w:hAnsiTheme="majorHAnsi" w:cs="Calibri"/>
        </w:rPr>
        <w:t xml:space="preserve">, K. J., Olthof, B. M., </w:t>
      </w:r>
      <w:proofErr w:type="spellStart"/>
      <w:r w:rsidRPr="00734AB6">
        <w:rPr>
          <w:rFonts w:asciiTheme="majorHAnsi" w:eastAsia="Calibri" w:hAnsiTheme="majorHAnsi" w:cs="Calibri"/>
        </w:rPr>
        <w:t>Reintjes</w:t>
      </w:r>
      <w:proofErr w:type="spellEnd"/>
      <w:r w:rsidRPr="00734AB6">
        <w:rPr>
          <w:rFonts w:asciiTheme="majorHAnsi" w:eastAsia="Calibri" w:hAnsiTheme="majorHAnsi" w:cs="Calibri"/>
        </w:rPr>
        <w:t xml:space="preserve">, W., Bundt, C., </w:t>
      </w:r>
      <w:proofErr w:type="spellStart"/>
      <w:r w:rsidRPr="00734AB6">
        <w:rPr>
          <w:rFonts w:asciiTheme="majorHAnsi" w:eastAsia="Calibri" w:hAnsiTheme="majorHAnsi" w:cs="Calibri"/>
        </w:rPr>
        <w:t>Gusman</w:t>
      </w:r>
      <w:proofErr w:type="spellEnd"/>
      <w:r w:rsidRPr="00734AB6">
        <w:rPr>
          <w:rFonts w:asciiTheme="majorHAnsi" w:eastAsia="Calibri" w:hAnsiTheme="majorHAnsi" w:cs="Calibri"/>
        </w:rPr>
        <w:t>-Vermeer, J., &amp; Van Mil, A. C. (2015). A survey of substance use for cognitive enhancement by university students in the Netherlands. </w:t>
      </w:r>
      <w:r w:rsidRPr="00734AB6">
        <w:rPr>
          <w:rFonts w:asciiTheme="majorHAnsi" w:eastAsia="Calibri" w:hAnsiTheme="majorHAnsi" w:cs="Calibri"/>
          <w:i/>
          <w:iCs/>
        </w:rPr>
        <w:t>Frontiers in systems neuroscience</w:t>
      </w:r>
      <w:r w:rsidRPr="00734AB6">
        <w:rPr>
          <w:rFonts w:asciiTheme="majorHAnsi" w:eastAsia="Calibri" w:hAnsiTheme="majorHAnsi" w:cs="Calibri"/>
        </w:rPr>
        <w:t>, </w:t>
      </w:r>
      <w:r w:rsidRPr="00734AB6">
        <w:rPr>
          <w:rFonts w:asciiTheme="majorHAnsi" w:eastAsia="Calibri" w:hAnsiTheme="majorHAnsi" w:cs="Calibri"/>
          <w:i/>
          <w:iCs/>
        </w:rPr>
        <w:t>9</w:t>
      </w:r>
      <w:r w:rsidRPr="00734AB6">
        <w:rPr>
          <w:rFonts w:asciiTheme="majorHAnsi" w:eastAsia="Calibri" w:hAnsiTheme="majorHAnsi" w:cs="Calibri"/>
        </w:rPr>
        <w:t>, 10.</w:t>
      </w:r>
    </w:p>
    <w:p w14:paraId="56273089" w14:textId="77777777" w:rsidR="004676EF" w:rsidRPr="00734AB6" w:rsidRDefault="004676EF" w:rsidP="00D06771">
      <w:pPr>
        <w:spacing w:line="360" w:lineRule="auto"/>
        <w:ind w:left="720" w:hanging="720"/>
        <w:rPr>
          <w:rFonts w:asciiTheme="majorHAnsi" w:hAnsiTheme="majorHAnsi" w:cs="Arial"/>
          <w:shd w:val="clear" w:color="auto" w:fill="FFFFFF"/>
        </w:rPr>
      </w:pPr>
      <w:proofErr w:type="spellStart"/>
      <w:r w:rsidRPr="00734AB6">
        <w:rPr>
          <w:rFonts w:asciiTheme="majorHAnsi" w:hAnsiTheme="majorHAnsi" w:cs="Arial"/>
          <w:shd w:val="clear" w:color="auto" w:fill="FFFFFF"/>
        </w:rPr>
        <w:t>Schermer</w:t>
      </w:r>
      <w:proofErr w:type="spellEnd"/>
      <w:r w:rsidRPr="00734AB6">
        <w:rPr>
          <w:rFonts w:asciiTheme="majorHAnsi" w:hAnsiTheme="majorHAnsi" w:cs="Arial"/>
          <w:shd w:val="clear" w:color="auto" w:fill="FFFFFF"/>
        </w:rPr>
        <w:t xml:space="preserve">, M., Bolt, I., de </w:t>
      </w:r>
      <w:proofErr w:type="spellStart"/>
      <w:r w:rsidRPr="00734AB6">
        <w:rPr>
          <w:rFonts w:asciiTheme="majorHAnsi" w:hAnsiTheme="majorHAnsi" w:cs="Arial"/>
          <w:shd w:val="clear" w:color="auto" w:fill="FFFFFF"/>
        </w:rPr>
        <w:t>Jongh</w:t>
      </w:r>
      <w:proofErr w:type="spellEnd"/>
      <w:r w:rsidRPr="00734AB6">
        <w:rPr>
          <w:rFonts w:asciiTheme="majorHAnsi" w:hAnsiTheme="majorHAnsi" w:cs="Arial"/>
          <w:shd w:val="clear" w:color="auto" w:fill="FFFFFF"/>
        </w:rPr>
        <w:t xml:space="preserve">, R., &amp; Olivier, B. (2009). The future of psychopharmacological enhancements: expectations and policies. </w:t>
      </w:r>
      <w:proofErr w:type="spellStart"/>
      <w:r w:rsidRPr="00734AB6">
        <w:rPr>
          <w:rFonts w:asciiTheme="majorHAnsi" w:hAnsiTheme="majorHAnsi" w:cs="Arial"/>
          <w:i/>
          <w:shd w:val="clear" w:color="auto" w:fill="FFFFFF"/>
        </w:rPr>
        <w:t>Neuroethics</w:t>
      </w:r>
      <w:proofErr w:type="spellEnd"/>
      <w:r w:rsidRPr="00734AB6">
        <w:rPr>
          <w:rFonts w:asciiTheme="majorHAnsi" w:hAnsiTheme="majorHAnsi" w:cs="Arial"/>
          <w:i/>
          <w:shd w:val="clear" w:color="auto" w:fill="FFFFFF"/>
        </w:rPr>
        <w:t>, 2</w:t>
      </w:r>
      <w:r w:rsidRPr="00734AB6">
        <w:rPr>
          <w:rFonts w:asciiTheme="majorHAnsi" w:hAnsiTheme="majorHAnsi" w:cs="Arial"/>
          <w:shd w:val="clear" w:color="auto" w:fill="FFFFFF"/>
        </w:rPr>
        <w:t>(2), 75-87.</w:t>
      </w:r>
    </w:p>
    <w:p w14:paraId="387DCF36"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Schmitt, C. (2014). Oxford academic: I use brain enhancing drugs. </w:t>
      </w:r>
      <w:r w:rsidRPr="00734AB6">
        <w:rPr>
          <w:rFonts w:asciiTheme="majorHAnsi" w:hAnsiTheme="majorHAnsi" w:cstheme="minorHAnsi"/>
          <w:i/>
          <w:shd w:val="clear" w:color="auto" w:fill="FFFFFF"/>
        </w:rPr>
        <w:t>Deutsche Well</w:t>
      </w:r>
      <w:r w:rsidRPr="00734AB6">
        <w:rPr>
          <w:rFonts w:asciiTheme="majorHAnsi" w:hAnsiTheme="majorHAnsi" w:cstheme="minorHAnsi"/>
          <w:shd w:val="clear" w:color="auto" w:fill="FFFFFF"/>
        </w:rPr>
        <w:t xml:space="preserve">. Retrieved from </w:t>
      </w:r>
      <w:hyperlink r:id="rId38" w:history="1">
        <w:r w:rsidRPr="00734AB6">
          <w:rPr>
            <w:rStyle w:val="Hyperlink"/>
            <w:rFonts w:asciiTheme="majorHAnsi" w:hAnsiTheme="majorHAnsi" w:cstheme="minorHAnsi"/>
            <w:shd w:val="clear" w:color="auto" w:fill="FFFFFF"/>
          </w:rPr>
          <w:t>http://www.dw.com/en/oxford-academic-i-use-brain-enhancing-drugs/a-18027581</w:t>
        </w:r>
      </w:hyperlink>
      <w:r w:rsidRPr="00734AB6">
        <w:rPr>
          <w:rFonts w:asciiTheme="majorHAnsi" w:hAnsiTheme="majorHAnsi" w:cstheme="minorHAnsi"/>
          <w:shd w:val="clear" w:color="auto" w:fill="FFFFFF"/>
        </w:rPr>
        <w:t xml:space="preserve"> </w:t>
      </w:r>
    </w:p>
    <w:p w14:paraId="4D83237B" w14:textId="5A61C40D"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Schmitt, K. C., &amp; Reith, M. E. (2011). The atypical stimulant and nootropic modafinil interacts with the dopamine transporter in a different manner than classical cocaine-like inhibitors.</w:t>
      </w:r>
      <w:r w:rsidRPr="00734AB6">
        <w:rPr>
          <w:rStyle w:val="apple-converted-space"/>
          <w:rFonts w:asciiTheme="majorHAnsi" w:hAnsiTheme="majorHAnsi" w:cstheme="minorHAnsi"/>
          <w:shd w:val="clear" w:color="auto" w:fill="FFFFFF"/>
        </w:rPr>
        <w:t> </w:t>
      </w:r>
      <w:proofErr w:type="spellStart"/>
      <w:r w:rsidR="00936113" w:rsidRPr="00734AB6">
        <w:rPr>
          <w:rFonts w:asciiTheme="majorHAnsi" w:hAnsiTheme="majorHAnsi" w:cstheme="minorHAnsi"/>
          <w:i/>
          <w:iCs/>
          <w:shd w:val="clear" w:color="auto" w:fill="FFFFFF"/>
        </w:rPr>
        <w:t>PloS</w:t>
      </w:r>
      <w:proofErr w:type="spellEnd"/>
      <w:r w:rsidR="00936113" w:rsidRPr="00734AB6">
        <w:rPr>
          <w:rFonts w:asciiTheme="majorHAnsi" w:hAnsiTheme="majorHAnsi" w:cstheme="minorHAnsi"/>
          <w:i/>
          <w:iCs/>
          <w:shd w:val="clear" w:color="auto" w:fill="FFFFFF"/>
        </w:rPr>
        <w:t xml:space="preserve"> O</w:t>
      </w:r>
      <w:r w:rsidRPr="00734AB6">
        <w:rPr>
          <w:rFonts w:asciiTheme="majorHAnsi" w:hAnsiTheme="majorHAnsi" w:cstheme="minorHAnsi"/>
          <w:i/>
          <w:iCs/>
          <w:shd w:val="clear" w:color="auto" w:fill="FFFFFF"/>
        </w:rPr>
        <w:t>ne</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6</w:t>
      </w:r>
      <w:r w:rsidRPr="00734AB6">
        <w:rPr>
          <w:rFonts w:asciiTheme="majorHAnsi" w:hAnsiTheme="majorHAnsi" w:cstheme="minorHAnsi"/>
          <w:shd w:val="clear" w:color="auto" w:fill="FFFFFF"/>
        </w:rPr>
        <w:t>(10), e25790.</w:t>
      </w:r>
    </w:p>
    <w:p w14:paraId="1719A704" w14:textId="2A52BF9D" w:rsidR="00F70AEB" w:rsidRPr="00734AB6" w:rsidRDefault="00F70AEB"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Schwerdtfeger</w:t>
      </w:r>
      <w:proofErr w:type="spellEnd"/>
      <w:r w:rsidRPr="00734AB6">
        <w:rPr>
          <w:rFonts w:asciiTheme="majorHAnsi" w:eastAsia="Calibri" w:hAnsiTheme="majorHAnsi" w:cs="Calibri"/>
        </w:rPr>
        <w:t xml:space="preserve">, R. M. H., </w:t>
      </w:r>
      <w:proofErr w:type="spellStart"/>
      <w:r w:rsidRPr="00734AB6">
        <w:rPr>
          <w:rFonts w:asciiTheme="majorHAnsi" w:eastAsia="Calibri" w:hAnsiTheme="majorHAnsi" w:cs="Calibri"/>
        </w:rPr>
        <w:t>Alahyane</w:t>
      </w:r>
      <w:proofErr w:type="spellEnd"/>
      <w:r w:rsidRPr="00734AB6">
        <w:rPr>
          <w:rFonts w:asciiTheme="majorHAnsi" w:eastAsia="Calibri" w:hAnsiTheme="majorHAnsi" w:cs="Calibri"/>
        </w:rPr>
        <w:t xml:space="preserve">, N., Brien, D. C., Coe, B. C., Stroman, P. W., &amp; Munoz, D. P. (2013). Preparatory neural networks are impaired in adults with attention-deficit/hyperactivity disorder during the </w:t>
      </w:r>
      <w:proofErr w:type="spellStart"/>
      <w:r w:rsidRPr="00734AB6">
        <w:rPr>
          <w:rFonts w:asciiTheme="majorHAnsi" w:eastAsia="Calibri" w:hAnsiTheme="majorHAnsi" w:cs="Calibri"/>
        </w:rPr>
        <w:t>antisaccade</w:t>
      </w:r>
      <w:proofErr w:type="spellEnd"/>
      <w:r w:rsidRPr="00734AB6">
        <w:rPr>
          <w:rFonts w:asciiTheme="majorHAnsi" w:eastAsia="Calibri" w:hAnsiTheme="majorHAnsi" w:cs="Calibri"/>
        </w:rPr>
        <w:t xml:space="preserve"> task. </w:t>
      </w:r>
      <w:proofErr w:type="spellStart"/>
      <w:r w:rsidRPr="00734AB6">
        <w:rPr>
          <w:rFonts w:asciiTheme="majorHAnsi" w:eastAsia="Calibri" w:hAnsiTheme="majorHAnsi" w:cs="Calibri"/>
          <w:i/>
          <w:iCs/>
        </w:rPr>
        <w:t>NeuroImage</w:t>
      </w:r>
      <w:proofErr w:type="spellEnd"/>
      <w:r w:rsidRPr="00734AB6">
        <w:rPr>
          <w:rFonts w:asciiTheme="majorHAnsi" w:eastAsia="Calibri" w:hAnsiTheme="majorHAnsi" w:cs="Calibri"/>
          <w:i/>
          <w:iCs/>
        </w:rPr>
        <w:t>: Clinical</w:t>
      </w:r>
      <w:r w:rsidRPr="00734AB6">
        <w:rPr>
          <w:rFonts w:asciiTheme="majorHAnsi" w:eastAsia="Calibri" w:hAnsiTheme="majorHAnsi" w:cs="Calibri"/>
        </w:rPr>
        <w:t>, </w:t>
      </w:r>
      <w:r w:rsidRPr="00734AB6">
        <w:rPr>
          <w:rFonts w:asciiTheme="majorHAnsi" w:eastAsia="Calibri" w:hAnsiTheme="majorHAnsi" w:cs="Calibri"/>
          <w:i/>
          <w:iCs/>
        </w:rPr>
        <w:t>2</w:t>
      </w:r>
      <w:r w:rsidRPr="00734AB6">
        <w:rPr>
          <w:rFonts w:asciiTheme="majorHAnsi" w:eastAsia="Calibri" w:hAnsiTheme="majorHAnsi" w:cs="Calibri"/>
        </w:rPr>
        <w:t>, 63-78.</w:t>
      </w:r>
    </w:p>
    <w:p w14:paraId="3AF50FDC"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Scope, A., Empson, J., &amp; McHale, S. (2010). Executive function in children with high and low attentional skills: Correspondences between behavioural and cognitive profiles. </w:t>
      </w:r>
      <w:r w:rsidRPr="00734AB6">
        <w:rPr>
          <w:rFonts w:asciiTheme="majorHAnsi" w:eastAsia="Calibri" w:hAnsiTheme="majorHAnsi" w:cs="Calibri"/>
          <w:i/>
          <w:iCs/>
        </w:rPr>
        <w:t>British Journal of Developmental Psychology</w:t>
      </w:r>
      <w:r w:rsidRPr="00734AB6">
        <w:rPr>
          <w:rFonts w:asciiTheme="majorHAnsi" w:eastAsia="Calibri" w:hAnsiTheme="majorHAnsi" w:cs="Calibri"/>
        </w:rPr>
        <w:t>, </w:t>
      </w:r>
      <w:r w:rsidRPr="00734AB6">
        <w:rPr>
          <w:rFonts w:asciiTheme="majorHAnsi" w:eastAsia="Calibri" w:hAnsiTheme="majorHAnsi" w:cs="Calibri"/>
          <w:i/>
          <w:iCs/>
        </w:rPr>
        <w:t>28</w:t>
      </w:r>
      <w:r w:rsidRPr="00734AB6">
        <w:rPr>
          <w:rFonts w:asciiTheme="majorHAnsi" w:eastAsia="Calibri" w:hAnsiTheme="majorHAnsi" w:cs="Calibri"/>
        </w:rPr>
        <w:t>(2), 293-305.</w:t>
      </w:r>
    </w:p>
    <w:p w14:paraId="1705356C"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Shearer, J., Darke, S., Rodgers, C., Slade, T., Van Beek, I., Lewis, J., ... &amp; </w:t>
      </w:r>
      <w:proofErr w:type="spellStart"/>
      <w:r w:rsidRPr="00734AB6">
        <w:rPr>
          <w:rFonts w:asciiTheme="majorHAnsi" w:hAnsiTheme="majorHAnsi" w:cstheme="minorHAnsi"/>
          <w:shd w:val="clear" w:color="auto" w:fill="FFFFFF"/>
        </w:rPr>
        <w:t>Wodak</w:t>
      </w:r>
      <w:proofErr w:type="spellEnd"/>
      <w:r w:rsidRPr="00734AB6">
        <w:rPr>
          <w:rFonts w:asciiTheme="majorHAnsi" w:hAnsiTheme="majorHAnsi" w:cstheme="minorHAnsi"/>
          <w:shd w:val="clear" w:color="auto" w:fill="FFFFFF"/>
        </w:rPr>
        <w:t xml:space="preserve">, A. (2009). A double‐blind, placebo‐controlled trial of modafinil (200 mg/day) for methamphetamine dependence. </w:t>
      </w:r>
      <w:r w:rsidRPr="00734AB6">
        <w:rPr>
          <w:rFonts w:asciiTheme="majorHAnsi" w:hAnsiTheme="majorHAnsi" w:cstheme="minorHAnsi"/>
          <w:i/>
          <w:shd w:val="clear" w:color="auto" w:fill="FFFFFF"/>
        </w:rPr>
        <w:t>Addiction</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104</w:t>
      </w:r>
      <w:r w:rsidRPr="00734AB6">
        <w:rPr>
          <w:rFonts w:asciiTheme="majorHAnsi" w:hAnsiTheme="majorHAnsi" w:cstheme="minorHAnsi"/>
          <w:shd w:val="clear" w:color="auto" w:fill="FFFFFF"/>
        </w:rPr>
        <w:t>(2), 224-233.</w:t>
      </w:r>
    </w:p>
    <w:p w14:paraId="3DDF3B8A"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Shelton, M., Lo, K., &amp; </w:t>
      </w:r>
      <w:proofErr w:type="spellStart"/>
      <w:r w:rsidRPr="00734AB6">
        <w:rPr>
          <w:rFonts w:asciiTheme="majorHAnsi" w:eastAsia="Calibri" w:hAnsiTheme="majorHAnsi" w:cs="Calibri"/>
        </w:rPr>
        <w:t>Nardi</w:t>
      </w:r>
      <w:proofErr w:type="spellEnd"/>
      <w:r w:rsidRPr="00734AB6">
        <w:rPr>
          <w:rFonts w:asciiTheme="majorHAnsi" w:eastAsia="Calibri" w:hAnsiTheme="majorHAnsi" w:cs="Calibri"/>
        </w:rPr>
        <w:t>, B. (2015). Online media forums as separate social lives: A qualitative study of disclosure within and beyond Reddit. </w:t>
      </w:r>
      <w:proofErr w:type="spellStart"/>
      <w:r w:rsidRPr="00734AB6">
        <w:rPr>
          <w:rFonts w:asciiTheme="majorHAnsi" w:eastAsia="Calibri" w:hAnsiTheme="majorHAnsi" w:cs="Calibri"/>
          <w:i/>
          <w:iCs/>
        </w:rPr>
        <w:t>iConference</w:t>
      </w:r>
      <w:proofErr w:type="spellEnd"/>
      <w:r w:rsidRPr="00734AB6">
        <w:rPr>
          <w:rFonts w:asciiTheme="majorHAnsi" w:eastAsia="Calibri" w:hAnsiTheme="majorHAnsi" w:cs="Calibri"/>
          <w:i/>
          <w:iCs/>
        </w:rPr>
        <w:t xml:space="preserve"> 2015 Proceedings</w:t>
      </w:r>
      <w:r w:rsidRPr="00734AB6">
        <w:rPr>
          <w:rFonts w:asciiTheme="majorHAnsi" w:eastAsia="Calibri" w:hAnsiTheme="majorHAnsi" w:cs="Calibri"/>
        </w:rPr>
        <w:t>.</w:t>
      </w:r>
    </w:p>
    <w:p w14:paraId="37FBE5AA" w14:textId="24614527"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Sidlauskaite</w:t>
      </w:r>
      <w:proofErr w:type="spellEnd"/>
      <w:r w:rsidRPr="00734AB6">
        <w:rPr>
          <w:rFonts w:asciiTheme="majorHAnsi" w:eastAsia="Calibri" w:hAnsiTheme="majorHAnsi" w:cs="Calibri"/>
        </w:rPr>
        <w:t xml:space="preserve">, J., </w:t>
      </w:r>
      <w:proofErr w:type="spellStart"/>
      <w:r w:rsidRPr="00734AB6">
        <w:rPr>
          <w:rFonts w:asciiTheme="majorHAnsi" w:eastAsia="Calibri" w:hAnsiTheme="majorHAnsi" w:cs="Calibri"/>
        </w:rPr>
        <w:t>Sonuga-Barke</w:t>
      </w:r>
      <w:proofErr w:type="spellEnd"/>
      <w:r w:rsidRPr="00734AB6">
        <w:rPr>
          <w:rFonts w:asciiTheme="majorHAnsi" w:eastAsia="Calibri" w:hAnsiTheme="majorHAnsi" w:cs="Calibri"/>
        </w:rPr>
        <w:t xml:space="preserve">, E., </w:t>
      </w:r>
      <w:proofErr w:type="spellStart"/>
      <w:r w:rsidRPr="00734AB6">
        <w:rPr>
          <w:rFonts w:asciiTheme="majorHAnsi" w:eastAsia="Calibri" w:hAnsiTheme="majorHAnsi" w:cs="Calibri"/>
        </w:rPr>
        <w:t>Roeyers</w:t>
      </w:r>
      <w:proofErr w:type="spellEnd"/>
      <w:r w:rsidRPr="00734AB6">
        <w:rPr>
          <w:rFonts w:asciiTheme="majorHAnsi" w:eastAsia="Calibri" w:hAnsiTheme="majorHAnsi" w:cs="Calibri"/>
        </w:rPr>
        <w:t>, H., &amp; Wiersema, J. R. (2016). Altered intrinsic organisation of brain networks implicated in attentional processes in adult attention-deficit/hyperactivity disorder: a resting-state study of attention, default mode and salience network connectivity. </w:t>
      </w:r>
      <w:r w:rsidR="00936113" w:rsidRPr="00734AB6">
        <w:rPr>
          <w:rFonts w:asciiTheme="majorHAnsi" w:eastAsia="Calibri" w:hAnsiTheme="majorHAnsi" w:cs="Calibri"/>
          <w:i/>
          <w:iCs/>
        </w:rPr>
        <w:t>European A</w:t>
      </w:r>
      <w:r w:rsidRPr="00734AB6">
        <w:rPr>
          <w:rFonts w:asciiTheme="majorHAnsi" w:eastAsia="Calibri" w:hAnsiTheme="majorHAnsi" w:cs="Calibri"/>
          <w:i/>
          <w:iCs/>
        </w:rPr>
        <w:t xml:space="preserve">rchives of </w:t>
      </w:r>
      <w:r w:rsidR="00936113" w:rsidRPr="00734AB6">
        <w:rPr>
          <w:rFonts w:asciiTheme="majorHAnsi" w:eastAsia="Calibri" w:hAnsiTheme="majorHAnsi" w:cs="Calibri"/>
          <w:i/>
          <w:iCs/>
        </w:rPr>
        <w:t>P</w:t>
      </w:r>
      <w:r w:rsidRPr="00734AB6">
        <w:rPr>
          <w:rFonts w:asciiTheme="majorHAnsi" w:eastAsia="Calibri" w:hAnsiTheme="majorHAnsi" w:cs="Calibri"/>
          <w:i/>
          <w:iCs/>
        </w:rPr>
        <w:t xml:space="preserve">sychiatry and </w:t>
      </w:r>
      <w:r w:rsidR="00936113" w:rsidRPr="00734AB6">
        <w:rPr>
          <w:rFonts w:asciiTheme="majorHAnsi" w:eastAsia="Calibri" w:hAnsiTheme="majorHAnsi" w:cs="Calibri"/>
          <w:i/>
          <w:iCs/>
        </w:rPr>
        <w:t>C</w:t>
      </w:r>
      <w:r w:rsidRPr="00734AB6">
        <w:rPr>
          <w:rFonts w:asciiTheme="majorHAnsi" w:eastAsia="Calibri" w:hAnsiTheme="majorHAnsi" w:cs="Calibri"/>
          <w:i/>
          <w:iCs/>
        </w:rPr>
        <w:t xml:space="preserve">linical </w:t>
      </w:r>
      <w:r w:rsidR="00936113" w:rsidRPr="00734AB6">
        <w:rPr>
          <w:rFonts w:asciiTheme="majorHAnsi" w:eastAsia="Calibri" w:hAnsiTheme="majorHAnsi" w:cs="Calibri"/>
          <w:i/>
          <w:iCs/>
        </w:rPr>
        <w:t>N</w:t>
      </w:r>
      <w:r w:rsidRPr="00734AB6">
        <w:rPr>
          <w:rFonts w:asciiTheme="majorHAnsi" w:eastAsia="Calibri" w:hAnsiTheme="majorHAnsi" w:cs="Calibri"/>
          <w:i/>
          <w:iCs/>
        </w:rPr>
        <w:t>euroscience</w:t>
      </w:r>
      <w:r w:rsidRPr="00734AB6">
        <w:rPr>
          <w:rFonts w:asciiTheme="majorHAnsi" w:eastAsia="Calibri" w:hAnsiTheme="majorHAnsi" w:cs="Calibri"/>
        </w:rPr>
        <w:t>, </w:t>
      </w:r>
      <w:r w:rsidRPr="00734AB6">
        <w:rPr>
          <w:rFonts w:asciiTheme="majorHAnsi" w:eastAsia="Calibri" w:hAnsiTheme="majorHAnsi" w:cs="Calibri"/>
          <w:i/>
          <w:iCs/>
        </w:rPr>
        <w:t>266</w:t>
      </w:r>
      <w:r w:rsidRPr="00734AB6">
        <w:rPr>
          <w:rFonts w:asciiTheme="majorHAnsi" w:eastAsia="Calibri" w:hAnsiTheme="majorHAnsi" w:cs="Calibri"/>
        </w:rPr>
        <w:t>(4), 349-357.</w:t>
      </w:r>
    </w:p>
    <w:p w14:paraId="55A67E01" w14:textId="7386203A"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Singh, I</w:t>
      </w:r>
      <w:r w:rsidR="00936113" w:rsidRPr="00734AB6">
        <w:rPr>
          <w:rFonts w:asciiTheme="majorHAnsi" w:eastAsia="Calibri" w:hAnsiTheme="majorHAnsi" w:cs="Calibri"/>
        </w:rPr>
        <w:t>.</w:t>
      </w:r>
      <w:r w:rsidRPr="00734AB6">
        <w:rPr>
          <w:rFonts w:asciiTheme="majorHAnsi" w:eastAsia="Calibri" w:hAnsiTheme="majorHAnsi" w:cs="Calibri"/>
        </w:rPr>
        <w:t>, Bard, I</w:t>
      </w:r>
      <w:r w:rsidR="00936113" w:rsidRPr="00734AB6">
        <w:rPr>
          <w:rFonts w:asciiTheme="majorHAnsi" w:eastAsia="Calibri" w:hAnsiTheme="majorHAnsi" w:cs="Calibri"/>
        </w:rPr>
        <w:t>.</w:t>
      </w:r>
      <w:r w:rsidRPr="00734AB6">
        <w:rPr>
          <w:rFonts w:asciiTheme="majorHAnsi" w:eastAsia="Calibri" w:hAnsiTheme="majorHAnsi" w:cs="Calibri"/>
        </w:rPr>
        <w:t xml:space="preserve"> </w:t>
      </w:r>
      <w:r w:rsidR="00936113" w:rsidRPr="00734AB6">
        <w:rPr>
          <w:rFonts w:asciiTheme="majorHAnsi" w:eastAsia="Calibri" w:hAnsiTheme="majorHAnsi" w:cs="Calibri"/>
        </w:rPr>
        <w:t>&amp;</w:t>
      </w:r>
      <w:r w:rsidRPr="00734AB6">
        <w:rPr>
          <w:rFonts w:asciiTheme="majorHAnsi" w:eastAsia="Calibri" w:hAnsiTheme="majorHAnsi" w:cs="Calibri"/>
        </w:rPr>
        <w:t xml:space="preserve"> Jackson, J</w:t>
      </w:r>
      <w:r w:rsidR="00936113" w:rsidRPr="00734AB6">
        <w:rPr>
          <w:rFonts w:asciiTheme="majorHAnsi" w:eastAsia="Calibri" w:hAnsiTheme="majorHAnsi" w:cs="Calibri"/>
        </w:rPr>
        <w:t>.</w:t>
      </w:r>
      <w:r w:rsidRPr="00734AB6">
        <w:rPr>
          <w:rFonts w:asciiTheme="majorHAnsi" w:eastAsia="Calibri" w:hAnsiTheme="majorHAnsi" w:cs="Calibri"/>
        </w:rPr>
        <w:t xml:space="preserve"> (2014). Robust resilience and substantial interest: A survey of pharmacological cognitive enhancement among university students in the UK and Ireland. </w:t>
      </w:r>
      <w:proofErr w:type="spellStart"/>
      <w:r w:rsidRPr="00734AB6">
        <w:rPr>
          <w:rFonts w:asciiTheme="majorHAnsi" w:eastAsia="Calibri" w:hAnsiTheme="majorHAnsi" w:cs="Calibri"/>
          <w:i/>
          <w:iCs/>
        </w:rPr>
        <w:t>PloS</w:t>
      </w:r>
      <w:proofErr w:type="spellEnd"/>
      <w:r w:rsidRPr="00734AB6">
        <w:rPr>
          <w:rFonts w:asciiTheme="majorHAnsi" w:eastAsia="Calibri" w:hAnsiTheme="majorHAnsi" w:cs="Calibri"/>
          <w:i/>
          <w:iCs/>
        </w:rPr>
        <w:t xml:space="preserve"> One</w:t>
      </w:r>
      <w:r w:rsidRPr="00734AB6">
        <w:rPr>
          <w:rFonts w:asciiTheme="majorHAnsi" w:eastAsia="Calibri" w:hAnsiTheme="majorHAnsi" w:cs="Calibri"/>
        </w:rPr>
        <w:t>, </w:t>
      </w:r>
      <w:r w:rsidRPr="00734AB6">
        <w:rPr>
          <w:rFonts w:asciiTheme="majorHAnsi" w:eastAsia="Calibri" w:hAnsiTheme="majorHAnsi" w:cs="Calibri"/>
          <w:i/>
          <w:iCs/>
        </w:rPr>
        <w:t>9</w:t>
      </w:r>
      <w:r w:rsidRPr="00734AB6">
        <w:rPr>
          <w:rFonts w:asciiTheme="majorHAnsi" w:eastAsia="Calibri" w:hAnsiTheme="majorHAnsi" w:cs="Calibri"/>
        </w:rPr>
        <w:t>(10), e105969.</w:t>
      </w:r>
    </w:p>
    <w:p w14:paraId="6983B432" w14:textId="4DF54B1C" w:rsidR="00E65628" w:rsidRPr="00734AB6" w:rsidRDefault="00E65628"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lastRenderedPageBreak/>
        <w:t xml:space="preserve">Singh, I., Filipe, A. M., Bard, I., </w:t>
      </w:r>
      <w:proofErr w:type="spellStart"/>
      <w:r w:rsidRPr="00734AB6">
        <w:rPr>
          <w:rFonts w:asciiTheme="majorHAnsi" w:hAnsiTheme="majorHAnsi" w:cs="Arial"/>
          <w:shd w:val="clear" w:color="auto" w:fill="FFFFFF"/>
        </w:rPr>
        <w:t>Bergey</w:t>
      </w:r>
      <w:proofErr w:type="spellEnd"/>
      <w:r w:rsidRPr="00734AB6">
        <w:rPr>
          <w:rFonts w:asciiTheme="majorHAnsi" w:hAnsiTheme="majorHAnsi" w:cs="Arial"/>
          <w:shd w:val="clear" w:color="auto" w:fill="FFFFFF"/>
        </w:rPr>
        <w:t>, M., &amp; Baker, L. (2013). Globalization and cognitive enhancement: emerging social and ethical challenges for ADHD clinicians. </w:t>
      </w:r>
      <w:r w:rsidRPr="00734AB6">
        <w:rPr>
          <w:rFonts w:asciiTheme="majorHAnsi" w:hAnsiTheme="majorHAnsi" w:cs="Arial"/>
          <w:i/>
          <w:iCs/>
          <w:shd w:val="clear" w:color="auto" w:fill="FFFFFF"/>
        </w:rPr>
        <w:t>Current Psychiatry Reports</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15</w:t>
      </w:r>
      <w:r w:rsidRPr="00734AB6">
        <w:rPr>
          <w:rFonts w:asciiTheme="majorHAnsi" w:hAnsiTheme="majorHAnsi" w:cs="Arial"/>
          <w:shd w:val="clear" w:color="auto" w:fill="FFFFFF"/>
        </w:rPr>
        <w:t>(9), 385.</w:t>
      </w:r>
    </w:p>
    <w:p w14:paraId="6F3CBEA2"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Sirois, F. M., Yang, S., &amp; van </w:t>
      </w:r>
      <w:proofErr w:type="spellStart"/>
      <w:r w:rsidRPr="00734AB6">
        <w:rPr>
          <w:rFonts w:asciiTheme="majorHAnsi" w:hAnsiTheme="majorHAnsi" w:cs="Arial"/>
          <w:shd w:val="clear" w:color="auto" w:fill="FFFFFF"/>
        </w:rPr>
        <w:t>Eerde</w:t>
      </w:r>
      <w:proofErr w:type="spellEnd"/>
      <w:r w:rsidRPr="00734AB6">
        <w:rPr>
          <w:rFonts w:asciiTheme="majorHAnsi" w:hAnsiTheme="majorHAnsi" w:cs="Arial"/>
          <w:shd w:val="clear" w:color="auto" w:fill="FFFFFF"/>
        </w:rPr>
        <w:t>, W. (2019). Development and validation of the General Procrastination Scale (GPS-9): A short and reliable measure of trait procrastination. </w:t>
      </w:r>
      <w:r w:rsidRPr="00734AB6">
        <w:rPr>
          <w:rFonts w:asciiTheme="majorHAnsi" w:hAnsiTheme="majorHAnsi" w:cs="Arial"/>
          <w:i/>
          <w:iCs/>
          <w:shd w:val="clear" w:color="auto" w:fill="FFFFFF"/>
        </w:rPr>
        <w:t>Personality and Individual Differences</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146</w:t>
      </w:r>
      <w:r w:rsidRPr="00734AB6">
        <w:rPr>
          <w:rFonts w:asciiTheme="majorHAnsi" w:hAnsiTheme="majorHAnsi" w:cs="Arial"/>
          <w:shd w:val="clear" w:color="auto" w:fill="FFFFFF"/>
        </w:rPr>
        <w:t>, 26-33.</w:t>
      </w:r>
    </w:p>
    <w:p w14:paraId="086A37A1" w14:textId="408A6614"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Smith, A., Brice, C., Nash, J., Rich, N., &amp; Nutt, D. J. (2003). Caffeine and central noradrenaline: effects on mood, cognitive performance, eye movements and cardiovascular function. </w:t>
      </w:r>
      <w:r w:rsidR="00936113" w:rsidRPr="00734AB6">
        <w:rPr>
          <w:rFonts w:asciiTheme="majorHAnsi" w:hAnsiTheme="majorHAnsi" w:cs="Arial"/>
          <w:i/>
          <w:iCs/>
          <w:shd w:val="clear" w:color="auto" w:fill="FFFFFF"/>
        </w:rPr>
        <w:t>Journal of P</w:t>
      </w:r>
      <w:r w:rsidRPr="00734AB6">
        <w:rPr>
          <w:rFonts w:asciiTheme="majorHAnsi" w:hAnsiTheme="majorHAnsi" w:cs="Arial"/>
          <w:i/>
          <w:iCs/>
          <w:shd w:val="clear" w:color="auto" w:fill="FFFFFF"/>
        </w:rPr>
        <w:t>sychopharmacology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17</w:t>
      </w:r>
      <w:r w:rsidRPr="00734AB6">
        <w:rPr>
          <w:rFonts w:asciiTheme="majorHAnsi" w:hAnsiTheme="majorHAnsi" w:cs="Arial"/>
          <w:shd w:val="clear" w:color="auto" w:fill="FFFFFF"/>
        </w:rPr>
        <w:t>(3), 283-292.</w:t>
      </w:r>
    </w:p>
    <w:p w14:paraId="6DE4C8D1"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Smith, G., Del Sala, S., </w:t>
      </w:r>
      <w:proofErr w:type="spellStart"/>
      <w:r w:rsidRPr="00734AB6">
        <w:rPr>
          <w:rFonts w:asciiTheme="majorHAnsi" w:hAnsiTheme="majorHAnsi" w:cs="Arial"/>
          <w:shd w:val="clear" w:color="auto" w:fill="FFFFFF"/>
        </w:rPr>
        <w:t>Logie</w:t>
      </w:r>
      <w:proofErr w:type="spellEnd"/>
      <w:r w:rsidRPr="00734AB6">
        <w:rPr>
          <w:rFonts w:asciiTheme="majorHAnsi" w:hAnsiTheme="majorHAnsi" w:cs="Arial"/>
          <w:shd w:val="clear" w:color="auto" w:fill="FFFFFF"/>
        </w:rPr>
        <w:t>, R. H., &amp; Maylor, E. A. (2000). Prospective and retrospective memory in normal ageing and dementia: A questionnaire study. </w:t>
      </w:r>
      <w:r w:rsidRPr="00734AB6">
        <w:rPr>
          <w:rFonts w:asciiTheme="majorHAnsi" w:hAnsiTheme="majorHAnsi" w:cs="Arial"/>
          <w:i/>
          <w:iCs/>
          <w:shd w:val="clear" w:color="auto" w:fill="FFFFFF"/>
        </w:rPr>
        <w:t>Memory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8</w:t>
      </w:r>
      <w:r w:rsidRPr="00734AB6">
        <w:rPr>
          <w:rFonts w:asciiTheme="majorHAnsi" w:hAnsiTheme="majorHAnsi" w:cs="Arial"/>
          <w:shd w:val="clear" w:color="auto" w:fill="FFFFFF"/>
        </w:rPr>
        <w:t>(5), 311-321.</w:t>
      </w:r>
    </w:p>
    <w:p w14:paraId="76027CC5"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Smith‐Spark, J., Fawcett, A., Nicolson, R., &amp; Fisk, J. (2004). Dyslexic students have more everyday cognitive lapses. </w:t>
      </w:r>
      <w:r w:rsidRPr="00734AB6">
        <w:rPr>
          <w:rFonts w:asciiTheme="majorHAnsi" w:hAnsiTheme="majorHAnsi" w:cs="Arial"/>
          <w:i/>
          <w:iCs/>
          <w:shd w:val="clear" w:color="auto" w:fill="FFFFFF"/>
        </w:rPr>
        <w:t>Memory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12</w:t>
      </w:r>
      <w:r w:rsidRPr="00734AB6">
        <w:rPr>
          <w:rFonts w:asciiTheme="majorHAnsi" w:hAnsiTheme="majorHAnsi" w:cs="Arial"/>
          <w:shd w:val="clear" w:color="auto" w:fill="FFFFFF"/>
        </w:rPr>
        <w:t>(2), 174-182.</w:t>
      </w:r>
    </w:p>
    <w:p w14:paraId="58798DDF" w14:textId="3DDE4A08"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Solomon, L. J., &amp; </w:t>
      </w:r>
      <w:proofErr w:type="spellStart"/>
      <w:r w:rsidRPr="00734AB6">
        <w:rPr>
          <w:rFonts w:asciiTheme="majorHAnsi" w:hAnsiTheme="majorHAnsi" w:cs="Arial"/>
          <w:shd w:val="clear" w:color="auto" w:fill="FFFFFF"/>
        </w:rPr>
        <w:t>Rothblum</w:t>
      </w:r>
      <w:proofErr w:type="spellEnd"/>
      <w:r w:rsidRPr="00734AB6">
        <w:rPr>
          <w:rFonts w:asciiTheme="majorHAnsi" w:hAnsiTheme="majorHAnsi" w:cs="Arial"/>
          <w:shd w:val="clear" w:color="auto" w:fill="FFFFFF"/>
        </w:rPr>
        <w:t>, E. D. (1984). Academic procrastination: Frequency and cognitive-</w:t>
      </w:r>
      <w:proofErr w:type="spellStart"/>
      <w:r w:rsidRPr="00734AB6">
        <w:rPr>
          <w:rFonts w:asciiTheme="majorHAnsi" w:hAnsiTheme="majorHAnsi" w:cs="Arial"/>
          <w:shd w:val="clear" w:color="auto" w:fill="FFFFFF"/>
        </w:rPr>
        <w:t>behavioral</w:t>
      </w:r>
      <w:proofErr w:type="spellEnd"/>
      <w:r w:rsidRPr="00734AB6">
        <w:rPr>
          <w:rFonts w:asciiTheme="majorHAnsi" w:hAnsiTheme="majorHAnsi" w:cs="Arial"/>
          <w:shd w:val="clear" w:color="auto" w:fill="FFFFFF"/>
        </w:rPr>
        <w:t xml:space="preserve"> correlates. </w:t>
      </w:r>
      <w:r w:rsidRPr="00734AB6">
        <w:rPr>
          <w:rFonts w:asciiTheme="majorHAnsi" w:hAnsiTheme="majorHAnsi" w:cs="Arial"/>
          <w:i/>
          <w:iCs/>
          <w:shd w:val="clear" w:color="auto" w:fill="FFFFFF"/>
        </w:rPr>
        <w:t xml:space="preserve">Journal of </w:t>
      </w:r>
      <w:proofErr w:type="spellStart"/>
      <w:r w:rsidR="00936113" w:rsidRPr="00734AB6">
        <w:rPr>
          <w:rFonts w:asciiTheme="majorHAnsi" w:hAnsiTheme="majorHAnsi" w:cs="Arial"/>
          <w:i/>
          <w:iCs/>
          <w:shd w:val="clear" w:color="auto" w:fill="FFFFFF"/>
        </w:rPr>
        <w:t>Counseling</w:t>
      </w:r>
      <w:proofErr w:type="spellEnd"/>
      <w:r w:rsidR="00936113" w:rsidRPr="00734AB6">
        <w:rPr>
          <w:rFonts w:asciiTheme="majorHAnsi" w:hAnsiTheme="majorHAnsi" w:cs="Arial"/>
          <w:i/>
          <w:iCs/>
          <w:shd w:val="clear" w:color="auto" w:fill="FFFFFF"/>
        </w:rPr>
        <w:t xml:space="preserve"> Psychology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31</w:t>
      </w:r>
      <w:r w:rsidRPr="00734AB6">
        <w:rPr>
          <w:rFonts w:asciiTheme="majorHAnsi" w:hAnsiTheme="majorHAnsi" w:cs="Arial"/>
          <w:shd w:val="clear" w:color="auto" w:fill="FFFFFF"/>
        </w:rPr>
        <w:t>(4), 503.</w:t>
      </w:r>
    </w:p>
    <w:p w14:paraId="4296CF1B" w14:textId="6CCE14B1"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Spearing, M. K., Post, R. M., </w:t>
      </w:r>
      <w:proofErr w:type="spellStart"/>
      <w:r w:rsidRPr="00734AB6">
        <w:rPr>
          <w:rFonts w:asciiTheme="majorHAnsi" w:hAnsiTheme="majorHAnsi" w:cstheme="minorHAnsi"/>
          <w:shd w:val="clear" w:color="auto" w:fill="FFFFFF"/>
        </w:rPr>
        <w:t>Leverich</w:t>
      </w:r>
      <w:proofErr w:type="spellEnd"/>
      <w:r w:rsidRPr="00734AB6">
        <w:rPr>
          <w:rFonts w:asciiTheme="majorHAnsi" w:hAnsiTheme="majorHAnsi" w:cstheme="minorHAnsi"/>
          <w:shd w:val="clear" w:color="auto" w:fill="FFFFFF"/>
        </w:rPr>
        <w:t xml:space="preserve">, G. S., Brandt, D., &amp; Nolen, W. (1997). Modification of the Clinical Global Impressions (CGI) Scale for use in bipolar illness (BP): the CGI-BP. </w:t>
      </w:r>
      <w:r w:rsidR="00936113" w:rsidRPr="00734AB6">
        <w:rPr>
          <w:rFonts w:asciiTheme="majorHAnsi" w:hAnsiTheme="majorHAnsi" w:cstheme="minorHAnsi"/>
          <w:i/>
          <w:shd w:val="clear" w:color="auto" w:fill="FFFFFF"/>
        </w:rPr>
        <w:t>Psychiatry R</w:t>
      </w:r>
      <w:r w:rsidRPr="00734AB6">
        <w:rPr>
          <w:rFonts w:asciiTheme="majorHAnsi" w:hAnsiTheme="majorHAnsi" w:cstheme="minorHAnsi"/>
          <w:i/>
          <w:shd w:val="clear" w:color="auto" w:fill="FFFFFF"/>
        </w:rPr>
        <w:t>esearch, 73</w:t>
      </w:r>
      <w:r w:rsidRPr="00734AB6">
        <w:rPr>
          <w:rFonts w:asciiTheme="majorHAnsi" w:hAnsiTheme="majorHAnsi" w:cstheme="minorHAnsi"/>
          <w:shd w:val="clear" w:color="auto" w:fill="FFFFFF"/>
        </w:rPr>
        <w:t>(3), 159-171.</w:t>
      </w:r>
    </w:p>
    <w:p w14:paraId="2E941BCC" w14:textId="39E88328"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Stanovich, K. E. (2009). Distinguishing the reflective, algorithmic, and autonomous minds: Is it time for a tri-process theory</w:t>
      </w:r>
      <w:r w:rsidR="007B39D8" w:rsidRPr="00734AB6">
        <w:rPr>
          <w:rFonts w:asciiTheme="majorHAnsi" w:eastAsia="Calibri" w:hAnsiTheme="majorHAnsi" w:cs="Calibri"/>
        </w:rPr>
        <w:t>?. In J. Evans &amp; K. Frankish (Eds.)</w:t>
      </w:r>
      <w:r w:rsidRPr="00734AB6">
        <w:rPr>
          <w:rFonts w:asciiTheme="majorHAnsi" w:eastAsia="Calibri" w:hAnsiTheme="majorHAnsi" w:cs="Calibri"/>
        </w:rPr>
        <w:t> </w:t>
      </w:r>
      <w:r w:rsidRPr="00734AB6">
        <w:rPr>
          <w:rFonts w:asciiTheme="majorHAnsi" w:eastAsia="Calibri" w:hAnsiTheme="majorHAnsi" w:cs="Calibri"/>
          <w:i/>
          <w:iCs/>
        </w:rPr>
        <w:t>In two minds: Dual processes and beyond</w:t>
      </w:r>
      <w:r w:rsidRPr="00734AB6">
        <w:rPr>
          <w:rFonts w:asciiTheme="majorHAnsi" w:eastAsia="Calibri" w:hAnsiTheme="majorHAnsi" w:cs="Calibri"/>
        </w:rPr>
        <w:t xml:space="preserve">, </w:t>
      </w:r>
      <w:r w:rsidR="007B39D8" w:rsidRPr="00734AB6">
        <w:rPr>
          <w:rFonts w:asciiTheme="majorHAnsi" w:eastAsia="Calibri" w:hAnsiTheme="majorHAnsi" w:cs="Calibri"/>
        </w:rPr>
        <w:t>(pp.</w:t>
      </w:r>
      <w:r w:rsidRPr="00734AB6">
        <w:rPr>
          <w:rFonts w:asciiTheme="majorHAnsi" w:eastAsia="Calibri" w:hAnsiTheme="majorHAnsi" w:cs="Calibri"/>
        </w:rPr>
        <w:t>55-88</w:t>
      </w:r>
      <w:r w:rsidR="007B39D8" w:rsidRPr="00734AB6">
        <w:rPr>
          <w:rFonts w:asciiTheme="majorHAnsi" w:eastAsia="Calibri" w:hAnsiTheme="majorHAnsi" w:cs="Calibri"/>
        </w:rPr>
        <w:t>). Oxford: Oxford University Press</w:t>
      </w:r>
      <w:r w:rsidRPr="00734AB6">
        <w:rPr>
          <w:rFonts w:asciiTheme="majorHAnsi" w:eastAsia="Calibri" w:hAnsiTheme="majorHAnsi" w:cs="Calibri"/>
        </w:rPr>
        <w:t>.</w:t>
      </w:r>
    </w:p>
    <w:p w14:paraId="02FB248D" w14:textId="0F013EDB"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Steel, P. (2007). The nature of procrastination: A meta-analytic and theoretical review of quintessential self-regulatory failure. </w:t>
      </w:r>
      <w:r w:rsidR="00C67C08" w:rsidRPr="00734AB6">
        <w:rPr>
          <w:rFonts w:asciiTheme="majorHAnsi" w:eastAsia="Calibri" w:hAnsiTheme="majorHAnsi" w:cs="Calibri"/>
          <w:i/>
          <w:iCs/>
        </w:rPr>
        <w:t>Psychological B</w:t>
      </w:r>
      <w:r w:rsidRPr="00734AB6">
        <w:rPr>
          <w:rFonts w:asciiTheme="majorHAnsi" w:eastAsia="Calibri" w:hAnsiTheme="majorHAnsi" w:cs="Calibri"/>
          <w:i/>
          <w:iCs/>
        </w:rPr>
        <w:t>ulletin</w:t>
      </w:r>
      <w:r w:rsidRPr="00734AB6">
        <w:rPr>
          <w:rFonts w:asciiTheme="majorHAnsi" w:eastAsia="Calibri" w:hAnsiTheme="majorHAnsi" w:cs="Calibri"/>
        </w:rPr>
        <w:t>, </w:t>
      </w:r>
      <w:r w:rsidRPr="00734AB6">
        <w:rPr>
          <w:rFonts w:asciiTheme="majorHAnsi" w:eastAsia="Calibri" w:hAnsiTheme="majorHAnsi" w:cs="Calibri"/>
          <w:i/>
          <w:iCs/>
        </w:rPr>
        <w:t>133</w:t>
      </w:r>
      <w:r w:rsidRPr="00734AB6">
        <w:rPr>
          <w:rFonts w:asciiTheme="majorHAnsi" w:eastAsia="Calibri" w:hAnsiTheme="majorHAnsi" w:cs="Calibri"/>
        </w:rPr>
        <w:t>(1), 65.</w:t>
      </w:r>
    </w:p>
    <w:p w14:paraId="77B5D49D" w14:textId="77777777"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Steel, P. (2010). Arousal, avoidant and decisional procrastinators: Do they exist?. </w:t>
      </w:r>
      <w:r w:rsidRPr="00734AB6">
        <w:rPr>
          <w:rFonts w:asciiTheme="majorHAnsi" w:eastAsia="Calibri" w:hAnsiTheme="majorHAnsi" w:cs="Calibri"/>
          <w:i/>
          <w:iCs/>
        </w:rPr>
        <w:t>Personality and Individual Differences</w:t>
      </w:r>
      <w:r w:rsidRPr="00734AB6">
        <w:rPr>
          <w:rFonts w:asciiTheme="majorHAnsi" w:eastAsia="Calibri" w:hAnsiTheme="majorHAnsi" w:cs="Calibri"/>
        </w:rPr>
        <w:t>, </w:t>
      </w:r>
      <w:r w:rsidRPr="00734AB6">
        <w:rPr>
          <w:rFonts w:asciiTheme="majorHAnsi" w:eastAsia="Calibri" w:hAnsiTheme="majorHAnsi" w:cs="Calibri"/>
          <w:i/>
          <w:iCs/>
        </w:rPr>
        <w:t>48</w:t>
      </w:r>
      <w:r w:rsidRPr="00734AB6">
        <w:rPr>
          <w:rFonts w:asciiTheme="majorHAnsi" w:eastAsia="Calibri" w:hAnsiTheme="majorHAnsi" w:cs="Calibri"/>
        </w:rPr>
        <w:t>(8), 926-934.</w:t>
      </w:r>
    </w:p>
    <w:p w14:paraId="15AA8F5D" w14:textId="57C228DF"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Stevens, F. L., Hurley, R. A., &amp; Taber, K. H. (2011). Anterior cingulate cortex: unique role in cognition and emotion. </w:t>
      </w:r>
      <w:r w:rsidR="00C67C08" w:rsidRPr="00734AB6">
        <w:rPr>
          <w:rFonts w:asciiTheme="majorHAnsi" w:eastAsia="Calibri" w:hAnsiTheme="majorHAnsi" w:cs="Calibri"/>
          <w:i/>
          <w:iCs/>
        </w:rPr>
        <w:t>The Journal of N</w:t>
      </w:r>
      <w:r w:rsidRPr="00734AB6">
        <w:rPr>
          <w:rFonts w:asciiTheme="majorHAnsi" w:eastAsia="Calibri" w:hAnsiTheme="majorHAnsi" w:cs="Calibri"/>
          <w:i/>
          <w:iCs/>
        </w:rPr>
        <w:t xml:space="preserve">europsychiatry and </w:t>
      </w:r>
      <w:r w:rsidR="00C67C08" w:rsidRPr="00734AB6">
        <w:rPr>
          <w:rFonts w:asciiTheme="majorHAnsi" w:eastAsia="Calibri" w:hAnsiTheme="majorHAnsi" w:cs="Calibri"/>
          <w:i/>
          <w:iCs/>
        </w:rPr>
        <w:t>Clinical Neurosciences</w:t>
      </w:r>
      <w:r w:rsidRPr="00734AB6">
        <w:rPr>
          <w:rFonts w:asciiTheme="majorHAnsi" w:eastAsia="Calibri" w:hAnsiTheme="majorHAnsi" w:cs="Calibri"/>
        </w:rPr>
        <w:t>, </w:t>
      </w:r>
      <w:r w:rsidRPr="00734AB6">
        <w:rPr>
          <w:rFonts w:asciiTheme="majorHAnsi" w:eastAsia="Calibri" w:hAnsiTheme="majorHAnsi" w:cs="Calibri"/>
          <w:i/>
          <w:iCs/>
        </w:rPr>
        <w:t>23</w:t>
      </w:r>
      <w:r w:rsidRPr="00734AB6">
        <w:rPr>
          <w:rFonts w:asciiTheme="majorHAnsi" w:eastAsia="Calibri" w:hAnsiTheme="majorHAnsi" w:cs="Calibri"/>
        </w:rPr>
        <w:t>(2), 121-125.</w:t>
      </w:r>
    </w:p>
    <w:p w14:paraId="09A100ED"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Stoops, W. W., Lile, J. A., Fillmore, M. T., Glaser, P. E., &amp; Rush, C. R. (2005). Reinforcing effects of methylphenidate: influence of dose and </w:t>
      </w:r>
      <w:proofErr w:type="spellStart"/>
      <w:r w:rsidRPr="00734AB6">
        <w:rPr>
          <w:rFonts w:asciiTheme="majorHAnsi" w:hAnsiTheme="majorHAnsi" w:cstheme="minorHAnsi"/>
          <w:shd w:val="clear" w:color="auto" w:fill="FFFFFF"/>
        </w:rPr>
        <w:t>behavioral</w:t>
      </w:r>
      <w:proofErr w:type="spellEnd"/>
      <w:r w:rsidRPr="00734AB6">
        <w:rPr>
          <w:rFonts w:asciiTheme="majorHAnsi" w:hAnsiTheme="majorHAnsi" w:cstheme="minorHAnsi"/>
          <w:shd w:val="clear" w:color="auto" w:fill="FFFFFF"/>
        </w:rPr>
        <w:t xml:space="preserve"> demands following drug administration. </w:t>
      </w:r>
      <w:r w:rsidRPr="00734AB6">
        <w:rPr>
          <w:rFonts w:asciiTheme="majorHAnsi" w:hAnsiTheme="majorHAnsi" w:cstheme="minorHAnsi"/>
          <w:i/>
          <w:shd w:val="clear" w:color="auto" w:fill="FFFFFF"/>
        </w:rPr>
        <w:t>Psychopharmacology</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177</w:t>
      </w:r>
      <w:r w:rsidRPr="00734AB6">
        <w:rPr>
          <w:rFonts w:asciiTheme="majorHAnsi" w:hAnsiTheme="majorHAnsi" w:cstheme="minorHAnsi"/>
          <w:shd w:val="clear" w:color="auto" w:fill="FFFFFF"/>
        </w:rPr>
        <w:t>(3), 349-355.</w:t>
      </w:r>
    </w:p>
    <w:p w14:paraId="00AD3D46" w14:textId="0EA49CB2" w:rsidR="004676EF" w:rsidRPr="00734AB6" w:rsidRDefault="00786593"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lastRenderedPageBreak/>
        <w:t>Storebø</w:t>
      </w:r>
      <w:proofErr w:type="spellEnd"/>
      <w:r w:rsidRPr="00734AB6">
        <w:rPr>
          <w:rFonts w:asciiTheme="majorHAnsi" w:eastAsia="Calibri" w:hAnsiTheme="majorHAnsi" w:cs="Calibri"/>
        </w:rPr>
        <w:t xml:space="preserve">, O. J., Krogh, H. B., Ramstad, E., Moreira-Maia, C. R., </w:t>
      </w:r>
      <w:proofErr w:type="spellStart"/>
      <w:r w:rsidRPr="00734AB6">
        <w:rPr>
          <w:rFonts w:asciiTheme="majorHAnsi" w:eastAsia="Calibri" w:hAnsiTheme="majorHAnsi" w:cs="Calibri"/>
        </w:rPr>
        <w:t>Holmskov</w:t>
      </w:r>
      <w:proofErr w:type="spellEnd"/>
      <w:r w:rsidRPr="00734AB6">
        <w:rPr>
          <w:rFonts w:asciiTheme="majorHAnsi" w:eastAsia="Calibri" w:hAnsiTheme="majorHAnsi" w:cs="Calibri"/>
        </w:rPr>
        <w:t xml:space="preserve">, M., Skoog, M., ... &amp; </w:t>
      </w:r>
      <w:proofErr w:type="spellStart"/>
      <w:r w:rsidRPr="00734AB6">
        <w:rPr>
          <w:rFonts w:asciiTheme="majorHAnsi" w:eastAsia="Calibri" w:hAnsiTheme="majorHAnsi" w:cs="Calibri"/>
        </w:rPr>
        <w:t>Rosendal</w:t>
      </w:r>
      <w:proofErr w:type="spellEnd"/>
      <w:r w:rsidRPr="00734AB6">
        <w:rPr>
          <w:rFonts w:asciiTheme="majorHAnsi" w:eastAsia="Calibri" w:hAnsiTheme="majorHAnsi" w:cs="Calibri"/>
        </w:rPr>
        <w:t>, S. (2015). Methylphenidate for attention-deficit/hyperactivity disorder in children and adolescents: Cochrane systematic review with meta-analyses and trial sequential analyses of randomised clinical trials. </w:t>
      </w:r>
      <w:r w:rsidRPr="00734AB6">
        <w:rPr>
          <w:rFonts w:asciiTheme="majorHAnsi" w:eastAsia="Calibri" w:hAnsiTheme="majorHAnsi" w:cs="Calibri"/>
          <w:i/>
          <w:iCs/>
        </w:rPr>
        <w:t>British Medical Journal,</w:t>
      </w:r>
      <w:r w:rsidRPr="00734AB6">
        <w:rPr>
          <w:rFonts w:asciiTheme="majorHAnsi" w:eastAsia="Calibri" w:hAnsiTheme="majorHAnsi" w:cs="Calibri"/>
        </w:rPr>
        <w:t> </w:t>
      </w:r>
      <w:r w:rsidRPr="00734AB6">
        <w:rPr>
          <w:rFonts w:asciiTheme="majorHAnsi" w:eastAsia="Calibri" w:hAnsiTheme="majorHAnsi" w:cs="Calibri"/>
          <w:i/>
          <w:iCs/>
        </w:rPr>
        <w:t>351</w:t>
      </w:r>
      <w:r w:rsidRPr="00734AB6">
        <w:rPr>
          <w:rFonts w:asciiTheme="majorHAnsi" w:eastAsia="Calibri" w:hAnsiTheme="majorHAnsi" w:cs="Calibri"/>
        </w:rPr>
        <w:t xml:space="preserve">, </w:t>
      </w:r>
      <w:r w:rsidR="004676EF" w:rsidRPr="00734AB6">
        <w:rPr>
          <w:rFonts w:asciiTheme="majorHAnsi" w:eastAsia="Calibri" w:hAnsiTheme="majorHAnsi" w:cs="Calibri"/>
        </w:rPr>
        <w:t>h5203.</w:t>
      </w:r>
    </w:p>
    <w:p w14:paraId="11144A40" w14:textId="77777777" w:rsidR="004676EF"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rPr>
        <w:t>Svartdal</w:t>
      </w:r>
      <w:proofErr w:type="spellEnd"/>
      <w:r w:rsidRPr="00734AB6">
        <w:rPr>
          <w:rFonts w:asciiTheme="majorHAnsi" w:hAnsiTheme="majorHAnsi" w:cstheme="minorHAnsi"/>
        </w:rPr>
        <w:t xml:space="preserve">, F., </w:t>
      </w:r>
      <w:proofErr w:type="spellStart"/>
      <w:r w:rsidRPr="00734AB6">
        <w:rPr>
          <w:rFonts w:asciiTheme="majorHAnsi" w:hAnsiTheme="majorHAnsi" w:cstheme="minorHAnsi"/>
        </w:rPr>
        <w:t>Klingsieck</w:t>
      </w:r>
      <w:proofErr w:type="spellEnd"/>
      <w:r w:rsidRPr="00734AB6">
        <w:rPr>
          <w:rFonts w:asciiTheme="majorHAnsi" w:hAnsiTheme="majorHAnsi" w:cstheme="minorHAnsi"/>
        </w:rPr>
        <w:t xml:space="preserve">, K. B., Steel, P., &amp; </w:t>
      </w:r>
      <w:proofErr w:type="spellStart"/>
      <w:r w:rsidRPr="00734AB6">
        <w:rPr>
          <w:rFonts w:asciiTheme="majorHAnsi" w:hAnsiTheme="majorHAnsi" w:cstheme="minorHAnsi"/>
        </w:rPr>
        <w:t>Gamst-Klaussen</w:t>
      </w:r>
      <w:proofErr w:type="spellEnd"/>
      <w:r w:rsidRPr="00734AB6">
        <w:rPr>
          <w:rFonts w:asciiTheme="majorHAnsi" w:hAnsiTheme="majorHAnsi" w:cstheme="minorHAnsi"/>
        </w:rPr>
        <w:t>, T. (2020). Measuring implemental delay in procrastination: Separating onset and sustained goal striving. </w:t>
      </w:r>
      <w:r w:rsidRPr="00734AB6">
        <w:rPr>
          <w:rFonts w:asciiTheme="majorHAnsi" w:hAnsiTheme="majorHAnsi" w:cstheme="minorHAnsi"/>
          <w:i/>
          <w:iCs/>
        </w:rPr>
        <w:t>Personality and Individual Differences</w:t>
      </w:r>
      <w:r w:rsidRPr="00734AB6">
        <w:rPr>
          <w:rFonts w:asciiTheme="majorHAnsi" w:hAnsiTheme="majorHAnsi" w:cstheme="minorHAnsi"/>
        </w:rPr>
        <w:t>, </w:t>
      </w:r>
      <w:r w:rsidRPr="00734AB6">
        <w:rPr>
          <w:rFonts w:asciiTheme="majorHAnsi" w:hAnsiTheme="majorHAnsi" w:cstheme="minorHAnsi"/>
          <w:i/>
          <w:iCs/>
        </w:rPr>
        <w:t>156</w:t>
      </w:r>
      <w:r w:rsidRPr="00734AB6">
        <w:rPr>
          <w:rFonts w:asciiTheme="majorHAnsi" w:hAnsiTheme="majorHAnsi" w:cstheme="minorHAnsi"/>
        </w:rPr>
        <w:t>, 109762.</w:t>
      </w:r>
    </w:p>
    <w:p w14:paraId="237D2E09" w14:textId="77777777" w:rsidR="00C15975" w:rsidRPr="00734AB6" w:rsidRDefault="00C15975" w:rsidP="00C15975">
      <w:pPr>
        <w:spacing w:line="360" w:lineRule="auto"/>
        <w:ind w:left="851" w:hanging="851"/>
        <w:rPr>
          <w:rFonts w:asciiTheme="majorHAnsi" w:hAnsiTheme="majorHAnsi"/>
        </w:rPr>
      </w:pPr>
      <w:proofErr w:type="spellStart"/>
      <w:r w:rsidRPr="00734AB6">
        <w:rPr>
          <w:rFonts w:asciiTheme="majorHAnsi" w:hAnsiTheme="majorHAnsi"/>
        </w:rPr>
        <w:t>Tannock</w:t>
      </w:r>
      <w:proofErr w:type="spellEnd"/>
      <w:r w:rsidRPr="00734AB6">
        <w:rPr>
          <w:rFonts w:asciiTheme="majorHAnsi" w:hAnsiTheme="majorHAnsi"/>
        </w:rPr>
        <w:t xml:space="preserve">, R., </w:t>
      </w:r>
      <w:proofErr w:type="spellStart"/>
      <w:r w:rsidRPr="00734AB6">
        <w:rPr>
          <w:rFonts w:asciiTheme="majorHAnsi" w:hAnsiTheme="majorHAnsi"/>
        </w:rPr>
        <w:t>Schachar</w:t>
      </w:r>
      <w:proofErr w:type="spellEnd"/>
      <w:r w:rsidRPr="00734AB6">
        <w:rPr>
          <w:rFonts w:asciiTheme="majorHAnsi" w:hAnsiTheme="majorHAnsi"/>
        </w:rPr>
        <w:t>, R., &amp; Logan, G. (1995). Methylphenidate and cognitive flexibility: dissociated dose effects in hyperactive children. </w:t>
      </w:r>
      <w:r w:rsidRPr="00734AB6">
        <w:rPr>
          <w:rFonts w:asciiTheme="majorHAnsi" w:hAnsiTheme="majorHAnsi"/>
          <w:i/>
          <w:iCs/>
        </w:rPr>
        <w:t>Journal of Abnormal Child Psychology</w:t>
      </w:r>
      <w:r w:rsidRPr="00734AB6">
        <w:rPr>
          <w:rFonts w:asciiTheme="majorHAnsi" w:hAnsiTheme="majorHAnsi"/>
        </w:rPr>
        <w:t>, </w:t>
      </w:r>
      <w:r w:rsidRPr="00734AB6">
        <w:rPr>
          <w:rFonts w:asciiTheme="majorHAnsi" w:hAnsiTheme="majorHAnsi"/>
          <w:i/>
          <w:iCs/>
        </w:rPr>
        <w:t>23</w:t>
      </w:r>
      <w:r w:rsidRPr="00734AB6">
        <w:rPr>
          <w:rFonts w:asciiTheme="majorHAnsi" w:hAnsiTheme="majorHAnsi"/>
        </w:rPr>
        <w:t>(2), 235-266.</w:t>
      </w:r>
    </w:p>
    <w:p w14:paraId="372D2130" w14:textId="77777777" w:rsidR="00FE355C" w:rsidRPr="00734AB6" w:rsidRDefault="00583793"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Teter</w:t>
      </w:r>
      <w:proofErr w:type="spellEnd"/>
      <w:r w:rsidRPr="00734AB6">
        <w:rPr>
          <w:rFonts w:asciiTheme="majorHAnsi" w:hAnsiTheme="majorHAnsi" w:cstheme="minorHAnsi"/>
          <w:shd w:val="clear" w:color="auto" w:fill="FFFFFF"/>
        </w:rPr>
        <w:t>, C. J., McCabe, S. E., LaGrange, K., Cranford, J. A., &amp; Boyd, C. J. (2006). Illicit use of specific prescription stimulants among college students: prevalence, motives, and routes of administration. </w:t>
      </w:r>
      <w:r w:rsidRPr="00734AB6">
        <w:rPr>
          <w:rFonts w:asciiTheme="majorHAnsi" w:hAnsiTheme="majorHAnsi" w:cstheme="minorHAnsi"/>
          <w:i/>
          <w:iCs/>
          <w:shd w:val="clear" w:color="auto" w:fill="FFFFFF"/>
        </w:rPr>
        <w:t>Pharmacotherapy: The Journal of Human Pharmacology and Drug Therapy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26</w:t>
      </w:r>
      <w:r w:rsidRPr="00734AB6">
        <w:rPr>
          <w:rFonts w:asciiTheme="majorHAnsi" w:hAnsiTheme="majorHAnsi" w:cstheme="minorHAnsi"/>
          <w:shd w:val="clear" w:color="auto" w:fill="FFFFFF"/>
        </w:rPr>
        <w:t xml:space="preserve">(10), 1501-1510. </w:t>
      </w:r>
    </w:p>
    <w:p w14:paraId="5C73FEDD" w14:textId="698A90BC"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Toplak</w:t>
      </w:r>
      <w:proofErr w:type="spellEnd"/>
      <w:r w:rsidRPr="00734AB6">
        <w:rPr>
          <w:rFonts w:asciiTheme="majorHAnsi" w:hAnsiTheme="majorHAnsi" w:cstheme="minorHAnsi"/>
          <w:shd w:val="clear" w:color="auto" w:fill="FFFFFF"/>
        </w:rPr>
        <w:t>, M. E., West, R. F., &amp; Stanovich, K. E. (2013). Practitioner review: Do performance‐based measures and ratings of executive func</w:t>
      </w:r>
      <w:r w:rsidR="001E3144" w:rsidRPr="00734AB6">
        <w:rPr>
          <w:rFonts w:asciiTheme="majorHAnsi" w:hAnsiTheme="majorHAnsi" w:cstheme="minorHAnsi"/>
          <w:shd w:val="clear" w:color="auto" w:fill="FFFFFF"/>
        </w:rPr>
        <w:t>tion assess the same construct?</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Journal of Child Psychology and Psychiatry</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54</w:t>
      </w:r>
      <w:r w:rsidRPr="00734AB6">
        <w:rPr>
          <w:rFonts w:asciiTheme="majorHAnsi" w:hAnsiTheme="majorHAnsi" w:cstheme="minorHAnsi"/>
          <w:shd w:val="clear" w:color="auto" w:fill="FFFFFF"/>
        </w:rPr>
        <w:t>(2), 131-143.</w:t>
      </w:r>
    </w:p>
    <w:p w14:paraId="69054743" w14:textId="465AE06F"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Turner, D. C., Clark, L., Dowson, J., Robbins, T. W., &amp; Sahakian, B. J. (2004). Modafinil improves cognition and response inhibition in adult attention-deficit/hyperactivity disorder. </w:t>
      </w:r>
      <w:r w:rsidRPr="00734AB6">
        <w:rPr>
          <w:rFonts w:asciiTheme="majorHAnsi" w:hAnsiTheme="majorHAnsi" w:cstheme="minorHAnsi"/>
          <w:i/>
          <w:shd w:val="clear" w:color="auto" w:fill="FFFFFF"/>
        </w:rPr>
        <w:t xml:space="preserve">Biological </w:t>
      </w:r>
      <w:r w:rsidR="00786593" w:rsidRPr="00734AB6">
        <w:rPr>
          <w:rFonts w:asciiTheme="majorHAnsi" w:hAnsiTheme="majorHAnsi" w:cstheme="minorHAnsi"/>
          <w:i/>
          <w:shd w:val="clear" w:color="auto" w:fill="FFFFFF"/>
        </w:rPr>
        <w:t>P</w:t>
      </w:r>
      <w:r w:rsidRPr="00734AB6">
        <w:rPr>
          <w:rFonts w:asciiTheme="majorHAnsi" w:hAnsiTheme="majorHAnsi" w:cstheme="minorHAnsi"/>
          <w:i/>
          <w:shd w:val="clear" w:color="auto" w:fill="FFFFFF"/>
        </w:rPr>
        <w:t>sychiatry</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55</w:t>
      </w:r>
      <w:r w:rsidRPr="00734AB6">
        <w:rPr>
          <w:rFonts w:asciiTheme="majorHAnsi" w:hAnsiTheme="majorHAnsi" w:cstheme="minorHAnsi"/>
          <w:shd w:val="clear" w:color="auto" w:fill="FFFFFF"/>
        </w:rPr>
        <w:t>(10), 1031-1040.</w:t>
      </w:r>
    </w:p>
    <w:p w14:paraId="0A8BD386"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shd w:val="clear" w:color="auto" w:fill="FFFFFF"/>
        </w:rPr>
        <w:t>Turner, D. C., Robbins, T. W., Clark, L., Aron, A. R., Dowson, J., &amp; Sahakian, B. J. (2003). Cognitive enhancing effects of modafinil in healthy volunteers.</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Psychopharmacology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165</w:t>
      </w:r>
      <w:r w:rsidRPr="00734AB6">
        <w:rPr>
          <w:rFonts w:asciiTheme="majorHAnsi" w:hAnsiTheme="majorHAnsi" w:cstheme="minorHAnsi"/>
          <w:shd w:val="clear" w:color="auto" w:fill="FFFFFF"/>
        </w:rPr>
        <w:t>(3), 260-269.</w:t>
      </w:r>
    </w:p>
    <w:p w14:paraId="313E6AA9" w14:textId="4A45AA35"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 xml:space="preserve">Unsworth, N., &amp; Robison, M. K. (2019). Working memory capacity and sustained attention: A cognitive-energetic perspective. </w:t>
      </w:r>
      <w:r w:rsidRPr="00734AB6">
        <w:rPr>
          <w:rFonts w:asciiTheme="majorHAnsi" w:eastAsia="Calibri" w:hAnsiTheme="majorHAnsi" w:cs="Calibri"/>
          <w:i/>
        </w:rPr>
        <w:t>Journal of Experimental Psychology: Learning, Memory, and Cognition.</w:t>
      </w:r>
      <w:r w:rsidR="00786593" w:rsidRPr="00734AB6">
        <w:rPr>
          <w:rFonts w:asciiTheme="majorHAnsi" w:eastAsia="Calibri" w:hAnsiTheme="majorHAnsi" w:cs="Calibri"/>
          <w:i/>
        </w:rPr>
        <w:t xml:space="preserve"> 46</w:t>
      </w:r>
      <w:r w:rsidR="00786593" w:rsidRPr="00734AB6">
        <w:rPr>
          <w:rFonts w:asciiTheme="majorHAnsi" w:eastAsia="Calibri" w:hAnsiTheme="majorHAnsi" w:cs="Calibri"/>
        </w:rPr>
        <w:t>(1), 77-103.</w:t>
      </w:r>
    </w:p>
    <w:p w14:paraId="428EAAF6"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Unsworth, N., Schrock, J. C., &amp; Engle, R. W. (2004). Working memory capacity and the </w:t>
      </w:r>
      <w:proofErr w:type="spellStart"/>
      <w:r w:rsidRPr="00734AB6">
        <w:rPr>
          <w:rFonts w:asciiTheme="majorHAnsi" w:hAnsiTheme="majorHAnsi" w:cstheme="minorHAnsi"/>
        </w:rPr>
        <w:t>antisaccade</w:t>
      </w:r>
      <w:proofErr w:type="spellEnd"/>
      <w:r w:rsidRPr="00734AB6">
        <w:rPr>
          <w:rFonts w:asciiTheme="majorHAnsi" w:hAnsiTheme="majorHAnsi" w:cstheme="minorHAnsi"/>
        </w:rPr>
        <w:t xml:space="preserve"> task: individual differences in voluntary saccade control. </w:t>
      </w:r>
      <w:r w:rsidRPr="00734AB6">
        <w:rPr>
          <w:rFonts w:asciiTheme="majorHAnsi" w:hAnsiTheme="majorHAnsi" w:cstheme="minorHAnsi"/>
          <w:i/>
          <w:iCs/>
        </w:rPr>
        <w:t>Journal of Experimental Psychology: Learning, Memory, and Cognition</w:t>
      </w:r>
      <w:r w:rsidRPr="00734AB6">
        <w:rPr>
          <w:rFonts w:asciiTheme="majorHAnsi" w:hAnsiTheme="majorHAnsi" w:cstheme="minorHAnsi"/>
        </w:rPr>
        <w:t>, </w:t>
      </w:r>
      <w:r w:rsidRPr="00734AB6">
        <w:rPr>
          <w:rFonts w:asciiTheme="majorHAnsi" w:hAnsiTheme="majorHAnsi" w:cstheme="minorHAnsi"/>
          <w:i/>
          <w:iCs/>
        </w:rPr>
        <w:t>30</w:t>
      </w:r>
      <w:r w:rsidRPr="00734AB6">
        <w:rPr>
          <w:rFonts w:asciiTheme="majorHAnsi" w:hAnsiTheme="majorHAnsi" w:cstheme="minorHAnsi"/>
        </w:rPr>
        <w:t>(6), 1302.</w:t>
      </w:r>
    </w:p>
    <w:p w14:paraId="764189D6"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Urban, K. R., &amp; Gao, W. (2014). Performance enhancement at the cost of potential brain plasticity: Neural ramifications of nootropic drugs in the healthy developing brain. </w:t>
      </w:r>
      <w:r w:rsidRPr="00734AB6">
        <w:rPr>
          <w:rFonts w:asciiTheme="majorHAnsi" w:hAnsiTheme="majorHAnsi" w:cstheme="minorHAnsi"/>
          <w:i/>
          <w:iCs/>
        </w:rPr>
        <w:t>Frontiers in Systems Neuroscience,</w:t>
      </w:r>
      <w:r w:rsidRPr="00734AB6">
        <w:rPr>
          <w:rFonts w:asciiTheme="majorHAnsi" w:hAnsiTheme="majorHAnsi" w:cstheme="minorHAnsi"/>
        </w:rPr>
        <w:t xml:space="preserve"> </w:t>
      </w:r>
      <w:r w:rsidRPr="00734AB6">
        <w:rPr>
          <w:rFonts w:asciiTheme="majorHAnsi" w:hAnsiTheme="majorHAnsi" w:cstheme="minorHAnsi"/>
          <w:i/>
          <w:iCs/>
          <w:shd w:val="clear" w:color="auto" w:fill="FFFFFF"/>
        </w:rPr>
        <w:t>8</w:t>
      </w:r>
      <w:r w:rsidRPr="00734AB6">
        <w:rPr>
          <w:rFonts w:asciiTheme="majorHAnsi" w:hAnsiTheme="majorHAnsi" w:cstheme="minorHAnsi"/>
          <w:shd w:val="clear" w:color="auto" w:fill="FFFFFF"/>
        </w:rPr>
        <w:t>(38), 10-3389</w:t>
      </w:r>
      <w:r w:rsidRPr="00734AB6">
        <w:rPr>
          <w:rFonts w:asciiTheme="majorHAnsi" w:hAnsiTheme="majorHAnsi" w:cstheme="minorHAnsi"/>
        </w:rPr>
        <w:t xml:space="preserve">. </w:t>
      </w:r>
    </w:p>
    <w:p w14:paraId="0B028EA7" w14:textId="1EBDAED5"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lastRenderedPageBreak/>
        <w:t xml:space="preserve">Vargo, E. J., &amp; </w:t>
      </w:r>
      <w:proofErr w:type="spellStart"/>
      <w:r w:rsidRPr="00734AB6">
        <w:rPr>
          <w:rFonts w:asciiTheme="majorHAnsi" w:eastAsia="Calibri" w:hAnsiTheme="majorHAnsi" w:cs="Calibri"/>
        </w:rPr>
        <w:t>Petróczi</w:t>
      </w:r>
      <w:proofErr w:type="spellEnd"/>
      <w:r w:rsidRPr="00734AB6">
        <w:rPr>
          <w:rFonts w:asciiTheme="majorHAnsi" w:eastAsia="Calibri" w:hAnsiTheme="majorHAnsi" w:cs="Calibri"/>
        </w:rPr>
        <w:t xml:space="preserve">, A. (2016). “It was me on a good day”: Exploring the smart drug use phenomenon in England. </w:t>
      </w:r>
      <w:r w:rsidRPr="00734AB6">
        <w:rPr>
          <w:rFonts w:asciiTheme="majorHAnsi" w:eastAsia="Calibri" w:hAnsiTheme="majorHAnsi" w:cs="Calibri"/>
          <w:i/>
        </w:rPr>
        <w:t xml:space="preserve">Frontiers in </w:t>
      </w:r>
      <w:r w:rsidR="00786593" w:rsidRPr="00734AB6">
        <w:rPr>
          <w:rFonts w:asciiTheme="majorHAnsi" w:eastAsia="Calibri" w:hAnsiTheme="majorHAnsi" w:cs="Calibri"/>
          <w:i/>
        </w:rPr>
        <w:t>P</w:t>
      </w:r>
      <w:r w:rsidRPr="00734AB6">
        <w:rPr>
          <w:rFonts w:asciiTheme="majorHAnsi" w:eastAsia="Calibri" w:hAnsiTheme="majorHAnsi" w:cs="Calibri"/>
          <w:i/>
        </w:rPr>
        <w:t>sychology</w:t>
      </w:r>
      <w:r w:rsidRPr="00734AB6">
        <w:rPr>
          <w:rFonts w:asciiTheme="majorHAnsi" w:eastAsia="Calibri" w:hAnsiTheme="majorHAnsi" w:cs="Calibri"/>
        </w:rPr>
        <w:t>, 7, 779.</w:t>
      </w:r>
    </w:p>
    <w:p w14:paraId="7C2759E2"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 xml:space="preserve">Varsity (2009). One in ten takes drugs to study.  </w:t>
      </w:r>
      <w:r w:rsidRPr="00734AB6">
        <w:rPr>
          <w:rFonts w:asciiTheme="majorHAnsi" w:hAnsiTheme="majorHAnsi" w:cstheme="minorHAnsi"/>
          <w:i/>
        </w:rPr>
        <w:t>Varsity, 693, 1-5.</w:t>
      </w:r>
    </w:p>
    <w:p w14:paraId="5B3A90B6" w14:textId="38FB651C"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Vijayraghavan</w:t>
      </w:r>
      <w:proofErr w:type="spellEnd"/>
      <w:r w:rsidRPr="00734AB6">
        <w:rPr>
          <w:rFonts w:asciiTheme="majorHAnsi" w:eastAsia="Calibri" w:hAnsiTheme="majorHAnsi" w:cs="Calibri"/>
        </w:rPr>
        <w:t>, S</w:t>
      </w:r>
      <w:r w:rsidR="00786593" w:rsidRPr="00734AB6">
        <w:rPr>
          <w:rFonts w:asciiTheme="majorHAnsi" w:eastAsia="Calibri" w:hAnsiTheme="majorHAnsi" w:cs="Calibri"/>
        </w:rPr>
        <w:t>.</w:t>
      </w:r>
      <w:r w:rsidRPr="00734AB6">
        <w:rPr>
          <w:rFonts w:asciiTheme="majorHAnsi" w:eastAsia="Calibri" w:hAnsiTheme="majorHAnsi" w:cs="Calibri"/>
        </w:rPr>
        <w:t>, Wang, M</w:t>
      </w:r>
      <w:r w:rsidR="00786593" w:rsidRPr="00734AB6">
        <w:rPr>
          <w:rFonts w:asciiTheme="majorHAnsi" w:eastAsia="Calibri" w:hAnsiTheme="majorHAnsi" w:cs="Calibri"/>
        </w:rPr>
        <w:t>.</w:t>
      </w:r>
      <w:r w:rsidRPr="00734AB6">
        <w:rPr>
          <w:rFonts w:asciiTheme="majorHAnsi" w:eastAsia="Calibri" w:hAnsiTheme="majorHAnsi" w:cs="Calibri"/>
        </w:rPr>
        <w:t>, Birnbaum, S</w:t>
      </w:r>
      <w:r w:rsidR="00786593" w:rsidRPr="00734AB6">
        <w:rPr>
          <w:rFonts w:asciiTheme="majorHAnsi" w:eastAsia="Calibri" w:hAnsiTheme="majorHAnsi" w:cs="Calibri"/>
        </w:rPr>
        <w:t xml:space="preserve">. </w:t>
      </w:r>
      <w:r w:rsidRPr="00734AB6">
        <w:rPr>
          <w:rFonts w:asciiTheme="majorHAnsi" w:eastAsia="Calibri" w:hAnsiTheme="majorHAnsi" w:cs="Calibri"/>
        </w:rPr>
        <w:t>G</w:t>
      </w:r>
      <w:r w:rsidR="00786593" w:rsidRPr="00734AB6">
        <w:rPr>
          <w:rFonts w:asciiTheme="majorHAnsi" w:eastAsia="Calibri" w:hAnsiTheme="majorHAnsi" w:cs="Calibri"/>
        </w:rPr>
        <w:t>.</w:t>
      </w:r>
      <w:r w:rsidRPr="00734AB6">
        <w:rPr>
          <w:rFonts w:asciiTheme="majorHAnsi" w:eastAsia="Calibri" w:hAnsiTheme="majorHAnsi" w:cs="Calibri"/>
        </w:rPr>
        <w:t>, Williams, G</w:t>
      </w:r>
      <w:r w:rsidR="00786593" w:rsidRPr="00734AB6">
        <w:rPr>
          <w:rFonts w:asciiTheme="majorHAnsi" w:eastAsia="Calibri" w:hAnsiTheme="majorHAnsi" w:cs="Calibri"/>
        </w:rPr>
        <w:t xml:space="preserve">. </w:t>
      </w:r>
      <w:r w:rsidRPr="00734AB6">
        <w:rPr>
          <w:rFonts w:asciiTheme="majorHAnsi" w:eastAsia="Calibri" w:hAnsiTheme="majorHAnsi" w:cs="Calibri"/>
        </w:rPr>
        <w:t>V</w:t>
      </w:r>
      <w:r w:rsidR="00786593" w:rsidRPr="00734AB6">
        <w:rPr>
          <w:rFonts w:asciiTheme="majorHAnsi" w:eastAsia="Calibri" w:hAnsiTheme="majorHAnsi" w:cs="Calibri"/>
        </w:rPr>
        <w:t>.</w:t>
      </w:r>
      <w:r w:rsidRPr="00734AB6">
        <w:rPr>
          <w:rFonts w:asciiTheme="majorHAnsi" w:eastAsia="Calibri" w:hAnsiTheme="majorHAnsi" w:cs="Calibri"/>
        </w:rPr>
        <w:t xml:space="preserve"> </w:t>
      </w:r>
      <w:r w:rsidR="00786593"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Arnsten</w:t>
      </w:r>
      <w:proofErr w:type="spellEnd"/>
      <w:r w:rsidRPr="00734AB6">
        <w:rPr>
          <w:rFonts w:asciiTheme="majorHAnsi" w:eastAsia="Calibri" w:hAnsiTheme="majorHAnsi" w:cs="Calibri"/>
        </w:rPr>
        <w:t>, A</w:t>
      </w:r>
      <w:r w:rsidR="00786593" w:rsidRPr="00734AB6">
        <w:rPr>
          <w:rFonts w:asciiTheme="majorHAnsi" w:eastAsia="Calibri" w:hAnsiTheme="majorHAnsi" w:cs="Calibri"/>
        </w:rPr>
        <w:t xml:space="preserve">. </w:t>
      </w:r>
      <w:r w:rsidRPr="00734AB6">
        <w:rPr>
          <w:rFonts w:asciiTheme="majorHAnsi" w:eastAsia="Calibri" w:hAnsiTheme="majorHAnsi" w:cs="Calibri"/>
        </w:rPr>
        <w:t>F</w:t>
      </w:r>
      <w:r w:rsidR="00786593" w:rsidRPr="00734AB6">
        <w:rPr>
          <w:rFonts w:asciiTheme="majorHAnsi" w:eastAsia="Calibri" w:hAnsiTheme="majorHAnsi" w:cs="Calibri"/>
        </w:rPr>
        <w:t>.</w:t>
      </w:r>
      <w:r w:rsidRPr="00734AB6">
        <w:rPr>
          <w:rFonts w:asciiTheme="majorHAnsi" w:eastAsia="Calibri" w:hAnsiTheme="majorHAnsi" w:cs="Calibri"/>
        </w:rPr>
        <w:t xml:space="preserve"> (2007) Inverted-U dopamine D1 receptor actions on prefrontal neurons engaged in working memory.  </w:t>
      </w:r>
      <w:r w:rsidRPr="00734AB6">
        <w:rPr>
          <w:rFonts w:asciiTheme="majorHAnsi" w:eastAsia="Calibri" w:hAnsiTheme="majorHAnsi" w:cs="Calibri"/>
          <w:i/>
        </w:rPr>
        <w:t>Nature Neuroscience,</w:t>
      </w:r>
      <w:r w:rsidRPr="00734AB6">
        <w:rPr>
          <w:rFonts w:asciiTheme="majorHAnsi" w:eastAsia="Calibri" w:hAnsiTheme="majorHAnsi" w:cs="Calibri"/>
        </w:rPr>
        <w:t xml:space="preserve"> </w:t>
      </w:r>
      <w:r w:rsidRPr="00734AB6">
        <w:rPr>
          <w:rFonts w:asciiTheme="majorHAnsi" w:eastAsia="Calibri" w:hAnsiTheme="majorHAnsi" w:cs="Calibri"/>
          <w:i/>
        </w:rPr>
        <w:t>10</w:t>
      </w:r>
      <w:r w:rsidRPr="00734AB6">
        <w:rPr>
          <w:rFonts w:asciiTheme="majorHAnsi" w:eastAsia="Calibri" w:hAnsiTheme="majorHAnsi" w:cs="Calibri"/>
        </w:rPr>
        <w:t>(3), 376-384.</w:t>
      </w:r>
    </w:p>
    <w:p w14:paraId="70CE6EAE" w14:textId="77777777"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Vitaterna</w:t>
      </w:r>
      <w:proofErr w:type="spellEnd"/>
      <w:r w:rsidRPr="00734AB6">
        <w:rPr>
          <w:rFonts w:asciiTheme="majorHAnsi" w:hAnsiTheme="majorHAnsi" w:cstheme="minorHAnsi"/>
          <w:shd w:val="clear" w:color="auto" w:fill="FFFFFF"/>
        </w:rPr>
        <w:t xml:space="preserve">, M. H., Takahashi, J. S., &amp; </w:t>
      </w:r>
      <w:proofErr w:type="spellStart"/>
      <w:r w:rsidRPr="00734AB6">
        <w:rPr>
          <w:rFonts w:asciiTheme="majorHAnsi" w:hAnsiTheme="majorHAnsi" w:cstheme="minorHAnsi"/>
          <w:shd w:val="clear" w:color="auto" w:fill="FFFFFF"/>
        </w:rPr>
        <w:t>Turek</w:t>
      </w:r>
      <w:proofErr w:type="spellEnd"/>
      <w:r w:rsidRPr="00734AB6">
        <w:rPr>
          <w:rFonts w:asciiTheme="majorHAnsi" w:hAnsiTheme="majorHAnsi" w:cstheme="minorHAnsi"/>
          <w:shd w:val="clear" w:color="auto" w:fill="FFFFFF"/>
        </w:rPr>
        <w:t xml:space="preserve">, F. W. (2001). Overview of circadian rhythms. </w:t>
      </w:r>
      <w:r w:rsidRPr="00734AB6">
        <w:rPr>
          <w:rFonts w:asciiTheme="majorHAnsi" w:hAnsiTheme="majorHAnsi" w:cstheme="minorHAnsi"/>
          <w:i/>
          <w:shd w:val="clear" w:color="auto" w:fill="FFFFFF"/>
        </w:rPr>
        <w:t>Alcohol Research and Health, 25</w:t>
      </w:r>
      <w:r w:rsidRPr="00734AB6">
        <w:rPr>
          <w:rFonts w:asciiTheme="majorHAnsi" w:hAnsiTheme="majorHAnsi" w:cstheme="minorHAnsi"/>
          <w:shd w:val="clear" w:color="auto" w:fill="FFFFFF"/>
        </w:rPr>
        <w:t>(2), 85-93.</w:t>
      </w:r>
    </w:p>
    <w:p w14:paraId="3A78FDE0" w14:textId="61C842D4"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Volkow, N. D., Fowler, J. S., Logan, J., </w:t>
      </w:r>
      <w:proofErr w:type="spellStart"/>
      <w:r w:rsidRPr="00734AB6">
        <w:rPr>
          <w:rFonts w:asciiTheme="majorHAnsi" w:hAnsiTheme="majorHAnsi" w:cstheme="minorHAnsi"/>
          <w:shd w:val="clear" w:color="auto" w:fill="FFFFFF"/>
        </w:rPr>
        <w:t>Alexoff</w:t>
      </w:r>
      <w:proofErr w:type="spellEnd"/>
      <w:r w:rsidRPr="00734AB6">
        <w:rPr>
          <w:rFonts w:asciiTheme="majorHAnsi" w:hAnsiTheme="majorHAnsi" w:cstheme="minorHAnsi"/>
          <w:shd w:val="clear" w:color="auto" w:fill="FFFFFF"/>
        </w:rPr>
        <w:t xml:space="preserve">, D., Zhu, W., </w:t>
      </w:r>
      <w:proofErr w:type="spellStart"/>
      <w:r w:rsidRPr="00734AB6">
        <w:rPr>
          <w:rFonts w:asciiTheme="majorHAnsi" w:hAnsiTheme="majorHAnsi" w:cstheme="minorHAnsi"/>
          <w:shd w:val="clear" w:color="auto" w:fill="FFFFFF"/>
        </w:rPr>
        <w:t>Telang</w:t>
      </w:r>
      <w:proofErr w:type="spellEnd"/>
      <w:r w:rsidRPr="00734AB6">
        <w:rPr>
          <w:rFonts w:asciiTheme="majorHAnsi" w:hAnsiTheme="majorHAnsi" w:cstheme="minorHAnsi"/>
          <w:shd w:val="clear" w:color="auto" w:fill="FFFFFF"/>
        </w:rPr>
        <w:t xml:space="preserve">, F., Wang, G.J., Jayne, M, Hooker, J.M., Wong, C., Hubbard, B., Carter, P., Warner, D., King, P., Shea, C., Xu, Y., Muench, L., &amp; </w:t>
      </w:r>
      <w:proofErr w:type="spellStart"/>
      <w:r w:rsidRPr="00734AB6">
        <w:rPr>
          <w:rFonts w:asciiTheme="majorHAnsi" w:hAnsiTheme="majorHAnsi" w:cstheme="minorHAnsi"/>
          <w:shd w:val="clear" w:color="auto" w:fill="FFFFFF"/>
        </w:rPr>
        <w:t>Apelskog</w:t>
      </w:r>
      <w:proofErr w:type="spellEnd"/>
      <w:r w:rsidRPr="00734AB6">
        <w:rPr>
          <w:rFonts w:asciiTheme="majorHAnsi" w:hAnsiTheme="majorHAnsi" w:cstheme="minorHAnsi"/>
          <w:shd w:val="clear" w:color="auto" w:fill="FFFFFF"/>
        </w:rPr>
        <w:t>-Torres, K. (2009). Effects of modafinil on dopamine and dopamine transporters in the male human brain: clinical implications.</w:t>
      </w:r>
      <w:r w:rsidRPr="00734AB6">
        <w:rPr>
          <w:rStyle w:val="apple-converted-space"/>
          <w:rFonts w:asciiTheme="majorHAnsi" w:hAnsiTheme="majorHAnsi" w:cstheme="minorHAnsi"/>
          <w:shd w:val="clear" w:color="auto" w:fill="FFFFFF"/>
        </w:rPr>
        <w:t> </w:t>
      </w:r>
      <w:r w:rsidR="00726E66" w:rsidRPr="00734AB6">
        <w:rPr>
          <w:rFonts w:asciiTheme="majorHAnsi" w:hAnsiTheme="majorHAnsi" w:cstheme="minorHAnsi"/>
          <w:i/>
          <w:iCs/>
          <w:shd w:val="clear" w:color="auto" w:fill="FFFFFF"/>
        </w:rPr>
        <w:t>JAMA</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301</w:t>
      </w:r>
      <w:r w:rsidRPr="00734AB6">
        <w:rPr>
          <w:rFonts w:asciiTheme="majorHAnsi" w:hAnsiTheme="majorHAnsi" w:cstheme="minorHAnsi"/>
          <w:shd w:val="clear" w:color="auto" w:fill="FFFFFF"/>
        </w:rPr>
        <w:t>(11), 1148-1154.</w:t>
      </w:r>
    </w:p>
    <w:p w14:paraId="4EB04D2C"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 xml:space="preserve">Volkow, N. D., Fowler, J. S., Wang, G. J., </w:t>
      </w:r>
      <w:proofErr w:type="spellStart"/>
      <w:r w:rsidRPr="00734AB6">
        <w:rPr>
          <w:rFonts w:asciiTheme="majorHAnsi" w:hAnsiTheme="majorHAnsi" w:cstheme="minorHAnsi"/>
          <w:shd w:val="clear" w:color="auto" w:fill="FFFFFF"/>
        </w:rPr>
        <w:t>Telang</w:t>
      </w:r>
      <w:proofErr w:type="spellEnd"/>
      <w:r w:rsidRPr="00734AB6">
        <w:rPr>
          <w:rFonts w:asciiTheme="majorHAnsi" w:hAnsiTheme="majorHAnsi" w:cstheme="minorHAnsi"/>
          <w:shd w:val="clear" w:color="auto" w:fill="FFFFFF"/>
        </w:rPr>
        <w:t>, F., Logan, J., Wong, C., ... &amp; Swanson, J. M. (2008). Methylphenidate decreased the amount of glucose needed by the brain to perform a cognitive task. </w:t>
      </w:r>
      <w:proofErr w:type="spellStart"/>
      <w:r w:rsidRPr="00734AB6">
        <w:rPr>
          <w:rFonts w:asciiTheme="majorHAnsi" w:hAnsiTheme="majorHAnsi" w:cstheme="minorHAnsi"/>
          <w:i/>
          <w:iCs/>
          <w:shd w:val="clear" w:color="auto" w:fill="FFFFFF"/>
        </w:rPr>
        <w:t>PLoS</w:t>
      </w:r>
      <w:proofErr w:type="spellEnd"/>
      <w:r w:rsidRPr="00734AB6">
        <w:rPr>
          <w:rFonts w:asciiTheme="majorHAnsi" w:hAnsiTheme="majorHAnsi" w:cstheme="minorHAnsi"/>
          <w:i/>
          <w:iCs/>
          <w:shd w:val="clear" w:color="auto" w:fill="FFFFFF"/>
        </w:rPr>
        <w:t xml:space="preserve"> One</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3</w:t>
      </w:r>
      <w:r w:rsidRPr="00734AB6">
        <w:rPr>
          <w:rFonts w:asciiTheme="majorHAnsi" w:hAnsiTheme="majorHAnsi" w:cstheme="minorHAnsi"/>
          <w:shd w:val="clear" w:color="auto" w:fill="FFFFFF"/>
        </w:rPr>
        <w:t>(4).</w:t>
      </w:r>
    </w:p>
    <w:p w14:paraId="5C8D5FCF" w14:textId="77777777" w:rsidR="004676EF" w:rsidRPr="00734AB6" w:rsidRDefault="004676EF"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t>Volkow, N. D., &amp; Swanson, J. M. (2003). Variables that affect the clinical use and abuse of methylphenidate in the treatment of ADHD.</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American Journal of Psychiatry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160</w:t>
      </w:r>
      <w:r w:rsidRPr="00734AB6">
        <w:rPr>
          <w:rFonts w:asciiTheme="majorHAnsi" w:hAnsiTheme="majorHAnsi" w:cstheme="minorHAnsi"/>
          <w:shd w:val="clear" w:color="auto" w:fill="FFFFFF"/>
        </w:rPr>
        <w:t>(11), 1909-1918.</w:t>
      </w:r>
    </w:p>
    <w:p w14:paraId="36A16556"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Vyvanse. (n.d.). Vyvanse datasheet.  Retrieved from https://www.accessdata.fda.gov/drugsatfda_docs/label/2007/021977lbl.pdf.</w:t>
      </w:r>
    </w:p>
    <w:p w14:paraId="0A7B3671" w14:textId="7E17355F" w:rsidR="00D11BBB" w:rsidRPr="00734AB6" w:rsidRDefault="00D11BBB"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Wallace, J. C. (2004). Confirmatory factor analysis of the cognitive failures questionnaire: evidence for dimensionality and construct validity. </w:t>
      </w:r>
      <w:r w:rsidRPr="00734AB6">
        <w:rPr>
          <w:rFonts w:asciiTheme="majorHAnsi" w:hAnsiTheme="majorHAnsi" w:cs="Arial"/>
          <w:i/>
          <w:iCs/>
          <w:shd w:val="clear" w:color="auto" w:fill="FFFFFF"/>
        </w:rPr>
        <w:t>Personality and Individual Differences</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37</w:t>
      </w:r>
      <w:r w:rsidRPr="00734AB6">
        <w:rPr>
          <w:rFonts w:asciiTheme="majorHAnsi" w:hAnsiTheme="majorHAnsi" w:cs="Arial"/>
          <w:shd w:val="clear" w:color="auto" w:fill="FFFFFF"/>
        </w:rPr>
        <w:t>(2), 307-324.</w:t>
      </w:r>
    </w:p>
    <w:p w14:paraId="68B9659D" w14:textId="78F4C266"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Wallace, J. C., </w:t>
      </w:r>
      <w:proofErr w:type="spellStart"/>
      <w:r w:rsidRPr="00734AB6">
        <w:rPr>
          <w:rFonts w:asciiTheme="majorHAnsi" w:hAnsiTheme="majorHAnsi" w:cs="Arial"/>
          <w:shd w:val="clear" w:color="auto" w:fill="FFFFFF"/>
        </w:rPr>
        <w:t>Kass</w:t>
      </w:r>
      <w:proofErr w:type="spellEnd"/>
      <w:r w:rsidRPr="00734AB6">
        <w:rPr>
          <w:rFonts w:asciiTheme="majorHAnsi" w:hAnsiTheme="majorHAnsi" w:cs="Arial"/>
          <w:shd w:val="clear" w:color="auto" w:fill="FFFFFF"/>
        </w:rPr>
        <w:t xml:space="preserve">, S. J., &amp; </w:t>
      </w:r>
      <w:proofErr w:type="spellStart"/>
      <w:r w:rsidRPr="00734AB6">
        <w:rPr>
          <w:rFonts w:asciiTheme="majorHAnsi" w:hAnsiTheme="majorHAnsi" w:cs="Arial"/>
          <w:shd w:val="clear" w:color="auto" w:fill="FFFFFF"/>
        </w:rPr>
        <w:t>Stanny</w:t>
      </w:r>
      <w:proofErr w:type="spellEnd"/>
      <w:r w:rsidRPr="00734AB6">
        <w:rPr>
          <w:rFonts w:asciiTheme="majorHAnsi" w:hAnsiTheme="majorHAnsi" w:cs="Arial"/>
          <w:shd w:val="clear" w:color="auto" w:fill="FFFFFF"/>
        </w:rPr>
        <w:t>, C. J. (2002). The cognitive failures questionnaire revisited: dimensions and correlates. </w:t>
      </w:r>
      <w:r w:rsidRPr="00734AB6">
        <w:rPr>
          <w:rFonts w:asciiTheme="majorHAnsi" w:hAnsiTheme="majorHAnsi" w:cs="Arial"/>
          <w:i/>
          <w:iCs/>
          <w:shd w:val="clear" w:color="auto" w:fill="FFFFFF"/>
        </w:rPr>
        <w:t xml:space="preserve">The Journal of </w:t>
      </w:r>
      <w:r w:rsidR="00726E66" w:rsidRPr="00734AB6">
        <w:rPr>
          <w:rFonts w:asciiTheme="majorHAnsi" w:hAnsiTheme="majorHAnsi" w:cs="Arial"/>
          <w:i/>
          <w:iCs/>
          <w:shd w:val="clear" w:color="auto" w:fill="FFFFFF"/>
        </w:rPr>
        <w:t>General Psychology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129</w:t>
      </w:r>
      <w:r w:rsidRPr="00734AB6">
        <w:rPr>
          <w:rFonts w:asciiTheme="majorHAnsi" w:hAnsiTheme="majorHAnsi" w:cs="Arial"/>
          <w:shd w:val="clear" w:color="auto" w:fill="FFFFFF"/>
        </w:rPr>
        <w:t>(3), 238-256.</w:t>
      </w:r>
    </w:p>
    <w:p w14:paraId="2B7C1BEB"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Wallace, J. C., &amp; Vodanovich, S. J. (2003). Can accidents and industrial mishaps be predicted? Further investigation into the relationship between cognitive failure and reports of accidents. </w:t>
      </w:r>
      <w:r w:rsidRPr="00734AB6">
        <w:rPr>
          <w:rFonts w:asciiTheme="majorHAnsi" w:hAnsiTheme="majorHAnsi" w:cs="Arial"/>
          <w:i/>
          <w:iCs/>
          <w:shd w:val="clear" w:color="auto" w:fill="FFFFFF"/>
        </w:rPr>
        <w:t>Journal of Business and Psychology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17</w:t>
      </w:r>
      <w:r w:rsidRPr="00734AB6">
        <w:rPr>
          <w:rFonts w:asciiTheme="majorHAnsi" w:hAnsiTheme="majorHAnsi" w:cs="Arial"/>
          <w:shd w:val="clear" w:color="auto" w:fill="FFFFFF"/>
        </w:rPr>
        <w:t>(4), 503-514.</w:t>
      </w:r>
    </w:p>
    <w:p w14:paraId="1F89F5A0" w14:textId="0CF076E3" w:rsidR="002519DB" w:rsidRPr="00734AB6" w:rsidRDefault="002519DB" w:rsidP="00D06771">
      <w:pPr>
        <w:spacing w:line="360" w:lineRule="auto"/>
        <w:ind w:left="720" w:hanging="720"/>
        <w:rPr>
          <w:rFonts w:asciiTheme="majorHAnsi" w:hAnsiTheme="majorHAnsi" w:cstheme="minorHAnsi"/>
        </w:rPr>
      </w:pPr>
      <w:r w:rsidRPr="00734AB6">
        <w:rPr>
          <w:rFonts w:asciiTheme="majorHAnsi" w:hAnsiTheme="majorHAnsi" w:cstheme="minorHAnsi"/>
        </w:rPr>
        <w:t>Wang, X., Wang, Y., Xin, H., Liu, Y., Wang, Y., Zheng, H., Jiang, Z., Wan, C., Wang, Z. &amp; Ding, J. M. (2006). Altered expression of circadian clock gene, mPer1, in mouse brain and kidney under morphine dependence and withdrawal. </w:t>
      </w:r>
      <w:r w:rsidRPr="00734AB6">
        <w:rPr>
          <w:rFonts w:asciiTheme="majorHAnsi" w:hAnsiTheme="majorHAnsi" w:cstheme="minorHAnsi"/>
          <w:i/>
        </w:rPr>
        <w:t xml:space="preserve">Journal of </w:t>
      </w:r>
      <w:r w:rsidR="00726E66" w:rsidRPr="00734AB6">
        <w:rPr>
          <w:rFonts w:asciiTheme="majorHAnsi" w:hAnsiTheme="majorHAnsi" w:cstheme="minorHAnsi"/>
          <w:i/>
        </w:rPr>
        <w:t>Circadian Rhythms</w:t>
      </w:r>
      <w:r w:rsidRPr="00734AB6">
        <w:rPr>
          <w:rFonts w:asciiTheme="majorHAnsi" w:hAnsiTheme="majorHAnsi" w:cstheme="minorHAnsi"/>
          <w:i/>
        </w:rPr>
        <w:t>, 4</w:t>
      </w:r>
      <w:r w:rsidRPr="00734AB6">
        <w:rPr>
          <w:rFonts w:asciiTheme="majorHAnsi" w:hAnsiTheme="majorHAnsi" w:cstheme="minorHAnsi"/>
        </w:rPr>
        <w:t>(1), 9.</w:t>
      </w:r>
    </w:p>
    <w:p w14:paraId="13229026"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lastRenderedPageBreak/>
        <w:t xml:space="preserve">Ware Jr, J.E. (2000). SF-36 health survey update. </w:t>
      </w:r>
      <w:r w:rsidRPr="00734AB6">
        <w:rPr>
          <w:rFonts w:asciiTheme="majorHAnsi" w:hAnsiTheme="majorHAnsi" w:cs="Arial"/>
          <w:i/>
          <w:shd w:val="clear" w:color="auto" w:fill="FFFFFF"/>
        </w:rPr>
        <w:t>Spine, 25</w:t>
      </w:r>
      <w:r w:rsidRPr="00734AB6">
        <w:rPr>
          <w:rFonts w:asciiTheme="majorHAnsi" w:hAnsiTheme="majorHAnsi" w:cs="Arial"/>
          <w:shd w:val="clear" w:color="auto" w:fill="FFFFFF"/>
        </w:rPr>
        <w:t>(24), 3130-3139.</w:t>
      </w:r>
    </w:p>
    <w:p w14:paraId="3000C206" w14:textId="77777777" w:rsidR="004676EF" w:rsidRPr="00734AB6" w:rsidRDefault="004676EF" w:rsidP="00D06771">
      <w:pPr>
        <w:spacing w:line="360" w:lineRule="auto"/>
        <w:ind w:left="720" w:hanging="720"/>
        <w:rPr>
          <w:rFonts w:asciiTheme="majorHAnsi" w:hAnsiTheme="majorHAnsi" w:cs="Arial"/>
          <w:shd w:val="clear" w:color="auto" w:fill="FFFFFF"/>
        </w:rPr>
      </w:pPr>
      <w:r w:rsidRPr="00734AB6">
        <w:rPr>
          <w:rFonts w:asciiTheme="majorHAnsi" w:hAnsiTheme="majorHAnsi" w:cs="Arial"/>
          <w:shd w:val="clear" w:color="auto" w:fill="FFFFFF"/>
        </w:rPr>
        <w:t xml:space="preserve">Weaver, T.E., </w:t>
      </w:r>
      <w:proofErr w:type="spellStart"/>
      <w:r w:rsidRPr="00734AB6">
        <w:rPr>
          <w:rFonts w:asciiTheme="majorHAnsi" w:hAnsiTheme="majorHAnsi" w:cs="Arial"/>
          <w:shd w:val="clear" w:color="auto" w:fill="FFFFFF"/>
        </w:rPr>
        <w:t>Laizner</w:t>
      </w:r>
      <w:proofErr w:type="spellEnd"/>
      <w:r w:rsidRPr="00734AB6">
        <w:rPr>
          <w:rFonts w:asciiTheme="majorHAnsi" w:hAnsiTheme="majorHAnsi" w:cs="Arial"/>
          <w:shd w:val="clear" w:color="auto" w:fill="FFFFFF"/>
        </w:rPr>
        <w:t xml:space="preserve">, A.M., Evans, L.K., </w:t>
      </w:r>
      <w:proofErr w:type="spellStart"/>
      <w:r w:rsidRPr="00734AB6">
        <w:rPr>
          <w:rFonts w:asciiTheme="majorHAnsi" w:hAnsiTheme="majorHAnsi" w:cs="Arial"/>
          <w:shd w:val="clear" w:color="auto" w:fill="FFFFFF"/>
        </w:rPr>
        <w:t>Maislin</w:t>
      </w:r>
      <w:proofErr w:type="spellEnd"/>
      <w:r w:rsidRPr="00734AB6">
        <w:rPr>
          <w:rFonts w:asciiTheme="majorHAnsi" w:hAnsiTheme="majorHAnsi" w:cs="Arial"/>
          <w:shd w:val="clear" w:color="auto" w:fill="FFFFFF"/>
        </w:rPr>
        <w:t xml:space="preserve">, G., </w:t>
      </w:r>
      <w:proofErr w:type="spellStart"/>
      <w:r w:rsidRPr="00734AB6">
        <w:rPr>
          <w:rFonts w:asciiTheme="majorHAnsi" w:hAnsiTheme="majorHAnsi" w:cs="Arial"/>
          <w:shd w:val="clear" w:color="auto" w:fill="FFFFFF"/>
        </w:rPr>
        <w:t>Chugh</w:t>
      </w:r>
      <w:proofErr w:type="spellEnd"/>
      <w:r w:rsidRPr="00734AB6">
        <w:rPr>
          <w:rFonts w:asciiTheme="majorHAnsi" w:hAnsiTheme="majorHAnsi" w:cs="Arial"/>
          <w:shd w:val="clear" w:color="auto" w:fill="FFFFFF"/>
        </w:rPr>
        <w:t xml:space="preserve">, D.K., Lyon, K., … &amp; </w:t>
      </w:r>
      <w:proofErr w:type="spellStart"/>
      <w:r w:rsidRPr="00734AB6">
        <w:rPr>
          <w:rFonts w:asciiTheme="majorHAnsi" w:hAnsiTheme="majorHAnsi" w:cs="Arial"/>
          <w:shd w:val="clear" w:color="auto" w:fill="FFFFFF"/>
        </w:rPr>
        <w:t>Dinges</w:t>
      </w:r>
      <w:proofErr w:type="spellEnd"/>
      <w:r w:rsidRPr="00734AB6">
        <w:rPr>
          <w:rFonts w:asciiTheme="majorHAnsi" w:hAnsiTheme="majorHAnsi" w:cs="Arial"/>
          <w:shd w:val="clear" w:color="auto" w:fill="FFFFFF"/>
        </w:rPr>
        <w:t xml:space="preserve">, D.E. (1997). An instrument to measure functional status outcomes for disorders of excessive sleepiness. </w:t>
      </w:r>
      <w:r w:rsidRPr="00734AB6">
        <w:rPr>
          <w:rFonts w:asciiTheme="majorHAnsi" w:hAnsiTheme="majorHAnsi" w:cs="Arial"/>
          <w:i/>
          <w:shd w:val="clear" w:color="auto" w:fill="FFFFFF"/>
        </w:rPr>
        <w:t>Sleep, 20</w:t>
      </w:r>
      <w:r w:rsidRPr="00734AB6">
        <w:rPr>
          <w:rFonts w:asciiTheme="majorHAnsi" w:hAnsiTheme="majorHAnsi" w:cs="Arial"/>
          <w:shd w:val="clear" w:color="auto" w:fill="FFFFFF"/>
        </w:rPr>
        <w:t>(10), 835-843.</w:t>
      </w:r>
    </w:p>
    <w:p w14:paraId="33456529" w14:textId="77777777" w:rsidR="00C15975" w:rsidRPr="00734AB6" w:rsidRDefault="00C15975" w:rsidP="00C15975">
      <w:pPr>
        <w:spacing w:line="360" w:lineRule="auto"/>
        <w:ind w:left="851" w:hanging="851"/>
        <w:rPr>
          <w:rFonts w:asciiTheme="majorHAnsi" w:hAnsiTheme="majorHAnsi"/>
        </w:rPr>
      </w:pPr>
      <w:proofErr w:type="spellStart"/>
      <w:r w:rsidRPr="00734AB6">
        <w:rPr>
          <w:rFonts w:asciiTheme="majorHAnsi" w:hAnsiTheme="majorHAnsi"/>
        </w:rPr>
        <w:t>Weigold</w:t>
      </w:r>
      <w:proofErr w:type="spellEnd"/>
      <w:r w:rsidRPr="00734AB6">
        <w:rPr>
          <w:rFonts w:asciiTheme="majorHAnsi" w:hAnsiTheme="majorHAnsi"/>
        </w:rPr>
        <w:t xml:space="preserve">, A., </w:t>
      </w:r>
      <w:proofErr w:type="spellStart"/>
      <w:r w:rsidRPr="00734AB6">
        <w:rPr>
          <w:rFonts w:asciiTheme="majorHAnsi" w:hAnsiTheme="majorHAnsi"/>
        </w:rPr>
        <w:t>Weigold</w:t>
      </w:r>
      <w:proofErr w:type="spellEnd"/>
      <w:r w:rsidRPr="00734AB6">
        <w:rPr>
          <w:rFonts w:asciiTheme="majorHAnsi" w:hAnsiTheme="majorHAnsi"/>
        </w:rPr>
        <w:t>, I. K., &amp; Russell, E. J. (2013). Examination of the equivalence of self-report survey-based paper-and-pencil and internet data collection methods. </w:t>
      </w:r>
      <w:r w:rsidRPr="00734AB6">
        <w:rPr>
          <w:rFonts w:asciiTheme="majorHAnsi" w:hAnsiTheme="majorHAnsi"/>
          <w:i/>
          <w:iCs/>
        </w:rPr>
        <w:t>Psychological Methods</w:t>
      </w:r>
      <w:r w:rsidRPr="00734AB6">
        <w:rPr>
          <w:rFonts w:asciiTheme="majorHAnsi" w:hAnsiTheme="majorHAnsi"/>
        </w:rPr>
        <w:t>, </w:t>
      </w:r>
      <w:r w:rsidRPr="00734AB6">
        <w:rPr>
          <w:rFonts w:asciiTheme="majorHAnsi" w:hAnsiTheme="majorHAnsi"/>
          <w:i/>
          <w:iCs/>
        </w:rPr>
        <w:t>18</w:t>
      </w:r>
      <w:r w:rsidRPr="00734AB6">
        <w:rPr>
          <w:rFonts w:asciiTheme="majorHAnsi" w:hAnsiTheme="majorHAnsi"/>
        </w:rPr>
        <w:t>(1), 53.</w:t>
      </w:r>
    </w:p>
    <w:p w14:paraId="28201DD9" w14:textId="77777777" w:rsidR="004676EF" w:rsidRPr="00734AB6" w:rsidRDefault="004676EF" w:rsidP="00D06771">
      <w:pPr>
        <w:spacing w:line="360" w:lineRule="auto"/>
        <w:ind w:left="720" w:hanging="720"/>
        <w:rPr>
          <w:rFonts w:asciiTheme="majorHAnsi" w:hAnsiTheme="majorHAnsi" w:cs="Arial"/>
          <w:shd w:val="clear" w:color="auto" w:fill="FFFFFF"/>
        </w:rPr>
      </w:pPr>
      <w:proofErr w:type="spellStart"/>
      <w:r w:rsidRPr="00734AB6">
        <w:rPr>
          <w:rFonts w:asciiTheme="majorHAnsi" w:hAnsiTheme="majorHAnsi" w:cs="Arial"/>
          <w:shd w:val="clear" w:color="auto" w:fill="FFFFFF"/>
        </w:rPr>
        <w:t>Wesensten</w:t>
      </w:r>
      <w:proofErr w:type="spellEnd"/>
      <w:r w:rsidRPr="00734AB6">
        <w:rPr>
          <w:rFonts w:asciiTheme="majorHAnsi" w:hAnsiTheme="majorHAnsi" w:cs="Arial"/>
          <w:shd w:val="clear" w:color="auto" w:fill="FFFFFF"/>
        </w:rPr>
        <w:t xml:space="preserve">, N., </w:t>
      </w:r>
      <w:proofErr w:type="spellStart"/>
      <w:r w:rsidRPr="00734AB6">
        <w:rPr>
          <w:rFonts w:asciiTheme="majorHAnsi" w:hAnsiTheme="majorHAnsi" w:cs="Arial"/>
          <w:shd w:val="clear" w:color="auto" w:fill="FFFFFF"/>
        </w:rPr>
        <w:t>Belenky</w:t>
      </w:r>
      <w:proofErr w:type="spellEnd"/>
      <w:r w:rsidRPr="00734AB6">
        <w:rPr>
          <w:rFonts w:asciiTheme="majorHAnsi" w:hAnsiTheme="majorHAnsi" w:cs="Arial"/>
          <w:shd w:val="clear" w:color="auto" w:fill="FFFFFF"/>
        </w:rPr>
        <w:t xml:space="preserve">, G., Kautz, M. A., Thorne, D. R., Reichardt, R. M., &amp; </w:t>
      </w:r>
      <w:proofErr w:type="spellStart"/>
      <w:r w:rsidRPr="00734AB6">
        <w:rPr>
          <w:rFonts w:asciiTheme="majorHAnsi" w:hAnsiTheme="majorHAnsi" w:cs="Arial"/>
          <w:shd w:val="clear" w:color="auto" w:fill="FFFFFF"/>
        </w:rPr>
        <w:t>Balkin</w:t>
      </w:r>
      <w:proofErr w:type="spellEnd"/>
      <w:r w:rsidRPr="00734AB6">
        <w:rPr>
          <w:rFonts w:asciiTheme="majorHAnsi" w:hAnsiTheme="majorHAnsi" w:cs="Arial"/>
          <w:shd w:val="clear" w:color="auto" w:fill="FFFFFF"/>
        </w:rPr>
        <w:t xml:space="preserve">, T. J. (2002). Maintaining alertness and performance during sleep deprivation: modafinil versus caffeine. </w:t>
      </w:r>
      <w:r w:rsidRPr="00734AB6">
        <w:rPr>
          <w:rFonts w:asciiTheme="majorHAnsi" w:hAnsiTheme="majorHAnsi" w:cs="Arial"/>
          <w:i/>
          <w:shd w:val="clear" w:color="auto" w:fill="FFFFFF"/>
        </w:rPr>
        <w:t>Psychopharmacology, 159</w:t>
      </w:r>
      <w:r w:rsidRPr="00734AB6">
        <w:rPr>
          <w:rFonts w:asciiTheme="majorHAnsi" w:hAnsiTheme="majorHAnsi" w:cs="Arial"/>
          <w:shd w:val="clear" w:color="auto" w:fill="FFFFFF"/>
        </w:rPr>
        <w:t>(3), 238-247.</w:t>
      </w:r>
    </w:p>
    <w:p w14:paraId="7325D41D" w14:textId="77777777" w:rsidR="004676EF" w:rsidRPr="00734AB6" w:rsidRDefault="004676EF" w:rsidP="00D06771">
      <w:pPr>
        <w:spacing w:line="360" w:lineRule="auto"/>
        <w:ind w:left="720" w:hanging="720"/>
        <w:rPr>
          <w:rFonts w:asciiTheme="majorHAnsi" w:hAnsiTheme="majorHAnsi" w:cs="Arial"/>
          <w:shd w:val="clear" w:color="auto" w:fill="FFFFFF"/>
        </w:rPr>
      </w:pPr>
      <w:proofErr w:type="spellStart"/>
      <w:r w:rsidRPr="00734AB6">
        <w:rPr>
          <w:rFonts w:asciiTheme="majorHAnsi" w:hAnsiTheme="majorHAnsi" w:cs="Arial"/>
          <w:shd w:val="clear" w:color="auto" w:fill="FFFFFF"/>
        </w:rPr>
        <w:t>Weyandt</w:t>
      </w:r>
      <w:proofErr w:type="spellEnd"/>
      <w:r w:rsidRPr="00734AB6">
        <w:rPr>
          <w:rFonts w:asciiTheme="majorHAnsi" w:hAnsiTheme="majorHAnsi" w:cs="Arial"/>
          <w:shd w:val="clear" w:color="auto" w:fill="FFFFFF"/>
        </w:rPr>
        <w:t xml:space="preserve">, L., </w:t>
      </w:r>
      <w:proofErr w:type="spellStart"/>
      <w:r w:rsidRPr="00734AB6">
        <w:rPr>
          <w:rFonts w:asciiTheme="majorHAnsi" w:hAnsiTheme="majorHAnsi" w:cs="Arial"/>
          <w:shd w:val="clear" w:color="auto" w:fill="FFFFFF"/>
        </w:rPr>
        <w:t>DuPaul</w:t>
      </w:r>
      <w:proofErr w:type="spellEnd"/>
      <w:r w:rsidRPr="00734AB6">
        <w:rPr>
          <w:rFonts w:asciiTheme="majorHAnsi" w:hAnsiTheme="majorHAnsi" w:cs="Arial"/>
          <w:shd w:val="clear" w:color="auto" w:fill="FFFFFF"/>
        </w:rPr>
        <w:t xml:space="preserve">, G. J., Verdi, G., Rossi, J. S., </w:t>
      </w:r>
      <w:proofErr w:type="spellStart"/>
      <w:r w:rsidRPr="00734AB6">
        <w:rPr>
          <w:rFonts w:asciiTheme="majorHAnsi" w:hAnsiTheme="majorHAnsi" w:cs="Arial"/>
          <w:shd w:val="clear" w:color="auto" w:fill="FFFFFF"/>
        </w:rPr>
        <w:t>Swentosky</w:t>
      </w:r>
      <w:proofErr w:type="spellEnd"/>
      <w:r w:rsidRPr="00734AB6">
        <w:rPr>
          <w:rFonts w:asciiTheme="majorHAnsi" w:hAnsiTheme="majorHAnsi" w:cs="Arial"/>
          <w:shd w:val="clear" w:color="auto" w:fill="FFFFFF"/>
        </w:rPr>
        <w:t xml:space="preserve">, A. J., </w:t>
      </w:r>
      <w:proofErr w:type="spellStart"/>
      <w:r w:rsidRPr="00734AB6">
        <w:rPr>
          <w:rFonts w:asciiTheme="majorHAnsi" w:hAnsiTheme="majorHAnsi" w:cs="Arial"/>
          <w:shd w:val="clear" w:color="auto" w:fill="FFFFFF"/>
        </w:rPr>
        <w:t>Vilardo</w:t>
      </w:r>
      <w:proofErr w:type="spellEnd"/>
      <w:r w:rsidRPr="00734AB6">
        <w:rPr>
          <w:rFonts w:asciiTheme="majorHAnsi" w:hAnsiTheme="majorHAnsi" w:cs="Arial"/>
          <w:shd w:val="clear" w:color="auto" w:fill="FFFFFF"/>
        </w:rPr>
        <w:t>, B. S., ... &amp; Carson, K. S. (2013). The performance of college students with and without ADHD: Neuropsychological, academic, and psychosocial functioning. </w:t>
      </w:r>
      <w:r w:rsidRPr="00734AB6">
        <w:rPr>
          <w:rFonts w:asciiTheme="majorHAnsi" w:hAnsiTheme="majorHAnsi" w:cs="Arial"/>
          <w:i/>
          <w:iCs/>
          <w:shd w:val="clear" w:color="auto" w:fill="FFFFFF"/>
        </w:rPr>
        <w:t xml:space="preserve">Journal of Psychopathology and </w:t>
      </w:r>
      <w:proofErr w:type="spellStart"/>
      <w:r w:rsidRPr="00734AB6">
        <w:rPr>
          <w:rFonts w:asciiTheme="majorHAnsi" w:hAnsiTheme="majorHAnsi" w:cs="Arial"/>
          <w:i/>
          <w:iCs/>
          <w:shd w:val="clear" w:color="auto" w:fill="FFFFFF"/>
        </w:rPr>
        <w:t>Behavioral</w:t>
      </w:r>
      <w:proofErr w:type="spellEnd"/>
      <w:r w:rsidRPr="00734AB6">
        <w:rPr>
          <w:rFonts w:asciiTheme="majorHAnsi" w:hAnsiTheme="majorHAnsi" w:cs="Arial"/>
          <w:i/>
          <w:iCs/>
          <w:shd w:val="clear" w:color="auto" w:fill="FFFFFF"/>
        </w:rPr>
        <w:t xml:space="preserve"> Assessment</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35</w:t>
      </w:r>
      <w:r w:rsidRPr="00734AB6">
        <w:rPr>
          <w:rFonts w:asciiTheme="majorHAnsi" w:hAnsiTheme="majorHAnsi" w:cs="Arial"/>
          <w:shd w:val="clear" w:color="auto" w:fill="FFFFFF"/>
        </w:rPr>
        <w:t>(4), 421-435.</w:t>
      </w:r>
    </w:p>
    <w:p w14:paraId="0D4744EA" w14:textId="2554E3AE" w:rsidR="004676EF" w:rsidRPr="00734AB6" w:rsidRDefault="004676EF" w:rsidP="00D06771">
      <w:pPr>
        <w:spacing w:line="360" w:lineRule="auto"/>
        <w:ind w:left="720" w:hanging="720"/>
        <w:rPr>
          <w:rFonts w:asciiTheme="majorHAnsi" w:hAnsiTheme="majorHAnsi" w:cs="Arial"/>
          <w:shd w:val="clear" w:color="auto" w:fill="FFFFFF"/>
        </w:rPr>
      </w:pPr>
      <w:proofErr w:type="spellStart"/>
      <w:r w:rsidRPr="00734AB6">
        <w:rPr>
          <w:rFonts w:asciiTheme="majorHAnsi" w:hAnsiTheme="majorHAnsi" w:cs="Arial"/>
          <w:shd w:val="clear" w:color="auto" w:fill="FFFFFF"/>
        </w:rPr>
        <w:t>Weyandt</w:t>
      </w:r>
      <w:proofErr w:type="spellEnd"/>
      <w:r w:rsidRPr="00734AB6">
        <w:rPr>
          <w:rFonts w:asciiTheme="majorHAnsi" w:hAnsiTheme="majorHAnsi" w:cs="Arial"/>
          <w:shd w:val="clear" w:color="auto" w:fill="FFFFFF"/>
        </w:rPr>
        <w:t xml:space="preserve">, L. L., Rice, J. A., </w:t>
      </w:r>
      <w:proofErr w:type="spellStart"/>
      <w:r w:rsidRPr="00734AB6">
        <w:rPr>
          <w:rFonts w:asciiTheme="majorHAnsi" w:hAnsiTheme="majorHAnsi" w:cs="Arial"/>
          <w:shd w:val="clear" w:color="auto" w:fill="FFFFFF"/>
        </w:rPr>
        <w:t>Linterman</w:t>
      </w:r>
      <w:proofErr w:type="spellEnd"/>
      <w:r w:rsidRPr="00734AB6">
        <w:rPr>
          <w:rFonts w:asciiTheme="majorHAnsi" w:hAnsiTheme="majorHAnsi" w:cs="Arial"/>
          <w:shd w:val="clear" w:color="auto" w:fill="FFFFFF"/>
        </w:rPr>
        <w:t xml:space="preserve">, I., </w:t>
      </w:r>
      <w:proofErr w:type="spellStart"/>
      <w:r w:rsidRPr="00734AB6">
        <w:rPr>
          <w:rFonts w:asciiTheme="majorHAnsi" w:hAnsiTheme="majorHAnsi" w:cs="Arial"/>
          <w:shd w:val="clear" w:color="auto" w:fill="FFFFFF"/>
        </w:rPr>
        <w:t>Mitzlaff</w:t>
      </w:r>
      <w:proofErr w:type="spellEnd"/>
      <w:r w:rsidRPr="00734AB6">
        <w:rPr>
          <w:rFonts w:asciiTheme="majorHAnsi" w:hAnsiTheme="majorHAnsi" w:cs="Arial"/>
          <w:shd w:val="clear" w:color="auto" w:fill="FFFFFF"/>
        </w:rPr>
        <w:t xml:space="preserve">, L., &amp; </w:t>
      </w:r>
      <w:proofErr w:type="spellStart"/>
      <w:r w:rsidRPr="00734AB6">
        <w:rPr>
          <w:rFonts w:asciiTheme="majorHAnsi" w:hAnsiTheme="majorHAnsi" w:cs="Arial"/>
          <w:shd w:val="clear" w:color="auto" w:fill="FFFFFF"/>
        </w:rPr>
        <w:t>Emert</w:t>
      </w:r>
      <w:proofErr w:type="spellEnd"/>
      <w:r w:rsidRPr="00734AB6">
        <w:rPr>
          <w:rFonts w:asciiTheme="majorHAnsi" w:hAnsiTheme="majorHAnsi" w:cs="Arial"/>
          <w:shd w:val="clear" w:color="auto" w:fill="FFFFFF"/>
        </w:rPr>
        <w:t>, E. (1998). Neuropsychological performance of a sample of adults with ADHD, developmental reading disorder, and controls. </w:t>
      </w:r>
      <w:r w:rsidR="00726E66" w:rsidRPr="00734AB6">
        <w:rPr>
          <w:rFonts w:asciiTheme="majorHAnsi" w:hAnsiTheme="majorHAnsi" w:cs="Arial"/>
          <w:i/>
          <w:iCs/>
          <w:shd w:val="clear" w:color="auto" w:fill="FFFFFF"/>
        </w:rPr>
        <w:t>Developmental N</w:t>
      </w:r>
      <w:r w:rsidRPr="00734AB6">
        <w:rPr>
          <w:rFonts w:asciiTheme="majorHAnsi" w:hAnsiTheme="majorHAnsi" w:cs="Arial"/>
          <w:i/>
          <w:iCs/>
          <w:shd w:val="clear" w:color="auto" w:fill="FFFFFF"/>
        </w:rPr>
        <w:t>europsychology</w:t>
      </w:r>
      <w:r w:rsidRPr="00734AB6">
        <w:rPr>
          <w:rFonts w:asciiTheme="majorHAnsi" w:hAnsiTheme="majorHAnsi" w:cs="Arial"/>
          <w:shd w:val="clear" w:color="auto" w:fill="FFFFFF"/>
        </w:rPr>
        <w:t>, </w:t>
      </w:r>
      <w:r w:rsidRPr="00734AB6">
        <w:rPr>
          <w:rFonts w:asciiTheme="majorHAnsi" w:hAnsiTheme="majorHAnsi" w:cs="Arial"/>
          <w:i/>
          <w:iCs/>
          <w:shd w:val="clear" w:color="auto" w:fill="FFFFFF"/>
        </w:rPr>
        <w:t>14</w:t>
      </w:r>
      <w:r w:rsidRPr="00734AB6">
        <w:rPr>
          <w:rFonts w:asciiTheme="majorHAnsi" w:hAnsiTheme="majorHAnsi" w:cs="Arial"/>
          <w:shd w:val="clear" w:color="auto" w:fill="FFFFFF"/>
        </w:rPr>
        <w:t>(4), 643-656.</w:t>
      </w:r>
    </w:p>
    <w:p w14:paraId="58E23CE8" w14:textId="451F5BBF"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Wills, T</w:t>
      </w:r>
      <w:r w:rsidR="00726E66" w:rsidRPr="00734AB6">
        <w:rPr>
          <w:rFonts w:asciiTheme="majorHAnsi" w:eastAsia="Calibri" w:hAnsiTheme="majorHAnsi" w:cs="Calibri"/>
        </w:rPr>
        <w:t xml:space="preserve">. </w:t>
      </w:r>
      <w:r w:rsidRPr="00734AB6">
        <w:rPr>
          <w:rFonts w:asciiTheme="majorHAnsi" w:eastAsia="Calibri" w:hAnsiTheme="majorHAnsi" w:cs="Calibri"/>
        </w:rPr>
        <w:t>A</w:t>
      </w:r>
      <w:r w:rsidR="00726E66" w:rsidRPr="00734AB6">
        <w:rPr>
          <w:rFonts w:asciiTheme="majorHAnsi" w:eastAsia="Calibri" w:hAnsiTheme="majorHAnsi" w:cs="Calibri"/>
        </w:rPr>
        <w:t>.</w:t>
      </w:r>
      <w:r w:rsidRPr="00734AB6">
        <w:rPr>
          <w:rFonts w:asciiTheme="majorHAnsi" w:eastAsia="Calibri" w:hAnsiTheme="majorHAnsi" w:cs="Calibri"/>
        </w:rPr>
        <w:t>, Vaccaro, D</w:t>
      </w:r>
      <w:r w:rsidR="00726E66" w:rsidRPr="00734AB6">
        <w:rPr>
          <w:rFonts w:asciiTheme="majorHAnsi" w:eastAsia="Calibri" w:hAnsiTheme="majorHAnsi" w:cs="Calibri"/>
        </w:rPr>
        <w:t>.</w:t>
      </w:r>
      <w:r w:rsidRPr="00734AB6">
        <w:rPr>
          <w:rFonts w:asciiTheme="majorHAnsi" w:eastAsia="Calibri" w:hAnsiTheme="majorHAnsi" w:cs="Calibri"/>
        </w:rPr>
        <w:t xml:space="preserve"> </w:t>
      </w:r>
      <w:r w:rsidR="00726E66" w:rsidRPr="00734AB6">
        <w:rPr>
          <w:rFonts w:asciiTheme="majorHAnsi" w:eastAsia="Calibri" w:hAnsiTheme="majorHAnsi" w:cs="Calibri"/>
        </w:rPr>
        <w:t>&amp;</w:t>
      </w:r>
      <w:r w:rsidRPr="00734AB6">
        <w:rPr>
          <w:rFonts w:asciiTheme="majorHAnsi" w:eastAsia="Calibri" w:hAnsiTheme="majorHAnsi" w:cs="Calibri"/>
        </w:rPr>
        <w:t xml:space="preserve"> McNamara, G</w:t>
      </w:r>
      <w:r w:rsidR="00726E66" w:rsidRPr="00734AB6">
        <w:rPr>
          <w:rFonts w:asciiTheme="majorHAnsi" w:eastAsia="Calibri" w:hAnsiTheme="majorHAnsi" w:cs="Calibri"/>
        </w:rPr>
        <w:t>.</w:t>
      </w:r>
      <w:r w:rsidRPr="00734AB6">
        <w:rPr>
          <w:rFonts w:asciiTheme="majorHAnsi" w:eastAsia="Calibri" w:hAnsiTheme="majorHAnsi" w:cs="Calibri"/>
        </w:rPr>
        <w:t xml:space="preserve"> (1994). Novelty seeking, risk taking and related constructs as predictors of adolescent substance use: An application of Cloninger’s Theory. </w:t>
      </w:r>
      <w:r w:rsidRPr="00734AB6">
        <w:rPr>
          <w:rFonts w:asciiTheme="majorHAnsi" w:eastAsia="Calibri" w:hAnsiTheme="majorHAnsi" w:cs="Calibri"/>
          <w:i/>
        </w:rPr>
        <w:t>Journal of Substance Abuse</w:t>
      </w:r>
      <w:r w:rsidRPr="00734AB6">
        <w:rPr>
          <w:rFonts w:asciiTheme="majorHAnsi" w:eastAsia="Calibri" w:hAnsiTheme="majorHAnsi" w:cs="Calibri"/>
        </w:rPr>
        <w:t xml:space="preserve">, </w:t>
      </w:r>
      <w:r w:rsidRPr="00734AB6">
        <w:rPr>
          <w:rFonts w:asciiTheme="majorHAnsi" w:eastAsia="Calibri" w:hAnsiTheme="majorHAnsi" w:cs="Calibri"/>
          <w:i/>
        </w:rPr>
        <w:t>6</w:t>
      </w:r>
      <w:r w:rsidRPr="00734AB6">
        <w:rPr>
          <w:rFonts w:asciiTheme="majorHAnsi" w:eastAsia="Calibri" w:hAnsiTheme="majorHAnsi" w:cs="Calibri"/>
        </w:rPr>
        <w:t>(1), 1-20.</w:t>
      </w:r>
    </w:p>
    <w:p w14:paraId="7A477CB4" w14:textId="18CAF1FD" w:rsidR="004676EF" w:rsidRPr="00734AB6" w:rsidRDefault="004676EF" w:rsidP="00D06771">
      <w:pPr>
        <w:spacing w:line="360" w:lineRule="auto"/>
        <w:ind w:left="720" w:hanging="720"/>
        <w:rPr>
          <w:rFonts w:asciiTheme="majorHAnsi" w:eastAsia="Calibri" w:hAnsiTheme="majorHAnsi" w:cs="Calibri"/>
        </w:rPr>
      </w:pPr>
      <w:proofErr w:type="spellStart"/>
      <w:r w:rsidRPr="00734AB6">
        <w:rPr>
          <w:rFonts w:asciiTheme="majorHAnsi" w:eastAsia="Calibri" w:hAnsiTheme="majorHAnsi" w:cs="Calibri"/>
        </w:rPr>
        <w:t>Winstock</w:t>
      </w:r>
      <w:proofErr w:type="spellEnd"/>
      <w:r w:rsidRPr="00734AB6">
        <w:rPr>
          <w:rFonts w:asciiTheme="majorHAnsi" w:eastAsia="Calibri" w:hAnsiTheme="majorHAnsi" w:cs="Calibri"/>
        </w:rPr>
        <w:t>, A</w:t>
      </w:r>
      <w:r w:rsidR="00865273" w:rsidRPr="00734AB6">
        <w:rPr>
          <w:rFonts w:asciiTheme="majorHAnsi" w:eastAsia="Calibri" w:hAnsiTheme="majorHAnsi" w:cs="Calibri"/>
        </w:rPr>
        <w:t xml:space="preserve">. </w:t>
      </w:r>
      <w:r w:rsidRPr="00734AB6">
        <w:rPr>
          <w:rFonts w:asciiTheme="majorHAnsi" w:eastAsia="Calibri" w:hAnsiTheme="majorHAnsi" w:cs="Calibri"/>
        </w:rPr>
        <w:t>R</w:t>
      </w:r>
      <w:r w:rsidR="00865273"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Mitcheson</w:t>
      </w:r>
      <w:proofErr w:type="spellEnd"/>
      <w:r w:rsidRPr="00734AB6">
        <w:rPr>
          <w:rFonts w:asciiTheme="majorHAnsi" w:eastAsia="Calibri" w:hAnsiTheme="majorHAnsi" w:cs="Calibri"/>
        </w:rPr>
        <w:t>, L</w:t>
      </w:r>
      <w:r w:rsidR="00865273" w:rsidRPr="00734AB6">
        <w:rPr>
          <w:rFonts w:asciiTheme="majorHAnsi" w:eastAsia="Calibri" w:hAnsiTheme="majorHAnsi" w:cs="Calibri"/>
        </w:rPr>
        <w:t xml:space="preserve">. </w:t>
      </w:r>
      <w:r w:rsidRPr="00734AB6">
        <w:rPr>
          <w:rFonts w:asciiTheme="majorHAnsi" w:eastAsia="Calibri" w:hAnsiTheme="majorHAnsi" w:cs="Calibri"/>
        </w:rPr>
        <w:t>R</w:t>
      </w:r>
      <w:r w:rsidR="00865273" w:rsidRPr="00734AB6">
        <w:rPr>
          <w:rFonts w:asciiTheme="majorHAnsi" w:eastAsia="Calibri" w:hAnsiTheme="majorHAnsi" w:cs="Calibri"/>
        </w:rPr>
        <w:t>.</w:t>
      </w:r>
      <w:r w:rsidRPr="00734AB6">
        <w:rPr>
          <w:rFonts w:asciiTheme="majorHAnsi" w:eastAsia="Calibri" w:hAnsiTheme="majorHAnsi" w:cs="Calibri"/>
        </w:rPr>
        <w:t>, Deluca, P</w:t>
      </w:r>
      <w:r w:rsidR="00865273" w:rsidRPr="00734AB6">
        <w:rPr>
          <w:rFonts w:asciiTheme="majorHAnsi" w:eastAsia="Calibri" w:hAnsiTheme="majorHAnsi" w:cs="Calibri"/>
        </w:rPr>
        <w:t>.</w:t>
      </w:r>
      <w:r w:rsidRPr="00734AB6">
        <w:rPr>
          <w:rFonts w:asciiTheme="majorHAnsi" w:eastAsia="Calibri" w:hAnsiTheme="majorHAnsi" w:cs="Calibri"/>
        </w:rPr>
        <w:t>, Davey, Z</w:t>
      </w:r>
      <w:r w:rsidR="00865273" w:rsidRPr="00734AB6">
        <w:rPr>
          <w:rFonts w:asciiTheme="majorHAnsi" w:eastAsia="Calibri" w:hAnsiTheme="majorHAnsi" w:cs="Calibri"/>
        </w:rPr>
        <w:t>.</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Corazza</w:t>
      </w:r>
      <w:proofErr w:type="spellEnd"/>
      <w:r w:rsidRPr="00734AB6">
        <w:rPr>
          <w:rFonts w:asciiTheme="majorHAnsi" w:eastAsia="Calibri" w:hAnsiTheme="majorHAnsi" w:cs="Calibri"/>
        </w:rPr>
        <w:t>, O</w:t>
      </w:r>
      <w:r w:rsidR="00865273" w:rsidRPr="00734AB6">
        <w:rPr>
          <w:rFonts w:asciiTheme="majorHAnsi" w:eastAsia="Calibri" w:hAnsiTheme="majorHAnsi" w:cs="Calibri"/>
        </w:rPr>
        <w:t>.</w:t>
      </w:r>
      <w:r w:rsidRPr="00734AB6">
        <w:rPr>
          <w:rFonts w:asciiTheme="majorHAnsi" w:eastAsia="Calibri" w:hAnsiTheme="majorHAnsi" w:cs="Calibri"/>
        </w:rPr>
        <w:t xml:space="preserve"> </w:t>
      </w:r>
      <w:r w:rsidR="00865273"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Schifano</w:t>
      </w:r>
      <w:proofErr w:type="spellEnd"/>
      <w:r w:rsidRPr="00734AB6">
        <w:rPr>
          <w:rFonts w:asciiTheme="majorHAnsi" w:eastAsia="Calibri" w:hAnsiTheme="majorHAnsi" w:cs="Calibri"/>
        </w:rPr>
        <w:t>, F</w:t>
      </w:r>
      <w:r w:rsidR="00865273" w:rsidRPr="00734AB6">
        <w:rPr>
          <w:rFonts w:asciiTheme="majorHAnsi" w:eastAsia="Calibri" w:hAnsiTheme="majorHAnsi" w:cs="Calibri"/>
        </w:rPr>
        <w:t>.</w:t>
      </w:r>
      <w:r w:rsidRPr="00734AB6">
        <w:rPr>
          <w:rFonts w:asciiTheme="majorHAnsi" w:eastAsia="Calibri" w:hAnsiTheme="majorHAnsi" w:cs="Calibri"/>
        </w:rPr>
        <w:t xml:space="preserve"> (2011). Mephedrone, new kid for the chop? </w:t>
      </w:r>
      <w:r w:rsidRPr="00734AB6">
        <w:rPr>
          <w:rFonts w:asciiTheme="majorHAnsi" w:eastAsia="Calibri" w:hAnsiTheme="majorHAnsi" w:cs="Calibri"/>
          <w:i/>
          <w:iCs/>
        </w:rPr>
        <w:t>Addiction</w:t>
      </w:r>
      <w:r w:rsidRPr="00734AB6">
        <w:rPr>
          <w:rFonts w:asciiTheme="majorHAnsi" w:eastAsia="Calibri" w:hAnsiTheme="majorHAnsi" w:cs="Calibri"/>
        </w:rPr>
        <w:t>, </w:t>
      </w:r>
      <w:r w:rsidRPr="00734AB6">
        <w:rPr>
          <w:rFonts w:asciiTheme="majorHAnsi" w:eastAsia="Calibri" w:hAnsiTheme="majorHAnsi" w:cs="Calibri"/>
          <w:i/>
          <w:iCs/>
        </w:rPr>
        <w:t>106</w:t>
      </w:r>
      <w:r w:rsidRPr="00734AB6">
        <w:rPr>
          <w:rFonts w:asciiTheme="majorHAnsi" w:eastAsia="Calibri" w:hAnsiTheme="majorHAnsi" w:cs="Calibri"/>
        </w:rPr>
        <w:t>(1), 154-161.</w:t>
      </w:r>
    </w:p>
    <w:p w14:paraId="2387EFDE" w14:textId="05F48239"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Wong, Y</w:t>
      </w:r>
      <w:r w:rsidR="00865273" w:rsidRPr="00734AB6">
        <w:rPr>
          <w:rFonts w:asciiTheme="majorHAnsi" w:eastAsia="Calibri" w:hAnsiTheme="majorHAnsi" w:cs="Calibri"/>
        </w:rPr>
        <w:t xml:space="preserve">. </w:t>
      </w:r>
      <w:r w:rsidRPr="00734AB6">
        <w:rPr>
          <w:rFonts w:asciiTheme="majorHAnsi" w:eastAsia="Calibri" w:hAnsiTheme="majorHAnsi" w:cs="Calibri"/>
        </w:rPr>
        <w:t>N</w:t>
      </w:r>
      <w:r w:rsidR="00865273" w:rsidRPr="00734AB6">
        <w:rPr>
          <w:rFonts w:asciiTheme="majorHAnsi" w:eastAsia="Calibri" w:hAnsiTheme="majorHAnsi" w:cs="Calibri"/>
        </w:rPr>
        <w:t>.</w:t>
      </w:r>
      <w:r w:rsidRPr="00734AB6">
        <w:rPr>
          <w:rFonts w:asciiTheme="majorHAnsi" w:eastAsia="Calibri" w:hAnsiTheme="majorHAnsi" w:cs="Calibri"/>
        </w:rPr>
        <w:t>, King, S</w:t>
      </w:r>
      <w:r w:rsidR="00865273" w:rsidRPr="00734AB6">
        <w:rPr>
          <w:rFonts w:asciiTheme="majorHAnsi" w:eastAsia="Calibri" w:hAnsiTheme="majorHAnsi" w:cs="Calibri"/>
        </w:rPr>
        <w:t xml:space="preserve">. </w:t>
      </w:r>
      <w:r w:rsidRPr="00734AB6">
        <w:rPr>
          <w:rFonts w:asciiTheme="majorHAnsi" w:eastAsia="Calibri" w:hAnsiTheme="majorHAnsi" w:cs="Calibri"/>
        </w:rPr>
        <w:t>P</w:t>
      </w:r>
      <w:r w:rsidR="00865273" w:rsidRPr="00734AB6">
        <w:rPr>
          <w:rFonts w:asciiTheme="majorHAnsi" w:eastAsia="Calibri" w:hAnsiTheme="majorHAnsi" w:cs="Calibri"/>
        </w:rPr>
        <w:t>.</w:t>
      </w:r>
      <w:r w:rsidRPr="00734AB6">
        <w:rPr>
          <w:rFonts w:asciiTheme="majorHAnsi" w:eastAsia="Calibri" w:hAnsiTheme="majorHAnsi" w:cs="Calibri"/>
        </w:rPr>
        <w:t>, Simcoe, D</w:t>
      </w:r>
      <w:r w:rsidR="00865273" w:rsidRPr="00734AB6">
        <w:rPr>
          <w:rFonts w:asciiTheme="majorHAnsi" w:eastAsia="Calibri" w:hAnsiTheme="majorHAnsi" w:cs="Calibri"/>
        </w:rPr>
        <w:t>.</w:t>
      </w:r>
      <w:r w:rsidRPr="00734AB6">
        <w:rPr>
          <w:rFonts w:asciiTheme="majorHAnsi" w:eastAsia="Calibri" w:hAnsiTheme="majorHAnsi" w:cs="Calibri"/>
        </w:rPr>
        <w:t>, Gorman, S</w:t>
      </w:r>
      <w:r w:rsidR="00865273" w:rsidRPr="00734AB6">
        <w:rPr>
          <w:rFonts w:asciiTheme="majorHAnsi" w:eastAsia="Calibri" w:hAnsiTheme="majorHAnsi" w:cs="Calibri"/>
        </w:rPr>
        <w:t>.</w:t>
      </w:r>
      <w:r w:rsidRPr="00734AB6">
        <w:rPr>
          <w:rFonts w:asciiTheme="majorHAnsi" w:eastAsia="Calibri" w:hAnsiTheme="majorHAnsi" w:cs="Calibri"/>
        </w:rPr>
        <w:t>, Laughton, W</w:t>
      </w:r>
      <w:r w:rsidR="00865273" w:rsidRPr="00734AB6">
        <w:rPr>
          <w:rFonts w:asciiTheme="majorHAnsi" w:eastAsia="Calibri" w:hAnsiTheme="majorHAnsi" w:cs="Calibri"/>
        </w:rPr>
        <w:t>.</w:t>
      </w:r>
      <w:r w:rsidRPr="00734AB6">
        <w:rPr>
          <w:rFonts w:asciiTheme="majorHAnsi" w:eastAsia="Calibri" w:hAnsiTheme="majorHAnsi" w:cs="Calibri"/>
        </w:rPr>
        <w:t>, McCormick, G</w:t>
      </w:r>
      <w:r w:rsidR="00865273" w:rsidRPr="00734AB6">
        <w:rPr>
          <w:rFonts w:asciiTheme="majorHAnsi" w:eastAsia="Calibri" w:hAnsiTheme="majorHAnsi" w:cs="Calibri"/>
        </w:rPr>
        <w:t xml:space="preserve">. </w:t>
      </w:r>
      <w:r w:rsidRPr="00734AB6">
        <w:rPr>
          <w:rFonts w:asciiTheme="majorHAnsi" w:eastAsia="Calibri" w:hAnsiTheme="majorHAnsi" w:cs="Calibri"/>
        </w:rPr>
        <w:t>C</w:t>
      </w:r>
      <w:r w:rsidR="00865273" w:rsidRPr="00734AB6">
        <w:rPr>
          <w:rFonts w:asciiTheme="majorHAnsi" w:eastAsia="Calibri" w:hAnsiTheme="majorHAnsi" w:cs="Calibri"/>
        </w:rPr>
        <w:t>.</w:t>
      </w:r>
      <w:r w:rsidRPr="00734AB6">
        <w:rPr>
          <w:rFonts w:asciiTheme="majorHAnsi" w:eastAsia="Calibri" w:hAnsiTheme="majorHAnsi" w:cs="Calibri"/>
        </w:rPr>
        <w:t xml:space="preserve"> </w:t>
      </w:r>
      <w:r w:rsidR="00865273"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Grebow</w:t>
      </w:r>
      <w:proofErr w:type="spellEnd"/>
      <w:r w:rsidRPr="00734AB6">
        <w:rPr>
          <w:rFonts w:asciiTheme="majorHAnsi" w:eastAsia="Calibri" w:hAnsiTheme="majorHAnsi" w:cs="Calibri"/>
        </w:rPr>
        <w:t>, P</w:t>
      </w:r>
      <w:r w:rsidR="00865273" w:rsidRPr="00734AB6">
        <w:rPr>
          <w:rFonts w:asciiTheme="majorHAnsi" w:eastAsia="Calibri" w:hAnsiTheme="majorHAnsi" w:cs="Calibri"/>
        </w:rPr>
        <w:t>.</w:t>
      </w:r>
      <w:r w:rsidRPr="00734AB6">
        <w:rPr>
          <w:rFonts w:asciiTheme="majorHAnsi" w:eastAsia="Calibri" w:hAnsiTheme="majorHAnsi" w:cs="Calibri"/>
        </w:rPr>
        <w:t xml:space="preserve"> (1999). Open‐label, single‐dose pharmacokinetic study of modafinil tablets: Influence of age and gender in normal subjects. </w:t>
      </w:r>
      <w:r w:rsidRPr="00734AB6">
        <w:rPr>
          <w:rFonts w:asciiTheme="majorHAnsi" w:eastAsia="Calibri" w:hAnsiTheme="majorHAnsi" w:cs="Calibri"/>
          <w:i/>
          <w:iCs/>
        </w:rPr>
        <w:t>The Journal of Clinical Pharmacology</w:t>
      </w:r>
      <w:r w:rsidRPr="00734AB6">
        <w:rPr>
          <w:rFonts w:asciiTheme="majorHAnsi" w:eastAsia="Calibri" w:hAnsiTheme="majorHAnsi" w:cs="Calibri"/>
        </w:rPr>
        <w:t>, </w:t>
      </w:r>
      <w:r w:rsidRPr="00734AB6">
        <w:rPr>
          <w:rFonts w:asciiTheme="majorHAnsi" w:eastAsia="Calibri" w:hAnsiTheme="majorHAnsi" w:cs="Calibri"/>
          <w:i/>
          <w:iCs/>
        </w:rPr>
        <w:t>39</w:t>
      </w:r>
      <w:r w:rsidRPr="00734AB6">
        <w:rPr>
          <w:rFonts w:asciiTheme="majorHAnsi" w:eastAsia="Calibri" w:hAnsiTheme="majorHAnsi" w:cs="Calibri"/>
        </w:rPr>
        <w:t>(3), 281-288.</w:t>
      </w:r>
    </w:p>
    <w:p w14:paraId="3109CF79" w14:textId="3F80937D" w:rsidR="004676EF" w:rsidRPr="00734AB6" w:rsidRDefault="004676EF" w:rsidP="00D06771">
      <w:pPr>
        <w:spacing w:line="360" w:lineRule="auto"/>
        <w:ind w:left="720" w:hanging="720"/>
        <w:rPr>
          <w:rFonts w:asciiTheme="majorHAnsi" w:eastAsia="Calibri" w:hAnsiTheme="majorHAnsi" w:cs="Calibri"/>
        </w:rPr>
      </w:pPr>
      <w:r w:rsidRPr="00734AB6">
        <w:rPr>
          <w:rFonts w:asciiTheme="majorHAnsi" w:eastAsia="Calibri" w:hAnsiTheme="majorHAnsi" w:cs="Calibri"/>
        </w:rPr>
        <w:t>Wood, S</w:t>
      </w:r>
      <w:r w:rsidR="00865273" w:rsidRPr="00734AB6">
        <w:rPr>
          <w:rFonts w:asciiTheme="majorHAnsi" w:eastAsia="Calibri" w:hAnsiTheme="majorHAnsi" w:cs="Calibri"/>
        </w:rPr>
        <w:t>.</w:t>
      </w:r>
      <w:r w:rsidRPr="00734AB6">
        <w:rPr>
          <w:rFonts w:asciiTheme="majorHAnsi" w:eastAsia="Calibri" w:hAnsiTheme="majorHAnsi" w:cs="Calibri"/>
        </w:rPr>
        <w:t>, Sage, J</w:t>
      </w:r>
      <w:r w:rsidR="00865273" w:rsidRPr="00734AB6">
        <w:rPr>
          <w:rFonts w:asciiTheme="majorHAnsi" w:eastAsia="Calibri" w:hAnsiTheme="majorHAnsi" w:cs="Calibri"/>
        </w:rPr>
        <w:t xml:space="preserve">. </w:t>
      </w:r>
      <w:r w:rsidRPr="00734AB6">
        <w:rPr>
          <w:rFonts w:asciiTheme="majorHAnsi" w:eastAsia="Calibri" w:hAnsiTheme="majorHAnsi" w:cs="Calibri"/>
        </w:rPr>
        <w:t>R</w:t>
      </w:r>
      <w:r w:rsidR="00865273" w:rsidRPr="00734AB6">
        <w:rPr>
          <w:rFonts w:asciiTheme="majorHAnsi" w:eastAsia="Calibri" w:hAnsiTheme="majorHAnsi" w:cs="Calibri"/>
        </w:rPr>
        <w:t>.</w:t>
      </w:r>
      <w:r w:rsidRPr="00734AB6">
        <w:rPr>
          <w:rFonts w:asciiTheme="majorHAnsi" w:eastAsia="Calibri" w:hAnsiTheme="majorHAnsi" w:cs="Calibri"/>
        </w:rPr>
        <w:t>, Shuman, T</w:t>
      </w:r>
      <w:r w:rsidR="00865273" w:rsidRPr="00734AB6">
        <w:rPr>
          <w:rFonts w:asciiTheme="majorHAnsi" w:eastAsia="Calibri" w:hAnsiTheme="majorHAnsi" w:cs="Calibri"/>
        </w:rPr>
        <w:t>.</w:t>
      </w:r>
      <w:r w:rsidRPr="00734AB6">
        <w:rPr>
          <w:rFonts w:asciiTheme="majorHAnsi" w:eastAsia="Calibri" w:hAnsiTheme="majorHAnsi" w:cs="Calibri"/>
        </w:rPr>
        <w:t xml:space="preserve"> </w:t>
      </w:r>
      <w:r w:rsidR="00865273" w:rsidRPr="00734AB6">
        <w:rPr>
          <w:rFonts w:asciiTheme="majorHAnsi" w:eastAsia="Calibri" w:hAnsiTheme="majorHAnsi" w:cs="Calibri"/>
        </w:rPr>
        <w:t>&amp;</w:t>
      </w:r>
      <w:r w:rsidRPr="00734AB6">
        <w:rPr>
          <w:rFonts w:asciiTheme="majorHAnsi" w:eastAsia="Calibri" w:hAnsiTheme="majorHAnsi" w:cs="Calibri"/>
        </w:rPr>
        <w:t xml:space="preserve"> </w:t>
      </w:r>
      <w:proofErr w:type="spellStart"/>
      <w:r w:rsidRPr="00734AB6">
        <w:rPr>
          <w:rFonts w:asciiTheme="majorHAnsi" w:eastAsia="Calibri" w:hAnsiTheme="majorHAnsi" w:cs="Calibri"/>
        </w:rPr>
        <w:t>Anagnostaras</w:t>
      </w:r>
      <w:proofErr w:type="spellEnd"/>
      <w:r w:rsidRPr="00734AB6">
        <w:rPr>
          <w:rFonts w:asciiTheme="majorHAnsi" w:eastAsia="Calibri" w:hAnsiTheme="majorHAnsi" w:cs="Calibri"/>
        </w:rPr>
        <w:t>, S</w:t>
      </w:r>
      <w:r w:rsidR="00865273" w:rsidRPr="00734AB6">
        <w:rPr>
          <w:rFonts w:asciiTheme="majorHAnsi" w:eastAsia="Calibri" w:hAnsiTheme="majorHAnsi" w:cs="Calibri"/>
        </w:rPr>
        <w:t xml:space="preserve">. </w:t>
      </w:r>
      <w:r w:rsidRPr="00734AB6">
        <w:rPr>
          <w:rFonts w:asciiTheme="majorHAnsi" w:eastAsia="Calibri" w:hAnsiTheme="majorHAnsi" w:cs="Calibri"/>
        </w:rPr>
        <w:t>G</w:t>
      </w:r>
      <w:r w:rsidR="00865273" w:rsidRPr="00734AB6">
        <w:rPr>
          <w:rFonts w:asciiTheme="majorHAnsi" w:eastAsia="Calibri" w:hAnsiTheme="majorHAnsi" w:cs="Calibri"/>
        </w:rPr>
        <w:t>.</w:t>
      </w:r>
      <w:r w:rsidRPr="00734AB6">
        <w:rPr>
          <w:rFonts w:asciiTheme="majorHAnsi" w:eastAsia="Calibri" w:hAnsiTheme="majorHAnsi" w:cs="Calibri"/>
        </w:rPr>
        <w:t xml:space="preserve"> (2014). Psychostimulants and cognition: A continuum of </w:t>
      </w:r>
      <w:proofErr w:type="spellStart"/>
      <w:r w:rsidRPr="00734AB6">
        <w:rPr>
          <w:rFonts w:asciiTheme="majorHAnsi" w:eastAsia="Calibri" w:hAnsiTheme="majorHAnsi" w:cs="Calibri"/>
        </w:rPr>
        <w:t>behavioral</w:t>
      </w:r>
      <w:proofErr w:type="spellEnd"/>
      <w:r w:rsidRPr="00734AB6">
        <w:rPr>
          <w:rFonts w:asciiTheme="majorHAnsi" w:eastAsia="Calibri" w:hAnsiTheme="majorHAnsi" w:cs="Calibri"/>
        </w:rPr>
        <w:t xml:space="preserve"> and cognitive activation. </w:t>
      </w:r>
      <w:r w:rsidRPr="00734AB6">
        <w:rPr>
          <w:rFonts w:asciiTheme="majorHAnsi" w:eastAsia="Calibri" w:hAnsiTheme="majorHAnsi" w:cs="Calibri"/>
          <w:i/>
          <w:iCs/>
        </w:rPr>
        <w:t>Pharmacological Reviews,</w:t>
      </w:r>
      <w:r w:rsidRPr="00734AB6">
        <w:rPr>
          <w:rFonts w:asciiTheme="majorHAnsi" w:eastAsia="Calibri" w:hAnsiTheme="majorHAnsi" w:cs="Calibri"/>
        </w:rPr>
        <w:t xml:space="preserve"> </w:t>
      </w:r>
      <w:r w:rsidRPr="00734AB6">
        <w:rPr>
          <w:rFonts w:asciiTheme="majorHAnsi" w:eastAsia="Calibri" w:hAnsiTheme="majorHAnsi" w:cs="Calibri"/>
          <w:i/>
          <w:iCs/>
        </w:rPr>
        <w:t>66</w:t>
      </w:r>
      <w:r w:rsidRPr="00734AB6">
        <w:rPr>
          <w:rFonts w:asciiTheme="majorHAnsi" w:eastAsia="Calibri" w:hAnsiTheme="majorHAnsi" w:cs="Calibri"/>
        </w:rPr>
        <w:t xml:space="preserve">(1), 193-221. </w:t>
      </w:r>
    </w:p>
    <w:p w14:paraId="606914CB" w14:textId="198727AD"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Wooters</w:t>
      </w:r>
      <w:proofErr w:type="spellEnd"/>
      <w:r w:rsidRPr="00734AB6">
        <w:rPr>
          <w:rFonts w:asciiTheme="majorHAnsi" w:hAnsiTheme="majorHAnsi" w:cstheme="minorHAnsi"/>
          <w:shd w:val="clear" w:color="auto" w:fill="FFFFFF"/>
        </w:rPr>
        <w:t xml:space="preserve">, T. E., Walton, M. T., &amp; Bardo, M. T. (2011). Oral methylphenidate establishes a conditioned place preference in rats. </w:t>
      </w:r>
      <w:r w:rsidR="00865273" w:rsidRPr="00734AB6">
        <w:rPr>
          <w:rFonts w:asciiTheme="majorHAnsi" w:hAnsiTheme="majorHAnsi" w:cstheme="minorHAnsi"/>
          <w:i/>
          <w:shd w:val="clear" w:color="auto" w:fill="FFFFFF"/>
        </w:rPr>
        <w:t>Neuroscience L</w:t>
      </w:r>
      <w:r w:rsidRPr="00734AB6">
        <w:rPr>
          <w:rFonts w:asciiTheme="majorHAnsi" w:hAnsiTheme="majorHAnsi" w:cstheme="minorHAnsi"/>
          <w:i/>
          <w:shd w:val="clear" w:color="auto" w:fill="FFFFFF"/>
        </w:rPr>
        <w:t>etters</w:t>
      </w:r>
      <w:r w:rsidRPr="00734AB6">
        <w:rPr>
          <w:rFonts w:asciiTheme="majorHAnsi" w:hAnsiTheme="majorHAnsi" w:cstheme="minorHAnsi"/>
          <w:shd w:val="clear" w:color="auto" w:fill="FFFFFF"/>
        </w:rPr>
        <w:t xml:space="preserve">, </w:t>
      </w:r>
      <w:r w:rsidRPr="00734AB6">
        <w:rPr>
          <w:rFonts w:asciiTheme="majorHAnsi" w:hAnsiTheme="majorHAnsi" w:cstheme="minorHAnsi"/>
          <w:i/>
          <w:shd w:val="clear" w:color="auto" w:fill="FFFFFF"/>
        </w:rPr>
        <w:t>487</w:t>
      </w:r>
      <w:r w:rsidRPr="00734AB6">
        <w:rPr>
          <w:rFonts w:asciiTheme="majorHAnsi" w:hAnsiTheme="majorHAnsi" w:cstheme="minorHAnsi"/>
          <w:shd w:val="clear" w:color="auto" w:fill="FFFFFF"/>
        </w:rPr>
        <w:t>(3), 293-296.</w:t>
      </w:r>
    </w:p>
    <w:p w14:paraId="7A811E22" w14:textId="64C976B1" w:rsidR="00C80E6C" w:rsidRPr="00734AB6" w:rsidRDefault="00C80E6C" w:rsidP="00D06771">
      <w:pPr>
        <w:spacing w:line="360" w:lineRule="auto"/>
        <w:ind w:left="720" w:hanging="720"/>
        <w:rPr>
          <w:rFonts w:asciiTheme="majorHAnsi" w:hAnsiTheme="majorHAnsi" w:cstheme="minorHAnsi"/>
          <w:shd w:val="clear" w:color="auto" w:fill="FFFFFF"/>
        </w:rPr>
      </w:pPr>
      <w:r w:rsidRPr="00734AB6">
        <w:rPr>
          <w:rFonts w:asciiTheme="majorHAnsi" w:hAnsiTheme="majorHAnsi" w:cstheme="minorHAnsi"/>
          <w:shd w:val="clear" w:color="auto" w:fill="FFFFFF"/>
        </w:rPr>
        <w:lastRenderedPageBreak/>
        <w:t>Wright, K. B. (2005). Researching Internet-based populations: Advantages and disadvantages of online survey research, online questionnaire authoring software packages, and web survey services. </w:t>
      </w:r>
      <w:r w:rsidRPr="00734AB6">
        <w:rPr>
          <w:rFonts w:asciiTheme="majorHAnsi" w:hAnsiTheme="majorHAnsi" w:cstheme="minorHAnsi"/>
          <w:i/>
          <w:iCs/>
          <w:shd w:val="clear" w:color="auto" w:fill="FFFFFF"/>
        </w:rPr>
        <w:t xml:space="preserve">Journal of </w:t>
      </w:r>
      <w:r w:rsidR="00865273" w:rsidRPr="00734AB6">
        <w:rPr>
          <w:rFonts w:asciiTheme="majorHAnsi" w:hAnsiTheme="majorHAnsi" w:cstheme="minorHAnsi"/>
          <w:i/>
          <w:iCs/>
          <w:shd w:val="clear" w:color="auto" w:fill="FFFFFF"/>
        </w:rPr>
        <w:t>Computer-Mediated Communication</w:t>
      </w:r>
      <w:r w:rsidRPr="00734AB6">
        <w:rPr>
          <w:rFonts w:asciiTheme="majorHAnsi" w:hAnsiTheme="majorHAnsi" w:cstheme="minorHAnsi"/>
          <w:shd w:val="clear" w:color="auto" w:fill="FFFFFF"/>
        </w:rPr>
        <w:t>, </w:t>
      </w:r>
      <w:r w:rsidRPr="00734AB6">
        <w:rPr>
          <w:rFonts w:asciiTheme="majorHAnsi" w:hAnsiTheme="majorHAnsi" w:cstheme="minorHAnsi"/>
          <w:i/>
          <w:iCs/>
          <w:shd w:val="clear" w:color="auto" w:fill="FFFFFF"/>
        </w:rPr>
        <w:t>10</w:t>
      </w:r>
      <w:r w:rsidRPr="00734AB6">
        <w:rPr>
          <w:rFonts w:asciiTheme="majorHAnsi" w:hAnsiTheme="majorHAnsi" w:cstheme="minorHAnsi"/>
          <w:shd w:val="clear" w:color="auto" w:fill="FFFFFF"/>
        </w:rPr>
        <w:t>(3), JCMC1034.</w:t>
      </w:r>
    </w:p>
    <w:p w14:paraId="3A4FA6A8" w14:textId="1F14F1E6" w:rsidR="004676EF" w:rsidRPr="00734AB6" w:rsidRDefault="004676EF" w:rsidP="00D06771">
      <w:pPr>
        <w:spacing w:line="360" w:lineRule="auto"/>
        <w:ind w:left="720" w:hanging="720"/>
        <w:rPr>
          <w:rFonts w:asciiTheme="majorHAnsi" w:hAnsiTheme="majorHAnsi" w:cstheme="minorHAnsi"/>
          <w:shd w:val="clear" w:color="auto" w:fill="FFFFFF"/>
        </w:rPr>
      </w:pPr>
      <w:proofErr w:type="spellStart"/>
      <w:r w:rsidRPr="00734AB6">
        <w:rPr>
          <w:rFonts w:asciiTheme="majorHAnsi" w:hAnsiTheme="majorHAnsi" w:cstheme="minorHAnsi"/>
          <w:shd w:val="clear" w:color="auto" w:fill="FFFFFF"/>
        </w:rPr>
        <w:t>Wuo</w:t>
      </w:r>
      <w:proofErr w:type="spellEnd"/>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 xml:space="preserve">Silva, R., </w:t>
      </w:r>
      <w:proofErr w:type="spellStart"/>
      <w:r w:rsidRPr="00734AB6">
        <w:rPr>
          <w:rFonts w:asciiTheme="majorHAnsi" w:hAnsiTheme="majorHAnsi" w:cstheme="minorHAnsi"/>
          <w:shd w:val="clear" w:color="auto" w:fill="FFFFFF"/>
        </w:rPr>
        <w:t>Fukushiro</w:t>
      </w:r>
      <w:proofErr w:type="spellEnd"/>
      <w:r w:rsidRPr="00734AB6">
        <w:rPr>
          <w:rFonts w:asciiTheme="majorHAnsi" w:hAnsiTheme="majorHAnsi" w:cstheme="minorHAnsi"/>
          <w:shd w:val="clear" w:color="auto" w:fill="FFFFFF"/>
        </w:rPr>
        <w:t xml:space="preserve">, D. F., </w:t>
      </w:r>
      <w:proofErr w:type="spellStart"/>
      <w:r w:rsidRPr="00734AB6">
        <w:rPr>
          <w:rFonts w:asciiTheme="majorHAnsi" w:hAnsiTheme="majorHAnsi" w:cstheme="minorHAnsi"/>
          <w:shd w:val="clear" w:color="auto" w:fill="FFFFFF"/>
        </w:rPr>
        <w:t>Bor</w:t>
      </w:r>
      <w:r w:rsidRPr="00734AB6">
        <w:rPr>
          <w:rFonts w:asciiTheme="majorHAnsi" w:hAnsiTheme="majorHAnsi" w:cs="Century Gothic"/>
          <w:shd w:val="clear" w:color="auto" w:fill="FFFFFF"/>
        </w:rPr>
        <w:t>ç</w:t>
      </w:r>
      <w:r w:rsidRPr="00734AB6">
        <w:rPr>
          <w:rFonts w:asciiTheme="majorHAnsi" w:hAnsiTheme="majorHAnsi" w:cstheme="minorHAnsi"/>
          <w:shd w:val="clear" w:color="auto" w:fill="FFFFFF"/>
        </w:rPr>
        <w:t>oi</w:t>
      </w:r>
      <w:proofErr w:type="spellEnd"/>
      <w:r w:rsidRPr="00734AB6">
        <w:rPr>
          <w:rFonts w:asciiTheme="majorHAnsi" w:hAnsiTheme="majorHAnsi" w:cstheme="minorHAnsi"/>
          <w:shd w:val="clear" w:color="auto" w:fill="FFFFFF"/>
        </w:rPr>
        <w:t xml:space="preserve">, A. R., Fernandes, H. A., </w:t>
      </w:r>
      <w:proofErr w:type="spellStart"/>
      <w:r w:rsidRPr="00734AB6">
        <w:rPr>
          <w:rFonts w:asciiTheme="majorHAnsi" w:hAnsiTheme="majorHAnsi" w:cstheme="minorHAnsi"/>
          <w:shd w:val="clear" w:color="auto" w:fill="FFFFFF"/>
        </w:rPr>
        <w:t>Proc</w:t>
      </w:r>
      <w:r w:rsidRPr="00734AB6">
        <w:rPr>
          <w:rFonts w:asciiTheme="majorHAnsi" w:hAnsiTheme="majorHAnsi" w:cs="Century Gothic"/>
          <w:shd w:val="clear" w:color="auto" w:fill="FFFFFF"/>
        </w:rPr>
        <w:t>ó</w:t>
      </w:r>
      <w:r w:rsidRPr="00734AB6">
        <w:rPr>
          <w:rFonts w:asciiTheme="majorHAnsi" w:hAnsiTheme="majorHAnsi" w:cstheme="minorHAnsi"/>
          <w:shd w:val="clear" w:color="auto" w:fill="FFFFFF"/>
        </w:rPr>
        <w:t>pio</w:t>
      </w:r>
      <w:proofErr w:type="spellEnd"/>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 xml:space="preserve">Souza, R., </w:t>
      </w:r>
      <w:proofErr w:type="spellStart"/>
      <w:r w:rsidRPr="00734AB6">
        <w:rPr>
          <w:rFonts w:asciiTheme="majorHAnsi" w:hAnsiTheme="majorHAnsi" w:cstheme="minorHAnsi"/>
          <w:shd w:val="clear" w:color="auto" w:fill="FFFFFF"/>
        </w:rPr>
        <w:t>Hollais</w:t>
      </w:r>
      <w:proofErr w:type="spellEnd"/>
      <w:r w:rsidRPr="00734AB6">
        <w:rPr>
          <w:rFonts w:asciiTheme="majorHAnsi" w:hAnsiTheme="majorHAnsi" w:cstheme="minorHAnsi"/>
          <w:shd w:val="clear" w:color="auto" w:fill="FFFFFF"/>
        </w:rPr>
        <w:t xml:space="preserve">, A. W., .Santos, R., Ribeiro, L.T.C., Correa, J.M.R.M., </w:t>
      </w:r>
      <w:proofErr w:type="spellStart"/>
      <w:r w:rsidRPr="00734AB6">
        <w:rPr>
          <w:rFonts w:asciiTheme="majorHAnsi" w:hAnsiTheme="majorHAnsi" w:cstheme="minorHAnsi"/>
          <w:shd w:val="clear" w:color="auto" w:fill="FFFFFF"/>
        </w:rPr>
        <w:t>Talhati</w:t>
      </w:r>
      <w:proofErr w:type="spellEnd"/>
      <w:r w:rsidRPr="00734AB6">
        <w:rPr>
          <w:rFonts w:asciiTheme="majorHAnsi" w:hAnsiTheme="majorHAnsi" w:cstheme="minorHAnsi"/>
          <w:shd w:val="clear" w:color="auto" w:fill="FFFFFF"/>
        </w:rPr>
        <w:t xml:space="preserve">, F., Saito, L.P., </w:t>
      </w:r>
      <w:proofErr w:type="spellStart"/>
      <w:r w:rsidRPr="00734AB6">
        <w:rPr>
          <w:rFonts w:asciiTheme="majorHAnsi" w:hAnsiTheme="majorHAnsi" w:cstheme="minorHAnsi"/>
          <w:shd w:val="clear" w:color="auto" w:fill="FFFFFF"/>
        </w:rPr>
        <w:t>Aramini</w:t>
      </w:r>
      <w:proofErr w:type="spellEnd"/>
      <w:r w:rsidRPr="00734AB6">
        <w:rPr>
          <w:rFonts w:asciiTheme="majorHAnsi" w:hAnsiTheme="majorHAnsi" w:cstheme="minorHAnsi"/>
          <w:shd w:val="clear" w:color="auto" w:fill="FFFFFF"/>
        </w:rPr>
        <w:t xml:space="preserve">, T.C.F., Kameda, S.R., </w:t>
      </w:r>
      <w:proofErr w:type="spellStart"/>
      <w:r w:rsidRPr="00734AB6">
        <w:rPr>
          <w:rFonts w:asciiTheme="majorHAnsi" w:hAnsiTheme="majorHAnsi" w:cstheme="minorHAnsi"/>
          <w:shd w:val="clear" w:color="auto" w:fill="FFFFFF"/>
        </w:rPr>
        <w:t>Bittencourt</w:t>
      </w:r>
      <w:proofErr w:type="spellEnd"/>
      <w:r w:rsidRPr="00734AB6">
        <w:rPr>
          <w:rFonts w:asciiTheme="majorHAnsi" w:hAnsiTheme="majorHAnsi" w:cstheme="minorHAnsi"/>
          <w:shd w:val="clear" w:color="auto" w:fill="FFFFFF"/>
        </w:rPr>
        <w:t xml:space="preserve">, L.R.A., </w:t>
      </w:r>
      <w:proofErr w:type="spellStart"/>
      <w:r w:rsidRPr="00734AB6">
        <w:rPr>
          <w:rFonts w:asciiTheme="majorHAnsi" w:hAnsiTheme="majorHAnsi" w:cstheme="minorHAnsi"/>
          <w:shd w:val="clear" w:color="auto" w:fill="FFFFFF"/>
        </w:rPr>
        <w:t>Tufik</w:t>
      </w:r>
      <w:proofErr w:type="spellEnd"/>
      <w:r w:rsidRPr="00734AB6">
        <w:rPr>
          <w:rFonts w:asciiTheme="majorHAnsi" w:hAnsiTheme="majorHAnsi" w:cstheme="minorHAnsi"/>
          <w:shd w:val="clear" w:color="auto" w:fill="FFFFFF"/>
        </w:rPr>
        <w:t xml:space="preserve">, S.,  &amp; </w:t>
      </w:r>
      <w:proofErr w:type="spellStart"/>
      <w:r w:rsidRPr="00734AB6">
        <w:rPr>
          <w:rFonts w:asciiTheme="majorHAnsi" w:hAnsiTheme="majorHAnsi" w:cstheme="minorHAnsi"/>
          <w:shd w:val="clear" w:color="auto" w:fill="FFFFFF"/>
        </w:rPr>
        <w:t>Frussa</w:t>
      </w:r>
      <w:proofErr w:type="spellEnd"/>
      <w:r w:rsidRPr="00734AB6">
        <w:rPr>
          <w:rFonts w:asciiTheme="majorHAnsi" w:hAnsiTheme="majorHAnsi" w:cstheme="minorHAnsi"/>
          <w:shd w:val="clear" w:color="auto" w:fill="FFFFFF"/>
        </w:rPr>
        <w:t>-Filho, R. (2011). Addictive potential of modafinil and cross</w:t>
      </w:r>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sensitization with cocaine: a pre</w:t>
      </w:r>
      <w:r w:rsidRPr="00734AB6">
        <w:rPr>
          <w:rFonts w:asciiTheme="majorHAnsi" w:hAnsiTheme="majorHAnsi" w:cs="Cambria Math"/>
          <w:shd w:val="clear" w:color="auto" w:fill="FFFFFF"/>
        </w:rPr>
        <w:t>‐</w:t>
      </w:r>
      <w:r w:rsidRPr="00734AB6">
        <w:rPr>
          <w:rFonts w:asciiTheme="majorHAnsi" w:hAnsiTheme="majorHAnsi" w:cstheme="minorHAnsi"/>
          <w:shd w:val="clear" w:color="auto" w:fill="FFFFFF"/>
        </w:rPr>
        <w:t>clinical study.</w:t>
      </w:r>
      <w:r w:rsidRPr="00734AB6">
        <w:rPr>
          <w:rStyle w:val="apple-converted-space"/>
          <w:rFonts w:asciiTheme="majorHAnsi" w:hAnsiTheme="majorHAnsi" w:cstheme="minorHAnsi"/>
          <w:shd w:val="clear" w:color="auto" w:fill="FFFFFF"/>
        </w:rPr>
        <w:t> </w:t>
      </w:r>
      <w:r w:rsidR="00865273" w:rsidRPr="00734AB6">
        <w:rPr>
          <w:rFonts w:asciiTheme="majorHAnsi" w:hAnsiTheme="majorHAnsi" w:cstheme="minorHAnsi"/>
          <w:i/>
          <w:iCs/>
          <w:shd w:val="clear" w:color="auto" w:fill="FFFFFF"/>
        </w:rPr>
        <w:t>Addiction B</w:t>
      </w:r>
      <w:r w:rsidRPr="00734AB6">
        <w:rPr>
          <w:rFonts w:asciiTheme="majorHAnsi" w:hAnsiTheme="majorHAnsi" w:cstheme="minorHAnsi"/>
          <w:i/>
          <w:iCs/>
          <w:shd w:val="clear" w:color="auto" w:fill="FFFFFF"/>
        </w:rPr>
        <w:t>iology</w:t>
      </w:r>
      <w:r w:rsidRPr="00734AB6">
        <w:rPr>
          <w:rFonts w:asciiTheme="majorHAnsi" w:hAnsiTheme="majorHAnsi" w:cstheme="minorHAnsi"/>
          <w:shd w:val="clear" w:color="auto" w:fill="FFFFFF"/>
        </w:rPr>
        <w:t>,</w:t>
      </w:r>
      <w:r w:rsidRPr="00734AB6">
        <w:rPr>
          <w:rStyle w:val="apple-converted-space"/>
          <w:rFonts w:asciiTheme="majorHAnsi" w:hAnsiTheme="majorHAnsi" w:cstheme="minorHAnsi"/>
          <w:shd w:val="clear" w:color="auto" w:fill="FFFFFF"/>
        </w:rPr>
        <w:t> </w:t>
      </w:r>
      <w:r w:rsidRPr="00734AB6">
        <w:rPr>
          <w:rFonts w:asciiTheme="majorHAnsi" w:hAnsiTheme="majorHAnsi" w:cstheme="minorHAnsi"/>
          <w:i/>
          <w:iCs/>
          <w:shd w:val="clear" w:color="auto" w:fill="FFFFFF"/>
        </w:rPr>
        <w:t>16</w:t>
      </w:r>
      <w:r w:rsidRPr="00734AB6">
        <w:rPr>
          <w:rFonts w:asciiTheme="majorHAnsi" w:hAnsiTheme="majorHAnsi" w:cstheme="minorHAnsi"/>
          <w:shd w:val="clear" w:color="auto" w:fill="FFFFFF"/>
        </w:rPr>
        <w:t>(4), 565-579.</w:t>
      </w:r>
    </w:p>
    <w:p w14:paraId="1CB95EFD" w14:textId="77777777" w:rsidR="004676EF" w:rsidRPr="00734AB6" w:rsidRDefault="004676EF" w:rsidP="00D06771">
      <w:pPr>
        <w:spacing w:line="360" w:lineRule="auto"/>
        <w:ind w:left="720" w:hanging="720"/>
        <w:rPr>
          <w:rFonts w:asciiTheme="majorHAnsi" w:hAnsiTheme="majorHAnsi" w:cstheme="minorHAnsi"/>
        </w:rPr>
      </w:pPr>
      <w:r w:rsidRPr="00734AB6">
        <w:rPr>
          <w:rFonts w:asciiTheme="majorHAnsi" w:hAnsiTheme="majorHAnsi" w:cstheme="minorHAnsi"/>
        </w:rPr>
        <w:t>Yeh, B. T. (2011). Drug offenses: Maximum fines and terms of imprisonment for violation of the federal controlled substances act and related laws. Library of Congress, Congressional Research Service.</w:t>
      </w:r>
    </w:p>
    <w:p w14:paraId="1B466BAB" w14:textId="77777777" w:rsidR="00C15975" w:rsidRPr="00734AB6" w:rsidRDefault="00C15975" w:rsidP="00C15975">
      <w:pPr>
        <w:spacing w:line="360" w:lineRule="auto"/>
        <w:ind w:left="851" w:hanging="851"/>
        <w:rPr>
          <w:rFonts w:asciiTheme="majorHAnsi" w:hAnsiTheme="majorHAnsi"/>
        </w:rPr>
      </w:pPr>
      <w:proofErr w:type="spellStart"/>
      <w:r w:rsidRPr="00734AB6">
        <w:rPr>
          <w:rFonts w:asciiTheme="majorHAnsi" w:hAnsiTheme="majorHAnsi"/>
        </w:rPr>
        <w:t>Yerdelen</w:t>
      </w:r>
      <w:proofErr w:type="spellEnd"/>
      <w:r w:rsidRPr="00734AB6">
        <w:rPr>
          <w:rFonts w:asciiTheme="majorHAnsi" w:hAnsiTheme="majorHAnsi"/>
        </w:rPr>
        <w:t xml:space="preserve">, S., McCaffrey, A., &amp; Klassen, R. M. (2016). Longitudinal examination of procrastination and anxiety, and their relation to self-efficacy for self-regulated learning: Latent growth curve </w:t>
      </w:r>
      <w:proofErr w:type="spellStart"/>
      <w:r w:rsidRPr="00734AB6">
        <w:rPr>
          <w:rFonts w:asciiTheme="majorHAnsi" w:hAnsiTheme="majorHAnsi"/>
        </w:rPr>
        <w:t>modeling</w:t>
      </w:r>
      <w:proofErr w:type="spellEnd"/>
      <w:r w:rsidRPr="00734AB6">
        <w:rPr>
          <w:rFonts w:asciiTheme="majorHAnsi" w:hAnsiTheme="majorHAnsi"/>
        </w:rPr>
        <w:t>. </w:t>
      </w:r>
      <w:r w:rsidRPr="00734AB6">
        <w:rPr>
          <w:rFonts w:asciiTheme="majorHAnsi" w:hAnsiTheme="majorHAnsi"/>
          <w:i/>
          <w:iCs/>
        </w:rPr>
        <w:t>Educational Sciences: Theory &amp; Practice</w:t>
      </w:r>
      <w:r w:rsidRPr="00734AB6">
        <w:rPr>
          <w:rFonts w:asciiTheme="majorHAnsi" w:hAnsiTheme="majorHAnsi"/>
        </w:rPr>
        <w:t>, </w:t>
      </w:r>
      <w:r w:rsidRPr="00734AB6">
        <w:rPr>
          <w:rFonts w:asciiTheme="majorHAnsi" w:hAnsiTheme="majorHAnsi"/>
          <w:i/>
          <w:iCs/>
        </w:rPr>
        <w:t>16</w:t>
      </w:r>
      <w:r w:rsidRPr="00734AB6">
        <w:rPr>
          <w:rFonts w:asciiTheme="majorHAnsi" w:hAnsiTheme="majorHAnsi"/>
        </w:rPr>
        <w:t>(1).</w:t>
      </w:r>
    </w:p>
    <w:p w14:paraId="71FC2D56" w14:textId="77777777" w:rsidR="003020FE" w:rsidRPr="00734AB6" w:rsidRDefault="004676EF" w:rsidP="00D06771">
      <w:pPr>
        <w:spacing w:line="360" w:lineRule="auto"/>
        <w:ind w:left="720" w:hanging="720"/>
        <w:rPr>
          <w:rFonts w:asciiTheme="majorHAnsi" w:hAnsiTheme="majorHAnsi" w:cstheme="minorHAnsi"/>
        </w:rPr>
      </w:pPr>
      <w:proofErr w:type="spellStart"/>
      <w:r w:rsidRPr="00734AB6">
        <w:rPr>
          <w:rFonts w:asciiTheme="majorHAnsi" w:hAnsiTheme="majorHAnsi" w:cstheme="minorHAnsi"/>
        </w:rPr>
        <w:t>Yoest</w:t>
      </w:r>
      <w:proofErr w:type="spellEnd"/>
      <w:r w:rsidRPr="00734AB6">
        <w:rPr>
          <w:rFonts w:asciiTheme="majorHAnsi" w:hAnsiTheme="majorHAnsi" w:cstheme="minorHAnsi"/>
        </w:rPr>
        <w:t xml:space="preserve">, K.E., Cummings, J.A., &amp; Becker, J.B. (2014). </w:t>
      </w:r>
      <w:proofErr w:type="spellStart"/>
      <w:r w:rsidRPr="00734AB6">
        <w:rPr>
          <w:rFonts w:asciiTheme="majorHAnsi" w:hAnsiTheme="majorHAnsi" w:cstheme="minorHAnsi"/>
        </w:rPr>
        <w:t>Estradiol</w:t>
      </w:r>
      <w:proofErr w:type="spellEnd"/>
      <w:r w:rsidRPr="00734AB6">
        <w:rPr>
          <w:rFonts w:asciiTheme="majorHAnsi" w:hAnsiTheme="majorHAnsi" w:cstheme="minorHAnsi"/>
        </w:rPr>
        <w:t xml:space="preserve">, dopamine and motivation. </w:t>
      </w:r>
      <w:r w:rsidRPr="00734AB6">
        <w:rPr>
          <w:rFonts w:asciiTheme="majorHAnsi" w:hAnsiTheme="majorHAnsi" w:cstheme="minorHAnsi"/>
          <w:i/>
        </w:rPr>
        <w:t>Central Nervous System Agents in Medicinal Chemistry (Formerly Current Medicinal Chemistry-Central Nervous System Agents), 14</w:t>
      </w:r>
      <w:r w:rsidRPr="00734AB6">
        <w:rPr>
          <w:rFonts w:asciiTheme="majorHAnsi" w:hAnsiTheme="majorHAnsi" w:cstheme="minorHAnsi"/>
        </w:rPr>
        <w:t>(2), 83-89.</w:t>
      </w:r>
    </w:p>
    <w:p w14:paraId="0E7DCF3A" w14:textId="726421B1" w:rsidR="004676EF" w:rsidRPr="00734AB6" w:rsidRDefault="004676EF" w:rsidP="00D06771">
      <w:pPr>
        <w:spacing w:line="360" w:lineRule="auto"/>
        <w:ind w:left="720" w:hanging="720"/>
        <w:rPr>
          <w:rStyle w:val="Hyperlink"/>
          <w:rFonts w:asciiTheme="majorHAnsi" w:hAnsiTheme="majorHAnsi" w:cstheme="minorHAnsi"/>
        </w:rPr>
      </w:pPr>
      <w:r w:rsidRPr="00734AB6">
        <w:rPr>
          <w:rFonts w:asciiTheme="majorHAnsi" w:hAnsiTheme="majorHAnsi" w:cstheme="minorHAnsi"/>
        </w:rPr>
        <w:t xml:space="preserve">Young-Powell, A. &amp; Page L. (2014).  One in five students have taken the study drug modafinil. </w:t>
      </w:r>
      <w:r w:rsidRPr="00734AB6">
        <w:rPr>
          <w:rFonts w:asciiTheme="majorHAnsi" w:hAnsiTheme="majorHAnsi" w:cstheme="minorHAnsi"/>
          <w:i/>
        </w:rPr>
        <w:t>The Guardian.</w:t>
      </w:r>
      <w:r w:rsidRPr="00734AB6">
        <w:rPr>
          <w:rFonts w:asciiTheme="majorHAnsi" w:hAnsiTheme="majorHAnsi" w:cstheme="minorHAnsi"/>
        </w:rPr>
        <w:t xml:space="preserve"> Retrieved from </w:t>
      </w:r>
      <w:hyperlink r:id="rId39" w:history="1">
        <w:r w:rsidRPr="00734AB6">
          <w:rPr>
            <w:rStyle w:val="Hyperlink"/>
            <w:rFonts w:asciiTheme="majorHAnsi" w:hAnsiTheme="majorHAnsi" w:cstheme="minorHAnsi"/>
          </w:rPr>
          <w:t>http://www.theguardian.com/education/abby-and-libby-blog/2014/may/08/one-in-five-students-have-taken-study-drug-modafinil</w:t>
        </w:r>
      </w:hyperlink>
    </w:p>
    <w:p w14:paraId="5800E963" w14:textId="77777777" w:rsidR="00C15975" w:rsidRPr="00734AB6" w:rsidRDefault="00C15975" w:rsidP="00C15975">
      <w:pPr>
        <w:spacing w:line="360" w:lineRule="auto"/>
        <w:ind w:left="709" w:hanging="709"/>
        <w:rPr>
          <w:rFonts w:ascii="Verdana" w:hAnsi="Verdana"/>
          <w:color w:val="000000"/>
          <w:sz w:val="18"/>
          <w:szCs w:val="18"/>
          <w:shd w:val="clear" w:color="auto" w:fill="FFFFFF"/>
        </w:rPr>
      </w:pPr>
      <w:proofErr w:type="spellStart"/>
      <w:r w:rsidRPr="00734AB6">
        <w:rPr>
          <w:rFonts w:asciiTheme="majorHAnsi" w:hAnsiTheme="majorHAnsi"/>
        </w:rPr>
        <w:t>Zezulka</w:t>
      </w:r>
      <w:proofErr w:type="spellEnd"/>
      <w:r w:rsidRPr="00734AB6">
        <w:rPr>
          <w:rFonts w:asciiTheme="majorHAnsi" w:hAnsiTheme="majorHAnsi"/>
        </w:rPr>
        <w:t xml:space="preserve">, L. A., &amp; </w:t>
      </w:r>
      <w:proofErr w:type="spellStart"/>
      <w:r w:rsidRPr="00734AB6">
        <w:rPr>
          <w:rFonts w:asciiTheme="majorHAnsi" w:hAnsiTheme="majorHAnsi"/>
        </w:rPr>
        <w:t>Seigfried-Spellar</w:t>
      </w:r>
      <w:proofErr w:type="spellEnd"/>
      <w:r w:rsidRPr="00734AB6">
        <w:rPr>
          <w:rFonts w:asciiTheme="majorHAnsi" w:hAnsiTheme="majorHAnsi"/>
        </w:rPr>
        <w:t xml:space="preserve">, K. (2016). Differentiating cyberbullies and internet trolls by personality characteristics and self-esteem. </w:t>
      </w:r>
      <w:r w:rsidRPr="00734AB6">
        <w:rPr>
          <w:rFonts w:asciiTheme="majorHAnsi" w:hAnsiTheme="majorHAnsi"/>
          <w:i/>
          <w:color w:val="000000"/>
          <w:shd w:val="clear" w:color="auto" w:fill="FFFFFF"/>
        </w:rPr>
        <w:t>Journal of Digital Forensics, Security and Law</w:t>
      </w:r>
      <w:r w:rsidRPr="00734AB6">
        <w:rPr>
          <w:rFonts w:ascii="Verdana" w:hAnsi="Verdana"/>
          <w:color w:val="000000"/>
          <w:sz w:val="18"/>
          <w:szCs w:val="18"/>
          <w:shd w:val="clear" w:color="auto" w:fill="FFFFFF"/>
        </w:rPr>
        <w:t xml:space="preserve">, </w:t>
      </w:r>
      <w:r w:rsidRPr="00734AB6">
        <w:rPr>
          <w:rFonts w:ascii="Verdana" w:hAnsi="Verdana"/>
          <w:i/>
          <w:color w:val="000000"/>
          <w:sz w:val="18"/>
          <w:szCs w:val="18"/>
          <w:shd w:val="clear" w:color="auto" w:fill="FFFFFF"/>
        </w:rPr>
        <w:t>11</w:t>
      </w:r>
      <w:r w:rsidRPr="00734AB6">
        <w:rPr>
          <w:rFonts w:ascii="Verdana" w:hAnsi="Verdana"/>
          <w:color w:val="000000"/>
          <w:sz w:val="18"/>
          <w:szCs w:val="18"/>
          <w:shd w:val="clear" w:color="auto" w:fill="FFFFFF"/>
        </w:rPr>
        <w:t xml:space="preserve">(3), 5. </w:t>
      </w:r>
    </w:p>
    <w:p w14:paraId="2AC821D4" w14:textId="77777777" w:rsidR="00C15975" w:rsidRPr="00734AB6" w:rsidRDefault="00C15975" w:rsidP="00C15975">
      <w:pPr>
        <w:spacing w:line="360" w:lineRule="auto"/>
        <w:ind w:left="851" w:hanging="851"/>
        <w:rPr>
          <w:rFonts w:asciiTheme="majorHAnsi" w:hAnsiTheme="majorHAnsi"/>
        </w:rPr>
      </w:pPr>
      <w:r w:rsidRPr="00734AB6">
        <w:rPr>
          <w:rFonts w:asciiTheme="majorHAnsi" w:hAnsiTheme="majorHAnsi"/>
        </w:rPr>
        <w:t>Zhang, S., Liu, P., &amp; Feng, T. (2019). To do it now or later: The cognitive mechanisms and neural substrates underlying procrastination. </w:t>
      </w:r>
      <w:r w:rsidRPr="00734AB6">
        <w:rPr>
          <w:rFonts w:asciiTheme="majorHAnsi" w:hAnsiTheme="majorHAnsi"/>
          <w:i/>
          <w:iCs/>
        </w:rPr>
        <w:t>Wiley Interdisciplinary Reviews: Cognitive Science</w:t>
      </w:r>
      <w:r w:rsidRPr="00734AB6">
        <w:rPr>
          <w:rFonts w:asciiTheme="majorHAnsi" w:hAnsiTheme="majorHAnsi"/>
        </w:rPr>
        <w:t>, </w:t>
      </w:r>
      <w:r w:rsidRPr="00734AB6">
        <w:rPr>
          <w:rFonts w:asciiTheme="majorHAnsi" w:hAnsiTheme="majorHAnsi"/>
          <w:i/>
          <w:iCs/>
        </w:rPr>
        <w:t>10</w:t>
      </w:r>
      <w:r w:rsidRPr="00734AB6">
        <w:rPr>
          <w:rFonts w:asciiTheme="majorHAnsi" w:hAnsiTheme="majorHAnsi"/>
        </w:rPr>
        <w:t>(4), e1492.</w:t>
      </w:r>
    </w:p>
    <w:p w14:paraId="4FBC7359" w14:textId="77777777" w:rsidR="004676EF" w:rsidRPr="00734AB6" w:rsidRDefault="004676EF" w:rsidP="0099584D">
      <w:pPr>
        <w:pBdr>
          <w:bottom w:val="double" w:sz="4" w:space="1" w:color="auto"/>
        </w:pBdr>
        <w:spacing w:line="360" w:lineRule="auto"/>
        <w:rPr>
          <w:rFonts w:asciiTheme="majorHAnsi" w:hAnsiTheme="majorHAnsi"/>
        </w:rPr>
      </w:pPr>
    </w:p>
    <w:p w14:paraId="76BC6475" w14:textId="3D134749" w:rsidR="00B02714" w:rsidRPr="00734AB6" w:rsidRDefault="00B02714">
      <w:pPr>
        <w:rPr>
          <w:rFonts w:asciiTheme="majorHAnsi" w:hAnsiTheme="majorHAnsi"/>
        </w:rPr>
      </w:pPr>
      <w:r w:rsidRPr="00734AB6">
        <w:rPr>
          <w:rFonts w:asciiTheme="majorHAnsi" w:hAnsiTheme="majorHAnsi"/>
        </w:rPr>
        <w:br w:type="page"/>
      </w:r>
    </w:p>
    <w:p w14:paraId="25580058"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lastRenderedPageBreak/>
        <w:t>APPENDICES</w:t>
      </w:r>
    </w:p>
    <w:p w14:paraId="341A818E" w14:textId="77777777" w:rsidR="00B02714" w:rsidRPr="00734AB6" w:rsidRDefault="00B02714" w:rsidP="0099584D">
      <w:pPr>
        <w:spacing w:line="360" w:lineRule="auto"/>
        <w:jc w:val="center"/>
        <w:rPr>
          <w:rFonts w:asciiTheme="majorHAnsi" w:hAnsiTheme="majorHAnsi"/>
          <w:b/>
        </w:rPr>
      </w:pPr>
    </w:p>
    <w:p w14:paraId="52D80323" w14:textId="256523C8" w:rsidR="004676EF" w:rsidRPr="00734AB6" w:rsidRDefault="004676EF" w:rsidP="00097C1C">
      <w:pPr>
        <w:pStyle w:val="Heading1"/>
        <w:rPr>
          <w:b/>
          <w:color w:val="auto"/>
          <w:sz w:val="22"/>
        </w:rPr>
      </w:pPr>
      <w:bookmarkStart w:id="115" w:name="_Toc45200512"/>
      <w:bookmarkStart w:id="116" w:name="_Toc48136405"/>
      <w:r w:rsidRPr="00734AB6">
        <w:rPr>
          <w:b/>
          <w:color w:val="auto"/>
          <w:sz w:val="22"/>
        </w:rPr>
        <w:t>Appendix A: Study One</w:t>
      </w:r>
      <w:bookmarkEnd w:id="115"/>
      <w:bookmarkEnd w:id="116"/>
    </w:p>
    <w:p w14:paraId="43FD27B0" w14:textId="77777777" w:rsidR="004676EF" w:rsidRPr="00734AB6" w:rsidRDefault="004676EF" w:rsidP="0099584D">
      <w:pPr>
        <w:spacing w:line="360" w:lineRule="auto"/>
        <w:rPr>
          <w:rFonts w:asciiTheme="majorHAnsi" w:hAnsiTheme="majorHAnsi"/>
          <w:b/>
        </w:rPr>
      </w:pPr>
    </w:p>
    <w:p w14:paraId="61E859D6" w14:textId="77777777" w:rsidR="004676EF" w:rsidRPr="00734AB6" w:rsidRDefault="004676EF" w:rsidP="0099584D">
      <w:pPr>
        <w:pStyle w:val="Heading2"/>
        <w:spacing w:line="360" w:lineRule="auto"/>
        <w:rPr>
          <w:b/>
          <w:color w:val="000000" w:themeColor="text1"/>
          <w:sz w:val="22"/>
          <w:szCs w:val="22"/>
        </w:rPr>
      </w:pPr>
      <w:bookmarkStart w:id="117" w:name="_Toc45200513"/>
      <w:bookmarkStart w:id="118" w:name="_Toc48136406"/>
      <w:r w:rsidRPr="00734AB6">
        <w:rPr>
          <w:b/>
          <w:color w:val="000000" w:themeColor="text1"/>
          <w:sz w:val="22"/>
          <w:szCs w:val="22"/>
        </w:rPr>
        <w:t>A(</w:t>
      </w:r>
      <w:proofErr w:type="spellStart"/>
      <w:r w:rsidRPr="00734AB6">
        <w:rPr>
          <w:b/>
          <w:color w:val="000000" w:themeColor="text1"/>
          <w:sz w:val="22"/>
          <w:szCs w:val="22"/>
        </w:rPr>
        <w:t>i</w:t>
      </w:r>
      <w:proofErr w:type="spellEnd"/>
      <w:r w:rsidRPr="00734AB6">
        <w:rPr>
          <w:b/>
          <w:color w:val="000000" w:themeColor="text1"/>
          <w:sz w:val="22"/>
          <w:szCs w:val="22"/>
        </w:rPr>
        <w:t>)</w:t>
      </w:r>
      <w:r w:rsidRPr="00734AB6">
        <w:rPr>
          <w:b/>
          <w:color w:val="000000" w:themeColor="text1"/>
          <w:sz w:val="22"/>
          <w:szCs w:val="22"/>
        </w:rPr>
        <w:tab/>
        <w:t>Questionnaire</w:t>
      </w:r>
      <w:bookmarkEnd w:id="117"/>
      <w:bookmarkEnd w:id="118"/>
    </w:p>
    <w:p w14:paraId="29CB4AD9" w14:textId="77777777" w:rsidR="004676EF" w:rsidRPr="00734AB6" w:rsidRDefault="004676EF" w:rsidP="0099584D">
      <w:pPr>
        <w:spacing w:line="360" w:lineRule="auto"/>
        <w:rPr>
          <w:rFonts w:asciiTheme="majorHAnsi" w:hAnsiTheme="majorHAnsi"/>
        </w:rPr>
      </w:pPr>
    </w:p>
    <w:p w14:paraId="77033414"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MODAFINIL AND METHYLPHENIDATE QUESTIONNAIRE</w:t>
      </w:r>
    </w:p>
    <w:p w14:paraId="50F1EDE2" w14:textId="69530B00" w:rsidR="004676EF" w:rsidRPr="00734AB6" w:rsidRDefault="004676EF" w:rsidP="0099584D">
      <w:pPr>
        <w:spacing w:after="0" w:line="360" w:lineRule="auto"/>
        <w:rPr>
          <w:rFonts w:asciiTheme="majorHAnsi" w:hAnsiTheme="majorHAnsi" w:cs="Arial"/>
          <w:b/>
          <w:i/>
        </w:rPr>
      </w:pPr>
      <w:r w:rsidRPr="00734AB6">
        <w:rPr>
          <w:rFonts w:asciiTheme="majorHAnsi" w:hAnsiTheme="majorHAnsi" w:cs="Arial"/>
          <w:b/>
        </w:rPr>
        <w:t>Demographics</w:t>
      </w:r>
      <w:r w:rsidR="00ED7005" w:rsidRPr="00734AB6">
        <w:rPr>
          <w:rFonts w:asciiTheme="majorHAnsi" w:hAnsiTheme="majorHAnsi" w:cs="Arial"/>
          <w:b/>
        </w:rPr>
        <w:t xml:space="preserve"> </w:t>
      </w:r>
      <w:r w:rsidR="00F314E1" w:rsidRPr="00734AB6">
        <w:rPr>
          <w:rFonts w:asciiTheme="majorHAnsi" w:hAnsiTheme="majorHAnsi" w:cs="Arial"/>
          <w:b/>
        </w:rPr>
        <w:t xml:space="preserve">           </w:t>
      </w:r>
      <w:r w:rsidR="00ED7005" w:rsidRPr="00734AB6">
        <w:rPr>
          <w:rFonts w:asciiTheme="majorHAnsi" w:hAnsiTheme="majorHAnsi" w:cs="Arial"/>
          <w:b/>
        </w:rPr>
        <w:t>(</w:t>
      </w:r>
      <w:r w:rsidR="00ED7005" w:rsidRPr="00734AB6">
        <w:rPr>
          <w:rFonts w:asciiTheme="majorHAnsi" w:hAnsiTheme="majorHAnsi" w:cs="Arial"/>
          <w:b/>
          <w:i/>
        </w:rPr>
        <w:t>please note, these headings were not visible to respondents)</w:t>
      </w:r>
    </w:p>
    <w:p w14:paraId="6C3FD270" w14:textId="77777777" w:rsidR="004676EF" w:rsidRPr="00734AB6" w:rsidRDefault="004676EF" w:rsidP="0099584D">
      <w:pPr>
        <w:pStyle w:val="ListParagraph"/>
        <w:numPr>
          <w:ilvl w:val="0"/>
          <w:numId w:val="9"/>
        </w:numPr>
        <w:spacing w:after="240" w:line="360" w:lineRule="auto"/>
        <w:rPr>
          <w:rFonts w:asciiTheme="majorHAnsi" w:hAnsiTheme="majorHAnsi" w:cs="Arial"/>
        </w:rPr>
      </w:pPr>
      <w:r w:rsidRPr="00734AB6">
        <w:rPr>
          <w:rFonts w:asciiTheme="majorHAnsi" w:hAnsiTheme="majorHAnsi" w:cs="Arial"/>
        </w:rPr>
        <w:t xml:space="preserve">How old are you?  </w:t>
      </w:r>
      <w:r w:rsidRPr="00734AB6">
        <w:rPr>
          <w:rFonts w:asciiTheme="majorHAnsi" w:hAnsiTheme="majorHAnsi" w:cs="Arial"/>
          <w:color w:val="0070C0"/>
        </w:rPr>
        <w:t>(en</w:t>
      </w:r>
      <w:r w:rsidRPr="00734AB6">
        <w:rPr>
          <w:rFonts w:asciiTheme="majorHAnsi" w:hAnsiTheme="majorHAnsi" w:cs="Arial"/>
          <w:i/>
          <w:color w:val="0070C0"/>
        </w:rPr>
        <w:t>ter number</w:t>
      </w:r>
      <w:r w:rsidRPr="00734AB6">
        <w:rPr>
          <w:rFonts w:asciiTheme="majorHAnsi" w:hAnsiTheme="majorHAnsi" w:cs="Arial"/>
          <w:color w:val="0070C0"/>
        </w:rPr>
        <w:t>)</w:t>
      </w:r>
    </w:p>
    <w:p w14:paraId="6778FCA2"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Are you   male       female      (</w:t>
      </w:r>
      <w:r w:rsidRPr="00734AB6">
        <w:rPr>
          <w:rFonts w:asciiTheme="majorHAnsi" w:hAnsiTheme="majorHAnsi" w:cs="Arial"/>
          <w:i/>
          <w:color w:val="0070C0"/>
        </w:rPr>
        <w:t>tick boxes</w:t>
      </w:r>
      <w:r w:rsidRPr="00734AB6">
        <w:rPr>
          <w:rFonts w:asciiTheme="majorHAnsi" w:hAnsiTheme="majorHAnsi" w:cs="Arial"/>
          <w:color w:val="0070C0"/>
        </w:rPr>
        <w:t>)</w:t>
      </w:r>
    </w:p>
    <w:p w14:paraId="2780CD10"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What is your nationality   </w:t>
      </w:r>
      <w:r w:rsidRPr="00734AB6">
        <w:rPr>
          <w:rFonts w:asciiTheme="majorHAnsi" w:hAnsiTheme="majorHAnsi" w:cs="Arial"/>
          <w:i/>
          <w:color w:val="0070C0"/>
        </w:rPr>
        <w:t>(free text box)</w:t>
      </w:r>
    </w:p>
    <w:p w14:paraId="13479C1B"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What country do you live in?        </w:t>
      </w:r>
      <w:r w:rsidRPr="00734AB6">
        <w:rPr>
          <w:rFonts w:asciiTheme="majorHAnsi" w:hAnsiTheme="majorHAnsi" w:cs="Arial"/>
          <w:i/>
          <w:color w:val="0070C0"/>
        </w:rPr>
        <w:t>(free text box)</w:t>
      </w:r>
    </w:p>
    <w:p w14:paraId="3D3C819D"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What is your highest level of education   </w:t>
      </w:r>
    </w:p>
    <w:p w14:paraId="55453AA7" w14:textId="77777777" w:rsidR="004676EF" w:rsidRPr="00734AB6" w:rsidRDefault="004676EF" w:rsidP="0099584D">
      <w:pPr>
        <w:spacing w:after="0" w:line="360" w:lineRule="auto"/>
        <w:ind w:left="360" w:hanging="360"/>
        <w:rPr>
          <w:rFonts w:asciiTheme="majorHAnsi" w:hAnsiTheme="majorHAnsi" w:cs="Arial"/>
        </w:rPr>
      </w:pPr>
      <w:r w:rsidRPr="00734AB6">
        <w:rPr>
          <w:rFonts w:asciiTheme="majorHAnsi" w:hAnsiTheme="majorHAnsi" w:cs="Arial"/>
          <w:i/>
          <w:color w:val="0070C0"/>
        </w:rPr>
        <w:t xml:space="preserve">dropdown menu: No formal qualifications, </w:t>
      </w:r>
    </w:p>
    <w:p w14:paraId="5BE7F19B" w14:textId="77777777" w:rsidR="004676EF" w:rsidRPr="00734AB6" w:rsidRDefault="004676EF" w:rsidP="0099584D">
      <w:pPr>
        <w:tabs>
          <w:tab w:val="left" w:pos="8364"/>
        </w:tabs>
        <w:spacing w:after="0" w:line="360" w:lineRule="auto"/>
        <w:ind w:left="360" w:hanging="360"/>
        <w:rPr>
          <w:rFonts w:asciiTheme="majorHAnsi" w:hAnsiTheme="majorHAnsi" w:cs="Arial"/>
          <w:i/>
          <w:color w:val="0070C0"/>
        </w:rPr>
      </w:pPr>
      <w:r w:rsidRPr="00734AB6">
        <w:rPr>
          <w:rFonts w:asciiTheme="majorHAnsi" w:hAnsiTheme="majorHAnsi" w:cs="Arial"/>
          <w:i/>
          <w:color w:val="0070C0"/>
        </w:rPr>
        <w:t xml:space="preserve">Educated to age 16 (e.g. G.C.S.E.), </w:t>
      </w:r>
    </w:p>
    <w:p w14:paraId="6C2CB873" w14:textId="77777777" w:rsidR="004676EF" w:rsidRPr="00734AB6" w:rsidRDefault="004676EF" w:rsidP="0099584D">
      <w:pPr>
        <w:tabs>
          <w:tab w:val="left" w:pos="8364"/>
        </w:tabs>
        <w:spacing w:after="0" w:line="360" w:lineRule="auto"/>
        <w:ind w:left="360" w:hanging="360"/>
        <w:rPr>
          <w:rFonts w:asciiTheme="majorHAnsi" w:hAnsiTheme="majorHAnsi" w:cs="Arial"/>
          <w:i/>
          <w:color w:val="0070C0"/>
        </w:rPr>
      </w:pPr>
      <w:r w:rsidRPr="00734AB6">
        <w:rPr>
          <w:rFonts w:asciiTheme="majorHAnsi" w:hAnsiTheme="majorHAnsi" w:cs="Arial"/>
          <w:i/>
          <w:color w:val="0070C0"/>
        </w:rPr>
        <w:t xml:space="preserve">Educated to age 18 (e.g. A-level, High School, I.B.), </w:t>
      </w:r>
    </w:p>
    <w:p w14:paraId="0AACF843" w14:textId="77777777" w:rsidR="004676EF" w:rsidRPr="00734AB6" w:rsidRDefault="004676EF" w:rsidP="0099584D">
      <w:pPr>
        <w:tabs>
          <w:tab w:val="left" w:pos="8364"/>
        </w:tabs>
        <w:spacing w:after="0" w:line="360" w:lineRule="auto"/>
        <w:ind w:left="360" w:hanging="360"/>
        <w:rPr>
          <w:rFonts w:asciiTheme="majorHAnsi" w:hAnsiTheme="majorHAnsi" w:cs="Arial"/>
          <w:i/>
          <w:color w:val="0070C0"/>
        </w:rPr>
      </w:pPr>
      <w:r w:rsidRPr="00734AB6">
        <w:rPr>
          <w:rFonts w:asciiTheme="majorHAnsi" w:hAnsiTheme="majorHAnsi" w:cs="Arial"/>
          <w:i/>
          <w:color w:val="0070C0"/>
        </w:rPr>
        <w:t xml:space="preserve">University Degree (BSc, BA), </w:t>
      </w:r>
    </w:p>
    <w:p w14:paraId="28BCC5C8" w14:textId="77777777" w:rsidR="004676EF" w:rsidRPr="00734AB6" w:rsidRDefault="004676EF" w:rsidP="0099584D">
      <w:pPr>
        <w:tabs>
          <w:tab w:val="left" w:pos="8364"/>
        </w:tabs>
        <w:spacing w:after="240" w:line="360" w:lineRule="auto"/>
        <w:ind w:left="360" w:hanging="360"/>
        <w:rPr>
          <w:rFonts w:asciiTheme="majorHAnsi" w:hAnsiTheme="majorHAnsi" w:cs="Arial"/>
          <w:i/>
          <w:color w:val="0070C0"/>
        </w:rPr>
      </w:pPr>
      <w:r w:rsidRPr="00734AB6">
        <w:rPr>
          <w:rFonts w:asciiTheme="majorHAnsi" w:hAnsiTheme="majorHAnsi" w:cs="Arial"/>
          <w:i/>
          <w:color w:val="0070C0"/>
        </w:rPr>
        <w:t xml:space="preserve">Post-Graduate Degree (MSc, MA, PhD) </w:t>
      </w:r>
    </w:p>
    <w:p w14:paraId="6CFC6045"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Are you currently studying for a qualification?  (</w:t>
      </w:r>
      <w:r w:rsidRPr="00734AB6">
        <w:rPr>
          <w:rFonts w:asciiTheme="majorHAnsi" w:hAnsiTheme="majorHAnsi" w:cs="Arial"/>
          <w:color w:val="0070C0"/>
        </w:rPr>
        <w:t>click yes or no</w:t>
      </w:r>
      <w:r w:rsidRPr="00734AB6">
        <w:rPr>
          <w:rFonts w:asciiTheme="majorHAnsi" w:hAnsiTheme="majorHAnsi" w:cs="Arial"/>
        </w:rPr>
        <w:t xml:space="preserve">)  </w:t>
      </w:r>
    </w:p>
    <w:p w14:paraId="2906365F" w14:textId="77777777" w:rsidR="004676EF" w:rsidRPr="00734AB6" w:rsidRDefault="004676EF" w:rsidP="0099584D">
      <w:pPr>
        <w:spacing w:before="240" w:after="0" w:line="360" w:lineRule="auto"/>
        <w:ind w:left="360" w:hanging="360"/>
        <w:rPr>
          <w:rFonts w:asciiTheme="majorHAnsi" w:hAnsiTheme="majorHAnsi" w:cs="Arial"/>
        </w:rPr>
      </w:pPr>
      <w:r w:rsidRPr="00734AB6">
        <w:rPr>
          <w:rFonts w:asciiTheme="majorHAnsi" w:hAnsiTheme="majorHAnsi" w:cs="Arial"/>
        </w:rPr>
        <w:t>If yes, are you a university student? (</w:t>
      </w:r>
      <w:r w:rsidRPr="00734AB6">
        <w:rPr>
          <w:rFonts w:asciiTheme="majorHAnsi" w:hAnsiTheme="majorHAnsi" w:cs="Arial"/>
          <w:color w:val="0070C0"/>
        </w:rPr>
        <w:t>click yes or no</w:t>
      </w:r>
      <w:r w:rsidRPr="00734AB6">
        <w:rPr>
          <w:rFonts w:asciiTheme="majorHAnsi" w:hAnsiTheme="majorHAnsi" w:cs="Arial"/>
        </w:rPr>
        <w:t xml:space="preserve">)   </w:t>
      </w:r>
    </w:p>
    <w:p w14:paraId="6E60A55D"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Are you working at the moment?   (</w:t>
      </w:r>
      <w:r w:rsidRPr="00734AB6">
        <w:rPr>
          <w:rFonts w:asciiTheme="majorHAnsi" w:hAnsiTheme="majorHAnsi" w:cs="Arial"/>
          <w:color w:val="0070C0"/>
        </w:rPr>
        <w:t>select from options)</w:t>
      </w:r>
    </w:p>
    <w:p w14:paraId="0CB4CC3C" w14:textId="77777777" w:rsidR="004676EF" w:rsidRPr="00734AB6" w:rsidRDefault="004676EF" w:rsidP="0099584D">
      <w:pPr>
        <w:spacing w:before="240" w:after="0" w:line="360" w:lineRule="auto"/>
        <w:ind w:left="360" w:hanging="360"/>
        <w:rPr>
          <w:rFonts w:asciiTheme="majorHAnsi" w:hAnsiTheme="majorHAnsi" w:cs="Arial"/>
          <w:color w:val="000000"/>
        </w:rPr>
      </w:pPr>
      <w:r w:rsidRPr="00734AB6">
        <w:rPr>
          <w:rFonts w:asciiTheme="majorHAnsi" w:hAnsiTheme="majorHAnsi" w:cs="Arial"/>
          <w:color w:val="000000"/>
        </w:rPr>
        <w:t xml:space="preserve">Yes, full-time paid        </w:t>
      </w:r>
    </w:p>
    <w:p w14:paraId="0F0BDF8F" w14:textId="77777777" w:rsidR="004676EF" w:rsidRPr="00734AB6" w:rsidRDefault="004676EF" w:rsidP="0099584D">
      <w:pPr>
        <w:spacing w:before="240" w:after="0" w:line="360" w:lineRule="auto"/>
        <w:ind w:left="360" w:hanging="360"/>
        <w:rPr>
          <w:rFonts w:asciiTheme="majorHAnsi" w:hAnsiTheme="majorHAnsi" w:cs="Arial"/>
          <w:color w:val="000000"/>
        </w:rPr>
      </w:pPr>
      <w:r w:rsidRPr="00734AB6">
        <w:rPr>
          <w:rFonts w:asciiTheme="majorHAnsi" w:hAnsiTheme="majorHAnsi" w:cs="Arial"/>
          <w:color w:val="000000"/>
        </w:rPr>
        <w:t xml:space="preserve">Yes, part-time paid         </w:t>
      </w:r>
    </w:p>
    <w:p w14:paraId="558C288C" w14:textId="77777777" w:rsidR="004676EF" w:rsidRPr="00734AB6" w:rsidRDefault="004676EF" w:rsidP="0099584D">
      <w:pPr>
        <w:spacing w:before="240" w:after="0" w:line="360" w:lineRule="auto"/>
        <w:ind w:left="360" w:hanging="360"/>
        <w:rPr>
          <w:rFonts w:asciiTheme="majorHAnsi" w:hAnsiTheme="majorHAnsi" w:cs="Arial"/>
          <w:color w:val="000000"/>
        </w:rPr>
      </w:pPr>
      <w:r w:rsidRPr="00734AB6">
        <w:rPr>
          <w:rFonts w:asciiTheme="majorHAnsi" w:hAnsiTheme="majorHAnsi" w:cs="Arial"/>
          <w:color w:val="000000"/>
        </w:rPr>
        <w:t xml:space="preserve">Yes, full-time voluntary      </w:t>
      </w:r>
    </w:p>
    <w:p w14:paraId="7CFC5427" w14:textId="77777777" w:rsidR="004676EF" w:rsidRPr="00734AB6" w:rsidRDefault="004676EF" w:rsidP="0099584D">
      <w:pPr>
        <w:spacing w:before="240" w:after="0" w:line="360" w:lineRule="auto"/>
        <w:ind w:left="360" w:hanging="360"/>
        <w:rPr>
          <w:rFonts w:asciiTheme="majorHAnsi" w:hAnsiTheme="majorHAnsi" w:cs="Arial"/>
          <w:color w:val="000000"/>
        </w:rPr>
      </w:pPr>
      <w:r w:rsidRPr="00734AB6">
        <w:rPr>
          <w:rFonts w:asciiTheme="majorHAnsi" w:hAnsiTheme="majorHAnsi" w:cs="Arial"/>
          <w:color w:val="000000"/>
        </w:rPr>
        <w:t xml:space="preserve">Yes, part-time voluntary         </w:t>
      </w:r>
    </w:p>
    <w:p w14:paraId="77355F70" w14:textId="77777777" w:rsidR="004676EF" w:rsidRPr="00734AB6" w:rsidRDefault="004676EF" w:rsidP="0099584D">
      <w:pPr>
        <w:spacing w:before="240" w:after="0" w:line="360" w:lineRule="auto"/>
        <w:ind w:left="360" w:hanging="360"/>
        <w:rPr>
          <w:rFonts w:asciiTheme="majorHAnsi" w:hAnsiTheme="majorHAnsi" w:cs="Arial"/>
          <w:color w:val="000000"/>
        </w:rPr>
      </w:pPr>
      <w:r w:rsidRPr="00734AB6">
        <w:rPr>
          <w:rFonts w:asciiTheme="majorHAnsi" w:hAnsiTheme="majorHAnsi" w:cs="Arial"/>
          <w:color w:val="000000"/>
        </w:rPr>
        <w:t xml:space="preserve">No                   </w:t>
      </w:r>
    </w:p>
    <w:p w14:paraId="559B54E1" w14:textId="77777777" w:rsidR="004676EF" w:rsidRPr="00734AB6" w:rsidRDefault="004676EF" w:rsidP="0099584D">
      <w:pPr>
        <w:spacing w:before="240" w:after="0" w:line="360" w:lineRule="auto"/>
        <w:ind w:left="360" w:hanging="360"/>
        <w:rPr>
          <w:rFonts w:asciiTheme="majorHAnsi" w:hAnsiTheme="majorHAnsi" w:cs="Arial"/>
          <w:color w:val="000000"/>
        </w:rPr>
      </w:pPr>
      <w:r w:rsidRPr="00734AB6">
        <w:rPr>
          <w:rFonts w:asciiTheme="majorHAnsi" w:hAnsiTheme="majorHAnsi" w:cs="Arial"/>
          <w:color w:val="000000"/>
        </w:rPr>
        <w:t>If in employment, please state your job title or role</w:t>
      </w:r>
      <w:r w:rsidRPr="00734AB6">
        <w:rPr>
          <w:rFonts w:asciiTheme="majorHAnsi" w:hAnsiTheme="majorHAnsi" w:cs="Arial"/>
          <w:color w:val="0070C0"/>
        </w:rPr>
        <w:t xml:space="preserve"> (</w:t>
      </w:r>
      <w:r w:rsidRPr="00734AB6">
        <w:rPr>
          <w:rFonts w:asciiTheme="majorHAnsi" w:hAnsiTheme="majorHAnsi" w:cs="Arial"/>
          <w:i/>
          <w:color w:val="0070C0"/>
        </w:rPr>
        <w:t>enter text)</w:t>
      </w:r>
    </w:p>
    <w:p w14:paraId="77E8EC84" w14:textId="77777777" w:rsidR="00B02714" w:rsidRPr="00734AB6" w:rsidRDefault="00B02714" w:rsidP="0099584D">
      <w:pPr>
        <w:spacing w:before="240" w:after="240" w:line="360" w:lineRule="auto"/>
        <w:ind w:left="360" w:hanging="360"/>
        <w:rPr>
          <w:rFonts w:asciiTheme="majorHAnsi" w:hAnsiTheme="majorHAnsi" w:cs="Arial"/>
          <w:b/>
        </w:rPr>
      </w:pPr>
    </w:p>
    <w:p w14:paraId="43142C0E" w14:textId="77777777" w:rsidR="004676EF" w:rsidRPr="00734AB6" w:rsidRDefault="004676EF" w:rsidP="0099584D">
      <w:pPr>
        <w:spacing w:before="240" w:after="240" w:line="360" w:lineRule="auto"/>
        <w:ind w:left="360" w:hanging="360"/>
        <w:rPr>
          <w:rFonts w:asciiTheme="majorHAnsi" w:hAnsiTheme="majorHAnsi" w:cs="Arial"/>
          <w:b/>
        </w:rPr>
      </w:pPr>
      <w:r w:rsidRPr="00734AB6">
        <w:rPr>
          <w:rFonts w:asciiTheme="majorHAnsi" w:hAnsiTheme="majorHAnsi" w:cs="Arial"/>
          <w:b/>
        </w:rPr>
        <w:lastRenderedPageBreak/>
        <w:t>Drug awareness</w:t>
      </w:r>
    </w:p>
    <w:p w14:paraId="77EAF9A3"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Are you aware of cognitive enhancing drugs?  </w:t>
      </w:r>
      <w:r w:rsidRPr="00734AB6">
        <w:rPr>
          <w:rFonts w:asciiTheme="majorHAnsi" w:hAnsiTheme="majorHAnsi" w:cs="Arial"/>
          <w:color w:val="0070C0"/>
        </w:rPr>
        <w:t>Yes/No options</w:t>
      </w:r>
    </w:p>
    <w:p w14:paraId="0C77D948" w14:textId="77777777" w:rsidR="004676EF" w:rsidRPr="00734AB6" w:rsidRDefault="004676EF" w:rsidP="0099584D">
      <w:pPr>
        <w:spacing w:before="240" w:after="240" w:line="360" w:lineRule="auto"/>
        <w:ind w:left="360" w:hanging="360"/>
        <w:rPr>
          <w:rFonts w:asciiTheme="majorHAnsi" w:hAnsiTheme="majorHAnsi" w:cs="Arial"/>
        </w:rPr>
      </w:pPr>
      <w:r w:rsidRPr="00734AB6">
        <w:rPr>
          <w:rFonts w:asciiTheme="majorHAnsi" w:hAnsiTheme="majorHAnsi" w:cs="Arial"/>
          <w:color w:val="0070C0"/>
        </w:rPr>
        <w:t>(</w:t>
      </w:r>
      <w:r w:rsidRPr="00734AB6">
        <w:rPr>
          <w:rFonts w:asciiTheme="majorHAnsi" w:hAnsiTheme="majorHAnsi" w:cs="Arial"/>
          <w:i/>
          <w:color w:val="0070C0"/>
        </w:rPr>
        <w:t xml:space="preserve">yes leads to Medical health and drug use) </w:t>
      </w:r>
      <w:r w:rsidRPr="00734AB6">
        <w:rPr>
          <w:rFonts w:asciiTheme="majorHAnsi" w:hAnsiTheme="majorHAnsi" w:cs="Arial"/>
        </w:rPr>
        <w:t xml:space="preserve">   No     </w:t>
      </w:r>
      <w:r w:rsidRPr="00734AB6">
        <w:rPr>
          <w:rFonts w:asciiTheme="majorHAnsi" w:hAnsiTheme="majorHAnsi" w:cs="Arial"/>
          <w:color w:val="0070C0"/>
        </w:rPr>
        <w:t>(</w:t>
      </w:r>
      <w:r w:rsidRPr="00734AB6">
        <w:rPr>
          <w:rFonts w:asciiTheme="majorHAnsi" w:hAnsiTheme="majorHAnsi" w:cs="Arial"/>
          <w:i/>
          <w:color w:val="0070C0"/>
        </w:rPr>
        <w:t>no leads to next question)</w:t>
      </w:r>
    </w:p>
    <w:p w14:paraId="6CD74465"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 xml:space="preserve">If you could take a drug to increase your attention/concentration/memory, would you?  </w:t>
      </w:r>
    </w:p>
    <w:p w14:paraId="1967BB19" w14:textId="77777777" w:rsidR="004676EF" w:rsidRPr="00734AB6" w:rsidRDefault="004676EF" w:rsidP="0099584D">
      <w:pPr>
        <w:spacing w:after="0" w:line="360" w:lineRule="auto"/>
        <w:ind w:left="360" w:hanging="360"/>
        <w:rPr>
          <w:rFonts w:asciiTheme="majorHAnsi" w:hAnsiTheme="majorHAnsi" w:cs="Arial"/>
          <w:color w:val="0070C0"/>
        </w:rPr>
      </w:pPr>
      <w:r w:rsidRPr="00734AB6">
        <w:rPr>
          <w:rFonts w:asciiTheme="majorHAnsi" w:hAnsiTheme="majorHAnsi" w:cs="Arial"/>
          <w:color w:val="0070C0"/>
        </w:rPr>
        <w:t>Options of Yes, No or Maybe</w:t>
      </w:r>
    </w:p>
    <w:p w14:paraId="3B8170D8" w14:textId="77777777" w:rsidR="004676EF" w:rsidRPr="00734AB6" w:rsidRDefault="004676EF" w:rsidP="0099584D">
      <w:pPr>
        <w:spacing w:before="240" w:line="360" w:lineRule="auto"/>
        <w:ind w:left="360" w:hanging="360"/>
        <w:rPr>
          <w:rFonts w:asciiTheme="majorHAnsi" w:hAnsiTheme="majorHAnsi" w:cs="Arial"/>
          <w:b/>
        </w:rPr>
      </w:pPr>
      <w:r w:rsidRPr="00734AB6">
        <w:rPr>
          <w:rFonts w:asciiTheme="majorHAnsi" w:hAnsiTheme="majorHAnsi" w:cs="Arial"/>
          <w:b/>
        </w:rPr>
        <w:t>Medical health and drug use</w:t>
      </w:r>
    </w:p>
    <w:p w14:paraId="6FD2E23C" w14:textId="77777777" w:rsidR="004676EF" w:rsidRPr="00734AB6" w:rsidRDefault="004676EF" w:rsidP="0099584D">
      <w:pPr>
        <w:pStyle w:val="ListParagraph"/>
        <w:numPr>
          <w:ilvl w:val="0"/>
          <w:numId w:val="9"/>
        </w:numPr>
        <w:spacing w:after="240" w:line="360" w:lineRule="auto"/>
        <w:rPr>
          <w:rFonts w:asciiTheme="majorHAnsi" w:hAnsiTheme="majorHAnsi" w:cs="Arial"/>
        </w:rPr>
      </w:pPr>
      <w:r w:rsidRPr="00734AB6">
        <w:rPr>
          <w:rFonts w:asciiTheme="majorHAnsi" w:hAnsiTheme="majorHAnsi" w:cs="Arial"/>
        </w:rPr>
        <w:t xml:space="preserve">Have you ever been diagnosed with a psychiatric condition?    </w:t>
      </w:r>
    </w:p>
    <w:p w14:paraId="083E1ADA" w14:textId="77777777" w:rsidR="004676EF" w:rsidRPr="00734AB6" w:rsidRDefault="004676EF" w:rsidP="0099584D">
      <w:pPr>
        <w:spacing w:after="240" w:line="360" w:lineRule="auto"/>
        <w:ind w:left="360" w:hanging="360"/>
        <w:rPr>
          <w:rFonts w:asciiTheme="majorHAnsi" w:hAnsiTheme="majorHAnsi" w:cs="Arial"/>
        </w:rPr>
      </w:pPr>
      <w:r w:rsidRPr="00734AB6">
        <w:rPr>
          <w:rFonts w:asciiTheme="majorHAnsi" w:hAnsiTheme="majorHAnsi" w:cs="Arial"/>
        </w:rPr>
        <w:t>Yes</w:t>
      </w:r>
      <w:r w:rsidRPr="00734AB6">
        <w:rPr>
          <w:rFonts w:asciiTheme="majorHAnsi" w:hAnsiTheme="majorHAnsi" w:cs="Arial"/>
          <w:color w:val="0070C0"/>
        </w:rPr>
        <w:t>(</w:t>
      </w:r>
      <w:r w:rsidRPr="00734AB6">
        <w:rPr>
          <w:rFonts w:asciiTheme="majorHAnsi" w:hAnsiTheme="majorHAnsi" w:cs="Arial"/>
          <w:i/>
          <w:color w:val="0070C0"/>
        </w:rPr>
        <w:t>leads to next question</w:t>
      </w:r>
      <w:r w:rsidRPr="00734AB6">
        <w:rPr>
          <w:rFonts w:asciiTheme="majorHAnsi" w:hAnsiTheme="majorHAnsi" w:cs="Arial"/>
          <w:color w:val="0070C0"/>
        </w:rPr>
        <w:t>)</w:t>
      </w:r>
      <w:r w:rsidRPr="00734AB6">
        <w:rPr>
          <w:rFonts w:asciiTheme="majorHAnsi" w:hAnsiTheme="majorHAnsi" w:cs="Arial"/>
        </w:rPr>
        <w:t xml:space="preserve">    No   </w:t>
      </w:r>
      <w:r w:rsidRPr="00734AB6">
        <w:rPr>
          <w:rFonts w:asciiTheme="majorHAnsi" w:hAnsiTheme="majorHAnsi" w:cs="Arial"/>
          <w:color w:val="0070C0"/>
        </w:rPr>
        <w:t>(</w:t>
      </w:r>
      <w:r w:rsidRPr="00734AB6">
        <w:rPr>
          <w:rFonts w:asciiTheme="majorHAnsi" w:hAnsiTheme="majorHAnsi" w:cs="Arial"/>
          <w:i/>
          <w:color w:val="0070C0"/>
        </w:rPr>
        <w:t>leads to Q.14</w:t>
      </w:r>
      <w:r w:rsidRPr="00734AB6">
        <w:rPr>
          <w:rFonts w:asciiTheme="majorHAnsi" w:hAnsiTheme="majorHAnsi" w:cs="Arial"/>
          <w:color w:val="0070C0"/>
        </w:rPr>
        <w:t>)</w:t>
      </w:r>
    </w:p>
    <w:p w14:paraId="5198C4D5"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What was the diagnosis? </w:t>
      </w:r>
      <w:r w:rsidRPr="00734AB6">
        <w:rPr>
          <w:rFonts w:asciiTheme="majorHAnsi" w:hAnsiTheme="majorHAnsi" w:cs="Arial"/>
          <w:i/>
          <w:color w:val="0070C0"/>
        </w:rPr>
        <w:t>enter text (leads to next question)</w:t>
      </w:r>
    </w:p>
    <w:p w14:paraId="6CC3FC96"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When was the diagnosis made?  </w:t>
      </w:r>
      <w:r w:rsidRPr="00734AB6">
        <w:rPr>
          <w:rFonts w:asciiTheme="majorHAnsi" w:hAnsiTheme="majorHAnsi" w:cs="Arial"/>
          <w:i/>
          <w:color w:val="0070C0"/>
        </w:rPr>
        <w:t>Type year</w:t>
      </w:r>
    </w:p>
    <w:p w14:paraId="35BE0532"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Are you still receiving treatment? </w:t>
      </w:r>
      <w:r w:rsidRPr="00734AB6">
        <w:rPr>
          <w:rFonts w:asciiTheme="majorHAnsi" w:hAnsiTheme="majorHAnsi" w:cs="Arial"/>
          <w:color w:val="0070C0"/>
        </w:rPr>
        <w:t xml:space="preserve">Options of Yes or No        </w:t>
      </w:r>
    </w:p>
    <w:p w14:paraId="55DA2EFF" w14:textId="77777777" w:rsidR="004676EF" w:rsidRPr="00734AB6" w:rsidRDefault="004676EF" w:rsidP="0099584D">
      <w:pPr>
        <w:tabs>
          <w:tab w:val="left" w:pos="3402"/>
          <w:tab w:val="left" w:pos="5245"/>
          <w:tab w:val="left" w:pos="7230"/>
          <w:tab w:val="left" w:pos="11340"/>
        </w:tabs>
        <w:spacing w:before="240" w:after="0" w:line="360" w:lineRule="auto"/>
        <w:ind w:right="-165"/>
        <w:rPr>
          <w:rFonts w:asciiTheme="majorHAnsi" w:hAnsiTheme="majorHAnsi" w:cs="Arial"/>
          <w:b/>
        </w:rPr>
      </w:pPr>
      <w:r w:rsidRPr="00734AB6">
        <w:rPr>
          <w:rFonts w:asciiTheme="majorHAnsi" w:hAnsiTheme="majorHAnsi" w:cs="Arial"/>
          <w:b/>
        </w:rPr>
        <w:t>Drug use</w:t>
      </w:r>
    </w:p>
    <w:p w14:paraId="2E49D2B1" w14:textId="77777777" w:rsidR="004676EF" w:rsidRPr="00734AB6" w:rsidRDefault="004676EF" w:rsidP="0099584D">
      <w:pPr>
        <w:tabs>
          <w:tab w:val="left" w:pos="3402"/>
          <w:tab w:val="left" w:pos="5245"/>
          <w:tab w:val="left" w:pos="7230"/>
          <w:tab w:val="left" w:pos="11340"/>
        </w:tabs>
        <w:spacing w:before="240" w:after="0" w:line="360" w:lineRule="auto"/>
        <w:ind w:left="360" w:right="-165"/>
        <w:rPr>
          <w:rFonts w:asciiTheme="majorHAnsi" w:hAnsiTheme="majorHAnsi" w:cs="Arial"/>
          <w:color w:val="0070C0"/>
        </w:rPr>
      </w:pPr>
      <w:r w:rsidRPr="00734AB6">
        <w:rPr>
          <w:rFonts w:asciiTheme="majorHAnsi" w:hAnsiTheme="majorHAnsi" w:cs="Arial"/>
          <w:color w:val="0070C0"/>
        </w:rPr>
        <w:t>For each of the following drugs, questions ‘Ever used’ and ‘Used in the last year’ were presented with options of Yes or No and ‘age when first used’ was presented with a free text box.</w:t>
      </w:r>
    </w:p>
    <w:p w14:paraId="612492E9" w14:textId="77777777" w:rsidR="004676EF" w:rsidRPr="00734AB6" w:rsidRDefault="004676EF" w:rsidP="0099584D">
      <w:pPr>
        <w:tabs>
          <w:tab w:val="left" w:pos="3402"/>
          <w:tab w:val="left" w:pos="5245"/>
          <w:tab w:val="left" w:pos="7230"/>
          <w:tab w:val="left" w:pos="11340"/>
        </w:tabs>
        <w:spacing w:before="240" w:after="0" w:line="360" w:lineRule="auto"/>
        <w:ind w:left="360" w:right="-165"/>
        <w:rPr>
          <w:rFonts w:asciiTheme="majorHAnsi" w:hAnsiTheme="majorHAnsi" w:cs="Arial"/>
        </w:rPr>
      </w:pPr>
      <w:r w:rsidRPr="00734AB6">
        <w:rPr>
          <w:rFonts w:asciiTheme="majorHAnsi" w:hAnsiTheme="majorHAnsi" w:cs="Arial"/>
        </w:rPr>
        <w:t>Cannabis</w:t>
      </w:r>
    </w:p>
    <w:p w14:paraId="5324E0D7" w14:textId="77777777" w:rsidR="004676EF" w:rsidRPr="00734AB6" w:rsidRDefault="004676EF" w:rsidP="0099584D">
      <w:pPr>
        <w:tabs>
          <w:tab w:val="left" w:pos="3402"/>
          <w:tab w:val="left" w:pos="5245"/>
          <w:tab w:val="left" w:pos="7230"/>
          <w:tab w:val="left" w:pos="11340"/>
        </w:tabs>
        <w:spacing w:before="240" w:after="0" w:line="360" w:lineRule="auto"/>
        <w:ind w:left="360" w:right="-165"/>
        <w:rPr>
          <w:rFonts w:asciiTheme="majorHAnsi" w:hAnsiTheme="majorHAnsi" w:cs="Arial"/>
        </w:rPr>
      </w:pPr>
      <w:r w:rsidRPr="00734AB6">
        <w:rPr>
          <w:rFonts w:asciiTheme="majorHAnsi" w:hAnsiTheme="majorHAnsi" w:cs="Arial"/>
        </w:rPr>
        <w:t>Cocaine</w:t>
      </w:r>
    </w:p>
    <w:p w14:paraId="48D27D09" w14:textId="77777777" w:rsidR="004676EF" w:rsidRPr="00734AB6" w:rsidRDefault="004676EF" w:rsidP="0099584D">
      <w:pPr>
        <w:tabs>
          <w:tab w:val="left" w:pos="3402"/>
          <w:tab w:val="left" w:pos="5245"/>
          <w:tab w:val="left" w:pos="7230"/>
          <w:tab w:val="left" w:pos="11340"/>
        </w:tabs>
        <w:spacing w:before="240" w:after="0" w:line="360" w:lineRule="auto"/>
        <w:ind w:left="360" w:right="-165"/>
        <w:rPr>
          <w:rFonts w:asciiTheme="majorHAnsi" w:hAnsiTheme="majorHAnsi" w:cs="Arial"/>
        </w:rPr>
      </w:pPr>
      <w:r w:rsidRPr="00734AB6">
        <w:rPr>
          <w:rFonts w:asciiTheme="majorHAnsi" w:hAnsiTheme="majorHAnsi" w:cs="Arial"/>
        </w:rPr>
        <w:t>Amphetamines (speed)</w:t>
      </w:r>
    </w:p>
    <w:p w14:paraId="4E138F72" w14:textId="77777777" w:rsidR="004676EF" w:rsidRPr="00734AB6" w:rsidRDefault="004676EF" w:rsidP="0099584D">
      <w:pPr>
        <w:tabs>
          <w:tab w:val="left" w:pos="3402"/>
          <w:tab w:val="left" w:pos="5245"/>
          <w:tab w:val="left" w:pos="7230"/>
          <w:tab w:val="left" w:pos="11340"/>
        </w:tabs>
        <w:spacing w:before="240" w:after="0" w:line="360" w:lineRule="auto"/>
        <w:ind w:left="360" w:right="-165"/>
        <w:rPr>
          <w:rFonts w:asciiTheme="majorHAnsi" w:hAnsiTheme="majorHAnsi" w:cs="Arial"/>
        </w:rPr>
      </w:pPr>
      <w:r w:rsidRPr="00734AB6">
        <w:rPr>
          <w:rFonts w:asciiTheme="majorHAnsi" w:hAnsiTheme="majorHAnsi" w:cs="Arial"/>
        </w:rPr>
        <w:t>MDMA</w:t>
      </w:r>
    </w:p>
    <w:p w14:paraId="5F72E5B3" w14:textId="77777777" w:rsidR="004676EF" w:rsidRPr="00734AB6" w:rsidRDefault="004676EF" w:rsidP="0099584D">
      <w:pPr>
        <w:pStyle w:val="ListParagraph"/>
        <w:numPr>
          <w:ilvl w:val="0"/>
          <w:numId w:val="9"/>
        </w:numPr>
        <w:tabs>
          <w:tab w:val="left" w:pos="3402"/>
          <w:tab w:val="left" w:pos="6096"/>
          <w:tab w:val="left" w:pos="8647"/>
          <w:tab w:val="left" w:pos="11340"/>
        </w:tabs>
        <w:spacing w:before="240" w:line="360" w:lineRule="auto"/>
        <w:rPr>
          <w:rFonts w:asciiTheme="majorHAnsi" w:hAnsiTheme="majorHAnsi" w:cs="Arial"/>
        </w:rPr>
      </w:pPr>
      <w:r w:rsidRPr="00734AB6">
        <w:rPr>
          <w:rFonts w:asciiTheme="majorHAnsi" w:hAnsiTheme="majorHAnsi" w:cs="Arial"/>
        </w:rPr>
        <w:t xml:space="preserve">How often have you taken the drugs listed below in the last month? </w:t>
      </w:r>
    </w:p>
    <w:p w14:paraId="55E2E356" w14:textId="77777777" w:rsidR="004676EF" w:rsidRPr="00734AB6" w:rsidRDefault="004676EF" w:rsidP="0099584D">
      <w:pPr>
        <w:tabs>
          <w:tab w:val="left" w:pos="3402"/>
          <w:tab w:val="left" w:pos="6096"/>
          <w:tab w:val="left" w:pos="8647"/>
          <w:tab w:val="left" w:pos="11340"/>
        </w:tabs>
        <w:spacing w:before="240" w:line="360" w:lineRule="auto"/>
        <w:ind w:left="426"/>
        <w:rPr>
          <w:rFonts w:asciiTheme="majorHAnsi" w:hAnsiTheme="majorHAnsi" w:cs="Arial"/>
          <w:i/>
        </w:rPr>
      </w:pPr>
      <w:r w:rsidRPr="00734AB6">
        <w:rPr>
          <w:rFonts w:asciiTheme="majorHAnsi" w:hAnsiTheme="majorHAnsi" w:cs="Arial"/>
          <w:i/>
        </w:rPr>
        <w:t>Select one answer for each drug taken.</w:t>
      </w:r>
    </w:p>
    <w:p w14:paraId="7C3835E0" w14:textId="77777777" w:rsidR="004676EF" w:rsidRPr="00734AB6" w:rsidRDefault="004676EF" w:rsidP="0099584D">
      <w:pPr>
        <w:tabs>
          <w:tab w:val="left" w:pos="3402"/>
          <w:tab w:val="left" w:pos="6096"/>
          <w:tab w:val="left" w:pos="8647"/>
          <w:tab w:val="left" w:pos="11340"/>
        </w:tabs>
        <w:spacing w:after="0" w:line="360" w:lineRule="auto"/>
        <w:ind w:left="426"/>
        <w:rPr>
          <w:rFonts w:asciiTheme="majorHAnsi" w:hAnsiTheme="majorHAnsi" w:cs="Arial"/>
        </w:rPr>
      </w:pPr>
      <w:r w:rsidRPr="00734AB6">
        <w:rPr>
          <w:rFonts w:asciiTheme="majorHAnsi" w:hAnsiTheme="majorHAnsi" w:cs="Arial"/>
        </w:rPr>
        <w:t>Cannabis</w:t>
      </w:r>
    </w:p>
    <w:p w14:paraId="1377D833" w14:textId="77777777" w:rsidR="004676EF" w:rsidRPr="00734AB6" w:rsidRDefault="004676EF" w:rsidP="0099584D">
      <w:pPr>
        <w:tabs>
          <w:tab w:val="left" w:pos="3402"/>
          <w:tab w:val="left" w:pos="6096"/>
          <w:tab w:val="left" w:pos="8647"/>
          <w:tab w:val="left" w:pos="11340"/>
        </w:tabs>
        <w:spacing w:after="0" w:line="360" w:lineRule="auto"/>
        <w:ind w:left="426"/>
        <w:rPr>
          <w:rFonts w:asciiTheme="majorHAnsi" w:hAnsiTheme="majorHAnsi" w:cs="Arial"/>
        </w:rPr>
      </w:pPr>
      <w:r w:rsidRPr="00734AB6">
        <w:rPr>
          <w:rFonts w:asciiTheme="majorHAnsi" w:hAnsiTheme="majorHAnsi" w:cs="Arial"/>
        </w:rPr>
        <w:t>Cocaine</w:t>
      </w:r>
    </w:p>
    <w:p w14:paraId="77ADDFE3" w14:textId="77777777" w:rsidR="004676EF" w:rsidRPr="00734AB6" w:rsidRDefault="004676EF" w:rsidP="0099584D">
      <w:pPr>
        <w:tabs>
          <w:tab w:val="left" w:pos="3402"/>
          <w:tab w:val="left" w:pos="6096"/>
          <w:tab w:val="left" w:pos="8647"/>
          <w:tab w:val="left" w:pos="11340"/>
        </w:tabs>
        <w:spacing w:after="0" w:line="360" w:lineRule="auto"/>
        <w:ind w:left="426"/>
        <w:rPr>
          <w:rFonts w:asciiTheme="majorHAnsi" w:hAnsiTheme="majorHAnsi" w:cs="Arial"/>
        </w:rPr>
      </w:pPr>
      <w:r w:rsidRPr="00734AB6">
        <w:rPr>
          <w:rFonts w:asciiTheme="majorHAnsi" w:hAnsiTheme="majorHAnsi" w:cs="Arial"/>
        </w:rPr>
        <w:t>Amphetamines (speed)</w:t>
      </w:r>
    </w:p>
    <w:p w14:paraId="6472EC9E" w14:textId="77777777" w:rsidR="004676EF" w:rsidRPr="00734AB6" w:rsidRDefault="004676EF" w:rsidP="0099584D">
      <w:pPr>
        <w:tabs>
          <w:tab w:val="left" w:pos="3402"/>
          <w:tab w:val="left" w:pos="6096"/>
          <w:tab w:val="left" w:pos="8647"/>
          <w:tab w:val="left" w:pos="11340"/>
        </w:tabs>
        <w:spacing w:before="240" w:line="360" w:lineRule="auto"/>
        <w:ind w:left="426"/>
        <w:rPr>
          <w:rFonts w:asciiTheme="majorHAnsi" w:hAnsiTheme="majorHAnsi" w:cs="Arial"/>
        </w:rPr>
      </w:pPr>
      <w:r w:rsidRPr="00734AB6">
        <w:rPr>
          <w:rFonts w:asciiTheme="majorHAnsi" w:hAnsiTheme="majorHAnsi" w:cs="Arial"/>
        </w:rPr>
        <w:t>MDMA (ecstasy)</w:t>
      </w:r>
    </w:p>
    <w:p w14:paraId="27EC4BA2" w14:textId="77777777" w:rsidR="004676EF" w:rsidRPr="00734AB6" w:rsidRDefault="004676EF" w:rsidP="0099584D">
      <w:pPr>
        <w:tabs>
          <w:tab w:val="left" w:pos="3402"/>
          <w:tab w:val="left" w:pos="4962"/>
          <w:tab w:val="left" w:pos="6804"/>
          <w:tab w:val="left" w:pos="8789"/>
        </w:tabs>
        <w:spacing w:after="0" w:line="360" w:lineRule="auto"/>
        <w:ind w:left="426"/>
        <w:rPr>
          <w:rFonts w:asciiTheme="majorHAnsi" w:hAnsiTheme="majorHAnsi" w:cs="Arial"/>
          <w:color w:val="0070C0"/>
        </w:rPr>
      </w:pPr>
      <w:r w:rsidRPr="00734AB6">
        <w:rPr>
          <w:rFonts w:asciiTheme="majorHAnsi" w:hAnsiTheme="majorHAnsi" w:cs="Arial"/>
          <w:b/>
          <w:color w:val="0070C0"/>
        </w:rPr>
        <w:lastRenderedPageBreak/>
        <w:t>Options are: Every day/ Most days; once/twice per week; once/twice per month; less than once</w:t>
      </w:r>
      <w:r w:rsidRPr="00734AB6">
        <w:rPr>
          <w:rFonts w:asciiTheme="majorHAnsi" w:hAnsiTheme="majorHAnsi" w:cs="Arial"/>
          <w:color w:val="0070C0"/>
        </w:rPr>
        <w:t xml:space="preserve"> </w:t>
      </w:r>
      <w:r w:rsidRPr="00734AB6">
        <w:rPr>
          <w:rFonts w:asciiTheme="majorHAnsi" w:hAnsiTheme="majorHAnsi" w:cs="Arial"/>
          <w:b/>
          <w:color w:val="0070C0"/>
        </w:rPr>
        <w:t>per month</w:t>
      </w:r>
    </w:p>
    <w:p w14:paraId="2F1E3E59"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Have you ever been treated for a drug or alcohol-related problem?  </w:t>
      </w:r>
      <w:r w:rsidRPr="00734AB6">
        <w:rPr>
          <w:rFonts w:asciiTheme="majorHAnsi" w:hAnsiTheme="majorHAnsi" w:cs="Arial"/>
          <w:color w:val="0070C0"/>
        </w:rPr>
        <w:t xml:space="preserve">Options of Yes or No  </w:t>
      </w:r>
    </w:p>
    <w:p w14:paraId="364AB486" w14:textId="77777777" w:rsidR="004676EF" w:rsidRPr="00734AB6" w:rsidRDefault="004676EF" w:rsidP="0099584D">
      <w:pPr>
        <w:spacing w:after="240" w:line="360" w:lineRule="auto"/>
        <w:ind w:left="360" w:hanging="360"/>
        <w:rPr>
          <w:rFonts w:asciiTheme="majorHAnsi" w:hAnsiTheme="majorHAnsi" w:cs="Arial"/>
        </w:rPr>
      </w:pPr>
      <w:r w:rsidRPr="00734AB6">
        <w:rPr>
          <w:rFonts w:asciiTheme="majorHAnsi" w:hAnsiTheme="majorHAnsi" w:cs="Arial"/>
        </w:rPr>
        <w:t xml:space="preserve">If yes, are you still receiving treatment?  </w:t>
      </w:r>
      <w:r w:rsidRPr="00734AB6">
        <w:rPr>
          <w:rFonts w:asciiTheme="majorHAnsi" w:hAnsiTheme="majorHAnsi" w:cs="Arial"/>
          <w:color w:val="0070C0"/>
        </w:rPr>
        <w:t xml:space="preserve">Options of Yes or No  </w:t>
      </w:r>
    </w:p>
    <w:p w14:paraId="6AFC4A80" w14:textId="77777777" w:rsidR="004676EF" w:rsidRPr="00734AB6" w:rsidRDefault="004676EF" w:rsidP="0099584D">
      <w:pPr>
        <w:spacing w:before="240" w:after="0" w:line="360" w:lineRule="auto"/>
        <w:ind w:left="360" w:hanging="360"/>
        <w:rPr>
          <w:rFonts w:asciiTheme="majorHAnsi" w:hAnsiTheme="majorHAnsi" w:cs="Arial"/>
          <w:b/>
        </w:rPr>
      </w:pPr>
      <w:r w:rsidRPr="00734AB6">
        <w:rPr>
          <w:rFonts w:asciiTheme="majorHAnsi" w:hAnsiTheme="majorHAnsi" w:cs="Arial"/>
          <w:b/>
        </w:rPr>
        <w:t>Modafinil use</w:t>
      </w:r>
    </w:p>
    <w:p w14:paraId="6BC2F7D3"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Are you aware of the cognitive enhancing drug, Modafinil (Provigil, </w:t>
      </w:r>
      <w:proofErr w:type="spellStart"/>
      <w:r w:rsidRPr="00734AB6">
        <w:rPr>
          <w:rFonts w:asciiTheme="majorHAnsi" w:hAnsiTheme="majorHAnsi" w:cs="Arial"/>
        </w:rPr>
        <w:t>Modalert</w:t>
      </w:r>
      <w:proofErr w:type="spellEnd"/>
      <w:r w:rsidRPr="00734AB6">
        <w:rPr>
          <w:rFonts w:asciiTheme="majorHAnsi" w:hAnsiTheme="majorHAnsi" w:cs="Arial"/>
        </w:rPr>
        <w:t>)?</w:t>
      </w:r>
    </w:p>
    <w:p w14:paraId="31AA4613"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color w:val="0070C0"/>
        </w:rPr>
        <w:t>Options of Yes or No  (</w:t>
      </w:r>
      <w:r w:rsidRPr="00734AB6">
        <w:rPr>
          <w:rFonts w:asciiTheme="majorHAnsi" w:hAnsiTheme="majorHAnsi" w:cs="Arial"/>
          <w:i/>
          <w:color w:val="0070C0"/>
        </w:rPr>
        <w:t>no leads to methylphenidate use)</w:t>
      </w:r>
    </w:p>
    <w:p w14:paraId="6C4F1A72"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Have you ever taken it?  </w:t>
      </w:r>
    </w:p>
    <w:p w14:paraId="31B6758F"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color w:val="0070C0"/>
        </w:rPr>
        <w:t>Options of Yes or No</w:t>
      </w:r>
      <w:r w:rsidRPr="00734AB6">
        <w:rPr>
          <w:rFonts w:asciiTheme="majorHAnsi" w:hAnsiTheme="majorHAnsi" w:cs="Arial"/>
        </w:rPr>
        <w:t xml:space="preserve">  </w:t>
      </w:r>
      <w:r w:rsidRPr="00734AB6">
        <w:rPr>
          <w:rFonts w:asciiTheme="majorHAnsi" w:hAnsiTheme="majorHAnsi" w:cs="Arial"/>
          <w:color w:val="0070C0"/>
        </w:rPr>
        <w:t>(</w:t>
      </w:r>
      <w:r w:rsidRPr="00734AB6">
        <w:rPr>
          <w:rFonts w:asciiTheme="majorHAnsi" w:hAnsiTheme="majorHAnsi" w:cs="Arial"/>
          <w:i/>
          <w:color w:val="0070C0"/>
        </w:rPr>
        <w:t>no leads to methylphenidate use)</w:t>
      </w:r>
    </w:p>
    <w:p w14:paraId="3FC8C963"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many times have you taken modafinil?   </w:t>
      </w:r>
    </w:p>
    <w:p w14:paraId="14E2BE06"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i/>
          <w:color w:val="0070C0"/>
        </w:rPr>
        <w:t>Dropdown scale: 1, 2 etc. to 10, then 10-20, more than 20</w:t>
      </w:r>
    </w:p>
    <w:p w14:paraId="59A0A499"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often do you take modafinil?    </w:t>
      </w:r>
    </w:p>
    <w:p w14:paraId="02D7792C" w14:textId="77777777" w:rsidR="004676EF" w:rsidRPr="00734AB6" w:rsidRDefault="004676EF" w:rsidP="0099584D">
      <w:pPr>
        <w:spacing w:before="240" w:after="240" w:line="360" w:lineRule="auto"/>
        <w:ind w:left="360"/>
        <w:rPr>
          <w:rFonts w:asciiTheme="majorHAnsi" w:hAnsiTheme="majorHAnsi" w:cs="Arial"/>
          <w:i/>
          <w:color w:val="0070C0"/>
        </w:rPr>
      </w:pPr>
      <w:r w:rsidRPr="00734AB6">
        <w:rPr>
          <w:rFonts w:asciiTheme="majorHAnsi" w:hAnsiTheme="majorHAnsi" w:cs="Arial"/>
          <w:i/>
          <w:color w:val="0070C0"/>
        </w:rPr>
        <w:t xml:space="preserve">Options of: every day; 3 or more times per week; once or twice per week; two or three times per month; 6 times or less per year </w:t>
      </w:r>
    </w:p>
    <w:p w14:paraId="1F503C91"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How much do you take at any one time?  </w:t>
      </w:r>
    </w:p>
    <w:p w14:paraId="64304744" w14:textId="77777777" w:rsidR="004676EF" w:rsidRPr="00734AB6" w:rsidRDefault="004676EF" w:rsidP="0099584D">
      <w:pPr>
        <w:spacing w:after="240" w:line="360" w:lineRule="auto"/>
        <w:ind w:left="360"/>
        <w:rPr>
          <w:rFonts w:asciiTheme="majorHAnsi" w:hAnsiTheme="majorHAnsi" w:cs="Arial"/>
          <w:color w:val="0070C0"/>
        </w:rPr>
      </w:pPr>
      <w:r w:rsidRPr="00734AB6">
        <w:rPr>
          <w:rFonts w:asciiTheme="majorHAnsi" w:hAnsiTheme="majorHAnsi" w:cs="Arial"/>
          <w:color w:val="0070C0"/>
        </w:rPr>
        <w:t>Options of: L</w:t>
      </w:r>
      <w:r w:rsidRPr="00734AB6">
        <w:rPr>
          <w:rFonts w:asciiTheme="majorHAnsi" w:hAnsiTheme="majorHAnsi" w:cs="Arial"/>
          <w:i/>
          <w:color w:val="0070C0"/>
        </w:rPr>
        <w:t xml:space="preserve">ess than 100mg; 100m; 200mg; more than 200mg; 400mg; more than 400mg and don’t know </w:t>
      </w:r>
    </w:p>
    <w:p w14:paraId="2B2ADC36"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Do you usually use any other drugs at the same time?  </w:t>
      </w:r>
      <w:r w:rsidRPr="00734AB6">
        <w:rPr>
          <w:rFonts w:asciiTheme="majorHAnsi" w:hAnsiTheme="majorHAnsi" w:cs="Arial"/>
          <w:color w:val="0070C0"/>
        </w:rPr>
        <w:t xml:space="preserve">Options of Yes or No  </w:t>
      </w:r>
    </w:p>
    <w:p w14:paraId="264EDBA9" w14:textId="77777777" w:rsidR="004676EF" w:rsidRPr="00734AB6" w:rsidRDefault="004676EF" w:rsidP="0099584D">
      <w:pPr>
        <w:spacing w:before="240" w:after="0" w:line="360" w:lineRule="auto"/>
        <w:ind w:left="360" w:hanging="360"/>
        <w:rPr>
          <w:rFonts w:asciiTheme="majorHAnsi" w:hAnsiTheme="majorHAnsi" w:cs="Arial"/>
        </w:rPr>
      </w:pPr>
      <w:r w:rsidRPr="00734AB6">
        <w:rPr>
          <w:rFonts w:asciiTheme="majorHAnsi" w:hAnsiTheme="majorHAnsi" w:cs="Arial"/>
        </w:rPr>
        <w:t xml:space="preserve">If so name them and specify level of dose </w:t>
      </w:r>
      <w:r w:rsidRPr="00734AB6">
        <w:rPr>
          <w:rFonts w:asciiTheme="majorHAnsi" w:hAnsiTheme="majorHAnsi" w:cs="Arial"/>
          <w:color w:val="0070C0"/>
        </w:rPr>
        <w:t>(</w:t>
      </w:r>
      <w:r w:rsidRPr="00734AB6">
        <w:rPr>
          <w:rFonts w:asciiTheme="majorHAnsi" w:hAnsiTheme="majorHAnsi" w:cs="Arial"/>
          <w:i/>
          <w:color w:val="0070C0"/>
        </w:rPr>
        <w:t>free text box)</w:t>
      </w:r>
    </w:p>
    <w:p w14:paraId="3A4DA648"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 xml:space="preserve">How did you hear about modafinil? </w:t>
      </w:r>
    </w:p>
    <w:p w14:paraId="4FF0E15C" w14:textId="77777777" w:rsidR="004676EF" w:rsidRPr="00734AB6" w:rsidRDefault="004676EF" w:rsidP="0099584D">
      <w:pPr>
        <w:spacing w:after="0" w:line="360" w:lineRule="auto"/>
        <w:ind w:left="360"/>
        <w:rPr>
          <w:rFonts w:asciiTheme="majorHAnsi" w:hAnsiTheme="majorHAnsi" w:cs="Arial"/>
          <w:i/>
          <w:color w:val="0070C0"/>
        </w:rPr>
      </w:pPr>
      <w:r w:rsidRPr="00734AB6">
        <w:rPr>
          <w:rFonts w:asciiTheme="majorHAnsi" w:hAnsiTheme="majorHAnsi" w:cs="Arial"/>
          <w:i/>
          <w:color w:val="0070C0"/>
        </w:rPr>
        <w:t>Options of: News article; Chat room; Friend; online pharmacy; dealer; academic paper/lecture; medical professional; other  (please specify)- (free text box)</w:t>
      </w:r>
    </w:p>
    <w:p w14:paraId="67027204"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How do you get modafinil (tick all applicable) </w:t>
      </w:r>
    </w:p>
    <w:p w14:paraId="63DCFD5C" w14:textId="77777777" w:rsidR="004676EF" w:rsidRPr="00734AB6" w:rsidRDefault="004676EF" w:rsidP="0099584D">
      <w:pPr>
        <w:spacing w:after="0" w:line="360" w:lineRule="auto"/>
        <w:ind w:left="360"/>
        <w:rPr>
          <w:rFonts w:asciiTheme="majorHAnsi" w:hAnsiTheme="majorHAnsi" w:cs="Arial"/>
          <w:i/>
          <w:color w:val="0070C0"/>
        </w:rPr>
      </w:pPr>
      <w:r w:rsidRPr="00734AB6">
        <w:rPr>
          <w:rFonts w:asciiTheme="majorHAnsi" w:hAnsiTheme="majorHAnsi" w:cs="Arial"/>
          <w:i/>
          <w:color w:val="0070C0"/>
        </w:rPr>
        <w:t>Options of: GP prescription; someone else’s prescription; friend; dealer; online pharmacy; other (please specify)  (free text box)</w:t>
      </w:r>
    </w:p>
    <w:p w14:paraId="2FF0A091"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Why do you take it?  </w:t>
      </w:r>
    </w:p>
    <w:p w14:paraId="3D4CB4F7"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i/>
          <w:color w:val="0070C0"/>
        </w:rPr>
        <w:lastRenderedPageBreak/>
        <w:t xml:space="preserve">Options of: To work longer hours; for attention and focus; to get more done; for exams; night work; to think more clearly; other  (please specify)  (free text box)  </w:t>
      </w:r>
    </w:p>
    <w:p w14:paraId="3DC66C2E" w14:textId="77777777" w:rsidR="00B02714" w:rsidRPr="00734AB6" w:rsidRDefault="00B02714" w:rsidP="0099584D">
      <w:pPr>
        <w:spacing w:before="240" w:line="360" w:lineRule="auto"/>
        <w:ind w:left="360" w:hanging="360"/>
        <w:rPr>
          <w:rFonts w:asciiTheme="majorHAnsi" w:hAnsiTheme="majorHAnsi" w:cs="Arial"/>
          <w:b/>
        </w:rPr>
      </w:pPr>
    </w:p>
    <w:p w14:paraId="42C73CD9" w14:textId="77777777" w:rsidR="004676EF" w:rsidRPr="00734AB6" w:rsidRDefault="004676EF" w:rsidP="0099584D">
      <w:pPr>
        <w:spacing w:before="240" w:line="360" w:lineRule="auto"/>
        <w:ind w:left="360" w:hanging="360"/>
        <w:rPr>
          <w:rFonts w:asciiTheme="majorHAnsi" w:hAnsiTheme="majorHAnsi" w:cs="Arial"/>
          <w:b/>
        </w:rPr>
      </w:pPr>
      <w:r w:rsidRPr="00734AB6">
        <w:rPr>
          <w:rFonts w:asciiTheme="majorHAnsi" w:hAnsiTheme="majorHAnsi" w:cs="Arial"/>
          <w:b/>
        </w:rPr>
        <w:t>Risk awareness</w:t>
      </w:r>
    </w:p>
    <w:p w14:paraId="707637DB"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What immediate positive effects do you experience from modafinil? (tick all applicable)</w:t>
      </w:r>
    </w:p>
    <w:p w14:paraId="0249C366" w14:textId="77777777" w:rsidR="004676EF" w:rsidRPr="00734AB6" w:rsidRDefault="004676EF" w:rsidP="0099584D">
      <w:pPr>
        <w:spacing w:after="0" w:line="360" w:lineRule="auto"/>
        <w:ind w:left="360"/>
        <w:rPr>
          <w:rFonts w:asciiTheme="majorHAnsi" w:hAnsiTheme="majorHAnsi" w:cs="Arial"/>
          <w:i/>
          <w:color w:val="0070C0"/>
        </w:rPr>
      </w:pPr>
      <w:r w:rsidRPr="00734AB6">
        <w:rPr>
          <w:rFonts w:asciiTheme="majorHAnsi" w:hAnsiTheme="majorHAnsi" w:cs="Arial"/>
          <w:i/>
          <w:color w:val="0070C0"/>
        </w:rPr>
        <w:t xml:space="preserve">Options of: Increased energy; ability to focus; clarity of mind; motivation; confidence; alertness; increased productivity; increased concentration; improved reasoning; increased creativity; enhanced mood; more outgoing/extraverted; improved ability; to enter a ‘flow-like’ state; appetite suppression; none; other (please specify) (free text box)   </w:t>
      </w:r>
    </w:p>
    <w:p w14:paraId="62D9D6D3" w14:textId="1E5375E0" w:rsidR="004676EF" w:rsidRPr="00734AB6" w:rsidRDefault="00DE3BDD"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What longer-</w:t>
      </w:r>
      <w:r w:rsidR="004676EF" w:rsidRPr="00734AB6">
        <w:rPr>
          <w:rFonts w:asciiTheme="majorHAnsi" w:hAnsiTheme="majorHAnsi" w:cs="Arial"/>
        </w:rPr>
        <w:t>lasting (i.e. once the drug has worn off) positive effects do you experience from modafinil? (tick all applicable)</w:t>
      </w:r>
    </w:p>
    <w:p w14:paraId="5A135464" w14:textId="77777777" w:rsidR="004676EF" w:rsidRPr="00734AB6" w:rsidRDefault="004676EF" w:rsidP="0099584D">
      <w:pPr>
        <w:spacing w:after="0" w:line="360" w:lineRule="auto"/>
        <w:ind w:left="360"/>
        <w:rPr>
          <w:rFonts w:asciiTheme="majorHAnsi" w:hAnsiTheme="majorHAnsi" w:cs="Arial"/>
          <w:color w:val="0070C0"/>
        </w:rPr>
      </w:pPr>
      <w:r w:rsidRPr="00734AB6">
        <w:rPr>
          <w:rFonts w:asciiTheme="majorHAnsi" w:hAnsiTheme="majorHAnsi" w:cs="Arial"/>
          <w:color w:val="0070C0"/>
        </w:rPr>
        <w:t>Same options as no. 26</w:t>
      </w:r>
    </w:p>
    <w:p w14:paraId="329954D9"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What immediate negative effects do you experience from modafinil? (tick all applicable)</w:t>
      </w:r>
    </w:p>
    <w:p w14:paraId="3F58DE7A" w14:textId="77777777" w:rsidR="004676EF" w:rsidRPr="00734AB6" w:rsidRDefault="004676EF" w:rsidP="0099584D">
      <w:pPr>
        <w:spacing w:after="0" w:line="360" w:lineRule="auto"/>
        <w:ind w:left="360"/>
        <w:rPr>
          <w:rFonts w:asciiTheme="majorHAnsi" w:hAnsiTheme="majorHAnsi" w:cs="Arial"/>
          <w:i/>
          <w:color w:val="0070C0"/>
        </w:rPr>
      </w:pPr>
      <w:r w:rsidRPr="00734AB6">
        <w:rPr>
          <w:rFonts w:asciiTheme="majorHAnsi" w:hAnsiTheme="majorHAnsi" w:cs="Arial"/>
          <w:i/>
          <w:color w:val="0070C0"/>
        </w:rPr>
        <w:t xml:space="preserve">Options of: Anxiety; insomnia; diarrhoea; dizziness; nausea; headache; indigestion/acid reflux; inflammation of the nose; abnormal heart rhythm; low blood pressure; cannot empty bladder; chest pain; chills; confusion; depression; fast heart beat; mood changes; problems with vision; throat irritation; dry mouth; tremor; vomiting; loss of appetite; none; other  (please specify)  (free text box)      </w:t>
      </w:r>
    </w:p>
    <w:p w14:paraId="4F5BB966" w14:textId="77777777" w:rsidR="004676EF" w:rsidRPr="00734AB6" w:rsidRDefault="004676EF" w:rsidP="0099584D">
      <w:pPr>
        <w:spacing w:after="0" w:line="360" w:lineRule="auto"/>
        <w:ind w:left="360" w:hanging="360"/>
        <w:rPr>
          <w:rFonts w:asciiTheme="majorHAnsi" w:hAnsiTheme="majorHAnsi" w:cs="Arial"/>
          <w:i/>
          <w:color w:val="0070C0"/>
        </w:rPr>
      </w:pPr>
    </w:p>
    <w:p w14:paraId="0CE4580C" w14:textId="13ADEED5" w:rsidR="004676EF" w:rsidRPr="00734AB6" w:rsidRDefault="00DE3BDD"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What longer-</w:t>
      </w:r>
      <w:r w:rsidR="004676EF" w:rsidRPr="00734AB6">
        <w:rPr>
          <w:rFonts w:asciiTheme="majorHAnsi" w:hAnsiTheme="majorHAnsi" w:cs="Arial"/>
        </w:rPr>
        <w:t>lasting negative (i.e. once the drug has worn off) effects do you experience from modafinil? (tick all applicable)</w:t>
      </w:r>
    </w:p>
    <w:p w14:paraId="2F127D9B" w14:textId="77777777" w:rsidR="004676EF" w:rsidRPr="00734AB6" w:rsidRDefault="004676EF" w:rsidP="0099584D">
      <w:pPr>
        <w:spacing w:after="0" w:line="360" w:lineRule="auto"/>
        <w:ind w:left="360"/>
        <w:rPr>
          <w:rFonts w:asciiTheme="majorHAnsi" w:hAnsiTheme="majorHAnsi" w:cs="Arial"/>
          <w:color w:val="0070C0"/>
        </w:rPr>
      </w:pPr>
      <w:r w:rsidRPr="00734AB6">
        <w:rPr>
          <w:rFonts w:asciiTheme="majorHAnsi" w:hAnsiTheme="majorHAnsi" w:cs="Arial"/>
          <w:color w:val="0070C0"/>
        </w:rPr>
        <w:t>Same options as no. 28</w:t>
      </w:r>
    </w:p>
    <w:p w14:paraId="73697474"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Do you feel dependent on modafinil?  </w:t>
      </w:r>
      <w:r w:rsidRPr="00734AB6">
        <w:rPr>
          <w:rFonts w:asciiTheme="majorHAnsi" w:hAnsiTheme="majorHAnsi" w:cs="Arial"/>
          <w:color w:val="0070C0"/>
        </w:rPr>
        <w:t xml:space="preserve">Options of Yes or No </w:t>
      </w:r>
    </w:p>
    <w:p w14:paraId="2FA57B7B"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much modafinil do you think it is safe to take at any one time?  </w:t>
      </w:r>
    </w:p>
    <w:p w14:paraId="7A7EE28A"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color w:val="0070C0"/>
        </w:rPr>
        <w:t>Options of: None;</w:t>
      </w:r>
      <w:r w:rsidRPr="00734AB6">
        <w:rPr>
          <w:rFonts w:asciiTheme="majorHAnsi" w:hAnsiTheme="majorHAnsi" w:cs="Arial"/>
        </w:rPr>
        <w:t xml:space="preserve"> </w:t>
      </w:r>
      <w:r w:rsidRPr="00734AB6">
        <w:rPr>
          <w:rFonts w:asciiTheme="majorHAnsi" w:hAnsiTheme="majorHAnsi" w:cs="Arial"/>
          <w:i/>
          <w:color w:val="0070C0"/>
        </w:rPr>
        <w:t>50mg; 100mg; 200mg; 400mg; more than 400mg</w:t>
      </w:r>
    </w:p>
    <w:p w14:paraId="70C5C58F"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 xml:space="preserve">Do you think you would you be putting yourself in danger if you took modafinil   </w:t>
      </w:r>
    </w:p>
    <w:p w14:paraId="6E3901D9" w14:textId="77777777" w:rsidR="004676EF" w:rsidRPr="00734AB6" w:rsidRDefault="004676EF" w:rsidP="0099584D">
      <w:pPr>
        <w:spacing w:after="0" w:line="360" w:lineRule="auto"/>
        <w:ind w:left="360"/>
        <w:rPr>
          <w:rFonts w:asciiTheme="majorHAnsi" w:hAnsiTheme="majorHAnsi" w:cs="Arial"/>
          <w:color w:val="0070C0"/>
        </w:rPr>
      </w:pPr>
      <w:r w:rsidRPr="00734AB6">
        <w:rPr>
          <w:rFonts w:asciiTheme="majorHAnsi" w:hAnsiTheme="majorHAnsi" w:cs="Arial"/>
          <w:i/>
          <w:color w:val="0070C0"/>
        </w:rPr>
        <w:t>Options of: every day; 3 or more times per week; once per week; twice per month; 6 times or less per year;</w:t>
      </w:r>
      <w:r w:rsidRPr="00734AB6">
        <w:rPr>
          <w:rFonts w:asciiTheme="majorHAnsi" w:hAnsiTheme="majorHAnsi" w:cs="Arial"/>
        </w:rPr>
        <w:t xml:space="preserve"> </w:t>
      </w:r>
      <w:r w:rsidRPr="00734AB6">
        <w:rPr>
          <w:rFonts w:asciiTheme="majorHAnsi" w:hAnsiTheme="majorHAnsi" w:cs="Arial"/>
          <w:color w:val="0070C0"/>
        </w:rPr>
        <w:t xml:space="preserve">no danger  </w:t>
      </w:r>
    </w:p>
    <w:p w14:paraId="1C08C843" w14:textId="77777777" w:rsidR="004676EF" w:rsidRPr="00734AB6" w:rsidRDefault="004676EF" w:rsidP="0099584D">
      <w:pPr>
        <w:spacing w:after="0" w:line="360" w:lineRule="auto"/>
        <w:ind w:left="360" w:hanging="360"/>
        <w:rPr>
          <w:rFonts w:asciiTheme="majorHAnsi" w:hAnsiTheme="majorHAnsi" w:cs="Arial"/>
          <w:b/>
        </w:rPr>
      </w:pPr>
    </w:p>
    <w:p w14:paraId="17F77182" w14:textId="77777777" w:rsidR="004676EF" w:rsidRPr="00734AB6" w:rsidRDefault="004676EF" w:rsidP="0099584D">
      <w:pPr>
        <w:spacing w:line="360" w:lineRule="auto"/>
        <w:ind w:left="360" w:hanging="360"/>
        <w:rPr>
          <w:rFonts w:asciiTheme="majorHAnsi" w:hAnsiTheme="majorHAnsi" w:cs="Arial"/>
          <w:b/>
        </w:rPr>
      </w:pPr>
      <w:r w:rsidRPr="00734AB6">
        <w:rPr>
          <w:rFonts w:asciiTheme="majorHAnsi" w:hAnsiTheme="majorHAnsi" w:cs="Arial"/>
          <w:b/>
        </w:rPr>
        <w:t>Methylphenidate use</w:t>
      </w:r>
    </w:p>
    <w:p w14:paraId="0ACA406D"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Are you aware of Methylphenidate (Ritalin, </w:t>
      </w:r>
      <w:proofErr w:type="spellStart"/>
      <w:r w:rsidRPr="00734AB6">
        <w:rPr>
          <w:rFonts w:asciiTheme="majorHAnsi" w:hAnsiTheme="majorHAnsi" w:cs="Arial"/>
        </w:rPr>
        <w:t>Rubifen</w:t>
      </w:r>
      <w:proofErr w:type="spellEnd"/>
      <w:r w:rsidRPr="00734AB6">
        <w:rPr>
          <w:rFonts w:asciiTheme="majorHAnsi" w:hAnsiTheme="majorHAnsi" w:cs="Arial"/>
        </w:rPr>
        <w:t xml:space="preserve">, </w:t>
      </w:r>
      <w:proofErr w:type="spellStart"/>
      <w:r w:rsidRPr="00734AB6">
        <w:rPr>
          <w:rFonts w:asciiTheme="majorHAnsi" w:hAnsiTheme="majorHAnsi" w:cs="Arial"/>
        </w:rPr>
        <w:t>Concerta</w:t>
      </w:r>
      <w:proofErr w:type="spellEnd"/>
      <w:r w:rsidRPr="00734AB6">
        <w:rPr>
          <w:rFonts w:asciiTheme="majorHAnsi" w:hAnsiTheme="majorHAnsi" w:cs="Arial"/>
        </w:rPr>
        <w:t xml:space="preserve">)?  </w:t>
      </w:r>
    </w:p>
    <w:p w14:paraId="0C1651EB"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color w:val="0070C0"/>
        </w:rPr>
        <w:t>Options of Yes or No</w:t>
      </w:r>
      <w:r w:rsidRPr="00734AB6">
        <w:rPr>
          <w:rFonts w:asciiTheme="majorHAnsi" w:hAnsiTheme="majorHAnsi" w:cs="Arial"/>
        </w:rPr>
        <w:t xml:space="preserve"> </w:t>
      </w:r>
      <w:r w:rsidRPr="00734AB6">
        <w:rPr>
          <w:rFonts w:asciiTheme="majorHAnsi" w:hAnsiTheme="majorHAnsi" w:cs="Arial"/>
          <w:color w:val="0070C0"/>
        </w:rPr>
        <w:t>(</w:t>
      </w:r>
      <w:r w:rsidRPr="00734AB6">
        <w:rPr>
          <w:rFonts w:asciiTheme="majorHAnsi" w:hAnsiTheme="majorHAnsi" w:cs="Arial"/>
          <w:i/>
          <w:color w:val="0070C0"/>
        </w:rPr>
        <w:t>no leads to PRMQ Questions</w:t>
      </w:r>
      <w:r w:rsidRPr="00734AB6">
        <w:rPr>
          <w:rFonts w:asciiTheme="majorHAnsi" w:hAnsiTheme="majorHAnsi" w:cs="Arial"/>
          <w:color w:val="0070C0"/>
        </w:rPr>
        <w:t>)</w:t>
      </w:r>
    </w:p>
    <w:p w14:paraId="4F516050"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lastRenderedPageBreak/>
        <w:t xml:space="preserve">Have you ever taken it?  </w:t>
      </w:r>
    </w:p>
    <w:p w14:paraId="7FE8C2E3"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color w:val="0070C0"/>
        </w:rPr>
        <w:t>Options of Yes or No</w:t>
      </w:r>
      <w:r w:rsidRPr="00734AB6">
        <w:rPr>
          <w:rFonts w:asciiTheme="majorHAnsi" w:hAnsiTheme="majorHAnsi" w:cs="Arial"/>
        </w:rPr>
        <w:t xml:space="preserve"> </w:t>
      </w:r>
      <w:r w:rsidRPr="00734AB6">
        <w:rPr>
          <w:rFonts w:asciiTheme="majorHAnsi" w:hAnsiTheme="majorHAnsi" w:cs="Arial"/>
          <w:i/>
          <w:color w:val="0070C0"/>
        </w:rPr>
        <w:t>(No leads to PRMQ Questions.  Yes for either leads next question</w:t>
      </w:r>
      <w:r w:rsidRPr="00734AB6">
        <w:rPr>
          <w:rFonts w:asciiTheme="majorHAnsi" w:hAnsiTheme="majorHAnsi" w:cs="Arial"/>
          <w:color w:val="0070C0"/>
        </w:rPr>
        <w:t>)</w:t>
      </w:r>
    </w:p>
    <w:p w14:paraId="1F8978E6"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many times have you taken methylphenidate?   </w:t>
      </w:r>
    </w:p>
    <w:p w14:paraId="77EFE1E6" w14:textId="77777777" w:rsidR="004676EF" w:rsidRPr="00734AB6" w:rsidRDefault="004676EF" w:rsidP="0099584D">
      <w:pPr>
        <w:spacing w:before="240" w:after="240" w:line="360" w:lineRule="auto"/>
        <w:ind w:left="360"/>
        <w:rPr>
          <w:rFonts w:asciiTheme="majorHAnsi" w:hAnsiTheme="majorHAnsi" w:cs="Arial"/>
        </w:rPr>
      </w:pPr>
      <w:r w:rsidRPr="00734AB6">
        <w:rPr>
          <w:rFonts w:asciiTheme="majorHAnsi" w:hAnsiTheme="majorHAnsi" w:cs="Arial"/>
          <w:i/>
          <w:color w:val="0070C0"/>
        </w:rPr>
        <w:t>Dropdown scale: 1, 2 etc. to 10, then 10-20, more than 20</w:t>
      </w:r>
    </w:p>
    <w:p w14:paraId="48BA264C"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often do you take methylphenidate?   </w:t>
      </w:r>
    </w:p>
    <w:p w14:paraId="285C0143" w14:textId="77777777" w:rsidR="004676EF" w:rsidRPr="00734AB6" w:rsidRDefault="004676EF" w:rsidP="0099584D">
      <w:pPr>
        <w:pStyle w:val="ListParagraph"/>
        <w:spacing w:before="240" w:after="240" w:line="360" w:lineRule="auto"/>
        <w:ind w:left="360"/>
        <w:rPr>
          <w:rFonts w:asciiTheme="majorHAnsi" w:hAnsiTheme="majorHAnsi" w:cs="Arial"/>
        </w:rPr>
      </w:pPr>
      <w:r w:rsidRPr="00734AB6">
        <w:rPr>
          <w:rFonts w:asciiTheme="majorHAnsi" w:hAnsiTheme="majorHAnsi" w:cs="Arial"/>
          <w:color w:val="0070C0"/>
        </w:rPr>
        <w:t>Options of:</w:t>
      </w:r>
      <w:r w:rsidRPr="00734AB6">
        <w:rPr>
          <w:rFonts w:asciiTheme="majorHAnsi" w:hAnsiTheme="majorHAnsi" w:cs="Arial"/>
        </w:rPr>
        <w:t xml:space="preserve"> </w:t>
      </w:r>
      <w:r w:rsidRPr="00734AB6">
        <w:rPr>
          <w:rFonts w:asciiTheme="majorHAnsi" w:hAnsiTheme="majorHAnsi" w:cs="Arial"/>
          <w:i/>
          <w:color w:val="0070C0"/>
        </w:rPr>
        <w:t xml:space="preserve">every day; 3 or more times per week; once or twice per week’; two or three times per month; 6 times or less per year </w:t>
      </w:r>
    </w:p>
    <w:p w14:paraId="6CA91E09"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much do you take at any one time?    </w:t>
      </w:r>
    </w:p>
    <w:p w14:paraId="2EF2300A" w14:textId="77777777" w:rsidR="004676EF" w:rsidRPr="00734AB6" w:rsidRDefault="004676EF" w:rsidP="0099584D">
      <w:pPr>
        <w:spacing w:before="240" w:after="240" w:line="360" w:lineRule="auto"/>
        <w:ind w:left="360" w:hanging="360"/>
        <w:rPr>
          <w:rFonts w:asciiTheme="majorHAnsi" w:hAnsiTheme="majorHAnsi" w:cs="Arial"/>
        </w:rPr>
      </w:pPr>
      <w:r w:rsidRPr="00734AB6">
        <w:rPr>
          <w:rFonts w:asciiTheme="majorHAnsi" w:hAnsiTheme="majorHAnsi" w:cs="Arial"/>
          <w:i/>
          <w:color w:val="0070C0"/>
        </w:rPr>
        <w:t xml:space="preserve">Options of: 10mg or less; 20mg; 30mg; 40mg; 50mg; 60mg; more than 60mg; don’t know  </w:t>
      </w:r>
    </w:p>
    <w:p w14:paraId="1C29B159"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How much do you take in any full day?  </w:t>
      </w:r>
    </w:p>
    <w:p w14:paraId="06856247" w14:textId="77777777" w:rsidR="004676EF" w:rsidRPr="00734AB6" w:rsidRDefault="004676EF" w:rsidP="0099584D">
      <w:pPr>
        <w:pStyle w:val="ListParagraph"/>
        <w:spacing w:before="240" w:after="240" w:line="360" w:lineRule="auto"/>
        <w:ind w:left="360"/>
        <w:rPr>
          <w:rFonts w:asciiTheme="majorHAnsi" w:hAnsiTheme="majorHAnsi" w:cs="Arial"/>
        </w:rPr>
      </w:pPr>
      <w:r w:rsidRPr="00734AB6">
        <w:rPr>
          <w:rFonts w:asciiTheme="majorHAnsi" w:hAnsiTheme="majorHAnsi" w:cs="Arial"/>
          <w:color w:val="0070C0"/>
        </w:rPr>
        <w:t>Options of: 1</w:t>
      </w:r>
      <w:r w:rsidRPr="00734AB6">
        <w:rPr>
          <w:rFonts w:asciiTheme="majorHAnsi" w:hAnsiTheme="majorHAnsi" w:cs="Arial"/>
          <w:i/>
          <w:color w:val="0070C0"/>
        </w:rPr>
        <w:t xml:space="preserve">0mg or less; 20mg; 30mg; 40mg; 50mg; 60mg; more than 60mg; don’t know </w:t>
      </w:r>
    </w:p>
    <w:p w14:paraId="4617E116"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Do you usually use any other drugs at the same time?  </w:t>
      </w:r>
    </w:p>
    <w:p w14:paraId="1D22D1AD" w14:textId="77777777" w:rsidR="004676EF" w:rsidRPr="00734AB6" w:rsidRDefault="004676EF" w:rsidP="0099584D">
      <w:pPr>
        <w:pStyle w:val="ListParagraph"/>
        <w:spacing w:before="240" w:after="240" w:line="360" w:lineRule="auto"/>
        <w:ind w:left="360"/>
        <w:rPr>
          <w:rFonts w:asciiTheme="majorHAnsi" w:hAnsiTheme="majorHAnsi" w:cs="Arial"/>
        </w:rPr>
      </w:pPr>
      <w:r w:rsidRPr="00734AB6">
        <w:rPr>
          <w:rFonts w:asciiTheme="majorHAnsi" w:hAnsiTheme="majorHAnsi" w:cs="Arial"/>
          <w:color w:val="0070C0"/>
        </w:rPr>
        <w:t xml:space="preserve">Options of: Yes or No  </w:t>
      </w:r>
      <w:r w:rsidRPr="00734AB6">
        <w:rPr>
          <w:rFonts w:asciiTheme="majorHAnsi" w:hAnsiTheme="majorHAnsi" w:cs="Arial"/>
        </w:rPr>
        <w:t xml:space="preserve">if Yes, name them and specify level of dose </w:t>
      </w:r>
      <w:r w:rsidRPr="00734AB6">
        <w:rPr>
          <w:rFonts w:asciiTheme="majorHAnsi" w:hAnsiTheme="majorHAnsi" w:cs="Arial"/>
          <w:color w:val="0070C0"/>
        </w:rPr>
        <w:t>(</w:t>
      </w:r>
      <w:r w:rsidRPr="00734AB6">
        <w:rPr>
          <w:rFonts w:asciiTheme="majorHAnsi" w:hAnsiTheme="majorHAnsi" w:cs="Arial"/>
          <w:i/>
          <w:color w:val="0070C0"/>
        </w:rPr>
        <w:t xml:space="preserve">free text box)  </w:t>
      </w:r>
    </w:p>
    <w:p w14:paraId="5BD294AA"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How did you hear about methylphenidate?</w:t>
      </w:r>
    </w:p>
    <w:p w14:paraId="389E2E27" w14:textId="77777777" w:rsidR="004676EF" w:rsidRPr="00734AB6" w:rsidRDefault="004676EF" w:rsidP="0099584D">
      <w:pPr>
        <w:spacing w:after="0" w:line="360" w:lineRule="auto"/>
        <w:ind w:left="284"/>
        <w:rPr>
          <w:rFonts w:asciiTheme="majorHAnsi" w:hAnsiTheme="majorHAnsi" w:cs="Arial"/>
          <w:i/>
          <w:color w:val="0070C0"/>
        </w:rPr>
      </w:pPr>
      <w:r w:rsidRPr="00734AB6">
        <w:rPr>
          <w:rFonts w:asciiTheme="majorHAnsi" w:hAnsiTheme="majorHAnsi" w:cs="Arial"/>
          <w:i/>
          <w:color w:val="0070C0"/>
        </w:rPr>
        <w:t>Options of: News article;  chat room; friend; online pharmacy; dealer; academic paper/lecture; medical professional; other (please specify)  (free text box)</w:t>
      </w:r>
    </w:p>
    <w:p w14:paraId="275D5354" w14:textId="77777777" w:rsidR="004676EF" w:rsidRPr="00734AB6" w:rsidRDefault="004676EF" w:rsidP="0099584D">
      <w:pPr>
        <w:pStyle w:val="ListParagraph"/>
        <w:numPr>
          <w:ilvl w:val="0"/>
          <w:numId w:val="9"/>
        </w:numPr>
        <w:spacing w:before="240" w:after="0" w:line="360" w:lineRule="auto"/>
        <w:rPr>
          <w:rFonts w:asciiTheme="majorHAnsi" w:hAnsiTheme="majorHAnsi" w:cs="Arial"/>
        </w:rPr>
      </w:pPr>
      <w:r w:rsidRPr="00734AB6">
        <w:rPr>
          <w:rFonts w:asciiTheme="majorHAnsi" w:hAnsiTheme="majorHAnsi" w:cs="Arial"/>
        </w:rPr>
        <w:t xml:space="preserve">How do you get methylphenidate (tick all applicable) </w:t>
      </w:r>
    </w:p>
    <w:p w14:paraId="42528A18" w14:textId="77777777" w:rsidR="004676EF" w:rsidRPr="00734AB6" w:rsidRDefault="004676EF" w:rsidP="0099584D">
      <w:pPr>
        <w:spacing w:after="0" w:line="360" w:lineRule="auto"/>
        <w:ind w:left="360"/>
        <w:rPr>
          <w:rFonts w:asciiTheme="majorHAnsi" w:hAnsiTheme="majorHAnsi" w:cs="Arial"/>
          <w:i/>
          <w:color w:val="0070C0"/>
        </w:rPr>
      </w:pPr>
      <w:r w:rsidRPr="00734AB6">
        <w:rPr>
          <w:rFonts w:asciiTheme="majorHAnsi" w:hAnsiTheme="majorHAnsi" w:cs="Arial"/>
          <w:i/>
          <w:color w:val="0070C0"/>
        </w:rPr>
        <w:t>Options of: GP prescription; someone else’s prescription; friend; dealer; online pharmacy; other (please specify) (free text box)</w:t>
      </w:r>
    </w:p>
    <w:p w14:paraId="7388869E"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Why do you take it?   </w:t>
      </w:r>
    </w:p>
    <w:p w14:paraId="57A15BAD" w14:textId="77777777" w:rsidR="004676EF" w:rsidRPr="00734AB6" w:rsidRDefault="004676EF" w:rsidP="0099584D">
      <w:pPr>
        <w:pStyle w:val="ListParagraph"/>
        <w:spacing w:before="240" w:after="240" w:line="360" w:lineRule="auto"/>
        <w:ind w:left="360"/>
        <w:rPr>
          <w:rFonts w:asciiTheme="majorHAnsi" w:hAnsiTheme="majorHAnsi" w:cs="Arial"/>
        </w:rPr>
      </w:pPr>
      <w:r w:rsidRPr="00734AB6">
        <w:rPr>
          <w:rFonts w:asciiTheme="majorHAnsi" w:hAnsiTheme="majorHAnsi" w:cs="Arial"/>
          <w:color w:val="0070C0"/>
        </w:rPr>
        <w:t xml:space="preserve">Options of: </w:t>
      </w:r>
      <w:r w:rsidRPr="00734AB6">
        <w:rPr>
          <w:rFonts w:asciiTheme="majorHAnsi" w:hAnsiTheme="majorHAnsi" w:cs="Arial"/>
          <w:i/>
          <w:color w:val="0070C0"/>
        </w:rPr>
        <w:t xml:space="preserve">To work longer hours; for attention and focus; to get more done; for exams; night work; to think more clearly; other  (please specify) (free text box)  </w:t>
      </w:r>
    </w:p>
    <w:p w14:paraId="6446D47C" w14:textId="77777777" w:rsidR="004676EF" w:rsidRPr="00734AB6" w:rsidRDefault="004676EF" w:rsidP="0099584D">
      <w:pPr>
        <w:spacing w:before="240" w:line="360" w:lineRule="auto"/>
        <w:ind w:left="360" w:hanging="360"/>
        <w:rPr>
          <w:rFonts w:asciiTheme="majorHAnsi" w:hAnsiTheme="majorHAnsi" w:cs="Arial"/>
          <w:b/>
        </w:rPr>
      </w:pPr>
      <w:r w:rsidRPr="00734AB6">
        <w:rPr>
          <w:rFonts w:asciiTheme="majorHAnsi" w:hAnsiTheme="majorHAnsi" w:cs="Arial"/>
          <w:b/>
        </w:rPr>
        <w:t>Risk awareness</w:t>
      </w:r>
    </w:p>
    <w:p w14:paraId="0C5294AF"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What immediate positive effects do you experience from methylphenidate?</w:t>
      </w:r>
    </w:p>
    <w:p w14:paraId="571EA5CF" w14:textId="77777777" w:rsidR="004676EF" w:rsidRPr="00734AB6" w:rsidRDefault="004676EF" w:rsidP="0099584D">
      <w:pPr>
        <w:spacing w:after="0" w:line="360" w:lineRule="auto"/>
        <w:ind w:left="360"/>
        <w:rPr>
          <w:rFonts w:asciiTheme="majorHAnsi" w:hAnsiTheme="majorHAnsi" w:cs="Arial"/>
        </w:rPr>
      </w:pPr>
      <w:r w:rsidRPr="00734AB6">
        <w:rPr>
          <w:rFonts w:asciiTheme="majorHAnsi" w:hAnsiTheme="majorHAnsi" w:cs="Arial"/>
          <w:i/>
          <w:color w:val="0070C0"/>
        </w:rPr>
        <w:t xml:space="preserve">Increased energy; ability to focus; clarity of mind; motivation; confidence; alertness; increased productivity; increased concentration; improved reasoning; increased creativity; enhanced mood; more outgoing/extraverted; improved ability to enter a ‘flow-like’ state; appetite suppression; none; other (please specify (free text box)  </w:t>
      </w:r>
    </w:p>
    <w:p w14:paraId="4DCBE4CB" w14:textId="094DB087" w:rsidR="004676EF" w:rsidRPr="00734AB6" w:rsidRDefault="00DE3BDD"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What longer-</w:t>
      </w:r>
      <w:r w:rsidR="004676EF" w:rsidRPr="00734AB6">
        <w:rPr>
          <w:rFonts w:asciiTheme="majorHAnsi" w:hAnsiTheme="majorHAnsi" w:cs="Arial"/>
        </w:rPr>
        <w:t>lasting (i.e. once the drug has worn off) positive effects do you experience from methylphenidate?</w:t>
      </w:r>
    </w:p>
    <w:p w14:paraId="22151D7C" w14:textId="77777777" w:rsidR="004676EF" w:rsidRPr="00734AB6" w:rsidRDefault="004676EF" w:rsidP="0099584D">
      <w:pPr>
        <w:spacing w:after="0" w:line="360" w:lineRule="auto"/>
        <w:ind w:left="360"/>
        <w:rPr>
          <w:rFonts w:asciiTheme="majorHAnsi" w:hAnsiTheme="majorHAnsi" w:cs="Arial"/>
        </w:rPr>
      </w:pPr>
      <w:r w:rsidRPr="00734AB6">
        <w:rPr>
          <w:rFonts w:asciiTheme="majorHAnsi" w:hAnsiTheme="majorHAnsi" w:cs="Arial"/>
          <w:color w:val="0070C0"/>
        </w:rPr>
        <w:t>Same options as no. 43</w:t>
      </w:r>
      <w:r w:rsidRPr="00734AB6">
        <w:rPr>
          <w:rFonts w:asciiTheme="majorHAnsi" w:hAnsiTheme="majorHAnsi" w:cs="Arial"/>
          <w:i/>
          <w:color w:val="0070C0"/>
        </w:rPr>
        <w:t xml:space="preserve"> </w:t>
      </w:r>
    </w:p>
    <w:p w14:paraId="1F18DA71"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lastRenderedPageBreak/>
        <w:t>What immediate negative effects do you experience from methylphenidate?</w:t>
      </w:r>
    </w:p>
    <w:p w14:paraId="1780E3F7" w14:textId="77777777" w:rsidR="004676EF" w:rsidRPr="00734AB6" w:rsidRDefault="004676EF" w:rsidP="0099584D">
      <w:pPr>
        <w:spacing w:after="0" w:line="360" w:lineRule="auto"/>
        <w:ind w:left="284"/>
        <w:rPr>
          <w:rFonts w:asciiTheme="majorHAnsi" w:hAnsiTheme="majorHAnsi" w:cs="Arial"/>
          <w:i/>
          <w:color w:val="0070C0"/>
        </w:rPr>
      </w:pPr>
      <w:r w:rsidRPr="00734AB6">
        <w:rPr>
          <w:rFonts w:asciiTheme="majorHAnsi" w:hAnsiTheme="majorHAnsi" w:cs="Arial"/>
          <w:i/>
          <w:color w:val="0070C0"/>
        </w:rPr>
        <w:t xml:space="preserve">Anxiety; insomnia; diarrhoea; dizziness; nausea; headache; indigestion/acid reflux; inflammation of the nose; abnormal heart rhythm; low blood pressure; cannot empty bladder; chest pains; sweating; confusion; depression; fast heart beat; mood changes; aggressive behaviour; throat irritation; dry mouth; tremor; vomiting; loss of appetite; none; other (please specify) (free text box) </w:t>
      </w:r>
    </w:p>
    <w:p w14:paraId="46B63613" w14:textId="5473EDCE"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 xml:space="preserve">What </w:t>
      </w:r>
      <w:r w:rsidR="00DE3BDD" w:rsidRPr="00734AB6">
        <w:rPr>
          <w:rFonts w:asciiTheme="majorHAnsi" w:hAnsiTheme="majorHAnsi" w:cs="Arial"/>
        </w:rPr>
        <w:t>longer-lasting</w:t>
      </w:r>
      <w:r w:rsidRPr="00734AB6">
        <w:rPr>
          <w:rFonts w:asciiTheme="majorHAnsi" w:hAnsiTheme="majorHAnsi" w:cs="Arial"/>
        </w:rPr>
        <w:t xml:space="preserve"> (i.e. once the drug has worn off) negative effects do you experience from methylphenidate?</w:t>
      </w:r>
    </w:p>
    <w:p w14:paraId="57454B58" w14:textId="77777777" w:rsidR="004676EF" w:rsidRPr="00734AB6" w:rsidRDefault="004676EF" w:rsidP="0099584D">
      <w:pPr>
        <w:spacing w:after="0" w:line="360" w:lineRule="auto"/>
        <w:ind w:left="360"/>
        <w:rPr>
          <w:rFonts w:asciiTheme="majorHAnsi" w:hAnsiTheme="majorHAnsi"/>
          <w:noProof/>
          <w:color w:val="0070C0"/>
          <w:lang w:eastAsia="en-GB"/>
        </w:rPr>
      </w:pPr>
      <w:r w:rsidRPr="00734AB6">
        <w:rPr>
          <w:rFonts w:asciiTheme="majorHAnsi" w:hAnsiTheme="majorHAnsi"/>
          <w:noProof/>
          <w:color w:val="0070C0"/>
          <w:lang w:eastAsia="en-GB"/>
        </w:rPr>
        <w:t>Same options as no. 45</w:t>
      </w:r>
    </w:p>
    <w:p w14:paraId="18686402" w14:textId="77777777" w:rsidR="004676EF" w:rsidRPr="00734AB6" w:rsidRDefault="004676EF" w:rsidP="0099584D">
      <w:pPr>
        <w:pStyle w:val="ListParagraph"/>
        <w:numPr>
          <w:ilvl w:val="0"/>
          <w:numId w:val="9"/>
        </w:numPr>
        <w:spacing w:after="240" w:line="360" w:lineRule="auto"/>
        <w:rPr>
          <w:rFonts w:asciiTheme="majorHAnsi" w:hAnsiTheme="majorHAnsi" w:cs="Arial"/>
        </w:rPr>
      </w:pPr>
      <w:r w:rsidRPr="00734AB6">
        <w:rPr>
          <w:rFonts w:asciiTheme="majorHAnsi" w:hAnsiTheme="majorHAnsi" w:cs="Arial"/>
        </w:rPr>
        <w:t xml:space="preserve">Do you feel dependent on methylphenidate? </w:t>
      </w:r>
      <w:r w:rsidRPr="00734AB6">
        <w:rPr>
          <w:rFonts w:asciiTheme="majorHAnsi" w:hAnsiTheme="majorHAnsi" w:cs="Arial"/>
          <w:i/>
          <w:color w:val="0070C0"/>
        </w:rPr>
        <w:t xml:space="preserve"> Options of Yes or No</w:t>
      </w:r>
    </w:p>
    <w:p w14:paraId="77D16FEC" w14:textId="77777777" w:rsidR="004676EF" w:rsidRPr="00734AB6" w:rsidRDefault="004676EF" w:rsidP="0099584D">
      <w:pPr>
        <w:pStyle w:val="ListParagraph"/>
        <w:numPr>
          <w:ilvl w:val="0"/>
          <w:numId w:val="9"/>
        </w:numPr>
        <w:spacing w:before="240" w:after="240" w:line="360" w:lineRule="auto"/>
        <w:rPr>
          <w:rFonts w:asciiTheme="majorHAnsi" w:hAnsiTheme="majorHAnsi" w:cs="Arial"/>
          <w:i/>
          <w:color w:val="0070C0"/>
        </w:rPr>
      </w:pPr>
      <w:r w:rsidRPr="00734AB6">
        <w:rPr>
          <w:rFonts w:asciiTheme="majorHAnsi" w:hAnsiTheme="majorHAnsi" w:cs="Arial"/>
        </w:rPr>
        <w:t xml:space="preserve">How much methylphenidate do you think it is safe to take at any one time? </w:t>
      </w:r>
    </w:p>
    <w:p w14:paraId="38BFB0B6" w14:textId="77777777" w:rsidR="004676EF" w:rsidRPr="00734AB6" w:rsidRDefault="004676EF" w:rsidP="0099584D">
      <w:pPr>
        <w:pStyle w:val="ListParagraph"/>
        <w:spacing w:before="240" w:after="240" w:line="360" w:lineRule="auto"/>
        <w:ind w:left="360" w:hanging="360"/>
        <w:rPr>
          <w:rFonts w:asciiTheme="majorHAnsi" w:hAnsiTheme="majorHAnsi" w:cs="Arial"/>
          <w:i/>
          <w:color w:val="0070C0"/>
        </w:rPr>
      </w:pPr>
      <w:r w:rsidRPr="00734AB6">
        <w:rPr>
          <w:rFonts w:asciiTheme="majorHAnsi" w:hAnsiTheme="majorHAnsi" w:cs="Arial"/>
        </w:rPr>
        <w:t xml:space="preserve">Options of: </w:t>
      </w:r>
      <w:r w:rsidRPr="00734AB6">
        <w:rPr>
          <w:rFonts w:asciiTheme="majorHAnsi" w:hAnsiTheme="majorHAnsi" w:cs="Arial"/>
          <w:color w:val="0070C0"/>
        </w:rPr>
        <w:t xml:space="preserve">none; </w:t>
      </w:r>
      <w:r w:rsidRPr="00734AB6">
        <w:rPr>
          <w:rFonts w:asciiTheme="majorHAnsi" w:hAnsiTheme="majorHAnsi" w:cs="Arial"/>
          <w:i/>
          <w:color w:val="0070C0"/>
        </w:rPr>
        <w:t>5mg; 10mg; 20mg; 30mg; 40mg; 50mg; 60mg; more than 60mg</w:t>
      </w:r>
    </w:p>
    <w:p w14:paraId="2CEB1940" w14:textId="77777777" w:rsidR="004676EF" w:rsidRPr="00734AB6" w:rsidRDefault="004676EF" w:rsidP="0099584D">
      <w:pPr>
        <w:pStyle w:val="ListParagraph"/>
        <w:numPr>
          <w:ilvl w:val="0"/>
          <w:numId w:val="9"/>
        </w:numPr>
        <w:spacing w:after="0" w:line="360" w:lineRule="auto"/>
        <w:rPr>
          <w:rFonts w:asciiTheme="majorHAnsi" w:hAnsiTheme="majorHAnsi" w:cs="Arial"/>
        </w:rPr>
      </w:pPr>
      <w:r w:rsidRPr="00734AB6">
        <w:rPr>
          <w:rFonts w:asciiTheme="majorHAnsi" w:hAnsiTheme="majorHAnsi" w:cs="Arial"/>
        </w:rPr>
        <w:t xml:space="preserve">Do you think you would you be putting yourself in danger if you took methylphenidate   </w:t>
      </w:r>
    </w:p>
    <w:p w14:paraId="52346BA3" w14:textId="77777777" w:rsidR="004676EF" w:rsidRPr="00734AB6" w:rsidRDefault="004676EF" w:rsidP="0099584D">
      <w:pPr>
        <w:spacing w:line="360" w:lineRule="auto"/>
        <w:ind w:left="360"/>
        <w:rPr>
          <w:rFonts w:asciiTheme="majorHAnsi" w:hAnsiTheme="majorHAnsi" w:cs="Arial"/>
          <w:i/>
          <w:color w:val="0070C0"/>
        </w:rPr>
      </w:pPr>
      <w:r w:rsidRPr="00734AB6">
        <w:rPr>
          <w:rFonts w:asciiTheme="majorHAnsi" w:hAnsiTheme="majorHAnsi" w:cs="Arial"/>
          <w:i/>
          <w:color w:val="0070C0"/>
        </w:rPr>
        <w:t>Options of: every day; 3 or more times per week; once per week; twice per month; 6 times or less per year; no danger</w:t>
      </w:r>
    </w:p>
    <w:p w14:paraId="40123FAE" w14:textId="77777777" w:rsidR="004676EF" w:rsidRPr="00734AB6" w:rsidRDefault="004676EF" w:rsidP="005819EA">
      <w:pPr>
        <w:spacing w:after="0" w:line="360" w:lineRule="auto"/>
        <w:ind w:left="360" w:hanging="360"/>
        <w:rPr>
          <w:rFonts w:asciiTheme="majorHAnsi" w:hAnsiTheme="majorHAnsi"/>
        </w:rPr>
      </w:pPr>
    </w:p>
    <w:p w14:paraId="06B03A7A" w14:textId="77777777" w:rsidR="004676EF" w:rsidRPr="00734AB6" w:rsidRDefault="004676EF" w:rsidP="00E8216D">
      <w:pPr>
        <w:pBdr>
          <w:top w:val="double" w:sz="4" w:space="1" w:color="auto"/>
        </w:pBdr>
        <w:spacing w:line="360" w:lineRule="auto"/>
        <w:rPr>
          <w:rFonts w:asciiTheme="majorHAnsi" w:hAnsiTheme="majorHAnsi"/>
        </w:rPr>
      </w:pPr>
    </w:p>
    <w:p w14:paraId="31C00F39" w14:textId="66D5D0CD" w:rsidR="004676EF" w:rsidRPr="00734AB6" w:rsidRDefault="004676EF" w:rsidP="00E634D7">
      <w:pPr>
        <w:rPr>
          <w:rFonts w:asciiTheme="majorHAnsi" w:eastAsiaTheme="majorEastAsia" w:hAnsiTheme="majorHAnsi" w:cstheme="majorBidi"/>
          <w:b/>
          <w:color w:val="000000" w:themeColor="text1"/>
        </w:rPr>
      </w:pPr>
      <w:bookmarkStart w:id="119" w:name="_Toc45200514"/>
      <w:r w:rsidRPr="00734AB6">
        <w:rPr>
          <w:b/>
          <w:color w:val="000000" w:themeColor="text1"/>
        </w:rPr>
        <w:t>A(ii)</w:t>
      </w:r>
      <w:r w:rsidRPr="00734AB6">
        <w:rPr>
          <w:b/>
          <w:color w:val="000000" w:themeColor="text1"/>
        </w:rPr>
        <w:tab/>
        <w:t>Advertisement to online forum sites</w:t>
      </w:r>
      <w:bookmarkEnd w:id="119"/>
    </w:p>
    <w:p w14:paraId="3014BA53" w14:textId="77777777" w:rsidR="004676EF" w:rsidRPr="00734AB6" w:rsidRDefault="004676EF" w:rsidP="005819EA">
      <w:pPr>
        <w:spacing w:after="0" w:line="360" w:lineRule="auto"/>
        <w:rPr>
          <w:rStyle w:val="Strong"/>
          <w:rFonts w:asciiTheme="majorHAnsi" w:hAnsiTheme="majorHAnsi"/>
          <w:color w:val="222222"/>
        </w:rPr>
      </w:pPr>
    </w:p>
    <w:p w14:paraId="263CD9F8" w14:textId="77777777" w:rsidR="004676EF" w:rsidRPr="00734AB6" w:rsidRDefault="004676EF" w:rsidP="0099584D">
      <w:pPr>
        <w:spacing w:line="360" w:lineRule="auto"/>
        <w:rPr>
          <w:rStyle w:val="Strong"/>
          <w:rFonts w:asciiTheme="majorHAnsi" w:hAnsiTheme="majorHAnsi"/>
          <w:color w:val="222222"/>
        </w:rPr>
      </w:pPr>
      <w:r w:rsidRPr="00734AB6">
        <w:rPr>
          <w:rStyle w:val="Strong"/>
          <w:rFonts w:asciiTheme="majorHAnsi" w:hAnsiTheme="majorHAnsi"/>
          <w:color w:val="222222"/>
        </w:rPr>
        <w:t>SMART DRUG SURVEY</w:t>
      </w:r>
    </w:p>
    <w:p w14:paraId="0782D471" w14:textId="77777777" w:rsidR="004676EF" w:rsidRPr="00734AB6" w:rsidRDefault="004676EF" w:rsidP="0099584D">
      <w:pPr>
        <w:spacing w:line="360" w:lineRule="auto"/>
        <w:rPr>
          <w:rStyle w:val="Strong"/>
          <w:rFonts w:asciiTheme="majorHAnsi" w:hAnsiTheme="majorHAnsi"/>
          <w:color w:val="222222"/>
        </w:rPr>
      </w:pPr>
      <w:r w:rsidRPr="00734AB6">
        <w:rPr>
          <w:rStyle w:val="Strong"/>
          <w:rFonts w:asciiTheme="majorHAnsi" w:hAnsiTheme="majorHAnsi"/>
          <w:color w:val="222222"/>
        </w:rPr>
        <w:t>Recruiting – The off prescription use of modafinil and methylphenidate – all welcome (over 18)! </w:t>
      </w:r>
    </w:p>
    <w:p w14:paraId="411CA242" w14:textId="77777777" w:rsidR="004676EF" w:rsidRPr="00734AB6" w:rsidRDefault="004676EF" w:rsidP="0099584D">
      <w:pPr>
        <w:spacing w:line="360" w:lineRule="auto"/>
        <w:rPr>
          <w:rFonts w:asciiTheme="majorHAnsi" w:hAnsiTheme="majorHAnsi"/>
        </w:rPr>
      </w:pPr>
      <w:r w:rsidRPr="00734AB6">
        <w:rPr>
          <w:rFonts w:asciiTheme="majorHAnsi" w:hAnsiTheme="majorHAnsi"/>
        </w:rPr>
        <w:t>[Smart Drug Survey](https://lsbupsychology.qualtrics.com/SE/?SID=SV_5yFEq1OIKZMaov3)</w:t>
      </w:r>
      <w:r w:rsidRPr="00734AB6">
        <w:rPr>
          <w:rFonts w:asciiTheme="majorHAnsi" w:hAnsiTheme="majorHAnsi"/>
          <w:b/>
          <w:bCs/>
          <w:color w:val="222222"/>
        </w:rPr>
        <w:br/>
      </w:r>
      <w:r w:rsidRPr="00734AB6">
        <w:rPr>
          <w:rFonts w:asciiTheme="majorHAnsi" w:hAnsiTheme="majorHAnsi"/>
          <w:color w:val="222222"/>
          <w:shd w:val="clear" w:color="auto" w:fill="FFFFFF"/>
        </w:rPr>
        <w:t>I am a PhD student at London South Bank University and I am researching the off prescription use of modafinil and methylphenidate, and also opinions on the use of cognitive enhancers. If you can spare 15-20 minutes, please complete this online survey (link found below) – you would be contributing to this investigation into use of these drugs, awareness of risks and harms and also opinions on the use of cognitive enhancers. You don’t need to have taken these drugs to participate, although anyone who has would also contribute greatly! This survey is completely confidential and anonymous so no details that could identify you will be recorded. As long as you are over 18 years of age and have an opinion about this topic you are most welcome to participate. This study is not restricted to any country and welcomes people from all countries to participate. Our findings will contribute to informing research on the extent of use of these drugs within the UK and internationally and will form the basis of a journal article that may be published in a peer reviewed journal.</w:t>
      </w:r>
      <w:r w:rsidRPr="00734AB6">
        <w:rPr>
          <w:rStyle w:val="apple-converted-space"/>
          <w:rFonts w:asciiTheme="majorHAnsi" w:hAnsiTheme="majorHAnsi"/>
          <w:color w:val="222222"/>
          <w:shd w:val="clear" w:color="auto" w:fill="FFFFFF"/>
        </w:rPr>
        <w:t> </w:t>
      </w:r>
      <w:r w:rsidRPr="00734AB6">
        <w:rPr>
          <w:rFonts w:asciiTheme="majorHAnsi" w:hAnsiTheme="majorHAnsi"/>
          <w:color w:val="222222"/>
        </w:rPr>
        <w:br/>
      </w:r>
      <w:r w:rsidRPr="00734AB6">
        <w:rPr>
          <w:rFonts w:asciiTheme="majorHAnsi" w:hAnsiTheme="majorHAnsi"/>
          <w:color w:val="222222"/>
          <w:shd w:val="clear" w:color="auto" w:fill="FFFFFF"/>
        </w:rPr>
        <w:t xml:space="preserve">The study has been approved by the Research Ethics Committee of London South Bank University </w:t>
      </w:r>
      <w:r w:rsidRPr="00734AB6">
        <w:rPr>
          <w:rFonts w:asciiTheme="majorHAnsi" w:hAnsiTheme="majorHAnsi"/>
          <w:color w:val="222222"/>
          <w:shd w:val="clear" w:color="auto" w:fill="FFFFFF"/>
        </w:rPr>
        <w:lastRenderedPageBreak/>
        <w:t xml:space="preserve">(ref. 1626). </w:t>
      </w:r>
      <w:r w:rsidRPr="00734AB6">
        <w:rPr>
          <w:rFonts w:asciiTheme="majorHAnsi" w:hAnsiTheme="majorHAnsi"/>
          <w:color w:val="222222"/>
        </w:rPr>
        <w:br/>
      </w:r>
      <w:r w:rsidRPr="00734AB6">
        <w:rPr>
          <w:rFonts w:asciiTheme="majorHAnsi" w:hAnsiTheme="majorHAnsi"/>
        </w:rPr>
        <w:t>To participate, just follow this link:  [Smart Drug Survey](https://lsbupsychology.qualtrics.com/SE/?SID=SV_5yFEq1OIKZMaov3)</w:t>
      </w:r>
    </w:p>
    <w:p w14:paraId="5F8BB3F6" w14:textId="77777777" w:rsidR="00E8216D" w:rsidRPr="00734AB6" w:rsidRDefault="00E8216D" w:rsidP="0027637D">
      <w:pPr>
        <w:pBdr>
          <w:top w:val="double" w:sz="4" w:space="1" w:color="auto"/>
        </w:pBdr>
      </w:pPr>
      <w:bookmarkStart w:id="120" w:name="_Toc45200515"/>
    </w:p>
    <w:p w14:paraId="70506419" w14:textId="77777777" w:rsidR="004676EF" w:rsidRPr="00734AB6" w:rsidRDefault="004676EF" w:rsidP="0099584D">
      <w:pPr>
        <w:pStyle w:val="Heading2"/>
        <w:spacing w:line="360" w:lineRule="auto"/>
        <w:rPr>
          <w:b/>
          <w:color w:val="000000" w:themeColor="text1"/>
          <w:sz w:val="22"/>
          <w:szCs w:val="22"/>
        </w:rPr>
      </w:pPr>
      <w:bookmarkStart w:id="121" w:name="_Toc48136407"/>
      <w:r w:rsidRPr="00734AB6">
        <w:rPr>
          <w:b/>
          <w:color w:val="000000" w:themeColor="text1"/>
          <w:sz w:val="22"/>
          <w:szCs w:val="22"/>
        </w:rPr>
        <w:t>A(iii)</w:t>
      </w:r>
      <w:r w:rsidRPr="00734AB6">
        <w:rPr>
          <w:b/>
          <w:color w:val="000000" w:themeColor="text1"/>
          <w:sz w:val="22"/>
          <w:szCs w:val="22"/>
        </w:rPr>
        <w:tab/>
        <w:t>Participant information sheet</w:t>
      </w:r>
      <w:bookmarkEnd w:id="120"/>
      <w:bookmarkEnd w:id="121"/>
    </w:p>
    <w:p w14:paraId="571D18AE" w14:textId="77777777" w:rsidR="004676EF" w:rsidRPr="00734AB6" w:rsidRDefault="004676EF" w:rsidP="0099584D">
      <w:pPr>
        <w:spacing w:line="360" w:lineRule="auto"/>
        <w:jc w:val="center"/>
        <w:rPr>
          <w:rFonts w:asciiTheme="majorHAnsi" w:hAnsiTheme="majorHAnsi"/>
          <w:b/>
        </w:rPr>
      </w:pPr>
    </w:p>
    <w:p w14:paraId="1248B6E3"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Participant Information Sheet</w:t>
      </w:r>
    </w:p>
    <w:p w14:paraId="0A9CD69E" w14:textId="77777777" w:rsidR="004676EF" w:rsidRPr="00734AB6" w:rsidRDefault="004676EF" w:rsidP="0099584D">
      <w:pPr>
        <w:tabs>
          <w:tab w:val="left" w:pos="1560"/>
        </w:tabs>
        <w:spacing w:line="360" w:lineRule="auto"/>
        <w:ind w:left="1560" w:hanging="1560"/>
        <w:rPr>
          <w:rFonts w:asciiTheme="majorHAnsi" w:hAnsiTheme="majorHAnsi"/>
          <w:b/>
        </w:rPr>
      </w:pPr>
      <w:r w:rsidRPr="00734AB6">
        <w:rPr>
          <w:rFonts w:asciiTheme="majorHAnsi" w:hAnsiTheme="majorHAnsi"/>
          <w:b/>
        </w:rPr>
        <w:t>Title of study:</w:t>
      </w:r>
      <w:r w:rsidRPr="00734AB6">
        <w:rPr>
          <w:rFonts w:asciiTheme="majorHAnsi" w:hAnsiTheme="majorHAnsi"/>
          <w:b/>
        </w:rPr>
        <w:tab/>
      </w:r>
      <w:r w:rsidRPr="00734AB6">
        <w:rPr>
          <w:rFonts w:asciiTheme="majorHAnsi" w:hAnsiTheme="majorHAnsi"/>
          <w:b/>
          <w:u w:val="single"/>
        </w:rPr>
        <w:t>The off—prescription use of Modafinil and Methylphenidate for cognitive enhancement, a web-based survey</w:t>
      </w:r>
    </w:p>
    <w:p w14:paraId="3DE22F0F"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You are invited to take part in a survey investigating the use of modafinil (also known as </w:t>
      </w:r>
      <w:proofErr w:type="spellStart"/>
      <w:r w:rsidRPr="00734AB6">
        <w:rPr>
          <w:rFonts w:asciiTheme="majorHAnsi" w:hAnsiTheme="majorHAnsi"/>
        </w:rPr>
        <w:t>Modalert</w:t>
      </w:r>
      <w:proofErr w:type="spellEnd"/>
      <w:r w:rsidRPr="00734AB6">
        <w:rPr>
          <w:rFonts w:asciiTheme="majorHAnsi" w:hAnsiTheme="majorHAnsi"/>
        </w:rPr>
        <w:t xml:space="preserve"> or Provigil) and methylphenidate (also known as Ritalin) for cognitive enhancement.  This is a completely anonymous survey and no information that could identify you will be collected.  Participation is entirely voluntary and you are free to opt out at any time during completion of the questionnaire by clicking on the ‘exit’ button.  This study is being conducted as part of Rachel </w:t>
      </w:r>
      <w:proofErr w:type="spellStart"/>
      <w:r w:rsidRPr="00734AB6">
        <w:rPr>
          <w:rFonts w:asciiTheme="majorHAnsi" w:hAnsiTheme="majorHAnsi"/>
        </w:rPr>
        <w:t>Teodorini’s</w:t>
      </w:r>
      <w:proofErr w:type="spellEnd"/>
      <w:r w:rsidRPr="00734AB6">
        <w:rPr>
          <w:rFonts w:asciiTheme="majorHAnsi" w:hAnsiTheme="majorHAnsi"/>
        </w:rPr>
        <w:t xml:space="preserve"> PhD programme at London South Bank University.  </w:t>
      </w:r>
    </w:p>
    <w:p w14:paraId="29342D1D"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This survey aims to increase our understanding of current awareness of the effects of off-prescription use of methylphenidate and modafinil and why people are using them.  It seeks to identify the extent of users’ of awareness of the risk and harms associated with taking them and to investigate public opinion of cognitive enhancement.  </w:t>
      </w:r>
    </w:p>
    <w:p w14:paraId="7DC1066C" w14:textId="77777777" w:rsidR="005819EA" w:rsidRPr="00734AB6" w:rsidRDefault="004676EF" w:rsidP="0099584D">
      <w:pPr>
        <w:spacing w:line="360" w:lineRule="auto"/>
        <w:rPr>
          <w:rFonts w:asciiTheme="majorHAnsi" w:hAnsiTheme="majorHAnsi"/>
        </w:rPr>
      </w:pPr>
      <w:r w:rsidRPr="00734AB6">
        <w:rPr>
          <w:rFonts w:asciiTheme="majorHAnsi" w:hAnsiTheme="majorHAnsi"/>
        </w:rPr>
        <w:t>As we are also interested in opinions of the use of cognitive enhancing drugs, anyone who has an opinion on this is invited to participate, even if they have never taken these drugs themselves.  However, anyone under the age of 18 is excluded from participating in this study.</w:t>
      </w:r>
    </w:p>
    <w:p w14:paraId="6EBA81C5" w14:textId="71204D79" w:rsidR="004676EF" w:rsidRPr="00734AB6" w:rsidRDefault="004676EF" w:rsidP="0099584D">
      <w:pPr>
        <w:spacing w:line="360" w:lineRule="auto"/>
        <w:rPr>
          <w:rFonts w:asciiTheme="majorHAnsi" w:hAnsiTheme="majorHAnsi"/>
        </w:rPr>
      </w:pPr>
      <w:r w:rsidRPr="00734AB6">
        <w:rPr>
          <w:rFonts w:asciiTheme="majorHAnsi" w:hAnsiTheme="majorHAnsi"/>
        </w:rPr>
        <w:t xml:space="preserve">Please take time to decide if you would like to take part and please be aware that you are under no obligation to do so and have the right to withdraw at any point.  The survey will take approximately 15 to 20 minutes to complete and will involve a minimal amount of typing as the questions have mostly tick box options.  The questions being asked relate to: </w:t>
      </w:r>
    </w:p>
    <w:p w14:paraId="04115B48" w14:textId="77777777" w:rsidR="004676EF" w:rsidRPr="00734AB6" w:rsidRDefault="004676EF" w:rsidP="0099584D">
      <w:pPr>
        <w:pStyle w:val="ListParagraph"/>
        <w:numPr>
          <w:ilvl w:val="0"/>
          <w:numId w:val="7"/>
        </w:numPr>
        <w:spacing w:line="360" w:lineRule="auto"/>
        <w:rPr>
          <w:rFonts w:asciiTheme="majorHAnsi" w:hAnsiTheme="majorHAnsi"/>
        </w:rPr>
      </w:pPr>
      <w:r w:rsidRPr="00734AB6">
        <w:rPr>
          <w:rFonts w:asciiTheme="majorHAnsi" w:hAnsiTheme="majorHAnsi"/>
        </w:rPr>
        <w:t>awareness of cognitive enhancing drugs</w:t>
      </w:r>
    </w:p>
    <w:p w14:paraId="28E77E3F" w14:textId="77777777" w:rsidR="004676EF" w:rsidRPr="00734AB6" w:rsidRDefault="004676EF" w:rsidP="0099584D">
      <w:pPr>
        <w:pStyle w:val="ListParagraph"/>
        <w:numPr>
          <w:ilvl w:val="0"/>
          <w:numId w:val="7"/>
        </w:numPr>
        <w:spacing w:line="360" w:lineRule="auto"/>
        <w:rPr>
          <w:rFonts w:asciiTheme="majorHAnsi" w:hAnsiTheme="majorHAnsi"/>
        </w:rPr>
      </w:pPr>
      <w:r w:rsidRPr="00734AB6">
        <w:rPr>
          <w:rFonts w:asciiTheme="majorHAnsi" w:hAnsiTheme="majorHAnsi"/>
        </w:rPr>
        <w:t>the use of methylphenidate and modafinil</w:t>
      </w:r>
    </w:p>
    <w:p w14:paraId="53E30D5A" w14:textId="77777777" w:rsidR="004676EF" w:rsidRPr="00734AB6" w:rsidRDefault="004676EF" w:rsidP="0099584D">
      <w:pPr>
        <w:pStyle w:val="ListParagraph"/>
        <w:numPr>
          <w:ilvl w:val="0"/>
          <w:numId w:val="7"/>
        </w:numPr>
        <w:spacing w:line="360" w:lineRule="auto"/>
        <w:rPr>
          <w:rFonts w:asciiTheme="majorHAnsi" w:hAnsiTheme="majorHAnsi"/>
        </w:rPr>
      </w:pPr>
      <w:r w:rsidRPr="00734AB6">
        <w:rPr>
          <w:rFonts w:asciiTheme="majorHAnsi" w:hAnsiTheme="majorHAnsi"/>
        </w:rPr>
        <w:t>understanding of potential risks and harms associated with taking these drugs</w:t>
      </w:r>
    </w:p>
    <w:p w14:paraId="48842710" w14:textId="77777777" w:rsidR="004676EF" w:rsidRPr="00734AB6" w:rsidRDefault="004676EF" w:rsidP="0099584D">
      <w:pPr>
        <w:pStyle w:val="ListParagraph"/>
        <w:numPr>
          <w:ilvl w:val="0"/>
          <w:numId w:val="7"/>
        </w:numPr>
        <w:spacing w:line="360" w:lineRule="auto"/>
        <w:rPr>
          <w:rFonts w:asciiTheme="majorHAnsi" w:hAnsiTheme="majorHAnsi"/>
        </w:rPr>
      </w:pPr>
      <w:r w:rsidRPr="00734AB6">
        <w:rPr>
          <w:rFonts w:asciiTheme="majorHAnsi" w:hAnsiTheme="majorHAnsi"/>
        </w:rPr>
        <w:t>opinions of the use of cognitive enhancing drugs</w:t>
      </w:r>
    </w:p>
    <w:p w14:paraId="10DB63D6" w14:textId="77777777" w:rsidR="004676EF" w:rsidRPr="00734AB6" w:rsidRDefault="004676EF" w:rsidP="0099584D">
      <w:pPr>
        <w:pStyle w:val="ListParagraph"/>
        <w:numPr>
          <w:ilvl w:val="0"/>
          <w:numId w:val="7"/>
        </w:numPr>
        <w:spacing w:line="360" w:lineRule="auto"/>
        <w:rPr>
          <w:rFonts w:asciiTheme="majorHAnsi" w:hAnsiTheme="majorHAnsi"/>
        </w:rPr>
      </w:pPr>
      <w:proofErr w:type="spellStart"/>
      <w:r w:rsidRPr="00734AB6">
        <w:rPr>
          <w:rFonts w:asciiTheme="majorHAnsi" w:hAnsiTheme="majorHAnsi"/>
        </w:rPr>
        <w:t>self ratings</w:t>
      </w:r>
      <w:proofErr w:type="spellEnd"/>
      <w:r w:rsidRPr="00734AB6">
        <w:rPr>
          <w:rFonts w:asciiTheme="majorHAnsi" w:hAnsiTheme="majorHAnsi"/>
        </w:rPr>
        <w:t xml:space="preserve"> of your memory abilities.</w:t>
      </w:r>
    </w:p>
    <w:p w14:paraId="4B91C61C" w14:textId="77777777" w:rsidR="004676EF" w:rsidRPr="00734AB6" w:rsidRDefault="004676EF" w:rsidP="0099584D">
      <w:pPr>
        <w:spacing w:line="360" w:lineRule="auto"/>
        <w:rPr>
          <w:rFonts w:asciiTheme="majorHAnsi" w:hAnsiTheme="majorHAnsi"/>
        </w:rPr>
      </w:pPr>
      <w:r w:rsidRPr="00734AB6">
        <w:rPr>
          <w:rFonts w:asciiTheme="majorHAnsi" w:hAnsiTheme="majorHAnsi"/>
        </w:rPr>
        <w:lastRenderedPageBreak/>
        <w:t>The information that participants provide through this survey will contribute to informing research on the extent of use of these drugs within the UK and Europe and will form the basis of a journal article that may be published in a peer reviewed journal.  All information collected from this survey will be securely stored on a password protected computer that will only be accessed by the researcher (Rachel Teodorini) and supervisors (Dr Nicola Rycroft and Dr James Smith-Spark) both of whom are Senior Lecturers at London South Bank University and have expertise in substance abuse and memory.  This information will be stored for a period of time (approximately 5 years from publication) to comply with journal regulations.</w:t>
      </w:r>
    </w:p>
    <w:p w14:paraId="3269F0F2"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Other than contributing to a knowledge base that will help to inform research on the prevalence of use of these drugs, it is unlikely that you will gain any personal benefit from participating in this research.  It is not anticipated that you will be disadvantaged by participating in this research. </w:t>
      </w:r>
    </w:p>
    <w:p w14:paraId="254D4669" w14:textId="77777777" w:rsidR="004676EF" w:rsidRPr="00734AB6" w:rsidRDefault="004676EF" w:rsidP="0099584D">
      <w:pPr>
        <w:spacing w:line="360" w:lineRule="auto"/>
        <w:rPr>
          <w:rFonts w:asciiTheme="majorHAnsi" w:hAnsiTheme="majorHAnsi"/>
        </w:rPr>
      </w:pPr>
      <w:r w:rsidRPr="00734AB6">
        <w:rPr>
          <w:rFonts w:asciiTheme="majorHAnsi" w:hAnsiTheme="majorHAnsi"/>
        </w:rPr>
        <w:t>This study has been organized by the PhD student and aforementioned supervisors and funded by the London South Bank University.  It has also been ethically approved by the London South Bank University Research Ethics Committee.</w:t>
      </w:r>
    </w:p>
    <w:p w14:paraId="20930376" w14:textId="77777777" w:rsidR="004676EF" w:rsidRPr="00734AB6" w:rsidRDefault="004676EF" w:rsidP="0099584D">
      <w:pPr>
        <w:spacing w:line="360" w:lineRule="auto"/>
        <w:rPr>
          <w:rFonts w:asciiTheme="majorHAnsi" w:hAnsiTheme="majorHAnsi"/>
        </w:rPr>
      </w:pPr>
      <w:r w:rsidRPr="00734AB6">
        <w:rPr>
          <w:rFonts w:asciiTheme="majorHAnsi" w:hAnsiTheme="majorHAnsi"/>
        </w:rPr>
        <w:t>If you would like to take part in this study, please click on the ‘Continue’ button below.  This will lead you to a consent form consisting of a number of statements which you are required to answer by clicking on the tick boxes.  Only by ticking on the boxes will you be indicating consent to each of these statements and only by ticking all consent boxes will you be able to continue to the survey.  Should you change your mind and wish to cancel at this stage or at any stage during the survey there is an exit button at the bottom each page you may click on to exit the survey.  Each question in the survey requires an answer, even if the answer is ‘no’.</w:t>
      </w:r>
    </w:p>
    <w:p w14:paraId="42F88D20" w14:textId="77777777" w:rsidR="004676EF" w:rsidRPr="00734AB6" w:rsidRDefault="004676EF" w:rsidP="0099584D">
      <w:pPr>
        <w:spacing w:line="360" w:lineRule="auto"/>
        <w:rPr>
          <w:rFonts w:asciiTheme="majorHAnsi" w:hAnsiTheme="majorHAnsi"/>
        </w:rPr>
      </w:pPr>
      <w:r w:rsidRPr="00734AB6">
        <w:rPr>
          <w:rFonts w:asciiTheme="majorHAnsi" w:hAnsiTheme="majorHAnsi"/>
        </w:rPr>
        <w:t>On completion of the survey you will be shown a debriefing page, providing you with further information regarding this study.  At this point you may still withdraw your participation by clicking on a ‘cancel’ button and your data will be deleted. If you click on the ‘submit’ button you will no longer be able to withdraw.  This is because each submission is entirely anonymous and there is no way of identifying your submission.</w:t>
      </w:r>
    </w:p>
    <w:p w14:paraId="544AD47F" w14:textId="77777777" w:rsidR="004676EF" w:rsidRPr="00734AB6" w:rsidRDefault="004676EF" w:rsidP="0099584D">
      <w:pPr>
        <w:spacing w:line="360" w:lineRule="auto"/>
        <w:rPr>
          <w:rFonts w:asciiTheme="majorHAnsi" w:hAnsiTheme="majorHAnsi"/>
        </w:rPr>
      </w:pPr>
      <w:r w:rsidRPr="00734AB6">
        <w:rPr>
          <w:rFonts w:asciiTheme="majorHAnsi" w:hAnsiTheme="majorHAnsi"/>
        </w:rPr>
        <w:t>The survey will be live until 30</w:t>
      </w:r>
      <w:r w:rsidRPr="00734AB6">
        <w:rPr>
          <w:rFonts w:asciiTheme="majorHAnsi" w:hAnsiTheme="majorHAnsi"/>
          <w:vertAlign w:val="superscript"/>
        </w:rPr>
        <w:t>th</w:t>
      </w:r>
      <w:r w:rsidRPr="00734AB6">
        <w:rPr>
          <w:rFonts w:asciiTheme="majorHAnsi" w:hAnsiTheme="majorHAnsi"/>
        </w:rPr>
        <w:t xml:space="preserve"> September 2016 when it will be reviewed and may remain open for a further 3 months, until the 31</w:t>
      </w:r>
      <w:r w:rsidRPr="00734AB6">
        <w:rPr>
          <w:rFonts w:asciiTheme="majorHAnsi" w:hAnsiTheme="majorHAnsi"/>
          <w:vertAlign w:val="superscript"/>
        </w:rPr>
        <w:t>st</w:t>
      </w:r>
      <w:r w:rsidRPr="00734AB6">
        <w:rPr>
          <w:rFonts w:asciiTheme="majorHAnsi" w:hAnsiTheme="majorHAnsi"/>
        </w:rPr>
        <w:t xml:space="preserve"> December 2016.  Therefore, if you would like to participate please ensure that you do so within this time period.  Also, if you would like to take part, you are free to discuss this with your GP, friends or family.</w:t>
      </w:r>
    </w:p>
    <w:p w14:paraId="55C6FE1A"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For additional information and further clarifications about the study please contact the researcher, Rachel Teodorini, at </w:t>
      </w:r>
      <w:hyperlink r:id="rId40" w:history="1">
        <w:r w:rsidRPr="00734AB6">
          <w:rPr>
            <w:rStyle w:val="Hyperlink"/>
            <w:rFonts w:asciiTheme="majorHAnsi" w:hAnsiTheme="majorHAnsi"/>
          </w:rPr>
          <w:t>teodorr2@lsbu.ac.uk</w:t>
        </w:r>
      </w:hyperlink>
      <w:r w:rsidRPr="00734AB6">
        <w:rPr>
          <w:rFonts w:asciiTheme="majorHAnsi" w:hAnsiTheme="majorHAnsi"/>
        </w:rPr>
        <w:t xml:space="preserve">, </w:t>
      </w:r>
      <w:proofErr w:type="spellStart"/>
      <w:r w:rsidRPr="00734AB6">
        <w:rPr>
          <w:rFonts w:asciiTheme="majorHAnsi" w:hAnsiTheme="majorHAnsi"/>
        </w:rPr>
        <w:t>tel</w:t>
      </w:r>
      <w:proofErr w:type="spellEnd"/>
      <w:r w:rsidRPr="00734AB6">
        <w:rPr>
          <w:rFonts w:asciiTheme="majorHAnsi" w:hAnsiTheme="majorHAnsi"/>
        </w:rPr>
        <w:t xml:space="preserve">: 020 7815 5431.  Contact details for supervisors are: Dr Nicola Rycroft, email: </w:t>
      </w:r>
      <w:hyperlink r:id="rId41" w:history="1">
        <w:r w:rsidRPr="00734AB6">
          <w:rPr>
            <w:rStyle w:val="Hyperlink"/>
            <w:rFonts w:asciiTheme="majorHAnsi" w:hAnsiTheme="majorHAnsi"/>
          </w:rPr>
          <w:t>rycroftn@lsbu.ac.uk</w:t>
        </w:r>
      </w:hyperlink>
      <w:r w:rsidRPr="00734AB6">
        <w:rPr>
          <w:rFonts w:asciiTheme="majorHAnsi" w:hAnsiTheme="majorHAnsi"/>
        </w:rPr>
        <w:t xml:space="preserve">; Dr James Smith-Spark, email: </w:t>
      </w:r>
      <w:hyperlink r:id="rId42" w:history="1">
        <w:r w:rsidRPr="00734AB6">
          <w:rPr>
            <w:rStyle w:val="Hyperlink"/>
            <w:rFonts w:asciiTheme="majorHAnsi" w:hAnsiTheme="majorHAnsi"/>
          </w:rPr>
          <w:t>smithspj@lsbu.ac.uk</w:t>
        </w:r>
      </w:hyperlink>
      <w:r w:rsidRPr="00734AB6">
        <w:rPr>
          <w:rFonts w:asciiTheme="majorHAnsi" w:hAnsiTheme="majorHAnsi"/>
        </w:rPr>
        <w:t>.  If you have any concerns or complaints you may contact the Chair of the University Research Ethics Committee at ethics@lsbu.ac.uk.</w:t>
      </w:r>
    </w:p>
    <w:p w14:paraId="4E0F0FD9" w14:textId="77777777" w:rsidR="004676EF" w:rsidRPr="00734AB6" w:rsidRDefault="004676EF" w:rsidP="0099584D">
      <w:pPr>
        <w:spacing w:line="360" w:lineRule="auto"/>
        <w:rPr>
          <w:rFonts w:asciiTheme="majorHAnsi" w:hAnsiTheme="majorHAnsi"/>
          <w:b/>
        </w:rPr>
      </w:pPr>
    </w:p>
    <w:p w14:paraId="4B9FC2BF" w14:textId="0D83DBBB" w:rsidR="00391B67" w:rsidRPr="00734AB6" w:rsidRDefault="00391B67" w:rsidP="00E8216D">
      <w:pPr>
        <w:pBdr>
          <w:top w:val="double" w:sz="4" w:space="1" w:color="auto"/>
        </w:pBdr>
        <w:rPr>
          <w:rFonts w:asciiTheme="majorHAnsi" w:eastAsiaTheme="majorEastAsia" w:hAnsiTheme="majorHAnsi" w:cstheme="majorBidi"/>
          <w:b/>
          <w:color w:val="000000" w:themeColor="text1"/>
        </w:rPr>
      </w:pPr>
      <w:bookmarkStart w:id="122" w:name="_Toc45200516"/>
    </w:p>
    <w:p w14:paraId="51C5EAC6" w14:textId="6FA297A0" w:rsidR="004676EF" w:rsidRPr="00734AB6" w:rsidRDefault="004676EF" w:rsidP="0099584D">
      <w:pPr>
        <w:pStyle w:val="Heading2"/>
        <w:spacing w:line="360" w:lineRule="auto"/>
        <w:rPr>
          <w:b/>
          <w:color w:val="000000" w:themeColor="text1"/>
          <w:sz w:val="22"/>
          <w:szCs w:val="22"/>
        </w:rPr>
      </w:pPr>
      <w:bookmarkStart w:id="123" w:name="_Toc48136408"/>
      <w:r w:rsidRPr="00734AB6">
        <w:rPr>
          <w:b/>
          <w:color w:val="000000" w:themeColor="text1"/>
          <w:sz w:val="22"/>
          <w:szCs w:val="22"/>
        </w:rPr>
        <w:t>A(iv)</w:t>
      </w:r>
      <w:r w:rsidRPr="00734AB6">
        <w:rPr>
          <w:b/>
          <w:color w:val="000000" w:themeColor="text1"/>
          <w:sz w:val="22"/>
          <w:szCs w:val="22"/>
        </w:rPr>
        <w:tab/>
        <w:t>Participant consent form</w:t>
      </w:r>
      <w:bookmarkEnd w:id="122"/>
      <w:bookmarkEnd w:id="123"/>
    </w:p>
    <w:p w14:paraId="30CC8A9E" w14:textId="77777777" w:rsidR="004676EF" w:rsidRPr="00734AB6" w:rsidRDefault="004676EF" w:rsidP="0099584D">
      <w:pPr>
        <w:tabs>
          <w:tab w:val="left" w:pos="-1440"/>
          <w:tab w:val="left" w:pos="-720"/>
          <w:tab w:val="left" w:pos="420"/>
          <w:tab w:val="left" w:pos="720"/>
          <w:tab w:val="left" w:pos="920"/>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1560" w:right="-360" w:hanging="1560"/>
        <w:rPr>
          <w:rFonts w:asciiTheme="majorHAnsi" w:hAnsiTheme="majorHAnsi"/>
          <w:b/>
          <w:color w:val="000000"/>
        </w:rPr>
      </w:pPr>
    </w:p>
    <w:p w14:paraId="31EE9D53" w14:textId="77777777" w:rsidR="004676EF" w:rsidRPr="00734AB6" w:rsidRDefault="004676EF" w:rsidP="0099584D">
      <w:pPr>
        <w:tabs>
          <w:tab w:val="left" w:pos="-1440"/>
          <w:tab w:val="left" w:pos="-720"/>
          <w:tab w:val="left" w:pos="420"/>
          <w:tab w:val="left" w:pos="720"/>
          <w:tab w:val="left" w:pos="920"/>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1560" w:right="-360" w:hanging="1560"/>
        <w:rPr>
          <w:rFonts w:asciiTheme="majorHAnsi" w:hAnsiTheme="majorHAnsi"/>
          <w:color w:val="000000"/>
        </w:rPr>
      </w:pPr>
      <w:r w:rsidRPr="00734AB6">
        <w:rPr>
          <w:rFonts w:asciiTheme="majorHAnsi" w:hAnsiTheme="majorHAnsi"/>
          <w:b/>
          <w:color w:val="000000"/>
        </w:rPr>
        <w:t>Title of study:</w:t>
      </w:r>
      <w:r w:rsidRPr="00734AB6">
        <w:rPr>
          <w:rFonts w:asciiTheme="majorHAnsi" w:hAnsiTheme="majorHAnsi"/>
          <w:b/>
          <w:color w:val="000000"/>
        </w:rPr>
        <w:tab/>
      </w:r>
      <w:r w:rsidRPr="00734AB6">
        <w:rPr>
          <w:rFonts w:asciiTheme="majorHAnsi" w:hAnsiTheme="majorHAnsi"/>
          <w:b/>
          <w:u w:val="single"/>
        </w:rPr>
        <w:t>The off—prescription use of Modafinil and Methylphenidate for cognitive enhancement, a web-based survey</w:t>
      </w:r>
    </w:p>
    <w:p w14:paraId="2A164F65"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34F0B227"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b/>
          <w:color w:val="000000"/>
        </w:rPr>
      </w:pPr>
      <w:r w:rsidRPr="00734AB6">
        <w:rPr>
          <w:rFonts w:asciiTheme="majorHAnsi" w:hAnsiTheme="majorHAnsi"/>
          <w:b/>
          <w:color w:val="000000"/>
        </w:rPr>
        <w:t>Please tick all boxes to indicate your agreement with the following statements.</w:t>
      </w:r>
    </w:p>
    <w:p w14:paraId="10EF618E"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b/>
          <w:i/>
          <w:color w:val="000000"/>
        </w:rPr>
      </w:pPr>
      <w:r w:rsidRPr="00734AB6">
        <w:rPr>
          <w:rFonts w:asciiTheme="majorHAnsi" w:hAnsiTheme="majorHAnsi"/>
          <w:b/>
          <w:i/>
          <w:color w:val="000000"/>
        </w:rPr>
        <w:t>All boxes must be ticked to enter the survey.  If you do not agree with any of the statements you should press the ‘exit’ button at the end of the page to leave the survey.</w:t>
      </w:r>
    </w:p>
    <w:p w14:paraId="4A7E40D4" w14:textId="77777777" w:rsidR="004676EF" w:rsidRPr="00734AB6" w:rsidRDefault="004676EF" w:rsidP="0099584D">
      <w:pPr>
        <w:tabs>
          <w:tab w:val="left" w:pos="-1440"/>
          <w:tab w:val="left" w:pos="-720"/>
          <w:tab w:val="left" w:pos="8222"/>
        </w:tabs>
        <w:spacing w:line="360" w:lineRule="auto"/>
        <w:ind w:right="-360"/>
        <w:rPr>
          <w:rFonts w:asciiTheme="majorHAnsi" w:hAnsiTheme="majorHAnsi"/>
          <w:color w:val="000000"/>
        </w:rPr>
      </w:pPr>
      <w:r w:rsidRPr="00734AB6">
        <w:rPr>
          <w:rFonts w:asciiTheme="majorHAnsi" w:hAnsiTheme="majorHAnsi"/>
          <w:color w:val="000000"/>
        </w:rPr>
        <w:t xml:space="preserve">I have read the attached information sheet about this.  I have had the opportunity </w:t>
      </w:r>
    </w:p>
    <w:p w14:paraId="6889E05A" w14:textId="41FDAFCC" w:rsidR="004676EF" w:rsidRPr="00734AB6" w:rsidRDefault="004676EF" w:rsidP="005819EA">
      <w:pPr>
        <w:tabs>
          <w:tab w:val="left" w:pos="-1440"/>
          <w:tab w:val="left" w:pos="-720"/>
          <w:tab w:val="left" w:pos="8080"/>
        </w:tabs>
        <w:spacing w:line="360" w:lineRule="auto"/>
        <w:ind w:right="-360"/>
        <w:rPr>
          <w:rFonts w:asciiTheme="majorHAnsi" w:hAnsiTheme="majorHAnsi"/>
          <w:color w:val="000000"/>
        </w:rPr>
      </w:pPr>
      <w:r w:rsidRPr="00734AB6">
        <w:rPr>
          <w:rFonts w:asciiTheme="majorHAnsi" w:hAnsiTheme="majorHAnsi"/>
          <w:color w:val="000000"/>
        </w:rPr>
        <w:t xml:space="preserve">to discuss the details and </w:t>
      </w:r>
      <w:r w:rsidR="005819EA" w:rsidRPr="00734AB6">
        <w:rPr>
          <w:rFonts w:asciiTheme="majorHAnsi" w:hAnsiTheme="majorHAnsi"/>
          <w:color w:val="000000"/>
        </w:rPr>
        <w:t>ask questions about this study.</w:t>
      </w:r>
      <w:r w:rsidRPr="00734AB6">
        <w:rPr>
          <w:rFonts w:asciiTheme="majorHAnsi" w:hAnsiTheme="majorHAnsi"/>
          <w:color w:val="000000"/>
        </w:rPr>
        <w:tab/>
      </w:r>
      <w:r w:rsidRPr="00734AB6">
        <w:rPr>
          <w:rFonts w:asciiTheme="majorHAnsi" w:hAnsiTheme="majorHAnsi"/>
          <w:color w:val="000000"/>
        </w:rPr>
        <w:sym w:font="Wingdings" w:char="F0A8"/>
      </w:r>
    </w:p>
    <w:p w14:paraId="0C70C6A6"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5D817BA3"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 xml:space="preserve">The nature and purpose of this study has been explained and I believe that I </w:t>
      </w:r>
    </w:p>
    <w:p w14:paraId="46FE2FDF" w14:textId="0A248C9D" w:rsidR="004676EF" w:rsidRPr="00734AB6" w:rsidRDefault="004676EF" w:rsidP="005819EA">
      <w:pPr>
        <w:tabs>
          <w:tab w:val="left" w:pos="-1440"/>
          <w:tab w:val="left" w:pos="-720"/>
          <w:tab w:val="left" w:pos="808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unde</w:t>
      </w:r>
      <w:r w:rsidR="005819EA" w:rsidRPr="00734AB6">
        <w:rPr>
          <w:rFonts w:asciiTheme="majorHAnsi" w:hAnsiTheme="majorHAnsi"/>
          <w:color w:val="000000"/>
        </w:rPr>
        <w:t xml:space="preserve">rstand what is being proposed. </w:t>
      </w:r>
      <w:r w:rsidR="005819EA" w:rsidRPr="00734AB6">
        <w:rPr>
          <w:rFonts w:asciiTheme="majorHAnsi" w:hAnsiTheme="majorHAnsi"/>
          <w:color w:val="000000"/>
        </w:rPr>
        <w:tab/>
      </w:r>
      <w:r w:rsidRPr="00734AB6">
        <w:rPr>
          <w:rFonts w:asciiTheme="majorHAnsi" w:hAnsiTheme="majorHAnsi"/>
          <w:color w:val="000000"/>
        </w:rPr>
        <w:sym w:font="Wingdings" w:char="F0A8"/>
      </w:r>
    </w:p>
    <w:p w14:paraId="3733196F" w14:textId="77777777" w:rsidR="005819EA" w:rsidRPr="00734AB6" w:rsidRDefault="005819EA" w:rsidP="005819EA">
      <w:pPr>
        <w:tabs>
          <w:tab w:val="left" w:pos="-1440"/>
          <w:tab w:val="left" w:pos="-720"/>
          <w:tab w:val="left" w:pos="8080"/>
          <w:tab w:val="left" w:pos="8640"/>
          <w:tab w:val="left" w:pos="9360"/>
          <w:tab w:val="left" w:pos="10080"/>
          <w:tab w:val="left" w:pos="10800"/>
          <w:tab w:val="left" w:pos="11520"/>
        </w:tabs>
        <w:spacing w:line="360" w:lineRule="auto"/>
        <w:ind w:right="-360"/>
        <w:rPr>
          <w:rFonts w:asciiTheme="majorHAnsi" w:hAnsiTheme="majorHAnsi"/>
          <w:color w:val="000000"/>
        </w:rPr>
      </w:pPr>
    </w:p>
    <w:p w14:paraId="207F53E2"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I understand that my personal involvement and my particular data from this study</w:t>
      </w:r>
    </w:p>
    <w:p w14:paraId="4FC1BEB9"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will remain strictly confidential and entirely anonymous and therefore the data</w:t>
      </w:r>
    </w:p>
    <w:p w14:paraId="56BE8CD5" w14:textId="77777777" w:rsidR="004676EF" w:rsidRPr="00734AB6" w:rsidRDefault="004676EF" w:rsidP="005819EA">
      <w:pPr>
        <w:tabs>
          <w:tab w:val="left" w:pos="8080"/>
        </w:tabs>
        <w:spacing w:line="360" w:lineRule="auto"/>
        <w:ind w:right="-360"/>
        <w:rPr>
          <w:rFonts w:asciiTheme="majorHAnsi" w:hAnsiTheme="majorHAnsi"/>
          <w:color w:val="000000"/>
        </w:rPr>
      </w:pPr>
      <w:r w:rsidRPr="00734AB6">
        <w:rPr>
          <w:rFonts w:asciiTheme="majorHAnsi" w:hAnsiTheme="majorHAnsi"/>
          <w:color w:val="000000"/>
        </w:rPr>
        <w:t xml:space="preserve">will not be identifiable in any way, even by the researchers involved in the study. </w:t>
      </w:r>
      <w:r w:rsidRPr="00734AB6">
        <w:rPr>
          <w:rFonts w:asciiTheme="majorHAnsi" w:hAnsiTheme="majorHAnsi"/>
          <w:color w:val="000000"/>
        </w:rPr>
        <w:tab/>
      </w:r>
      <w:r w:rsidRPr="00734AB6">
        <w:rPr>
          <w:rFonts w:asciiTheme="majorHAnsi" w:hAnsiTheme="majorHAnsi"/>
          <w:color w:val="000000"/>
        </w:rPr>
        <w:sym w:font="Wingdings" w:char="F0A8"/>
      </w:r>
    </w:p>
    <w:p w14:paraId="672DA81C"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5D97271E"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 xml:space="preserve">I have been informed about what the data collected will be used for, to whom </w:t>
      </w:r>
    </w:p>
    <w:p w14:paraId="0AC487CA" w14:textId="77777777" w:rsidR="004676EF" w:rsidRPr="00734AB6" w:rsidRDefault="004676EF" w:rsidP="005819EA">
      <w:pPr>
        <w:tabs>
          <w:tab w:val="left" w:pos="-1440"/>
          <w:tab w:val="left" w:pos="-720"/>
          <w:tab w:val="left" w:pos="8080"/>
        </w:tabs>
        <w:spacing w:line="360" w:lineRule="auto"/>
        <w:ind w:right="-360"/>
        <w:rPr>
          <w:rFonts w:asciiTheme="majorHAnsi" w:hAnsiTheme="majorHAnsi"/>
          <w:color w:val="000000"/>
        </w:rPr>
      </w:pPr>
      <w:r w:rsidRPr="00734AB6">
        <w:rPr>
          <w:rFonts w:asciiTheme="majorHAnsi" w:hAnsiTheme="majorHAnsi"/>
          <w:color w:val="000000"/>
        </w:rPr>
        <w:t>it may be disclosed, and how long it will be retained.</w:t>
      </w:r>
      <w:r w:rsidRPr="00734AB6">
        <w:rPr>
          <w:rFonts w:asciiTheme="majorHAnsi" w:hAnsiTheme="majorHAnsi"/>
          <w:color w:val="000000"/>
        </w:rPr>
        <w:tab/>
      </w:r>
      <w:r w:rsidRPr="00734AB6">
        <w:rPr>
          <w:rFonts w:asciiTheme="majorHAnsi" w:hAnsiTheme="majorHAnsi"/>
          <w:color w:val="000000"/>
        </w:rPr>
        <w:sym w:font="Wingdings" w:char="F0A8"/>
      </w:r>
    </w:p>
    <w:p w14:paraId="3099F45A"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1D3FDB5E" w14:textId="77777777" w:rsidR="004676EF" w:rsidRPr="00734AB6" w:rsidRDefault="004676EF" w:rsidP="0099584D">
      <w:pPr>
        <w:tabs>
          <w:tab w:val="left" w:pos="-1440"/>
          <w:tab w:val="left" w:pos="-720"/>
          <w:tab w:val="left" w:pos="8222"/>
        </w:tabs>
        <w:spacing w:line="360" w:lineRule="auto"/>
        <w:ind w:right="-360"/>
        <w:rPr>
          <w:rFonts w:asciiTheme="majorHAnsi" w:hAnsiTheme="majorHAnsi"/>
          <w:color w:val="000000"/>
        </w:rPr>
      </w:pPr>
      <w:r w:rsidRPr="00734AB6">
        <w:rPr>
          <w:rFonts w:asciiTheme="majorHAnsi" w:hAnsiTheme="majorHAnsi"/>
          <w:color w:val="000000"/>
        </w:rPr>
        <w:t xml:space="preserve">My questions have been answered through the information in the information </w:t>
      </w:r>
    </w:p>
    <w:p w14:paraId="35CF613E" w14:textId="77777777" w:rsidR="004676EF" w:rsidRPr="00734AB6" w:rsidRDefault="004676EF" w:rsidP="005819EA">
      <w:pPr>
        <w:tabs>
          <w:tab w:val="left" w:pos="-1440"/>
          <w:tab w:val="left" w:pos="-720"/>
          <w:tab w:val="left" w:pos="8080"/>
        </w:tabs>
        <w:spacing w:line="360" w:lineRule="auto"/>
        <w:ind w:right="-360"/>
        <w:rPr>
          <w:rFonts w:asciiTheme="majorHAnsi" w:hAnsiTheme="majorHAnsi"/>
          <w:color w:val="000000"/>
        </w:rPr>
      </w:pPr>
      <w:r w:rsidRPr="00734AB6">
        <w:rPr>
          <w:rFonts w:asciiTheme="majorHAnsi" w:hAnsiTheme="majorHAnsi"/>
          <w:color w:val="000000"/>
        </w:rPr>
        <w:t>Sheet.</w:t>
      </w:r>
      <w:r w:rsidRPr="00734AB6">
        <w:rPr>
          <w:rFonts w:asciiTheme="majorHAnsi" w:hAnsiTheme="majorHAnsi"/>
          <w:color w:val="000000"/>
        </w:rPr>
        <w:tab/>
      </w:r>
      <w:r w:rsidRPr="00734AB6">
        <w:rPr>
          <w:rFonts w:asciiTheme="majorHAnsi" w:hAnsiTheme="majorHAnsi"/>
          <w:color w:val="000000"/>
        </w:rPr>
        <w:sym w:font="Wingdings" w:char="F0A8"/>
      </w:r>
    </w:p>
    <w:p w14:paraId="6FD254EC" w14:textId="77777777" w:rsidR="004676EF" w:rsidRPr="00734AB6" w:rsidRDefault="004676EF" w:rsidP="0099584D">
      <w:pPr>
        <w:tabs>
          <w:tab w:val="left" w:pos="-1440"/>
          <w:tab w:val="left" w:pos="-720"/>
        </w:tabs>
        <w:spacing w:line="360" w:lineRule="auto"/>
        <w:ind w:right="-360"/>
        <w:rPr>
          <w:rFonts w:asciiTheme="majorHAnsi" w:hAnsiTheme="majorHAnsi"/>
          <w:color w:val="000000"/>
        </w:rPr>
      </w:pPr>
    </w:p>
    <w:p w14:paraId="7310D3EC"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 xml:space="preserve">I hereby fully and freely consent to participate in the study which has been </w:t>
      </w:r>
    </w:p>
    <w:p w14:paraId="679EFE0B" w14:textId="77777777" w:rsidR="004676EF" w:rsidRPr="00734AB6" w:rsidRDefault="004676EF" w:rsidP="0099584D">
      <w:pPr>
        <w:tabs>
          <w:tab w:val="left" w:pos="-1440"/>
          <w:tab w:val="left" w:pos="-720"/>
          <w:tab w:val="left" w:pos="8222"/>
        </w:tabs>
        <w:spacing w:line="360" w:lineRule="auto"/>
        <w:ind w:right="-360"/>
        <w:rPr>
          <w:rFonts w:asciiTheme="majorHAnsi" w:hAnsiTheme="majorHAnsi"/>
          <w:color w:val="000000"/>
        </w:rPr>
      </w:pPr>
      <w:r w:rsidRPr="00734AB6">
        <w:rPr>
          <w:rFonts w:asciiTheme="majorHAnsi" w:hAnsiTheme="majorHAnsi"/>
          <w:color w:val="000000"/>
        </w:rPr>
        <w:t>fully explained to me.</w:t>
      </w:r>
      <w:r w:rsidRPr="00734AB6">
        <w:rPr>
          <w:rFonts w:asciiTheme="majorHAnsi" w:hAnsiTheme="majorHAnsi"/>
          <w:color w:val="000000"/>
        </w:rPr>
        <w:tab/>
      </w:r>
      <w:r w:rsidRPr="00734AB6">
        <w:rPr>
          <w:rFonts w:asciiTheme="majorHAnsi" w:hAnsiTheme="majorHAnsi"/>
          <w:color w:val="000000"/>
        </w:rPr>
        <w:sym w:font="Wingdings" w:char="F0A8"/>
      </w:r>
    </w:p>
    <w:p w14:paraId="5984C8D5"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56196F3D"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 xml:space="preserve">I understand that I am free to withdraw from the study without giving a </w:t>
      </w:r>
    </w:p>
    <w:p w14:paraId="28CD6B87"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reason for withdrawing at any time up to and including the debrief sheet</w:t>
      </w:r>
    </w:p>
    <w:p w14:paraId="6BA2D0E3" w14:textId="77777777" w:rsidR="004676EF" w:rsidRPr="00734AB6" w:rsidRDefault="004676EF" w:rsidP="005819EA">
      <w:pPr>
        <w:tabs>
          <w:tab w:val="left" w:pos="8080"/>
        </w:tabs>
        <w:spacing w:line="360" w:lineRule="auto"/>
        <w:ind w:right="-360"/>
        <w:rPr>
          <w:rFonts w:asciiTheme="majorHAnsi" w:hAnsiTheme="majorHAnsi"/>
          <w:color w:val="000000"/>
        </w:rPr>
      </w:pPr>
      <w:r w:rsidRPr="00734AB6">
        <w:rPr>
          <w:rFonts w:asciiTheme="majorHAnsi" w:hAnsiTheme="majorHAnsi"/>
          <w:color w:val="000000"/>
        </w:rPr>
        <w:t>end until I click on the ‘submit’ button when it is no longer possible to withdraw.</w:t>
      </w:r>
      <w:r w:rsidRPr="00734AB6">
        <w:rPr>
          <w:rFonts w:asciiTheme="majorHAnsi" w:hAnsiTheme="majorHAnsi"/>
          <w:color w:val="000000"/>
        </w:rPr>
        <w:tab/>
      </w:r>
      <w:r w:rsidRPr="00734AB6">
        <w:rPr>
          <w:rFonts w:asciiTheme="majorHAnsi" w:hAnsiTheme="majorHAnsi"/>
          <w:color w:val="000000"/>
        </w:rPr>
        <w:sym w:font="Wingdings" w:char="F0A8"/>
      </w:r>
    </w:p>
    <w:p w14:paraId="6034932B"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5BFEB874" w14:textId="77777777" w:rsidR="004676EF" w:rsidRPr="00734AB6" w:rsidRDefault="004676EF" w:rsidP="005819EA">
      <w:pPr>
        <w:tabs>
          <w:tab w:val="left" w:pos="-1440"/>
          <w:tab w:val="left" w:pos="-720"/>
          <w:tab w:val="left" w:pos="8080"/>
        </w:tabs>
        <w:spacing w:line="360" w:lineRule="auto"/>
        <w:ind w:right="-360"/>
        <w:rPr>
          <w:rFonts w:asciiTheme="majorHAnsi" w:hAnsiTheme="majorHAnsi"/>
          <w:color w:val="000000"/>
        </w:rPr>
      </w:pPr>
      <w:r w:rsidRPr="00734AB6">
        <w:rPr>
          <w:rFonts w:asciiTheme="majorHAnsi" w:hAnsiTheme="majorHAnsi"/>
          <w:color w:val="000000"/>
        </w:rPr>
        <w:t>I am over 18 years of age.</w:t>
      </w:r>
      <w:r w:rsidRPr="00734AB6">
        <w:rPr>
          <w:rFonts w:asciiTheme="majorHAnsi" w:hAnsiTheme="majorHAnsi"/>
          <w:color w:val="000000"/>
        </w:rPr>
        <w:tab/>
      </w:r>
      <w:r w:rsidRPr="00734AB6">
        <w:rPr>
          <w:rFonts w:asciiTheme="majorHAnsi" w:hAnsiTheme="majorHAnsi"/>
          <w:color w:val="000000"/>
        </w:rPr>
        <w:sym w:font="Wingdings" w:char="F0A8"/>
      </w:r>
    </w:p>
    <w:p w14:paraId="55F72031"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049AE0C7" w14:textId="77777777" w:rsidR="004676EF" w:rsidRPr="00734AB6" w:rsidRDefault="004676EF" w:rsidP="005819EA">
      <w:pPr>
        <w:tabs>
          <w:tab w:val="left" w:pos="-1440"/>
          <w:tab w:val="left" w:pos="-720"/>
          <w:tab w:val="left" w:pos="8080"/>
        </w:tabs>
        <w:spacing w:line="360" w:lineRule="auto"/>
        <w:ind w:right="-360"/>
        <w:rPr>
          <w:rFonts w:asciiTheme="majorHAnsi" w:hAnsiTheme="majorHAnsi"/>
          <w:color w:val="000000"/>
        </w:rPr>
      </w:pPr>
      <w:r w:rsidRPr="00734AB6">
        <w:rPr>
          <w:rFonts w:asciiTheme="majorHAnsi" w:hAnsiTheme="majorHAnsi"/>
          <w:color w:val="000000"/>
        </w:rPr>
        <w:t>I am not currently under the influence of any psychoactive drug.</w:t>
      </w:r>
      <w:r w:rsidRPr="00734AB6">
        <w:rPr>
          <w:rFonts w:asciiTheme="majorHAnsi" w:hAnsiTheme="majorHAnsi"/>
          <w:color w:val="000000"/>
        </w:rPr>
        <w:tab/>
      </w:r>
      <w:r w:rsidRPr="00734AB6">
        <w:rPr>
          <w:rFonts w:asciiTheme="majorHAnsi" w:hAnsiTheme="majorHAnsi"/>
          <w:color w:val="000000"/>
        </w:rPr>
        <w:sym w:font="Wingdings" w:char="F0A8"/>
      </w:r>
    </w:p>
    <w:p w14:paraId="44ADF820"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6114C88D" w14:textId="77777777" w:rsidR="004676EF" w:rsidRPr="00734AB6" w:rsidRDefault="004676EF" w:rsidP="005819EA">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10080"/>
          <w:tab w:val="left" w:pos="10800"/>
          <w:tab w:val="left" w:pos="11520"/>
        </w:tabs>
        <w:spacing w:line="360" w:lineRule="auto"/>
        <w:ind w:right="-2"/>
        <w:rPr>
          <w:rFonts w:asciiTheme="majorHAnsi" w:hAnsiTheme="majorHAnsi"/>
          <w:color w:val="000000"/>
        </w:rPr>
      </w:pPr>
      <w:r w:rsidRPr="00734AB6">
        <w:rPr>
          <w:rFonts w:asciiTheme="majorHAnsi" w:hAnsiTheme="majorHAnsi"/>
          <w:color w:val="000000"/>
        </w:rPr>
        <w:t>NOTE TO ETHICS COMMITTEE: As this is an online survey, participants will be asked to click on each of the points to indicate their informed consent before starting the questionnaire.  Hard copies of a signed consent form will not be asked for in this instance.</w:t>
      </w:r>
    </w:p>
    <w:p w14:paraId="755EBCC2"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4E7C6220"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IF YOU ARE AT ALL CONCERNED ABOUT THE EFFECT OF ANY DRUG YOU ARE RECEIVING PLEASE CONTACT YOUR GP.</w:t>
      </w:r>
    </w:p>
    <w:p w14:paraId="14CD4503"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21DD4056"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If you have any concerns about this research study, please contact:</w:t>
      </w:r>
    </w:p>
    <w:p w14:paraId="3FF9D838"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6EE89FED"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r w:rsidRPr="00734AB6">
        <w:rPr>
          <w:rFonts w:asciiTheme="majorHAnsi" w:hAnsiTheme="majorHAnsi"/>
          <w:color w:val="000000"/>
        </w:rPr>
        <w:t>Rachel Teodorini</w:t>
      </w:r>
    </w:p>
    <w:p w14:paraId="6D4C4127" w14:textId="77777777" w:rsidR="004676EF" w:rsidRPr="00734AB6" w:rsidRDefault="00754FB3"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hyperlink r:id="rId43" w:history="1">
        <w:r w:rsidR="004676EF" w:rsidRPr="00734AB6">
          <w:rPr>
            <w:rStyle w:val="Hyperlink"/>
            <w:rFonts w:asciiTheme="majorHAnsi" w:hAnsiTheme="majorHAnsi"/>
          </w:rPr>
          <w:t>teodorr2@lsbu.ac.uk</w:t>
        </w:r>
      </w:hyperlink>
    </w:p>
    <w:p w14:paraId="216C7154"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5844563E" w14:textId="77777777" w:rsidR="004676EF" w:rsidRPr="00734AB6" w:rsidRDefault="004676EF" w:rsidP="00E8216D">
      <w:pPr>
        <w:pBdr>
          <w:top w:val="double" w:sz="4" w:space="1" w:color="auto"/>
        </w:pBd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right="-360"/>
        <w:rPr>
          <w:rFonts w:asciiTheme="majorHAnsi" w:hAnsiTheme="majorHAnsi"/>
          <w:color w:val="000000"/>
        </w:rPr>
      </w:pPr>
    </w:p>
    <w:p w14:paraId="4A6AF135" w14:textId="77777777" w:rsidR="00E8216D" w:rsidRPr="00734AB6" w:rsidRDefault="00E8216D">
      <w:pPr>
        <w:rPr>
          <w:rFonts w:asciiTheme="majorHAnsi" w:eastAsiaTheme="majorEastAsia" w:hAnsiTheme="majorHAnsi" w:cstheme="majorBidi"/>
          <w:b/>
          <w:color w:val="000000" w:themeColor="text1"/>
        </w:rPr>
      </w:pPr>
      <w:bookmarkStart w:id="124" w:name="_Toc45200517"/>
      <w:r w:rsidRPr="00734AB6">
        <w:rPr>
          <w:b/>
          <w:color w:val="000000" w:themeColor="text1"/>
        </w:rPr>
        <w:br w:type="page"/>
      </w:r>
    </w:p>
    <w:p w14:paraId="50AD613D" w14:textId="3715625A" w:rsidR="004676EF" w:rsidRPr="00734AB6" w:rsidRDefault="004676EF" w:rsidP="0099584D">
      <w:pPr>
        <w:pStyle w:val="Heading2"/>
        <w:spacing w:line="360" w:lineRule="auto"/>
        <w:rPr>
          <w:color w:val="000000" w:themeColor="text1"/>
          <w:sz w:val="22"/>
          <w:szCs w:val="22"/>
        </w:rPr>
      </w:pPr>
      <w:bookmarkStart w:id="125" w:name="_Toc48136409"/>
      <w:r w:rsidRPr="00734AB6">
        <w:rPr>
          <w:b/>
          <w:color w:val="000000" w:themeColor="text1"/>
          <w:sz w:val="22"/>
          <w:szCs w:val="22"/>
        </w:rPr>
        <w:lastRenderedPageBreak/>
        <w:t>A(v)</w:t>
      </w:r>
      <w:r w:rsidRPr="00734AB6">
        <w:rPr>
          <w:b/>
          <w:color w:val="000000" w:themeColor="text1"/>
          <w:sz w:val="22"/>
          <w:szCs w:val="22"/>
        </w:rPr>
        <w:tab/>
        <w:t>Participant debriefing information</w:t>
      </w:r>
      <w:bookmarkEnd w:id="124"/>
      <w:bookmarkEnd w:id="125"/>
    </w:p>
    <w:p w14:paraId="26783D66" w14:textId="77777777" w:rsidR="004676EF" w:rsidRPr="00734AB6" w:rsidRDefault="004676EF" w:rsidP="0099584D">
      <w:pPr>
        <w:spacing w:after="0" w:line="360" w:lineRule="auto"/>
        <w:jc w:val="center"/>
        <w:rPr>
          <w:rFonts w:asciiTheme="majorHAnsi" w:hAnsiTheme="majorHAnsi"/>
          <w:b/>
        </w:rPr>
      </w:pPr>
      <w:r w:rsidRPr="00734AB6">
        <w:rPr>
          <w:rFonts w:asciiTheme="majorHAnsi" w:hAnsiTheme="majorHAnsi"/>
          <w:b/>
        </w:rPr>
        <w:t>Debriefing Information</w:t>
      </w:r>
    </w:p>
    <w:p w14:paraId="6DD83C88" w14:textId="77777777" w:rsidR="004676EF" w:rsidRPr="00734AB6" w:rsidRDefault="004676EF" w:rsidP="0099584D">
      <w:pPr>
        <w:tabs>
          <w:tab w:val="left" w:pos="1560"/>
        </w:tabs>
        <w:spacing w:after="0" w:line="360" w:lineRule="auto"/>
        <w:ind w:left="1560" w:hanging="1560"/>
        <w:rPr>
          <w:rFonts w:asciiTheme="majorHAnsi" w:hAnsiTheme="majorHAnsi"/>
          <w:b/>
        </w:rPr>
      </w:pPr>
    </w:p>
    <w:p w14:paraId="1B971C61" w14:textId="77777777" w:rsidR="004676EF" w:rsidRPr="00734AB6" w:rsidRDefault="004676EF" w:rsidP="0099584D">
      <w:pPr>
        <w:tabs>
          <w:tab w:val="left" w:pos="1560"/>
        </w:tabs>
        <w:spacing w:after="0" w:line="360" w:lineRule="auto"/>
        <w:ind w:left="1560" w:hanging="1560"/>
        <w:rPr>
          <w:rFonts w:asciiTheme="majorHAnsi" w:hAnsiTheme="majorHAnsi"/>
          <w:b/>
        </w:rPr>
      </w:pPr>
      <w:r w:rsidRPr="00734AB6">
        <w:rPr>
          <w:rFonts w:asciiTheme="majorHAnsi" w:hAnsiTheme="majorHAnsi"/>
          <w:b/>
        </w:rPr>
        <w:t>Title of study:</w:t>
      </w:r>
      <w:r w:rsidRPr="00734AB6">
        <w:rPr>
          <w:rFonts w:asciiTheme="majorHAnsi" w:hAnsiTheme="majorHAnsi"/>
          <w:b/>
        </w:rPr>
        <w:tab/>
      </w:r>
      <w:r w:rsidRPr="00734AB6">
        <w:rPr>
          <w:rFonts w:asciiTheme="majorHAnsi" w:hAnsiTheme="majorHAnsi"/>
          <w:b/>
          <w:u w:val="single"/>
        </w:rPr>
        <w:t>The use of Modafinil and Methylphenidate for cognitive enhancement, a web-based survey</w:t>
      </w:r>
    </w:p>
    <w:p w14:paraId="0F28692B" w14:textId="77777777" w:rsidR="004676EF" w:rsidRPr="00734AB6" w:rsidRDefault="004676EF" w:rsidP="0099584D">
      <w:pPr>
        <w:spacing w:after="0" w:line="360" w:lineRule="auto"/>
        <w:rPr>
          <w:rFonts w:asciiTheme="majorHAnsi" w:hAnsiTheme="majorHAnsi"/>
        </w:rPr>
      </w:pPr>
    </w:p>
    <w:p w14:paraId="1C574561"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 xml:space="preserve">Thank you for participating in our survey.  This survey aims to increase our understanding of current awareness of the effects of off-prescription use of methylphenidate and modafinil and why people are using them.  It seeks to identify users’ level awareness of the risk and harms associated with taking them and to investigate public opinion of cognitive enhancement.  </w:t>
      </w:r>
    </w:p>
    <w:p w14:paraId="5B0D5AE6" w14:textId="7D0A7269" w:rsidR="004676EF" w:rsidRPr="00734AB6" w:rsidRDefault="004676EF" w:rsidP="0099584D">
      <w:pPr>
        <w:spacing w:after="0" w:line="360" w:lineRule="auto"/>
        <w:rPr>
          <w:rFonts w:asciiTheme="majorHAnsi" w:hAnsiTheme="majorHAnsi"/>
        </w:rPr>
      </w:pPr>
      <w:r w:rsidRPr="00734AB6">
        <w:rPr>
          <w:rFonts w:asciiTheme="majorHAnsi" w:hAnsiTheme="majorHAnsi"/>
        </w:rPr>
        <w:t xml:space="preserve">Although studies have sought to evaluate prevalence of use and awareness of risk, most of these are based on data from the United States.  A survey conducted at a US college of higher education (Babcock &amp; Byrne, 2000) found that over 16% of participants reported that they had used methylphenidate non-medically.  Another study of 3,407 </w:t>
      </w:r>
      <w:r w:rsidR="00BC6247" w:rsidRPr="00734AB6">
        <w:rPr>
          <w:rFonts w:asciiTheme="majorHAnsi" w:hAnsiTheme="majorHAnsi"/>
        </w:rPr>
        <w:t>North American</w:t>
      </w:r>
      <w:r w:rsidRPr="00734AB6">
        <w:rPr>
          <w:rFonts w:asciiTheme="majorHAnsi" w:hAnsiTheme="majorHAnsi"/>
        </w:rPr>
        <w:t xml:space="preserve"> undergraduates found that 8.9% reported using ADHD medication (such as </w:t>
      </w:r>
      <w:proofErr w:type="spellStart"/>
      <w:r w:rsidRPr="00734AB6">
        <w:rPr>
          <w:rFonts w:asciiTheme="majorHAnsi" w:hAnsiTheme="majorHAnsi"/>
        </w:rPr>
        <w:t>methyphenidate</w:t>
      </w:r>
      <w:proofErr w:type="spellEnd"/>
      <w:r w:rsidRPr="00734AB6">
        <w:rPr>
          <w:rFonts w:asciiTheme="majorHAnsi" w:hAnsiTheme="majorHAnsi"/>
        </w:rPr>
        <w:t xml:space="preserve"> and modafinil) non-medically of which, 54% reported using exclusively for academic reason due to attention problems (</w:t>
      </w:r>
      <w:proofErr w:type="spellStart"/>
      <w:r w:rsidRPr="00734AB6">
        <w:rPr>
          <w:rFonts w:asciiTheme="majorHAnsi" w:hAnsiTheme="majorHAnsi"/>
        </w:rPr>
        <w:t>Rabiner</w:t>
      </w:r>
      <w:proofErr w:type="spellEnd"/>
      <w:r w:rsidRPr="00734AB6">
        <w:rPr>
          <w:rFonts w:asciiTheme="majorHAnsi" w:hAnsiTheme="majorHAnsi"/>
        </w:rPr>
        <w:t xml:space="preserve"> et al, 2009).  The studies mentioned here demonstrate the widespread use of these drugs in the United States.  Considering these trends, it is important to understand whether users are aware of the risks and harms associated with taking these medications, and, to what extent.  Regular use of modafinil and methylphenidate in young adults up to the age of 30 may interfere in the development of prefrontal cortex, the centre of executive cognitive functions (Urban &amp; Gao, 2014).  The term executive cognitive functions refers to the ability to control and coordinate other mental processes and behaviours, such as self-control, moral reasoning, planning, problem solving, attention and working memory.  In addition to potential harms such as this, one of the risks involved, at any age, is the illegal use of methylphenidate which is punishable by a prison sentence of up to 5 years and/or unlimited fine (Drugs penalties, n.d.). Both Modafinil and Methylphenidate are relatively new drugs and therefore the potential harms of long-term use are still unclear (Urban &amp; Gao, 2014).</w:t>
      </w:r>
    </w:p>
    <w:p w14:paraId="2A652065"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 xml:space="preserve">The information collected from this survey will contribute to informing research on the extent of use of these drugs within the UK and Europe and will form the basis of a paper that may be published in a peer-reviewed journal.  </w:t>
      </w:r>
    </w:p>
    <w:p w14:paraId="04987951"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You are reminded that you are under no obligation to participate in this study and you have the right to withdraw by simply clicking the cancel button below following which your answers will not be submitted and will instead be deleted.  This will also happen if you close your browser.  All information in this survey is collected anonymously and therefore no-one can be identified from any publication of the results.</w:t>
      </w:r>
    </w:p>
    <w:p w14:paraId="6872DBDC" w14:textId="77777777" w:rsidR="004676EF" w:rsidRPr="00734AB6" w:rsidRDefault="004676EF" w:rsidP="0099584D">
      <w:pPr>
        <w:spacing w:after="0" w:line="360" w:lineRule="auto"/>
        <w:rPr>
          <w:rFonts w:asciiTheme="majorHAnsi" w:hAnsiTheme="majorHAnsi"/>
        </w:rPr>
      </w:pPr>
    </w:p>
    <w:p w14:paraId="1969730C"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Only by clicking on the ‘submit’ button below will your participation be submitted and at this point you will no longer be able to withdraw from the study.</w:t>
      </w:r>
    </w:p>
    <w:p w14:paraId="7D6F4AF4" w14:textId="77777777" w:rsidR="004676EF" w:rsidRPr="00734AB6" w:rsidRDefault="004676EF" w:rsidP="0099584D">
      <w:pPr>
        <w:spacing w:after="0" w:line="360" w:lineRule="auto"/>
        <w:rPr>
          <w:rFonts w:asciiTheme="majorHAnsi" w:hAnsiTheme="majorHAnsi"/>
        </w:rPr>
      </w:pPr>
      <w:r w:rsidRPr="00734AB6">
        <w:rPr>
          <w:rFonts w:asciiTheme="majorHAnsi" w:hAnsiTheme="majorHAnsi"/>
          <w:noProof/>
          <w:lang w:eastAsia="en-GB"/>
        </w:rPr>
        <mc:AlternateContent>
          <mc:Choice Requires="wps">
            <w:drawing>
              <wp:anchor distT="0" distB="0" distL="114300" distR="114300" simplePos="0" relativeHeight="251658241" behindDoc="0" locked="0" layoutInCell="1" allowOverlap="1" wp14:anchorId="3593C389" wp14:editId="00C13F0E">
                <wp:simplePos x="0" y="0"/>
                <wp:positionH relativeFrom="column">
                  <wp:posOffset>1981200</wp:posOffset>
                </wp:positionH>
                <wp:positionV relativeFrom="paragraph">
                  <wp:posOffset>10795</wp:posOffset>
                </wp:positionV>
                <wp:extent cx="295275" cy="122555"/>
                <wp:effectExtent l="0" t="0" r="28575" b="10795"/>
                <wp:wrapNone/>
                <wp:docPr id="10" name="Rectangle 10"/>
                <wp:cNvGraphicFramePr/>
                <a:graphic xmlns:a="http://schemas.openxmlformats.org/drawingml/2006/main">
                  <a:graphicData uri="http://schemas.microsoft.com/office/word/2010/wordprocessingShape">
                    <wps:wsp>
                      <wps:cNvSpPr/>
                      <wps:spPr>
                        <a:xfrm>
                          <a:off x="0" y="0"/>
                          <a:ext cx="29527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FAAF" id="Rectangle 10" o:spid="_x0000_s1026" style="position:absolute;margin-left:156pt;margin-top:.85pt;width:23.25pt;height: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" fillcolor="#5b9bd5 [3204]" strokecolor="#1f4d78 [1604]" strokeweight="1pt"/>
            </w:pict>
          </mc:Fallback>
        </mc:AlternateContent>
      </w:r>
      <w:r w:rsidRPr="00734AB6">
        <w:rPr>
          <w:rFonts w:asciiTheme="majorHAnsi" w:hAnsiTheme="majorHAnsi"/>
          <w:noProof/>
          <w:lang w:eastAsia="en-GB"/>
        </w:rPr>
        <mc:AlternateContent>
          <mc:Choice Requires="wps">
            <w:drawing>
              <wp:anchor distT="0" distB="0" distL="114300" distR="114300" simplePos="0" relativeHeight="251658242" behindDoc="0" locked="0" layoutInCell="1" allowOverlap="1" wp14:anchorId="109CBF3A" wp14:editId="6860BDF4">
                <wp:simplePos x="0" y="0"/>
                <wp:positionH relativeFrom="column">
                  <wp:posOffset>525145</wp:posOffset>
                </wp:positionH>
                <wp:positionV relativeFrom="paragraph">
                  <wp:posOffset>26670</wp:posOffset>
                </wp:positionV>
                <wp:extent cx="295275" cy="122555"/>
                <wp:effectExtent l="0" t="0" r="28575" b="10795"/>
                <wp:wrapNone/>
                <wp:docPr id="11" name="Rectangle 11"/>
                <wp:cNvGraphicFramePr/>
                <a:graphic xmlns:a="http://schemas.openxmlformats.org/drawingml/2006/main">
                  <a:graphicData uri="http://schemas.microsoft.com/office/word/2010/wordprocessingShape">
                    <wps:wsp>
                      <wps:cNvSpPr/>
                      <wps:spPr>
                        <a:xfrm>
                          <a:off x="0" y="0"/>
                          <a:ext cx="29527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BFDC" id="Rectangle 11" o:spid="_x0000_s1026" style="position:absolute;margin-left:41.35pt;margin-top:2.1pt;width:23.2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" fillcolor="#5b9bd5 [3204]" strokecolor="#1f4d78 [1604]" strokeweight="1pt"/>
            </w:pict>
          </mc:Fallback>
        </mc:AlternateContent>
      </w:r>
      <w:r w:rsidRPr="00734AB6">
        <w:rPr>
          <w:rFonts w:asciiTheme="majorHAnsi" w:hAnsiTheme="majorHAnsi"/>
          <w:b/>
        </w:rPr>
        <w:t>Cancel</w:t>
      </w:r>
      <w:r w:rsidRPr="00734AB6">
        <w:rPr>
          <w:rFonts w:asciiTheme="majorHAnsi" w:hAnsiTheme="majorHAnsi"/>
          <w:b/>
        </w:rPr>
        <w:tab/>
      </w:r>
      <w:r w:rsidRPr="00734AB6">
        <w:rPr>
          <w:rFonts w:asciiTheme="majorHAnsi" w:hAnsiTheme="majorHAnsi"/>
          <w:b/>
        </w:rPr>
        <w:tab/>
      </w:r>
      <w:r w:rsidRPr="00734AB6">
        <w:rPr>
          <w:rFonts w:asciiTheme="majorHAnsi" w:hAnsiTheme="majorHAnsi"/>
          <w:b/>
        </w:rPr>
        <w:tab/>
      </w:r>
      <w:r w:rsidRPr="00734AB6">
        <w:rPr>
          <w:rFonts w:asciiTheme="majorHAnsi" w:hAnsiTheme="majorHAnsi"/>
        </w:rPr>
        <w:t xml:space="preserve">Submit  </w:t>
      </w:r>
    </w:p>
    <w:p w14:paraId="319B6A4D" w14:textId="77777777" w:rsidR="004676EF" w:rsidRPr="00734AB6" w:rsidRDefault="004676EF" w:rsidP="0099584D">
      <w:pPr>
        <w:spacing w:after="0" w:line="360" w:lineRule="auto"/>
        <w:rPr>
          <w:rFonts w:asciiTheme="majorHAnsi" w:hAnsiTheme="majorHAnsi"/>
        </w:rPr>
      </w:pPr>
    </w:p>
    <w:p w14:paraId="3249E8F6"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 xml:space="preserve">If you have concerns about any aspect of this study please contact the researcher, Rachel Teodorini, at </w:t>
      </w:r>
      <w:hyperlink r:id="rId44" w:history="1">
        <w:r w:rsidRPr="00734AB6">
          <w:rPr>
            <w:rStyle w:val="Hyperlink"/>
            <w:rFonts w:asciiTheme="majorHAnsi" w:hAnsiTheme="majorHAnsi"/>
          </w:rPr>
          <w:t>teodorr2@lsbu.ac.uk</w:t>
        </w:r>
      </w:hyperlink>
      <w:r w:rsidRPr="00734AB6">
        <w:rPr>
          <w:rFonts w:asciiTheme="majorHAnsi" w:hAnsiTheme="majorHAnsi"/>
        </w:rPr>
        <w:t xml:space="preserve">, </w:t>
      </w:r>
      <w:proofErr w:type="spellStart"/>
      <w:r w:rsidRPr="00734AB6">
        <w:rPr>
          <w:rFonts w:asciiTheme="majorHAnsi" w:hAnsiTheme="majorHAnsi"/>
        </w:rPr>
        <w:t>tel</w:t>
      </w:r>
      <w:proofErr w:type="spellEnd"/>
      <w:r w:rsidRPr="00734AB6">
        <w:rPr>
          <w:rFonts w:asciiTheme="majorHAnsi" w:hAnsiTheme="majorHAnsi"/>
        </w:rPr>
        <w:t>: 020 7815 5431.  Following which, if you still have concerns, you may contact the Chair of the University Research Ethics Committee at ethics@lsbu.ac.uk.</w:t>
      </w:r>
    </w:p>
    <w:p w14:paraId="587AE8CD"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 xml:space="preserve">If you would like more information about these drugs please visit the following site: </w:t>
      </w:r>
      <w:hyperlink r:id="rId45" w:history="1">
        <w:r w:rsidRPr="00734AB6">
          <w:rPr>
            <w:rStyle w:val="Hyperlink"/>
            <w:rFonts w:asciiTheme="majorHAnsi" w:hAnsiTheme="majorHAnsi"/>
          </w:rPr>
          <w:t>https://www.erowid.org/psychoactives/psychoactives.shtml</w:t>
        </w:r>
      </w:hyperlink>
      <w:r w:rsidRPr="00734AB6">
        <w:rPr>
          <w:rFonts w:asciiTheme="majorHAnsi" w:hAnsiTheme="majorHAnsi"/>
        </w:rPr>
        <w:t xml:space="preserve"> </w:t>
      </w:r>
    </w:p>
    <w:p w14:paraId="7E41EC97"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Modafinil and methylphenidate are illegal without prescription and liable to up to a prison sentence of up to 5 years.</w:t>
      </w:r>
    </w:p>
    <w:p w14:paraId="421E612E" w14:textId="77777777" w:rsidR="004676EF" w:rsidRPr="00734AB6" w:rsidRDefault="004676EF" w:rsidP="0099584D">
      <w:pPr>
        <w:spacing w:after="0" w:line="360" w:lineRule="auto"/>
        <w:rPr>
          <w:rFonts w:asciiTheme="majorHAnsi" w:hAnsiTheme="majorHAnsi"/>
        </w:rPr>
      </w:pPr>
    </w:p>
    <w:p w14:paraId="2282F329" w14:textId="77777777" w:rsidR="004676EF" w:rsidRPr="00734AB6" w:rsidRDefault="004676EF" w:rsidP="0099584D">
      <w:pPr>
        <w:spacing w:after="0" w:line="360" w:lineRule="auto"/>
        <w:rPr>
          <w:rFonts w:asciiTheme="majorHAnsi" w:hAnsiTheme="majorHAnsi"/>
        </w:rPr>
      </w:pPr>
      <w:r w:rsidRPr="00734AB6">
        <w:rPr>
          <w:rFonts w:asciiTheme="majorHAnsi" w:hAnsiTheme="majorHAnsi"/>
        </w:rPr>
        <w:t>Finally, if you have any concerns about your use of these drugs please consult your GP.</w:t>
      </w:r>
    </w:p>
    <w:p w14:paraId="14B73062" w14:textId="77777777" w:rsidR="004676EF" w:rsidRPr="00734AB6" w:rsidRDefault="004676EF" w:rsidP="0099584D">
      <w:pPr>
        <w:spacing w:after="0" w:line="360" w:lineRule="auto"/>
        <w:rPr>
          <w:rFonts w:asciiTheme="majorHAnsi" w:hAnsiTheme="majorHAnsi"/>
          <w:b/>
          <w:u w:val="single"/>
        </w:rPr>
      </w:pPr>
    </w:p>
    <w:p w14:paraId="52C7D3D3" w14:textId="77777777" w:rsidR="004676EF" w:rsidRPr="00734AB6" w:rsidRDefault="004676EF" w:rsidP="0099584D">
      <w:pPr>
        <w:spacing w:after="0" w:line="360" w:lineRule="auto"/>
        <w:rPr>
          <w:rFonts w:asciiTheme="majorHAnsi" w:hAnsiTheme="majorHAnsi"/>
        </w:rPr>
      </w:pPr>
      <w:r w:rsidRPr="00734AB6">
        <w:rPr>
          <w:rFonts w:asciiTheme="majorHAnsi" w:hAnsiTheme="majorHAnsi"/>
          <w:b/>
          <w:u w:val="single"/>
        </w:rPr>
        <w:t>References</w:t>
      </w:r>
    </w:p>
    <w:p w14:paraId="571636A5" w14:textId="77777777" w:rsidR="004676EF" w:rsidRPr="00734AB6" w:rsidRDefault="004676EF" w:rsidP="0099584D">
      <w:pPr>
        <w:spacing w:after="0" w:line="360" w:lineRule="auto"/>
        <w:ind w:left="567" w:hanging="567"/>
        <w:rPr>
          <w:rFonts w:asciiTheme="majorHAnsi" w:eastAsia="Times New Roman" w:hAnsiTheme="majorHAnsi" w:cs="Times New Roman"/>
          <w:lang w:eastAsia="en-GB"/>
        </w:rPr>
      </w:pPr>
      <w:r w:rsidRPr="00734AB6">
        <w:rPr>
          <w:rFonts w:asciiTheme="majorHAnsi" w:eastAsia="Times New Roman" w:hAnsiTheme="majorHAnsi" w:cs="Times New Roman"/>
          <w:lang w:eastAsia="en-GB"/>
        </w:rPr>
        <w:t xml:space="preserve">Babcock, Q., &amp; Byrne, T. (2000). Student Perceptions of Methylphenidate Abuse at a Public Liberal Arts College. </w:t>
      </w:r>
      <w:r w:rsidRPr="00734AB6">
        <w:rPr>
          <w:rFonts w:asciiTheme="majorHAnsi" w:eastAsia="Times New Roman" w:hAnsiTheme="majorHAnsi" w:cs="Times New Roman"/>
          <w:i/>
          <w:iCs/>
          <w:lang w:eastAsia="en-GB"/>
        </w:rPr>
        <w:t>Journal of American College Health,</w:t>
      </w:r>
      <w:r w:rsidRPr="00734AB6">
        <w:rPr>
          <w:rFonts w:asciiTheme="majorHAnsi" w:eastAsia="Times New Roman" w:hAnsiTheme="majorHAnsi" w:cs="Times New Roman"/>
          <w:lang w:eastAsia="en-GB"/>
        </w:rPr>
        <w:t xml:space="preserve"> </w:t>
      </w:r>
      <w:r w:rsidRPr="00734AB6">
        <w:rPr>
          <w:rFonts w:asciiTheme="majorHAnsi" w:eastAsia="Times New Roman" w:hAnsiTheme="majorHAnsi" w:cs="Times New Roman"/>
          <w:i/>
          <w:iCs/>
          <w:lang w:eastAsia="en-GB"/>
        </w:rPr>
        <w:t>49</w:t>
      </w:r>
      <w:r w:rsidRPr="00734AB6">
        <w:rPr>
          <w:rFonts w:asciiTheme="majorHAnsi" w:eastAsia="Times New Roman" w:hAnsiTheme="majorHAnsi" w:cs="Times New Roman"/>
          <w:lang w:eastAsia="en-GB"/>
        </w:rPr>
        <w:t xml:space="preserve">(3), 143-145. </w:t>
      </w:r>
    </w:p>
    <w:p w14:paraId="0A3B2E7D" w14:textId="77777777" w:rsidR="004676EF" w:rsidRPr="00734AB6" w:rsidRDefault="004676EF" w:rsidP="0099584D">
      <w:pPr>
        <w:spacing w:after="0" w:line="360" w:lineRule="auto"/>
        <w:ind w:left="567" w:hanging="567"/>
        <w:rPr>
          <w:rFonts w:asciiTheme="majorHAnsi" w:hAnsiTheme="majorHAnsi"/>
        </w:rPr>
      </w:pPr>
    </w:p>
    <w:p w14:paraId="1B731D05" w14:textId="77777777" w:rsidR="004676EF" w:rsidRPr="00734AB6" w:rsidRDefault="004676EF" w:rsidP="0099584D">
      <w:pPr>
        <w:spacing w:after="0" w:line="360" w:lineRule="auto"/>
        <w:ind w:left="567" w:hanging="567"/>
        <w:rPr>
          <w:rFonts w:asciiTheme="majorHAnsi" w:hAnsiTheme="majorHAnsi"/>
        </w:rPr>
      </w:pPr>
      <w:r w:rsidRPr="00734AB6">
        <w:rPr>
          <w:rFonts w:asciiTheme="majorHAnsi" w:hAnsiTheme="majorHAnsi"/>
        </w:rPr>
        <w:t>Drugs penalties. (n.d.). Retrieved March 27, 2016, from https://www.gov.uk/penalties-drug-possession-dealing</w:t>
      </w:r>
    </w:p>
    <w:p w14:paraId="2A2D17B8" w14:textId="77777777" w:rsidR="004676EF" w:rsidRPr="00734AB6" w:rsidRDefault="004676EF" w:rsidP="0099584D">
      <w:pPr>
        <w:spacing w:after="0" w:line="360" w:lineRule="auto"/>
        <w:ind w:left="567" w:hanging="567"/>
        <w:rPr>
          <w:rFonts w:asciiTheme="majorHAnsi" w:eastAsia="Times New Roman" w:hAnsiTheme="majorHAnsi" w:cs="Times New Roman"/>
          <w:lang w:eastAsia="en-GB"/>
        </w:rPr>
      </w:pPr>
    </w:p>
    <w:p w14:paraId="1EF3AB96" w14:textId="77777777" w:rsidR="004676EF" w:rsidRPr="00734AB6" w:rsidRDefault="004676EF" w:rsidP="0099584D">
      <w:pPr>
        <w:spacing w:after="0" w:line="360" w:lineRule="auto"/>
        <w:ind w:left="567" w:hanging="567"/>
        <w:rPr>
          <w:rFonts w:asciiTheme="majorHAnsi" w:eastAsia="Times New Roman" w:hAnsiTheme="majorHAnsi" w:cs="Times New Roman"/>
          <w:lang w:eastAsia="en-GB"/>
        </w:rPr>
      </w:pPr>
      <w:proofErr w:type="spellStart"/>
      <w:r w:rsidRPr="00734AB6">
        <w:rPr>
          <w:rFonts w:asciiTheme="majorHAnsi" w:eastAsia="Times New Roman" w:hAnsiTheme="majorHAnsi" w:cs="Times New Roman"/>
          <w:lang w:eastAsia="en-GB"/>
        </w:rPr>
        <w:t>Rabiner</w:t>
      </w:r>
      <w:proofErr w:type="spellEnd"/>
      <w:r w:rsidRPr="00734AB6">
        <w:rPr>
          <w:rFonts w:asciiTheme="majorHAnsi" w:eastAsia="Times New Roman" w:hAnsiTheme="majorHAnsi" w:cs="Times New Roman"/>
          <w:lang w:eastAsia="en-GB"/>
        </w:rPr>
        <w:t xml:space="preserve">, D. L., </w:t>
      </w:r>
      <w:proofErr w:type="spellStart"/>
      <w:r w:rsidRPr="00734AB6">
        <w:rPr>
          <w:rFonts w:asciiTheme="majorHAnsi" w:eastAsia="Times New Roman" w:hAnsiTheme="majorHAnsi" w:cs="Times New Roman"/>
          <w:lang w:eastAsia="en-GB"/>
        </w:rPr>
        <w:t>Anastopoulos</w:t>
      </w:r>
      <w:proofErr w:type="spellEnd"/>
      <w:r w:rsidRPr="00734AB6">
        <w:rPr>
          <w:rFonts w:asciiTheme="majorHAnsi" w:eastAsia="Times New Roman" w:hAnsiTheme="majorHAnsi" w:cs="Times New Roman"/>
          <w:lang w:eastAsia="en-GB"/>
        </w:rPr>
        <w:t xml:space="preserve">, A. D., Costello, E. J., Hoyle, R. H., McCabe, S. E., &amp; </w:t>
      </w:r>
      <w:proofErr w:type="spellStart"/>
      <w:r w:rsidRPr="00734AB6">
        <w:rPr>
          <w:rFonts w:asciiTheme="majorHAnsi" w:eastAsia="Times New Roman" w:hAnsiTheme="majorHAnsi" w:cs="Times New Roman"/>
          <w:lang w:eastAsia="en-GB"/>
        </w:rPr>
        <w:t>Swartzwelder</w:t>
      </w:r>
      <w:proofErr w:type="spellEnd"/>
      <w:r w:rsidRPr="00734AB6">
        <w:rPr>
          <w:rFonts w:asciiTheme="majorHAnsi" w:eastAsia="Times New Roman" w:hAnsiTheme="majorHAnsi" w:cs="Times New Roman"/>
          <w:lang w:eastAsia="en-GB"/>
        </w:rPr>
        <w:t xml:space="preserve">, H. S. (2008). Motives and Perceived Consequences of Nonmedical ADHD Medication Use by College Students: Are Students Treating Themselves for Attention Problems? </w:t>
      </w:r>
      <w:r w:rsidRPr="00734AB6">
        <w:rPr>
          <w:rFonts w:asciiTheme="majorHAnsi" w:eastAsia="Times New Roman" w:hAnsiTheme="majorHAnsi" w:cs="Times New Roman"/>
          <w:i/>
          <w:iCs/>
          <w:lang w:eastAsia="en-GB"/>
        </w:rPr>
        <w:t>Journal of Attention Disorders,</w:t>
      </w:r>
      <w:r w:rsidRPr="00734AB6">
        <w:rPr>
          <w:rFonts w:asciiTheme="majorHAnsi" w:eastAsia="Times New Roman" w:hAnsiTheme="majorHAnsi" w:cs="Times New Roman"/>
          <w:lang w:eastAsia="en-GB"/>
        </w:rPr>
        <w:t xml:space="preserve"> </w:t>
      </w:r>
      <w:r w:rsidRPr="00734AB6">
        <w:rPr>
          <w:rFonts w:asciiTheme="majorHAnsi" w:eastAsia="Times New Roman" w:hAnsiTheme="majorHAnsi" w:cs="Times New Roman"/>
          <w:i/>
          <w:iCs/>
          <w:lang w:eastAsia="en-GB"/>
        </w:rPr>
        <w:t>13</w:t>
      </w:r>
      <w:r w:rsidRPr="00734AB6">
        <w:rPr>
          <w:rFonts w:asciiTheme="majorHAnsi" w:eastAsia="Times New Roman" w:hAnsiTheme="majorHAnsi" w:cs="Times New Roman"/>
          <w:lang w:eastAsia="en-GB"/>
        </w:rPr>
        <w:t xml:space="preserve">(3), 259-270. </w:t>
      </w:r>
    </w:p>
    <w:p w14:paraId="050A66BF" w14:textId="77777777" w:rsidR="004676EF" w:rsidRPr="00734AB6" w:rsidRDefault="004676EF" w:rsidP="0099584D">
      <w:pPr>
        <w:spacing w:after="0" w:line="360" w:lineRule="auto"/>
        <w:ind w:left="567" w:hanging="567"/>
        <w:rPr>
          <w:rFonts w:asciiTheme="majorHAnsi" w:hAnsiTheme="majorHAnsi"/>
        </w:rPr>
      </w:pPr>
    </w:p>
    <w:p w14:paraId="7B146B46" w14:textId="77777777" w:rsidR="004676EF" w:rsidRPr="00734AB6" w:rsidRDefault="004676EF" w:rsidP="0099584D">
      <w:pPr>
        <w:spacing w:after="0" w:line="360" w:lineRule="auto"/>
        <w:ind w:left="851" w:hanging="851"/>
        <w:rPr>
          <w:rFonts w:asciiTheme="majorHAnsi" w:eastAsia="Times New Roman" w:hAnsiTheme="majorHAnsi" w:cs="Times New Roman"/>
          <w:lang w:eastAsia="en-GB"/>
        </w:rPr>
      </w:pPr>
      <w:r w:rsidRPr="00734AB6">
        <w:rPr>
          <w:rFonts w:asciiTheme="majorHAnsi" w:eastAsia="Times New Roman" w:hAnsiTheme="majorHAnsi" w:cs="Times New Roman"/>
          <w:lang w:eastAsia="en-GB"/>
        </w:rPr>
        <w:t xml:space="preserve">Urban, K. R., &amp; Gao, W. (2014). Performance enhancement at the cost of potential brain plasticity: Neural ramifications of nootropic drugs in the healthy developing brain. </w:t>
      </w:r>
      <w:r w:rsidRPr="00734AB6">
        <w:rPr>
          <w:rFonts w:asciiTheme="majorHAnsi" w:eastAsia="Times New Roman" w:hAnsiTheme="majorHAnsi" w:cs="Times New Roman"/>
          <w:i/>
          <w:iCs/>
          <w:lang w:eastAsia="en-GB"/>
        </w:rPr>
        <w:t>Frontiers in Systems Neuroscience,</w:t>
      </w:r>
      <w:r w:rsidRPr="00734AB6">
        <w:rPr>
          <w:rFonts w:asciiTheme="majorHAnsi" w:eastAsia="Times New Roman" w:hAnsiTheme="majorHAnsi" w:cs="Times New Roman"/>
          <w:lang w:eastAsia="en-GB"/>
        </w:rPr>
        <w:t xml:space="preserve"> </w:t>
      </w:r>
      <w:r w:rsidRPr="00734AB6">
        <w:rPr>
          <w:rFonts w:asciiTheme="majorHAnsi" w:hAnsiTheme="majorHAnsi" w:cs="Arial"/>
          <w:i/>
          <w:iCs/>
          <w:shd w:val="clear" w:color="auto" w:fill="FFFFFF"/>
        </w:rPr>
        <w:t>8</w:t>
      </w:r>
      <w:r w:rsidRPr="00734AB6">
        <w:rPr>
          <w:rFonts w:asciiTheme="majorHAnsi" w:hAnsiTheme="majorHAnsi" w:cs="Arial"/>
          <w:shd w:val="clear" w:color="auto" w:fill="FFFFFF"/>
        </w:rPr>
        <w:t>(38), 10-3389</w:t>
      </w:r>
      <w:r w:rsidRPr="00734AB6">
        <w:rPr>
          <w:rFonts w:asciiTheme="majorHAnsi" w:eastAsia="Times New Roman" w:hAnsiTheme="majorHAnsi" w:cs="Times New Roman"/>
          <w:lang w:eastAsia="en-GB"/>
        </w:rPr>
        <w:t xml:space="preserve">. </w:t>
      </w:r>
    </w:p>
    <w:p w14:paraId="59645DFB" w14:textId="77777777" w:rsidR="004676EF" w:rsidRPr="00734AB6" w:rsidRDefault="004676EF" w:rsidP="0099584D">
      <w:pPr>
        <w:spacing w:line="360" w:lineRule="auto"/>
        <w:ind w:left="567" w:hanging="567"/>
        <w:rPr>
          <w:rFonts w:asciiTheme="majorHAnsi" w:hAnsiTheme="majorHAnsi"/>
        </w:rPr>
      </w:pPr>
    </w:p>
    <w:p w14:paraId="7A764244" w14:textId="77777777" w:rsidR="004676EF" w:rsidRPr="00734AB6" w:rsidRDefault="004676EF" w:rsidP="00E8216D">
      <w:pPr>
        <w:pBdr>
          <w:top w:val="double" w:sz="4" w:space="1" w:color="auto"/>
        </w:pBdr>
        <w:spacing w:line="360" w:lineRule="auto"/>
        <w:rPr>
          <w:rFonts w:asciiTheme="majorHAnsi" w:hAnsiTheme="majorHAnsi"/>
          <w:b/>
        </w:rPr>
      </w:pPr>
    </w:p>
    <w:p w14:paraId="3B114675" w14:textId="77777777" w:rsidR="00E8216D" w:rsidRPr="00734AB6" w:rsidRDefault="00E8216D" w:rsidP="00E8216D">
      <w:pPr>
        <w:pBdr>
          <w:top w:val="double" w:sz="4" w:space="1" w:color="auto"/>
        </w:pBdr>
        <w:rPr>
          <w:rFonts w:asciiTheme="majorHAnsi" w:eastAsiaTheme="majorEastAsia" w:hAnsiTheme="majorHAnsi" w:cstheme="majorBidi"/>
          <w:b/>
          <w:szCs w:val="26"/>
        </w:rPr>
      </w:pPr>
      <w:bookmarkStart w:id="126" w:name="_Toc45200518"/>
      <w:r w:rsidRPr="00734AB6">
        <w:rPr>
          <w:b/>
        </w:rPr>
        <w:br w:type="page"/>
      </w:r>
    </w:p>
    <w:p w14:paraId="3AEF4675" w14:textId="03B46848" w:rsidR="00A17976" w:rsidRPr="00734AB6" w:rsidRDefault="00A17976" w:rsidP="00A17976">
      <w:pPr>
        <w:pStyle w:val="Heading2"/>
        <w:spacing w:after="240" w:line="360" w:lineRule="auto"/>
        <w:rPr>
          <w:b/>
          <w:color w:val="auto"/>
          <w:sz w:val="22"/>
        </w:rPr>
      </w:pPr>
      <w:bookmarkStart w:id="127" w:name="_Toc48136410"/>
      <w:r w:rsidRPr="00734AB6">
        <w:rPr>
          <w:b/>
          <w:color w:val="auto"/>
          <w:sz w:val="22"/>
        </w:rPr>
        <w:lastRenderedPageBreak/>
        <w:t>A(vi)</w:t>
      </w:r>
      <w:r w:rsidRPr="00734AB6">
        <w:rPr>
          <w:b/>
          <w:color w:val="auto"/>
          <w:sz w:val="22"/>
        </w:rPr>
        <w:tab/>
        <w:t>Mental Health</w:t>
      </w:r>
      <w:bookmarkEnd w:id="127"/>
    </w:p>
    <w:p w14:paraId="086EDB23" w14:textId="77777777" w:rsidR="00A17976" w:rsidRPr="00734AB6" w:rsidRDefault="00A17976" w:rsidP="00A17976">
      <w:pPr>
        <w:spacing w:line="360" w:lineRule="auto"/>
        <w:rPr>
          <w:rFonts w:asciiTheme="majorHAnsi" w:hAnsiTheme="majorHAnsi"/>
          <w:b/>
        </w:rPr>
      </w:pPr>
      <w:r w:rsidRPr="00734AB6">
        <w:rPr>
          <w:rFonts w:asciiTheme="majorHAnsi" w:hAnsiTheme="majorHAnsi"/>
          <w:b/>
        </w:rPr>
        <w:t xml:space="preserve">Table A.1. Psychiatric diagnosis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1417"/>
        <w:gridCol w:w="1843"/>
        <w:gridCol w:w="2693"/>
      </w:tblGrid>
      <w:tr w:rsidR="00A17976" w:rsidRPr="00734AB6" w14:paraId="2150F715" w14:textId="77777777" w:rsidTr="0033077A">
        <w:trPr>
          <w:trHeight w:val="987"/>
        </w:trPr>
        <w:tc>
          <w:tcPr>
            <w:tcW w:w="1560" w:type="dxa"/>
            <w:tcBorders>
              <w:bottom w:val="single" w:sz="4" w:space="0" w:color="auto"/>
            </w:tcBorders>
          </w:tcPr>
          <w:p w14:paraId="1FD97F05" w14:textId="77777777" w:rsidR="00A17976" w:rsidRPr="00734AB6" w:rsidRDefault="00A17976" w:rsidP="0033077A">
            <w:pPr>
              <w:spacing w:line="360" w:lineRule="auto"/>
              <w:rPr>
                <w:rFonts w:asciiTheme="majorHAnsi" w:eastAsia="Calibri" w:hAnsiTheme="majorHAnsi" w:cs="Calibri"/>
                <w:b/>
              </w:rPr>
            </w:pPr>
          </w:p>
        </w:tc>
        <w:tc>
          <w:tcPr>
            <w:tcW w:w="1417" w:type="dxa"/>
            <w:tcBorders>
              <w:bottom w:val="single" w:sz="4" w:space="0" w:color="auto"/>
            </w:tcBorders>
          </w:tcPr>
          <w:p w14:paraId="75EAAA38" w14:textId="77777777" w:rsidR="00A17976" w:rsidRPr="00734AB6" w:rsidRDefault="00A17976" w:rsidP="0033077A">
            <w:pPr>
              <w:spacing w:line="360" w:lineRule="auto"/>
              <w:rPr>
                <w:rFonts w:asciiTheme="majorHAnsi" w:hAnsiTheme="majorHAnsi"/>
                <w:b/>
              </w:rPr>
            </w:pPr>
            <w:r w:rsidRPr="00734AB6">
              <w:rPr>
                <w:rFonts w:asciiTheme="majorHAnsi" w:hAnsiTheme="majorHAnsi"/>
                <w:b/>
              </w:rPr>
              <w:t xml:space="preserve">Modafinil </w:t>
            </w:r>
          </w:p>
          <w:p w14:paraId="46912A84" w14:textId="77777777" w:rsidR="00A17976" w:rsidRPr="00734AB6" w:rsidRDefault="00A17976" w:rsidP="0033077A">
            <w:pPr>
              <w:spacing w:line="360" w:lineRule="auto"/>
              <w:rPr>
                <w:rFonts w:asciiTheme="majorHAnsi" w:eastAsia="Calibri" w:hAnsiTheme="majorHAnsi" w:cs="Calibri"/>
              </w:rPr>
            </w:pPr>
            <w:r w:rsidRPr="00734AB6">
              <w:rPr>
                <w:rFonts w:asciiTheme="majorHAnsi" w:hAnsiTheme="majorHAnsi"/>
                <w:b/>
              </w:rPr>
              <w:t>N (%)*</w:t>
            </w:r>
          </w:p>
        </w:tc>
        <w:tc>
          <w:tcPr>
            <w:tcW w:w="1843" w:type="dxa"/>
            <w:tcBorders>
              <w:bottom w:val="single" w:sz="4" w:space="0" w:color="auto"/>
            </w:tcBorders>
          </w:tcPr>
          <w:p w14:paraId="4A18F3AD" w14:textId="77777777" w:rsidR="00A17976" w:rsidRPr="00734AB6" w:rsidRDefault="00A17976" w:rsidP="0033077A">
            <w:pPr>
              <w:spacing w:line="360" w:lineRule="auto"/>
              <w:rPr>
                <w:rFonts w:asciiTheme="majorHAnsi" w:eastAsia="Calibri" w:hAnsiTheme="majorHAnsi" w:cs="Calibri"/>
              </w:rPr>
            </w:pPr>
            <w:r w:rsidRPr="00734AB6">
              <w:rPr>
                <w:rFonts w:asciiTheme="majorHAnsi" w:hAnsiTheme="majorHAnsi"/>
                <w:b/>
              </w:rPr>
              <w:t>Methylphenidate N (%)**</w:t>
            </w:r>
          </w:p>
        </w:tc>
        <w:tc>
          <w:tcPr>
            <w:tcW w:w="2693" w:type="dxa"/>
            <w:tcBorders>
              <w:bottom w:val="single" w:sz="4" w:space="0" w:color="auto"/>
            </w:tcBorders>
          </w:tcPr>
          <w:p w14:paraId="3A491900" w14:textId="77777777" w:rsidR="00A17976" w:rsidRPr="00734AB6" w:rsidRDefault="00A17976" w:rsidP="0033077A">
            <w:pPr>
              <w:spacing w:line="360" w:lineRule="auto"/>
              <w:rPr>
                <w:rFonts w:asciiTheme="majorHAnsi" w:hAnsiTheme="majorHAnsi"/>
                <w:b/>
              </w:rPr>
            </w:pPr>
            <w:r w:rsidRPr="00734AB6">
              <w:rPr>
                <w:rFonts w:asciiTheme="majorHAnsi" w:hAnsiTheme="majorHAnsi"/>
                <w:b/>
              </w:rPr>
              <w:t>Modafinil and Methylphenidate N (%)***</w:t>
            </w:r>
          </w:p>
        </w:tc>
      </w:tr>
      <w:tr w:rsidR="00A17976" w:rsidRPr="00734AB6" w14:paraId="065F4EA9" w14:textId="77777777" w:rsidTr="0033077A">
        <w:trPr>
          <w:trHeight w:val="559"/>
        </w:trPr>
        <w:tc>
          <w:tcPr>
            <w:tcW w:w="7513" w:type="dxa"/>
            <w:gridSpan w:val="4"/>
            <w:tcBorders>
              <w:bottom w:val="single" w:sz="4" w:space="0" w:color="auto"/>
            </w:tcBorders>
          </w:tcPr>
          <w:p w14:paraId="3A23B18D" w14:textId="77777777" w:rsidR="00A17976" w:rsidRPr="00734AB6" w:rsidRDefault="00A17976" w:rsidP="0033077A">
            <w:pPr>
              <w:spacing w:line="360" w:lineRule="auto"/>
              <w:rPr>
                <w:rFonts w:asciiTheme="majorHAnsi" w:hAnsiTheme="majorHAnsi"/>
                <w:b/>
              </w:rPr>
            </w:pPr>
            <w:r w:rsidRPr="00734AB6">
              <w:rPr>
                <w:rFonts w:asciiTheme="majorHAnsi" w:eastAsia="Calibri" w:hAnsiTheme="majorHAnsi" w:cs="Calibri"/>
                <w:b/>
              </w:rPr>
              <w:t>Have you received a psychiatric diagnosis?</w:t>
            </w:r>
          </w:p>
        </w:tc>
      </w:tr>
      <w:tr w:rsidR="00A17976" w:rsidRPr="00734AB6" w14:paraId="2A846B96" w14:textId="77777777" w:rsidTr="0033077A">
        <w:tc>
          <w:tcPr>
            <w:tcW w:w="1560" w:type="dxa"/>
            <w:tcBorders>
              <w:bottom w:val="nil"/>
            </w:tcBorders>
          </w:tcPr>
          <w:p w14:paraId="1159541B" w14:textId="77777777" w:rsidR="00A17976" w:rsidRPr="00734AB6" w:rsidRDefault="00A17976" w:rsidP="0033077A">
            <w:pPr>
              <w:spacing w:line="360" w:lineRule="auto"/>
              <w:rPr>
                <w:rFonts w:asciiTheme="majorHAnsi" w:eastAsia="Calibri" w:hAnsiTheme="majorHAnsi" w:cs="Calibri"/>
                <w:b/>
              </w:rPr>
            </w:pPr>
            <w:r w:rsidRPr="00734AB6">
              <w:rPr>
                <w:rFonts w:asciiTheme="majorHAnsi" w:eastAsia="Calibri" w:hAnsiTheme="majorHAnsi" w:cs="Calibri"/>
                <w:b/>
              </w:rPr>
              <w:t>Yes</w:t>
            </w:r>
          </w:p>
        </w:tc>
        <w:tc>
          <w:tcPr>
            <w:tcW w:w="1417" w:type="dxa"/>
            <w:tcBorders>
              <w:bottom w:val="nil"/>
            </w:tcBorders>
          </w:tcPr>
          <w:p w14:paraId="2AFC57D1"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48 (21.9)</w:t>
            </w:r>
          </w:p>
        </w:tc>
        <w:tc>
          <w:tcPr>
            <w:tcW w:w="1843" w:type="dxa"/>
            <w:tcBorders>
              <w:bottom w:val="nil"/>
            </w:tcBorders>
          </w:tcPr>
          <w:p w14:paraId="2DC1B5C2"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28 (26.9)</w:t>
            </w:r>
          </w:p>
        </w:tc>
        <w:tc>
          <w:tcPr>
            <w:tcW w:w="2693" w:type="dxa"/>
            <w:tcBorders>
              <w:bottom w:val="nil"/>
            </w:tcBorders>
          </w:tcPr>
          <w:p w14:paraId="7B669C3B" w14:textId="77777777" w:rsidR="00A17976" w:rsidRPr="00734AB6" w:rsidRDefault="00A17976" w:rsidP="0033077A">
            <w:pPr>
              <w:tabs>
                <w:tab w:val="left" w:pos="993"/>
              </w:tabs>
              <w:spacing w:line="360" w:lineRule="auto"/>
              <w:rPr>
                <w:rFonts w:asciiTheme="majorHAnsi" w:hAnsiTheme="majorHAnsi"/>
              </w:rPr>
            </w:pPr>
            <w:r w:rsidRPr="00734AB6">
              <w:rPr>
                <w:rFonts w:asciiTheme="majorHAnsi" w:hAnsiTheme="majorHAnsi"/>
              </w:rPr>
              <w:t>62 (24.5)</w:t>
            </w:r>
          </w:p>
        </w:tc>
      </w:tr>
      <w:tr w:rsidR="00A17976" w:rsidRPr="00734AB6" w14:paraId="2B8750AE" w14:textId="77777777" w:rsidTr="0033077A">
        <w:tc>
          <w:tcPr>
            <w:tcW w:w="1560" w:type="dxa"/>
            <w:tcBorders>
              <w:top w:val="nil"/>
              <w:bottom w:val="single" w:sz="4" w:space="0" w:color="auto"/>
            </w:tcBorders>
          </w:tcPr>
          <w:p w14:paraId="35201F8D" w14:textId="77777777" w:rsidR="00A17976" w:rsidRPr="00734AB6" w:rsidRDefault="00A17976" w:rsidP="0033077A">
            <w:pPr>
              <w:spacing w:line="360" w:lineRule="auto"/>
              <w:rPr>
                <w:rFonts w:asciiTheme="majorHAnsi" w:eastAsia="Calibri" w:hAnsiTheme="majorHAnsi" w:cs="Calibri"/>
                <w:b/>
              </w:rPr>
            </w:pPr>
            <w:r w:rsidRPr="00734AB6">
              <w:rPr>
                <w:rFonts w:asciiTheme="majorHAnsi" w:eastAsia="Calibri" w:hAnsiTheme="majorHAnsi" w:cs="Calibri"/>
                <w:b/>
              </w:rPr>
              <w:t>No</w:t>
            </w:r>
          </w:p>
        </w:tc>
        <w:tc>
          <w:tcPr>
            <w:tcW w:w="1417" w:type="dxa"/>
            <w:tcBorders>
              <w:top w:val="nil"/>
              <w:bottom w:val="single" w:sz="4" w:space="0" w:color="auto"/>
            </w:tcBorders>
          </w:tcPr>
          <w:p w14:paraId="2C6737B2"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171 (78.1)</w:t>
            </w:r>
          </w:p>
        </w:tc>
        <w:tc>
          <w:tcPr>
            <w:tcW w:w="1843" w:type="dxa"/>
            <w:tcBorders>
              <w:top w:val="nil"/>
              <w:bottom w:val="single" w:sz="4" w:space="0" w:color="auto"/>
            </w:tcBorders>
          </w:tcPr>
          <w:p w14:paraId="0ED0687B"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76 (73.1)</w:t>
            </w:r>
          </w:p>
        </w:tc>
        <w:tc>
          <w:tcPr>
            <w:tcW w:w="2693" w:type="dxa"/>
            <w:tcBorders>
              <w:top w:val="nil"/>
              <w:bottom w:val="single" w:sz="4" w:space="0" w:color="auto"/>
            </w:tcBorders>
          </w:tcPr>
          <w:p w14:paraId="6C44EEBA" w14:textId="77777777" w:rsidR="00A17976" w:rsidRPr="00734AB6" w:rsidRDefault="00A17976" w:rsidP="0033077A">
            <w:pPr>
              <w:tabs>
                <w:tab w:val="left" w:pos="993"/>
              </w:tabs>
              <w:spacing w:line="360" w:lineRule="auto"/>
              <w:rPr>
                <w:rFonts w:asciiTheme="majorHAnsi" w:hAnsiTheme="majorHAnsi"/>
              </w:rPr>
            </w:pPr>
            <w:r w:rsidRPr="00734AB6">
              <w:rPr>
                <w:rFonts w:asciiTheme="majorHAnsi" w:hAnsiTheme="majorHAnsi"/>
              </w:rPr>
              <w:t>191 (75.5)</w:t>
            </w:r>
          </w:p>
        </w:tc>
      </w:tr>
      <w:tr w:rsidR="00A17976" w:rsidRPr="00734AB6" w14:paraId="7F72D2A3" w14:textId="77777777" w:rsidTr="0033077A">
        <w:tc>
          <w:tcPr>
            <w:tcW w:w="7513" w:type="dxa"/>
            <w:gridSpan w:val="4"/>
            <w:tcBorders>
              <w:top w:val="single" w:sz="4" w:space="0" w:color="auto"/>
              <w:bottom w:val="single" w:sz="4" w:space="0" w:color="auto"/>
            </w:tcBorders>
          </w:tcPr>
          <w:p w14:paraId="012EE77A"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b/>
              </w:rPr>
              <w:t>Psychiatric Diagnosis</w:t>
            </w:r>
          </w:p>
        </w:tc>
      </w:tr>
      <w:tr w:rsidR="00A17976" w:rsidRPr="00734AB6" w14:paraId="40E81B80" w14:textId="77777777" w:rsidTr="0033077A">
        <w:tc>
          <w:tcPr>
            <w:tcW w:w="1560" w:type="dxa"/>
            <w:tcBorders>
              <w:top w:val="single" w:sz="4" w:space="0" w:color="auto"/>
              <w:bottom w:val="nil"/>
            </w:tcBorders>
          </w:tcPr>
          <w:p w14:paraId="7307B491" w14:textId="77777777" w:rsidR="00A17976" w:rsidRPr="00734AB6" w:rsidRDefault="00A17976" w:rsidP="0033077A">
            <w:pPr>
              <w:spacing w:line="360" w:lineRule="auto"/>
              <w:rPr>
                <w:rFonts w:asciiTheme="majorHAnsi" w:eastAsia="Calibri" w:hAnsiTheme="majorHAnsi" w:cs="Calibri"/>
                <w:b/>
              </w:rPr>
            </w:pPr>
            <w:r w:rsidRPr="00734AB6">
              <w:rPr>
                <w:rFonts w:asciiTheme="majorHAnsi" w:eastAsia="Calibri" w:hAnsiTheme="majorHAnsi" w:cs="Calibri"/>
                <w:b/>
              </w:rPr>
              <w:t>Depression</w:t>
            </w:r>
          </w:p>
        </w:tc>
        <w:tc>
          <w:tcPr>
            <w:tcW w:w="1417" w:type="dxa"/>
            <w:tcBorders>
              <w:top w:val="single" w:sz="4" w:space="0" w:color="auto"/>
              <w:bottom w:val="nil"/>
            </w:tcBorders>
          </w:tcPr>
          <w:p w14:paraId="09A72613"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21 (44.7)</w:t>
            </w:r>
          </w:p>
        </w:tc>
        <w:tc>
          <w:tcPr>
            <w:tcW w:w="1843" w:type="dxa"/>
            <w:tcBorders>
              <w:top w:val="single" w:sz="4" w:space="0" w:color="auto"/>
              <w:bottom w:val="nil"/>
            </w:tcBorders>
          </w:tcPr>
          <w:p w14:paraId="6C6C6311"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11 (39.3)</w:t>
            </w:r>
          </w:p>
        </w:tc>
        <w:tc>
          <w:tcPr>
            <w:tcW w:w="2693" w:type="dxa"/>
            <w:tcBorders>
              <w:top w:val="single" w:sz="4" w:space="0" w:color="auto"/>
              <w:bottom w:val="nil"/>
            </w:tcBorders>
          </w:tcPr>
          <w:p w14:paraId="15217DE9" w14:textId="77777777" w:rsidR="00A17976" w:rsidRPr="00734AB6" w:rsidRDefault="00A17976" w:rsidP="0033077A">
            <w:pPr>
              <w:tabs>
                <w:tab w:val="left" w:pos="993"/>
              </w:tabs>
              <w:spacing w:line="360" w:lineRule="auto"/>
              <w:rPr>
                <w:rFonts w:asciiTheme="majorHAnsi" w:hAnsiTheme="majorHAnsi"/>
              </w:rPr>
            </w:pPr>
            <w:r w:rsidRPr="00734AB6">
              <w:rPr>
                <w:rFonts w:asciiTheme="majorHAnsi" w:hAnsiTheme="majorHAnsi"/>
              </w:rPr>
              <w:t>28 (45.9)</w:t>
            </w:r>
          </w:p>
        </w:tc>
      </w:tr>
      <w:tr w:rsidR="00A17976" w:rsidRPr="00734AB6" w14:paraId="7C1E6741" w14:textId="77777777" w:rsidTr="0033077A">
        <w:tc>
          <w:tcPr>
            <w:tcW w:w="1560" w:type="dxa"/>
            <w:tcBorders>
              <w:top w:val="nil"/>
              <w:bottom w:val="nil"/>
            </w:tcBorders>
          </w:tcPr>
          <w:p w14:paraId="2373DEC2" w14:textId="77777777" w:rsidR="00A17976" w:rsidRPr="00734AB6" w:rsidRDefault="00A17976" w:rsidP="0033077A">
            <w:pPr>
              <w:spacing w:line="360" w:lineRule="auto"/>
              <w:rPr>
                <w:rFonts w:asciiTheme="majorHAnsi" w:eastAsia="Calibri" w:hAnsiTheme="majorHAnsi" w:cs="Calibri"/>
                <w:b/>
              </w:rPr>
            </w:pPr>
            <w:r w:rsidRPr="00734AB6">
              <w:rPr>
                <w:rFonts w:asciiTheme="majorHAnsi" w:eastAsia="Calibri" w:hAnsiTheme="majorHAnsi" w:cs="Calibri"/>
                <w:b/>
              </w:rPr>
              <w:t>Anxiety</w:t>
            </w:r>
          </w:p>
        </w:tc>
        <w:tc>
          <w:tcPr>
            <w:tcW w:w="1417" w:type="dxa"/>
            <w:tcBorders>
              <w:top w:val="nil"/>
              <w:bottom w:val="nil"/>
            </w:tcBorders>
          </w:tcPr>
          <w:p w14:paraId="2F35897A"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3 (6.4)</w:t>
            </w:r>
          </w:p>
        </w:tc>
        <w:tc>
          <w:tcPr>
            <w:tcW w:w="1843" w:type="dxa"/>
            <w:tcBorders>
              <w:top w:val="nil"/>
              <w:bottom w:val="nil"/>
            </w:tcBorders>
          </w:tcPr>
          <w:p w14:paraId="33E7CE5C"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2 (7.1)</w:t>
            </w:r>
          </w:p>
        </w:tc>
        <w:tc>
          <w:tcPr>
            <w:tcW w:w="2693" w:type="dxa"/>
            <w:tcBorders>
              <w:top w:val="nil"/>
              <w:bottom w:val="nil"/>
            </w:tcBorders>
          </w:tcPr>
          <w:p w14:paraId="5EE46C5F" w14:textId="77777777" w:rsidR="00A17976" w:rsidRPr="00734AB6" w:rsidRDefault="00A17976" w:rsidP="0033077A">
            <w:pPr>
              <w:tabs>
                <w:tab w:val="left" w:pos="993"/>
              </w:tabs>
              <w:spacing w:line="360" w:lineRule="auto"/>
              <w:rPr>
                <w:rFonts w:asciiTheme="majorHAnsi" w:hAnsiTheme="majorHAnsi"/>
              </w:rPr>
            </w:pPr>
            <w:r w:rsidRPr="00734AB6">
              <w:rPr>
                <w:rFonts w:asciiTheme="majorHAnsi" w:hAnsiTheme="majorHAnsi"/>
              </w:rPr>
              <w:t>5 (8.2)</w:t>
            </w:r>
          </w:p>
        </w:tc>
      </w:tr>
      <w:tr w:rsidR="00A17976" w:rsidRPr="00734AB6" w14:paraId="47D3856D" w14:textId="77777777" w:rsidTr="0033077A">
        <w:tc>
          <w:tcPr>
            <w:tcW w:w="1560" w:type="dxa"/>
            <w:tcBorders>
              <w:top w:val="nil"/>
              <w:bottom w:val="nil"/>
            </w:tcBorders>
          </w:tcPr>
          <w:p w14:paraId="356C1449" w14:textId="77777777" w:rsidR="00A17976" w:rsidRPr="00734AB6" w:rsidRDefault="00A17976" w:rsidP="0033077A">
            <w:pPr>
              <w:spacing w:line="360" w:lineRule="auto"/>
              <w:rPr>
                <w:rFonts w:asciiTheme="majorHAnsi" w:eastAsia="Calibri" w:hAnsiTheme="majorHAnsi" w:cs="Calibri"/>
                <w:b/>
              </w:rPr>
            </w:pPr>
            <w:r w:rsidRPr="00734AB6">
              <w:rPr>
                <w:rFonts w:asciiTheme="majorHAnsi" w:eastAsia="Calibri" w:hAnsiTheme="majorHAnsi" w:cs="Calibri"/>
                <w:b/>
              </w:rPr>
              <w:t>Depression and Anxiety</w:t>
            </w:r>
          </w:p>
        </w:tc>
        <w:tc>
          <w:tcPr>
            <w:tcW w:w="1417" w:type="dxa"/>
            <w:tcBorders>
              <w:top w:val="nil"/>
              <w:bottom w:val="nil"/>
            </w:tcBorders>
          </w:tcPr>
          <w:p w14:paraId="0E530F1C"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13 (27.7)</w:t>
            </w:r>
          </w:p>
        </w:tc>
        <w:tc>
          <w:tcPr>
            <w:tcW w:w="1843" w:type="dxa"/>
            <w:tcBorders>
              <w:top w:val="nil"/>
              <w:bottom w:val="nil"/>
            </w:tcBorders>
          </w:tcPr>
          <w:p w14:paraId="23776FCD"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7 (25.0)</w:t>
            </w:r>
          </w:p>
        </w:tc>
        <w:tc>
          <w:tcPr>
            <w:tcW w:w="2693" w:type="dxa"/>
            <w:tcBorders>
              <w:top w:val="nil"/>
              <w:bottom w:val="nil"/>
            </w:tcBorders>
          </w:tcPr>
          <w:p w14:paraId="3808E204" w14:textId="77777777" w:rsidR="00A17976" w:rsidRPr="00734AB6" w:rsidRDefault="00A17976" w:rsidP="0033077A">
            <w:pPr>
              <w:tabs>
                <w:tab w:val="left" w:pos="993"/>
              </w:tabs>
              <w:spacing w:line="360" w:lineRule="auto"/>
              <w:rPr>
                <w:rFonts w:asciiTheme="majorHAnsi" w:hAnsiTheme="majorHAnsi"/>
              </w:rPr>
            </w:pPr>
            <w:r w:rsidRPr="00734AB6">
              <w:rPr>
                <w:rFonts w:asciiTheme="majorHAnsi" w:hAnsiTheme="majorHAnsi"/>
              </w:rPr>
              <w:t>16 (26.2)</w:t>
            </w:r>
          </w:p>
        </w:tc>
      </w:tr>
      <w:tr w:rsidR="00A17976" w:rsidRPr="00734AB6" w14:paraId="1A016644" w14:textId="77777777" w:rsidTr="0033077A">
        <w:tc>
          <w:tcPr>
            <w:tcW w:w="1560" w:type="dxa"/>
            <w:tcBorders>
              <w:top w:val="nil"/>
              <w:bottom w:val="single" w:sz="4" w:space="0" w:color="auto"/>
            </w:tcBorders>
          </w:tcPr>
          <w:p w14:paraId="18B27580" w14:textId="77777777" w:rsidR="00A17976" w:rsidRPr="00734AB6" w:rsidRDefault="00A17976" w:rsidP="0033077A">
            <w:pPr>
              <w:spacing w:line="360" w:lineRule="auto"/>
              <w:rPr>
                <w:rFonts w:asciiTheme="majorHAnsi" w:eastAsia="Calibri" w:hAnsiTheme="majorHAnsi" w:cs="Calibri"/>
                <w:b/>
              </w:rPr>
            </w:pPr>
            <w:r w:rsidRPr="00734AB6">
              <w:rPr>
                <w:rFonts w:asciiTheme="majorHAnsi" w:eastAsia="Calibri" w:hAnsiTheme="majorHAnsi" w:cs="Calibri"/>
                <w:b/>
              </w:rPr>
              <w:t>Other</w:t>
            </w:r>
          </w:p>
        </w:tc>
        <w:tc>
          <w:tcPr>
            <w:tcW w:w="1417" w:type="dxa"/>
            <w:tcBorders>
              <w:top w:val="nil"/>
              <w:bottom w:val="single" w:sz="4" w:space="0" w:color="auto"/>
            </w:tcBorders>
          </w:tcPr>
          <w:p w14:paraId="11526D3E"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10 (21.3)</w:t>
            </w:r>
          </w:p>
        </w:tc>
        <w:tc>
          <w:tcPr>
            <w:tcW w:w="1843" w:type="dxa"/>
            <w:tcBorders>
              <w:top w:val="nil"/>
              <w:bottom w:val="single" w:sz="4" w:space="0" w:color="auto"/>
            </w:tcBorders>
          </w:tcPr>
          <w:p w14:paraId="2235B0C7" w14:textId="77777777" w:rsidR="00A17976" w:rsidRPr="00734AB6" w:rsidRDefault="00A17976" w:rsidP="0033077A">
            <w:pPr>
              <w:spacing w:line="360" w:lineRule="auto"/>
              <w:rPr>
                <w:rFonts w:asciiTheme="majorHAnsi" w:eastAsia="Calibri" w:hAnsiTheme="majorHAnsi" w:cs="Calibri"/>
              </w:rPr>
            </w:pPr>
            <w:r w:rsidRPr="00734AB6">
              <w:rPr>
                <w:rFonts w:asciiTheme="majorHAnsi" w:eastAsia="Calibri" w:hAnsiTheme="majorHAnsi" w:cs="Calibri"/>
              </w:rPr>
              <w:t>8 (28.6)</w:t>
            </w:r>
          </w:p>
        </w:tc>
        <w:tc>
          <w:tcPr>
            <w:tcW w:w="2693" w:type="dxa"/>
            <w:tcBorders>
              <w:top w:val="nil"/>
              <w:bottom w:val="single" w:sz="4" w:space="0" w:color="auto"/>
            </w:tcBorders>
          </w:tcPr>
          <w:p w14:paraId="00CB8030" w14:textId="77777777" w:rsidR="00A17976" w:rsidRPr="00734AB6" w:rsidRDefault="00A17976" w:rsidP="0033077A">
            <w:pPr>
              <w:tabs>
                <w:tab w:val="left" w:pos="993"/>
              </w:tabs>
              <w:spacing w:line="360" w:lineRule="auto"/>
              <w:rPr>
                <w:rFonts w:asciiTheme="majorHAnsi" w:hAnsiTheme="majorHAnsi"/>
              </w:rPr>
            </w:pPr>
            <w:r w:rsidRPr="00734AB6">
              <w:rPr>
                <w:rFonts w:asciiTheme="majorHAnsi" w:hAnsiTheme="majorHAnsi"/>
              </w:rPr>
              <w:t>12 (19.7)</w:t>
            </w:r>
          </w:p>
        </w:tc>
      </w:tr>
    </w:tbl>
    <w:p w14:paraId="42BCF45A" w14:textId="77777777" w:rsidR="00A17976" w:rsidRPr="00734AB6" w:rsidRDefault="00A17976" w:rsidP="00A17976">
      <w:pPr>
        <w:tabs>
          <w:tab w:val="left" w:pos="426"/>
        </w:tabs>
        <w:spacing w:line="360" w:lineRule="auto"/>
        <w:rPr>
          <w:rFonts w:asciiTheme="majorHAnsi" w:hAnsiTheme="majorHAnsi"/>
        </w:rPr>
      </w:pPr>
      <w:r w:rsidRPr="00734AB6">
        <w:rPr>
          <w:rFonts w:asciiTheme="majorHAnsi" w:hAnsiTheme="majorHAnsi"/>
        </w:rPr>
        <w:t>Percentages relate to group only</w:t>
      </w:r>
    </w:p>
    <w:p w14:paraId="65F70822" w14:textId="77777777" w:rsidR="00A17976" w:rsidRPr="00734AB6" w:rsidRDefault="00A17976" w:rsidP="00A17976">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The modafinil group represents all respondents who reported modafinil usage</w:t>
      </w:r>
    </w:p>
    <w:p w14:paraId="50FFE401" w14:textId="77777777" w:rsidR="00A17976" w:rsidRPr="00734AB6" w:rsidRDefault="00A17976" w:rsidP="00A17976">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The methylphenidate group represents all respondents who reported methylphenidate usage</w:t>
      </w:r>
    </w:p>
    <w:p w14:paraId="03DAEA89" w14:textId="77777777" w:rsidR="00A17976" w:rsidRPr="00734AB6" w:rsidRDefault="00A17976" w:rsidP="00A17976">
      <w:pPr>
        <w:tabs>
          <w:tab w:val="left" w:pos="426"/>
        </w:tabs>
        <w:spacing w:line="360" w:lineRule="auto"/>
        <w:ind w:left="426" w:hanging="426"/>
        <w:rPr>
          <w:rFonts w:asciiTheme="majorHAnsi" w:hAnsiTheme="majorHAnsi"/>
        </w:rPr>
      </w:pPr>
      <w:r w:rsidRPr="00734AB6">
        <w:rPr>
          <w:rFonts w:asciiTheme="majorHAnsi" w:hAnsiTheme="majorHAnsi"/>
        </w:rPr>
        <w:t>***</w:t>
      </w:r>
      <w:r w:rsidRPr="00734AB6">
        <w:rPr>
          <w:rFonts w:asciiTheme="majorHAnsi" w:hAnsiTheme="majorHAnsi"/>
        </w:rPr>
        <w:tab/>
        <w:t>The modafinil and methylphenidate group represent all respondents who reported either modafinil or methylphenidate usage.</w:t>
      </w:r>
    </w:p>
    <w:p w14:paraId="00643A07" w14:textId="77777777" w:rsidR="00A17976" w:rsidRPr="00734AB6" w:rsidRDefault="00A17976" w:rsidP="00A17976"/>
    <w:p w14:paraId="4A9B9704" w14:textId="77777777" w:rsidR="00E8216D" w:rsidRPr="00734AB6" w:rsidRDefault="00E8216D" w:rsidP="00E8216D">
      <w:pPr>
        <w:pBdr>
          <w:top w:val="double" w:sz="4" w:space="1" w:color="auto"/>
        </w:pBdr>
        <w:rPr>
          <w:rFonts w:asciiTheme="majorHAnsi" w:eastAsiaTheme="majorEastAsia" w:hAnsiTheme="majorHAnsi" w:cstheme="majorBidi"/>
          <w:b/>
          <w:color w:val="000000" w:themeColor="text1"/>
        </w:rPr>
      </w:pPr>
      <w:r w:rsidRPr="00734AB6">
        <w:rPr>
          <w:b/>
          <w:color w:val="000000" w:themeColor="text1"/>
        </w:rPr>
        <w:br w:type="page"/>
      </w:r>
    </w:p>
    <w:p w14:paraId="25D933F9" w14:textId="1CB799FF" w:rsidR="004676EF" w:rsidRPr="00734AB6" w:rsidRDefault="004676EF" w:rsidP="0099584D">
      <w:pPr>
        <w:pStyle w:val="Heading2"/>
        <w:spacing w:line="360" w:lineRule="auto"/>
        <w:rPr>
          <w:b/>
          <w:color w:val="000000" w:themeColor="text1"/>
          <w:sz w:val="22"/>
          <w:szCs w:val="22"/>
        </w:rPr>
      </w:pPr>
      <w:bookmarkStart w:id="128" w:name="_Toc48136411"/>
      <w:r w:rsidRPr="00734AB6">
        <w:rPr>
          <w:b/>
          <w:color w:val="000000" w:themeColor="text1"/>
          <w:sz w:val="22"/>
          <w:szCs w:val="22"/>
        </w:rPr>
        <w:lastRenderedPageBreak/>
        <w:t>A(vi</w:t>
      </w:r>
      <w:r w:rsidR="00A17976" w:rsidRPr="00734AB6">
        <w:rPr>
          <w:b/>
          <w:color w:val="000000" w:themeColor="text1"/>
          <w:sz w:val="22"/>
          <w:szCs w:val="22"/>
        </w:rPr>
        <w:t>i</w:t>
      </w:r>
      <w:r w:rsidRPr="00734AB6">
        <w:rPr>
          <w:b/>
          <w:color w:val="000000" w:themeColor="text1"/>
          <w:sz w:val="22"/>
          <w:szCs w:val="22"/>
        </w:rPr>
        <w:t>)</w:t>
      </w:r>
      <w:r w:rsidRPr="00734AB6">
        <w:rPr>
          <w:b/>
          <w:color w:val="000000" w:themeColor="text1"/>
          <w:sz w:val="22"/>
          <w:szCs w:val="22"/>
        </w:rPr>
        <w:tab/>
        <w:t>Illicit drug use</w:t>
      </w:r>
      <w:bookmarkEnd w:id="126"/>
      <w:bookmarkEnd w:id="128"/>
    </w:p>
    <w:p w14:paraId="18ABA84F" w14:textId="77777777" w:rsidR="004676EF" w:rsidRPr="00734AB6" w:rsidRDefault="004676EF" w:rsidP="0099584D">
      <w:pPr>
        <w:spacing w:line="360" w:lineRule="auto"/>
        <w:rPr>
          <w:rFonts w:asciiTheme="majorHAnsi" w:hAnsiTheme="majorHAnsi"/>
        </w:rPr>
      </w:pPr>
    </w:p>
    <w:p w14:paraId="0C6491CE" w14:textId="0B11014F"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13687B" w:rsidRPr="00734AB6">
        <w:rPr>
          <w:rFonts w:asciiTheme="majorHAnsi" w:hAnsiTheme="majorHAnsi"/>
          <w:b/>
        </w:rPr>
        <w:t>A.</w:t>
      </w:r>
      <w:r w:rsidRPr="00734AB6">
        <w:rPr>
          <w:rFonts w:asciiTheme="majorHAnsi" w:hAnsiTheme="majorHAnsi"/>
          <w:b/>
        </w:rPr>
        <w:t xml:space="preserve">1. Modafinil, methylphenidate and control respondents’ reported illicit drug use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1417"/>
        <w:gridCol w:w="1843"/>
        <w:gridCol w:w="3118"/>
      </w:tblGrid>
      <w:tr w:rsidR="00120E0E" w:rsidRPr="00734AB6" w14:paraId="5F752DCF" w14:textId="77777777" w:rsidTr="00120E0E">
        <w:trPr>
          <w:trHeight w:val="987"/>
        </w:trPr>
        <w:tc>
          <w:tcPr>
            <w:tcW w:w="1560" w:type="dxa"/>
            <w:tcBorders>
              <w:bottom w:val="single" w:sz="4" w:space="0" w:color="auto"/>
            </w:tcBorders>
          </w:tcPr>
          <w:p w14:paraId="093A3AAB" w14:textId="77777777" w:rsidR="00120E0E" w:rsidRPr="00734AB6" w:rsidRDefault="00120E0E" w:rsidP="0099584D">
            <w:pPr>
              <w:spacing w:line="360" w:lineRule="auto"/>
              <w:rPr>
                <w:rFonts w:asciiTheme="majorHAnsi" w:eastAsia="Calibri" w:hAnsiTheme="majorHAnsi" w:cs="Calibri"/>
                <w:b/>
              </w:rPr>
            </w:pPr>
          </w:p>
        </w:tc>
        <w:tc>
          <w:tcPr>
            <w:tcW w:w="1417" w:type="dxa"/>
            <w:tcBorders>
              <w:bottom w:val="single" w:sz="4" w:space="0" w:color="auto"/>
            </w:tcBorders>
          </w:tcPr>
          <w:p w14:paraId="2CF0AD77" w14:textId="0FEE9F67" w:rsidR="00120E0E" w:rsidRPr="00734AB6" w:rsidRDefault="00120E0E" w:rsidP="0099584D">
            <w:pPr>
              <w:spacing w:line="360" w:lineRule="auto"/>
              <w:rPr>
                <w:rFonts w:asciiTheme="majorHAnsi" w:hAnsiTheme="majorHAnsi"/>
                <w:b/>
              </w:rPr>
            </w:pPr>
            <w:r w:rsidRPr="00734AB6">
              <w:rPr>
                <w:rFonts w:asciiTheme="majorHAnsi" w:hAnsiTheme="majorHAnsi"/>
                <w:b/>
              </w:rPr>
              <w:t>Modafinil     N (%)*</w:t>
            </w:r>
          </w:p>
        </w:tc>
        <w:tc>
          <w:tcPr>
            <w:tcW w:w="1843" w:type="dxa"/>
            <w:tcBorders>
              <w:bottom w:val="single" w:sz="4" w:space="0" w:color="auto"/>
            </w:tcBorders>
          </w:tcPr>
          <w:p w14:paraId="283B8B98" w14:textId="77777777" w:rsidR="00120E0E" w:rsidRPr="00734AB6" w:rsidRDefault="00120E0E" w:rsidP="0099584D">
            <w:pPr>
              <w:spacing w:line="360" w:lineRule="auto"/>
              <w:rPr>
                <w:rFonts w:asciiTheme="majorHAnsi" w:eastAsia="Calibri" w:hAnsiTheme="majorHAnsi" w:cs="Calibri"/>
              </w:rPr>
            </w:pPr>
            <w:r w:rsidRPr="00734AB6">
              <w:rPr>
                <w:rFonts w:asciiTheme="majorHAnsi" w:hAnsiTheme="majorHAnsi"/>
                <w:b/>
              </w:rPr>
              <w:t>Methylphenidate N (%)**</w:t>
            </w:r>
          </w:p>
        </w:tc>
        <w:tc>
          <w:tcPr>
            <w:tcW w:w="3118" w:type="dxa"/>
            <w:tcBorders>
              <w:bottom w:val="single" w:sz="4" w:space="0" w:color="auto"/>
            </w:tcBorders>
          </w:tcPr>
          <w:p w14:paraId="0F670623" w14:textId="5065FB3F" w:rsidR="00120E0E" w:rsidRPr="00734AB6" w:rsidRDefault="00120E0E" w:rsidP="0099584D">
            <w:pPr>
              <w:spacing w:line="360" w:lineRule="auto"/>
              <w:rPr>
                <w:rFonts w:asciiTheme="majorHAnsi" w:hAnsiTheme="majorHAnsi"/>
                <w:b/>
              </w:rPr>
            </w:pPr>
            <w:r w:rsidRPr="00734AB6">
              <w:rPr>
                <w:rFonts w:asciiTheme="majorHAnsi" w:hAnsiTheme="majorHAnsi"/>
                <w:b/>
              </w:rPr>
              <w:t>Modafinil and Methylphenidate N (%)***</w:t>
            </w:r>
          </w:p>
        </w:tc>
      </w:tr>
      <w:tr w:rsidR="00120E0E" w:rsidRPr="00734AB6" w14:paraId="08A1A328" w14:textId="77777777" w:rsidTr="00120E0E">
        <w:trPr>
          <w:trHeight w:val="559"/>
        </w:trPr>
        <w:tc>
          <w:tcPr>
            <w:tcW w:w="7938" w:type="dxa"/>
            <w:gridSpan w:val="4"/>
            <w:tcBorders>
              <w:bottom w:val="single" w:sz="4" w:space="0" w:color="auto"/>
            </w:tcBorders>
          </w:tcPr>
          <w:p w14:paraId="6E20E235" w14:textId="626D5F29" w:rsidR="00120E0E" w:rsidRPr="00734AB6" w:rsidRDefault="00120E0E" w:rsidP="0099584D">
            <w:pPr>
              <w:spacing w:line="360" w:lineRule="auto"/>
              <w:rPr>
                <w:rFonts w:asciiTheme="majorHAnsi" w:hAnsiTheme="majorHAnsi"/>
                <w:b/>
              </w:rPr>
            </w:pPr>
            <w:r w:rsidRPr="00734AB6">
              <w:rPr>
                <w:rFonts w:asciiTheme="majorHAnsi" w:eastAsia="Calibri" w:hAnsiTheme="majorHAnsi" w:cs="Calibri"/>
                <w:b/>
              </w:rPr>
              <w:t>LIFETIME USE</w:t>
            </w:r>
          </w:p>
        </w:tc>
      </w:tr>
      <w:tr w:rsidR="00120E0E" w:rsidRPr="00734AB6" w14:paraId="24A6D432" w14:textId="77777777" w:rsidTr="00120E0E">
        <w:tc>
          <w:tcPr>
            <w:tcW w:w="1560" w:type="dxa"/>
            <w:tcBorders>
              <w:bottom w:val="nil"/>
            </w:tcBorders>
          </w:tcPr>
          <w:p w14:paraId="3BFCF479"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Cannabis</w:t>
            </w:r>
          </w:p>
        </w:tc>
        <w:tc>
          <w:tcPr>
            <w:tcW w:w="1417" w:type="dxa"/>
            <w:tcBorders>
              <w:bottom w:val="nil"/>
            </w:tcBorders>
          </w:tcPr>
          <w:p w14:paraId="723B8F9C"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180 (53.57)</w:t>
            </w:r>
          </w:p>
        </w:tc>
        <w:tc>
          <w:tcPr>
            <w:tcW w:w="1843" w:type="dxa"/>
            <w:tcBorders>
              <w:bottom w:val="nil"/>
            </w:tcBorders>
          </w:tcPr>
          <w:p w14:paraId="720142B6"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96 (28.57)</w:t>
            </w:r>
          </w:p>
        </w:tc>
        <w:tc>
          <w:tcPr>
            <w:tcW w:w="3118" w:type="dxa"/>
            <w:tcBorders>
              <w:bottom w:val="nil"/>
            </w:tcBorders>
          </w:tcPr>
          <w:p w14:paraId="356947D0"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265 (78.87)</w:t>
            </w:r>
          </w:p>
        </w:tc>
      </w:tr>
      <w:tr w:rsidR="00120E0E" w:rsidRPr="00734AB6" w14:paraId="6D629871" w14:textId="77777777" w:rsidTr="00120E0E">
        <w:tc>
          <w:tcPr>
            <w:tcW w:w="1560" w:type="dxa"/>
            <w:tcBorders>
              <w:top w:val="nil"/>
              <w:bottom w:val="nil"/>
            </w:tcBorders>
          </w:tcPr>
          <w:p w14:paraId="2F274B5F"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Cocaine</w:t>
            </w:r>
          </w:p>
        </w:tc>
        <w:tc>
          <w:tcPr>
            <w:tcW w:w="1417" w:type="dxa"/>
            <w:tcBorders>
              <w:top w:val="nil"/>
              <w:bottom w:val="nil"/>
            </w:tcBorders>
          </w:tcPr>
          <w:p w14:paraId="118340C0"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89 (26.49)</w:t>
            </w:r>
          </w:p>
        </w:tc>
        <w:tc>
          <w:tcPr>
            <w:tcW w:w="1843" w:type="dxa"/>
            <w:tcBorders>
              <w:top w:val="nil"/>
              <w:bottom w:val="nil"/>
            </w:tcBorders>
          </w:tcPr>
          <w:p w14:paraId="7357B2EE"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58 (17.28)</w:t>
            </w:r>
          </w:p>
        </w:tc>
        <w:tc>
          <w:tcPr>
            <w:tcW w:w="3118" w:type="dxa"/>
            <w:tcBorders>
              <w:top w:val="nil"/>
              <w:bottom w:val="nil"/>
            </w:tcBorders>
          </w:tcPr>
          <w:p w14:paraId="0678429C"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116 (34.52)</w:t>
            </w:r>
          </w:p>
        </w:tc>
      </w:tr>
      <w:tr w:rsidR="00120E0E" w:rsidRPr="00734AB6" w14:paraId="2B20095F" w14:textId="77777777" w:rsidTr="00120E0E">
        <w:tc>
          <w:tcPr>
            <w:tcW w:w="1560" w:type="dxa"/>
            <w:tcBorders>
              <w:top w:val="nil"/>
              <w:bottom w:val="nil"/>
            </w:tcBorders>
          </w:tcPr>
          <w:p w14:paraId="7A7F05D5"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Speed</w:t>
            </w:r>
          </w:p>
        </w:tc>
        <w:tc>
          <w:tcPr>
            <w:tcW w:w="1417" w:type="dxa"/>
            <w:tcBorders>
              <w:top w:val="nil"/>
              <w:bottom w:val="nil"/>
            </w:tcBorders>
          </w:tcPr>
          <w:p w14:paraId="760FB409"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98 (29.17)</w:t>
            </w:r>
          </w:p>
        </w:tc>
        <w:tc>
          <w:tcPr>
            <w:tcW w:w="1843" w:type="dxa"/>
            <w:tcBorders>
              <w:top w:val="nil"/>
              <w:bottom w:val="nil"/>
            </w:tcBorders>
          </w:tcPr>
          <w:p w14:paraId="537AC09E"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76 (22.61)</w:t>
            </w:r>
          </w:p>
        </w:tc>
        <w:tc>
          <w:tcPr>
            <w:tcW w:w="3118" w:type="dxa"/>
            <w:tcBorders>
              <w:top w:val="nil"/>
              <w:bottom w:val="nil"/>
            </w:tcBorders>
          </w:tcPr>
          <w:p w14:paraId="273C5746"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127 (37.80)</w:t>
            </w:r>
          </w:p>
        </w:tc>
      </w:tr>
      <w:tr w:rsidR="00120E0E" w:rsidRPr="00734AB6" w14:paraId="7BEC22AB" w14:textId="77777777" w:rsidTr="00120E0E">
        <w:tc>
          <w:tcPr>
            <w:tcW w:w="1560" w:type="dxa"/>
            <w:tcBorders>
              <w:top w:val="nil"/>
            </w:tcBorders>
          </w:tcPr>
          <w:p w14:paraId="07145330"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MDMA</w:t>
            </w:r>
          </w:p>
        </w:tc>
        <w:tc>
          <w:tcPr>
            <w:tcW w:w="1417" w:type="dxa"/>
            <w:tcBorders>
              <w:top w:val="nil"/>
            </w:tcBorders>
          </w:tcPr>
          <w:p w14:paraId="31C80B77"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103 (30.66)</w:t>
            </w:r>
          </w:p>
        </w:tc>
        <w:tc>
          <w:tcPr>
            <w:tcW w:w="1843" w:type="dxa"/>
            <w:tcBorders>
              <w:top w:val="nil"/>
            </w:tcBorders>
          </w:tcPr>
          <w:p w14:paraId="626CA274"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 xml:space="preserve"> 66 (19.64)</w:t>
            </w:r>
          </w:p>
        </w:tc>
        <w:tc>
          <w:tcPr>
            <w:tcW w:w="3118" w:type="dxa"/>
            <w:tcBorders>
              <w:top w:val="nil"/>
            </w:tcBorders>
          </w:tcPr>
          <w:p w14:paraId="7CA12E41"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137 (40.77)</w:t>
            </w:r>
          </w:p>
        </w:tc>
      </w:tr>
      <w:tr w:rsidR="00120E0E" w:rsidRPr="00734AB6" w14:paraId="34ACA51A" w14:textId="77777777" w:rsidTr="00120E0E">
        <w:tc>
          <w:tcPr>
            <w:tcW w:w="7938" w:type="dxa"/>
            <w:gridSpan w:val="4"/>
            <w:tcBorders>
              <w:bottom w:val="single" w:sz="4" w:space="0" w:color="auto"/>
            </w:tcBorders>
          </w:tcPr>
          <w:p w14:paraId="3DBDABCF" w14:textId="5E22A5D4"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b/>
              </w:rPr>
              <w:t>PAST YEAR USE</w:t>
            </w:r>
          </w:p>
        </w:tc>
      </w:tr>
      <w:tr w:rsidR="00120E0E" w:rsidRPr="00734AB6" w14:paraId="207A81AF" w14:textId="77777777" w:rsidTr="00120E0E">
        <w:tc>
          <w:tcPr>
            <w:tcW w:w="1560" w:type="dxa"/>
            <w:tcBorders>
              <w:bottom w:val="nil"/>
            </w:tcBorders>
          </w:tcPr>
          <w:p w14:paraId="5E46B035"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Cannabis</w:t>
            </w:r>
          </w:p>
        </w:tc>
        <w:tc>
          <w:tcPr>
            <w:tcW w:w="1417" w:type="dxa"/>
            <w:tcBorders>
              <w:bottom w:val="nil"/>
            </w:tcBorders>
          </w:tcPr>
          <w:p w14:paraId="58E2D252"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112 (33.33)</w:t>
            </w:r>
          </w:p>
        </w:tc>
        <w:tc>
          <w:tcPr>
            <w:tcW w:w="1843" w:type="dxa"/>
            <w:tcBorders>
              <w:bottom w:val="nil"/>
            </w:tcBorders>
          </w:tcPr>
          <w:p w14:paraId="10AB714E"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58 (17.28)</w:t>
            </w:r>
          </w:p>
        </w:tc>
        <w:tc>
          <w:tcPr>
            <w:tcW w:w="3118" w:type="dxa"/>
            <w:tcBorders>
              <w:bottom w:val="nil"/>
            </w:tcBorders>
          </w:tcPr>
          <w:p w14:paraId="1C2664D3"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158 (47.02)</w:t>
            </w:r>
          </w:p>
        </w:tc>
      </w:tr>
      <w:tr w:rsidR="00120E0E" w:rsidRPr="00734AB6" w14:paraId="1C346B5E" w14:textId="77777777" w:rsidTr="00120E0E">
        <w:tc>
          <w:tcPr>
            <w:tcW w:w="1560" w:type="dxa"/>
            <w:tcBorders>
              <w:top w:val="nil"/>
              <w:bottom w:val="nil"/>
            </w:tcBorders>
          </w:tcPr>
          <w:p w14:paraId="16CDCF39"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Cocaine</w:t>
            </w:r>
          </w:p>
        </w:tc>
        <w:tc>
          <w:tcPr>
            <w:tcW w:w="1417" w:type="dxa"/>
            <w:tcBorders>
              <w:top w:val="nil"/>
              <w:bottom w:val="nil"/>
            </w:tcBorders>
          </w:tcPr>
          <w:p w14:paraId="70937D78"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35 (10.42)</w:t>
            </w:r>
          </w:p>
        </w:tc>
        <w:tc>
          <w:tcPr>
            <w:tcW w:w="1843" w:type="dxa"/>
            <w:tcBorders>
              <w:top w:val="nil"/>
              <w:bottom w:val="nil"/>
            </w:tcBorders>
          </w:tcPr>
          <w:p w14:paraId="65415489"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23 (6.85)</w:t>
            </w:r>
          </w:p>
        </w:tc>
        <w:tc>
          <w:tcPr>
            <w:tcW w:w="3118" w:type="dxa"/>
            <w:tcBorders>
              <w:top w:val="nil"/>
              <w:bottom w:val="nil"/>
            </w:tcBorders>
          </w:tcPr>
          <w:p w14:paraId="1654F3FF"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42 (12.50)</w:t>
            </w:r>
          </w:p>
        </w:tc>
      </w:tr>
      <w:tr w:rsidR="00120E0E" w:rsidRPr="00734AB6" w14:paraId="181324B8" w14:textId="77777777" w:rsidTr="00120E0E">
        <w:tc>
          <w:tcPr>
            <w:tcW w:w="1560" w:type="dxa"/>
            <w:tcBorders>
              <w:top w:val="nil"/>
              <w:bottom w:val="nil"/>
            </w:tcBorders>
          </w:tcPr>
          <w:p w14:paraId="2207BE95"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Speed</w:t>
            </w:r>
          </w:p>
        </w:tc>
        <w:tc>
          <w:tcPr>
            <w:tcW w:w="1417" w:type="dxa"/>
            <w:tcBorders>
              <w:top w:val="nil"/>
              <w:bottom w:val="nil"/>
            </w:tcBorders>
          </w:tcPr>
          <w:p w14:paraId="1E270DE8"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45 (13.39)</w:t>
            </w:r>
          </w:p>
        </w:tc>
        <w:tc>
          <w:tcPr>
            <w:tcW w:w="1843" w:type="dxa"/>
            <w:tcBorders>
              <w:top w:val="nil"/>
              <w:bottom w:val="nil"/>
            </w:tcBorders>
          </w:tcPr>
          <w:p w14:paraId="5B4D4476"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42 (12.50)</w:t>
            </w:r>
          </w:p>
        </w:tc>
        <w:tc>
          <w:tcPr>
            <w:tcW w:w="3118" w:type="dxa"/>
            <w:tcBorders>
              <w:top w:val="nil"/>
              <w:bottom w:val="nil"/>
            </w:tcBorders>
          </w:tcPr>
          <w:p w14:paraId="3E485223"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66 (19.64)</w:t>
            </w:r>
          </w:p>
        </w:tc>
      </w:tr>
      <w:tr w:rsidR="00120E0E" w:rsidRPr="00734AB6" w14:paraId="12CDA758" w14:textId="77777777" w:rsidTr="00120E0E">
        <w:trPr>
          <w:trHeight w:val="275"/>
        </w:trPr>
        <w:tc>
          <w:tcPr>
            <w:tcW w:w="1560" w:type="dxa"/>
            <w:tcBorders>
              <w:top w:val="nil"/>
            </w:tcBorders>
          </w:tcPr>
          <w:p w14:paraId="31746D34" w14:textId="77777777" w:rsidR="00120E0E" w:rsidRPr="00734AB6" w:rsidRDefault="00120E0E" w:rsidP="0099584D">
            <w:pPr>
              <w:spacing w:line="360" w:lineRule="auto"/>
              <w:rPr>
                <w:rFonts w:asciiTheme="majorHAnsi" w:eastAsia="Calibri" w:hAnsiTheme="majorHAnsi" w:cs="Calibri"/>
                <w:b/>
              </w:rPr>
            </w:pPr>
            <w:r w:rsidRPr="00734AB6">
              <w:rPr>
                <w:rFonts w:asciiTheme="majorHAnsi" w:eastAsia="Calibri" w:hAnsiTheme="majorHAnsi" w:cs="Calibri"/>
                <w:b/>
              </w:rPr>
              <w:t>MDMA</w:t>
            </w:r>
          </w:p>
        </w:tc>
        <w:tc>
          <w:tcPr>
            <w:tcW w:w="1417" w:type="dxa"/>
            <w:tcBorders>
              <w:top w:val="nil"/>
            </w:tcBorders>
          </w:tcPr>
          <w:p w14:paraId="5A8E2CDF"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49 (14.58)</w:t>
            </w:r>
          </w:p>
        </w:tc>
        <w:tc>
          <w:tcPr>
            <w:tcW w:w="1843" w:type="dxa"/>
            <w:tcBorders>
              <w:top w:val="nil"/>
            </w:tcBorders>
          </w:tcPr>
          <w:p w14:paraId="1B5C3DB5" w14:textId="77777777" w:rsidR="00120E0E" w:rsidRPr="00734AB6" w:rsidRDefault="00120E0E" w:rsidP="0099584D">
            <w:pPr>
              <w:spacing w:line="360" w:lineRule="auto"/>
              <w:rPr>
                <w:rFonts w:asciiTheme="majorHAnsi" w:eastAsia="Calibri" w:hAnsiTheme="majorHAnsi" w:cs="Calibri"/>
              </w:rPr>
            </w:pPr>
            <w:r w:rsidRPr="00734AB6">
              <w:rPr>
                <w:rFonts w:asciiTheme="majorHAnsi" w:eastAsia="Calibri" w:hAnsiTheme="majorHAnsi" w:cs="Calibri"/>
              </w:rPr>
              <w:t>32 (9.52)</w:t>
            </w:r>
          </w:p>
        </w:tc>
        <w:tc>
          <w:tcPr>
            <w:tcW w:w="3118" w:type="dxa"/>
            <w:tcBorders>
              <w:top w:val="nil"/>
            </w:tcBorders>
          </w:tcPr>
          <w:p w14:paraId="3CB8024D" w14:textId="77777777" w:rsidR="00120E0E" w:rsidRPr="00734AB6" w:rsidRDefault="00120E0E" w:rsidP="0099584D">
            <w:pPr>
              <w:tabs>
                <w:tab w:val="left" w:pos="993"/>
              </w:tabs>
              <w:spacing w:line="360" w:lineRule="auto"/>
              <w:rPr>
                <w:rFonts w:asciiTheme="majorHAnsi" w:hAnsiTheme="majorHAnsi"/>
              </w:rPr>
            </w:pPr>
            <w:r w:rsidRPr="00734AB6">
              <w:rPr>
                <w:rFonts w:asciiTheme="majorHAnsi" w:hAnsiTheme="majorHAnsi"/>
              </w:rPr>
              <w:t>64 (19.05)</w:t>
            </w:r>
          </w:p>
        </w:tc>
      </w:tr>
    </w:tbl>
    <w:p w14:paraId="7699A153"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The modafinil group represents all respondents who reported modafinil usage</w:t>
      </w:r>
    </w:p>
    <w:p w14:paraId="7ECEDC7E"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The methylphenidate group represents all respondents who reported methylphenidate usage</w:t>
      </w:r>
    </w:p>
    <w:p w14:paraId="60EDCAFA" w14:textId="77777777" w:rsidR="004676EF" w:rsidRPr="00734AB6" w:rsidRDefault="004676EF" w:rsidP="0099584D">
      <w:pPr>
        <w:tabs>
          <w:tab w:val="left" w:pos="426"/>
        </w:tabs>
        <w:spacing w:line="360" w:lineRule="auto"/>
        <w:ind w:left="426" w:hanging="426"/>
        <w:rPr>
          <w:rFonts w:asciiTheme="majorHAnsi" w:hAnsiTheme="majorHAnsi"/>
        </w:rPr>
      </w:pPr>
      <w:r w:rsidRPr="00734AB6">
        <w:rPr>
          <w:rFonts w:asciiTheme="majorHAnsi" w:hAnsiTheme="majorHAnsi"/>
        </w:rPr>
        <w:t>***</w:t>
      </w:r>
      <w:r w:rsidRPr="00734AB6">
        <w:rPr>
          <w:rFonts w:asciiTheme="majorHAnsi" w:hAnsiTheme="majorHAnsi"/>
        </w:rPr>
        <w:tab/>
        <w:t>The modafinil and methylphenidate group represent all respondents who reported either modafinil or methylphenidate usage.</w:t>
      </w:r>
    </w:p>
    <w:p w14:paraId="1D90C6BE" w14:textId="77777777" w:rsidR="004676EF" w:rsidRPr="00734AB6" w:rsidRDefault="004676EF" w:rsidP="0099584D">
      <w:pPr>
        <w:tabs>
          <w:tab w:val="left" w:pos="426"/>
        </w:tabs>
        <w:spacing w:line="360" w:lineRule="auto"/>
        <w:ind w:left="426" w:hanging="426"/>
        <w:rPr>
          <w:rFonts w:asciiTheme="majorHAnsi" w:hAnsiTheme="majorHAnsi"/>
        </w:rPr>
      </w:pPr>
    </w:p>
    <w:p w14:paraId="1ACD4E02" w14:textId="77777777" w:rsidR="00E8216D" w:rsidRPr="00734AB6" w:rsidRDefault="00E8216D">
      <w:pPr>
        <w:rPr>
          <w:b/>
          <w:color w:val="000000" w:themeColor="text1"/>
        </w:rPr>
      </w:pPr>
      <w:bookmarkStart w:id="129" w:name="_Toc45200519"/>
    </w:p>
    <w:p w14:paraId="51367359" w14:textId="77777777" w:rsidR="00E8216D" w:rsidRPr="00734AB6" w:rsidRDefault="00E8216D" w:rsidP="00E8216D">
      <w:pPr>
        <w:pBdr>
          <w:top w:val="double" w:sz="4" w:space="1" w:color="auto"/>
        </w:pBdr>
        <w:rPr>
          <w:b/>
          <w:color w:val="000000" w:themeColor="text1"/>
        </w:rPr>
      </w:pPr>
    </w:p>
    <w:p w14:paraId="05F81F16" w14:textId="77777777" w:rsidR="00E8216D" w:rsidRPr="00734AB6" w:rsidRDefault="00E8216D">
      <w:pPr>
        <w:rPr>
          <w:rFonts w:asciiTheme="majorHAnsi" w:eastAsiaTheme="majorEastAsia" w:hAnsiTheme="majorHAnsi" w:cstheme="majorBidi"/>
          <w:b/>
          <w:color w:val="000000" w:themeColor="text1"/>
        </w:rPr>
      </w:pPr>
      <w:r w:rsidRPr="00734AB6">
        <w:rPr>
          <w:b/>
          <w:color w:val="000000" w:themeColor="text1"/>
        </w:rPr>
        <w:br w:type="page"/>
      </w:r>
    </w:p>
    <w:p w14:paraId="56252C68" w14:textId="03844FDA" w:rsidR="004676EF" w:rsidRPr="00734AB6" w:rsidRDefault="004676EF" w:rsidP="0045410B">
      <w:pPr>
        <w:pStyle w:val="Heading2"/>
        <w:spacing w:before="0" w:line="360" w:lineRule="auto"/>
        <w:rPr>
          <w:b/>
          <w:color w:val="000000" w:themeColor="text1"/>
          <w:sz w:val="22"/>
          <w:szCs w:val="22"/>
        </w:rPr>
      </w:pPr>
      <w:bookmarkStart w:id="130" w:name="_Toc48136412"/>
      <w:r w:rsidRPr="00734AB6">
        <w:rPr>
          <w:b/>
          <w:color w:val="000000" w:themeColor="text1"/>
          <w:sz w:val="22"/>
          <w:szCs w:val="22"/>
        </w:rPr>
        <w:lastRenderedPageBreak/>
        <w:t>A(vii)</w:t>
      </w:r>
      <w:r w:rsidRPr="00734AB6">
        <w:rPr>
          <w:b/>
          <w:color w:val="000000" w:themeColor="text1"/>
          <w:sz w:val="22"/>
          <w:szCs w:val="22"/>
        </w:rPr>
        <w:tab/>
        <w:t>Other motivations for using modafinil and methylphenidate</w:t>
      </w:r>
      <w:bookmarkEnd w:id="129"/>
      <w:bookmarkEnd w:id="130"/>
    </w:p>
    <w:p w14:paraId="6B257343" w14:textId="77777777" w:rsidR="004676EF" w:rsidRPr="00734AB6" w:rsidRDefault="004676EF" w:rsidP="0045410B">
      <w:pPr>
        <w:spacing w:after="0" w:line="360" w:lineRule="auto"/>
        <w:rPr>
          <w:rFonts w:asciiTheme="majorHAnsi" w:hAnsiTheme="majorHAnsi"/>
        </w:rPr>
      </w:pPr>
    </w:p>
    <w:p w14:paraId="16C3B73F" w14:textId="42C2A122"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rPr>
        <w:t xml:space="preserve">Table </w:t>
      </w:r>
      <w:r w:rsidR="0013687B" w:rsidRPr="00734AB6">
        <w:rPr>
          <w:rFonts w:asciiTheme="majorHAnsi" w:hAnsiTheme="majorHAnsi"/>
          <w:b/>
        </w:rPr>
        <w:t>A.</w:t>
      </w:r>
      <w:r w:rsidRPr="00734AB6">
        <w:rPr>
          <w:rFonts w:asciiTheme="majorHAnsi" w:hAnsiTheme="majorHAnsi"/>
          <w:b/>
        </w:rPr>
        <w:t>2.</w:t>
      </w:r>
      <w:r w:rsidRPr="00734AB6">
        <w:rPr>
          <w:rFonts w:asciiTheme="majorHAnsi" w:hAnsiTheme="majorHAnsi"/>
          <w:b/>
        </w:rPr>
        <w:tab/>
        <w:t>Additional motivations for using modafinil and methylphenidate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632"/>
        <w:gridCol w:w="5015"/>
      </w:tblGrid>
      <w:tr w:rsidR="004676EF" w:rsidRPr="00734AB6" w14:paraId="77A3F44A" w14:textId="77777777" w:rsidTr="004676EF">
        <w:tc>
          <w:tcPr>
            <w:tcW w:w="3681" w:type="dxa"/>
            <w:tcBorders>
              <w:bottom w:val="single" w:sz="4" w:space="0" w:color="auto"/>
            </w:tcBorders>
          </w:tcPr>
          <w:p w14:paraId="6D59A08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Modafinil</w:t>
            </w:r>
          </w:p>
        </w:tc>
        <w:tc>
          <w:tcPr>
            <w:tcW w:w="5096" w:type="dxa"/>
            <w:tcBorders>
              <w:bottom w:val="single" w:sz="4" w:space="0" w:color="auto"/>
            </w:tcBorders>
          </w:tcPr>
          <w:p w14:paraId="22718264"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Methylphenidate</w:t>
            </w:r>
          </w:p>
        </w:tc>
      </w:tr>
      <w:tr w:rsidR="004676EF" w:rsidRPr="00734AB6" w14:paraId="659558C0" w14:textId="77777777" w:rsidTr="004676EF">
        <w:tc>
          <w:tcPr>
            <w:tcW w:w="3681" w:type="dxa"/>
            <w:tcBorders>
              <w:bottom w:val="nil"/>
            </w:tcBorders>
          </w:tcPr>
          <w:p w14:paraId="67DFC366" w14:textId="77777777" w:rsidR="004676EF" w:rsidRPr="00734AB6" w:rsidRDefault="004676EF" w:rsidP="0099584D">
            <w:pPr>
              <w:spacing w:line="360" w:lineRule="auto"/>
              <w:rPr>
                <w:rFonts w:asciiTheme="majorHAnsi" w:hAnsiTheme="majorHAnsi"/>
              </w:rPr>
            </w:pPr>
            <w:r w:rsidRPr="00734AB6">
              <w:rPr>
                <w:rFonts w:asciiTheme="majorHAnsi" w:hAnsiTheme="majorHAnsi"/>
              </w:rPr>
              <w:t>Depression</w:t>
            </w:r>
          </w:p>
        </w:tc>
        <w:tc>
          <w:tcPr>
            <w:tcW w:w="5096" w:type="dxa"/>
            <w:tcBorders>
              <w:bottom w:val="nil"/>
            </w:tcBorders>
          </w:tcPr>
          <w:p w14:paraId="0E581E76" w14:textId="77777777" w:rsidR="004676EF" w:rsidRPr="00734AB6" w:rsidRDefault="004676EF" w:rsidP="0099584D">
            <w:pPr>
              <w:spacing w:line="360" w:lineRule="auto"/>
              <w:rPr>
                <w:rFonts w:asciiTheme="majorHAnsi" w:hAnsiTheme="majorHAnsi"/>
              </w:rPr>
            </w:pPr>
            <w:r w:rsidRPr="00734AB6">
              <w:rPr>
                <w:rFonts w:asciiTheme="majorHAnsi" w:hAnsiTheme="majorHAnsi"/>
              </w:rPr>
              <w:t>Depression</w:t>
            </w:r>
          </w:p>
        </w:tc>
      </w:tr>
      <w:tr w:rsidR="004676EF" w:rsidRPr="00734AB6" w14:paraId="056D01BB" w14:textId="77777777" w:rsidTr="004676EF">
        <w:tc>
          <w:tcPr>
            <w:tcW w:w="3681" w:type="dxa"/>
            <w:tcBorders>
              <w:top w:val="nil"/>
              <w:bottom w:val="nil"/>
            </w:tcBorders>
          </w:tcPr>
          <w:p w14:paraId="2D7AAD52" w14:textId="77777777" w:rsidR="004676EF" w:rsidRPr="00734AB6" w:rsidRDefault="004676EF" w:rsidP="0099584D">
            <w:pPr>
              <w:spacing w:line="360" w:lineRule="auto"/>
              <w:rPr>
                <w:rFonts w:asciiTheme="majorHAnsi" w:hAnsiTheme="majorHAnsi"/>
              </w:rPr>
            </w:pPr>
            <w:r w:rsidRPr="00734AB6">
              <w:rPr>
                <w:rFonts w:asciiTheme="majorHAnsi" w:hAnsiTheme="majorHAnsi"/>
              </w:rPr>
              <w:t>Wakefulness after late nights</w:t>
            </w:r>
          </w:p>
        </w:tc>
        <w:tc>
          <w:tcPr>
            <w:tcW w:w="5096" w:type="dxa"/>
            <w:tcBorders>
              <w:top w:val="nil"/>
              <w:bottom w:val="nil"/>
            </w:tcBorders>
          </w:tcPr>
          <w:p w14:paraId="5657E806" w14:textId="77777777" w:rsidR="004676EF" w:rsidRPr="00734AB6" w:rsidRDefault="004676EF" w:rsidP="0099584D">
            <w:pPr>
              <w:spacing w:line="360" w:lineRule="auto"/>
              <w:rPr>
                <w:rFonts w:asciiTheme="majorHAnsi" w:hAnsiTheme="majorHAnsi"/>
              </w:rPr>
            </w:pPr>
            <w:r w:rsidRPr="00734AB6">
              <w:rPr>
                <w:rFonts w:asciiTheme="majorHAnsi" w:hAnsiTheme="majorHAnsi"/>
              </w:rPr>
              <w:t>wakefulness</w:t>
            </w:r>
          </w:p>
        </w:tc>
      </w:tr>
      <w:tr w:rsidR="004676EF" w:rsidRPr="00734AB6" w14:paraId="62A6FAAA" w14:textId="77777777" w:rsidTr="004676EF">
        <w:tc>
          <w:tcPr>
            <w:tcW w:w="3681" w:type="dxa"/>
            <w:tcBorders>
              <w:top w:val="nil"/>
              <w:bottom w:val="nil"/>
            </w:tcBorders>
          </w:tcPr>
          <w:p w14:paraId="41E8045A"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Fatigue </w:t>
            </w:r>
          </w:p>
        </w:tc>
        <w:tc>
          <w:tcPr>
            <w:tcW w:w="5096" w:type="dxa"/>
            <w:tcBorders>
              <w:top w:val="nil"/>
              <w:bottom w:val="nil"/>
            </w:tcBorders>
          </w:tcPr>
          <w:p w14:paraId="7CFBCAFB" w14:textId="77777777" w:rsidR="004676EF" w:rsidRPr="00734AB6" w:rsidRDefault="004676EF" w:rsidP="0099584D">
            <w:pPr>
              <w:spacing w:line="360" w:lineRule="auto"/>
              <w:rPr>
                <w:rFonts w:asciiTheme="majorHAnsi" w:hAnsiTheme="majorHAnsi"/>
              </w:rPr>
            </w:pPr>
            <w:r w:rsidRPr="00734AB6">
              <w:rPr>
                <w:rFonts w:asciiTheme="majorHAnsi" w:hAnsiTheme="majorHAnsi"/>
              </w:rPr>
              <w:t>Energy booster</w:t>
            </w:r>
          </w:p>
        </w:tc>
      </w:tr>
      <w:tr w:rsidR="004676EF" w:rsidRPr="00734AB6" w14:paraId="0DC6D3C3" w14:textId="77777777" w:rsidTr="004676EF">
        <w:tc>
          <w:tcPr>
            <w:tcW w:w="3681" w:type="dxa"/>
            <w:tcBorders>
              <w:top w:val="nil"/>
              <w:bottom w:val="nil"/>
            </w:tcBorders>
          </w:tcPr>
          <w:p w14:paraId="3AEB32C9" w14:textId="77777777" w:rsidR="004676EF" w:rsidRPr="00734AB6" w:rsidRDefault="004676EF" w:rsidP="0099584D">
            <w:pPr>
              <w:spacing w:line="360" w:lineRule="auto"/>
              <w:rPr>
                <w:rFonts w:asciiTheme="majorHAnsi" w:hAnsiTheme="majorHAnsi"/>
              </w:rPr>
            </w:pPr>
            <w:r w:rsidRPr="00734AB6">
              <w:rPr>
                <w:rFonts w:asciiTheme="majorHAnsi" w:hAnsiTheme="majorHAnsi"/>
              </w:rPr>
              <w:t>Self-development and productivity</w:t>
            </w:r>
          </w:p>
        </w:tc>
        <w:tc>
          <w:tcPr>
            <w:tcW w:w="5096" w:type="dxa"/>
            <w:tcBorders>
              <w:top w:val="nil"/>
              <w:bottom w:val="nil"/>
            </w:tcBorders>
          </w:tcPr>
          <w:p w14:paraId="6C08197D" w14:textId="77777777" w:rsidR="004676EF" w:rsidRPr="00734AB6" w:rsidRDefault="004676EF" w:rsidP="0099584D">
            <w:pPr>
              <w:spacing w:line="360" w:lineRule="auto"/>
              <w:rPr>
                <w:rFonts w:asciiTheme="majorHAnsi" w:hAnsiTheme="majorHAnsi"/>
              </w:rPr>
            </w:pPr>
            <w:r w:rsidRPr="00734AB6">
              <w:rPr>
                <w:rFonts w:asciiTheme="majorHAnsi" w:hAnsiTheme="majorHAnsi"/>
              </w:rPr>
              <w:t>Partying and studying</w:t>
            </w:r>
          </w:p>
        </w:tc>
      </w:tr>
      <w:tr w:rsidR="004676EF" w:rsidRPr="00734AB6" w14:paraId="343C8913" w14:textId="77777777" w:rsidTr="004676EF">
        <w:tc>
          <w:tcPr>
            <w:tcW w:w="3681" w:type="dxa"/>
            <w:tcBorders>
              <w:top w:val="nil"/>
              <w:bottom w:val="nil"/>
            </w:tcBorders>
          </w:tcPr>
          <w:p w14:paraId="1FB6A35A" w14:textId="77777777" w:rsidR="004676EF" w:rsidRPr="00734AB6" w:rsidRDefault="004676EF" w:rsidP="0099584D">
            <w:pPr>
              <w:spacing w:line="360" w:lineRule="auto"/>
              <w:rPr>
                <w:rFonts w:asciiTheme="majorHAnsi" w:hAnsiTheme="majorHAnsi"/>
              </w:rPr>
            </w:pPr>
            <w:r w:rsidRPr="00734AB6">
              <w:rPr>
                <w:rFonts w:asciiTheme="majorHAnsi" w:hAnsiTheme="majorHAnsi"/>
              </w:rPr>
              <w:t>Experimentation</w:t>
            </w:r>
          </w:p>
        </w:tc>
        <w:tc>
          <w:tcPr>
            <w:tcW w:w="5096" w:type="dxa"/>
            <w:tcBorders>
              <w:top w:val="nil"/>
              <w:bottom w:val="nil"/>
            </w:tcBorders>
          </w:tcPr>
          <w:p w14:paraId="3CA5806C" w14:textId="77777777" w:rsidR="004676EF" w:rsidRPr="00734AB6" w:rsidRDefault="004676EF" w:rsidP="0099584D">
            <w:pPr>
              <w:spacing w:line="360" w:lineRule="auto"/>
              <w:rPr>
                <w:rFonts w:asciiTheme="majorHAnsi" w:hAnsiTheme="majorHAnsi"/>
              </w:rPr>
            </w:pPr>
            <w:r w:rsidRPr="00734AB6">
              <w:rPr>
                <w:rFonts w:asciiTheme="majorHAnsi" w:hAnsiTheme="majorHAnsi"/>
              </w:rPr>
              <w:t>Euphoria and sex</w:t>
            </w:r>
          </w:p>
        </w:tc>
      </w:tr>
      <w:tr w:rsidR="004676EF" w:rsidRPr="00734AB6" w14:paraId="051BC0FA" w14:textId="77777777" w:rsidTr="004676EF">
        <w:tc>
          <w:tcPr>
            <w:tcW w:w="3681" w:type="dxa"/>
            <w:tcBorders>
              <w:top w:val="nil"/>
              <w:bottom w:val="nil"/>
            </w:tcBorders>
          </w:tcPr>
          <w:p w14:paraId="11636F94" w14:textId="77777777" w:rsidR="004676EF" w:rsidRPr="00734AB6" w:rsidRDefault="004676EF" w:rsidP="0099584D">
            <w:pPr>
              <w:spacing w:line="360" w:lineRule="auto"/>
              <w:rPr>
                <w:rFonts w:asciiTheme="majorHAnsi" w:hAnsiTheme="majorHAnsi"/>
              </w:rPr>
            </w:pPr>
            <w:r w:rsidRPr="00734AB6">
              <w:rPr>
                <w:rFonts w:asciiTheme="majorHAnsi" w:hAnsiTheme="majorHAnsi"/>
              </w:rPr>
              <w:t>To write articulately</w:t>
            </w:r>
          </w:p>
        </w:tc>
        <w:tc>
          <w:tcPr>
            <w:tcW w:w="5096" w:type="dxa"/>
            <w:tcBorders>
              <w:top w:val="nil"/>
              <w:bottom w:val="nil"/>
            </w:tcBorders>
          </w:tcPr>
          <w:p w14:paraId="2EBC33CB" w14:textId="77777777" w:rsidR="004676EF" w:rsidRPr="00734AB6" w:rsidRDefault="004676EF" w:rsidP="0099584D">
            <w:pPr>
              <w:spacing w:line="360" w:lineRule="auto"/>
              <w:rPr>
                <w:rFonts w:asciiTheme="majorHAnsi" w:hAnsiTheme="majorHAnsi"/>
              </w:rPr>
            </w:pPr>
            <w:r w:rsidRPr="00734AB6">
              <w:rPr>
                <w:rFonts w:asciiTheme="majorHAnsi" w:hAnsiTheme="majorHAnsi"/>
              </w:rPr>
              <w:t>Recreation/ fun</w:t>
            </w:r>
          </w:p>
        </w:tc>
      </w:tr>
      <w:tr w:rsidR="004676EF" w:rsidRPr="00734AB6" w14:paraId="4FFADB1A" w14:textId="77777777" w:rsidTr="004676EF">
        <w:tc>
          <w:tcPr>
            <w:tcW w:w="3681" w:type="dxa"/>
            <w:tcBorders>
              <w:top w:val="nil"/>
              <w:bottom w:val="nil"/>
            </w:tcBorders>
          </w:tcPr>
          <w:p w14:paraId="14C6DC36"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Alertness </w:t>
            </w:r>
          </w:p>
        </w:tc>
        <w:tc>
          <w:tcPr>
            <w:tcW w:w="5096" w:type="dxa"/>
            <w:tcBorders>
              <w:top w:val="nil"/>
              <w:bottom w:val="nil"/>
            </w:tcBorders>
          </w:tcPr>
          <w:p w14:paraId="2BFACF99" w14:textId="77777777" w:rsidR="004676EF" w:rsidRPr="00734AB6" w:rsidRDefault="004676EF" w:rsidP="0099584D">
            <w:pPr>
              <w:spacing w:line="360" w:lineRule="auto"/>
              <w:rPr>
                <w:rFonts w:asciiTheme="majorHAnsi" w:hAnsiTheme="majorHAnsi"/>
              </w:rPr>
            </w:pPr>
            <w:r w:rsidRPr="00734AB6">
              <w:rPr>
                <w:rFonts w:asciiTheme="majorHAnsi" w:hAnsiTheme="majorHAnsi"/>
              </w:rPr>
              <w:t>To reduce the undesirable effects of oxycontin</w:t>
            </w:r>
          </w:p>
        </w:tc>
      </w:tr>
      <w:tr w:rsidR="004676EF" w:rsidRPr="00734AB6" w14:paraId="0E218AF5" w14:textId="77777777" w:rsidTr="004676EF">
        <w:tc>
          <w:tcPr>
            <w:tcW w:w="3681" w:type="dxa"/>
            <w:tcBorders>
              <w:top w:val="nil"/>
              <w:bottom w:val="nil"/>
            </w:tcBorders>
          </w:tcPr>
          <w:p w14:paraId="65B448F6" w14:textId="77777777" w:rsidR="004676EF" w:rsidRPr="00734AB6" w:rsidRDefault="004676EF" w:rsidP="0099584D">
            <w:pPr>
              <w:spacing w:line="360" w:lineRule="auto"/>
              <w:rPr>
                <w:rFonts w:asciiTheme="majorHAnsi" w:hAnsiTheme="majorHAnsi"/>
              </w:rPr>
            </w:pPr>
            <w:r w:rsidRPr="00734AB6">
              <w:rPr>
                <w:rFonts w:asciiTheme="majorHAnsi" w:hAnsiTheme="majorHAnsi"/>
              </w:rPr>
              <w:t>Multitasking – for clarity</w:t>
            </w:r>
          </w:p>
        </w:tc>
        <w:tc>
          <w:tcPr>
            <w:tcW w:w="5096" w:type="dxa"/>
            <w:tcBorders>
              <w:top w:val="nil"/>
              <w:bottom w:val="nil"/>
            </w:tcBorders>
          </w:tcPr>
          <w:p w14:paraId="5060015F" w14:textId="77777777" w:rsidR="004676EF" w:rsidRPr="00734AB6" w:rsidRDefault="004676EF" w:rsidP="0099584D">
            <w:pPr>
              <w:spacing w:line="360" w:lineRule="auto"/>
              <w:rPr>
                <w:rFonts w:asciiTheme="majorHAnsi" w:hAnsiTheme="majorHAnsi"/>
              </w:rPr>
            </w:pPr>
          </w:p>
        </w:tc>
      </w:tr>
      <w:tr w:rsidR="004676EF" w:rsidRPr="00734AB6" w14:paraId="19077C3B" w14:textId="77777777" w:rsidTr="004676EF">
        <w:tc>
          <w:tcPr>
            <w:tcW w:w="3681" w:type="dxa"/>
            <w:tcBorders>
              <w:top w:val="nil"/>
              <w:bottom w:val="nil"/>
            </w:tcBorders>
          </w:tcPr>
          <w:p w14:paraId="37DC8CA1" w14:textId="77777777" w:rsidR="004676EF" w:rsidRPr="00734AB6" w:rsidRDefault="004676EF" w:rsidP="0099584D">
            <w:pPr>
              <w:spacing w:line="360" w:lineRule="auto"/>
              <w:rPr>
                <w:rFonts w:asciiTheme="majorHAnsi" w:hAnsiTheme="majorHAnsi"/>
              </w:rPr>
            </w:pPr>
            <w:r w:rsidRPr="00734AB6">
              <w:rPr>
                <w:rFonts w:asciiTheme="majorHAnsi" w:hAnsiTheme="majorHAnsi"/>
              </w:rPr>
              <w:t>Weight loss</w:t>
            </w:r>
          </w:p>
        </w:tc>
        <w:tc>
          <w:tcPr>
            <w:tcW w:w="5096" w:type="dxa"/>
            <w:tcBorders>
              <w:top w:val="nil"/>
              <w:bottom w:val="nil"/>
            </w:tcBorders>
          </w:tcPr>
          <w:p w14:paraId="230BDC19" w14:textId="77777777" w:rsidR="004676EF" w:rsidRPr="00734AB6" w:rsidRDefault="004676EF" w:rsidP="0099584D">
            <w:pPr>
              <w:spacing w:line="360" w:lineRule="auto"/>
              <w:rPr>
                <w:rFonts w:asciiTheme="majorHAnsi" w:hAnsiTheme="majorHAnsi"/>
              </w:rPr>
            </w:pPr>
          </w:p>
        </w:tc>
      </w:tr>
      <w:tr w:rsidR="004676EF" w:rsidRPr="00734AB6" w14:paraId="531ADCB0" w14:textId="77777777" w:rsidTr="004676EF">
        <w:tc>
          <w:tcPr>
            <w:tcW w:w="3681" w:type="dxa"/>
            <w:tcBorders>
              <w:top w:val="nil"/>
            </w:tcBorders>
          </w:tcPr>
          <w:p w14:paraId="4F35B268" w14:textId="77777777" w:rsidR="004676EF" w:rsidRPr="00734AB6" w:rsidRDefault="004676EF" w:rsidP="0099584D">
            <w:pPr>
              <w:spacing w:line="360" w:lineRule="auto"/>
              <w:rPr>
                <w:rFonts w:asciiTheme="majorHAnsi" w:hAnsiTheme="majorHAnsi"/>
              </w:rPr>
            </w:pPr>
            <w:r w:rsidRPr="00734AB6">
              <w:rPr>
                <w:rFonts w:asciiTheme="majorHAnsi" w:hAnsiTheme="majorHAnsi"/>
              </w:rPr>
              <w:t>Mood elevation</w:t>
            </w:r>
          </w:p>
        </w:tc>
        <w:tc>
          <w:tcPr>
            <w:tcW w:w="5096" w:type="dxa"/>
            <w:tcBorders>
              <w:top w:val="nil"/>
            </w:tcBorders>
          </w:tcPr>
          <w:p w14:paraId="5A0A2ADA" w14:textId="77777777" w:rsidR="004676EF" w:rsidRPr="00734AB6" w:rsidRDefault="004676EF" w:rsidP="0099584D">
            <w:pPr>
              <w:spacing w:line="360" w:lineRule="auto"/>
              <w:rPr>
                <w:rFonts w:asciiTheme="majorHAnsi" w:hAnsiTheme="majorHAnsi"/>
              </w:rPr>
            </w:pPr>
          </w:p>
        </w:tc>
      </w:tr>
    </w:tbl>
    <w:p w14:paraId="05010259" w14:textId="77777777" w:rsidR="004676EF" w:rsidRPr="00734AB6" w:rsidRDefault="004676EF" w:rsidP="0045410B">
      <w:pPr>
        <w:spacing w:after="0" w:line="360" w:lineRule="auto"/>
        <w:rPr>
          <w:rFonts w:asciiTheme="majorHAnsi" w:hAnsiTheme="majorHAnsi"/>
        </w:rPr>
      </w:pPr>
    </w:p>
    <w:p w14:paraId="12C3B161" w14:textId="77777777" w:rsidR="004676EF" w:rsidRPr="00734AB6" w:rsidRDefault="004676EF" w:rsidP="0045410B">
      <w:pPr>
        <w:pBdr>
          <w:top w:val="double" w:sz="4" w:space="1" w:color="auto"/>
        </w:pBdr>
        <w:spacing w:after="0" w:line="360" w:lineRule="auto"/>
        <w:rPr>
          <w:rFonts w:asciiTheme="majorHAnsi" w:hAnsiTheme="majorHAnsi"/>
        </w:rPr>
      </w:pPr>
    </w:p>
    <w:p w14:paraId="78788DAF" w14:textId="77777777" w:rsidR="004676EF" w:rsidRPr="00734AB6" w:rsidRDefault="004676EF" w:rsidP="0099584D">
      <w:pPr>
        <w:pStyle w:val="Heading2"/>
        <w:spacing w:line="360" w:lineRule="auto"/>
        <w:rPr>
          <w:b/>
          <w:color w:val="000000" w:themeColor="text1"/>
          <w:sz w:val="22"/>
          <w:szCs w:val="22"/>
        </w:rPr>
      </w:pPr>
      <w:bookmarkStart w:id="131" w:name="_Toc45200520"/>
      <w:bookmarkStart w:id="132" w:name="_Toc48136413"/>
      <w:r w:rsidRPr="00734AB6">
        <w:rPr>
          <w:b/>
          <w:color w:val="000000" w:themeColor="text1"/>
          <w:sz w:val="22"/>
          <w:szCs w:val="22"/>
        </w:rPr>
        <w:t>A(viii)</w:t>
      </w:r>
      <w:r w:rsidRPr="00734AB6">
        <w:rPr>
          <w:b/>
          <w:color w:val="000000" w:themeColor="text1"/>
          <w:sz w:val="22"/>
          <w:szCs w:val="22"/>
        </w:rPr>
        <w:tab/>
        <w:t>Reported modafinil dosage</w:t>
      </w:r>
      <w:bookmarkEnd w:id="131"/>
      <w:bookmarkEnd w:id="132"/>
    </w:p>
    <w:p w14:paraId="43E05C4C" w14:textId="77777777" w:rsidR="004676EF" w:rsidRPr="00734AB6" w:rsidRDefault="004676EF" w:rsidP="0045410B">
      <w:pPr>
        <w:spacing w:after="0" w:line="360" w:lineRule="auto"/>
        <w:rPr>
          <w:rFonts w:asciiTheme="majorHAnsi" w:hAnsiTheme="majorHAnsi"/>
        </w:rPr>
      </w:pPr>
    </w:p>
    <w:p w14:paraId="1141B4D7" w14:textId="3FAC7A94"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13687B" w:rsidRPr="00734AB6">
        <w:rPr>
          <w:rFonts w:asciiTheme="majorHAnsi" w:hAnsiTheme="majorHAnsi"/>
          <w:b/>
        </w:rPr>
        <w:t>A.</w:t>
      </w:r>
      <w:r w:rsidRPr="00734AB6">
        <w:rPr>
          <w:rFonts w:asciiTheme="majorHAnsi" w:hAnsiTheme="majorHAnsi"/>
          <w:b/>
        </w:rPr>
        <w:t>3.</w:t>
      </w:r>
      <w:r w:rsidRPr="00734AB6">
        <w:rPr>
          <w:rFonts w:asciiTheme="majorHAnsi" w:hAnsiTheme="majorHAnsi"/>
          <w:b/>
        </w:rPr>
        <w:tab/>
        <w:t xml:space="preserve">Reported modafinil dosage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1701"/>
      </w:tblGrid>
      <w:tr w:rsidR="004676EF" w:rsidRPr="00734AB6" w14:paraId="7BF001AA" w14:textId="77777777" w:rsidTr="004676EF">
        <w:tc>
          <w:tcPr>
            <w:tcW w:w="2694" w:type="dxa"/>
            <w:tcBorders>
              <w:bottom w:val="single" w:sz="4" w:space="0" w:color="auto"/>
            </w:tcBorders>
          </w:tcPr>
          <w:p w14:paraId="20C35ECB"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Modafinil Dosage </w:t>
            </w:r>
          </w:p>
        </w:tc>
        <w:tc>
          <w:tcPr>
            <w:tcW w:w="1701" w:type="dxa"/>
            <w:tcBorders>
              <w:bottom w:val="single" w:sz="4" w:space="0" w:color="auto"/>
            </w:tcBorders>
          </w:tcPr>
          <w:p w14:paraId="02185E8D"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N (%)*</w:t>
            </w:r>
          </w:p>
        </w:tc>
      </w:tr>
      <w:tr w:rsidR="004676EF" w:rsidRPr="00734AB6" w14:paraId="796D943F" w14:textId="77777777" w:rsidTr="004676EF">
        <w:tc>
          <w:tcPr>
            <w:tcW w:w="2694" w:type="dxa"/>
            <w:tcBorders>
              <w:bottom w:val="nil"/>
            </w:tcBorders>
          </w:tcPr>
          <w:p w14:paraId="417CCAAD"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Less than 100mg</w:t>
            </w:r>
          </w:p>
        </w:tc>
        <w:tc>
          <w:tcPr>
            <w:tcW w:w="1701" w:type="dxa"/>
            <w:tcBorders>
              <w:bottom w:val="nil"/>
            </w:tcBorders>
          </w:tcPr>
          <w:p w14:paraId="6B781940"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16 (4.78)</w:t>
            </w:r>
          </w:p>
        </w:tc>
      </w:tr>
      <w:tr w:rsidR="004676EF" w:rsidRPr="00734AB6" w14:paraId="4E61E851" w14:textId="77777777" w:rsidTr="004676EF">
        <w:tc>
          <w:tcPr>
            <w:tcW w:w="2694" w:type="dxa"/>
            <w:tcBorders>
              <w:top w:val="nil"/>
              <w:bottom w:val="nil"/>
            </w:tcBorders>
          </w:tcPr>
          <w:p w14:paraId="7BDD3995"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100mg</w:t>
            </w:r>
          </w:p>
        </w:tc>
        <w:tc>
          <w:tcPr>
            <w:tcW w:w="1701" w:type="dxa"/>
            <w:tcBorders>
              <w:top w:val="nil"/>
              <w:bottom w:val="nil"/>
            </w:tcBorders>
          </w:tcPr>
          <w:p w14:paraId="70F6FD57"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75 (22.39)</w:t>
            </w:r>
          </w:p>
        </w:tc>
      </w:tr>
      <w:tr w:rsidR="004676EF" w:rsidRPr="00734AB6" w14:paraId="58F03F25" w14:textId="77777777" w:rsidTr="004676EF">
        <w:tc>
          <w:tcPr>
            <w:tcW w:w="2694" w:type="dxa"/>
            <w:tcBorders>
              <w:top w:val="nil"/>
              <w:bottom w:val="nil"/>
            </w:tcBorders>
          </w:tcPr>
          <w:p w14:paraId="1D1A530E"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200mg</w:t>
            </w:r>
          </w:p>
        </w:tc>
        <w:tc>
          <w:tcPr>
            <w:tcW w:w="1701" w:type="dxa"/>
            <w:tcBorders>
              <w:top w:val="nil"/>
              <w:bottom w:val="nil"/>
            </w:tcBorders>
          </w:tcPr>
          <w:p w14:paraId="15F0FB95"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96 (28.66)</w:t>
            </w:r>
          </w:p>
        </w:tc>
      </w:tr>
      <w:tr w:rsidR="004676EF" w:rsidRPr="00734AB6" w14:paraId="7B441BBD" w14:textId="77777777" w:rsidTr="004676EF">
        <w:tc>
          <w:tcPr>
            <w:tcW w:w="2694" w:type="dxa"/>
            <w:tcBorders>
              <w:top w:val="nil"/>
              <w:bottom w:val="nil"/>
            </w:tcBorders>
          </w:tcPr>
          <w:p w14:paraId="13B35B3E"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More than 200mg</w:t>
            </w:r>
          </w:p>
        </w:tc>
        <w:tc>
          <w:tcPr>
            <w:tcW w:w="1701" w:type="dxa"/>
            <w:tcBorders>
              <w:top w:val="nil"/>
              <w:bottom w:val="nil"/>
            </w:tcBorders>
          </w:tcPr>
          <w:p w14:paraId="62C0031B"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11 (3.28)</w:t>
            </w:r>
          </w:p>
        </w:tc>
      </w:tr>
      <w:tr w:rsidR="004676EF" w:rsidRPr="00734AB6" w14:paraId="396DBEF0" w14:textId="77777777" w:rsidTr="004676EF">
        <w:tc>
          <w:tcPr>
            <w:tcW w:w="2694" w:type="dxa"/>
            <w:tcBorders>
              <w:top w:val="nil"/>
              <w:bottom w:val="nil"/>
            </w:tcBorders>
          </w:tcPr>
          <w:p w14:paraId="7EE9284E"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400mg</w:t>
            </w:r>
          </w:p>
        </w:tc>
        <w:tc>
          <w:tcPr>
            <w:tcW w:w="1701" w:type="dxa"/>
            <w:tcBorders>
              <w:top w:val="nil"/>
              <w:bottom w:val="nil"/>
            </w:tcBorders>
          </w:tcPr>
          <w:p w14:paraId="51BC21E9"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8  (2.39)</w:t>
            </w:r>
          </w:p>
        </w:tc>
      </w:tr>
      <w:tr w:rsidR="004676EF" w:rsidRPr="00734AB6" w14:paraId="0D8C3C22" w14:textId="77777777" w:rsidTr="004676EF">
        <w:tc>
          <w:tcPr>
            <w:tcW w:w="2694" w:type="dxa"/>
            <w:tcBorders>
              <w:top w:val="nil"/>
              <w:bottom w:val="nil"/>
            </w:tcBorders>
          </w:tcPr>
          <w:p w14:paraId="4242C81E"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More than 400mg</w:t>
            </w:r>
          </w:p>
        </w:tc>
        <w:tc>
          <w:tcPr>
            <w:tcW w:w="1701" w:type="dxa"/>
            <w:tcBorders>
              <w:top w:val="nil"/>
              <w:bottom w:val="nil"/>
            </w:tcBorders>
          </w:tcPr>
          <w:p w14:paraId="1703F2F4"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1  (0.30)</w:t>
            </w:r>
          </w:p>
        </w:tc>
      </w:tr>
      <w:tr w:rsidR="004676EF" w:rsidRPr="00734AB6" w14:paraId="716A281A" w14:textId="77777777" w:rsidTr="004676EF">
        <w:tc>
          <w:tcPr>
            <w:tcW w:w="2694" w:type="dxa"/>
            <w:tcBorders>
              <w:top w:val="nil"/>
            </w:tcBorders>
          </w:tcPr>
          <w:p w14:paraId="57EB8E63"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Don’t know</w:t>
            </w:r>
          </w:p>
        </w:tc>
        <w:tc>
          <w:tcPr>
            <w:tcW w:w="1701" w:type="dxa"/>
            <w:tcBorders>
              <w:top w:val="nil"/>
            </w:tcBorders>
          </w:tcPr>
          <w:p w14:paraId="02C241FD"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3  (0.90)</w:t>
            </w:r>
          </w:p>
        </w:tc>
      </w:tr>
    </w:tbl>
    <w:p w14:paraId="10915933" w14:textId="77777777" w:rsidR="004676EF" w:rsidRPr="00734AB6" w:rsidRDefault="004676EF" w:rsidP="0045410B">
      <w:pPr>
        <w:tabs>
          <w:tab w:val="left" w:pos="284"/>
        </w:tabs>
        <w:spacing w:after="0"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 relates to total sample N = 335</w:t>
      </w:r>
    </w:p>
    <w:p w14:paraId="30B5E13D" w14:textId="77777777" w:rsidR="0045410B" w:rsidRPr="00734AB6" w:rsidRDefault="0045410B" w:rsidP="0045410B">
      <w:pPr>
        <w:pBdr>
          <w:top w:val="double" w:sz="4" w:space="1" w:color="auto"/>
        </w:pBdr>
      </w:pPr>
      <w:bookmarkStart w:id="133" w:name="_Toc45200521"/>
    </w:p>
    <w:p w14:paraId="16D5EED0" w14:textId="77777777" w:rsidR="004676EF" w:rsidRPr="00734AB6" w:rsidRDefault="004676EF" w:rsidP="0099584D">
      <w:pPr>
        <w:pStyle w:val="Heading2"/>
        <w:spacing w:line="360" w:lineRule="auto"/>
        <w:rPr>
          <w:b/>
          <w:color w:val="000000" w:themeColor="text1"/>
          <w:sz w:val="22"/>
          <w:szCs w:val="22"/>
        </w:rPr>
      </w:pPr>
      <w:bookmarkStart w:id="134" w:name="_Toc48136414"/>
      <w:r w:rsidRPr="00734AB6">
        <w:rPr>
          <w:b/>
          <w:color w:val="000000" w:themeColor="text1"/>
          <w:sz w:val="22"/>
          <w:szCs w:val="22"/>
        </w:rPr>
        <w:t>A(ix)</w:t>
      </w:r>
      <w:r w:rsidRPr="00734AB6">
        <w:rPr>
          <w:b/>
          <w:color w:val="000000" w:themeColor="text1"/>
          <w:sz w:val="22"/>
          <w:szCs w:val="22"/>
        </w:rPr>
        <w:tab/>
        <w:t>Log-transformed analysis of Timeframe and frequency of use of modafinil</w:t>
      </w:r>
      <w:bookmarkEnd w:id="133"/>
      <w:bookmarkEnd w:id="134"/>
    </w:p>
    <w:p w14:paraId="28376FF0" w14:textId="2EC4121E" w:rsidR="004676EF" w:rsidRPr="00734AB6" w:rsidRDefault="004676EF" w:rsidP="0099584D">
      <w:pPr>
        <w:spacing w:line="360" w:lineRule="auto"/>
        <w:rPr>
          <w:rFonts w:asciiTheme="majorHAnsi" w:eastAsia="Calibri" w:hAnsiTheme="majorHAnsi"/>
        </w:rPr>
      </w:pPr>
      <w:r w:rsidRPr="00734AB6">
        <w:rPr>
          <w:rFonts w:asciiTheme="majorHAnsi" w:hAnsiTheme="majorHAnsi"/>
        </w:rPr>
        <w:t xml:space="preserve">Log-transformed </w:t>
      </w:r>
      <w:r w:rsidRPr="00734AB6">
        <w:rPr>
          <w:rFonts w:asciiTheme="majorHAnsi" w:eastAsia="Calibri" w:hAnsiTheme="majorHAnsi" w:cs="Calibri"/>
        </w:rPr>
        <w:t>significant interaction between timeframe and frequency of use of modafinil, F</w:t>
      </w:r>
      <w:r w:rsidRPr="00734AB6">
        <w:rPr>
          <w:rFonts w:asciiTheme="majorHAnsi" w:eastAsia="Calibri" w:hAnsiTheme="majorHAnsi" w:cs="Calibri"/>
          <w:vertAlign w:val="subscript"/>
        </w:rPr>
        <w:t>(4, 214)</w:t>
      </w:r>
      <w:r w:rsidRPr="00734AB6">
        <w:rPr>
          <w:rFonts w:asciiTheme="majorHAnsi" w:eastAsia="Calibri" w:hAnsiTheme="majorHAnsi" w:cs="Calibri"/>
        </w:rPr>
        <w:t xml:space="preserve"> = 3.92, MSE = 0.281, </w:t>
      </w:r>
      <w:r w:rsidRPr="00734AB6">
        <w:rPr>
          <w:rFonts w:asciiTheme="majorHAnsi" w:eastAsia="Calibri" w:hAnsiTheme="majorHAnsi" w:cs="Calibri"/>
          <w:i/>
        </w:rPr>
        <w:t>p</w:t>
      </w:r>
      <w:r w:rsidRPr="00734AB6">
        <w:rPr>
          <w:rFonts w:asciiTheme="majorHAnsi" w:eastAsia="Calibri" w:hAnsiTheme="majorHAnsi" w:cs="Calibri"/>
        </w:rPr>
        <w:t xml:space="preserve"> = .004, </w:t>
      </w:r>
      <w:r w:rsidRPr="00734AB6">
        <w:rPr>
          <w:rFonts w:asciiTheme="majorHAnsi" w:eastAsia="Calibri" w:hAnsiTheme="majorHAnsi"/>
        </w:rPr>
        <w:t>η</w:t>
      </w:r>
      <w:r w:rsidRPr="00734AB6">
        <w:rPr>
          <w:rFonts w:asciiTheme="majorHAnsi" w:eastAsia="Calibri" w:hAnsiTheme="majorHAnsi"/>
          <w:vertAlign w:val="subscript"/>
        </w:rPr>
        <w:t>p</w:t>
      </w:r>
      <w:r w:rsidRPr="00734AB6">
        <w:rPr>
          <w:rFonts w:asciiTheme="majorHAnsi" w:eastAsia="Calibri" w:hAnsiTheme="majorHAnsi"/>
          <w:vertAlign w:val="superscript"/>
        </w:rPr>
        <w:t>2</w:t>
      </w:r>
      <w:r w:rsidRPr="00734AB6">
        <w:rPr>
          <w:rFonts w:asciiTheme="majorHAnsi" w:eastAsia="Calibri" w:hAnsiTheme="majorHAnsi"/>
        </w:rPr>
        <w:t xml:space="preserve"> = 0.068. Figure </w:t>
      </w:r>
      <w:r w:rsidR="00D45355" w:rsidRPr="00734AB6">
        <w:rPr>
          <w:rFonts w:asciiTheme="majorHAnsi" w:eastAsia="Calibri" w:hAnsiTheme="majorHAnsi"/>
        </w:rPr>
        <w:t>A.</w:t>
      </w:r>
      <w:r w:rsidRPr="00734AB6">
        <w:rPr>
          <w:rFonts w:asciiTheme="majorHAnsi" w:eastAsia="Calibri" w:hAnsiTheme="majorHAnsi"/>
        </w:rPr>
        <w:t xml:space="preserve">1 shows that the number of immediate effects was reported as being greater with more frequent use of modafinil. Post-hoc within-subjects </w:t>
      </w:r>
      <w:r w:rsidRPr="00734AB6">
        <w:rPr>
          <w:rFonts w:asciiTheme="majorHAnsi" w:eastAsia="Calibri" w:hAnsiTheme="majorHAnsi"/>
          <w:i/>
          <w:iCs/>
        </w:rPr>
        <w:t>t</w:t>
      </w:r>
      <w:r w:rsidRPr="00734AB6">
        <w:rPr>
          <w:rFonts w:asciiTheme="majorHAnsi" w:eastAsia="Calibri" w:hAnsiTheme="majorHAnsi"/>
        </w:rPr>
        <w:t xml:space="preserve">-tests confirmed that the difference between </w:t>
      </w:r>
      <w:r w:rsidRPr="00734AB6">
        <w:rPr>
          <w:rFonts w:asciiTheme="majorHAnsi" w:hAnsiTheme="majorHAnsi"/>
        </w:rPr>
        <w:t xml:space="preserve">immediate and </w:t>
      </w:r>
      <w:r w:rsidR="00DE3BDD" w:rsidRPr="00734AB6">
        <w:rPr>
          <w:rFonts w:asciiTheme="majorHAnsi" w:hAnsiTheme="majorHAnsi"/>
        </w:rPr>
        <w:t>longer-lasting</w:t>
      </w:r>
      <w:r w:rsidRPr="00734AB6">
        <w:rPr>
          <w:rFonts w:asciiTheme="majorHAnsi" w:hAnsiTheme="majorHAnsi"/>
        </w:rPr>
        <w:t xml:space="preserve"> effects was significant for all five frequency of use groups (see Table 2).</w:t>
      </w:r>
    </w:p>
    <w:p w14:paraId="71CE23E0" w14:textId="77777777" w:rsidR="004676EF" w:rsidRPr="00734AB6" w:rsidRDefault="004676EF" w:rsidP="0099584D">
      <w:pPr>
        <w:spacing w:line="360" w:lineRule="auto"/>
        <w:rPr>
          <w:rFonts w:asciiTheme="majorHAnsi" w:eastAsia="Calibri" w:hAnsiTheme="majorHAnsi"/>
        </w:rPr>
      </w:pPr>
    </w:p>
    <w:p w14:paraId="0C43327A" w14:textId="79D1EF50" w:rsidR="004676EF" w:rsidRPr="00734AB6" w:rsidRDefault="00FD1829" w:rsidP="0099584D">
      <w:pPr>
        <w:autoSpaceDE w:val="0"/>
        <w:autoSpaceDN w:val="0"/>
        <w:adjustRightInd w:val="0"/>
        <w:spacing w:after="0" w:line="360" w:lineRule="auto"/>
        <w:rPr>
          <w:rFonts w:asciiTheme="majorHAnsi" w:hAnsiTheme="majorHAnsi" w:cs="Times New Roman"/>
        </w:rPr>
      </w:pPr>
      <w:r w:rsidRPr="00734AB6">
        <w:rPr>
          <w:rFonts w:asciiTheme="majorHAnsi" w:hAnsiTheme="majorHAnsi" w:cs="Times New Roman"/>
          <w:noProof/>
          <w:lang w:eastAsia="en-GB"/>
        </w:rPr>
        <w:drawing>
          <wp:inline distT="0" distB="0" distL="0" distR="0" wp14:anchorId="27B26A11" wp14:editId="2B29B358">
            <wp:extent cx="5407660" cy="521843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5218430"/>
                    </a:xfrm>
                    <a:prstGeom prst="rect">
                      <a:avLst/>
                    </a:prstGeom>
                    <a:noFill/>
                  </pic:spPr>
                </pic:pic>
              </a:graphicData>
            </a:graphic>
          </wp:inline>
        </w:drawing>
      </w:r>
    </w:p>
    <w:p w14:paraId="08F42D98" w14:textId="77777777" w:rsidR="004676EF" w:rsidRPr="00734AB6" w:rsidRDefault="004676EF" w:rsidP="0099584D">
      <w:pPr>
        <w:autoSpaceDE w:val="0"/>
        <w:autoSpaceDN w:val="0"/>
        <w:adjustRightInd w:val="0"/>
        <w:spacing w:after="0" w:line="360" w:lineRule="auto"/>
        <w:rPr>
          <w:rFonts w:asciiTheme="majorHAnsi" w:hAnsiTheme="majorHAnsi" w:cs="Times New Roman"/>
        </w:rPr>
      </w:pPr>
    </w:p>
    <w:p w14:paraId="1A85C755" w14:textId="79E25AC9" w:rsidR="004676EF" w:rsidRPr="00734AB6" w:rsidRDefault="004676EF" w:rsidP="0099584D">
      <w:pPr>
        <w:spacing w:line="360" w:lineRule="auto"/>
        <w:rPr>
          <w:rFonts w:asciiTheme="majorHAnsi" w:eastAsia="Calibri" w:hAnsiTheme="majorHAnsi" w:cs="Calibri"/>
          <w:b/>
        </w:rPr>
      </w:pPr>
      <w:r w:rsidRPr="00734AB6">
        <w:rPr>
          <w:rFonts w:asciiTheme="majorHAnsi" w:hAnsiTheme="majorHAnsi"/>
          <w:b/>
        </w:rPr>
        <w:t xml:space="preserve">Figure </w:t>
      </w:r>
      <w:r w:rsidR="00D45355" w:rsidRPr="00734AB6">
        <w:rPr>
          <w:rFonts w:asciiTheme="majorHAnsi" w:hAnsiTheme="majorHAnsi"/>
          <w:b/>
        </w:rPr>
        <w:t>A.</w:t>
      </w:r>
      <w:r w:rsidRPr="00734AB6">
        <w:rPr>
          <w:rFonts w:asciiTheme="majorHAnsi" w:hAnsiTheme="majorHAnsi"/>
          <w:b/>
        </w:rPr>
        <w:t xml:space="preserve">1. </w:t>
      </w:r>
      <w:r w:rsidRPr="00734AB6">
        <w:rPr>
          <w:rFonts w:asciiTheme="majorHAnsi" w:eastAsia="Calibri" w:hAnsiTheme="majorHAnsi" w:cs="Calibri"/>
          <w:b/>
        </w:rPr>
        <w:t>The interaction between the reported immediate and longer-lasting effects and the reported frequency of use of modafinil.</w:t>
      </w:r>
    </w:p>
    <w:p w14:paraId="193CDAAD" w14:textId="77777777" w:rsidR="004676EF" w:rsidRPr="00734AB6" w:rsidRDefault="004676EF" w:rsidP="0099584D">
      <w:pPr>
        <w:spacing w:line="360" w:lineRule="auto"/>
        <w:rPr>
          <w:rFonts w:asciiTheme="majorHAnsi" w:eastAsia="Calibri" w:hAnsiTheme="majorHAnsi" w:cs="Calibri"/>
          <w:b/>
        </w:rPr>
      </w:pPr>
    </w:p>
    <w:p w14:paraId="19F96890" w14:textId="77777777" w:rsidR="0045410B" w:rsidRPr="00734AB6" w:rsidRDefault="0045410B">
      <w:pPr>
        <w:rPr>
          <w:rFonts w:asciiTheme="majorHAnsi" w:eastAsia="Calibri" w:hAnsiTheme="majorHAnsi" w:cs="Calibri"/>
          <w:b/>
        </w:rPr>
      </w:pPr>
      <w:r w:rsidRPr="00734AB6">
        <w:rPr>
          <w:rFonts w:asciiTheme="majorHAnsi" w:eastAsia="Calibri" w:hAnsiTheme="majorHAnsi" w:cs="Calibri"/>
          <w:b/>
        </w:rPr>
        <w:br w:type="page"/>
      </w:r>
    </w:p>
    <w:p w14:paraId="4E9DEDAC" w14:textId="4C8EB66E" w:rsidR="004676EF" w:rsidRPr="00734AB6" w:rsidRDefault="004676EF" w:rsidP="0099584D">
      <w:pPr>
        <w:spacing w:line="360" w:lineRule="auto"/>
        <w:rPr>
          <w:rFonts w:asciiTheme="majorHAnsi" w:eastAsia="Calibri" w:hAnsiTheme="majorHAnsi" w:cs="Calibri"/>
          <w:b/>
        </w:rPr>
      </w:pPr>
      <w:r w:rsidRPr="00734AB6">
        <w:rPr>
          <w:rFonts w:asciiTheme="majorHAnsi" w:eastAsia="Calibri" w:hAnsiTheme="majorHAnsi" w:cs="Calibri"/>
          <w:b/>
        </w:rPr>
        <w:lastRenderedPageBreak/>
        <w:t xml:space="preserve">Table </w:t>
      </w:r>
      <w:r w:rsidR="0013687B" w:rsidRPr="00734AB6">
        <w:rPr>
          <w:rFonts w:asciiTheme="majorHAnsi" w:eastAsia="Calibri" w:hAnsiTheme="majorHAnsi" w:cs="Calibri"/>
          <w:b/>
        </w:rPr>
        <w:t>A.4.</w:t>
      </w:r>
      <w:r w:rsidR="0013687B" w:rsidRPr="00734AB6">
        <w:rPr>
          <w:rFonts w:asciiTheme="majorHAnsi" w:eastAsia="Calibri" w:hAnsiTheme="majorHAnsi" w:cs="Calibri"/>
          <w:b/>
        </w:rPr>
        <w:tab/>
      </w:r>
      <w:r w:rsidRPr="00734AB6">
        <w:rPr>
          <w:rFonts w:asciiTheme="majorHAnsi" w:eastAsia="Calibri" w:hAnsiTheme="majorHAnsi" w:cs="Calibri"/>
          <w:b/>
        </w:rPr>
        <w:t xml:space="preserve">Post-hoc within –subjects </w:t>
      </w:r>
      <w:r w:rsidR="00364824" w:rsidRPr="00734AB6">
        <w:rPr>
          <w:rFonts w:asciiTheme="majorHAnsi" w:eastAsia="Calibri" w:hAnsiTheme="majorHAnsi" w:cs="Calibri"/>
          <w:b/>
          <w:i/>
        </w:rPr>
        <w:t>t</w:t>
      </w:r>
      <w:r w:rsidR="00364824" w:rsidRPr="00734AB6">
        <w:rPr>
          <w:rFonts w:asciiTheme="majorHAnsi" w:eastAsia="Calibri" w:hAnsiTheme="majorHAnsi" w:cs="Calibri"/>
          <w:b/>
        </w:rPr>
        <w:t>-test</w:t>
      </w:r>
      <w:r w:rsidRPr="00734AB6">
        <w:rPr>
          <w:rFonts w:asciiTheme="majorHAnsi" w:eastAsia="Calibri" w:hAnsiTheme="majorHAnsi" w:cs="Calibri"/>
          <w:b/>
        </w:rPr>
        <w: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972"/>
        <w:gridCol w:w="1416"/>
        <w:gridCol w:w="1277"/>
        <w:gridCol w:w="1276"/>
      </w:tblGrid>
      <w:tr w:rsidR="004676EF" w:rsidRPr="00734AB6" w14:paraId="4D2404B2" w14:textId="77777777" w:rsidTr="004676EF">
        <w:tc>
          <w:tcPr>
            <w:tcW w:w="2972" w:type="dxa"/>
            <w:tcBorders>
              <w:bottom w:val="single" w:sz="4" w:space="0" w:color="auto"/>
            </w:tcBorders>
          </w:tcPr>
          <w:p w14:paraId="1BB3BC9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w:t>
            </w:r>
          </w:p>
        </w:tc>
        <w:tc>
          <w:tcPr>
            <w:tcW w:w="1416" w:type="dxa"/>
            <w:tcBorders>
              <w:bottom w:val="single" w:sz="4" w:space="0" w:color="auto"/>
            </w:tcBorders>
          </w:tcPr>
          <w:p w14:paraId="5957F12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df</w:t>
            </w:r>
          </w:p>
        </w:tc>
        <w:tc>
          <w:tcPr>
            <w:tcW w:w="1277" w:type="dxa"/>
            <w:tcBorders>
              <w:bottom w:val="single" w:sz="4" w:space="0" w:color="auto"/>
            </w:tcBorders>
          </w:tcPr>
          <w:p w14:paraId="1DCA893C" w14:textId="77777777" w:rsidR="004676EF" w:rsidRPr="00734AB6" w:rsidRDefault="004676EF" w:rsidP="0099584D">
            <w:pPr>
              <w:spacing w:line="360" w:lineRule="auto"/>
              <w:rPr>
                <w:rFonts w:asciiTheme="majorHAnsi" w:hAnsiTheme="majorHAnsi"/>
                <w:b/>
                <w:i/>
              </w:rPr>
            </w:pPr>
            <w:r w:rsidRPr="00734AB6">
              <w:rPr>
                <w:rFonts w:asciiTheme="majorHAnsi" w:hAnsiTheme="majorHAnsi"/>
                <w:b/>
                <w:i/>
              </w:rPr>
              <w:t>t</w:t>
            </w:r>
          </w:p>
        </w:tc>
        <w:tc>
          <w:tcPr>
            <w:tcW w:w="1276" w:type="dxa"/>
            <w:tcBorders>
              <w:bottom w:val="single" w:sz="4" w:space="0" w:color="auto"/>
            </w:tcBorders>
          </w:tcPr>
          <w:p w14:paraId="7DFF7B24" w14:textId="77777777" w:rsidR="004676EF" w:rsidRPr="00734AB6" w:rsidRDefault="004676EF" w:rsidP="0099584D">
            <w:pPr>
              <w:spacing w:line="360" w:lineRule="auto"/>
              <w:rPr>
                <w:rFonts w:asciiTheme="majorHAnsi" w:hAnsiTheme="majorHAnsi"/>
                <w:b/>
                <w:i/>
              </w:rPr>
            </w:pPr>
            <w:r w:rsidRPr="00734AB6">
              <w:rPr>
                <w:rFonts w:asciiTheme="majorHAnsi" w:hAnsiTheme="majorHAnsi"/>
                <w:b/>
                <w:i/>
              </w:rPr>
              <w:t>p</w:t>
            </w:r>
          </w:p>
        </w:tc>
      </w:tr>
      <w:tr w:rsidR="004676EF" w:rsidRPr="00734AB6" w14:paraId="67B1CA24" w14:textId="77777777" w:rsidTr="004676EF">
        <w:tc>
          <w:tcPr>
            <w:tcW w:w="2972" w:type="dxa"/>
            <w:tcBorders>
              <w:bottom w:val="nil"/>
            </w:tcBorders>
          </w:tcPr>
          <w:p w14:paraId="79D4FACD" w14:textId="77777777" w:rsidR="004676EF" w:rsidRPr="00734AB6" w:rsidRDefault="004676EF" w:rsidP="0099584D">
            <w:pPr>
              <w:tabs>
                <w:tab w:val="left" w:pos="5812"/>
              </w:tabs>
              <w:spacing w:line="360" w:lineRule="auto"/>
              <w:rPr>
                <w:rFonts w:asciiTheme="majorHAnsi" w:hAnsiTheme="majorHAnsi" w:cs="Arial"/>
                <w:b/>
                <w:bCs/>
                <w:color w:val="000000"/>
              </w:rPr>
            </w:pPr>
            <w:r w:rsidRPr="00734AB6">
              <w:rPr>
                <w:rFonts w:asciiTheme="majorHAnsi" w:hAnsiTheme="majorHAnsi"/>
                <w:b/>
              </w:rPr>
              <w:t>Every day/ almost every day</w:t>
            </w:r>
          </w:p>
        </w:tc>
        <w:tc>
          <w:tcPr>
            <w:tcW w:w="1416" w:type="dxa"/>
            <w:tcBorders>
              <w:bottom w:val="nil"/>
            </w:tcBorders>
          </w:tcPr>
          <w:p w14:paraId="7AA67804" w14:textId="77777777" w:rsidR="004676EF" w:rsidRPr="00734AB6" w:rsidRDefault="004676EF" w:rsidP="0099584D">
            <w:pPr>
              <w:spacing w:line="360" w:lineRule="auto"/>
              <w:rPr>
                <w:rFonts w:asciiTheme="majorHAnsi" w:hAnsiTheme="majorHAnsi"/>
              </w:rPr>
            </w:pPr>
            <w:r w:rsidRPr="00734AB6">
              <w:rPr>
                <w:rFonts w:asciiTheme="majorHAnsi" w:hAnsiTheme="majorHAnsi"/>
              </w:rPr>
              <w:t>25</w:t>
            </w:r>
          </w:p>
        </w:tc>
        <w:tc>
          <w:tcPr>
            <w:tcW w:w="1277" w:type="dxa"/>
            <w:tcBorders>
              <w:bottom w:val="nil"/>
            </w:tcBorders>
          </w:tcPr>
          <w:p w14:paraId="5F5720DF" w14:textId="77777777" w:rsidR="004676EF" w:rsidRPr="00734AB6" w:rsidRDefault="004676EF" w:rsidP="0099584D">
            <w:pPr>
              <w:spacing w:line="360" w:lineRule="auto"/>
              <w:rPr>
                <w:rFonts w:asciiTheme="majorHAnsi" w:hAnsiTheme="majorHAnsi"/>
              </w:rPr>
            </w:pPr>
            <w:r w:rsidRPr="00734AB6">
              <w:rPr>
                <w:rFonts w:asciiTheme="majorHAnsi" w:hAnsiTheme="majorHAnsi"/>
              </w:rPr>
              <w:t>6.91</w:t>
            </w:r>
          </w:p>
        </w:tc>
        <w:tc>
          <w:tcPr>
            <w:tcW w:w="1276" w:type="dxa"/>
            <w:tcBorders>
              <w:bottom w:val="nil"/>
            </w:tcBorders>
          </w:tcPr>
          <w:p w14:paraId="2C94E8C0" w14:textId="77777777" w:rsidR="004676EF" w:rsidRPr="00734AB6" w:rsidRDefault="004676EF" w:rsidP="0099584D">
            <w:pPr>
              <w:spacing w:line="360" w:lineRule="auto"/>
              <w:rPr>
                <w:rFonts w:asciiTheme="majorHAnsi" w:hAnsiTheme="majorHAnsi"/>
              </w:rPr>
            </w:pPr>
            <w:r w:rsidRPr="00734AB6">
              <w:rPr>
                <w:rFonts w:asciiTheme="majorHAnsi" w:hAnsiTheme="majorHAnsi"/>
              </w:rPr>
              <w:t>&lt; .001</w:t>
            </w:r>
          </w:p>
        </w:tc>
      </w:tr>
      <w:tr w:rsidR="004676EF" w:rsidRPr="00734AB6" w14:paraId="1DC78992" w14:textId="77777777" w:rsidTr="004676EF">
        <w:tc>
          <w:tcPr>
            <w:tcW w:w="2972" w:type="dxa"/>
            <w:tcBorders>
              <w:top w:val="nil"/>
              <w:bottom w:val="nil"/>
            </w:tcBorders>
          </w:tcPr>
          <w:p w14:paraId="2AA4B05B"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b/>
              </w:rPr>
              <w:t>3-4 times per week</w:t>
            </w:r>
          </w:p>
        </w:tc>
        <w:tc>
          <w:tcPr>
            <w:tcW w:w="1416" w:type="dxa"/>
            <w:tcBorders>
              <w:top w:val="nil"/>
              <w:bottom w:val="nil"/>
            </w:tcBorders>
          </w:tcPr>
          <w:p w14:paraId="0B0E4E68" w14:textId="77777777" w:rsidR="004676EF" w:rsidRPr="00734AB6" w:rsidRDefault="004676EF" w:rsidP="0099584D">
            <w:pPr>
              <w:spacing w:line="360" w:lineRule="auto"/>
              <w:rPr>
                <w:rFonts w:asciiTheme="majorHAnsi" w:hAnsiTheme="majorHAnsi"/>
              </w:rPr>
            </w:pPr>
            <w:r w:rsidRPr="00734AB6">
              <w:rPr>
                <w:rFonts w:asciiTheme="majorHAnsi" w:hAnsiTheme="majorHAnsi"/>
              </w:rPr>
              <w:t>65</w:t>
            </w:r>
          </w:p>
        </w:tc>
        <w:tc>
          <w:tcPr>
            <w:tcW w:w="1277" w:type="dxa"/>
            <w:tcBorders>
              <w:top w:val="nil"/>
              <w:bottom w:val="nil"/>
            </w:tcBorders>
          </w:tcPr>
          <w:p w14:paraId="3EE299DD" w14:textId="77777777" w:rsidR="004676EF" w:rsidRPr="00734AB6" w:rsidRDefault="004676EF" w:rsidP="0099584D">
            <w:pPr>
              <w:spacing w:line="360" w:lineRule="auto"/>
              <w:rPr>
                <w:rFonts w:asciiTheme="majorHAnsi" w:hAnsiTheme="majorHAnsi"/>
              </w:rPr>
            </w:pPr>
            <w:r w:rsidRPr="00734AB6">
              <w:rPr>
                <w:rFonts w:asciiTheme="majorHAnsi" w:hAnsiTheme="majorHAnsi"/>
              </w:rPr>
              <w:t>14.00</w:t>
            </w:r>
          </w:p>
        </w:tc>
        <w:tc>
          <w:tcPr>
            <w:tcW w:w="1276" w:type="dxa"/>
            <w:tcBorders>
              <w:top w:val="nil"/>
              <w:bottom w:val="nil"/>
            </w:tcBorders>
          </w:tcPr>
          <w:p w14:paraId="163581F6" w14:textId="77777777" w:rsidR="004676EF" w:rsidRPr="00734AB6" w:rsidRDefault="004676EF" w:rsidP="0099584D">
            <w:pPr>
              <w:spacing w:line="360" w:lineRule="auto"/>
              <w:rPr>
                <w:rFonts w:asciiTheme="majorHAnsi" w:hAnsiTheme="majorHAnsi"/>
              </w:rPr>
            </w:pPr>
            <w:r w:rsidRPr="00734AB6">
              <w:rPr>
                <w:rFonts w:asciiTheme="majorHAnsi" w:hAnsiTheme="majorHAnsi"/>
              </w:rPr>
              <w:t>&lt; .001</w:t>
            </w:r>
          </w:p>
        </w:tc>
      </w:tr>
      <w:tr w:rsidR="004676EF" w:rsidRPr="00734AB6" w14:paraId="084404DD" w14:textId="77777777" w:rsidTr="004676EF">
        <w:tc>
          <w:tcPr>
            <w:tcW w:w="2972" w:type="dxa"/>
            <w:tcBorders>
              <w:top w:val="nil"/>
              <w:bottom w:val="nil"/>
            </w:tcBorders>
          </w:tcPr>
          <w:p w14:paraId="0AF5594B" w14:textId="77777777" w:rsidR="004676EF" w:rsidRPr="00734AB6" w:rsidRDefault="004676EF" w:rsidP="0099584D">
            <w:pPr>
              <w:tabs>
                <w:tab w:val="left" w:pos="2835"/>
                <w:tab w:val="left" w:pos="5812"/>
              </w:tabs>
              <w:spacing w:line="360" w:lineRule="auto"/>
              <w:rPr>
                <w:rFonts w:asciiTheme="majorHAnsi" w:hAnsiTheme="majorHAnsi"/>
                <w:b/>
              </w:rPr>
            </w:pPr>
            <w:r w:rsidRPr="00734AB6">
              <w:rPr>
                <w:rFonts w:asciiTheme="majorHAnsi" w:hAnsiTheme="majorHAnsi"/>
                <w:b/>
              </w:rPr>
              <w:t>Once per week</w:t>
            </w:r>
          </w:p>
        </w:tc>
        <w:tc>
          <w:tcPr>
            <w:tcW w:w="1416" w:type="dxa"/>
            <w:tcBorders>
              <w:top w:val="nil"/>
              <w:bottom w:val="nil"/>
            </w:tcBorders>
          </w:tcPr>
          <w:p w14:paraId="016F4F04" w14:textId="77777777" w:rsidR="004676EF" w:rsidRPr="00734AB6" w:rsidRDefault="004676EF" w:rsidP="0099584D">
            <w:pPr>
              <w:spacing w:line="360" w:lineRule="auto"/>
              <w:rPr>
                <w:rFonts w:asciiTheme="majorHAnsi" w:hAnsiTheme="majorHAnsi"/>
              </w:rPr>
            </w:pPr>
            <w:r w:rsidRPr="00734AB6">
              <w:rPr>
                <w:rFonts w:asciiTheme="majorHAnsi" w:hAnsiTheme="majorHAnsi"/>
              </w:rPr>
              <w:t>51</w:t>
            </w:r>
          </w:p>
        </w:tc>
        <w:tc>
          <w:tcPr>
            <w:tcW w:w="1277" w:type="dxa"/>
            <w:tcBorders>
              <w:top w:val="nil"/>
              <w:bottom w:val="nil"/>
            </w:tcBorders>
          </w:tcPr>
          <w:p w14:paraId="26370BD8" w14:textId="77777777" w:rsidR="004676EF" w:rsidRPr="00734AB6" w:rsidRDefault="004676EF" w:rsidP="0099584D">
            <w:pPr>
              <w:spacing w:line="360" w:lineRule="auto"/>
              <w:rPr>
                <w:rFonts w:asciiTheme="majorHAnsi" w:hAnsiTheme="majorHAnsi"/>
              </w:rPr>
            </w:pPr>
            <w:r w:rsidRPr="00734AB6">
              <w:rPr>
                <w:rFonts w:asciiTheme="majorHAnsi" w:hAnsiTheme="majorHAnsi"/>
              </w:rPr>
              <w:t>11.76</w:t>
            </w:r>
          </w:p>
        </w:tc>
        <w:tc>
          <w:tcPr>
            <w:tcW w:w="1276" w:type="dxa"/>
            <w:tcBorders>
              <w:top w:val="nil"/>
              <w:bottom w:val="nil"/>
            </w:tcBorders>
          </w:tcPr>
          <w:p w14:paraId="28CE2A93" w14:textId="77777777" w:rsidR="004676EF" w:rsidRPr="00734AB6" w:rsidRDefault="004676EF" w:rsidP="0099584D">
            <w:pPr>
              <w:spacing w:line="360" w:lineRule="auto"/>
              <w:rPr>
                <w:rFonts w:asciiTheme="majorHAnsi" w:hAnsiTheme="majorHAnsi"/>
              </w:rPr>
            </w:pPr>
            <w:r w:rsidRPr="00734AB6">
              <w:rPr>
                <w:rFonts w:asciiTheme="majorHAnsi" w:hAnsiTheme="majorHAnsi"/>
              </w:rPr>
              <w:t>&lt; .001</w:t>
            </w:r>
          </w:p>
        </w:tc>
      </w:tr>
      <w:tr w:rsidR="004676EF" w:rsidRPr="00734AB6" w14:paraId="127F72A7" w14:textId="77777777" w:rsidTr="004676EF">
        <w:tc>
          <w:tcPr>
            <w:tcW w:w="2972" w:type="dxa"/>
            <w:tcBorders>
              <w:top w:val="nil"/>
              <w:bottom w:val="nil"/>
            </w:tcBorders>
          </w:tcPr>
          <w:p w14:paraId="347B37A3" w14:textId="77777777" w:rsidR="004676EF" w:rsidRPr="00734AB6" w:rsidRDefault="004676EF" w:rsidP="0099584D">
            <w:pPr>
              <w:tabs>
                <w:tab w:val="left" w:pos="2835"/>
                <w:tab w:val="left" w:pos="5812"/>
              </w:tabs>
              <w:spacing w:line="360" w:lineRule="auto"/>
              <w:rPr>
                <w:rFonts w:asciiTheme="majorHAnsi" w:hAnsiTheme="majorHAnsi"/>
                <w:b/>
              </w:rPr>
            </w:pPr>
            <w:r w:rsidRPr="00734AB6">
              <w:rPr>
                <w:rFonts w:asciiTheme="majorHAnsi" w:hAnsiTheme="majorHAnsi"/>
                <w:b/>
              </w:rPr>
              <w:t>1-2 times per month</w:t>
            </w:r>
          </w:p>
        </w:tc>
        <w:tc>
          <w:tcPr>
            <w:tcW w:w="1416" w:type="dxa"/>
            <w:tcBorders>
              <w:top w:val="nil"/>
              <w:bottom w:val="nil"/>
            </w:tcBorders>
          </w:tcPr>
          <w:p w14:paraId="761243E3" w14:textId="77777777" w:rsidR="004676EF" w:rsidRPr="00734AB6" w:rsidRDefault="004676EF" w:rsidP="0099584D">
            <w:pPr>
              <w:spacing w:line="360" w:lineRule="auto"/>
              <w:rPr>
                <w:rFonts w:asciiTheme="majorHAnsi" w:hAnsiTheme="majorHAnsi"/>
              </w:rPr>
            </w:pPr>
            <w:r w:rsidRPr="00734AB6">
              <w:rPr>
                <w:rFonts w:asciiTheme="majorHAnsi" w:hAnsiTheme="majorHAnsi"/>
              </w:rPr>
              <w:t>37</w:t>
            </w:r>
          </w:p>
        </w:tc>
        <w:tc>
          <w:tcPr>
            <w:tcW w:w="1277" w:type="dxa"/>
            <w:tcBorders>
              <w:top w:val="nil"/>
              <w:bottom w:val="nil"/>
            </w:tcBorders>
          </w:tcPr>
          <w:p w14:paraId="35C35197" w14:textId="77777777" w:rsidR="004676EF" w:rsidRPr="00734AB6" w:rsidRDefault="004676EF" w:rsidP="0099584D">
            <w:pPr>
              <w:spacing w:line="360" w:lineRule="auto"/>
              <w:rPr>
                <w:rFonts w:asciiTheme="majorHAnsi" w:hAnsiTheme="majorHAnsi"/>
              </w:rPr>
            </w:pPr>
            <w:r w:rsidRPr="00734AB6">
              <w:rPr>
                <w:rFonts w:asciiTheme="majorHAnsi" w:hAnsiTheme="majorHAnsi"/>
              </w:rPr>
              <w:t>10.15</w:t>
            </w:r>
          </w:p>
        </w:tc>
        <w:tc>
          <w:tcPr>
            <w:tcW w:w="1276" w:type="dxa"/>
            <w:tcBorders>
              <w:top w:val="nil"/>
              <w:bottom w:val="nil"/>
            </w:tcBorders>
          </w:tcPr>
          <w:p w14:paraId="211DE24D" w14:textId="77777777" w:rsidR="004676EF" w:rsidRPr="00734AB6" w:rsidRDefault="004676EF" w:rsidP="0099584D">
            <w:pPr>
              <w:spacing w:line="360" w:lineRule="auto"/>
              <w:rPr>
                <w:rFonts w:asciiTheme="majorHAnsi" w:hAnsiTheme="majorHAnsi"/>
              </w:rPr>
            </w:pPr>
            <w:r w:rsidRPr="00734AB6">
              <w:rPr>
                <w:rFonts w:asciiTheme="majorHAnsi" w:hAnsiTheme="majorHAnsi"/>
              </w:rPr>
              <w:t>&lt; .001</w:t>
            </w:r>
          </w:p>
        </w:tc>
      </w:tr>
      <w:tr w:rsidR="004676EF" w:rsidRPr="00734AB6" w14:paraId="4DA33D82" w14:textId="77777777" w:rsidTr="004676EF">
        <w:tc>
          <w:tcPr>
            <w:tcW w:w="2972" w:type="dxa"/>
            <w:tcBorders>
              <w:top w:val="nil"/>
            </w:tcBorders>
          </w:tcPr>
          <w:p w14:paraId="3E5E1981" w14:textId="77777777" w:rsidR="004676EF" w:rsidRPr="00734AB6" w:rsidRDefault="004676EF" w:rsidP="0099584D">
            <w:pPr>
              <w:tabs>
                <w:tab w:val="left" w:pos="2835"/>
                <w:tab w:val="left" w:pos="5812"/>
              </w:tabs>
              <w:spacing w:line="360" w:lineRule="auto"/>
              <w:rPr>
                <w:rFonts w:asciiTheme="majorHAnsi" w:hAnsiTheme="majorHAnsi"/>
                <w:b/>
              </w:rPr>
            </w:pPr>
            <w:r w:rsidRPr="00734AB6">
              <w:rPr>
                <w:rFonts w:asciiTheme="majorHAnsi" w:hAnsiTheme="majorHAnsi"/>
                <w:b/>
              </w:rPr>
              <w:t>Up to 3 times in total</w:t>
            </w:r>
          </w:p>
        </w:tc>
        <w:tc>
          <w:tcPr>
            <w:tcW w:w="1416" w:type="dxa"/>
            <w:tcBorders>
              <w:top w:val="nil"/>
            </w:tcBorders>
          </w:tcPr>
          <w:p w14:paraId="3B05437A" w14:textId="77777777" w:rsidR="004676EF" w:rsidRPr="00734AB6" w:rsidRDefault="004676EF" w:rsidP="0099584D">
            <w:pPr>
              <w:spacing w:line="360" w:lineRule="auto"/>
              <w:rPr>
                <w:rFonts w:asciiTheme="majorHAnsi" w:hAnsiTheme="majorHAnsi"/>
              </w:rPr>
            </w:pPr>
            <w:r w:rsidRPr="00734AB6">
              <w:rPr>
                <w:rFonts w:asciiTheme="majorHAnsi" w:hAnsiTheme="majorHAnsi"/>
              </w:rPr>
              <w:t>36</w:t>
            </w:r>
          </w:p>
        </w:tc>
        <w:tc>
          <w:tcPr>
            <w:tcW w:w="1277" w:type="dxa"/>
            <w:tcBorders>
              <w:top w:val="nil"/>
            </w:tcBorders>
          </w:tcPr>
          <w:p w14:paraId="53FA8273" w14:textId="77777777" w:rsidR="004676EF" w:rsidRPr="00734AB6" w:rsidRDefault="004676EF" w:rsidP="0099584D">
            <w:pPr>
              <w:spacing w:line="360" w:lineRule="auto"/>
              <w:rPr>
                <w:rFonts w:asciiTheme="majorHAnsi" w:hAnsiTheme="majorHAnsi"/>
              </w:rPr>
            </w:pPr>
            <w:r w:rsidRPr="00734AB6">
              <w:rPr>
                <w:rFonts w:asciiTheme="majorHAnsi" w:hAnsiTheme="majorHAnsi"/>
              </w:rPr>
              <w:t>8.39</w:t>
            </w:r>
          </w:p>
        </w:tc>
        <w:tc>
          <w:tcPr>
            <w:tcW w:w="1276" w:type="dxa"/>
            <w:tcBorders>
              <w:top w:val="nil"/>
            </w:tcBorders>
          </w:tcPr>
          <w:p w14:paraId="4C6B5B88" w14:textId="77777777" w:rsidR="004676EF" w:rsidRPr="00734AB6" w:rsidRDefault="004676EF" w:rsidP="0099584D">
            <w:pPr>
              <w:spacing w:line="360" w:lineRule="auto"/>
              <w:rPr>
                <w:rFonts w:asciiTheme="majorHAnsi" w:hAnsiTheme="majorHAnsi"/>
              </w:rPr>
            </w:pPr>
            <w:r w:rsidRPr="00734AB6">
              <w:rPr>
                <w:rFonts w:asciiTheme="majorHAnsi" w:hAnsiTheme="majorHAnsi"/>
              </w:rPr>
              <w:t>&lt; .001</w:t>
            </w:r>
          </w:p>
        </w:tc>
      </w:tr>
    </w:tbl>
    <w:p w14:paraId="102D248C" w14:textId="5DB9325A" w:rsidR="0045410B" w:rsidRPr="00734AB6" w:rsidRDefault="0045410B" w:rsidP="0045410B">
      <w:pPr>
        <w:rPr>
          <w:b/>
          <w:color w:val="000000" w:themeColor="text1"/>
        </w:rPr>
      </w:pPr>
      <w:bookmarkStart w:id="135" w:name="_Toc45200522"/>
    </w:p>
    <w:p w14:paraId="272A6843" w14:textId="77777777" w:rsidR="0045410B" w:rsidRPr="00734AB6" w:rsidRDefault="0045410B" w:rsidP="0045410B">
      <w:pPr>
        <w:rPr>
          <w:b/>
          <w:color w:val="000000" w:themeColor="text1"/>
        </w:rPr>
      </w:pPr>
    </w:p>
    <w:p w14:paraId="24CD8A34" w14:textId="77777777" w:rsidR="0045410B" w:rsidRPr="00734AB6" w:rsidRDefault="0045410B" w:rsidP="0045410B">
      <w:pPr>
        <w:pBdr>
          <w:top w:val="double" w:sz="4" w:space="1" w:color="auto"/>
        </w:pBdr>
        <w:rPr>
          <w:rFonts w:asciiTheme="majorHAnsi" w:eastAsiaTheme="majorEastAsia" w:hAnsiTheme="majorHAnsi" w:cstheme="majorBidi"/>
          <w:b/>
          <w:color w:val="000000" w:themeColor="text1"/>
        </w:rPr>
      </w:pPr>
    </w:p>
    <w:p w14:paraId="1E144068" w14:textId="79C04E49" w:rsidR="004676EF" w:rsidRPr="00734AB6" w:rsidRDefault="004676EF" w:rsidP="0099584D">
      <w:pPr>
        <w:pStyle w:val="Heading2"/>
        <w:spacing w:line="360" w:lineRule="auto"/>
        <w:rPr>
          <w:b/>
          <w:color w:val="000000" w:themeColor="text1"/>
          <w:sz w:val="22"/>
          <w:szCs w:val="22"/>
        </w:rPr>
      </w:pPr>
      <w:bookmarkStart w:id="136" w:name="_Toc48136415"/>
      <w:r w:rsidRPr="00734AB6">
        <w:rPr>
          <w:b/>
          <w:color w:val="000000" w:themeColor="text1"/>
          <w:sz w:val="22"/>
          <w:szCs w:val="22"/>
        </w:rPr>
        <w:t>A(x)</w:t>
      </w:r>
      <w:r w:rsidRPr="00734AB6">
        <w:rPr>
          <w:b/>
          <w:color w:val="000000" w:themeColor="text1"/>
          <w:sz w:val="22"/>
          <w:szCs w:val="22"/>
        </w:rPr>
        <w:tab/>
        <w:t>Immediate and longer-lasting risks and benefits of modafinil and methylphenidate</w:t>
      </w:r>
      <w:bookmarkEnd w:id="135"/>
      <w:bookmarkEnd w:id="136"/>
    </w:p>
    <w:p w14:paraId="09F7873D" w14:textId="77777777" w:rsidR="004676EF" w:rsidRPr="00734AB6" w:rsidRDefault="004676EF" w:rsidP="0099584D">
      <w:pPr>
        <w:spacing w:line="360" w:lineRule="auto"/>
        <w:ind w:left="851" w:hanging="851"/>
        <w:rPr>
          <w:rFonts w:asciiTheme="majorHAnsi" w:hAnsiTheme="majorHAnsi"/>
          <w:b/>
        </w:rPr>
      </w:pPr>
    </w:p>
    <w:p w14:paraId="780BDE23" w14:textId="253706F1" w:rsidR="004676EF" w:rsidRPr="00734AB6" w:rsidRDefault="004676EF" w:rsidP="0099584D">
      <w:pPr>
        <w:tabs>
          <w:tab w:val="left" w:pos="993"/>
        </w:tabs>
        <w:spacing w:line="360" w:lineRule="auto"/>
        <w:ind w:left="851" w:hanging="851"/>
        <w:rPr>
          <w:rFonts w:asciiTheme="majorHAnsi" w:hAnsiTheme="majorHAnsi"/>
          <w:b/>
        </w:rPr>
      </w:pPr>
      <w:r w:rsidRPr="00734AB6">
        <w:rPr>
          <w:rFonts w:asciiTheme="majorHAnsi" w:hAnsiTheme="majorHAnsi"/>
          <w:b/>
        </w:rPr>
        <w:t xml:space="preserve">Table </w:t>
      </w:r>
      <w:r w:rsidR="0013687B" w:rsidRPr="00734AB6">
        <w:rPr>
          <w:rFonts w:asciiTheme="majorHAnsi" w:hAnsiTheme="majorHAnsi"/>
          <w:b/>
        </w:rPr>
        <w:t>A.5.</w:t>
      </w:r>
      <w:r w:rsidR="0013687B" w:rsidRPr="00734AB6">
        <w:rPr>
          <w:rFonts w:asciiTheme="majorHAnsi" w:hAnsiTheme="majorHAnsi"/>
          <w:b/>
        </w:rPr>
        <w:tab/>
      </w:r>
      <w:r w:rsidRPr="00734AB6">
        <w:rPr>
          <w:rFonts w:asciiTheme="majorHAnsi" w:hAnsiTheme="majorHAnsi"/>
          <w:b/>
        </w:rPr>
        <w:t>Immediate and longer-lasting risks and benefits of methylphenidate and modafinil</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925"/>
        <w:gridCol w:w="2037"/>
        <w:gridCol w:w="1984"/>
      </w:tblGrid>
      <w:tr w:rsidR="004676EF" w:rsidRPr="00734AB6" w14:paraId="67808FD6" w14:textId="77777777" w:rsidTr="004A3A8E">
        <w:tc>
          <w:tcPr>
            <w:tcW w:w="2925" w:type="dxa"/>
            <w:tcBorders>
              <w:bottom w:val="single" w:sz="4" w:space="0" w:color="auto"/>
            </w:tcBorders>
          </w:tcPr>
          <w:p w14:paraId="7A55E0A5" w14:textId="77777777" w:rsidR="004676EF" w:rsidRPr="00734AB6" w:rsidRDefault="004676EF" w:rsidP="0099584D">
            <w:pPr>
              <w:spacing w:line="360" w:lineRule="auto"/>
              <w:rPr>
                <w:rFonts w:asciiTheme="majorHAnsi" w:hAnsiTheme="majorHAnsi"/>
                <w:b/>
              </w:rPr>
            </w:pPr>
          </w:p>
        </w:tc>
        <w:tc>
          <w:tcPr>
            <w:tcW w:w="2037" w:type="dxa"/>
            <w:tcBorders>
              <w:bottom w:val="single" w:sz="4" w:space="0" w:color="auto"/>
            </w:tcBorders>
          </w:tcPr>
          <w:p w14:paraId="4B98049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Modafinil</w:t>
            </w:r>
          </w:p>
          <w:p w14:paraId="21F3F47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Mean (SE)</w:t>
            </w:r>
          </w:p>
        </w:tc>
        <w:tc>
          <w:tcPr>
            <w:tcW w:w="1984" w:type="dxa"/>
            <w:tcBorders>
              <w:bottom w:val="single" w:sz="4" w:space="0" w:color="auto"/>
            </w:tcBorders>
          </w:tcPr>
          <w:p w14:paraId="26F5244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Methylphenidate</w:t>
            </w:r>
          </w:p>
          <w:p w14:paraId="257DD5D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Mean (SE)</w:t>
            </w:r>
          </w:p>
        </w:tc>
      </w:tr>
      <w:tr w:rsidR="004676EF" w:rsidRPr="00734AB6" w14:paraId="432C94D8" w14:textId="77777777" w:rsidTr="004A3A8E">
        <w:tc>
          <w:tcPr>
            <w:tcW w:w="2925" w:type="dxa"/>
            <w:tcBorders>
              <w:bottom w:val="nil"/>
            </w:tcBorders>
          </w:tcPr>
          <w:p w14:paraId="4A1AE79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Immediate risks</w:t>
            </w:r>
          </w:p>
        </w:tc>
        <w:tc>
          <w:tcPr>
            <w:tcW w:w="2037" w:type="dxa"/>
            <w:tcBorders>
              <w:bottom w:val="nil"/>
            </w:tcBorders>
          </w:tcPr>
          <w:p w14:paraId="0532BC49" w14:textId="77777777" w:rsidR="004676EF" w:rsidRPr="00734AB6" w:rsidRDefault="004676EF" w:rsidP="0099584D">
            <w:pPr>
              <w:spacing w:line="360" w:lineRule="auto"/>
              <w:rPr>
                <w:rFonts w:asciiTheme="majorHAnsi" w:hAnsiTheme="majorHAnsi"/>
              </w:rPr>
            </w:pPr>
            <w:r w:rsidRPr="00734AB6">
              <w:rPr>
                <w:rFonts w:asciiTheme="majorHAnsi" w:hAnsiTheme="majorHAnsi"/>
              </w:rPr>
              <w:t>2.22 (0.11)</w:t>
            </w:r>
          </w:p>
        </w:tc>
        <w:tc>
          <w:tcPr>
            <w:tcW w:w="1984" w:type="dxa"/>
            <w:tcBorders>
              <w:bottom w:val="nil"/>
            </w:tcBorders>
          </w:tcPr>
          <w:p w14:paraId="066DF3BF" w14:textId="77777777" w:rsidR="004676EF" w:rsidRPr="00734AB6" w:rsidRDefault="004676EF" w:rsidP="0099584D">
            <w:pPr>
              <w:spacing w:line="360" w:lineRule="auto"/>
              <w:rPr>
                <w:rFonts w:asciiTheme="majorHAnsi" w:hAnsiTheme="majorHAnsi"/>
              </w:rPr>
            </w:pPr>
            <w:r w:rsidRPr="00734AB6">
              <w:rPr>
                <w:rFonts w:asciiTheme="majorHAnsi" w:hAnsiTheme="majorHAnsi"/>
              </w:rPr>
              <w:t>3.46 (0.36)</w:t>
            </w:r>
          </w:p>
        </w:tc>
      </w:tr>
      <w:tr w:rsidR="004676EF" w:rsidRPr="00734AB6" w14:paraId="0FAD7967" w14:textId="77777777" w:rsidTr="004A3A8E">
        <w:tc>
          <w:tcPr>
            <w:tcW w:w="2925" w:type="dxa"/>
            <w:tcBorders>
              <w:top w:val="nil"/>
              <w:bottom w:val="nil"/>
            </w:tcBorders>
          </w:tcPr>
          <w:p w14:paraId="2056EDA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Immediate benefits</w:t>
            </w:r>
          </w:p>
        </w:tc>
        <w:tc>
          <w:tcPr>
            <w:tcW w:w="2037" w:type="dxa"/>
            <w:tcBorders>
              <w:top w:val="nil"/>
              <w:bottom w:val="nil"/>
            </w:tcBorders>
          </w:tcPr>
          <w:p w14:paraId="41E6CDB8" w14:textId="77777777" w:rsidR="004676EF" w:rsidRPr="00734AB6" w:rsidRDefault="004676EF" w:rsidP="0099584D">
            <w:pPr>
              <w:spacing w:line="360" w:lineRule="auto"/>
              <w:rPr>
                <w:rFonts w:asciiTheme="majorHAnsi" w:hAnsiTheme="majorHAnsi"/>
              </w:rPr>
            </w:pPr>
            <w:r w:rsidRPr="00734AB6">
              <w:rPr>
                <w:rFonts w:asciiTheme="majorHAnsi" w:hAnsiTheme="majorHAnsi"/>
              </w:rPr>
              <w:t>7.77 (0.24)</w:t>
            </w:r>
          </w:p>
        </w:tc>
        <w:tc>
          <w:tcPr>
            <w:tcW w:w="1984" w:type="dxa"/>
            <w:tcBorders>
              <w:top w:val="nil"/>
              <w:bottom w:val="nil"/>
            </w:tcBorders>
          </w:tcPr>
          <w:p w14:paraId="4E6EE755" w14:textId="77777777" w:rsidR="004676EF" w:rsidRPr="00734AB6" w:rsidRDefault="004676EF" w:rsidP="0099584D">
            <w:pPr>
              <w:spacing w:line="360" w:lineRule="auto"/>
              <w:rPr>
                <w:rFonts w:asciiTheme="majorHAnsi" w:hAnsiTheme="majorHAnsi"/>
              </w:rPr>
            </w:pPr>
            <w:r w:rsidRPr="00734AB6">
              <w:rPr>
                <w:rFonts w:asciiTheme="majorHAnsi" w:hAnsiTheme="majorHAnsi"/>
              </w:rPr>
              <w:t>7.39 (0.52)</w:t>
            </w:r>
          </w:p>
        </w:tc>
      </w:tr>
      <w:tr w:rsidR="004676EF" w:rsidRPr="00734AB6" w14:paraId="2F6EDBF6" w14:textId="77777777" w:rsidTr="004A3A8E">
        <w:tc>
          <w:tcPr>
            <w:tcW w:w="2925" w:type="dxa"/>
            <w:tcBorders>
              <w:top w:val="nil"/>
              <w:bottom w:val="nil"/>
            </w:tcBorders>
          </w:tcPr>
          <w:p w14:paraId="0D172FE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Longer-lasting risks</w:t>
            </w:r>
          </w:p>
        </w:tc>
        <w:tc>
          <w:tcPr>
            <w:tcW w:w="2037" w:type="dxa"/>
            <w:tcBorders>
              <w:top w:val="nil"/>
              <w:bottom w:val="nil"/>
            </w:tcBorders>
          </w:tcPr>
          <w:p w14:paraId="4D94547A" w14:textId="77777777" w:rsidR="004676EF" w:rsidRPr="00734AB6" w:rsidRDefault="004676EF" w:rsidP="0099584D">
            <w:pPr>
              <w:spacing w:line="360" w:lineRule="auto"/>
              <w:rPr>
                <w:rFonts w:asciiTheme="majorHAnsi" w:hAnsiTheme="majorHAnsi"/>
              </w:rPr>
            </w:pPr>
            <w:r w:rsidRPr="00734AB6">
              <w:rPr>
                <w:rFonts w:asciiTheme="majorHAnsi" w:hAnsiTheme="majorHAnsi"/>
              </w:rPr>
              <w:t>1.38 (0.06)</w:t>
            </w:r>
          </w:p>
        </w:tc>
        <w:tc>
          <w:tcPr>
            <w:tcW w:w="1984" w:type="dxa"/>
            <w:tcBorders>
              <w:top w:val="nil"/>
              <w:bottom w:val="nil"/>
            </w:tcBorders>
          </w:tcPr>
          <w:p w14:paraId="4E79BDB0" w14:textId="77777777" w:rsidR="004676EF" w:rsidRPr="00734AB6" w:rsidRDefault="004676EF" w:rsidP="0099584D">
            <w:pPr>
              <w:spacing w:line="360" w:lineRule="auto"/>
              <w:rPr>
                <w:rFonts w:asciiTheme="majorHAnsi" w:hAnsiTheme="majorHAnsi"/>
              </w:rPr>
            </w:pPr>
            <w:r w:rsidRPr="00734AB6">
              <w:rPr>
                <w:rFonts w:asciiTheme="majorHAnsi" w:hAnsiTheme="majorHAnsi"/>
              </w:rPr>
              <w:t>1.97 (0.26)</w:t>
            </w:r>
          </w:p>
        </w:tc>
      </w:tr>
      <w:tr w:rsidR="004676EF" w:rsidRPr="00734AB6" w14:paraId="004CF597" w14:textId="77777777" w:rsidTr="004A3A8E">
        <w:tc>
          <w:tcPr>
            <w:tcW w:w="2925" w:type="dxa"/>
            <w:tcBorders>
              <w:top w:val="nil"/>
            </w:tcBorders>
          </w:tcPr>
          <w:p w14:paraId="4AF929BC"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Longer-lasting benefits</w:t>
            </w:r>
          </w:p>
        </w:tc>
        <w:tc>
          <w:tcPr>
            <w:tcW w:w="2037" w:type="dxa"/>
            <w:tcBorders>
              <w:top w:val="nil"/>
            </w:tcBorders>
          </w:tcPr>
          <w:p w14:paraId="53C2E212" w14:textId="77777777" w:rsidR="004676EF" w:rsidRPr="00734AB6" w:rsidRDefault="004676EF" w:rsidP="0099584D">
            <w:pPr>
              <w:spacing w:line="360" w:lineRule="auto"/>
              <w:rPr>
                <w:rFonts w:asciiTheme="majorHAnsi" w:hAnsiTheme="majorHAnsi"/>
              </w:rPr>
            </w:pPr>
            <w:r w:rsidRPr="00734AB6">
              <w:rPr>
                <w:rFonts w:asciiTheme="majorHAnsi" w:hAnsiTheme="majorHAnsi"/>
              </w:rPr>
              <w:t>2.76 (0.17)</w:t>
            </w:r>
          </w:p>
        </w:tc>
        <w:tc>
          <w:tcPr>
            <w:tcW w:w="1984" w:type="dxa"/>
            <w:tcBorders>
              <w:top w:val="nil"/>
            </w:tcBorders>
          </w:tcPr>
          <w:p w14:paraId="76679F08" w14:textId="77777777" w:rsidR="004676EF" w:rsidRPr="00734AB6" w:rsidRDefault="004676EF" w:rsidP="0099584D">
            <w:pPr>
              <w:spacing w:line="360" w:lineRule="auto"/>
              <w:rPr>
                <w:rFonts w:asciiTheme="majorHAnsi" w:hAnsiTheme="majorHAnsi"/>
              </w:rPr>
            </w:pPr>
            <w:r w:rsidRPr="00734AB6">
              <w:rPr>
                <w:rFonts w:asciiTheme="majorHAnsi" w:hAnsiTheme="majorHAnsi"/>
              </w:rPr>
              <w:t>1.96 (2.00)</w:t>
            </w:r>
          </w:p>
        </w:tc>
      </w:tr>
    </w:tbl>
    <w:p w14:paraId="237642C0" w14:textId="77777777" w:rsidR="004676EF" w:rsidRPr="00734AB6" w:rsidRDefault="004676EF" w:rsidP="0099584D">
      <w:pPr>
        <w:spacing w:line="360" w:lineRule="auto"/>
        <w:rPr>
          <w:rFonts w:asciiTheme="majorHAnsi" w:hAnsiTheme="majorHAnsi"/>
          <w:b/>
        </w:rPr>
      </w:pPr>
    </w:p>
    <w:p w14:paraId="0AEB8FA1" w14:textId="77777777" w:rsidR="004676EF" w:rsidRPr="00734AB6" w:rsidRDefault="004676EF" w:rsidP="0099584D">
      <w:pPr>
        <w:spacing w:line="360" w:lineRule="auto"/>
        <w:rPr>
          <w:rFonts w:asciiTheme="majorHAnsi" w:hAnsiTheme="majorHAnsi"/>
        </w:rPr>
      </w:pPr>
    </w:p>
    <w:p w14:paraId="20EE8DD6" w14:textId="77777777" w:rsidR="0045410B" w:rsidRPr="00734AB6" w:rsidRDefault="0045410B" w:rsidP="001A1A86">
      <w:pPr>
        <w:pBdr>
          <w:top w:val="double" w:sz="4" w:space="1" w:color="auto"/>
        </w:pBdr>
      </w:pPr>
      <w:bookmarkStart w:id="137" w:name="_Toc45200523"/>
    </w:p>
    <w:p w14:paraId="4D442D46" w14:textId="77777777" w:rsidR="0045410B" w:rsidRPr="00734AB6" w:rsidRDefault="0045410B" w:rsidP="001A1A86">
      <w:pPr>
        <w:rPr>
          <w:rFonts w:asciiTheme="majorHAnsi" w:eastAsiaTheme="majorEastAsia" w:hAnsiTheme="majorHAnsi" w:cstheme="majorBidi"/>
        </w:rPr>
      </w:pPr>
      <w:r w:rsidRPr="00734AB6">
        <w:br w:type="page"/>
      </w:r>
    </w:p>
    <w:p w14:paraId="09F1C71E" w14:textId="7AC406C2" w:rsidR="004676EF" w:rsidRPr="00734AB6" w:rsidRDefault="004676EF" w:rsidP="0099584D">
      <w:pPr>
        <w:pStyle w:val="Heading2"/>
        <w:spacing w:line="360" w:lineRule="auto"/>
        <w:rPr>
          <w:b/>
          <w:color w:val="000000" w:themeColor="text1"/>
          <w:sz w:val="22"/>
          <w:szCs w:val="22"/>
        </w:rPr>
      </w:pPr>
      <w:bookmarkStart w:id="138" w:name="_Toc48136416"/>
      <w:r w:rsidRPr="00734AB6">
        <w:rPr>
          <w:b/>
          <w:color w:val="000000" w:themeColor="text1"/>
          <w:sz w:val="22"/>
          <w:szCs w:val="22"/>
        </w:rPr>
        <w:lastRenderedPageBreak/>
        <w:t>A(xi)</w:t>
      </w:r>
      <w:r w:rsidRPr="00734AB6">
        <w:rPr>
          <w:b/>
          <w:color w:val="000000" w:themeColor="text1"/>
          <w:sz w:val="22"/>
          <w:szCs w:val="22"/>
        </w:rPr>
        <w:tab/>
        <w:t>Reported methylphenidate dosage</w:t>
      </w:r>
      <w:bookmarkEnd w:id="137"/>
      <w:bookmarkEnd w:id="138"/>
    </w:p>
    <w:p w14:paraId="1B708325" w14:textId="77777777" w:rsidR="004676EF" w:rsidRPr="00734AB6" w:rsidRDefault="004676EF" w:rsidP="0099584D">
      <w:pPr>
        <w:spacing w:line="360" w:lineRule="auto"/>
        <w:rPr>
          <w:rFonts w:asciiTheme="majorHAnsi" w:hAnsiTheme="majorHAnsi"/>
        </w:rPr>
      </w:pPr>
    </w:p>
    <w:p w14:paraId="4663F397" w14:textId="3DF9F451"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13687B" w:rsidRPr="00734AB6">
        <w:rPr>
          <w:rFonts w:asciiTheme="majorHAnsi" w:hAnsiTheme="majorHAnsi"/>
          <w:b/>
        </w:rPr>
        <w:t>A.</w:t>
      </w:r>
      <w:r w:rsidRPr="00734AB6">
        <w:rPr>
          <w:rFonts w:asciiTheme="majorHAnsi" w:hAnsiTheme="majorHAnsi"/>
          <w:b/>
        </w:rPr>
        <w:t>6.</w:t>
      </w:r>
      <w:r w:rsidRPr="00734AB6">
        <w:rPr>
          <w:rFonts w:asciiTheme="majorHAnsi" w:hAnsiTheme="majorHAnsi"/>
          <w:b/>
        </w:rPr>
        <w:tab/>
        <w:t>Reported methylphenidate dosage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1701"/>
      </w:tblGrid>
      <w:tr w:rsidR="004676EF" w:rsidRPr="00734AB6" w14:paraId="23FD117D" w14:textId="77777777" w:rsidTr="004676EF">
        <w:tc>
          <w:tcPr>
            <w:tcW w:w="2694" w:type="dxa"/>
            <w:tcBorders>
              <w:bottom w:val="single" w:sz="4" w:space="0" w:color="auto"/>
            </w:tcBorders>
          </w:tcPr>
          <w:p w14:paraId="0384B6D5"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Methylphenidate Dosage </w:t>
            </w:r>
          </w:p>
        </w:tc>
        <w:tc>
          <w:tcPr>
            <w:tcW w:w="1701" w:type="dxa"/>
            <w:tcBorders>
              <w:bottom w:val="single" w:sz="4" w:space="0" w:color="auto"/>
            </w:tcBorders>
          </w:tcPr>
          <w:p w14:paraId="1566CE17"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N (%)*</w:t>
            </w:r>
          </w:p>
        </w:tc>
      </w:tr>
      <w:tr w:rsidR="004676EF" w:rsidRPr="00734AB6" w14:paraId="7492195B" w14:textId="77777777" w:rsidTr="004676EF">
        <w:tc>
          <w:tcPr>
            <w:tcW w:w="2694" w:type="dxa"/>
            <w:tcBorders>
              <w:bottom w:val="nil"/>
            </w:tcBorders>
          </w:tcPr>
          <w:p w14:paraId="3E94A6AD"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10mg or less</w:t>
            </w:r>
          </w:p>
        </w:tc>
        <w:tc>
          <w:tcPr>
            <w:tcW w:w="1701" w:type="dxa"/>
            <w:tcBorders>
              <w:bottom w:val="nil"/>
            </w:tcBorders>
          </w:tcPr>
          <w:p w14:paraId="67CB1283"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24 (7.16)</w:t>
            </w:r>
          </w:p>
        </w:tc>
      </w:tr>
      <w:tr w:rsidR="004676EF" w:rsidRPr="00734AB6" w14:paraId="403A9CAF" w14:textId="77777777" w:rsidTr="004676EF">
        <w:tc>
          <w:tcPr>
            <w:tcW w:w="2694" w:type="dxa"/>
            <w:tcBorders>
              <w:top w:val="nil"/>
              <w:bottom w:val="nil"/>
            </w:tcBorders>
          </w:tcPr>
          <w:p w14:paraId="23E3BC3C"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20mg</w:t>
            </w:r>
          </w:p>
        </w:tc>
        <w:tc>
          <w:tcPr>
            <w:tcW w:w="1701" w:type="dxa"/>
            <w:tcBorders>
              <w:top w:val="nil"/>
              <w:bottom w:val="nil"/>
            </w:tcBorders>
          </w:tcPr>
          <w:p w14:paraId="72B90D28"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21 (6.27)</w:t>
            </w:r>
          </w:p>
        </w:tc>
      </w:tr>
      <w:tr w:rsidR="004676EF" w:rsidRPr="00734AB6" w14:paraId="6CC16CDA" w14:textId="77777777" w:rsidTr="004676EF">
        <w:tc>
          <w:tcPr>
            <w:tcW w:w="2694" w:type="dxa"/>
            <w:tcBorders>
              <w:top w:val="nil"/>
              <w:bottom w:val="nil"/>
            </w:tcBorders>
          </w:tcPr>
          <w:p w14:paraId="2399C7CF"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30mg</w:t>
            </w:r>
          </w:p>
        </w:tc>
        <w:tc>
          <w:tcPr>
            <w:tcW w:w="1701" w:type="dxa"/>
            <w:tcBorders>
              <w:top w:val="nil"/>
              <w:bottom w:val="nil"/>
            </w:tcBorders>
          </w:tcPr>
          <w:p w14:paraId="5D9308B2"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6  (1.79)</w:t>
            </w:r>
          </w:p>
        </w:tc>
      </w:tr>
      <w:tr w:rsidR="004676EF" w:rsidRPr="00734AB6" w14:paraId="6C0D47A8" w14:textId="77777777" w:rsidTr="004676EF">
        <w:tc>
          <w:tcPr>
            <w:tcW w:w="2694" w:type="dxa"/>
            <w:tcBorders>
              <w:top w:val="nil"/>
              <w:bottom w:val="nil"/>
            </w:tcBorders>
          </w:tcPr>
          <w:p w14:paraId="5379DF61"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40mg</w:t>
            </w:r>
          </w:p>
        </w:tc>
        <w:tc>
          <w:tcPr>
            <w:tcW w:w="1701" w:type="dxa"/>
            <w:tcBorders>
              <w:top w:val="nil"/>
              <w:bottom w:val="nil"/>
            </w:tcBorders>
          </w:tcPr>
          <w:p w14:paraId="057B7391"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3  (0.90)</w:t>
            </w:r>
          </w:p>
        </w:tc>
      </w:tr>
      <w:tr w:rsidR="004676EF" w:rsidRPr="00734AB6" w14:paraId="15BEFF52" w14:textId="77777777" w:rsidTr="004676EF">
        <w:tc>
          <w:tcPr>
            <w:tcW w:w="2694" w:type="dxa"/>
            <w:tcBorders>
              <w:top w:val="nil"/>
              <w:bottom w:val="nil"/>
            </w:tcBorders>
          </w:tcPr>
          <w:p w14:paraId="5482EAE5"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50mg</w:t>
            </w:r>
          </w:p>
        </w:tc>
        <w:tc>
          <w:tcPr>
            <w:tcW w:w="1701" w:type="dxa"/>
            <w:tcBorders>
              <w:top w:val="nil"/>
              <w:bottom w:val="nil"/>
            </w:tcBorders>
          </w:tcPr>
          <w:p w14:paraId="3D7A3E90"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7  (2.09)</w:t>
            </w:r>
          </w:p>
        </w:tc>
      </w:tr>
      <w:tr w:rsidR="004676EF" w:rsidRPr="00734AB6" w14:paraId="6D362692" w14:textId="77777777" w:rsidTr="004676EF">
        <w:tc>
          <w:tcPr>
            <w:tcW w:w="2694" w:type="dxa"/>
            <w:tcBorders>
              <w:top w:val="nil"/>
              <w:bottom w:val="nil"/>
            </w:tcBorders>
          </w:tcPr>
          <w:p w14:paraId="5B559A92"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60mg</w:t>
            </w:r>
          </w:p>
        </w:tc>
        <w:tc>
          <w:tcPr>
            <w:tcW w:w="1701" w:type="dxa"/>
            <w:tcBorders>
              <w:top w:val="nil"/>
              <w:bottom w:val="nil"/>
            </w:tcBorders>
          </w:tcPr>
          <w:p w14:paraId="7E17AC33"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5  (1.49)</w:t>
            </w:r>
          </w:p>
        </w:tc>
      </w:tr>
      <w:tr w:rsidR="004676EF" w:rsidRPr="00734AB6" w14:paraId="6F78B0D4" w14:textId="77777777" w:rsidTr="004676EF">
        <w:tc>
          <w:tcPr>
            <w:tcW w:w="2694" w:type="dxa"/>
            <w:tcBorders>
              <w:top w:val="nil"/>
            </w:tcBorders>
          </w:tcPr>
          <w:p w14:paraId="5172AD98"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More than 60mg</w:t>
            </w:r>
          </w:p>
        </w:tc>
        <w:tc>
          <w:tcPr>
            <w:tcW w:w="1701" w:type="dxa"/>
            <w:tcBorders>
              <w:top w:val="nil"/>
            </w:tcBorders>
          </w:tcPr>
          <w:p w14:paraId="377A721E"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rPr>
              <w:t>12  (3.58)</w:t>
            </w:r>
          </w:p>
        </w:tc>
      </w:tr>
    </w:tbl>
    <w:p w14:paraId="04249D3F" w14:textId="77777777" w:rsidR="004676EF" w:rsidRPr="00734AB6" w:rsidRDefault="004676EF" w:rsidP="001A1A86">
      <w:pPr>
        <w:tabs>
          <w:tab w:val="left" w:pos="284"/>
        </w:tabs>
        <w:spacing w:after="0"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 relates to total sample N = 335</w:t>
      </w:r>
    </w:p>
    <w:p w14:paraId="56FCD896" w14:textId="77777777" w:rsidR="00D45355" w:rsidRPr="00734AB6" w:rsidRDefault="00D45355" w:rsidP="009D2A32">
      <w:pPr>
        <w:tabs>
          <w:tab w:val="left" w:pos="284"/>
        </w:tabs>
        <w:spacing w:after="0" w:line="360" w:lineRule="auto"/>
        <w:rPr>
          <w:rFonts w:asciiTheme="majorHAnsi" w:hAnsiTheme="majorHAnsi"/>
          <w:b/>
        </w:rPr>
      </w:pPr>
    </w:p>
    <w:p w14:paraId="7001CE79" w14:textId="77777777" w:rsidR="009D2A32" w:rsidRPr="00734AB6" w:rsidRDefault="009D2A32" w:rsidP="001A1A86">
      <w:pPr>
        <w:pBdr>
          <w:top w:val="double" w:sz="4" w:space="1" w:color="auto"/>
        </w:pBdr>
      </w:pPr>
      <w:bookmarkStart w:id="139" w:name="_Toc45200524"/>
    </w:p>
    <w:p w14:paraId="0BB1207A" w14:textId="77777777" w:rsidR="004676EF" w:rsidRPr="00734AB6" w:rsidRDefault="004676EF" w:rsidP="0099584D">
      <w:pPr>
        <w:pStyle w:val="Heading2"/>
        <w:spacing w:line="360" w:lineRule="auto"/>
        <w:rPr>
          <w:b/>
          <w:color w:val="auto"/>
          <w:sz w:val="22"/>
          <w:szCs w:val="22"/>
        </w:rPr>
      </w:pPr>
      <w:bookmarkStart w:id="140" w:name="_Toc48136417"/>
      <w:r w:rsidRPr="00734AB6">
        <w:rPr>
          <w:b/>
          <w:color w:val="auto"/>
          <w:sz w:val="22"/>
          <w:szCs w:val="22"/>
        </w:rPr>
        <w:t>A(xii)</w:t>
      </w:r>
      <w:r w:rsidRPr="00734AB6">
        <w:rPr>
          <w:b/>
          <w:color w:val="auto"/>
          <w:sz w:val="22"/>
          <w:szCs w:val="22"/>
        </w:rPr>
        <w:tab/>
        <w:t>List of sub-</w:t>
      </w:r>
      <w:proofErr w:type="spellStart"/>
      <w:r w:rsidRPr="00734AB6">
        <w:rPr>
          <w:b/>
          <w:color w:val="auto"/>
          <w:sz w:val="22"/>
          <w:szCs w:val="22"/>
        </w:rPr>
        <w:t>Reddits</w:t>
      </w:r>
      <w:proofErr w:type="spellEnd"/>
      <w:r w:rsidRPr="00734AB6">
        <w:rPr>
          <w:b/>
          <w:color w:val="auto"/>
          <w:sz w:val="22"/>
          <w:szCs w:val="22"/>
        </w:rPr>
        <w:t xml:space="preserve"> selected for Study 1 and 2</w:t>
      </w:r>
      <w:bookmarkEnd w:id="139"/>
      <w:bookmarkEnd w:id="140"/>
    </w:p>
    <w:p w14:paraId="2537B0B4" w14:textId="77777777" w:rsidR="004676EF" w:rsidRPr="00734AB6" w:rsidRDefault="004676EF" w:rsidP="009D2A32">
      <w:pPr>
        <w:spacing w:after="0" w:line="360" w:lineRule="auto"/>
        <w:rPr>
          <w:rFonts w:asciiTheme="majorHAnsi" w:hAnsiTheme="majorHAnsi"/>
        </w:rPr>
      </w:pPr>
    </w:p>
    <w:p w14:paraId="6482AEB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Reddit forum sites where the surveys were advertised</w:t>
      </w:r>
    </w:p>
    <w:p w14:paraId="0474E38B" w14:textId="77777777" w:rsidR="004676EF" w:rsidRPr="00734AB6" w:rsidRDefault="004676EF" w:rsidP="0099584D">
      <w:pPr>
        <w:spacing w:line="360" w:lineRule="auto"/>
        <w:rPr>
          <w:rFonts w:asciiTheme="majorHAnsi" w:hAnsiTheme="majorHAnsi"/>
        </w:rPr>
      </w:pPr>
      <w:r w:rsidRPr="00734AB6">
        <w:rPr>
          <w:rFonts w:asciiTheme="majorHAnsi" w:hAnsiTheme="majorHAnsi"/>
        </w:rPr>
        <w:t>r/Nootropics</w:t>
      </w:r>
    </w:p>
    <w:p w14:paraId="134A0F29" w14:textId="77777777" w:rsidR="004676EF" w:rsidRPr="00734AB6" w:rsidRDefault="004676EF" w:rsidP="0099584D">
      <w:pPr>
        <w:spacing w:line="360" w:lineRule="auto"/>
        <w:rPr>
          <w:rFonts w:asciiTheme="majorHAnsi" w:hAnsiTheme="majorHAnsi"/>
        </w:rPr>
      </w:pPr>
      <w:r w:rsidRPr="00734AB6">
        <w:rPr>
          <w:rFonts w:asciiTheme="majorHAnsi" w:hAnsiTheme="majorHAnsi"/>
        </w:rPr>
        <w:t>r/</w:t>
      </w:r>
      <w:proofErr w:type="spellStart"/>
      <w:r w:rsidRPr="00734AB6">
        <w:rPr>
          <w:rFonts w:asciiTheme="majorHAnsi" w:hAnsiTheme="majorHAnsi"/>
        </w:rPr>
        <w:t>afinil</w:t>
      </w:r>
      <w:proofErr w:type="spellEnd"/>
    </w:p>
    <w:p w14:paraId="1B344C32" w14:textId="77777777" w:rsidR="004676EF" w:rsidRPr="00734AB6" w:rsidRDefault="004676EF" w:rsidP="0099584D">
      <w:pPr>
        <w:spacing w:line="360" w:lineRule="auto"/>
        <w:rPr>
          <w:rFonts w:asciiTheme="majorHAnsi" w:hAnsiTheme="majorHAnsi"/>
        </w:rPr>
      </w:pPr>
      <w:r w:rsidRPr="00734AB6">
        <w:rPr>
          <w:rFonts w:asciiTheme="majorHAnsi" w:hAnsiTheme="majorHAnsi"/>
        </w:rPr>
        <w:t>r/Stims</w:t>
      </w:r>
    </w:p>
    <w:p w14:paraId="405BEBC3" w14:textId="77777777" w:rsidR="004676EF" w:rsidRPr="00734AB6" w:rsidRDefault="004676EF" w:rsidP="0099584D">
      <w:pPr>
        <w:spacing w:line="360" w:lineRule="auto"/>
        <w:rPr>
          <w:rFonts w:asciiTheme="majorHAnsi" w:hAnsiTheme="majorHAnsi"/>
        </w:rPr>
      </w:pPr>
      <w:r w:rsidRPr="00734AB6">
        <w:rPr>
          <w:rFonts w:asciiTheme="majorHAnsi" w:hAnsiTheme="majorHAnsi"/>
        </w:rPr>
        <w:t>r/</w:t>
      </w:r>
      <w:proofErr w:type="spellStart"/>
      <w:r w:rsidRPr="00734AB6">
        <w:rPr>
          <w:rFonts w:asciiTheme="majorHAnsi" w:hAnsiTheme="majorHAnsi"/>
        </w:rPr>
        <w:t>AskDrugNerds</w:t>
      </w:r>
      <w:proofErr w:type="spellEnd"/>
    </w:p>
    <w:p w14:paraId="21706A43" w14:textId="77777777" w:rsidR="004676EF" w:rsidRPr="00734AB6" w:rsidRDefault="004676EF" w:rsidP="0099584D">
      <w:pPr>
        <w:spacing w:line="360" w:lineRule="auto"/>
        <w:rPr>
          <w:rFonts w:asciiTheme="majorHAnsi" w:hAnsiTheme="majorHAnsi"/>
        </w:rPr>
      </w:pPr>
      <w:r w:rsidRPr="00734AB6">
        <w:rPr>
          <w:rFonts w:asciiTheme="majorHAnsi" w:hAnsiTheme="majorHAnsi"/>
        </w:rPr>
        <w:t>r/</w:t>
      </w:r>
      <w:proofErr w:type="spellStart"/>
      <w:r w:rsidRPr="00734AB6">
        <w:rPr>
          <w:rFonts w:asciiTheme="majorHAnsi" w:hAnsiTheme="majorHAnsi"/>
        </w:rPr>
        <w:t>StackAdvice</w:t>
      </w:r>
      <w:proofErr w:type="spellEnd"/>
    </w:p>
    <w:p w14:paraId="70A95EAF" w14:textId="77777777" w:rsidR="004676EF" w:rsidRPr="00734AB6" w:rsidRDefault="004676EF" w:rsidP="0099584D">
      <w:pPr>
        <w:spacing w:line="360" w:lineRule="auto"/>
        <w:rPr>
          <w:rFonts w:asciiTheme="majorHAnsi" w:hAnsiTheme="majorHAnsi"/>
        </w:rPr>
      </w:pPr>
      <w:r w:rsidRPr="00734AB6">
        <w:rPr>
          <w:rFonts w:asciiTheme="majorHAnsi" w:hAnsiTheme="majorHAnsi"/>
        </w:rPr>
        <w:t>r/darknet</w:t>
      </w:r>
    </w:p>
    <w:p w14:paraId="2CA25151" w14:textId="77777777" w:rsidR="004676EF" w:rsidRPr="00734AB6" w:rsidRDefault="004676EF" w:rsidP="0099584D">
      <w:pPr>
        <w:spacing w:line="360" w:lineRule="auto"/>
        <w:rPr>
          <w:rFonts w:asciiTheme="majorHAnsi" w:hAnsiTheme="majorHAnsi"/>
        </w:rPr>
      </w:pPr>
      <w:r w:rsidRPr="00734AB6">
        <w:rPr>
          <w:rFonts w:asciiTheme="majorHAnsi" w:hAnsiTheme="majorHAnsi"/>
        </w:rPr>
        <w:t>r/Drugs</w:t>
      </w:r>
    </w:p>
    <w:p w14:paraId="6A166013" w14:textId="77777777" w:rsidR="004676EF" w:rsidRPr="00734AB6" w:rsidRDefault="004676EF" w:rsidP="0099584D">
      <w:pPr>
        <w:spacing w:line="360" w:lineRule="auto"/>
        <w:rPr>
          <w:rFonts w:asciiTheme="majorHAnsi" w:hAnsiTheme="majorHAnsi"/>
        </w:rPr>
      </w:pPr>
      <w:r w:rsidRPr="00734AB6">
        <w:rPr>
          <w:rFonts w:asciiTheme="majorHAnsi" w:hAnsiTheme="majorHAnsi"/>
        </w:rPr>
        <w:t>r/</w:t>
      </w:r>
      <w:proofErr w:type="spellStart"/>
      <w:r w:rsidRPr="00734AB6">
        <w:rPr>
          <w:rFonts w:asciiTheme="majorHAnsi" w:hAnsiTheme="majorHAnsi"/>
        </w:rPr>
        <w:t>UKUniversityStudents</w:t>
      </w:r>
      <w:proofErr w:type="spellEnd"/>
    </w:p>
    <w:p w14:paraId="777095F6" w14:textId="77777777" w:rsidR="004676EF" w:rsidRPr="00734AB6" w:rsidRDefault="004676EF" w:rsidP="0099584D">
      <w:pPr>
        <w:spacing w:line="360" w:lineRule="auto"/>
        <w:rPr>
          <w:rFonts w:asciiTheme="majorHAnsi" w:hAnsiTheme="majorHAnsi"/>
        </w:rPr>
      </w:pPr>
      <w:r w:rsidRPr="00734AB6">
        <w:rPr>
          <w:rFonts w:asciiTheme="majorHAnsi" w:hAnsiTheme="majorHAnsi"/>
        </w:rPr>
        <w:t>r/</w:t>
      </w:r>
      <w:proofErr w:type="spellStart"/>
      <w:r w:rsidRPr="00734AB6">
        <w:rPr>
          <w:rFonts w:asciiTheme="majorHAnsi" w:hAnsiTheme="majorHAnsi"/>
        </w:rPr>
        <w:t>UniUK</w:t>
      </w:r>
      <w:proofErr w:type="spellEnd"/>
    </w:p>
    <w:p w14:paraId="3535EF23" w14:textId="77777777" w:rsidR="004676EF" w:rsidRPr="00734AB6" w:rsidRDefault="004676EF" w:rsidP="0099584D">
      <w:pPr>
        <w:spacing w:line="360" w:lineRule="auto"/>
        <w:rPr>
          <w:rFonts w:asciiTheme="majorHAnsi" w:hAnsiTheme="majorHAnsi"/>
        </w:rPr>
      </w:pPr>
      <w:r w:rsidRPr="00734AB6">
        <w:rPr>
          <w:rFonts w:asciiTheme="majorHAnsi" w:hAnsiTheme="majorHAnsi"/>
        </w:rPr>
        <w:t>r/</w:t>
      </w:r>
      <w:proofErr w:type="spellStart"/>
      <w:r w:rsidRPr="00734AB6">
        <w:rPr>
          <w:rFonts w:asciiTheme="majorHAnsi" w:hAnsiTheme="majorHAnsi"/>
        </w:rPr>
        <w:t>lifelonglearning</w:t>
      </w:r>
      <w:proofErr w:type="spellEnd"/>
    </w:p>
    <w:p w14:paraId="7123D36D" w14:textId="77777777" w:rsidR="004676EF" w:rsidRPr="00734AB6" w:rsidRDefault="004676EF" w:rsidP="0099584D">
      <w:pPr>
        <w:spacing w:line="360" w:lineRule="auto"/>
        <w:rPr>
          <w:rFonts w:asciiTheme="majorHAnsi" w:hAnsiTheme="majorHAnsi"/>
        </w:rPr>
      </w:pPr>
      <w:r w:rsidRPr="00734AB6">
        <w:rPr>
          <w:rFonts w:asciiTheme="majorHAnsi" w:hAnsiTheme="majorHAnsi"/>
        </w:rPr>
        <w:t>r/Scholar</w:t>
      </w:r>
    </w:p>
    <w:p w14:paraId="00512494" w14:textId="77777777" w:rsidR="004676EF" w:rsidRPr="00734AB6" w:rsidRDefault="004676EF" w:rsidP="0099584D">
      <w:pPr>
        <w:pBdr>
          <w:bottom w:val="double" w:sz="4" w:space="1" w:color="auto"/>
        </w:pBdr>
        <w:spacing w:line="360" w:lineRule="auto"/>
        <w:rPr>
          <w:rFonts w:asciiTheme="majorHAnsi" w:hAnsiTheme="majorHAnsi"/>
        </w:rPr>
      </w:pPr>
    </w:p>
    <w:p w14:paraId="43F4E415" w14:textId="7842C1E8" w:rsidR="004676EF" w:rsidRPr="00734AB6" w:rsidRDefault="004676EF" w:rsidP="0099584D">
      <w:pPr>
        <w:pStyle w:val="Heading1"/>
        <w:spacing w:line="360" w:lineRule="auto"/>
        <w:rPr>
          <w:b/>
          <w:color w:val="000000" w:themeColor="text1"/>
          <w:sz w:val="22"/>
          <w:szCs w:val="22"/>
        </w:rPr>
      </w:pPr>
      <w:bookmarkStart w:id="141" w:name="_Toc45200525"/>
      <w:bookmarkStart w:id="142" w:name="_Toc48136418"/>
      <w:r w:rsidRPr="00734AB6">
        <w:rPr>
          <w:b/>
          <w:color w:val="000000" w:themeColor="text1"/>
          <w:sz w:val="22"/>
          <w:szCs w:val="22"/>
        </w:rPr>
        <w:t xml:space="preserve">Appendix </w:t>
      </w:r>
      <w:r w:rsidR="0013687B" w:rsidRPr="00734AB6">
        <w:rPr>
          <w:b/>
          <w:color w:val="000000" w:themeColor="text1"/>
          <w:sz w:val="22"/>
          <w:szCs w:val="22"/>
        </w:rPr>
        <w:t>B</w:t>
      </w:r>
      <w:r w:rsidRPr="00734AB6">
        <w:rPr>
          <w:b/>
          <w:color w:val="000000" w:themeColor="text1"/>
          <w:sz w:val="22"/>
          <w:szCs w:val="22"/>
        </w:rPr>
        <w:t>: Study Two</w:t>
      </w:r>
      <w:bookmarkEnd w:id="141"/>
      <w:bookmarkEnd w:id="142"/>
    </w:p>
    <w:p w14:paraId="24DEDAD0" w14:textId="77777777" w:rsidR="004676EF" w:rsidRPr="00734AB6" w:rsidRDefault="004676EF" w:rsidP="0099584D">
      <w:pPr>
        <w:pStyle w:val="Heading2"/>
        <w:spacing w:line="360" w:lineRule="auto"/>
        <w:rPr>
          <w:b/>
          <w:color w:val="000000" w:themeColor="text1"/>
          <w:sz w:val="22"/>
          <w:szCs w:val="22"/>
        </w:rPr>
      </w:pPr>
      <w:bookmarkStart w:id="143" w:name="_Toc45200526"/>
      <w:bookmarkStart w:id="144" w:name="_Toc48136419"/>
      <w:r w:rsidRPr="00734AB6">
        <w:rPr>
          <w:b/>
          <w:color w:val="000000" w:themeColor="text1"/>
          <w:sz w:val="22"/>
          <w:szCs w:val="22"/>
        </w:rPr>
        <w:t>B(</w:t>
      </w:r>
      <w:proofErr w:type="spellStart"/>
      <w:r w:rsidRPr="00734AB6">
        <w:rPr>
          <w:b/>
          <w:color w:val="000000" w:themeColor="text1"/>
          <w:sz w:val="22"/>
          <w:szCs w:val="22"/>
        </w:rPr>
        <w:t>i</w:t>
      </w:r>
      <w:proofErr w:type="spellEnd"/>
      <w:r w:rsidRPr="00734AB6">
        <w:rPr>
          <w:b/>
          <w:color w:val="000000" w:themeColor="text1"/>
          <w:sz w:val="22"/>
          <w:szCs w:val="22"/>
        </w:rPr>
        <w:t>)</w:t>
      </w:r>
      <w:r w:rsidRPr="00734AB6">
        <w:rPr>
          <w:b/>
          <w:color w:val="000000" w:themeColor="text1"/>
          <w:sz w:val="22"/>
          <w:szCs w:val="22"/>
        </w:rPr>
        <w:tab/>
        <w:t>Questionnaire</w:t>
      </w:r>
      <w:bookmarkEnd w:id="143"/>
      <w:bookmarkEnd w:id="144"/>
    </w:p>
    <w:p w14:paraId="3415DD10" w14:textId="77777777" w:rsidR="0013687B" w:rsidRPr="00734AB6" w:rsidRDefault="0013687B" w:rsidP="0099584D">
      <w:pPr>
        <w:spacing w:line="360" w:lineRule="auto"/>
        <w:rPr>
          <w:rFonts w:asciiTheme="majorHAnsi" w:hAnsiTheme="majorHAnsi"/>
        </w:rPr>
      </w:pPr>
    </w:p>
    <w:p w14:paraId="147D35FB"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Demographics</w:t>
      </w:r>
    </w:p>
    <w:p w14:paraId="228C9E8D" w14:textId="77777777" w:rsidR="004676EF" w:rsidRPr="00734AB6" w:rsidRDefault="004676EF" w:rsidP="0099584D">
      <w:pPr>
        <w:pStyle w:val="ListParagraph"/>
        <w:numPr>
          <w:ilvl w:val="0"/>
          <w:numId w:val="10"/>
        </w:numPr>
        <w:spacing w:after="240" w:line="360" w:lineRule="auto"/>
        <w:rPr>
          <w:rFonts w:asciiTheme="majorHAnsi" w:hAnsiTheme="majorHAnsi" w:cs="Arial"/>
        </w:rPr>
      </w:pPr>
      <w:r w:rsidRPr="00734AB6">
        <w:rPr>
          <w:rFonts w:asciiTheme="majorHAnsi" w:hAnsiTheme="majorHAnsi" w:cs="Arial"/>
        </w:rPr>
        <w:t xml:space="preserve">How old are you? </w:t>
      </w:r>
      <w:r w:rsidRPr="00734AB6">
        <w:rPr>
          <w:rFonts w:asciiTheme="majorHAnsi" w:hAnsiTheme="majorHAnsi" w:cs="Arial"/>
          <w:color w:val="0070C0"/>
        </w:rPr>
        <w:t>(</w:t>
      </w:r>
      <w:proofErr w:type="spellStart"/>
      <w:r w:rsidRPr="00734AB6">
        <w:rPr>
          <w:rFonts w:asciiTheme="majorHAnsi" w:hAnsiTheme="majorHAnsi" w:cs="Arial"/>
          <w:color w:val="0070C0"/>
        </w:rPr>
        <w:t>slide</w:t>
      </w:r>
      <w:proofErr w:type="spellEnd"/>
      <w:r w:rsidRPr="00734AB6">
        <w:rPr>
          <w:rFonts w:asciiTheme="majorHAnsi" w:hAnsiTheme="majorHAnsi" w:cs="Arial"/>
          <w:color w:val="0070C0"/>
        </w:rPr>
        <w:t xml:space="preserve"> bar to indicate age)</w:t>
      </w:r>
    </w:p>
    <w:p w14:paraId="07AB3BD3"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Are you male or female  (</w:t>
      </w:r>
      <w:r w:rsidRPr="00734AB6">
        <w:rPr>
          <w:rFonts w:asciiTheme="majorHAnsi" w:hAnsiTheme="majorHAnsi" w:cs="Arial"/>
          <w:i/>
          <w:color w:val="0070C0"/>
        </w:rPr>
        <w:t>tick boxes</w:t>
      </w:r>
      <w:r w:rsidRPr="00734AB6">
        <w:rPr>
          <w:rFonts w:asciiTheme="majorHAnsi" w:hAnsiTheme="majorHAnsi" w:cs="Arial"/>
          <w:color w:val="0070C0"/>
        </w:rPr>
        <w:t xml:space="preserve">) </w:t>
      </w:r>
      <w:r w:rsidRPr="00734AB6">
        <w:rPr>
          <w:rFonts w:asciiTheme="majorHAnsi" w:hAnsiTheme="majorHAnsi" w:cs="Arial"/>
        </w:rPr>
        <w:t xml:space="preserve">Prefer to self-describe </w:t>
      </w:r>
      <w:r w:rsidRPr="00734AB6">
        <w:rPr>
          <w:rFonts w:asciiTheme="majorHAnsi" w:hAnsiTheme="majorHAnsi" w:cs="Arial"/>
          <w:color w:val="0070C0"/>
        </w:rPr>
        <w:t>free text box</w:t>
      </w:r>
    </w:p>
    <w:p w14:paraId="4F22D4C2"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What is your nationality    </w:t>
      </w:r>
      <w:r w:rsidRPr="00734AB6">
        <w:rPr>
          <w:rFonts w:asciiTheme="majorHAnsi" w:hAnsiTheme="majorHAnsi" w:cs="Arial"/>
          <w:i/>
          <w:color w:val="0070C0"/>
        </w:rPr>
        <w:t>dropdown menu to select from</w:t>
      </w:r>
      <w:r w:rsidRPr="00734AB6">
        <w:rPr>
          <w:rFonts w:asciiTheme="majorHAnsi" w:hAnsiTheme="majorHAnsi" w:cs="Arial"/>
        </w:rPr>
        <w:t xml:space="preserve"> </w:t>
      </w:r>
    </w:p>
    <w:p w14:paraId="0648FEC8" w14:textId="77777777" w:rsidR="004676EF" w:rsidRPr="00734AB6" w:rsidRDefault="004676EF" w:rsidP="0099584D">
      <w:pPr>
        <w:pStyle w:val="ListParagraph"/>
        <w:numPr>
          <w:ilvl w:val="0"/>
          <w:numId w:val="10"/>
        </w:numPr>
        <w:tabs>
          <w:tab w:val="left" w:pos="8364"/>
        </w:tabs>
        <w:spacing w:before="240" w:after="240" w:line="360" w:lineRule="auto"/>
        <w:rPr>
          <w:rFonts w:asciiTheme="majorHAnsi" w:hAnsiTheme="majorHAnsi" w:cs="Arial"/>
          <w:i/>
          <w:color w:val="0070C0"/>
        </w:rPr>
      </w:pPr>
      <w:r w:rsidRPr="00734AB6">
        <w:rPr>
          <w:rFonts w:asciiTheme="majorHAnsi" w:hAnsiTheme="majorHAnsi" w:cs="Arial"/>
        </w:rPr>
        <w:t xml:space="preserve">What is your highest level of education </w:t>
      </w:r>
      <w:r w:rsidRPr="00734AB6">
        <w:rPr>
          <w:rFonts w:asciiTheme="majorHAnsi" w:hAnsiTheme="majorHAnsi" w:cs="Arial"/>
          <w:i/>
          <w:color w:val="0070C0"/>
        </w:rPr>
        <w:t xml:space="preserve">dropdown menu: options are: No formal qualifications, Educated to age 16 (e.g. G.C.S.E.), Educated to age 18 (e.g. A-level, High School, I.B.), University Degree (BSc, BA), Post-Graduate Degree (MSc, MA, PhD) </w:t>
      </w:r>
    </w:p>
    <w:p w14:paraId="3962EC23" w14:textId="77777777" w:rsidR="004676EF" w:rsidRPr="00734AB6" w:rsidRDefault="004676EF" w:rsidP="0099584D">
      <w:pPr>
        <w:pStyle w:val="ListParagraph"/>
        <w:numPr>
          <w:ilvl w:val="0"/>
          <w:numId w:val="10"/>
        </w:numPr>
        <w:spacing w:before="240" w:after="0" w:line="360" w:lineRule="auto"/>
        <w:rPr>
          <w:rFonts w:asciiTheme="majorHAnsi" w:hAnsiTheme="majorHAnsi" w:cs="Arial"/>
        </w:rPr>
      </w:pPr>
      <w:r w:rsidRPr="00734AB6">
        <w:rPr>
          <w:rFonts w:asciiTheme="majorHAnsi" w:hAnsiTheme="majorHAnsi" w:cs="Arial"/>
        </w:rPr>
        <w:t xml:space="preserve">Are you currently studying for a qualification?   </w:t>
      </w:r>
      <w:r w:rsidRPr="00734AB6">
        <w:rPr>
          <w:rFonts w:asciiTheme="majorHAnsi" w:hAnsiTheme="majorHAnsi" w:cs="Arial"/>
          <w:color w:val="0070C0"/>
        </w:rPr>
        <w:t>Options are: Yes</w:t>
      </w:r>
      <w:r w:rsidRPr="00734AB6">
        <w:rPr>
          <w:rFonts w:asciiTheme="majorHAnsi" w:hAnsiTheme="majorHAnsi" w:cs="Arial"/>
        </w:rPr>
        <w:t xml:space="preserve"> (</w:t>
      </w:r>
      <w:r w:rsidRPr="00734AB6">
        <w:rPr>
          <w:rFonts w:asciiTheme="majorHAnsi" w:hAnsiTheme="majorHAnsi" w:cs="Arial"/>
          <w:color w:val="0070C0"/>
        </w:rPr>
        <w:t xml:space="preserve">yes leads to next question) or No  (no skips next question) </w:t>
      </w:r>
    </w:p>
    <w:p w14:paraId="2309DE5F" w14:textId="77777777" w:rsidR="004676EF" w:rsidRPr="00734AB6" w:rsidRDefault="004676EF" w:rsidP="0099584D">
      <w:pPr>
        <w:pStyle w:val="ListParagraph"/>
        <w:numPr>
          <w:ilvl w:val="0"/>
          <w:numId w:val="10"/>
        </w:numPr>
        <w:tabs>
          <w:tab w:val="left" w:pos="8647"/>
        </w:tabs>
        <w:spacing w:after="0" w:line="360" w:lineRule="auto"/>
        <w:rPr>
          <w:rFonts w:asciiTheme="majorHAnsi" w:hAnsiTheme="majorHAnsi" w:cs="Arial"/>
          <w:color w:val="0070C0"/>
        </w:rPr>
      </w:pPr>
      <w:r w:rsidRPr="00734AB6">
        <w:rPr>
          <w:rFonts w:asciiTheme="majorHAnsi" w:hAnsiTheme="majorHAnsi" w:cs="Arial"/>
        </w:rPr>
        <w:t>Which of the following most accurately describes your course:  O</w:t>
      </w:r>
      <w:r w:rsidRPr="00734AB6">
        <w:rPr>
          <w:rFonts w:asciiTheme="majorHAnsi" w:hAnsiTheme="majorHAnsi" w:cs="Arial"/>
          <w:color w:val="0070C0"/>
        </w:rPr>
        <w:t xml:space="preserve">ptions are: </w:t>
      </w:r>
      <w:r w:rsidRPr="00734AB6">
        <w:rPr>
          <w:rFonts w:asciiTheme="majorHAnsi" w:hAnsiTheme="majorHAnsi" w:cs="Arial"/>
          <w:i/>
          <w:color w:val="0070C0"/>
        </w:rPr>
        <w:t>Vocational (learning in a practical way about a job); Continuing Professional Development; High school/ college/ A levels; University bachelor’s program; University master’s program; Doctoral studies</w:t>
      </w:r>
    </w:p>
    <w:p w14:paraId="4CA4AC51" w14:textId="77777777" w:rsidR="004676EF" w:rsidRPr="00734AB6" w:rsidRDefault="004676EF" w:rsidP="0099584D">
      <w:pPr>
        <w:pStyle w:val="ListParagraph"/>
        <w:numPr>
          <w:ilvl w:val="0"/>
          <w:numId w:val="10"/>
        </w:numPr>
        <w:spacing w:before="240" w:after="0" w:line="360" w:lineRule="auto"/>
        <w:rPr>
          <w:rFonts w:asciiTheme="majorHAnsi" w:hAnsiTheme="majorHAnsi" w:cs="Arial"/>
        </w:rPr>
      </w:pPr>
      <w:r w:rsidRPr="00734AB6">
        <w:rPr>
          <w:rFonts w:asciiTheme="majorHAnsi" w:hAnsiTheme="majorHAnsi" w:cs="Arial"/>
          <w:noProof/>
          <w:lang w:eastAsia="en-GB"/>
        </w:rPr>
        <mc:AlternateContent>
          <mc:Choice Requires="wps">
            <w:drawing>
              <wp:anchor distT="0" distB="0" distL="114300" distR="114300" simplePos="0" relativeHeight="251658245" behindDoc="0" locked="0" layoutInCell="1" allowOverlap="1" wp14:anchorId="7D6975A9" wp14:editId="51D3BEF1">
                <wp:simplePos x="0" y="0"/>
                <wp:positionH relativeFrom="column">
                  <wp:posOffset>9191625</wp:posOffset>
                </wp:positionH>
                <wp:positionV relativeFrom="paragraph">
                  <wp:posOffset>47625</wp:posOffset>
                </wp:positionV>
                <wp:extent cx="104775" cy="85725"/>
                <wp:effectExtent l="0" t="0" r="28575" b="28575"/>
                <wp:wrapNone/>
                <wp:docPr id="62" name="Flowchart: Connector 62"/>
                <wp:cNvGraphicFramePr/>
                <a:graphic xmlns:a="http://schemas.openxmlformats.org/drawingml/2006/main">
                  <a:graphicData uri="http://schemas.microsoft.com/office/word/2010/wordprocessingShape">
                    <wps:wsp>
                      <wps:cNvSpPr/>
                      <wps:spPr>
                        <a:xfrm>
                          <a:off x="0" y="0"/>
                          <a:ext cx="104775"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55784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2" o:spid="_x0000_s1026" type="#_x0000_t120" style="position:absolute;margin-left:723.75pt;margin-top:3.75pt;width:8.2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" fillcolor="#5b9bd5 [3204]" strokecolor="#1f4d78 [1604]" strokeweight="1pt">
                <v:stroke joinstyle="miter"/>
              </v:shape>
            </w:pict>
          </mc:Fallback>
        </mc:AlternateContent>
      </w:r>
      <w:r w:rsidRPr="00734AB6">
        <w:rPr>
          <w:rFonts w:asciiTheme="majorHAnsi" w:hAnsiTheme="majorHAnsi" w:cs="Arial"/>
          <w:noProof/>
          <w:lang w:eastAsia="en-GB"/>
        </w:rPr>
        <mc:AlternateContent>
          <mc:Choice Requires="wps">
            <w:drawing>
              <wp:anchor distT="0" distB="0" distL="114300" distR="114300" simplePos="0" relativeHeight="251658244" behindDoc="0" locked="0" layoutInCell="1" allowOverlap="1" wp14:anchorId="435108C7" wp14:editId="16CAA358">
                <wp:simplePos x="0" y="0"/>
                <wp:positionH relativeFrom="column">
                  <wp:posOffset>7334250</wp:posOffset>
                </wp:positionH>
                <wp:positionV relativeFrom="paragraph">
                  <wp:posOffset>57150</wp:posOffset>
                </wp:positionV>
                <wp:extent cx="104775" cy="85725"/>
                <wp:effectExtent l="0" t="0" r="28575" b="28575"/>
                <wp:wrapNone/>
                <wp:docPr id="60" name="Flowchart: Connector 60"/>
                <wp:cNvGraphicFramePr/>
                <a:graphic xmlns:a="http://schemas.openxmlformats.org/drawingml/2006/main">
                  <a:graphicData uri="http://schemas.microsoft.com/office/word/2010/wordprocessingShape">
                    <wps:wsp>
                      <wps:cNvSpPr/>
                      <wps:spPr>
                        <a:xfrm>
                          <a:off x="0" y="0"/>
                          <a:ext cx="104775"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BA8AC" id="Flowchart: Connector 60" o:spid="_x0000_s1026" type="#_x0000_t120" style="position:absolute;margin-left:577.5pt;margin-top:4.5pt;width:8.2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" fillcolor="#5b9bd5 [3204]" strokecolor="#1f4d78 [1604]" strokeweight="1pt">
                <v:stroke joinstyle="miter"/>
              </v:shape>
            </w:pict>
          </mc:Fallback>
        </mc:AlternateContent>
      </w:r>
      <w:r w:rsidRPr="00734AB6">
        <w:rPr>
          <w:rFonts w:asciiTheme="majorHAnsi" w:hAnsiTheme="majorHAnsi" w:cs="Arial"/>
        </w:rPr>
        <w:t xml:space="preserve">Are you working at the moment?  </w:t>
      </w:r>
      <w:r w:rsidRPr="00734AB6">
        <w:rPr>
          <w:rFonts w:asciiTheme="majorHAnsi" w:hAnsiTheme="majorHAnsi" w:cs="Arial"/>
          <w:color w:val="0070C0"/>
        </w:rPr>
        <w:t xml:space="preserve">Options are: Yes, full-time paid; Yes, part-time paid; Yes, full-time voluntary; Yes, part-time voluntary; No </w:t>
      </w:r>
    </w:p>
    <w:p w14:paraId="6473760A" w14:textId="77777777" w:rsidR="004676EF" w:rsidRPr="00734AB6" w:rsidRDefault="004676EF" w:rsidP="0099584D">
      <w:pPr>
        <w:pStyle w:val="ListParagraph"/>
        <w:spacing w:before="240" w:after="0" w:line="360" w:lineRule="auto"/>
        <w:ind w:left="360"/>
        <w:rPr>
          <w:rFonts w:asciiTheme="majorHAnsi" w:hAnsiTheme="majorHAnsi" w:cs="Arial"/>
        </w:rPr>
      </w:pPr>
      <w:r w:rsidRPr="00734AB6">
        <w:rPr>
          <w:rFonts w:asciiTheme="majorHAnsi" w:hAnsiTheme="majorHAnsi" w:cs="Arial"/>
          <w:color w:val="000000"/>
        </w:rPr>
        <w:t>If in employment, please state your job title or role</w:t>
      </w:r>
      <w:r w:rsidRPr="00734AB6">
        <w:rPr>
          <w:rFonts w:asciiTheme="majorHAnsi" w:hAnsiTheme="majorHAnsi" w:cs="Arial"/>
          <w:color w:val="0070C0"/>
        </w:rPr>
        <w:t xml:space="preserve"> </w:t>
      </w:r>
      <w:r w:rsidRPr="00734AB6">
        <w:rPr>
          <w:rFonts w:asciiTheme="majorHAnsi" w:hAnsiTheme="majorHAnsi" w:cs="Arial"/>
          <w:color w:val="0070C0"/>
        </w:rPr>
        <w:tab/>
      </w:r>
      <w:r w:rsidRPr="00734AB6">
        <w:rPr>
          <w:rFonts w:asciiTheme="majorHAnsi" w:hAnsiTheme="majorHAnsi" w:cs="Arial"/>
          <w:i/>
          <w:color w:val="0070C0"/>
        </w:rPr>
        <w:t>free text box</w:t>
      </w:r>
    </w:p>
    <w:p w14:paraId="3C845CF0" w14:textId="77777777" w:rsidR="004676EF" w:rsidRPr="00734AB6" w:rsidRDefault="004676EF" w:rsidP="0099584D">
      <w:pPr>
        <w:spacing w:before="240" w:after="0" w:line="360" w:lineRule="auto"/>
        <w:rPr>
          <w:rFonts w:asciiTheme="majorHAnsi" w:hAnsiTheme="majorHAnsi" w:cs="Arial"/>
          <w:b/>
        </w:rPr>
      </w:pPr>
      <w:r w:rsidRPr="00734AB6">
        <w:rPr>
          <w:rFonts w:asciiTheme="majorHAnsi" w:hAnsiTheme="majorHAnsi" w:cs="Arial"/>
          <w:b/>
        </w:rPr>
        <w:t>Mental health and drug use</w:t>
      </w:r>
    </w:p>
    <w:p w14:paraId="3CEE2DF7" w14:textId="77777777" w:rsidR="004676EF" w:rsidRPr="00734AB6" w:rsidRDefault="004676EF" w:rsidP="0099584D">
      <w:pPr>
        <w:pStyle w:val="ListParagraph"/>
        <w:numPr>
          <w:ilvl w:val="0"/>
          <w:numId w:val="10"/>
        </w:numPr>
        <w:spacing w:after="240" w:line="360" w:lineRule="auto"/>
        <w:rPr>
          <w:rFonts w:asciiTheme="majorHAnsi" w:hAnsiTheme="majorHAnsi" w:cs="Arial"/>
          <w:color w:val="0070C0"/>
        </w:rPr>
      </w:pPr>
      <w:r w:rsidRPr="00734AB6">
        <w:rPr>
          <w:rFonts w:asciiTheme="majorHAnsi" w:hAnsiTheme="majorHAnsi" w:cs="Arial"/>
          <w:noProof/>
          <w:lang w:eastAsia="en-GB"/>
        </w:rPr>
        <mc:AlternateContent>
          <mc:Choice Requires="wps">
            <w:drawing>
              <wp:anchor distT="0" distB="0" distL="114300" distR="114300" simplePos="0" relativeHeight="251658243" behindDoc="0" locked="0" layoutInCell="1" allowOverlap="1" wp14:anchorId="76E933C4" wp14:editId="6B73ED5F">
                <wp:simplePos x="0" y="0"/>
                <wp:positionH relativeFrom="column">
                  <wp:posOffset>6772275</wp:posOffset>
                </wp:positionH>
                <wp:positionV relativeFrom="paragraph">
                  <wp:posOffset>37465</wp:posOffset>
                </wp:positionV>
                <wp:extent cx="104775" cy="85725"/>
                <wp:effectExtent l="0" t="0" r="28575" b="28575"/>
                <wp:wrapNone/>
                <wp:docPr id="14" name="Flowchart: Connector 14"/>
                <wp:cNvGraphicFramePr/>
                <a:graphic xmlns:a="http://schemas.openxmlformats.org/drawingml/2006/main">
                  <a:graphicData uri="http://schemas.microsoft.com/office/word/2010/wordprocessingShape">
                    <wps:wsp>
                      <wps:cNvSpPr/>
                      <wps:spPr>
                        <a:xfrm>
                          <a:off x="0" y="0"/>
                          <a:ext cx="104775"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19E96" id="Flowchart: Connector 14" o:spid="_x0000_s1026" type="#_x0000_t120" style="position:absolute;margin-left:533.25pt;margin-top:2.95pt;width:8.2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" fillcolor="#5b9bd5 [3204]" strokecolor="#1f4d78 [1604]" strokeweight="1pt">
                <v:stroke joinstyle="miter"/>
              </v:shape>
            </w:pict>
          </mc:Fallback>
        </mc:AlternateContent>
      </w:r>
      <w:r w:rsidRPr="00734AB6">
        <w:rPr>
          <w:rFonts w:asciiTheme="majorHAnsi" w:hAnsiTheme="majorHAnsi" w:cs="Arial"/>
        </w:rPr>
        <w:t xml:space="preserve">Have you ever been diagnosed with a psychiatric condition? </w:t>
      </w:r>
      <w:r w:rsidRPr="00734AB6">
        <w:rPr>
          <w:rFonts w:asciiTheme="majorHAnsi" w:hAnsiTheme="majorHAnsi" w:cs="Arial"/>
          <w:color w:val="0070C0"/>
        </w:rPr>
        <w:t xml:space="preserve">Options are: Yes </w:t>
      </w:r>
      <w:r w:rsidRPr="00734AB6">
        <w:rPr>
          <w:rFonts w:asciiTheme="majorHAnsi" w:hAnsiTheme="majorHAnsi" w:cs="Arial"/>
        </w:rPr>
        <w:t xml:space="preserve"> </w:t>
      </w:r>
      <w:r w:rsidRPr="00734AB6">
        <w:rPr>
          <w:rFonts w:asciiTheme="majorHAnsi" w:hAnsiTheme="majorHAnsi" w:cs="Arial"/>
          <w:color w:val="0070C0"/>
        </w:rPr>
        <w:t>(</w:t>
      </w:r>
      <w:r w:rsidRPr="00734AB6">
        <w:rPr>
          <w:rFonts w:asciiTheme="majorHAnsi" w:hAnsiTheme="majorHAnsi" w:cs="Arial"/>
          <w:i/>
          <w:color w:val="0070C0"/>
        </w:rPr>
        <w:t>leads to Q.9</w:t>
      </w:r>
      <w:r w:rsidRPr="00734AB6">
        <w:rPr>
          <w:rFonts w:asciiTheme="majorHAnsi" w:hAnsiTheme="majorHAnsi" w:cs="Arial"/>
          <w:color w:val="0070C0"/>
        </w:rPr>
        <w:t>) or No (</w:t>
      </w:r>
      <w:r w:rsidRPr="00734AB6">
        <w:rPr>
          <w:rFonts w:asciiTheme="majorHAnsi" w:hAnsiTheme="majorHAnsi" w:cs="Arial"/>
          <w:i/>
          <w:color w:val="0070C0"/>
        </w:rPr>
        <w:t>leads to Q.12</w:t>
      </w:r>
      <w:r w:rsidRPr="00734AB6">
        <w:rPr>
          <w:rFonts w:asciiTheme="majorHAnsi" w:hAnsiTheme="majorHAnsi" w:cs="Arial"/>
          <w:color w:val="0070C0"/>
        </w:rPr>
        <w:t>)</w:t>
      </w:r>
    </w:p>
    <w:p w14:paraId="18664136" w14:textId="77777777" w:rsidR="004676EF" w:rsidRPr="00734AB6" w:rsidRDefault="004676EF" w:rsidP="0099584D">
      <w:pPr>
        <w:pStyle w:val="ListParagraph"/>
        <w:numPr>
          <w:ilvl w:val="0"/>
          <w:numId w:val="10"/>
        </w:numPr>
        <w:spacing w:before="240" w:after="0" w:line="360" w:lineRule="auto"/>
        <w:rPr>
          <w:rFonts w:asciiTheme="majorHAnsi" w:hAnsiTheme="majorHAnsi" w:cs="Arial"/>
        </w:rPr>
      </w:pPr>
      <w:r w:rsidRPr="00734AB6">
        <w:rPr>
          <w:rFonts w:asciiTheme="majorHAnsi" w:hAnsiTheme="majorHAnsi" w:cs="Arial"/>
        </w:rPr>
        <w:t xml:space="preserve">What was the diagnosis? </w:t>
      </w:r>
    </w:p>
    <w:p w14:paraId="25E07E59"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What medications have you been prescribed (if any)? </w:t>
      </w:r>
      <w:r w:rsidRPr="00734AB6">
        <w:rPr>
          <w:rFonts w:asciiTheme="majorHAnsi" w:hAnsiTheme="majorHAnsi" w:cs="Arial"/>
          <w:color w:val="0070C0"/>
        </w:rPr>
        <w:t>Type medication names or ‘N/A’(free text box)</w:t>
      </w:r>
    </w:p>
    <w:p w14:paraId="305BEBFB"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 xml:space="preserve">If you were prescribed medication, are you currently taking it? </w:t>
      </w:r>
      <w:r w:rsidRPr="00734AB6">
        <w:rPr>
          <w:rFonts w:asciiTheme="majorHAnsi" w:hAnsiTheme="majorHAnsi" w:cs="Arial"/>
          <w:color w:val="0070C0"/>
        </w:rPr>
        <w:t xml:space="preserve">Options are: Yes or No </w:t>
      </w:r>
      <w:r w:rsidRPr="00734AB6">
        <w:rPr>
          <w:rFonts w:asciiTheme="majorHAnsi" w:hAnsiTheme="majorHAnsi" w:cs="Helvetica"/>
          <w:i/>
          <w:color w:val="0070C0"/>
          <w:shd w:val="clear" w:color="auto" w:fill="FFFFFF"/>
        </w:rPr>
        <w:t>(</w:t>
      </w:r>
      <w:r w:rsidRPr="00734AB6">
        <w:rPr>
          <w:rFonts w:asciiTheme="majorHAnsi" w:hAnsiTheme="majorHAnsi" w:cs="Arial"/>
          <w:i/>
          <w:color w:val="0070C0"/>
          <w:shd w:val="clear" w:color="auto" w:fill="FFFFFF"/>
        </w:rPr>
        <w:t>If you were not prescribed any, please select 'No')</w:t>
      </w:r>
    </w:p>
    <w:p w14:paraId="5178D93E" w14:textId="77777777" w:rsidR="004676EF" w:rsidRPr="00734AB6" w:rsidRDefault="004676EF" w:rsidP="0099584D">
      <w:pPr>
        <w:pStyle w:val="ListParagraph"/>
        <w:numPr>
          <w:ilvl w:val="0"/>
          <w:numId w:val="10"/>
        </w:numPr>
        <w:spacing w:before="240" w:after="0" w:line="360" w:lineRule="auto"/>
        <w:rPr>
          <w:rFonts w:asciiTheme="majorHAnsi" w:hAnsiTheme="majorHAnsi" w:cs="Arial"/>
        </w:rPr>
      </w:pPr>
      <w:r w:rsidRPr="00734AB6">
        <w:rPr>
          <w:rFonts w:asciiTheme="majorHAnsi" w:hAnsiTheme="majorHAnsi" w:cs="Arial"/>
        </w:rPr>
        <w:t xml:space="preserve">Have you ever been treated for a drug or alcohol-related problem? </w:t>
      </w:r>
      <w:r w:rsidRPr="00734AB6">
        <w:rPr>
          <w:rFonts w:asciiTheme="majorHAnsi" w:hAnsiTheme="majorHAnsi" w:cs="Arial"/>
          <w:color w:val="0070C0"/>
        </w:rPr>
        <w:t xml:space="preserve">Options are: Yes or No </w:t>
      </w:r>
      <w:r w:rsidRPr="00734AB6">
        <w:rPr>
          <w:rFonts w:asciiTheme="majorHAnsi" w:hAnsiTheme="majorHAnsi" w:cs="Arial"/>
          <w:i/>
          <w:color w:val="0070C0"/>
        </w:rPr>
        <w:t>(leads to next section)</w:t>
      </w:r>
    </w:p>
    <w:p w14:paraId="2433104B" w14:textId="77777777" w:rsidR="004676EF" w:rsidRPr="00734AB6" w:rsidRDefault="004676EF" w:rsidP="0099584D">
      <w:pPr>
        <w:spacing w:after="240" w:line="360" w:lineRule="auto"/>
        <w:ind w:left="426"/>
        <w:rPr>
          <w:rFonts w:asciiTheme="majorHAnsi" w:hAnsiTheme="majorHAnsi" w:cs="Arial"/>
        </w:rPr>
      </w:pPr>
      <w:r w:rsidRPr="00734AB6">
        <w:rPr>
          <w:rFonts w:asciiTheme="majorHAnsi" w:hAnsiTheme="majorHAnsi" w:cs="Arial"/>
        </w:rPr>
        <w:t xml:space="preserve">If yes, are you still receiving treatment?  </w:t>
      </w:r>
      <w:r w:rsidRPr="00734AB6">
        <w:rPr>
          <w:rFonts w:asciiTheme="majorHAnsi" w:hAnsiTheme="majorHAnsi" w:cs="Arial"/>
          <w:color w:val="0070C0"/>
        </w:rPr>
        <w:t>Options are: Yes or No</w:t>
      </w:r>
    </w:p>
    <w:p w14:paraId="5604CEE2" w14:textId="77777777" w:rsidR="004676EF" w:rsidRPr="00734AB6" w:rsidRDefault="004676EF" w:rsidP="0099584D">
      <w:pPr>
        <w:spacing w:before="240" w:after="0" w:line="360" w:lineRule="auto"/>
        <w:rPr>
          <w:rFonts w:asciiTheme="majorHAnsi" w:hAnsiTheme="majorHAnsi" w:cs="Arial"/>
          <w:b/>
        </w:rPr>
      </w:pPr>
      <w:r w:rsidRPr="00734AB6">
        <w:rPr>
          <w:rFonts w:asciiTheme="majorHAnsi" w:hAnsiTheme="majorHAnsi" w:cs="Arial"/>
          <w:b/>
        </w:rPr>
        <w:t>Cannabis</w:t>
      </w:r>
    </w:p>
    <w:p w14:paraId="11819270" w14:textId="77777777" w:rsidR="004676EF" w:rsidRPr="00734AB6" w:rsidRDefault="004676EF" w:rsidP="0099584D">
      <w:pPr>
        <w:pStyle w:val="ListParagraph"/>
        <w:numPr>
          <w:ilvl w:val="0"/>
          <w:numId w:val="10"/>
        </w:numPr>
        <w:spacing w:after="240" w:line="360" w:lineRule="auto"/>
        <w:rPr>
          <w:rFonts w:asciiTheme="majorHAnsi" w:hAnsiTheme="majorHAnsi" w:cs="Arial"/>
        </w:rPr>
      </w:pPr>
      <w:r w:rsidRPr="00734AB6">
        <w:rPr>
          <w:rFonts w:asciiTheme="majorHAnsi" w:hAnsiTheme="majorHAnsi" w:cs="Arial"/>
        </w:rPr>
        <w:t xml:space="preserve">Have you ever taken cannabis?  </w:t>
      </w:r>
      <w:r w:rsidRPr="00734AB6">
        <w:rPr>
          <w:rFonts w:asciiTheme="majorHAnsi" w:hAnsiTheme="majorHAnsi" w:cs="Arial"/>
          <w:color w:val="0070C0"/>
        </w:rPr>
        <w:t>Options are: Yes or No (</w:t>
      </w:r>
      <w:r w:rsidRPr="00734AB6">
        <w:rPr>
          <w:rFonts w:asciiTheme="majorHAnsi" w:hAnsiTheme="majorHAnsi" w:cs="Arial"/>
          <w:i/>
          <w:color w:val="0070C0"/>
        </w:rPr>
        <w:t>No leads to next section)</w:t>
      </w:r>
    </w:p>
    <w:p w14:paraId="32DBA077"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Do you have a prescription for medicinal cannabis? </w:t>
      </w:r>
      <w:r w:rsidRPr="00734AB6">
        <w:rPr>
          <w:rFonts w:asciiTheme="majorHAnsi" w:hAnsiTheme="majorHAnsi" w:cs="Arial"/>
          <w:color w:val="0070C0"/>
        </w:rPr>
        <w:t>Options are: Yes or No</w:t>
      </w:r>
    </w:p>
    <w:p w14:paraId="2EA7BD8A"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lastRenderedPageBreak/>
        <w:t xml:space="preserve">What age were you when you first took cannabis?  </w:t>
      </w:r>
      <w:r w:rsidRPr="00734AB6">
        <w:rPr>
          <w:rFonts w:asciiTheme="majorHAnsi" w:hAnsiTheme="majorHAnsi" w:cs="Arial"/>
          <w:color w:val="0070C0"/>
        </w:rPr>
        <w:t>(type age)</w:t>
      </w:r>
    </w:p>
    <w:p w14:paraId="741F1578"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 xml:space="preserve">In the past six months, how regularly have you taken cannabis?  </w:t>
      </w:r>
      <w:r w:rsidRPr="00734AB6">
        <w:rPr>
          <w:rFonts w:asciiTheme="majorHAnsi" w:hAnsiTheme="majorHAnsi" w:cs="Arial"/>
          <w:color w:val="0070C0"/>
        </w:rPr>
        <w:t>Options are: every day/almost every day, 3-4 times per week, once per week, 1-2 times per month, up to 3 times in total, none</w:t>
      </w:r>
    </w:p>
    <w:p w14:paraId="6787A197"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 xml:space="preserve">What type of cannabis do you use most commonly? </w:t>
      </w:r>
      <w:r w:rsidRPr="00734AB6">
        <w:rPr>
          <w:rFonts w:asciiTheme="majorHAnsi" w:hAnsiTheme="majorHAnsi" w:cs="Arial"/>
          <w:color w:val="0070C0"/>
        </w:rPr>
        <w:t>Options are: Resin/hash, normal weed, kief, edible, oils/concentrates, butane hash oil, high potency herbal/skunk</w:t>
      </w:r>
    </w:p>
    <w:p w14:paraId="594F0794"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How do you take it? </w:t>
      </w:r>
      <w:r w:rsidRPr="00734AB6">
        <w:rPr>
          <w:rFonts w:asciiTheme="majorHAnsi" w:hAnsiTheme="majorHAnsi" w:cs="Arial"/>
          <w:color w:val="0070C0"/>
        </w:rPr>
        <w:t>Options are: Medical spray, tea, joint, pipe, bucket bong, bong/water pipe, eaten in food, vaporiser, blunt</w:t>
      </w:r>
    </w:p>
    <w:p w14:paraId="47E29DEB" w14:textId="77777777" w:rsidR="004676EF" w:rsidRPr="00734AB6" w:rsidRDefault="004676EF" w:rsidP="0099584D">
      <w:pPr>
        <w:pStyle w:val="ListParagraph"/>
        <w:numPr>
          <w:ilvl w:val="0"/>
          <w:numId w:val="10"/>
        </w:numPr>
        <w:spacing w:line="360" w:lineRule="auto"/>
        <w:rPr>
          <w:rFonts w:asciiTheme="majorHAnsi" w:hAnsiTheme="majorHAnsi"/>
        </w:rPr>
      </w:pPr>
      <w:r w:rsidRPr="00734AB6">
        <w:rPr>
          <w:rFonts w:asciiTheme="majorHAnsi" w:hAnsiTheme="majorHAnsi" w:cs="Arial"/>
        </w:rPr>
        <w:t xml:space="preserve">How much do you take in any single day of use </w:t>
      </w:r>
      <w:r w:rsidRPr="00734AB6">
        <w:rPr>
          <w:rFonts w:asciiTheme="majorHAnsi" w:hAnsiTheme="majorHAnsi" w:cs="Arial"/>
          <w:color w:val="0070C0"/>
        </w:rPr>
        <w:t>(please state amount in relation to type, e.g. grams, ml etc.) Free text box</w:t>
      </w:r>
    </w:p>
    <w:p w14:paraId="5BD12273" w14:textId="77777777" w:rsidR="004676EF" w:rsidRPr="00734AB6" w:rsidRDefault="004676EF" w:rsidP="0099584D">
      <w:pPr>
        <w:spacing w:after="40" w:line="360" w:lineRule="auto"/>
        <w:rPr>
          <w:rFonts w:asciiTheme="majorHAnsi" w:hAnsiTheme="majorHAnsi"/>
          <w:b/>
        </w:rPr>
      </w:pPr>
      <w:r w:rsidRPr="00734AB6">
        <w:rPr>
          <w:rFonts w:asciiTheme="majorHAnsi" w:hAnsiTheme="majorHAnsi"/>
          <w:b/>
        </w:rPr>
        <w:t>Modafinil</w:t>
      </w:r>
    </w:p>
    <w:p w14:paraId="01238D11" w14:textId="77777777" w:rsidR="004676EF" w:rsidRPr="00734AB6" w:rsidRDefault="004676EF" w:rsidP="0099584D">
      <w:pPr>
        <w:pStyle w:val="ListParagraph"/>
        <w:numPr>
          <w:ilvl w:val="0"/>
          <w:numId w:val="10"/>
        </w:numPr>
        <w:spacing w:after="240" w:line="360" w:lineRule="auto"/>
        <w:rPr>
          <w:rFonts w:asciiTheme="majorHAnsi" w:hAnsiTheme="majorHAnsi" w:cs="Arial"/>
        </w:rPr>
      </w:pPr>
      <w:r w:rsidRPr="00734AB6">
        <w:rPr>
          <w:rFonts w:asciiTheme="majorHAnsi" w:hAnsiTheme="majorHAnsi" w:cs="Arial"/>
          <w:noProof/>
          <w:lang w:eastAsia="en-GB"/>
        </w:rPr>
        <mc:AlternateContent>
          <mc:Choice Requires="wps">
            <w:drawing>
              <wp:anchor distT="0" distB="0" distL="114300" distR="114300" simplePos="0" relativeHeight="251658246" behindDoc="0" locked="0" layoutInCell="1" allowOverlap="1" wp14:anchorId="5966496D" wp14:editId="441BB470">
                <wp:simplePos x="0" y="0"/>
                <wp:positionH relativeFrom="column">
                  <wp:posOffset>6638925</wp:posOffset>
                </wp:positionH>
                <wp:positionV relativeFrom="paragraph">
                  <wp:posOffset>29509</wp:posOffset>
                </wp:positionV>
                <wp:extent cx="104775" cy="85725"/>
                <wp:effectExtent l="0" t="0" r="28575" b="28575"/>
                <wp:wrapNone/>
                <wp:docPr id="92" name="Flowchart: Connector 92"/>
                <wp:cNvGraphicFramePr/>
                <a:graphic xmlns:a="http://schemas.openxmlformats.org/drawingml/2006/main">
                  <a:graphicData uri="http://schemas.microsoft.com/office/word/2010/wordprocessingShape">
                    <wps:wsp>
                      <wps:cNvSpPr/>
                      <wps:spPr>
                        <a:xfrm>
                          <a:off x="0" y="0"/>
                          <a:ext cx="104775"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298F4" id="Flowchart: Connector 92" o:spid="_x0000_s1026" type="#_x0000_t120" style="position:absolute;margin-left:522.75pt;margin-top:2.3pt;width:8.2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" fillcolor="#5b9bd5 [3204]" strokecolor="#1f4d78 [1604]" strokeweight="1pt">
                <v:stroke joinstyle="miter"/>
              </v:shape>
            </w:pict>
          </mc:Fallback>
        </mc:AlternateContent>
      </w:r>
      <w:r w:rsidRPr="00734AB6">
        <w:rPr>
          <w:rFonts w:asciiTheme="majorHAnsi" w:hAnsiTheme="majorHAnsi" w:cs="Arial"/>
        </w:rPr>
        <w:t xml:space="preserve">Are you aware of the cognitive enhancing drug, Modafinil (Provigil, </w:t>
      </w:r>
      <w:proofErr w:type="spellStart"/>
      <w:r w:rsidRPr="00734AB6">
        <w:rPr>
          <w:rFonts w:asciiTheme="majorHAnsi" w:hAnsiTheme="majorHAnsi" w:cs="Arial"/>
        </w:rPr>
        <w:t>Modalert</w:t>
      </w:r>
      <w:proofErr w:type="spellEnd"/>
      <w:r w:rsidRPr="00734AB6">
        <w:rPr>
          <w:rFonts w:asciiTheme="majorHAnsi" w:hAnsiTheme="majorHAnsi" w:cs="Arial"/>
          <w:color w:val="0070C0"/>
        </w:rPr>
        <w:t xml:space="preserve"> Options are: Yes or No (no leads to methylphenidate)</w:t>
      </w:r>
    </w:p>
    <w:p w14:paraId="4BE77F3F"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Have you ever taken it?  </w:t>
      </w:r>
      <w:r w:rsidRPr="00734AB6">
        <w:rPr>
          <w:rFonts w:asciiTheme="majorHAnsi" w:hAnsiTheme="majorHAnsi" w:cs="Arial"/>
          <w:color w:val="0070C0"/>
        </w:rPr>
        <w:t xml:space="preserve">Options are: Yes or No </w:t>
      </w:r>
      <w:r w:rsidRPr="00734AB6">
        <w:rPr>
          <w:rFonts w:asciiTheme="majorHAnsi" w:hAnsiTheme="majorHAnsi" w:cs="Arial"/>
          <w:i/>
          <w:color w:val="0070C0"/>
        </w:rPr>
        <w:t>(</w:t>
      </w:r>
      <w:r w:rsidRPr="00734AB6">
        <w:rPr>
          <w:rFonts w:asciiTheme="majorHAnsi" w:hAnsiTheme="majorHAnsi" w:cs="Arial"/>
          <w:color w:val="0070C0"/>
        </w:rPr>
        <w:t>no leads to methylphenidate</w:t>
      </w:r>
      <w:r w:rsidRPr="00734AB6">
        <w:rPr>
          <w:rFonts w:asciiTheme="majorHAnsi" w:hAnsiTheme="majorHAnsi" w:cs="Arial"/>
          <w:i/>
          <w:color w:val="0070C0"/>
        </w:rPr>
        <w:t>)</w:t>
      </w:r>
    </w:p>
    <w:p w14:paraId="0B0964F7"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Have you been prescribed Modafinil?   </w:t>
      </w:r>
      <w:r w:rsidRPr="00734AB6">
        <w:rPr>
          <w:rFonts w:asciiTheme="majorHAnsi" w:hAnsiTheme="majorHAnsi" w:cs="Arial"/>
          <w:color w:val="0070C0"/>
        </w:rPr>
        <w:t>Options are: Yes or No</w:t>
      </w:r>
    </w:p>
    <w:p w14:paraId="027304D7" w14:textId="77777777" w:rsidR="004676EF" w:rsidRPr="00734AB6" w:rsidRDefault="004676EF" w:rsidP="0099584D">
      <w:pPr>
        <w:pStyle w:val="ListParagraph"/>
        <w:numPr>
          <w:ilvl w:val="0"/>
          <w:numId w:val="10"/>
        </w:numPr>
        <w:spacing w:before="240" w:after="240" w:line="360" w:lineRule="auto"/>
        <w:rPr>
          <w:rFonts w:asciiTheme="majorHAnsi" w:hAnsiTheme="majorHAnsi" w:cs="Arial"/>
        </w:rPr>
      </w:pPr>
      <w:r w:rsidRPr="00734AB6">
        <w:rPr>
          <w:rFonts w:asciiTheme="majorHAnsi" w:hAnsiTheme="majorHAnsi" w:cs="Arial"/>
        </w:rPr>
        <w:t xml:space="preserve">What age were you when you first took Modafinil?  </w:t>
      </w:r>
      <w:r w:rsidRPr="00734AB6">
        <w:rPr>
          <w:rFonts w:asciiTheme="majorHAnsi" w:hAnsiTheme="majorHAnsi" w:cs="Arial"/>
          <w:color w:val="0070C0"/>
        </w:rPr>
        <w:t>(</w:t>
      </w:r>
      <w:proofErr w:type="spellStart"/>
      <w:r w:rsidRPr="00734AB6">
        <w:rPr>
          <w:rFonts w:asciiTheme="majorHAnsi" w:hAnsiTheme="majorHAnsi" w:cs="Arial"/>
          <w:color w:val="0070C0"/>
        </w:rPr>
        <w:t>slide</w:t>
      </w:r>
      <w:proofErr w:type="spellEnd"/>
      <w:r w:rsidRPr="00734AB6">
        <w:rPr>
          <w:rFonts w:asciiTheme="majorHAnsi" w:hAnsiTheme="majorHAnsi" w:cs="Arial"/>
          <w:color w:val="0070C0"/>
        </w:rPr>
        <w:t xml:space="preserve"> bar to indicate age)</w:t>
      </w:r>
    </w:p>
    <w:p w14:paraId="118D6CEC"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 xml:space="preserve">In the past six months, how regularly have you taken Modafinil?  </w:t>
      </w:r>
      <w:r w:rsidRPr="00734AB6">
        <w:rPr>
          <w:rFonts w:asciiTheme="majorHAnsi" w:hAnsiTheme="majorHAnsi" w:cs="Arial"/>
          <w:color w:val="0070C0"/>
        </w:rPr>
        <w:t>Options are</w:t>
      </w:r>
      <w:r w:rsidRPr="00734AB6">
        <w:rPr>
          <w:rFonts w:asciiTheme="majorHAnsi" w:hAnsiTheme="majorHAnsi" w:cs="Arial"/>
        </w:rPr>
        <w:t xml:space="preserve">: </w:t>
      </w:r>
      <w:r w:rsidRPr="00734AB6">
        <w:rPr>
          <w:rFonts w:asciiTheme="majorHAnsi" w:hAnsiTheme="majorHAnsi" w:cs="Arial"/>
          <w:color w:val="0070C0"/>
        </w:rPr>
        <w:t>every day/almost every day, 3-4 times per week, once per week, 1-2 times per month, up to 3 times in total, none</w:t>
      </w:r>
    </w:p>
    <w:p w14:paraId="799851C8"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 xml:space="preserve">How do you take it? </w:t>
      </w:r>
      <w:r w:rsidRPr="00734AB6">
        <w:rPr>
          <w:rFonts w:asciiTheme="majorHAnsi" w:hAnsiTheme="majorHAnsi" w:cs="Arial"/>
          <w:color w:val="0070C0"/>
        </w:rPr>
        <w:t>Options are: Swallow pill, snort, smoke, inject, vaporise, other</w:t>
      </w:r>
    </w:p>
    <w:p w14:paraId="63865167"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How much do you take in any single day of use D</w:t>
      </w:r>
      <w:r w:rsidRPr="00734AB6">
        <w:rPr>
          <w:rFonts w:asciiTheme="majorHAnsi" w:hAnsiTheme="majorHAnsi" w:cs="Arial"/>
          <w:color w:val="0070C0"/>
        </w:rPr>
        <w:t>ropdown box ranging from less than 50mg to more than 500mg</w:t>
      </w:r>
    </w:p>
    <w:p w14:paraId="32EDBE0D"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Do you always take the same dose? Yes</w:t>
      </w:r>
      <w:r w:rsidRPr="00734AB6">
        <w:rPr>
          <w:rFonts w:asciiTheme="majorHAnsi" w:hAnsiTheme="majorHAnsi" w:cs="Arial"/>
          <w:color w:val="0070C0"/>
        </w:rPr>
        <w:t xml:space="preserve"> (Yes leads to next question) </w:t>
      </w:r>
      <w:r w:rsidRPr="00734AB6">
        <w:rPr>
          <w:rFonts w:asciiTheme="majorHAnsi" w:hAnsiTheme="majorHAnsi" w:cs="Arial"/>
        </w:rPr>
        <w:t>No</w:t>
      </w:r>
      <w:r w:rsidRPr="00734AB6">
        <w:rPr>
          <w:rFonts w:asciiTheme="majorHAnsi" w:hAnsiTheme="majorHAnsi" w:cs="Arial"/>
          <w:color w:val="0070C0"/>
        </w:rPr>
        <w:t xml:space="preserve"> (No skips the next question)</w:t>
      </w:r>
    </w:p>
    <w:p w14:paraId="65A0C632" w14:textId="77777777" w:rsidR="004676EF" w:rsidRPr="00734AB6" w:rsidRDefault="004676EF" w:rsidP="0099584D">
      <w:pPr>
        <w:pStyle w:val="ListParagraph"/>
        <w:numPr>
          <w:ilvl w:val="0"/>
          <w:numId w:val="10"/>
        </w:numPr>
        <w:spacing w:before="240" w:after="240" w:line="360" w:lineRule="auto"/>
        <w:rPr>
          <w:rFonts w:asciiTheme="majorHAnsi" w:hAnsiTheme="majorHAnsi" w:cs="Arial"/>
          <w:color w:val="0070C0"/>
        </w:rPr>
      </w:pPr>
      <w:r w:rsidRPr="00734AB6">
        <w:rPr>
          <w:rFonts w:asciiTheme="majorHAnsi" w:hAnsiTheme="majorHAnsi" w:cs="Arial"/>
        </w:rPr>
        <w:t xml:space="preserve">What is the typical maximum and minimum dose you would take at any one time?  </w:t>
      </w:r>
      <w:r w:rsidRPr="00734AB6">
        <w:rPr>
          <w:rFonts w:asciiTheme="majorHAnsi" w:hAnsiTheme="majorHAnsi" w:cs="Arial"/>
          <w:color w:val="0070C0"/>
        </w:rPr>
        <w:t>Dropdown box ranging from less than 50mg to more than 500mg</w:t>
      </w:r>
    </w:p>
    <w:p w14:paraId="63E06552" w14:textId="77777777" w:rsidR="004676EF" w:rsidRPr="00734AB6" w:rsidRDefault="004676EF" w:rsidP="0099584D">
      <w:pPr>
        <w:spacing w:before="240" w:line="360" w:lineRule="auto"/>
        <w:rPr>
          <w:rFonts w:asciiTheme="majorHAnsi" w:hAnsiTheme="majorHAnsi" w:cs="Arial"/>
          <w:b/>
        </w:rPr>
      </w:pPr>
      <w:r w:rsidRPr="00734AB6">
        <w:rPr>
          <w:rFonts w:asciiTheme="majorHAnsi" w:hAnsiTheme="majorHAnsi" w:cs="Arial"/>
          <w:b/>
        </w:rPr>
        <w:t>Methylphenidate</w:t>
      </w:r>
    </w:p>
    <w:p w14:paraId="329BEFFA"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Are you aware of Methylphenidate (Ritalin, </w:t>
      </w:r>
      <w:proofErr w:type="spellStart"/>
      <w:r w:rsidRPr="00734AB6">
        <w:rPr>
          <w:rFonts w:asciiTheme="majorHAnsi" w:hAnsiTheme="majorHAnsi" w:cs="Arial"/>
        </w:rPr>
        <w:t>Rubifen</w:t>
      </w:r>
      <w:proofErr w:type="spellEnd"/>
      <w:r w:rsidRPr="00734AB6">
        <w:rPr>
          <w:rFonts w:asciiTheme="majorHAnsi" w:hAnsiTheme="majorHAnsi" w:cs="Arial"/>
        </w:rPr>
        <w:t xml:space="preserve">, </w:t>
      </w:r>
      <w:proofErr w:type="spellStart"/>
      <w:r w:rsidRPr="00734AB6">
        <w:rPr>
          <w:rFonts w:asciiTheme="majorHAnsi" w:hAnsiTheme="majorHAnsi" w:cs="Arial"/>
        </w:rPr>
        <w:t>Concerta</w:t>
      </w:r>
      <w:proofErr w:type="spellEnd"/>
      <w:r w:rsidRPr="00734AB6">
        <w:rPr>
          <w:rFonts w:asciiTheme="majorHAnsi" w:hAnsiTheme="majorHAnsi" w:cs="Arial"/>
        </w:rPr>
        <w:t xml:space="preserve">)?  </w:t>
      </w:r>
      <w:r w:rsidRPr="00734AB6">
        <w:rPr>
          <w:rFonts w:asciiTheme="majorHAnsi" w:hAnsiTheme="majorHAnsi" w:cs="Arial"/>
          <w:color w:val="0070C0"/>
        </w:rPr>
        <w:t>Options are: Yes or No (no leads to )</w:t>
      </w:r>
    </w:p>
    <w:p w14:paraId="235226F5"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Have you ever taken it?  </w:t>
      </w:r>
      <w:r w:rsidRPr="00734AB6">
        <w:rPr>
          <w:rFonts w:asciiTheme="majorHAnsi" w:hAnsiTheme="majorHAnsi" w:cs="Arial"/>
          <w:color w:val="0070C0"/>
        </w:rPr>
        <w:t>Options are: Yes or No</w:t>
      </w:r>
      <w:r w:rsidRPr="00734AB6">
        <w:rPr>
          <w:rFonts w:asciiTheme="majorHAnsi" w:hAnsiTheme="majorHAnsi" w:cs="Arial"/>
        </w:rPr>
        <w:t xml:space="preserve">  </w:t>
      </w:r>
      <w:r w:rsidRPr="00734AB6">
        <w:rPr>
          <w:rFonts w:asciiTheme="majorHAnsi" w:hAnsiTheme="majorHAnsi" w:cs="Arial"/>
          <w:i/>
          <w:color w:val="0070C0"/>
        </w:rPr>
        <w:t>(</w:t>
      </w:r>
      <w:r w:rsidRPr="00734AB6">
        <w:rPr>
          <w:rFonts w:asciiTheme="majorHAnsi" w:hAnsiTheme="majorHAnsi" w:cs="Arial"/>
          <w:color w:val="0070C0"/>
        </w:rPr>
        <w:t>No leads to debrief)</w:t>
      </w:r>
    </w:p>
    <w:p w14:paraId="21AD5661"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Have you been prescribed Methylphenidate?  </w:t>
      </w:r>
      <w:r w:rsidRPr="00734AB6">
        <w:rPr>
          <w:rFonts w:asciiTheme="majorHAnsi" w:hAnsiTheme="majorHAnsi" w:cs="Arial"/>
          <w:color w:val="0070C0"/>
        </w:rPr>
        <w:t xml:space="preserve">Options are: Yes or No </w:t>
      </w:r>
    </w:p>
    <w:p w14:paraId="11D784C2"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What age were you when you first took Methylphenidate? </w:t>
      </w:r>
      <w:r w:rsidRPr="00734AB6">
        <w:rPr>
          <w:rFonts w:asciiTheme="majorHAnsi" w:hAnsiTheme="majorHAnsi" w:cs="Arial"/>
          <w:color w:val="0070C0"/>
        </w:rPr>
        <w:t>(</w:t>
      </w:r>
      <w:proofErr w:type="spellStart"/>
      <w:r w:rsidRPr="00734AB6">
        <w:rPr>
          <w:rFonts w:asciiTheme="majorHAnsi" w:hAnsiTheme="majorHAnsi" w:cs="Arial"/>
          <w:color w:val="0070C0"/>
        </w:rPr>
        <w:t>slide</w:t>
      </w:r>
      <w:proofErr w:type="spellEnd"/>
      <w:r w:rsidRPr="00734AB6">
        <w:rPr>
          <w:rFonts w:asciiTheme="majorHAnsi" w:hAnsiTheme="majorHAnsi" w:cs="Arial"/>
          <w:color w:val="0070C0"/>
        </w:rPr>
        <w:t xml:space="preserve"> bar to indicate age)</w:t>
      </w:r>
    </w:p>
    <w:p w14:paraId="140CBED3" w14:textId="77777777" w:rsidR="004676EF" w:rsidRPr="00734AB6" w:rsidRDefault="004676EF" w:rsidP="0099584D">
      <w:pPr>
        <w:pStyle w:val="ListParagraph"/>
        <w:numPr>
          <w:ilvl w:val="0"/>
          <w:numId w:val="9"/>
        </w:numPr>
        <w:spacing w:before="240" w:after="240" w:line="360" w:lineRule="auto"/>
        <w:rPr>
          <w:rFonts w:asciiTheme="majorHAnsi" w:hAnsiTheme="majorHAnsi" w:cs="Arial"/>
        </w:rPr>
      </w:pPr>
      <w:r w:rsidRPr="00734AB6">
        <w:rPr>
          <w:rFonts w:asciiTheme="majorHAnsi" w:hAnsiTheme="majorHAnsi" w:cs="Arial"/>
        </w:rPr>
        <w:t xml:space="preserve">In the past six months, how regularly have you taken Methylphenidate? </w:t>
      </w:r>
      <w:r w:rsidRPr="00734AB6">
        <w:rPr>
          <w:rFonts w:asciiTheme="majorHAnsi" w:hAnsiTheme="majorHAnsi" w:cs="Arial"/>
          <w:color w:val="0070C0"/>
        </w:rPr>
        <w:t>Options are: every day/almost every day, 3-4 times per week, once per week, 1-2 times per month, up to 3 times in total, none</w:t>
      </w:r>
    </w:p>
    <w:p w14:paraId="48016EE8"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rPr>
        <w:lastRenderedPageBreak/>
        <w:t xml:space="preserve">How do you take it? </w:t>
      </w:r>
      <w:r w:rsidRPr="00734AB6">
        <w:rPr>
          <w:rFonts w:asciiTheme="majorHAnsi" w:hAnsiTheme="majorHAnsi" w:cs="Arial"/>
          <w:color w:val="0070C0"/>
        </w:rPr>
        <w:t>Options are: Swallow pill, snort, smoke, inject, vaporise, rectal, other</w:t>
      </w:r>
    </w:p>
    <w:p w14:paraId="7A089458"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rPr>
        <w:t xml:space="preserve">How much do you take in any single day of use </w:t>
      </w:r>
      <w:r w:rsidRPr="00734AB6">
        <w:rPr>
          <w:rFonts w:asciiTheme="majorHAnsi" w:hAnsiTheme="majorHAnsi" w:cs="Arial"/>
          <w:color w:val="0070C0"/>
        </w:rPr>
        <w:t>(dropdown box ranging from less than less than 10mg to more than 80mg)</w:t>
      </w:r>
    </w:p>
    <w:p w14:paraId="362FDA8C"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rPr>
        <w:t xml:space="preserve">Do you always take the same dose? </w:t>
      </w:r>
      <w:r w:rsidRPr="00734AB6">
        <w:rPr>
          <w:rFonts w:asciiTheme="majorHAnsi" w:hAnsiTheme="majorHAnsi" w:cs="Arial"/>
          <w:color w:val="0070C0"/>
        </w:rPr>
        <w:t>Options are: Yes (Yes leads to next question) or No  (No skips the next question)</w:t>
      </w:r>
    </w:p>
    <w:p w14:paraId="64DFF9F5"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rPr>
        <w:t xml:space="preserve">What is the typical maximum and minimum dose you would take at any one time?  </w:t>
      </w:r>
      <w:r w:rsidRPr="00734AB6">
        <w:rPr>
          <w:rFonts w:asciiTheme="majorHAnsi" w:hAnsiTheme="majorHAnsi" w:cs="Arial"/>
          <w:color w:val="0070C0"/>
        </w:rPr>
        <w:t>(dropdown box ranging from less than 10mg to more than 80mg)</w:t>
      </w:r>
    </w:p>
    <w:p w14:paraId="7F8528AE" w14:textId="77777777" w:rsidR="004676EF" w:rsidRPr="00734AB6" w:rsidRDefault="004676EF" w:rsidP="0099584D">
      <w:pPr>
        <w:spacing w:before="240" w:after="240" w:line="360" w:lineRule="auto"/>
        <w:rPr>
          <w:rFonts w:asciiTheme="majorHAnsi" w:hAnsiTheme="majorHAnsi" w:cs="Arial"/>
          <w:b/>
        </w:rPr>
      </w:pPr>
      <w:r w:rsidRPr="00734AB6">
        <w:rPr>
          <w:rFonts w:asciiTheme="majorHAnsi" w:hAnsiTheme="majorHAnsi" w:cs="Arial"/>
          <w:b/>
        </w:rPr>
        <w:t>Smoking and nicotine replacement</w:t>
      </w:r>
    </w:p>
    <w:p w14:paraId="3276A501"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shd w:val="clear" w:color="auto" w:fill="FFFFFF"/>
        </w:rPr>
        <w:t>How frequently in the past </w:t>
      </w:r>
      <w:r w:rsidRPr="00734AB6">
        <w:rPr>
          <w:rFonts w:asciiTheme="majorHAnsi" w:hAnsiTheme="majorHAnsi" w:cs="Arial"/>
          <w:u w:val="single"/>
        </w:rPr>
        <w:t>SIX MONTHS</w:t>
      </w:r>
      <w:r w:rsidRPr="00734AB6">
        <w:rPr>
          <w:rFonts w:asciiTheme="majorHAnsi" w:hAnsiTheme="majorHAnsi" w:cs="Arial"/>
        </w:rPr>
        <w:t> have you taken nicotine</w:t>
      </w:r>
      <w:r w:rsidRPr="00734AB6">
        <w:rPr>
          <w:rFonts w:asciiTheme="majorHAnsi" w:hAnsiTheme="majorHAnsi" w:cs="Arial"/>
          <w:b/>
        </w:rPr>
        <w:t xml:space="preserve">.  </w:t>
      </w:r>
      <w:r w:rsidRPr="00734AB6">
        <w:rPr>
          <w:rFonts w:asciiTheme="majorHAnsi" w:hAnsiTheme="majorHAnsi" w:cs="Arial"/>
          <w:color w:val="0070C0"/>
        </w:rPr>
        <w:t xml:space="preserve">Nicotine options for Q.58 and Q.59 are tobacco/cigarettes; vaping/ electronic cigarettes and Replacement products (e.g. gum, spray etc.)  </w:t>
      </w:r>
      <w:r w:rsidRPr="00734AB6">
        <w:rPr>
          <w:rFonts w:asciiTheme="majorHAnsi" w:hAnsiTheme="majorHAnsi" w:cs="Arial"/>
        </w:rPr>
        <w:t>Please click on the option(s) which are the most accurate</w:t>
      </w:r>
      <w:r w:rsidRPr="00734AB6">
        <w:rPr>
          <w:rFonts w:asciiTheme="majorHAnsi" w:hAnsiTheme="majorHAnsi" w:cs="Arial"/>
          <w:b/>
        </w:rPr>
        <w:t xml:space="preserve">. </w:t>
      </w:r>
      <w:r w:rsidRPr="00734AB6">
        <w:rPr>
          <w:rFonts w:asciiTheme="majorHAnsi" w:hAnsiTheme="majorHAnsi" w:cs="Arial"/>
          <w:color w:val="0070C0"/>
        </w:rPr>
        <w:t>Options are: Every day/ almost every day, 3-4 times per week, once per week, 1-2 times per month, up to 3 times in total, never</w:t>
      </w:r>
    </w:p>
    <w:p w14:paraId="0CA4F2B4"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rPr>
        <w:t>How long has it been since you last used this drug</w:t>
      </w:r>
      <w:r w:rsidRPr="00734AB6">
        <w:rPr>
          <w:rFonts w:asciiTheme="majorHAnsi" w:hAnsiTheme="majorHAnsi" w:cs="Arial"/>
          <w:b/>
        </w:rPr>
        <w:t xml:space="preserve"> </w:t>
      </w:r>
      <w:r w:rsidRPr="00734AB6">
        <w:rPr>
          <w:rFonts w:asciiTheme="majorHAnsi" w:hAnsiTheme="majorHAnsi" w:cs="Arial"/>
          <w:color w:val="0070C0"/>
        </w:rPr>
        <w:t>Options are: Within the last week; Within the last month; Within the last year; Within the last 5 years; Within the last ten years; Over 10 years ago; Only ever took it once; Can’t remember</w:t>
      </w:r>
    </w:p>
    <w:p w14:paraId="2EFFA6FA" w14:textId="77777777" w:rsidR="004676EF" w:rsidRPr="00734AB6" w:rsidRDefault="004676EF" w:rsidP="0099584D">
      <w:pPr>
        <w:spacing w:before="240" w:after="240" w:line="360" w:lineRule="auto"/>
        <w:rPr>
          <w:rFonts w:asciiTheme="majorHAnsi" w:hAnsiTheme="majorHAnsi" w:cs="Arial"/>
          <w:b/>
        </w:rPr>
      </w:pPr>
      <w:r w:rsidRPr="00734AB6">
        <w:rPr>
          <w:rFonts w:asciiTheme="majorHAnsi" w:hAnsiTheme="majorHAnsi" w:cs="Arial"/>
          <w:b/>
        </w:rPr>
        <w:t>Other recreational drugs</w:t>
      </w:r>
    </w:p>
    <w:p w14:paraId="20B59884" w14:textId="77777777" w:rsidR="004676EF" w:rsidRPr="00734AB6" w:rsidRDefault="004676EF" w:rsidP="0099584D">
      <w:pPr>
        <w:pStyle w:val="ListParagraph"/>
        <w:numPr>
          <w:ilvl w:val="0"/>
          <w:numId w:val="9"/>
        </w:numPr>
        <w:spacing w:before="240" w:after="240" w:line="360" w:lineRule="auto"/>
        <w:rPr>
          <w:rFonts w:asciiTheme="majorHAnsi" w:hAnsiTheme="majorHAnsi" w:cs="Arial"/>
          <w:i/>
          <w:shd w:val="clear" w:color="auto" w:fill="FFFFFF"/>
        </w:rPr>
      </w:pPr>
      <w:r w:rsidRPr="00734AB6">
        <w:rPr>
          <w:rFonts w:asciiTheme="majorHAnsi" w:hAnsiTheme="majorHAnsi" w:cs="Arial"/>
          <w:i/>
          <w:shd w:val="clear" w:color="auto" w:fill="FFFFFF"/>
        </w:rPr>
        <w:t xml:space="preserve">The following are a list of recreational drugs.  Please click to indicate the frequency of any/all drugs that you have used and also use the drop-down button to the right to indicate how long it has been since you have taken the drug. </w:t>
      </w:r>
    </w:p>
    <w:p w14:paraId="71A8D5AB" w14:textId="77777777" w:rsidR="004676EF" w:rsidRPr="00734AB6" w:rsidRDefault="004676EF" w:rsidP="0099584D">
      <w:pPr>
        <w:spacing w:before="240" w:after="240" w:line="360" w:lineRule="auto"/>
        <w:rPr>
          <w:rFonts w:asciiTheme="majorHAnsi" w:hAnsiTheme="majorHAnsi" w:cs="Helvetica"/>
          <w:i/>
          <w:iCs/>
          <w:color w:val="404040"/>
          <w:shd w:val="clear" w:color="auto" w:fill="FFFFFF"/>
        </w:rPr>
      </w:pPr>
      <w:r w:rsidRPr="00734AB6">
        <w:rPr>
          <w:rFonts w:asciiTheme="majorHAnsi" w:hAnsiTheme="majorHAnsi" w:cs="Helvetica"/>
          <w:color w:val="404040"/>
          <w:shd w:val="clear" w:color="auto" w:fill="FFFFFF"/>
        </w:rPr>
        <w:t xml:space="preserve"> (</w:t>
      </w:r>
      <w:r w:rsidRPr="00734AB6">
        <w:rPr>
          <w:rFonts w:asciiTheme="majorHAnsi" w:hAnsiTheme="majorHAnsi" w:cs="Helvetica"/>
          <w:i/>
          <w:iCs/>
          <w:color w:val="404040"/>
          <w:shd w:val="clear" w:color="auto" w:fill="FFFFFF"/>
        </w:rPr>
        <w:t>If you have not taken any of the drugs here, simply choose 'never' for one drug and select 'can't remember' on the drop down menu beside.)</w:t>
      </w:r>
    </w:p>
    <w:p w14:paraId="7519F987"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Helvetica"/>
          <w:iCs/>
          <w:color w:val="0070C0"/>
          <w:shd w:val="clear" w:color="auto" w:fill="FFFFFF"/>
        </w:rPr>
        <w:t xml:space="preserve">For each drug the question: </w:t>
      </w:r>
      <w:r w:rsidRPr="00734AB6">
        <w:rPr>
          <w:rFonts w:asciiTheme="majorHAnsi" w:hAnsiTheme="majorHAnsi" w:cs="Arial"/>
          <w:color w:val="333333"/>
          <w:shd w:val="clear" w:color="auto" w:fill="FFFFFF"/>
        </w:rPr>
        <w:t>How frequently in the past </w:t>
      </w:r>
      <w:r w:rsidRPr="00734AB6">
        <w:rPr>
          <w:rFonts w:asciiTheme="majorHAnsi" w:hAnsiTheme="majorHAnsi" w:cs="Arial"/>
          <w:color w:val="333333"/>
        </w:rPr>
        <w:t>SIX MONTHS have you taken this drug.  Please click one option per drug that is the most accurate</w:t>
      </w:r>
      <w:r w:rsidRPr="00734AB6">
        <w:rPr>
          <w:rFonts w:asciiTheme="majorHAnsi" w:hAnsiTheme="majorHAnsi" w:cs="Arial"/>
          <w:b/>
          <w:color w:val="333333"/>
        </w:rPr>
        <w:t>.</w:t>
      </w:r>
      <w:r w:rsidRPr="00734AB6">
        <w:rPr>
          <w:rFonts w:asciiTheme="majorHAnsi" w:hAnsiTheme="majorHAnsi" w:cs="Arial"/>
          <w:b/>
          <w:color w:val="0070C0"/>
        </w:rPr>
        <w:t xml:space="preserve"> </w:t>
      </w:r>
      <w:r w:rsidRPr="00734AB6">
        <w:rPr>
          <w:rFonts w:asciiTheme="majorHAnsi" w:hAnsiTheme="majorHAnsi" w:cs="Arial"/>
          <w:color w:val="0070C0"/>
        </w:rPr>
        <w:t>was presented with options of: Every day/ almost every day, 3-4 times per week, once per week, 1-2 times per month, up to 3 times in total, never</w:t>
      </w:r>
    </w:p>
    <w:p w14:paraId="0086AC5A" w14:textId="77777777" w:rsidR="004676EF" w:rsidRPr="00734AB6" w:rsidRDefault="004676EF" w:rsidP="0099584D">
      <w:pPr>
        <w:pStyle w:val="ListParagraph"/>
        <w:numPr>
          <w:ilvl w:val="0"/>
          <w:numId w:val="9"/>
        </w:numPr>
        <w:spacing w:before="240" w:after="240" w:line="360" w:lineRule="auto"/>
        <w:rPr>
          <w:rFonts w:asciiTheme="majorHAnsi" w:hAnsiTheme="majorHAnsi" w:cs="Arial"/>
          <w:color w:val="0070C0"/>
        </w:rPr>
      </w:pPr>
      <w:r w:rsidRPr="00734AB6">
        <w:rPr>
          <w:rFonts w:asciiTheme="majorHAnsi" w:hAnsiTheme="majorHAnsi" w:cs="Arial"/>
          <w:color w:val="0070C0"/>
        </w:rPr>
        <w:t xml:space="preserve">For each drug the question: </w:t>
      </w:r>
      <w:r w:rsidRPr="00734AB6">
        <w:rPr>
          <w:rFonts w:asciiTheme="majorHAnsi" w:hAnsiTheme="majorHAnsi" w:cs="Arial"/>
        </w:rPr>
        <w:t xml:space="preserve">How long has it been since you last used this drug </w:t>
      </w:r>
      <w:r w:rsidRPr="00734AB6">
        <w:rPr>
          <w:rFonts w:asciiTheme="majorHAnsi" w:hAnsiTheme="majorHAnsi" w:cs="Arial"/>
          <w:color w:val="0070C0"/>
        </w:rPr>
        <w:t>was presented with options of: Within the last week; Within the last month; Within the last year; Within the last 5 years; Within the last ten years; Over 10 years ago; Only ever took it once; Can’t remember</w:t>
      </w:r>
    </w:p>
    <w:p w14:paraId="498EB95C" w14:textId="77777777" w:rsidR="004676EF" w:rsidRPr="00734AB6" w:rsidRDefault="004676EF" w:rsidP="0099584D">
      <w:pPr>
        <w:pStyle w:val="ListParagraph"/>
        <w:spacing w:before="240" w:after="240" w:line="360" w:lineRule="auto"/>
        <w:ind w:left="360"/>
        <w:rPr>
          <w:rFonts w:asciiTheme="majorHAnsi" w:hAnsiTheme="majorHAnsi" w:cs="Arial"/>
          <w:color w:val="0070C0"/>
        </w:rPr>
      </w:pPr>
      <w:r w:rsidRPr="00734AB6">
        <w:rPr>
          <w:rFonts w:asciiTheme="majorHAnsi" w:hAnsiTheme="majorHAnsi" w:cs="Arial"/>
          <w:color w:val="0070C0"/>
        </w:rPr>
        <w:t>The list of drugs presented were: Benzodiazepines; Zolpidem (Ambien); Oxycodone (</w:t>
      </w:r>
      <w:proofErr w:type="spellStart"/>
      <w:r w:rsidRPr="00734AB6">
        <w:rPr>
          <w:rFonts w:asciiTheme="majorHAnsi" w:hAnsiTheme="majorHAnsi" w:cs="Arial"/>
          <w:color w:val="0070C0"/>
        </w:rPr>
        <w:t>Dihydrohydroxycodeinone</w:t>
      </w:r>
      <w:proofErr w:type="spellEnd"/>
      <w:r w:rsidRPr="00734AB6">
        <w:rPr>
          <w:rFonts w:asciiTheme="majorHAnsi" w:hAnsiTheme="majorHAnsi" w:cs="Arial"/>
          <w:color w:val="0070C0"/>
        </w:rPr>
        <w:t>, Percocet, OxyContin); Pethidine (Meperidine, Demerol); Tramadol (</w:t>
      </w:r>
      <w:proofErr w:type="spellStart"/>
      <w:r w:rsidRPr="00734AB6">
        <w:rPr>
          <w:rFonts w:asciiTheme="majorHAnsi" w:hAnsiTheme="majorHAnsi" w:cs="Arial"/>
          <w:color w:val="0070C0"/>
        </w:rPr>
        <w:t>Ultram</w:t>
      </w:r>
      <w:proofErr w:type="spellEnd"/>
      <w:r w:rsidRPr="00734AB6">
        <w:rPr>
          <w:rFonts w:asciiTheme="majorHAnsi" w:hAnsiTheme="majorHAnsi" w:cs="Arial"/>
          <w:color w:val="0070C0"/>
        </w:rPr>
        <w:t xml:space="preserve">, </w:t>
      </w:r>
      <w:proofErr w:type="spellStart"/>
      <w:r w:rsidRPr="00734AB6">
        <w:rPr>
          <w:rFonts w:asciiTheme="majorHAnsi" w:hAnsiTheme="majorHAnsi" w:cs="Arial"/>
          <w:color w:val="0070C0"/>
        </w:rPr>
        <w:t>Ralivia</w:t>
      </w:r>
      <w:proofErr w:type="spellEnd"/>
      <w:r w:rsidRPr="00734AB6">
        <w:rPr>
          <w:rFonts w:asciiTheme="majorHAnsi" w:hAnsiTheme="majorHAnsi" w:cs="Arial"/>
          <w:color w:val="0070C0"/>
        </w:rPr>
        <w:t xml:space="preserve">, </w:t>
      </w:r>
      <w:proofErr w:type="spellStart"/>
      <w:r w:rsidRPr="00734AB6">
        <w:rPr>
          <w:rFonts w:asciiTheme="majorHAnsi" w:hAnsiTheme="majorHAnsi" w:cs="Arial"/>
          <w:color w:val="0070C0"/>
        </w:rPr>
        <w:t>Tramal</w:t>
      </w:r>
      <w:proofErr w:type="spellEnd"/>
      <w:r w:rsidRPr="00734AB6">
        <w:rPr>
          <w:rFonts w:asciiTheme="majorHAnsi" w:hAnsiTheme="majorHAnsi" w:cs="Arial"/>
          <w:color w:val="0070C0"/>
        </w:rPr>
        <w:t xml:space="preserve">); </w:t>
      </w:r>
      <w:proofErr w:type="spellStart"/>
      <w:r w:rsidRPr="00734AB6">
        <w:rPr>
          <w:rFonts w:asciiTheme="majorHAnsi" w:hAnsiTheme="majorHAnsi" w:cs="Arial"/>
          <w:color w:val="0070C0"/>
        </w:rPr>
        <w:t>Tapentadol</w:t>
      </w:r>
      <w:proofErr w:type="spellEnd"/>
      <w:r w:rsidRPr="00734AB6">
        <w:rPr>
          <w:rFonts w:asciiTheme="majorHAnsi" w:hAnsiTheme="majorHAnsi" w:cs="Arial"/>
          <w:color w:val="0070C0"/>
        </w:rPr>
        <w:t xml:space="preserve"> (Nucynta, </w:t>
      </w:r>
      <w:proofErr w:type="spellStart"/>
      <w:r w:rsidRPr="00734AB6">
        <w:rPr>
          <w:rFonts w:asciiTheme="majorHAnsi" w:hAnsiTheme="majorHAnsi" w:cs="Arial"/>
          <w:color w:val="0070C0"/>
        </w:rPr>
        <w:t>Palexia</w:t>
      </w:r>
      <w:proofErr w:type="spellEnd"/>
      <w:r w:rsidRPr="00734AB6">
        <w:rPr>
          <w:rFonts w:asciiTheme="majorHAnsi" w:hAnsiTheme="majorHAnsi" w:cs="Arial"/>
          <w:color w:val="0070C0"/>
        </w:rPr>
        <w:t xml:space="preserve">); Barbiturates; Morphine; </w:t>
      </w:r>
      <w:r w:rsidRPr="00734AB6">
        <w:rPr>
          <w:rFonts w:asciiTheme="majorHAnsi" w:hAnsiTheme="majorHAnsi" w:cs="Arial"/>
          <w:color w:val="0070C0"/>
        </w:rPr>
        <w:lastRenderedPageBreak/>
        <w:t xml:space="preserve">Opium; GHB (Gamma-Hydroxybutyric Acid, </w:t>
      </w:r>
      <w:proofErr w:type="spellStart"/>
      <w:r w:rsidRPr="00734AB6">
        <w:rPr>
          <w:rFonts w:asciiTheme="majorHAnsi" w:hAnsiTheme="majorHAnsi" w:cs="Arial"/>
          <w:color w:val="0070C0"/>
        </w:rPr>
        <w:t>Xyrem</w:t>
      </w:r>
      <w:proofErr w:type="spellEnd"/>
      <w:r w:rsidRPr="00734AB6">
        <w:rPr>
          <w:rFonts w:asciiTheme="majorHAnsi" w:hAnsiTheme="majorHAnsi" w:cs="Arial"/>
          <w:color w:val="0070C0"/>
        </w:rPr>
        <w:t xml:space="preserve">, </w:t>
      </w:r>
      <w:proofErr w:type="spellStart"/>
      <w:r w:rsidRPr="00734AB6">
        <w:rPr>
          <w:rFonts w:asciiTheme="majorHAnsi" w:hAnsiTheme="majorHAnsi" w:cs="Arial"/>
          <w:color w:val="0070C0"/>
        </w:rPr>
        <w:t>Alcover</w:t>
      </w:r>
      <w:proofErr w:type="spellEnd"/>
      <w:r w:rsidRPr="00734AB6">
        <w:rPr>
          <w:rFonts w:asciiTheme="majorHAnsi" w:hAnsiTheme="majorHAnsi" w:cs="Arial"/>
          <w:color w:val="0070C0"/>
        </w:rPr>
        <w:t xml:space="preserve">); Fentanyl (China White); Heroin; Methadone; MDMA; LSD; Cocaine; Psilocybin; Ketamine; Benzedrine; Dextroamphetamine (Dexedrine); Mixed Amphetamine Stereoisomer Salts (Adderall); </w:t>
      </w:r>
      <w:proofErr w:type="spellStart"/>
      <w:r w:rsidRPr="00734AB6">
        <w:rPr>
          <w:rFonts w:asciiTheme="majorHAnsi" w:hAnsiTheme="majorHAnsi" w:cs="Arial"/>
          <w:color w:val="0070C0"/>
        </w:rPr>
        <w:t>Lisdexamfetamine</w:t>
      </w:r>
      <w:proofErr w:type="spellEnd"/>
      <w:r w:rsidRPr="00734AB6">
        <w:rPr>
          <w:rFonts w:asciiTheme="majorHAnsi" w:hAnsiTheme="majorHAnsi" w:cs="Arial"/>
          <w:color w:val="0070C0"/>
        </w:rPr>
        <w:t xml:space="preserve"> (Vyvanse, </w:t>
      </w:r>
      <w:proofErr w:type="spellStart"/>
      <w:r w:rsidRPr="00734AB6">
        <w:rPr>
          <w:rFonts w:asciiTheme="majorHAnsi" w:hAnsiTheme="majorHAnsi" w:cs="Arial"/>
          <w:color w:val="0070C0"/>
        </w:rPr>
        <w:t>Elvanse</w:t>
      </w:r>
      <w:proofErr w:type="spellEnd"/>
      <w:r w:rsidRPr="00734AB6">
        <w:rPr>
          <w:rFonts w:asciiTheme="majorHAnsi" w:hAnsiTheme="majorHAnsi" w:cs="Arial"/>
          <w:color w:val="0070C0"/>
        </w:rPr>
        <w:t>); Ephedrine (Ephedra); Solvents (glue etc.); Anabolic steroids; Pregabalin (Lyrica); Racetams; Adrafinil; Adderall.</w:t>
      </w:r>
    </w:p>
    <w:p w14:paraId="0369CEE6" w14:textId="77777777" w:rsidR="004676EF" w:rsidRPr="00734AB6" w:rsidRDefault="004676EF" w:rsidP="0099584D">
      <w:pPr>
        <w:spacing w:line="360" w:lineRule="auto"/>
        <w:rPr>
          <w:rFonts w:asciiTheme="majorHAnsi" w:hAnsiTheme="majorHAnsi" w:cs="Arial"/>
          <w:b/>
          <w:lang w:val="en-US"/>
        </w:rPr>
      </w:pPr>
      <w:r w:rsidRPr="00734AB6">
        <w:rPr>
          <w:rFonts w:asciiTheme="majorHAnsi" w:hAnsiTheme="majorHAnsi" w:cs="Arial"/>
          <w:b/>
          <w:lang w:val="en-US"/>
        </w:rPr>
        <w:t>QUESTIONNAIRE ONE</w:t>
      </w:r>
    </w:p>
    <w:p w14:paraId="0D330FA5" w14:textId="77777777" w:rsidR="004676EF" w:rsidRPr="00734AB6" w:rsidRDefault="004676EF" w:rsidP="0099584D">
      <w:pPr>
        <w:spacing w:line="360" w:lineRule="auto"/>
        <w:rPr>
          <w:rFonts w:asciiTheme="majorHAnsi" w:hAnsiTheme="majorHAnsi" w:cs="Arial"/>
          <w:b/>
          <w:i/>
          <w:lang w:val="en-US"/>
        </w:rPr>
      </w:pPr>
      <w:r w:rsidRPr="00734AB6">
        <w:rPr>
          <w:rFonts w:asciiTheme="majorHAnsi" w:hAnsiTheme="majorHAnsi" w:cs="Arial"/>
          <w:b/>
          <w:i/>
          <w:lang w:val="en-US"/>
        </w:rPr>
        <w:t xml:space="preserve">Please answer the following questions below, rating yourself on each of the criteria shown using the options provided.  </w:t>
      </w:r>
    </w:p>
    <w:p w14:paraId="7AEBE85B" w14:textId="77777777" w:rsidR="004676EF" w:rsidRPr="00734AB6" w:rsidRDefault="004676EF" w:rsidP="0099584D">
      <w:pPr>
        <w:spacing w:line="360" w:lineRule="auto"/>
        <w:rPr>
          <w:rFonts w:asciiTheme="majorHAnsi" w:hAnsiTheme="majorHAnsi" w:cs="Arial"/>
          <w:b/>
          <w:i/>
          <w:lang w:val="en-US"/>
        </w:rPr>
      </w:pPr>
      <w:r w:rsidRPr="00734AB6">
        <w:rPr>
          <w:rFonts w:asciiTheme="majorHAnsi" w:hAnsiTheme="majorHAnsi" w:cs="Arial"/>
          <w:b/>
          <w:i/>
          <w:color w:val="FF0000"/>
          <w:lang w:val="en-US"/>
        </w:rPr>
        <w:t>PLEASE NOTE</w:t>
      </w:r>
      <w:r w:rsidRPr="00734AB6">
        <w:rPr>
          <w:rFonts w:asciiTheme="majorHAnsi" w:hAnsiTheme="majorHAnsi" w:cs="Arial"/>
          <w:b/>
          <w:i/>
          <w:lang w:val="en-US"/>
        </w:rPr>
        <w:t>, you will be asked each question in relation to how you are when you are taking modafinil/ methylphenidate AND when you are not taking modafinil/methylphenidate.  Please answer the second time reflecting back on how you are without modafinil or methylphenidate or any other cognitively enhancing drug or stimulant.</w:t>
      </w:r>
    </w:p>
    <w:p w14:paraId="473DECD6" w14:textId="77777777" w:rsidR="004676EF" w:rsidRPr="00734AB6" w:rsidRDefault="004676EF" w:rsidP="0099584D">
      <w:pPr>
        <w:spacing w:line="360" w:lineRule="auto"/>
        <w:rPr>
          <w:rFonts w:asciiTheme="majorHAnsi" w:hAnsiTheme="majorHAnsi" w:cs="Arial"/>
          <w:b/>
          <w:i/>
          <w:lang w:val="en-US"/>
        </w:rPr>
      </w:pPr>
      <w:r w:rsidRPr="00734AB6">
        <w:rPr>
          <w:rFonts w:asciiTheme="majorHAnsi" w:hAnsiTheme="majorHAnsi" w:cs="Arial"/>
          <w:b/>
          <w:i/>
          <w:lang w:val="en-US"/>
        </w:rPr>
        <w:t>As you answer each question, click on the option that best describes how you have felt and conducted yourself.</w:t>
      </w:r>
    </w:p>
    <w:p w14:paraId="2DB3984C"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 xml:space="preserve"> Q.1 How often do you have trouble wrapping up the final details of a project, once the challenging parts have been done?</w:t>
      </w:r>
    </w:p>
    <w:p w14:paraId="5DE66B2F"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6BAAC02A"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109B0026" w14:textId="77777777" w:rsidR="004676EF" w:rsidRPr="00734AB6" w:rsidRDefault="004676EF" w:rsidP="0099584D">
      <w:pPr>
        <w:spacing w:line="360" w:lineRule="auto"/>
        <w:rPr>
          <w:rFonts w:asciiTheme="majorHAnsi" w:hAnsiTheme="majorHAnsi" w:cs="Arial"/>
          <w:lang w:val="en-US"/>
        </w:rPr>
      </w:pPr>
    </w:p>
    <w:p w14:paraId="25617312"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2 How often do you have difficulty getting things in order when you have to do a task that requires organization?</w:t>
      </w:r>
    </w:p>
    <w:p w14:paraId="26883509"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52675649"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61661B50" w14:textId="77777777" w:rsidR="004676EF" w:rsidRPr="00734AB6" w:rsidRDefault="004676EF" w:rsidP="0099584D">
      <w:pPr>
        <w:spacing w:line="360" w:lineRule="auto"/>
        <w:rPr>
          <w:rFonts w:asciiTheme="majorHAnsi" w:hAnsiTheme="majorHAnsi" w:cs="Arial"/>
          <w:lang w:val="en-US"/>
        </w:rPr>
      </w:pPr>
    </w:p>
    <w:p w14:paraId="2532C260"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Q.3 How often do you have problems remembering appointments or obligations?</w:t>
      </w:r>
    </w:p>
    <w:p w14:paraId="2757AF73"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69F288B2"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1872FE2A" w14:textId="77777777" w:rsidR="004676EF" w:rsidRPr="00734AB6" w:rsidRDefault="004676EF" w:rsidP="0099584D">
      <w:pPr>
        <w:spacing w:line="360" w:lineRule="auto"/>
        <w:rPr>
          <w:rFonts w:asciiTheme="majorHAnsi" w:hAnsiTheme="majorHAnsi" w:cs="Arial"/>
          <w:lang w:val="en-US"/>
        </w:rPr>
      </w:pPr>
    </w:p>
    <w:p w14:paraId="0E8D6182"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Q.4 when you have a task that requires a lot of thought, how often do you avoid or delay getting started?</w:t>
      </w:r>
    </w:p>
    <w:p w14:paraId="60E2804E"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6C61267F"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660EC122" w14:textId="77777777" w:rsidR="004676EF" w:rsidRPr="00734AB6" w:rsidRDefault="004676EF" w:rsidP="0099584D">
      <w:pPr>
        <w:spacing w:line="360" w:lineRule="auto"/>
        <w:rPr>
          <w:rFonts w:asciiTheme="majorHAnsi" w:hAnsiTheme="majorHAnsi" w:cs="Arial"/>
          <w:lang w:val="en-US"/>
        </w:rPr>
      </w:pPr>
    </w:p>
    <w:p w14:paraId="5F141DE0"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Q.5 How often do you fidget or squirm with your hands or feet when you have to sit down for a long time?</w:t>
      </w:r>
    </w:p>
    <w:p w14:paraId="21CB0320"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0443B9EC"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3540374D" w14:textId="77777777" w:rsidR="004676EF" w:rsidRPr="00734AB6" w:rsidRDefault="004676EF" w:rsidP="0099584D">
      <w:pPr>
        <w:spacing w:line="360" w:lineRule="auto"/>
        <w:rPr>
          <w:rFonts w:asciiTheme="majorHAnsi" w:hAnsiTheme="majorHAnsi" w:cs="Arial"/>
          <w:lang w:val="en-US"/>
        </w:rPr>
      </w:pPr>
    </w:p>
    <w:p w14:paraId="7B965106"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Q.6 How often do you feel overly active and compelled to do things, like you were driven by a motor?</w:t>
      </w:r>
    </w:p>
    <w:p w14:paraId="50AF3B08"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6D787274"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40CBB018" w14:textId="77777777" w:rsidR="004676EF" w:rsidRPr="00734AB6" w:rsidRDefault="004676EF" w:rsidP="0099584D">
      <w:pPr>
        <w:spacing w:line="360" w:lineRule="auto"/>
        <w:rPr>
          <w:rFonts w:asciiTheme="majorHAnsi" w:hAnsiTheme="majorHAnsi" w:cs="Arial"/>
          <w:lang w:val="en-US"/>
        </w:rPr>
      </w:pPr>
    </w:p>
    <w:p w14:paraId="612F6E8B"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7 How often do you make careless mistakes when you have to work on a boring or difficult project?</w:t>
      </w:r>
    </w:p>
    <w:p w14:paraId="73B0C4ED"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5F7FB0A8"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40A900E9" w14:textId="77777777" w:rsidR="004676EF" w:rsidRPr="00734AB6" w:rsidRDefault="004676EF" w:rsidP="0099584D">
      <w:pPr>
        <w:spacing w:line="360" w:lineRule="auto"/>
        <w:rPr>
          <w:rFonts w:asciiTheme="majorHAnsi" w:hAnsiTheme="majorHAnsi" w:cs="Arial"/>
          <w:lang w:val="en-US"/>
        </w:rPr>
      </w:pPr>
    </w:p>
    <w:p w14:paraId="2E94C95B"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Q.8 How often do you have difficulty keeping your attention when you are doing boring or repetitive work?</w:t>
      </w:r>
    </w:p>
    <w:p w14:paraId="1CFD7251"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42174120"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lastRenderedPageBreak/>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112A4F34" w14:textId="77777777" w:rsidR="004676EF" w:rsidRPr="00734AB6" w:rsidRDefault="004676EF" w:rsidP="0099584D">
      <w:pPr>
        <w:spacing w:line="360" w:lineRule="auto"/>
        <w:rPr>
          <w:rFonts w:asciiTheme="majorHAnsi" w:hAnsiTheme="majorHAnsi" w:cs="Arial"/>
          <w:lang w:val="en-US"/>
        </w:rPr>
      </w:pPr>
    </w:p>
    <w:p w14:paraId="1F2D4AEB"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9 How often do you have difficulty concentrating on what people say to you even when they are speaking directly to you?</w:t>
      </w:r>
    </w:p>
    <w:p w14:paraId="279FE8B9"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3CAFC265"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3DC17794" w14:textId="77777777" w:rsidR="004676EF" w:rsidRPr="00734AB6" w:rsidRDefault="004676EF" w:rsidP="0099584D">
      <w:pPr>
        <w:spacing w:line="360" w:lineRule="auto"/>
        <w:rPr>
          <w:rFonts w:asciiTheme="majorHAnsi" w:hAnsiTheme="majorHAnsi" w:cs="Arial"/>
          <w:lang w:val="en-US"/>
        </w:rPr>
      </w:pPr>
    </w:p>
    <w:p w14:paraId="42154F45"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10 How often do you misplace or have difficulty finding things at home or at work?</w:t>
      </w:r>
    </w:p>
    <w:p w14:paraId="468ED020"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6FD32F18"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13C292E6" w14:textId="77777777" w:rsidR="004676EF" w:rsidRPr="00734AB6" w:rsidRDefault="004676EF" w:rsidP="0099584D">
      <w:pPr>
        <w:spacing w:line="360" w:lineRule="auto"/>
        <w:rPr>
          <w:rFonts w:asciiTheme="majorHAnsi" w:hAnsiTheme="majorHAnsi" w:cs="Arial"/>
          <w:lang w:val="en-US"/>
        </w:rPr>
      </w:pPr>
    </w:p>
    <w:p w14:paraId="2A8A39AD"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11 How often are you distracted by activity or noise around you?</w:t>
      </w:r>
    </w:p>
    <w:p w14:paraId="13D37D90"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3384BD61"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0661F155" w14:textId="77777777" w:rsidR="004676EF" w:rsidRPr="00734AB6" w:rsidRDefault="004676EF" w:rsidP="0099584D">
      <w:pPr>
        <w:spacing w:line="360" w:lineRule="auto"/>
        <w:rPr>
          <w:rFonts w:asciiTheme="majorHAnsi" w:hAnsiTheme="majorHAnsi" w:cs="Arial"/>
          <w:lang w:val="en-US"/>
        </w:rPr>
      </w:pPr>
    </w:p>
    <w:p w14:paraId="7673FB1B"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12 How often do you leave your seat in meetings or other situations in which you were expected to remain seated?</w:t>
      </w:r>
    </w:p>
    <w:p w14:paraId="5A75219C"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5A973F9A"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776FE04B" w14:textId="77777777" w:rsidR="004676EF" w:rsidRPr="00734AB6" w:rsidRDefault="004676EF" w:rsidP="0099584D">
      <w:pPr>
        <w:spacing w:line="360" w:lineRule="auto"/>
        <w:rPr>
          <w:rFonts w:asciiTheme="majorHAnsi" w:hAnsiTheme="majorHAnsi" w:cs="Arial"/>
          <w:lang w:val="en-US"/>
        </w:rPr>
      </w:pPr>
    </w:p>
    <w:p w14:paraId="19FC85EC"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13 How often do you feel restless or fidgety?</w:t>
      </w:r>
    </w:p>
    <w:p w14:paraId="07AA7F23"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32DC115F"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lastRenderedPageBreak/>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3F933112" w14:textId="77777777" w:rsidR="004676EF" w:rsidRPr="00734AB6" w:rsidRDefault="004676EF" w:rsidP="0099584D">
      <w:pPr>
        <w:spacing w:line="360" w:lineRule="auto"/>
        <w:rPr>
          <w:rFonts w:asciiTheme="majorHAnsi" w:hAnsiTheme="majorHAnsi" w:cs="Arial"/>
          <w:lang w:val="en-US"/>
        </w:rPr>
      </w:pPr>
    </w:p>
    <w:p w14:paraId="0CCE44ED"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 xml:space="preserve">Q. 14 How often do you have difficulty unwinding and </w:t>
      </w:r>
      <w:proofErr w:type="spellStart"/>
      <w:r w:rsidRPr="00734AB6">
        <w:rPr>
          <w:rFonts w:asciiTheme="majorHAnsi" w:hAnsiTheme="majorHAnsi" w:cs="Arial"/>
          <w:lang w:val="en-US"/>
        </w:rPr>
        <w:t>relaxin</w:t>
      </w:r>
      <w:proofErr w:type="spellEnd"/>
      <w:r w:rsidRPr="00734AB6">
        <w:rPr>
          <w:rFonts w:asciiTheme="majorHAnsi" w:hAnsiTheme="majorHAnsi" w:cs="Arial"/>
          <w:lang w:val="en-US"/>
        </w:rPr>
        <w:t xml:space="preserve"> when you have time to yourself?</w:t>
      </w:r>
    </w:p>
    <w:p w14:paraId="6036F337"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371D6AE2"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7E9A3B23" w14:textId="77777777" w:rsidR="004676EF" w:rsidRPr="00734AB6" w:rsidRDefault="004676EF" w:rsidP="0099584D">
      <w:pPr>
        <w:spacing w:line="360" w:lineRule="auto"/>
        <w:rPr>
          <w:rFonts w:asciiTheme="majorHAnsi" w:hAnsiTheme="majorHAnsi" w:cs="Arial"/>
          <w:lang w:val="en-US"/>
        </w:rPr>
      </w:pPr>
    </w:p>
    <w:p w14:paraId="7DDBA226"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 xml:space="preserve">Q. 15 How often do you find yourself talking too much when you are in social </w:t>
      </w:r>
      <w:proofErr w:type="spellStart"/>
      <w:r w:rsidRPr="00734AB6">
        <w:rPr>
          <w:rFonts w:asciiTheme="majorHAnsi" w:hAnsiTheme="majorHAnsi" w:cs="Arial"/>
          <w:lang w:val="en-US"/>
        </w:rPr>
        <w:t>situtations</w:t>
      </w:r>
      <w:proofErr w:type="spellEnd"/>
      <w:r w:rsidRPr="00734AB6">
        <w:rPr>
          <w:rFonts w:asciiTheme="majorHAnsi" w:hAnsiTheme="majorHAnsi" w:cs="Arial"/>
          <w:lang w:val="en-US"/>
        </w:rPr>
        <w:t>?</w:t>
      </w:r>
    </w:p>
    <w:p w14:paraId="6DE8967F"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0EE2685F"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1ECABD16" w14:textId="77777777" w:rsidR="004676EF" w:rsidRPr="00734AB6" w:rsidRDefault="004676EF" w:rsidP="0099584D">
      <w:pPr>
        <w:spacing w:line="360" w:lineRule="auto"/>
        <w:rPr>
          <w:rFonts w:asciiTheme="majorHAnsi" w:hAnsiTheme="majorHAnsi" w:cs="Arial"/>
          <w:lang w:val="en-US"/>
        </w:rPr>
      </w:pPr>
    </w:p>
    <w:p w14:paraId="62C4ADC9"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 xml:space="preserve">Q. 16 When you’re in a conversation, how often do you find yourself finishing sentences of the people you are talking </w:t>
      </w:r>
      <w:proofErr w:type="spellStart"/>
      <w:r w:rsidRPr="00734AB6">
        <w:rPr>
          <w:rFonts w:asciiTheme="majorHAnsi" w:hAnsiTheme="majorHAnsi" w:cs="Arial"/>
          <w:lang w:val="en-US"/>
        </w:rPr>
        <w:t>to,m</w:t>
      </w:r>
      <w:proofErr w:type="spellEnd"/>
      <w:r w:rsidRPr="00734AB6">
        <w:rPr>
          <w:rFonts w:asciiTheme="majorHAnsi" w:hAnsiTheme="majorHAnsi" w:cs="Arial"/>
          <w:lang w:val="en-US"/>
        </w:rPr>
        <w:t xml:space="preserve"> before they can finish them themselves?</w:t>
      </w:r>
    </w:p>
    <w:p w14:paraId="2E4BEC16"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31ACC955"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4CB48457" w14:textId="77777777" w:rsidR="004676EF" w:rsidRPr="00734AB6" w:rsidRDefault="004676EF" w:rsidP="0099584D">
      <w:pPr>
        <w:spacing w:line="360" w:lineRule="auto"/>
        <w:rPr>
          <w:rFonts w:asciiTheme="majorHAnsi" w:hAnsiTheme="majorHAnsi" w:cs="Arial"/>
          <w:lang w:val="en-US"/>
        </w:rPr>
      </w:pPr>
    </w:p>
    <w:p w14:paraId="4445DBDE"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 xml:space="preserve">Q. 17 How often do you </w:t>
      </w:r>
      <w:proofErr w:type="spellStart"/>
      <w:r w:rsidRPr="00734AB6">
        <w:rPr>
          <w:rFonts w:asciiTheme="majorHAnsi" w:hAnsiTheme="majorHAnsi" w:cs="Arial"/>
          <w:lang w:val="en-US"/>
        </w:rPr>
        <w:t>jhave</w:t>
      </w:r>
      <w:proofErr w:type="spellEnd"/>
      <w:r w:rsidRPr="00734AB6">
        <w:rPr>
          <w:rFonts w:asciiTheme="majorHAnsi" w:hAnsiTheme="majorHAnsi" w:cs="Arial"/>
          <w:lang w:val="en-US"/>
        </w:rPr>
        <w:t xml:space="preserve"> difficulty waiting your turn in situations when turn taking is required?</w:t>
      </w:r>
    </w:p>
    <w:p w14:paraId="47109A75"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630246EE"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6967FCCA" w14:textId="77777777" w:rsidR="004676EF" w:rsidRPr="00734AB6" w:rsidRDefault="004676EF" w:rsidP="0099584D">
      <w:pPr>
        <w:spacing w:line="360" w:lineRule="auto"/>
        <w:rPr>
          <w:rFonts w:asciiTheme="majorHAnsi" w:hAnsiTheme="majorHAnsi" w:cs="Arial"/>
          <w:lang w:val="en-US"/>
        </w:rPr>
      </w:pPr>
    </w:p>
    <w:p w14:paraId="5559B38A" w14:textId="77777777" w:rsidR="004676EF" w:rsidRPr="00734AB6" w:rsidRDefault="004676EF" w:rsidP="0099584D">
      <w:pPr>
        <w:spacing w:line="360" w:lineRule="auto"/>
        <w:rPr>
          <w:rFonts w:asciiTheme="majorHAnsi" w:hAnsiTheme="majorHAnsi" w:cs="Arial"/>
          <w:lang w:val="en-US"/>
        </w:rPr>
      </w:pPr>
      <w:r w:rsidRPr="00734AB6">
        <w:rPr>
          <w:rFonts w:asciiTheme="majorHAnsi" w:hAnsiTheme="majorHAnsi" w:cs="Arial"/>
          <w:lang w:val="en-US"/>
        </w:rPr>
        <w:t>Q. 18 How often do you interrupt others when they are busy?</w:t>
      </w:r>
    </w:p>
    <w:p w14:paraId="6D498D05"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t>(on Modafinil/ Methylphenidate)   options are: Never, Rarely, Sometimes, Often, Very Often</w:t>
      </w:r>
    </w:p>
    <w:p w14:paraId="39B3FB7E" w14:textId="77777777" w:rsidR="004676EF" w:rsidRPr="00734AB6" w:rsidRDefault="004676EF" w:rsidP="0099584D">
      <w:pPr>
        <w:spacing w:line="360" w:lineRule="auto"/>
        <w:rPr>
          <w:rFonts w:asciiTheme="majorHAnsi" w:hAnsiTheme="majorHAnsi" w:cs="Arial"/>
          <w:i/>
          <w:color w:val="0070C0"/>
          <w:lang w:val="en-US"/>
        </w:rPr>
      </w:pPr>
      <w:r w:rsidRPr="00734AB6">
        <w:rPr>
          <w:rFonts w:asciiTheme="majorHAnsi" w:hAnsiTheme="majorHAnsi" w:cs="Arial"/>
          <w:i/>
          <w:color w:val="0070C0"/>
          <w:lang w:val="en-US"/>
        </w:rPr>
        <w:lastRenderedPageBreak/>
        <w:t>(off Modafinil/Methylphenidate/ and all other cognitively enhancing drugs)</w:t>
      </w:r>
      <w:r w:rsidRPr="00734AB6">
        <w:rPr>
          <w:rFonts w:asciiTheme="majorHAnsi" w:hAnsiTheme="majorHAnsi" w:cs="Arial"/>
          <w:i/>
          <w:color w:val="0070C0"/>
          <w:lang w:val="en-US"/>
        </w:rPr>
        <w:tab/>
        <w:t>options are: Never, Rarely, Sometimes, Often, Very Often</w:t>
      </w:r>
    </w:p>
    <w:p w14:paraId="48C3E238" w14:textId="77777777" w:rsidR="004676EF" w:rsidRPr="00734AB6" w:rsidRDefault="004676EF" w:rsidP="0099584D">
      <w:pPr>
        <w:spacing w:line="360" w:lineRule="auto"/>
        <w:rPr>
          <w:rFonts w:asciiTheme="majorHAnsi" w:hAnsiTheme="majorHAnsi" w:cs="Arial"/>
          <w:b/>
          <w:lang w:val="en-US"/>
        </w:rPr>
      </w:pPr>
    </w:p>
    <w:p w14:paraId="1DCA6932" w14:textId="77777777" w:rsidR="004676EF" w:rsidRPr="00734AB6" w:rsidRDefault="004676EF" w:rsidP="0099584D">
      <w:pPr>
        <w:spacing w:line="360" w:lineRule="auto"/>
        <w:rPr>
          <w:rFonts w:asciiTheme="majorHAnsi" w:hAnsiTheme="majorHAnsi" w:cs="Arial"/>
          <w:b/>
          <w:lang w:val="en-US"/>
        </w:rPr>
      </w:pPr>
      <w:r w:rsidRPr="00734AB6">
        <w:rPr>
          <w:rFonts w:asciiTheme="majorHAnsi" w:hAnsiTheme="majorHAnsi" w:cs="Arial"/>
          <w:b/>
          <w:lang w:val="en-US"/>
        </w:rPr>
        <w:t>The CFQ and GPQ were presented as the ASRS above.</w:t>
      </w:r>
    </w:p>
    <w:p w14:paraId="79325763" w14:textId="77777777" w:rsidR="004676EF" w:rsidRPr="00734AB6" w:rsidRDefault="004676EF" w:rsidP="0099584D">
      <w:pPr>
        <w:spacing w:after="0" w:line="360" w:lineRule="auto"/>
        <w:rPr>
          <w:rFonts w:asciiTheme="majorHAnsi" w:hAnsiTheme="majorHAnsi" w:cs="Arial"/>
          <w:b/>
        </w:rPr>
      </w:pPr>
    </w:p>
    <w:p w14:paraId="1B4F61F6" w14:textId="77777777" w:rsidR="004676EF" w:rsidRPr="00734AB6" w:rsidRDefault="004676EF" w:rsidP="00AD47AC">
      <w:pPr>
        <w:pStyle w:val="Heading2"/>
        <w:spacing w:line="360" w:lineRule="auto"/>
        <w:rPr>
          <w:b/>
          <w:color w:val="auto"/>
          <w:sz w:val="22"/>
          <w:szCs w:val="22"/>
        </w:rPr>
      </w:pPr>
      <w:bookmarkStart w:id="145" w:name="_Toc45200527"/>
      <w:bookmarkStart w:id="146" w:name="_Toc48136420"/>
      <w:r w:rsidRPr="00734AB6">
        <w:rPr>
          <w:b/>
          <w:color w:val="auto"/>
          <w:sz w:val="22"/>
          <w:szCs w:val="22"/>
        </w:rPr>
        <w:t>B(ii)</w:t>
      </w:r>
      <w:r w:rsidRPr="00734AB6">
        <w:rPr>
          <w:b/>
          <w:color w:val="auto"/>
          <w:sz w:val="22"/>
          <w:szCs w:val="22"/>
        </w:rPr>
        <w:tab/>
        <w:t>Advertisement to online forum sites</w:t>
      </w:r>
      <w:bookmarkEnd w:id="145"/>
      <w:bookmarkEnd w:id="146"/>
    </w:p>
    <w:p w14:paraId="4F6DCA8C" w14:textId="77777777" w:rsidR="004676EF" w:rsidRPr="00734AB6" w:rsidRDefault="004676EF" w:rsidP="00AD47AC">
      <w:pPr>
        <w:spacing w:line="360" w:lineRule="auto"/>
        <w:rPr>
          <w:rFonts w:asciiTheme="majorHAnsi" w:hAnsiTheme="majorHAnsi"/>
          <w:b/>
        </w:rPr>
      </w:pPr>
      <w:r w:rsidRPr="00734AB6">
        <w:rPr>
          <w:rFonts w:asciiTheme="majorHAnsi" w:hAnsiTheme="majorHAnsi"/>
          <w:b/>
        </w:rPr>
        <w:t>Recruiting – even if you have taken the pilot of this survey, please participate, this is the full survey</w:t>
      </w:r>
    </w:p>
    <w:p w14:paraId="42002ED5" w14:textId="77777777" w:rsidR="004676EF" w:rsidRPr="00734AB6" w:rsidRDefault="004676EF" w:rsidP="00AD47AC">
      <w:pPr>
        <w:spacing w:line="360" w:lineRule="auto"/>
        <w:rPr>
          <w:rFonts w:asciiTheme="majorHAnsi" w:hAnsiTheme="majorHAnsi"/>
        </w:rPr>
      </w:pPr>
      <w:r w:rsidRPr="00734AB6">
        <w:rPr>
          <w:rFonts w:asciiTheme="majorHAnsi" w:hAnsiTheme="majorHAnsi"/>
        </w:rPr>
        <w:t>Click here to take survey: [</w:t>
      </w:r>
      <w:r w:rsidRPr="00734AB6">
        <w:rPr>
          <w:rFonts w:asciiTheme="majorHAnsi" w:hAnsiTheme="majorHAnsi" w:cs="Helvetica"/>
          <w:shd w:val="clear" w:color="auto" w:fill="FFFFFF"/>
        </w:rPr>
        <w:t>Everyday attention and drug use survey</w:t>
      </w:r>
      <w:r w:rsidRPr="00734AB6">
        <w:rPr>
          <w:rFonts w:asciiTheme="majorHAnsi" w:hAnsiTheme="majorHAnsi"/>
        </w:rPr>
        <w:t xml:space="preserve">]( </w:t>
      </w:r>
      <w:hyperlink r:id="rId46" w:tgtFrame="_blank" w:history="1">
        <w:r w:rsidRPr="00734AB6">
          <w:rPr>
            <w:rStyle w:val="Hyperlink"/>
            <w:rFonts w:asciiTheme="majorHAnsi" w:hAnsiTheme="majorHAnsi"/>
            <w:color w:val="007AC0"/>
            <w:shd w:val="clear" w:color="auto" w:fill="FFFFFF"/>
          </w:rPr>
          <w:t>https://lsbupsychology.qualtrics.com/jfe/form/SV_4JcyBYKV5VaCf9H</w:t>
        </w:r>
      </w:hyperlink>
      <w:r w:rsidRPr="00734AB6">
        <w:rPr>
          <w:rFonts w:asciiTheme="majorHAnsi" w:hAnsiTheme="majorHAnsi"/>
        </w:rPr>
        <w:t>)</w:t>
      </w:r>
    </w:p>
    <w:p w14:paraId="1C117048" w14:textId="77777777" w:rsidR="004676EF" w:rsidRPr="00734AB6" w:rsidRDefault="004676EF" w:rsidP="00AD47AC">
      <w:pPr>
        <w:spacing w:line="360" w:lineRule="auto"/>
        <w:rPr>
          <w:rFonts w:asciiTheme="majorHAnsi" w:hAnsiTheme="majorHAnsi"/>
        </w:rPr>
      </w:pPr>
      <w:r w:rsidRPr="00734AB6">
        <w:rPr>
          <w:rFonts w:asciiTheme="majorHAnsi" w:hAnsiTheme="majorHAnsi"/>
        </w:rPr>
        <w:t xml:space="preserve">I am a PhD student at London South Bank University and I am researching the use of psychoactive drugs and everyday attention.  Based on the results of my first study (“Smart Drug Study”), a further study is required to understand in greater detail the off-prescription use of modafinil and methylphenidate, recreational drug use and also how people who take these drugs feel that their attention is like both on and off these drugs.  If you are over 18 years of age and can spare 15-20 minutes, please complete this online survey (link found below).**This survey is completely confidential and anonymous so no details that could identify you will be recorded.  This study is not restricted to any country and welcomes people from all countries to participate.  Even if you have no experience of taking these drugs you are still invited to participate.  This survey will be open for a three month period between 6 February 2018 and 6 May 2018, after which time the survey will close.  Our findings from this study will contribute to informing research on the extent of use of these drugs within the UK and internationally and will form the basis of a journal article that may be published in a peer reviewed journal. </w:t>
      </w:r>
    </w:p>
    <w:p w14:paraId="640D37E5" w14:textId="77777777" w:rsidR="004676EF" w:rsidRPr="00734AB6" w:rsidRDefault="004676EF" w:rsidP="00AD47AC">
      <w:pPr>
        <w:spacing w:line="360" w:lineRule="auto"/>
        <w:rPr>
          <w:rFonts w:asciiTheme="majorHAnsi" w:hAnsiTheme="majorHAnsi"/>
        </w:rPr>
      </w:pPr>
      <w:r w:rsidRPr="00734AB6">
        <w:rPr>
          <w:rFonts w:asciiTheme="majorHAnsi" w:hAnsiTheme="majorHAnsi"/>
        </w:rPr>
        <w:t xml:space="preserve"> The study has been approved by the </w:t>
      </w:r>
      <w:r w:rsidRPr="00734AB6">
        <w:rPr>
          <w:rFonts w:asciiTheme="majorHAnsi" w:hAnsiTheme="majorHAnsi" w:cs="Arial"/>
        </w:rPr>
        <w:t>School of Applied Science Ethics Committee</w:t>
      </w:r>
      <w:r w:rsidRPr="00734AB6">
        <w:rPr>
          <w:rFonts w:asciiTheme="majorHAnsi" w:hAnsiTheme="majorHAnsi"/>
        </w:rPr>
        <w:t xml:space="preserve"> of London South Bank University (ref. SAS 1733).</w:t>
      </w:r>
    </w:p>
    <w:p w14:paraId="6A263FCE" w14:textId="77777777" w:rsidR="004676EF" w:rsidRPr="00734AB6" w:rsidRDefault="004676EF" w:rsidP="00AD47AC">
      <w:pPr>
        <w:spacing w:line="360" w:lineRule="auto"/>
        <w:rPr>
          <w:rFonts w:asciiTheme="majorHAnsi" w:hAnsiTheme="majorHAnsi"/>
        </w:rPr>
      </w:pPr>
      <w:r w:rsidRPr="00734AB6">
        <w:rPr>
          <w:rFonts w:asciiTheme="majorHAnsi" w:hAnsiTheme="majorHAnsi"/>
        </w:rPr>
        <w:t xml:space="preserve">To participate, just follow this link:  </w:t>
      </w:r>
    </w:p>
    <w:p w14:paraId="586AA617" w14:textId="77777777" w:rsidR="004676EF" w:rsidRPr="00734AB6" w:rsidRDefault="004676EF" w:rsidP="00AD47AC">
      <w:pPr>
        <w:spacing w:line="360" w:lineRule="auto"/>
        <w:rPr>
          <w:rFonts w:asciiTheme="majorHAnsi" w:hAnsiTheme="majorHAnsi"/>
        </w:rPr>
      </w:pPr>
      <w:r w:rsidRPr="00734AB6">
        <w:rPr>
          <w:rFonts w:asciiTheme="majorHAnsi" w:hAnsiTheme="majorHAnsi"/>
        </w:rPr>
        <w:t>[</w:t>
      </w:r>
      <w:r w:rsidRPr="00734AB6">
        <w:rPr>
          <w:rFonts w:asciiTheme="majorHAnsi" w:hAnsiTheme="majorHAnsi" w:cs="Helvetica"/>
          <w:shd w:val="clear" w:color="auto" w:fill="FFFFFF"/>
        </w:rPr>
        <w:t>Everyday attention and drug use survey</w:t>
      </w:r>
      <w:r w:rsidRPr="00734AB6">
        <w:rPr>
          <w:rFonts w:asciiTheme="majorHAnsi" w:hAnsiTheme="majorHAnsi"/>
        </w:rPr>
        <w:t xml:space="preserve">]( </w:t>
      </w:r>
      <w:hyperlink r:id="rId47" w:tgtFrame="_blank" w:history="1">
        <w:r w:rsidRPr="00734AB6">
          <w:rPr>
            <w:rStyle w:val="Hyperlink"/>
            <w:rFonts w:asciiTheme="majorHAnsi" w:hAnsiTheme="majorHAnsi"/>
            <w:color w:val="007AC0"/>
            <w:shd w:val="clear" w:color="auto" w:fill="FFFFFF"/>
          </w:rPr>
          <w:t>https://lsbupsychology.qualtrics.com/jfe/form/SV_4JcyBYKV5VaCf9H</w:t>
        </w:r>
      </w:hyperlink>
      <w:r w:rsidRPr="00734AB6">
        <w:rPr>
          <w:rFonts w:asciiTheme="majorHAnsi" w:hAnsiTheme="majorHAnsi"/>
        </w:rPr>
        <w:t>)</w:t>
      </w:r>
    </w:p>
    <w:p w14:paraId="0E729B8C" w14:textId="77777777" w:rsidR="004676EF" w:rsidRPr="00734AB6" w:rsidRDefault="004676EF" w:rsidP="00AD47AC">
      <w:pPr>
        <w:spacing w:line="360" w:lineRule="auto"/>
        <w:rPr>
          <w:rFonts w:asciiTheme="majorHAnsi" w:hAnsiTheme="majorHAnsi"/>
        </w:rPr>
      </w:pPr>
    </w:p>
    <w:p w14:paraId="1B9DCE5B" w14:textId="77777777" w:rsidR="000444BB" w:rsidRPr="00734AB6" w:rsidRDefault="000444BB" w:rsidP="000444BB">
      <w:pPr>
        <w:pBdr>
          <w:top w:val="double" w:sz="4" w:space="1" w:color="auto"/>
        </w:pBdr>
        <w:spacing w:line="360" w:lineRule="auto"/>
        <w:rPr>
          <w:rFonts w:asciiTheme="majorHAnsi" w:hAnsiTheme="majorHAnsi"/>
        </w:rPr>
      </w:pPr>
    </w:p>
    <w:p w14:paraId="2933413C" w14:textId="77777777" w:rsidR="00AD47AC" w:rsidRPr="00734AB6" w:rsidRDefault="00AD47AC" w:rsidP="000444BB">
      <w:pPr>
        <w:pBdr>
          <w:top w:val="double" w:sz="4" w:space="1" w:color="auto"/>
        </w:pBdr>
        <w:rPr>
          <w:rFonts w:asciiTheme="majorHAnsi" w:eastAsiaTheme="majorEastAsia" w:hAnsiTheme="majorHAnsi" w:cstheme="majorBidi"/>
          <w:b/>
        </w:rPr>
      </w:pPr>
      <w:bookmarkStart w:id="147" w:name="_Toc45200528"/>
      <w:r w:rsidRPr="00734AB6">
        <w:rPr>
          <w:b/>
        </w:rPr>
        <w:br w:type="page"/>
      </w:r>
    </w:p>
    <w:p w14:paraId="5DC5FF82" w14:textId="3493E7E0" w:rsidR="004676EF" w:rsidRPr="00734AB6" w:rsidRDefault="004676EF" w:rsidP="00AD47AC">
      <w:pPr>
        <w:pStyle w:val="Heading2"/>
        <w:spacing w:line="360" w:lineRule="auto"/>
        <w:rPr>
          <w:b/>
          <w:color w:val="auto"/>
          <w:sz w:val="22"/>
          <w:szCs w:val="22"/>
        </w:rPr>
      </w:pPr>
      <w:bookmarkStart w:id="148" w:name="_Toc48136421"/>
      <w:r w:rsidRPr="00734AB6">
        <w:rPr>
          <w:b/>
          <w:color w:val="auto"/>
          <w:sz w:val="22"/>
          <w:szCs w:val="22"/>
        </w:rPr>
        <w:lastRenderedPageBreak/>
        <w:t>B(iii)</w:t>
      </w:r>
      <w:r w:rsidRPr="00734AB6">
        <w:rPr>
          <w:b/>
          <w:color w:val="auto"/>
          <w:sz w:val="22"/>
          <w:szCs w:val="22"/>
        </w:rPr>
        <w:tab/>
        <w:t>Advertisement for controls to online forum sites</w:t>
      </w:r>
      <w:bookmarkEnd w:id="147"/>
      <w:bookmarkEnd w:id="148"/>
    </w:p>
    <w:p w14:paraId="0FE7FA2B" w14:textId="77777777" w:rsidR="004676EF" w:rsidRPr="00734AB6" w:rsidRDefault="004676EF" w:rsidP="00AD47AC">
      <w:pPr>
        <w:spacing w:line="360" w:lineRule="auto"/>
        <w:rPr>
          <w:rFonts w:asciiTheme="majorHAnsi" w:hAnsiTheme="majorHAnsi"/>
        </w:rPr>
      </w:pPr>
    </w:p>
    <w:p w14:paraId="5174F23A" w14:textId="77777777" w:rsidR="004676EF" w:rsidRPr="00734AB6" w:rsidRDefault="004676EF" w:rsidP="00AD47AC">
      <w:pPr>
        <w:spacing w:line="360" w:lineRule="auto"/>
        <w:rPr>
          <w:rFonts w:asciiTheme="majorHAnsi" w:hAnsiTheme="majorHAnsi"/>
          <w:b/>
        </w:rPr>
      </w:pPr>
      <w:r w:rsidRPr="00734AB6">
        <w:rPr>
          <w:rFonts w:asciiTheme="majorHAnsi" w:hAnsiTheme="majorHAnsi"/>
          <w:b/>
        </w:rPr>
        <w:t xml:space="preserve">Recruiting – looking for people who have NEVER taken modafinil, armodafinil, adrafinil, methylphenidate and </w:t>
      </w:r>
      <w:proofErr w:type="spellStart"/>
      <w:r w:rsidRPr="00734AB6">
        <w:rPr>
          <w:rFonts w:asciiTheme="majorHAnsi" w:hAnsiTheme="majorHAnsi"/>
          <w:b/>
        </w:rPr>
        <w:t>adderall</w:t>
      </w:r>
      <w:proofErr w:type="spellEnd"/>
    </w:p>
    <w:p w14:paraId="0E7D742A" w14:textId="77777777" w:rsidR="004676EF" w:rsidRPr="00734AB6" w:rsidRDefault="004676EF" w:rsidP="00AD47AC">
      <w:pPr>
        <w:spacing w:line="360" w:lineRule="auto"/>
        <w:rPr>
          <w:rFonts w:asciiTheme="majorHAnsi" w:hAnsiTheme="majorHAnsi"/>
        </w:rPr>
      </w:pPr>
      <w:r w:rsidRPr="00734AB6">
        <w:rPr>
          <w:rFonts w:asciiTheme="majorHAnsi" w:hAnsiTheme="majorHAnsi"/>
        </w:rPr>
        <w:t>Click here to take survey: [</w:t>
      </w:r>
      <w:r w:rsidRPr="00734AB6">
        <w:rPr>
          <w:rFonts w:asciiTheme="majorHAnsi" w:hAnsiTheme="majorHAnsi" w:cs="Helvetica"/>
          <w:shd w:val="clear" w:color="auto" w:fill="FFFFFF"/>
        </w:rPr>
        <w:t>Cognitive function and drug use survey</w:t>
      </w:r>
      <w:r w:rsidRPr="00734AB6">
        <w:rPr>
          <w:rFonts w:asciiTheme="majorHAnsi" w:hAnsiTheme="majorHAnsi"/>
        </w:rPr>
        <w:t xml:space="preserve">]( </w:t>
      </w:r>
      <w:hyperlink r:id="rId48" w:tgtFrame="_blank" w:history="1">
        <w:r w:rsidRPr="00734AB6">
          <w:rPr>
            <w:rStyle w:val="Hyperlink"/>
            <w:rFonts w:asciiTheme="majorHAnsi" w:hAnsiTheme="majorHAnsi"/>
            <w:shd w:val="clear" w:color="auto" w:fill="FFFFFF"/>
          </w:rPr>
          <w:t>https://lsbupsychology.qualtrics.com/jfe/form/SV_29bHZ8aCJm0IwkZ</w:t>
        </w:r>
      </w:hyperlink>
      <w:r w:rsidRPr="00734AB6">
        <w:rPr>
          <w:rFonts w:asciiTheme="majorHAnsi" w:hAnsiTheme="majorHAnsi"/>
        </w:rPr>
        <w:t>)</w:t>
      </w:r>
    </w:p>
    <w:p w14:paraId="7DDE219B" w14:textId="77777777" w:rsidR="004676EF" w:rsidRPr="00734AB6" w:rsidRDefault="004676EF" w:rsidP="00AD47AC">
      <w:pPr>
        <w:spacing w:line="360" w:lineRule="auto"/>
        <w:rPr>
          <w:rFonts w:asciiTheme="majorHAnsi" w:hAnsiTheme="majorHAnsi"/>
        </w:rPr>
      </w:pPr>
      <w:r w:rsidRPr="00734AB6">
        <w:rPr>
          <w:rFonts w:asciiTheme="majorHAnsi" w:hAnsiTheme="majorHAnsi"/>
        </w:rPr>
        <w:t xml:space="preserve">I am a PhD student at London South Bank University and I am researching the use of psychoactive drugs and everyday attention.  Based on the results of my first study (“Smart Drug Study”), a further study was required to understand in greater detail the off-prescription use of modafinil and methylphenidate, recreational drug use and also how people who take these drugs feel that their attention is like both on and off these drugs.  We have collected this data but we still require data from participants who have never taken these drugs.  If you are over 18 years of age and can spare 15-20 minutes, please complete this online survey (link found below).  This survey is completely confidential and anonymous so no details that could identify you will be recorded.  This study is not restricted to any country and welcomes people from all countries to participate.  </w:t>
      </w:r>
    </w:p>
    <w:p w14:paraId="4DBC39E8" w14:textId="77777777" w:rsidR="004676EF" w:rsidRPr="00734AB6" w:rsidRDefault="004676EF" w:rsidP="00AD47AC">
      <w:pPr>
        <w:spacing w:line="360" w:lineRule="auto"/>
        <w:rPr>
          <w:rFonts w:asciiTheme="majorHAnsi" w:hAnsiTheme="majorHAnsi"/>
        </w:rPr>
      </w:pPr>
      <w:r w:rsidRPr="00734AB6">
        <w:rPr>
          <w:rFonts w:asciiTheme="majorHAnsi" w:hAnsiTheme="majorHAnsi"/>
          <w:b/>
        </w:rPr>
        <w:t xml:space="preserve">If you have NO experience of taking modafinil, armodafinil, adrafinil, methylphenidate and </w:t>
      </w:r>
      <w:proofErr w:type="spellStart"/>
      <w:r w:rsidRPr="00734AB6">
        <w:rPr>
          <w:rFonts w:asciiTheme="majorHAnsi" w:hAnsiTheme="majorHAnsi"/>
          <w:b/>
        </w:rPr>
        <w:t>adderall</w:t>
      </w:r>
      <w:proofErr w:type="spellEnd"/>
      <w:r w:rsidRPr="00734AB6">
        <w:rPr>
          <w:rFonts w:asciiTheme="majorHAnsi" w:hAnsiTheme="majorHAnsi"/>
          <w:b/>
        </w:rPr>
        <w:t xml:space="preserve"> you are invited to participate.  Please do not participate if you have already taken this survey.</w:t>
      </w:r>
    </w:p>
    <w:p w14:paraId="49066A33" w14:textId="77777777" w:rsidR="004676EF" w:rsidRPr="00734AB6" w:rsidRDefault="004676EF" w:rsidP="00AD47AC">
      <w:pPr>
        <w:spacing w:line="360" w:lineRule="auto"/>
        <w:rPr>
          <w:rFonts w:asciiTheme="majorHAnsi" w:hAnsiTheme="majorHAnsi"/>
        </w:rPr>
      </w:pPr>
      <w:r w:rsidRPr="00734AB6">
        <w:rPr>
          <w:rFonts w:asciiTheme="majorHAnsi" w:hAnsiTheme="majorHAnsi"/>
        </w:rPr>
        <w:t>This survey will be open for a one month period between 4</w:t>
      </w:r>
      <w:r w:rsidRPr="00734AB6">
        <w:rPr>
          <w:rFonts w:asciiTheme="majorHAnsi" w:hAnsiTheme="majorHAnsi"/>
          <w:vertAlign w:val="superscript"/>
        </w:rPr>
        <w:t>th</w:t>
      </w:r>
      <w:r w:rsidRPr="00734AB6">
        <w:rPr>
          <w:rFonts w:asciiTheme="majorHAnsi" w:hAnsiTheme="majorHAnsi"/>
        </w:rPr>
        <w:t xml:space="preserve"> October 2018 and 4 November 2018, after which time the survey will close.  Our findings from this study will contribute to informing research on the extent of use of these drugs within the UK and internationally and will form the basis of a journal article that may be published in a peer reviewed journal. </w:t>
      </w:r>
    </w:p>
    <w:p w14:paraId="1624F61B" w14:textId="77777777" w:rsidR="004676EF" w:rsidRPr="00734AB6" w:rsidRDefault="004676EF" w:rsidP="00AD47AC">
      <w:pPr>
        <w:spacing w:line="360" w:lineRule="auto"/>
        <w:rPr>
          <w:rFonts w:asciiTheme="majorHAnsi" w:hAnsiTheme="majorHAnsi"/>
        </w:rPr>
      </w:pPr>
      <w:r w:rsidRPr="00734AB6">
        <w:rPr>
          <w:rFonts w:asciiTheme="majorHAnsi" w:hAnsiTheme="majorHAnsi"/>
        </w:rPr>
        <w:t xml:space="preserve"> The study has been approved by the </w:t>
      </w:r>
      <w:r w:rsidRPr="00734AB6">
        <w:rPr>
          <w:rFonts w:asciiTheme="majorHAnsi" w:hAnsiTheme="majorHAnsi" w:cs="Arial"/>
        </w:rPr>
        <w:t>School of Applied Science Ethics Committee</w:t>
      </w:r>
      <w:r w:rsidRPr="00734AB6">
        <w:rPr>
          <w:rFonts w:asciiTheme="majorHAnsi" w:hAnsiTheme="majorHAnsi"/>
        </w:rPr>
        <w:t xml:space="preserve"> of London South Bank University (ref. SAS 1833c).</w:t>
      </w:r>
    </w:p>
    <w:p w14:paraId="2302198A" w14:textId="77777777" w:rsidR="004676EF" w:rsidRPr="00734AB6" w:rsidRDefault="004676EF" w:rsidP="00AD47AC">
      <w:pPr>
        <w:spacing w:line="360" w:lineRule="auto"/>
        <w:rPr>
          <w:rFonts w:asciiTheme="majorHAnsi" w:hAnsiTheme="majorHAnsi"/>
        </w:rPr>
      </w:pPr>
      <w:r w:rsidRPr="00734AB6">
        <w:rPr>
          <w:rFonts w:asciiTheme="majorHAnsi" w:hAnsiTheme="majorHAnsi"/>
        </w:rPr>
        <w:t xml:space="preserve">To participate, just follow this link:  </w:t>
      </w:r>
    </w:p>
    <w:p w14:paraId="229A91A9" w14:textId="77777777" w:rsidR="004676EF" w:rsidRPr="00734AB6" w:rsidRDefault="004676EF" w:rsidP="00AD47AC">
      <w:pPr>
        <w:spacing w:line="360" w:lineRule="auto"/>
        <w:rPr>
          <w:rFonts w:asciiTheme="majorHAnsi" w:hAnsiTheme="majorHAnsi"/>
        </w:rPr>
      </w:pPr>
      <w:r w:rsidRPr="00734AB6">
        <w:rPr>
          <w:rFonts w:asciiTheme="majorHAnsi" w:hAnsiTheme="majorHAnsi"/>
        </w:rPr>
        <w:t>[</w:t>
      </w:r>
      <w:r w:rsidRPr="00734AB6">
        <w:rPr>
          <w:rFonts w:asciiTheme="majorHAnsi" w:hAnsiTheme="majorHAnsi" w:cs="Helvetica"/>
          <w:shd w:val="clear" w:color="auto" w:fill="FFFFFF"/>
        </w:rPr>
        <w:t>Cognitive function and drug use survey</w:t>
      </w:r>
      <w:r w:rsidRPr="00734AB6">
        <w:rPr>
          <w:rFonts w:asciiTheme="majorHAnsi" w:hAnsiTheme="majorHAnsi"/>
        </w:rPr>
        <w:t xml:space="preserve">]( </w:t>
      </w:r>
      <w:hyperlink r:id="rId49" w:tgtFrame="_blank" w:history="1">
        <w:r w:rsidRPr="00734AB6">
          <w:rPr>
            <w:rStyle w:val="Hyperlink"/>
            <w:rFonts w:asciiTheme="majorHAnsi" w:hAnsiTheme="majorHAnsi"/>
            <w:shd w:val="clear" w:color="auto" w:fill="FFFFFF"/>
          </w:rPr>
          <w:t>https://lsbupsychology.qualtrics.com/jfe/form/SV_29bHZ8aCJm0IwkZ</w:t>
        </w:r>
      </w:hyperlink>
      <w:r w:rsidRPr="00734AB6">
        <w:rPr>
          <w:rFonts w:asciiTheme="majorHAnsi" w:hAnsiTheme="majorHAnsi"/>
        </w:rPr>
        <w:t>)</w:t>
      </w:r>
    </w:p>
    <w:p w14:paraId="1ED2C1A9" w14:textId="77777777" w:rsidR="004676EF" w:rsidRPr="00734AB6" w:rsidRDefault="004676EF" w:rsidP="0099584D">
      <w:pPr>
        <w:spacing w:line="360" w:lineRule="auto"/>
        <w:rPr>
          <w:rFonts w:asciiTheme="majorHAnsi" w:hAnsiTheme="majorHAnsi"/>
        </w:rPr>
      </w:pPr>
    </w:p>
    <w:p w14:paraId="165C2BE4" w14:textId="77777777" w:rsidR="004676EF" w:rsidRPr="00734AB6" w:rsidRDefault="004676EF" w:rsidP="000444BB">
      <w:pPr>
        <w:pBdr>
          <w:top w:val="double" w:sz="4" w:space="1" w:color="auto"/>
        </w:pBdr>
        <w:spacing w:line="360" w:lineRule="auto"/>
        <w:ind w:left="360"/>
        <w:rPr>
          <w:rFonts w:asciiTheme="majorHAnsi" w:hAnsiTheme="majorHAnsi"/>
        </w:rPr>
      </w:pPr>
    </w:p>
    <w:p w14:paraId="3FB826D4" w14:textId="77777777" w:rsidR="000444BB" w:rsidRPr="00734AB6" w:rsidRDefault="000444BB">
      <w:pPr>
        <w:rPr>
          <w:rFonts w:asciiTheme="majorHAnsi" w:eastAsiaTheme="majorEastAsia" w:hAnsiTheme="majorHAnsi" w:cstheme="majorBidi"/>
          <w:b/>
        </w:rPr>
      </w:pPr>
      <w:bookmarkStart w:id="149" w:name="_Toc45200529"/>
      <w:r w:rsidRPr="00734AB6">
        <w:rPr>
          <w:b/>
        </w:rPr>
        <w:br w:type="page"/>
      </w:r>
    </w:p>
    <w:p w14:paraId="690C85D8" w14:textId="10023501" w:rsidR="004676EF" w:rsidRPr="00734AB6" w:rsidRDefault="004676EF" w:rsidP="0099584D">
      <w:pPr>
        <w:pStyle w:val="Heading2"/>
        <w:spacing w:line="360" w:lineRule="auto"/>
        <w:rPr>
          <w:b/>
          <w:color w:val="auto"/>
          <w:sz w:val="22"/>
          <w:szCs w:val="22"/>
        </w:rPr>
      </w:pPr>
      <w:bookmarkStart w:id="150" w:name="_Toc48136422"/>
      <w:r w:rsidRPr="00734AB6">
        <w:rPr>
          <w:b/>
          <w:color w:val="auto"/>
          <w:sz w:val="22"/>
          <w:szCs w:val="22"/>
        </w:rPr>
        <w:lastRenderedPageBreak/>
        <w:t>B(iv)</w:t>
      </w:r>
      <w:r w:rsidRPr="00734AB6">
        <w:rPr>
          <w:b/>
          <w:color w:val="auto"/>
          <w:sz w:val="22"/>
          <w:szCs w:val="22"/>
        </w:rPr>
        <w:tab/>
        <w:t>Participant information sheet</w:t>
      </w:r>
      <w:bookmarkEnd w:id="149"/>
      <w:bookmarkEnd w:id="150"/>
    </w:p>
    <w:p w14:paraId="20779C44" w14:textId="77777777" w:rsidR="004676EF" w:rsidRPr="00734AB6" w:rsidRDefault="004676EF" w:rsidP="0099584D">
      <w:pPr>
        <w:spacing w:line="360" w:lineRule="auto"/>
        <w:ind w:left="360"/>
        <w:rPr>
          <w:rFonts w:asciiTheme="majorHAnsi" w:hAnsiTheme="majorHAnsi"/>
        </w:rPr>
      </w:pPr>
    </w:p>
    <w:p w14:paraId="27B2ACA7"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Participant Information Sheet</w:t>
      </w:r>
    </w:p>
    <w:p w14:paraId="0C96553E" w14:textId="77777777" w:rsidR="004676EF" w:rsidRPr="00734AB6" w:rsidRDefault="004676EF" w:rsidP="0099584D">
      <w:pPr>
        <w:tabs>
          <w:tab w:val="left" w:pos="1560"/>
        </w:tabs>
        <w:spacing w:line="360" w:lineRule="auto"/>
        <w:ind w:left="1560" w:hanging="1560"/>
        <w:rPr>
          <w:rFonts w:asciiTheme="majorHAnsi" w:hAnsiTheme="majorHAnsi"/>
          <w:b/>
        </w:rPr>
      </w:pPr>
      <w:r w:rsidRPr="00734AB6">
        <w:rPr>
          <w:rFonts w:asciiTheme="majorHAnsi" w:hAnsiTheme="majorHAnsi"/>
          <w:b/>
        </w:rPr>
        <w:t>Title of study:</w:t>
      </w:r>
      <w:r w:rsidRPr="00734AB6">
        <w:rPr>
          <w:rFonts w:asciiTheme="majorHAnsi" w:hAnsiTheme="majorHAnsi"/>
          <w:b/>
        </w:rPr>
        <w:tab/>
      </w:r>
      <w:r w:rsidRPr="00734AB6">
        <w:rPr>
          <w:rFonts w:asciiTheme="majorHAnsi" w:hAnsiTheme="majorHAnsi"/>
          <w:b/>
          <w:u w:val="single"/>
        </w:rPr>
        <w:t>Everyday attention and drug use: for better or worse, a web-based survey</w:t>
      </w:r>
    </w:p>
    <w:p w14:paraId="7E50E571"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You are invited to take part in a survey on the relationship between drug-use and everyday attention.  </w:t>
      </w:r>
    </w:p>
    <w:p w14:paraId="007F098E"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This is a completely anonymous survey and no information that could identify you will be collected.  Participation is entirely voluntary and you are free to opt out at any time during completion of the questionnaire by closing your browser window. Only participants who click the ‘submit’ button at the end of the survey will have their responses recorded.  This study is being conducted as part of Rachel </w:t>
      </w:r>
      <w:proofErr w:type="spellStart"/>
      <w:r w:rsidRPr="00734AB6">
        <w:rPr>
          <w:rFonts w:asciiTheme="majorHAnsi" w:hAnsiTheme="majorHAnsi"/>
        </w:rPr>
        <w:t>Teodorini’s</w:t>
      </w:r>
      <w:proofErr w:type="spellEnd"/>
      <w:r w:rsidRPr="00734AB6">
        <w:rPr>
          <w:rFonts w:asciiTheme="majorHAnsi" w:hAnsiTheme="majorHAnsi"/>
        </w:rPr>
        <w:t xml:space="preserve"> PhD programme at London South Bank University.  </w:t>
      </w:r>
    </w:p>
    <w:p w14:paraId="249E3679"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You can only take part in this study if you are over 18. </w:t>
      </w:r>
    </w:p>
    <w:p w14:paraId="649C880A"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Please take time to decide if you would like to take part and please be aware that you are under no obligation to do so and have the right to withdraw at any point </w:t>
      </w:r>
      <w:r w:rsidRPr="00734AB6">
        <w:rPr>
          <w:rFonts w:asciiTheme="majorHAnsi" w:hAnsiTheme="majorHAnsi" w:cs="Arial"/>
        </w:rPr>
        <w:t>up until you press submit</w:t>
      </w:r>
      <w:r w:rsidRPr="00734AB6">
        <w:rPr>
          <w:rFonts w:asciiTheme="majorHAnsi" w:hAnsiTheme="majorHAnsi"/>
        </w:rPr>
        <w:t xml:space="preserve">.  The survey will take approximately 20 minutes to complete and will involve a minimal amount of typing as the questions have mostly tick box options.  The questions will ask about use of drugs, including alcohol, nicotine, modafinil, methylphenidate, cannabis and recreational stimulant drugs. You will also be asked to provide self-ratings of your cognitive performance. </w:t>
      </w:r>
    </w:p>
    <w:p w14:paraId="641BC2EE" w14:textId="77777777" w:rsidR="004676EF" w:rsidRPr="00734AB6" w:rsidRDefault="004676EF" w:rsidP="0099584D">
      <w:pPr>
        <w:spacing w:line="360" w:lineRule="auto"/>
        <w:rPr>
          <w:rFonts w:asciiTheme="majorHAnsi" w:hAnsiTheme="majorHAnsi"/>
        </w:rPr>
      </w:pPr>
      <w:r w:rsidRPr="00734AB6">
        <w:rPr>
          <w:rFonts w:asciiTheme="majorHAnsi" w:hAnsiTheme="majorHAnsi"/>
        </w:rPr>
        <w:t>This study will form part of my PhD thesis and may also be published in a peer reviewed journal.  All information collected from this survey will be securely stored on a password protected computer that will only be accessed by me (Rachel Teodorini) and my doctoral supervisors (Dr Nicola Rycroft and Dr James Smith-Spark) both of whom are Senior Lecturers at London South Bank University and have expertise in substance use and cognitive performance.  This information will be stored for a period of time (approximately 5 years from publication) to comply with journal regulations.</w:t>
      </w:r>
    </w:p>
    <w:p w14:paraId="18121E26"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Other than contributing to a knowledge base that will help to inform research on the prevalence of use of these drugs, it is unlikely that you will gain any personal benefit from participating in this research.  It is not anticipated that you will be disadvantaged by participating in this research. </w:t>
      </w:r>
    </w:p>
    <w:p w14:paraId="0A1B4AAF" w14:textId="77777777" w:rsidR="004676EF" w:rsidRPr="00734AB6" w:rsidRDefault="004676EF" w:rsidP="0099584D">
      <w:pPr>
        <w:spacing w:line="360" w:lineRule="auto"/>
        <w:rPr>
          <w:rFonts w:asciiTheme="majorHAnsi" w:hAnsiTheme="majorHAnsi"/>
        </w:rPr>
      </w:pPr>
      <w:r w:rsidRPr="00734AB6">
        <w:rPr>
          <w:rFonts w:asciiTheme="majorHAnsi" w:hAnsiTheme="majorHAnsi"/>
        </w:rPr>
        <w:t>This study has been organized by the PhD student and aforementioned supervisors and funded by London South Bank University.  It has also been ethically approved by the School of Applied Sciences Research Ethics Committee.</w:t>
      </w:r>
    </w:p>
    <w:p w14:paraId="540CDBDD" w14:textId="77777777" w:rsidR="004676EF" w:rsidRPr="00734AB6" w:rsidRDefault="004676EF" w:rsidP="0099584D">
      <w:pPr>
        <w:spacing w:line="360" w:lineRule="auto"/>
        <w:rPr>
          <w:rFonts w:asciiTheme="majorHAnsi" w:hAnsiTheme="majorHAnsi"/>
        </w:rPr>
      </w:pPr>
      <w:r w:rsidRPr="00734AB6">
        <w:rPr>
          <w:rFonts w:asciiTheme="majorHAnsi" w:hAnsiTheme="majorHAnsi"/>
        </w:rPr>
        <w:lastRenderedPageBreak/>
        <w:t>If you would like to take part in this study, please click on the ‘Continue’ button below.  This will lead you to a consent form consisting of a number of statements which you are required to answer by clicking on the tick boxes.  Only by ticking on the boxes will you be indicating consent to each of these statements and only by ticking all consent boxes will you be able to continue to the survey.  Should you change your mind and wish to cancel at this stage or at any stage during the survey simply exit the survey and your responses will not be included in this study.  Each question in the survey requires an answer, even if the answer is ‘no’.</w:t>
      </w:r>
    </w:p>
    <w:p w14:paraId="0C5B8149" w14:textId="77777777" w:rsidR="004676EF" w:rsidRPr="00734AB6" w:rsidRDefault="004676EF" w:rsidP="0099584D">
      <w:pPr>
        <w:spacing w:line="360" w:lineRule="auto"/>
        <w:rPr>
          <w:rFonts w:asciiTheme="majorHAnsi" w:hAnsiTheme="majorHAnsi"/>
        </w:rPr>
      </w:pPr>
      <w:r w:rsidRPr="00734AB6">
        <w:rPr>
          <w:rFonts w:asciiTheme="majorHAnsi" w:hAnsiTheme="majorHAnsi"/>
        </w:rPr>
        <w:t>On completion of the survey you will be shown a ‘submit’ button.  At this point you may still withdraw your participation by closing your browser page.  If you click on the ‘submit’ button you will no longer be able to withdraw.  This is because each submission is entirely anonymous and there is no way of identifying your submission.  Once you have clicked on the ‘submit’ button you will be shown a debriefing page, providing you with further information regarding this study.</w:t>
      </w:r>
    </w:p>
    <w:p w14:paraId="2D7B7263" w14:textId="77777777" w:rsidR="004676EF" w:rsidRPr="00734AB6" w:rsidRDefault="004676EF" w:rsidP="0099584D">
      <w:pPr>
        <w:spacing w:line="360" w:lineRule="auto"/>
        <w:rPr>
          <w:rFonts w:asciiTheme="majorHAnsi" w:hAnsiTheme="majorHAnsi"/>
        </w:rPr>
      </w:pPr>
      <w:r w:rsidRPr="00734AB6">
        <w:rPr>
          <w:rFonts w:asciiTheme="majorHAnsi" w:hAnsiTheme="majorHAnsi"/>
        </w:rPr>
        <w:t>If you would like to take part, you are free to discuss this with your GP, friends or family.</w:t>
      </w:r>
    </w:p>
    <w:p w14:paraId="73E00186"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For additional information and further clarifications about the study please contact the researcher, Rachel Teodorini, at </w:t>
      </w:r>
      <w:hyperlink r:id="rId50" w:history="1">
        <w:r w:rsidRPr="00734AB6">
          <w:rPr>
            <w:rStyle w:val="Hyperlink"/>
            <w:rFonts w:asciiTheme="majorHAnsi" w:hAnsiTheme="majorHAnsi"/>
          </w:rPr>
          <w:t>teodorr2@lsbu.ac.uk</w:t>
        </w:r>
      </w:hyperlink>
      <w:r w:rsidRPr="00734AB6">
        <w:rPr>
          <w:rFonts w:asciiTheme="majorHAnsi" w:hAnsiTheme="majorHAnsi"/>
        </w:rPr>
        <w:t xml:space="preserve">, </w:t>
      </w:r>
      <w:proofErr w:type="spellStart"/>
      <w:r w:rsidRPr="00734AB6">
        <w:rPr>
          <w:rFonts w:asciiTheme="majorHAnsi" w:hAnsiTheme="majorHAnsi"/>
        </w:rPr>
        <w:t>tel</w:t>
      </w:r>
      <w:proofErr w:type="spellEnd"/>
      <w:r w:rsidRPr="00734AB6">
        <w:rPr>
          <w:rFonts w:asciiTheme="majorHAnsi" w:hAnsiTheme="majorHAnsi"/>
        </w:rPr>
        <w:t xml:space="preserve">: 020 7815 5431.  Contact details for supervisors are: Dr Nicola Rycroft, email: </w:t>
      </w:r>
      <w:hyperlink r:id="rId51" w:history="1">
        <w:r w:rsidRPr="00734AB6">
          <w:rPr>
            <w:rStyle w:val="Hyperlink"/>
            <w:rFonts w:asciiTheme="majorHAnsi" w:hAnsiTheme="majorHAnsi"/>
          </w:rPr>
          <w:t>rycroftn@lsbu.ac.uk</w:t>
        </w:r>
      </w:hyperlink>
      <w:r w:rsidRPr="00734AB6">
        <w:rPr>
          <w:rFonts w:asciiTheme="majorHAnsi" w:hAnsiTheme="majorHAnsi"/>
        </w:rPr>
        <w:t xml:space="preserve">; Dr James Smith-Spark, email: </w:t>
      </w:r>
      <w:hyperlink r:id="rId52" w:history="1">
        <w:r w:rsidRPr="00734AB6">
          <w:rPr>
            <w:rStyle w:val="Hyperlink"/>
            <w:rFonts w:asciiTheme="majorHAnsi" w:hAnsiTheme="majorHAnsi"/>
          </w:rPr>
          <w:t>smithspj@lsbu.ac.uk</w:t>
        </w:r>
      </w:hyperlink>
      <w:r w:rsidRPr="00734AB6">
        <w:rPr>
          <w:rFonts w:asciiTheme="majorHAnsi" w:hAnsiTheme="majorHAnsi"/>
        </w:rPr>
        <w:t xml:space="preserve">.  If you have any concerns or complaints you may contact the Chair of the School of Applied Sciences Research Ethics Committee at </w:t>
      </w:r>
      <w:hyperlink r:id="rId53" w:history="1">
        <w:r w:rsidRPr="00734AB6">
          <w:rPr>
            <w:rStyle w:val="Hyperlink"/>
            <w:rFonts w:asciiTheme="majorHAnsi" w:hAnsiTheme="majorHAnsi"/>
          </w:rPr>
          <w:t>sasethics@lsbu.ac.uk</w:t>
        </w:r>
      </w:hyperlink>
      <w:r w:rsidRPr="00734AB6">
        <w:rPr>
          <w:rFonts w:asciiTheme="majorHAnsi" w:hAnsiTheme="majorHAnsi"/>
        </w:rPr>
        <w:t>.</w:t>
      </w:r>
    </w:p>
    <w:p w14:paraId="16B66717" w14:textId="77777777" w:rsidR="000444BB" w:rsidRPr="00734AB6" w:rsidRDefault="000444BB" w:rsidP="000444BB">
      <w:bookmarkStart w:id="151" w:name="_Toc45200530"/>
    </w:p>
    <w:p w14:paraId="6E9D8930" w14:textId="77777777" w:rsidR="000444BB" w:rsidRPr="00734AB6" w:rsidRDefault="000444BB" w:rsidP="000444BB">
      <w:pPr>
        <w:pBdr>
          <w:top w:val="double" w:sz="4" w:space="1" w:color="auto"/>
        </w:pBdr>
      </w:pPr>
    </w:p>
    <w:p w14:paraId="2CA4DA3E" w14:textId="77777777" w:rsidR="000444BB" w:rsidRPr="00734AB6" w:rsidRDefault="000444BB" w:rsidP="000444BB"/>
    <w:p w14:paraId="73A76F68" w14:textId="77777777" w:rsidR="004676EF" w:rsidRPr="00734AB6" w:rsidRDefault="004676EF" w:rsidP="0099584D">
      <w:pPr>
        <w:pStyle w:val="Heading2"/>
        <w:spacing w:line="360" w:lineRule="auto"/>
        <w:rPr>
          <w:b/>
          <w:color w:val="auto"/>
          <w:sz w:val="22"/>
          <w:szCs w:val="22"/>
        </w:rPr>
      </w:pPr>
      <w:bookmarkStart w:id="152" w:name="_Toc48136423"/>
      <w:r w:rsidRPr="00734AB6">
        <w:rPr>
          <w:b/>
          <w:color w:val="auto"/>
          <w:sz w:val="22"/>
          <w:szCs w:val="22"/>
        </w:rPr>
        <w:t>B(v)</w:t>
      </w:r>
      <w:r w:rsidRPr="00734AB6">
        <w:rPr>
          <w:b/>
          <w:color w:val="auto"/>
          <w:sz w:val="22"/>
          <w:szCs w:val="22"/>
        </w:rPr>
        <w:tab/>
        <w:t>Participant consent form</w:t>
      </w:r>
      <w:bookmarkEnd w:id="151"/>
      <w:bookmarkEnd w:id="152"/>
    </w:p>
    <w:p w14:paraId="7969E130" w14:textId="77777777" w:rsidR="004676EF" w:rsidRPr="00734AB6" w:rsidRDefault="004676EF" w:rsidP="0099584D">
      <w:pPr>
        <w:tabs>
          <w:tab w:val="left" w:pos="-1440"/>
          <w:tab w:val="left" w:pos="-720"/>
          <w:tab w:val="left" w:pos="420"/>
          <w:tab w:val="left" w:pos="720"/>
          <w:tab w:val="left" w:pos="920"/>
          <w:tab w:val="left" w:pos="1440"/>
          <w:tab w:val="left" w:pos="1560"/>
          <w:tab w:val="left" w:pos="198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b/>
        </w:rPr>
        <w:t>Title of study:</w:t>
      </w:r>
      <w:r w:rsidRPr="00734AB6">
        <w:rPr>
          <w:rFonts w:asciiTheme="majorHAnsi" w:hAnsiTheme="majorHAnsi"/>
          <w:b/>
        </w:rPr>
        <w:tab/>
      </w:r>
      <w:r w:rsidRPr="00734AB6">
        <w:rPr>
          <w:rFonts w:asciiTheme="majorHAnsi" w:hAnsiTheme="majorHAnsi"/>
          <w:b/>
          <w:u w:val="single"/>
        </w:rPr>
        <w:t>Everyday attention and drug use: for better or worse?</w:t>
      </w:r>
    </w:p>
    <w:p w14:paraId="6DF0EABE"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p>
    <w:p w14:paraId="4E6A620D"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b/>
        </w:rPr>
      </w:pPr>
      <w:r w:rsidRPr="00734AB6">
        <w:rPr>
          <w:rFonts w:asciiTheme="majorHAnsi" w:hAnsiTheme="majorHAnsi"/>
          <w:b/>
        </w:rPr>
        <w:t>Please tick all boxes to indicate your agreement with the following statements.</w:t>
      </w:r>
    </w:p>
    <w:p w14:paraId="62405D45"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b/>
          <w:i/>
        </w:rPr>
      </w:pPr>
    </w:p>
    <w:p w14:paraId="5A470405"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b/>
          <w:i/>
        </w:rPr>
      </w:pPr>
      <w:r w:rsidRPr="00734AB6">
        <w:rPr>
          <w:rFonts w:asciiTheme="majorHAnsi" w:hAnsiTheme="majorHAnsi"/>
          <w:b/>
          <w:i/>
        </w:rPr>
        <w:t>All boxes must be ticked to enter the survey.  If you do not agree with any of the statements you should press the ‘exit’ button at the end of the page to leave the survey.</w:t>
      </w:r>
    </w:p>
    <w:p w14:paraId="7172197E"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p>
    <w:p w14:paraId="4148E345" w14:textId="1DE4EBC7" w:rsidR="004676EF" w:rsidRPr="00734AB6" w:rsidRDefault="004676EF" w:rsidP="000444BB">
      <w:pPr>
        <w:tabs>
          <w:tab w:val="left" w:pos="-1440"/>
          <w:tab w:val="left" w:pos="-720"/>
          <w:tab w:val="left" w:pos="7938"/>
        </w:tabs>
        <w:spacing w:line="360" w:lineRule="auto"/>
        <w:ind w:left="360" w:right="-360"/>
        <w:rPr>
          <w:rFonts w:asciiTheme="majorHAnsi" w:hAnsiTheme="majorHAnsi"/>
        </w:rPr>
      </w:pPr>
      <w:r w:rsidRPr="00734AB6">
        <w:rPr>
          <w:rFonts w:asciiTheme="majorHAnsi" w:hAnsiTheme="majorHAnsi"/>
        </w:rPr>
        <w:t>I have read the information sheet about this.  I have had the opportunity to discuss the details and ask questions about this study.</w:t>
      </w:r>
      <w:r w:rsidRPr="00734AB6">
        <w:rPr>
          <w:rFonts w:asciiTheme="majorHAnsi" w:hAnsiTheme="majorHAnsi"/>
        </w:rPr>
        <w:tab/>
      </w:r>
      <w:r w:rsidRPr="00734AB6">
        <w:rPr>
          <w:rFonts w:asciiTheme="majorHAnsi" w:hAnsiTheme="majorHAnsi"/>
        </w:rPr>
        <w:sym w:font="Wingdings" w:char="F0A8"/>
      </w:r>
    </w:p>
    <w:p w14:paraId="2443A882"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p>
    <w:p w14:paraId="52A43FEB"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lastRenderedPageBreak/>
        <w:t xml:space="preserve">The nature and purpose of this study has been explained and I believe that I </w:t>
      </w:r>
    </w:p>
    <w:p w14:paraId="0234F929" w14:textId="4A5AF139" w:rsidR="004676EF" w:rsidRPr="00734AB6" w:rsidRDefault="004676EF" w:rsidP="000444BB">
      <w:pPr>
        <w:tabs>
          <w:tab w:val="left" w:pos="-1440"/>
          <w:tab w:val="left" w:pos="-720"/>
          <w:tab w:val="left" w:pos="7938"/>
          <w:tab w:val="left" w:pos="8640"/>
          <w:tab w:val="left" w:pos="9360"/>
          <w:tab w:val="left" w:pos="10080"/>
          <w:tab w:val="left" w:pos="10800"/>
          <w:tab w:val="left" w:pos="11520"/>
        </w:tabs>
        <w:spacing w:line="360" w:lineRule="auto"/>
        <w:ind w:left="360" w:right="-360"/>
        <w:rPr>
          <w:rFonts w:asciiTheme="majorHAnsi" w:hAnsiTheme="majorHAnsi"/>
          <w:i/>
        </w:rPr>
      </w:pPr>
      <w:r w:rsidRPr="00734AB6">
        <w:rPr>
          <w:rFonts w:asciiTheme="majorHAnsi" w:hAnsiTheme="majorHAnsi"/>
        </w:rPr>
        <w:t xml:space="preserve">understand what is being proposed. </w:t>
      </w:r>
      <w:r w:rsidRPr="00734AB6">
        <w:rPr>
          <w:rFonts w:asciiTheme="majorHAnsi" w:hAnsiTheme="majorHAnsi"/>
        </w:rPr>
        <w:tab/>
      </w:r>
      <w:r w:rsidRPr="00734AB6">
        <w:rPr>
          <w:rFonts w:asciiTheme="majorHAnsi" w:hAnsiTheme="majorHAnsi"/>
        </w:rPr>
        <w:sym w:font="Wingdings" w:char="F0A8"/>
      </w:r>
    </w:p>
    <w:p w14:paraId="454744C1"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 xml:space="preserve">I understand that my personal involvement and my particular data from this </w:t>
      </w:r>
    </w:p>
    <w:p w14:paraId="5A25760F"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study will remain strictly confidential and entirely anonymous and therefore</w:t>
      </w:r>
    </w:p>
    <w:p w14:paraId="6A2EF50A"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 xml:space="preserve">the data will not be identifiable in any way, even by the researchers involved </w:t>
      </w:r>
    </w:p>
    <w:p w14:paraId="267B6770" w14:textId="77777777" w:rsidR="004676EF" w:rsidRPr="00734AB6" w:rsidRDefault="004676EF" w:rsidP="000444BB">
      <w:pPr>
        <w:tabs>
          <w:tab w:val="left" w:pos="-1440"/>
          <w:tab w:val="left" w:pos="-720"/>
          <w:tab w:val="left" w:pos="7938"/>
        </w:tabs>
        <w:spacing w:line="360" w:lineRule="auto"/>
        <w:ind w:left="360" w:right="-360"/>
        <w:rPr>
          <w:rFonts w:asciiTheme="majorHAnsi" w:hAnsiTheme="majorHAnsi"/>
        </w:rPr>
      </w:pPr>
      <w:r w:rsidRPr="00734AB6">
        <w:rPr>
          <w:rFonts w:asciiTheme="majorHAnsi" w:hAnsiTheme="majorHAnsi"/>
        </w:rPr>
        <w:t xml:space="preserve">in the study. </w:t>
      </w:r>
      <w:r w:rsidRPr="00734AB6">
        <w:rPr>
          <w:rFonts w:asciiTheme="majorHAnsi" w:hAnsiTheme="majorHAnsi"/>
        </w:rPr>
        <w:tab/>
      </w:r>
      <w:r w:rsidRPr="00734AB6">
        <w:rPr>
          <w:rFonts w:asciiTheme="majorHAnsi" w:hAnsiTheme="majorHAnsi"/>
        </w:rPr>
        <w:sym w:font="Wingdings" w:char="F0A8"/>
      </w:r>
    </w:p>
    <w:p w14:paraId="673BEF41"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p>
    <w:p w14:paraId="015679F7"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 xml:space="preserve">I have been informed about what the data collected will be used for, to whom </w:t>
      </w:r>
    </w:p>
    <w:p w14:paraId="6D91BB0A" w14:textId="77777777" w:rsidR="004676EF" w:rsidRPr="00734AB6" w:rsidRDefault="004676EF" w:rsidP="000444BB">
      <w:pPr>
        <w:tabs>
          <w:tab w:val="left" w:pos="-1440"/>
          <w:tab w:val="left" w:pos="-720"/>
          <w:tab w:val="left" w:pos="7938"/>
        </w:tabs>
        <w:spacing w:line="360" w:lineRule="auto"/>
        <w:ind w:left="360" w:right="-360"/>
        <w:rPr>
          <w:rFonts w:asciiTheme="majorHAnsi" w:hAnsiTheme="majorHAnsi"/>
        </w:rPr>
      </w:pPr>
      <w:r w:rsidRPr="00734AB6">
        <w:rPr>
          <w:rFonts w:asciiTheme="majorHAnsi" w:hAnsiTheme="majorHAnsi"/>
        </w:rPr>
        <w:t>it may be disclosed, and how long it will be retained.</w:t>
      </w:r>
      <w:r w:rsidRPr="00734AB6">
        <w:rPr>
          <w:rFonts w:asciiTheme="majorHAnsi" w:hAnsiTheme="majorHAnsi"/>
        </w:rPr>
        <w:tab/>
      </w:r>
      <w:r w:rsidRPr="00734AB6">
        <w:rPr>
          <w:rFonts w:asciiTheme="majorHAnsi" w:hAnsiTheme="majorHAnsi"/>
        </w:rPr>
        <w:sym w:font="Wingdings" w:char="F0A8"/>
      </w:r>
    </w:p>
    <w:p w14:paraId="0AC16553"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p>
    <w:p w14:paraId="3858D561" w14:textId="77777777" w:rsidR="004676EF" w:rsidRPr="00734AB6" w:rsidRDefault="004676EF" w:rsidP="000444BB">
      <w:pPr>
        <w:tabs>
          <w:tab w:val="left" w:pos="-1440"/>
          <w:tab w:val="left" w:pos="-720"/>
          <w:tab w:val="left" w:pos="7938"/>
        </w:tabs>
        <w:spacing w:line="360" w:lineRule="auto"/>
        <w:ind w:left="360" w:right="-360"/>
        <w:rPr>
          <w:rFonts w:asciiTheme="majorHAnsi" w:hAnsiTheme="majorHAnsi" w:cs="Times"/>
        </w:rPr>
      </w:pPr>
      <w:r w:rsidRPr="00734AB6">
        <w:rPr>
          <w:rFonts w:asciiTheme="majorHAnsi" w:hAnsiTheme="majorHAnsi" w:cs="Times"/>
        </w:rPr>
        <w:t>I hereby fully and freely consent to participate in this study.</w:t>
      </w:r>
      <w:r w:rsidRPr="00734AB6">
        <w:rPr>
          <w:rFonts w:asciiTheme="majorHAnsi" w:hAnsiTheme="majorHAnsi" w:cs="Times"/>
        </w:rPr>
        <w:tab/>
      </w:r>
      <w:r w:rsidRPr="00734AB6">
        <w:rPr>
          <w:rFonts w:asciiTheme="majorHAnsi" w:hAnsiTheme="majorHAnsi"/>
        </w:rPr>
        <w:sym w:font="Wingdings" w:char="F0A8"/>
      </w:r>
    </w:p>
    <w:p w14:paraId="42FEB4DE"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cs="Times New Roman"/>
        </w:rPr>
      </w:pPr>
    </w:p>
    <w:p w14:paraId="406D7F31"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 xml:space="preserve">I understand that I am free to withdraw from the study without giving a </w:t>
      </w:r>
    </w:p>
    <w:p w14:paraId="43B54CC6"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reason for withdrawing at any time up to and including the debrief sheet</w:t>
      </w:r>
    </w:p>
    <w:p w14:paraId="1D4F16D5"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 xml:space="preserve">and until I click on the ‘submit’ button when it is no longer possible to </w:t>
      </w:r>
    </w:p>
    <w:p w14:paraId="7E2BA71E" w14:textId="77777777" w:rsidR="004676EF" w:rsidRPr="00734AB6" w:rsidRDefault="004676EF" w:rsidP="000444BB">
      <w:pPr>
        <w:tabs>
          <w:tab w:val="left" w:pos="-1440"/>
          <w:tab w:val="left" w:pos="-720"/>
          <w:tab w:val="left" w:pos="7938"/>
        </w:tabs>
        <w:spacing w:line="360" w:lineRule="auto"/>
        <w:ind w:left="360" w:right="-360"/>
        <w:rPr>
          <w:rFonts w:asciiTheme="majorHAnsi" w:hAnsiTheme="majorHAnsi"/>
        </w:rPr>
      </w:pPr>
      <w:r w:rsidRPr="00734AB6">
        <w:rPr>
          <w:rFonts w:asciiTheme="majorHAnsi" w:hAnsiTheme="majorHAnsi"/>
        </w:rPr>
        <w:t>withdraw.</w:t>
      </w:r>
      <w:r w:rsidRPr="00734AB6">
        <w:rPr>
          <w:rFonts w:asciiTheme="majorHAnsi" w:hAnsiTheme="majorHAnsi"/>
        </w:rPr>
        <w:tab/>
      </w:r>
      <w:r w:rsidRPr="00734AB6">
        <w:rPr>
          <w:rFonts w:asciiTheme="majorHAnsi" w:hAnsiTheme="majorHAnsi"/>
        </w:rPr>
        <w:sym w:font="Wingdings" w:char="F0A8"/>
      </w:r>
    </w:p>
    <w:p w14:paraId="6BB71D83"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p>
    <w:p w14:paraId="6AF40EEB" w14:textId="77777777" w:rsidR="004676EF" w:rsidRPr="00734AB6" w:rsidRDefault="004676EF" w:rsidP="000444BB">
      <w:pPr>
        <w:tabs>
          <w:tab w:val="left" w:pos="-1440"/>
          <w:tab w:val="left" w:pos="-720"/>
          <w:tab w:val="left" w:pos="7938"/>
        </w:tabs>
        <w:spacing w:line="360" w:lineRule="auto"/>
        <w:ind w:left="360" w:right="-360"/>
        <w:rPr>
          <w:rFonts w:asciiTheme="majorHAnsi" w:hAnsiTheme="majorHAnsi"/>
        </w:rPr>
      </w:pPr>
      <w:r w:rsidRPr="00734AB6">
        <w:rPr>
          <w:rFonts w:asciiTheme="majorHAnsi" w:hAnsiTheme="majorHAnsi"/>
        </w:rPr>
        <w:t>I am over 18 years of age.</w:t>
      </w:r>
      <w:r w:rsidRPr="00734AB6">
        <w:rPr>
          <w:rFonts w:asciiTheme="majorHAnsi" w:hAnsiTheme="majorHAnsi"/>
        </w:rPr>
        <w:tab/>
      </w:r>
      <w:r w:rsidRPr="00734AB6">
        <w:rPr>
          <w:rFonts w:asciiTheme="majorHAnsi" w:hAnsiTheme="majorHAnsi"/>
        </w:rPr>
        <w:sym w:font="Wingdings" w:char="F0A8"/>
      </w:r>
    </w:p>
    <w:p w14:paraId="2FED2F9A"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p>
    <w:p w14:paraId="394805E1" w14:textId="77777777" w:rsidR="004676EF" w:rsidRPr="00734AB6" w:rsidRDefault="004676EF" w:rsidP="000444BB">
      <w:pPr>
        <w:tabs>
          <w:tab w:val="left" w:pos="-1440"/>
          <w:tab w:val="left" w:pos="-720"/>
          <w:tab w:val="left" w:pos="7938"/>
        </w:tabs>
        <w:spacing w:line="360" w:lineRule="auto"/>
        <w:ind w:left="360" w:right="-360"/>
        <w:rPr>
          <w:rFonts w:asciiTheme="majorHAnsi" w:hAnsiTheme="majorHAnsi"/>
        </w:rPr>
      </w:pPr>
      <w:r w:rsidRPr="00734AB6">
        <w:rPr>
          <w:rFonts w:asciiTheme="majorHAnsi" w:hAnsiTheme="majorHAnsi"/>
        </w:rPr>
        <w:t>I am not currently under the influence of any psychoactive drug.</w:t>
      </w:r>
      <w:r w:rsidRPr="00734AB6">
        <w:rPr>
          <w:rFonts w:asciiTheme="majorHAnsi" w:hAnsiTheme="majorHAnsi"/>
        </w:rPr>
        <w:tab/>
      </w:r>
      <w:r w:rsidRPr="00734AB6">
        <w:rPr>
          <w:rFonts w:asciiTheme="majorHAnsi" w:hAnsiTheme="majorHAnsi"/>
        </w:rPr>
        <w:sym w:font="Wingdings" w:char="F0A8"/>
      </w:r>
    </w:p>
    <w:p w14:paraId="1B1667E6"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NOTE TO ETHICS COMMITTEE: As this is an online survey, participants will be asked to click on each of the points to indicate their informed consent before starting the questionnaire.  Hard copies of a signed consent form will not be asked for in this instance.</w:t>
      </w:r>
    </w:p>
    <w:p w14:paraId="459CB041" w14:textId="77777777" w:rsidR="004676EF" w:rsidRPr="00734AB6" w:rsidRDefault="004676EF" w:rsidP="000444BB">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 w:val="left" w:pos="10800"/>
          <w:tab w:val="left" w:pos="11520"/>
        </w:tabs>
        <w:spacing w:line="360" w:lineRule="auto"/>
        <w:ind w:left="360" w:right="-360"/>
        <w:rPr>
          <w:rFonts w:asciiTheme="majorHAnsi" w:hAnsiTheme="majorHAnsi"/>
        </w:rPr>
      </w:pPr>
    </w:p>
    <w:p w14:paraId="27229551"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IF YOU ARE AT ALL CONCERNED ABOUT THE EFFECT OF ANY DRUG YOU ARE RECEIVING PLEASE CONTACT YOUR GP.</w:t>
      </w:r>
    </w:p>
    <w:p w14:paraId="74C706E2"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p>
    <w:p w14:paraId="126010BA"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lastRenderedPageBreak/>
        <w:t>If you have any concerns about this research study, please contact:</w:t>
      </w:r>
    </w:p>
    <w:p w14:paraId="0A6E7688"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p>
    <w:p w14:paraId="4AC5F368" w14:textId="77777777" w:rsidR="004676EF" w:rsidRPr="00734AB6" w:rsidRDefault="004676EF"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r w:rsidRPr="00734AB6">
        <w:rPr>
          <w:rFonts w:asciiTheme="majorHAnsi" w:hAnsiTheme="majorHAnsi"/>
        </w:rPr>
        <w:t>Rachel Teodorini</w:t>
      </w:r>
    </w:p>
    <w:p w14:paraId="2717B8DF" w14:textId="77777777" w:rsidR="004676EF" w:rsidRPr="00734AB6" w:rsidRDefault="00754FB3" w:rsidP="0099584D">
      <w:pPr>
        <w:tabs>
          <w:tab w:val="left" w:pos="-1440"/>
          <w:tab w:val="left" w:pos="-720"/>
          <w:tab w:val="left" w:pos="420"/>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360" w:right="-360"/>
        <w:rPr>
          <w:rFonts w:asciiTheme="majorHAnsi" w:hAnsiTheme="majorHAnsi"/>
        </w:rPr>
      </w:pPr>
      <w:hyperlink r:id="rId54" w:history="1">
        <w:r w:rsidR="004676EF" w:rsidRPr="00734AB6">
          <w:rPr>
            <w:rStyle w:val="Hyperlink"/>
            <w:rFonts w:asciiTheme="majorHAnsi" w:hAnsiTheme="majorHAnsi"/>
          </w:rPr>
          <w:t>teodorr2@lsbu.ac.uk</w:t>
        </w:r>
      </w:hyperlink>
    </w:p>
    <w:p w14:paraId="541BFF8E" w14:textId="77777777" w:rsidR="004676EF" w:rsidRPr="00734AB6" w:rsidRDefault="004676EF" w:rsidP="0099584D">
      <w:pPr>
        <w:spacing w:line="360" w:lineRule="auto"/>
        <w:rPr>
          <w:rFonts w:asciiTheme="majorHAnsi" w:hAnsiTheme="majorHAnsi"/>
        </w:rPr>
      </w:pPr>
    </w:p>
    <w:p w14:paraId="7236037D" w14:textId="77777777" w:rsidR="00DC7255" w:rsidRPr="00734AB6" w:rsidRDefault="00DC7255" w:rsidP="00DC7255">
      <w:pPr>
        <w:pBdr>
          <w:top w:val="double" w:sz="4" w:space="1" w:color="auto"/>
        </w:pBdr>
        <w:spacing w:line="360" w:lineRule="auto"/>
        <w:rPr>
          <w:rFonts w:asciiTheme="majorHAnsi" w:hAnsiTheme="majorHAnsi"/>
        </w:rPr>
      </w:pPr>
    </w:p>
    <w:p w14:paraId="5127BB6F" w14:textId="77777777" w:rsidR="004676EF" w:rsidRPr="00734AB6" w:rsidRDefault="004676EF" w:rsidP="0099584D">
      <w:pPr>
        <w:pStyle w:val="Heading2"/>
        <w:spacing w:line="360" w:lineRule="auto"/>
        <w:rPr>
          <w:b/>
          <w:color w:val="auto"/>
          <w:sz w:val="22"/>
          <w:szCs w:val="22"/>
        </w:rPr>
      </w:pPr>
      <w:bookmarkStart w:id="153" w:name="_Toc45200531"/>
      <w:bookmarkStart w:id="154" w:name="_Toc48136424"/>
      <w:r w:rsidRPr="00734AB6">
        <w:rPr>
          <w:b/>
          <w:color w:val="auto"/>
          <w:sz w:val="22"/>
          <w:szCs w:val="22"/>
        </w:rPr>
        <w:t>B(vi)</w:t>
      </w:r>
      <w:r w:rsidRPr="00734AB6">
        <w:rPr>
          <w:b/>
          <w:color w:val="auto"/>
          <w:sz w:val="22"/>
          <w:szCs w:val="22"/>
        </w:rPr>
        <w:tab/>
        <w:t>Participant debriefing information</w:t>
      </w:r>
      <w:bookmarkEnd w:id="153"/>
      <w:bookmarkEnd w:id="154"/>
    </w:p>
    <w:p w14:paraId="7C4E6AC9" w14:textId="77777777" w:rsidR="004676EF" w:rsidRPr="00734AB6" w:rsidRDefault="004676EF" w:rsidP="0099584D">
      <w:pPr>
        <w:spacing w:line="360" w:lineRule="auto"/>
        <w:ind w:left="360"/>
        <w:jc w:val="center"/>
        <w:rPr>
          <w:rFonts w:asciiTheme="majorHAnsi" w:hAnsiTheme="majorHAnsi"/>
          <w:b/>
        </w:rPr>
      </w:pPr>
      <w:r w:rsidRPr="00734AB6">
        <w:rPr>
          <w:rFonts w:asciiTheme="majorHAnsi" w:hAnsiTheme="majorHAnsi"/>
          <w:b/>
        </w:rPr>
        <w:t>Debriefing Information</w:t>
      </w:r>
    </w:p>
    <w:p w14:paraId="67639C93" w14:textId="77777777" w:rsidR="004676EF" w:rsidRPr="00734AB6" w:rsidRDefault="004676EF" w:rsidP="0099584D">
      <w:pPr>
        <w:tabs>
          <w:tab w:val="left" w:pos="1560"/>
        </w:tabs>
        <w:spacing w:line="360" w:lineRule="auto"/>
        <w:ind w:left="360"/>
        <w:rPr>
          <w:rFonts w:asciiTheme="majorHAnsi" w:hAnsiTheme="majorHAnsi"/>
          <w:b/>
        </w:rPr>
      </w:pPr>
      <w:r w:rsidRPr="00734AB6">
        <w:rPr>
          <w:rFonts w:asciiTheme="majorHAnsi" w:hAnsiTheme="majorHAnsi"/>
          <w:b/>
        </w:rPr>
        <w:t>Title of study:</w:t>
      </w:r>
      <w:r w:rsidRPr="00734AB6">
        <w:rPr>
          <w:rFonts w:asciiTheme="majorHAnsi" w:hAnsiTheme="majorHAnsi"/>
          <w:b/>
        </w:rPr>
        <w:tab/>
      </w:r>
      <w:r w:rsidRPr="00734AB6">
        <w:rPr>
          <w:rFonts w:asciiTheme="majorHAnsi" w:hAnsiTheme="majorHAnsi"/>
          <w:b/>
          <w:u w:val="single"/>
        </w:rPr>
        <w:t>Everyday attention and drug use: for better or worse?</w:t>
      </w:r>
    </w:p>
    <w:p w14:paraId="737AA178"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t>Thank you for participating in our survey.    The present survey was developed based on the results of a previous study which found that people who use modafinil and methylphenidate off-prescription show higher than expected rates of recreational drug use.  It also showed that those who use amphetamines, cocaine and MDMA reported greater immediate subjective effects of methylphenidate and those who use amphetamines also reported greater immediate subjective effects of modafinil.  One further finding was that no differences were found between users and non-users of modafinil and methylphenidate in prospective memory ability.</w:t>
      </w:r>
    </w:p>
    <w:p w14:paraId="42917247" w14:textId="77777777" w:rsidR="004676EF" w:rsidRPr="00734AB6" w:rsidRDefault="004676EF" w:rsidP="0099584D">
      <w:pPr>
        <w:spacing w:line="360" w:lineRule="auto"/>
        <w:ind w:left="360"/>
        <w:rPr>
          <w:rFonts w:asciiTheme="majorHAnsi" w:hAnsiTheme="majorHAnsi"/>
          <w:i/>
        </w:rPr>
      </w:pPr>
      <w:r w:rsidRPr="00734AB6">
        <w:rPr>
          <w:rFonts w:asciiTheme="majorHAnsi" w:hAnsiTheme="majorHAnsi"/>
        </w:rPr>
        <w:t xml:space="preserve">The three questionnaires at the end of this survey have been developed to measure everyday cognitive abilities such as attention, short-term memory and procrastination.  The information collected from this survey will contribute to informing research on the use of these drugs internationally and will form the basis of a paper that may be published in a peer-reviewed journal.  </w:t>
      </w:r>
    </w:p>
    <w:p w14:paraId="60D9E708"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t>Data from the questionnaires will be analysed to compare users of modafinil and methylphenidate to non-users.  We will also compare frequency of drug use and scores on the questionnaires.  This study may also provide an indication of which abilities are affected by modafinil and methylphenidate intake outside of laboratory conditions.</w:t>
      </w:r>
    </w:p>
    <w:p w14:paraId="2281048F"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t xml:space="preserve">You are reminded that, if you have provided an email on which you may be contacted at a future date to participate in a lab-based study, you are under no obligation to participate and you have the right to withdraw during the lab-based study at any time.  If you provide an email address, this will be kept entirely confidential and only the researcher will have access to the email address.  All other information in this survey is collected anonymously and therefore no-one can or will be identified from any publication of the results.  </w:t>
      </w:r>
    </w:p>
    <w:p w14:paraId="4A98B5F2"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lastRenderedPageBreak/>
        <w:t xml:space="preserve">If you have concerns about any aspect of this study please contact the researcher, Rachel Teodorini, at </w:t>
      </w:r>
      <w:hyperlink r:id="rId55" w:history="1">
        <w:r w:rsidRPr="00734AB6">
          <w:rPr>
            <w:rStyle w:val="Hyperlink"/>
            <w:rFonts w:asciiTheme="majorHAnsi" w:hAnsiTheme="majorHAnsi"/>
          </w:rPr>
          <w:t>teodorr2@lsbu.ac.uk</w:t>
        </w:r>
      </w:hyperlink>
      <w:r w:rsidRPr="00734AB6">
        <w:rPr>
          <w:rFonts w:asciiTheme="majorHAnsi" w:hAnsiTheme="majorHAnsi"/>
        </w:rPr>
        <w:t xml:space="preserve">, </w:t>
      </w:r>
      <w:proofErr w:type="spellStart"/>
      <w:r w:rsidRPr="00734AB6">
        <w:rPr>
          <w:rFonts w:asciiTheme="majorHAnsi" w:hAnsiTheme="majorHAnsi"/>
        </w:rPr>
        <w:t>tel</w:t>
      </w:r>
      <w:proofErr w:type="spellEnd"/>
      <w:r w:rsidRPr="00734AB6">
        <w:rPr>
          <w:rFonts w:asciiTheme="majorHAnsi" w:hAnsiTheme="majorHAnsi"/>
        </w:rPr>
        <w:t>: 020 7815 5431.  Following which, if you still have concerns, you may contact the Chair of the School of Applied Science Ethics Panel at sasethics@lsbu.ac.uk.</w:t>
      </w:r>
    </w:p>
    <w:p w14:paraId="5F88D024"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t xml:space="preserve">If you would like more information about these drugs please visit the following site: </w:t>
      </w:r>
      <w:hyperlink r:id="rId56" w:history="1">
        <w:r w:rsidRPr="00734AB6">
          <w:rPr>
            <w:rStyle w:val="Hyperlink"/>
            <w:rFonts w:asciiTheme="majorHAnsi" w:hAnsiTheme="majorHAnsi"/>
          </w:rPr>
          <w:t>https://www.erowid.org/psychoactives/psychoactives.shtml</w:t>
        </w:r>
      </w:hyperlink>
      <w:r w:rsidRPr="00734AB6">
        <w:rPr>
          <w:rFonts w:asciiTheme="majorHAnsi" w:hAnsiTheme="majorHAnsi"/>
        </w:rPr>
        <w:t xml:space="preserve"> </w:t>
      </w:r>
    </w:p>
    <w:p w14:paraId="1EA5DD02" w14:textId="77777777" w:rsidR="004676EF" w:rsidRPr="00734AB6" w:rsidRDefault="004676EF" w:rsidP="0099584D">
      <w:pPr>
        <w:spacing w:after="0" w:line="360" w:lineRule="auto"/>
        <w:ind w:left="360"/>
        <w:rPr>
          <w:rFonts w:asciiTheme="majorHAnsi" w:hAnsiTheme="majorHAnsi"/>
        </w:rPr>
      </w:pPr>
      <w:r w:rsidRPr="00734AB6">
        <w:rPr>
          <w:rFonts w:asciiTheme="majorHAnsi" w:hAnsiTheme="majorHAnsi"/>
        </w:rPr>
        <w:t>Modafinil and methylphenidate are illegal to take without prescription and illegal use is liable to a prison sentence of up to 5 years.</w:t>
      </w:r>
    </w:p>
    <w:p w14:paraId="5C1C46BA" w14:textId="77777777" w:rsidR="004676EF" w:rsidRPr="00734AB6" w:rsidRDefault="004676EF" w:rsidP="0099584D">
      <w:pPr>
        <w:spacing w:after="0" w:line="360" w:lineRule="auto"/>
        <w:ind w:left="360"/>
        <w:rPr>
          <w:rFonts w:asciiTheme="majorHAnsi" w:hAnsiTheme="majorHAnsi"/>
        </w:rPr>
      </w:pPr>
    </w:p>
    <w:p w14:paraId="43D245D5"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t>Finally, if you have any concerns about your use of these drugs please consult your GP.</w:t>
      </w:r>
    </w:p>
    <w:p w14:paraId="74CDC44F" w14:textId="77777777" w:rsidR="004676EF" w:rsidRPr="00734AB6" w:rsidRDefault="004676EF" w:rsidP="0099584D">
      <w:pPr>
        <w:spacing w:line="360" w:lineRule="auto"/>
        <w:ind w:left="360"/>
        <w:rPr>
          <w:rFonts w:asciiTheme="majorHAnsi" w:hAnsiTheme="majorHAnsi"/>
        </w:rPr>
      </w:pPr>
      <w:r w:rsidRPr="00734AB6">
        <w:rPr>
          <w:rFonts w:asciiTheme="majorHAnsi" w:hAnsiTheme="majorHAnsi"/>
        </w:rPr>
        <w:t xml:space="preserve">Please be reminded that as this study is fully anonymous, you cannot withdraw your responses at a later date. </w:t>
      </w:r>
    </w:p>
    <w:p w14:paraId="14F0F2ED" w14:textId="77777777" w:rsidR="004676EF" w:rsidRPr="00734AB6" w:rsidRDefault="004676EF" w:rsidP="0099584D">
      <w:pPr>
        <w:spacing w:line="360" w:lineRule="auto"/>
        <w:ind w:left="360"/>
        <w:rPr>
          <w:rFonts w:asciiTheme="majorHAnsi" w:hAnsiTheme="majorHAnsi"/>
        </w:rPr>
      </w:pPr>
    </w:p>
    <w:p w14:paraId="3E8C0E95" w14:textId="77777777" w:rsidR="00DC7255" w:rsidRPr="00734AB6" w:rsidRDefault="00DC7255" w:rsidP="0099584D">
      <w:pPr>
        <w:spacing w:line="360" w:lineRule="auto"/>
        <w:ind w:left="360"/>
        <w:rPr>
          <w:rFonts w:asciiTheme="majorHAnsi" w:hAnsiTheme="majorHAnsi"/>
        </w:rPr>
      </w:pPr>
    </w:p>
    <w:p w14:paraId="6F180297" w14:textId="77777777" w:rsidR="00DC7255" w:rsidRPr="00734AB6" w:rsidRDefault="00DC7255" w:rsidP="0099584D">
      <w:pPr>
        <w:spacing w:line="360" w:lineRule="auto"/>
        <w:ind w:left="360"/>
        <w:rPr>
          <w:rFonts w:asciiTheme="majorHAnsi" w:hAnsiTheme="majorHAnsi"/>
        </w:rPr>
      </w:pPr>
    </w:p>
    <w:p w14:paraId="07284F73" w14:textId="77777777" w:rsidR="00DC7255" w:rsidRPr="00734AB6" w:rsidRDefault="00DC7255" w:rsidP="00DC7255">
      <w:pPr>
        <w:pBdr>
          <w:top w:val="double" w:sz="4" w:space="1" w:color="auto"/>
        </w:pBdr>
        <w:spacing w:line="360" w:lineRule="auto"/>
        <w:ind w:left="360"/>
        <w:rPr>
          <w:rFonts w:asciiTheme="majorHAnsi" w:hAnsiTheme="majorHAnsi"/>
        </w:rPr>
      </w:pPr>
    </w:p>
    <w:p w14:paraId="70CB33B8" w14:textId="77777777" w:rsidR="00DC7255" w:rsidRPr="00734AB6" w:rsidRDefault="00DC7255">
      <w:pPr>
        <w:rPr>
          <w:rFonts w:asciiTheme="majorHAnsi" w:eastAsiaTheme="majorEastAsia" w:hAnsiTheme="majorHAnsi" w:cstheme="majorBidi"/>
          <w:b/>
        </w:rPr>
      </w:pPr>
      <w:bookmarkStart w:id="155" w:name="_Toc45200532"/>
      <w:r w:rsidRPr="00734AB6">
        <w:rPr>
          <w:b/>
        </w:rPr>
        <w:br w:type="page"/>
      </w:r>
    </w:p>
    <w:p w14:paraId="7AA43B0C" w14:textId="1D30B638" w:rsidR="004676EF" w:rsidRPr="00734AB6" w:rsidRDefault="004676EF" w:rsidP="0099584D">
      <w:pPr>
        <w:pStyle w:val="Heading2"/>
        <w:spacing w:line="360" w:lineRule="auto"/>
        <w:rPr>
          <w:b/>
          <w:color w:val="auto"/>
          <w:sz w:val="22"/>
          <w:szCs w:val="22"/>
        </w:rPr>
      </w:pPr>
      <w:bookmarkStart w:id="156" w:name="_Toc48136425"/>
      <w:r w:rsidRPr="00734AB6">
        <w:rPr>
          <w:b/>
          <w:color w:val="auto"/>
          <w:sz w:val="22"/>
          <w:szCs w:val="22"/>
        </w:rPr>
        <w:lastRenderedPageBreak/>
        <w:t>B(vii)</w:t>
      </w:r>
      <w:r w:rsidRPr="00734AB6">
        <w:rPr>
          <w:b/>
          <w:color w:val="auto"/>
          <w:sz w:val="22"/>
          <w:szCs w:val="22"/>
        </w:rPr>
        <w:tab/>
        <w:t>ASRS</w:t>
      </w:r>
      <w:bookmarkEnd w:id="155"/>
      <w:bookmarkEnd w:id="156"/>
      <w:r w:rsidRPr="00734AB6">
        <w:rPr>
          <w:b/>
          <w:color w:val="auto"/>
          <w:sz w:val="22"/>
          <w:szCs w:val="22"/>
        </w:rPr>
        <w:t xml:space="preserve"> </w:t>
      </w:r>
    </w:p>
    <w:p w14:paraId="097A2A1B" w14:textId="3ED64312" w:rsidR="004676EF" w:rsidRPr="00734AB6" w:rsidRDefault="004676EF" w:rsidP="0099584D">
      <w:pPr>
        <w:tabs>
          <w:tab w:val="left" w:pos="993"/>
        </w:tabs>
        <w:spacing w:line="360" w:lineRule="auto"/>
        <w:ind w:left="360"/>
        <w:rPr>
          <w:rFonts w:asciiTheme="majorHAnsi" w:hAnsiTheme="majorHAnsi"/>
          <w:b/>
        </w:rPr>
      </w:pPr>
      <w:r w:rsidRPr="00734AB6">
        <w:rPr>
          <w:rFonts w:asciiTheme="majorHAnsi" w:hAnsiTheme="majorHAnsi"/>
          <w:b/>
        </w:rPr>
        <w:t xml:space="preserve">Table </w:t>
      </w:r>
      <w:r w:rsidR="00393894" w:rsidRPr="00734AB6">
        <w:rPr>
          <w:rFonts w:asciiTheme="majorHAnsi" w:hAnsiTheme="majorHAnsi"/>
          <w:b/>
        </w:rPr>
        <w:t>B.1</w:t>
      </w:r>
      <w:r w:rsidRPr="00734AB6">
        <w:rPr>
          <w:rFonts w:asciiTheme="majorHAnsi" w:hAnsiTheme="majorHAnsi"/>
          <w:b/>
        </w:rPr>
        <w:t>.</w:t>
      </w:r>
      <w:r w:rsidRPr="00734AB6">
        <w:rPr>
          <w:rFonts w:asciiTheme="majorHAnsi" w:hAnsiTheme="majorHAnsi"/>
          <w:b/>
        </w:rPr>
        <w:tab/>
        <w:t>Shaded grid for the ASRS</w:t>
      </w:r>
    </w:p>
    <w:tbl>
      <w:tblPr>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0"/>
        <w:gridCol w:w="1359"/>
        <w:gridCol w:w="1362"/>
        <w:gridCol w:w="1426"/>
        <w:gridCol w:w="1355"/>
        <w:gridCol w:w="1355"/>
      </w:tblGrid>
      <w:tr w:rsidR="004676EF" w:rsidRPr="00734AB6" w14:paraId="563D9D71" w14:textId="77777777" w:rsidTr="00DC7255">
        <w:tc>
          <w:tcPr>
            <w:tcW w:w="1419" w:type="dxa"/>
          </w:tcPr>
          <w:p w14:paraId="2EAE134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Question no.</w:t>
            </w:r>
          </w:p>
        </w:tc>
        <w:tc>
          <w:tcPr>
            <w:tcW w:w="1391" w:type="dxa"/>
          </w:tcPr>
          <w:p w14:paraId="67260027"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Never</w:t>
            </w:r>
          </w:p>
        </w:tc>
        <w:tc>
          <w:tcPr>
            <w:tcW w:w="1393" w:type="dxa"/>
          </w:tcPr>
          <w:p w14:paraId="37E0B9F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Rarely </w:t>
            </w:r>
          </w:p>
        </w:tc>
        <w:tc>
          <w:tcPr>
            <w:tcW w:w="1438" w:type="dxa"/>
          </w:tcPr>
          <w:p w14:paraId="434A7AB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Sometimes</w:t>
            </w:r>
          </w:p>
        </w:tc>
        <w:tc>
          <w:tcPr>
            <w:tcW w:w="1388" w:type="dxa"/>
          </w:tcPr>
          <w:p w14:paraId="1B51A2DB"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Often</w:t>
            </w:r>
          </w:p>
        </w:tc>
        <w:tc>
          <w:tcPr>
            <w:tcW w:w="1388" w:type="dxa"/>
          </w:tcPr>
          <w:p w14:paraId="25E17B2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Very Often </w:t>
            </w:r>
          </w:p>
        </w:tc>
      </w:tr>
      <w:tr w:rsidR="004676EF" w:rsidRPr="00734AB6" w14:paraId="3B079AD0" w14:textId="77777777" w:rsidTr="00DC7255">
        <w:tc>
          <w:tcPr>
            <w:tcW w:w="8417" w:type="dxa"/>
            <w:gridSpan w:val="6"/>
          </w:tcPr>
          <w:p w14:paraId="14CDECF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PART A</w:t>
            </w:r>
          </w:p>
        </w:tc>
      </w:tr>
      <w:tr w:rsidR="004676EF" w:rsidRPr="00734AB6" w14:paraId="1BDDF193" w14:textId="77777777" w:rsidTr="00DC7255">
        <w:tc>
          <w:tcPr>
            <w:tcW w:w="1419" w:type="dxa"/>
          </w:tcPr>
          <w:p w14:paraId="2DCAFF6C"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w:t>
            </w:r>
          </w:p>
        </w:tc>
        <w:tc>
          <w:tcPr>
            <w:tcW w:w="1391" w:type="dxa"/>
          </w:tcPr>
          <w:p w14:paraId="5FB58E40" w14:textId="77777777" w:rsidR="004676EF" w:rsidRPr="00734AB6" w:rsidRDefault="004676EF" w:rsidP="0099584D">
            <w:pPr>
              <w:spacing w:line="360" w:lineRule="auto"/>
              <w:rPr>
                <w:rFonts w:asciiTheme="majorHAnsi" w:hAnsiTheme="majorHAnsi"/>
              </w:rPr>
            </w:pPr>
          </w:p>
        </w:tc>
        <w:tc>
          <w:tcPr>
            <w:tcW w:w="1393" w:type="dxa"/>
          </w:tcPr>
          <w:p w14:paraId="531F1A0C"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6B370E4E"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3A2CBF45"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61B29A7F" w14:textId="77777777" w:rsidR="004676EF" w:rsidRPr="00734AB6" w:rsidRDefault="004676EF" w:rsidP="0099584D">
            <w:pPr>
              <w:spacing w:line="360" w:lineRule="auto"/>
              <w:rPr>
                <w:rFonts w:asciiTheme="majorHAnsi" w:hAnsiTheme="majorHAnsi"/>
              </w:rPr>
            </w:pPr>
          </w:p>
        </w:tc>
      </w:tr>
      <w:tr w:rsidR="004676EF" w:rsidRPr="00734AB6" w14:paraId="6FBC8789" w14:textId="77777777" w:rsidTr="00DC7255">
        <w:tc>
          <w:tcPr>
            <w:tcW w:w="1419" w:type="dxa"/>
          </w:tcPr>
          <w:p w14:paraId="2C895C69"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2</w:t>
            </w:r>
          </w:p>
        </w:tc>
        <w:tc>
          <w:tcPr>
            <w:tcW w:w="1391" w:type="dxa"/>
          </w:tcPr>
          <w:p w14:paraId="2CAAF0FA" w14:textId="77777777" w:rsidR="004676EF" w:rsidRPr="00734AB6" w:rsidRDefault="004676EF" w:rsidP="0099584D">
            <w:pPr>
              <w:spacing w:line="360" w:lineRule="auto"/>
              <w:rPr>
                <w:rFonts w:asciiTheme="majorHAnsi" w:hAnsiTheme="majorHAnsi"/>
              </w:rPr>
            </w:pPr>
          </w:p>
        </w:tc>
        <w:tc>
          <w:tcPr>
            <w:tcW w:w="1393" w:type="dxa"/>
          </w:tcPr>
          <w:p w14:paraId="34EB6F94"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4724428D"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551A077E"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629E58AB" w14:textId="77777777" w:rsidR="004676EF" w:rsidRPr="00734AB6" w:rsidRDefault="004676EF" w:rsidP="0099584D">
            <w:pPr>
              <w:spacing w:line="360" w:lineRule="auto"/>
              <w:rPr>
                <w:rFonts w:asciiTheme="majorHAnsi" w:hAnsiTheme="majorHAnsi"/>
              </w:rPr>
            </w:pPr>
          </w:p>
        </w:tc>
      </w:tr>
      <w:tr w:rsidR="004676EF" w:rsidRPr="00734AB6" w14:paraId="0EFF8041" w14:textId="77777777" w:rsidTr="00015D96">
        <w:tc>
          <w:tcPr>
            <w:tcW w:w="1419" w:type="dxa"/>
          </w:tcPr>
          <w:p w14:paraId="2EA896CB"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3</w:t>
            </w:r>
          </w:p>
        </w:tc>
        <w:tc>
          <w:tcPr>
            <w:tcW w:w="1391" w:type="dxa"/>
          </w:tcPr>
          <w:p w14:paraId="14ADC5B0" w14:textId="77777777" w:rsidR="004676EF" w:rsidRPr="00734AB6" w:rsidRDefault="004676EF" w:rsidP="0099584D">
            <w:pPr>
              <w:spacing w:line="360" w:lineRule="auto"/>
              <w:rPr>
                <w:rFonts w:asciiTheme="majorHAnsi" w:hAnsiTheme="majorHAnsi"/>
              </w:rPr>
            </w:pPr>
          </w:p>
        </w:tc>
        <w:tc>
          <w:tcPr>
            <w:tcW w:w="1393" w:type="dxa"/>
          </w:tcPr>
          <w:p w14:paraId="69859F8A"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46467096"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175A0336"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7339E47D" w14:textId="77777777" w:rsidR="004676EF" w:rsidRPr="00734AB6" w:rsidRDefault="004676EF" w:rsidP="0099584D">
            <w:pPr>
              <w:spacing w:line="360" w:lineRule="auto"/>
              <w:rPr>
                <w:rFonts w:asciiTheme="majorHAnsi" w:hAnsiTheme="majorHAnsi"/>
              </w:rPr>
            </w:pPr>
          </w:p>
        </w:tc>
      </w:tr>
      <w:tr w:rsidR="004676EF" w:rsidRPr="00734AB6" w14:paraId="4D961E18" w14:textId="77777777" w:rsidTr="00015D96">
        <w:tc>
          <w:tcPr>
            <w:tcW w:w="1419" w:type="dxa"/>
          </w:tcPr>
          <w:p w14:paraId="7AE8065E"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4</w:t>
            </w:r>
          </w:p>
        </w:tc>
        <w:tc>
          <w:tcPr>
            <w:tcW w:w="1391" w:type="dxa"/>
          </w:tcPr>
          <w:p w14:paraId="32492C4D" w14:textId="77777777" w:rsidR="004676EF" w:rsidRPr="00734AB6" w:rsidRDefault="004676EF" w:rsidP="0099584D">
            <w:pPr>
              <w:spacing w:line="360" w:lineRule="auto"/>
              <w:rPr>
                <w:rFonts w:asciiTheme="majorHAnsi" w:hAnsiTheme="majorHAnsi"/>
              </w:rPr>
            </w:pPr>
          </w:p>
        </w:tc>
        <w:tc>
          <w:tcPr>
            <w:tcW w:w="1393" w:type="dxa"/>
          </w:tcPr>
          <w:p w14:paraId="3C354C08" w14:textId="77777777" w:rsidR="004676EF" w:rsidRPr="00734AB6" w:rsidRDefault="004676EF" w:rsidP="0099584D">
            <w:pPr>
              <w:spacing w:line="360" w:lineRule="auto"/>
              <w:rPr>
                <w:rFonts w:asciiTheme="majorHAnsi" w:hAnsiTheme="majorHAnsi"/>
              </w:rPr>
            </w:pPr>
          </w:p>
        </w:tc>
        <w:tc>
          <w:tcPr>
            <w:tcW w:w="1438" w:type="dxa"/>
          </w:tcPr>
          <w:p w14:paraId="63B2A260"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570C240D"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07CFE523" w14:textId="77777777" w:rsidR="004676EF" w:rsidRPr="00734AB6" w:rsidRDefault="004676EF" w:rsidP="0099584D">
            <w:pPr>
              <w:spacing w:line="360" w:lineRule="auto"/>
              <w:rPr>
                <w:rFonts w:asciiTheme="majorHAnsi" w:hAnsiTheme="majorHAnsi"/>
              </w:rPr>
            </w:pPr>
          </w:p>
        </w:tc>
      </w:tr>
      <w:tr w:rsidR="004676EF" w:rsidRPr="00734AB6" w14:paraId="0D7340A8" w14:textId="77777777" w:rsidTr="00015D96">
        <w:tc>
          <w:tcPr>
            <w:tcW w:w="1419" w:type="dxa"/>
          </w:tcPr>
          <w:p w14:paraId="130D6945"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5</w:t>
            </w:r>
          </w:p>
        </w:tc>
        <w:tc>
          <w:tcPr>
            <w:tcW w:w="1391" w:type="dxa"/>
          </w:tcPr>
          <w:p w14:paraId="048C3AC9" w14:textId="77777777" w:rsidR="004676EF" w:rsidRPr="00734AB6" w:rsidRDefault="004676EF" w:rsidP="0099584D">
            <w:pPr>
              <w:spacing w:line="360" w:lineRule="auto"/>
              <w:rPr>
                <w:rFonts w:asciiTheme="majorHAnsi" w:hAnsiTheme="majorHAnsi"/>
              </w:rPr>
            </w:pPr>
          </w:p>
        </w:tc>
        <w:tc>
          <w:tcPr>
            <w:tcW w:w="1393" w:type="dxa"/>
          </w:tcPr>
          <w:p w14:paraId="12B7E5C6" w14:textId="77777777" w:rsidR="004676EF" w:rsidRPr="00734AB6" w:rsidRDefault="004676EF" w:rsidP="0099584D">
            <w:pPr>
              <w:spacing w:line="360" w:lineRule="auto"/>
              <w:rPr>
                <w:rFonts w:asciiTheme="majorHAnsi" w:hAnsiTheme="majorHAnsi"/>
              </w:rPr>
            </w:pPr>
          </w:p>
        </w:tc>
        <w:tc>
          <w:tcPr>
            <w:tcW w:w="1438" w:type="dxa"/>
          </w:tcPr>
          <w:p w14:paraId="33F68B9C"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1456BFBC"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5F063D87" w14:textId="77777777" w:rsidR="004676EF" w:rsidRPr="00734AB6" w:rsidRDefault="004676EF" w:rsidP="0099584D">
            <w:pPr>
              <w:spacing w:line="360" w:lineRule="auto"/>
              <w:rPr>
                <w:rFonts w:asciiTheme="majorHAnsi" w:hAnsiTheme="majorHAnsi"/>
              </w:rPr>
            </w:pPr>
          </w:p>
        </w:tc>
      </w:tr>
      <w:tr w:rsidR="004676EF" w:rsidRPr="00734AB6" w14:paraId="040D4D4E" w14:textId="77777777" w:rsidTr="00015D96">
        <w:tc>
          <w:tcPr>
            <w:tcW w:w="1419" w:type="dxa"/>
          </w:tcPr>
          <w:p w14:paraId="198433FE"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6</w:t>
            </w:r>
          </w:p>
        </w:tc>
        <w:tc>
          <w:tcPr>
            <w:tcW w:w="1391" w:type="dxa"/>
          </w:tcPr>
          <w:p w14:paraId="7FCB4B45" w14:textId="77777777" w:rsidR="004676EF" w:rsidRPr="00734AB6" w:rsidRDefault="004676EF" w:rsidP="0099584D">
            <w:pPr>
              <w:spacing w:line="360" w:lineRule="auto"/>
              <w:rPr>
                <w:rFonts w:asciiTheme="majorHAnsi" w:hAnsiTheme="majorHAnsi"/>
              </w:rPr>
            </w:pPr>
          </w:p>
        </w:tc>
        <w:tc>
          <w:tcPr>
            <w:tcW w:w="1393" w:type="dxa"/>
          </w:tcPr>
          <w:p w14:paraId="35139884" w14:textId="77777777" w:rsidR="004676EF" w:rsidRPr="00734AB6" w:rsidRDefault="004676EF" w:rsidP="0099584D">
            <w:pPr>
              <w:spacing w:line="360" w:lineRule="auto"/>
              <w:rPr>
                <w:rFonts w:asciiTheme="majorHAnsi" w:hAnsiTheme="majorHAnsi"/>
              </w:rPr>
            </w:pPr>
          </w:p>
        </w:tc>
        <w:tc>
          <w:tcPr>
            <w:tcW w:w="1438" w:type="dxa"/>
          </w:tcPr>
          <w:p w14:paraId="4BCEE2EF"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5AE4C2A4"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150BE2ED" w14:textId="77777777" w:rsidR="004676EF" w:rsidRPr="00734AB6" w:rsidRDefault="004676EF" w:rsidP="0099584D">
            <w:pPr>
              <w:spacing w:line="360" w:lineRule="auto"/>
              <w:rPr>
                <w:rFonts w:asciiTheme="majorHAnsi" w:hAnsiTheme="majorHAnsi"/>
              </w:rPr>
            </w:pPr>
          </w:p>
        </w:tc>
      </w:tr>
      <w:tr w:rsidR="004676EF" w:rsidRPr="00734AB6" w14:paraId="07828C87" w14:textId="77777777" w:rsidTr="00DC7255">
        <w:tc>
          <w:tcPr>
            <w:tcW w:w="8417" w:type="dxa"/>
            <w:gridSpan w:val="6"/>
          </w:tcPr>
          <w:p w14:paraId="0D5B6D7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PART B</w:t>
            </w:r>
          </w:p>
        </w:tc>
      </w:tr>
      <w:tr w:rsidR="004676EF" w:rsidRPr="00734AB6" w14:paraId="7FAEF5D1" w14:textId="77777777" w:rsidTr="00015D96">
        <w:tc>
          <w:tcPr>
            <w:tcW w:w="1419" w:type="dxa"/>
          </w:tcPr>
          <w:p w14:paraId="3655CFEA"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7</w:t>
            </w:r>
          </w:p>
        </w:tc>
        <w:tc>
          <w:tcPr>
            <w:tcW w:w="1391" w:type="dxa"/>
          </w:tcPr>
          <w:p w14:paraId="151618AE" w14:textId="77777777" w:rsidR="004676EF" w:rsidRPr="00734AB6" w:rsidRDefault="004676EF" w:rsidP="0099584D">
            <w:pPr>
              <w:spacing w:line="360" w:lineRule="auto"/>
              <w:rPr>
                <w:rFonts w:asciiTheme="majorHAnsi" w:hAnsiTheme="majorHAnsi"/>
              </w:rPr>
            </w:pPr>
          </w:p>
        </w:tc>
        <w:tc>
          <w:tcPr>
            <w:tcW w:w="1393" w:type="dxa"/>
          </w:tcPr>
          <w:p w14:paraId="0BBD886E" w14:textId="77777777" w:rsidR="004676EF" w:rsidRPr="00734AB6" w:rsidRDefault="004676EF" w:rsidP="0099584D">
            <w:pPr>
              <w:spacing w:line="360" w:lineRule="auto"/>
              <w:rPr>
                <w:rFonts w:asciiTheme="majorHAnsi" w:hAnsiTheme="majorHAnsi"/>
              </w:rPr>
            </w:pPr>
          </w:p>
        </w:tc>
        <w:tc>
          <w:tcPr>
            <w:tcW w:w="1438" w:type="dxa"/>
          </w:tcPr>
          <w:p w14:paraId="0127A6CD"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6936BAD8"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73AAEF65" w14:textId="77777777" w:rsidR="004676EF" w:rsidRPr="00734AB6" w:rsidRDefault="004676EF" w:rsidP="0099584D">
            <w:pPr>
              <w:spacing w:line="360" w:lineRule="auto"/>
              <w:rPr>
                <w:rFonts w:asciiTheme="majorHAnsi" w:hAnsiTheme="majorHAnsi"/>
              </w:rPr>
            </w:pPr>
          </w:p>
        </w:tc>
      </w:tr>
      <w:tr w:rsidR="004676EF" w:rsidRPr="00734AB6" w14:paraId="6ACCF1DA" w14:textId="77777777" w:rsidTr="00015D96">
        <w:tc>
          <w:tcPr>
            <w:tcW w:w="1419" w:type="dxa"/>
          </w:tcPr>
          <w:p w14:paraId="76194424"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8</w:t>
            </w:r>
          </w:p>
        </w:tc>
        <w:tc>
          <w:tcPr>
            <w:tcW w:w="1391" w:type="dxa"/>
          </w:tcPr>
          <w:p w14:paraId="4258049A" w14:textId="77777777" w:rsidR="004676EF" w:rsidRPr="00734AB6" w:rsidRDefault="004676EF" w:rsidP="0099584D">
            <w:pPr>
              <w:spacing w:line="360" w:lineRule="auto"/>
              <w:rPr>
                <w:rFonts w:asciiTheme="majorHAnsi" w:hAnsiTheme="majorHAnsi"/>
              </w:rPr>
            </w:pPr>
          </w:p>
        </w:tc>
        <w:tc>
          <w:tcPr>
            <w:tcW w:w="1393" w:type="dxa"/>
          </w:tcPr>
          <w:p w14:paraId="45B55499" w14:textId="77777777" w:rsidR="004676EF" w:rsidRPr="00734AB6" w:rsidRDefault="004676EF" w:rsidP="0099584D">
            <w:pPr>
              <w:spacing w:line="360" w:lineRule="auto"/>
              <w:rPr>
                <w:rFonts w:asciiTheme="majorHAnsi" w:hAnsiTheme="majorHAnsi"/>
              </w:rPr>
            </w:pPr>
          </w:p>
        </w:tc>
        <w:tc>
          <w:tcPr>
            <w:tcW w:w="1438" w:type="dxa"/>
            <w:tcBorders>
              <w:bottom w:val="double" w:sz="4" w:space="0" w:color="auto"/>
            </w:tcBorders>
          </w:tcPr>
          <w:p w14:paraId="587B4474"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0BFDEBF0"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275108D7" w14:textId="77777777" w:rsidR="004676EF" w:rsidRPr="00734AB6" w:rsidRDefault="004676EF" w:rsidP="0099584D">
            <w:pPr>
              <w:spacing w:line="360" w:lineRule="auto"/>
              <w:rPr>
                <w:rFonts w:asciiTheme="majorHAnsi" w:hAnsiTheme="majorHAnsi"/>
              </w:rPr>
            </w:pPr>
          </w:p>
        </w:tc>
      </w:tr>
      <w:tr w:rsidR="004676EF" w:rsidRPr="00734AB6" w14:paraId="7F11EE5F" w14:textId="77777777" w:rsidTr="00015D96">
        <w:tc>
          <w:tcPr>
            <w:tcW w:w="1419" w:type="dxa"/>
          </w:tcPr>
          <w:p w14:paraId="5367188D"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9</w:t>
            </w:r>
          </w:p>
        </w:tc>
        <w:tc>
          <w:tcPr>
            <w:tcW w:w="1391" w:type="dxa"/>
          </w:tcPr>
          <w:p w14:paraId="3525C9D7" w14:textId="77777777" w:rsidR="004676EF" w:rsidRPr="00734AB6" w:rsidRDefault="004676EF" w:rsidP="0099584D">
            <w:pPr>
              <w:spacing w:line="360" w:lineRule="auto"/>
              <w:rPr>
                <w:rFonts w:asciiTheme="majorHAnsi" w:hAnsiTheme="majorHAnsi"/>
              </w:rPr>
            </w:pPr>
          </w:p>
        </w:tc>
        <w:tc>
          <w:tcPr>
            <w:tcW w:w="1393" w:type="dxa"/>
          </w:tcPr>
          <w:p w14:paraId="05BD172C"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422EB333"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149D788E"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7826AEEF" w14:textId="77777777" w:rsidR="004676EF" w:rsidRPr="00734AB6" w:rsidRDefault="004676EF" w:rsidP="0099584D">
            <w:pPr>
              <w:spacing w:line="360" w:lineRule="auto"/>
              <w:rPr>
                <w:rFonts w:asciiTheme="majorHAnsi" w:hAnsiTheme="majorHAnsi"/>
              </w:rPr>
            </w:pPr>
          </w:p>
        </w:tc>
      </w:tr>
      <w:tr w:rsidR="004676EF" w:rsidRPr="00734AB6" w14:paraId="472148DD" w14:textId="77777777" w:rsidTr="00015D96">
        <w:tc>
          <w:tcPr>
            <w:tcW w:w="1419" w:type="dxa"/>
          </w:tcPr>
          <w:p w14:paraId="6DF2B3E9"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10</w:t>
            </w:r>
          </w:p>
        </w:tc>
        <w:tc>
          <w:tcPr>
            <w:tcW w:w="1391" w:type="dxa"/>
          </w:tcPr>
          <w:p w14:paraId="12ECE629" w14:textId="77777777" w:rsidR="004676EF" w:rsidRPr="00734AB6" w:rsidRDefault="004676EF" w:rsidP="0099584D">
            <w:pPr>
              <w:spacing w:line="360" w:lineRule="auto"/>
              <w:rPr>
                <w:rFonts w:asciiTheme="majorHAnsi" w:hAnsiTheme="majorHAnsi"/>
              </w:rPr>
            </w:pPr>
          </w:p>
        </w:tc>
        <w:tc>
          <w:tcPr>
            <w:tcW w:w="1393" w:type="dxa"/>
          </w:tcPr>
          <w:p w14:paraId="254677C1" w14:textId="77777777" w:rsidR="004676EF" w:rsidRPr="00734AB6" w:rsidRDefault="004676EF" w:rsidP="0099584D">
            <w:pPr>
              <w:spacing w:line="360" w:lineRule="auto"/>
              <w:rPr>
                <w:rFonts w:asciiTheme="majorHAnsi" w:hAnsiTheme="majorHAnsi"/>
              </w:rPr>
            </w:pPr>
          </w:p>
        </w:tc>
        <w:tc>
          <w:tcPr>
            <w:tcW w:w="1438" w:type="dxa"/>
          </w:tcPr>
          <w:p w14:paraId="1B6CFE2F"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3F600719"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61FD227F" w14:textId="77777777" w:rsidR="004676EF" w:rsidRPr="00734AB6" w:rsidRDefault="004676EF" w:rsidP="0099584D">
            <w:pPr>
              <w:spacing w:line="360" w:lineRule="auto"/>
              <w:rPr>
                <w:rFonts w:asciiTheme="majorHAnsi" w:hAnsiTheme="majorHAnsi"/>
              </w:rPr>
            </w:pPr>
          </w:p>
        </w:tc>
      </w:tr>
      <w:tr w:rsidR="004676EF" w:rsidRPr="00734AB6" w14:paraId="66BA2D6E" w14:textId="77777777" w:rsidTr="00015D96">
        <w:tc>
          <w:tcPr>
            <w:tcW w:w="1419" w:type="dxa"/>
          </w:tcPr>
          <w:p w14:paraId="62F5213F"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11</w:t>
            </w:r>
          </w:p>
        </w:tc>
        <w:tc>
          <w:tcPr>
            <w:tcW w:w="1391" w:type="dxa"/>
          </w:tcPr>
          <w:p w14:paraId="71095B5B" w14:textId="77777777" w:rsidR="004676EF" w:rsidRPr="00734AB6" w:rsidRDefault="004676EF" w:rsidP="0099584D">
            <w:pPr>
              <w:spacing w:line="360" w:lineRule="auto"/>
              <w:rPr>
                <w:rFonts w:asciiTheme="majorHAnsi" w:hAnsiTheme="majorHAnsi"/>
              </w:rPr>
            </w:pPr>
          </w:p>
        </w:tc>
        <w:tc>
          <w:tcPr>
            <w:tcW w:w="1393" w:type="dxa"/>
          </w:tcPr>
          <w:p w14:paraId="0F029A5D" w14:textId="77777777" w:rsidR="004676EF" w:rsidRPr="00734AB6" w:rsidRDefault="004676EF" w:rsidP="0099584D">
            <w:pPr>
              <w:spacing w:line="360" w:lineRule="auto"/>
              <w:rPr>
                <w:rFonts w:asciiTheme="majorHAnsi" w:hAnsiTheme="majorHAnsi"/>
              </w:rPr>
            </w:pPr>
          </w:p>
        </w:tc>
        <w:tc>
          <w:tcPr>
            <w:tcW w:w="1438" w:type="dxa"/>
            <w:tcBorders>
              <w:bottom w:val="double" w:sz="4" w:space="0" w:color="auto"/>
            </w:tcBorders>
          </w:tcPr>
          <w:p w14:paraId="71E88F44"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01CD075D"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31A01E61" w14:textId="77777777" w:rsidR="004676EF" w:rsidRPr="00734AB6" w:rsidRDefault="004676EF" w:rsidP="0099584D">
            <w:pPr>
              <w:spacing w:line="360" w:lineRule="auto"/>
              <w:rPr>
                <w:rFonts w:asciiTheme="majorHAnsi" w:hAnsiTheme="majorHAnsi"/>
              </w:rPr>
            </w:pPr>
          </w:p>
        </w:tc>
      </w:tr>
      <w:tr w:rsidR="004676EF" w:rsidRPr="00734AB6" w14:paraId="70A8273E" w14:textId="77777777" w:rsidTr="00015D96">
        <w:tc>
          <w:tcPr>
            <w:tcW w:w="1419" w:type="dxa"/>
          </w:tcPr>
          <w:p w14:paraId="0F6DBCAA"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12</w:t>
            </w:r>
          </w:p>
        </w:tc>
        <w:tc>
          <w:tcPr>
            <w:tcW w:w="1391" w:type="dxa"/>
          </w:tcPr>
          <w:p w14:paraId="7FEB8837" w14:textId="77777777" w:rsidR="004676EF" w:rsidRPr="00734AB6" w:rsidRDefault="004676EF" w:rsidP="0099584D">
            <w:pPr>
              <w:spacing w:line="360" w:lineRule="auto"/>
              <w:rPr>
                <w:rFonts w:asciiTheme="majorHAnsi" w:hAnsiTheme="majorHAnsi"/>
              </w:rPr>
            </w:pPr>
          </w:p>
        </w:tc>
        <w:tc>
          <w:tcPr>
            <w:tcW w:w="1393" w:type="dxa"/>
          </w:tcPr>
          <w:p w14:paraId="09D5AA9B"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64FEC344"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1C95E212"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3D0E8243" w14:textId="77777777" w:rsidR="004676EF" w:rsidRPr="00734AB6" w:rsidRDefault="004676EF" w:rsidP="0099584D">
            <w:pPr>
              <w:spacing w:line="360" w:lineRule="auto"/>
              <w:rPr>
                <w:rFonts w:asciiTheme="majorHAnsi" w:hAnsiTheme="majorHAnsi"/>
              </w:rPr>
            </w:pPr>
          </w:p>
        </w:tc>
      </w:tr>
      <w:tr w:rsidR="004676EF" w:rsidRPr="00734AB6" w14:paraId="29104931" w14:textId="77777777" w:rsidTr="00015D96">
        <w:tc>
          <w:tcPr>
            <w:tcW w:w="1419" w:type="dxa"/>
          </w:tcPr>
          <w:p w14:paraId="7DF66CBB"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13</w:t>
            </w:r>
          </w:p>
        </w:tc>
        <w:tc>
          <w:tcPr>
            <w:tcW w:w="1391" w:type="dxa"/>
          </w:tcPr>
          <w:p w14:paraId="71B641D5" w14:textId="77777777" w:rsidR="004676EF" w:rsidRPr="00734AB6" w:rsidRDefault="004676EF" w:rsidP="0099584D">
            <w:pPr>
              <w:spacing w:line="360" w:lineRule="auto"/>
              <w:rPr>
                <w:rFonts w:asciiTheme="majorHAnsi" w:hAnsiTheme="majorHAnsi"/>
              </w:rPr>
            </w:pPr>
          </w:p>
        </w:tc>
        <w:tc>
          <w:tcPr>
            <w:tcW w:w="1393" w:type="dxa"/>
          </w:tcPr>
          <w:p w14:paraId="78088AFA" w14:textId="77777777" w:rsidR="004676EF" w:rsidRPr="00734AB6" w:rsidRDefault="004676EF" w:rsidP="0099584D">
            <w:pPr>
              <w:spacing w:line="360" w:lineRule="auto"/>
              <w:rPr>
                <w:rFonts w:asciiTheme="majorHAnsi" w:hAnsiTheme="majorHAnsi"/>
              </w:rPr>
            </w:pPr>
          </w:p>
        </w:tc>
        <w:tc>
          <w:tcPr>
            <w:tcW w:w="1438" w:type="dxa"/>
          </w:tcPr>
          <w:p w14:paraId="7AC889BC"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7A58E74E"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3FAE9ED6" w14:textId="77777777" w:rsidR="004676EF" w:rsidRPr="00734AB6" w:rsidRDefault="004676EF" w:rsidP="0099584D">
            <w:pPr>
              <w:spacing w:line="360" w:lineRule="auto"/>
              <w:rPr>
                <w:rFonts w:asciiTheme="majorHAnsi" w:hAnsiTheme="majorHAnsi"/>
              </w:rPr>
            </w:pPr>
          </w:p>
        </w:tc>
      </w:tr>
      <w:tr w:rsidR="004676EF" w:rsidRPr="00734AB6" w14:paraId="18B9099D" w14:textId="77777777" w:rsidTr="00015D96">
        <w:tc>
          <w:tcPr>
            <w:tcW w:w="1419" w:type="dxa"/>
          </w:tcPr>
          <w:p w14:paraId="70D4A148"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14</w:t>
            </w:r>
          </w:p>
        </w:tc>
        <w:tc>
          <w:tcPr>
            <w:tcW w:w="1391" w:type="dxa"/>
          </w:tcPr>
          <w:p w14:paraId="283C481C" w14:textId="77777777" w:rsidR="004676EF" w:rsidRPr="00734AB6" w:rsidRDefault="004676EF" w:rsidP="0099584D">
            <w:pPr>
              <w:spacing w:line="360" w:lineRule="auto"/>
              <w:rPr>
                <w:rFonts w:asciiTheme="majorHAnsi" w:hAnsiTheme="majorHAnsi"/>
              </w:rPr>
            </w:pPr>
          </w:p>
        </w:tc>
        <w:tc>
          <w:tcPr>
            <w:tcW w:w="1393" w:type="dxa"/>
          </w:tcPr>
          <w:p w14:paraId="2BA724E0" w14:textId="77777777" w:rsidR="004676EF" w:rsidRPr="00734AB6" w:rsidRDefault="004676EF" w:rsidP="0099584D">
            <w:pPr>
              <w:spacing w:line="360" w:lineRule="auto"/>
              <w:rPr>
                <w:rFonts w:asciiTheme="majorHAnsi" w:hAnsiTheme="majorHAnsi"/>
              </w:rPr>
            </w:pPr>
          </w:p>
        </w:tc>
        <w:tc>
          <w:tcPr>
            <w:tcW w:w="1438" w:type="dxa"/>
          </w:tcPr>
          <w:p w14:paraId="463E82E3"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67300C50"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39554EB3" w14:textId="77777777" w:rsidR="004676EF" w:rsidRPr="00734AB6" w:rsidRDefault="004676EF" w:rsidP="0099584D">
            <w:pPr>
              <w:spacing w:line="360" w:lineRule="auto"/>
              <w:rPr>
                <w:rFonts w:asciiTheme="majorHAnsi" w:hAnsiTheme="majorHAnsi"/>
              </w:rPr>
            </w:pPr>
          </w:p>
        </w:tc>
      </w:tr>
      <w:tr w:rsidR="004676EF" w:rsidRPr="00734AB6" w14:paraId="5982B6B2" w14:textId="77777777" w:rsidTr="00015D96">
        <w:tc>
          <w:tcPr>
            <w:tcW w:w="1419" w:type="dxa"/>
          </w:tcPr>
          <w:p w14:paraId="0DB284AF"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15</w:t>
            </w:r>
          </w:p>
        </w:tc>
        <w:tc>
          <w:tcPr>
            <w:tcW w:w="1391" w:type="dxa"/>
          </w:tcPr>
          <w:p w14:paraId="1498ED57" w14:textId="77777777" w:rsidR="004676EF" w:rsidRPr="00734AB6" w:rsidRDefault="004676EF" w:rsidP="0099584D">
            <w:pPr>
              <w:spacing w:line="360" w:lineRule="auto"/>
              <w:rPr>
                <w:rFonts w:asciiTheme="majorHAnsi" w:hAnsiTheme="majorHAnsi"/>
              </w:rPr>
            </w:pPr>
          </w:p>
        </w:tc>
        <w:tc>
          <w:tcPr>
            <w:tcW w:w="1393" w:type="dxa"/>
          </w:tcPr>
          <w:p w14:paraId="49D5EC2F" w14:textId="77777777" w:rsidR="004676EF" w:rsidRPr="00734AB6" w:rsidRDefault="004676EF" w:rsidP="0099584D">
            <w:pPr>
              <w:spacing w:line="360" w:lineRule="auto"/>
              <w:rPr>
                <w:rFonts w:asciiTheme="majorHAnsi" w:hAnsiTheme="majorHAnsi"/>
              </w:rPr>
            </w:pPr>
          </w:p>
        </w:tc>
        <w:tc>
          <w:tcPr>
            <w:tcW w:w="1438" w:type="dxa"/>
            <w:tcBorders>
              <w:bottom w:val="double" w:sz="4" w:space="0" w:color="auto"/>
            </w:tcBorders>
          </w:tcPr>
          <w:p w14:paraId="2ED2AF27"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63962A1B"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12DA3DD4" w14:textId="77777777" w:rsidR="004676EF" w:rsidRPr="00734AB6" w:rsidRDefault="004676EF" w:rsidP="0099584D">
            <w:pPr>
              <w:spacing w:line="360" w:lineRule="auto"/>
              <w:rPr>
                <w:rFonts w:asciiTheme="majorHAnsi" w:hAnsiTheme="majorHAnsi"/>
              </w:rPr>
            </w:pPr>
          </w:p>
        </w:tc>
      </w:tr>
      <w:tr w:rsidR="004676EF" w:rsidRPr="00734AB6" w14:paraId="68D177FA" w14:textId="77777777" w:rsidTr="00015D96">
        <w:tc>
          <w:tcPr>
            <w:tcW w:w="1419" w:type="dxa"/>
          </w:tcPr>
          <w:p w14:paraId="06A7ABDA"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16</w:t>
            </w:r>
          </w:p>
        </w:tc>
        <w:tc>
          <w:tcPr>
            <w:tcW w:w="1391" w:type="dxa"/>
          </w:tcPr>
          <w:p w14:paraId="69786DDC" w14:textId="77777777" w:rsidR="004676EF" w:rsidRPr="00734AB6" w:rsidRDefault="004676EF" w:rsidP="0099584D">
            <w:pPr>
              <w:spacing w:line="360" w:lineRule="auto"/>
              <w:rPr>
                <w:rFonts w:asciiTheme="majorHAnsi" w:hAnsiTheme="majorHAnsi"/>
              </w:rPr>
            </w:pPr>
          </w:p>
        </w:tc>
        <w:tc>
          <w:tcPr>
            <w:tcW w:w="1393" w:type="dxa"/>
          </w:tcPr>
          <w:p w14:paraId="4C1B7C72"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5581EDFD"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7493F52C"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6B319942" w14:textId="77777777" w:rsidR="004676EF" w:rsidRPr="00734AB6" w:rsidRDefault="004676EF" w:rsidP="0099584D">
            <w:pPr>
              <w:spacing w:line="360" w:lineRule="auto"/>
              <w:rPr>
                <w:rFonts w:asciiTheme="majorHAnsi" w:hAnsiTheme="majorHAnsi"/>
              </w:rPr>
            </w:pPr>
          </w:p>
        </w:tc>
      </w:tr>
      <w:tr w:rsidR="004676EF" w:rsidRPr="00734AB6" w14:paraId="569E4190" w14:textId="77777777" w:rsidTr="00015D96">
        <w:tc>
          <w:tcPr>
            <w:tcW w:w="1419" w:type="dxa"/>
          </w:tcPr>
          <w:p w14:paraId="46F4AD87"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17</w:t>
            </w:r>
          </w:p>
        </w:tc>
        <w:tc>
          <w:tcPr>
            <w:tcW w:w="1391" w:type="dxa"/>
          </w:tcPr>
          <w:p w14:paraId="33B1E99D" w14:textId="77777777" w:rsidR="004676EF" w:rsidRPr="00734AB6" w:rsidRDefault="004676EF" w:rsidP="0099584D">
            <w:pPr>
              <w:spacing w:line="360" w:lineRule="auto"/>
              <w:rPr>
                <w:rFonts w:asciiTheme="majorHAnsi" w:hAnsiTheme="majorHAnsi"/>
              </w:rPr>
            </w:pPr>
          </w:p>
        </w:tc>
        <w:tc>
          <w:tcPr>
            <w:tcW w:w="1393" w:type="dxa"/>
          </w:tcPr>
          <w:p w14:paraId="4B5BF025" w14:textId="77777777" w:rsidR="004676EF" w:rsidRPr="00734AB6" w:rsidRDefault="004676EF" w:rsidP="0099584D">
            <w:pPr>
              <w:spacing w:line="360" w:lineRule="auto"/>
              <w:rPr>
                <w:rFonts w:asciiTheme="majorHAnsi" w:hAnsiTheme="majorHAnsi"/>
              </w:rPr>
            </w:pPr>
          </w:p>
        </w:tc>
        <w:tc>
          <w:tcPr>
            <w:tcW w:w="1438" w:type="dxa"/>
            <w:tcBorders>
              <w:bottom w:val="double" w:sz="4" w:space="0" w:color="auto"/>
            </w:tcBorders>
          </w:tcPr>
          <w:p w14:paraId="2118998E"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47C79575" w14:textId="77777777" w:rsidR="004676EF" w:rsidRPr="00734AB6" w:rsidRDefault="004676EF" w:rsidP="0099584D">
            <w:pPr>
              <w:spacing w:line="360" w:lineRule="auto"/>
              <w:rPr>
                <w:rFonts w:asciiTheme="majorHAnsi" w:hAnsiTheme="majorHAnsi"/>
              </w:rPr>
            </w:pPr>
          </w:p>
        </w:tc>
        <w:tc>
          <w:tcPr>
            <w:tcW w:w="1388" w:type="dxa"/>
            <w:tcBorders>
              <w:bottom w:val="double" w:sz="4" w:space="0" w:color="auto"/>
            </w:tcBorders>
            <w:shd w:val="clear" w:color="auto" w:fill="D9D9D9" w:themeFill="background1" w:themeFillShade="D9"/>
          </w:tcPr>
          <w:p w14:paraId="4EBD7E2C" w14:textId="77777777" w:rsidR="004676EF" w:rsidRPr="00734AB6" w:rsidRDefault="004676EF" w:rsidP="0099584D">
            <w:pPr>
              <w:spacing w:line="360" w:lineRule="auto"/>
              <w:rPr>
                <w:rFonts w:asciiTheme="majorHAnsi" w:hAnsiTheme="majorHAnsi"/>
              </w:rPr>
            </w:pPr>
          </w:p>
        </w:tc>
      </w:tr>
      <w:tr w:rsidR="004676EF" w:rsidRPr="00734AB6" w14:paraId="21334F20" w14:textId="77777777" w:rsidTr="00015D96">
        <w:tc>
          <w:tcPr>
            <w:tcW w:w="1419" w:type="dxa"/>
          </w:tcPr>
          <w:p w14:paraId="10461A84" w14:textId="77777777" w:rsidR="004676EF" w:rsidRPr="00734AB6" w:rsidRDefault="004676EF" w:rsidP="0099584D">
            <w:pPr>
              <w:spacing w:line="360" w:lineRule="auto"/>
              <w:jc w:val="center"/>
              <w:rPr>
                <w:rFonts w:asciiTheme="majorHAnsi" w:hAnsiTheme="majorHAnsi"/>
                <w:b/>
              </w:rPr>
            </w:pPr>
            <w:r w:rsidRPr="00734AB6">
              <w:rPr>
                <w:rFonts w:asciiTheme="majorHAnsi" w:hAnsiTheme="majorHAnsi"/>
                <w:b/>
              </w:rPr>
              <w:t>18</w:t>
            </w:r>
          </w:p>
        </w:tc>
        <w:tc>
          <w:tcPr>
            <w:tcW w:w="1391" w:type="dxa"/>
          </w:tcPr>
          <w:p w14:paraId="6C73EE53" w14:textId="77777777" w:rsidR="004676EF" w:rsidRPr="00734AB6" w:rsidRDefault="004676EF" w:rsidP="0099584D">
            <w:pPr>
              <w:spacing w:line="360" w:lineRule="auto"/>
              <w:rPr>
                <w:rFonts w:asciiTheme="majorHAnsi" w:hAnsiTheme="majorHAnsi"/>
              </w:rPr>
            </w:pPr>
          </w:p>
        </w:tc>
        <w:tc>
          <w:tcPr>
            <w:tcW w:w="1393" w:type="dxa"/>
          </w:tcPr>
          <w:p w14:paraId="368AE515" w14:textId="77777777" w:rsidR="004676EF" w:rsidRPr="00734AB6" w:rsidRDefault="004676EF" w:rsidP="0099584D">
            <w:pPr>
              <w:spacing w:line="360" w:lineRule="auto"/>
              <w:rPr>
                <w:rFonts w:asciiTheme="majorHAnsi" w:hAnsiTheme="majorHAnsi"/>
              </w:rPr>
            </w:pPr>
          </w:p>
        </w:tc>
        <w:tc>
          <w:tcPr>
            <w:tcW w:w="1438" w:type="dxa"/>
            <w:shd w:val="clear" w:color="auto" w:fill="D9D9D9" w:themeFill="background1" w:themeFillShade="D9"/>
          </w:tcPr>
          <w:p w14:paraId="09832515"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073250ED" w14:textId="77777777" w:rsidR="004676EF" w:rsidRPr="00734AB6" w:rsidRDefault="004676EF" w:rsidP="0099584D">
            <w:pPr>
              <w:spacing w:line="360" w:lineRule="auto"/>
              <w:rPr>
                <w:rFonts w:asciiTheme="majorHAnsi" w:hAnsiTheme="majorHAnsi"/>
              </w:rPr>
            </w:pPr>
          </w:p>
        </w:tc>
        <w:tc>
          <w:tcPr>
            <w:tcW w:w="1388" w:type="dxa"/>
            <w:shd w:val="clear" w:color="auto" w:fill="D9D9D9" w:themeFill="background1" w:themeFillShade="D9"/>
          </w:tcPr>
          <w:p w14:paraId="305753B7" w14:textId="77777777" w:rsidR="004676EF" w:rsidRPr="00734AB6" w:rsidRDefault="004676EF" w:rsidP="0099584D">
            <w:pPr>
              <w:spacing w:line="360" w:lineRule="auto"/>
              <w:rPr>
                <w:rFonts w:asciiTheme="majorHAnsi" w:hAnsiTheme="majorHAnsi"/>
              </w:rPr>
            </w:pPr>
          </w:p>
        </w:tc>
      </w:tr>
    </w:tbl>
    <w:p w14:paraId="486F4894" w14:textId="77777777" w:rsidR="004676EF" w:rsidRPr="00734AB6" w:rsidRDefault="004676EF" w:rsidP="0099584D">
      <w:pPr>
        <w:tabs>
          <w:tab w:val="left" w:pos="993"/>
        </w:tabs>
        <w:spacing w:line="360" w:lineRule="auto"/>
        <w:rPr>
          <w:rFonts w:asciiTheme="majorHAnsi" w:hAnsiTheme="majorHAnsi"/>
          <w:b/>
        </w:rPr>
      </w:pPr>
    </w:p>
    <w:p w14:paraId="70403A51" w14:textId="77777777" w:rsidR="004676EF" w:rsidRPr="00734AB6" w:rsidRDefault="004676EF" w:rsidP="0099584D">
      <w:pPr>
        <w:spacing w:line="360" w:lineRule="auto"/>
        <w:ind w:left="360"/>
        <w:rPr>
          <w:rFonts w:asciiTheme="majorHAnsi" w:hAnsiTheme="majorHAnsi"/>
        </w:rPr>
      </w:pPr>
    </w:p>
    <w:p w14:paraId="6B0A2C7C" w14:textId="77777777" w:rsidR="004676EF" w:rsidRPr="00734AB6" w:rsidRDefault="004676EF" w:rsidP="00EF7585">
      <w:pPr>
        <w:pBdr>
          <w:top w:val="double" w:sz="4" w:space="1" w:color="auto"/>
        </w:pBdr>
        <w:spacing w:after="0" w:line="360" w:lineRule="auto"/>
        <w:rPr>
          <w:rFonts w:asciiTheme="majorHAnsi" w:hAnsiTheme="majorHAnsi"/>
        </w:rPr>
      </w:pPr>
    </w:p>
    <w:p w14:paraId="00598304" w14:textId="77777777" w:rsidR="004676EF" w:rsidRPr="00734AB6" w:rsidRDefault="004676EF" w:rsidP="0099584D">
      <w:pPr>
        <w:pStyle w:val="Heading2"/>
        <w:spacing w:line="360" w:lineRule="auto"/>
        <w:rPr>
          <w:b/>
          <w:color w:val="auto"/>
          <w:sz w:val="22"/>
          <w:szCs w:val="22"/>
        </w:rPr>
      </w:pPr>
      <w:bookmarkStart w:id="157" w:name="_Toc45200533"/>
      <w:bookmarkStart w:id="158" w:name="_Toc48136426"/>
      <w:r w:rsidRPr="00734AB6">
        <w:rPr>
          <w:b/>
          <w:color w:val="auto"/>
          <w:sz w:val="22"/>
          <w:szCs w:val="22"/>
        </w:rPr>
        <w:t>B(viii)</w:t>
      </w:r>
      <w:r w:rsidRPr="00734AB6">
        <w:rPr>
          <w:b/>
          <w:color w:val="auto"/>
          <w:sz w:val="22"/>
          <w:szCs w:val="22"/>
        </w:rPr>
        <w:tab/>
        <w:t>Mental Health</w:t>
      </w:r>
      <w:bookmarkEnd w:id="157"/>
      <w:bookmarkEnd w:id="158"/>
    </w:p>
    <w:p w14:paraId="0503EE93" w14:textId="41950F2B"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393894" w:rsidRPr="00734AB6">
        <w:rPr>
          <w:rFonts w:asciiTheme="majorHAnsi" w:hAnsiTheme="majorHAnsi"/>
          <w:b/>
        </w:rPr>
        <w:t>B.2</w:t>
      </w:r>
      <w:r w:rsidRPr="00734AB6">
        <w:rPr>
          <w:rFonts w:asciiTheme="majorHAnsi" w:hAnsiTheme="majorHAnsi"/>
          <w:b/>
        </w:rPr>
        <w:t>.</w:t>
      </w:r>
      <w:r w:rsidRPr="00734AB6">
        <w:rPr>
          <w:rFonts w:asciiTheme="majorHAnsi" w:hAnsiTheme="majorHAnsi"/>
          <w:b/>
        </w:rPr>
        <w:tab/>
        <w:t>Psychiatric diagnosis and medication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59"/>
        <w:gridCol w:w="2116"/>
        <w:gridCol w:w="2401"/>
        <w:gridCol w:w="1871"/>
      </w:tblGrid>
      <w:tr w:rsidR="004676EF" w:rsidRPr="00734AB6" w14:paraId="23E5FF3D" w14:textId="77777777" w:rsidTr="008F58D3">
        <w:tc>
          <w:tcPr>
            <w:tcW w:w="2268" w:type="dxa"/>
            <w:vMerge w:val="restart"/>
          </w:tcPr>
          <w:p w14:paraId="02E420C6"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b/>
              </w:rPr>
              <w:t>Have you received a psychiatric diagnosis?</w:t>
            </w:r>
          </w:p>
        </w:tc>
        <w:tc>
          <w:tcPr>
            <w:tcW w:w="2127" w:type="dxa"/>
            <w:tcBorders>
              <w:bottom w:val="nil"/>
            </w:tcBorders>
          </w:tcPr>
          <w:p w14:paraId="04CA0397" w14:textId="65721113" w:rsidR="004676EF" w:rsidRPr="00734AB6" w:rsidRDefault="008F58D3" w:rsidP="00F005F7">
            <w:pPr>
              <w:spacing w:after="0" w:line="276" w:lineRule="auto"/>
              <w:rPr>
                <w:rFonts w:asciiTheme="majorHAnsi" w:hAnsiTheme="majorHAnsi"/>
                <w:b/>
              </w:rPr>
            </w:pPr>
            <w:r w:rsidRPr="00734AB6">
              <w:rPr>
                <w:rFonts w:asciiTheme="majorHAnsi" w:hAnsiTheme="majorHAnsi"/>
                <w:b/>
              </w:rPr>
              <w:t>Modafinil-</w:t>
            </w:r>
            <w:r w:rsidR="004676EF" w:rsidRPr="00734AB6">
              <w:rPr>
                <w:rFonts w:asciiTheme="majorHAnsi" w:hAnsiTheme="majorHAnsi"/>
                <w:b/>
              </w:rPr>
              <w:t>only N = 86</w:t>
            </w:r>
          </w:p>
        </w:tc>
        <w:tc>
          <w:tcPr>
            <w:tcW w:w="2409" w:type="dxa"/>
            <w:tcBorders>
              <w:bottom w:val="nil"/>
            </w:tcBorders>
          </w:tcPr>
          <w:p w14:paraId="54F8793D" w14:textId="74B75186" w:rsidR="004676EF" w:rsidRPr="00734AB6" w:rsidRDefault="008F58D3" w:rsidP="00F005F7">
            <w:pPr>
              <w:spacing w:after="0" w:line="276" w:lineRule="auto"/>
              <w:rPr>
                <w:rFonts w:asciiTheme="majorHAnsi" w:hAnsiTheme="majorHAnsi"/>
                <w:b/>
              </w:rPr>
            </w:pPr>
            <w:r w:rsidRPr="00734AB6">
              <w:rPr>
                <w:rFonts w:asciiTheme="majorHAnsi" w:hAnsiTheme="majorHAnsi"/>
                <w:b/>
              </w:rPr>
              <w:t>Methylphenidate</w:t>
            </w:r>
            <w:r w:rsidR="004676EF" w:rsidRPr="00734AB6">
              <w:rPr>
                <w:rFonts w:asciiTheme="majorHAnsi" w:hAnsiTheme="majorHAnsi"/>
                <w:b/>
              </w:rPr>
              <w:t xml:space="preserve"> N = 57</w:t>
            </w:r>
          </w:p>
        </w:tc>
        <w:tc>
          <w:tcPr>
            <w:tcW w:w="1882" w:type="dxa"/>
            <w:tcBorders>
              <w:bottom w:val="nil"/>
            </w:tcBorders>
          </w:tcPr>
          <w:p w14:paraId="5B4FEA8D" w14:textId="46544A8A" w:rsidR="004676EF" w:rsidRPr="00734AB6" w:rsidRDefault="004676EF" w:rsidP="00F005F7">
            <w:pPr>
              <w:spacing w:after="0" w:line="276" w:lineRule="auto"/>
              <w:rPr>
                <w:rFonts w:asciiTheme="majorHAnsi" w:hAnsiTheme="majorHAnsi"/>
                <w:b/>
              </w:rPr>
            </w:pPr>
            <w:r w:rsidRPr="00734AB6">
              <w:rPr>
                <w:rFonts w:asciiTheme="majorHAnsi" w:hAnsiTheme="majorHAnsi"/>
                <w:b/>
              </w:rPr>
              <w:t>C</w:t>
            </w:r>
            <w:r w:rsidR="008F58D3" w:rsidRPr="00734AB6">
              <w:rPr>
                <w:rFonts w:asciiTheme="majorHAnsi" w:hAnsiTheme="majorHAnsi"/>
                <w:b/>
              </w:rPr>
              <w:t xml:space="preserve">ontrols </w:t>
            </w:r>
            <w:r w:rsidRPr="00734AB6">
              <w:rPr>
                <w:rFonts w:asciiTheme="majorHAnsi" w:hAnsiTheme="majorHAnsi"/>
                <w:b/>
              </w:rPr>
              <w:t>N = 106</w:t>
            </w:r>
          </w:p>
        </w:tc>
      </w:tr>
      <w:tr w:rsidR="004676EF" w:rsidRPr="00734AB6" w14:paraId="4397710D" w14:textId="77777777" w:rsidTr="008F58D3">
        <w:tc>
          <w:tcPr>
            <w:tcW w:w="2268" w:type="dxa"/>
            <w:vMerge/>
          </w:tcPr>
          <w:p w14:paraId="497D7CBC" w14:textId="77777777" w:rsidR="004676EF" w:rsidRPr="00734AB6" w:rsidRDefault="004676EF" w:rsidP="00F005F7">
            <w:pPr>
              <w:tabs>
                <w:tab w:val="left" w:pos="5812"/>
              </w:tabs>
              <w:spacing w:after="0" w:line="276" w:lineRule="auto"/>
              <w:rPr>
                <w:rFonts w:asciiTheme="majorHAnsi" w:hAnsiTheme="majorHAnsi"/>
                <w:b/>
              </w:rPr>
            </w:pPr>
          </w:p>
        </w:tc>
        <w:tc>
          <w:tcPr>
            <w:tcW w:w="2127" w:type="dxa"/>
            <w:tcBorders>
              <w:top w:val="nil"/>
            </w:tcBorders>
          </w:tcPr>
          <w:p w14:paraId="6E270D43" w14:textId="77777777" w:rsidR="004676EF" w:rsidRPr="00734AB6" w:rsidRDefault="004676EF" w:rsidP="00F005F7">
            <w:pPr>
              <w:spacing w:after="0" w:line="276" w:lineRule="auto"/>
              <w:rPr>
                <w:rFonts w:asciiTheme="majorHAnsi" w:hAnsiTheme="majorHAnsi"/>
                <w:b/>
              </w:rPr>
            </w:pPr>
            <w:r w:rsidRPr="00734AB6">
              <w:rPr>
                <w:rFonts w:asciiTheme="majorHAnsi" w:hAnsiTheme="majorHAnsi"/>
                <w:b/>
              </w:rPr>
              <w:t>N (%)</w:t>
            </w:r>
          </w:p>
        </w:tc>
        <w:tc>
          <w:tcPr>
            <w:tcW w:w="2409" w:type="dxa"/>
            <w:tcBorders>
              <w:top w:val="nil"/>
            </w:tcBorders>
          </w:tcPr>
          <w:p w14:paraId="6B34C2CA" w14:textId="77777777" w:rsidR="004676EF" w:rsidRPr="00734AB6" w:rsidRDefault="004676EF" w:rsidP="00F005F7">
            <w:pPr>
              <w:spacing w:after="0" w:line="276" w:lineRule="auto"/>
              <w:rPr>
                <w:rFonts w:asciiTheme="majorHAnsi" w:hAnsiTheme="majorHAnsi"/>
                <w:b/>
              </w:rPr>
            </w:pPr>
            <w:r w:rsidRPr="00734AB6">
              <w:rPr>
                <w:rFonts w:asciiTheme="majorHAnsi" w:hAnsiTheme="majorHAnsi"/>
                <w:b/>
              </w:rPr>
              <w:t>N (%)</w:t>
            </w:r>
          </w:p>
        </w:tc>
        <w:tc>
          <w:tcPr>
            <w:tcW w:w="1882" w:type="dxa"/>
            <w:tcBorders>
              <w:top w:val="nil"/>
            </w:tcBorders>
          </w:tcPr>
          <w:p w14:paraId="6221BE89" w14:textId="77777777" w:rsidR="004676EF" w:rsidRPr="00734AB6" w:rsidRDefault="004676EF" w:rsidP="00F005F7">
            <w:pPr>
              <w:spacing w:after="0" w:line="276" w:lineRule="auto"/>
              <w:rPr>
                <w:rFonts w:asciiTheme="majorHAnsi" w:hAnsiTheme="majorHAnsi"/>
                <w:b/>
              </w:rPr>
            </w:pPr>
            <w:r w:rsidRPr="00734AB6">
              <w:rPr>
                <w:rFonts w:asciiTheme="majorHAnsi" w:hAnsiTheme="majorHAnsi"/>
                <w:b/>
              </w:rPr>
              <w:t>N (%)</w:t>
            </w:r>
          </w:p>
        </w:tc>
      </w:tr>
      <w:tr w:rsidR="004676EF" w:rsidRPr="00734AB6" w14:paraId="4AFA5EA3" w14:textId="77777777" w:rsidTr="008F58D3">
        <w:tc>
          <w:tcPr>
            <w:tcW w:w="2268" w:type="dxa"/>
            <w:tcBorders>
              <w:bottom w:val="nil"/>
            </w:tcBorders>
          </w:tcPr>
          <w:p w14:paraId="23D8CD0D"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Yes</w:t>
            </w:r>
          </w:p>
        </w:tc>
        <w:tc>
          <w:tcPr>
            <w:tcW w:w="2127" w:type="dxa"/>
            <w:tcBorders>
              <w:bottom w:val="nil"/>
            </w:tcBorders>
          </w:tcPr>
          <w:p w14:paraId="4F3F3095"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28 (32.56)</w:t>
            </w:r>
          </w:p>
        </w:tc>
        <w:tc>
          <w:tcPr>
            <w:tcW w:w="2409" w:type="dxa"/>
            <w:tcBorders>
              <w:bottom w:val="nil"/>
            </w:tcBorders>
          </w:tcPr>
          <w:p w14:paraId="46379B32"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16 (28.07)</w:t>
            </w:r>
          </w:p>
        </w:tc>
        <w:tc>
          <w:tcPr>
            <w:tcW w:w="1882" w:type="dxa"/>
            <w:tcBorders>
              <w:bottom w:val="nil"/>
            </w:tcBorders>
          </w:tcPr>
          <w:p w14:paraId="5E49A98D"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40 (37.74)</w:t>
            </w:r>
          </w:p>
        </w:tc>
      </w:tr>
      <w:tr w:rsidR="004676EF" w:rsidRPr="00734AB6" w14:paraId="246E24E5" w14:textId="77777777" w:rsidTr="008F58D3">
        <w:tc>
          <w:tcPr>
            <w:tcW w:w="2268" w:type="dxa"/>
            <w:tcBorders>
              <w:top w:val="nil"/>
              <w:bottom w:val="single" w:sz="4" w:space="0" w:color="auto"/>
            </w:tcBorders>
          </w:tcPr>
          <w:p w14:paraId="020D79F2" w14:textId="77777777" w:rsidR="004676EF" w:rsidRPr="00734AB6" w:rsidRDefault="004676EF" w:rsidP="00F005F7">
            <w:pPr>
              <w:spacing w:after="0" w:line="276" w:lineRule="auto"/>
              <w:rPr>
                <w:rFonts w:asciiTheme="majorHAnsi" w:hAnsiTheme="majorHAnsi"/>
                <w:b/>
              </w:rPr>
            </w:pPr>
            <w:r w:rsidRPr="00734AB6">
              <w:rPr>
                <w:rFonts w:asciiTheme="majorHAnsi" w:hAnsiTheme="majorHAnsi"/>
              </w:rPr>
              <w:t>No</w:t>
            </w:r>
          </w:p>
        </w:tc>
        <w:tc>
          <w:tcPr>
            <w:tcW w:w="2127" w:type="dxa"/>
            <w:tcBorders>
              <w:top w:val="nil"/>
              <w:bottom w:val="single" w:sz="4" w:space="0" w:color="auto"/>
            </w:tcBorders>
          </w:tcPr>
          <w:p w14:paraId="5A0BED83"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58 (67.44)</w:t>
            </w:r>
          </w:p>
        </w:tc>
        <w:tc>
          <w:tcPr>
            <w:tcW w:w="2409" w:type="dxa"/>
            <w:tcBorders>
              <w:top w:val="nil"/>
              <w:bottom w:val="single" w:sz="4" w:space="0" w:color="auto"/>
            </w:tcBorders>
          </w:tcPr>
          <w:p w14:paraId="16A3A811"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41 (71.93)</w:t>
            </w:r>
          </w:p>
        </w:tc>
        <w:tc>
          <w:tcPr>
            <w:tcW w:w="1882" w:type="dxa"/>
            <w:tcBorders>
              <w:top w:val="nil"/>
              <w:bottom w:val="single" w:sz="4" w:space="0" w:color="auto"/>
            </w:tcBorders>
          </w:tcPr>
          <w:p w14:paraId="1F7346C1"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66 (62.26)</w:t>
            </w:r>
          </w:p>
        </w:tc>
      </w:tr>
      <w:tr w:rsidR="004676EF" w:rsidRPr="00734AB6" w14:paraId="7116B5B3" w14:textId="77777777" w:rsidTr="008F58D3">
        <w:tc>
          <w:tcPr>
            <w:tcW w:w="2268" w:type="dxa"/>
            <w:tcBorders>
              <w:bottom w:val="nil"/>
            </w:tcBorders>
          </w:tcPr>
          <w:p w14:paraId="308A234F"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b/>
              </w:rPr>
              <w:t>Psychiatric diagnosis</w:t>
            </w:r>
          </w:p>
        </w:tc>
        <w:tc>
          <w:tcPr>
            <w:tcW w:w="2127" w:type="dxa"/>
            <w:tcBorders>
              <w:bottom w:val="nil"/>
            </w:tcBorders>
          </w:tcPr>
          <w:p w14:paraId="3E79576E" w14:textId="77777777" w:rsidR="004676EF" w:rsidRPr="00734AB6" w:rsidRDefault="004676EF" w:rsidP="00F005F7">
            <w:pPr>
              <w:spacing w:after="0" w:line="276" w:lineRule="auto"/>
              <w:rPr>
                <w:rFonts w:asciiTheme="majorHAnsi" w:hAnsiTheme="majorHAnsi"/>
              </w:rPr>
            </w:pPr>
          </w:p>
        </w:tc>
        <w:tc>
          <w:tcPr>
            <w:tcW w:w="2409" w:type="dxa"/>
            <w:tcBorders>
              <w:bottom w:val="nil"/>
            </w:tcBorders>
          </w:tcPr>
          <w:p w14:paraId="501BE69C" w14:textId="77777777" w:rsidR="004676EF" w:rsidRPr="00734AB6" w:rsidRDefault="004676EF" w:rsidP="00F005F7">
            <w:pPr>
              <w:spacing w:after="0" w:line="276" w:lineRule="auto"/>
              <w:rPr>
                <w:rFonts w:asciiTheme="majorHAnsi" w:hAnsiTheme="majorHAnsi"/>
              </w:rPr>
            </w:pPr>
          </w:p>
        </w:tc>
        <w:tc>
          <w:tcPr>
            <w:tcW w:w="1882" w:type="dxa"/>
            <w:tcBorders>
              <w:bottom w:val="nil"/>
            </w:tcBorders>
          </w:tcPr>
          <w:p w14:paraId="596ACBBB" w14:textId="77777777" w:rsidR="004676EF" w:rsidRPr="00734AB6" w:rsidRDefault="004676EF" w:rsidP="00F005F7">
            <w:pPr>
              <w:spacing w:after="0" w:line="276" w:lineRule="auto"/>
              <w:rPr>
                <w:rFonts w:asciiTheme="majorHAnsi" w:hAnsiTheme="majorHAnsi"/>
              </w:rPr>
            </w:pPr>
          </w:p>
        </w:tc>
      </w:tr>
      <w:tr w:rsidR="004676EF" w:rsidRPr="00734AB6" w14:paraId="66BC136B" w14:textId="77777777" w:rsidTr="008F58D3">
        <w:tc>
          <w:tcPr>
            <w:tcW w:w="2268" w:type="dxa"/>
            <w:tcBorders>
              <w:top w:val="nil"/>
              <w:bottom w:val="nil"/>
            </w:tcBorders>
          </w:tcPr>
          <w:p w14:paraId="0F457C08"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Anxiety disorder</w:t>
            </w:r>
          </w:p>
        </w:tc>
        <w:tc>
          <w:tcPr>
            <w:tcW w:w="2127" w:type="dxa"/>
            <w:tcBorders>
              <w:top w:val="nil"/>
              <w:bottom w:val="nil"/>
            </w:tcBorders>
          </w:tcPr>
          <w:p w14:paraId="77B3F6E0"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14 (16.28)</w:t>
            </w:r>
          </w:p>
        </w:tc>
        <w:tc>
          <w:tcPr>
            <w:tcW w:w="2409" w:type="dxa"/>
            <w:tcBorders>
              <w:top w:val="nil"/>
              <w:bottom w:val="nil"/>
            </w:tcBorders>
          </w:tcPr>
          <w:p w14:paraId="4E12E383"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14 (24.56)</w:t>
            </w:r>
          </w:p>
        </w:tc>
        <w:tc>
          <w:tcPr>
            <w:tcW w:w="1882" w:type="dxa"/>
            <w:tcBorders>
              <w:top w:val="nil"/>
              <w:bottom w:val="nil"/>
            </w:tcBorders>
          </w:tcPr>
          <w:p w14:paraId="45AF0769"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31 (29.25)</w:t>
            </w:r>
          </w:p>
        </w:tc>
      </w:tr>
      <w:tr w:rsidR="004676EF" w:rsidRPr="00734AB6" w14:paraId="58BD202E" w14:textId="77777777" w:rsidTr="008F58D3">
        <w:tc>
          <w:tcPr>
            <w:tcW w:w="2268" w:type="dxa"/>
            <w:tcBorders>
              <w:top w:val="nil"/>
              <w:bottom w:val="nil"/>
            </w:tcBorders>
          </w:tcPr>
          <w:p w14:paraId="5841ECA0"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Panic disorder</w:t>
            </w:r>
          </w:p>
        </w:tc>
        <w:tc>
          <w:tcPr>
            <w:tcW w:w="2127" w:type="dxa"/>
            <w:tcBorders>
              <w:top w:val="nil"/>
              <w:bottom w:val="nil"/>
            </w:tcBorders>
          </w:tcPr>
          <w:p w14:paraId="741FA085"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7C5E0BD1"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3EF85AB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7 (6.60)</w:t>
            </w:r>
          </w:p>
        </w:tc>
      </w:tr>
      <w:tr w:rsidR="004676EF" w:rsidRPr="00734AB6" w14:paraId="58E91B25" w14:textId="77777777" w:rsidTr="008F58D3">
        <w:tc>
          <w:tcPr>
            <w:tcW w:w="2268" w:type="dxa"/>
            <w:tcBorders>
              <w:top w:val="nil"/>
              <w:bottom w:val="nil"/>
            </w:tcBorders>
          </w:tcPr>
          <w:p w14:paraId="6A886EA8"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Social phobia disorder</w:t>
            </w:r>
          </w:p>
        </w:tc>
        <w:tc>
          <w:tcPr>
            <w:tcW w:w="2127" w:type="dxa"/>
            <w:tcBorders>
              <w:top w:val="nil"/>
              <w:bottom w:val="nil"/>
            </w:tcBorders>
          </w:tcPr>
          <w:p w14:paraId="0F0A1D1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120AD114" w14:textId="77777777" w:rsidR="004676EF" w:rsidRPr="00734AB6" w:rsidRDefault="004676EF" w:rsidP="00F005F7">
            <w:pPr>
              <w:spacing w:after="0" w:line="276" w:lineRule="auto"/>
              <w:rPr>
                <w:rFonts w:asciiTheme="majorHAnsi" w:hAnsiTheme="majorHAnsi"/>
                <w:b/>
              </w:rPr>
            </w:pPr>
            <w:r w:rsidRPr="00734AB6">
              <w:rPr>
                <w:rFonts w:asciiTheme="majorHAnsi" w:hAnsiTheme="majorHAnsi"/>
              </w:rPr>
              <w:t>9 (15.79)</w:t>
            </w:r>
          </w:p>
        </w:tc>
        <w:tc>
          <w:tcPr>
            <w:tcW w:w="1882" w:type="dxa"/>
            <w:tcBorders>
              <w:top w:val="nil"/>
              <w:bottom w:val="nil"/>
            </w:tcBorders>
          </w:tcPr>
          <w:p w14:paraId="440397F3"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6 (5.66)</w:t>
            </w:r>
          </w:p>
        </w:tc>
      </w:tr>
      <w:tr w:rsidR="004676EF" w:rsidRPr="00734AB6" w14:paraId="2AB26A09" w14:textId="77777777" w:rsidTr="008F58D3">
        <w:tc>
          <w:tcPr>
            <w:tcW w:w="2268" w:type="dxa"/>
            <w:tcBorders>
              <w:top w:val="nil"/>
              <w:bottom w:val="nil"/>
            </w:tcBorders>
          </w:tcPr>
          <w:p w14:paraId="01C33A6E"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Agoraphobia</w:t>
            </w:r>
          </w:p>
        </w:tc>
        <w:tc>
          <w:tcPr>
            <w:tcW w:w="2127" w:type="dxa"/>
            <w:tcBorders>
              <w:top w:val="nil"/>
              <w:bottom w:val="nil"/>
            </w:tcBorders>
          </w:tcPr>
          <w:p w14:paraId="39A53539"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11F7AC72" w14:textId="77777777" w:rsidR="004676EF" w:rsidRPr="00734AB6" w:rsidRDefault="004676EF" w:rsidP="00F005F7">
            <w:pPr>
              <w:spacing w:after="0" w:line="276" w:lineRule="auto"/>
              <w:rPr>
                <w:rFonts w:asciiTheme="majorHAnsi" w:hAnsiTheme="majorHAnsi"/>
              </w:rPr>
            </w:pPr>
          </w:p>
        </w:tc>
        <w:tc>
          <w:tcPr>
            <w:tcW w:w="1882" w:type="dxa"/>
            <w:tcBorders>
              <w:top w:val="nil"/>
              <w:bottom w:val="nil"/>
            </w:tcBorders>
          </w:tcPr>
          <w:p w14:paraId="659F48A2"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3 (2.83)</w:t>
            </w:r>
          </w:p>
        </w:tc>
      </w:tr>
      <w:tr w:rsidR="004676EF" w:rsidRPr="00734AB6" w14:paraId="04DB8A3D" w14:textId="77777777" w:rsidTr="008F58D3">
        <w:tc>
          <w:tcPr>
            <w:tcW w:w="2268" w:type="dxa"/>
            <w:tcBorders>
              <w:top w:val="nil"/>
              <w:bottom w:val="nil"/>
            </w:tcBorders>
          </w:tcPr>
          <w:p w14:paraId="199AA66D"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Autism spectrum disorder</w:t>
            </w:r>
          </w:p>
        </w:tc>
        <w:tc>
          <w:tcPr>
            <w:tcW w:w="2127" w:type="dxa"/>
            <w:tcBorders>
              <w:top w:val="nil"/>
              <w:bottom w:val="nil"/>
            </w:tcBorders>
          </w:tcPr>
          <w:p w14:paraId="5CEF5E31"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(2.33)</w:t>
            </w:r>
          </w:p>
        </w:tc>
        <w:tc>
          <w:tcPr>
            <w:tcW w:w="2409" w:type="dxa"/>
            <w:tcBorders>
              <w:top w:val="nil"/>
              <w:bottom w:val="nil"/>
            </w:tcBorders>
          </w:tcPr>
          <w:p w14:paraId="65FD5949"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(3.51)</w:t>
            </w:r>
          </w:p>
        </w:tc>
        <w:tc>
          <w:tcPr>
            <w:tcW w:w="1882" w:type="dxa"/>
            <w:tcBorders>
              <w:top w:val="nil"/>
              <w:bottom w:val="nil"/>
            </w:tcBorders>
          </w:tcPr>
          <w:p w14:paraId="43573D6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6 (5.66)</w:t>
            </w:r>
          </w:p>
        </w:tc>
      </w:tr>
      <w:tr w:rsidR="004676EF" w:rsidRPr="00734AB6" w14:paraId="5D63400E" w14:textId="77777777" w:rsidTr="008F58D3">
        <w:tc>
          <w:tcPr>
            <w:tcW w:w="2268" w:type="dxa"/>
            <w:tcBorders>
              <w:top w:val="nil"/>
              <w:bottom w:val="nil"/>
            </w:tcBorders>
          </w:tcPr>
          <w:p w14:paraId="7552F643"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Acute stress disorder</w:t>
            </w:r>
          </w:p>
        </w:tc>
        <w:tc>
          <w:tcPr>
            <w:tcW w:w="2127" w:type="dxa"/>
            <w:tcBorders>
              <w:top w:val="nil"/>
              <w:bottom w:val="nil"/>
            </w:tcBorders>
          </w:tcPr>
          <w:p w14:paraId="0ABE59B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438447D9" w14:textId="77777777" w:rsidR="004676EF" w:rsidRPr="00734AB6" w:rsidRDefault="004676EF" w:rsidP="00F005F7">
            <w:pPr>
              <w:spacing w:after="0" w:line="276" w:lineRule="auto"/>
              <w:rPr>
                <w:rFonts w:asciiTheme="majorHAnsi" w:hAnsiTheme="majorHAnsi"/>
              </w:rPr>
            </w:pPr>
          </w:p>
        </w:tc>
        <w:tc>
          <w:tcPr>
            <w:tcW w:w="1882" w:type="dxa"/>
            <w:tcBorders>
              <w:top w:val="nil"/>
              <w:bottom w:val="nil"/>
            </w:tcBorders>
          </w:tcPr>
          <w:p w14:paraId="44C53A8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(0.94)</w:t>
            </w:r>
          </w:p>
        </w:tc>
      </w:tr>
      <w:tr w:rsidR="004676EF" w:rsidRPr="00734AB6" w14:paraId="7888BCCB" w14:textId="77777777" w:rsidTr="008F58D3">
        <w:tc>
          <w:tcPr>
            <w:tcW w:w="2268" w:type="dxa"/>
            <w:tcBorders>
              <w:top w:val="nil"/>
              <w:bottom w:val="nil"/>
            </w:tcBorders>
          </w:tcPr>
          <w:p w14:paraId="439D5252" w14:textId="77777777" w:rsidR="004676EF" w:rsidRPr="00734AB6" w:rsidRDefault="004676EF" w:rsidP="00F005F7">
            <w:pPr>
              <w:tabs>
                <w:tab w:val="left" w:pos="5812"/>
              </w:tabs>
              <w:spacing w:after="0" w:line="276" w:lineRule="auto"/>
              <w:rPr>
                <w:rFonts w:asciiTheme="majorHAnsi" w:hAnsiTheme="majorHAnsi"/>
                <w:b/>
              </w:rPr>
            </w:pPr>
            <w:r w:rsidRPr="00734AB6">
              <w:rPr>
                <w:rFonts w:asciiTheme="majorHAnsi" w:hAnsiTheme="majorHAnsi"/>
              </w:rPr>
              <w:t>PTSD</w:t>
            </w:r>
          </w:p>
        </w:tc>
        <w:tc>
          <w:tcPr>
            <w:tcW w:w="2127" w:type="dxa"/>
            <w:tcBorders>
              <w:top w:val="nil"/>
              <w:bottom w:val="nil"/>
            </w:tcBorders>
          </w:tcPr>
          <w:p w14:paraId="056BE99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17ECD22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3 (5.26)</w:t>
            </w:r>
          </w:p>
        </w:tc>
        <w:tc>
          <w:tcPr>
            <w:tcW w:w="1882" w:type="dxa"/>
            <w:tcBorders>
              <w:top w:val="nil"/>
              <w:bottom w:val="nil"/>
            </w:tcBorders>
          </w:tcPr>
          <w:p w14:paraId="7346A72F"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5 (4.72)</w:t>
            </w:r>
          </w:p>
        </w:tc>
      </w:tr>
      <w:tr w:rsidR="004676EF" w:rsidRPr="00734AB6" w14:paraId="70599489" w14:textId="77777777" w:rsidTr="008F58D3">
        <w:tc>
          <w:tcPr>
            <w:tcW w:w="2268" w:type="dxa"/>
            <w:tcBorders>
              <w:top w:val="nil"/>
              <w:bottom w:val="nil"/>
            </w:tcBorders>
          </w:tcPr>
          <w:p w14:paraId="30BFA85D"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Dissociative disorder</w:t>
            </w:r>
          </w:p>
        </w:tc>
        <w:tc>
          <w:tcPr>
            <w:tcW w:w="2127" w:type="dxa"/>
            <w:tcBorders>
              <w:top w:val="nil"/>
              <w:bottom w:val="nil"/>
            </w:tcBorders>
          </w:tcPr>
          <w:p w14:paraId="43AAD1ED"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0B443848" w14:textId="77777777" w:rsidR="004676EF" w:rsidRPr="00734AB6" w:rsidRDefault="004676EF" w:rsidP="00F005F7">
            <w:pPr>
              <w:spacing w:after="0" w:line="276" w:lineRule="auto"/>
              <w:rPr>
                <w:rFonts w:asciiTheme="majorHAnsi" w:hAnsiTheme="majorHAnsi"/>
              </w:rPr>
            </w:pPr>
          </w:p>
        </w:tc>
        <w:tc>
          <w:tcPr>
            <w:tcW w:w="1882" w:type="dxa"/>
            <w:tcBorders>
              <w:top w:val="nil"/>
              <w:bottom w:val="nil"/>
            </w:tcBorders>
          </w:tcPr>
          <w:p w14:paraId="532FEB10"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(1.89)</w:t>
            </w:r>
          </w:p>
        </w:tc>
      </w:tr>
      <w:tr w:rsidR="004676EF" w:rsidRPr="00734AB6" w14:paraId="42B78172" w14:textId="77777777" w:rsidTr="008F58D3">
        <w:tc>
          <w:tcPr>
            <w:tcW w:w="2268" w:type="dxa"/>
            <w:tcBorders>
              <w:top w:val="nil"/>
              <w:bottom w:val="nil"/>
            </w:tcBorders>
          </w:tcPr>
          <w:p w14:paraId="37A42FCD"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Eating disorder</w:t>
            </w:r>
          </w:p>
        </w:tc>
        <w:tc>
          <w:tcPr>
            <w:tcW w:w="2127" w:type="dxa"/>
            <w:tcBorders>
              <w:top w:val="nil"/>
              <w:bottom w:val="nil"/>
            </w:tcBorders>
          </w:tcPr>
          <w:p w14:paraId="30CA91D5"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3 (3.49)</w:t>
            </w:r>
          </w:p>
        </w:tc>
        <w:tc>
          <w:tcPr>
            <w:tcW w:w="2409" w:type="dxa"/>
            <w:tcBorders>
              <w:top w:val="nil"/>
              <w:bottom w:val="nil"/>
            </w:tcBorders>
          </w:tcPr>
          <w:p w14:paraId="6649615B"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(3.51)</w:t>
            </w:r>
          </w:p>
        </w:tc>
        <w:tc>
          <w:tcPr>
            <w:tcW w:w="1882" w:type="dxa"/>
            <w:tcBorders>
              <w:top w:val="nil"/>
              <w:bottom w:val="nil"/>
            </w:tcBorders>
          </w:tcPr>
          <w:p w14:paraId="2828DD1E"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(1.89)</w:t>
            </w:r>
          </w:p>
        </w:tc>
      </w:tr>
      <w:tr w:rsidR="004676EF" w:rsidRPr="00734AB6" w14:paraId="0371B82D" w14:textId="77777777" w:rsidTr="008F58D3">
        <w:tc>
          <w:tcPr>
            <w:tcW w:w="2268" w:type="dxa"/>
            <w:tcBorders>
              <w:top w:val="nil"/>
              <w:bottom w:val="nil"/>
            </w:tcBorders>
          </w:tcPr>
          <w:p w14:paraId="14EDB913"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Depressive disorder</w:t>
            </w:r>
          </w:p>
        </w:tc>
        <w:tc>
          <w:tcPr>
            <w:tcW w:w="2127" w:type="dxa"/>
            <w:tcBorders>
              <w:top w:val="nil"/>
              <w:bottom w:val="nil"/>
            </w:tcBorders>
          </w:tcPr>
          <w:p w14:paraId="7EE1CC64"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19 (22.09)</w:t>
            </w:r>
          </w:p>
        </w:tc>
        <w:tc>
          <w:tcPr>
            <w:tcW w:w="2409" w:type="dxa"/>
            <w:tcBorders>
              <w:top w:val="nil"/>
              <w:bottom w:val="nil"/>
            </w:tcBorders>
          </w:tcPr>
          <w:p w14:paraId="376B04E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19 (33.33)</w:t>
            </w:r>
          </w:p>
        </w:tc>
        <w:tc>
          <w:tcPr>
            <w:tcW w:w="1882" w:type="dxa"/>
            <w:tcBorders>
              <w:top w:val="nil"/>
              <w:bottom w:val="nil"/>
            </w:tcBorders>
          </w:tcPr>
          <w:p w14:paraId="1FA7CD0A"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27 (25.47)</w:t>
            </w:r>
          </w:p>
        </w:tc>
      </w:tr>
      <w:tr w:rsidR="004676EF" w:rsidRPr="00734AB6" w14:paraId="2754EEDE" w14:textId="77777777" w:rsidTr="008F58D3">
        <w:tc>
          <w:tcPr>
            <w:tcW w:w="2268" w:type="dxa"/>
            <w:tcBorders>
              <w:top w:val="nil"/>
              <w:bottom w:val="nil"/>
            </w:tcBorders>
          </w:tcPr>
          <w:p w14:paraId="3CB34B06"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Bipolar disorder</w:t>
            </w:r>
          </w:p>
        </w:tc>
        <w:tc>
          <w:tcPr>
            <w:tcW w:w="2127" w:type="dxa"/>
            <w:tcBorders>
              <w:top w:val="nil"/>
              <w:bottom w:val="nil"/>
            </w:tcBorders>
          </w:tcPr>
          <w:p w14:paraId="4551F341"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4 (4.65)</w:t>
            </w:r>
          </w:p>
        </w:tc>
        <w:tc>
          <w:tcPr>
            <w:tcW w:w="2409" w:type="dxa"/>
            <w:tcBorders>
              <w:top w:val="nil"/>
              <w:bottom w:val="nil"/>
            </w:tcBorders>
          </w:tcPr>
          <w:p w14:paraId="73EDE8CA"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3 (3.51)</w:t>
            </w:r>
          </w:p>
        </w:tc>
        <w:tc>
          <w:tcPr>
            <w:tcW w:w="1882" w:type="dxa"/>
            <w:tcBorders>
              <w:top w:val="nil"/>
              <w:bottom w:val="nil"/>
            </w:tcBorders>
          </w:tcPr>
          <w:p w14:paraId="090887F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(1.89)</w:t>
            </w:r>
          </w:p>
        </w:tc>
      </w:tr>
      <w:tr w:rsidR="004676EF" w:rsidRPr="00734AB6" w14:paraId="0AB4577C" w14:textId="77777777" w:rsidTr="008F58D3">
        <w:tc>
          <w:tcPr>
            <w:tcW w:w="2268" w:type="dxa"/>
            <w:tcBorders>
              <w:top w:val="nil"/>
              <w:bottom w:val="nil"/>
            </w:tcBorders>
          </w:tcPr>
          <w:p w14:paraId="005C6FDA"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Antisocial disorder</w:t>
            </w:r>
          </w:p>
        </w:tc>
        <w:tc>
          <w:tcPr>
            <w:tcW w:w="2127" w:type="dxa"/>
            <w:tcBorders>
              <w:top w:val="nil"/>
              <w:bottom w:val="nil"/>
            </w:tcBorders>
          </w:tcPr>
          <w:p w14:paraId="753BB052"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0DE8277D"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1E3FA547"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385296E4" w14:textId="77777777" w:rsidTr="008F58D3">
        <w:tc>
          <w:tcPr>
            <w:tcW w:w="2268" w:type="dxa"/>
            <w:tcBorders>
              <w:top w:val="nil"/>
              <w:bottom w:val="nil"/>
            </w:tcBorders>
          </w:tcPr>
          <w:p w14:paraId="438CD67C"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Avoidant personality disorder</w:t>
            </w:r>
          </w:p>
        </w:tc>
        <w:tc>
          <w:tcPr>
            <w:tcW w:w="2127" w:type="dxa"/>
            <w:tcBorders>
              <w:top w:val="nil"/>
              <w:bottom w:val="nil"/>
            </w:tcBorders>
          </w:tcPr>
          <w:p w14:paraId="0D0D33D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4E8B261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4B41D9F0"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(0.94)</w:t>
            </w:r>
          </w:p>
        </w:tc>
      </w:tr>
      <w:tr w:rsidR="004676EF" w:rsidRPr="00734AB6" w14:paraId="32DE0263" w14:textId="77777777" w:rsidTr="008F58D3">
        <w:tc>
          <w:tcPr>
            <w:tcW w:w="2268" w:type="dxa"/>
            <w:tcBorders>
              <w:top w:val="nil"/>
              <w:bottom w:val="nil"/>
            </w:tcBorders>
          </w:tcPr>
          <w:p w14:paraId="53738656"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Dependant personality disorder</w:t>
            </w:r>
          </w:p>
        </w:tc>
        <w:tc>
          <w:tcPr>
            <w:tcW w:w="2127" w:type="dxa"/>
            <w:tcBorders>
              <w:top w:val="nil"/>
              <w:bottom w:val="nil"/>
            </w:tcBorders>
          </w:tcPr>
          <w:p w14:paraId="11F5857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130DA8C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0E10BAE1"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10C5CD78" w14:textId="77777777" w:rsidTr="008F58D3">
        <w:tc>
          <w:tcPr>
            <w:tcW w:w="2268" w:type="dxa"/>
            <w:tcBorders>
              <w:top w:val="nil"/>
              <w:bottom w:val="nil"/>
            </w:tcBorders>
          </w:tcPr>
          <w:p w14:paraId="0A0E4FBC"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Borderline personality disorder</w:t>
            </w:r>
          </w:p>
        </w:tc>
        <w:tc>
          <w:tcPr>
            <w:tcW w:w="2127" w:type="dxa"/>
            <w:tcBorders>
              <w:top w:val="nil"/>
              <w:bottom w:val="nil"/>
            </w:tcBorders>
          </w:tcPr>
          <w:p w14:paraId="62158283"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(2.33)</w:t>
            </w:r>
          </w:p>
        </w:tc>
        <w:tc>
          <w:tcPr>
            <w:tcW w:w="2409" w:type="dxa"/>
            <w:tcBorders>
              <w:top w:val="nil"/>
              <w:bottom w:val="nil"/>
            </w:tcBorders>
          </w:tcPr>
          <w:p w14:paraId="6E3CC3AA"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(3.51)</w:t>
            </w:r>
          </w:p>
        </w:tc>
        <w:tc>
          <w:tcPr>
            <w:tcW w:w="1882" w:type="dxa"/>
            <w:tcBorders>
              <w:top w:val="nil"/>
              <w:bottom w:val="nil"/>
            </w:tcBorders>
          </w:tcPr>
          <w:p w14:paraId="2C2B3610"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2B8A58E5" w14:textId="77777777" w:rsidTr="008F58D3">
        <w:tc>
          <w:tcPr>
            <w:tcW w:w="2268" w:type="dxa"/>
            <w:tcBorders>
              <w:top w:val="nil"/>
              <w:bottom w:val="nil"/>
            </w:tcBorders>
          </w:tcPr>
          <w:p w14:paraId="0F683D47"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Narcissistic disorder</w:t>
            </w:r>
          </w:p>
        </w:tc>
        <w:tc>
          <w:tcPr>
            <w:tcW w:w="2127" w:type="dxa"/>
            <w:tcBorders>
              <w:top w:val="nil"/>
              <w:bottom w:val="nil"/>
            </w:tcBorders>
          </w:tcPr>
          <w:p w14:paraId="2D03879D"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(1.16)</w:t>
            </w:r>
          </w:p>
        </w:tc>
        <w:tc>
          <w:tcPr>
            <w:tcW w:w="2409" w:type="dxa"/>
            <w:tcBorders>
              <w:top w:val="nil"/>
              <w:bottom w:val="nil"/>
            </w:tcBorders>
          </w:tcPr>
          <w:p w14:paraId="7B765C10"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06B6BD57"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2EB52CAD" w14:textId="77777777" w:rsidTr="008F58D3">
        <w:tc>
          <w:tcPr>
            <w:tcW w:w="2268" w:type="dxa"/>
            <w:tcBorders>
              <w:top w:val="nil"/>
              <w:bottom w:val="nil"/>
            </w:tcBorders>
          </w:tcPr>
          <w:p w14:paraId="75811C0F"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OCD</w:t>
            </w:r>
          </w:p>
        </w:tc>
        <w:tc>
          <w:tcPr>
            <w:tcW w:w="2127" w:type="dxa"/>
            <w:tcBorders>
              <w:top w:val="nil"/>
              <w:bottom w:val="nil"/>
            </w:tcBorders>
          </w:tcPr>
          <w:p w14:paraId="751E679A"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2A797E6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(3.51)</w:t>
            </w:r>
          </w:p>
        </w:tc>
        <w:tc>
          <w:tcPr>
            <w:tcW w:w="1882" w:type="dxa"/>
            <w:tcBorders>
              <w:top w:val="nil"/>
              <w:bottom w:val="nil"/>
            </w:tcBorders>
          </w:tcPr>
          <w:p w14:paraId="11F2E7D9"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(1.89)</w:t>
            </w:r>
          </w:p>
        </w:tc>
      </w:tr>
      <w:tr w:rsidR="004676EF" w:rsidRPr="00734AB6" w14:paraId="662C0819" w14:textId="77777777" w:rsidTr="008F58D3">
        <w:tc>
          <w:tcPr>
            <w:tcW w:w="2268" w:type="dxa"/>
            <w:tcBorders>
              <w:top w:val="nil"/>
              <w:bottom w:val="nil"/>
            </w:tcBorders>
          </w:tcPr>
          <w:p w14:paraId="777FAF34"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Paranoid personality disorder</w:t>
            </w:r>
          </w:p>
        </w:tc>
        <w:tc>
          <w:tcPr>
            <w:tcW w:w="2127" w:type="dxa"/>
            <w:tcBorders>
              <w:top w:val="nil"/>
              <w:bottom w:val="nil"/>
            </w:tcBorders>
          </w:tcPr>
          <w:p w14:paraId="78714D3B"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2DACCDA4"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5959D422"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1AA15329" w14:textId="77777777" w:rsidTr="008F58D3">
        <w:tc>
          <w:tcPr>
            <w:tcW w:w="2268" w:type="dxa"/>
            <w:tcBorders>
              <w:top w:val="nil"/>
              <w:bottom w:val="nil"/>
            </w:tcBorders>
          </w:tcPr>
          <w:p w14:paraId="423F8890"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Delusional disorder</w:t>
            </w:r>
          </w:p>
        </w:tc>
        <w:tc>
          <w:tcPr>
            <w:tcW w:w="2127" w:type="dxa"/>
            <w:tcBorders>
              <w:top w:val="nil"/>
              <w:bottom w:val="nil"/>
            </w:tcBorders>
          </w:tcPr>
          <w:p w14:paraId="1A66E238"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78013304"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610F14E4"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5D306637" w14:textId="77777777" w:rsidTr="008F58D3">
        <w:tc>
          <w:tcPr>
            <w:tcW w:w="2268" w:type="dxa"/>
            <w:tcBorders>
              <w:top w:val="nil"/>
              <w:bottom w:val="nil"/>
            </w:tcBorders>
          </w:tcPr>
          <w:p w14:paraId="3A0007B0"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Schizophrenia</w:t>
            </w:r>
          </w:p>
        </w:tc>
        <w:tc>
          <w:tcPr>
            <w:tcW w:w="2127" w:type="dxa"/>
            <w:tcBorders>
              <w:top w:val="nil"/>
              <w:bottom w:val="nil"/>
            </w:tcBorders>
          </w:tcPr>
          <w:p w14:paraId="2E33C2D4"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(2.33)</w:t>
            </w:r>
          </w:p>
        </w:tc>
        <w:tc>
          <w:tcPr>
            <w:tcW w:w="2409" w:type="dxa"/>
            <w:tcBorders>
              <w:top w:val="nil"/>
              <w:bottom w:val="nil"/>
            </w:tcBorders>
          </w:tcPr>
          <w:p w14:paraId="12C61B55"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(1.75)</w:t>
            </w:r>
          </w:p>
        </w:tc>
        <w:tc>
          <w:tcPr>
            <w:tcW w:w="1882" w:type="dxa"/>
            <w:tcBorders>
              <w:top w:val="nil"/>
              <w:bottom w:val="nil"/>
            </w:tcBorders>
          </w:tcPr>
          <w:p w14:paraId="551336F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336116D6" w14:textId="77777777" w:rsidTr="008F58D3">
        <w:tc>
          <w:tcPr>
            <w:tcW w:w="2268" w:type="dxa"/>
            <w:tcBorders>
              <w:top w:val="nil"/>
              <w:bottom w:val="nil"/>
            </w:tcBorders>
          </w:tcPr>
          <w:p w14:paraId="24CE2692"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Paraphilic disorder</w:t>
            </w:r>
          </w:p>
        </w:tc>
        <w:tc>
          <w:tcPr>
            <w:tcW w:w="2127" w:type="dxa"/>
            <w:tcBorders>
              <w:top w:val="nil"/>
              <w:bottom w:val="nil"/>
            </w:tcBorders>
          </w:tcPr>
          <w:p w14:paraId="13AA79A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0E0A6BAB"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40D12ABB"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r>
      <w:tr w:rsidR="004676EF" w:rsidRPr="00734AB6" w14:paraId="3357790C" w14:textId="77777777" w:rsidTr="008F58D3">
        <w:tc>
          <w:tcPr>
            <w:tcW w:w="2268" w:type="dxa"/>
            <w:tcBorders>
              <w:top w:val="nil"/>
              <w:bottom w:val="nil"/>
            </w:tcBorders>
          </w:tcPr>
          <w:p w14:paraId="2EB5CD7C"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Gender dysphoria disorder</w:t>
            </w:r>
          </w:p>
        </w:tc>
        <w:tc>
          <w:tcPr>
            <w:tcW w:w="2127" w:type="dxa"/>
            <w:tcBorders>
              <w:top w:val="nil"/>
              <w:bottom w:val="nil"/>
            </w:tcBorders>
          </w:tcPr>
          <w:p w14:paraId="0F98DB4D"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7621D6D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bottom w:val="nil"/>
            </w:tcBorders>
          </w:tcPr>
          <w:p w14:paraId="0B3CB77A"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(1.89)</w:t>
            </w:r>
          </w:p>
        </w:tc>
      </w:tr>
      <w:tr w:rsidR="004676EF" w:rsidRPr="00734AB6" w14:paraId="2736970F" w14:textId="77777777" w:rsidTr="008F58D3">
        <w:tc>
          <w:tcPr>
            <w:tcW w:w="2268" w:type="dxa"/>
            <w:tcBorders>
              <w:top w:val="nil"/>
              <w:bottom w:val="nil"/>
            </w:tcBorders>
          </w:tcPr>
          <w:p w14:paraId="3DCB7DE7"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Suicidal disorder</w:t>
            </w:r>
          </w:p>
        </w:tc>
        <w:tc>
          <w:tcPr>
            <w:tcW w:w="2127" w:type="dxa"/>
            <w:tcBorders>
              <w:top w:val="nil"/>
              <w:bottom w:val="nil"/>
            </w:tcBorders>
          </w:tcPr>
          <w:p w14:paraId="42A9D7C4"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(2.33)</w:t>
            </w:r>
          </w:p>
        </w:tc>
        <w:tc>
          <w:tcPr>
            <w:tcW w:w="2409" w:type="dxa"/>
            <w:tcBorders>
              <w:top w:val="nil"/>
              <w:bottom w:val="nil"/>
            </w:tcBorders>
          </w:tcPr>
          <w:p w14:paraId="08C753A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5 (8.77)</w:t>
            </w:r>
          </w:p>
        </w:tc>
        <w:tc>
          <w:tcPr>
            <w:tcW w:w="1882" w:type="dxa"/>
            <w:tcBorders>
              <w:top w:val="nil"/>
              <w:bottom w:val="nil"/>
            </w:tcBorders>
          </w:tcPr>
          <w:p w14:paraId="61E19C50"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5 (4.72)</w:t>
            </w:r>
          </w:p>
        </w:tc>
      </w:tr>
      <w:tr w:rsidR="004676EF" w:rsidRPr="00734AB6" w14:paraId="42FACA58" w14:textId="77777777" w:rsidTr="008F58D3">
        <w:tc>
          <w:tcPr>
            <w:tcW w:w="2268" w:type="dxa"/>
            <w:tcBorders>
              <w:top w:val="nil"/>
              <w:bottom w:val="nil"/>
            </w:tcBorders>
          </w:tcPr>
          <w:p w14:paraId="744DE6CC" w14:textId="77777777" w:rsidR="004676EF" w:rsidRPr="00734AB6" w:rsidRDefault="004676EF" w:rsidP="00F005F7">
            <w:pPr>
              <w:tabs>
                <w:tab w:val="left" w:pos="5812"/>
              </w:tabs>
              <w:spacing w:after="0" w:line="276" w:lineRule="auto"/>
              <w:rPr>
                <w:rFonts w:asciiTheme="majorHAnsi" w:hAnsiTheme="majorHAnsi"/>
              </w:rPr>
            </w:pPr>
            <w:r w:rsidRPr="00734AB6">
              <w:rPr>
                <w:rFonts w:asciiTheme="majorHAnsi" w:hAnsiTheme="majorHAnsi"/>
              </w:rPr>
              <w:t>Substance-induced disorder</w:t>
            </w:r>
          </w:p>
        </w:tc>
        <w:tc>
          <w:tcPr>
            <w:tcW w:w="2127" w:type="dxa"/>
            <w:tcBorders>
              <w:top w:val="nil"/>
              <w:bottom w:val="nil"/>
            </w:tcBorders>
          </w:tcPr>
          <w:p w14:paraId="6B9C23D5"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bottom w:val="nil"/>
            </w:tcBorders>
          </w:tcPr>
          <w:p w14:paraId="601788CE"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 (1.75)</w:t>
            </w:r>
          </w:p>
        </w:tc>
        <w:tc>
          <w:tcPr>
            <w:tcW w:w="1882" w:type="dxa"/>
            <w:tcBorders>
              <w:top w:val="nil"/>
              <w:bottom w:val="nil"/>
            </w:tcBorders>
          </w:tcPr>
          <w:p w14:paraId="01E82C5E"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 (1.89)</w:t>
            </w:r>
          </w:p>
        </w:tc>
      </w:tr>
      <w:tr w:rsidR="004676EF" w:rsidRPr="00734AB6" w14:paraId="41150F7C" w14:textId="77777777" w:rsidTr="008F58D3">
        <w:tc>
          <w:tcPr>
            <w:tcW w:w="2268" w:type="dxa"/>
            <w:tcBorders>
              <w:top w:val="nil"/>
            </w:tcBorders>
          </w:tcPr>
          <w:p w14:paraId="2A3174A7" w14:textId="77777777" w:rsidR="004676EF" w:rsidRPr="00734AB6" w:rsidRDefault="004676EF" w:rsidP="00F005F7">
            <w:pPr>
              <w:tabs>
                <w:tab w:val="left" w:pos="2977"/>
                <w:tab w:val="left" w:pos="5812"/>
              </w:tabs>
              <w:spacing w:after="0" w:line="276" w:lineRule="auto"/>
              <w:rPr>
                <w:rFonts w:asciiTheme="majorHAnsi" w:hAnsiTheme="majorHAnsi"/>
              </w:rPr>
            </w:pPr>
            <w:r w:rsidRPr="00734AB6">
              <w:rPr>
                <w:rFonts w:asciiTheme="majorHAnsi" w:hAnsiTheme="majorHAnsi"/>
              </w:rPr>
              <w:t xml:space="preserve">Other </w:t>
            </w:r>
          </w:p>
        </w:tc>
        <w:tc>
          <w:tcPr>
            <w:tcW w:w="2127" w:type="dxa"/>
            <w:tcBorders>
              <w:top w:val="nil"/>
            </w:tcBorders>
          </w:tcPr>
          <w:p w14:paraId="4654FD9D"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2409" w:type="dxa"/>
            <w:tcBorders>
              <w:top w:val="nil"/>
            </w:tcBorders>
          </w:tcPr>
          <w:p w14:paraId="45924CC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w:t>
            </w:r>
          </w:p>
        </w:tc>
        <w:tc>
          <w:tcPr>
            <w:tcW w:w="1882" w:type="dxa"/>
            <w:tcBorders>
              <w:top w:val="nil"/>
            </w:tcBorders>
          </w:tcPr>
          <w:p w14:paraId="18990302"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4 (3.77)</w:t>
            </w:r>
          </w:p>
        </w:tc>
      </w:tr>
      <w:tr w:rsidR="004676EF" w:rsidRPr="00734AB6" w14:paraId="76FC8DF6" w14:textId="77777777" w:rsidTr="008F58D3">
        <w:tc>
          <w:tcPr>
            <w:tcW w:w="8686" w:type="dxa"/>
            <w:gridSpan w:val="4"/>
            <w:tcBorders>
              <w:bottom w:val="single" w:sz="4" w:space="0" w:color="auto"/>
            </w:tcBorders>
          </w:tcPr>
          <w:p w14:paraId="5FFFE4E2" w14:textId="77777777" w:rsidR="004676EF" w:rsidRPr="00734AB6" w:rsidRDefault="004676EF" w:rsidP="00F005F7">
            <w:pPr>
              <w:spacing w:after="0" w:line="276" w:lineRule="auto"/>
              <w:rPr>
                <w:rFonts w:asciiTheme="majorHAnsi" w:hAnsiTheme="majorHAnsi"/>
              </w:rPr>
            </w:pPr>
            <w:r w:rsidRPr="00734AB6">
              <w:rPr>
                <w:rFonts w:asciiTheme="majorHAnsi" w:hAnsiTheme="majorHAnsi" w:cs="Times New Roman"/>
                <w:b/>
              </w:rPr>
              <w:t>If you were prescribed medication, are you currently taking it?</w:t>
            </w:r>
          </w:p>
        </w:tc>
      </w:tr>
      <w:tr w:rsidR="004676EF" w:rsidRPr="00734AB6" w14:paraId="70D1DDDE" w14:textId="77777777" w:rsidTr="008F58D3">
        <w:tc>
          <w:tcPr>
            <w:tcW w:w="2268" w:type="dxa"/>
            <w:tcBorders>
              <w:bottom w:val="nil"/>
            </w:tcBorders>
          </w:tcPr>
          <w:p w14:paraId="51DF0ABB" w14:textId="77777777" w:rsidR="004676EF" w:rsidRPr="00734AB6" w:rsidRDefault="004676EF" w:rsidP="00F005F7">
            <w:pPr>
              <w:tabs>
                <w:tab w:val="left" w:pos="709"/>
                <w:tab w:val="left" w:pos="5812"/>
              </w:tabs>
              <w:spacing w:after="0" w:line="276" w:lineRule="auto"/>
              <w:rPr>
                <w:rFonts w:asciiTheme="majorHAnsi" w:hAnsiTheme="majorHAnsi"/>
              </w:rPr>
            </w:pPr>
            <w:r w:rsidRPr="00734AB6">
              <w:rPr>
                <w:rFonts w:asciiTheme="majorHAnsi" w:hAnsiTheme="majorHAnsi"/>
              </w:rPr>
              <w:t>Yes</w:t>
            </w:r>
            <w:r w:rsidRPr="00734AB6">
              <w:rPr>
                <w:rFonts w:asciiTheme="majorHAnsi" w:hAnsiTheme="majorHAnsi"/>
              </w:rPr>
              <w:tab/>
            </w:r>
          </w:p>
        </w:tc>
        <w:tc>
          <w:tcPr>
            <w:tcW w:w="2127" w:type="dxa"/>
            <w:tcBorders>
              <w:bottom w:val="nil"/>
            </w:tcBorders>
          </w:tcPr>
          <w:p w14:paraId="74AB8537"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13 (15.12)</w:t>
            </w:r>
          </w:p>
        </w:tc>
        <w:tc>
          <w:tcPr>
            <w:tcW w:w="2409" w:type="dxa"/>
            <w:tcBorders>
              <w:bottom w:val="nil"/>
            </w:tcBorders>
          </w:tcPr>
          <w:p w14:paraId="732294A6"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8 (14.04)</w:t>
            </w:r>
          </w:p>
        </w:tc>
        <w:tc>
          <w:tcPr>
            <w:tcW w:w="1882" w:type="dxa"/>
            <w:tcBorders>
              <w:bottom w:val="nil"/>
            </w:tcBorders>
          </w:tcPr>
          <w:p w14:paraId="10ADA64F"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22 (20.75)</w:t>
            </w:r>
          </w:p>
        </w:tc>
      </w:tr>
      <w:tr w:rsidR="004676EF" w:rsidRPr="00734AB6" w14:paraId="4AEC9FF6" w14:textId="77777777" w:rsidTr="008F58D3">
        <w:tc>
          <w:tcPr>
            <w:tcW w:w="2268" w:type="dxa"/>
            <w:tcBorders>
              <w:top w:val="nil"/>
            </w:tcBorders>
          </w:tcPr>
          <w:p w14:paraId="3E397E31" w14:textId="77777777" w:rsidR="004676EF" w:rsidRPr="00734AB6" w:rsidRDefault="004676EF" w:rsidP="00F005F7">
            <w:pPr>
              <w:tabs>
                <w:tab w:val="left" w:pos="709"/>
                <w:tab w:val="left" w:pos="5812"/>
              </w:tabs>
              <w:spacing w:after="0" w:line="276" w:lineRule="auto"/>
              <w:rPr>
                <w:rFonts w:asciiTheme="majorHAnsi" w:hAnsiTheme="majorHAnsi"/>
              </w:rPr>
            </w:pPr>
            <w:r w:rsidRPr="00734AB6">
              <w:rPr>
                <w:rFonts w:asciiTheme="majorHAnsi" w:hAnsiTheme="majorHAnsi"/>
              </w:rPr>
              <w:t>No</w:t>
            </w:r>
            <w:r w:rsidRPr="00734AB6">
              <w:rPr>
                <w:rFonts w:asciiTheme="majorHAnsi" w:hAnsiTheme="majorHAnsi"/>
              </w:rPr>
              <w:tab/>
            </w:r>
          </w:p>
        </w:tc>
        <w:tc>
          <w:tcPr>
            <w:tcW w:w="2127" w:type="dxa"/>
            <w:tcBorders>
              <w:top w:val="nil"/>
            </w:tcBorders>
          </w:tcPr>
          <w:p w14:paraId="3EAAF10C"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15 (17.44)</w:t>
            </w:r>
          </w:p>
        </w:tc>
        <w:tc>
          <w:tcPr>
            <w:tcW w:w="2409" w:type="dxa"/>
            <w:tcBorders>
              <w:top w:val="nil"/>
            </w:tcBorders>
          </w:tcPr>
          <w:p w14:paraId="3EEE2BA2"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9 (15.79)</w:t>
            </w:r>
          </w:p>
        </w:tc>
        <w:tc>
          <w:tcPr>
            <w:tcW w:w="1882" w:type="dxa"/>
            <w:tcBorders>
              <w:top w:val="nil"/>
            </w:tcBorders>
          </w:tcPr>
          <w:p w14:paraId="520CAA43" w14:textId="77777777" w:rsidR="004676EF" w:rsidRPr="00734AB6" w:rsidRDefault="004676EF" w:rsidP="00F005F7">
            <w:pPr>
              <w:spacing w:after="0" w:line="276" w:lineRule="auto"/>
              <w:rPr>
                <w:rFonts w:asciiTheme="majorHAnsi" w:hAnsiTheme="majorHAnsi"/>
              </w:rPr>
            </w:pPr>
            <w:r w:rsidRPr="00734AB6">
              <w:rPr>
                <w:rFonts w:asciiTheme="majorHAnsi" w:hAnsiTheme="majorHAnsi"/>
              </w:rPr>
              <w:t>18 (16.98)</w:t>
            </w:r>
          </w:p>
        </w:tc>
      </w:tr>
    </w:tbl>
    <w:p w14:paraId="72C16F1D" w14:textId="77777777" w:rsidR="004676EF" w:rsidRPr="00734AB6" w:rsidRDefault="004676EF" w:rsidP="007B3463">
      <w:pPr>
        <w:spacing w:after="0" w:line="360" w:lineRule="auto"/>
        <w:ind w:left="360"/>
        <w:rPr>
          <w:rFonts w:asciiTheme="majorHAnsi" w:hAnsiTheme="majorHAnsi"/>
        </w:rPr>
      </w:pPr>
    </w:p>
    <w:p w14:paraId="015FD773" w14:textId="77777777" w:rsidR="00EF7585" w:rsidRPr="00734AB6" w:rsidRDefault="00EF7585" w:rsidP="007B3463">
      <w:pPr>
        <w:pBdr>
          <w:top w:val="double" w:sz="4" w:space="1" w:color="auto"/>
        </w:pBdr>
        <w:spacing w:after="0"/>
        <w:rPr>
          <w:b/>
        </w:rPr>
      </w:pPr>
      <w:bookmarkStart w:id="159" w:name="_Toc45200534"/>
    </w:p>
    <w:p w14:paraId="01D0A812" w14:textId="4E1DCA49" w:rsidR="004676EF" w:rsidRPr="00734AB6" w:rsidRDefault="004676EF" w:rsidP="0099584D">
      <w:pPr>
        <w:pStyle w:val="Heading2"/>
        <w:spacing w:line="360" w:lineRule="auto"/>
        <w:rPr>
          <w:b/>
          <w:color w:val="auto"/>
          <w:sz w:val="22"/>
          <w:szCs w:val="22"/>
        </w:rPr>
      </w:pPr>
      <w:bookmarkStart w:id="160" w:name="_Toc48136427"/>
      <w:r w:rsidRPr="00734AB6">
        <w:rPr>
          <w:b/>
          <w:color w:val="auto"/>
          <w:sz w:val="22"/>
          <w:szCs w:val="22"/>
        </w:rPr>
        <w:t>B(ix)</w:t>
      </w:r>
      <w:r w:rsidRPr="00734AB6">
        <w:rPr>
          <w:b/>
          <w:color w:val="auto"/>
          <w:sz w:val="22"/>
          <w:szCs w:val="22"/>
        </w:rPr>
        <w:tab/>
        <w:t>Type of cannabis used</w:t>
      </w:r>
      <w:bookmarkEnd w:id="159"/>
      <w:bookmarkEnd w:id="160"/>
    </w:p>
    <w:p w14:paraId="3CCC69D2" w14:textId="3767FA0B"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0547B2" w:rsidRPr="00734AB6">
        <w:rPr>
          <w:rFonts w:asciiTheme="majorHAnsi" w:hAnsiTheme="majorHAnsi"/>
          <w:b/>
        </w:rPr>
        <w:t>B.3</w:t>
      </w:r>
      <w:r w:rsidRPr="00734AB6">
        <w:rPr>
          <w:rFonts w:asciiTheme="majorHAnsi" w:hAnsiTheme="majorHAnsi"/>
          <w:b/>
        </w:rPr>
        <w:t>.</w:t>
      </w:r>
      <w:r w:rsidRPr="00734AB6">
        <w:rPr>
          <w:rFonts w:asciiTheme="majorHAnsi" w:hAnsiTheme="majorHAnsi"/>
          <w:b/>
        </w:rPr>
        <w:tab/>
        <w:t>Type of cannabis used by group</w:t>
      </w:r>
    </w:p>
    <w:tbl>
      <w:tblPr>
        <w:tblW w:w="7938" w:type="dxa"/>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1701"/>
        <w:gridCol w:w="1843"/>
        <w:gridCol w:w="1275"/>
      </w:tblGrid>
      <w:tr w:rsidR="004676EF" w:rsidRPr="00734AB6" w14:paraId="16A9E993" w14:textId="77777777" w:rsidTr="004676EF">
        <w:tc>
          <w:tcPr>
            <w:tcW w:w="3119" w:type="dxa"/>
            <w:tcBorders>
              <w:bottom w:val="single" w:sz="4" w:space="0" w:color="auto"/>
            </w:tcBorders>
          </w:tcPr>
          <w:p w14:paraId="09046860"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b/>
              </w:rPr>
              <w:t xml:space="preserve">What type of cannabis do you use most commonly? </w:t>
            </w:r>
          </w:p>
        </w:tc>
        <w:tc>
          <w:tcPr>
            <w:tcW w:w="1701" w:type="dxa"/>
            <w:tcBorders>
              <w:bottom w:val="single" w:sz="4" w:space="0" w:color="auto"/>
            </w:tcBorders>
          </w:tcPr>
          <w:p w14:paraId="0924CF2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Modafinil-only</w:t>
            </w:r>
          </w:p>
          <w:p w14:paraId="642B6E9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(N)</w:t>
            </w:r>
          </w:p>
        </w:tc>
        <w:tc>
          <w:tcPr>
            <w:tcW w:w="1843" w:type="dxa"/>
            <w:tcBorders>
              <w:bottom w:val="single" w:sz="4" w:space="0" w:color="auto"/>
            </w:tcBorders>
          </w:tcPr>
          <w:p w14:paraId="713F9BBB"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Methylphenidate</w:t>
            </w:r>
          </w:p>
          <w:p w14:paraId="30464A3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(N)</w:t>
            </w:r>
          </w:p>
        </w:tc>
        <w:tc>
          <w:tcPr>
            <w:tcW w:w="1275" w:type="dxa"/>
            <w:tcBorders>
              <w:bottom w:val="single" w:sz="4" w:space="0" w:color="auto"/>
            </w:tcBorders>
          </w:tcPr>
          <w:p w14:paraId="1399445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Control </w:t>
            </w:r>
          </w:p>
          <w:p w14:paraId="79DFB82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(N)</w:t>
            </w:r>
          </w:p>
        </w:tc>
      </w:tr>
      <w:tr w:rsidR="004676EF" w:rsidRPr="00734AB6" w14:paraId="64FC4D3E" w14:textId="77777777" w:rsidTr="004676EF">
        <w:tc>
          <w:tcPr>
            <w:tcW w:w="3119" w:type="dxa"/>
            <w:tcBorders>
              <w:bottom w:val="nil"/>
            </w:tcBorders>
          </w:tcPr>
          <w:p w14:paraId="0F7261AE"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Resin/ hash</w:t>
            </w:r>
          </w:p>
        </w:tc>
        <w:tc>
          <w:tcPr>
            <w:tcW w:w="1701" w:type="dxa"/>
            <w:tcBorders>
              <w:bottom w:val="nil"/>
            </w:tcBorders>
          </w:tcPr>
          <w:p w14:paraId="321A094F" w14:textId="77777777" w:rsidR="004676EF" w:rsidRPr="00734AB6" w:rsidRDefault="004676EF" w:rsidP="0099584D">
            <w:pPr>
              <w:spacing w:line="360" w:lineRule="auto"/>
              <w:rPr>
                <w:rFonts w:asciiTheme="majorHAnsi" w:hAnsiTheme="majorHAnsi"/>
              </w:rPr>
            </w:pPr>
            <w:r w:rsidRPr="00734AB6">
              <w:rPr>
                <w:rFonts w:asciiTheme="majorHAnsi" w:hAnsiTheme="majorHAnsi"/>
              </w:rPr>
              <w:t>6.98 (6)</w:t>
            </w:r>
          </w:p>
        </w:tc>
        <w:tc>
          <w:tcPr>
            <w:tcW w:w="1843" w:type="dxa"/>
            <w:tcBorders>
              <w:bottom w:val="nil"/>
            </w:tcBorders>
          </w:tcPr>
          <w:p w14:paraId="2BE3DEE9" w14:textId="77777777" w:rsidR="004676EF" w:rsidRPr="00734AB6" w:rsidRDefault="004676EF" w:rsidP="0099584D">
            <w:pPr>
              <w:spacing w:line="360" w:lineRule="auto"/>
              <w:rPr>
                <w:rFonts w:asciiTheme="majorHAnsi" w:hAnsiTheme="majorHAnsi"/>
              </w:rPr>
            </w:pPr>
            <w:r w:rsidRPr="00734AB6">
              <w:rPr>
                <w:rFonts w:asciiTheme="majorHAnsi" w:hAnsiTheme="majorHAnsi"/>
              </w:rPr>
              <w:t>5.26 (3)</w:t>
            </w:r>
          </w:p>
        </w:tc>
        <w:tc>
          <w:tcPr>
            <w:tcW w:w="1275" w:type="dxa"/>
            <w:tcBorders>
              <w:bottom w:val="nil"/>
            </w:tcBorders>
          </w:tcPr>
          <w:p w14:paraId="5FEB67DC" w14:textId="77777777" w:rsidR="004676EF" w:rsidRPr="00734AB6" w:rsidRDefault="004676EF" w:rsidP="0099584D">
            <w:pPr>
              <w:spacing w:line="360" w:lineRule="auto"/>
              <w:rPr>
                <w:rFonts w:asciiTheme="majorHAnsi" w:hAnsiTheme="majorHAnsi"/>
              </w:rPr>
            </w:pPr>
            <w:r w:rsidRPr="00734AB6">
              <w:rPr>
                <w:rFonts w:asciiTheme="majorHAnsi" w:hAnsiTheme="majorHAnsi"/>
              </w:rPr>
              <w:t>3.77 (4)</w:t>
            </w:r>
          </w:p>
        </w:tc>
      </w:tr>
      <w:tr w:rsidR="004676EF" w:rsidRPr="00734AB6" w14:paraId="1EEAE907" w14:textId="77777777" w:rsidTr="004676EF">
        <w:tc>
          <w:tcPr>
            <w:tcW w:w="3119" w:type="dxa"/>
            <w:tcBorders>
              <w:top w:val="nil"/>
              <w:bottom w:val="nil"/>
            </w:tcBorders>
          </w:tcPr>
          <w:p w14:paraId="3E2C3A0F"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Normal weed</w:t>
            </w:r>
          </w:p>
        </w:tc>
        <w:tc>
          <w:tcPr>
            <w:tcW w:w="1701" w:type="dxa"/>
            <w:tcBorders>
              <w:top w:val="nil"/>
              <w:bottom w:val="nil"/>
            </w:tcBorders>
          </w:tcPr>
          <w:p w14:paraId="41BC38ED" w14:textId="77777777" w:rsidR="004676EF" w:rsidRPr="00734AB6" w:rsidRDefault="004676EF" w:rsidP="0099584D">
            <w:pPr>
              <w:spacing w:line="360" w:lineRule="auto"/>
              <w:rPr>
                <w:rFonts w:asciiTheme="majorHAnsi" w:hAnsiTheme="majorHAnsi"/>
              </w:rPr>
            </w:pPr>
            <w:r w:rsidRPr="00734AB6">
              <w:rPr>
                <w:rFonts w:asciiTheme="majorHAnsi" w:hAnsiTheme="majorHAnsi"/>
              </w:rPr>
              <w:t>65.12 (56)</w:t>
            </w:r>
          </w:p>
        </w:tc>
        <w:tc>
          <w:tcPr>
            <w:tcW w:w="1843" w:type="dxa"/>
            <w:tcBorders>
              <w:top w:val="nil"/>
              <w:bottom w:val="nil"/>
            </w:tcBorders>
          </w:tcPr>
          <w:p w14:paraId="6CE0B004" w14:textId="77777777" w:rsidR="004676EF" w:rsidRPr="00734AB6" w:rsidRDefault="004676EF" w:rsidP="0099584D">
            <w:pPr>
              <w:spacing w:line="360" w:lineRule="auto"/>
              <w:rPr>
                <w:rFonts w:asciiTheme="majorHAnsi" w:hAnsiTheme="majorHAnsi"/>
              </w:rPr>
            </w:pPr>
            <w:r w:rsidRPr="00734AB6">
              <w:rPr>
                <w:rFonts w:asciiTheme="majorHAnsi" w:hAnsiTheme="majorHAnsi"/>
              </w:rPr>
              <w:t>73.68 (42)</w:t>
            </w:r>
          </w:p>
        </w:tc>
        <w:tc>
          <w:tcPr>
            <w:tcW w:w="1275" w:type="dxa"/>
            <w:tcBorders>
              <w:top w:val="nil"/>
              <w:bottom w:val="nil"/>
            </w:tcBorders>
          </w:tcPr>
          <w:p w14:paraId="02CD7415" w14:textId="77777777" w:rsidR="004676EF" w:rsidRPr="00734AB6" w:rsidRDefault="004676EF" w:rsidP="0099584D">
            <w:pPr>
              <w:spacing w:line="360" w:lineRule="auto"/>
              <w:rPr>
                <w:rFonts w:asciiTheme="majorHAnsi" w:hAnsiTheme="majorHAnsi"/>
              </w:rPr>
            </w:pPr>
            <w:r w:rsidRPr="00734AB6">
              <w:rPr>
                <w:rFonts w:asciiTheme="majorHAnsi" w:hAnsiTheme="majorHAnsi"/>
              </w:rPr>
              <w:t>44.34 (47)</w:t>
            </w:r>
          </w:p>
        </w:tc>
      </w:tr>
      <w:tr w:rsidR="004676EF" w:rsidRPr="00734AB6" w14:paraId="1B983E7A" w14:textId="77777777" w:rsidTr="004676EF">
        <w:tc>
          <w:tcPr>
            <w:tcW w:w="3119" w:type="dxa"/>
            <w:tcBorders>
              <w:top w:val="nil"/>
              <w:bottom w:val="nil"/>
            </w:tcBorders>
          </w:tcPr>
          <w:p w14:paraId="34FA6925"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Kief</w:t>
            </w:r>
          </w:p>
        </w:tc>
        <w:tc>
          <w:tcPr>
            <w:tcW w:w="1701" w:type="dxa"/>
            <w:tcBorders>
              <w:top w:val="nil"/>
              <w:bottom w:val="nil"/>
            </w:tcBorders>
          </w:tcPr>
          <w:p w14:paraId="05A07262" w14:textId="77777777" w:rsidR="004676EF" w:rsidRPr="00734AB6" w:rsidRDefault="004676EF" w:rsidP="0099584D">
            <w:pPr>
              <w:spacing w:line="360" w:lineRule="auto"/>
              <w:rPr>
                <w:rFonts w:asciiTheme="majorHAnsi" w:hAnsiTheme="majorHAnsi"/>
              </w:rPr>
            </w:pPr>
            <w:r w:rsidRPr="00734AB6">
              <w:rPr>
                <w:rFonts w:asciiTheme="majorHAnsi" w:hAnsiTheme="majorHAnsi"/>
              </w:rPr>
              <w:t>1.16 (1)</w:t>
            </w:r>
          </w:p>
        </w:tc>
        <w:tc>
          <w:tcPr>
            <w:tcW w:w="1843" w:type="dxa"/>
            <w:tcBorders>
              <w:top w:val="nil"/>
              <w:bottom w:val="nil"/>
            </w:tcBorders>
          </w:tcPr>
          <w:p w14:paraId="7750C714"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275" w:type="dxa"/>
            <w:tcBorders>
              <w:top w:val="nil"/>
              <w:bottom w:val="nil"/>
            </w:tcBorders>
          </w:tcPr>
          <w:p w14:paraId="70F25448"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3617F61" w14:textId="77777777" w:rsidTr="004676EF">
        <w:tc>
          <w:tcPr>
            <w:tcW w:w="3119" w:type="dxa"/>
            <w:tcBorders>
              <w:top w:val="nil"/>
              <w:bottom w:val="nil"/>
            </w:tcBorders>
          </w:tcPr>
          <w:p w14:paraId="3AA18C96"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Edible</w:t>
            </w:r>
          </w:p>
        </w:tc>
        <w:tc>
          <w:tcPr>
            <w:tcW w:w="1701" w:type="dxa"/>
            <w:tcBorders>
              <w:top w:val="nil"/>
              <w:bottom w:val="nil"/>
            </w:tcBorders>
          </w:tcPr>
          <w:p w14:paraId="629B2E28" w14:textId="77777777" w:rsidR="004676EF" w:rsidRPr="00734AB6" w:rsidRDefault="004676EF" w:rsidP="0099584D">
            <w:pPr>
              <w:spacing w:line="360" w:lineRule="auto"/>
              <w:rPr>
                <w:rFonts w:asciiTheme="majorHAnsi" w:hAnsiTheme="majorHAnsi"/>
              </w:rPr>
            </w:pPr>
            <w:r w:rsidRPr="00734AB6">
              <w:rPr>
                <w:rFonts w:asciiTheme="majorHAnsi" w:hAnsiTheme="majorHAnsi"/>
              </w:rPr>
              <w:t>2.33 (2)</w:t>
            </w:r>
          </w:p>
        </w:tc>
        <w:tc>
          <w:tcPr>
            <w:tcW w:w="1843" w:type="dxa"/>
            <w:tcBorders>
              <w:top w:val="nil"/>
              <w:bottom w:val="nil"/>
            </w:tcBorders>
          </w:tcPr>
          <w:p w14:paraId="7646A24C" w14:textId="77777777" w:rsidR="004676EF" w:rsidRPr="00734AB6" w:rsidRDefault="004676EF" w:rsidP="0099584D">
            <w:pPr>
              <w:spacing w:line="360" w:lineRule="auto"/>
              <w:rPr>
                <w:rFonts w:asciiTheme="majorHAnsi" w:hAnsiTheme="majorHAnsi"/>
              </w:rPr>
            </w:pPr>
            <w:r w:rsidRPr="00734AB6">
              <w:rPr>
                <w:rFonts w:asciiTheme="majorHAnsi" w:hAnsiTheme="majorHAnsi"/>
              </w:rPr>
              <w:t>7.02 (4)</w:t>
            </w:r>
          </w:p>
        </w:tc>
        <w:tc>
          <w:tcPr>
            <w:tcW w:w="1275" w:type="dxa"/>
            <w:tcBorders>
              <w:top w:val="nil"/>
              <w:bottom w:val="nil"/>
            </w:tcBorders>
          </w:tcPr>
          <w:p w14:paraId="0ECD41C9" w14:textId="77777777" w:rsidR="004676EF" w:rsidRPr="00734AB6" w:rsidRDefault="004676EF" w:rsidP="0099584D">
            <w:pPr>
              <w:spacing w:line="360" w:lineRule="auto"/>
              <w:rPr>
                <w:rFonts w:asciiTheme="majorHAnsi" w:hAnsiTheme="majorHAnsi"/>
              </w:rPr>
            </w:pPr>
            <w:r w:rsidRPr="00734AB6">
              <w:rPr>
                <w:rFonts w:asciiTheme="majorHAnsi" w:hAnsiTheme="majorHAnsi"/>
              </w:rPr>
              <w:t>4.72 (5)</w:t>
            </w:r>
          </w:p>
        </w:tc>
      </w:tr>
      <w:tr w:rsidR="004676EF" w:rsidRPr="00734AB6" w14:paraId="2D51E40B" w14:textId="77777777" w:rsidTr="004676EF">
        <w:tc>
          <w:tcPr>
            <w:tcW w:w="3119" w:type="dxa"/>
            <w:tcBorders>
              <w:top w:val="nil"/>
              <w:bottom w:val="nil"/>
            </w:tcBorders>
          </w:tcPr>
          <w:p w14:paraId="7E609163"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Oils/ concentrates</w:t>
            </w:r>
          </w:p>
        </w:tc>
        <w:tc>
          <w:tcPr>
            <w:tcW w:w="1701" w:type="dxa"/>
            <w:tcBorders>
              <w:top w:val="nil"/>
              <w:bottom w:val="nil"/>
            </w:tcBorders>
          </w:tcPr>
          <w:p w14:paraId="59B68B8F" w14:textId="77777777" w:rsidR="004676EF" w:rsidRPr="00734AB6" w:rsidRDefault="004676EF" w:rsidP="0099584D">
            <w:pPr>
              <w:spacing w:line="360" w:lineRule="auto"/>
              <w:rPr>
                <w:rFonts w:asciiTheme="majorHAnsi" w:hAnsiTheme="majorHAnsi"/>
              </w:rPr>
            </w:pPr>
            <w:r w:rsidRPr="00734AB6">
              <w:rPr>
                <w:rFonts w:asciiTheme="majorHAnsi" w:hAnsiTheme="majorHAnsi"/>
              </w:rPr>
              <w:t>1.16 (1)</w:t>
            </w:r>
          </w:p>
        </w:tc>
        <w:tc>
          <w:tcPr>
            <w:tcW w:w="1843" w:type="dxa"/>
            <w:tcBorders>
              <w:top w:val="nil"/>
              <w:bottom w:val="nil"/>
            </w:tcBorders>
          </w:tcPr>
          <w:p w14:paraId="4B14CBE2" w14:textId="77777777" w:rsidR="004676EF" w:rsidRPr="00734AB6" w:rsidRDefault="004676EF" w:rsidP="0099584D">
            <w:pPr>
              <w:spacing w:line="360" w:lineRule="auto"/>
              <w:rPr>
                <w:rFonts w:asciiTheme="majorHAnsi" w:hAnsiTheme="majorHAnsi"/>
              </w:rPr>
            </w:pPr>
            <w:r w:rsidRPr="00734AB6">
              <w:rPr>
                <w:rFonts w:asciiTheme="majorHAnsi" w:hAnsiTheme="majorHAnsi"/>
              </w:rPr>
              <w:t>3.51 (2)</w:t>
            </w:r>
          </w:p>
        </w:tc>
        <w:tc>
          <w:tcPr>
            <w:tcW w:w="1275" w:type="dxa"/>
            <w:tcBorders>
              <w:top w:val="nil"/>
              <w:bottom w:val="nil"/>
            </w:tcBorders>
          </w:tcPr>
          <w:p w14:paraId="77DE7C42" w14:textId="77777777" w:rsidR="004676EF" w:rsidRPr="00734AB6" w:rsidRDefault="004676EF" w:rsidP="0099584D">
            <w:pPr>
              <w:spacing w:line="360" w:lineRule="auto"/>
              <w:rPr>
                <w:rFonts w:asciiTheme="majorHAnsi" w:hAnsiTheme="majorHAnsi"/>
              </w:rPr>
            </w:pPr>
            <w:r w:rsidRPr="00734AB6">
              <w:rPr>
                <w:rFonts w:asciiTheme="majorHAnsi" w:hAnsiTheme="majorHAnsi"/>
              </w:rPr>
              <w:t>4.72 (5)</w:t>
            </w:r>
          </w:p>
        </w:tc>
      </w:tr>
      <w:tr w:rsidR="004676EF" w:rsidRPr="00734AB6" w14:paraId="21C7981E" w14:textId="77777777" w:rsidTr="004676EF">
        <w:tc>
          <w:tcPr>
            <w:tcW w:w="3119" w:type="dxa"/>
            <w:tcBorders>
              <w:top w:val="nil"/>
              <w:bottom w:val="nil"/>
            </w:tcBorders>
          </w:tcPr>
          <w:p w14:paraId="39A63B69"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Butane hash oil</w:t>
            </w:r>
          </w:p>
        </w:tc>
        <w:tc>
          <w:tcPr>
            <w:tcW w:w="1701" w:type="dxa"/>
            <w:tcBorders>
              <w:top w:val="nil"/>
              <w:bottom w:val="nil"/>
            </w:tcBorders>
          </w:tcPr>
          <w:p w14:paraId="3941F493"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843" w:type="dxa"/>
            <w:tcBorders>
              <w:top w:val="nil"/>
              <w:bottom w:val="nil"/>
            </w:tcBorders>
          </w:tcPr>
          <w:p w14:paraId="3250858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275" w:type="dxa"/>
            <w:tcBorders>
              <w:top w:val="nil"/>
              <w:bottom w:val="nil"/>
            </w:tcBorders>
          </w:tcPr>
          <w:p w14:paraId="561FECAD"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E9FBD67" w14:textId="77777777" w:rsidTr="004676EF">
        <w:tc>
          <w:tcPr>
            <w:tcW w:w="3119" w:type="dxa"/>
            <w:tcBorders>
              <w:top w:val="nil"/>
            </w:tcBorders>
          </w:tcPr>
          <w:p w14:paraId="012386A0"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High potency herbal/ skunk</w:t>
            </w:r>
            <w:r w:rsidRPr="00734AB6">
              <w:rPr>
                <w:rFonts w:asciiTheme="majorHAnsi" w:hAnsiTheme="majorHAnsi"/>
              </w:rPr>
              <w:tab/>
            </w:r>
          </w:p>
        </w:tc>
        <w:tc>
          <w:tcPr>
            <w:tcW w:w="1701" w:type="dxa"/>
            <w:tcBorders>
              <w:top w:val="nil"/>
            </w:tcBorders>
          </w:tcPr>
          <w:p w14:paraId="4AF065CA" w14:textId="77777777" w:rsidR="004676EF" w:rsidRPr="00734AB6" w:rsidRDefault="004676EF" w:rsidP="0099584D">
            <w:pPr>
              <w:spacing w:line="360" w:lineRule="auto"/>
              <w:rPr>
                <w:rFonts w:asciiTheme="majorHAnsi" w:hAnsiTheme="majorHAnsi"/>
              </w:rPr>
            </w:pPr>
            <w:r w:rsidRPr="00734AB6">
              <w:rPr>
                <w:rFonts w:asciiTheme="majorHAnsi" w:hAnsiTheme="majorHAnsi"/>
              </w:rPr>
              <w:t>4.65 (4)</w:t>
            </w:r>
          </w:p>
        </w:tc>
        <w:tc>
          <w:tcPr>
            <w:tcW w:w="1843" w:type="dxa"/>
            <w:tcBorders>
              <w:top w:val="nil"/>
            </w:tcBorders>
          </w:tcPr>
          <w:p w14:paraId="037DE309" w14:textId="77777777" w:rsidR="004676EF" w:rsidRPr="00734AB6" w:rsidRDefault="004676EF" w:rsidP="0099584D">
            <w:pPr>
              <w:spacing w:line="360" w:lineRule="auto"/>
              <w:rPr>
                <w:rFonts w:asciiTheme="majorHAnsi" w:hAnsiTheme="majorHAnsi"/>
              </w:rPr>
            </w:pPr>
            <w:r w:rsidRPr="00734AB6">
              <w:rPr>
                <w:rFonts w:asciiTheme="majorHAnsi" w:hAnsiTheme="majorHAnsi"/>
              </w:rPr>
              <w:t>8.77 (5)</w:t>
            </w:r>
          </w:p>
        </w:tc>
        <w:tc>
          <w:tcPr>
            <w:tcW w:w="1275" w:type="dxa"/>
            <w:tcBorders>
              <w:top w:val="nil"/>
            </w:tcBorders>
          </w:tcPr>
          <w:p w14:paraId="0F7B7763" w14:textId="77777777" w:rsidR="004676EF" w:rsidRPr="00734AB6" w:rsidRDefault="004676EF" w:rsidP="0099584D">
            <w:pPr>
              <w:spacing w:line="360" w:lineRule="auto"/>
              <w:rPr>
                <w:rFonts w:asciiTheme="majorHAnsi" w:hAnsiTheme="majorHAnsi"/>
              </w:rPr>
            </w:pPr>
            <w:r w:rsidRPr="00734AB6">
              <w:rPr>
                <w:rFonts w:asciiTheme="majorHAnsi" w:hAnsiTheme="majorHAnsi"/>
              </w:rPr>
              <w:t>2.83 (3)</w:t>
            </w:r>
          </w:p>
        </w:tc>
      </w:tr>
    </w:tbl>
    <w:p w14:paraId="2131C0E2" w14:textId="77777777" w:rsidR="004676EF" w:rsidRPr="00734AB6" w:rsidRDefault="004676EF" w:rsidP="00EF7585">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only</w:t>
      </w:r>
    </w:p>
    <w:p w14:paraId="6FE1E6BF" w14:textId="77777777" w:rsidR="004676EF" w:rsidRPr="00734AB6" w:rsidRDefault="004676EF" w:rsidP="00EF7585">
      <w:pPr>
        <w:pStyle w:val="ListParagraph"/>
        <w:pBdr>
          <w:top w:val="double" w:sz="4" w:space="1" w:color="auto"/>
        </w:pBdr>
        <w:spacing w:after="0" w:line="276" w:lineRule="auto"/>
        <w:ind w:left="0"/>
        <w:rPr>
          <w:rFonts w:asciiTheme="majorHAnsi" w:hAnsiTheme="majorHAnsi"/>
          <w:sz w:val="16"/>
        </w:rPr>
      </w:pPr>
    </w:p>
    <w:p w14:paraId="485E1144" w14:textId="77777777" w:rsidR="004676EF" w:rsidRPr="00734AB6" w:rsidRDefault="004676EF" w:rsidP="0099584D">
      <w:pPr>
        <w:pStyle w:val="Heading2"/>
        <w:spacing w:line="360" w:lineRule="auto"/>
        <w:rPr>
          <w:b/>
          <w:color w:val="auto"/>
          <w:sz w:val="22"/>
          <w:szCs w:val="22"/>
        </w:rPr>
      </w:pPr>
      <w:bookmarkStart w:id="161" w:name="_Toc45200535"/>
      <w:bookmarkStart w:id="162" w:name="_Toc48136428"/>
      <w:r w:rsidRPr="00734AB6">
        <w:rPr>
          <w:b/>
          <w:color w:val="auto"/>
          <w:sz w:val="22"/>
          <w:szCs w:val="22"/>
        </w:rPr>
        <w:t>B(x)</w:t>
      </w:r>
      <w:r w:rsidRPr="00734AB6">
        <w:rPr>
          <w:b/>
          <w:color w:val="auto"/>
          <w:sz w:val="22"/>
          <w:szCs w:val="22"/>
        </w:rPr>
        <w:tab/>
        <w:t>Route of administration of cannabis</w:t>
      </w:r>
      <w:bookmarkEnd w:id="161"/>
      <w:bookmarkEnd w:id="162"/>
    </w:p>
    <w:p w14:paraId="5BC93C7C" w14:textId="7B8231C4"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0547B2" w:rsidRPr="00734AB6">
        <w:rPr>
          <w:rFonts w:asciiTheme="majorHAnsi" w:hAnsiTheme="majorHAnsi"/>
          <w:b/>
        </w:rPr>
        <w:t>B.4</w:t>
      </w:r>
      <w:r w:rsidRPr="00734AB6">
        <w:rPr>
          <w:rFonts w:asciiTheme="majorHAnsi" w:hAnsiTheme="majorHAnsi"/>
          <w:b/>
        </w:rPr>
        <w:t>.</w:t>
      </w:r>
      <w:r w:rsidRPr="00734AB6">
        <w:rPr>
          <w:rFonts w:asciiTheme="majorHAnsi" w:hAnsiTheme="majorHAnsi"/>
          <w:b/>
        </w:rPr>
        <w:tab/>
        <w:t>Method of administration of cannabis by group</w:t>
      </w:r>
    </w:p>
    <w:tbl>
      <w:tblPr>
        <w:tblW w:w="737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8"/>
        <w:gridCol w:w="1701"/>
        <w:gridCol w:w="1843"/>
        <w:gridCol w:w="1559"/>
      </w:tblGrid>
      <w:tr w:rsidR="004676EF" w:rsidRPr="00734AB6" w14:paraId="4A697F7E" w14:textId="77777777" w:rsidTr="004676EF">
        <w:tc>
          <w:tcPr>
            <w:tcW w:w="2268" w:type="dxa"/>
            <w:tcBorders>
              <w:bottom w:val="single" w:sz="4" w:space="0" w:color="auto"/>
            </w:tcBorders>
          </w:tcPr>
          <w:p w14:paraId="522258A2"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b/>
              </w:rPr>
              <w:t>How do you take it</w:t>
            </w:r>
          </w:p>
        </w:tc>
        <w:tc>
          <w:tcPr>
            <w:tcW w:w="1701" w:type="dxa"/>
            <w:tcBorders>
              <w:bottom w:val="single" w:sz="4" w:space="0" w:color="auto"/>
            </w:tcBorders>
          </w:tcPr>
          <w:p w14:paraId="0AAF14CC"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Modafinil-only</w:t>
            </w:r>
          </w:p>
          <w:p w14:paraId="79BD96B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(N)</w:t>
            </w:r>
          </w:p>
        </w:tc>
        <w:tc>
          <w:tcPr>
            <w:tcW w:w="1843" w:type="dxa"/>
            <w:tcBorders>
              <w:bottom w:val="single" w:sz="4" w:space="0" w:color="auto"/>
            </w:tcBorders>
          </w:tcPr>
          <w:p w14:paraId="794B1A87"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Methylphenidate</w:t>
            </w:r>
          </w:p>
          <w:p w14:paraId="5145B49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 (N)</w:t>
            </w:r>
          </w:p>
        </w:tc>
        <w:tc>
          <w:tcPr>
            <w:tcW w:w="1559" w:type="dxa"/>
            <w:tcBorders>
              <w:bottom w:val="single" w:sz="4" w:space="0" w:color="auto"/>
            </w:tcBorders>
          </w:tcPr>
          <w:p w14:paraId="7A2DCEF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 (N)</w:t>
            </w:r>
          </w:p>
        </w:tc>
      </w:tr>
      <w:tr w:rsidR="004676EF" w:rsidRPr="00734AB6" w14:paraId="72B2C731" w14:textId="77777777" w:rsidTr="004676EF">
        <w:tc>
          <w:tcPr>
            <w:tcW w:w="2268" w:type="dxa"/>
            <w:tcBorders>
              <w:bottom w:val="nil"/>
            </w:tcBorders>
          </w:tcPr>
          <w:p w14:paraId="4C4CF398"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Medical spray</w:t>
            </w:r>
          </w:p>
        </w:tc>
        <w:tc>
          <w:tcPr>
            <w:tcW w:w="1701" w:type="dxa"/>
            <w:tcBorders>
              <w:bottom w:val="nil"/>
            </w:tcBorders>
          </w:tcPr>
          <w:p w14:paraId="3F29DA7F" w14:textId="77777777" w:rsidR="004676EF" w:rsidRPr="00734AB6" w:rsidRDefault="004676EF" w:rsidP="0099584D">
            <w:pPr>
              <w:spacing w:line="360" w:lineRule="auto"/>
              <w:rPr>
                <w:rFonts w:asciiTheme="majorHAnsi" w:hAnsiTheme="majorHAnsi"/>
              </w:rPr>
            </w:pPr>
            <w:r w:rsidRPr="00734AB6">
              <w:rPr>
                <w:rFonts w:asciiTheme="majorHAnsi" w:hAnsiTheme="majorHAnsi"/>
              </w:rPr>
              <w:t>1.16 (1)</w:t>
            </w:r>
          </w:p>
        </w:tc>
        <w:tc>
          <w:tcPr>
            <w:tcW w:w="1843" w:type="dxa"/>
            <w:tcBorders>
              <w:bottom w:val="nil"/>
            </w:tcBorders>
          </w:tcPr>
          <w:p w14:paraId="43B01087" w14:textId="77777777" w:rsidR="004676EF" w:rsidRPr="00734AB6" w:rsidRDefault="004676EF" w:rsidP="0099584D">
            <w:pPr>
              <w:spacing w:line="360" w:lineRule="auto"/>
              <w:rPr>
                <w:rFonts w:asciiTheme="majorHAnsi" w:hAnsiTheme="majorHAnsi"/>
              </w:rPr>
            </w:pPr>
            <w:r w:rsidRPr="00734AB6">
              <w:rPr>
                <w:rFonts w:asciiTheme="majorHAnsi" w:hAnsiTheme="majorHAnsi"/>
              </w:rPr>
              <w:t>1.75 (1)</w:t>
            </w:r>
          </w:p>
        </w:tc>
        <w:tc>
          <w:tcPr>
            <w:tcW w:w="1559" w:type="dxa"/>
            <w:tcBorders>
              <w:bottom w:val="nil"/>
            </w:tcBorders>
          </w:tcPr>
          <w:p w14:paraId="5476F571" w14:textId="77777777" w:rsidR="004676EF" w:rsidRPr="00734AB6" w:rsidRDefault="004676EF" w:rsidP="0099584D">
            <w:pPr>
              <w:spacing w:line="360" w:lineRule="auto"/>
              <w:rPr>
                <w:rFonts w:asciiTheme="majorHAnsi" w:hAnsiTheme="majorHAnsi"/>
              </w:rPr>
            </w:pPr>
            <w:r w:rsidRPr="00734AB6">
              <w:rPr>
                <w:rFonts w:asciiTheme="majorHAnsi" w:hAnsiTheme="majorHAnsi"/>
              </w:rPr>
              <w:t>0.94 (1)</w:t>
            </w:r>
          </w:p>
        </w:tc>
      </w:tr>
      <w:tr w:rsidR="004676EF" w:rsidRPr="00734AB6" w14:paraId="4E594499" w14:textId="77777777" w:rsidTr="004676EF">
        <w:tc>
          <w:tcPr>
            <w:tcW w:w="2268" w:type="dxa"/>
            <w:tcBorders>
              <w:top w:val="nil"/>
              <w:bottom w:val="nil"/>
            </w:tcBorders>
          </w:tcPr>
          <w:p w14:paraId="4F908628" w14:textId="77777777" w:rsidR="004676EF" w:rsidRPr="00734AB6" w:rsidRDefault="004676EF" w:rsidP="0099584D">
            <w:pPr>
              <w:tabs>
                <w:tab w:val="left" w:pos="5812"/>
              </w:tabs>
              <w:spacing w:line="360" w:lineRule="auto"/>
              <w:rPr>
                <w:rFonts w:asciiTheme="majorHAnsi" w:hAnsiTheme="majorHAnsi"/>
                <w:b/>
              </w:rPr>
            </w:pPr>
            <w:r w:rsidRPr="00734AB6">
              <w:rPr>
                <w:rFonts w:asciiTheme="majorHAnsi" w:hAnsiTheme="majorHAnsi"/>
              </w:rPr>
              <w:t>Tea</w:t>
            </w:r>
          </w:p>
        </w:tc>
        <w:tc>
          <w:tcPr>
            <w:tcW w:w="1701" w:type="dxa"/>
            <w:tcBorders>
              <w:top w:val="nil"/>
              <w:bottom w:val="nil"/>
            </w:tcBorders>
          </w:tcPr>
          <w:p w14:paraId="767780F9" w14:textId="77777777" w:rsidR="004676EF" w:rsidRPr="00734AB6" w:rsidRDefault="004676EF" w:rsidP="0099584D">
            <w:pPr>
              <w:spacing w:line="360" w:lineRule="auto"/>
              <w:rPr>
                <w:rFonts w:asciiTheme="majorHAnsi" w:hAnsiTheme="majorHAnsi"/>
              </w:rPr>
            </w:pPr>
            <w:r w:rsidRPr="00734AB6">
              <w:rPr>
                <w:rFonts w:asciiTheme="majorHAnsi" w:hAnsiTheme="majorHAnsi"/>
              </w:rPr>
              <w:t>2.33 (2)</w:t>
            </w:r>
          </w:p>
        </w:tc>
        <w:tc>
          <w:tcPr>
            <w:tcW w:w="1843" w:type="dxa"/>
            <w:tcBorders>
              <w:top w:val="nil"/>
              <w:bottom w:val="nil"/>
            </w:tcBorders>
          </w:tcPr>
          <w:p w14:paraId="619BC57E" w14:textId="77777777" w:rsidR="004676EF" w:rsidRPr="00734AB6" w:rsidRDefault="004676EF" w:rsidP="0099584D">
            <w:pPr>
              <w:spacing w:line="360" w:lineRule="auto"/>
              <w:rPr>
                <w:rFonts w:asciiTheme="majorHAnsi" w:hAnsiTheme="majorHAnsi"/>
              </w:rPr>
            </w:pPr>
            <w:r w:rsidRPr="00734AB6">
              <w:rPr>
                <w:rFonts w:asciiTheme="majorHAnsi" w:hAnsiTheme="majorHAnsi"/>
              </w:rPr>
              <w:t>3.51 (2)</w:t>
            </w:r>
          </w:p>
        </w:tc>
        <w:tc>
          <w:tcPr>
            <w:tcW w:w="1559" w:type="dxa"/>
            <w:tcBorders>
              <w:top w:val="nil"/>
              <w:bottom w:val="nil"/>
            </w:tcBorders>
          </w:tcPr>
          <w:p w14:paraId="2FF4687D" w14:textId="77777777" w:rsidR="004676EF" w:rsidRPr="00734AB6" w:rsidRDefault="004676EF" w:rsidP="0099584D">
            <w:pPr>
              <w:spacing w:line="360" w:lineRule="auto"/>
              <w:rPr>
                <w:rFonts w:asciiTheme="majorHAnsi" w:hAnsiTheme="majorHAnsi"/>
              </w:rPr>
            </w:pPr>
            <w:r w:rsidRPr="00734AB6">
              <w:rPr>
                <w:rFonts w:asciiTheme="majorHAnsi" w:hAnsiTheme="majorHAnsi"/>
              </w:rPr>
              <w:t>0.94 (1)</w:t>
            </w:r>
          </w:p>
        </w:tc>
      </w:tr>
      <w:tr w:rsidR="004676EF" w:rsidRPr="00734AB6" w14:paraId="1CA92CE9" w14:textId="77777777" w:rsidTr="004676EF">
        <w:tc>
          <w:tcPr>
            <w:tcW w:w="2268" w:type="dxa"/>
            <w:tcBorders>
              <w:top w:val="nil"/>
              <w:bottom w:val="nil"/>
            </w:tcBorders>
          </w:tcPr>
          <w:p w14:paraId="51A97C78"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Joint</w:t>
            </w:r>
          </w:p>
        </w:tc>
        <w:tc>
          <w:tcPr>
            <w:tcW w:w="1701" w:type="dxa"/>
            <w:tcBorders>
              <w:top w:val="nil"/>
              <w:bottom w:val="nil"/>
            </w:tcBorders>
          </w:tcPr>
          <w:p w14:paraId="6E18EE18" w14:textId="77777777" w:rsidR="004676EF" w:rsidRPr="00734AB6" w:rsidRDefault="004676EF" w:rsidP="0099584D">
            <w:pPr>
              <w:spacing w:line="360" w:lineRule="auto"/>
              <w:rPr>
                <w:rFonts w:asciiTheme="majorHAnsi" w:hAnsiTheme="majorHAnsi"/>
              </w:rPr>
            </w:pPr>
            <w:r w:rsidRPr="00734AB6">
              <w:rPr>
                <w:rFonts w:asciiTheme="majorHAnsi" w:hAnsiTheme="majorHAnsi"/>
              </w:rPr>
              <w:t>54.65 (47)</w:t>
            </w:r>
          </w:p>
        </w:tc>
        <w:tc>
          <w:tcPr>
            <w:tcW w:w="1843" w:type="dxa"/>
            <w:tcBorders>
              <w:top w:val="nil"/>
              <w:bottom w:val="nil"/>
            </w:tcBorders>
          </w:tcPr>
          <w:p w14:paraId="4D72FB24" w14:textId="77777777" w:rsidR="004676EF" w:rsidRPr="00734AB6" w:rsidRDefault="004676EF" w:rsidP="0099584D">
            <w:pPr>
              <w:spacing w:line="360" w:lineRule="auto"/>
              <w:rPr>
                <w:rFonts w:asciiTheme="majorHAnsi" w:hAnsiTheme="majorHAnsi"/>
              </w:rPr>
            </w:pPr>
            <w:r w:rsidRPr="00734AB6">
              <w:rPr>
                <w:rFonts w:asciiTheme="majorHAnsi" w:hAnsiTheme="majorHAnsi"/>
              </w:rPr>
              <w:t>64.91 (37)</w:t>
            </w:r>
          </w:p>
        </w:tc>
        <w:tc>
          <w:tcPr>
            <w:tcW w:w="1559" w:type="dxa"/>
            <w:tcBorders>
              <w:top w:val="nil"/>
              <w:bottom w:val="nil"/>
            </w:tcBorders>
          </w:tcPr>
          <w:p w14:paraId="4F19679F"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48.11 (51) </w:t>
            </w:r>
          </w:p>
        </w:tc>
      </w:tr>
      <w:tr w:rsidR="004676EF" w:rsidRPr="00734AB6" w14:paraId="0AE5A760" w14:textId="77777777" w:rsidTr="004676EF">
        <w:tc>
          <w:tcPr>
            <w:tcW w:w="2268" w:type="dxa"/>
            <w:tcBorders>
              <w:top w:val="nil"/>
              <w:bottom w:val="nil"/>
            </w:tcBorders>
          </w:tcPr>
          <w:p w14:paraId="212C9A92"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Pipe</w:t>
            </w:r>
          </w:p>
        </w:tc>
        <w:tc>
          <w:tcPr>
            <w:tcW w:w="1701" w:type="dxa"/>
            <w:tcBorders>
              <w:top w:val="nil"/>
              <w:bottom w:val="nil"/>
            </w:tcBorders>
          </w:tcPr>
          <w:p w14:paraId="4732A828" w14:textId="77777777" w:rsidR="004676EF" w:rsidRPr="00734AB6" w:rsidRDefault="004676EF" w:rsidP="0099584D">
            <w:pPr>
              <w:spacing w:line="360" w:lineRule="auto"/>
              <w:rPr>
                <w:rFonts w:asciiTheme="majorHAnsi" w:hAnsiTheme="majorHAnsi"/>
              </w:rPr>
            </w:pPr>
            <w:r w:rsidRPr="00734AB6">
              <w:rPr>
                <w:rFonts w:asciiTheme="majorHAnsi" w:hAnsiTheme="majorHAnsi"/>
              </w:rPr>
              <w:t>29.07 (25)</w:t>
            </w:r>
          </w:p>
        </w:tc>
        <w:tc>
          <w:tcPr>
            <w:tcW w:w="1843" w:type="dxa"/>
            <w:tcBorders>
              <w:top w:val="nil"/>
              <w:bottom w:val="nil"/>
            </w:tcBorders>
          </w:tcPr>
          <w:p w14:paraId="7D69ED8E" w14:textId="77777777" w:rsidR="004676EF" w:rsidRPr="00734AB6" w:rsidRDefault="004676EF" w:rsidP="0099584D">
            <w:pPr>
              <w:spacing w:line="360" w:lineRule="auto"/>
              <w:rPr>
                <w:rFonts w:asciiTheme="majorHAnsi" w:hAnsiTheme="majorHAnsi"/>
              </w:rPr>
            </w:pPr>
            <w:r w:rsidRPr="00734AB6">
              <w:rPr>
                <w:rFonts w:asciiTheme="majorHAnsi" w:hAnsiTheme="majorHAnsi"/>
              </w:rPr>
              <w:t>42.11 (24)</w:t>
            </w:r>
          </w:p>
        </w:tc>
        <w:tc>
          <w:tcPr>
            <w:tcW w:w="1559" w:type="dxa"/>
            <w:tcBorders>
              <w:top w:val="nil"/>
              <w:bottom w:val="nil"/>
            </w:tcBorders>
          </w:tcPr>
          <w:p w14:paraId="63CB576C" w14:textId="77777777" w:rsidR="004676EF" w:rsidRPr="00734AB6" w:rsidRDefault="004676EF" w:rsidP="0099584D">
            <w:pPr>
              <w:spacing w:line="360" w:lineRule="auto"/>
              <w:rPr>
                <w:rFonts w:asciiTheme="majorHAnsi" w:hAnsiTheme="majorHAnsi"/>
              </w:rPr>
            </w:pPr>
            <w:r w:rsidRPr="00734AB6">
              <w:rPr>
                <w:rFonts w:asciiTheme="majorHAnsi" w:hAnsiTheme="majorHAnsi"/>
              </w:rPr>
              <w:t>24.53 (26)</w:t>
            </w:r>
          </w:p>
        </w:tc>
      </w:tr>
      <w:tr w:rsidR="004676EF" w:rsidRPr="00734AB6" w14:paraId="61F04E7A" w14:textId="77777777" w:rsidTr="004676EF">
        <w:tc>
          <w:tcPr>
            <w:tcW w:w="2268" w:type="dxa"/>
            <w:tcBorders>
              <w:top w:val="nil"/>
              <w:bottom w:val="nil"/>
            </w:tcBorders>
          </w:tcPr>
          <w:p w14:paraId="2752B8E3"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Bucket bong</w:t>
            </w:r>
          </w:p>
        </w:tc>
        <w:tc>
          <w:tcPr>
            <w:tcW w:w="1701" w:type="dxa"/>
            <w:tcBorders>
              <w:top w:val="nil"/>
              <w:bottom w:val="nil"/>
            </w:tcBorders>
          </w:tcPr>
          <w:p w14:paraId="2B8B99FC" w14:textId="77777777" w:rsidR="004676EF" w:rsidRPr="00734AB6" w:rsidRDefault="004676EF" w:rsidP="0099584D">
            <w:pPr>
              <w:spacing w:line="360" w:lineRule="auto"/>
              <w:rPr>
                <w:rFonts w:asciiTheme="majorHAnsi" w:hAnsiTheme="majorHAnsi"/>
              </w:rPr>
            </w:pPr>
            <w:r w:rsidRPr="00734AB6">
              <w:rPr>
                <w:rFonts w:asciiTheme="majorHAnsi" w:hAnsiTheme="majorHAnsi"/>
              </w:rPr>
              <w:t>10.47 (9)</w:t>
            </w:r>
          </w:p>
        </w:tc>
        <w:tc>
          <w:tcPr>
            <w:tcW w:w="1843" w:type="dxa"/>
            <w:tcBorders>
              <w:top w:val="nil"/>
              <w:bottom w:val="nil"/>
            </w:tcBorders>
          </w:tcPr>
          <w:p w14:paraId="259F10E5" w14:textId="77777777" w:rsidR="004676EF" w:rsidRPr="00734AB6" w:rsidRDefault="004676EF" w:rsidP="0099584D">
            <w:pPr>
              <w:spacing w:line="360" w:lineRule="auto"/>
              <w:rPr>
                <w:rFonts w:asciiTheme="majorHAnsi" w:hAnsiTheme="majorHAnsi"/>
              </w:rPr>
            </w:pPr>
            <w:r w:rsidRPr="00734AB6">
              <w:rPr>
                <w:rFonts w:asciiTheme="majorHAnsi" w:hAnsiTheme="majorHAnsi"/>
              </w:rPr>
              <w:t>10.53 (6)</w:t>
            </w:r>
          </w:p>
        </w:tc>
        <w:tc>
          <w:tcPr>
            <w:tcW w:w="1559" w:type="dxa"/>
            <w:tcBorders>
              <w:top w:val="nil"/>
              <w:bottom w:val="nil"/>
            </w:tcBorders>
          </w:tcPr>
          <w:p w14:paraId="6257EB72" w14:textId="77777777" w:rsidR="004676EF" w:rsidRPr="00734AB6" w:rsidRDefault="004676EF" w:rsidP="0099584D">
            <w:pPr>
              <w:spacing w:line="360" w:lineRule="auto"/>
              <w:rPr>
                <w:rFonts w:asciiTheme="majorHAnsi" w:hAnsiTheme="majorHAnsi"/>
              </w:rPr>
            </w:pPr>
            <w:r w:rsidRPr="00734AB6">
              <w:rPr>
                <w:rFonts w:asciiTheme="majorHAnsi" w:hAnsiTheme="majorHAnsi"/>
              </w:rPr>
              <w:t>10.38 (11)</w:t>
            </w:r>
          </w:p>
        </w:tc>
      </w:tr>
      <w:tr w:rsidR="004676EF" w:rsidRPr="00734AB6" w14:paraId="0CACEBE7" w14:textId="77777777" w:rsidTr="004676EF">
        <w:tc>
          <w:tcPr>
            <w:tcW w:w="2268" w:type="dxa"/>
            <w:tcBorders>
              <w:top w:val="nil"/>
              <w:bottom w:val="nil"/>
            </w:tcBorders>
          </w:tcPr>
          <w:p w14:paraId="5AFF84E5"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Bong/water pipe</w:t>
            </w:r>
          </w:p>
        </w:tc>
        <w:tc>
          <w:tcPr>
            <w:tcW w:w="1701" w:type="dxa"/>
            <w:tcBorders>
              <w:top w:val="nil"/>
              <w:bottom w:val="nil"/>
            </w:tcBorders>
          </w:tcPr>
          <w:p w14:paraId="179A3895" w14:textId="77777777" w:rsidR="004676EF" w:rsidRPr="00734AB6" w:rsidRDefault="004676EF" w:rsidP="0099584D">
            <w:pPr>
              <w:spacing w:line="360" w:lineRule="auto"/>
              <w:rPr>
                <w:rFonts w:asciiTheme="majorHAnsi" w:hAnsiTheme="majorHAnsi"/>
              </w:rPr>
            </w:pPr>
            <w:r w:rsidRPr="00734AB6">
              <w:rPr>
                <w:rFonts w:asciiTheme="majorHAnsi" w:hAnsiTheme="majorHAnsi"/>
              </w:rPr>
              <w:t>33.72 (29)</w:t>
            </w:r>
          </w:p>
        </w:tc>
        <w:tc>
          <w:tcPr>
            <w:tcW w:w="1843" w:type="dxa"/>
            <w:tcBorders>
              <w:top w:val="nil"/>
              <w:bottom w:val="nil"/>
            </w:tcBorders>
          </w:tcPr>
          <w:p w14:paraId="12797B7B" w14:textId="77777777" w:rsidR="004676EF" w:rsidRPr="00734AB6" w:rsidRDefault="004676EF" w:rsidP="0099584D">
            <w:pPr>
              <w:spacing w:line="360" w:lineRule="auto"/>
              <w:rPr>
                <w:rFonts w:asciiTheme="majorHAnsi" w:hAnsiTheme="majorHAnsi"/>
              </w:rPr>
            </w:pPr>
            <w:r w:rsidRPr="00734AB6">
              <w:rPr>
                <w:rFonts w:asciiTheme="majorHAnsi" w:hAnsiTheme="majorHAnsi"/>
              </w:rPr>
              <w:t>40.35 (23)</w:t>
            </w:r>
          </w:p>
        </w:tc>
        <w:tc>
          <w:tcPr>
            <w:tcW w:w="1559" w:type="dxa"/>
            <w:tcBorders>
              <w:top w:val="nil"/>
              <w:bottom w:val="nil"/>
            </w:tcBorders>
          </w:tcPr>
          <w:p w14:paraId="5982DEDF" w14:textId="77777777" w:rsidR="004676EF" w:rsidRPr="00734AB6" w:rsidRDefault="004676EF" w:rsidP="0099584D">
            <w:pPr>
              <w:spacing w:line="360" w:lineRule="auto"/>
              <w:rPr>
                <w:rFonts w:asciiTheme="majorHAnsi" w:hAnsiTheme="majorHAnsi"/>
              </w:rPr>
            </w:pPr>
            <w:r w:rsidRPr="00734AB6">
              <w:rPr>
                <w:rFonts w:asciiTheme="majorHAnsi" w:hAnsiTheme="majorHAnsi"/>
              </w:rPr>
              <w:t>21.70 (23)</w:t>
            </w:r>
          </w:p>
        </w:tc>
      </w:tr>
      <w:tr w:rsidR="004676EF" w:rsidRPr="00734AB6" w14:paraId="05B2E143" w14:textId="77777777" w:rsidTr="004676EF">
        <w:tc>
          <w:tcPr>
            <w:tcW w:w="2268" w:type="dxa"/>
            <w:tcBorders>
              <w:top w:val="nil"/>
              <w:bottom w:val="nil"/>
            </w:tcBorders>
          </w:tcPr>
          <w:p w14:paraId="60E2BD0E"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Eaten in food</w:t>
            </w:r>
          </w:p>
        </w:tc>
        <w:tc>
          <w:tcPr>
            <w:tcW w:w="1701" w:type="dxa"/>
            <w:tcBorders>
              <w:top w:val="nil"/>
              <w:bottom w:val="nil"/>
            </w:tcBorders>
          </w:tcPr>
          <w:p w14:paraId="757BAE81" w14:textId="77777777" w:rsidR="004676EF" w:rsidRPr="00734AB6" w:rsidRDefault="004676EF" w:rsidP="0099584D">
            <w:pPr>
              <w:spacing w:line="360" w:lineRule="auto"/>
              <w:rPr>
                <w:rFonts w:asciiTheme="majorHAnsi" w:hAnsiTheme="majorHAnsi"/>
              </w:rPr>
            </w:pPr>
            <w:r w:rsidRPr="00734AB6">
              <w:rPr>
                <w:rFonts w:asciiTheme="majorHAnsi" w:hAnsiTheme="majorHAnsi"/>
              </w:rPr>
              <w:t>24.42 (21)</w:t>
            </w:r>
          </w:p>
        </w:tc>
        <w:tc>
          <w:tcPr>
            <w:tcW w:w="1843" w:type="dxa"/>
            <w:tcBorders>
              <w:top w:val="nil"/>
              <w:bottom w:val="nil"/>
            </w:tcBorders>
          </w:tcPr>
          <w:p w14:paraId="24E284B3" w14:textId="77777777" w:rsidR="004676EF" w:rsidRPr="00734AB6" w:rsidRDefault="004676EF" w:rsidP="0099584D">
            <w:pPr>
              <w:spacing w:line="360" w:lineRule="auto"/>
              <w:rPr>
                <w:rFonts w:asciiTheme="majorHAnsi" w:hAnsiTheme="majorHAnsi"/>
              </w:rPr>
            </w:pPr>
            <w:r w:rsidRPr="00734AB6">
              <w:rPr>
                <w:rFonts w:asciiTheme="majorHAnsi" w:hAnsiTheme="majorHAnsi"/>
              </w:rPr>
              <w:t>38.60 (22)</w:t>
            </w:r>
          </w:p>
        </w:tc>
        <w:tc>
          <w:tcPr>
            <w:tcW w:w="1559" w:type="dxa"/>
            <w:tcBorders>
              <w:top w:val="nil"/>
              <w:bottom w:val="nil"/>
            </w:tcBorders>
          </w:tcPr>
          <w:p w14:paraId="210987FE" w14:textId="77777777" w:rsidR="004676EF" w:rsidRPr="00734AB6" w:rsidRDefault="004676EF" w:rsidP="0099584D">
            <w:pPr>
              <w:spacing w:line="360" w:lineRule="auto"/>
              <w:rPr>
                <w:rFonts w:asciiTheme="majorHAnsi" w:hAnsiTheme="majorHAnsi"/>
              </w:rPr>
            </w:pPr>
            <w:r w:rsidRPr="00734AB6">
              <w:rPr>
                <w:rFonts w:asciiTheme="majorHAnsi" w:hAnsiTheme="majorHAnsi"/>
              </w:rPr>
              <w:t>17.93 (19)</w:t>
            </w:r>
          </w:p>
        </w:tc>
      </w:tr>
      <w:tr w:rsidR="004676EF" w:rsidRPr="00734AB6" w14:paraId="14E4EAA6" w14:textId="77777777" w:rsidTr="004676EF">
        <w:tc>
          <w:tcPr>
            <w:tcW w:w="2268" w:type="dxa"/>
            <w:tcBorders>
              <w:top w:val="nil"/>
              <w:bottom w:val="nil"/>
            </w:tcBorders>
          </w:tcPr>
          <w:p w14:paraId="3A786D7B"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Vaporiser</w:t>
            </w:r>
          </w:p>
        </w:tc>
        <w:tc>
          <w:tcPr>
            <w:tcW w:w="1701" w:type="dxa"/>
            <w:tcBorders>
              <w:top w:val="nil"/>
              <w:bottom w:val="nil"/>
            </w:tcBorders>
          </w:tcPr>
          <w:p w14:paraId="390CCC9E" w14:textId="77777777" w:rsidR="004676EF" w:rsidRPr="00734AB6" w:rsidRDefault="004676EF" w:rsidP="0099584D">
            <w:pPr>
              <w:spacing w:line="360" w:lineRule="auto"/>
              <w:rPr>
                <w:rFonts w:asciiTheme="majorHAnsi" w:hAnsiTheme="majorHAnsi"/>
              </w:rPr>
            </w:pPr>
            <w:r w:rsidRPr="00734AB6">
              <w:rPr>
                <w:rFonts w:asciiTheme="majorHAnsi" w:hAnsiTheme="majorHAnsi"/>
              </w:rPr>
              <w:t>20.93 (18)</w:t>
            </w:r>
          </w:p>
        </w:tc>
        <w:tc>
          <w:tcPr>
            <w:tcW w:w="1843" w:type="dxa"/>
            <w:tcBorders>
              <w:top w:val="nil"/>
              <w:bottom w:val="nil"/>
            </w:tcBorders>
          </w:tcPr>
          <w:p w14:paraId="3B12A76F" w14:textId="77777777" w:rsidR="004676EF" w:rsidRPr="00734AB6" w:rsidRDefault="004676EF" w:rsidP="0099584D">
            <w:pPr>
              <w:spacing w:line="360" w:lineRule="auto"/>
              <w:rPr>
                <w:rFonts w:asciiTheme="majorHAnsi" w:hAnsiTheme="majorHAnsi"/>
              </w:rPr>
            </w:pPr>
            <w:r w:rsidRPr="00734AB6">
              <w:rPr>
                <w:rFonts w:asciiTheme="majorHAnsi" w:hAnsiTheme="majorHAnsi"/>
              </w:rPr>
              <w:t>28.07 (16)</w:t>
            </w:r>
          </w:p>
        </w:tc>
        <w:tc>
          <w:tcPr>
            <w:tcW w:w="1559" w:type="dxa"/>
            <w:tcBorders>
              <w:top w:val="nil"/>
              <w:bottom w:val="nil"/>
            </w:tcBorders>
          </w:tcPr>
          <w:p w14:paraId="55AE2597" w14:textId="77777777" w:rsidR="004676EF" w:rsidRPr="00734AB6" w:rsidRDefault="004676EF" w:rsidP="0099584D">
            <w:pPr>
              <w:spacing w:line="360" w:lineRule="auto"/>
              <w:rPr>
                <w:rFonts w:asciiTheme="majorHAnsi" w:hAnsiTheme="majorHAnsi"/>
              </w:rPr>
            </w:pPr>
            <w:r w:rsidRPr="00734AB6">
              <w:rPr>
                <w:rFonts w:asciiTheme="majorHAnsi" w:hAnsiTheme="majorHAnsi"/>
              </w:rPr>
              <w:t>15.09 (16)</w:t>
            </w:r>
          </w:p>
        </w:tc>
      </w:tr>
      <w:tr w:rsidR="004676EF" w:rsidRPr="00734AB6" w14:paraId="41C5381B" w14:textId="77777777" w:rsidTr="004676EF">
        <w:tc>
          <w:tcPr>
            <w:tcW w:w="2268" w:type="dxa"/>
            <w:tcBorders>
              <w:top w:val="nil"/>
            </w:tcBorders>
          </w:tcPr>
          <w:p w14:paraId="2D0A9F26" w14:textId="77777777" w:rsidR="004676EF" w:rsidRPr="00734AB6" w:rsidRDefault="004676EF" w:rsidP="0099584D">
            <w:pPr>
              <w:tabs>
                <w:tab w:val="left" w:pos="2835"/>
                <w:tab w:val="left" w:pos="5812"/>
              </w:tabs>
              <w:spacing w:line="360" w:lineRule="auto"/>
              <w:rPr>
                <w:rFonts w:asciiTheme="majorHAnsi" w:hAnsiTheme="majorHAnsi"/>
              </w:rPr>
            </w:pPr>
            <w:r w:rsidRPr="00734AB6">
              <w:rPr>
                <w:rFonts w:asciiTheme="majorHAnsi" w:hAnsiTheme="majorHAnsi"/>
              </w:rPr>
              <w:t>Blunt</w:t>
            </w:r>
          </w:p>
        </w:tc>
        <w:tc>
          <w:tcPr>
            <w:tcW w:w="1701" w:type="dxa"/>
            <w:tcBorders>
              <w:top w:val="nil"/>
            </w:tcBorders>
          </w:tcPr>
          <w:p w14:paraId="0B883B2A" w14:textId="77777777" w:rsidR="004676EF" w:rsidRPr="00734AB6" w:rsidRDefault="004676EF" w:rsidP="0099584D">
            <w:pPr>
              <w:spacing w:line="360" w:lineRule="auto"/>
              <w:rPr>
                <w:rFonts w:asciiTheme="majorHAnsi" w:hAnsiTheme="majorHAnsi"/>
              </w:rPr>
            </w:pPr>
            <w:r w:rsidRPr="00734AB6">
              <w:rPr>
                <w:rFonts w:asciiTheme="majorHAnsi" w:hAnsiTheme="majorHAnsi"/>
              </w:rPr>
              <w:t>24.42 (21)</w:t>
            </w:r>
          </w:p>
        </w:tc>
        <w:tc>
          <w:tcPr>
            <w:tcW w:w="1843" w:type="dxa"/>
            <w:tcBorders>
              <w:top w:val="nil"/>
            </w:tcBorders>
          </w:tcPr>
          <w:p w14:paraId="0452833E" w14:textId="77777777" w:rsidR="004676EF" w:rsidRPr="00734AB6" w:rsidRDefault="004676EF" w:rsidP="0099584D">
            <w:pPr>
              <w:spacing w:line="360" w:lineRule="auto"/>
              <w:rPr>
                <w:rFonts w:asciiTheme="majorHAnsi" w:hAnsiTheme="majorHAnsi"/>
              </w:rPr>
            </w:pPr>
            <w:r w:rsidRPr="00734AB6">
              <w:rPr>
                <w:rFonts w:asciiTheme="majorHAnsi" w:hAnsiTheme="majorHAnsi"/>
              </w:rPr>
              <w:t>22.81 (13)</w:t>
            </w:r>
          </w:p>
        </w:tc>
        <w:tc>
          <w:tcPr>
            <w:tcW w:w="1559" w:type="dxa"/>
            <w:tcBorders>
              <w:top w:val="nil"/>
            </w:tcBorders>
          </w:tcPr>
          <w:p w14:paraId="6C8191DA" w14:textId="77777777" w:rsidR="004676EF" w:rsidRPr="00734AB6" w:rsidRDefault="004676EF" w:rsidP="0099584D">
            <w:pPr>
              <w:spacing w:line="360" w:lineRule="auto"/>
              <w:rPr>
                <w:rFonts w:asciiTheme="majorHAnsi" w:hAnsiTheme="majorHAnsi"/>
              </w:rPr>
            </w:pPr>
            <w:r w:rsidRPr="00734AB6">
              <w:rPr>
                <w:rFonts w:asciiTheme="majorHAnsi" w:hAnsiTheme="majorHAnsi"/>
              </w:rPr>
              <w:t>15.09 (16)</w:t>
            </w:r>
          </w:p>
        </w:tc>
      </w:tr>
    </w:tbl>
    <w:p w14:paraId="46062A77" w14:textId="77777777" w:rsidR="004676EF" w:rsidRPr="00734AB6" w:rsidRDefault="004676EF" w:rsidP="00EF7585">
      <w:pPr>
        <w:tabs>
          <w:tab w:val="left" w:pos="426"/>
        </w:tabs>
        <w:spacing w:after="0" w:line="360" w:lineRule="auto"/>
        <w:rPr>
          <w:rFonts w:asciiTheme="majorHAnsi" w:hAnsiTheme="majorHAnsi"/>
          <w:b/>
        </w:rPr>
      </w:pPr>
      <w:r w:rsidRPr="00734AB6">
        <w:rPr>
          <w:rFonts w:asciiTheme="majorHAnsi" w:hAnsiTheme="majorHAnsi"/>
          <w:b/>
        </w:rPr>
        <w:lastRenderedPageBreak/>
        <w:t>*</w:t>
      </w:r>
      <w:r w:rsidRPr="00734AB6">
        <w:rPr>
          <w:rFonts w:asciiTheme="majorHAnsi" w:hAnsiTheme="majorHAnsi"/>
          <w:b/>
        </w:rPr>
        <w:tab/>
        <w:t>Percentages relate to group only</w:t>
      </w:r>
    </w:p>
    <w:p w14:paraId="7597FC15" w14:textId="77777777" w:rsidR="004676EF" w:rsidRPr="00734AB6" w:rsidRDefault="004676EF" w:rsidP="00EF7585">
      <w:pPr>
        <w:pBdr>
          <w:top w:val="double" w:sz="4" w:space="1" w:color="auto"/>
        </w:pBdr>
        <w:spacing w:after="0" w:line="360" w:lineRule="auto"/>
        <w:rPr>
          <w:rFonts w:asciiTheme="majorHAnsi" w:hAnsiTheme="majorHAnsi"/>
        </w:rPr>
      </w:pPr>
    </w:p>
    <w:p w14:paraId="62AE9E33" w14:textId="77777777" w:rsidR="004676EF" w:rsidRPr="00734AB6" w:rsidRDefault="004676EF" w:rsidP="0099584D">
      <w:pPr>
        <w:pStyle w:val="Heading2"/>
        <w:spacing w:line="360" w:lineRule="auto"/>
        <w:rPr>
          <w:b/>
          <w:color w:val="auto"/>
          <w:sz w:val="22"/>
          <w:szCs w:val="22"/>
        </w:rPr>
      </w:pPr>
      <w:bookmarkStart w:id="163" w:name="_Toc45200536"/>
      <w:bookmarkStart w:id="164" w:name="_Toc48136429"/>
      <w:r w:rsidRPr="00734AB6">
        <w:rPr>
          <w:b/>
          <w:color w:val="auto"/>
          <w:sz w:val="22"/>
          <w:szCs w:val="22"/>
        </w:rPr>
        <w:t>B(xi)</w:t>
      </w:r>
      <w:r w:rsidRPr="00734AB6">
        <w:rPr>
          <w:b/>
          <w:color w:val="auto"/>
          <w:sz w:val="22"/>
          <w:szCs w:val="22"/>
        </w:rPr>
        <w:tab/>
        <w:t>Frequency of nicotine use by product</w:t>
      </w:r>
      <w:bookmarkEnd w:id="163"/>
      <w:bookmarkEnd w:id="164"/>
    </w:p>
    <w:p w14:paraId="5FF7EC02" w14:textId="77777777" w:rsidR="004676EF" w:rsidRPr="00734AB6" w:rsidRDefault="004676EF" w:rsidP="0099584D">
      <w:pPr>
        <w:spacing w:line="360" w:lineRule="auto"/>
        <w:rPr>
          <w:rFonts w:asciiTheme="majorHAnsi" w:hAnsiTheme="majorHAnsi"/>
        </w:rPr>
      </w:pPr>
    </w:p>
    <w:p w14:paraId="4525EEA1" w14:textId="0FDC810E"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0547B2" w:rsidRPr="00734AB6">
        <w:rPr>
          <w:rFonts w:asciiTheme="majorHAnsi" w:hAnsiTheme="majorHAnsi"/>
          <w:b/>
        </w:rPr>
        <w:t>B.5</w:t>
      </w:r>
      <w:r w:rsidRPr="00734AB6">
        <w:rPr>
          <w:rFonts w:asciiTheme="majorHAnsi" w:hAnsiTheme="majorHAnsi"/>
          <w:b/>
        </w:rPr>
        <w:t>. Frequency of nicotine use by type of product</w:t>
      </w:r>
    </w:p>
    <w:tbl>
      <w:tblPr>
        <w:tblW w:w="7655" w:type="dxa"/>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1842"/>
        <w:gridCol w:w="1843"/>
        <w:gridCol w:w="1276"/>
      </w:tblGrid>
      <w:tr w:rsidR="004676EF" w:rsidRPr="00734AB6" w14:paraId="0BAF452F" w14:textId="77777777" w:rsidTr="004676EF">
        <w:tc>
          <w:tcPr>
            <w:tcW w:w="2694" w:type="dxa"/>
            <w:tcBorders>
              <w:bottom w:val="single" w:sz="4" w:space="0" w:color="auto"/>
            </w:tcBorders>
          </w:tcPr>
          <w:p w14:paraId="5B407186" w14:textId="77777777" w:rsidR="004676EF" w:rsidRPr="00734AB6" w:rsidRDefault="004676EF" w:rsidP="0099584D">
            <w:pPr>
              <w:spacing w:line="360" w:lineRule="auto"/>
              <w:rPr>
                <w:rFonts w:asciiTheme="majorHAnsi" w:hAnsiTheme="majorHAnsi"/>
                <w:b/>
              </w:rPr>
            </w:pPr>
          </w:p>
        </w:tc>
        <w:tc>
          <w:tcPr>
            <w:tcW w:w="1842" w:type="dxa"/>
            <w:tcBorders>
              <w:bottom w:val="single" w:sz="4" w:space="0" w:color="auto"/>
            </w:tcBorders>
          </w:tcPr>
          <w:p w14:paraId="5250161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Modafinil-only %* (N)</w:t>
            </w:r>
          </w:p>
        </w:tc>
        <w:tc>
          <w:tcPr>
            <w:tcW w:w="1843" w:type="dxa"/>
            <w:tcBorders>
              <w:bottom w:val="single" w:sz="4" w:space="0" w:color="auto"/>
            </w:tcBorders>
          </w:tcPr>
          <w:p w14:paraId="656D611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Methylphenidate %* (N)</w:t>
            </w:r>
          </w:p>
        </w:tc>
        <w:tc>
          <w:tcPr>
            <w:tcW w:w="1276" w:type="dxa"/>
            <w:tcBorders>
              <w:bottom w:val="single" w:sz="4" w:space="0" w:color="auto"/>
            </w:tcBorders>
          </w:tcPr>
          <w:p w14:paraId="3032107C"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Controls %* (N)</w:t>
            </w:r>
          </w:p>
        </w:tc>
      </w:tr>
      <w:tr w:rsidR="004676EF" w:rsidRPr="00734AB6" w14:paraId="039FD54D" w14:textId="77777777" w:rsidTr="004676EF">
        <w:tc>
          <w:tcPr>
            <w:tcW w:w="2694" w:type="dxa"/>
            <w:tcBorders>
              <w:bottom w:val="nil"/>
            </w:tcBorders>
          </w:tcPr>
          <w:p w14:paraId="5DFDD14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CIGARETTES</w:t>
            </w:r>
          </w:p>
        </w:tc>
        <w:tc>
          <w:tcPr>
            <w:tcW w:w="1842" w:type="dxa"/>
            <w:tcBorders>
              <w:bottom w:val="nil"/>
            </w:tcBorders>
          </w:tcPr>
          <w:p w14:paraId="6D5242EB" w14:textId="77777777" w:rsidR="004676EF" w:rsidRPr="00734AB6" w:rsidRDefault="004676EF" w:rsidP="0099584D">
            <w:pPr>
              <w:spacing w:line="360" w:lineRule="auto"/>
              <w:rPr>
                <w:rFonts w:asciiTheme="majorHAnsi" w:hAnsiTheme="majorHAnsi"/>
              </w:rPr>
            </w:pPr>
          </w:p>
        </w:tc>
        <w:tc>
          <w:tcPr>
            <w:tcW w:w="1843" w:type="dxa"/>
            <w:tcBorders>
              <w:bottom w:val="nil"/>
            </w:tcBorders>
          </w:tcPr>
          <w:p w14:paraId="07DE1F12" w14:textId="77777777" w:rsidR="004676EF" w:rsidRPr="00734AB6" w:rsidRDefault="004676EF" w:rsidP="0099584D">
            <w:pPr>
              <w:spacing w:line="360" w:lineRule="auto"/>
              <w:rPr>
                <w:rFonts w:asciiTheme="majorHAnsi" w:hAnsiTheme="majorHAnsi"/>
              </w:rPr>
            </w:pPr>
          </w:p>
        </w:tc>
        <w:tc>
          <w:tcPr>
            <w:tcW w:w="1276" w:type="dxa"/>
            <w:tcBorders>
              <w:bottom w:val="nil"/>
            </w:tcBorders>
          </w:tcPr>
          <w:p w14:paraId="6F5AA604" w14:textId="77777777" w:rsidR="004676EF" w:rsidRPr="00734AB6" w:rsidRDefault="004676EF" w:rsidP="0099584D">
            <w:pPr>
              <w:spacing w:line="360" w:lineRule="auto"/>
              <w:rPr>
                <w:rFonts w:asciiTheme="majorHAnsi" w:hAnsiTheme="majorHAnsi"/>
              </w:rPr>
            </w:pPr>
          </w:p>
        </w:tc>
      </w:tr>
      <w:tr w:rsidR="004676EF" w:rsidRPr="00734AB6" w14:paraId="06187233" w14:textId="77777777" w:rsidTr="004676EF">
        <w:tc>
          <w:tcPr>
            <w:tcW w:w="2694" w:type="dxa"/>
            <w:tcBorders>
              <w:top w:val="nil"/>
              <w:bottom w:val="nil"/>
            </w:tcBorders>
          </w:tcPr>
          <w:p w14:paraId="25C6A98A" w14:textId="77777777" w:rsidR="004676EF" w:rsidRPr="00734AB6" w:rsidRDefault="004676EF" w:rsidP="0099584D">
            <w:pPr>
              <w:spacing w:line="360" w:lineRule="auto"/>
              <w:rPr>
                <w:rFonts w:asciiTheme="majorHAnsi" w:hAnsiTheme="majorHAnsi"/>
                <w:b/>
              </w:rPr>
            </w:pPr>
            <w:r w:rsidRPr="00734AB6">
              <w:rPr>
                <w:rFonts w:asciiTheme="majorHAnsi" w:hAnsiTheme="majorHAnsi"/>
              </w:rPr>
              <w:t>Every day/almost every day</w:t>
            </w:r>
          </w:p>
        </w:tc>
        <w:tc>
          <w:tcPr>
            <w:tcW w:w="1842" w:type="dxa"/>
            <w:tcBorders>
              <w:top w:val="nil"/>
              <w:bottom w:val="nil"/>
            </w:tcBorders>
          </w:tcPr>
          <w:p w14:paraId="5162E04F" w14:textId="77777777" w:rsidR="004676EF" w:rsidRPr="00734AB6" w:rsidRDefault="004676EF" w:rsidP="0099584D">
            <w:pPr>
              <w:spacing w:line="360" w:lineRule="auto"/>
              <w:rPr>
                <w:rFonts w:asciiTheme="majorHAnsi" w:hAnsiTheme="majorHAnsi"/>
                <w:b/>
              </w:rPr>
            </w:pPr>
            <w:r w:rsidRPr="00734AB6">
              <w:rPr>
                <w:rFonts w:asciiTheme="majorHAnsi" w:hAnsiTheme="majorHAnsi"/>
              </w:rPr>
              <w:t>1.16 (1)</w:t>
            </w:r>
          </w:p>
        </w:tc>
        <w:tc>
          <w:tcPr>
            <w:tcW w:w="1843" w:type="dxa"/>
            <w:tcBorders>
              <w:top w:val="nil"/>
              <w:bottom w:val="nil"/>
            </w:tcBorders>
          </w:tcPr>
          <w:p w14:paraId="594413F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276" w:type="dxa"/>
            <w:tcBorders>
              <w:top w:val="nil"/>
              <w:bottom w:val="nil"/>
            </w:tcBorders>
          </w:tcPr>
          <w:p w14:paraId="23BF89DC"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10.38 (11) </w:t>
            </w:r>
          </w:p>
        </w:tc>
      </w:tr>
      <w:tr w:rsidR="004676EF" w:rsidRPr="00734AB6" w14:paraId="77B79B14" w14:textId="77777777" w:rsidTr="004676EF">
        <w:tc>
          <w:tcPr>
            <w:tcW w:w="2694" w:type="dxa"/>
            <w:tcBorders>
              <w:top w:val="nil"/>
              <w:bottom w:val="nil"/>
            </w:tcBorders>
          </w:tcPr>
          <w:p w14:paraId="72E1C79F" w14:textId="77777777" w:rsidR="004676EF" w:rsidRPr="00734AB6" w:rsidRDefault="004676EF" w:rsidP="0099584D">
            <w:pPr>
              <w:spacing w:line="360" w:lineRule="auto"/>
              <w:rPr>
                <w:rFonts w:asciiTheme="majorHAnsi" w:hAnsiTheme="majorHAnsi"/>
              </w:rPr>
            </w:pPr>
            <w:r w:rsidRPr="00734AB6">
              <w:rPr>
                <w:rFonts w:asciiTheme="majorHAnsi" w:hAnsiTheme="majorHAnsi"/>
                <w:b/>
              </w:rPr>
              <w:t>VAPING</w:t>
            </w:r>
          </w:p>
        </w:tc>
        <w:tc>
          <w:tcPr>
            <w:tcW w:w="1842" w:type="dxa"/>
            <w:tcBorders>
              <w:top w:val="nil"/>
              <w:bottom w:val="nil"/>
            </w:tcBorders>
          </w:tcPr>
          <w:p w14:paraId="5AB40856" w14:textId="77777777" w:rsidR="004676EF" w:rsidRPr="00734AB6" w:rsidRDefault="004676EF" w:rsidP="0099584D">
            <w:pPr>
              <w:spacing w:line="360" w:lineRule="auto"/>
              <w:rPr>
                <w:rFonts w:asciiTheme="majorHAnsi" w:hAnsiTheme="majorHAnsi"/>
              </w:rPr>
            </w:pPr>
          </w:p>
        </w:tc>
        <w:tc>
          <w:tcPr>
            <w:tcW w:w="1843" w:type="dxa"/>
            <w:tcBorders>
              <w:top w:val="nil"/>
              <w:bottom w:val="nil"/>
            </w:tcBorders>
          </w:tcPr>
          <w:p w14:paraId="47B0A289" w14:textId="77777777" w:rsidR="004676EF" w:rsidRPr="00734AB6" w:rsidRDefault="004676EF" w:rsidP="0099584D">
            <w:pPr>
              <w:spacing w:line="360" w:lineRule="auto"/>
              <w:rPr>
                <w:rFonts w:asciiTheme="majorHAnsi" w:hAnsiTheme="majorHAnsi"/>
              </w:rPr>
            </w:pPr>
          </w:p>
        </w:tc>
        <w:tc>
          <w:tcPr>
            <w:tcW w:w="1276" w:type="dxa"/>
            <w:tcBorders>
              <w:top w:val="nil"/>
              <w:bottom w:val="nil"/>
            </w:tcBorders>
          </w:tcPr>
          <w:p w14:paraId="5E582CB2" w14:textId="77777777" w:rsidR="004676EF" w:rsidRPr="00734AB6" w:rsidRDefault="004676EF" w:rsidP="0099584D">
            <w:pPr>
              <w:spacing w:line="360" w:lineRule="auto"/>
              <w:rPr>
                <w:rFonts w:asciiTheme="majorHAnsi" w:hAnsiTheme="majorHAnsi"/>
              </w:rPr>
            </w:pPr>
          </w:p>
        </w:tc>
      </w:tr>
      <w:tr w:rsidR="004676EF" w:rsidRPr="00734AB6" w14:paraId="34689BE4" w14:textId="77777777" w:rsidTr="004676EF">
        <w:tc>
          <w:tcPr>
            <w:tcW w:w="2694" w:type="dxa"/>
            <w:tcBorders>
              <w:top w:val="nil"/>
              <w:bottom w:val="nil"/>
            </w:tcBorders>
          </w:tcPr>
          <w:p w14:paraId="59C5361D"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1842" w:type="dxa"/>
            <w:tcBorders>
              <w:top w:val="nil"/>
              <w:bottom w:val="nil"/>
            </w:tcBorders>
          </w:tcPr>
          <w:p w14:paraId="7DB9ED71"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36.05 (31) </w:t>
            </w:r>
          </w:p>
        </w:tc>
        <w:tc>
          <w:tcPr>
            <w:tcW w:w="1843" w:type="dxa"/>
            <w:tcBorders>
              <w:top w:val="nil"/>
              <w:bottom w:val="nil"/>
            </w:tcBorders>
          </w:tcPr>
          <w:p w14:paraId="60D7125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276" w:type="dxa"/>
            <w:tcBorders>
              <w:top w:val="nil"/>
              <w:bottom w:val="nil"/>
            </w:tcBorders>
          </w:tcPr>
          <w:p w14:paraId="35E885FA"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7.55 (8)  </w:t>
            </w:r>
          </w:p>
        </w:tc>
      </w:tr>
      <w:tr w:rsidR="004676EF" w:rsidRPr="00734AB6" w14:paraId="3C107A89" w14:textId="77777777" w:rsidTr="004676EF">
        <w:tc>
          <w:tcPr>
            <w:tcW w:w="2694" w:type="dxa"/>
            <w:tcBorders>
              <w:top w:val="nil"/>
              <w:bottom w:val="nil"/>
            </w:tcBorders>
          </w:tcPr>
          <w:p w14:paraId="2C314C07" w14:textId="77777777" w:rsidR="004676EF" w:rsidRPr="00734AB6" w:rsidRDefault="004676EF" w:rsidP="0099584D">
            <w:pPr>
              <w:spacing w:line="360" w:lineRule="auto"/>
              <w:rPr>
                <w:rFonts w:asciiTheme="majorHAnsi" w:hAnsiTheme="majorHAnsi"/>
              </w:rPr>
            </w:pPr>
            <w:r w:rsidRPr="00734AB6">
              <w:rPr>
                <w:rFonts w:asciiTheme="majorHAnsi" w:hAnsiTheme="majorHAnsi"/>
                <w:b/>
              </w:rPr>
              <w:t>GUM/SPRAY ETC.</w:t>
            </w:r>
          </w:p>
        </w:tc>
        <w:tc>
          <w:tcPr>
            <w:tcW w:w="1842" w:type="dxa"/>
            <w:tcBorders>
              <w:top w:val="nil"/>
              <w:bottom w:val="nil"/>
            </w:tcBorders>
          </w:tcPr>
          <w:p w14:paraId="7A3E65FB" w14:textId="77777777" w:rsidR="004676EF" w:rsidRPr="00734AB6" w:rsidRDefault="004676EF" w:rsidP="0099584D">
            <w:pPr>
              <w:spacing w:line="360" w:lineRule="auto"/>
              <w:rPr>
                <w:rFonts w:asciiTheme="majorHAnsi" w:hAnsiTheme="majorHAnsi"/>
              </w:rPr>
            </w:pPr>
          </w:p>
        </w:tc>
        <w:tc>
          <w:tcPr>
            <w:tcW w:w="1843" w:type="dxa"/>
            <w:tcBorders>
              <w:top w:val="nil"/>
              <w:bottom w:val="nil"/>
            </w:tcBorders>
          </w:tcPr>
          <w:p w14:paraId="46DB4C4A" w14:textId="77777777" w:rsidR="004676EF" w:rsidRPr="00734AB6" w:rsidRDefault="004676EF" w:rsidP="0099584D">
            <w:pPr>
              <w:spacing w:line="360" w:lineRule="auto"/>
              <w:rPr>
                <w:rFonts w:asciiTheme="majorHAnsi" w:hAnsiTheme="majorHAnsi"/>
              </w:rPr>
            </w:pPr>
          </w:p>
        </w:tc>
        <w:tc>
          <w:tcPr>
            <w:tcW w:w="1276" w:type="dxa"/>
            <w:tcBorders>
              <w:top w:val="nil"/>
              <w:bottom w:val="nil"/>
            </w:tcBorders>
          </w:tcPr>
          <w:p w14:paraId="660A8155" w14:textId="77777777" w:rsidR="004676EF" w:rsidRPr="00734AB6" w:rsidRDefault="004676EF" w:rsidP="0099584D">
            <w:pPr>
              <w:spacing w:line="360" w:lineRule="auto"/>
              <w:rPr>
                <w:rFonts w:asciiTheme="majorHAnsi" w:hAnsiTheme="majorHAnsi"/>
              </w:rPr>
            </w:pPr>
          </w:p>
        </w:tc>
      </w:tr>
      <w:tr w:rsidR="004676EF" w:rsidRPr="00734AB6" w14:paraId="28FBFED6" w14:textId="77777777" w:rsidTr="004676EF">
        <w:tc>
          <w:tcPr>
            <w:tcW w:w="2694" w:type="dxa"/>
            <w:tcBorders>
              <w:top w:val="nil"/>
            </w:tcBorders>
          </w:tcPr>
          <w:p w14:paraId="5F39BFBF"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1842" w:type="dxa"/>
            <w:tcBorders>
              <w:top w:val="nil"/>
            </w:tcBorders>
          </w:tcPr>
          <w:p w14:paraId="457DE465"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16.28 (14) </w:t>
            </w:r>
          </w:p>
        </w:tc>
        <w:tc>
          <w:tcPr>
            <w:tcW w:w="1843" w:type="dxa"/>
            <w:tcBorders>
              <w:top w:val="nil"/>
            </w:tcBorders>
          </w:tcPr>
          <w:p w14:paraId="09AFC0A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276" w:type="dxa"/>
            <w:tcBorders>
              <w:top w:val="nil"/>
            </w:tcBorders>
          </w:tcPr>
          <w:p w14:paraId="367E5E7F"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2.83 (3)  </w:t>
            </w:r>
          </w:p>
        </w:tc>
      </w:tr>
    </w:tbl>
    <w:p w14:paraId="666C2345" w14:textId="77777777" w:rsidR="004676EF" w:rsidRPr="00734AB6" w:rsidRDefault="004676EF" w:rsidP="0099584D">
      <w:pPr>
        <w:tabs>
          <w:tab w:val="left" w:pos="284"/>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 xml:space="preserve">Percentages relate to group only </w:t>
      </w:r>
    </w:p>
    <w:p w14:paraId="7FF5157F" w14:textId="77777777" w:rsidR="00D45355" w:rsidRPr="00734AB6" w:rsidRDefault="00D45355" w:rsidP="0099584D">
      <w:pPr>
        <w:tabs>
          <w:tab w:val="left" w:pos="284"/>
        </w:tabs>
        <w:spacing w:line="360" w:lineRule="auto"/>
        <w:rPr>
          <w:rFonts w:asciiTheme="majorHAnsi" w:hAnsiTheme="majorHAnsi"/>
        </w:rPr>
      </w:pPr>
    </w:p>
    <w:p w14:paraId="1FEC3742" w14:textId="77777777" w:rsidR="00EF7585" w:rsidRPr="00734AB6" w:rsidRDefault="00EF7585">
      <w:pPr>
        <w:rPr>
          <w:b/>
        </w:rPr>
      </w:pPr>
      <w:bookmarkStart w:id="165" w:name="_Toc45200537"/>
    </w:p>
    <w:p w14:paraId="4410AC74" w14:textId="77777777" w:rsidR="00EF7585" w:rsidRPr="00734AB6" w:rsidRDefault="00EF7585">
      <w:pPr>
        <w:rPr>
          <w:b/>
        </w:rPr>
      </w:pPr>
    </w:p>
    <w:p w14:paraId="4EB4B0F0" w14:textId="77777777" w:rsidR="00EF7585" w:rsidRPr="00734AB6" w:rsidRDefault="00EF7585">
      <w:pPr>
        <w:rPr>
          <w:b/>
        </w:rPr>
      </w:pPr>
    </w:p>
    <w:p w14:paraId="04F4B604" w14:textId="77777777" w:rsidR="00EF7585" w:rsidRPr="00734AB6" w:rsidRDefault="00EF7585">
      <w:pPr>
        <w:rPr>
          <w:b/>
        </w:rPr>
      </w:pPr>
    </w:p>
    <w:p w14:paraId="3AF76E3A" w14:textId="77777777" w:rsidR="00EF7585" w:rsidRPr="00734AB6" w:rsidRDefault="00EF7585" w:rsidP="00EF7585">
      <w:pPr>
        <w:pBdr>
          <w:top w:val="double" w:sz="4" w:space="1" w:color="auto"/>
        </w:pBdr>
        <w:rPr>
          <w:b/>
        </w:rPr>
      </w:pPr>
    </w:p>
    <w:p w14:paraId="7B3C6D58" w14:textId="77777777" w:rsidR="00FD1829" w:rsidRPr="00734AB6" w:rsidRDefault="00FD1829" w:rsidP="00EF7585">
      <w:pPr>
        <w:rPr>
          <w:rFonts w:asciiTheme="majorHAnsi" w:eastAsiaTheme="majorEastAsia" w:hAnsiTheme="majorHAnsi" w:cstheme="majorBidi"/>
          <w:b/>
        </w:rPr>
      </w:pPr>
      <w:r w:rsidRPr="00734AB6">
        <w:rPr>
          <w:b/>
        </w:rPr>
        <w:br w:type="page"/>
      </w:r>
    </w:p>
    <w:p w14:paraId="5D91EB80" w14:textId="424564E5" w:rsidR="004676EF" w:rsidRPr="00734AB6" w:rsidRDefault="004676EF" w:rsidP="0099584D">
      <w:pPr>
        <w:pStyle w:val="Heading2"/>
        <w:spacing w:line="360" w:lineRule="auto"/>
        <w:rPr>
          <w:b/>
          <w:color w:val="auto"/>
          <w:sz w:val="22"/>
          <w:szCs w:val="22"/>
        </w:rPr>
      </w:pPr>
      <w:bookmarkStart w:id="166" w:name="_Toc48136430"/>
      <w:r w:rsidRPr="00734AB6">
        <w:rPr>
          <w:b/>
          <w:color w:val="auto"/>
          <w:sz w:val="22"/>
          <w:szCs w:val="22"/>
        </w:rPr>
        <w:lastRenderedPageBreak/>
        <w:t>B(xii)</w:t>
      </w:r>
      <w:r w:rsidRPr="00734AB6">
        <w:rPr>
          <w:b/>
          <w:color w:val="auto"/>
          <w:sz w:val="22"/>
          <w:szCs w:val="22"/>
        </w:rPr>
        <w:tab/>
        <w:t>Recreational drug use</w:t>
      </w:r>
      <w:bookmarkEnd w:id="165"/>
      <w:bookmarkEnd w:id="166"/>
    </w:p>
    <w:p w14:paraId="42047ABF" w14:textId="390C255E"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0547B2" w:rsidRPr="00734AB6">
        <w:rPr>
          <w:rFonts w:asciiTheme="majorHAnsi" w:hAnsiTheme="majorHAnsi"/>
          <w:b/>
        </w:rPr>
        <w:t>B.6</w:t>
      </w:r>
      <w:r w:rsidRPr="00734AB6">
        <w:rPr>
          <w:rFonts w:asciiTheme="majorHAnsi" w:hAnsiTheme="majorHAnsi"/>
          <w:b/>
        </w:rPr>
        <w:t>.</w:t>
      </w:r>
      <w:r w:rsidRPr="00734AB6">
        <w:rPr>
          <w:rFonts w:asciiTheme="majorHAnsi" w:hAnsiTheme="majorHAnsi"/>
          <w:b/>
        </w:rPr>
        <w:tab/>
        <w:t>Frequency of recreational Drug use for control group</w:t>
      </w:r>
    </w:p>
    <w:p w14:paraId="40E5C4C8" w14:textId="77777777" w:rsidR="004676EF" w:rsidRPr="00734AB6" w:rsidRDefault="004676EF" w:rsidP="0099584D">
      <w:pPr>
        <w:spacing w:line="360" w:lineRule="auto"/>
        <w:rPr>
          <w:rFonts w:asciiTheme="majorHAnsi" w:hAnsiTheme="majorHAnsi"/>
        </w:rPr>
      </w:pPr>
      <w:r w:rsidRPr="00734AB6">
        <w:rPr>
          <w:rFonts w:asciiTheme="majorHAnsi" w:hAnsiTheme="majorHAnsi"/>
          <w:noProof/>
          <w:lang w:eastAsia="en-GB"/>
        </w:rPr>
        <w:drawing>
          <wp:inline distT="0" distB="0" distL="0" distR="0" wp14:anchorId="75E5FE5B" wp14:editId="1E030E29">
            <wp:extent cx="7307638" cy="4347845"/>
            <wp:effectExtent l="0" t="6033" r="1588" b="1587"/>
            <wp:docPr id="19" name="Picture 19" descr="C:\Users\Rachel T\Dropbox\PhD\Thesis\Appendix Ch.3\frequency of usee of rec drugs contr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chel T\Dropbox\PhD\Thesis\Appendix Ch.3\frequency of usee of rec drugs controls-1.jpg"/>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100000"/>
                              </a14:imgEffect>
                            </a14:imgLayer>
                          </a14:imgProps>
                        </a:ext>
                        <a:ext uri="{28A0092B-C50C-407E-A947-70E740481C1C}">
                          <a14:useLocalDpi xmlns:a14="http://schemas.microsoft.com/office/drawing/2010/main" val="0"/>
                        </a:ext>
                      </a:extLst>
                    </a:blip>
                    <a:srcRect l="8366" t="11353" r="19579" b="30672"/>
                    <a:stretch/>
                  </pic:blipFill>
                  <pic:spPr bwMode="auto">
                    <a:xfrm rot="16200000">
                      <a:off x="0" y="0"/>
                      <a:ext cx="7347207" cy="4371388"/>
                    </a:xfrm>
                    <a:prstGeom prst="rect">
                      <a:avLst/>
                    </a:prstGeom>
                    <a:noFill/>
                    <a:ln>
                      <a:noFill/>
                    </a:ln>
                    <a:extLst>
                      <a:ext uri="{53640926-AAD7-44D8-BBD7-CCE9431645EC}">
                        <a14:shadowObscured xmlns:a14="http://schemas.microsoft.com/office/drawing/2010/main"/>
                      </a:ext>
                    </a:extLst>
                  </pic:spPr>
                </pic:pic>
              </a:graphicData>
            </a:graphic>
          </wp:inline>
        </w:drawing>
      </w:r>
    </w:p>
    <w:p w14:paraId="49BB0CDD" w14:textId="6233AAE3" w:rsidR="004676EF" w:rsidRPr="00734AB6" w:rsidRDefault="004676EF" w:rsidP="0099584D">
      <w:pPr>
        <w:spacing w:line="360" w:lineRule="auto"/>
        <w:rPr>
          <w:rFonts w:asciiTheme="majorHAnsi" w:hAnsiTheme="majorHAnsi"/>
          <w:b/>
        </w:rPr>
      </w:pPr>
      <w:r w:rsidRPr="00734AB6">
        <w:rPr>
          <w:rFonts w:asciiTheme="majorHAnsi" w:hAnsiTheme="majorHAnsi"/>
          <w:b/>
        </w:rPr>
        <w:t>Cont./</w:t>
      </w:r>
    </w:p>
    <w:p w14:paraId="732FB3DB" w14:textId="0813E042" w:rsidR="00FD1829" w:rsidRPr="00734AB6" w:rsidRDefault="00FD1829" w:rsidP="0099584D">
      <w:pPr>
        <w:spacing w:line="360" w:lineRule="auto"/>
        <w:rPr>
          <w:rFonts w:asciiTheme="majorHAnsi" w:hAnsiTheme="majorHAnsi"/>
          <w:b/>
        </w:rPr>
      </w:pPr>
    </w:p>
    <w:p w14:paraId="7D8EF5A7" w14:textId="7072F1EA" w:rsidR="00FD1829" w:rsidRPr="00734AB6" w:rsidRDefault="00FD1829" w:rsidP="0099584D">
      <w:pPr>
        <w:spacing w:line="360" w:lineRule="auto"/>
        <w:rPr>
          <w:rFonts w:asciiTheme="majorHAnsi" w:hAnsiTheme="majorHAnsi"/>
          <w:b/>
        </w:rPr>
      </w:pPr>
    </w:p>
    <w:p w14:paraId="04B78DBB" w14:textId="10C4EBD2" w:rsidR="00FD1829" w:rsidRPr="00734AB6" w:rsidRDefault="00FD1829" w:rsidP="0099584D">
      <w:pPr>
        <w:spacing w:line="360" w:lineRule="auto"/>
        <w:rPr>
          <w:rFonts w:asciiTheme="majorHAnsi" w:hAnsiTheme="majorHAnsi"/>
          <w:b/>
        </w:rPr>
      </w:pPr>
    </w:p>
    <w:p w14:paraId="6D978332" w14:textId="77777777" w:rsidR="00FD1829" w:rsidRPr="00734AB6" w:rsidRDefault="00FD1829" w:rsidP="0099584D">
      <w:pPr>
        <w:spacing w:line="360" w:lineRule="auto"/>
        <w:rPr>
          <w:rFonts w:asciiTheme="majorHAnsi" w:hAnsiTheme="majorHAnsi"/>
          <w:b/>
        </w:rPr>
      </w:pPr>
    </w:p>
    <w:p w14:paraId="27E95CD1" w14:textId="77777777" w:rsidR="004676EF" w:rsidRPr="00734AB6" w:rsidRDefault="004676EF" w:rsidP="0099584D">
      <w:pPr>
        <w:spacing w:line="360" w:lineRule="auto"/>
        <w:rPr>
          <w:rFonts w:asciiTheme="majorHAnsi" w:hAnsiTheme="majorHAnsi"/>
        </w:rPr>
      </w:pPr>
      <w:r w:rsidRPr="00734AB6">
        <w:rPr>
          <w:rFonts w:asciiTheme="majorHAnsi" w:hAnsiTheme="majorHAnsi"/>
          <w:noProof/>
          <w:lang w:eastAsia="en-GB"/>
        </w:rPr>
        <w:drawing>
          <wp:inline distT="0" distB="0" distL="0" distR="0" wp14:anchorId="47FF41DD" wp14:editId="0BC7E4E7">
            <wp:extent cx="8172295" cy="4132047"/>
            <wp:effectExtent l="635" t="0" r="1270" b="1270"/>
            <wp:docPr id="20" name="Picture 20" descr="C:\Users\Rachel T\Dropbox\PhD\Thesis\Appendix Ch.3\frequency of usee of rec drugs contr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chel T\Dropbox\PhD\Thesis\Appendix Ch.3\frequency of usee of rec drugs controls-2.jpg"/>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100000"/>
                              </a14:imgEffect>
                            </a14:imgLayer>
                          </a14:imgProps>
                        </a:ext>
                        <a:ext uri="{28A0092B-C50C-407E-A947-70E740481C1C}">
                          <a14:useLocalDpi xmlns:a14="http://schemas.microsoft.com/office/drawing/2010/main" val="0"/>
                        </a:ext>
                      </a:extLst>
                    </a:blip>
                    <a:srcRect l="8366" t="11594" r="19399" b="38644"/>
                    <a:stretch/>
                  </pic:blipFill>
                  <pic:spPr bwMode="auto">
                    <a:xfrm rot="16200000">
                      <a:off x="0" y="0"/>
                      <a:ext cx="8227207" cy="4159812"/>
                    </a:xfrm>
                    <a:prstGeom prst="rect">
                      <a:avLst/>
                    </a:prstGeom>
                    <a:noFill/>
                    <a:ln>
                      <a:noFill/>
                    </a:ln>
                    <a:extLst>
                      <a:ext uri="{53640926-AAD7-44D8-BBD7-CCE9431645EC}">
                        <a14:shadowObscured xmlns:a14="http://schemas.microsoft.com/office/drawing/2010/main"/>
                      </a:ext>
                    </a:extLst>
                  </pic:spPr>
                </pic:pic>
              </a:graphicData>
            </a:graphic>
          </wp:inline>
        </w:drawing>
      </w:r>
    </w:p>
    <w:p w14:paraId="3E9A924C" w14:textId="77777777" w:rsidR="004676EF" w:rsidRPr="00734AB6" w:rsidRDefault="004676EF" w:rsidP="0099584D">
      <w:pPr>
        <w:tabs>
          <w:tab w:val="left" w:pos="851"/>
        </w:tabs>
        <w:spacing w:line="360" w:lineRule="auto"/>
        <w:rPr>
          <w:rFonts w:asciiTheme="majorHAnsi" w:hAnsiTheme="majorHAnsi"/>
          <w:b/>
        </w:rPr>
      </w:pPr>
    </w:p>
    <w:p w14:paraId="7310C8E9" w14:textId="77777777" w:rsidR="00FD1829" w:rsidRPr="00734AB6" w:rsidRDefault="00FD1829">
      <w:pPr>
        <w:rPr>
          <w:rFonts w:asciiTheme="majorHAnsi" w:hAnsiTheme="majorHAnsi"/>
          <w:b/>
        </w:rPr>
      </w:pPr>
      <w:r w:rsidRPr="00734AB6">
        <w:rPr>
          <w:rFonts w:asciiTheme="majorHAnsi" w:hAnsiTheme="majorHAnsi"/>
          <w:b/>
        </w:rPr>
        <w:br w:type="page"/>
      </w:r>
    </w:p>
    <w:p w14:paraId="4AEB3551" w14:textId="0EA535E2"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rPr>
        <w:lastRenderedPageBreak/>
        <w:t xml:space="preserve">Table </w:t>
      </w:r>
      <w:r w:rsidR="000547B2" w:rsidRPr="00734AB6">
        <w:rPr>
          <w:rFonts w:asciiTheme="majorHAnsi" w:hAnsiTheme="majorHAnsi"/>
          <w:b/>
        </w:rPr>
        <w:t>B.7</w:t>
      </w:r>
      <w:r w:rsidRPr="00734AB6">
        <w:rPr>
          <w:rFonts w:asciiTheme="majorHAnsi" w:hAnsiTheme="majorHAnsi"/>
          <w:b/>
        </w:rPr>
        <w:t>.</w:t>
      </w:r>
      <w:r w:rsidRPr="00734AB6">
        <w:rPr>
          <w:rFonts w:asciiTheme="majorHAnsi" w:hAnsiTheme="majorHAnsi"/>
          <w:b/>
        </w:rPr>
        <w:tab/>
        <w:t>Length of time since last use of recreational drugs by control group</w:t>
      </w:r>
    </w:p>
    <w:p w14:paraId="3C6937BF" w14:textId="77777777"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45EAAA95" wp14:editId="6B47B124">
            <wp:extent cx="7022514" cy="4632928"/>
            <wp:effectExtent l="0" t="5080" r="1905" b="1905"/>
            <wp:docPr id="17" name="Picture 17" descr="C:\Users\Rachel T\Dropbox\PhD\Thesis\Appendix Ch.3\controls frequency of use of rec dru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 T\Dropbox\PhD\Thesis\Appendix Ch.3\controls frequency of use of rec drugs-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196" t="11836" r="16164" b="19561"/>
                    <a:stretch/>
                  </pic:blipFill>
                  <pic:spPr bwMode="auto">
                    <a:xfrm rot="16200000">
                      <a:off x="0" y="0"/>
                      <a:ext cx="7056610" cy="4655422"/>
                    </a:xfrm>
                    <a:prstGeom prst="rect">
                      <a:avLst/>
                    </a:prstGeom>
                    <a:noFill/>
                    <a:ln>
                      <a:noFill/>
                    </a:ln>
                    <a:extLst>
                      <a:ext uri="{53640926-AAD7-44D8-BBD7-CCE9431645EC}">
                        <a14:shadowObscured xmlns:a14="http://schemas.microsoft.com/office/drawing/2010/main"/>
                      </a:ext>
                    </a:extLst>
                  </pic:spPr>
                </pic:pic>
              </a:graphicData>
            </a:graphic>
          </wp:inline>
        </w:drawing>
      </w:r>
    </w:p>
    <w:p w14:paraId="2B8C73A1" w14:textId="6890FFEF" w:rsidR="004676EF" w:rsidRPr="00734AB6" w:rsidRDefault="004676EF" w:rsidP="0099584D">
      <w:pPr>
        <w:spacing w:line="360" w:lineRule="auto"/>
        <w:rPr>
          <w:rFonts w:asciiTheme="majorHAnsi" w:hAnsiTheme="majorHAnsi"/>
          <w:b/>
        </w:rPr>
      </w:pPr>
      <w:r w:rsidRPr="00734AB6">
        <w:rPr>
          <w:rFonts w:asciiTheme="majorHAnsi" w:hAnsiTheme="majorHAnsi"/>
          <w:b/>
        </w:rPr>
        <w:t>Cont./</w:t>
      </w:r>
    </w:p>
    <w:p w14:paraId="1DB76DE3" w14:textId="20FF4CD2" w:rsidR="00FD1829" w:rsidRPr="00734AB6" w:rsidRDefault="00FD1829" w:rsidP="0099584D">
      <w:pPr>
        <w:spacing w:line="360" w:lineRule="auto"/>
        <w:rPr>
          <w:rFonts w:asciiTheme="majorHAnsi" w:hAnsiTheme="majorHAnsi"/>
          <w:b/>
        </w:rPr>
      </w:pPr>
    </w:p>
    <w:p w14:paraId="7D32E655" w14:textId="24BB471D" w:rsidR="00FD1829" w:rsidRPr="00734AB6" w:rsidRDefault="00FD1829" w:rsidP="0099584D">
      <w:pPr>
        <w:spacing w:line="360" w:lineRule="auto"/>
        <w:rPr>
          <w:rFonts w:asciiTheme="majorHAnsi" w:hAnsiTheme="majorHAnsi"/>
          <w:b/>
        </w:rPr>
      </w:pPr>
    </w:p>
    <w:p w14:paraId="3FA3DD4E" w14:textId="0C6DD4E7" w:rsidR="00FD1829" w:rsidRPr="00734AB6" w:rsidRDefault="00FD1829" w:rsidP="0099584D">
      <w:pPr>
        <w:spacing w:line="360" w:lineRule="auto"/>
        <w:rPr>
          <w:rFonts w:asciiTheme="majorHAnsi" w:hAnsiTheme="majorHAnsi"/>
          <w:b/>
        </w:rPr>
      </w:pPr>
    </w:p>
    <w:p w14:paraId="6C8D540B" w14:textId="04DE17B2" w:rsidR="00FD1829" w:rsidRPr="00734AB6" w:rsidRDefault="00FD1829" w:rsidP="0099584D">
      <w:pPr>
        <w:spacing w:line="360" w:lineRule="auto"/>
        <w:rPr>
          <w:rFonts w:asciiTheme="majorHAnsi" w:hAnsiTheme="majorHAnsi"/>
          <w:b/>
        </w:rPr>
      </w:pPr>
    </w:p>
    <w:p w14:paraId="573FB824" w14:textId="77777777" w:rsidR="00FD1829" w:rsidRPr="00734AB6" w:rsidRDefault="00FD1829" w:rsidP="0099584D">
      <w:pPr>
        <w:spacing w:line="360" w:lineRule="auto"/>
        <w:rPr>
          <w:rFonts w:asciiTheme="majorHAnsi" w:hAnsiTheme="majorHAnsi"/>
          <w:b/>
        </w:rPr>
      </w:pPr>
    </w:p>
    <w:p w14:paraId="463CA7C7" w14:textId="77777777" w:rsidR="004676EF" w:rsidRPr="00734AB6" w:rsidRDefault="004676EF" w:rsidP="0099584D">
      <w:pPr>
        <w:spacing w:line="360" w:lineRule="auto"/>
        <w:rPr>
          <w:rFonts w:asciiTheme="majorHAnsi" w:hAnsiTheme="majorHAnsi"/>
          <w:b/>
        </w:rPr>
      </w:pPr>
      <w:r w:rsidRPr="00734AB6">
        <w:rPr>
          <w:rFonts w:asciiTheme="majorHAnsi" w:hAnsiTheme="majorHAnsi"/>
          <w:b/>
          <w:noProof/>
          <w:lang w:eastAsia="en-GB"/>
        </w:rPr>
        <w:drawing>
          <wp:inline distT="0" distB="0" distL="0" distR="0" wp14:anchorId="2B8561F7" wp14:editId="1A97BC36">
            <wp:extent cx="6485042" cy="4618552"/>
            <wp:effectExtent l="0" t="318" r="0" b="0"/>
            <wp:docPr id="16" name="Picture 16" descr="C:\Users\Rachel T\Dropbox\PhD\Thesis\Appendix Ch.3\controls frequency of use of rec dru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chel T\Dropbox\PhD\Thesis\Appendix Ch.3\controls frequency of use of rec drugs-4.jpg"/>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100000"/>
                              </a14:imgEffect>
                            </a14:imgLayer>
                          </a14:imgProps>
                        </a:ext>
                        <a:ext uri="{28A0092B-C50C-407E-A947-70E740481C1C}">
                          <a14:useLocalDpi xmlns:a14="http://schemas.microsoft.com/office/drawing/2010/main" val="0"/>
                        </a:ext>
                      </a:extLst>
                    </a:blip>
                    <a:srcRect l="8197" t="11354" r="15993" b="13762"/>
                    <a:stretch/>
                  </pic:blipFill>
                  <pic:spPr bwMode="auto">
                    <a:xfrm rot="16200000">
                      <a:off x="0" y="0"/>
                      <a:ext cx="6513324" cy="4638694"/>
                    </a:xfrm>
                    <a:prstGeom prst="rect">
                      <a:avLst/>
                    </a:prstGeom>
                    <a:noFill/>
                    <a:ln>
                      <a:noFill/>
                    </a:ln>
                    <a:extLst>
                      <a:ext uri="{53640926-AAD7-44D8-BBD7-CCE9431645EC}">
                        <a14:shadowObscured xmlns:a14="http://schemas.microsoft.com/office/drawing/2010/main"/>
                      </a:ext>
                    </a:extLst>
                  </pic:spPr>
                </pic:pic>
              </a:graphicData>
            </a:graphic>
          </wp:inline>
        </w:drawing>
      </w:r>
    </w:p>
    <w:p w14:paraId="1FFD514A" w14:textId="77777777" w:rsidR="004676EF" w:rsidRPr="00734AB6" w:rsidRDefault="004676EF" w:rsidP="0099584D">
      <w:pPr>
        <w:spacing w:line="360" w:lineRule="auto"/>
        <w:rPr>
          <w:rFonts w:asciiTheme="majorHAnsi" w:hAnsiTheme="majorHAnsi"/>
          <w:b/>
        </w:rPr>
      </w:pPr>
    </w:p>
    <w:p w14:paraId="54244F1C" w14:textId="77777777" w:rsidR="004676EF" w:rsidRPr="00734AB6" w:rsidRDefault="004676EF" w:rsidP="0099584D">
      <w:pPr>
        <w:spacing w:line="360" w:lineRule="auto"/>
        <w:rPr>
          <w:rFonts w:asciiTheme="majorHAnsi" w:hAnsiTheme="majorHAnsi"/>
          <w:b/>
        </w:rPr>
      </w:pPr>
    </w:p>
    <w:p w14:paraId="361B7DF2" w14:textId="77777777" w:rsidR="00FD1829" w:rsidRPr="00734AB6" w:rsidRDefault="00FD1829">
      <w:pPr>
        <w:rPr>
          <w:rFonts w:asciiTheme="majorHAnsi" w:hAnsiTheme="majorHAnsi"/>
          <w:b/>
        </w:rPr>
      </w:pPr>
      <w:r w:rsidRPr="00734AB6">
        <w:rPr>
          <w:rFonts w:asciiTheme="majorHAnsi" w:hAnsiTheme="majorHAnsi"/>
          <w:b/>
        </w:rPr>
        <w:br w:type="page"/>
      </w:r>
    </w:p>
    <w:p w14:paraId="0FFBCD1A" w14:textId="4A1C2DF2"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rPr>
        <w:lastRenderedPageBreak/>
        <w:t xml:space="preserve">Table </w:t>
      </w:r>
      <w:r w:rsidR="000547B2" w:rsidRPr="00734AB6">
        <w:rPr>
          <w:rFonts w:asciiTheme="majorHAnsi" w:hAnsiTheme="majorHAnsi"/>
          <w:b/>
        </w:rPr>
        <w:t>B.8</w:t>
      </w:r>
      <w:r w:rsidRPr="00734AB6">
        <w:rPr>
          <w:rFonts w:asciiTheme="majorHAnsi" w:hAnsiTheme="majorHAnsi"/>
          <w:b/>
        </w:rPr>
        <w:t>.</w:t>
      </w:r>
      <w:r w:rsidRPr="00734AB6">
        <w:rPr>
          <w:rFonts w:asciiTheme="majorHAnsi" w:hAnsiTheme="majorHAnsi"/>
          <w:b/>
        </w:rPr>
        <w:tab/>
        <w:t>Frequency of use of recreational drugs by modafinil group</w:t>
      </w:r>
    </w:p>
    <w:p w14:paraId="49F80F73" w14:textId="77777777"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62ACAF84" wp14:editId="42B6371F">
            <wp:extent cx="6762237" cy="4395884"/>
            <wp:effectExtent l="2223" t="0" r="2857" b="2858"/>
            <wp:docPr id="23" name="Picture 23" descr="C:\Users\Rachel T\Dropbox\PhD\Thesis\Appendix Ch.3\drug use modafin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 T\Dropbox\PhD\Thesis\Appendix Ch.3\drug use modafinil-1.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8537" t="11594" r="24360" b="30672"/>
                    <a:stretch/>
                  </pic:blipFill>
                  <pic:spPr bwMode="auto">
                    <a:xfrm rot="16200000">
                      <a:off x="0" y="0"/>
                      <a:ext cx="6798245" cy="4419291"/>
                    </a:xfrm>
                    <a:prstGeom prst="rect">
                      <a:avLst/>
                    </a:prstGeom>
                    <a:noFill/>
                    <a:ln>
                      <a:noFill/>
                    </a:ln>
                    <a:extLst>
                      <a:ext uri="{53640926-AAD7-44D8-BBD7-CCE9431645EC}">
                        <a14:shadowObscured xmlns:a14="http://schemas.microsoft.com/office/drawing/2010/main"/>
                      </a:ext>
                    </a:extLst>
                  </pic:spPr>
                </pic:pic>
              </a:graphicData>
            </a:graphic>
          </wp:inline>
        </w:drawing>
      </w:r>
    </w:p>
    <w:p w14:paraId="4C7580AC" w14:textId="77483112"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rPr>
        <w:t>Cont./</w:t>
      </w:r>
    </w:p>
    <w:p w14:paraId="278F8896" w14:textId="48779E82" w:rsidR="00FD1829" w:rsidRPr="00734AB6" w:rsidRDefault="00FD1829" w:rsidP="0099584D">
      <w:pPr>
        <w:tabs>
          <w:tab w:val="left" w:pos="851"/>
        </w:tabs>
        <w:spacing w:line="360" w:lineRule="auto"/>
        <w:rPr>
          <w:rFonts w:asciiTheme="majorHAnsi" w:hAnsiTheme="majorHAnsi"/>
          <w:b/>
        </w:rPr>
      </w:pPr>
    </w:p>
    <w:p w14:paraId="3008CE06" w14:textId="5CD48C20" w:rsidR="00FD1829" w:rsidRPr="00734AB6" w:rsidRDefault="00FD1829" w:rsidP="0099584D">
      <w:pPr>
        <w:tabs>
          <w:tab w:val="left" w:pos="851"/>
        </w:tabs>
        <w:spacing w:line="360" w:lineRule="auto"/>
        <w:rPr>
          <w:rFonts w:asciiTheme="majorHAnsi" w:hAnsiTheme="majorHAnsi"/>
          <w:b/>
        </w:rPr>
      </w:pPr>
    </w:p>
    <w:p w14:paraId="6110A08F" w14:textId="55EC6E3B" w:rsidR="00FD1829" w:rsidRPr="00734AB6" w:rsidRDefault="00FD1829" w:rsidP="0099584D">
      <w:pPr>
        <w:tabs>
          <w:tab w:val="left" w:pos="851"/>
        </w:tabs>
        <w:spacing w:line="360" w:lineRule="auto"/>
        <w:rPr>
          <w:rFonts w:asciiTheme="majorHAnsi" w:hAnsiTheme="majorHAnsi"/>
          <w:b/>
        </w:rPr>
      </w:pPr>
    </w:p>
    <w:p w14:paraId="6A4DB6EE" w14:textId="426FBF13" w:rsidR="00FD1829" w:rsidRPr="00734AB6" w:rsidRDefault="00FD1829" w:rsidP="0099584D">
      <w:pPr>
        <w:tabs>
          <w:tab w:val="left" w:pos="851"/>
        </w:tabs>
        <w:spacing w:line="360" w:lineRule="auto"/>
        <w:rPr>
          <w:rFonts w:asciiTheme="majorHAnsi" w:hAnsiTheme="majorHAnsi"/>
          <w:b/>
        </w:rPr>
      </w:pPr>
    </w:p>
    <w:p w14:paraId="540203FC" w14:textId="6C5FAA58" w:rsidR="00FD1829" w:rsidRPr="00734AB6" w:rsidRDefault="00FD1829" w:rsidP="0099584D">
      <w:pPr>
        <w:tabs>
          <w:tab w:val="left" w:pos="851"/>
        </w:tabs>
        <w:spacing w:line="360" w:lineRule="auto"/>
        <w:rPr>
          <w:rFonts w:asciiTheme="majorHAnsi" w:hAnsiTheme="majorHAnsi"/>
          <w:b/>
        </w:rPr>
      </w:pPr>
    </w:p>
    <w:p w14:paraId="2D16DCF8" w14:textId="77777777" w:rsidR="00FD1829" w:rsidRPr="00734AB6" w:rsidRDefault="00FD1829" w:rsidP="0099584D">
      <w:pPr>
        <w:tabs>
          <w:tab w:val="left" w:pos="851"/>
        </w:tabs>
        <w:spacing w:line="360" w:lineRule="auto"/>
        <w:rPr>
          <w:rFonts w:asciiTheme="majorHAnsi" w:hAnsiTheme="majorHAnsi"/>
          <w:b/>
        </w:rPr>
      </w:pPr>
    </w:p>
    <w:p w14:paraId="52D634C7" w14:textId="77777777"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58D61D56" wp14:editId="225505EE">
            <wp:extent cx="7445956" cy="4150051"/>
            <wp:effectExtent l="9525" t="0" r="0" b="0"/>
            <wp:docPr id="22" name="Picture 22" descr="C:\Users\Rachel T\Dropbox\PhD\Thesis\Appendix Ch.3\drug use modafin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chel T\Dropbox\PhD\Thesis\Appendix Ch.3\drug use modafinil-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8197" t="11353" r="24692" b="39126"/>
                    <a:stretch/>
                  </pic:blipFill>
                  <pic:spPr bwMode="auto">
                    <a:xfrm rot="16200000">
                      <a:off x="0" y="0"/>
                      <a:ext cx="7472587" cy="4164894"/>
                    </a:xfrm>
                    <a:prstGeom prst="rect">
                      <a:avLst/>
                    </a:prstGeom>
                    <a:noFill/>
                    <a:ln>
                      <a:noFill/>
                    </a:ln>
                    <a:extLst>
                      <a:ext uri="{53640926-AAD7-44D8-BBD7-CCE9431645EC}">
                        <a14:shadowObscured xmlns:a14="http://schemas.microsoft.com/office/drawing/2010/main"/>
                      </a:ext>
                    </a:extLst>
                  </pic:spPr>
                </pic:pic>
              </a:graphicData>
            </a:graphic>
          </wp:inline>
        </w:drawing>
      </w:r>
    </w:p>
    <w:p w14:paraId="7EB39E84" w14:textId="77777777" w:rsidR="004676EF" w:rsidRPr="00734AB6" w:rsidRDefault="004676EF" w:rsidP="0099584D">
      <w:pPr>
        <w:tabs>
          <w:tab w:val="left" w:pos="851"/>
        </w:tabs>
        <w:spacing w:line="360" w:lineRule="auto"/>
        <w:rPr>
          <w:rFonts w:asciiTheme="majorHAnsi" w:hAnsiTheme="majorHAnsi"/>
          <w:b/>
        </w:rPr>
      </w:pPr>
    </w:p>
    <w:p w14:paraId="4BD52131" w14:textId="77777777" w:rsidR="004676EF" w:rsidRPr="00734AB6" w:rsidRDefault="004676EF" w:rsidP="0099584D">
      <w:pPr>
        <w:tabs>
          <w:tab w:val="left" w:pos="851"/>
        </w:tabs>
        <w:spacing w:line="360" w:lineRule="auto"/>
        <w:rPr>
          <w:rFonts w:asciiTheme="majorHAnsi" w:hAnsiTheme="majorHAnsi"/>
          <w:b/>
        </w:rPr>
      </w:pPr>
    </w:p>
    <w:p w14:paraId="4A673CBA" w14:textId="77777777" w:rsidR="004676EF" w:rsidRPr="00734AB6" w:rsidRDefault="004676EF" w:rsidP="0099584D">
      <w:pPr>
        <w:tabs>
          <w:tab w:val="left" w:pos="851"/>
        </w:tabs>
        <w:spacing w:line="360" w:lineRule="auto"/>
        <w:rPr>
          <w:rFonts w:asciiTheme="majorHAnsi" w:hAnsiTheme="majorHAnsi"/>
          <w:b/>
        </w:rPr>
      </w:pPr>
    </w:p>
    <w:p w14:paraId="20278629" w14:textId="77777777" w:rsidR="00FD1829" w:rsidRPr="00734AB6" w:rsidRDefault="00FD1829">
      <w:pPr>
        <w:rPr>
          <w:rFonts w:asciiTheme="majorHAnsi" w:hAnsiTheme="majorHAnsi"/>
          <w:b/>
        </w:rPr>
      </w:pPr>
      <w:r w:rsidRPr="00734AB6">
        <w:rPr>
          <w:rFonts w:asciiTheme="majorHAnsi" w:hAnsiTheme="majorHAnsi"/>
          <w:b/>
        </w:rPr>
        <w:br w:type="page"/>
      </w:r>
    </w:p>
    <w:p w14:paraId="759182EF" w14:textId="32D13D40"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rPr>
        <w:lastRenderedPageBreak/>
        <w:t xml:space="preserve">Table </w:t>
      </w:r>
      <w:r w:rsidR="00B16571" w:rsidRPr="00734AB6">
        <w:rPr>
          <w:rFonts w:asciiTheme="majorHAnsi" w:hAnsiTheme="majorHAnsi"/>
          <w:b/>
        </w:rPr>
        <w:t>B.9</w:t>
      </w:r>
      <w:r w:rsidRPr="00734AB6">
        <w:rPr>
          <w:rFonts w:asciiTheme="majorHAnsi" w:hAnsiTheme="majorHAnsi"/>
          <w:b/>
        </w:rPr>
        <w:t>.</w:t>
      </w:r>
      <w:r w:rsidRPr="00734AB6">
        <w:rPr>
          <w:rFonts w:asciiTheme="majorHAnsi" w:hAnsiTheme="majorHAnsi"/>
          <w:b/>
        </w:rPr>
        <w:tab/>
        <w:t>Length of time since last use of recreational drugs by modafinil group</w:t>
      </w:r>
    </w:p>
    <w:p w14:paraId="6A590315" w14:textId="77777777"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3C174423" wp14:editId="40D09421">
            <wp:extent cx="6914189" cy="4598358"/>
            <wp:effectExtent l="0" t="4128" r="0" b="0"/>
            <wp:docPr id="24" name="Picture 24" descr="C:\Users\Rachel T\Dropbox\PhD\Thesis\Appendix Ch.3\drug use modafin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chel T\Dropbox\PhD\Thesis\Appendix Ch.3\drug use modafinil-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197" t="11354" r="15993" b="19318"/>
                    <a:stretch/>
                  </pic:blipFill>
                  <pic:spPr bwMode="auto">
                    <a:xfrm rot="16200000">
                      <a:off x="0" y="0"/>
                      <a:ext cx="6942922" cy="4617467"/>
                    </a:xfrm>
                    <a:prstGeom prst="rect">
                      <a:avLst/>
                    </a:prstGeom>
                    <a:noFill/>
                    <a:ln>
                      <a:noFill/>
                    </a:ln>
                    <a:extLst>
                      <a:ext uri="{53640926-AAD7-44D8-BBD7-CCE9431645EC}">
                        <a14:shadowObscured xmlns:a14="http://schemas.microsoft.com/office/drawing/2010/main"/>
                      </a:ext>
                    </a:extLst>
                  </pic:spPr>
                </pic:pic>
              </a:graphicData>
            </a:graphic>
          </wp:inline>
        </w:drawing>
      </w:r>
    </w:p>
    <w:p w14:paraId="73D82AFF" w14:textId="6127D841"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rPr>
        <w:t>Cont./</w:t>
      </w:r>
    </w:p>
    <w:p w14:paraId="50A01E5D" w14:textId="29B9AD14" w:rsidR="00FD1829" w:rsidRPr="00734AB6" w:rsidRDefault="00FD1829" w:rsidP="0099584D">
      <w:pPr>
        <w:tabs>
          <w:tab w:val="left" w:pos="851"/>
        </w:tabs>
        <w:spacing w:line="360" w:lineRule="auto"/>
        <w:rPr>
          <w:rFonts w:asciiTheme="majorHAnsi" w:hAnsiTheme="majorHAnsi"/>
          <w:b/>
        </w:rPr>
      </w:pPr>
    </w:p>
    <w:p w14:paraId="5331A331" w14:textId="324E8138" w:rsidR="00FD1829" w:rsidRPr="00734AB6" w:rsidRDefault="00FD1829" w:rsidP="0099584D">
      <w:pPr>
        <w:tabs>
          <w:tab w:val="left" w:pos="851"/>
        </w:tabs>
        <w:spacing w:line="360" w:lineRule="auto"/>
        <w:rPr>
          <w:rFonts w:asciiTheme="majorHAnsi" w:hAnsiTheme="majorHAnsi"/>
          <w:b/>
        </w:rPr>
      </w:pPr>
    </w:p>
    <w:p w14:paraId="08C002D6" w14:textId="493975C7" w:rsidR="00FD1829" w:rsidRPr="00734AB6" w:rsidRDefault="00FD1829" w:rsidP="0099584D">
      <w:pPr>
        <w:tabs>
          <w:tab w:val="left" w:pos="851"/>
        </w:tabs>
        <w:spacing w:line="360" w:lineRule="auto"/>
        <w:rPr>
          <w:rFonts w:asciiTheme="majorHAnsi" w:hAnsiTheme="majorHAnsi"/>
          <w:b/>
        </w:rPr>
      </w:pPr>
    </w:p>
    <w:p w14:paraId="3C682950" w14:textId="0305A9A0" w:rsidR="00FD1829" w:rsidRPr="00734AB6" w:rsidRDefault="00FD1829" w:rsidP="0099584D">
      <w:pPr>
        <w:tabs>
          <w:tab w:val="left" w:pos="851"/>
        </w:tabs>
        <w:spacing w:line="360" w:lineRule="auto"/>
        <w:rPr>
          <w:rFonts w:asciiTheme="majorHAnsi" w:hAnsiTheme="majorHAnsi"/>
          <w:b/>
        </w:rPr>
      </w:pPr>
    </w:p>
    <w:p w14:paraId="0B48FE26" w14:textId="77777777" w:rsidR="00FD1829" w:rsidRPr="00734AB6" w:rsidRDefault="00FD1829" w:rsidP="0099584D">
      <w:pPr>
        <w:tabs>
          <w:tab w:val="left" w:pos="851"/>
        </w:tabs>
        <w:spacing w:line="360" w:lineRule="auto"/>
        <w:rPr>
          <w:rFonts w:asciiTheme="majorHAnsi" w:hAnsiTheme="majorHAnsi"/>
          <w:b/>
        </w:rPr>
      </w:pPr>
    </w:p>
    <w:p w14:paraId="46F667D5" w14:textId="77777777" w:rsidR="004676EF" w:rsidRPr="00734AB6" w:rsidRDefault="004676EF" w:rsidP="0099584D">
      <w:pPr>
        <w:tabs>
          <w:tab w:val="left" w:pos="851"/>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37DCD3D6" wp14:editId="7C635A78">
            <wp:extent cx="7586863" cy="4513580"/>
            <wp:effectExtent l="0" t="6667" r="7937" b="7938"/>
            <wp:docPr id="25" name="Picture 25" descr="C:\Users\Rachel T\Dropbox\PhD\Thesis\Appendix Ch.3\drug use modafin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chel T\Dropbox\PhD\Thesis\Appendix Ch.3\drug use modafinil-4.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7854" t="11353" r="15481" b="27773"/>
                    <a:stretch/>
                  </pic:blipFill>
                  <pic:spPr bwMode="auto">
                    <a:xfrm rot="16200000">
                      <a:off x="0" y="0"/>
                      <a:ext cx="7620220" cy="4533425"/>
                    </a:xfrm>
                    <a:prstGeom prst="rect">
                      <a:avLst/>
                    </a:prstGeom>
                    <a:noFill/>
                    <a:ln>
                      <a:noFill/>
                    </a:ln>
                    <a:extLst>
                      <a:ext uri="{53640926-AAD7-44D8-BBD7-CCE9431645EC}">
                        <a14:shadowObscured xmlns:a14="http://schemas.microsoft.com/office/drawing/2010/main"/>
                      </a:ext>
                    </a:extLst>
                  </pic:spPr>
                </pic:pic>
              </a:graphicData>
            </a:graphic>
          </wp:inline>
        </w:drawing>
      </w:r>
    </w:p>
    <w:p w14:paraId="75FA1F22" w14:textId="77777777" w:rsidR="004676EF" w:rsidRPr="00734AB6" w:rsidRDefault="004676EF" w:rsidP="0099584D">
      <w:pPr>
        <w:spacing w:line="360" w:lineRule="auto"/>
        <w:rPr>
          <w:rFonts w:asciiTheme="majorHAnsi" w:hAnsiTheme="majorHAnsi"/>
          <w:b/>
        </w:rPr>
      </w:pPr>
    </w:p>
    <w:p w14:paraId="37C36133" w14:textId="77777777" w:rsidR="00FD1829" w:rsidRPr="00734AB6" w:rsidRDefault="00FD1829">
      <w:pPr>
        <w:rPr>
          <w:rFonts w:asciiTheme="majorHAnsi" w:hAnsiTheme="majorHAnsi"/>
          <w:b/>
        </w:rPr>
      </w:pPr>
      <w:r w:rsidRPr="00734AB6">
        <w:rPr>
          <w:rFonts w:asciiTheme="majorHAnsi" w:hAnsiTheme="majorHAnsi"/>
          <w:b/>
        </w:rPr>
        <w:br w:type="page"/>
      </w:r>
    </w:p>
    <w:p w14:paraId="07EF71ED" w14:textId="0A92AB54"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lastRenderedPageBreak/>
        <w:t xml:space="preserve">Table </w:t>
      </w:r>
      <w:r w:rsidR="00B16571" w:rsidRPr="00734AB6">
        <w:rPr>
          <w:rFonts w:asciiTheme="majorHAnsi" w:hAnsiTheme="majorHAnsi"/>
          <w:b/>
        </w:rPr>
        <w:t>B.10</w:t>
      </w:r>
      <w:r w:rsidRPr="00734AB6">
        <w:rPr>
          <w:rFonts w:asciiTheme="majorHAnsi" w:hAnsiTheme="majorHAnsi"/>
          <w:b/>
        </w:rPr>
        <w:t>.</w:t>
      </w:r>
      <w:r w:rsidRPr="00734AB6">
        <w:rPr>
          <w:rFonts w:asciiTheme="majorHAnsi" w:hAnsiTheme="majorHAnsi"/>
          <w:b/>
        </w:rPr>
        <w:tab/>
        <w:t>Frequency of recreational drug use by methylphenidate group</w:t>
      </w:r>
    </w:p>
    <w:p w14:paraId="07F23E35"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75629C9A" wp14:editId="26F28591">
            <wp:extent cx="7613247" cy="4502605"/>
            <wp:effectExtent l="0" t="6667" r="317" b="318"/>
            <wp:docPr id="26" name="Picture 26" descr="C:\Users\Rachel T\Dropbox\PhD\Thesis\Appendix Ch.3\drug use methylphenid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 T\Dropbox\PhD\Thesis\Appendix Ch.3\drug use methylphenidate-1.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8348" t="11537" r="19467" b="32787"/>
                    <a:stretch/>
                  </pic:blipFill>
                  <pic:spPr bwMode="auto">
                    <a:xfrm rot="16200000">
                      <a:off x="0" y="0"/>
                      <a:ext cx="7669678" cy="4535979"/>
                    </a:xfrm>
                    <a:prstGeom prst="rect">
                      <a:avLst/>
                    </a:prstGeom>
                    <a:noFill/>
                    <a:ln>
                      <a:noFill/>
                    </a:ln>
                    <a:extLst>
                      <a:ext uri="{53640926-AAD7-44D8-BBD7-CCE9431645EC}">
                        <a14:shadowObscured xmlns:a14="http://schemas.microsoft.com/office/drawing/2010/main"/>
                      </a:ext>
                    </a:extLst>
                  </pic:spPr>
                </pic:pic>
              </a:graphicData>
            </a:graphic>
          </wp:inline>
        </w:drawing>
      </w:r>
    </w:p>
    <w:p w14:paraId="1CDC3A56" w14:textId="0A4AB2EE" w:rsidR="00B16571"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Cont./</w:t>
      </w:r>
    </w:p>
    <w:p w14:paraId="6EBF04A1" w14:textId="31217D91" w:rsidR="00FD1829" w:rsidRPr="00734AB6" w:rsidRDefault="00FD1829" w:rsidP="0099584D">
      <w:pPr>
        <w:tabs>
          <w:tab w:val="left" w:pos="993"/>
        </w:tabs>
        <w:spacing w:line="360" w:lineRule="auto"/>
        <w:rPr>
          <w:rFonts w:asciiTheme="majorHAnsi" w:hAnsiTheme="majorHAnsi"/>
          <w:b/>
        </w:rPr>
      </w:pPr>
    </w:p>
    <w:p w14:paraId="6CDAF7F8" w14:textId="2767CC32" w:rsidR="00FD1829" w:rsidRPr="00734AB6" w:rsidRDefault="00FD1829" w:rsidP="0099584D">
      <w:pPr>
        <w:tabs>
          <w:tab w:val="left" w:pos="993"/>
        </w:tabs>
        <w:spacing w:line="360" w:lineRule="auto"/>
        <w:rPr>
          <w:rFonts w:asciiTheme="majorHAnsi" w:hAnsiTheme="majorHAnsi"/>
          <w:b/>
        </w:rPr>
      </w:pPr>
    </w:p>
    <w:p w14:paraId="031F2229" w14:textId="77777777" w:rsidR="00FD1829" w:rsidRPr="00734AB6" w:rsidRDefault="00FD1829" w:rsidP="0099584D">
      <w:pPr>
        <w:tabs>
          <w:tab w:val="left" w:pos="993"/>
        </w:tabs>
        <w:spacing w:line="360" w:lineRule="auto"/>
        <w:rPr>
          <w:rFonts w:asciiTheme="majorHAnsi" w:hAnsiTheme="majorHAnsi"/>
          <w:b/>
        </w:rPr>
      </w:pPr>
    </w:p>
    <w:p w14:paraId="5AF8C296" w14:textId="47B6B561"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2B937C96" wp14:editId="54ED2DCA">
            <wp:extent cx="7372014" cy="4068270"/>
            <wp:effectExtent l="0" t="5397" r="0" b="0"/>
            <wp:docPr id="27" name="Picture 27" descr="C:\Users\Rachel T\Dropbox\PhD\Thesis\Appendix Ch.3\drug use methylphenid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 T\Dropbox\PhD\Thesis\Appendix Ch.3\drug use methylphenidate-2.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8300" t="11149" r="19478" b="39266"/>
                    <a:stretch/>
                  </pic:blipFill>
                  <pic:spPr bwMode="auto">
                    <a:xfrm rot="16200000">
                      <a:off x="0" y="0"/>
                      <a:ext cx="7433722" cy="4102324"/>
                    </a:xfrm>
                    <a:prstGeom prst="rect">
                      <a:avLst/>
                    </a:prstGeom>
                    <a:noFill/>
                    <a:ln>
                      <a:noFill/>
                    </a:ln>
                    <a:extLst>
                      <a:ext uri="{53640926-AAD7-44D8-BBD7-CCE9431645EC}">
                        <a14:shadowObscured xmlns:a14="http://schemas.microsoft.com/office/drawing/2010/main"/>
                      </a:ext>
                    </a:extLst>
                  </pic:spPr>
                </pic:pic>
              </a:graphicData>
            </a:graphic>
          </wp:inline>
        </w:drawing>
      </w:r>
    </w:p>
    <w:p w14:paraId="144DC93D" w14:textId="4AC1B209" w:rsidR="004676EF" w:rsidRPr="00734AB6" w:rsidRDefault="004676EF" w:rsidP="0099584D">
      <w:pPr>
        <w:tabs>
          <w:tab w:val="left" w:pos="993"/>
          <w:tab w:val="left" w:pos="1276"/>
        </w:tabs>
        <w:spacing w:line="360" w:lineRule="auto"/>
        <w:rPr>
          <w:rFonts w:asciiTheme="majorHAnsi" w:hAnsiTheme="majorHAnsi"/>
          <w:b/>
          <w:noProof/>
          <w:lang w:eastAsia="en-GB"/>
        </w:rPr>
      </w:pPr>
      <w:r w:rsidRPr="00734AB6">
        <w:rPr>
          <w:rFonts w:asciiTheme="majorHAnsi" w:hAnsiTheme="majorHAnsi"/>
          <w:b/>
        </w:rPr>
        <w:lastRenderedPageBreak/>
        <w:t xml:space="preserve">Table </w:t>
      </w:r>
      <w:r w:rsidR="00B16571" w:rsidRPr="00734AB6">
        <w:rPr>
          <w:rFonts w:asciiTheme="majorHAnsi" w:hAnsiTheme="majorHAnsi"/>
          <w:b/>
        </w:rPr>
        <w:t>B.11</w:t>
      </w:r>
      <w:r w:rsidRPr="00734AB6">
        <w:rPr>
          <w:rFonts w:asciiTheme="majorHAnsi" w:hAnsiTheme="majorHAnsi"/>
          <w:b/>
        </w:rPr>
        <w:t>.</w:t>
      </w:r>
      <w:r w:rsidRPr="00734AB6">
        <w:rPr>
          <w:rFonts w:asciiTheme="majorHAnsi" w:hAnsiTheme="majorHAnsi"/>
          <w:b/>
        </w:rPr>
        <w:tab/>
      </w:r>
      <w:r w:rsidRPr="00734AB6">
        <w:rPr>
          <w:rFonts w:asciiTheme="majorHAnsi" w:hAnsiTheme="majorHAnsi"/>
          <w:b/>
        </w:rPr>
        <w:tab/>
        <w:t>Length of time since last use of recreational drugs by methylphenidate group</w:t>
      </w:r>
      <w:r w:rsidRPr="00734AB6">
        <w:rPr>
          <w:rFonts w:asciiTheme="majorHAnsi" w:hAnsiTheme="majorHAnsi"/>
          <w:b/>
          <w:noProof/>
          <w:lang w:eastAsia="en-GB"/>
        </w:rPr>
        <w:t xml:space="preserve"> </w:t>
      </w:r>
      <w:r w:rsidRPr="00734AB6">
        <w:rPr>
          <w:rFonts w:asciiTheme="majorHAnsi" w:hAnsiTheme="majorHAnsi"/>
          <w:b/>
          <w:noProof/>
          <w:lang w:eastAsia="en-GB"/>
        </w:rPr>
        <w:drawing>
          <wp:inline distT="0" distB="0" distL="0" distR="0" wp14:anchorId="533B08FD" wp14:editId="3C04AD39">
            <wp:extent cx="7306385" cy="4469765"/>
            <wp:effectExtent l="8572" t="0" r="0" b="0"/>
            <wp:docPr id="28" name="Picture 28" descr="C:\Users\Rachel T\Dropbox\PhD\Thesis\Appendix Ch.3\drug use methylphenid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 T\Dropbox\PhD\Thesis\Appendix Ch.3\drug use methylphenidate-3.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8205" t="11306" r="14585" b="26281"/>
                    <a:stretch/>
                  </pic:blipFill>
                  <pic:spPr bwMode="auto">
                    <a:xfrm rot="16200000">
                      <a:off x="0" y="0"/>
                      <a:ext cx="7352216" cy="4497803"/>
                    </a:xfrm>
                    <a:prstGeom prst="rect">
                      <a:avLst/>
                    </a:prstGeom>
                    <a:noFill/>
                    <a:ln>
                      <a:noFill/>
                    </a:ln>
                    <a:extLst>
                      <a:ext uri="{53640926-AAD7-44D8-BBD7-CCE9431645EC}">
                        <a14:shadowObscured xmlns:a14="http://schemas.microsoft.com/office/drawing/2010/main"/>
                      </a:ext>
                    </a:extLst>
                  </pic:spPr>
                </pic:pic>
              </a:graphicData>
            </a:graphic>
          </wp:inline>
        </w:drawing>
      </w:r>
    </w:p>
    <w:p w14:paraId="072DED59" w14:textId="5C6E4121" w:rsidR="004676EF" w:rsidRPr="00734AB6" w:rsidRDefault="004676EF" w:rsidP="0099584D">
      <w:pPr>
        <w:tabs>
          <w:tab w:val="left" w:pos="993"/>
        </w:tabs>
        <w:spacing w:line="360" w:lineRule="auto"/>
        <w:rPr>
          <w:rFonts w:asciiTheme="majorHAnsi" w:hAnsiTheme="majorHAnsi"/>
          <w:b/>
          <w:noProof/>
          <w:lang w:eastAsia="en-GB"/>
        </w:rPr>
      </w:pPr>
      <w:r w:rsidRPr="00734AB6">
        <w:rPr>
          <w:rFonts w:asciiTheme="majorHAnsi" w:hAnsiTheme="majorHAnsi"/>
          <w:b/>
          <w:noProof/>
          <w:lang w:eastAsia="en-GB"/>
        </w:rPr>
        <w:t>Cont./</w:t>
      </w:r>
    </w:p>
    <w:p w14:paraId="0CC57EB6" w14:textId="0F9ACFEE" w:rsidR="00FD1829" w:rsidRPr="00734AB6" w:rsidRDefault="00FD1829" w:rsidP="0099584D">
      <w:pPr>
        <w:tabs>
          <w:tab w:val="left" w:pos="993"/>
        </w:tabs>
        <w:spacing w:line="360" w:lineRule="auto"/>
        <w:rPr>
          <w:rFonts w:asciiTheme="majorHAnsi" w:hAnsiTheme="majorHAnsi"/>
          <w:b/>
          <w:noProof/>
          <w:lang w:eastAsia="en-GB"/>
        </w:rPr>
      </w:pPr>
    </w:p>
    <w:p w14:paraId="41279FB3" w14:textId="28265F62" w:rsidR="00FD1829" w:rsidRPr="00734AB6" w:rsidRDefault="00FD1829" w:rsidP="0099584D">
      <w:pPr>
        <w:tabs>
          <w:tab w:val="left" w:pos="993"/>
        </w:tabs>
        <w:spacing w:line="360" w:lineRule="auto"/>
        <w:rPr>
          <w:rFonts w:asciiTheme="majorHAnsi" w:hAnsiTheme="majorHAnsi"/>
          <w:b/>
          <w:noProof/>
          <w:lang w:eastAsia="en-GB"/>
        </w:rPr>
      </w:pPr>
    </w:p>
    <w:p w14:paraId="632605C5" w14:textId="44B8483C" w:rsidR="00FD1829" w:rsidRPr="00734AB6" w:rsidRDefault="00FD1829" w:rsidP="0099584D">
      <w:pPr>
        <w:tabs>
          <w:tab w:val="left" w:pos="993"/>
        </w:tabs>
        <w:spacing w:line="360" w:lineRule="auto"/>
        <w:rPr>
          <w:rFonts w:asciiTheme="majorHAnsi" w:hAnsiTheme="majorHAnsi"/>
          <w:b/>
          <w:noProof/>
          <w:lang w:eastAsia="en-GB"/>
        </w:rPr>
      </w:pPr>
    </w:p>
    <w:p w14:paraId="6CB7EE53" w14:textId="673EDFC2" w:rsidR="00FD1829" w:rsidRPr="00734AB6" w:rsidRDefault="00FD1829" w:rsidP="0099584D">
      <w:pPr>
        <w:tabs>
          <w:tab w:val="left" w:pos="993"/>
        </w:tabs>
        <w:spacing w:line="360" w:lineRule="auto"/>
        <w:rPr>
          <w:rFonts w:asciiTheme="majorHAnsi" w:hAnsiTheme="majorHAnsi"/>
          <w:b/>
          <w:noProof/>
          <w:lang w:eastAsia="en-GB"/>
        </w:rPr>
      </w:pPr>
    </w:p>
    <w:p w14:paraId="721B0E2F" w14:textId="77777777" w:rsidR="00FD1829" w:rsidRPr="00734AB6" w:rsidRDefault="00FD1829" w:rsidP="0099584D">
      <w:pPr>
        <w:tabs>
          <w:tab w:val="left" w:pos="993"/>
        </w:tabs>
        <w:spacing w:line="360" w:lineRule="auto"/>
        <w:rPr>
          <w:rFonts w:asciiTheme="majorHAnsi" w:hAnsiTheme="majorHAnsi"/>
          <w:b/>
          <w:noProof/>
          <w:lang w:eastAsia="en-GB"/>
        </w:rPr>
      </w:pPr>
    </w:p>
    <w:p w14:paraId="07F72E0D"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noProof/>
          <w:lang w:eastAsia="en-GB"/>
        </w:rPr>
        <w:drawing>
          <wp:inline distT="0" distB="0" distL="0" distR="0" wp14:anchorId="6DECFDFA" wp14:editId="084EA2E3">
            <wp:extent cx="7787271" cy="4652910"/>
            <wp:effectExtent l="5080" t="0" r="0" b="0"/>
            <wp:docPr id="29" name="Picture 29" descr="C:\Users\Rachel T\Dropbox\PhD\Thesis\Appendix Ch.3\drug use methylphenid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T\Dropbox\PhD\Thesis\Appendix Ch.3\drug use methylphenidate-4.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7885" t="11441" r="14492" b="27237"/>
                    <a:stretch/>
                  </pic:blipFill>
                  <pic:spPr bwMode="auto">
                    <a:xfrm rot="16200000">
                      <a:off x="0" y="0"/>
                      <a:ext cx="7818794" cy="4671745"/>
                    </a:xfrm>
                    <a:prstGeom prst="rect">
                      <a:avLst/>
                    </a:prstGeom>
                    <a:noFill/>
                    <a:ln>
                      <a:noFill/>
                    </a:ln>
                    <a:extLst>
                      <a:ext uri="{53640926-AAD7-44D8-BBD7-CCE9431645EC}">
                        <a14:shadowObscured xmlns:a14="http://schemas.microsoft.com/office/drawing/2010/main"/>
                      </a:ext>
                    </a:extLst>
                  </pic:spPr>
                </pic:pic>
              </a:graphicData>
            </a:graphic>
          </wp:inline>
        </w:drawing>
      </w:r>
    </w:p>
    <w:p w14:paraId="28A7A3D8" w14:textId="77777777" w:rsidR="00FD1829" w:rsidRPr="00734AB6" w:rsidRDefault="00FD1829">
      <w:pPr>
        <w:rPr>
          <w:rFonts w:asciiTheme="majorHAnsi" w:eastAsiaTheme="majorEastAsia" w:hAnsiTheme="majorHAnsi" w:cstheme="majorBidi"/>
          <w:b/>
        </w:rPr>
      </w:pPr>
      <w:bookmarkStart w:id="167" w:name="_Toc45200538"/>
      <w:r w:rsidRPr="00734AB6">
        <w:rPr>
          <w:b/>
        </w:rPr>
        <w:br w:type="page"/>
      </w:r>
    </w:p>
    <w:p w14:paraId="30AE5D79" w14:textId="647CF3F3" w:rsidR="004676EF" w:rsidRPr="00734AB6" w:rsidRDefault="004676EF" w:rsidP="0099584D">
      <w:pPr>
        <w:pStyle w:val="Heading2"/>
        <w:spacing w:line="360" w:lineRule="auto"/>
        <w:rPr>
          <w:b/>
          <w:color w:val="auto"/>
          <w:sz w:val="22"/>
          <w:szCs w:val="22"/>
        </w:rPr>
      </w:pPr>
      <w:bookmarkStart w:id="168" w:name="_Toc48136431"/>
      <w:r w:rsidRPr="00734AB6">
        <w:rPr>
          <w:b/>
          <w:color w:val="auto"/>
          <w:sz w:val="22"/>
          <w:szCs w:val="22"/>
        </w:rPr>
        <w:lastRenderedPageBreak/>
        <w:t>B(xiii)</w:t>
      </w:r>
      <w:r w:rsidRPr="00734AB6">
        <w:rPr>
          <w:b/>
          <w:color w:val="auto"/>
          <w:sz w:val="22"/>
          <w:szCs w:val="22"/>
        </w:rPr>
        <w:tab/>
        <w:t>Modafinil dosage</w:t>
      </w:r>
      <w:bookmarkEnd w:id="167"/>
      <w:bookmarkEnd w:id="168"/>
    </w:p>
    <w:p w14:paraId="2C44C001" w14:textId="6608EC65"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B16571" w:rsidRPr="00734AB6">
        <w:rPr>
          <w:rFonts w:asciiTheme="majorHAnsi" w:hAnsiTheme="majorHAnsi"/>
          <w:b/>
        </w:rPr>
        <w:t>B.12</w:t>
      </w:r>
      <w:r w:rsidRPr="00734AB6">
        <w:rPr>
          <w:rFonts w:asciiTheme="majorHAnsi" w:hAnsiTheme="majorHAnsi"/>
          <w:b/>
        </w:rPr>
        <w:t>.</w:t>
      </w:r>
      <w:r w:rsidRPr="00734AB6">
        <w:rPr>
          <w:rFonts w:asciiTheme="majorHAnsi" w:hAnsiTheme="majorHAnsi"/>
          <w:b/>
        </w:rPr>
        <w:tab/>
        <w:t>Maximum and minimum reported dose of modafinil taken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536"/>
        <w:gridCol w:w="1418"/>
        <w:gridCol w:w="1418"/>
      </w:tblGrid>
      <w:tr w:rsidR="004676EF" w:rsidRPr="00734AB6" w14:paraId="673BF648" w14:textId="77777777" w:rsidTr="004676EF">
        <w:tc>
          <w:tcPr>
            <w:tcW w:w="4536" w:type="dxa"/>
            <w:tcBorders>
              <w:bottom w:val="single" w:sz="4" w:space="0" w:color="auto"/>
            </w:tcBorders>
          </w:tcPr>
          <w:p w14:paraId="6486A00E"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b/>
              </w:rPr>
              <w:t xml:space="preserve">Dosage </w:t>
            </w:r>
          </w:p>
        </w:tc>
        <w:tc>
          <w:tcPr>
            <w:tcW w:w="1418" w:type="dxa"/>
            <w:tcBorders>
              <w:bottom w:val="single" w:sz="4" w:space="0" w:color="auto"/>
            </w:tcBorders>
          </w:tcPr>
          <w:p w14:paraId="1BB7340C"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Maximum</w:t>
            </w:r>
          </w:p>
          <w:p w14:paraId="5E54669B"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 xml:space="preserve">N (%)* </w:t>
            </w:r>
          </w:p>
        </w:tc>
        <w:tc>
          <w:tcPr>
            <w:tcW w:w="1418" w:type="dxa"/>
            <w:tcBorders>
              <w:bottom w:val="single" w:sz="4" w:space="0" w:color="auto"/>
            </w:tcBorders>
          </w:tcPr>
          <w:p w14:paraId="66F135A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Minimum</w:t>
            </w:r>
          </w:p>
          <w:p w14:paraId="4EA33BD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N (%)*</w:t>
            </w:r>
          </w:p>
        </w:tc>
      </w:tr>
      <w:tr w:rsidR="004676EF" w:rsidRPr="00734AB6" w14:paraId="2BEF7D1F" w14:textId="77777777" w:rsidTr="004676EF">
        <w:tc>
          <w:tcPr>
            <w:tcW w:w="4536" w:type="dxa"/>
            <w:tcBorders>
              <w:bottom w:val="nil"/>
            </w:tcBorders>
          </w:tcPr>
          <w:p w14:paraId="02640B11"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Less than 50mg</w:t>
            </w:r>
          </w:p>
        </w:tc>
        <w:tc>
          <w:tcPr>
            <w:tcW w:w="1418" w:type="dxa"/>
            <w:tcBorders>
              <w:bottom w:val="nil"/>
            </w:tcBorders>
          </w:tcPr>
          <w:p w14:paraId="530935A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c>
          <w:tcPr>
            <w:tcW w:w="1418" w:type="dxa"/>
            <w:tcBorders>
              <w:bottom w:val="nil"/>
            </w:tcBorders>
          </w:tcPr>
          <w:p w14:paraId="235C6DDD"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15 (6.02)</w:t>
            </w:r>
          </w:p>
        </w:tc>
      </w:tr>
      <w:tr w:rsidR="004676EF" w:rsidRPr="00734AB6" w14:paraId="2C8D0A4D" w14:textId="77777777" w:rsidTr="004676EF">
        <w:tc>
          <w:tcPr>
            <w:tcW w:w="4536" w:type="dxa"/>
            <w:tcBorders>
              <w:top w:val="nil"/>
              <w:bottom w:val="nil"/>
            </w:tcBorders>
          </w:tcPr>
          <w:p w14:paraId="1D9FCCD4"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50mg</w:t>
            </w:r>
          </w:p>
        </w:tc>
        <w:tc>
          <w:tcPr>
            <w:tcW w:w="1418" w:type="dxa"/>
            <w:tcBorders>
              <w:top w:val="nil"/>
              <w:bottom w:val="nil"/>
            </w:tcBorders>
          </w:tcPr>
          <w:p w14:paraId="1681AE32"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(0.40)</w:t>
            </w:r>
          </w:p>
        </w:tc>
        <w:tc>
          <w:tcPr>
            <w:tcW w:w="1418" w:type="dxa"/>
            <w:tcBorders>
              <w:top w:val="nil"/>
              <w:bottom w:val="nil"/>
            </w:tcBorders>
          </w:tcPr>
          <w:p w14:paraId="08046B1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31 (12.45)</w:t>
            </w:r>
          </w:p>
        </w:tc>
      </w:tr>
      <w:tr w:rsidR="004676EF" w:rsidRPr="00734AB6" w14:paraId="1D645D88" w14:textId="77777777" w:rsidTr="004676EF">
        <w:tc>
          <w:tcPr>
            <w:tcW w:w="4536" w:type="dxa"/>
            <w:tcBorders>
              <w:top w:val="nil"/>
              <w:bottom w:val="nil"/>
            </w:tcBorders>
          </w:tcPr>
          <w:p w14:paraId="39D1079C"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100mg</w:t>
            </w:r>
          </w:p>
        </w:tc>
        <w:tc>
          <w:tcPr>
            <w:tcW w:w="1418" w:type="dxa"/>
            <w:tcBorders>
              <w:top w:val="nil"/>
              <w:bottom w:val="nil"/>
            </w:tcBorders>
          </w:tcPr>
          <w:p w14:paraId="231DCB22"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 xml:space="preserve">14 (5.62) </w:t>
            </w:r>
          </w:p>
        </w:tc>
        <w:tc>
          <w:tcPr>
            <w:tcW w:w="1418" w:type="dxa"/>
            <w:tcBorders>
              <w:top w:val="nil"/>
              <w:bottom w:val="nil"/>
            </w:tcBorders>
          </w:tcPr>
          <w:p w14:paraId="49069A9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25 (10.04)</w:t>
            </w:r>
          </w:p>
        </w:tc>
      </w:tr>
      <w:tr w:rsidR="004676EF" w:rsidRPr="00734AB6" w14:paraId="5A590DB2" w14:textId="77777777" w:rsidTr="004676EF">
        <w:tc>
          <w:tcPr>
            <w:tcW w:w="4536" w:type="dxa"/>
            <w:tcBorders>
              <w:top w:val="nil"/>
              <w:bottom w:val="nil"/>
            </w:tcBorders>
          </w:tcPr>
          <w:p w14:paraId="2E64EE5E"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150mg</w:t>
            </w:r>
          </w:p>
        </w:tc>
        <w:tc>
          <w:tcPr>
            <w:tcW w:w="1418" w:type="dxa"/>
            <w:tcBorders>
              <w:top w:val="nil"/>
              <w:bottom w:val="nil"/>
            </w:tcBorders>
          </w:tcPr>
          <w:p w14:paraId="71195C52"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7 (2.81)</w:t>
            </w:r>
          </w:p>
        </w:tc>
        <w:tc>
          <w:tcPr>
            <w:tcW w:w="1418" w:type="dxa"/>
            <w:tcBorders>
              <w:top w:val="nil"/>
              <w:bottom w:val="nil"/>
            </w:tcBorders>
          </w:tcPr>
          <w:p w14:paraId="74F79D43"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3 (1.21)</w:t>
            </w:r>
          </w:p>
        </w:tc>
      </w:tr>
      <w:tr w:rsidR="004676EF" w:rsidRPr="00734AB6" w14:paraId="7714E199" w14:textId="77777777" w:rsidTr="004676EF">
        <w:tc>
          <w:tcPr>
            <w:tcW w:w="4536" w:type="dxa"/>
            <w:tcBorders>
              <w:top w:val="nil"/>
              <w:bottom w:val="nil"/>
            </w:tcBorders>
          </w:tcPr>
          <w:p w14:paraId="256F5755"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200mg</w:t>
            </w:r>
          </w:p>
        </w:tc>
        <w:tc>
          <w:tcPr>
            <w:tcW w:w="1418" w:type="dxa"/>
            <w:tcBorders>
              <w:top w:val="nil"/>
              <w:bottom w:val="nil"/>
            </w:tcBorders>
          </w:tcPr>
          <w:p w14:paraId="3B76206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36 (14.46)</w:t>
            </w:r>
          </w:p>
        </w:tc>
        <w:tc>
          <w:tcPr>
            <w:tcW w:w="1418" w:type="dxa"/>
            <w:tcBorders>
              <w:top w:val="nil"/>
              <w:bottom w:val="nil"/>
            </w:tcBorders>
          </w:tcPr>
          <w:p w14:paraId="3DC62F64"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11 (4.42)</w:t>
            </w:r>
          </w:p>
        </w:tc>
      </w:tr>
      <w:tr w:rsidR="004676EF" w:rsidRPr="00734AB6" w14:paraId="55EB494C" w14:textId="77777777" w:rsidTr="004676EF">
        <w:tc>
          <w:tcPr>
            <w:tcW w:w="4536" w:type="dxa"/>
            <w:tcBorders>
              <w:top w:val="nil"/>
              <w:bottom w:val="nil"/>
            </w:tcBorders>
          </w:tcPr>
          <w:p w14:paraId="771F955A"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250mg</w:t>
            </w:r>
          </w:p>
        </w:tc>
        <w:tc>
          <w:tcPr>
            <w:tcW w:w="1418" w:type="dxa"/>
            <w:tcBorders>
              <w:top w:val="nil"/>
              <w:bottom w:val="nil"/>
            </w:tcBorders>
          </w:tcPr>
          <w:p w14:paraId="11B197C2"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c>
          <w:tcPr>
            <w:tcW w:w="1418" w:type="dxa"/>
            <w:tcBorders>
              <w:top w:val="nil"/>
              <w:bottom w:val="nil"/>
            </w:tcBorders>
          </w:tcPr>
          <w:p w14:paraId="65179CE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62B509F2" w14:textId="77777777" w:rsidTr="004676EF">
        <w:tc>
          <w:tcPr>
            <w:tcW w:w="4536" w:type="dxa"/>
            <w:tcBorders>
              <w:top w:val="nil"/>
              <w:bottom w:val="nil"/>
            </w:tcBorders>
          </w:tcPr>
          <w:p w14:paraId="3E67BA5B"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300mg</w:t>
            </w:r>
          </w:p>
        </w:tc>
        <w:tc>
          <w:tcPr>
            <w:tcW w:w="1418" w:type="dxa"/>
            <w:tcBorders>
              <w:top w:val="nil"/>
              <w:bottom w:val="nil"/>
            </w:tcBorders>
          </w:tcPr>
          <w:p w14:paraId="2C65156B"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8 (3.21)</w:t>
            </w:r>
          </w:p>
        </w:tc>
        <w:tc>
          <w:tcPr>
            <w:tcW w:w="1418" w:type="dxa"/>
            <w:tcBorders>
              <w:top w:val="nil"/>
              <w:bottom w:val="nil"/>
            </w:tcBorders>
          </w:tcPr>
          <w:p w14:paraId="3CF373F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(0.40)</w:t>
            </w:r>
          </w:p>
        </w:tc>
      </w:tr>
      <w:tr w:rsidR="004676EF" w:rsidRPr="00734AB6" w14:paraId="7757AA24" w14:textId="77777777" w:rsidTr="004676EF">
        <w:tc>
          <w:tcPr>
            <w:tcW w:w="4536" w:type="dxa"/>
            <w:tcBorders>
              <w:top w:val="nil"/>
              <w:bottom w:val="nil"/>
            </w:tcBorders>
          </w:tcPr>
          <w:p w14:paraId="564B77BB"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350mg</w:t>
            </w:r>
          </w:p>
        </w:tc>
        <w:tc>
          <w:tcPr>
            <w:tcW w:w="1418" w:type="dxa"/>
            <w:tcBorders>
              <w:top w:val="nil"/>
              <w:bottom w:val="nil"/>
            </w:tcBorders>
          </w:tcPr>
          <w:p w14:paraId="283D3393"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c>
          <w:tcPr>
            <w:tcW w:w="1418" w:type="dxa"/>
            <w:tcBorders>
              <w:top w:val="nil"/>
              <w:bottom w:val="nil"/>
            </w:tcBorders>
          </w:tcPr>
          <w:p w14:paraId="4EF064CB"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0287428C" w14:textId="77777777" w:rsidTr="004676EF">
        <w:tc>
          <w:tcPr>
            <w:tcW w:w="4536" w:type="dxa"/>
            <w:tcBorders>
              <w:top w:val="nil"/>
              <w:bottom w:val="nil"/>
            </w:tcBorders>
          </w:tcPr>
          <w:p w14:paraId="79272494"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400mg</w:t>
            </w:r>
          </w:p>
        </w:tc>
        <w:tc>
          <w:tcPr>
            <w:tcW w:w="1418" w:type="dxa"/>
            <w:tcBorders>
              <w:top w:val="nil"/>
              <w:bottom w:val="nil"/>
            </w:tcBorders>
          </w:tcPr>
          <w:p w14:paraId="6DB34B8E"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16 (6.43)</w:t>
            </w:r>
          </w:p>
        </w:tc>
        <w:tc>
          <w:tcPr>
            <w:tcW w:w="1418" w:type="dxa"/>
            <w:tcBorders>
              <w:top w:val="nil"/>
              <w:bottom w:val="nil"/>
            </w:tcBorders>
          </w:tcPr>
          <w:p w14:paraId="1266884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4A9F9FCF" w14:textId="77777777" w:rsidTr="004676EF">
        <w:tc>
          <w:tcPr>
            <w:tcW w:w="4536" w:type="dxa"/>
            <w:tcBorders>
              <w:top w:val="nil"/>
              <w:bottom w:val="nil"/>
            </w:tcBorders>
          </w:tcPr>
          <w:p w14:paraId="1A10A929"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450mg</w:t>
            </w:r>
          </w:p>
        </w:tc>
        <w:tc>
          <w:tcPr>
            <w:tcW w:w="1418" w:type="dxa"/>
            <w:tcBorders>
              <w:top w:val="nil"/>
              <w:bottom w:val="nil"/>
            </w:tcBorders>
          </w:tcPr>
          <w:p w14:paraId="0C365B7F"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 (0.80)</w:t>
            </w:r>
          </w:p>
        </w:tc>
        <w:tc>
          <w:tcPr>
            <w:tcW w:w="1418" w:type="dxa"/>
            <w:tcBorders>
              <w:top w:val="nil"/>
              <w:bottom w:val="nil"/>
            </w:tcBorders>
          </w:tcPr>
          <w:p w14:paraId="1C60DA33"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1E8F30E5" w14:textId="77777777" w:rsidTr="004676EF">
        <w:tc>
          <w:tcPr>
            <w:tcW w:w="4536" w:type="dxa"/>
            <w:tcBorders>
              <w:top w:val="nil"/>
              <w:bottom w:val="nil"/>
            </w:tcBorders>
          </w:tcPr>
          <w:p w14:paraId="68C29466"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500mg</w:t>
            </w:r>
          </w:p>
        </w:tc>
        <w:tc>
          <w:tcPr>
            <w:tcW w:w="1418" w:type="dxa"/>
            <w:tcBorders>
              <w:top w:val="nil"/>
              <w:bottom w:val="nil"/>
            </w:tcBorders>
          </w:tcPr>
          <w:p w14:paraId="0BC402D8"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 (0.80)</w:t>
            </w:r>
          </w:p>
        </w:tc>
        <w:tc>
          <w:tcPr>
            <w:tcW w:w="1418" w:type="dxa"/>
            <w:tcBorders>
              <w:top w:val="nil"/>
              <w:bottom w:val="nil"/>
            </w:tcBorders>
          </w:tcPr>
          <w:p w14:paraId="79ADE09F"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4A61FE71" w14:textId="77777777" w:rsidTr="004676EF">
        <w:tc>
          <w:tcPr>
            <w:tcW w:w="4536" w:type="dxa"/>
            <w:tcBorders>
              <w:top w:val="nil"/>
            </w:tcBorders>
          </w:tcPr>
          <w:p w14:paraId="765381DA"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b/>
              </w:rPr>
            </w:pPr>
            <w:r w:rsidRPr="00734AB6">
              <w:rPr>
                <w:rFonts w:asciiTheme="majorHAnsi" w:hAnsiTheme="majorHAnsi" w:cs="Times New Roman"/>
                <w:b/>
              </w:rPr>
              <w:t>More than 500mg</w:t>
            </w:r>
          </w:p>
        </w:tc>
        <w:tc>
          <w:tcPr>
            <w:tcW w:w="1418" w:type="dxa"/>
            <w:tcBorders>
              <w:top w:val="nil"/>
            </w:tcBorders>
          </w:tcPr>
          <w:p w14:paraId="7CA97F0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c>
          <w:tcPr>
            <w:tcW w:w="1418" w:type="dxa"/>
            <w:tcBorders>
              <w:top w:val="nil"/>
            </w:tcBorders>
          </w:tcPr>
          <w:p w14:paraId="0D7B330C"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bl>
    <w:p w14:paraId="2C6B1FE6" w14:textId="77777777" w:rsidR="004676EF" w:rsidRPr="00734AB6" w:rsidRDefault="004676EF"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only</w:t>
      </w:r>
    </w:p>
    <w:p w14:paraId="24B39525" w14:textId="77777777" w:rsidR="004676EF" w:rsidRPr="00734AB6" w:rsidRDefault="004676EF" w:rsidP="0099584D">
      <w:pPr>
        <w:tabs>
          <w:tab w:val="left" w:pos="426"/>
        </w:tabs>
        <w:spacing w:line="360" w:lineRule="auto"/>
        <w:rPr>
          <w:rFonts w:asciiTheme="majorHAnsi" w:hAnsiTheme="majorHAnsi"/>
          <w:b/>
        </w:rPr>
      </w:pPr>
    </w:p>
    <w:p w14:paraId="52EBFFCE" w14:textId="77777777" w:rsidR="00EF7585" w:rsidRPr="00734AB6" w:rsidRDefault="00EF7585" w:rsidP="0099584D">
      <w:pPr>
        <w:tabs>
          <w:tab w:val="left" w:pos="426"/>
        </w:tabs>
        <w:spacing w:line="360" w:lineRule="auto"/>
        <w:rPr>
          <w:rFonts w:asciiTheme="majorHAnsi" w:hAnsiTheme="majorHAnsi"/>
          <w:b/>
        </w:rPr>
      </w:pPr>
    </w:p>
    <w:p w14:paraId="42C15CE0" w14:textId="77777777" w:rsidR="00EF7585" w:rsidRPr="00734AB6" w:rsidRDefault="00EF7585" w:rsidP="0099584D">
      <w:pPr>
        <w:tabs>
          <w:tab w:val="left" w:pos="426"/>
        </w:tabs>
        <w:spacing w:line="360" w:lineRule="auto"/>
        <w:rPr>
          <w:rFonts w:asciiTheme="majorHAnsi" w:hAnsiTheme="majorHAnsi"/>
          <w:b/>
        </w:rPr>
      </w:pPr>
    </w:p>
    <w:p w14:paraId="0F14CB74" w14:textId="77777777" w:rsidR="00EF7585" w:rsidRPr="00734AB6" w:rsidRDefault="00EF7585" w:rsidP="00EF7585">
      <w:pPr>
        <w:pBdr>
          <w:top w:val="double" w:sz="4" w:space="1" w:color="auto"/>
        </w:pBdr>
        <w:tabs>
          <w:tab w:val="left" w:pos="426"/>
        </w:tabs>
        <w:spacing w:line="360" w:lineRule="auto"/>
        <w:rPr>
          <w:rFonts w:asciiTheme="majorHAnsi" w:hAnsiTheme="majorHAnsi"/>
          <w:b/>
        </w:rPr>
      </w:pPr>
    </w:p>
    <w:p w14:paraId="0DC8777A" w14:textId="77777777" w:rsidR="005766E0" w:rsidRPr="00734AB6" w:rsidRDefault="005766E0">
      <w:pPr>
        <w:rPr>
          <w:rFonts w:asciiTheme="majorHAnsi" w:eastAsiaTheme="majorEastAsia" w:hAnsiTheme="majorHAnsi" w:cstheme="majorBidi"/>
          <w:b/>
        </w:rPr>
      </w:pPr>
      <w:bookmarkStart w:id="169" w:name="_Toc45200539"/>
      <w:r w:rsidRPr="00734AB6">
        <w:rPr>
          <w:b/>
        </w:rPr>
        <w:br w:type="page"/>
      </w:r>
    </w:p>
    <w:p w14:paraId="186D7713" w14:textId="21AD3B4B" w:rsidR="004676EF" w:rsidRPr="00734AB6" w:rsidRDefault="004676EF" w:rsidP="0099584D">
      <w:pPr>
        <w:pStyle w:val="Heading2"/>
        <w:spacing w:line="360" w:lineRule="auto"/>
        <w:rPr>
          <w:b/>
          <w:color w:val="auto"/>
          <w:sz w:val="22"/>
          <w:szCs w:val="22"/>
        </w:rPr>
      </w:pPr>
      <w:bookmarkStart w:id="170" w:name="_Toc48136432"/>
      <w:r w:rsidRPr="00734AB6">
        <w:rPr>
          <w:b/>
          <w:color w:val="auto"/>
          <w:sz w:val="22"/>
          <w:szCs w:val="22"/>
        </w:rPr>
        <w:lastRenderedPageBreak/>
        <w:t>B(xiv)</w:t>
      </w:r>
      <w:r w:rsidRPr="00734AB6">
        <w:rPr>
          <w:b/>
          <w:color w:val="auto"/>
          <w:sz w:val="22"/>
          <w:szCs w:val="22"/>
        </w:rPr>
        <w:tab/>
        <w:t>Methylphenidate dosage, formula and brand</w:t>
      </w:r>
      <w:bookmarkEnd w:id="169"/>
      <w:bookmarkEnd w:id="170"/>
    </w:p>
    <w:p w14:paraId="3A7DC415" w14:textId="77777777" w:rsidR="004676EF" w:rsidRPr="00734AB6" w:rsidRDefault="004676EF" w:rsidP="0099584D">
      <w:pPr>
        <w:spacing w:line="360" w:lineRule="auto"/>
        <w:rPr>
          <w:rFonts w:asciiTheme="majorHAnsi" w:hAnsiTheme="majorHAnsi"/>
        </w:rPr>
      </w:pPr>
    </w:p>
    <w:p w14:paraId="05D82B9B" w14:textId="3E80F532"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B16571" w:rsidRPr="00734AB6">
        <w:rPr>
          <w:rFonts w:asciiTheme="majorHAnsi" w:hAnsiTheme="majorHAnsi"/>
          <w:b/>
        </w:rPr>
        <w:t>B.13</w:t>
      </w:r>
      <w:r w:rsidRPr="00734AB6">
        <w:rPr>
          <w:rFonts w:asciiTheme="majorHAnsi" w:hAnsiTheme="majorHAnsi"/>
          <w:b/>
        </w:rPr>
        <w:t>.</w:t>
      </w:r>
      <w:r w:rsidRPr="00734AB6">
        <w:rPr>
          <w:rFonts w:asciiTheme="majorHAnsi" w:hAnsiTheme="majorHAnsi"/>
          <w:b/>
        </w:rPr>
        <w:tab/>
        <w:t>Maximum and minimum reported dose of methylphenidate use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1984"/>
        <w:gridCol w:w="2127"/>
      </w:tblGrid>
      <w:tr w:rsidR="004676EF" w:rsidRPr="00734AB6" w14:paraId="4996BEBF" w14:textId="77777777" w:rsidTr="004676EF">
        <w:tc>
          <w:tcPr>
            <w:tcW w:w="3261" w:type="dxa"/>
            <w:tcBorders>
              <w:bottom w:val="single" w:sz="4" w:space="0" w:color="auto"/>
            </w:tcBorders>
          </w:tcPr>
          <w:p w14:paraId="510D81D8"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b/>
              </w:rPr>
              <w:t xml:space="preserve">Dosage </w:t>
            </w:r>
          </w:p>
        </w:tc>
        <w:tc>
          <w:tcPr>
            <w:tcW w:w="1984" w:type="dxa"/>
            <w:tcBorders>
              <w:bottom w:val="single" w:sz="4" w:space="0" w:color="auto"/>
            </w:tcBorders>
          </w:tcPr>
          <w:p w14:paraId="0E3B1F94"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Maximum</w:t>
            </w:r>
          </w:p>
          <w:p w14:paraId="0D3717A8"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 xml:space="preserve">N (%)* </w:t>
            </w:r>
          </w:p>
        </w:tc>
        <w:tc>
          <w:tcPr>
            <w:tcW w:w="2127" w:type="dxa"/>
            <w:tcBorders>
              <w:bottom w:val="single" w:sz="4" w:space="0" w:color="auto"/>
            </w:tcBorders>
          </w:tcPr>
          <w:p w14:paraId="159345ED"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Minimum</w:t>
            </w:r>
          </w:p>
          <w:p w14:paraId="4DEE49EC"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N (%)*</w:t>
            </w:r>
          </w:p>
        </w:tc>
      </w:tr>
      <w:tr w:rsidR="004676EF" w:rsidRPr="00734AB6" w14:paraId="3E5BCD7C" w14:textId="77777777" w:rsidTr="004676EF">
        <w:tc>
          <w:tcPr>
            <w:tcW w:w="3261" w:type="dxa"/>
            <w:tcBorders>
              <w:bottom w:val="nil"/>
            </w:tcBorders>
          </w:tcPr>
          <w:p w14:paraId="37208153" w14:textId="77777777" w:rsidR="004676EF" w:rsidRPr="00734AB6" w:rsidRDefault="004676EF" w:rsidP="0099584D">
            <w:pPr>
              <w:tabs>
                <w:tab w:val="left" w:pos="5812"/>
              </w:tabs>
              <w:autoSpaceDE w:val="0"/>
              <w:autoSpaceDN w:val="0"/>
              <w:adjustRightInd w:val="0"/>
              <w:spacing w:line="360" w:lineRule="auto"/>
              <w:rPr>
                <w:rFonts w:asciiTheme="majorHAnsi" w:hAnsiTheme="majorHAnsi" w:cs="Times New Roman"/>
              </w:rPr>
            </w:pPr>
            <w:r w:rsidRPr="00734AB6">
              <w:rPr>
                <w:rFonts w:asciiTheme="majorHAnsi" w:hAnsiTheme="majorHAnsi" w:cs="Times New Roman"/>
              </w:rPr>
              <w:t>Less than 10mg</w:t>
            </w:r>
          </w:p>
        </w:tc>
        <w:tc>
          <w:tcPr>
            <w:tcW w:w="1984" w:type="dxa"/>
            <w:tcBorders>
              <w:bottom w:val="nil"/>
            </w:tcBorders>
          </w:tcPr>
          <w:p w14:paraId="750E221E"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c>
          <w:tcPr>
            <w:tcW w:w="2127" w:type="dxa"/>
            <w:tcBorders>
              <w:bottom w:val="nil"/>
            </w:tcBorders>
          </w:tcPr>
          <w:p w14:paraId="3A3FD85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28.07 (16)</w:t>
            </w:r>
          </w:p>
        </w:tc>
      </w:tr>
      <w:tr w:rsidR="004676EF" w:rsidRPr="00734AB6" w14:paraId="0A354462" w14:textId="77777777" w:rsidTr="004676EF">
        <w:tc>
          <w:tcPr>
            <w:tcW w:w="3261" w:type="dxa"/>
            <w:tcBorders>
              <w:top w:val="nil"/>
              <w:bottom w:val="nil"/>
            </w:tcBorders>
          </w:tcPr>
          <w:p w14:paraId="62E6F14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10mg</w:t>
            </w:r>
          </w:p>
        </w:tc>
        <w:tc>
          <w:tcPr>
            <w:tcW w:w="1984" w:type="dxa"/>
            <w:tcBorders>
              <w:top w:val="nil"/>
              <w:bottom w:val="nil"/>
            </w:tcBorders>
          </w:tcPr>
          <w:p w14:paraId="50C210F8"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1.75 (1)</w:t>
            </w:r>
          </w:p>
        </w:tc>
        <w:tc>
          <w:tcPr>
            <w:tcW w:w="2127" w:type="dxa"/>
            <w:tcBorders>
              <w:top w:val="nil"/>
              <w:bottom w:val="nil"/>
            </w:tcBorders>
          </w:tcPr>
          <w:p w14:paraId="4011E97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42.11 (24)</w:t>
            </w:r>
          </w:p>
        </w:tc>
      </w:tr>
      <w:tr w:rsidR="004676EF" w:rsidRPr="00734AB6" w14:paraId="2B97AF6B" w14:textId="77777777" w:rsidTr="004676EF">
        <w:tc>
          <w:tcPr>
            <w:tcW w:w="3261" w:type="dxa"/>
            <w:tcBorders>
              <w:top w:val="nil"/>
              <w:bottom w:val="nil"/>
            </w:tcBorders>
          </w:tcPr>
          <w:p w14:paraId="388D1D26"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20mg</w:t>
            </w:r>
          </w:p>
        </w:tc>
        <w:tc>
          <w:tcPr>
            <w:tcW w:w="1984" w:type="dxa"/>
            <w:tcBorders>
              <w:top w:val="nil"/>
              <w:bottom w:val="nil"/>
            </w:tcBorders>
          </w:tcPr>
          <w:p w14:paraId="18A4017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5.26 (3)</w:t>
            </w:r>
          </w:p>
        </w:tc>
        <w:tc>
          <w:tcPr>
            <w:tcW w:w="2127" w:type="dxa"/>
            <w:tcBorders>
              <w:top w:val="nil"/>
              <w:bottom w:val="nil"/>
            </w:tcBorders>
          </w:tcPr>
          <w:p w14:paraId="66D8F0B8"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17.54 (10)</w:t>
            </w:r>
          </w:p>
        </w:tc>
      </w:tr>
      <w:tr w:rsidR="004676EF" w:rsidRPr="00734AB6" w14:paraId="059AD4B2" w14:textId="77777777" w:rsidTr="004676EF">
        <w:tc>
          <w:tcPr>
            <w:tcW w:w="3261" w:type="dxa"/>
            <w:tcBorders>
              <w:top w:val="nil"/>
              <w:bottom w:val="nil"/>
            </w:tcBorders>
          </w:tcPr>
          <w:p w14:paraId="753156E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30mg</w:t>
            </w:r>
          </w:p>
        </w:tc>
        <w:tc>
          <w:tcPr>
            <w:tcW w:w="1984" w:type="dxa"/>
            <w:tcBorders>
              <w:top w:val="nil"/>
              <w:bottom w:val="nil"/>
            </w:tcBorders>
          </w:tcPr>
          <w:p w14:paraId="00E02DF2"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22.81 (13)</w:t>
            </w:r>
          </w:p>
        </w:tc>
        <w:tc>
          <w:tcPr>
            <w:tcW w:w="2127" w:type="dxa"/>
            <w:tcBorders>
              <w:top w:val="nil"/>
              <w:bottom w:val="nil"/>
            </w:tcBorders>
          </w:tcPr>
          <w:p w14:paraId="334F55C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8.77 (5)</w:t>
            </w:r>
          </w:p>
        </w:tc>
      </w:tr>
      <w:tr w:rsidR="004676EF" w:rsidRPr="00734AB6" w14:paraId="3BCFB9F9" w14:textId="77777777" w:rsidTr="004676EF">
        <w:tc>
          <w:tcPr>
            <w:tcW w:w="3261" w:type="dxa"/>
            <w:tcBorders>
              <w:top w:val="nil"/>
              <w:bottom w:val="nil"/>
            </w:tcBorders>
          </w:tcPr>
          <w:p w14:paraId="1FDE5305"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40mg</w:t>
            </w:r>
          </w:p>
        </w:tc>
        <w:tc>
          <w:tcPr>
            <w:tcW w:w="1984" w:type="dxa"/>
            <w:tcBorders>
              <w:top w:val="nil"/>
              <w:bottom w:val="nil"/>
            </w:tcBorders>
          </w:tcPr>
          <w:p w14:paraId="2F23B84D"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15.79 (9)</w:t>
            </w:r>
          </w:p>
        </w:tc>
        <w:tc>
          <w:tcPr>
            <w:tcW w:w="2127" w:type="dxa"/>
            <w:tcBorders>
              <w:top w:val="nil"/>
              <w:bottom w:val="nil"/>
            </w:tcBorders>
          </w:tcPr>
          <w:p w14:paraId="08623D2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65BADC60" w14:textId="77777777" w:rsidTr="004676EF">
        <w:tc>
          <w:tcPr>
            <w:tcW w:w="3261" w:type="dxa"/>
            <w:tcBorders>
              <w:top w:val="nil"/>
              <w:bottom w:val="nil"/>
            </w:tcBorders>
          </w:tcPr>
          <w:p w14:paraId="2B1E5046"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50mg</w:t>
            </w:r>
          </w:p>
        </w:tc>
        <w:tc>
          <w:tcPr>
            <w:tcW w:w="1984" w:type="dxa"/>
            <w:tcBorders>
              <w:top w:val="nil"/>
              <w:bottom w:val="nil"/>
            </w:tcBorders>
          </w:tcPr>
          <w:p w14:paraId="44FA624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17.54 (10)</w:t>
            </w:r>
          </w:p>
        </w:tc>
        <w:tc>
          <w:tcPr>
            <w:tcW w:w="2127" w:type="dxa"/>
            <w:tcBorders>
              <w:top w:val="nil"/>
              <w:bottom w:val="nil"/>
            </w:tcBorders>
          </w:tcPr>
          <w:p w14:paraId="5497FC6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3.51 (2)</w:t>
            </w:r>
          </w:p>
        </w:tc>
      </w:tr>
      <w:tr w:rsidR="004676EF" w:rsidRPr="00734AB6" w14:paraId="4899E3B6" w14:textId="77777777" w:rsidTr="004676EF">
        <w:tc>
          <w:tcPr>
            <w:tcW w:w="3261" w:type="dxa"/>
            <w:tcBorders>
              <w:top w:val="nil"/>
              <w:bottom w:val="nil"/>
            </w:tcBorders>
          </w:tcPr>
          <w:p w14:paraId="4CA52A5D"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60mg</w:t>
            </w:r>
          </w:p>
        </w:tc>
        <w:tc>
          <w:tcPr>
            <w:tcW w:w="1984" w:type="dxa"/>
            <w:tcBorders>
              <w:top w:val="nil"/>
              <w:bottom w:val="nil"/>
            </w:tcBorders>
          </w:tcPr>
          <w:p w14:paraId="7757034E"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7.02 (4)</w:t>
            </w:r>
          </w:p>
        </w:tc>
        <w:tc>
          <w:tcPr>
            <w:tcW w:w="2127" w:type="dxa"/>
            <w:tcBorders>
              <w:top w:val="nil"/>
              <w:bottom w:val="nil"/>
            </w:tcBorders>
          </w:tcPr>
          <w:p w14:paraId="6026B926"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3F86B118" w14:textId="77777777" w:rsidTr="004676EF">
        <w:tc>
          <w:tcPr>
            <w:tcW w:w="3261" w:type="dxa"/>
            <w:tcBorders>
              <w:top w:val="nil"/>
              <w:bottom w:val="nil"/>
            </w:tcBorders>
          </w:tcPr>
          <w:p w14:paraId="52C18F1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70mg</w:t>
            </w:r>
          </w:p>
        </w:tc>
        <w:tc>
          <w:tcPr>
            <w:tcW w:w="1984" w:type="dxa"/>
            <w:tcBorders>
              <w:top w:val="nil"/>
              <w:bottom w:val="nil"/>
            </w:tcBorders>
          </w:tcPr>
          <w:p w14:paraId="669B3441"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 xml:space="preserve">- </w:t>
            </w:r>
          </w:p>
        </w:tc>
        <w:tc>
          <w:tcPr>
            <w:tcW w:w="2127" w:type="dxa"/>
            <w:tcBorders>
              <w:top w:val="nil"/>
              <w:bottom w:val="nil"/>
            </w:tcBorders>
          </w:tcPr>
          <w:p w14:paraId="6B3085B7"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52C58DC8" w14:textId="77777777" w:rsidTr="004676EF">
        <w:tc>
          <w:tcPr>
            <w:tcW w:w="3261" w:type="dxa"/>
            <w:tcBorders>
              <w:top w:val="nil"/>
              <w:bottom w:val="nil"/>
            </w:tcBorders>
          </w:tcPr>
          <w:p w14:paraId="2D44CA0D"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80mg</w:t>
            </w:r>
          </w:p>
        </w:tc>
        <w:tc>
          <w:tcPr>
            <w:tcW w:w="1984" w:type="dxa"/>
            <w:tcBorders>
              <w:top w:val="nil"/>
              <w:bottom w:val="nil"/>
            </w:tcBorders>
          </w:tcPr>
          <w:p w14:paraId="43081084"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5.26 (3)</w:t>
            </w:r>
          </w:p>
        </w:tc>
        <w:tc>
          <w:tcPr>
            <w:tcW w:w="2127" w:type="dxa"/>
            <w:tcBorders>
              <w:top w:val="nil"/>
              <w:bottom w:val="nil"/>
            </w:tcBorders>
          </w:tcPr>
          <w:p w14:paraId="276E6FD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r w:rsidR="004676EF" w:rsidRPr="00734AB6" w14:paraId="02C9561E" w14:textId="77777777" w:rsidTr="004676EF">
        <w:tc>
          <w:tcPr>
            <w:tcW w:w="3261" w:type="dxa"/>
            <w:tcBorders>
              <w:top w:val="nil"/>
            </w:tcBorders>
          </w:tcPr>
          <w:p w14:paraId="7FDD031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More than 80mg</w:t>
            </w:r>
          </w:p>
        </w:tc>
        <w:tc>
          <w:tcPr>
            <w:tcW w:w="1984" w:type="dxa"/>
            <w:tcBorders>
              <w:top w:val="nil"/>
            </w:tcBorders>
          </w:tcPr>
          <w:p w14:paraId="5CCCE74B"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8.77 (5)</w:t>
            </w:r>
          </w:p>
        </w:tc>
        <w:tc>
          <w:tcPr>
            <w:tcW w:w="2127" w:type="dxa"/>
            <w:tcBorders>
              <w:top w:val="nil"/>
            </w:tcBorders>
          </w:tcPr>
          <w:p w14:paraId="3BD202FC"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w:t>
            </w:r>
          </w:p>
        </w:tc>
      </w:tr>
    </w:tbl>
    <w:p w14:paraId="00F964D7" w14:textId="77777777" w:rsidR="004676EF" w:rsidRPr="00734AB6" w:rsidRDefault="004676EF"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only</w:t>
      </w:r>
    </w:p>
    <w:p w14:paraId="7A9E3876" w14:textId="77777777" w:rsidR="004676EF" w:rsidRPr="00734AB6" w:rsidRDefault="004676EF" w:rsidP="0099584D">
      <w:pPr>
        <w:spacing w:line="360" w:lineRule="auto"/>
        <w:rPr>
          <w:rFonts w:asciiTheme="majorHAnsi" w:hAnsiTheme="majorHAnsi"/>
        </w:rPr>
      </w:pPr>
    </w:p>
    <w:p w14:paraId="2BCDDEF5" w14:textId="77777777" w:rsidR="00EF7585" w:rsidRPr="00734AB6" w:rsidRDefault="00EF7585" w:rsidP="0099584D">
      <w:pPr>
        <w:spacing w:line="360" w:lineRule="auto"/>
        <w:rPr>
          <w:rFonts w:asciiTheme="majorHAnsi" w:hAnsiTheme="majorHAnsi"/>
        </w:rPr>
      </w:pPr>
    </w:p>
    <w:p w14:paraId="22E90C16" w14:textId="72254948"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t xml:space="preserve">Table </w:t>
      </w:r>
      <w:r w:rsidR="00B16571" w:rsidRPr="00734AB6">
        <w:rPr>
          <w:rFonts w:asciiTheme="majorHAnsi" w:hAnsiTheme="majorHAnsi"/>
          <w:b/>
        </w:rPr>
        <w:t>B.14</w:t>
      </w:r>
      <w:r w:rsidRPr="00734AB6">
        <w:rPr>
          <w:rFonts w:asciiTheme="majorHAnsi" w:hAnsiTheme="majorHAnsi"/>
          <w:b/>
        </w:rPr>
        <w:t>.</w:t>
      </w:r>
      <w:r w:rsidRPr="00734AB6">
        <w:rPr>
          <w:rFonts w:asciiTheme="majorHAnsi" w:hAnsiTheme="majorHAnsi"/>
          <w:b/>
        </w:rPr>
        <w:tab/>
        <w:t>Methylphenidate formulations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106"/>
        <w:gridCol w:w="1559"/>
      </w:tblGrid>
      <w:tr w:rsidR="004676EF" w:rsidRPr="00734AB6" w14:paraId="245E944B" w14:textId="77777777" w:rsidTr="004676EF">
        <w:tc>
          <w:tcPr>
            <w:tcW w:w="4106" w:type="dxa"/>
            <w:tcBorders>
              <w:bottom w:val="single" w:sz="4" w:space="0" w:color="auto"/>
            </w:tcBorders>
          </w:tcPr>
          <w:p w14:paraId="61816D26" w14:textId="77777777" w:rsidR="004676EF" w:rsidRPr="00734AB6" w:rsidRDefault="004676EF" w:rsidP="0099584D">
            <w:pPr>
              <w:tabs>
                <w:tab w:val="left" w:pos="5812"/>
              </w:tabs>
              <w:spacing w:line="360" w:lineRule="auto"/>
              <w:rPr>
                <w:rFonts w:asciiTheme="majorHAnsi" w:hAnsiTheme="majorHAnsi"/>
                <w:b/>
              </w:rPr>
            </w:pPr>
            <w:r w:rsidRPr="00734AB6">
              <w:rPr>
                <w:rFonts w:asciiTheme="majorHAnsi" w:hAnsiTheme="majorHAnsi"/>
                <w:b/>
              </w:rPr>
              <w:t>Do you most often take immediate-release or extended release formula?</w:t>
            </w:r>
          </w:p>
        </w:tc>
        <w:tc>
          <w:tcPr>
            <w:tcW w:w="1559" w:type="dxa"/>
            <w:tcBorders>
              <w:bottom w:val="single" w:sz="4" w:space="0" w:color="auto"/>
            </w:tcBorders>
          </w:tcPr>
          <w:p w14:paraId="3D453DBF" w14:textId="77777777" w:rsidR="004676EF" w:rsidRPr="00734AB6" w:rsidRDefault="004676EF" w:rsidP="0099584D">
            <w:pPr>
              <w:tabs>
                <w:tab w:val="left" w:pos="5812"/>
              </w:tabs>
              <w:spacing w:line="360" w:lineRule="auto"/>
              <w:jc w:val="center"/>
              <w:rPr>
                <w:rFonts w:asciiTheme="majorHAnsi" w:hAnsiTheme="majorHAnsi"/>
                <w:b/>
              </w:rPr>
            </w:pPr>
            <w:r w:rsidRPr="00734AB6">
              <w:rPr>
                <w:rFonts w:asciiTheme="majorHAnsi" w:hAnsiTheme="majorHAnsi"/>
                <w:b/>
              </w:rPr>
              <w:t>N (%)*</w:t>
            </w:r>
          </w:p>
        </w:tc>
      </w:tr>
      <w:tr w:rsidR="004676EF" w:rsidRPr="00734AB6" w14:paraId="031F7106" w14:textId="77777777" w:rsidTr="004676EF">
        <w:tc>
          <w:tcPr>
            <w:tcW w:w="4106" w:type="dxa"/>
            <w:tcBorders>
              <w:bottom w:val="nil"/>
            </w:tcBorders>
          </w:tcPr>
          <w:p w14:paraId="5B6BB4CC"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Immediate-release</w:t>
            </w:r>
          </w:p>
        </w:tc>
        <w:tc>
          <w:tcPr>
            <w:tcW w:w="1559" w:type="dxa"/>
            <w:tcBorders>
              <w:bottom w:val="nil"/>
            </w:tcBorders>
          </w:tcPr>
          <w:p w14:paraId="4E03CEC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19 (33.33)</w:t>
            </w:r>
          </w:p>
        </w:tc>
      </w:tr>
      <w:tr w:rsidR="004676EF" w:rsidRPr="00734AB6" w14:paraId="2FEE7A2F" w14:textId="77777777" w:rsidTr="004676EF">
        <w:tc>
          <w:tcPr>
            <w:tcW w:w="4106" w:type="dxa"/>
            <w:tcBorders>
              <w:top w:val="nil"/>
              <w:bottom w:val="nil"/>
            </w:tcBorders>
          </w:tcPr>
          <w:p w14:paraId="683F9B6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Extended-release</w:t>
            </w:r>
          </w:p>
        </w:tc>
        <w:tc>
          <w:tcPr>
            <w:tcW w:w="1559" w:type="dxa"/>
            <w:tcBorders>
              <w:top w:val="nil"/>
              <w:bottom w:val="nil"/>
            </w:tcBorders>
          </w:tcPr>
          <w:p w14:paraId="6B3A201A"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24 (42.11)</w:t>
            </w:r>
          </w:p>
        </w:tc>
      </w:tr>
      <w:tr w:rsidR="004676EF" w:rsidRPr="00734AB6" w14:paraId="72026CBF" w14:textId="77777777" w:rsidTr="004676EF">
        <w:tc>
          <w:tcPr>
            <w:tcW w:w="4106" w:type="dxa"/>
            <w:tcBorders>
              <w:top w:val="nil"/>
            </w:tcBorders>
          </w:tcPr>
          <w:p w14:paraId="6AD236E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Don’t know</w:t>
            </w:r>
          </w:p>
        </w:tc>
        <w:tc>
          <w:tcPr>
            <w:tcW w:w="1559" w:type="dxa"/>
            <w:tcBorders>
              <w:top w:val="nil"/>
            </w:tcBorders>
          </w:tcPr>
          <w:p w14:paraId="1D9180AF"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14 (24.56)</w:t>
            </w:r>
          </w:p>
        </w:tc>
      </w:tr>
    </w:tbl>
    <w:p w14:paraId="6212DDE9" w14:textId="77777777" w:rsidR="004676EF" w:rsidRPr="00734AB6" w:rsidRDefault="004676EF" w:rsidP="0099584D">
      <w:pPr>
        <w:tabs>
          <w:tab w:val="left" w:pos="426"/>
        </w:tabs>
        <w:spacing w:line="360" w:lineRule="auto"/>
        <w:rPr>
          <w:rFonts w:asciiTheme="majorHAnsi" w:hAnsiTheme="majorHAnsi"/>
          <w:b/>
        </w:rPr>
      </w:pPr>
      <w:r w:rsidRPr="00734AB6">
        <w:rPr>
          <w:rFonts w:asciiTheme="majorHAnsi" w:hAnsiTheme="majorHAnsi"/>
          <w:b/>
        </w:rPr>
        <w:t>*</w:t>
      </w:r>
      <w:r w:rsidRPr="00734AB6">
        <w:rPr>
          <w:rFonts w:asciiTheme="majorHAnsi" w:hAnsiTheme="majorHAnsi"/>
          <w:b/>
        </w:rPr>
        <w:tab/>
        <w:t>Percentages relate to group only</w:t>
      </w:r>
    </w:p>
    <w:p w14:paraId="08D81DAC" w14:textId="77777777" w:rsidR="004676EF" w:rsidRPr="00734AB6" w:rsidRDefault="004676EF" w:rsidP="0099584D">
      <w:pPr>
        <w:spacing w:line="360" w:lineRule="auto"/>
        <w:rPr>
          <w:rFonts w:asciiTheme="majorHAnsi" w:hAnsiTheme="majorHAnsi"/>
          <w:b/>
        </w:rPr>
      </w:pPr>
    </w:p>
    <w:p w14:paraId="2C0B6978" w14:textId="77777777" w:rsidR="005766E0" w:rsidRPr="00734AB6" w:rsidRDefault="005766E0" w:rsidP="0099584D">
      <w:pPr>
        <w:tabs>
          <w:tab w:val="left" w:pos="1134"/>
        </w:tabs>
        <w:spacing w:line="360" w:lineRule="auto"/>
        <w:rPr>
          <w:rFonts w:asciiTheme="majorHAnsi" w:hAnsiTheme="majorHAnsi"/>
          <w:b/>
        </w:rPr>
      </w:pPr>
    </w:p>
    <w:p w14:paraId="603893B4" w14:textId="00124445" w:rsidR="005766E0" w:rsidRPr="00734AB6" w:rsidRDefault="005766E0">
      <w:pPr>
        <w:rPr>
          <w:rFonts w:asciiTheme="majorHAnsi" w:hAnsiTheme="majorHAnsi"/>
          <w:b/>
        </w:rPr>
      </w:pPr>
    </w:p>
    <w:p w14:paraId="65F703C8" w14:textId="4CD9F27D"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B.15</w:t>
      </w:r>
      <w:r w:rsidRPr="00734AB6">
        <w:rPr>
          <w:rFonts w:asciiTheme="majorHAnsi" w:hAnsiTheme="majorHAnsi"/>
          <w:b/>
        </w:rPr>
        <w:t>.</w:t>
      </w:r>
      <w:r w:rsidRPr="00734AB6">
        <w:rPr>
          <w:rFonts w:asciiTheme="majorHAnsi" w:hAnsiTheme="majorHAnsi"/>
          <w:b/>
        </w:rPr>
        <w:tab/>
        <w:t xml:space="preserve">Methylphenidate brands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681"/>
        <w:gridCol w:w="1417"/>
      </w:tblGrid>
      <w:tr w:rsidR="004676EF" w:rsidRPr="00734AB6" w14:paraId="6B59ECA2" w14:textId="77777777" w:rsidTr="004676EF">
        <w:tc>
          <w:tcPr>
            <w:tcW w:w="3681" w:type="dxa"/>
            <w:tcBorders>
              <w:bottom w:val="single" w:sz="4" w:space="0" w:color="auto"/>
            </w:tcBorders>
          </w:tcPr>
          <w:p w14:paraId="5059079E" w14:textId="77777777" w:rsidR="004676EF" w:rsidRPr="00734AB6" w:rsidRDefault="004676EF" w:rsidP="0099584D">
            <w:pPr>
              <w:tabs>
                <w:tab w:val="left" w:pos="2835"/>
                <w:tab w:val="left" w:pos="5812"/>
              </w:tabs>
              <w:spacing w:line="360" w:lineRule="auto"/>
              <w:rPr>
                <w:rFonts w:asciiTheme="majorHAnsi" w:hAnsiTheme="majorHAnsi"/>
                <w:b/>
              </w:rPr>
            </w:pPr>
            <w:r w:rsidRPr="00734AB6">
              <w:rPr>
                <w:rFonts w:asciiTheme="majorHAnsi" w:hAnsiTheme="majorHAnsi"/>
                <w:b/>
              </w:rPr>
              <w:br w:type="page"/>
              <w:t>What brand do you usually take?</w:t>
            </w:r>
          </w:p>
        </w:tc>
        <w:tc>
          <w:tcPr>
            <w:tcW w:w="1417" w:type="dxa"/>
            <w:tcBorders>
              <w:bottom w:val="single" w:sz="4" w:space="0" w:color="auto"/>
            </w:tcBorders>
          </w:tcPr>
          <w:p w14:paraId="02860AD3"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b/>
              </w:rPr>
              <w:t>N (%)*</w:t>
            </w:r>
          </w:p>
        </w:tc>
      </w:tr>
      <w:tr w:rsidR="004676EF" w:rsidRPr="00734AB6" w14:paraId="3281CC36" w14:textId="77777777" w:rsidTr="004676EF">
        <w:tc>
          <w:tcPr>
            <w:tcW w:w="3681" w:type="dxa"/>
            <w:tcBorders>
              <w:bottom w:val="nil"/>
            </w:tcBorders>
          </w:tcPr>
          <w:p w14:paraId="73D7F498"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Atensio</w:t>
            </w:r>
            <w:proofErr w:type="spellEnd"/>
          </w:p>
        </w:tc>
        <w:tc>
          <w:tcPr>
            <w:tcW w:w="1417" w:type="dxa"/>
            <w:tcBorders>
              <w:bottom w:val="nil"/>
            </w:tcBorders>
          </w:tcPr>
          <w:p w14:paraId="3ECF51CC"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(1.75)</w:t>
            </w:r>
          </w:p>
        </w:tc>
      </w:tr>
      <w:tr w:rsidR="004676EF" w:rsidRPr="00734AB6" w14:paraId="47D00DE0" w14:textId="77777777" w:rsidTr="004676EF">
        <w:tc>
          <w:tcPr>
            <w:tcW w:w="3681" w:type="dxa"/>
            <w:tcBorders>
              <w:top w:val="nil"/>
              <w:bottom w:val="nil"/>
            </w:tcBorders>
          </w:tcPr>
          <w:p w14:paraId="388409EF"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Biphentin</w:t>
            </w:r>
            <w:proofErr w:type="spellEnd"/>
          </w:p>
        </w:tc>
        <w:tc>
          <w:tcPr>
            <w:tcW w:w="1417" w:type="dxa"/>
            <w:tcBorders>
              <w:top w:val="nil"/>
              <w:bottom w:val="nil"/>
            </w:tcBorders>
          </w:tcPr>
          <w:p w14:paraId="3C7DF941"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(1.75)</w:t>
            </w:r>
          </w:p>
        </w:tc>
      </w:tr>
      <w:tr w:rsidR="004676EF" w:rsidRPr="00734AB6" w14:paraId="393E0DB8" w14:textId="77777777" w:rsidTr="004676EF">
        <w:tc>
          <w:tcPr>
            <w:tcW w:w="3681" w:type="dxa"/>
            <w:tcBorders>
              <w:top w:val="nil"/>
              <w:bottom w:val="nil"/>
            </w:tcBorders>
          </w:tcPr>
          <w:p w14:paraId="13B12D5C"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Concerta</w:t>
            </w:r>
            <w:proofErr w:type="spellEnd"/>
          </w:p>
        </w:tc>
        <w:tc>
          <w:tcPr>
            <w:tcW w:w="1417" w:type="dxa"/>
            <w:tcBorders>
              <w:top w:val="nil"/>
              <w:bottom w:val="nil"/>
            </w:tcBorders>
          </w:tcPr>
          <w:p w14:paraId="0F25D3E1"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10 (17.54)</w:t>
            </w:r>
          </w:p>
        </w:tc>
      </w:tr>
      <w:tr w:rsidR="004676EF" w:rsidRPr="00734AB6" w14:paraId="4410C282" w14:textId="77777777" w:rsidTr="004676EF">
        <w:tc>
          <w:tcPr>
            <w:tcW w:w="3681" w:type="dxa"/>
            <w:tcBorders>
              <w:top w:val="nil"/>
              <w:bottom w:val="nil"/>
            </w:tcBorders>
          </w:tcPr>
          <w:p w14:paraId="1CA1216A"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Equasym</w:t>
            </w:r>
            <w:proofErr w:type="spellEnd"/>
          </w:p>
        </w:tc>
        <w:tc>
          <w:tcPr>
            <w:tcW w:w="1417" w:type="dxa"/>
            <w:tcBorders>
              <w:top w:val="nil"/>
              <w:bottom w:val="nil"/>
            </w:tcBorders>
          </w:tcPr>
          <w:p w14:paraId="6C8BA39E"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(1.75)</w:t>
            </w:r>
          </w:p>
        </w:tc>
      </w:tr>
      <w:tr w:rsidR="004676EF" w:rsidRPr="00734AB6" w14:paraId="2365765A" w14:textId="77777777" w:rsidTr="004676EF">
        <w:tc>
          <w:tcPr>
            <w:tcW w:w="3681" w:type="dxa"/>
            <w:tcBorders>
              <w:top w:val="nil"/>
              <w:bottom w:val="nil"/>
            </w:tcBorders>
          </w:tcPr>
          <w:p w14:paraId="5202D476"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Mediikinet</w:t>
            </w:r>
            <w:proofErr w:type="spellEnd"/>
          </w:p>
        </w:tc>
        <w:tc>
          <w:tcPr>
            <w:tcW w:w="1417" w:type="dxa"/>
            <w:tcBorders>
              <w:top w:val="nil"/>
              <w:bottom w:val="nil"/>
            </w:tcBorders>
          </w:tcPr>
          <w:p w14:paraId="519D878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5 (8.77)</w:t>
            </w:r>
          </w:p>
        </w:tc>
      </w:tr>
      <w:tr w:rsidR="004676EF" w:rsidRPr="00734AB6" w14:paraId="4556F502" w14:textId="77777777" w:rsidTr="004676EF">
        <w:tc>
          <w:tcPr>
            <w:tcW w:w="3681" w:type="dxa"/>
            <w:tcBorders>
              <w:top w:val="nil"/>
              <w:bottom w:val="nil"/>
            </w:tcBorders>
          </w:tcPr>
          <w:p w14:paraId="067A1D89" w14:textId="77777777" w:rsidR="004676EF" w:rsidRPr="00734AB6" w:rsidRDefault="004676EF" w:rsidP="0099584D">
            <w:pPr>
              <w:tabs>
                <w:tab w:val="left" w:pos="2835"/>
                <w:tab w:val="left" w:pos="5812"/>
              </w:tabs>
              <w:spacing w:line="360" w:lineRule="auto"/>
              <w:rPr>
                <w:rFonts w:asciiTheme="majorHAnsi" w:hAnsiTheme="majorHAnsi"/>
                <w:b/>
              </w:rPr>
            </w:pPr>
            <w:r w:rsidRPr="00734AB6">
              <w:rPr>
                <w:rFonts w:asciiTheme="majorHAnsi" w:hAnsiTheme="majorHAnsi"/>
                <w:b/>
              </w:rPr>
              <w:t>Ritalin</w:t>
            </w:r>
          </w:p>
        </w:tc>
        <w:tc>
          <w:tcPr>
            <w:tcW w:w="1417" w:type="dxa"/>
            <w:tcBorders>
              <w:top w:val="nil"/>
              <w:bottom w:val="nil"/>
            </w:tcBorders>
          </w:tcPr>
          <w:p w14:paraId="15CBC526"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20 (35.09)</w:t>
            </w:r>
          </w:p>
        </w:tc>
      </w:tr>
      <w:tr w:rsidR="004676EF" w:rsidRPr="00734AB6" w14:paraId="468EF78F" w14:textId="77777777" w:rsidTr="004676EF">
        <w:tc>
          <w:tcPr>
            <w:tcW w:w="3681" w:type="dxa"/>
            <w:tcBorders>
              <w:top w:val="nil"/>
              <w:bottom w:val="nil"/>
            </w:tcBorders>
          </w:tcPr>
          <w:p w14:paraId="34021C07"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Ritalina</w:t>
            </w:r>
            <w:proofErr w:type="spellEnd"/>
          </w:p>
        </w:tc>
        <w:tc>
          <w:tcPr>
            <w:tcW w:w="1417" w:type="dxa"/>
            <w:tcBorders>
              <w:top w:val="nil"/>
              <w:bottom w:val="nil"/>
            </w:tcBorders>
          </w:tcPr>
          <w:p w14:paraId="4FFA0B43"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(1.75)</w:t>
            </w:r>
          </w:p>
        </w:tc>
      </w:tr>
      <w:tr w:rsidR="004676EF" w:rsidRPr="00734AB6" w14:paraId="4072D2BA" w14:textId="77777777" w:rsidTr="004676EF">
        <w:tc>
          <w:tcPr>
            <w:tcW w:w="3681" w:type="dxa"/>
            <w:tcBorders>
              <w:top w:val="nil"/>
              <w:bottom w:val="nil"/>
            </w:tcBorders>
          </w:tcPr>
          <w:p w14:paraId="75BC0A34"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Rilatine</w:t>
            </w:r>
            <w:proofErr w:type="spellEnd"/>
          </w:p>
        </w:tc>
        <w:tc>
          <w:tcPr>
            <w:tcW w:w="1417" w:type="dxa"/>
            <w:tcBorders>
              <w:top w:val="nil"/>
              <w:bottom w:val="nil"/>
            </w:tcBorders>
          </w:tcPr>
          <w:p w14:paraId="49E06440"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1 (1.75)</w:t>
            </w:r>
          </w:p>
        </w:tc>
      </w:tr>
      <w:tr w:rsidR="004676EF" w:rsidRPr="00734AB6" w14:paraId="209B11F5" w14:textId="77777777" w:rsidTr="004676EF">
        <w:tc>
          <w:tcPr>
            <w:tcW w:w="3681" w:type="dxa"/>
            <w:tcBorders>
              <w:top w:val="nil"/>
              <w:bottom w:val="nil"/>
            </w:tcBorders>
          </w:tcPr>
          <w:p w14:paraId="100AFD7E" w14:textId="77777777" w:rsidR="004676EF" w:rsidRPr="00734AB6" w:rsidRDefault="004676EF" w:rsidP="0099584D">
            <w:pPr>
              <w:tabs>
                <w:tab w:val="left" w:pos="2835"/>
                <w:tab w:val="left" w:pos="5812"/>
              </w:tabs>
              <w:spacing w:line="360" w:lineRule="auto"/>
              <w:rPr>
                <w:rFonts w:asciiTheme="majorHAnsi" w:hAnsiTheme="majorHAnsi"/>
                <w:b/>
              </w:rPr>
            </w:pPr>
            <w:proofErr w:type="spellStart"/>
            <w:r w:rsidRPr="00734AB6">
              <w:rPr>
                <w:rFonts w:asciiTheme="majorHAnsi" w:hAnsiTheme="majorHAnsi"/>
                <w:b/>
              </w:rPr>
              <w:t>Tranquilyn</w:t>
            </w:r>
            <w:proofErr w:type="spellEnd"/>
          </w:p>
        </w:tc>
        <w:tc>
          <w:tcPr>
            <w:tcW w:w="1417" w:type="dxa"/>
            <w:tcBorders>
              <w:top w:val="nil"/>
              <w:bottom w:val="nil"/>
            </w:tcBorders>
          </w:tcPr>
          <w:p w14:paraId="10AB8F09"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 (3.51)</w:t>
            </w:r>
          </w:p>
        </w:tc>
      </w:tr>
      <w:tr w:rsidR="004676EF" w:rsidRPr="00734AB6" w14:paraId="70DE939A" w14:textId="77777777" w:rsidTr="004676EF">
        <w:tc>
          <w:tcPr>
            <w:tcW w:w="3681" w:type="dxa"/>
            <w:tcBorders>
              <w:top w:val="nil"/>
            </w:tcBorders>
          </w:tcPr>
          <w:p w14:paraId="780C94A1" w14:textId="77777777" w:rsidR="004676EF" w:rsidRPr="00734AB6" w:rsidRDefault="004676EF" w:rsidP="0099584D">
            <w:pPr>
              <w:tabs>
                <w:tab w:val="left" w:pos="2835"/>
                <w:tab w:val="left" w:pos="5812"/>
              </w:tabs>
              <w:spacing w:line="360" w:lineRule="auto"/>
              <w:rPr>
                <w:rFonts w:asciiTheme="majorHAnsi" w:hAnsiTheme="majorHAnsi"/>
                <w:b/>
              </w:rPr>
            </w:pPr>
            <w:r w:rsidRPr="00734AB6">
              <w:rPr>
                <w:rFonts w:asciiTheme="majorHAnsi" w:hAnsiTheme="majorHAnsi"/>
                <w:b/>
              </w:rPr>
              <w:t>Other (generic)</w:t>
            </w:r>
          </w:p>
        </w:tc>
        <w:tc>
          <w:tcPr>
            <w:tcW w:w="1417" w:type="dxa"/>
            <w:tcBorders>
              <w:top w:val="nil"/>
            </w:tcBorders>
          </w:tcPr>
          <w:p w14:paraId="15AEE046" w14:textId="77777777" w:rsidR="004676EF" w:rsidRPr="00734AB6" w:rsidRDefault="004676EF" w:rsidP="0099584D">
            <w:pPr>
              <w:tabs>
                <w:tab w:val="left" w:pos="5812"/>
              </w:tabs>
              <w:spacing w:line="360" w:lineRule="auto"/>
              <w:rPr>
                <w:rFonts w:asciiTheme="majorHAnsi" w:hAnsiTheme="majorHAnsi"/>
              </w:rPr>
            </w:pPr>
            <w:r w:rsidRPr="00734AB6">
              <w:rPr>
                <w:rFonts w:asciiTheme="majorHAnsi" w:hAnsiTheme="majorHAnsi"/>
              </w:rPr>
              <w:t>2 (3.51)</w:t>
            </w:r>
          </w:p>
        </w:tc>
      </w:tr>
    </w:tbl>
    <w:p w14:paraId="25D1614D" w14:textId="77777777" w:rsidR="004676EF" w:rsidRPr="00734AB6" w:rsidRDefault="004676EF" w:rsidP="0099584D">
      <w:pPr>
        <w:spacing w:line="360" w:lineRule="auto"/>
        <w:rPr>
          <w:rFonts w:asciiTheme="majorHAnsi" w:hAnsiTheme="majorHAnsi"/>
          <w:b/>
        </w:rPr>
      </w:pPr>
    </w:p>
    <w:p w14:paraId="68A5F7B3" w14:textId="77777777" w:rsidR="009D2794" w:rsidRPr="00734AB6" w:rsidRDefault="009D2794" w:rsidP="0099584D">
      <w:pPr>
        <w:spacing w:line="360" w:lineRule="auto"/>
        <w:rPr>
          <w:rFonts w:asciiTheme="majorHAnsi" w:hAnsiTheme="majorHAnsi"/>
          <w:b/>
        </w:rPr>
      </w:pPr>
    </w:p>
    <w:p w14:paraId="756F32CB" w14:textId="77777777" w:rsidR="00EF7585" w:rsidRPr="00734AB6" w:rsidRDefault="00EF7585" w:rsidP="0099584D">
      <w:pPr>
        <w:spacing w:line="360" w:lineRule="auto"/>
        <w:rPr>
          <w:rFonts w:asciiTheme="majorHAnsi" w:hAnsiTheme="majorHAnsi"/>
          <w:b/>
        </w:rPr>
      </w:pPr>
    </w:p>
    <w:p w14:paraId="45FC8D1B" w14:textId="77777777" w:rsidR="00EF7585" w:rsidRPr="00734AB6" w:rsidRDefault="00EF7585" w:rsidP="00EF7585">
      <w:pPr>
        <w:pBdr>
          <w:top w:val="double" w:sz="4" w:space="1" w:color="auto"/>
        </w:pBdr>
        <w:spacing w:line="360" w:lineRule="auto"/>
        <w:rPr>
          <w:rFonts w:asciiTheme="majorHAnsi" w:hAnsiTheme="majorHAnsi"/>
          <w:b/>
        </w:rPr>
      </w:pPr>
    </w:p>
    <w:p w14:paraId="3E7B77BC" w14:textId="77777777" w:rsidR="005766E0" w:rsidRPr="00734AB6" w:rsidRDefault="005766E0">
      <w:pPr>
        <w:rPr>
          <w:rFonts w:asciiTheme="majorHAnsi" w:eastAsiaTheme="majorEastAsia" w:hAnsiTheme="majorHAnsi" w:cstheme="majorBidi"/>
          <w:b/>
        </w:rPr>
      </w:pPr>
      <w:bookmarkStart w:id="171" w:name="_Toc45200540"/>
      <w:r w:rsidRPr="00734AB6">
        <w:rPr>
          <w:b/>
        </w:rPr>
        <w:br w:type="page"/>
      </w:r>
    </w:p>
    <w:p w14:paraId="6C8E7F3E" w14:textId="2E84FA1A" w:rsidR="004676EF" w:rsidRPr="00734AB6" w:rsidRDefault="004676EF" w:rsidP="0099584D">
      <w:pPr>
        <w:pStyle w:val="Heading2"/>
        <w:spacing w:line="360" w:lineRule="auto"/>
        <w:rPr>
          <w:b/>
          <w:color w:val="auto"/>
          <w:sz w:val="22"/>
          <w:szCs w:val="22"/>
        </w:rPr>
      </w:pPr>
      <w:bookmarkStart w:id="172" w:name="_Toc48136433"/>
      <w:r w:rsidRPr="00734AB6">
        <w:rPr>
          <w:b/>
          <w:color w:val="auto"/>
          <w:sz w:val="22"/>
          <w:szCs w:val="22"/>
        </w:rPr>
        <w:lastRenderedPageBreak/>
        <w:t>B(xv)</w:t>
      </w:r>
      <w:r w:rsidRPr="00734AB6">
        <w:rPr>
          <w:b/>
          <w:color w:val="auto"/>
          <w:sz w:val="22"/>
          <w:szCs w:val="22"/>
        </w:rPr>
        <w:tab/>
        <w:t>Factor analysis and scree plot of CFQ control group responses</w:t>
      </w:r>
      <w:bookmarkEnd w:id="171"/>
      <w:bookmarkEnd w:id="172"/>
    </w:p>
    <w:p w14:paraId="34096CF6" w14:textId="77777777" w:rsidR="009D2794" w:rsidRPr="00734AB6" w:rsidRDefault="009D2794" w:rsidP="009D2794">
      <w:pPr>
        <w:rPr>
          <w:rFonts w:asciiTheme="majorHAnsi" w:hAnsiTheme="majorHAnsi"/>
        </w:rPr>
      </w:pPr>
    </w:p>
    <w:p w14:paraId="31B4572C" w14:textId="7555D9E5" w:rsidR="004676EF" w:rsidRPr="00734AB6" w:rsidRDefault="004676EF" w:rsidP="0099584D">
      <w:pPr>
        <w:spacing w:line="360" w:lineRule="auto"/>
        <w:rPr>
          <w:rFonts w:asciiTheme="majorHAnsi" w:hAnsiTheme="majorHAnsi"/>
          <w:b/>
          <w:bCs/>
        </w:rPr>
      </w:pPr>
      <w:r w:rsidRPr="00734AB6">
        <w:rPr>
          <w:rFonts w:asciiTheme="majorHAnsi" w:hAnsiTheme="majorHAnsi"/>
          <w:b/>
          <w:bCs/>
        </w:rPr>
        <w:t xml:space="preserve">Table </w:t>
      </w:r>
      <w:r w:rsidR="00833970" w:rsidRPr="00734AB6">
        <w:rPr>
          <w:rFonts w:asciiTheme="majorHAnsi" w:hAnsiTheme="majorHAnsi"/>
          <w:b/>
          <w:bCs/>
        </w:rPr>
        <w:t>B.16</w:t>
      </w:r>
      <w:r w:rsidRPr="00734AB6">
        <w:rPr>
          <w:rFonts w:asciiTheme="majorHAnsi" w:hAnsiTheme="majorHAnsi"/>
          <w:b/>
          <w:bCs/>
        </w:rPr>
        <w:t>. Factor loading of control group CFQ responses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55"/>
        <w:gridCol w:w="1134"/>
        <w:gridCol w:w="997"/>
        <w:gridCol w:w="1134"/>
        <w:gridCol w:w="1134"/>
        <w:gridCol w:w="1134"/>
        <w:gridCol w:w="992"/>
      </w:tblGrid>
      <w:tr w:rsidR="004676EF" w:rsidRPr="00734AB6" w14:paraId="1A7464EB" w14:textId="77777777" w:rsidTr="005766E0">
        <w:tc>
          <w:tcPr>
            <w:tcW w:w="1555" w:type="dxa"/>
            <w:tcBorders>
              <w:bottom w:val="single" w:sz="4" w:space="0" w:color="auto"/>
            </w:tcBorders>
          </w:tcPr>
          <w:p w14:paraId="6E811151"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Item number</w:t>
            </w:r>
          </w:p>
        </w:tc>
        <w:tc>
          <w:tcPr>
            <w:tcW w:w="1134" w:type="dxa"/>
            <w:tcBorders>
              <w:bottom w:val="single" w:sz="4" w:space="0" w:color="auto"/>
            </w:tcBorders>
          </w:tcPr>
          <w:p w14:paraId="68824490"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Factor 1</w:t>
            </w:r>
          </w:p>
        </w:tc>
        <w:tc>
          <w:tcPr>
            <w:tcW w:w="997" w:type="dxa"/>
            <w:tcBorders>
              <w:bottom w:val="single" w:sz="4" w:space="0" w:color="auto"/>
            </w:tcBorders>
          </w:tcPr>
          <w:p w14:paraId="688D3721"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Factor 2</w:t>
            </w:r>
          </w:p>
        </w:tc>
        <w:tc>
          <w:tcPr>
            <w:tcW w:w="1134" w:type="dxa"/>
            <w:tcBorders>
              <w:bottom w:val="single" w:sz="4" w:space="0" w:color="auto"/>
            </w:tcBorders>
          </w:tcPr>
          <w:p w14:paraId="0C88DFA2"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Factor 3</w:t>
            </w:r>
          </w:p>
        </w:tc>
        <w:tc>
          <w:tcPr>
            <w:tcW w:w="1134" w:type="dxa"/>
            <w:tcBorders>
              <w:bottom w:val="single" w:sz="4" w:space="0" w:color="auto"/>
            </w:tcBorders>
          </w:tcPr>
          <w:p w14:paraId="79F7F9E1"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Factor 4</w:t>
            </w:r>
          </w:p>
        </w:tc>
        <w:tc>
          <w:tcPr>
            <w:tcW w:w="1134" w:type="dxa"/>
            <w:tcBorders>
              <w:bottom w:val="single" w:sz="4" w:space="0" w:color="auto"/>
            </w:tcBorders>
          </w:tcPr>
          <w:p w14:paraId="393A1723"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Factor 5</w:t>
            </w:r>
          </w:p>
        </w:tc>
        <w:tc>
          <w:tcPr>
            <w:tcW w:w="992" w:type="dxa"/>
            <w:tcBorders>
              <w:bottom w:val="single" w:sz="4" w:space="0" w:color="auto"/>
            </w:tcBorders>
          </w:tcPr>
          <w:p w14:paraId="049670DC" w14:textId="77777777" w:rsidR="004676EF" w:rsidRPr="00734AB6" w:rsidRDefault="004676EF" w:rsidP="005766E0">
            <w:pPr>
              <w:spacing w:after="0" w:line="360" w:lineRule="auto"/>
              <w:rPr>
                <w:rFonts w:asciiTheme="majorHAnsi" w:hAnsiTheme="majorHAnsi"/>
                <w:b/>
              </w:rPr>
            </w:pPr>
            <w:r w:rsidRPr="00734AB6">
              <w:rPr>
                <w:rFonts w:asciiTheme="majorHAnsi" w:hAnsiTheme="majorHAnsi"/>
                <w:b/>
              </w:rPr>
              <w:t>Factor 6</w:t>
            </w:r>
          </w:p>
        </w:tc>
      </w:tr>
      <w:tr w:rsidR="004676EF" w:rsidRPr="00734AB6" w14:paraId="25896B25" w14:textId="77777777" w:rsidTr="005766E0">
        <w:tc>
          <w:tcPr>
            <w:tcW w:w="1555" w:type="dxa"/>
            <w:tcBorders>
              <w:bottom w:val="nil"/>
            </w:tcBorders>
            <w:vAlign w:val="center"/>
          </w:tcPr>
          <w:p w14:paraId="7E50394C"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CFQ.16</w:t>
            </w:r>
          </w:p>
        </w:tc>
        <w:tc>
          <w:tcPr>
            <w:tcW w:w="1134" w:type="dxa"/>
            <w:tcBorders>
              <w:bottom w:val="nil"/>
            </w:tcBorders>
          </w:tcPr>
          <w:p w14:paraId="66B32612"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.696</w:t>
            </w:r>
          </w:p>
        </w:tc>
        <w:tc>
          <w:tcPr>
            <w:tcW w:w="997" w:type="dxa"/>
            <w:tcBorders>
              <w:bottom w:val="nil"/>
            </w:tcBorders>
          </w:tcPr>
          <w:p w14:paraId="01C87E59" w14:textId="77777777" w:rsidR="004676EF" w:rsidRPr="00734AB6" w:rsidRDefault="004676EF" w:rsidP="005766E0">
            <w:pPr>
              <w:spacing w:after="0" w:line="360" w:lineRule="auto"/>
              <w:rPr>
                <w:rFonts w:asciiTheme="majorHAnsi" w:hAnsiTheme="majorHAnsi"/>
              </w:rPr>
            </w:pPr>
          </w:p>
        </w:tc>
        <w:tc>
          <w:tcPr>
            <w:tcW w:w="1134" w:type="dxa"/>
            <w:tcBorders>
              <w:bottom w:val="nil"/>
            </w:tcBorders>
          </w:tcPr>
          <w:p w14:paraId="03A3CED6" w14:textId="77777777" w:rsidR="004676EF" w:rsidRPr="00734AB6" w:rsidRDefault="004676EF" w:rsidP="005766E0">
            <w:pPr>
              <w:spacing w:after="0" w:line="360" w:lineRule="auto"/>
              <w:rPr>
                <w:rFonts w:asciiTheme="majorHAnsi" w:hAnsiTheme="majorHAnsi"/>
              </w:rPr>
            </w:pPr>
          </w:p>
        </w:tc>
        <w:tc>
          <w:tcPr>
            <w:tcW w:w="1134" w:type="dxa"/>
            <w:tcBorders>
              <w:bottom w:val="nil"/>
            </w:tcBorders>
          </w:tcPr>
          <w:p w14:paraId="3E42AB8E" w14:textId="77777777" w:rsidR="004676EF" w:rsidRPr="00734AB6" w:rsidRDefault="004676EF" w:rsidP="005766E0">
            <w:pPr>
              <w:spacing w:after="0" w:line="360" w:lineRule="auto"/>
              <w:rPr>
                <w:rFonts w:asciiTheme="majorHAnsi" w:hAnsiTheme="majorHAnsi"/>
              </w:rPr>
            </w:pPr>
          </w:p>
        </w:tc>
        <w:tc>
          <w:tcPr>
            <w:tcW w:w="1134" w:type="dxa"/>
            <w:tcBorders>
              <w:bottom w:val="nil"/>
            </w:tcBorders>
          </w:tcPr>
          <w:p w14:paraId="1EBC3FD2" w14:textId="77777777" w:rsidR="004676EF" w:rsidRPr="00734AB6" w:rsidRDefault="004676EF" w:rsidP="005766E0">
            <w:pPr>
              <w:spacing w:after="0" w:line="360" w:lineRule="auto"/>
              <w:rPr>
                <w:rFonts w:asciiTheme="majorHAnsi" w:hAnsiTheme="majorHAnsi"/>
              </w:rPr>
            </w:pPr>
          </w:p>
        </w:tc>
        <w:tc>
          <w:tcPr>
            <w:tcW w:w="992" w:type="dxa"/>
            <w:tcBorders>
              <w:bottom w:val="nil"/>
            </w:tcBorders>
          </w:tcPr>
          <w:p w14:paraId="36E90C4B" w14:textId="77777777" w:rsidR="004676EF" w:rsidRPr="00734AB6" w:rsidRDefault="004676EF" w:rsidP="005766E0">
            <w:pPr>
              <w:spacing w:after="0" w:line="360" w:lineRule="auto"/>
              <w:rPr>
                <w:rFonts w:asciiTheme="majorHAnsi" w:hAnsiTheme="majorHAnsi"/>
              </w:rPr>
            </w:pPr>
          </w:p>
        </w:tc>
      </w:tr>
      <w:tr w:rsidR="004676EF" w:rsidRPr="00734AB6" w14:paraId="29538DA2" w14:textId="77777777" w:rsidTr="005766E0">
        <w:tc>
          <w:tcPr>
            <w:tcW w:w="1555" w:type="dxa"/>
            <w:tcBorders>
              <w:top w:val="nil"/>
              <w:bottom w:val="nil"/>
            </w:tcBorders>
            <w:vAlign w:val="center"/>
          </w:tcPr>
          <w:p w14:paraId="23E03260"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CFQ.17</w:t>
            </w:r>
          </w:p>
        </w:tc>
        <w:tc>
          <w:tcPr>
            <w:tcW w:w="1134" w:type="dxa"/>
            <w:tcBorders>
              <w:top w:val="nil"/>
              <w:bottom w:val="nil"/>
            </w:tcBorders>
          </w:tcPr>
          <w:p w14:paraId="6AF94EBC"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.668</w:t>
            </w:r>
          </w:p>
        </w:tc>
        <w:tc>
          <w:tcPr>
            <w:tcW w:w="997" w:type="dxa"/>
            <w:tcBorders>
              <w:top w:val="nil"/>
              <w:bottom w:val="nil"/>
            </w:tcBorders>
          </w:tcPr>
          <w:p w14:paraId="794E7589"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51FFF0B2"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2C1B41B"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C2748AD"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4A1BD8A8" w14:textId="77777777" w:rsidR="004676EF" w:rsidRPr="00734AB6" w:rsidRDefault="004676EF" w:rsidP="005766E0">
            <w:pPr>
              <w:spacing w:after="0" w:line="360" w:lineRule="auto"/>
              <w:rPr>
                <w:rFonts w:asciiTheme="majorHAnsi" w:hAnsiTheme="majorHAnsi"/>
              </w:rPr>
            </w:pPr>
          </w:p>
        </w:tc>
      </w:tr>
      <w:tr w:rsidR="004676EF" w:rsidRPr="00734AB6" w14:paraId="3A9DA3D9" w14:textId="77777777" w:rsidTr="005766E0">
        <w:tc>
          <w:tcPr>
            <w:tcW w:w="1555" w:type="dxa"/>
            <w:tcBorders>
              <w:top w:val="nil"/>
              <w:bottom w:val="nil"/>
            </w:tcBorders>
            <w:vAlign w:val="center"/>
          </w:tcPr>
          <w:p w14:paraId="056D4936"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CFQ.6</w:t>
            </w:r>
          </w:p>
        </w:tc>
        <w:tc>
          <w:tcPr>
            <w:tcW w:w="1134" w:type="dxa"/>
            <w:tcBorders>
              <w:top w:val="nil"/>
              <w:bottom w:val="nil"/>
            </w:tcBorders>
          </w:tcPr>
          <w:p w14:paraId="4C9E496D"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.544</w:t>
            </w:r>
          </w:p>
        </w:tc>
        <w:tc>
          <w:tcPr>
            <w:tcW w:w="997" w:type="dxa"/>
            <w:tcBorders>
              <w:top w:val="nil"/>
              <w:bottom w:val="nil"/>
            </w:tcBorders>
          </w:tcPr>
          <w:p w14:paraId="6F73A5E6"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2B05773"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0217AA07"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0E27A73"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6B80788D" w14:textId="77777777" w:rsidR="004676EF" w:rsidRPr="00734AB6" w:rsidRDefault="004676EF" w:rsidP="005766E0">
            <w:pPr>
              <w:spacing w:after="0" w:line="360" w:lineRule="auto"/>
              <w:rPr>
                <w:rFonts w:asciiTheme="majorHAnsi" w:hAnsiTheme="majorHAnsi"/>
              </w:rPr>
            </w:pPr>
          </w:p>
        </w:tc>
      </w:tr>
      <w:tr w:rsidR="004676EF" w:rsidRPr="00734AB6" w14:paraId="6C22811F" w14:textId="77777777" w:rsidTr="005766E0">
        <w:tc>
          <w:tcPr>
            <w:tcW w:w="1555" w:type="dxa"/>
            <w:tcBorders>
              <w:top w:val="nil"/>
              <w:bottom w:val="nil"/>
            </w:tcBorders>
            <w:vAlign w:val="center"/>
          </w:tcPr>
          <w:p w14:paraId="4CA38197"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w:t>
            </w:r>
          </w:p>
        </w:tc>
        <w:tc>
          <w:tcPr>
            <w:tcW w:w="1134" w:type="dxa"/>
            <w:tcBorders>
              <w:top w:val="nil"/>
              <w:bottom w:val="nil"/>
            </w:tcBorders>
          </w:tcPr>
          <w:p w14:paraId="37AF5BD1"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.509</w:t>
            </w:r>
          </w:p>
        </w:tc>
        <w:tc>
          <w:tcPr>
            <w:tcW w:w="997" w:type="dxa"/>
            <w:tcBorders>
              <w:top w:val="nil"/>
              <w:bottom w:val="nil"/>
            </w:tcBorders>
          </w:tcPr>
          <w:p w14:paraId="5D623239"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.475</w:t>
            </w:r>
          </w:p>
        </w:tc>
        <w:tc>
          <w:tcPr>
            <w:tcW w:w="1134" w:type="dxa"/>
            <w:tcBorders>
              <w:top w:val="nil"/>
              <w:bottom w:val="nil"/>
            </w:tcBorders>
          </w:tcPr>
          <w:p w14:paraId="1B2D919F"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E383D3B"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0E91CA51"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0A0B3CA7" w14:textId="77777777" w:rsidR="004676EF" w:rsidRPr="00734AB6" w:rsidRDefault="004676EF" w:rsidP="005766E0">
            <w:pPr>
              <w:spacing w:after="0" w:line="360" w:lineRule="auto"/>
              <w:rPr>
                <w:rFonts w:asciiTheme="majorHAnsi" w:hAnsiTheme="majorHAnsi"/>
              </w:rPr>
            </w:pPr>
          </w:p>
        </w:tc>
      </w:tr>
      <w:tr w:rsidR="004676EF" w:rsidRPr="00734AB6" w14:paraId="3C79FB6B" w14:textId="77777777" w:rsidTr="005766E0">
        <w:tc>
          <w:tcPr>
            <w:tcW w:w="1555" w:type="dxa"/>
            <w:tcBorders>
              <w:top w:val="nil"/>
              <w:bottom w:val="nil"/>
            </w:tcBorders>
            <w:vAlign w:val="center"/>
          </w:tcPr>
          <w:p w14:paraId="02C073C8"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CFQ.3</w:t>
            </w:r>
          </w:p>
        </w:tc>
        <w:tc>
          <w:tcPr>
            <w:tcW w:w="1134" w:type="dxa"/>
            <w:tcBorders>
              <w:top w:val="nil"/>
              <w:bottom w:val="nil"/>
            </w:tcBorders>
          </w:tcPr>
          <w:p w14:paraId="2C267A54"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.498</w:t>
            </w:r>
          </w:p>
        </w:tc>
        <w:tc>
          <w:tcPr>
            <w:tcW w:w="997" w:type="dxa"/>
            <w:tcBorders>
              <w:top w:val="nil"/>
              <w:bottom w:val="nil"/>
            </w:tcBorders>
          </w:tcPr>
          <w:p w14:paraId="5B2FA49C"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DCAD913"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9F69706"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040CBB51"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777AC8E5" w14:textId="77777777" w:rsidR="004676EF" w:rsidRPr="00734AB6" w:rsidRDefault="004676EF" w:rsidP="005766E0">
            <w:pPr>
              <w:spacing w:after="0" w:line="360" w:lineRule="auto"/>
              <w:rPr>
                <w:rFonts w:asciiTheme="majorHAnsi" w:hAnsiTheme="majorHAnsi"/>
              </w:rPr>
            </w:pPr>
          </w:p>
        </w:tc>
      </w:tr>
      <w:tr w:rsidR="004676EF" w:rsidRPr="00734AB6" w14:paraId="78366B54" w14:textId="77777777" w:rsidTr="005766E0">
        <w:tc>
          <w:tcPr>
            <w:tcW w:w="1555" w:type="dxa"/>
            <w:tcBorders>
              <w:top w:val="nil"/>
              <w:bottom w:val="nil"/>
            </w:tcBorders>
            <w:vAlign w:val="center"/>
          </w:tcPr>
          <w:p w14:paraId="2EAF0606"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CFQ.11</w:t>
            </w:r>
          </w:p>
        </w:tc>
        <w:tc>
          <w:tcPr>
            <w:tcW w:w="1134" w:type="dxa"/>
            <w:tcBorders>
              <w:top w:val="nil"/>
              <w:bottom w:val="nil"/>
            </w:tcBorders>
          </w:tcPr>
          <w:p w14:paraId="0B86D8F8"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.469</w:t>
            </w:r>
          </w:p>
        </w:tc>
        <w:tc>
          <w:tcPr>
            <w:tcW w:w="997" w:type="dxa"/>
            <w:tcBorders>
              <w:top w:val="nil"/>
              <w:bottom w:val="nil"/>
            </w:tcBorders>
          </w:tcPr>
          <w:p w14:paraId="4F3E4BD4"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23EFE486"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51EC0B8"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7D43D18"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34388AED" w14:textId="77777777" w:rsidR="004676EF" w:rsidRPr="00734AB6" w:rsidRDefault="004676EF" w:rsidP="005766E0">
            <w:pPr>
              <w:spacing w:after="0" w:line="360" w:lineRule="auto"/>
              <w:rPr>
                <w:rFonts w:asciiTheme="majorHAnsi" w:hAnsiTheme="majorHAnsi"/>
              </w:rPr>
            </w:pPr>
          </w:p>
        </w:tc>
      </w:tr>
      <w:tr w:rsidR="004676EF" w:rsidRPr="00734AB6" w14:paraId="4F905A35" w14:textId="77777777" w:rsidTr="005766E0">
        <w:tc>
          <w:tcPr>
            <w:tcW w:w="1555" w:type="dxa"/>
            <w:tcBorders>
              <w:top w:val="nil"/>
              <w:bottom w:val="nil"/>
            </w:tcBorders>
            <w:vAlign w:val="center"/>
          </w:tcPr>
          <w:p w14:paraId="5AC06F6C"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CFQ.23</w:t>
            </w:r>
          </w:p>
        </w:tc>
        <w:tc>
          <w:tcPr>
            <w:tcW w:w="1134" w:type="dxa"/>
            <w:tcBorders>
              <w:top w:val="nil"/>
              <w:bottom w:val="nil"/>
            </w:tcBorders>
          </w:tcPr>
          <w:p w14:paraId="237F7075"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6B09F365"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7CB610D"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50571733"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821D386"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04BC86E9" w14:textId="77777777" w:rsidR="004676EF" w:rsidRPr="00734AB6" w:rsidRDefault="004676EF" w:rsidP="005766E0">
            <w:pPr>
              <w:spacing w:after="0" w:line="360" w:lineRule="auto"/>
              <w:rPr>
                <w:rFonts w:asciiTheme="majorHAnsi" w:hAnsiTheme="majorHAnsi"/>
              </w:rPr>
            </w:pPr>
          </w:p>
        </w:tc>
      </w:tr>
      <w:tr w:rsidR="004676EF" w:rsidRPr="00734AB6" w14:paraId="0AB13AB6" w14:textId="77777777" w:rsidTr="005766E0">
        <w:tc>
          <w:tcPr>
            <w:tcW w:w="1555" w:type="dxa"/>
            <w:tcBorders>
              <w:top w:val="nil"/>
              <w:bottom w:val="nil"/>
            </w:tcBorders>
            <w:vAlign w:val="center"/>
          </w:tcPr>
          <w:p w14:paraId="6FE17A9E"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CFQ.9</w:t>
            </w:r>
          </w:p>
        </w:tc>
        <w:tc>
          <w:tcPr>
            <w:tcW w:w="1134" w:type="dxa"/>
            <w:tcBorders>
              <w:top w:val="nil"/>
              <w:bottom w:val="nil"/>
            </w:tcBorders>
          </w:tcPr>
          <w:p w14:paraId="3829F7A9"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3D0ED667"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D43F63F"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34ABE02"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55681496"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14EAB1BC" w14:textId="77777777" w:rsidR="004676EF" w:rsidRPr="00734AB6" w:rsidRDefault="004676EF" w:rsidP="005766E0">
            <w:pPr>
              <w:spacing w:after="0" w:line="360" w:lineRule="auto"/>
              <w:rPr>
                <w:rFonts w:asciiTheme="majorHAnsi" w:hAnsiTheme="majorHAnsi"/>
              </w:rPr>
            </w:pPr>
          </w:p>
        </w:tc>
      </w:tr>
      <w:tr w:rsidR="004676EF" w:rsidRPr="00734AB6" w14:paraId="728EDE44" w14:textId="77777777" w:rsidTr="005766E0">
        <w:tc>
          <w:tcPr>
            <w:tcW w:w="1555" w:type="dxa"/>
            <w:tcBorders>
              <w:top w:val="nil"/>
              <w:bottom w:val="nil"/>
            </w:tcBorders>
            <w:vAlign w:val="center"/>
          </w:tcPr>
          <w:p w14:paraId="4C26218C"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w:t>
            </w:r>
          </w:p>
        </w:tc>
        <w:tc>
          <w:tcPr>
            <w:tcW w:w="1134" w:type="dxa"/>
            <w:tcBorders>
              <w:top w:val="nil"/>
              <w:bottom w:val="nil"/>
            </w:tcBorders>
          </w:tcPr>
          <w:p w14:paraId="6DE1D1FF"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0B42112F"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.869</w:t>
            </w:r>
          </w:p>
        </w:tc>
        <w:tc>
          <w:tcPr>
            <w:tcW w:w="1134" w:type="dxa"/>
            <w:tcBorders>
              <w:top w:val="nil"/>
              <w:bottom w:val="nil"/>
            </w:tcBorders>
          </w:tcPr>
          <w:p w14:paraId="009A0122"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2F2A2CA6"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FFFB817"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10464341" w14:textId="77777777" w:rsidR="004676EF" w:rsidRPr="00734AB6" w:rsidRDefault="004676EF" w:rsidP="005766E0">
            <w:pPr>
              <w:spacing w:after="0" w:line="360" w:lineRule="auto"/>
              <w:rPr>
                <w:rFonts w:asciiTheme="majorHAnsi" w:hAnsiTheme="majorHAnsi"/>
              </w:rPr>
            </w:pPr>
          </w:p>
        </w:tc>
      </w:tr>
      <w:tr w:rsidR="004676EF" w:rsidRPr="00734AB6" w14:paraId="3F8FA1E9" w14:textId="77777777" w:rsidTr="005766E0">
        <w:tc>
          <w:tcPr>
            <w:tcW w:w="1555" w:type="dxa"/>
            <w:tcBorders>
              <w:top w:val="nil"/>
              <w:bottom w:val="nil"/>
            </w:tcBorders>
            <w:vAlign w:val="center"/>
          </w:tcPr>
          <w:p w14:paraId="6DF1C5BF"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CFQ.21</w:t>
            </w:r>
          </w:p>
        </w:tc>
        <w:tc>
          <w:tcPr>
            <w:tcW w:w="1134" w:type="dxa"/>
            <w:tcBorders>
              <w:top w:val="nil"/>
              <w:bottom w:val="nil"/>
            </w:tcBorders>
          </w:tcPr>
          <w:p w14:paraId="6F3C11B7"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6E8097E2"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.615</w:t>
            </w:r>
          </w:p>
        </w:tc>
        <w:tc>
          <w:tcPr>
            <w:tcW w:w="1134" w:type="dxa"/>
            <w:tcBorders>
              <w:top w:val="nil"/>
              <w:bottom w:val="nil"/>
            </w:tcBorders>
          </w:tcPr>
          <w:p w14:paraId="564FA36C"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83D5CD8"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51FB8E9"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5D05B8CE" w14:textId="77777777" w:rsidR="004676EF" w:rsidRPr="00734AB6" w:rsidRDefault="004676EF" w:rsidP="005766E0">
            <w:pPr>
              <w:spacing w:after="0" w:line="360" w:lineRule="auto"/>
              <w:rPr>
                <w:rFonts w:asciiTheme="majorHAnsi" w:hAnsiTheme="majorHAnsi"/>
              </w:rPr>
            </w:pPr>
          </w:p>
        </w:tc>
      </w:tr>
      <w:tr w:rsidR="004676EF" w:rsidRPr="00734AB6" w14:paraId="2C050E99" w14:textId="77777777" w:rsidTr="005766E0">
        <w:tc>
          <w:tcPr>
            <w:tcW w:w="1555" w:type="dxa"/>
            <w:tcBorders>
              <w:top w:val="nil"/>
              <w:bottom w:val="nil"/>
            </w:tcBorders>
            <w:vAlign w:val="center"/>
          </w:tcPr>
          <w:p w14:paraId="044330C7"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CFQ.19</w:t>
            </w:r>
          </w:p>
        </w:tc>
        <w:tc>
          <w:tcPr>
            <w:tcW w:w="1134" w:type="dxa"/>
            <w:tcBorders>
              <w:top w:val="nil"/>
              <w:bottom w:val="nil"/>
            </w:tcBorders>
          </w:tcPr>
          <w:p w14:paraId="20B30090"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0E29459E"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.558</w:t>
            </w:r>
          </w:p>
        </w:tc>
        <w:tc>
          <w:tcPr>
            <w:tcW w:w="1134" w:type="dxa"/>
            <w:tcBorders>
              <w:top w:val="nil"/>
              <w:bottom w:val="nil"/>
            </w:tcBorders>
          </w:tcPr>
          <w:p w14:paraId="606085CE"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1FA0DA5"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20EA5CAB"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59F1CAFC" w14:textId="77777777" w:rsidR="004676EF" w:rsidRPr="00734AB6" w:rsidRDefault="004676EF" w:rsidP="005766E0">
            <w:pPr>
              <w:spacing w:after="0" w:line="360" w:lineRule="auto"/>
              <w:rPr>
                <w:rFonts w:asciiTheme="majorHAnsi" w:hAnsiTheme="majorHAnsi"/>
              </w:rPr>
            </w:pPr>
          </w:p>
        </w:tc>
      </w:tr>
      <w:tr w:rsidR="004676EF" w:rsidRPr="00734AB6" w14:paraId="614730C3" w14:textId="77777777" w:rsidTr="005766E0">
        <w:tc>
          <w:tcPr>
            <w:tcW w:w="1555" w:type="dxa"/>
            <w:tcBorders>
              <w:top w:val="nil"/>
              <w:bottom w:val="nil"/>
            </w:tcBorders>
            <w:vAlign w:val="center"/>
          </w:tcPr>
          <w:p w14:paraId="590DD062"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CFQ.22</w:t>
            </w:r>
          </w:p>
        </w:tc>
        <w:tc>
          <w:tcPr>
            <w:tcW w:w="1134" w:type="dxa"/>
            <w:tcBorders>
              <w:top w:val="nil"/>
              <w:bottom w:val="nil"/>
            </w:tcBorders>
          </w:tcPr>
          <w:p w14:paraId="0200206A"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59E829B2"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.515</w:t>
            </w:r>
          </w:p>
        </w:tc>
        <w:tc>
          <w:tcPr>
            <w:tcW w:w="1134" w:type="dxa"/>
            <w:tcBorders>
              <w:top w:val="nil"/>
              <w:bottom w:val="nil"/>
            </w:tcBorders>
          </w:tcPr>
          <w:p w14:paraId="3A946B6E"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AEA3CAA"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7264091"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5187C96D" w14:textId="77777777" w:rsidR="004676EF" w:rsidRPr="00734AB6" w:rsidRDefault="004676EF" w:rsidP="005766E0">
            <w:pPr>
              <w:spacing w:after="0" w:line="360" w:lineRule="auto"/>
              <w:rPr>
                <w:rFonts w:asciiTheme="majorHAnsi" w:hAnsiTheme="majorHAnsi"/>
              </w:rPr>
            </w:pPr>
          </w:p>
        </w:tc>
      </w:tr>
      <w:tr w:rsidR="004676EF" w:rsidRPr="00734AB6" w14:paraId="441E68EC" w14:textId="77777777" w:rsidTr="005766E0">
        <w:tc>
          <w:tcPr>
            <w:tcW w:w="1555" w:type="dxa"/>
            <w:tcBorders>
              <w:top w:val="nil"/>
              <w:bottom w:val="nil"/>
            </w:tcBorders>
            <w:vAlign w:val="center"/>
          </w:tcPr>
          <w:p w14:paraId="0326A4B3"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CFQ.25</w:t>
            </w:r>
          </w:p>
        </w:tc>
        <w:tc>
          <w:tcPr>
            <w:tcW w:w="1134" w:type="dxa"/>
            <w:tcBorders>
              <w:top w:val="nil"/>
              <w:bottom w:val="nil"/>
            </w:tcBorders>
          </w:tcPr>
          <w:p w14:paraId="7C89242A"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343D67DB"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.490</w:t>
            </w:r>
          </w:p>
        </w:tc>
        <w:tc>
          <w:tcPr>
            <w:tcW w:w="1134" w:type="dxa"/>
            <w:tcBorders>
              <w:top w:val="nil"/>
              <w:bottom w:val="nil"/>
            </w:tcBorders>
          </w:tcPr>
          <w:p w14:paraId="32C60C0F"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72C96A92"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40A5C0D"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0C7A1FB0" w14:textId="77777777" w:rsidR="004676EF" w:rsidRPr="00734AB6" w:rsidRDefault="004676EF" w:rsidP="005766E0">
            <w:pPr>
              <w:spacing w:after="0" w:line="360" w:lineRule="auto"/>
              <w:rPr>
                <w:rFonts w:asciiTheme="majorHAnsi" w:hAnsiTheme="majorHAnsi"/>
              </w:rPr>
            </w:pPr>
          </w:p>
        </w:tc>
      </w:tr>
      <w:tr w:rsidR="004676EF" w:rsidRPr="00734AB6" w14:paraId="40844527" w14:textId="77777777" w:rsidTr="005766E0">
        <w:tc>
          <w:tcPr>
            <w:tcW w:w="1555" w:type="dxa"/>
            <w:tcBorders>
              <w:top w:val="nil"/>
              <w:bottom w:val="nil"/>
            </w:tcBorders>
            <w:vAlign w:val="center"/>
          </w:tcPr>
          <w:p w14:paraId="5DABF23C"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CFQ.15</w:t>
            </w:r>
          </w:p>
        </w:tc>
        <w:tc>
          <w:tcPr>
            <w:tcW w:w="1134" w:type="dxa"/>
            <w:tcBorders>
              <w:top w:val="nil"/>
              <w:bottom w:val="nil"/>
            </w:tcBorders>
          </w:tcPr>
          <w:p w14:paraId="2878D319"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3E471DC1"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.416</w:t>
            </w:r>
          </w:p>
        </w:tc>
        <w:tc>
          <w:tcPr>
            <w:tcW w:w="1134" w:type="dxa"/>
            <w:tcBorders>
              <w:top w:val="nil"/>
              <w:bottom w:val="nil"/>
            </w:tcBorders>
          </w:tcPr>
          <w:p w14:paraId="494D4D61"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59E5B07"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1716FEC0"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6837D21B" w14:textId="77777777" w:rsidR="004676EF" w:rsidRPr="00734AB6" w:rsidRDefault="004676EF" w:rsidP="005766E0">
            <w:pPr>
              <w:spacing w:after="0" w:line="360" w:lineRule="auto"/>
              <w:rPr>
                <w:rFonts w:asciiTheme="majorHAnsi" w:hAnsiTheme="majorHAnsi"/>
              </w:rPr>
            </w:pPr>
          </w:p>
        </w:tc>
      </w:tr>
      <w:tr w:rsidR="004676EF" w:rsidRPr="00734AB6" w14:paraId="75A1B7DE" w14:textId="77777777" w:rsidTr="005766E0">
        <w:tc>
          <w:tcPr>
            <w:tcW w:w="1555" w:type="dxa"/>
            <w:tcBorders>
              <w:top w:val="nil"/>
              <w:bottom w:val="nil"/>
            </w:tcBorders>
            <w:vAlign w:val="center"/>
          </w:tcPr>
          <w:p w14:paraId="2D5DBFDD"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CFQ.14</w:t>
            </w:r>
          </w:p>
        </w:tc>
        <w:tc>
          <w:tcPr>
            <w:tcW w:w="1134" w:type="dxa"/>
            <w:tcBorders>
              <w:top w:val="nil"/>
              <w:bottom w:val="nil"/>
            </w:tcBorders>
          </w:tcPr>
          <w:p w14:paraId="00963AD6"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1E5BC40A"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17C7220"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.575</w:t>
            </w:r>
          </w:p>
        </w:tc>
        <w:tc>
          <w:tcPr>
            <w:tcW w:w="1134" w:type="dxa"/>
            <w:tcBorders>
              <w:top w:val="nil"/>
              <w:bottom w:val="nil"/>
            </w:tcBorders>
          </w:tcPr>
          <w:p w14:paraId="5E330755"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6AD37F8"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1E491B1C" w14:textId="77777777" w:rsidR="004676EF" w:rsidRPr="00734AB6" w:rsidRDefault="004676EF" w:rsidP="005766E0">
            <w:pPr>
              <w:spacing w:after="0" w:line="360" w:lineRule="auto"/>
              <w:rPr>
                <w:rFonts w:asciiTheme="majorHAnsi" w:hAnsiTheme="majorHAnsi"/>
              </w:rPr>
            </w:pPr>
          </w:p>
        </w:tc>
      </w:tr>
      <w:tr w:rsidR="004676EF" w:rsidRPr="00734AB6" w14:paraId="538ECA48" w14:textId="77777777" w:rsidTr="005766E0">
        <w:tc>
          <w:tcPr>
            <w:tcW w:w="1555" w:type="dxa"/>
            <w:tcBorders>
              <w:top w:val="nil"/>
              <w:bottom w:val="nil"/>
            </w:tcBorders>
            <w:vAlign w:val="center"/>
          </w:tcPr>
          <w:p w14:paraId="5817B06A"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CFQ.13</w:t>
            </w:r>
          </w:p>
        </w:tc>
        <w:tc>
          <w:tcPr>
            <w:tcW w:w="1134" w:type="dxa"/>
            <w:tcBorders>
              <w:top w:val="nil"/>
              <w:bottom w:val="nil"/>
            </w:tcBorders>
          </w:tcPr>
          <w:p w14:paraId="1FD7BA96"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.512</w:t>
            </w:r>
          </w:p>
        </w:tc>
        <w:tc>
          <w:tcPr>
            <w:tcW w:w="997" w:type="dxa"/>
            <w:tcBorders>
              <w:top w:val="nil"/>
              <w:bottom w:val="nil"/>
            </w:tcBorders>
          </w:tcPr>
          <w:p w14:paraId="321DCB6F"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C122AFB"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.543</w:t>
            </w:r>
          </w:p>
        </w:tc>
        <w:tc>
          <w:tcPr>
            <w:tcW w:w="1134" w:type="dxa"/>
            <w:tcBorders>
              <w:top w:val="nil"/>
              <w:bottom w:val="nil"/>
            </w:tcBorders>
          </w:tcPr>
          <w:p w14:paraId="2007A7DE"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0BFAA77"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33FB87A0" w14:textId="77777777" w:rsidR="004676EF" w:rsidRPr="00734AB6" w:rsidRDefault="004676EF" w:rsidP="005766E0">
            <w:pPr>
              <w:spacing w:after="0" w:line="360" w:lineRule="auto"/>
              <w:rPr>
                <w:rFonts w:asciiTheme="majorHAnsi" w:hAnsiTheme="majorHAnsi"/>
              </w:rPr>
            </w:pPr>
          </w:p>
        </w:tc>
      </w:tr>
      <w:tr w:rsidR="004676EF" w:rsidRPr="00734AB6" w14:paraId="2FBCA591" w14:textId="77777777" w:rsidTr="005766E0">
        <w:tc>
          <w:tcPr>
            <w:tcW w:w="1555" w:type="dxa"/>
            <w:tcBorders>
              <w:top w:val="nil"/>
              <w:bottom w:val="nil"/>
            </w:tcBorders>
            <w:vAlign w:val="center"/>
          </w:tcPr>
          <w:p w14:paraId="27F31F19"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CFQ.10</w:t>
            </w:r>
          </w:p>
        </w:tc>
        <w:tc>
          <w:tcPr>
            <w:tcW w:w="1134" w:type="dxa"/>
            <w:tcBorders>
              <w:top w:val="nil"/>
              <w:bottom w:val="nil"/>
            </w:tcBorders>
          </w:tcPr>
          <w:p w14:paraId="34FCCDFC"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61771676"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0A58582"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.528</w:t>
            </w:r>
          </w:p>
        </w:tc>
        <w:tc>
          <w:tcPr>
            <w:tcW w:w="1134" w:type="dxa"/>
            <w:tcBorders>
              <w:top w:val="nil"/>
              <w:bottom w:val="nil"/>
            </w:tcBorders>
          </w:tcPr>
          <w:p w14:paraId="58FFA17E"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1E353BC"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691041E4" w14:textId="77777777" w:rsidR="004676EF" w:rsidRPr="00734AB6" w:rsidRDefault="004676EF" w:rsidP="005766E0">
            <w:pPr>
              <w:spacing w:after="0" w:line="360" w:lineRule="auto"/>
              <w:rPr>
                <w:rFonts w:asciiTheme="majorHAnsi" w:hAnsiTheme="majorHAnsi"/>
              </w:rPr>
            </w:pPr>
          </w:p>
        </w:tc>
      </w:tr>
      <w:tr w:rsidR="004676EF" w:rsidRPr="00734AB6" w14:paraId="476D80BB" w14:textId="77777777" w:rsidTr="005766E0">
        <w:tc>
          <w:tcPr>
            <w:tcW w:w="1555" w:type="dxa"/>
            <w:tcBorders>
              <w:top w:val="nil"/>
              <w:bottom w:val="nil"/>
            </w:tcBorders>
            <w:vAlign w:val="center"/>
          </w:tcPr>
          <w:p w14:paraId="73286811"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CFQ.8</w:t>
            </w:r>
          </w:p>
        </w:tc>
        <w:tc>
          <w:tcPr>
            <w:tcW w:w="1134" w:type="dxa"/>
            <w:tcBorders>
              <w:top w:val="nil"/>
              <w:bottom w:val="nil"/>
            </w:tcBorders>
          </w:tcPr>
          <w:p w14:paraId="702D3D73"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129B4690"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9EEB76F"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.411</w:t>
            </w:r>
          </w:p>
        </w:tc>
        <w:tc>
          <w:tcPr>
            <w:tcW w:w="1134" w:type="dxa"/>
            <w:tcBorders>
              <w:top w:val="nil"/>
              <w:bottom w:val="nil"/>
            </w:tcBorders>
          </w:tcPr>
          <w:p w14:paraId="06001537"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C3A8412"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7BE97D01" w14:textId="77777777" w:rsidR="004676EF" w:rsidRPr="00734AB6" w:rsidRDefault="004676EF" w:rsidP="005766E0">
            <w:pPr>
              <w:spacing w:after="0" w:line="360" w:lineRule="auto"/>
              <w:rPr>
                <w:rFonts w:asciiTheme="majorHAnsi" w:hAnsiTheme="majorHAnsi"/>
              </w:rPr>
            </w:pPr>
          </w:p>
        </w:tc>
      </w:tr>
      <w:tr w:rsidR="004676EF" w:rsidRPr="00734AB6" w14:paraId="3D542EF0" w14:textId="77777777" w:rsidTr="005766E0">
        <w:tc>
          <w:tcPr>
            <w:tcW w:w="1555" w:type="dxa"/>
            <w:tcBorders>
              <w:top w:val="nil"/>
              <w:bottom w:val="nil"/>
            </w:tcBorders>
            <w:vAlign w:val="center"/>
          </w:tcPr>
          <w:p w14:paraId="4EF05907"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CFQ.18</w:t>
            </w:r>
          </w:p>
        </w:tc>
        <w:tc>
          <w:tcPr>
            <w:tcW w:w="1134" w:type="dxa"/>
            <w:tcBorders>
              <w:top w:val="nil"/>
              <w:bottom w:val="nil"/>
            </w:tcBorders>
          </w:tcPr>
          <w:p w14:paraId="75944C3D"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553DB32D"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B0F984B"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60525201"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.613</w:t>
            </w:r>
          </w:p>
        </w:tc>
        <w:tc>
          <w:tcPr>
            <w:tcW w:w="1134" w:type="dxa"/>
            <w:tcBorders>
              <w:top w:val="nil"/>
              <w:bottom w:val="nil"/>
            </w:tcBorders>
          </w:tcPr>
          <w:p w14:paraId="5120EB9F"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76FC04E1" w14:textId="77777777" w:rsidR="004676EF" w:rsidRPr="00734AB6" w:rsidRDefault="004676EF" w:rsidP="005766E0">
            <w:pPr>
              <w:spacing w:after="0" w:line="360" w:lineRule="auto"/>
              <w:rPr>
                <w:rFonts w:asciiTheme="majorHAnsi" w:hAnsiTheme="majorHAnsi"/>
              </w:rPr>
            </w:pPr>
          </w:p>
        </w:tc>
      </w:tr>
      <w:tr w:rsidR="004676EF" w:rsidRPr="00734AB6" w14:paraId="146A53E8" w14:textId="77777777" w:rsidTr="005766E0">
        <w:tc>
          <w:tcPr>
            <w:tcW w:w="1555" w:type="dxa"/>
            <w:tcBorders>
              <w:top w:val="nil"/>
              <w:bottom w:val="nil"/>
            </w:tcBorders>
            <w:vAlign w:val="center"/>
          </w:tcPr>
          <w:p w14:paraId="6199891F"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CFQ.4</w:t>
            </w:r>
          </w:p>
        </w:tc>
        <w:tc>
          <w:tcPr>
            <w:tcW w:w="1134" w:type="dxa"/>
            <w:tcBorders>
              <w:top w:val="nil"/>
              <w:bottom w:val="nil"/>
            </w:tcBorders>
          </w:tcPr>
          <w:p w14:paraId="5A2E6598"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40FC514F"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2AC81C6A"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59F6EABE"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.561</w:t>
            </w:r>
          </w:p>
        </w:tc>
        <w:tc>
          <w:tcPr>
            <w:tcW w:w="1134" w:type="dxa"/>
            <w:tcBorders>
              <w:top w:val="nil"/>
              <w:bottom w:val="nil"/>
            </w:tcBorders>
          </w:tcPr>
          <w:p w14:paraId="70986BDD"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226EEC42" w14:textId="77777777" w:rsidR="004676EF" w:rsidRPr="00734AB6" w:rsidRDefault="004676EF" w:rsidP="005766E0">
            <w:pPr>
              <w:spacing w:after="0" w:line="360" w:lineRule="auto"/>
              <w:rPr>
                <w:rFonts w:asciiTheme="majorHAnsi" w:hAnsiTheme="majorHAnsi"/>
              </w:rPr>
            </w:pPr>
          </w:p>
        </w:tc>
      </w:tr>
      <w:tr w:rsidR="004676EF" w:rsidRPr="00734AB6" w14:paraId="2A1631E7" w14:textId="77777777" w:rsidTr="005766E0">
        <w:tc>
          <w:tcPr>
            <w:tcW w:w="1555" w:type="dxa"/>
            <w:tcBorders>
              <w:top w:val="nil"/>
              <w:bottom w:val="nil"/>
            </w:tcBorders>
            <w:vAlign w:val="center"/>
          </w:tcPr>
          <w:p w14:paraId="4E219A09"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CFQ.24</w:t>
            </w:r>
          </w:p>
        </w:tc>
        <w:tc>
          <w:tcPr>
            <w:tcW w:w="1134" w:type="dxa"/>
            <w:tcBorders>
              <w:top w:val="nil"/>
              <w:bottom w:val="nil"/>
            </w:tcBorders>
          </w:tcPr>
          <w:p w14:paraId="7A1F324B"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19D95E16"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2FB28C4"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857B893"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.447</w:t>
            </w:r>
          </w:p>
        </w:tc>
        <w:tc>
          <w:tcPr>
            <w:tcW w:w="1134" w:type="dxa"/>
            <w:tcBorders>
              <w:top w:val="nil"/>
              <w:bottom w:val="nil"/>
            </w:tcBorders>
          </w:tcPr>
          <w:p w14:paraId="1850C349"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6D607FDD" w14:textId="77777777" w:rsidR="004676EF" w:rsidRPr="00734AB6" w:rsidRDefault="004676EF" w:rsidP="005766E0">
            <w:pPr>
              <w:spacing w:after="0" w:line="360" w:lineRule="auto"/>
              <w:rPr>
                <w:rFonts w:asciiTheme="majorHAnsi" w:hAnsiTheme="majorHAnsi"/>
              </w:rPr>
            </w:pPr>
          </w:p>
        </w:tc>
      </w:tr>
      <w:tr w:rsidR="004676EF" w:rsidRPr="00734AB6" w14:paraId="14556304" w14:textId="77777777" w:rsidTr="005766E0">
        <w:tc>
          <w:tcPr>
            <w:tcW w:w="1555" w:type="dxa"/>
            <w:tcBorders>
              <w:top w:val="nil"/>
              <w:bottom w:val="nil"/>
            </w:tcBorders>
            <w:vAlign w:val="center"/>
          </w:tcPr>
          <w:p w14:paraId="3085450F"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CFQ.12</w:t>
            </w:r>
          </w:p>
        </w:tc>
        <w:tc>
          <w:tcPr>
            <w:tcW w:w="1134" w:type="dxa"/>
            <w:tcBorders>
              <w:top w:val="nil"/>
              <w:bottom w:val="nil"/>
            </w:tcBorders>
          </w:tcPr>
          <w:p w14:paraId="03B717A3"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22126AC2"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7966433"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1F8EDC8F"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46B0203B" w14:textId="77777777" w:rsidR="004676EF" w:rsidRPr="00734AB6" w:rsidRDefault="004676EF" w:rsidP="005766E0">
            <w:pPr>
              <w:spacing w:after="0" w:line="360" w:lineRule="auto"/>
              <w:rPr>
                <w:rFonts w:asciiTheme="majorHAnsi" w:hAnsiTheme="majorHAnsi"/>
              </w:rPr>
            </w:pPr>
          </w:p>
        </w:tc>
        <w:tc>
          <w:tcPr>
            <w:tcW w:w="992" w:type="dxa"/>
            <w:tcBorders>
              <w:top w:val="nil"/>
              <w:bottom w:val="nil"/>
            </w:tcBorders>
          </w:tcPr>
          <w:p w14:paraId="6DD15FCE" w14:textId="77777777" w:rsidR="004676EF" w:rsidRPr="00734AB6" w:rsidRDefault="004676EF" w:rsidP="005766E0">
            <w:pPr>
              <w:spacing w:after="0" w:line="360" w:lineRule="auto"/>
              <w:rPr>
                <w:rFonts w:asciiTheme="majorHAnsi" w:hAnsiTheme="majorHAnsi"/>
              </w:rPr>
            </w:pPr>
          </w:p>
        </w:tc>
      </w:tr>
      <w:tr w:rsidR="004676EF" w:rsidRPr="00734AB6" w14:paraId="4AA78816" w14:textId="77777777" w:rsidTr="005766E0">
        <w:tc>
          <w:tcPr>
            <w:tcW w:w="1555" w:type="dxa"/>
            <w:tcBorders>
              <w:top w:val="nil"/>
              <w:bottom w:val="nil"/>
            </w:tcBorders>
            <w:vAlign w:val="center"/>
          </w:tcPr>
          <w:p w14:paraId="2AC449A0"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CFQ.7</w:t>
            </w:r>
          </w:p>
        </w:tc>
        <w:tc>
          <w:tcPr>
            <w:tcW w:w="1134" w:type="dxa"/>
            <w:tcBorders>
              <w:top w:val="nil"/>
              <w:bottom w:val="nil"/>
            </w:tcBorders>
          </w:tcPr>
          <w:p w14:paraId="4749494E"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618E086E"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20E64EA9"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3E64760C"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2F117D3B"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.871</w:t>
            </w:r>
          </w:p>
        </w:tc>
        <w:tc>
          <w:tcPr>
            <w:tcW w:w="992" w:type="dxa"/>
            <w:tcBorders>
              <w:top w:val="nil"/>
              <w:bottom w:val="nil"/>
            </w:tcBorders>
          </w:tcPr>
          <w:p w14:paraId="4CFE163A" w14:textId="77777777" w:rsidR="004676EF" w:rsidRPr="00734AB6" w:rsidRDefault="004676EF" w:rsidP="005766E0">
            <w:pPr>
              <w:spacing w:after="0" w:line="360" w:lineRule="auto"/>
              <w:rPr>
                <w:rFonts w:asciiTheme="majorHAnsi" w:hAnsiTheme="majorHAnsi"/>
              </w:rPr>
            </w:pPr>
          </w:p>
        </w:tc>
      </w:tr>
      <w:tr w:rsidR="004676EF" w:rsidRPr="00734AB6" w14:paraId="00EF9730" w14:textId="77777777" w:rsidTr="005766E0">
        <w:tc>
          <w:tcPr>
            <w:tcW w:w="1555" w:type="dxa"/>
            <w:tcBorders>
              <w:top w:val="nil"/>
              <w:bottom w:val="nil"/>
            </w:tcBorders>
            <w:vAlign w:val="center"/>
          </w:tcPr>
          <w:p w14:paraId="181C85BE"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CFQ.20</w:t>
            </w:r>
          </w:p>
        </w:tc>
        <w:tc>
          <w:tcPr>
            <w:tcW w:w="1134" w:type="dxa"/>
            <w:tcBorders>
              <w:top w:val="nil"/>
              <w:bottom w:val="nil"/>
            </w:tcBorders>
          </w:tcPr>
          <w:p w14:paraId="19438405" w14:textId="77777777" w:rsidR="004676EF" w:rsidRPr="00734AB6" w:rsidRDefault="004676EF" w:rsidP="005766E0">
            <w:pPr>
              <w:spacing w:after="0" w:line="360" w:lineRule="auto"/>
              <w:rPr>
                <w:rFonts w:asciiTheme="majorHAnsi" w:hAnsiTheme="majorHAnsi"/>
              </w:rPr>
            </w:pPr>
          </w:p>
        </w:tc>
        <w:tc>
          <w:tcPr>
            <w:tcW w:w="997" w:type="dxa"/>
            <w:tcBorders>
              <w:top w:val="nil"/>
              <w:bottom w:val="nil"/>
            </w:tcBorders>
          </w:tcPr>
          <w:p w14:paraId="4E2C7DEC"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1BE792DD"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1DF9F0BE" w14:textId="77777777" w:rsidR="004676EF" w:rsidRPr="00734AB6" w:rsidRDefault="004676EF" w:rsidP="005766E0">
            <w:pPr>
              <w:spacing w:after="0" w:line="360" w:lineRule="auto"/>
              <w:rPr>
                <w:rFonts w:asciiTheme="majorHAnsi" w:hAnsiTheme="majorHAnsi"/>
              </w:rPr>
            </w:pPr>
          </w:p>
        </w:tc>
        <w:tc>
          <w:tcPr>
            <w:tcW w:w="1134" w:type="dxa"/>
            <w:tcBorders>
              <w:top w:val="nil"/>
              <w:bottom w:val="nil"/>
            </w:tcBorders>
          </w:tcPr>
          <w:p w14:paraId="1895754E"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.588</w:t>
            </w:r>
          </w:p>
        </w:tc>
        <w:tc>
          <w:tcPr>
            <w:tcW w:w="992" w:type="dxa"/>
            <w:tcBorders>
              <w:top w:val="nil"/>
              <w:bottom w:val="nil"/>
            </w:tcBorders>
          </w:tcPr>
          <w:p w14:paraId="38C1E15E" w14:textId="77777777" w:rsidR="004676EF" w:rsidRPr="00734AB6" w:rsidRDefault="004676EF" w:rsidP="005766E0">
            <w:pPr>
              <w:spacing w:after="0" w:line="360" w:lineRule="auto"/>
              <w:rPr>
                <w:rFonts w:asciiTheme="majorHAnsi" w:hAnsiTheme="majorHAnsi"/>
              </w:rPr>
            </w:pPr>
          </w:p>
        </w:tc>
      </w:tr>
      <w:tr w:rsidR="004676EF" w:rsidRPr="00734AB6" w14:paraId="0C2CD055" w14:textId="77777777" w:rsidTr="005766E0">
        <w:tc>
          <w:tcPr>
            <w:tcW w:w="1555" w:type="dxa"/>
            <w:tcBorders>
              <w:top w:val="nil"/>
            </w:tcBorders>
            <w:vAlign w:val="center"/>
          </w:tcPr>
          <w:p w14:paraId="0287BD38"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CFQ.5</w:t>
            </w:r>
          </w:p>
        </w:tc>
        <w:tc>
          <w:tcPr>
            <w:tcW w:w="1134" w:type="dxa"/>
            <w:tcBorders>
              <w:top w:val="nil"/>
            </w:tcBorders>
          </w:tcPr>
          <w:p w14:paraId="2C72CA57" w14:textId="77777777" w:rsidR="004676EF" w:rsidRPr="00734AB6" w:rsidRDefault="004676EF" w:rsidP="005766E0">
            <w:pPr>
              <w:spacing w:after="0" w:line="360" w:lineRule="auto"/>
              <w:rPr>
                <w:rFonts w:asciiTheme="majorHAnsi" w:hAnsiTheme="majorHAnsi"/>
              </w:rPr>
            </w:pPr>
          </w:p>
        </w:tc>
        <w:tc>
          <w:tcPr>
            <w:tcW w:w="997" w:type="dxa"/>
            <w:tcBorders>
              <w:top w:val="nil"/>
            </w:tcBorders>
          </w:tcPr>
          <w:p w14:paraId="4AC92509" w14:textId="77777777" w:rsidR="004676EF" w:rsidRPr="00734AB6" w:rsidRDefault="004676EF" w:rsidP="005766E0">
            <w:pPr>
              <w:spacing w:after="0" w:line="360" w:lineRule="auto"/>
              <w:rPr>
                <w:rFonts w:asciiTheme="majorHAnsi" w:hAnsiTheme="majorHAnsi"/>
              </w:rPr>
            </w:pPr>
          </w:p>
        </w:tc>
        <w:tc>
          <w:tcPr>
            <w:tcW w:w="1134" w:type="dxa"/>
            <w:tcBorders>
              <w:top w:val="nil"/>
            </w:tcBorders>
          </w:tcPr>
          <w:p w14:paraId="219EA905" w14:textId="77777777" w:rsidR="004676EF" w:rsidRPr="00734AB6" w:rsidRDefault="004676EF" w:rsidP="005766E0">
            <w:pPr>
              <w:spacing w:after="0" w:line="360" w:lineRule="auto"/>
              <w:rPr>
                <w:rFonts w:asciiTheme="majorHAnsi" w:hAnsiTheme="majorHAnsi"/>
              </w:rPr>
            </w:pPr>
          </w:p>
        </w:tc>
        <w:tc>
          <w:tcPr>
            <w:tcW w:w="1134" w:type="dxa"/>
            <w:tcBorders>
              <w:top w:val="nil"/>
            </w:tcBorders>
          </w:tcPr>
          <w:p w14:paraId="5EC6DF69" w14:textId="77777777" w:rsidR="004676EF" w:rsidRPr="00734AB6" w:rsidRDefault="004676EF" w:rsidP="005766E0">
            <w:pPr>
              <w:spacing w:after="0" w:line="360" w:lineRule="auto"/>
              <w:rPr>
                <w:rFonts w:asciiTheme="majorHAnsi" w:hAnsiTheme="majorHAnsi"/>
              </w:rPr>
            </w:pPr>
          </w:p>
        </w:tc>
        <w:tc>
          <w:tcPr>
            <w:tcW w:w="1134" w:type="dxa"/>
            <w:tcBorders>
              <w:top w:val="nil"/>
            </w:tcBorders>
          </w:tcPr>
          <w:p w14:paraId="0E759AA3" w14:textId="77777777" w:rsidR="004676EF" w:rsidRPr="00734AB6" w:rsidRDefault="004676EF" w:rsidP="005766E0">
            <w:pPr>
              <w:spacing w:after="0" w:line="360" w:lineRule="auto"/>
              <w:rPr>
                <w:rFonts w:asciiTheme="majorHAnsi" w:hAnsiTheme="majorHAnsi"/>
              </w:rPr>
            </w:pPr>
          </w:p>
        </w:tc>
        <w:tc>
          <w:tcPr>
            <w:tcW w:w="992" w:type="dxa"/>
            <w:tcBorders>
              <w:top w:val="nil"/>
            </w:tcBorders>
          </w:tcPr>
          <w:p w14:paraId="50BA0A5F" w14:textId="77777777" w:rsidR="004676EF" w:rsidRPr="00734AB6" w:rsidRDefault="004676EF" w:rsidP="005766E0">
            <w:pPr>
              <w:spacing w:after="0" w:line="360" w:lineRule="auto"/>
              <w:rPr>
                <w:rFonts w:asciiTheme="majorHAnsi" w:hAnsiTheme="majorHAnsi"/>
              </w:rPr>
            </w:pPr>
            <w:r w:rsidRPr="00734AB6">
              <w:rPr>
                <w:rFonts w:asciiTheme="majorHAnsi" w:hAnsiTheme="majorHAnsi"/>
              </w:rPr>
              <w:t>.606</w:t>
            </w:r>
          </w:p>
        </w:tc>
      </w:tr>
    </w:tbl>
    <w:p w14:paraId="2E40FCFC" w14:textId="77777777" w:rsidR="004676EF" w:rsidRPr="00734AB6" w:rsidRDefault="004676EF" w:rsidP="0099584D">
      <w:pPr>
        <w:spacing w:line="360" w:lineRule="auto"/>
        <w:rPr>
          <w:rFonts w:asciiTheme="majorHAnsi" w:hAnsiTheme="majorHAnsi"/>
        </w:rPr>
      </w:pPr>
    </w:p>
    <w:p w14:paraId="0E361A8E" w14:textId="77777777" w:rsidR="004676EF" w:rsidRPr="00734AB6" w:rsidRDefault="004676EF" w:rsidP="0099584D">
      <w:pPr>
        <w:autoSpaceDE w:val="0"/>
        <w:autoSpaceDN w:val="0"/>
        <w:adjustRightInd w:val="0"/>
        <w:spacing w:after="0" w:line="360" w:lineRule="auto"/>
        <w:rPr>
          <w:rFonts w:asciiTheme="majorHAnsi" w:hAnsiTheme="majorHAnsi" w:cs="Times New Roman"/>
        </w:rPr>
      </w:pPr>
      <w:r w:rsidRPr="00734AB6">
        <w:rPr>
          <w:rFonts w:asciiTheme="majorHAnsi" w:hAnsiTheme="majorHAnsi" w:cs="Times New Roman"/>
          <w:noProof/>
          <w:lang w:eastAsia="en-GB"/>
        </w:rPr>
        <w:lastRenderedPageBreak/>
        <w:drawing>
          <wp:inline distT="0" distB="0" distL="0" distR="0" wp14:anchorId="0119CCD4" wp14:editId="3E90C4ED">
            <wp:extent cx="5158226" cy="4130008"/>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5020" cy="4151461"/>
                    </a:xfrm>
                    <a:prstGeom prst="rect">
                      <a:avLst/>
                    </a:prstGeom>
                    <a:noFill/>
                    <a:ln>
                      <a:noFill/>
                    </a:ln>
                  </pic:spPr>
                </pic:pic>
              </a:graphicData>
            </a:graphic>
          </wp:inline>
        </w:drawing>
      </w:r>
    </w:p>
    <w:p w14:paraId="4CA5663E" w14:textId="77777777" w:rsidR="004676EF" w:rsidRPr="00734AB6" w:rsidRDefault="004676EF" w:rsidP="0099584D">
      <w:pPr>
        <w:autoSpaceDE w:val="0"/>
        <w:autoSpaceDN w:val="0"/>
        <w:adjustRightInd w:val="0"/>
        <w:spacing w:after="0" w:line="360" w:lineRule="auto"/>
        <w:rPr>
          <w:rFonts w:asciiTheme="majorHAnsi" w:hAnsiTheme="majorHAnsi" w:cs="Times New Roman"/>
        </w:rPr>
      </w:pPr>
    </w:p>
    <w:p w14:paraId="00503C42" w14:textId="0903142E"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Figure </w:t>
      </w:r>
      <w:r w:rsidR="009D2794" w:rsidRPr="00734AB6">
        <w:rPr>
          <w:rFonts w:asciiTheme="majorHAnsi" w:hAnsiTheme="majorHAnsi"/>
          <w:b/>
        </w:rPr>
        <w:t>B.</w:t>
      </w:r>
      <w:r w:rsidRPr="00734AB6">
        <w:rPr>
          <w:rFonts w:asciiTheme="majorHAnsi" w:hAnsiTheme="majorHAnsi"/>
          <w:b/>
        </w:rPr>
        <w:t>2.</w:t>
      </w:r>
      <w:r w:rsidRPr="00734AB6">
        <w:rPr>
          <w:rFonts w:asciiTheme="majorHAnsi" w:hAnsiTheme="majorHAnsi"/>
          <w:b/>
        </w:rPr>
        <w:tab/>
        <w:t>Scree plot of eigenvalues for CFQ factors</w:t>
      </w:r>
    </w:p>
    <w:p w14:paraId="21245A63" w14:textId="77777777" w:rsidR="004676EF" w:rsidRPr="00734AB6" w:rsidRDefault="004676EF" w:rsidP="0099584D">
      <w:pPr>
        <w:pBdr>
          <w:bottom w:val="double" w:sz="4" w:space="1" w:color="auto"/>
        </w:pBdr>
        <w:tabs>
          <w:tab w:val="left" w:pos="993"/>
        </w:tabs>
        <w:spacing w:line="360" w:lineRule="auto"/>
        <w:rPr>
          <w:rFonts w:asciiTheme="majorHAnsi" w:hAnsiTheme="majorHAnsi"/>
        </w:rPr>
      </w:pPr>
    </w:p>
    <w:p w14:paraId="6292FC87" w14:textId="77777777" w:rsidR="005766E0" w:rsidRPr="00734AB6" w:rsidRDefault="005766E0">
      <w:pPr>
        <w:rPr>
          <w:rFonts w:asciiTheme="majorHAnsi" w:eastAsiaTheme="majorEastAsia" w:hAnsiTheme="majorHAnsi" w:cstheme="majorBidi"/>
          <w:b/>
          <w:color w:val="000000" w:themeColor="text1"/>
        </w:rPr>
      </w:pPr>
      <w:bookmarkStart w:id="173" w:name="_Toc45200541"/>
      <w:r w:rsidRPr="00734AB6">
        <w:rPr>
          <w:b/>
          <w:color w:val="000000" w:themeColor="text1"/>
        </w:rPr>
        <w:br w:type="page"/>
      </w:r>
    </w:p>
    <w:p w14:paraId="0AAC5A77" w14:textId="52DF7B88" w:rsidR="004676EF" w:rsidRPr="00734AB6" w:rsidRDefault="004676EF" w:rsidP="0099584D">
      <w:pPr>
        <w:pStyle w:val="Heading1"/>
        <w:spacing w:line="360" w:lineRule="auto"/>
        <w:rPr>
          <w:b/>
          <w:color w:val="000000" w:themeColor="text1"/>
          <w:sz w:val="22"/>
          <w:szCs w:val="22"/>
        </w:rPr>
      </w:pPr>
      <w:bookmarkStart w:id="174" w:name="_Toc48136434"/>
      <w:r w:rsidRPr="00734AB6">
        <w:rPr>
          <w:b/>
          <w:color w:val="000000" w:themeColor="text1"/>
          <w:sz w:val="22"/>
          <w:szCs w:val="22"/>
        </w:rPr>
        <w:lastRenderedPageBreak/>
        <w:t>Appendix C: Study Three</w:t>
      </w:r>
      <w:bookmarkEnd w:id="173"/>
      <w:bookmarkEnd w:id="174"/>
    </w:p>
    <w:p w14:paraId="11174892" w14:textId="77777777" w:rsidR="004676EF" w:rsidRPr="00734AB6" w:rsidRDefault="004676EF" w:rsidP="0099584D">
      <w:pPr>
        <w:pStyle w:val="Heading2"/>
        <w:tabs>
          <w:tab w:val="left" w:pos="426"/>
        </w:tabs>
        <w:spacing w:line="360" w:lineRule="auto"/>
        <w:rPr>
          <w:b/>
          <w:color w:val="auto"/>
          <w:sz w:val="22"/>
          <w:szCs w:val="22"/>
        </w:rPr>
      </w:pPr>
      <w:bookmarkStart w:id="175" w:name="_Toc45200542"/>
      <w:bookmarkStart w:id="176" w:name="_Toc48136435"/>
      <w:r w:rsidRPr="00734AB6">
        <w:rPr>
          <w:b/>
          <w:color w:val="auto"/>
          <w:sz w:val="22"/>
          <w:szCs w:val="22"/>
        </w:rPr>
        <w:t>C(</w:t>
      </w:r>
      <w:proofErr w:type="spellStart"/>
      <w:r w:rsidRPr="00734AB6">
        <w:rPr>
          <w:b/>
          <w:color w:val="auto"/>
          <w:sz w:val="22"/>
          <w:szCs w:val="22"/>
        </w:rPr>
        <w:t>i</w:t>
      </w:r>
      <w:proofErr w:type="spellEnd"/>
      <w:r w:rsidRPr="00734AB6">
        <w:rPr>
          <w:b/>
          <w:color w:val="auto"/>
          <w:sz w:val="22"/>
          <w:szCs w:val="22"/>
        </w:rPr>
        <w:t>)</w:t>
      </w:r>
      <w:r w:rsidRPr="00734AB6">
        <w:rPr>
          <w:b/>
          <w:color w:val="auto"/>
          <w:sz w:val="22"/>
          <w:szCs w:val="22"/>
        </w:rPr>
        <w:tab/>
        <w:t>Online forum advertisement</w:t>
      </w:r>
      <w:bookmarkEnd w:id="175"/>
      <w:bookmarkEnd w:id="176"/>
    </w:p>
    <w:p w14:paraId="4547CB80" w14:textId="77777777" w:rsidR="004676EF" w:rsidRPr="00734AB6" w:rsidRDefault="004676EF" w:rsidP="0099584D">
      <w:pPr>
        <w:spacing w:after="0" w:line="360" w:lineRule="auto"/>
        <w:rPr>
          <w:rFonts w:asciiTheme="majorHAnsi" w:eastAsia="Times New Roman" w:hAnsiTheme="majorHAnsi" w:cs="Times New Roman"/>
          <w:lang w:eastAsia="en-GB"/>
        </w:rPr>
      </w:pPr>
      <w:r w:rsidRPr="00734AB6">
        <w:rPr>
          <w:rFonts w:asciiTheme="majorHAnsi" w:eastAsia="Times New Roman" w:hAnsiTheme="majorHAnsi" w:cs="Helvetica"/>
          <w:b/>
          <w:bCs/>
          <w:shd w:val="clear" w:color="auto" w:fill="FFFFFF"/>
          <w:lang w:eastAsia="en-GB"/>
        </w:rPr>
        <w:t>Recruiting for a confidential experimental study</w:t>
      </w:r>
    </w:p>
    <w:p w14:paraId="6E56CBC2" w14:textId="47FA8533" w:rsidR="004676EF" w:rsidRPr="00734AB6" w:rsidRDefault="004676EF" w:rsidP="0099584D">
      <w:pPr>
        <w:shd w:val="clear" w:color="auto" w:fill="FFFFFF"/>
        <w:spacing w:after="0" w:line="360" w:lineRule="auto"/>
        <w:rPr>
          <w:rFonts w:asciiTheme="majorHAnsi" w:eastAsia="Times New Roman" w:hAnsiTheme="majorHAnsi" w:cs="Helvetica"/>
          <w:lang w:eastAsia="en-GB"/>
        </w:rPr>
      </w:pPr>
      <w:r w:rsidRPr="00734AB6">
        <w:rPr>
          <w:rFonts w:asciiTheme="majorHAnsi" w:eastAsia="Times New Roman" w:hAnsiTheme="majorHAnsi" w:cs="Helvetica"/>
          <w:b/>
          <w:bCs/>
          <w:lang w:eastAsia="en-GB"/>
        </w:rPr>
        <w:br/>
      </w:r>
      <w:r w:rsidRPr="00734AB6">
        <w:rPr>
          <w:rFonts w:asciiTheme="majorHAnsi" w:eastAsia="Times New Roman" w:hAnsiTheme="majorHAnsi" w:cs="Helvetica"/>
          <w:lang w:eastAsia="en-GB"/>
        </w:rPr>
        <w:t>If you take modafinil and/or methylphenidate without prescription (i.e. you have not been diagnosed with ADD/ADHD) and would/may be interested in participating in a lab-based study later this year about the use of cognitive enhancing drugs please provide an email address, in the space below, on which you may be contacted or you can email me, Rachel Teodorini at </w:t>
      </w:r>
      <w:hyperlink r:id="rId73" w:history="1">
        <w:r w:rsidRPr="00734AB6">
          <w:rPr>
            <w:rFonts w:asciiTheme="majorHAnsi" w:eastAsia="Times New Roman" w:hAnsiTheme="majorHAnsi" w:cs="Helvetica"/>
            <w:lang w:eastAsia="en-GB"/>
          </w:rPr>
          <w:t>teodorir@lsbu.ac.uk</w:t>
        </w:r>
      </w:hyperlink>
      <w:r w:rsidR="005A1A41" w:rsidRPr="00734AB6">
        <w:rPr>
          <w:rFonts w:asciiTheme="majorHAnsi" w:eastAsia="Times New Roman" w:hAnsiTheme="majorHAnsi" w:cs="Helvetica"/>
          <w:lang w:eastAsia="en-GB"/>
        </w:rPr>
        <w:t>. </w:t>
      </w:r>
      <w:r w:rsidRPr="00734AB6">
        <w:rPr>
          <w:rFonts w:asciiTheme="majorHAnsi" w:eastAsia="Times New Roman" w:hAnsiTheme="majorHAnsi" w:cs="Helvetica"/>
          <w:lang w:eastAsia="en-GB"/>
        </w:rPr>
        <w:t xml:space="preserve">You may only participate if you are over 18 years of age, you have not been diagnosed with Attention Deficit/Hyperactivity Disorder, and you are not currently taking any prescribed medications for any mental health problem.  Participants will be awarded for their participation with £15 in vouchers.  If you would like to participate in the study you will be provided with an information sheet explaining what the study will involve.  </w:t>
      </w:r>
    </w:p>
    <w:p w14:paraId="12D3BEA6" w14:textId="77777777" w:rsidR="004676EF" w:rsidRPr="00734AB6" w:rsidRDefault="004676EF" w:rsidP="0099584D">
      <w:pPr>
        <w:shd w:val="clear" w:color="auto" w:fill="FFFFFF"/>
        <w:spacing w:after="0" w:line="360" w:lineRule="auto"/>
        <w:rPr>
          <w:rFonts w:asciiTheme="majorHAnsi" w:eastAsia="Times New Roman" w:hAnsiTheme="majorHAnsi" w:cs="Helvetica"/>
          <w:lang w:eastAsia="en-GB"/>
        </w:rPr>
      </w:pPr>
    </w:p>
    <w:p w14:paraId="6045B2CE" w14:textId="2FE4B228" w:rsidR="004676EF" w:rsidRPr="00734AB6" w:rsidRDefault="004676EF" w:rsidP="0099584D">
      <w:pPr>
        <w:shd w:val="clear" w:color="auto" w:fill="FFFFFF"/>
        <w:spacing w:after="0" w:line="360" w:lineRule="auto"/>
        <w:rPr>
          <w:rFonts w:asciiTheme="majorHAnsi" w:eastAsia="Times New Roman" w:hAnsiTheme="majorHAnsi" w:cs="Helvetica"/>
          <w:lang w:eastAsia="en-GB"/>
        </w:rPr>
      </w:pPr>
      <w:r w:rsidRPr="00734AB6">
        <w:rPr>
          <w:rFonts w:asciiTheme="majorHAnsi" w:eastAsia="Times New Roman" w:hAnsiTheme="majorHAnsi" w:cs="Helvetica"/>
          <w:lang w:eastAsia="en-GB"/>
        </w:rPr>
        <w:t>The study will take place at London South Bank University, located in Elephant and Castle, London, UK in January 2019 and partic</w:t>
      </w:r>
      <w:r w:rsidR="005A1A41" w:rsidRPr="00734AB6">
        <w:rPr>
          <w:rFonts w:asciiTheme="majorHAnsi" w:eastAsia="Times New Roman" w:hAnsiTheme="majorHAnsi" w:cs="Helvetica"/>
          <w:lang w:eastAsia="en-GB"/>
        </w:rPr>
        <w:t>ipation will take 75 minutes. </w:t>
      </w:r>
      <w:r w:rsidRPr="00734AB6">
        <w:rPr>
          <w:rFonts w:asciiTheme="majorHAnsi" w:eastAsia="Times New Roman" w:hAnsiTheme="majorHAnsi" w:cs="Helvetica"/>
          <w:lang w:eastAsia="en-GB"/>
        </w:rPr>
        <w:t xml:space="preserve">Please provide a false name/ pseudonym and ensure that the email address you </w:t>
      </w:r>
      <w:r w:rsidR="005A1A41" w:rsidRPr="00734AB6">
        <w:rPr>
          <w:rFonts w:asciiTheme="majorHAnsi" w:eastAsia="Times New Roman" w:hAnsiTheme="majorHAnsi" w:cs="Helvetica"/>
          <w:lang w:eastAsia="en-GB"/>
        </w:rPr>
        <w:t xml:space="preserve">provide will not identify you. </w:t>
      </w:r>
      <w:r w:rsidRPr="00734AB6">
        <w:rPr>
          <w:rFonts w:asciiTheme="majorHAnsi" w:eastAsia="Times New Roman" w:hAnsiTheme="majorHAnsi" w:cs="Helvetica"/>
          <w:lang w:eastAsia="en-GB"/>
        </w:rPr>
        <w:t>The email address you provide will be stored on password protected computers only accessible by the researcher, Rachel Teodorini.  It will only be used to contact you for possible participation in a lab-based study. Your email address will be deleted in May 2019, at the end of t</w:t>
      </w:r>
      <w:r w:rsidR="005A1A41" w:rsidRPr="00734AB6">
        <w:rPr>
          <w:rFonts w:asciiTheme="majorHAnsi" w:eastAsia="Times New Roman" w:hAnsiTheme="majorHAnsi" w:cs="Helvetica"/>
          <w:lang w:eastAsia="en-GB"/>
        </w:rPr>
        <w:t>he funding period for my PhD. </w:t>
      </w:r>
      <w:r w:rsidRPr="00734AB6">
        <w:rPr>
          <w:rFonts w:asciiTheme="majorHAnsi" w:eastAsia="Times New Roman" w:hAnsiTheme="majorHAnsi" w:cs="Helvetica"/>
          <w:lang w:eastAsia="en-GB"/>
        </w:rPr>
        <w:t>Please also note that if you do provide an email address you are under no obligation to participate in this lab-based experiment and may also opt out at any time during the experiment.  </w:t>
      </w:r>
    </w:p>
    <w:p w14:paraId="602D00A1" w14:textId="77777777" w:rsidR="005A1A41" w:rsidRPr="00734AB6" w:rsidRDefault="005A1A41" w:rsidP="005E4F0A">
      <w:pPr>
        <w:pBdr>
          <w:bottom w:val="double" w:sz="4" w:space="1" w:color="auto"/>
        </w:pBdr>
        <w:rPr>
          <w:b/>
        </w:rPr>
      </w:pPr>
      <w:bookmarkStart w:id="177" w:name="_Toc45200543"/>
    </w:p>
    <w:p w14:paraId="53191A63" w14:textId="2C9CD537" w:rsidR="004676EF" w:rsidRDefault="004676EF" w:rsidP="005E4F0A">
      <w:pPr>
        <w:pStyle w:val="Heading2"/>
        <w:rPr>
          <w:b/>
          <w:bCs/>
          <w:color w:val="auto"/>
          <w:sz w:val="22"/>
          <w:szCs w:val="22"/>
        </w:rPr>
      </w:pPr>
      <w:r w:rsidRPr="005E4F0A">
        <w:rPr>
          <w:b/>
          <w:bCs/>
          <w:color w:val="auto"/>
          <w:sz w:val="22"/>
          <w:szCs w:val="22"/>
        </w:rPr>
        <w:t>C(ii)</w:t>
      </w:r>
      <w:r w:rsidRPr="005E4F0A">
        <w:rPr>
          <w:b/>
          <w:bCs/>
          <w:color w:val="auto"/>
          <w:sz w:val="22"/>
          <w:szCs w:val="22"/>
        </w:rPr>
        <w:tab/>
        <w:t>Nationalities</w:t>
      </w:r>
      <w:bookmarkEnd w:id="177"/>
    </w:p>
    <w:p w14:paraId="17AC7766" w14:textId="77777777" w:rsidR="005E4F0A" w:rsidRPr="005E4F0A" w:rsidRDefault="005E4F0A" w:rsidP="005E4F0A"/>
    <w:p w14:paraId="0516204F" w14:textId="6FD0034E" w:rsidR="004676EF" w:rsidRPr="00734AB6" w:rsidRDefault="004676EF" w:rsidP="0099584D">
      <w:pPr>
        <w:spacing w:line="360" w:lineRule="auto"/>
        <w:rPr>
          <w:rFonts w:asciiTheme="majorHAnsi" w:hAnsiTheme="majorHAnsi"/>
        </w:rPr>
      </w:pPr>
      <w:r w:rsidRPr="00734AB6">
        <w:rPr>
          <w:rFonts w:asciiTheme="majorHAnsi" w:hAnsiTheme="majorHAnsi"/>
          <w:b/>
        </w:rPr>
        <w:t xml:space="preserve">Table </w:t>
      </w:r>
      <w:r w:rsidR="00833970" w:rsidRPr="00734AB6">
        <w:rPr>
          <w:rFonts w:asciiTheme="majorHAnsi" w:hAnsiTheme="majorHAnsi"/>
          <w:b/>
        </w:rPr>
        <w:t>C.1</w:t>
      </w:r>
      <w:r w:rsidRPr="00734AB6">
        <w:rPr>
          <w:rFonts w:asciiTheme="majorHAnsi" w:hAnsiTheme="majorHAnsi"/>
          <w:b/>
        </w:rPr>
        <w:t>. Nationalities by group</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94"/>
        <w:gridCol w:w="2335"/>
        <w:gridCol w:w="2275"/>
      </w:tblGrid>
      <w:tr w:rsidR="004676EF" w:rsidRPr="00734AB6" w14:paraId="1B2EF680" w14:textId="77777777" w:rsidTr="004676EF">
        <w:tc>
          <w:tcPr>
            <w:tcW w:w="2194" w:type="dxa"/>
            <w:tcBorders>
              <w:bottom w:val="single" w:sz="4" w:space="0" w:color="auto"/>
            </w:tcBorders>
          </w:tcPr>
          <w:p w14:paraId="3CE23018"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Nationality</w:t>
            </w:r>
          </w:p>
        </w:tc>
        <w:tc>
          <w:tcPr>
            <w:tcW w:w="2335" w:type="dxa"/>
            <w:tcBorders>
              <w:bottom w:val="single" w:sz="4" w:space="0" w:color="auto"/>
            </w:tcBorders>
          </w:tcPr>
          <w:p w14:paraId="4C5BE7CD" w14:textId="2CDC4AE7"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CED-user group </w:t>
            </w:r>
            <w:r w:rsidR="00A1043D" w:rsidRPr="00734AB6">
              <w:rPr>
                <w:rFonts w:asciiTheme="majorHAnsi" w:hAnsiTheme="majorHAnsi"/>
                <w:b/>
              </w:rPr>
              <w:t>N (%)*</w:t>
            </w:r>
          </w:p>
        </w:tc>
        <w:tc>
          <w:tcPr>
            <w:tcW w:w="2275" w:type="dxa"/>
            <w:tcBorders>
              <w:bottom w:val="single" w:sz="4" w:space="0" w:color="auto"/>
            </w:tcBorders>
          </w:tcPr>
          <w:p w14:paraId="7CD89091" w14:textId="13AB12B4"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Control group </w:t>
            </w:r>
            <w:r w:rsidR="00A1043D" w:rsidRPr="00734AB6">
              <w:rPr>
                <w:rFonts w:asciiTheme="majorHAnsi" w:hAnsiTheme="majorHAnsi"/>
                <w:b/>
              </w:rPr>
              <w:t>N (%)*</w:t>
            </w:r>
          </w:p>
        </w:tc>
      </w:tr>
      <w:tr w:rsidR="004676EF" w:rsidRPr="00734AB6" w14:paraId="1C29F2F8" w14:textId="77777777" w:rsidTr="004676EF">
        <w:tc>
          <w:tcPr>
            <w:tcW w:w="2194" w:type="dxa"/>
            <w:tcBorders>
              <w:top w:val="nil"/>
              <w:bottom w:val="nil"/>
            </w:tcBorders>
          </w:tcPr>
          <w:p w14:paraId="73B34EA9" w14:textId="77777777" w:rsidR="004676EF" w:rsidRPr="00734AB6" w:rsidRDefault="004676EF" w:rsidP="0099584D">
            <w:pPr>
              <w:spacing w:line="360" w:lineRule="auto"/>
              <w:rPr>
                <w:rFonts w:asciiTheme="majorHAnsi" w:hAnsiTheme="majorHAnsi"/>
              </w:rPr>
            </w:pPr>
            <w:r w:rsidRPr="00734AB6">
              <w:rPr>
                <w:rFonts w:asciiTheme="majorHAnsi" w:hAnsiTheme="majorHAnsi"/>
              </w:rPr>
              <w:t>British</w:t>
            </w:r>
          </w:p>
        </w:tc>
        <w:tc>
          <w:tcPr>
            <w:tcW w:w="2335" w:type="dxa"/>
            <w:tcBorders>
              <w:top w:val="nil"/>
              <w:bottom w:val="nil"/>
            </w:tcBorders>
          </w:tcPr>
          <w:p w14:paraId="40DD9225" w14:textId="77777777" w:rsidR="004676EF" w:rsidRPr="00734AB6" w:rsidRDefault="004676EF" w:rsidP="0099584D">
            <w:pPr>
              <w:spacing w:line="360" w:lineRule="auto"/>
              <w:rPr>
                <w:rFonts w:asciiTheme="majorHAnsi" w:hAnsiTheme="majorHAnsi"/>
              </w:rPr>
            </w:pPr>
            <w:r w:rsidRPr="00734AB6">
              <w:rPr>
                <w:rFonts w:asciiTheme="majorHAnsi" w:hAnsiTheme="majorHAnsi"/>
              </w:rPr>
              <w:t>29 (61.7)</w:t>
            </w:r>
          </w:p>
        </w:tc>
        <w:tc>
          <w:tcPr>
            <w:tcW w:w="2275" w:type="dxa"/>
            <w:tcBorders>
              <w:top w:val="nil"/>
              <w:bottom w:val="nil"/>
            </w:tcBorders>
          </w:tcPr>
          <w:p w14:paraId="0F3C6CE3"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23 (53.5) </w:t>
            </w:r>
          </w:p>
        </w:tc>
      </w:tr>
      <w:tr w:rsidR="004676EF" w:rsidRPr="00734AB6" w14:paraId="382F7DA8" w14:textId="77777777" w:rsidTr="004676EF">
        <w:tc>
          <w:tcPr>
            <w:tcW w:w="2194" w:type="dxa"/>
            <w:tcBorders>
              <w:top w:val="nil"/>
              <w:bottom w:val="nil"/>
            </w:tcBorders>
          </w:tcPr>
          <w:p w14:paraId="105AD7E8" w14:textId="77777777" w:rsidR="004676EF" w:rsidRPr="00734AB6" w:rsidRDefault="004676EF" w:rsidP="0099584D">
            <w:pPr>
              <w:spacing w:line="360" w:lineRule="auto"/>
              <w:rPr>
                <w:rFonts w:asciiTheme="majorHAnsi" w:hAnsiTheme="majorHAnsi"/>
              </w:rPr>
            </w:pPr>
            <w:r w:rsidRPr="00734AB6">
              <w:rPr>
                <w:rFonts w:asciiTheme="majorHAnsi" w:hAnsiTheme="majorHAnsi"/>
              </w:rPr>
              <w:t>Rest of Europe</w:t>
            </w:r>
          </w:p>
        </w:tc>
        <w:tc>
          <w:tcPr>
            <w:tcW w:w="2335" w:type="dxa"/>
            <w:tcBorders>
              <w:top w:val="nil"/>
              <w:bottom w:val="nil"/>
            </w:tcBorders>
          </w:tcPr>
          <w:p w14:paraId="0819A186"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11 (23.4) </w:t>
            </w:r>
          </w:p>
        </w:tc>
        <w:tc>
          <w:tcPr>
            <w:tcW w:w="2275" w:type="dxa"/>
            <w:tcBorders>
              <w:top w:val="nil"/>
              <w:bottom w:val="nil"/>
            </w:tcBorders>
          </w:tcPr>
          <w:p w14:paraId="5A5634AC"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9 (20.93) </w:t>
            </w:r>
          </w:p>
        </w:tc>
      </w:tr>
      <w:tr w:rsidR="004676EF" w:rsidRPr="00734AB6" w14:paraId="4B51DB9E" w14:textId="77777777" w:rsidTr="004676EF">
        <w:tc>
          <w:tcPr>
            <w:tcW w:w="2194" w:type="dxa"/>
            <w:tcBorders>
              <w:top w:val="nil"/>
            </w:tcBorders>
          </w:tcPr>
          <w:p w14:paraId="10F46156" w14:textId="77777777" w:rsidR="004676EF" w:rsidRPr="00734AB6" w:rsidRDefault="004676EF" w:rsidP="0099584D">
            <w:pPr>
              <w:spacing w:line="360" w:lineRule="auto"/>
              <w:rPr>
                <w:rFonts w:asciiTheme="majorHAnsi" w:hAnsiTheme="majorHAnsi"/>
              </w:rPr>
            </w:pPr>
            <w:r w:rsidRPr="00734AB6">
              <w:rPr>
                <w:rFonts w:asciiTheme="majorHAnsi" w:hAnsiTheme="majorHAnsi"/>
              </w:rPr>
              <w:t>Rest of world</w:t>
            </w:r>
            <w:r w:rsidRPr="00734AB6">
              <w:rPr>
                <w:rFonts w:asciiTheme="majorHAnsi" w:hAnsiTheme="majorHAnsi"/>
              </w:rPr>
              <w:tab/>
            </w:r>
          </w:p>
        </w:tc>
        <w:tc>
          <w:tcPr>
            <w:tcW w:w="2335" w:type="dxa"/>
            <w:tcBorders>
              <w:top w:val="nil"/>
            </w:tcBorders>
          </w:tcPr>
          <w:p w14:paraId="0A46E8C7"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7 (14.89) </w:t>
            </w:r>
          </w:p>
        </w:tc>
        <w:tc>
          <w:tcPr>
            <w:tcW w:w="2275" w:type="dxa"/>
            <w:tcBorders>
              <w:top w:val="nil"/>
            </w:tcBorders>
          </w:tcPr>
          <w:p w14:paraId="5D5CC72C"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11 (25.58) </w:t>
            </w:r>
          </w:p>
        </w:tc>
      </w:tr>
    </w:tbl>
    <w:p w14:paraId="1E63272C"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12C84EB8" w14:textId="77777777" w:rsidR="00F7136A" w:rsidRPr="00734AB6" w:rsidRDefault="00F7136A" w:rsidP="0099584D">
      <w:pPr>
        <w:tabs>
          <w:tab w:val="left" w:pos="426"/>
        </w:tabs>
        <w:spacing w:line="360" w:lineRule="auto"/>
        <w:rPr>
          <w:rFonts w:asciiTheme="majorHAnsi" w:hAnsiTheme="majorHAnsi"/>
        </w:rPr>
      </w:pPr>
    </w:p>
    <w:p w14:paraId="397E1D65" w14:textId="77777777" w:rsidR="005A1A41" w:rsidRPr="00734AB6" w:rsidRDefault="005A1A41" w:rsidP="00EF7585">
      <w:pPr>
        <w:pBdr>
          <w:top w:val="double" w:sz="4" w:space="1" w:color="auto"/>
        </w:pBdr>
        <w:tabs>
          <w:tab w:val="left" w:pos="426"/>
        </w:tabs>
        <w:spacing w:line="360" w:lineRule="auto"/>
        <w:rPr>
          <w:rFonts w:asciiTheme="majorHAnsi" w:hAnsiTheme="majorHAnsi"/>
        </w:rPr>
      </w:pPr>
    </w:p>
    <w:p w14:paraId="5CE2969A" w14:textId="0E0F7423" w:rsidR="004676EF" w:rsidRPr="005E4F0A" w:rsidRDefault="004676EF" w:rsidP="005E4F0A">
      <w:pPr>
        <w:pStyle w:val="Heading2"/>
        <w:rPr>
          <w:rFonts w:cstheme="majorHAnsi"/>
          <w:b/>
          <w:bCs/>
          <w:color w:val="auto"/>
          <w:sz w:val="22"/>
          <w:szCs w:val="22"/>
        </w:rPr>
      </w:pPr>
      <w:bookmarkStart w:id="178" w:name="_Toc45200544"/>
      <w:r w:rsidRPr="005E4F0A">
        <w:rPr>
          <w:rFonts w:cstheme="majorHAnsi"/>
          <w:b/>
          <w:bCs/>
          <w:color w:val="auto"/>
          <w:sz w:val="22"/>
          <w:szCs w:val="22"/>
        </w:rPr>
        <w:t>C(iii)</w:t>
      </w:r>
      <w:r w:rsidRPr="005E4F0A">
        <w:rPr>
          <w:rFonts w:cstheme="majorHAnsi"/>
          <w:b/>
          <w:bCs/>
          <w:color w:val="auto"/>
          <w:sz w:val="22"/>
          <w:szCs w:val="22"/>
        </w:rPr>
        <w:tab/>
        <w:t>Demographics and Drug Use Questionnaire</w:t>
      </w:r>
      <w:bookmarkEnd w:id="178"/>
    </w:p>
    <w:p w14:paraId="7BB8870E" w14:textId="77777777" w:rsidR="004676EF" w:rsidRPr="00734AB6" w:rsidRDefault="004676EF" w:rsidP="0099584D">
      <w:pPr>
        <w:tabs>
          <w:tab w:val="left" w:pos="1418"/>
          <w:tab w:val="left" w:pos="9356"/>
        </w:tabs>
        <w:spacing w:after="0" w:line="360" w:lineRule="auto"/>
        <w:rPr>
          <w:rFonts w:asciiTheme="majorHAnsi" w:hAnsiTheme="majorHAnsi" w:cs="Arial"/>
          <w:b/>
        </w:rPr>
      </w:pPr>
    </w:p>
    <w:p w14:paraId="7122209D" w14:textId="77777777" w:rsidR="004676EF" w:rsidRPr="00734AB6" w:rsidRDefault="004676EF" w:rsidP="0099584D">
      <w:pPr>
        <w:shd w:val="clear" w:color="auto" w:fill="17365D"/>
        <w:tabs>
          <w:tab w:val="left" w:pos="1418"/>
          <w:tab w:val="left" w:pos="7230"/>
          <w:tab w:val="left" w:pos="9356"/>
        </w:tabs>
        <w:spacing w:after="0" w:line="360" w:lineRule="auto"/>
        <w:rPr>
          <w:rFonts w:asciiTheme="majorHAnsi" w:hAnsiTheme="majorHAnsi"/>
          <w:b/>
        </w:rPr>
      </w:pPr>
      <w:r w:rsidRPr="00734AB6">
        <w:rPr>
          <w:rFonts w:asciiTheme="majorHAnsi" w:hAnsiTheme="majorHAnsi"/>
          <w:b/>
        </w:rPr>
        <w:t>Demographics and Drug Use</w:t>
      </w:r>
      <w:r w:rsidRPr="00734AB6">
        <w:rPr>
          <w:rFonts w:asciiTheme="majorHAnsi" w:hAnsiTheme="majorHAnsi" w:cs="Arial"/>
          <w:b/>
        </w:rPr>
        <w:t xml:space="preserve"> </w:t>
      </w:r>
      <w:r w:rsidRPr="00734AB6">
        <w:rPr>
          <w:rFonts w:asciiTheme="majorHAnsi" w:hAnsiTheme="majorHAnsi"/>
          <w:b/>
        </w:rPr>
        <w:t xml:space="preserve">Questionnaire </w:t>
      </w:r>
      <w:r w:rsidRPr="00734AB6">
        <w:rPr>
          <w:rFonts w:asciiTheme="majorHAnsi" w:hAnsiTheme="majorHAnsi"/>
          <w:b/>
        </w:rPr>
        <w:tab/>
        <w:t>SAS1834</w:t>
      </w:r>
    </w:p>
    <w:p w14:paraId="454A230B" w14:textId="77777777" w:rsidR="004676EF" w:rsidRPr="00734AB6" w:rsidRDefault="004676EF" w:rsidP="0099584D">
      <w:pPr>
        <w:tabs>
          <w:tab w:val="left" w:pos="1418"/>
        </w:tabs>
        <w:spacing w:after="0" w:line="360" w:lineRule="auto"/>
        <w:jc w:val="center"/>
        <w:rPr>
          <w:rFonts w:asciiTheme="majorHAnsi" w:hAnsiTheme="majorHAnsi" w:cs="Arial"/>
          <w:b/>
        </w:rPr>
      </w:pPr>
    </w:p>
    <w:p w14:paraId="482F2826" w14:textId="77777777" w:rsidR="004676EF" w:rsidRPr="00734AB6" w:rsidRDefault="004676EF" w:rsidP="0099584D">
      <w:pPr>
        <w:tabs>
          <w:tab w:val="left" w:pos="1276"/>
        </w:tabs>
        <w:spacing w:line="360" w:lineRule="auto"/>
        <w:ind w:left="1276" w:hanging="1276"/>
        <w:rPr>
          <w:rFonts w:asciiTheme="majorHAnsi" w:hAnsiTheme="majorHAnsi" w:cs="Arial"/>
          <w:b/>
          <w:color w:val="767171" w:themeColor="background2" w:themeShade="80"/>
        </w:rPr>
      </w:pPr>
      <w:r w:rsidRPr="00734AB6">
        <w:rPr>
          <w:rFonts w:asciiTheme="majorHAnsi" w:hAnsiTheme="majorHAnsi" w:cs="Arial"/>
          <w:b/>
          <w:color w:val="767171" w:themeColor="background2" w:themeShade="80"/>
        </w:rPr>
        <w:t>Study title:</w:t>
      </w:r>
      <w:r w:rsidRPr="00734AB6">
        <w:rPr>
          <w:rFonts w:asciiTheme="majorHAnsi" w:hAnsiTheme="majorHAnsi" w:cs="Arial"/>
          <w:b/>
          <w:color w:val="767171" w:themeColor="background2" w:themeShade="80"/>
        </w:rPr>
        <w:tab/>
        <w:t>The cognitive performance of off-prescription users of modafinil &amp; methylphenidate</w:t>
      </w:r>
    </w:p>
    <w:p w14:paraId="54241AC3" w14:textId="77777777" w:rsidR="004676EF" w:rsidRPr="00734AB6" w:rsidRDefault="004676EF" w:rsidP="005A1A41">
      <w:pPr>
        <w:tabs>
          <w:tab w:val="left" w:pos="1418"/>
        </w:tabs>
        <w:spacing w:after="0" w:line="276" w:lineRule="auto"/>
        <w:jc w:val="center"/>
        <w:rPr>
          <w:rFonts w:asciiTheme="majorHAnsi" w:hAnsiTheme="majorHAnsi" w:cs="Arial"/>
          <w:b/>
        </w:rPr>
      </w:pPr>
    </w:p>
    <w:p w14:paraId="08238655" w14:textId="77777777" w:rsidR="004676EF" w:rsidRPr="00734AB6" w:rsidRDefault="004676EF" w:rsidP="005A1A41">
      <w:pPr>
        <w:tabs>
          <w:tab w:val="left" w:pos="12474"/>
        </w:tabs>
        <w:spacing w:after="0" w:line="276" w:lineRule="auto"/>
        <w:rPr>
          <w:rFonts w:asciiTheme="majorHAnsi" w:hAnsiTheme="majorHAnsi" w:cs="Arial"/>
          <w:i/>
        </w:rPr>
      </w:pPr>
      <w:r w:rsidRPr="00734AB6">
        <w:rPr>
          <w:rFonts w:asciiTheme="majorHAnsi" w:hAnsiTheme="majorHAnsi" w:cs="Arial"/>
          <w:i/>
        </w:rPr>
        <w:t>Please print your answers clearly</w:t>
      </w:r>
    </w:p>
    <w:p w14:paraId="55E51609" w14:textId="77777777" w:rsidR="004676EF" w:rsidRPr="00734AB6" w:rsidRDefault="004676EF" w:rsidP="005A1A41">
      <w:pPr>
        <w:tabs>
          <w:tab w:val="left" w:pos="12474"/>
        </w:tabs>
        <w:spacing w:line="276" w:lineRule="auto"/>
        <w:rPr>
          <w:rFonts w:asciiTheme="majorHAnsi" w:hAnsiTheme="majorHAnsi" w:cs="Arial"/>
        </w:rPr>
      </w:pPr>
      <w:r w:rsidRPr="00734AB6">
        <w:rPr>
          <w:rFonts w:asciiTheme="majorHAnsi" w:hAnsiTheme="majorHAnsi" w:cs="Arial"/>
        </w:rPr>
        <w:tab/>
      </w:r>
      <w:r w:rsidRPr="00734AB6">
        <w:rPr>
          <w:rFonts w:asciiTheme="majorHAnsi" w:hAnsiTheme="majorHAnsi" w:cs="Arial"/>
          <w:b/>
        </w:rPr>
        <w:t>Participant no</w:t>
      </w:r>
      <w:r w:rsidRPr="00734AB6">
        <w:rPr>
          <w:rFonts w:asciiTheme="majorHAnsi" w:hAnsiTheme="majorHAnsi" w:cs="Arial"/>
        </w:rPr>
        <w:t>.__________</w:t>
      </w:r>
    </w:p>
    <w:p w14:paraId="508B4916" w14:textId="77777777" w:rsidR="004676EF" w:rsidRPr="00734AB6" w:rsidRDefault="004676EF" w:rsidP="005A1A41">
      <w:pPr>
        <w:tabs>
          <w:tab w:val="left" w:pos="1418"/>
        </w:tabs>
        <w:spacing w:line="276" w:lineRule="auto"/>
        <w:rPr>
          <w:rFonts w:asciiTheme="majorHAnsi" w:hAnsiTheme="majorHAnsi" w:cs="Arial"/>
        </w:rPr>
      </w:pPr>
      <w:r w:rsidRPr="00734AB6">
        <w:rPr>
          <w:rFonts w:asciiTheme="majorHAnsi" w:hAnsiTheme="majorHAnsi" w:cs="Arial"/>
          <w:b/>
        </w:rPr>
        <w:t>Age</w:t>
      </w:r>
      <w:r w:rsidRPr="00734AB6">
        <w:rPr>
          <w:rFonts w:asciiTheme="majorHAnsi" w:hAnsiTheme="majorHAnsi" w:cs="Arial"/>
        </w:rPr>
        <w:t xml:space="preserve"> __________________</w:t>
      </w:r>
    </w:p>
    <w:p w14:paraId="0A7FA777"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b/>
        </w:rPr>
        <w:t>Gender</w:t>
      </w:r>
      <w:r w:rsidRPr="00734AB6">
        <w:rPr>
          <w:rFonts w:asciiTheme="majorHAnsi" w:hAnsiTheme="majorHAnsi" w:cs="Arial"/>
        </w:rPr>
        <w:tab/>
        <w:t>__________________</w:t>
      </w:r>
    </w:p>
    <w:p w14:paraId="5E4824DE"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b/>
        </w:rPr>
        <w:t>Nationality</w:t>
      </w:r>
      <w:r w:rsidRPr="00734AB6">
        <w:rPr>
          <w:rFonts w:asciiTheme="majorHAnsi" w:hAnsiTheme="majorHAnsi" w:cs="Arial"/>
        </w:rPr>
        <w:t xml:space="preserve"> __________________</w:t>
      </w:r>
    </w:p>
    <w:p w14:paraId="10BB5209" w14:textId="77777777" w:rsidR="004676EF" w:rsidRPr="00734AB6" w:rsidRDefault="004676EF" w:rsidP="005A1A41">
      <w:pPr>
        <w:spacing w:after="0" w:line="276" w:lineRule="auto"/>
        <w:rPr>
          <w:rFonts w:asciiTheme="majorHAnsi" w:hAnsiTheme="majorHAnsi" w:cs="Arial"/>
        </w:rPr>
      </w:pPr>
    </w:p>
    <w:p w14:paraId="7D46E0A2" w14:textId="77777777" w:rsidR="004676EF" w:rsidRPr="00734AB6" w:rsidRDefault="004676EF" w:rsidP="005A1A41">
      <w:pPr>
        <w:spacing w:line="276" w:lineRule="auto"/>
        <w:rPr>
          <w:rFonts w:asciiTheme="majorHAnsi" w:hAnsiTheme="majorHAnsi" w:cs="Arial"/>
          <w:b/>
        </w:rPr>
      </w:pPr>
      <w:r w:rsidRPr="00734AB6">
        <w:rPr>
          <w:rFonts w:asciiTheme="majorHAnsi" w:hAnsiTheme="majorHAnsi" w:cs="Arial"/>
          <w:b/>
        </w:rPr>
        <w:t>Please indicate your level of education by ticking the appropriate box</w:t>
      </w:r>
    </w:p>
    <w:tbl>
      <w:tblPr>
        <w:tblW w:w="0" w:type="auto"/>
        <w:tblLook w:val="04A0" w:firstRow="1" w:lastRow="0" w:firstColumn="1" w:lastColumn="0" w:noHBand="0" w:noVBand="1"/>
      </w:tblPr>
      <w:tblGrid>
        <w:gridCol w:w="5949"/>
        <w:gridCol w:w="1276"/>
      </w:tblGrid>
      <w:tr w:rsidR="004676EF" w:rsidRPr="00734AB6" w14:paraId="4720BFD6" w14:textId="77777777" w:rsidTr="004676EF">
        <w:tc>
          <w:tcPr>
            <w:tcW w:w="5949" w:type="dxa"/>
          </w:tcPr>
          <w:p w14:paraId="23249DFD"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No formal qualifications</w:t>
            </w:r>
          </w:p>
        </w:tc>
        <w:tc>
          <w:tcPr>
            <w:tcW w:w="1276" w:type="dxa"/>
          </w:tcPr>
          <w:p w14:paraId="4ECDC58E" w14:textId="77777777" w:rsidR="004676EF" w:rsidRPr="00734AB6" w:rsidRDefault="004676EF" w:rsidP="005A1A41">
            <w:pPr>
              <w:spacing w:before="240" w:after="0" w:line="276" w:lineRule="auto"/>
              <w:rPr>
                <w:rFonts w:asciiTheme="majorHAnsi" w:hAnsiTheme="majorHAnsi" w:cs="Arial"/>
              </w:rPr>
            </w:pPr>
          </w:p>
        </w:tc>
      </w:tr>
      <w:tr w:rsidR="004676EF" w:rsidRPr="00734AB6" w14:paraId="3F68F406" w14:textId="77777777" w:rsidTr="004676EF">
        <w:tc>
          <w:tcPr>
            <w:tcW w:w="5949" w:type="dxa"/>
          </w:tcPr>
          <w:p w14:paraId="4E6C5A1F"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Educated to age 16 (e.g. G.C.S.E.)</w:t>
            </w:r>
          </w:p>
        </w:tc>
        <w:tc>
          <w:tcPr>
            <w:tcW w:w="1276" w:type="dxa"/>
          </w:tcPr>
          <w:p w14:paraId="2DCA27E3" w14:textId="77777777" w:rsidR="004676EF" w:rsidRPr="00734AB6" w:rsidRDefault="004676EF" w:rsidP="005A1A41">
            <w:pPr>
              <w:spacing w:before="240" w:after="0" w:line="276" w:lineRule="auto"/>
              <w:rPr>
                <w:rFonts w:asciiTheme="majorHAnsi" w:hAnsiTheme="majorHAnsi" w:cs="Arial"/>
              </w:rPr>
            </w:pPr>
          </w:p>
        </w:tc>
      </w:tr>
      <w:tr w:rsidR="004676EF" w:rsidRPr="00734AB6" w14:paraId="4D20608A" w14:textId="77777777" w:rsidTr="004676EF">
        <w:tc>
          <w:tcPr>
            <w:tcW w:w="5949" w:type="dxa"/>
          </w:tcPr>
          <w:p w14:paraId="38666BBD"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Educated to age 18 (e.g. A-level, High School, I.B.)</w:t>
            </w:r>
          </w:p>
        </w:tc>
        <w:tc>
          <w:tcPr>
            <w:tcW w:w="1276" w:type="dxa"/>
          </w:tcPr>
          <w:p w14:paraId="4C3FF82B" w14:textId="77777777" w:rsidR="004676EF" w:rsidRPr="00734AB6" w:rsidRDefault="004676EF" w:rsidP="005A1A41">
            <w:pPr>
              <w:spacing w:before="240" w:after="0" w:line="276" w:lineRule="auto"/>
              <w:rPr>
                <w:rFonts w:asciiTheme="majorHAnsi" w:hAnsiTheme="majorHAnsi" w:cs="Arial"/>
              </w:rPr>
            </w:pPr>
          </w:p>
        </w:tc>
      </w:tr>
      <w:tr w:rsidR="004676EF" w:rsidRPr="00734AB6" w14:paraId="27252526" w14:textId="77777777" w:rsidTr="004676EF">
        <w:tc>
          <w:tcPr>
            <w:tcW w:w="5949" w:type="dxa"/>
          </w:tcPr>
          <w:p w14:paraId="6E245C95"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University Degree (BSc, BA)</w:t>
            </w:r>
          </w:p>
        </w:tc>
        <w:tc>
          <w:tcPr>
            <w:tcW w:w="1276" w:type="dxa"/>
          </w:tcPr>
          <w:p w14:paraId="0400A0CA" w14:textId="77777777" w:rsidR="004676EF" w:rsidRPr="00734AB6" w:rsidRDefault="004676EF" w:rsidP="005A1A41">
            <w:pPr>
              <w:spacing w:before="240" w:after="0" w:line="276" w:lineRule="auto"/>
              <w:rPr>
                <w:rFonts w:asciiTheme="majorHAnsi" w:hAnsiTheme="majorHAnsi" w:cs="Arial"/>
              </w:rPr>
            </w:pPr>
          </w:p>
        </w:tc>
      </w:tr>
      <w:tr w:rsidR="004676EF" w:rsidRPr="00734AB6" w14:paraId="7F89F926" w14:textId="77777777" w:rsidTr="004676EF">
        <w:tc>
          <w:tcPr>
            <w:tcW w:w="5949" w:type="dxa"/>
          </w:tcPr>
          <w:p w14:paraId="570EEC62"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Post-Graduate Degree (MSc, MA, PhD)</w:t>
            </w:r>
          </w:p>
        </w:tc>
        <w:tc>
          <w:tcPr>
            <w:tcW w:w="1276" w:type="dxa"/>
          </w:tcPr>
          <w:p w14:paraId="728F53AD" w14:textId="77777777" w:rsidR="004676EF" w:rsidRPr="00734AB6" w:rsidRDefault="004676EF" w:rsidP="005A1A41">
            <w:pPr>
              <w:spacing w:before="240" w:after="0" w:line="276" w:lineRule="auto"/>
              <w:rPr>
                <w:rFonts w:asciiTheme="majorHAnsi" w:hAnsiTheme="majorHAnsi" w:cs="Arial"/>
              </w:rPr>
            </w:pPr>
          </w:p>
        </w:tc>
      </w:tr>
    </w:tbl>
    <w:p w14:paraId="6B2816D2" w14:textId="77777777" w:rsidR="004676EF" w:rsidRPr="00734AB6" w:rsidRDefault="004676EF" w:rsidP="005A1A41">
      <w:pPr>
        <w:spacing w:after="0" w:line="276" w:lineRule="auto"/>
        <w:rPr>
          <w:rFonts w:asciiTheme="majorHAnsi" w:hAnsiTheme="majorHAnsi" w:cs="Arial"/>
        </w:rPr>
      </w:pPr>
    </w:p>
    <w:p w14:paraId="7C006568"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Are you currently studying for a qualification?</w:t>
      </w:r>
      <w:r w:rsidRPr="00734AB6">
        <w:rPr>
          <w:rFonts w:asciiTheme="majorHAnsi" w:hAnsiTheme="majorHAnsi" w:cs="Arial"/>
        </w:rPr>
        <w:t xml:space="preserve">  </w:t>
      </w:r>
      <w:r w:rsidRPr="00734AB6">
        <w:rPr>
          <w:rFonts w:asciiTheme="majorHAnsi" w:hAnsiTheme="majorHAnsi" w:cs="Arial"/>
        </w:rPr>
        <w:tab/>
      </w:r>
      <w:r w:rsidRPr="00734AB6">
        <w:rPr>
          <w:rFonts w:asciiTheme="majorHAnsi" w:hAnsiTheme="majorHAnsi" w:cs="Arial"/>
        </w:rPr>
        <w:tab/>
      </w:r>
      <w:r w:rsidRPr="00734AB6">
        <w:rPr>
          <w:rFonts w:asciiTheme="majorHAnsi" w:hAnsiTheme="majorHAnsi" w:cs="Arial"/>
          <w:b/>
        </w:rPr>
        <w:t xml:space="preserve">Yes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No </w:t>
      </w:r>
      <w:r w:rsidRPr="00734AB6">
        <w:rPr>
          <w:rFonts w:asciiTheme="majorHAnsi" w:hAnsiTheme="majorHAnsi" w:cs="Arial"/>
          <w:b/>
        </w:rPr>
        <w:sym w:font="Wingdings 2" w:char="F0A3"/>
      </w:r>
    </w:p>
    <w:p w14:paraId="363F2F02"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 xml:space="preserve">If yes, which of the following most accurately describes your course </w:t>
      </w:r>
    </w:p>
    <w:p w14:paraId="30FB2CAE" w14:textId="77777777" w:rsidR="004676EF" w:rsidRPr="00734AB6" w:rsidRDefault="004676EF" w:rsidP="005A1A41">
      <w:pPr>
        <w:spacing w:after="0" w:line="276" w:lineRule="auto"/>
        <w:rPr>
          <w:rFonts w:asciiTheme="majorHAnsi" w:hAnsiTheme="majorHAnsi" w:cs="Arial"/>
        </w:rPr>
      </w:pPr>
      <w:r w:rsidRPr="00734AB6">
        <w:rPr>
          <w:rFonts w:asciiTheme="majorHAnsi" w:hAnsiTheme="majorHAnsi" w:cs="Arial"/>
          <w:i/>
        </w:rPr>
        <w:t xml:space="preserve">(please tick the appropriate box): </w:t>
      </w:r>
      <w:r w:rsidRPr="00734AB6">
        <w:rPr>
          <w:rFonts w:asciiTheme="majorHAnsi" w:hAnsiTheme="majorHAnsi" w:cs="Arial"/>
        </w:rPr>
        <w:t xml:space="preserve">   </w:t>
      </w:r>
    </w:p>
    <w:tbl>
      <w:tblPr>
        <w:tblW w:w="0" w:type="auto"/>
        <w:tblLook w:val="04A0" w:firstRow="1" w:lastRow="0" w:firstColumn="1" w:lastColumn="0" w:noHBand="0" w:noVBand="1"/>
      </w:tblPr>
      <w:tblGrid>
        <w:gridCol w:w="5807"/>
        <w:gridCol w:w="1418"/>
      </w:tblGrid>
      <w:tr w:rsidR="004676EF" w:rsidRPr="00734AB6" w14:paraId="174BC08F" w14:textId="77777777" w:rsidTr="004676EF">
        <w:tc>
          <w:tcPr>
            <w:tcW w:w="5807" w:type="dxa"/>
          </w:tcPr>
          <w:p w14:paraId="2EEDD798"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Vocational (learning in a practical way about a job)</w:t>
            </w:r>
          </w:p>
        </w:tc>
        <w:tc>
          <w:tcPr>
            <w:tcW w:w="1418" w:type="dxa"/>
          </w:tcPr>
          <w:p w14:paraId="7574A786" w14:textId="77777777" w:rsidR="004676EF" w:rsidRPr="00734AB6" w:rsidRDefault="004676EF" w:rsidP="005A1A41">
            <w:pPr>
              <w:spacing w:before="240" w:after="0" w:line="276" w:lineRule="auto"/>
              <w:rPr>
                <w:rFonts w:asciiTheme="majorHAnsi" w:hAnsiTheme="majorHAnsi" w:cs="Arial"/>
                <w:color w:val="0070C0"/>
              </w:rPr>
            </w:pPr>
          </w:p>
        </w:tc>
      </w:tr>
      <w:tr w:rsidR="004676EF" w:rsidRPr="00734AB6" w14:paraId="55855CD7" w14:textId="77777777" w:rsidTr="004676EF">
        <w:tc>
          <w:tcPr>
            <w:tcW w:w="5807" w:type="dxa"/>
          </w:tcPr>
          <w:p w14:paraId="5026F19C"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Continuing Professional Development</w:t>
            </w:r>
          </w:p>
        </w:tc>
        <w:tc>
          <w:tcPr>
            <w:tcW w:w="1418" w:type="dxa"/>
          </w:tcPr>
          <w:p w14:paraId="010FC857" w14:textId="77777777" w:rsidR="004676EF" w:rsidRPr="00734AB6" w:rsidRDefault="004676EF" w:rsidP="005A1A41">
            <w:pPr>
              <w:spacing w:before="240" w:after="0" w:line="276" w:lineRule="auto"/>
              <w:rPr>
                <w:rFonts w:asciiTheme="majorHAnsi" w:hAnsiTheme="majorHAnsi" w:cs="Arial"/>
                <w:color w:val="0070C0"/>
              </w:rPr>
            </w:pPr>
          </w:p>
        </w:tc>
      </w:tr>
      <w:tr w:rsidR="004676EF" w:rsidRPr="00734AB6" w14:paraId="1BFCF2EC" w14:textId="77777777" w:rsidTr="004676EF">
        <w:tc>
          <w:tcPr>
            <w:tcW w:w="5807" w:type="dxa"/>
          </w:tcPr>
          <w:p w14:paraId="78477686"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High school/ college/ A levels</w:t>
            </w:r>
          </w:p>
        </w:tc>
        <w:tc>
          <w:tcPr>
            <w:tcW w:w="1418" w:type="dxa"/>
          </w:tcPr>
          <w:p w14:paraId="689AF6DA" w14:textId="77777777" w:rsidR="004676EF" w:rsidRPr="00734AB6" w:rsidRDefault="004676EF" w:rsidP="005A1A41">
            <w:pPr>
              <w:spacing w:before="240" w:after="0" w:line="276" w:lineRule="auto"/>
              <w:rPr>
                <w:rFonts w:asciiTheme="majorHAnsi" w:hAnsiTheme="majorHAnsi" w:cs="Arial"/>
                <w:color w:val="0070C0"/>
              </w:rPr>
            </w:pPr>
          </w:p>
        </w:tc>
      </w:tr>
      <w:tr w:rsidR="004676EF" w:rsidRPr="00734AB6" w14:paraId="3B1A1DC3" w14:textId="77777777" w:rsidTr="004676EF">
        <w:tc>
          <w:tcPr>
            <w:tcW w:w="5807" w:type="dxa"/>
          </w:tcPr>
          <w:p w14:paraId="52000686"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University bachelor’s program</w:t>
            </w:r>
          </w:p>
        </w:tc>
        <w:tc>
          <w:tcPr>
            <w:tcW w:w="1418" w:type="dxa"/>
          </w:tcPr>
          <w:p w14:paraId="660724C2" w14:textId="77777777" w:rsidR="004676EF" w:rsidRPr="00734AB6" w:rsidRDefault="004676EF" w:rsidP="005A1A41">
            <w:pPr>
              <w:spacing w:before="240" w:after="0" w:line="276" w:lineRule="auto"/>
              <w:rPr>
                <w:rFonts w:asciiTheme="majorHAnsi" w:hAnsiTheme="majorHAnsi" w:cs="Arial"/>
                <w:color w:val="0070C0"/>
              </w:rPr>
            </w:pPr>
          </w:p>
        </w:tc>
      </w:tr>
      <w:tr w:rsidR="004676EF" w:rsidRPr="00734AB6" w14:paraId="6CD8A504" w14:textId="77777777" w:rsidTr="004676EF">
        <w:tc>
          <w:tcPr>
            <w:tcW w:w="5807" w:type="dxa"/>
          </w:tcPr>
          <w:p w14:paraId="73F4A245"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University master’s program</w:t>
            </w:r>
          </w:p>
        </w:tc>
        <w:tc>
          <w:tcPr>
            <w:tcW w:w="1418" w:type="dxa"/>
          </w:tcPr>
          <w:p w14:paraId="0B022881" w14:textId="77777777" w:rsidR="004676EF" w:rsidRPr="00734AB6" w:rsidRDefault="004676EF" w:rsidP="005A1A41">
            <w:pPr>
              <w:spacing w:before="240" w:after="0" w:line="276" w:lineRule="auto"/>
              <w:rPr>
                <w:rFonts w:asciiTheme="majorHAnsi" w:hAnsiTheme="majorHAnsi" w:cs="Arial"/>
                <w:color w:val="0070C0"/>
              </w:rPr>
            </w:pPr>
          </w:p>
        </w:tc>
      </w:tr>
      <w:tr w:rsidR="004676EF" w:rsidRPr="00734AB6" w14:paraId="412D3D01" w14:textId="77777777" w:rsidTr="004676EF">
        <w:tc>
          <w:tcPr>
            <w:tcW w:w="5807" w:type="dxa"/>
          </w:tcPr>
          <w:p w14:paraId="4E3F8795" w14:textId="77777777" w:rsidR="004676EF" w:rsidRPr="00734AB6" w:rsidRDefault="004676EF" w:rsidP="005A1A41">
            <w:pPr>
              <w:tabs>
                <w:tab w:val="left" w:pos="8647"/>
              </w:tabs>
              <w:spacing w:before="240" w:after="0" w:line="276" w:lineRule="auto"/>
              <w:rPr>
                <w:rFonts w:asciiTheme="majorHAnsi" w:hAnsiTheme="majorHAnsi" w:cs="Arial"/>
                <w:b/>
              </w:rPr>
            </w:pPr>
            <w:r w:rsidRPr="00734AB6">
              <w:rPr>
                <w:rFonts w:asciiTheme="majorHAnsi" w:hAnsiTheme="majorHAnsi" w:cs="Arial"/>
                <w:b/>
              </w:rPr>
              <w:t>Doctoral studies</w:t>
            </w:r>
          </w:p>
        </w:tc>
        <w:tc>
          <w:tcPr>
            <w:tcW w:w="1418" w:type="dxa"/>
          </w:tcPr>
          <w:p w14:paraId="76414627" w14:textId="77777777" w:rsidR="004676EF" w:rsidRPr="00734AB6" w:rsidRDefault="004676EF" w:rsidP="005A1A41">
            <w:pPr>
              <w:spacing w:before="240" w:after="0" w:line="276" w:lineRule="auto"/>
              <w:rPr>
                <w:rFonts w:asciiTheme="majorHAnsi" w:hAnsiTheme="majorHAnsi" w:cs="Arial"/>
                <w:color w:val="0070C0"/>
              </w:rPr>
            </w:pPr>
          </w:p>
        </w:tc>
      </w:tr>
    </w:tbl>
    <w:p w14:paraId="7F8A2C7F" w14:textId="77777777" w:rsidR="004676EF" w:rsidRPr="00734AB6" w:rsidRDefault="004676EF" w:rsidP="005A1A41">
      <w:pPr>
        <w:tabs>
          <w:tab w:val="left" w:pos="8647"/>
        </w:tabs>
        <w:spacing w:after="0" w:line="276" w:lineRule="auto"/>
        <w:rPr>
          <w:rFonts w:asciiTheme="majorHAnsi" w:hAnsiTheme="majorHAnsi" w:cs="Arial"/>
          <w:i/>
          <w:color w:val="0070C0"/>
        </w:rPr>
      </w:pPr>
      <w:r w:rsidRPr="00734AB6">
        <w:rPr>
          <w:rFonts w:asciiTheme="majorHAnsi" w:hAnsiTheme="majorHAnsi" w:cs="Arial"/>
          <w:i/>
          <w:color w:val="0070C0"/>
        </w:rPr>
        <w:tab/>
      </w:r>
    </w:p>
    <w:p w14:paraId="72D9FBDF" w14:textId="2BF35E23"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lastRenderedPageBreak/>
        <w:t xml:space="preserve">Are you working at the moment?  </w:t>
      </w:r>
      <w:r w:rsidRPr="00734AB6">
        <w:rPr>
          <w:rFonts w:asciiTheme="majorHAnsi" w:hAnsiTheme="majorHAnsi" w:cs="Arial"/>
        </w:rPr>
        <w:t>(</w:t>
      </w:r>
      <w:r w:rsidRPr="00734AB6">
        <w:rPr>
          <w:rFonts w:asciiTheme="majorHAnsi" w:hAnsiTheme="majorHAnsi" w:cs="Arial"/>
          <w:i/>
        </w:rPr>
        <w:t>please tick the appropriate box</w:t>
      </w:r>
      <w:r w:rsidRPr="00734AB6">
        <w:rPr>
          <w:rFonts w:asciiTheme="majorHAnsi" w:hAnsiTheme="majorHAnsi" w:cs="Arial"/>
        </w:rPr>
        <w:t>)</w:t>
      </w:r>
      <w:r w:rsidRPr="00734AB6">
        <w:rPr>
          <w:rFonts w:asciiTheme="majorHAnsi" w:hAnsiTheme="majorHAnsi" w:cs="Arial"/>
          <w:b/>
        </w:rPr>
        <w:t xml:space="preserve">  </w:t>
      </w:r>
    </w:p>
    <w:tbl>
      <w:tblPr>
        <w:tblW w:w="0" w:type="auto"/>
        <w:tblLook w:val="04A0" w:firstRow="1" w:lastRow="0" w:firstColumn="1" w:lastColumn="0" w:noHBand="0" w:noVBand="1"/>
      </w:tblPr>
      <w:tblGrid>
        <w:gridCol w:w="4508"/>
        <w:gridCol w:w="2717"/>
      </w:tblGrid>
      <w:tr w:rsidR="004676EF" w:rsidRPr="00734AB6" w14:paraId="77689609" w14:textId="77777777" w:rsidTr="004676EF">
        <w:tc>
          <w:tcPr>
            <w:tcW w:w="4508" w:type="dxa"/>
          </w:tcPr>
          <w:p w14:paraId="2FA07E0B" w14:textId="77777777" w:rsidR="004676EF" w:rsidRPr="00734AB6" w:rsidRDefault="004676EF" w:rsidP="005A1A41">
            <w:pPr>
              <w:spacing w:before="240" w:after="0" w:line="276" w:lineRule="auto"/>
              <w:rPr>
                <w:rFonts w:asciiTheme="majorHAnsi" w:hAnsiTheme="majorHAnsi" w:cs="Arial"/>
                <w:b/>
                <w:color w:val="000000"/>
              </w:rPr>
            </w:pPr>
            <w:r w:rsidRPr="00734AB6">
              <w:rPr>
                <w:rFonts w:asciiTheme="majorHAnsi" w:hAnsiTheme="majorHAnsi" w:cs="Arial"/>
                <w:b/>
                <w:color w:val="000000"/>
              </w:rPr>
              <w:t>Yes, full-time paid</w:t>
            </w:r>
          </w:p>
        </w:tc>
        <w:tc>
          <w:tcPr>
            <w:tcW w:w="2717" w:type="dxa"/>
          </w:tcPr>
          <w:p w14:paraId="3B10325B" w14:textId="77777777" w:rsidR="004676EF" w:rsidRPr="00734AB6" w:rsidRDefault="004676EF" w:rsidP="005A1A41">
            <w:pPr>
              <w:spacing w:before="240" w:after="0" w:line="276" w:lineRule="auto"/>
              <w:rPr>
                <w:rFonts w:asciiTheme="majorHAnsi" w:hAnsiTheme="majorHAnsi" w:cs="Arial"/>
                <w:color w:val="000000"/>
              </w:rPr>
            </w:pPr>
          </w:p>
        </w:tc>
      </w:tr>
      <w:tr w:rsidR="004676EF" w:rsidRPr="00734AB6" w14:paraId="5F1E9057" w14:textId="77777777" w:rsidTr="004676EF">
        <w:tc>
          <w:tcPr>
            <w:tcW w:w="4508" w:type="dxa"/>
          </w:tcPr>
          <w:p w14:paraId="0250D454" w14:textId="77777777" w:rsidR="004676EF" w:rsidRPr="00734AB6" w:rsidRDefault="004676EF" w:rsidP="005A1A41">
            <w:pPr>
              <w:spacing w:before="240" w:after="0" w:line="276" w:lineRule="auto"/>
              <w:rPr>
                <w:rFonts w:asciiTheme="majorHAnsi" w:hAnsiTheme="majorHAnsi" w:cs="Arial"/>
                <w:b/>
                <w:color w:val="000000"/>
              </w:rPr>
            </w:pPr>
            <w:r w:rsidRPr="00734AB6">
              <w:rPr>
                <w:rFonts w:asciiTheme="majorHAnsi" w:hAnsiTheme="majorHAnsi" w:cs="Arial"/>
                <w:b/>
                <w:color w:val="000000"/>
              </w:rPr>
              <w:t>Yes, part-time paid</w:t>
            </w:r>
          </w:p>
        </w:tc>
        <w:tc>
          <w:tcPr>
            <w:tcW w:w="2717" w:type="dxa"/>
          </w:tcPr>
          <w:p w14:paraId="71EE5422" w14:textId="77777777" w:rsidR="004676EF" w:rsidRPr="00734AB6" w:rsidRDefault="004676EF" w:rsidP="005A1A41">
            <w:pPr>
              <w:spacing w:before="240" w:after="0" w:line="276" w:lineRule="auto"/>
              <w:rPr>
                <w:rFonts w:asciiTheme="majorHAnsi" w:hAnsiTheme="majorHAnsi" w:cs="Arial"/>
                <w:color w:val="000000"/>
              </w:rPr>
            </w:pPr>
          </w:p>
        </w:tc>
      </w:tr>
      <w:tr w:rsidR="004676EF" w:rsidRPr="00734AB6" w14:paraId="603F8FA5" w14:textId="77777777" w:rsidTr="004676EF">
        <w:tc>
          <w:tcPr>
            <w:tcW w:w="4508" w:type="dxa"/>
          </w:tcPr>
          <w:p w14:paraId="3294516B" w14:textId="77777777" w:rsidR="004676EF" w:rsidRPr="00734AB6" w:rsidRDefault="004676EF" w:rsidP="005A1A41">
            <w:pPr>
              <w:spacing w:before="240" w:after="0" w:line="276" w:lineRule="auto"/>
              <w:rPr>
                <w:rFonts w:asciiTheme="majorHAnsi" w:hAnsiTheme="majorHAnsi" w:cs="Arial"/>
                <w:b/>
                <w:color w:val="000000"/>
              </w:rPr>
            </w:pPr>
            <w:r w:rsidRPr="00734AB6">
              <w:rPr>
                <w:rFonts w:asciiTheme="majorHAnsi" w:hAnsiTheme="majorHAnsi" w:cs="Arial"/>
                <w:b/>
                <w:color w:val="000000"/>
              </w:rPr>
              <w:t>Yes, full-time voluntary</w:t>
            </w:r>
          </w:p>
        </w:tc>
        <w:tc>
          <w:tcPr>
            <w:tcW w:w="2717" w:type="dxa"/>
          </w:tcPr>
          <w:p w14:paraId="7F043A5A" w14:textId="77777777" w:rsidR="004676EF" w:rsidRPr="00734AB6" w:rsidRDefault="004676EF" w:rsidP="005A1A41">
            <w:pPr>
              <w:spacing w:before="240" w:after="0" w:line="276" w:lineRule="auto"/>
              <w:rPr>
                <w:rFonts w:asciiTheme="majorHAnsi" w:hAnsiTheme="majorHAnsi" w:cs="Arial"/>
                <w:color w:val="000000"/>
              </w:rPr>
            </w:pPr>
          </w:p>
        </w:tc>
      </w:tr>
      <w:tr w:rsidR="004676EF" w:rsidRPr="00734AB6" w14:paraId="7DE24202" w14:textId="77777777" w:rsidTr="004676EF">
        <w:tc>
          <w:tcPr>
            <w:tcW w:w="4508" w:type="dxa"/>
          </w:tcPr>
          <w:p w14:paraId="01769E03" w14:textId="77777777" w:rsidR="004676EF" w:rsidRPr="00734AB6" w:rsidRDefault="004676EF" w:rsidP="005A1A41">
            <w:pPr>
              <w:spacing w:before="240" w:after="0" w:line="276" w:lineRule="auto"/>
              <w:rPr>
                <w:rFonts w:asciiTheme="majorHAnsi" w:hAnsiTheme="majorHAnsi" w:cs="Arial"/>
                <w:b/>
                <w:color w:val="000000"/>
              </w:rPr>
            </w:pPr>
            <w:r w:rsidRPr="00734AB6">
              <w:rPr>
                <w:rFonts w:asciiTheme="majorHAnsi" w:hAnsiTheme="majorHAnsi" w:cs="Arial"/>
                <w:b/>
                <w:color w:val="000000"/>
              </w:rPr>
              <w:t xml:space="preserve">Yes, part-time voluntary  </w:t>
            </w:r>
          </w:p>
        </w:tc>
        <w:tc>
          <w:tcPr>
            <w:tcW w:w="2717" w:type="dxa"/>
          </w:tcPr>
          <w:p w14:paraId="3E98903D" w14:textId="77777777" w:rsidR="004676EF" w:rsidRPr="00734AB6" w:rsidRDefault="004676EF" w:rsidP="005A1A41">
            <w:pPr>
              <w:spacing w:before="240" w:after="0" w:line="276" w:lineRule="auto"/>
              <w:rPr>
                <w:rFonts w:asciiTheme="majorHAnsi" w:hAnsiTheme="majorHAnsi" w:cs="Arial"/>
                <w:color w:val="000000"/>
              </w:rPr>
            </w:pPr>
          </w:p>
        </w:tc>
      </w:tr>
      <w:tr w:rsidR="004676EF" w:rsidRPr="00734AB6" w14:paraId="3AEECA60" w14:textId="77777777" w:rsidTr="004676EF">
        <w:tc>
          <w:tcPr>
            <w:tcW w:w="4508" w:type="dxa"/>
          </w:tcPr>
          <w:p w14:paraId="6C0B47D3" w14:textId="77777777" w:rsidR="004676EF" w:rsidRPr="00734AB6" w:rsidRDefault="004676EF" w:rsidP="005A1A41">
            <w:pPr>
              <w:spacing w:before="240" w:after="0" w:line="276" w:lineRule="auto"/>
              <w:rPr>
                <w:rFonts w:asciiTheme="majorHAnsi" w:hAnsiTheme="majorHAnsi" w:cs="Arial"/>
                <w:b/>
                <w:color w:val="000000"/>
              </w:rPr>
            </w:pPr>
            <w:r w:rsidRPr="00734AB6">
              <w:rPr>
                <w:rFonts w:asciiTheme="majorHAnsi" w:hAnsiTheme="majorHAnsi" w:cs="Arial"/>
                <w:b/>
                <w:color w:val="000000"/>
              </w:rPr>
              <w:t>No</w:t>
            </w:r>
          </w:p>
        </w:tc>
        <w:tc>
          <w:tcPr>
            <w:tcW w:w="2717" w:type="dxa"/>
          </w:tcPr>
          <w:p w14:paraId="07CF68A9" w14:textId="77777777" w:rsidR="004676EF" w:rsidRPr="00734AB6" w:rsidRDefault="004676EF" w:rsidP="005A1A41">
            <w:pPr>
              <w:spacing w:before="240" w:after="0" w:line="276" w:lineRule="auto"/>
              <w:rPr>
                <w:rFonts w:asciiTheme="majorHAnsi" w:hAnsiTheme="majorHAnsi" w:cs="Arial"/>
                <w:color w:val="000000"/>
              </w:rPr>
            </w:pPr>
          </w:p>
        </w:tc>
      </w:tr>
    </w:tbl>
    <w:p w14:paraId="75D69A71" w14:textId="77777777" w:rsidR="004676EF" w:rsidRPr="00734AB6" w:rsidRDefault="004676EF" w:rsidP="005A1A41">
      <w:pPr>
        <w:spacing w:before="240" w:after="0" w:line="276" w:lineRule="auto"/>
        <w:rPr>
          <w:rFonts w:asciiTheme="majorHAnsi" w:hAnsiTheme="majorHAnsi" w:cs="Arial"/>
          <w:color w:val="000000"/>
        </w:rPr>
      </w:pPr>
    </w:p>
    <w:p w14:paraId="44EFCB86" w14:textId="77777777" w:rsidR="004676EF" w:rsidRPr="00734AB6" w:rsidRDefault="004676EF" w:rsidP="005A1A41">
      <w:pPr>
        <w:spacing w:before="240" w:after="0" w:line="276" w:lineRule="auto"/>
        <w:rPr>
          <w:rFonts w:asciiTheme="majorHAnsi" w:hAnsiTheme="majorHAnsi" w:cs="Arial"/>
          <w:color w:val="0070C0"/>
        </w:rPr>
      </w:pPr>
      <w:r w:rsidRPr="00734AB6">
        <w:rPr>
          <w:rFonts w:asciiTheme="majorHAnsi" w:hAnsiTheme="majorHAnsi" w:cs="Arial"/>
          <w:b/>
          <w:color w:val="000000"/>
        </w:rPr>
        <w:t xml:space="preserve">If in employment, please state your job title or </w:t>
      </w:r>
      <w:r w:rsidRPr="00734AB6">
        <w:rPr>
          <w:rFonts w:asciiTheme="majorHAnsi" w:hAnsiTheme="majorHAnsi" w:cs="Arial"/>
          <w:b/>
        </w:rPr>
        <w:t>role</w:t>
      </w:r>
      <w:r w:rsidRPr="00734AB6">
        <w:rPr>
          <w:rFonts w:asciiTheme="majorHAnsi" w:hAnsiTheme="majorHAnsi" w:cs="Arial"/>
        </w:rPr>
        <w:t xml:space="preserve"> ______________________________</w:t>
      </w:r>
    </w:p>
    <w:p w14:paraId="6EDCB4FB" w14:textId="77777777" w:rsidR="005A1A41" w:rsidRPr="00734AB6" w:rsidRDefault="005A1A41" w:rsidP="005A1A41">
      <w:pPr>
        <w:spacing w:after="0" w:line="276" w:lineRule="auto"/>
        <w:rPr>
          <w:rFonts w:asciiTheme="majorHAnsi" w:hAnsiTheme="majorHAnsi" w:cs="Arial"/>
          <w:b/>
        </w:rPr>
      </w:pPr>
    </w:p>
    <w:p w14:paraId="7837517C" w14:textId="77777777" w:rsidR="004676EF" w:rsidRPr="00734AB6" w:rsidRDefault="004676EF" w:rsidP="005A1A41">
      <w:pPr>
        <w:spacing w:before="240" w:after="0" w:line="276" w:lineRule="auto"/>
        <w:rPr>
          <w:rFonts w:asciiTheme="majorHAnsi" w:hAnsiTheme="majorHAnsi" w:cs="Arial"/>
        </w:rPr>
      </w:pPr>
      <w:r w:rsidRPr="00734AB6">
        <w:rPr>
          <w:rFonts w:asciiTheme="majorHAnsi" w:hAnsiTheme="majorHAnsi" w:cs="Arial"/>
          <w:b/>
        </w:rPr>
        <w:t>Have you ever been diagnosed with a psychiatric condition?</w:t>
      </w:r>
      <w:r w:rsidRPr="00734AB6">
        <w:rPr>
          <w:rFonts w:asciiTheme="majorHAnsi" w:hAnsiTheme="majorHAnsi" w:cs="Arial"/>
        </w:rPr>
        <w:t xml:space="preserve">    </w:t>
      </w:r>
      <w:r w:rsidRPr="00734AB6">
        <w:rPr>
          <w:rFonts w:asciiTheme="majorHAnsi" w:hAnsiTheme="majorHAnsi" w:cs="Arial"/>
        </w:rPr>
        <w:tab/>
      </w:r>
      <w:r w:rsidRPr="00734AB6">
        <w:rPr>
          <w:rFonts w:asciiTheme="majorHAnsi" w:hAnsiTheme="majorHAnsi" w:cs="Arial"/>
          <w:b/>
        </w:rPr>
        <w:t xml:space="preserve">Yes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No </w:t>
      </w:r>
      <w:r w:rsidRPr="00734AB6">
        <w:rPr>
          <w:rFonts w:asciiTheme="majorHAnsi" w:hAnsiTheme="majorHAnsi" w:cs="Arial"/>
          <w:b/>
        </w:rPr>
        <w:sym w:font="Wingdings 2" w:char="F0A3"/>
      </w:r>
    </w:p>
    <w:p w14:paraId="7D3DF8F4" w14:textId="77777777" w:rsidR="004676EF" w:rsidRPr="00734AB6" w:rsidRDefault="004676EF" w:rsidP="005A1A41">
      <w:pPr>
        <w:spacing w:after="240" w:line="276" w:lineRule="auto"/>
        <w:rPr>
          <w:rFonts w:asciiTheme="majorHAnsi" w:hAnsiTheme="majorHAnsi" w:cs="Arial"/>
        </w:rPr>
      </w:pPr>
      <w:r w:rsidRPr="00734AB6">
        <w:rPr>
          <w:rFonts w:asciiTheme="majorHAnsi" w:hAnsiTheme="majorHAnsi" w:cs="Arial"/>
          <w:b/>
        </w:rPr>
        <w:t>What was the diagnosis?</w:t>
      </w:r>
      <w:r w:rsidRPr="00734AB6">
        <w:rPr>
          <w:rFonts w:asciiTheme="majorHAnsi" w:hAnsiTheme="majorHAnsi" w:cs="Arial"/>
        </w:rPr>
        <w:t xml:space="preserve">   ____________________________________________                                          </w:t>
      </w:r>
      <w:r w:rsidRPr="00734AB6">
        <w:rPr>
          <w:rFonts w:asciiTheme="majorHAnsi" w:hAnsiTheme="majorHAnsi" w:cs="Arial"/>
          <w:i/>
          <w:color w:val="0070C0"/>
        </w:rPr>
        <w:t xml:space="preserve">  </w:t>
      </w:r>
    </w:p>
    <w:p w14:paraId="4D84B308"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Have you ever been treated for a drug or alcohol-related problem?</w:t>
      </w:r>
      <w:r w:rsidRPr="00734AB6">
        <w:rPr>
          <w:rFonts w:asciiTheme="majorHAnsi" w:hAnsiTheme="majorHAnsi" w:cs="Arial"/>
        </w:rPr>
        <w:t xml:space="preserve"> </w:t>
      </w:r>
      <w:r w:rsidRPr="00734AB6">
        <w:rPr>
          <w:rFonts w:asciiTheme="majorHAnsi" w:hAnsiTheme="majorHAnsi" w:cs="Arial"/>
        </w:rPr>
        <w:tab/>
      </w:r>
      <w:r w:rsidRPr="00734AB6">
        <w:rPr>
          <w:rFonts w:asciiTheme="majorHAnsi" w:hAnsiTheme="majorHAnsi" w:cs="Arial"/>
          <w:b/>
        </w:rPr>
        <w:t xml:space="preserve">Yes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No </w:t>
      </w:r>
      <w:r w:rsidRPr="00734AB6">
        <w:rPr>
          <w:rFonts w:asciiTheme="majorHAnsi" w:hAnsiTheme="majorHAnsi" w:cs="Arial"/>
          <w:b/>
        </w:rPr>
        <w:sym w:font="Wingdings 2" w:char="F0A3"/>
      </w:r>
    </w:p>
    <w:p w14:paraId="76D526A0"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Have you ever taken cannabis?         </w:t>
      </w:r>
      <w:r w:rsidRPr="00734AB6">
        <w:rPr>
          <w:rFonts w:asciiTheme="majorHAnsi" w:hAnsiTheme="majorHAnsi" w:cs="Arial"/>
          <w:b/>
          <w:color w:val="0070C0"/>
        </w:rPr>
        <w:t xml:space="preserve"> </w:t>
      </w:r>
      <w:r w:rsidRPr="00734AB6">
        <w:rPr>
          <w:rFonts w:asciiTheme="majorHAnsi" w:hAnsiTheme="majorHAnsi" w:cs="Arial"/>
          <w:b/>
        </w:rPr>
        <w:t xml:space="preserve">Yes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No </w:t>
      </w:r>
      <w:r w:rsidRPr="00734AB6">
        <w:rPr>
          <w:rFonts w:asciiTheme="majorHAnsi" w:hAnsiTheme="majorHAnsi" w:cs="Arial"/>
          <w:b/>
        </w:rPr>
        <w:sym w:font="Wingdings 2" w:char="F0A3"/>
      </w:r>
    </w:p>
    <w:p w14:paraId="6A37B777"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Do you have a prescription for medicinal cannabis? </w:t>
      </w:r>
      <w:r w:rsidRPr="00734AB6">
        <w:rPr>
          <w:rFonts w:asciiTheme="majorHAnsi" w:hAnsiTheme="majorHAnsi" w:cs="Arial"/>
        </w:rPr>
        <w:t xml:space="preserve"> </w:t>
      </w:r>
      <w:r w:rsidRPr="00734AB6">
        <w:rPr>
          <w:rFonts w:asciiTheme="majorHAnsi" w:hAnsiTheme="majorHAnsi" w:cs="Arial"/>
        </w:rPr>
        <w:tab/>
      </w:r>
      <w:r w:rsidRPr="00734AB6">
        <w:rPr>
          <w:rFonts w:asciiTheme="majorHAnsi" w:hAnsiTheme="majorHAnsi" w:cs="Arial"/>
          <w:b/>
        </w:rPr>
        <w:t xml:space="preserve">Yes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No </w:t>
      </w:r>
      <w:r w:rsidRPr="00734AB6">
        <w:rPr>
          <w:rFonts w:asciiTheme="majorHAnsi" w:hAnsiTheme="majorHAnsi" w:cs="Arial"/>
          <w:b/>
        </w:rPr>
        <w:sym w:font="Wingdings 2" w:char="F0A3"/>
      </w:r>
    </w:p>
    <w:p w14:paraId="76864D6F" w14:textId="77777777" w:rsidR="004676EF" w:rsidRPr="00734AB6" w:rsidRDefault="004676EF" w:rsidP="005A1A41">
      <w:pPr>
        <w:spacing w:before="240" w:after="240" w:line="276" w:lineRule="auto"/>
        <w:rPr>
          <w:rFonts w:asciiTheme="majorHAnsi" w:hAnsiTheme="majorHAnsi" w:cs="Arial"/>
        </w:rPr>
      </w:pPr>
      <w:r w:rsidRPr="00734AB6">
        <w:rPr>
          <w:rFonts w:asciiTheme="majorHAnsi" w:hAnsiTheme="majorHAnsi" w:cs="Arial"/>
          <w:b/>
        </w:rPr>
        <w:t>What age were you when you first took cannabis?</w:t>
      </w:r>
      <w:r w:rsidRPr="00734AB6">
        <w:rPr>
          <w:rFonts w:asciiTheme="majorHAnsi" w:hAnsiTheme="majorHAnsi" w:cs="Arial"/>
        </w:rPr>
        <w:t xml:space="preserve">  ___________</w:t>
      </w:r>
      <w:r w:rsidRPr="00734AB6">
        <w:rPr>
          <w:rFonts w:asciiTheme="majorHAnsi" w:hAnsiTheme="majorHAnsi" w:cs="Arial"/>
        </w:rPr>
        <w:tab/>
      </w:r>
      <w:r w:rsidRPr="00734AB6">
        <w:rPr>
          <w:rFonts w:asciiTheme="majorHAnsi" w:hAnsiTheme="majorHAnsi" w:cs="Arial"/>
        </w:rPr>
        <w:tab/>
      </w:r>
      <w:r w:rsidRPr="00734AB6">
        <w:rPr>
          <w:rFonts w:asciiTheme="majorHAnsi" w:hAnsiTheme="majorHAnsi" w:cs="Arial"/>
        </w:rPr>
        <w:tab/>
      </w:r>
    </w:p>
    <w:p w14:paraId="1955892C"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b/>
        </w:rPr>
        <w:t>In the past six months, how regularly have you taken cannabis?</w:t>
      </w:r>
      <w:r w:rsidRPr="00734AB6">
        <w:rPr>
          <w:rFonts w:asciiTheme="majorHAnsi" w:hAnsiTheme="majorHAnsi" w:cs="Arial"/>
        </w:rPr>
        <w:t xml:space="preserve"> </w:t>
      </w:r>
    </w:p>
    <w:p w14:paraId="017C1B8E" w14:textId="77777777" w:rsidR="004676EF" w:rsidRPr="00734AB6" w:rsidRDefault="004676EF" w:rsidP="005A1A41">
      <w:pPr>
        <w:spacing w:before="240" w:after="240" w:line="276" w:lineRule="auto"/>
        <w:rPr>
          <w:rFonts w:asciiTheme="majorHAnsi" w:hAnsiTheme="majorHAnsi" w:cs="Arial"/>
        </w:rPr>
      </w:pPr>
      <w:r w:rsidRPr="00734AB6">
        <w:rPr>
          <w:rFonts w:asciiTheme="majorHAnsi" w:hAnsiTheme="majorHAnsi" w:cs="Arial"/>
        </w:rPr>
        <w:t>(</w:t>
      </w:r>
      <w:r w:rsidRPr="00734AB6">
        <w:rPr>
          <w:rFonts w:asciiTheme="majorHAnsi" w:hAnsiTheme="majorHAnsi" w:cs="Arial"/>
          <w:i/>
        </w:rPr>
        <w:t>please tick the appropriate box</w:t>
      </w:r>
      <w:r w:rsidRPr="00734AB6">
        <w:rPr>
          <w:rFonts w:asciiTheme="majorHAnsi" w:hAnsiTheme="majorHAnsi" w:cs="Arial"/>
        </w:rPr>
        <w:t>)</w:t>
      </w:r>
    </w:p>
    <w:tbl>
      <w:tblPr>
        <w:tblW w:w="0" w:type="auto"/>
        <w:tblLook w:val="04A0" w:firstRow="1" w:lastRow="0" w:firstColumn="1" w:lastColumn="0" w:noHBand="0" w:noVBand="1"/>
      </w:tblPr>
      <w:tblGrid>
        <w:gridCol w:w="3964"/>
        <w:gridCol w:w="1701"/>
      </w:tblGrid>
      <w:tr w:rsidR="004676EF" w:rsidRPr="00734AB6" w14:paraId="4BD6276A" w14:textId="77777777" w:rsidTr="004676EF">
        <w:tc>
          <w:tcPr>
            <w:tcW w:w="3964" w:type="dxa"/>
          </w:tcPr>
          <w:p w14:paraId="1139BD67"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Every day/almost every day</w:t>
            </w:r>
          </w:p>
        </w:tc>
        <w:tc>
          <w:tcPr>
            <w:tcW w:w="1701" w:type="dxa"/>
          </w:tcPr>
          <w:p w14:paraId="6F23CF57" w14:textId="77777777" w:rsidR="004676EF" w:rsidRPr="00734AB6" w:rsidRDefault="004676EF" w:rsidP="005A1A41">
            <w:pPr>
              <w:spacing w:before="240" w:after="0" w:line="276" w:lineRule="auto"/>
              <w:rPr>
                <w:rFonts w:asciiTheme="majorHAnsi" w:hAnsiTheme="majorHAnsi" w:cs="Arial"/>
              </w:rPr>
            </w:pPr>
          </w:p>
        </w:tc>
      </w:tr>
      <w:tr w:rsidR="004676EF" w:rsidRPr="00734AB6" w14:paraId="4D02E6D9" w14:textId="77777777" w:rsidTr="004676EF">
        <w:tc>
          <w:tcPr>
            <w:tcW w:w="3964" w:type="dxa"/>
          </w:tcPr>
          <w:p w14:paraId="71B2F7D4"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3-4 times per week</w:t>
            </w:r>
          </w:p>
        </w:tc>
        <w:tc>
          <w:tcPr>
            <w:tcW w:w="1701" w:type="dxa"/>
          </w:tcPr>
          <w:p w14:paraId="79DA768D" w14:textId="77777777" w:rsidR="004676EF" w:rsidRPr="00734AB6" w:rsidRDefault="004676EF" w:rsidP="005A1A41">
            <w:pPr>
              <w:spacing w:before="240" w:after="0" w:line="276" w:lineRule="auto"/>
              <w:rPr>
                <w:rFonts w:asciiTheme="majorHAnsi" w:hAnsiTheme="majorHAnsi" w:cs="Arial"/>
              </w:rPr>
            </w:pPr>
          </w:p>
        </w:tc>
      </w:tr>
      <w:tr w:rsidR="004676EF" w:rsidRPr="00734AB6" w14:paraId="0620081E" w14:textId="77777777" w:rsidTr="004676EF">
        <w:tc>
          <w:tcPr>
            <w:tcW w:w="3964" w:type="dxa"/>
          </w:tcPr>
          <w:p w14:paraId="035EF4C4"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Once per week</w:t>
            </w:r>
          </w:p>
        </w:tc>
        <w:tc>
          <w:tcPr>
            <w:tcW w:w="1701" w:type="dxa"/>
          </w:tcPr>
          <w:p w14:paraId="6CE0C630" w14:textId="77777777" w:rsidR="004676EF" w:rsidRPr="00734AB6" w:rsidRDefault="004676EF" w:rsidP="005A1A41">
            <w:pPr>
              <w:spacing w:before="240" w:after="0" w:line="276" w:lineRule="auto"/>
              <w:rPr>
                <w:rFonts w:asciiTheme="majorHAnsi" w:hAnsiTheme="majorHAnsi" w:cs="Arial"/>
              </w:rPr>
            </w:pPr>
          </w:p>
        </w:tc>
      </w:tr>
      <w:tr w:rsidR="004676EF" w:rsidRPr="00734AB6" w14:paraId="345E0407" w14:textId="77777777" w:rsidTr="004676EF">
        <w:tc>
          <w:tcPr>
            <w:tcW w:w="3964" w:type="dxa"/>
          </w:tcPr>
          <w:p w14:paraId="15E410F0"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1-2 times per month</w:t>
            </w:r>
          </w:p>
        </w:tc>
        <w:tc>
          <w:tcPr>
            <w:tcW w:w="1701" w:type="dxa"/>
          </w:tcPr>
          <w:p w14:paraId="696A76D7" w14:textId="77777777" w:rsidR="004676EF" w:rsidRPr="00734AB6" w:rsidRDefault="004676EF" w:rsidP="005A1A41">
            <w:pPr>
              <w:spacing w:before="240" w:after="0" w:line="276" w:lineRule="auto"/>
              <w:rPr>
                <w:rFonts w:asciiTheme="majorHAnsi" w:hAnsiTheme="majorHAnsi" w:cs="Arial"/>
              </w:rPr>
            </w:pPr>
          </w:p>
        </w:tc>
      </w:tr>
      <w:tr w:rsidR="004676EF" w:rsidRPr="00734AB6" w14:paraId="4FD1F1AB" w14:textId="77777777" w:rsidTr="004676EF">
        <w:tc>
          <w:tcPr>
            <w:tcW w:w="3964" w:type="dxa"/>
          </w:tcPr>
          <w:p w14:paraId="15CD45EE"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Up to 3 times in total</w:t>
            </w:r>
          </w:p>
        </w:tc>
        <w:tc>
          <w:tcPr>
            <w:tcW w:w="1701" w:type="dxa"/>
          </w:tcPr>
          <w:p w14:paraId="7F007693" w14:textId="77777777" w:rsidR="004676EF" w:rsidRPr="00734AB6" w:rsidRDefault="004676EF" w:rsidP="005A1A41">
            <w:pPr>
              <w:spacing w:before="240" w:after="0" w:line="276" w:lineRule="auto"/>
              <w:rPr>
                <w:rFonts w:asciiTheme="majorHAnsi" w:hAnsiTheme="majorHAnsi" w:cs="Arial"/>
              </w:rPr>
            </w:pPr>
          </w:p>
        </w:tc>
      </w:tr>
      <w:tr w:rsidR="004676EF" w:rsidRPr="00734AB6" w14:paraId="76674045" w14:textId="77777777" w:rsidTr="004676EF">
        <w:tc>
          <w:tcPr>
            <w:tcW w:w="3964" w:type="dxa"/>
          </w:tcPr>
          <w:p w14:paraId="44310829"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None</w:t>
            </w:r>
          </w:p>
        </w:tc>
        <w:tc>
          <w:tcPr>
            <w:tcW w:w="1701" w:type="dxa"/>
          </w:tcPr>
          <w:p w14:paraId="2812DAF9" w14:textId="77777777" w:rsidR="004676EF" w:rsidRPr="00734AB6" w:rsidRDefault="004676EF" w:rsidP="005A1A41">
            <w:pPr>
              <w:spacing w:before="240" w:after="0" w:line="276" w:lineRule="auto"/>
              <w:rPr>
                <w:rFonts w:asciiTheme="majorHAnsi" w:hAnsiTheme="majorHAnsi" w:cs="Arial"/>
              </w:rPr>
            </w:pPr>
          </w:p>
        </w:tc>
      </w:tr>
    </w:tbl>
    <w:p w14:paraId="721991A5"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MODAFINIL</w:t>
      </w:r>
    </w:p>
    <w:p w14:paraId="59F56D70" w14:textId="77777777" w:rsidR="004676EF" w:rsidRPr="00734AB6" w:rsidRDefault="004676EF" w:rsidP="005A1A41">
      <w:pPr>
        <w:spacing w:before="240" w:after="240" w:line="276" w:lineRule="auto"/>
        <w:rPr>
          <w:rFonts w:asciiTheme="majorHAnsi" w:hAnsiTheme="majorHAnsi" w:cs="Arial"/>
        </w:rPr>
      </w:pPr>
      <w:r w:rsidRPr="00734AB6">
        <w:rPr>
          <w:rFonts w:asciiTheme="majorHAnsi" w:hAnsiTheme="majorHAnsi" w:cs="Arial"/>
          <w:b/>
        </w:rPr>
        <w:t xml:space="preserve">Are you aware of the cognitive enhancing drug, Modafinil (Provigil, </w:t>
      </w:r>
      <w:proofErr w:type="spellStart"/>
      <w:r w:rsidRPr="00734AB6">
        <w:rPr>
          <w:rFonts w:asciiTheme="majorHAnsi" w:hAnsiTheme="majorHAnsi" w:cs="Arial"/>
          <w:b/>
        </w:rPr>
        <w:t>Modalert</w:t>
      </w:r>
      <w:proofErr w:type="spellEnd"/>
      <w:r w:rsidRPr="00734AB6">
        <w:rPr>
          <w:rFonts w:asciiTheme="majorHAnsi" w:hAnsiTheme="majorHAnsi" w:cs="Arial"/>
          <w:b/>
        </w:rPr>
        <w:t xml:space="preserve">)?  Yes </w:t>
      </w:r>
      <w:r w:rsidRPr="00734AB6">
        <w:rPr>
          <w:rFonts w:asciiTheme="majorHAnsi" w:hAnsiTheme="majorHAnsi" w:cs="Arial"/>
        </w:rPr>
        <w:sym w:font="Wingdings 2" w:char="F0A3"/>
      </w:r>
      <w:r w:rsidRPr="00734AB6">
        <w:rPr>
          <w:rFonts w:asciiTheme="majorHAnsi" w:hAnsiTheme="majorHAnsi" w:cs="Arial"/>
        </w:rPr>
        <w:t xml:space="preserve">    </w:t>
      </w:r>
      <w:r w:rsidRPr="00734AB6">
        <w:rPr>
          <w:rFonts w:asciiTheme="majorHAnsi" w:hAnsiTheme="majorHAnsi" w:cs="Arial"/>
          <w:b/>
        </w:rPr>
        <w:t xml:space="preserve">  No</w:t>
      </w:r>
      <w:r w:rsidRPr="00734AB6">
        <w:rPr>
          <w:rFonts w:asciiTheme="majorHAnsi" w:hAnsiTheme="majorHAnsi" w:cs="Arial"/>
        </w:rPr>
        <w:t xml:space="preserve"> </w:t>
      </w:r>
      <w:r w:rsidRPr="00734AB6">
        <w:rPr>
          <w:rFonts w:asciiTheme="majorHAnsi" w:hAnsiTheme="majorHAnsi" w:cs="Arial"/>
        </w:rPr>
        <w:sym w:font="Wingdings 2" w:char="F0A3"/>
      </w:r>
      <w:r w:rsidRPr="00734AB6">
        <w:rPr>
          <w:rFonts w:asciiTheme="majorHAnsi" w:hAnsiTheme="majorHAnsi" w:cs="Arial"/>
        </w:rPr>
        <w:t xml:space="preserve">      </w:t>
      </w:r>
    </w:p>
    <w:p w14:paraId="37743D53"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Have you ever taken it?  Yes </w:t>
      </w:r>
      <w:r w:rsidRPr="00734AB6">
        <w:rPr>
          <w:rFonts w:asciiTheme="majorHAnsi" w:hAnsiTheme="majorHAnsi" w:cs="Arial"/>
          <w:b/>
        </w:rPr>
        <w:sym w:font="Wingdings 2" w:char="F0A3"/>
      </w:r>
      <w:r w:rsidRPr="00734AB6">
        <w:rPr>
          <w:rFonts w:asciiTheme="majorHAnsi" w:hAnsiTheme="majorHAnsi" w:cs="Arial"/>
          <w:b/>
        </w:rPr>
        <w:t xml:space="preserve">        No  </w:t>
      </w:r>
      <w:r w:rsidRPr="00734AB6">
        <w:rPr>
          <w:rFonts w:asciiTheme="majorHAnsi" w:hAnsiTheme="majorHAnsi" w:cs="Arial"/>
          <w:b/>
        </w:rPr>
        <w:sym w:font="Wingdings 2" w:char="F0A3"/>
      </w:r>
      <w:r w:rsidRPr="00734AB6">
        <w:rPr>
          <w:rFonts w:asciiTheme="majorHAnsi" w:hAnsiTheme="majorHAnsi" w:cs="Arial"/>
          <w:b/>
        </w:rPr>
        <w:t xml:space="preserve">     </w:t>
      </w:r>
    </w:p>
    <w:p w14:paraId="0161789D"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Have you been prescribed Modafinil?   Yes </w:t>
      </w:r>
      <w:r w:rsidRPr="00734AB6">
        <w:rPr>
          <w:rFonts w:asciiTheme="majorHAnsi" w:hAnsiTheme="majorHAnsi" w:cs="Arial"/>
          <w:b/>
        </w:rPr>
        <w:sym w:font="Wingdings 2" w:char="F0A3"/>
      </w:r>
      <w:r w:rsidRPr="00734AB6">
        <w:rPr>
          <w:rFonts w:asciiTheme="majorHAnsi" w:hAnsiTheme="majorHAnsi" w:cs="Arial"/>
          <w:b/>
        </w:rPr>
        <w:t xml:space="preserve">        No </w:t>
      </w:r>
      <w:r w:rsidRPr="00734AB6">
        <w:rPr>
          <w:rFonts w:asciiTheme="majorHAnsi" w:hAnsiTheme="majorHAnsi" w:cs="Arial"/>
          <w:b/>
        </w:rPr>
        <w:sym w:font="Wingdings 2" w:char="F0A3"/>
      </w:r>
      <w:r w:rsidRPr="00734AB6">
        <w:rPr>
          <w:rFonts w:asciiTheme="majorHAnsi" w:hAnsiTheme="majorHAnsi" w:cs="Arial"/>
          <w:b/>
        </w:rPr>
        <w:t xml:space="preserve">    </w:t>
      </w:r>
    </w:p>
    <w:p w14:paraId="135CE240"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lastRenderedPageBreak/>
        <w:t>What age were you when you first took Modafinil? _______________</w:t>
      </w:r>
    </w:p>
    <w:p w14:paraId="6D60621A" w14:textId="77777777" w:rsidR="004676EF" w:rsidRPr="00734AB6" w:rsidRDefault="004676EF" w:rsidP="005A1A41">
      <w:pPr>
        <w:spacing w:before="240" w:after="240" w:line="276" w:lineRule="auto"/>
        <w:rPr>
          <w:rFonts w:asciiTheme="majorHAnsi" w:hAnsiTheme="majorHAnsi" w:cs="Arial"/>
        </w:rPr>
      </w:pPr>
      <w:r w:rsidRPr="00734AB6">
        <w:rPr>
          <w:rFonts w:asciiTheme="majorHAnsi" w:hAnsiTheme="majorHAnsi" w:cs="Arial"/>
          <w:b/>
        </w:rPr>
        <w:t>In the past six months, how regularly have you taken Modafinil?</w:t>
      </w:r>
      <w:r w:rsidRPr="00734AB6">
        <w:rPr>
          <w:rFonts w:asciiTheme="majorHAnsi" w:hAnsiTheme="majorHAnsi" w:cs="Arial"/>
        </w:rPr>
        <w:t xml:space="preserve">  </w:t>
      </w:r>
    </w:p>
    <w:p w14:paraId="25A07546" w14:textId="77777777" w:rsidR="004676EF" w:rsidRPr="00734AB6" w:rsidRDefault="004676EF" w:rsidP="005A1A41">
      <w:pPr>
        <w:spacing w:before="240" w:after="0" w:line="276" w:lineRule="auto"/>
        <w:rPr>
          <w:rFonts w:asciiTheme="majorHAnsi" w:hAnsiTheme="majorHAnsi" w:cs="Arial"/>
        </w:rPr>
      </w:pPr>
      <w:r w:rsidRPr="00734AB6">
        <w:rPr>
          <w:rFonts w:asciiTheme="majorHAnsi" w:hAnsiTheme="majorHAnsi" w:cs="Arial"/>
        </w:rPr>
        <w:t>(</w:t>
      </w:r>
      <w:r w:rsidRPr="00734AB6">
        <w:rPr>
          <w:rFonts w:asciiTheme="majorHAnsi" w:hAnsiTheme="majorHAnsi" w:cs="Arial"/>
          <w:i/>
        </w:rPr>
        <w:t>please tick the appropriate box</w:t>
      </w:r>
      <w:r w:rsidRPr="00734AB6">
        <w:rPr>
          <w:rFonts w:asciiTheme="majorHAnsi" w:hAnsiTheme="majorHAnsi" w:cs="Arial"/>
        </w:rPr>
        <w:t>)</w:t>
      </w:r>
    </w:p>
    <w:tbl>
      <w:tblPr>
        <w:tblW w:w="0" w:type="auto"/>
        <w:tblLook w:val="04A0" w:firstRow="1" w:lastRow="0" w:firstColumn="1" w:lastColumn="0" w:noHBand="0" w:noVBand="1"/>
      </w:tblPr>
      <w:tblGrid>
        <w:gridCol w:w="3964"/>
        <w:gridCol w:w="1701"/>
      </w:tblGrid>
      <w:tr w:rsidR="004676EF" w:rsidRPr="00734AB6" w14:paraId="107BA499" w14:textId="77777777" w:rsidTr="004676EF">
        <w:tc>
          <w:tcPr>
            <w:tcW w:w="3964" w:type="dxa"/>
          </w:tcPr>
          <w:p w14:paraId="17BFB701"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Every day/almost every day</w:t>
            </w:r>
          </w:p>
        </w:tc>
        <w:tc>
          <w:tcPr>
            <w:tcW w:w="1701" w:type="dxa"/>
          </w:tcPr>
          <w:p w14:paraId="30DC5A29" w14:textId="77777777" w:rsidR="004676EF" w:rsidRPr="00734AB6" w:rsidRDefault="004676EF" w:rsidP="005A1A41">
            <w:pPr>
              <w:spacing w:before="240" w:after="0" w:line="276" w:lineRule="auto"/>
              <w:rPr>
                <w:rFonts w:asciiTheme="majorHAnsi" w:hAnsiTheme="majorHAnsi" w:cs="Arial"/>
              </w:rPr>
            </w:pPr>
          </w:p>
        </w:tc>
      </w:tr>
      <w:tr w:rsidR="004676EF" w:rsidRPr="00734AB6" w14:paraId="2F53CE80" w14:textId="77777777" w:rsidTr="004676EF">
        <w:tc>
          <w:tcPr>
            <w:tcW w:w="3964" w:type="dxa"/>
          </w:tcPr>
          <w:p w14:paraId="726642EB"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3-4 times per week</w:t>
            </w:r>
          </w:p>
        </w:tc>
        <w:tc>
          <w:tcPr>
            <w:tcW w:w="1701" w:type="dxa"/>
          </w:tcPr>
          <w:p w14:paraId="58221A32" w14:textId="77777777" w:rsidR="004676EF" w:rsidRPr="00734AB6" w:rsidRDefault="004676EF" w:rsidP="005A1A41">
            <w:pPr>
              <w:spacing w:before="240" w:after="0" w:line="276" w:lineRule="auto"/>
              <w:rPr>
                <w:rFonts w:asciiTheme="majorHAnsi" w:hAnsiTheme="majorHAnsi" w:cs="Arial"/>
              </w:rPr>
            </w:pPr>
          </w:p>
        </w:tc>
      </w:tr>
      <w:tr w:rsidR="004676EF" w:rsidRPr="00734AB6" w14:paraId="0956C1CA" w14:textId="77777777" w:rsidTr="004676EF">
        <w:tc>
          <w:tcPr>
            <w:tcW w:w="3964" w:type="dxa"/>
          </w:tcPr>
          <w:p w14:paraId="3D25D247"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Once per week</w:t>
            </w:r>
          </w:p>
        </w:tc>
        <w:tc>
          <w:tcPr>
            <w:tcW w:w="1701" w:type="dxa"/>
          </w:tcPr>
          <w:p w14:paraId="6F00B619" w14:textId="77777777" w:rsidR="004676EF" w:rsidRPr="00734AB6" w:rsidRDefault="004676EF" w:rsidP="005A1A41">
            <w:pPr>
              <w:spacing w:before="240" w:after="0" w:line="276" w:lineRule="auto"/>
              <w:rPr>
                <w:rFonts w:asciiTheme="majorHAnsi" w:hAnsiTheme="majorHAnsi" w:cs="Arial"/>
              </w:rPr>
            </w:pPr>
          </w:p>
        </w:tc>
      </w:tr>
      <w:tr w:rsidR="004676EF" w:rsidRPr="00734AB6" w14:paraId="76849B9C" w14:textId="77777777" w:rsidTr="004676EF">
        <w:tc>
          <w:tcPr>
            <w:tcW w:w="3964" w:type="dxa"/>
          </w:tcPr>
          <w:p w14:paraId="60551AA7"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1-2 times per month</w:t>
            </w:r>
          </w:p>
        </w:tc>
        <w:tc>
          <w:tcPr>
            <w:tcW w:w="1701" w:type="dxa"/>
          </w:tcPr>
          <w:p w14:paraId="3BEC6251" w14:textId="77777777" w:rsidR="004676EF" w:rsidRPr="00734AB6" w:rsidRDefault="004676EF" w:rsidP="005A1A41">
            <w:pPr>
              <w:spacing w:before="240" w:after="0" w:line="276" w:lineRule="auto"/>
              <w:rPr>
                <w:rFonts w:asciiTheme="majorHAnsi" w:hAnsiTheme="majorHAnsi" w:cs="Arial"/>
              </w:rPr>
            </w:pPr>
          </w:p>
        </w:tc>
      </w:tr>
      <w:tr w:rsidR="004676EF" w:rsidRPr="00734AB6" w14:paraId="59477BB0" w14:textId="77777777" w:rsidTr="004676EF">
        <w:tc>
          <w:tcPr>
            <w:tcW w:w="3964" w:type="dxa"/>
          </w:tcPr>
          <w:p w14:paraId="585295DF"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Up to 3 times in total</w:t>
            </w:r>
          </w:p>
        </w:tc>
        <w:tc>
          <w:tcPr>
            <w:tcW w:w="1701" w:type="dxa"/>
          </w:tcPr>
          <w:p w14:paraId="734C82EC" w14:textId="77777777" w:rsidR="004676EF" w:rsidRPr="00734AB6" w:rsidRDefault="004676EF" w:rsidP="005A1A41">
            <w:pPr>
              <w:spacing w:before="240" w:after="0" w:line="276" w:lineRule="auto"/>
              <w:rPr>
                <w:rFonts w:asciiTheme="majorHAnsi" w:hAnsiTheme="majorHAnsi" w:cs="Arial"/>
              </w:rPr>
            </w:pPr>
          </w:p>
        </w:tc>
      </w:tr>
      <w:tr w:rsidR="004676EF" w:rsidRPr="00734AB6" w14:paraId="7F416A9F" w14:textId="77777777" w:rsidTr="004676EF">
        <w:tc>
          <w:tcPr>
            <w:tcW w:w="3964" w:type="dxa"/>
          </w:tcPr>
          <w:p w14:paraId="2660F4C4"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None</w:t>
            </w:r>
          </w:p>
        </w:tc>
        <w:tc>
          <w:tcPr>
            <w:tcW w:w="1701" w:type="dxa"/>
          </w:tcPr>
          <w:p w14:paraId="709AD745" w14:textId="77777777" w:rsidR="004676EF" w:rsidRPr="00734AB6" w:rsidRDefault="004676EF" w:rsidP="005A1A41">
            <w:pPr>
              <w:spacing w:before="240" w:after="0" w:line="276" w:lineRule="auto"/>
              <w:rPr>
                <w:rFonts w:asciiTheme="majorHAnsi" w:hAnsiTheme="majorHAnsi" w:cs="Arial"/>
              </w:rPr>
            </w:pPr>
          </w:p>
        </w:tc>
      </w:tr>
    </w:tbl>
    <w:p w14:paraId="0BA46002" w14:textId="77777777" w:rsidR="004676EF" w:rsidRPr="00734AB6" w:rsidRDefault="004676EF" w:rsidP="005A1A41">
      <w:pPr>
        <w:spacing w:before="240" w:after="240" w:line="276" w:lineRule="auto"/>
        <w:rPr>
          <w:rFonts w:asciiTheme="majorHAnsi" w:hAnsiTheme="majorHAnsi" w:cs="Arial"/>
        </w:rPr>
      </w:pPr>
      <w:r w:rsidRPr="00734AB6">
        <w:rPr>
          <w:rFonts w:asciiTheme="majorHAnsi" w:hAnsiTheme="majorHAnsi" w:cs="Arial"/>
          <w:b/>
        </w:rPr>
        <w:t>How do you take it?</w:t>
      </w:r>
      <w:r w:rsidRPr="00734AB6">
        <w:rPr>
          <w:rFonts w:asciiTheme="majorHAnsi" w:hAnsiTheme="majorHAnsi" w:cs="Arial"/>
        </w:rPr>
        <w:t xml:space="preserve"> (</w:t>
      </w:r>
      <w:r w:rsidRPr="00734AB6">
        <w:rPr>
          <w:rFonts w:asciiTheme="majorHAnsi" w:hAnsiTheme="majorHAnsi" w:cs="Arial"/>
          <w:i/>
        </w:rPr>
        <w:t>please tick the appropriate box</w:t>
      </w:r>
      <w:r w:rsidRPr="00734AB6">
        <w:rPr>
          <w:rFonts w:asciiTheme="majorHAnsi" w:hAnsiTheme="majorHAnsi" w:cs="Arial"/>
        </w:rPr>
        <w:t>)</w:t>
      </w:r>
    </w:p>
    <w:p w14:paraId="3C03E526"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Swallow pill </w:t>
      </w:r>
      <w:r w:rsidRPr="00734AB6">
        <w:rPr>
          <w:rFonts w:asciiTheme="majorHAnsi" w:hAnsiTheme="majorHAnsi" w:cs="Arial"/>
          <w:b/>
        </w:rPr>
        <w:sym w:font="Wingdings 2" w:char="F0A3"/>
      </w:r>
      <w:r w:rsidRPr="00734AB6">
        <w:rPr>
          <w:rFonts w:asciiTheme="majorHAnsi" w:hAnsiTheme="majorHAnsi" w:cs="Arial"/>
          <w:b/>
        </w:rPr>
        <w:sym w:font="Wingdings 2" w:char="F020"/>
      </w:r>
      <w:r w:rsidRPr="00734AB6">
        <w:rPr>
          <w:rFonts w:asciiTheme="majorHAnsi" w:hAnsiTheme="majorHAnsi" w:cs="Arial"/>
          <w:b/>
        </w:rPr>
        <w:t xml:space="preserve"> Snort </w:t>
      </w:r>
      <w:r w:rsidRPr="00734AB6">
        <w:rPr>
          <w:rFonts w:asciiTheme="majorHAnsi" w:hAnsiTheme="majorHAnsi" w:cs="Arial"/>
          <w:b/>
        </w:rPr>
        <w:sym w:font="Wingdings 2" w:char="F0A3"/>
      </w:r>
      <w:r w:rsidRPr="00734AB6">
        <w:rPr>
          <w:rFonts w:asciiTheme="majorHAnsi" w:hAnsiTheme="majorHAnsi" w:cs="Arial"/>
          <w:b/>
        </w:rPr>
        <w:tab/>
        <w:t xml:space="preserve">Smoke </w:t>
      </w:r>
      <w:r w:rsidRPr="00734AB6">
        <w:rPr>
          <w:rFonts w:asciiTheme="majorHAnsi" w:hAnsiTheme="majorHAnsi" w:cs="Arial"/>
          <w:b/>
        </w:rPr>
        <w:sym w:font="Wingdings 2" w:char="F0A3"/>
      </w:r>
      <w:r w:rsidRPr="00734AB6">
        <w:rPr>
          <w:rFonts w:asciiTheme="majorHAnsi" w:hAnsiTheme="majorHAnsi" w:cs="Arial"/>
          <w:b/>
        </w:rPr>
        <w:tab/>
        <w:t xml:space="preserve">Inject </w:t>
      </w:r>
      <w:r w:rsidRPr="00734AB6">
        <w:rPr>
          <w:rFonts w:asciiTheme="majorHAnsi" w:hAnsiTheme="majorHAnsi" w:cs="Arial"/>
          <w:b/>
        </w:rPr>
        <w:sym w:font="Wingdings 2" w:char="F0A3"/>
      </w:r>
      <w:r w:rsidRPr="00734AB6">
        <w:rPr>
          <w:rFonts w:asciiTheme="majorHAnsi" w:hAnsiTheme="majorHAnsi" w:cs="Arial"/>
          <w:b/>
        </w:rPr>
        <w:tab/>
        <w:t xml:space="preserve">Vaporise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Other </w:t>
      </w:r>
      <w:r w:rsidRPr="00734AB6">
        <w:rPr>
          <w:rFonts w:asciiTheme="majorHAnsi" w:hAnsiTheme="majorHAnsi" w:cs="Arial"/>
          <w:b/>
        </w:rPr>
        <w:sym w:font="Wingdings 2" w:char="F0A3"/>
      </w:r>
    </w:p>
    <w:p w14:paraId="7C7AB406" w14:textId="77777777" w:rsidR="004676EF" w:rsidRPr="00734AB6" w:rsidRDefault="004676EF" w:rsidP="005A1A41">
      <w:pPr>
        <w:spacing w:before="240" w:after="240" w:line="276" w:lineRule="auto"/>
        <w:rPr>
          <w:rFonts w:asciiTheme="majorHAnsi" w:hAnsiTheme="majorHAnsi" w:cs="Arial"/>
          <w:color w:val="0070C0"/>
        </w:rPr>
      </w:pPr>
      <w:r w:rsidRPr="00734AB6">
        <w:rPr>
          <w:rFonts w:asciiTheme="majorHAnsi" w:hAnsiTheme="majorHAnsi" w:cs="Arial"/>
          <w:b/>
        </w:rPr>
        <w:t xml:space="preserve">How much do you take (in milligrams) in any single day of use     </w:t>
      </w:r>
      <w:r w:rsidRPr="00734AB6">
        <w:rPr>
          <w:rFonts w:asciiTheme="majorHAnsi" w:hAnsiTheme="majorHAnsi" w:cs="Arial"/>
        </w:rPr>
        <w:t>_____________</w:t>
      </w:r>
    </w:p>
    <w:p w14:paraId="0A59467D" w14:textId="77777777" w:rsidR="004676EF" w:rsidRPr="00734AB6" w:rsidRDefault="004676EF" w:rsidP="005A1A41">
      <w:pPr>
        <w:spacing w:before="240" w:after="240" w:line="276" w:lineRule="auto"/>
        <w:rPr>
          <w:rFonts w:asciiTheme="majorHAnsi" w:hAnsiTheme="majorHAnsi" w:cs="Arial"/>
          <w:color w:val="0070C0"/>
        </w:rPr>
      </w:pPr>
      <w:r w:rsidRPr="00734AB6">
        <w:rPr>
          <w:rFonts w:asciiTheme="majorHAnsi" w:hAnsiTheme="majorHAnsi" w:cs="Arial"/>
          <w:b/>
        </w:rPr>
        <w:t xml:space="preserve">What is the typical maximum dose (in milligrams) you would take at any one time?  </w:t>
      </w:r>
      <w:r w:rsidRPr="00734AB6">
        <w:rPr>
          <w:rFonts w:asciiTheme="majorHAnsi" w:hAnsiTheme="majorHAnsi" w:cs="Arial"/>
        </w:rPr>
        <w:t>_________</w:t>
      </w:r>
    </w:p>
    <w:p w14:paraId="1DF1EA13" w14:textId="77777777" w:rsidR="004676EF" w:rsidRPr="00734AB6" w:rsidRDefault="004676EF" w:rsidP="005A1A41">
      <w:pPr>
        <w:spacing w:before="240" w:after="0" w:line="276" w:lineRule="auto"/>
        <w:rPr>
          <w:rFonts w:asciiTheme="majorHAnsi" w:hAnsiTheme="majorHAnsi" w:cs="Arial"/>
        </w:rPr>
      </w:pPr>
      <w:r w:rsidRPr="00734AB6">
        <w:rPr>
          <w:rFonts w:asciiTheme="majorHAnsi" w:hAnsiTheme="majorHAnsi" w:cs="Arial"/>
          <w:b/>
        </w:rPr>
        <w:t xml:space="preserve">What is the typical minimum dose (in milligrams) you would take at any one time?  </w:t>
      </w:r>
      <w:r w:rsidRPr="00734AB6">
        <w:rPr>
          <w:rFonts w:asciiTheme="majorHAnsi" w:hAnsiTheme="majorHAnsi" w:cs="Arial"/>
        </w:rPr>
        <w:t>_________</w:t>
      </w:r>
    </w:p>
    <w:p w14:paraId="64ADAB60" w14:textId="77777777" w:rsidR="004676EF" w:rsidRPr="00734AB6" w:rsidRDefault="004676EF" w:rsidP="005A1A41">
      <w:pPr>
        <w:pBdr>
          <w:top w:val="double" w:sz="4" w:space="1" w:color="auto"/>
        </w:pBdr>
        <w:spacing w:before="240" w:after="240" w:line="276" w:lineRule="auto"/>
        <w:rPr>
          <w:rFonts w:asciiTheme="majorHAnsi" w:hAnsiTheme="majorHAnsi" w:cs="Arial"/>
          <w:b/>
        </w:rPr>
      </w:pPr>
      <w:r w:rsidRPr="00734AB6">
        <w:rPr>
          <w:rFonts w:asciiTheme="majorHAnsi" w:hAnsiTheme="majorHAnsi" w:cs="Arial"/>
          <w:b/>
        </w:rPr>
        <w:t>METHYLPHENIDATE</w:t>
      </w:r>
    </w:p>
    <w:p w14:paraId="75945EDC"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Are you aware of Methylphenidate (Ritalin, </w:t>
      </w:r>
      <w:proofErr w:type="spellStart"/>
      <w:r w:rsidRPr="00734AB6">
        <w:rPr>
          <w:rFonts w:asciiTheme="majorHAnsi" w:hAnsiTheme="majorHAnsi" w:cs="Arial"/>
          <w:b/>
        </w:rPr>
        <w:t>Rubifen</w:t>
      </w:r>
      <w:proofErr w:type="spellEnd"/>
      <w:r w:rsidRPr="00734AB6">
        <w:rPr>
          <w:rFonts w:asciiTheme="majorHAnsi" w:hAnsiTheme="majorHAnsi" w:cs="Arial"/>
          <w:b/>
        </w:rPr>
        <w:t xml:space="preserve">, </w:t>
      </w:r>
      <w:proofErr w:type="spellStart"/>
      <w:r w:rsidRPr="00734AB6">
        <w:rPr>
          <w:rFonts w:asciiTheme="majorHAnsi" w:hAnsiTheme="majorHAnsi" w:cs="Arial"/>
          <w:b/>
        </w:rPr>
        <w:t>Concerta</w:t>
      </w:r>
      <w:proofErr w:type="spellEnd"/>
      <w:r w:rsidRPr="00734AB6">
        <w:rPr>
          <w:rFonts w:asciiTheme="majorHAnsi" w:hAnsiTheme="majorHAnsi" w:cs="Arial"/>
          <w:b/>
        </w:rPr>
        <w:t xml:space="preserve">)?  Yes </w:t>
      </w:r>
      <w:r w:rsidRPr="00734AB6">
        <w:rPr>
          <w:rFonts w:asciiTheme="majorHAnsi" w:hAnsiTheme="majorHAnsi" w:cs="Arial"/>
          <w:b/>
        </w:rPr>
        <w:sym w:font="Wingdings 2" w:char="F0A3"/>
      </w:r>
      <w:r w:rsidRPr="00734AB6">
        <w:rPr>
          <w:rFonts w:asciiTheme="majorHAnsi" w:hAnsiTheme="majorHAnsi" w:cs="Arial"/>
          <w:b/>
        </w:rPr>
        <w:t xml:space="preserve">        No </w:t>
      </w:r>
      <w:r w:rsidRPr="00734AB6">
        <w:rPr>
          <w:rFonts w:asciiTheme="majorHAnsi" w:hAnsiTheme="majorHAnsi" w:cs="Arial"/>
          <w:b/>
        </w:rPr>
        <w:sym w:font="Wingdings 2" w:char="F0A3"/>
      </w:r>
    </w:p>
    <w:p w14:paraId="580807B8"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Have you ever taken it?  Yes </w:t>
      </w:r>
      <w:r w:rsidRPr="00734AB6">
        <w:rPr>
          <w:rFonts w:asciiTheme="majorHAnsi" w:hAnsiTheme="majorHAnsi" w:cs="Arial"/>
          <w:b/>
        </w:rPr>
        <w:sym w:font="Wingdings 2" w:char="F0A3"/>
      </w:r>
      <w:r w:rsidRPr="00734AB6">
        <w:rPr>
          <w:rFonts w:asciiTheme="majorHAnsi" w:hAnsiTheme="majorHAnsi" w:cs="Arial"/>
          <w:b/>
        </w:rPr>
        <w:t xml:space="preserve">        No </w:t>
      </w:r>
      <w:r w:rsidRPr="00734AB6">
        <w:rPr>
          <w:rFonts w:asciiTheme="majorHAnsi" w:hAnsiTheme="majorHAnsi" w:cs="Arial"/>
          <w:b/>
        </w:rPr>
        <w:sym w:font="Wingdings 2" w:char="F0A3"/>
      </w:r>
      <w:r w:rsidRPr="00734AB6">
        <w:rPr>
          <w:rFonts w:asciiTheme="majorHAnsi" w:hAnsiTheme="majorHAnsi" w:cs="Arial"/>
          <w:b/>
        </w:rPr>
        <w:t xml:space="preserve">       </w:t>
      </w:r>
    </w:p>
    <w:p w14:paraId="471D09F7"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 xml:space="preserve">Have you been prescribed Methylphenidate?  Yes </w:t>
      </w:r>
      <w:r w:rsidRPr="00734AB6">
        <w:rPr>
          <w:rFonts w:asciiTheme="majorHAnsi" w:hAnsiTheme="majorHAnsi" w:cs="Arial"/>
          <w:b/>
        </w:rPr>
        <w:sym w:font="Wingdings 2" w:char="F0A3"/>
      </w:r>
      <w:r w:rsidRPr="00734AB6">
        <w:rPr>
          <w:rFonts w:asciiTheme="majorHAnsi" w:hAnsiTheme="majorHAnsi" w:cs="Arial"/>
          <w:b/>
        </w:rPr>
        <w:t xml:space="preserve">        No </w:t>
      </w:r>
      <w:r w:rsidRPr="00734AB6">
        <w:rPr>
          <w:rFonts w:asciiTheme="majorHAnsi" w:hAnsiTheme="majorHAnsi" w:cs="Arial"/>
          <w:b/>
        </w:rPr>
        <w:sym w:font="Wingdings 2" w:char="F0A3"/>
      </w:r>
    </w:p>
    <w:p w14:paraId="401426B1"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What age were you when you first took Methylphenidate? __________________</w:t>
      </w:r>
    </w:p>
    <w:p w14:paraId="601D2599" w14:textId="77777777" w:rsidR="004676EF" w:rsidRPr="00734AB6" w:rsidRDefault="004676EF" w:rsidP="005A1A41">
      <w:pPr>
        <w:spacing w:before="240" w:after="0" w:line="276" w:lineRule="auto"/>
        <w:rPr>
          <w:rFonts w:asciiTheme="majorHAnsi" w:hAnsiTheme="majorHAnsi" w:cs="Arial"/>
        </w:rPr>
      </w:pPr>
      <w:r w:rsidRPr="00734AB6">
        <w:rPr>
          <w:rFonts w:asciiTheme="majorHAnsi" w:hAnsiTheme="majorHAnsi" w:cs="Arial"/>
          <w:b/>
        </w:rPr>
        <w:t>In the past six months, how regularly have you taken Methylphenidate?</w:t>
      </w:r>
      <w:r w:rsidRPr="00734AB6">
        <w:rPr>
          <w:rFonts w:asciiTheme="majorHAnsi" w:hAnsiTheme="majorHAnsi" w:cs="Arial"/>
        </w:rPr>
        <w:t xml:space="preserve">  </w:t>
      </w:r>
    </w:p>
    <w:p w14:paraId="59383B7E"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w:t>
      </w:r>
      <w:r w:rsidRPr="00734AB6">
        <w:rPr>
          <w:rFonts w:asciiTheme="majorHAnsi" w:hAnsiTheme="majorHAnsi" w:cs="Arial"/>
          <w:i/>
        </w:rPr>
        <w:t>please tick the appropriate box</w:t>
      </w:r>
      <w:r w:rsidRPr="00734AB6">
        <w:rPr>
          <w:rFonts w:asciiTheme="majorHAnsi" w:hAnsiTheme="majorHAnsi" w:cs="Arial"/>
        </w:rPr>
        <w:t>)</w:t>
      </w:r>
    </w:p>
    <w:tbl>
      <w:tblPr>
        <w:tblW w:w="0" w:type="auto"/>
        <w:tblLook w:val="04A0" w:firstRow="1" w:lastRow="0" w:firstColumn="1" w:lastColumn="0" w:noHBand="0" w:noVBand="1"/>
      </w:tblPr>
      <w:tblGrid>
        <w:gridCol w:w="3964"/>
        <w:gridCol w:w="1701"/>
      </w:tblGrid>
      <w:tr w:rsidR="004676EF" w:rsidRPr="00734AB6" w14:paraId="18978E07" w14:textId="77777777" w:rsidTr="004676EF">
        <w:tc>
          <w:tcPr>
            <w:tcW w:w="3964" w:type="dxa"/>
          </w:tcPr>
          <w:p w14:paraId="5D4F339A"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Every day/almost every day</w:t>
            </w:r>
          </w:p>
        </w:tc>
        <w:tc>
          <w:tcPr>
            <w:tcW w:w="1701" w:type="dxa"/>
          </w:tcPr>
          <w:p w14:paraId="427B8B30" w14:textId="77777777" w:rsidR="004676EF" w:rsidRPr="00734AB6" w:rsidRDefault="004676EF" w:rsidP="005A1A41">
            <w:pPr>
              <w:spacing w:before="240" w:after="0" w:line="276" w:lineRule="auto"/>
              <w:rPr>
                <w:rFonts w:asciiTheme="majorHAnsi" w:hAnsiTheme="majorHAnsi" w:cs="Arial"/>
              </w:rPr>
            </w:pPr>
          </w:p>
        </w:tc>
      </w:tr>
      <w:tr w:rsidR="004676EF" w:rsidRPr="00734AB6" w14:paraId="26971121" w14:textId="77777777" w:rsidTr="004676EF">
        <w:tc>
          <w:tcPr>
            <w:tcW w:w="3964" w:type="dxa"/>
          </w:tcPr>
          <w:p w14:paraId="09305101"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3-4 times per week</w:t>
            </w:r>
          </w:p>
        </w:tc>
        <w:tc>
          <w:tcPr>
            <w:tcW w:w="1701" w:type="dxa"/>
          </w:tcPr>
          <w:p w14:paraId="1DA03828" w14:textId="77777777" w:rsidR="004676EF" w:rsidRPr="00734AB6" w:rsidRDefault="004676EF" w:rsidP="005A1A41">
            <w:pPr>
              <w:spacing w:before="240" w:after="0" w:line="276" w:lineRule="auto"/>
              <w:rPr>
                <w:rFonts w:asciiTheme="majorHAnsi" w:hAnsiTheme="majorHAnsi" w:cs="Arial"/>
              </w:rPr>
            </w:pPr>
          </w:p>
        </w:tc>
      </w:tr>
      <w:tr w:rsidR="004676EF" w:rsidRPr="00734AB6" w14:paraId="27E9C0E7" w14:textId="77777777" w:rsidTr="004676EF">
        <w:tc>
          <w:tcPr>
            <w:tcW w:w="3964" w:type="dxa"/>
          </w:tcPr>
          <w:p w14:paraId="0C78D41E"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Once per week</w:t>
            </w:r>
          </w:p>
        </w:tc>
        <w:tc>
          <w:tcPr>
            <w:tcW w:w="1701" w:type="dxa"/>
          </w:tcPr>
          <w:p w14:paraId="126E2E0F" w14:textId="77777777" w:rsidR="004676EF" w:rsidRPr="00734AB6" w:rsidRDefault="004676EF" w:rsidP="005A1A41">
            <w:pPr>
              <w:spacing w:before="240" w:after="0" w:line="276" w:lineRule="auto"/>
              <w:rPr>
                <w:rFonts w:asciiTheme="majorHAnsi" w:hAnsiTheme="majorHAnsi" w:cs="Arial"/>
              </w:rPr>
            </w:pPr>
          </w:p>
        </w:tc>
      </w:tr>
      <w:tr w:rsidR="004676EF" w:rsidRPr="00734AB6" w14:paraId="2071F11E" w14:textId="77777777" w:rsidTr="004676EF">
        <w:tc>
          <w:tcPr>
            <w:tcW w:w="3964" w:type="dxa"/>
          </w:tcPr>
          <w:p w14:paraId="4D9A3462"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1-2 times per month</w:t>
            </w:r>
          </w:p>
        </w:tc>
        <w:tc>
          <w:tcPr>
            <w:tcW w:w="1701" w:type="dxa"/>
          </w:tcPr>
          <w:p w14:paraId="2FD884F8" w14:textId="77777777" w:rsidR="004676EF" w:rsidRPr="00734AB6" w:rsidRDefault="004676EF" w:rsidP="005A1A41">
            <w:pPr>
              <w:spacing w:before="240" w:after="0" w:line="276" w:lineRule="auto"/>
              <w:rPr>
                <w:rFonts w:asciiTheme="majorHAnsi" w:hAnsiTheme="majorHAnsi" w:cs="Arial"/>
              </w:rPr>
            </w:pPr>
          </w:p>
        </w:tc>
      </w:tr>
      <w:tr w:rsidR="004676EF" w:rsidRPr="00734AB6" w14:paraId="63F648D1" w14:textId="77777777" w:rsidTr="004676EF">
        <w:tc>
          <w:tcPr>
            <w:tcW w:w="3964" w:type="dxa"/>
          </w:tcPr>
          <w:p w14:paraId="4E3BC944"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t>Up to 3 times in total</w:t>
            </w:r>
          </w:p>
        </w:tc>
        <w:tc>
          <w:tcPr>
            <w:tcW w:w="1701" w:type="dxa"/>
          </w:tcPr>
          <w:p w14:paraId="66A50679" w14:textId="77777777" w:rsidR="004676EF" w:rsidRPr="00734AB6" w:rsidRDefault="004676EF" w:rsidP="005A1A41">
            <w:pPr>
              <w:spacing w:before="240" w:after="0" w:line="276" w:lineRule="auto"/>
              <w:rPr>
                <w:rFonts w:asciiTheme="majorHAnsi" w:hAnsiTheme="majorHAnsi" w:cs="Arial"/>
              </w:rPr>
            </w:pPr>
          </w:p>
        </w:tc>
      </w:tr>
      <w:tr w:rsidR="004676EF" w:rsidRPr="00734AB6" w14:paraId="7331209A" w14:textId="77777777" w:rsidTr="004676EF">
        <w:tc>
          <w:tcPr>
            <w:tcW w:w="3964" w:type="dxa"/>
          </w:tcPr>
          <w:p w14:paraId="7A54533D" w14:textId="77777777" w:rsidR="004676EF" w:rsidRPr="00734AB6" w:rsidRDefault="004676EF" w:rsidP="005A1A41">
            <w:pPr>
              <w:spacing w:before="240" w:after="0" w:line="276" w:lineRule="auto"/>
              <w:rPr>
                <w:rFonts w:asciiTheme="majorHAnsi" w:hAnsiTheme="majorHAnsi" w:cs="Arial"/>
                <w:b/>
              </w:rPr>
            </w:pPr>
            <w:r w:rsidRPr="00734AB6">
              <w:rPr>
                <w:rFonts w:asciiTheme="majorHAnsi" w:hAnsiTheme="majorHAnsi" w:cs="Arial"/>
                <w:b/>
              </w:rPr>
              <w:lastRenderedPageBreak/>
              <w:t>None</w:t>
            </w:r>
          </w:p>
        </w:tc>
        <w:tc>
          <w:tcPr>
            <w:tcW w:w="1701" w:type="dxa"/>
          </w:tcPr>
          <w:p w14:paraId="100A38C9" w14:textId="77777777" w:rsidR="004676EF" w:rsidRPr="00734AB6" w:rsidRDefault="004676EF" w:rsidP="005A1A41">
            <w:pPr>
              <w:spacing w:before="240" w:after="0" w:line="276" w:lineRule="auto"/>
              <w:rPr>
                <w:rFonts w:asciiTheme="majorHAnsi" w:hAnsiTheme="majorHAnsi" w:cs="Arial"/>
              </w:rPr>
            </w:pPr>
          </w:p>
        </w:tc>
      </w:tr>
    </w:tbl>
    <w:p w14:paraId="3EBCACE1" w14:textId="77777777" w:rsidR="004676EF" w:rsidRPr="00734AB6" w:rsidRDefault="004676EF" w:rsidP="005A1A41">
      <w:pPr>
        <w:spacing w:before="240" w:after="0" w:line="276" w:lineRule="auto"/>
        <w:rPr>
          <w:rFonts w:asciiTheme="majorHAnsi" w:hAnsiTheme="majorHAnsi" w:cs="Arial"/>
        </w:rPr>
      </w:pPr>
      <w:r w:rsidRPr="00734AB6">
        <w:rPr>
          <w:rFonts w:asciiTheme="majorHAnsi" w:hAnsiTheme="majorHAnsi" w:cs="Arial"/>
          <w:b/>
        </w:rPr>
        <w:t>How do you take it?</w:t>
      </w:r>
      <w:r w:rsidRPr="00734AB6">
        <w:rPr>
          <w:rFonts w:asciiTheme="majorHAnsi" w:hAnsiTheme="majorHAnsi" w:cs="Arial"/>
        </w:rPr>
        <w:t xml:space="preserve"> (</w:t>
      </w:r>
      <w:r w:rsidRPr="00734AB6">
        <w:rPr>
          <w:rFonts w:asciiTheme="majorHAnsi" w:hAnsiTheme="majorHAnsi" w:cs="Arial"/>
          <w:i/>
        </w:rPr>
        <w:t>please tick the appropriate box</w:t>
      </w:r>
      <w:r w:rsidRPr="00734AB6">
        <w:rPr>
          <w:rFonts w:asciiTheme="majorHAnsi" w:hAnsiTheme="majorHAnsi" w:cs="Arial"/>
        </w:rPr>
        <w:t>)</w:t>
      </w:r>
    </w:p>
    <w:p w14:paraId="6741142B" w14:textId="77777777" w:rsidR="004676EF" w:rsidRPr="00734AB6" w:rsidRDefault="004676EF" w:rsidP="005A1A41">
      <w:pPr>
        <w:spacing w:before="240" w:line="276" w:lineRule="auto"/>
        <w:rPr>
          <w:rFonts w:asciiTheme="majorHAnsi" w:hAnsiTheme="majorHAnsi" w:cs="Arial"/>
          <w:b/>
        </w:rPr>
      </w:pPr>
      <w:r w:rsidRPr="00734AB6">
        <w:rPr>
          <w:rFonts w:asciiTheme="majorHAnsi" w:hAnsiTheme="majorHAnsi" w:cs="Arial"/>
          <w:b/>
        </w:rPr>
        <w:t xml:space="preserve">Swallow pill </w:t>
      </w:r>
      <w:r w:rsidRPr="00734AB6">
        <w:rPr>
          <w:rFonts w:asciiTheme="majorHAnsi" w:hAnsiTheme="majorHAnsi" w:cs="Arial"/>
          <w:b/>
        </w:rPr>
        <w:sym w:font="Wingdings 2" w:char="F0A3"/>
      </w:r>
      <w:r w:rsidRPr="00734AB6">
        <w:rPr>
          <w:rFonts w:asciiTheme="majorHAnsi" w:hAnsiTheme="majorHAnsi" w:cs="Arial"/>
          <w:b/>
        </w:rPr>
        <w:sym w:font="Wingdings 2" w:char="F020"/>
      </w:r>
      <w:r w:rsidRPr="00734AB6">
        <w:rPr>
          <w:rFonts w:asciiTheme="majorHAnsi" w:hAnsiTheme="majorHAnsi" w:cs="Arial"/>
          <w:b/>
        </w:rPr>
        <w:t xml:space="preserve"> Snort </w:t>
      </w:r>
      <w:r w:rsidRPr="00734AB6">
        <w:rPr>
          <w:rFonts w:asciiTheme="majorHAnsi" w:hAnsiTheme="majorHAnsi" w:cs="Arial"/>
          <w:b/>
        </w:rPr>
        <w:sym w:font="Wingdings 2" w:char="F0A3"/>
      </w:r>
      <w:r w:rsidRPr="00734AB6">
        <w:rPr>
          <w:rFonts w:asciiTheme="majorHAnsi" w:hAnsiTheme="majorHAnsi" w:cs="Arial"/>
          <w:b/>
        </w:rPr>
        <w:tab/>
        <w:t xml:space="preserve">Smoke </w:t>
      </w:r>
      <w:r w:rsidRPr="00734AB6">
        <w:rPr>
          <w:rFonts w:asciiTheme="majorHAnsi" w:hAnsiTheme="majorHAnsi" w:cs="Arial"/>
          <w:b/>
        </w:rPr>
        <w:sym w:font="Wingdings 2" w:char="F0A3"/>
      </w:r>
      <w:r w:rsidRPr="00734AB6">
        <w:rPr>
          <w:rFonts w:asciiTheme="majorHAnsi" w:hAnsiTheme="majorHAnsi" w:cs="Arial"/>
          <w:b/>
        </w:rPr>
        <w:tab/>
        <w:t xml:space="preserve">Inject </w:t>
      </w:r>
      <w:r w:rsidRPr="00734AB6">
        <w:rPr>
          <w:rFonts w:asciiTheme="majorHAnsi" w:hAnsiTheme="majorHAnsi" w:cs="Arial"/>
          <w:b/>
        </w:rPr>
        <w:sym w:font="Wingdings 2" w:char="F0A3"/>
      </w:r>
      <w:r w:rsidRPr="00734AB6">
        <w:rPr>
          <w:rFonts w:asciiTheme="majorHAnsi" w:hAnsiTheme="majorHAnsi" w:cs="Arial"/>
          <w:b/>
        </w:rPr>
        <w:tab/>
        <w:t xml:space="preserve">Vaporise </w:t>
      </w:r>
      <w:r w:rsidRPr="00734AB6">
        <w:rPr>
          <w:rFonts w:asciiTheme="majorHAnsi" w:hAnsiTheme="majorHAnsi" w:cs="Arial"/>
          <w:b/>
        </w:rPr>
        <w:sym w:font="Wingdings 2" w:char="F0A3"/>
      </w:r>
      <w:r w:rsidRPr="00734AB6">
        <w:rPr>
          <w:rFonts w:asciiTheme="majorHAnsi" w:hAnsiTheme="majorHAnsi" w:cs="Arial"/>
          <w:b/>
        </w:rPr>
        <w:tab/>
      </w:r>
      <w:r w:rsidRPr="00734AB6">
        <w:rPr>
          <w:rFonts w:asciiTheme="majorHAnsi" w:hAnsiTheme="majorHAnsi" w:cs="Arial"/>
          <w:b/>
        </w:rPr>
        <w:tab/>
        <w:t xml:space="preserve">Other </w:t>
      </w:r>
      <w:r w:rsidRPr="00734AB6">
        <w:rPr>
          <w:rFonts w:asciiTheme="majorHAnsi" w:hAnsiTheme="majorHAnsi" w:cs="Arial"/>
          <w:b/>
        </w:rPr>
        <w:sym w:font="Wingdings 2" w:char="F0A3"/>
      </w:r>
    </w:p>
    <w:p w14:paraId="46AFAD0F" w14:textId="77777777" w:rsidR="004676EF" w:rsidRPr="00734AB6" w:rsidRDefault="004676EF" w:rsidP="005A1A41">
      <w:pPr>
        <w:spacing w:before="240" w:after="240" w:line="276" w:lineRule="auto"/>
        <w:rPr>
          <w:rFonts w:asciiTheme="majorHAnsi" w:hAnsiTheme="majorHAnsi" w:cs="Arial"/>
          <w:b/>
          <w:color w:val="0070C0"/>
        </w:rPr>
      </w:pPr>
      <w:r w:rsidRPr="00734AB6">
        <w:rPr>
          <w:rFonts w:asciiTheme="majorHAnsi" w:hAnsiTheme="majorHAnsi" w:cs="Arial"/>
          <w:b/>
        </w:rPr>
        <w:t>How much do you take (in milligrams) in any single day of use     _____________</w:t>
      </w:r>
    </w:p>
    <w:p w14:paraId="5C8EE074" w14:textId="77777777" w:rsidR="004676EF" w:rsidRPr="00734AB6" w:rsidRDefault="004676EF" w:rsidP="005A1A41">
      <w:pPr>
        <w:spacing w:before="240" w:after="240" w:line="276" w:lineRule="auto"/>
        <w:rPr>
          <w:rFonts w:asciiTheme="majorHAnsi" w:hAnsiTheme="majorHAnsi" w:cs="Arial"/>
          <w:b/>
          <w:color w:val="0070C0"/>
        </w:rPr>
      </w:pPr>
      <w:r w:rsidRPr="00734AB6">
        <w:rPr>
          <w:rFonts w:asciiTheme="majorHAnsi" w:hAnsiTheme="majorHAnsi" w:cs="Arial"/>
          <w:b/>
        </w:rPr>
        <w:t>What is the typical maximum dose (in milligrams) you would take at any one time? _________</w:t>
      </w:r>
    </w:p>
    <w:p w14:paraId="7045B155" w14:textId="77777777" w:rsidR="004676EF" w:rsidRPr="00734AB6" w:rsidRDefault="004676EF" w:rsidP="005A1A41">
      <w:pPr>
        <w:spacing w:before="240" w:after="240" w:line="276" w:lineRule="auto"/>
        <w:rPr>
          <w:rFonts w:asciiTheme="majorHAnsi" w:hAnsiTheme="majorHAnsi" w:cs="Arial"/>
          <w:b/>
        </w:rPr>
      </w:pPr>
      <w:r w:rsidRPr="00734AB6">
        <w:rPr>
          <w:rFonts w:asciiTheme="majorHAnsi" w:hAnsiTheme="majorHAnsi" w:cs="Arial"/>
          <w:b/>
        </w:rPr>
        <w:t>What is the typical minimum dose (in milligrams) you would take at any one time?  _________</w:t>
      </w:r>
    </w:p>
    <w:p w14:paraId="3CB0F900" w14:textId="77777777" w:rsidR="004676EF" w:rsidRPr="00734AB6" w:rsidRDefault="004676EF" w:rsidP="005A1A41">
      <w:pPr>
        <w:spacing w:before="240" w:after="240" w:line="276" w:lineRule="auto"/>
        <w:rPr>
          <w:rFonts w:asciiTheme="majorHAnsi" w:hAnsiTheme="majorHAnsi" w:cs="Arial"/>
          <w:b/>
          <w:shd w:val="clear" w:color="auto" w:fill="FFFFFF"/>
        </w:rPr>
      </w:pPr>
      <w:r w:rsidRPr="00734AB6">
        <w:rPr>
          <w:rFonts w:asciiTheme="majorHAnsi" w:hAnsiTheme="majorHAnsi" w:cs="Arial"/>
          <w:b/>
          <w:shd w:val="clear" w:color="auto" w:fill="FFFFFF"/>
        </w:rPr>
        <w:t>OTHER RECREATIONAL DRUGS</w:t>
      </w:r>
    </w:p>
    <w:p w14:paraId="6C4D36DC" w14:textId="77777777" w:rsidR="004676EF" w:rsidRPr="00734AB6" w:rsidRDefault="004676EF" w:rsidP="005A1A41">
      <w:pPr>
        <w:spacing w:before="240" w:after="0" w:line="276" w:lineRule="auto"/>
        <w:rPr>
          <w:rFonts w:asciiTheme="majorHAnsi" w:hAnsiTheme="majorHAnsi" w:cs="Arial"/>
          <w:i/>
          <w:shd w:val="clear" w:color="auto" w:fill="FFFFFF"/>
        </w:rPr>
      </w:pPr>
      <w:r w:rsidRPr="00734AB6">
        <w:rPr>
          <w:rFonts w:asciiTheme="majorHAnsi" w:hAnsiTheme="majorHAnsi" w:cs="Arial"/>
          <w:i/>
          <w:shd w:val="clear" w:color="auto" w:fill="FFFFFF"/>
        </w:rPr>
        <w:t>If you have taken any other non-prescribed and/or recreational drugs (including nicotine and alcohol) in the last six months, please write the drug name in the left-hand column and provide details on frequency of use</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261"/>
        <w:gridCol w:w="3543"/>
      </w:tblGrid>
      <w:tr w:rsidR="004676EF" w:rsidRPr="00734AB6" w14:paraId="1ABAD465" w14:textId="77777777" w:rsidTr="005766E0">
        <w:tc>
          <w:tcPr>
            <w:tcW w:w="2410" w:type="dxa"/>
            <w:vMerge w:val="restart"/>
          </w:tcPr>
          <w:p w14:paraId="693E8929" w14:textId="77777777" w:rsidR="004676EF" w:rsidRPr="00734AB6" w:rsidRDefault="004676EF" w:rsidP="005A1A41">
            <w:pPr>
              <w:spacing w:line="276" w:lineRule="auto"/>
              <w:rPr>
                <w:rFonts w:asciiTheme="majorHAnsi" w:hAnsiTheme="majorHAnsi" w:cs="Arial"/>
                <w:b/>
              </w:rPr>
            </w:pPr>
            <w:r w:rsidRPr="00734AB6">
              <w:rPr>
                <w:rFonts w:asciiTheme="majorHAnsi" w:hAnsiTheme="majorHAnsi" w:cs="Arial"/>
                <w:b/>
              </w:rPr>
              <w:t>DRUG NAME</w:t>
            </w:r>
          </w:p>
          <w:p w14:paraId="1F20D1D3" w14:textId="77777777" w:rsidR="004676EF" w:rsidRPr="00734AB6" w:rsidRDefault="004676EF" w:rsidP="005A1A41">
            <w:pPr>
              <w:spacing w:line="276" w:lineRule="auto"/>
              <w:rPr>
                <w:rFonts w:asciiTheme="majorHAnsi" w:hAnsiTheme="majorHAnsi" w:cs="Arial"/>
                <w:i/>
              </w:rPr>
            </w:pPr>
            <w:r w:rsidRPr="00734AB6">
              <w:rPr>
                <w:rFonts w:asciiTheme="majorHAnsi" w:hAnsiTheme="majorHAnsi" w:cs="Arial"/>
              </w:rPr>
              <w:t>(</w:t>
            </w:r>
            <w:r w:rsidRPr="00734AB6">
              <w:rPr>
                <w:rFonts w:asciiTheme="majorHAnsi" w:hAnsiTheme="majorHAnsi" w:cs="Arial"/>
                <w:i/>
              </w:rPr>
              <w:t>please print name of drug and usual dose, specifying if extended/prolonged release)</w:t>
            </w:r>
          </w:p>
        </w:tc>
        <w:tc>
          <w:tcPr>
            <w:tcW w:w="3261" w:type="dxa"/>
          </w:tcPr>
          <w:p w14:paraId="491E3CA8" w14:textId="77777777" w:rsidR="004676EF" w:rsidRPr="00734AB6" w:rsidRDefault="004676EF" w:rsidP="005A1A41">
            <w:pPr>
              <w:spacing w:line="276" w:lineRule="auto"/>
              <w:rPr>
                <w:rFonts w:asciiTheme="majorHAnsi" w:hAnsiTheme="majorHAnsi" w:cs="Arial"/>
                <w:b/>
              </w:rPr>
            </w:pPr>
            <w:r w:rsidRPr="00734AB6">
              <w:rPr>
                <w:rFonts w:asciiTheme="majorHAnsi" w:hAnsiTheme="majorHAnsi" w:cs="Arial"/>
                <w:b/>
                <w:shd w:val="clear" w:color="auto" w:fill="FFFFFF"/>
              </w:rPr>
              <w:t>How frequently in the past </w:t>
            </w:r>
            <w:r w:rsidRPr="00734AB6">
              <w:rPr>
                <w:rFonts w:asciiTheme="majorHAnsi" w:hAnsiTheme="majorHAnsi" w:cs="Arial"/>
                <w:b/>
              </w:rPr>
              <w:t xml:space="preserve">6 MONTHS have you taken this drug.  </w:t>
            </w:r>
          </w:p>
        </w:tc>
        <w:tc>
          <w:tcPr>
            <w:tcW w:w="3543" w:type="dxa"/>
          </w:tcPr>
          <w:p w14:paraId="2809CAEE" w14:textId="77777777" w:rsidR="004676EF" w:rsidRPr="00734AB6" w:rsidRDefault="004676EF" w:rsidP="005A1A41">
            <w:pPr>
              <w:spacing w:line="276" w:lineRule="auto"/>
              <w:ind w:left="176"/>
              <w:rPr>
                <w:rFonts w:asciiTheme="majorHAnsi" w:hAnsiTheme="majorHAnsi" w:cs="Arial"/>
                <w:b/>
              </w:rPr>
            </w:pPr>
            <w:r w:rsidRPr="00734AB6">
              <w:rPr>
                <w:rFonts w:asciiTheme="majorHAnsi" w:hAnsiTheme="majorHAnsi" w:cs="Arial"/>
                <w:b/>
              </w:rPr>
              <w:t>How long has it been since you last used this drug</w:t>
            </w:r>
          </w:p>
        </w:tc>
      </w:tr>
      <w:tr w:rsidR="004676EF" w:rsidRPr="00734AB6" w14:paraId="504AA8F3" w14:textId="77777777" w:rsidTr="005766E0">
        <w:tc>
          <w:tcPr>
            <w:tcW w:w="2410" w:type="dxa"/>
            <w:vMerge/>
          </w:tcPr>
          <w:p w14:paraId="0C72E88F" w14:textId="77777777" w:rsidR="004676EF" w:rsidRPr="00734AB6" w:rsidRDefault="004676EF" w:rsidP="005A1A41">
            <w:pPr>
              <w:spacing w:line="276" w:lineRule="auto"/>
              <w:rPr>
                <w:rFonts w:asciiTheme="majorHAnsi" w:hAnsiTheme="majorHAnsi" w:cs="Arial"/>
                <w:b/>
              </w:rPr>
            </w:pPr>
          </w:p>
        </w:tc>
        <w:tc>
          <w:tcPr>
            <w:tcW w:w="3261" w:type="dxa"/>
          </w:tcPr>
          <w:p w14:paraId="2F505C77" w14:textId="77777777" w:rsidR="004676EF" w:rsidRPr="00734AB6" w:rsidRDefault="004676EF" w:rsidP="005A1A41">
            <w:pPr>
              <w:spacing w:line="276" w:lineRule="auto"/>
              <w:rPr>
                <w:rFonts w:asciiTheme="majorHAnsi" w:hAnsiTheme="majorHAnsi" w:cs="Arial"/>
                <w:b/>
              </w:rPr>
            </w:pPr>
            <w:r w:rsidRPr="00734AB6">
              <w:rPr>
                <w:rFonts w:asciiTheme="majorHAnsi" w:hAnsiTheme="majorHAnsi" w:cs="Arial"/>
                <w:b/>
              </w:rPr>
              <w:t xml:space="preserve">Please write one of the following: </w:t>
            </w:r>
          </w:p>
          <w:p w14:paraId="38F802A5"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Every day/ almost every day</w:t>
            </w:r>
          </w:p>
          <w:p w14:paraId="1D8A3D60"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3-4 times/ week</w:t>
            </w:r>
          </w:p>
          <w:p w14:paraId="5B613FA6"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Once/ week</w:t>
            </w:r>
          </w:p>
          <w:p w14:paraId="3CD3B0DA"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1-2 time/ month</w:t>
            </w:r>
          </w:p>
          <w:p w14:paraId="2034641A"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Up to 3 times in total</w:t>
            </w:r>
          </w:p>
          <w:p w14:paraId="14F1092C" w14:textId="77777777" w:rsidR="004676EF" w:rsidRPr="00734AB6" w:rsidRDefault="004676EF" w:rsidP="005A1A41">
            <w:pPr>
              <w:spacing w:line="276" w:lineRule="auto"/>
              <w:rPr>
                <w:rFonts w:asciiTheme="majorHAnsi" w:hAnsiTheme="majorHAnsi" w:cs="Arial"/>
              </w:rPr>
            </w:pPr>
            <w:r w:rsidRPr="00734AB6">
              <w:rPr>
                <w:rFonts w:asciiTheme="majorHAnsi" w:hAnsiTheme="majorHAnsi" w:cs="Arial"/>
              </w:rPr>
              <w:t>Never</w:t>
            </w:r>
          </w:p>
        </w:tc>
        <w:tc>
          <w:tcPr>
            <w:tcW w:w="3543" w:type="dxa"/>
          </w:tcPr>
          <w:p w14:paraId="7DF99AA6" w14:textId="77777777" w:rsidR="004676EF" w:rsidRPr="00734AB6" w:rsidRDefault="004676EF" w:rsidP="005A1A41">
            <w:pPr>
              <w:spacing w:line="276" w:lineRule="auto"/>
              <w:ind w:left="176"/>
              <w:rPr>
                <w:rFonts w:asciiTheme="majorHAnsi" w:hAnsiTheme="majorHAnsi" w:cs="Arial"/>
                <w:b/>
              </w:rPr>
            </w:pPr>
            <w:r w:rsidRPr="00734AB6">
              <w:rPr>
                <w:rFonts w:asciiTheme="majorHAnsi" w:hAnsiTheme="majorHAnsi" w:cs="Arial"/>
                <w:b/>
              </w:rPr>
              <w:t xml:space="preserve">Please write one of the following: </w:t>
            </w:r>
          </w:p>
          <w:p w14:paraId="6BAEBEF3"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Within the last week</w:t>
            </w:r>
          </w:p>
          <w:p w14:paraId="29E058CE"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Within the last month</w:t>
            </w:r>
          </w:p>
          <w:p w14:paraId="1EBB994D"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Within the last year</w:t>
            </w:r>
          </w:p>
          <w:p w14:paraId="1DF4D6DF"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Within the last 5 years</w:t>
            </w:r>
          </w:p>
          <w:p w14:paraId="54E3EFD1"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Within the last ten years</w:t>
            </w:r>
          </w:p>
          <w:p w14:paraId="477417B7"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Over 10 years ago</w:t>
            </w:r>
          </w:p>
          <w:p w14:paraId="4BBEABCF"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rPr>
            </w:pPr>
            <w:r w:rsidRPr="00734AB6">
              <w:rPr>
                <w:rFonts w:asciiTheme="majorHAnsi" w:hAnsiTheme="majorHAnsi" w:cs="Arial"/>
              </w:rPr>
              <w:t>Only ever took it once</w:t>
            </w:r>
          </w:p>
          <w:p w14:paraId="6CD2065A" w14:textId="77777777" w:rsidR="004676EF" w:rsidRPr="00734AB6" w:rsidRDefault="004676EF" w:rsidP="005A1A41">
            <w:pPr>
              <w:pStyle w:val="ListParagraph"/>
              <w:numPr>
                <w:ilvl w:val="0"/>
                <w:numId w:val="12"/>
              </w:numPr>
              <w:spacing w:line="276" w:lineRule="auto"/>
              <w:ind w:left="176" w:hanging="176"/>
              <w:rPr>
                <w:rFonts w:asciiTheme="majorHAnsi" w:hAnsiTheme="majorHAnsi" w:cs="Arial"/>
                <w:b/>
              </w:rPr>
            </w:pPr>
            <w:r w:rsidRPr="00734AB6">
              <w:rPr>
                <w:rFonts w:asciiTheme="majorHAnsi" w:hAnsiTheme="majorHAnsi" w:cs="Arial"/>
              </w:rPr>
              <w:t>Can’t remember</w:t>
            </w:r>
          </w:p>
        </w:tc>
      </w:tr>
      <w:tr w:rsidR="005766E0" w:rsidRPr="00734AB6" w14:paraId="5AC66398" w14:textId="77777777" w:rsidTr="005766E0">
        <w:tc>
          <w:tcPr>
            <w:tcW w:w="2410" w:type="dxa"/>
          </w:tcPr>
          <w:p w14:paraId="0002A291" w14:textId="77777777" w:rsidR="005766E0" w:rsidRPr="00734AB6" w:rsidRDefault="005766E0" w:rsidP="005A1A41">
            <w:pPr>
              <w:spacing w:line="276" w:lineRule="auto"/>
              <w:rPr>
                <w:rFonts w:asciiTheme="majorHAnsi" w:hAnsiTheme="majorHAnsi" w:cs="Arial"/>
              </w:rPr>
            </w:pPr>
          </w:p>
        </w:tc>
        <w:tc>
          <w:tcPr>
            <w:tcW w:w="3261" w:type="dxa"/>
          </w:tcPr>
          <w:p w14:paraId="00234A07" w14:textId="77777777" w:rsidR="005766E0" w:rsidRPr="00734AB6" w:rsidRDefault="005766E0" w:rsidP="005A1A41">
            <w:pPr>
              <w:spacing w:line="276" w:lineRule="auto"/>
              <w:rPr>
                <w:rFonts w:asciiTheme="majorHAnsi" w:hAnsiTheme="majorHAnsi" w:cs="Arial"/>
                <w:b/>
              </w:rPr>
            </w:pPr>
          </w:p>
        </w:tc>
        <w:tc>
          <w:tcPr>
            <w:tcW w:w="3543" w:type="dxa"/>
          </w:tcPr>
          <w:p w14:paraId="64DBAE9B" w14:textId="77777777" w:rsidR="005766E0" w:rsidRPr="00734AB6" w:rsidRDefault="005766E0" w:rsidP="005A1A41">
            <w:pPr>
              <w:spacing w:line="276" w:lineRule="auto"/>
              <w:ind w:left="176"/>
              <w:rPr>
                <w:rFonts w:asciiTheme="majorHAnsi" w:hAnsiTheme="majorHAnsi" w:cs="Arial"/>
                <w:b/>
              </w:rPr>
            </w:pPr>
          </w:p>
        </w:tc>
      </w:tr>
      <w:tr w:rsidR="005766E0" w:rsidRPr="00734AB6" w14:paraId="29AE4722" w14:textId="77777777" w:rsidTr="005766E0">
        <w:tc>
          <w:tcPr>
            <w:tcW w:w="2410" w:type="dxa"/>
          </w:tcPr>
          <w:p w14:paraId="03115CD7" w14:textId="77777777" w:rsidR="005766E0" w:rsidRPr="00734AB6" w:rsidRDefault="005766E0" w:rsidP="005A1A41">
            <w:pPr>
              <w:spacing w:line="276" w:lineRule="auto"/>
              <w:rPr>
                <w:rFonts w:asciiTheme="majorHAnsi" w:hAnsiTheme="majorHAnsi" w:cs="Arial"/>
              </w:rPr>
            </w:pPr>
          </w:p>
        </w:tc>
        <w:tc>
          <w:tcPr>
            <w:tcW w:w="3261" w:type="dxa"/>
          </w:tcPr>
          <w:p w14:paraId="4C2354A9" w14:textId="77777777" w:rsidR="005766E0" w:rsidRPr="00734AB6" w:rsidRDefault="005766E0" w:rsidP="005A1A41">
            <w:pPr>
              <w:spacing w:line="276" w:lineRule="auto"/>
              <w:rPr>
                <w:rFonts w:asciiTheme="majorHAnsi" w:hAnsiTheme="majorHAnsi" w:cs="Arial"/>
                <w:b/>
              </w:rPr>
            </w:pPr>
          </w:p>
        </w:tc>
        <w:tc>
          <w:tcPr>
            <w:tcW w:w="3543" w:type="dxa"/>
          </w:tcPr>
          <w:p w14:paraId="0273A5DA" w14:textId="77777777" w:rsidR="005766E0" w:rsidRPr="00734AB6" w:rsidRDefault="005766E0" w:rsidP="005A1A41">
            <w:pPr>
              <w:spacing w:line="276" w:lineRule="auto"/>
              <w:ind w:left="176"/>
              <w:rPr>
                <w:rFonts w:asciiTheme="majorHAnsi" w:hAnsiTheme="majorHAnsi" w:cs="Arial"/>
                <w:b/>
              </w:rPr>
            </w:pPr>
          </w:p>
        </w:tc>
      </w:tr>
      <w:tr w:rsidR="005766E0" w:rsidRPr="00734AB6" w14:paraId="665BB9D9" w14:textId="77777777" w:rsidTr="005766E0">
        <w:tc>
          <w:tcPr>
            <w:tcW w:w="2410" w:type="dxa"/>
          </w:tcPr>
          <w:p w14:paraId="159A72BD" w14:textId="77777777" w:rsidR="005766E0" w:rsidRPr="00734AB6" w:rsidRDefault="005766E0" w:rsidP="005A1A41">
            <w:pPr>
              <w:spacing w:line="276" w:lineRule="auto"/>
              <w:rPr>
                <w:rFonts w:asciiTheme="majorHAnsi" w:hAnsiTheme="majorHAnsi" w:cs="Arial"/>
              </w:rPr>
            </w:pPr>
          </w:p>
        </w:tc>
        <w:tc>
          <w:tcPr>
            <w:tcW w:w="3261" w:type="dxa"/>
          </w:tcPr>
          <w:p w14:paraId="613068F1" w14:textId="77777777" w:rsidR="005766E0" w:rsidRPr="00734AB6" w:rsidRDefault="005766E0" w:rsidP="005A1A41">
            <w:pPr>
              <w:spacing w:line="276" w:lineRule="auto"/>
              <w:rPr>
                <w:rFonts w:asciiTheme="majorHAnsi" w:hAnsiTheme="majorHAnsi" w:cs="Arial"/>
                <w:b/>
              </w:rPr>
            </w:pPr>
          </w:p>
        </w:tc>
        <w:tc>
          <w:tcPr>
            <w:tcW w:w="3543" w:type="dxa"/>
          </w:tcPr>
          <w:p w14:paraId="1936CCCE" w14:textId="77777777" w:rsidR="005766E0" w:rsidRPr="00734AB6" w:rsidRDefault="005766E0" w:rsidP="005A1A41">
            <w:pPr>
              <w:spacing w:line="276" w:lineRule="auto"/>
              <w:ind w:left="176"/>
              <w:rPr>
                <w:rFonts w:asciiTheme="majorHAnsi" w:hAnsiTheme="majorHAnsi" w:cs="Arial"/>
                <w:b/>
              </w:rPr>
            </w:pPr>
          </w:p>
        </w:tc>
      </w:tr>
      <w:tr w:rsidR="004676EF" w:rsidRPr="00734AB6" w14:paraId="6EC2CF14" w14:textId="77777777" w:rsidTr="005766E0">
        <w:tc>
          <w:tcPr>
            <w:tcW w:w="2410" w:type="dxa"/>
          </w:tcPr>
          <w:p w14:paraId="5B404EAA" w14:textId="77777777" w:rsidR="004676EF" w:rsidRPr="00734AB6" w:rsidRDefault="004676EF" w:rsidP="005A1A41">
            <w:pPr>
              <w:spacing w:line="276" w:lineRule="auto"/>
              <w:rPr>
                <w:rFonts w:asciiTheme="majorHAnsi" w:hAnsiTheme="majorHAnsi" w:cs="Arial"/>
              </w:rPr>
            </w:pPr>
          </w:p>
        </w:tc>
        <w:tc>
          <w:tcPr>
            <w:tcW w:w="3261" w:type="dxa"/>
          </w:tcPr>
          <w:p w14:paraId="4D16A82C" w14:textId="77777777" w:rsidR="004676EF" w:rsidRPr="00734AB6" w:rsidRDefault="004676EF" w:rsidP="005A1A41">
            <w:pPr>
              <w:spacing w:line="276" w:lineRule="auto"/>
              <w:rPr>
                <w:rFonts w:asciiTheme="majorHAnsi" w:hAnsiTheme="majorHAnsi" w:cs="Arial"/>
                <w:b/>
              </w:rPr>
            </w:pPr>
          </w:p>
        </w:tc>
        <w:tc>
          <w:tcPr>
            <w:tcW w:w="3543" w:type="dxa"/>
          </w:tcPr>
          <w:p w14:paraId="793E86B5" w14:textId="77777777" w:rsidR="004676EF" w:rsidRPr="00734AB6" w:rsidRDefault="004676EF" w:rsidP="005A1A41">
            <w:pPr>
              <w:spacing w:line="276" w:lineRule="auto"/>
              <w:ind w:left="176"/>
              <w:rPr>
                <w:rFonts w:asciiTheme="majorHAnsi" w:hAnsiTheme="majorHAnsi" w:cs="Arial"/>
                <w:b/>
              </w:rPr>
            </w:pPr>
          </w:p>
        </w:tc>
      </w:tr>
    </w:tbl>
    <w:p w14:paraId="59AB626A" w14:textId="77777777" w:rsidR="004676EF" w:rsidRPr="00734AB6" w:rsidRDefault="004676EF" w:rsidP="0099584D">
      <w:pPr>
        <w:spacing w:line="360" w:lineRule="auto"/>
        <w:rPr>
          <w:rFonts w:asciiTheme="majorHAnsi" w:hAnsiTheme="majorHAnsi"/>
        </w:rPr>
      </w:pPr>
    </w:p>
    <w:p w14:paraId="536D8D66" w14:textId="77777777" w:rsidR="00EF7585" w:rsidRPr="00734AB6" w:rsidRDefault="00EF7585" w:rsidP="0099584D">
      <w:pPr>
        <w:spacing w:line="360" w:lineRule="auto"/>
        <w:rPr>
          <w:rFonts w:asciiTheme="majorHAnsi" w:hAnsiTheme="majorHAnsi"/>
        </w:rPr>
      </w:pPr>
    </w:p>
    <w:p w14:paraId="5107FC8C" w14:textId="77777777" w:rsidR="00EF7585" w:rsidRPr="00734AB6" w:rsidRDefault="00EF7585" w:rsidP="00EF7585">
      <w:pPr>
        <w:pBdr>
          <w:top w:val="double" w:sz="4" w:space="1" w:color="auto"/>
        </w:pBdr>
        <w:spacing w:line="360" w:lineRule="auto"/>
        <w:rPr>
          <w:rFonts w:asciiTheme="majorHAnsi" w:hAnsiTheme="majorHAnsi"/>
        </w:rPr>
      </w:pPr>
    </w:p>
    <w:p w14:paraId="519BD256" w14:textId="77777777" w:rsidR="005766E0" w:rsidRPr="00734AB6" w:rsidRDefault="005766E0">
      <w:pPr>
        <w:rPr>
          <w:rFonts w:asciiTheme="majorHAnsi" w:eastAsiaTheme="majorEastAsia" w:hAnsiTheme="majorHAnsi" w:cstheme="majorBidi"/>
          <w:b/>
        </w:rPr>
      </w:pPr>
      <w:bookmarkStart w:id="179" w:name="_Toc45200545"/>
      <w:r w:rsidRPr="00734AB6">
        <w:rPr>
          <w:b/>
        </w:rPr>
        <w:br w:type="page"/>
      </w:r>
    </w:p>
    <w:p w14:paraId="18A6E696" w14:textId="01E71033" w:rsidR="004676EF" w:rsidRPr="00734AB6" w:rsidRDefault="004676EF" w:rsidP="0099584D">
      <w:pPr>
        <w:pStyle w:val="Heading2"/>
        <w:spacing w:line="360" w:lineRule="auto"/>
        <w:rPr>
          <w:b/>
          <w:color w:val="auto"/>
          <w:sz w:val="22"/>
          <w:szCs w:val="22"/>
        </w:rPr>
      </w:pPr>
      <w:bookmarkStart w:id="180" w:name="_Toc45200546"/>
      <w:bookmarkStart w:id="181" w:name="_Toc48136437"/>
      <w:bookmarkEnd w:id="179"/>
      <w:r w:rsidRPr="00734AB6">
        <w:rPr>
          <w:b/>
          <w:color w:val="auto"/>
          <w:sz w:val="22"/>
          <w:szCs w:val="22"/>
        </w:rPr>
        <w:lastRenderedPageBreak/>
        <w:t>(</w:t>
      </w:r>
      <w:r w:rsidR="005E4F0A">
        <w:rPr>
          <w:b/>
          <w:color w:val="auto"/>
          <w:sz w:val="22"/>
          <w:szCs w:val="22"/>
        </w:rPr>
        <w:t>i</w:t>
      </w:r>
      <w:r w:rsidRPr="00734AB6">
        <w:rPr>
          <w:b/>
          <w:color w:val="auto"/>
          <w:sz w:val="22"/>
          <w:szCs w:val="22"/>
        </w:rPr>
        <w:t>v)</w:t>
      </w:r>
      <w:r w:rsidRPr="00734AB6">
        <w:rPr>
          <w:b/>
          <w:color w:val="auto"/>
          <w:sz w:val="22"/>
          <w:szCs w:val="22"/>
        </w:rPr>
        <w:tab/>
        <w:t>Education</w:t>
      </w:r>
      <w:bookmarkEnd w:id="180"/>
      <w:bookmarkEnd w:id="181"/>
    </w:p>
    <w:p w14:paraId="5F938754" w14:textId="77777777" w:rsidR="004676EF" w:rsidRPr="00734AB6" w:rsidRDefault="004676EF" w:rsidP="0099584D">
      <w:pPr>
        <w:spacing w:line="360" w:lineRule="auto"/>
        <w:rPr>
          <w:rFonts w:asciiTheme="majorHAnsi" w:hAnsiTheme="majorHAnsi"/>
        </w:rPr>
      </w:pPr>
      <w:r w:rsidRPr="00734AB6">
        <w:rPr>
          <w:rFonts w:asciiTheme="majorHAnsi" w:hAnsiTheme="majorHAnsi"/>
          <w:noProof/>
          <w:color w:val="2E74B5"/>
          <w:lang w:eastAsia="en-GB"/>
        </w:rPr>
        <w:drawing>
          <wp:inline distT="0" distB="0" distL="0" distR="0" wp14:anchorId="2EEC2EDB" wp14:editId="3AFC3C6B">
            <wp:extent cx="1952625" cy="2658745"/>
            <wp:effectExtent l="0" t="0" r="9525" b="82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734AB6">
        <w:rPr>
          <w:rFonts w:asciiTheme="majorHAnsi" w:hAnsiTheme="majorHAnsi"/>
          <w:noProof/>
          <w:lang w:eastAsia="en-GB"/>
        </w:rPr>
        <w:drawing>
          <wp:inline distT="0" distB="0" distL="0" distR="0" wp14:anchorId="47EEA993" wp14:editId="6BC04A37">
            <wp:extent cx="1876425" cy="2650297"/>
            <wp:effectExtent l="0" t="0" r="9525"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9BB90A3" w14:textId="3A52D8D1"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Figure </w:t>
      </w:r>
      <w:r w:rsidR="000D6E47" w:rsidRPr="00734AB6">
        <w:rPr>
          <w:rFonts w:asciiTheme="majorHAnsi" w:hAnsiTheme="majorHAnsi"/>
          <w:b/>
        </w:rPr>
        <w:t>C.</w:t>
      </w:r>
      <w:r w:rsidRPr="00734AB6">
        <w:rPr>
          <w:rFonts w:asciiTheme="majorHAnsi" w:hAnsiTheme="majorHAnsi"/>
          <w:b/>
        </w:rPr>
        <w:t>3. Education level by group</w:t>
      </w:r>
    </w:p>
    <w:p w14:paraId="6BA87F00" w14:textId="77777777" w:rsidR="004676EF" w:rsidRPr="00734AB6" w:rsidRDefault="004676EF" w:rsidP="00EF7585">
      <w:pPr>
        <w:spacing w:after="0" w:line="360" w:lineRule="auto"/>
        <w:rPr>
          <w:rFonts w:asciiTheme="majorHAnsi" w:hAnsiTheme="majorHAnsi"/>
        </w:rPr>
      </w:pPr>
    </w:p>
    <w:p w14:paraId="76505251" w14:textId="77777777" w:rsidR="00EF7585" w:rsidRPr="00734AB6" w:rsidRDefault="00EF7585" w:rsidP="00EF7585">
      <w:pPr>
        <w:pBdr>
          <w:top w:val="double" w:sz="4" w:space="1" w:color="auto"/>
        </w:pBdr>
        <w:spacing w:after="0" w:line="360" w:lineRule="auto"/>
        <w:rPr>
          <w:rFonts w:asciiTheme="majorHAnsi" w:hAnsiTheme="majorHAnsi"/>
        </w:rPr>
      </w:pPr>
    </w:p>
    <w:p w14:paraId="3A1D0F46" w14:textId="186531D2" w:rsidR="004676EF" w:rsidRPr="00734AB6" w:rsidRDefault="004676EF" w:rsidP="0099584D">
      <w:pPr>
        <w:pStyle w:val="Heading2"/>
        <w:spacing w:line="360" w:lineRule="auto"/>
        <w:rPr>
          <w:b/>
          <w:color w:val="auto"/>
          <w:sz w:val="22"/>
          <w:szCs w:val="22"/>
        </w:rPr>
      </w:pPr>
      <w:bookmarkStart w:id="182" w:name="_Toc45200547"/>
      <w:bookmarkStart w:id="183" w:name="_Toc48136438"/>
      <w:r w:rsidRPr="00734AB6">
        <w:rPr>
          <w:b/>
          <w:color w:val="auto"/>
          <w:sz w:val="22"/>
          <w:szCs w:val="22"/>
        </w:rPr>
        <w:t>C(v)</w:t>
      </w:r>
      <w:r w:rsidRPr="00734AB6">
        <w:rPr>
          <w:b/>
          <w:color w:val="auto"/>
          <w:sz w:val="22"/>
          <w:szCs w:val="22"/>
        </w:rPr>
        <w:tab/>
        <w:t>Current studies</w:t>
      </w:r>
      <w:bookmarkEnd w:id="182"/>
      <w:bookmarkEnd w:id="183"/>
    </w:p>
    <w:p w14:paraId="07DFB60B" w14:textId="0ACB209A"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C.2</w:t>
      </w:r>
      <w:r w:rsidRPr="00734AB6">
        <w:rPr>
          <w:rFonts w:asciiTheme="majorHAnsi" w:hAnsiTheme="majorHAnsi"/>
          <w:b/>
        </w:rPr>
        <w:t>. Currently studying for a qualification</w:t>
      </w:r>
    </w:p>
    <w:tbl>
      <w:tblPr>
        <w:tblW w:w="7797" w:type="dxa"/>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2552"/>
        <w:gridCol w:w="2410"/>
      </w:tblGrid>
      <w:tr w:rsidR="004676EF" w:rsidRPr="00734AB6" w14:paraId="7DE70E66" w14:textId="77777777" w:rsidTr="004676EF">
        <w:trPr>
          <w:trHeight w:val="281"/>
        </w:trPr>
        <w:tc>
          <w:tcPr>
            <w:tcW w:w="2835" w:type="dxa"/>
          </w:tcPr>
          <w:p w14:paraId="2C576DA8" w14:textId="77777777" w:rsidR="004676EF" w:rsidRPr="00734AB6" w:rsidRDefault="004676EF" w:rsidP="0099584D">
            <w:pPr>
              <w:tabs>
                <w:tab w:val="left" w:pos="1985"/>
                <w:tab w:val="left" w:pos="5812"/>
              </w:tabs>
              <w:spacing w:line="360" w:lineRule="auto"/>
              <w:rPr>
                <w:rFonts w:asciiTheme="majorHAnsi" w:hAnsiTheme="majorHAnsi"/>
                <w:b/>
              </w:rPr>
            </w:pPr>
          </w:p>
        </w:tc>
        <w:tc>
          <w:tcPr>
            <w:tcW w:w="2552" w:type="dxa"/>
          </w:tcPr>
          <w:p w14:paraId="31169F9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410" w:type="dxa"/>
          </w:tcPr>
          <w:p w14:paraId="4BF4803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2F75D468" w14:textId="77777777" w:rsidTr="004676EF">
        <w:tc>
          <w:tcPr>
            <w:tcW w:w="2835" w:type="dxa"/>
            <w:tcBorders>
              <w:bottom w:val="single" w:sz="4" w:space="0" w:color="auto"/>
            </w:tcBorders>
          </w:tcPr>
          <w:p w14:paraId="24205226" w14:textId="77777777" w:rsidR="004676EF" w:rsidRPr="00734AB6" w:rsidRDefault="004676EF" w:rsidP="0099584D">
            <w:pPr>
              <w:tabs>
                <w:tab w:val="left" w:pos="1985"/>
                <w:tab w:val="left" w:pos="5812"/>
              </w:tabs>
              <w:spacing w:line="360" w:lineRule="auto"/>
              <w:rPr>
                <w:rFonts w:asciiTheme="majorHAnsi" w:hAnsiTheme="majorHAnsi"/>
                <w:b/>
              </w:rPr>
            </w:pPr>
            <w:r w:rsidRPr="00734AB6">
              <w:rPr>
                <w:rFonts w:asciiTheme="majorHAnsi" w:hAnsiTheme="majorHAnsi"/>
                <w:b/>
              </w:rPr>
              <w:t>Currently studying for a qualification</w:t>
            </w:r>
          </w:p>
        </w:tc>
        <w:tc>
          <w:tcPr>
            <w:tcW w:w="2552" w:type="dxa"/>
            <w:tcBorders>
              <w:bottom w:val="single" w:sz="4" w:space="0" w:color="auto"/>
            </w:tcBorders>
          </w:tcPr>
          <w:p w14:paraId="06FC2F49" w14:textId="77777777" w:rsidR="004676EF" w:rsidRPr="00734AB6" w:rsidRDefault="004676EF" w:rsidP="0099584D">
            <w:pPr>
              <w:spacing w:line="360" w:lineRule="auto"/>
              <w:rPr>
                <w:rFonts w:asciiTheme="majorHAnsi" w:hAnsiTheme="majorHAnsi"/>
              </w:rPr>
            </w:pPr>
          </w:p>
        </w:tc>
        <w:tc>
          <w:tcPr>
            <w:tcW w:w="2410" w:type="dxa"/>
            <w:tcBorders>
              <w:bottom w:val="single" w:sz="4" w:space="0" w:color="auto"/>
            </w:tcBorders>
          </w:tcPr>
          <w:p w14:paraId="13AEAED5" w14:textId="77777777" w:rsidR="004676EF" w:rsidRPr="00734AB6" w:rsidRDefault="004676EF" w:rsidP="0099584D">
            <w:pPr>
              <w:spacing w:line="360" w:lineRule="auto"/>
              <w:rPr>
                <w:rFonts w:asciiTheme="majorHAnsi" w:hAnsiTheme="majorHAnsi"/>
              </w:rPr>
            </w:pPr>
          </w:p>
        </w:tc>
      </w:tr>
      <w:tr w:rsidR="004676EF" w:rsidRPr="00734AB6" w14:paraId="31462647" w14:textId="77777777" w:rsidTr="004676EF">
        <w:trPr>
          <w:trHeight w:val="304"/>
        </w:trPr>
        <w:tc>
          <w:tcPr>
            <w:tcW w:w="2835" w:type="dxa"/>
            <w:tcBorders>
              <w:bottom w:val="nil"/>
            </w:tcBorders>
          </w:tcPr>
          <w:p w14:paraId="56626801" w14:textId="77777777" w:rsidR="004676EF" w:rsidRPr="00734AB6" w:rsidRDefault="004676EF" w:rsidP="0099584D">
            <w:pPr>
              <w:spacing w:line="360" w:lineRule="auto"/>
              <w:rPr>
                <w:rFonts w:asciiTheme="majorHAnsi" w:hAnsiTheme="majorHAnsi"/>
              </w:rPr>
            </w:pPr>
            <w:r w:rsidRPr="00734AB6">
              <w:rPr>
                <w:rFonts w:asciiTheme="majorHAnsi" w:hAnsiTheme="majorHAnsi"/>
              </w:rPr>
              <w:t>Yes</w:t>
            </w:r>
            <w:r w:rsidRPr="00734AB6">
              <w:rPr>
                <w:rFonts w:asciiTheme="majorHAnsi" w:hAnsiTheme="majorHAnsi"/>
              </w:rPr>
              <w:tab/>
            </w:r>
          </w:p>
        </w:tc>
        <w:tc>
          <w:tcPr>
            <w:tcW w:w="2552" w:type="dxa"/>
            <w:tcBorders>
              <w:bottom w:val="nil"/>
            </w:tcBorders>
          </w:tcPr>
          <w:p w14:paraId="183CE07B" w14:textId="77777777" w:rsidR="004676EF" w:rsidRPr="00734AB6" w:rsidRDefault="004676EF" w:rsidP="0099584D">
            <w:pPr>
              <w:spacing w:line="360" w:lineRule="auto"/>
              <w:rPr>
                <w:rFonts w:asciiTheme="majorHAnsi" w:hAnsiTheme="majorHAnsi"/>
              </w:rPr>
            </w:pPr>
            <w:r w:rsidRPr="00734AB6">
              <w:rPr>
                <w:rFonts w:asciiTheme="majorHAnsi" w:hAnsiTheme="majorHAnsi"/>
              </w:rPr>
              <w:t>24 (51.1)</w:t>
            </w:r>
          </w:p>
        </w:tc>
        <w:tc>
          <w:tcPr>
            <w:tcW w:w="2410" w:type="dxa"/>
            <w:tcBorders>
              <w:bottom w:val="nil"/>
            </w:tcBorders>
          </w:tcPr>
          <w:p w14:paraId="727C9AA8" w14:textId="77777777" w:rsidR="004676EF" w:rsidRPr="00734AB6" w:rsidRDefault="004676EF" w:rsidP="0099584D">
            <w:pPr>
              <w:spacing w:line="360" w:lineRule="auto"/>
              <w:rPr>
                <w:rFonts w:asciiTheme="majorHAnsi" w:hAnsiTheme="majorHAnsi"/>
              </w:rPr>
            </w:pPr>
            <w:r w:rsidRPr="00734AB6">
              <w:rPr>
                <w:rFonts w:asciiTheme="majorHAnsi" w:hAnsiTheme="majorHAnsi"/>
              </w:rPr>
              <w:t>38 (88.4)</w:t>
            </w:r>
          </w:p>
        </w:tc>
      </w:tr>
      <w:tr w:rsidR="004676EF" w:rsidRPr="00734AB6" w14:paraId="29005793" w14:textId="77777777" w:rsidTr="004676EF">
        <w:tc>
          <w:tcPr>
            <w:tcW w:w="2835" w:type="dxa"/>
            <w:tcBorders>
              <w:top w:val="nil"/>
            </w:tcBorders>
          </w:tcPr>
          <w:p w14:paraId="6B374662" w14:textId="77777777" w:rsidR="004676EF" w:rsidRPr="00734AB6" w:rsidRDefault="004676EF" w:rsidP="0099584D">
            <w:pPr>
              <w:spacing w:line="360" w:lineRule="auto"/>
              <w:rPr>
                <w:rFonts w:asciiTheme="majorHAnsi" w:hAnsiTheme="majorHAnsi"/>
              </w:rPr>
            </w:pPr>
            <w:r w:rsidRPr="00734AB6">
              <w:rPr>
                <w:rFonts w:asciiTheme="majorHAnsi" w:hAnsiTheme="majorHAnsi"/>
              </w:rPr>
              <w:t>No</w:t>
            </w:r>
          </w:p>
        </w:tc>
        <w:tc>
          <w:tcPr>
            <w:tcW w:w="2552" w:type="dxa"/>
            <w:tcBorders>
              <w:top w:val="nil"/>
            </w:tcBorders>
          </w:tcPr>
          <w:p w14:paraId="42942094" w14:textId="77777777" w:rsidR="004676EF" w:rsidRPr="00734AB6" w:rsidRDefault="004676EF" w:rsidP="0099584D">
            <w:pPr>
              <w:spacing w:line="360" w:lineRule="auto"/>
              <w:rPr>
                <w:rFonts w:asciiTheme="majorHAnsi" w:hAnsiTheme="majorHAnsi"/>
              </w:rPr>
            </w:pPr>
            <w:r w:rsidRPr="00734AB6">
              <w:rPr>
                <w:rFonts w:asciiTheme="majorHAnsi" w:hAnsiTheme="majorHAnsi"/>
              </w:rPr>
              <w:t>23 (48.9)</w:t>
            </w:r>
          </w:p>
        </w:tc>
        <w:tc>
          <w:tcPr>
            <w:tcW w:w="2410" w:type="dxa"/>
            <w:tcBorders>
              <w:top w:val="nil"/>
            </w:tcBorders>
          </w:tcPr>
          <w:p w14:paraId="47B294B9" w14:textId="77777777" w:rsidR="004676EF" w:rsidRPr="00734AB6" w:rsidRDefault="004676EF" w:rsidP="0099584D">
            <w:pPr>
              <w:spacing w:line="360" w:lineRule="auto"/>
              <w:rPr>
                <w:rFonts w:asciiTheme="majorHAnsi" w:hAnsiTheme="majorHAnsi"/>
              </w:rPr>
            </w:pPr>
            <w:r w:rsidRPr="00734AB6">
              <w:rPr>
                <w:rFonts w:asciiTheme="majorHAnsi" w:hAnsiTheme="majorHAnsi"/>
              </w:rPr>
              <w:t>5 (11.6)</w:t>
            </w:r>
          </w:p>
        </w:tc>
      </w:tr>
      <w:tr w:rsidR="004676EF" w:rsidRPr="00734AB6" w14:paraId="72871726" w14:textId="77777777" w:rsidTr="004676EF">
        <w:tc>
          <w:tcPr>
            <w:tcW w:w="2835" w:type="dxa"/>
            <w:tcBorders>
              <w:bottom w:val="single" w:sz="4" w:space="0" w:color="auto"/>
            </w:tcBorders>
          </w:tcPr>
          <w:p w14:paraId="0D2C5821"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b/>
              </w:rPr>
              <w:t>Course type</w:t>
            </w:r>
          </w:p>
        </w:tc>
        <w:tc>
          <w:tcPr>
            <w:tcW w:w="2552" w:type="dxa"/>
            <w:tcBorders>
              <w:bottom w:val="single" w:sz="4" w:space="0" w:color="auto"/>
            </w:tcBorders>
          </w:tcPr>
          <w:p w14:paraId="793DA687" w14:textId="77777777" w:rsidR="004676EF" w:rsidRPr="00734AB6" w:rsidRDefault="004676EF" w:rsidP="0099584D">
            <w:pPr>
              <w:spacing w:line="360" w:lineRule="auto"/>
              <w:rPr>
                <w:rFonts w:asciiTheme="majorHAnsi" w:hAnsiTheme="majorHAnsi"/>
              </w:rPr>
            </w:pPr>
          </w:p>
        </w:tc>
        <w:tc>
          <w:tcPr>
            <w:tcW w:w="2410" w:type="dxa"/>
            <w:tcBorders>
              <w:bottom w:val="single" w:sz="4" w:space="0" w:color="auto"/>
            </w:tcBorders>
          </w:tcPr>
          <w:p w14:paraId="4D2A8041" w14:textId="77777777" w:rsidR="004676EF" w:rsidRPr="00734AB6" w:rsidRDefault="004676EF" w:rsidP="0099584D">
            <w:pPr>
              <w:spacing w:line="360" w:lineRule="auto"/>
              <w:rPr>
                <w:rFonts w:asciiTheme="majorHAnsi" w:hAnsiTheme="majorHAnsi"/>
              </w:rPr>
            </w:pPr>
          </w:p>
        </w:tc>
      </w:tr>
      <w:tr w:rsidR="004676EF" w:rsidRPr="00734AB6" w14:paraId="459796B5" w14:textId="77777777" w:rsidTr="004676EF">
        <w:tc>
          <w:tcPr>
            <w:tcW w:w="2835" w:type="dxa"/>
            <w:tcBorders>
              <w:bottom w:val="nil"/>
            </w:tcBorders>
          </w:tcPr>
          <w:p w14:paraId="43900F54"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rPr>
              <w:t>Vocational</w:t>
            </w:r>
          </w:p>
        </w:tc>
        <w:tc>
          <w:tcPr>
            <w:tcW w:w="2552" w:type="dxa"/>
            <w:tcBorders>
              <w:bottom w:val="nil"/>
            </w:tcBorders>
          </w:tcPr>
          <w:p w14:paraId="08A8F38B"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1 (4.2) </w:t>
            </w:r>
          </w:p>
        </w:tc>
        <w:tc>
          <w:tcPr>
            <w:tcW w:w="2410" w:type="dxa"/>
            <w:tcBorders>
              <w:bottom w:val="nil"/>
            </w:tcBorders>
          </w:tcPr>
          <w:p w14:paraId="5493CFC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38D44D7F" w14:textId="77777777" w:rsidTr="004676EF">
        <w:tc>
          <w:tcPr>
            <w:tcW w:w="2835" w:type="dxa"/>
            <w:tcBorders>
              <w:top w:val="nil"/>
              <w:bottom w:val="nil"/>
            </w:tcBorders>
          </w:tcPr>
          <w:p w14:paraId="637D702C"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rPr>
              <w:t>CPD</w:t>
            </w:r>
          </w:p>
        </w:tc>
        <w:tc>
          <w:tcPr>
            <w:tcW w:w="2552" w:type="dxa"/>
            <w:tcBorders>
              <w:top w:val="nil"/>
              <w:bottom w:val="nil"/>
            </w:tcBorders>
          </w:tcPr>
          <w:p w14:paraId="5E4540B1" w14:textId="77777777" w:rsidR="004676EF" w:rsidRPr="00734AB6" w:rsidRDefault="004676EF" w:rsidP="0099584D">
            <w:pPr>
              <w:spacing w:line="360" w:lineRule="auto"/>
              <w:rPr>
                <w:rFonts w:asciiTheme="majorHAnsi" w:hAnsiTheme="majorHAnsi"/>
              </w:rPr>
            </w:pPr>
            <w:r w:rsidRPr="00734AB6">
              <w:rPr>
                <w:rFonts w:asciiTheme="majorHAnsi" w:hAnsiTheme="majorHAnsi"/>
              </w:rPr>
              <w:t>1 (4.2)</w:t>
            </w:r>
          </w:p>
        </w:tc>
        <w:tc>
          <w:tcPr>
            <w:tcW w:w="2410" w:type="dxa"/>
            <w:tcBorders>
              <w:top w:val="nil"/>
              <w:bottom w:val="nil"/>
            </w:tcBorders>
          </w:tcPr>
          <w:p w14:paraId="21CFB80B" w14:textId="77777777" w:rsidR="004676EF" w:rsidRPr="00734AB6" w:rsidRDefault="004676EF" w:rsidP="0099584D">
            <w:pPr>
              <w:spacing w:line="360" w:lineRule="auto"/>
              <w:rPr>
                <w:rFonts w:asciiTheme="majorHAnsi" w:hAnsiTheme="majorHAnsi"/>
              </w:rPr>
            </w:pPr>
            <w:r w:rsidRPr="00734AB6">
              <w:rPr>
                <w:rFonts w:asciiTheme="majorHAnsi" w:hAnsiTheme="majorHAnsi"/>
              </w:rPr>
              <w:t>2 (4.7)</w:t>
            </w:r>
          </w:p>
        </w:tc>
      </w:tr>
      <w:tr w:rsidR="004676EF" w:rsidRPr="00734AB6" w14:paraId="581305A3" w14:textId="77777777" w:rsidTr="004676EF">
        <w:tc>
          <w:tcPr>
            <w:tcW w:w="2835" w:type="dxa"/>
            <w:tcBorders>
              <w:top w:val="nil"/>
              <w:bottom w:val="nil"/>
            </w:tcBorders>
          </w:tcPr>
          <w:p w14:paraId="43ADD043"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rPr>
              <w:t>A levels</w:t>
            </w:r>
          </w:p>
        </w:tc>
        <w:tc>
          <w:tcPr>
            <w:tcW w:w="2552" w:type="dxa"/>
            <w:tcBorders>
              <w:top w:val="nil"/>
              <w:bottom w:val="nil"/>
            </w:tcBorders>
          </w:tcPr>
          <w:p w14:paraId="7E1B6CFB" w14:textId="77777777" w:rsidR="004676EF" w:rsidRPr="00734AB6" w:rsidRDefault="004676EF" w:rsidP="0099584D">
            <w:pPr>
              <w:spacing w:line="360" w:lineRule="auto"/>
              <w:rPr>
                <w:rFonts w:asciiTheme="majorHAnsi" w:hAnsiTheme="majorHAnsi"/>
              </w:rPr>
            </w:pPr>
            <w:r w:rsidRPr="00734AB6">
              <w:rPr>
                <w:rFonts w:asciiTheme="majorHAnsi" w:hAnsiTheme="majorHAnsi"/>
              </w:rPr>
              <w:t>2 (8.3)</w:t>
            </w:r>
          </w:p>
        </w:tc>
        <w:tc>
          <w:tcPr>
            <w:tcW w:w="2410" w:type="dxa"/>
            <w:tcBorders>
              <w:top w:val="nil"/>
              <w:bottom w:val="nil"/>
            </w:tcBorders>
          </w:tcPr>
          <w:p w14:paraId="7D30E6C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379870AB" w14:textId="77777777" w:rsidTr="004676EF">
        <w:tc>
          <w:tcPr>
            <w:tcW w:w="2835" w:type="dxa"/>
            <w:tcBorders>
              <w:top w:val="nil"/>
              <w:bottom w:val="nil"/>
            </w:tcBorders>
          </w:tcPr>
          <w:p w14:paraId="6CCC1CD9"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rPr>
              <w:t>University Bachelor's Program</w:t>
            </w:r>
          </w:p>
        </w:tc>
        <w:tc>
          <w:tcPr>
            <w:tcW w:w="2552" w:type="dxa"/>
            <w:tcBorders>
              <w:top w:val="nil"/>
              <w:bottom w:val="nil"/>
            </w:tcBorders>
          </w:tcPr>
          <w:p w14:paraId="6D7B9A7A" w14:textId="77777777" w:rsidR="004676EF" w:rsidRPr="00734AB6" w:rsidRDefault="004676EF" w:rsidP="0099584D">
            <w:pPr>
              <w:spacing w:line="360" w:lineRule="auto"/>
              <w:rPr>
                <w:rFonts w:asciiTheme="majorHAnsi" w:hAnsiTheme="majorHAnsi"/>
              </w:rPr>
            </w:pPr>
            <w:r w:rsidRPr="00734AB6">
              <w:rPr>
                <w:rFonts w:asciiTheme="majorHAnsi" w:hAnsiTheme="majorHAnsi"/>
              </w:rPr>
              <w:t>10 (41.7)</w:t>
            </w:r>
          </w:p>
        </w:tc>
        <w:tc>
          <w:tcPr>
            <w:tcW w:w="2410" w:type="dxa"/>
            <w:tcBorders>
              <w:top w:val="nil"/>
              <w:bottom w:val="nil"/>
            </w:tcBorders>
          </w:tcPr>
          <w:p w14:paraId="39E23F05" w14:textId="77777777" w:rsidR="004676EF" w:rsidRPr="00734AB6" w:rsidRDefault="004676EF" w:rsidP="0099584D">
            <w:pPr>
              <w:spacing w:line="360" w:lineRule="auto"/>
              <w:rPr>
                <w:rFonts w:asciiTheme="majorHAnsi" w:hAnsiTheme="majorHAnsi"/>
              </w:rPr>
            </w:pPr>
            <w:r w:rsidRPr="00734AB6">
              <w:rPr>
                <w:rFonts w:asciiTheme="majorHAnsi" w:hAnsiTheme="majorHAnsi"/>
              </w:rPr>
              <w:t>32 (74.4)</w:t>
            </w:r>
          </w:p>
        </w:tc>
      </w:tr>
      <w:tr w:rsidR="004676EF" w:rsidRPr="00734AB6" w14:paraId="6275F0C2" w14:textId="77777777" w:rsidTr="004676EF">
        <w:tc>
          <w:tcPr>
            <w:tcW w:w="2835" w:type="dxa"/>
            <w:tcBorders>
              <w:top w:val="nil"/>
              <w:bottom w:val="nil"/>
            </w:tcBorders>
          </w:tcPr>
          <w:p w14:paraId="6E271F65"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rPr>
              <w:t>University Master's Program</w:t>
            </w:r>
          </w:p>
        </w:tc>
        <w:tc>
          <w:tcPr>
            <w:tcW w:w="2552" w:type="dxa"/>
            <w:tcBorders>
              <w:top w:val="nil"/>
              <w:bottom w:val="nil"/>
            </w:tcBorders>
          </w:tcPr>
          <w:p w14:paraId="6DEC4646" w14:textId="77777777" w:rsidR="004676EF" w:rsidRPr="00734AB6" w:rsidRDefault="004676EF" w:rsidP="0099584D">
            <w:pPr>
              <w:spacing w:line="360" w:lineRule="auto"/>
              <w:rPr>
                <w:rFonts w:asciiTheme="majorHAnsi" w:hAnsiTheme="majorHAnsi"/>
              </w:rPr>
            </w:pPr>
            <w:r w:rsidRPr="00734AB6">
              <w:rPr>
                <w:rFonts w:asciiTheme="majorHAnsi" w:hAnsiTheme="majorHAnsi"/>
              </w:rPr>
              <w:t>5 (20.8)</w:t>
            </w:r>
          </w:p>
        </w:tc>
        <w:tc>
          <w:tcPr>
            <w:tcW w:w="2410" w:type="dxa"/>
            <w:tcBorders>
              <w:top w:val="nil"/>
              <w:bottom w:val="nil"/>
            </w:tcBorders>
          </w:tcPr>
          <w:p w14:paraId="1C50CA84" w14:textId="77777777" w:rsidR="004676EF" w:rsidRPr="00734AB6" w:rsidRDefault="004676EF" w:rsidP="0099584D">
            <w:pPr>
              <w:spacing w:line="360" w:lineRule="auto"/>
              <w:rPr>
                <w:rFonts w:asciiTheme="majorHAnsi" w:hAnsiTheme="majorHAnsi"/>
              </w:rPr>
            </w:pPr>
            <w:r w:rsidRPr="00734AB6">
              <w:rPr>
                <w:rFonts w:asciiTheme="majorHAnsi" w:hAnsiTheme="majorHAnsi"/>
              </w:rPr>
              <w:t>2 (4.7)</w:t>
            </w:r>
          </w:p>
        </w:tc>
      </w:tr>
      <w:tr w:rsidR="004676EF" w:rsidRPr="00734AB6" w14:paraId="517E64B4" w14:textId="77777777" w:rsidTr="004676EF">
        <w:tc>
          <w:tcPr>
            <w:tcW w:w="2835" w:type="dxa"/>
            <w:tcBorders>
              <w:top w:val="nil"/>
            </w:tcBorders>
          </w:tcPr>
          <w:p w14:paraId="61A23544" w14:textId="77777777" w:rsidR="004676EF" w:rsidRPr="00734AB6" w:rsidRDefault="004676EF" w:rsidP="0099584D">
            <w:pPr>
              <w:tabs>
                <w:tab w:val="left" w:pos="993"/>
                <w:tab w:val="left" w:pos="5812"/>
              </w:tabs>
              <w:spacing w:line="360" w:lineRule="auto"/>
              <w:rPr>
                <w:rFonts w:asciiTheme="majorHAnsi" w:hAnsiTheme="majorHAnsi"/>
                <w:b/>
              </w:rPr>
            </w:pPr>
            <w:r w:rsidRPr="00734AB6">
              <w:rPr>
                <w:rFonts w:asciiTheme="majorHAnsi" w:hAnsiTheme="majorHAnsi"/>
              </w:rPr>
              <w:t>Doctoral Studies</w:t>
            </w:r>
          </w:p>
        </w:tc>
        <w:tc>
          <w:tcPr>
            <w:tcW w:w="2552" w:type="dxa"/>
            <w:tcBorders>
              <w:top w:val="nil"/>
            </w:tcBorders>
          </w:tcPr>
          <w:p w14:paraId="26E25609" w14:textId="77777777" w:rsidR="004676EF" w:rsidRPr="00734AB6" w:rsidRDefault="004676EF" w:rsidP="0099584D">
            <w:pPr>
              <w:spacing w:line="360" w:lineRule="auto"/>
              <w:rPr>
                <w:rFonts w:asciiTheme="majorHAnsi" w:hAnsiTheme="majorHAnsi"/>
              </w:rPr>
            </w:pPr>
            <w:r w:rsidRPr="00734AB6">
              <w:rPr>
                <w:rFonts w:asciiTheme="majorHAnsi" w:hAnsiTheme="majorHAnsi"/>
              </w:rPr>
              <w:t>5 (20.8)</w:t>
            </w:r>
          </w:p>
        </w:tc>
        <w:tc>
          <w:tcPr>
            <w:tcW w:w="2410" w:type="dxa"/>
            <w:tcBorders>
              <w:top w:val="nil"/>
            </w:tcBorders>
          </w:tcPr>
          <w:p w14:paraId="540B5310"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bl>
    <w:p w14:paraId="78EA29B3"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4A4EAFD6" w14:textId="77777777" w:rsidR="004676EF" w:rsidRPr="00734AB6" w:rsidRDefault="004676EF" w:rsidP="00EF7585">
      <w:pPr>
        <w:pBdr>
          <w:top w:val="double" w:sz="4" w:space="1" w:color="auto"/>
        </w:pBdr>
        <w:spacing w:line="360" w:lineRule="auto"/>
        <w:rPr>
          <w:rFonts w:asciiTheme="majorHAnsi" w:hAnsiTheme="majorHAnsi"/>
        </w:rPr>
      </w:pPr>
    </w:p>
    <w:p w14:paraId="47BC8FAA" w14:textId="0FBA4E8F" w:rsidR="004676EF" w:rsidRPr="00734AB6" w:rsidRDefault="004676EF" w:rsidP="0099584D">
      <w:pPr>
        <w:pStyle w:val="Heading2"/>
        <w:spacing w:line="360" w:lineRule="auto"/>
        <w:rPr>
          <w:b/>
          <w:color w:val="000000" w:themeColor="text1"/>
          <w:sz w:val="22"/>
          <w:szCs w:val="22"/>
        </w:rPr>
      </w:pPr>
      <w:bookmarkStart w:id="184" w:name="_Toc45200548"/>
      <w:bookmarkStart w:id="185" w:name="_Toc48136439"/>
      <w:r w:rsidRPr="00734AB6">
        <w:rPr>
          <w:b/>
          <w:color w:val="000000" w:themeColor="text1"/>
          <w:sz w:val="22"/>
          <w:szCs w:val="22"/>
        </w:rPr>
        <w:t>C(vi)</w:t>
      </w:r>
      <w:r w:rsidRPr="00734AB6">
        <w:rPr>
          <w:b/>
          <w:color w:val="000000" w:themeColor="text1"/>
          <w:sz w:val="22"/>
          <w:szCs w:val="22"/>
        </w:rPr>
        <w:tab/>
        <w:t>Employment</w:t>
      </w:r>
      <w:bookmarkEnd w:id="184"/>
      <w:bookmarkEnd w:id="185"/>
    </w:p>
    <w:p w14:paraId="27E04E51" w14:textId="48C568CD"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C.3</w:t>
      </w:r>
      <w:r w:rsidRPr="00734AB6">
        <w:rPr>
          <w:rFonts w:asciiTheme="majorHAnsi" w:hAnsiTheme="majorHAnsi"/>
          <w:b/>
        </w:rPr>
        <w:t>.</w:t>
      </w:r>
      <w:r w:rsidRPr="00734AB6">
        <w:rPr>
          <w:rFonts w:asciiTheme="majorHAnsi" w:hAnsiTheme="majorHAnsi"/>
          <w:b/>
        </w:rPr>
        <w:tab/>
        <w:t>Employment status</w:t>
      </w:r>
    </w:p>
    <w:tbl>
      <w:tblPr>
        <w:tblW w:w="9026" w:type="dxa"/>
        <w:tblBorders>
          <w:top w:val="single" w:sz="4" w:space="0" w:color="auto"/>
          <w:bottom w:val="single" w:sz="4" w:space="0" w:color="auto"/>
          <w:insideH w:val="single" w:sz="4" w:space="0" w:color="auto"/>
        </w:tblBorders>
        <w:tblLook w:val="04A0" w:firstRow="1" w:lastRow="0" w:firstColumn="1" w:lastColumn="0" w:noHBand="0" w:noVBand="1"/>
      </w:tblPr>
      <w:tblGrid>
        <w:gridCol w:w="3008"/>
        <w:gridCol w:w="3009"/>
        <w:gridCol w:w="3009"/>
      </w:tblGrid>
      <w:tr w:rsidR="004676EF" w:rsidRPr="00734AB6" w14:paraId="0D2C279E" w14:textId="77777777" w:rsidTr="004676EF">
        <w:trPr>
          <w:trHeight w:val="281"/>
        </w:trPr>
        <w:tc>
          <w:tcPr>
            <w:tcW w:w="3008" w:type="dxa"/>
          </w:tcPr>
          <w:p w14:paraId="63293FEE" w14:textId="77777777" w:rsidR="004676EF" w:rsidRPr="00734AB6" w:rsidRDefault="004676EF" w:rsidP="0099584D">
            <w:pPr>
              <w:tabs>
                <w:tab w:val="left" w:pos="1985"/>
                <w:tab w:val="left" w:pos="5812"/>
              </w:tabs>
              <w:spacing w:line="360" w:lineRule="auto"/>
              <w:rPr>
                <w:rFonts w:asciiTheme="majorHAnsi" w:hAnsiTheme="majorHAnsi"/>
                <w:b/>
              </w:rPr>
            </w:pPr>
            <w:r w:rsidRPr="00734AB6">
              <w:rPr>
                <w:rFonts w:asciiTheme="majorHAnsi" w:hAnsiTheme="majorHAnsi"/>
                <w:b/>
              </w:rPr>
              <w:t>Employment status</w:t>
            </w:r>
          </w:p>
        </w:tc>
        <w:tc>
          <w:tcPr>
            <w:tcW w:w="3009" w:type="dxa"/>
          </w:tcPr>
          <w:p w14:paraId="40868AB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3009" w:type="dxa"/>
          </w:tcPr>
          <w:p w14:paraId="0485697A"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1D39B7D3" w14:textId="77777777" w:rsidTr="004676EF">
        <w:trPr>
          <w:trHeight w:val="304"/>
        </w:trPr>
        <w:tc>
          <w:tcPr>
            <w:tcW w:w="3008" w:type="dxa"/>
            <w:tcBorders>
              <w:bottom w:val="nil"/>
            </w:tcBorders>
          </w:tcPr>
          <w:p w14:paraId="71F89803" w14:textId="77777777" w:rsidR="004676EF" w:rsidRPr="00734AB6" w:rsidRDefault="004676EF" w:rsidP="0099584D">
            <w:pPr>
              <w:spacing w:line="360" w:lineRule="auto"/>
              <w:rPr>
                <w:rFonts w:asciiTheme="majorHAnsi" w:hAnsiTheme="majorHAnsi"/>
              </w:rPr>
            </w:pPr>
            <w:r w:rsidRPr="00734AB6">
              <w:rPr>
                <w:rFonts w:asciiTheme="majorHAnsi" w:hAnsiTheme="majorHAnsi"/>
              </w:rPr>
              <w:t>Full-time paid</w:t>
            </w:r>
          </w:p>
        </w:tc>
        <w:tc>
          <w:tcPr>
            <w:tcW w:w="3009" w:type="dxa"/>
            <w:tcBorders>
              <w:bottom w:val="nil"/>
            </w:tcBorders>
          </w:tcPr>
          <w:p w14:paraId="68EC8D18" w14:textId="77777777" w:rsidR="004676EF" w:rsidRPr="00734AB6" w:rsidRDefault="004676EF" w:rsidP="0099584D">
            <w:pPr>
              <w:spacing w:line="360" w:lineRule="auto"/>
              <w:rPr>
                <w:rFonts w:asciiTheme="majorHAnsi" w:hAnsiTheme="majorHAnsi"/>
              </w:rPr>
            </w:pPr>
            <w:r w:rsidRPr="00734AB6">
              <w:rPr>
                <w:rFonts w:asciiTheme="majorHAnsi" w:hAnsiTheme="majorHAnsi"/>
              </w:rPr>
              <w:t>26 (55.3)</w:t>
            </w:r>
          </w:p>
        </w:tc>
        <w:tc>
          <w:tcPr>
            <w:tcW w:w="3009" w:type="dxa"/>
            <w:tcBorders>
              <w:bottom w:val="nil"/>
            </w:tcBorders>
          </w:tcPr>
          <w:p w14:paraId="55EDC209" w14:textId="77777777" w:rsidR="004676EF" w:rsidRPr="00734AB6" w:rsidRDefault="004676EF" w:rsidP="0099584D">
            <w:pPr>
              <w:spacing w:line="360" w:lineRule="auto"/>
              <w:rPr>
                <w:rFonts w:asciiTheme="majorHAnsi" w:hAnsiTheme="majorHAnsi"/>
              </w:rPr>
            </w:pPr>
            <w:r w:rsidRPr="00734AB6">
              <w:rPr>
                <w:rFonts w:asciiTheme="majorHAnsi" w:hAnsiTheme="majorHAnsi"/>
              </w:rPr>
              <w:t>8 (18.6)</w:t>
            </w:r>
          </w:p>
        </w:tc>
      </w:tr>
      <w:tr w:rsidR="004676EF" w:rsidRPr="00734AB6" w14:paraId="36693453" w14:textId="77777777" w:rsidTr="004676EF">
        <w:tc>
          <w:tcPr>
            <w:tcW w:w="3008" w:type="dxa"/>
            <w:tcBorders>
              <w:top w:val="nil"/>
              <w:bottom w:val="nil"/>
            </w:tcBorders>
          </w:tcPr>
          <w:p w14:paraId="4A4DEA5A" w14:textId="77777777" w:rsidR="004676EF" w:rsidRPr="00734AB6" w:rsidRDefault="004676EF" w:rsidP="0099584D">
            <w:pPr>
              <w:spacing w:line="360" w:lineRule="auto"/>
              <w:rPr>
                <w:rFonts w:asciiTheme="majorHAnsi" w:hAnsiTheme="majorHAnsi"/>
              </w:rPr>
            </w:pPr>
            <w:r w:rsidRPr="00734AB6">
              <w:rPr>
                <w:rFonts w:asciiTheme="majorHAnsi" w:hAnsiTheme="majorHAnsi"/>
              </w:rPr>
              <w:t>Part-time paid</w:t>
            </w:r>
          </w:p>
        </w:tc>
        <w:tc>
          <w:tcPr>
            <w:tcW w:w="3009" w:type="dxa"/>
            <w:tcBorders>
              <w:top w:val="nil"/>
              <w:bottom w:val="nil"/>
            </w:tcBorders>
          </w:tcPr>
          <w:p w14:paraId="2A244A3A" w14:textId="77777777" w:rsidR="004676EF" w:rsidRPr="00734AB6" w:rsidRDefault="004676EF" w:rsidP="0099584D">
            <w:pPr>
              <w:spacing w:line="360" w:lineRule="auto"/>
              <w:rPr>
                <w:rFonts w:asciiTheme="majorHAnsi" w:hAnsiTheme="majorHAnsi"/>
              </w:rPr>
            </w:pPr>
            <w:r w:rsidRPr="00734AB6">
              <w:rPr>
                <w:rFonts w:asciiTheme="majorHAnsi" w:hAnsiTheme="majorHAnsi"/>
              </w:rPr>
              <w:t>10 (21.3)</w:t>
            </w:r>
          </w:p>
        </w:tc>
        <w:tc>
          <w:tcPr>
            <w:tcW w:w="3009" w:type="dxa"/>
            <w:tcBorders>
              <w:top w:val="nil"/>
              <w:bottom w:val="nil"/>
            </w:tcBorders>
          </w:tcPr>
          <w:p w14:paraId="4D404A24" w14:textId="77777777" w:rsidR="004676EF" w:rsidRPr="00734AB6" w:rsidRDefault="004676EF" w:rsidP="0099584D">
            <w:pPr>
              <w:spacing w:line="360" w:lineRule="auto"/>
              <w:rPr>
                <w:rFonts w:asciiTheme="majorHAnsi" w:hAnsiTheme="majorHAnsi"/>
              </w:rPr>
            </w:pPr>
            <w:r w:rsidRPr="00734AB6">
              <w:rPr>
                <w:rFonts w:asciiTheme="majorHAnsi" w:hAnsiTheme="majorHAnsi"/>
              </w:rPr>
              <w:t>21 (48.8)</w:t>
            </w:r>
          </w:p>
        </w:tc>
      </w:tr>
      <w:tr w:rsidR="004676EF" w:rsidRPr="00734AB6" w14:paraId="2800A020" w14:textId="77777777" w:rsidTr="004676EF">
        <w:tc>
          <w:tcPr>
            <w:tcW w:w="3008" w:type="dxa"/>
            <w:tcBorders>
              <w:top w:val="nil"/>
              <w:bottom w:val="nil"/>
            </w:tcBorders>
          </w:tcPr>
          <w:p w14:paraId="7D09278B" w14:textId="77777777" w:rsidR="004676EF" w:rsidRPr="00734AB6" w:rsidRDefault="004676EF" w:rsidP="0099584D">
            <w:pPr>
              <w:spacing w:line="360" w:lineRule="auto"/>
              <w:rPr>
                <w:rFonts w:asciiTheme="majorHAnsi" w:hAnsiTheme="majorHAnsi"/>
              </w:rPr>
            </w:pPr>
            <w:r w:rsidRPr="00734AB6">
              <w:rPr>
                <w:rFonts w:asciiTheme="majorHAnsi" w:hAnsiTheme="majorHAnsi"/>
              </w:rPr>
              <w:t>Part-time voluntary</w:t>
            </w:r>
          </w:p>
        </w:tc>
        <w:tc>
          <w:tcPr>
            <w:tcW w:w="3009" w:type="dxa"/>
            <w:tcBorders>
              <w:top w:val="nil"/>
              <w:bottom w:val="nil"/>
            </w:tcBorders>
          </w:tcPr>
          <w:p w14:paraId="633F0611" w14:textId="77777777" w:rsidR="004676EF" w:rsidRPr="00734AB6" w:rsidRDefault="004676EF" w:rsidP="0099584D">
            <w:pPr>
              <w:spacing w:line="360" w:lineRule="auto"/>
              <w:rPr>
                <w:rFonts w:asciiTheme="majorHAnsi" w:hAnsiTheme="majorHAnsi"/>
              </w:rPr>
            </w:pPr>
            <w:r w:rsidRPr="00734AB6">
              <w:rPr>
                <w:rFonts w:asciiTheme="majorHAnsi" w:hAnsiTheme="majorHAnsi"/>
              </w:rPr>
              <w:t>3   (6.4)</w:t>
            </w:r>
          </w:p>
        </w:tc>
        <w:tc>
          <w:tcPr>
            <w:tcW w:w="3009" w:type="dxa"/>
            <w:tcBorders>
              <w:top w:val="nil"/>
              <w:bottom w:val="nil"/>
            </w:tcBorders>
          </w:tcPr>
          <w:p w14:paraId="03D89CB6"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669E3DDA" w14:textId="77777777" w:rsidTr="004676EF">
        <w:tc>
          <w:tcPr>
            <w:tcW w:w="3008" w:type="dxa"/>
            <w:tcBorders>
              <w:top w:val="nil"/>
            </w:tcBorders>
          </w:tcPr>
          <w:p w14:paraId="3B0BB355" w14:textId="77777777" w:rsidR="004676EF" w:rsidRPr="00734AB6" w:rsidRDefault="004676EF" w:rsidP="0099584D">
            <w:pPr>
              <w:spacing w:line="360" w:lineRule="auto"/>
              <w:rPr>
                <w:rFonts w:asciiTheme="majorHAnsi" w:hAnsiTheme="majorHAnsi"/>
              </w:rPr>
            </w:pPr>
            <w:r w:rsidRPr="00734AB6">
              <w:rPr>
                <w:rFonts w:asciiTheme="majorHAnsi" w:hAnsiTheme="majorHAnsi"/>
              </w:rPr>
              <w:t>Unemployed</w:t>
            </w:r>
          </w:p>
        </w:tc>
        <w:tc>
          <w:tcPr>
            <w:tcW w:w="3009" w:type="dxa"/>
            <w:tcBorders>
              <w:top w:val="nil"/>
            </w:tcBorders>
          </w:tcPr>
          <w:p w14:paraId="4AEB9733" w14:textId="77777777" w:rsidR="004676EF" w:rsidRPr="00734AB6" w:rsidRDefault="004676EF" w:rsidP="0099584D">
            <w:pPr>
              <w:spacing w:line="360" w:lineRule="auto"/>
              <w:rPr>
                <w:rFonts w:asciiTheme="majorHAnsi" w:hAnsiTheme="majorHAnsi"/>
              </w:rPr>
            </w:pPr>
            <w:r w:rsidRPr="00734AB6">
              <w:rPr>
                <w:rFonts w:asciiTheme="majorHAnsi" w:hAnsiTheme="majorHAnsi"/>
              </w:rPr>
              <w:t>8  (17.0)</w:t>
            </w:r>
          </w:p>
        </w:tc>
        <w:tc>
          <w:tcPr>
            <w:tcW w:w="3009" w:type="dxa"/>
            <w:tcBorders>
              <w:top w:val="nil"/>
            </w:tcBorders>
          </w:tcPr>
          <w:p w14:paraId="4B1458C4" w14:textId="77777777" w:rsidR="004676EF" w:rsidRPr="00734AB6" w:rsidRDefault="004676EF" w:rsidP="0099584D">
            <w:pPr>
              <w:spacing w:line="360" w:lineRule="auto"/>
              <w:rPr>
                <w:rFonts w:asciiTheme="majorHAnsi" w:hAnsiTheme="majorHAnsi"/>
              </w:rPr>
            </w:pPr>
            <w:r w:rsidRPr="00734AB6">
              <w:rPr>
                <w:rFonts w:asciiTheme="majorHAnsi" w:hAnsiTheme="majorHAnsi"/>
              </w:rPr>
              <w:t>13 (30.2)</w:t>
            </w:r>
          </w:p>
        </w:tc>
      </w:tr>
    </w:tbl>
    <w:p w14:paraId="5FB7CE8D"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297BE8D1" w14:textId="77777777" w:rsidR="004676EF" w:rsidRPr="00734AB6" w:rsidRDefault="004676EF" w:rsidP="0099584D">
      <w:pPr>
        <w:spacing w:line="360" w:lineRule="auto"/>
        <w:rPr>
          <w:rFonts w:asciiTheme="majorHAnsi" w:hAnsiTheme="majorHAnsi"/>
        </w:rPr>
      </w:pPr>
    </w:p>
    <w:p w14:paraId="5FAEC19D" w14:textId="77777777" w:rsidR="00EF7585" w:rsidRPr="00734AB6" w:rsidRDefault="00EF7585" w:rsidP="0099584D">
      <w:pPr>
        <w:spacing w:line="360" w:lineRule="auto"/>
        <w:rPr>
          <w:rFonts w:asciiTheme="majorHAnsi" w:hAnsiTheme="majorHAnsi"/>
        </w:rPr>
      </w:pPr>
    </w:p>
    <w:p w14:paraId="4E468DE9" w14:textId="77777777" w:rsidR="00EF7585" w:rsidRPr="00734AB6" w:rsidRDefault="00EF7585" w:rsidP="00EF7585">
      <w:pPr>
        <w:pBdr>
          <w:top w:val="double" w:sz="4" w:space="1" w:color="auto"/>
        </w:pBdr>
        <w:spacing w:line="360" w:lineRule="auto"/>
        <w:rPr>
          <w:rFonts w:asciiTheme="majorHAnsi" w:hAnsiTheme="majorHAnsi"/>
        </w:rPr>
      </w:pPr>
    </w:p>
    <w:p w14:paraId="38F9BC04" w14:textId="77777777" w:rsidR="00EF7585" w:rsidRPr="00734AB6" w:rsidRDefault="00EF7585">
      <w:pPr>
        <w:rPr>
          <w:rFonts w:asciiTheme="majorHAnsi" w:eastAsiaTheme="majorEastAsia" w:hAnsiTheme="majorHAnsi" w:cstheme="majorBidi"/>
          <w:b/>
          <w:color w:val="000000" w:themeColor="text1"/>
        </w:rPr>
      </w:pPr>
      <w:bookmarkStart w:id="186" w:name="_Toc45200549"/>
      <w:r w:rsidRPr="00734AB6">
        <w:rPr>
          <w:b/>
          <w:color w:val="000000" w:themeColor="text1"/>
        </w:rPr>
        <w:br w:type="page"/>
      </w:r>
    </w:p>
    <w:p w14:paraId="119F5B7E" w14:textId="19168D39" w:rsidR="004676EF" w:rsidRPr="00734AB6" w:rsidRDefault="004676EF" w:rsidP="00EF7585">
      <w:pPr>
        <w:pStyle w:val="Heading2"/>
        <w:spacing w:before="0" w:line="360" w:lineRule="auto"/>
        <w:rPr>
          <w:b/>
          <w:color w:val="000000" w:themeColor="text1"/>
          <w:sz w:val="22"/>
          <w:szCs w:val="22"/>
        </w:rPr>
      </w:pPr>
      <w:bookmarkStart w:id="187" w:name="_Toc48136440"/>
      <w:r w:rsidRPr="00734AB6">
        <w:rPr>
          <w:b/>
          <w:color w:val="000000" w:themeColor="text1"/>
          <w:sz w:val="22"/>
          <w:szCs w:val="22"/>
        </w:rPr>
        <w:lastRenderedPageBreak/>
        <w:t>C(vii)</w:t>
      </w:r>
      <w:r w:rsidRPr="00734AB6">
        <w:rPr>
          <w:b/>
          <w:color w:val="000000" w:themeColor="text1"/>
          <w:sz w:val="22"/>
          <w:szCs w:val="22"/>
        </w:rPr>
        <w:tab/>
        <w:t xml:space="preserve">Outliers for the </w:t>
      </w:r>
      <w:proofErr w:type="spellStart"/>
      <w:r w:rsidRPr="00734AB6">
        <w:rPr>
          <w:b/>
          <w:color w:val="000000" w:themeColor="text1"/>
          <w:sz w:val="22"/>
          <w:szCs w:val="22"/>
        </w:rPr>
        <w:t>antisaccade</w:t>
      </w:r>
      <w:proofErr w:type="spellEnd"/>
      <w:r w:rsidRPr="00734AB6">
        <w:rPr>
          <w:b/>
          <w:color w:val="000000" w:themeColor="text1"/>
          <w:sz w:val="22"/>
          <w:szCs w:val="22"/>
        </w:rPr>
        <w:t>, arrow flanker and BRIEF-A</w:t>
      </w:r>
      <w:bookmarkEnd w:id="186"/>
      <w:bookmarkEnd w:id="187"/>
    </w:p>
    <w:p w14:paraId="2985A1C7" w14:textId="77777777" w:rsidR="004676EF" w:rsidRPr="00734AB6" w:rsidRDefault="004676EF" w:rsidP="00EF7585">
      <w:pPr>
        <w:spacing w:after="0" w:line="360" w:lineRule="auto"/>
        <w:rPr>
          <w:rFonts w:asciiTheme="majorHAnsi" w:hAnsiTheme="majorHAnsi"/>
        </w:rPr>
      </w:pPr>
    </w:p>
    <w:p w14:paraId="069C2132" w14:textId="7EDB4EFC" w:rsidR="004676EF" w:rsidRPr="00734AB6" w:rsidRDefault="004676EF" w:rsidP="00EF7585">
      <w:pPr>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C.4</w:t>
      </w:r>
      <w:r w:rsidRPr="00734AB6">
        <w:rPr>
          <w:rFonts w:asciiTheme="majorHAnsi" w:hAnsiTheme="majorHAnsi"/>
          <w:b/>
        </w:rPr>
        <w:t>.</w:t>
      </w:r>
      <w:r w:rsidRPr="00734AB6">
        <w:rPr>
          <w:rFonts w:asciiTheme="majorHAnsi" w:hAnsiTheme="majorHAnsi"/>
          <w:b/>
        </w:rPr>
        <w:tab/>
        <w:t>Outliers</w:t>
      </w:r>
    </w:p>
    <w:tbl>
      <w:tblPr>
        <w:tblW w:w="8364" w:type="dxa"/>
        <w:tblLook w:val="04A0" w:firstRow="1" w:lastRow="0" w:firstColumn="1" w:lastColumn="0" w:noHBand="0" w:noVBand="1"/>
      </w:tblPr>
      <w:tblGrid>
        <w:gridCol w:w="3828"/>
        <w:gridCol w:w="1984"/>
        <w:gridCol w:w="1276"/>
        <w:gridCol w:w="1276"/>
      </w:tblGrid>
      <w:tr w:rsidR="004676EF" w:rsidRPr="00734AB6" w14:paraId="46E76467" w14:textId="77777777" w:rsidTr="00EF1F62">
        <w:tc>
          <w:tcPr>
            <w:tcW w:w="3828" w:type="dxa"/>
            <w:tcBorders>
              <w:top w:val="single" w:sz="4" w:space="0" w:color="auto"/>
              <w:left w:val="nil"/>
              <w:bottom w:val="single" w:sz="4" w:space="0" w:color="auto"/>
              <w:right w:val="nil"/>
            </w:tcBorders>
          </w:tcPr>
          <w:p w14:paraId="2EB21CBC" w14:textId="77777777" w:rsidR="004676EF" w:rsidRPr="00734AB6" w:rsidRDefault="004676EF" w:rsidP="005535A9">
            <w:pPr>
              <w:spacing w:after="0" w:line="360" w:lineRule="auto"/>
              <w:rPr>
                <w:rFonts w:asciiTheme="majorHAnsi" w:hAnsiTheme="majorHAnsi"/>
                <w:b/>
              </w:rPr>
            </w:pPr>
            <w:r w:rsidRPr="00734AB6">
              <w:rPr>
                <w:rFonts w:asciiTheme="majorHAnsi" w:hAnsiTheme="majorHAnsi"/>
                <w:b/>
              </w:rPr>
              <w:t>TASK</w:t>
            </w:r>
          </w:p>
        </w:tc>
        <w:tc>
          <w:tcPr>
            <w:tcW w:w="1984" w:type="dxa"/>
            <w:tcBorders>
              <w:top w:val="single" w:sz="4" w:space="0" w:color="auto"/>
              <w:left w:val="nil"/>
              <w:bottom w:val="single" w:sz="4" w:space="0" w:color="auto"/>
              <w:right w:val="nil"/>
            </w:tcBorders>
          </w:tcPr>
          <w:p w14:paraId="02051A2A" w14:textId="77777777" w:rsidR="004676EF" w:rsidRPr="00734AB6" w:rsidRDefault="004676EF" w:rsidP="005535A9">
            <w:pPr>
              <w:spacing w:after="0" w:line="360" w:lineRule="auto"/>
              <w:rPr>
                <w:rFonts w:asciiTheme="majorHAnsi" w:hAnsiTheme="majorHAnsi"/>
                <w:b/>
              </w:rPr>
            </w:pPr>
            <w:r w:rsidRPr="00734AB6">
              <w:rPr>
                <w:rFonts w:asciiTheme="majorHAnsi" w:hAnsiTheme="majorHAnsi"/>
                <w:b/>
              </w:rPr>
              <w:t>Participant number</w:t>
            </w:r>
          </w:p>
        </w:tc>
        <w:tc>
          <w:tcPr>
            <w:tcW w:w="1276" w:type="dxa"/>
            <w:tcBorders>
              <w:top w:val="single" w:sz="4" w:space="0" w:color="auto"/>
              <w:left w:val="nil"/>
              <w:bottom w:val="single" w:sz="4" w:space="0" w:color="auto"/>
              <w:right w:val="nil"/>
            </w:tcBorders>
          </w:tcPr>
          <w:p w14:paraId="18C963C6" w14:textId="77777777" w:rsidR="004676EF" w:rsidRPr="00734AB6" w:rsidRDefault="004676EF" w:rsidP="005535A9">
            <w:pPr>
              <w:spacing w:after="0" w:line="360" w:lineRule="auto"/>
              <w:rPr>
                <w:rFonts w:asciiTheme="majorHAnsi" w:hAnsiTheme="majorHAnsi"/>
                <w:b/>
              </w:rPr>
            </w:pPr>
            <w:r w:rsidRPr="00734AB6">
              <w:rPr>
                <w:rFonts w:asciiTheme="majorHAnsi" w:hAnsiTheme="majorHAnsi"/>
                <w:b/>
              </w:rPr>
              <w:t>Data</w:t>
            </w:r>
          </w:p>
        </w:tc>
        <w:tc>
          <w:tcPr>
            <w:tcW w:w="1276" w:type="dxa"/>
            <w:tcBorders>
              <w:top w:val="single" w:sz="4" w:space="0" w:color="auto"/>
              <w:left w:val="nil"/>
              <w:bottom w:val="single" w:sz="4" w:space="0" w:color="auto"/>
              <w:right w:val="nil"/>
            </w:tcBorders>
          </w:tcPr>
          <w:p w14:paraId="01056459" w14:textId="77777777" w:rsidR="004676EF" w:rsidRPr="00734AB6" w:rsidRDefault="004676EF" w:rsidP="005535A9">
            <w:pPr>
              <w:spacing w:after="0" w:line="360" w:lineRule="auto"/>
              <w:rPr>
                <w:rFonts w:asciiTheme="majorHAnsi" w:hAnsiTheme="majorHAnsi"/>
                <w:b/>
              </w:rPr>
            </w:pPr>
            <w:r w:rsidRPr="00734AB6">
              <w:rPr>
                <w:rFonts w:asciiTheme="majorHAnsi" w:hAnsiTheme="majorHAnsi"/>
                <w:b/>
              </w:rPr>
              <w:t>No. OF SDs</w:t>
            </w:r>
          </w:p>
        </w:tc>
      </w:tr>
      <w:tr w:rsidR="004676EF" w:rsidRPr="00734AB6" w14:paraId="4264793E" w14:textId="77777777" w:rsidTr="00EF1F62">
        <w:tc>
          <w:tcPr>
            <w:tcW w:w="8364" w:type="dxa"/>
            <w:gridSpan w:val="4"/>
            <w:tcBorders>
              <w:top w:val="single" w:sz="4" w:space="0" w:color="auto"/>
              <w:left w:val="nil"/>
              <w:bottom w:val="single" w:sz="4" w:space="0" w:color="auto"/>
              <w:right w:val="nil"/>
            </w:tcBorders>
          </w:tcPr>
          <w:p w14:paraId="3603947E" w14:textId="77777777" w:rsidR="004676EF" w:rsidRPr="00734AB6" w:rsidRDefault="004676EF" w:rsidP="005535A9">
            <w:pPr>
              <w:spacing w:after="0" w:line="360" w:lineRule="auto"/>
              <w:rPr>
                <w:rFonts w:asciiTheme="majorHAnsi" w:hAnsiTheme="majorHAnsi"/>
                <w:b/>
              </w:rPr>
            </w:pPr>
            <w:proofErr w:type="spellStart"/>
            <w:r w:rsidRPr="00734AB6">
              <w:rPr>
                <w:rFonts w:asciiTheme="majorHAnsi" w:hAnsiTheme="majorHAnsi"/>
                <w:b/>
              </w:rPr>
              <w:t>Antisaccade</w:t>
            </w:r>
            <w:proofErr w:type="spellEnd"/>
            <w:r w:rsidRPr="00734AB6">
              <w:rPr>
                <w:rFonts w:asciiTheme="majorHAnsi" w:hAnsiTheme="majorHAnsi"/>
                <w:b/>
              </w:rPr>
              <w:t xml:space="preserve"> task</w:t>
            </w:r>
          </w:p>
        </w:tc>
      </w:tr>
      <w:tr w:rsidR="004676EF" w:rsidRPr="00734AB6" w14:paraId="31DF2E4E" w14:textId="77777777" w:rsidTr="007D2DCB">
        <w:tc>
          <w:tcPr>
            <w:tcW w:w="3828" w:type="dxa"/>
            <w:vMerge w:val="restart"/>
            <w:tcBorders>
              <w:left w:val="nil"/>
              <w:bottom w:val="nil"/>
              <w:right w:val="nil"/>
            </w:tcBorders>
          </w:tcPr>
          <w:p w14:paraId="238C26B4" w14:textId="77777777" w:rsidR="004676EF" w:rsidRPr="00734AB6" w:rsidRDefault="004676EF" w:rsidP="005535A9">
            <w:pPr>
              <w:spacing w:after="0" w:line="360" w:lineRule="auto"/>
              <w:rPr>
                <w:rFonts w:asciiTheme="majorHAnsi" w:hAnsiTheme="majorHAnsi"/>
              </w:rPr>
            </w:pPr>
            <w:proofErr w:type="spellStart"/>
            <w:r w:rsidRPr="00734AB6">
              <w:rPr>
                <w:rFonts w:asciiTheme="majorHAnsi" w:hAnsiTheme="majorHAnsi"/>
              </w:rPr>
              <w:t>Antisaccade</w:t>
            </w:r>
            <w:proofErr w:type="spellEnd"/>
            <w:r w:rsidRPr="00734AB6">
              <w:rPr>
                <w:rFonts w:asciiTheme="majorHAnsi" w:hAnsiTheme="majorHAnsi"/>
              </w:rPr>
              <w:t xml:space="preserve"> latency to correct errors</w:t>
            </w:r>
          </w:p>
        </w:tc>
        <w:tc>
          <w:tcPr>
            <w:tcW w:w="1984" w:type="dxa"/>
            <w:tcBorders>
              <w:left w:val="nil"/>
              <w:bottom w:val="nil"/>
              <w:right w:val="nil"/>
            </w:tcBorders>
          </w:tcPr>
          <w:p w14:paraId="52B57F7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4</w:t>
            </w:r>
          </w:p>
        </w:tc>
        <w:tc>
          <w:tcPr>
            <w:tcW w:w="1276" w:type="dxa"/>
            <w:tcBorders>
              <w:left w:val="nil"/>
              <w:bottom w:val="nil"/>
              <w:right w:val="nil"/>
            </w:tcBorders>
          </w:tcPr>
          <w:p w14:paraId="17E6C06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505.10</w:t>
            </w:r>
          </w:p>
        </w:tc>
        <w:tc>
          <w:tcPr>
            <w:tcW w:w="1276" w:type="dxa"/>
            <w:tcBorders>
              <w:left w:val="nil"/>
              <w:bottom w:val="nil"/>
              <w:right w:val="nil"/>
            </w:tcBorders>
          </w:tcPr>
          <w:p w14:paraId="0A71268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3.7</w:t>
            </w:r>
          </w:p>
        </w:tc>
      </w:tr>
      <w:tr w:rsidR="004676EF" w:rsidRPr="00734AB6" w14:paraId="79291BB5" w14:textId="77777777" w:rsidTr="007D2DCB">
        <w:tc>
          <w:tcPr>
            <w:tcW w:w="3828" w:type="dxa"/>
            <w:vMerge/>
            <w:tcBorders>
              <w:top w:val="nil"/>
              <w:left w:val="nil"/>
              <w:bottom w:val="single" w:sz="4" w:space="0" w:color="auto"/>
              <w:right w:val="nil"/>
            </w:tcBorders>
          </w:tcPr>
          <w:p w14:paraId="5A004173" w14:textId="77777777" w:rsidR="004676EF" w:rsidRPr="00734AB6" w:rsidRDefault="004676EF" w:rsidP="005535A9">
            <w:pPr>
              <w:spacing w:after="0" w:line="360" w:lineRule="auto"/>
              <w:rPr>
                <w:rFonts w:asciiTheme="majorHAnsi" w:hAnsiTheme="majorHAnsi"/>
                <w:b/>
              </w:rPr>
            </w:pPr>
          </w:p>
        </w:tc>
        <w:tc>
          <w:tcPr>
            <w:tcW w:w="1984" w:type="dxa"/>
            <w:tcBorders>
              <w:top w:val="nil"/>
              <w:left w:val="nil"/>
              <w:bottom w:val="single" w:sz="4" w:space="0" w:color="auto"/>
              <w:right w:val="nil"/>
            </w:tcBorders>
          </w:tcPr>
          <w:p w14:paraId="56DBADD2"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39</w:t>
            </w:r>
          </w:p>
        </w:tc>
        <w:tc>
          <w:tcPr>
            <w:tcW w:w="1276" w:type="dxa"/>
            <w:tcBorders>
              <w:top w:val="nil"/>
              <w:left w:val="nil"/>
              <w:bottom w:val="single" w:sz="4" w:space="0" w:color="auto"/>
              <w:right w:val="nil"/>
            </w:tcBorders>
          </w:tcPr>
          <w:p w14:paraId="44A8315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643.57</w:t>
            </w:r>
          </w:p>
        </w:tc>
        <w:tc>
          <w:tcPr>
            <w:tcW w:w="1276" w:type="dxa"/>
            <w:tcBorders>
              <w:top w:val="nil"/>
              <w:left w:val="nil"/>
              <w:bottom w:val="single" w:sz="4" w:space="0" w:color="auto"/>
              <w:right w:val="nil"/>
            </w:tcBorders>
          </w:tcPr>
          <w:p w14:paraId="0379F7E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5.4</w:t>
            </w:r>
          </w:p>
        </w:tc>
      </w:tr>
      <w:tr w:rsidR="004676EF" w:rsidRPr="00734AB6" w14:paraId="13EC46F0" w14:textId="77777777" w:rsidTr="007D2DCB">
        <w:tc>
          <w:tcPr>
            <w:tcW w:w="3828" w:type="dxa"/>
            <w:vMerge w:val="restart"/>
            <w:tcBorders>
              <w:left w:val="nil"/>
              <w:bottom w:val="nil"/>
              <w:right w:val="nil"/>
            </w:tcBorders>
          </w:tcPr>
          <w:p w14:paraId="3918DC1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 xml:space="preserve">Latency for </w:t>
            </w:r>
            <w:proofErr w:type="spellStart"/>
            <w:r w:rsidRPr="00734AB6">
              <w:rPr>
                <w:rFonts w:asciiTheme="majorHAnsi" w:hAnsiTheme="majorHAnsi"/>
              </w:rPr>
              <w:t>antisaccade</w:t>
            </w:r>
            <w:proofErr w:type="spellEnd"/>
            <w:r w:rsidRPr="00734AB6">
              <w:rPr>
                <w:rFonts w:asciiTheme="majorHAnsi" w:hAnsiTheme="majorHAnsi"/>
              </w:rPr>
              <w:t xml:space="preserve"> errors </w:t>
            </w:r>
          </w:p>
        </w:tc>
        <w:tc>
          <w:tcPr>
            <w:tcW w:w="1984" w:type="dxa"/>
            <w:tcBorders>
              <w:left w:val="nil"/>
              <w:bottom w:val="nil"/>
              <w:right w:val="nil"/>
            </w:tcBorders>
          </w:tcPr>
          <w:p w14:paraId="09BF9F5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7</w:t>
            </w:r>
          </w:p>
        </w:tc>
        <w:tc>
          <w:tcPr>
            <w:tcW w:w="1276" w:type="dxa"/>
            <w:tcBorders>
              <w:left w:val="nil"/>
              <w:bottom w:val="nil"/>
              <w:right w:val="nil"/>
            </w:tcBorders>
          </w:tcPr>
          <w:p w14:paraId="1750AFAA"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363.76</w:t>
            </w:r>
          </w:p>
        </w:tc>
        <w:tc>
          <w:tcPr>
            <w:tcW w:w="1276" w:type="dxa"/>
            <w:tcBorders>
              <w:left w:val="nil"/>
              <w:bottom w:val="nil"/>
              <w:right w:val="nil"/>
            </w:tcBorders>
          </w:tcPr>
          <w:p w14:paraId="0D6FC52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2.9</w:t>
            </w:r>
          </w:p>
        </w:tc>
      </w:tr>
      <w:tr w:rsidR="004676EF" w:rsidRPr="00734AB6" w14:paraId="32732F4B" w14:textId="77777777" w:rsidTr="007D2DCB">
        <w:tc>
          <w:tcPr>
            <w:tcW w:w="3828" w:type="dxa"/>
            <w:vMerge/>
            <w:tcBorders>
              <w:top w:val="nil"/>
              <w:left w:val="nil"/>
              <w:right w:val="nil"/>
            </w:tcBorders>
          </w:tcPr>
          <w:p w14:paraId="6A6A14C4" w14:textId="77777777" w:rsidR="004676EF" w:rsidRPr="00734AB6" w:rsidRDefault="004676EF" w:rsidP="005535A9">
            <w:pPr>
              <w:spacing w:after="0" w:line="360" w:lineRule="auto"/>
              <w:rPr>
                <w:rFonts w:asciiTheme="majorHAnsi" w:hAnsiTheme="majorHAnsi"/>
              </w:rPr>
            </w:pPr>
          </w:p>
        </w:tc>
        <w:tc>
          <w:tcPr>
            <w:tcW w:w="1984" w:type="dxa"/>
            <w:tcBorders>
              <w:top w:val="nil"/>
              <w:left w:val="nil"/>
              <w:right w:val="nil"/>
            </w:tcBorders>
          </w:tcPr>
          <w:p w14:paraId="02AB8A2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44</w:t>
            </w:r>
          </w:p>
        </w:tc>
        <w:tc>
          <w:tcPr>
            <w:tcW w:w="1276" w:type="dxa"/>
            <w:tcBorders>
              <w:top w:val="nil"/>
              <w:left w:val="nil"/>
              <w:right w:val="nil"/>
            </w:tcBorders>
          </w:tcPr>
          <w:p w14:paraId="09DFEA0A"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589.69</w:t>
            </w:r>
          </w:p>
        </w:tc>
        <w:tc>
          <w:tcPr>
            <w:tcW w:w="1276" w:type="dxa"/>
            <w:tcBorders>
              <w:top w:val="nil"/>
              <w:left w:val="nil"/>
              <w:right w:val="nil"/>
            </w:tcBorders>
          </w:tcPr>
          <w:p w14:paraId="6E223C6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6.3</w:t>
            </w:r>
          </w:p>
        </w:tc>
      </w:tr>
      <w:tr w:rsidR="004676EF" w:rsidRPr="00734AB6" w14:paraId="3D0163CE" w14:textId="77777777" w:rsidTr="007D2DCB">
        <w:tc>
          <w:tcPr>
            <w:tcW w:w="8364" w:type="dxa"/>
            <w:gridSpan w:val="4"/>
            <w:tcBorders>
              <w:left w:val="nil"/>
              <w:bottom w:val="single" w:sz="4" w:space="0" w:color="auto"/>
              <w:right w:val="nil"/>
            </w:tcBorders>
          </w:tcPr>
          <w:p w14:paraId="07EA27B1" w14:textId="77777777" w:rsidR="004676EF" w:rsidRPr="00734AB6" w:rsidRDefault="004676EF" w:rsidP="005535A9">
            <w:pPr>
              <w:spacing w:after="0" w:line="360" w:lineRule="auto"/>
              <w:rPr>
                <w:rFonts w:asciiTheme="majorHAnsi" w:hAnsiTheme="majorHAnsi"/>
                <w:b/>
              </w:rPr>
            </w:pPr>
            <w:r w:rsidRPr="00734AB6">
              <w:rPr>
                <w:rFonts w:asciiTheme="majorHAnsi" w:hAnsiTheme="majorHAnsi"/>
                <w:b/>
              </w:rPr>
              <w:t>Flanker task</w:t>
            </w:r>
          </w:p>
        </w:tc>
      </w:tr>
      <w:tr w:rsidR="004676EF" w:rsidRPr="00734AB6" w14:paraId="36B8FF74" w14:textId="77777777" w:rsidTr="007D2DCB">
        <w:tc>
          <w:tcPr>
            <w:tcW w:w="3828" w:type="dxa"/>
            <w:vMerge w:val="restart"/>
            <w:tcBorders>
              <w:left w:val="nil"/>
              <w:bottom w:val="nil"/>
              <w:right w:val="nil"/>
            </w:tcBorders>
          </w:tcPr>
          <w:p w14:paraId="795E99A5"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Latency for congruent correct trials</w:t>
            </w:r>
          </w:p>
        </w:tc>
        <w:tc>
          <w:tcPr>
            <w:tcW w:w="1984" w:type="dxa"/>
            <w:tcBorders>
              <w:left w:val="nil"/>
              <w:bottom w:val="nil"/>
              <w:right w:val="nil"/>
            </w:tcBorders>
          </w:tcPr>
          <w:p w14:paraId="3D39378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w:t>
            </w:r>
          </w:p>
        </w:tc>
        <w:tc>
          <w:tcPr>
            <w:tcW w:w="1276" w:type="dxa"/>
            <w:tcBorders>
              <w:left w:val="nil"/>
              <w:bottom w:val="nil"/>
              <w:right w:val="nil"/>
            </w:tcBorders>
          </w:tcPr>
          <w:p w14:paraId="571498DA"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564.15</w:t>
            </w:r>
          </w:p>
        </w:tc>
        <w:tc>
          <w:tcPr>
            <w:tcW w:w="1276" w:type="dxa"/>
            <w:tcBorders>
              <w:left w:val="nil"/>
              <w:bottom w:val="nil"/>
              <w:right w:val="nil"/>
            </w:tcBorders>
          </w:tcPr>
          <w:p w14:paraId="4C38B65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2.74</w:t>
            </w:r>
          </w:p>
        </w:tc>
      </w:tr>
      <w:tr w:rsidR="004676EF" w:rsidRPr="00734AB6" w14:paraId="3CB16A45" w14:textId="77777777" w:rsidTr="007D2DCB">
        <w:tc>
          <w:tcPr>
            <w:tcW w:w="3828" w:type="dxa"/>
            <w:vMerge/>
            <w:tcBorders>
              <w:top w:val="nil"/>
              <w:left w:val="nil"/>
              <w:bottom w:val="single" w:sz="4" w:space="0" w:color="auto"/>
              <w:right w:val="nil"/>
            </w:tcBorders>
          </w:tcPr>
          <w:p w14:paraId="722CCDAB"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single" w:sz="4" w:space="0" w:color="auto"/>
              <w:right w:val="nil"/>
            </w:tcBorders>
          </w:tcPr>
          <w:p w14:paraId="3BDB12B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28</w:t>
            </w:r>
          </w:p>
        </w:tc>
        <w:tc>
          <w:tcPr>
            <w:tcW w:w="1276" w:type="dxa"/>
            <w:tcBorders>
              <w:top w:val="nil"/>
              <w:left w:val="nil"/>
              <w:bottom w:val="single" w:sz="4" w:space="0" w:color="auto"/>
              <w:right w:val="nil"/>
            </w:tcBorders>
          </w:tcPr>
          <w:p w14:paraId="5E6A6247"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542.21</w:t>
            </w:r>
          </w:p>
        </w:tc>
        <w:tc>
          <w:tcPr>
            <w:tcW w:w="1276" w:type="dxa"/>
            <w:tcBorders>
              <w:top w:val="nil"/>
              <w:left w:val="nil"/>
              <w:bottom w:val="single" w:sz="4" w:space="0" w:color="auto"/>
              <w:right w:val="nil"/>
            </w:tcBorders>
          </w:tcPr>
          <w:p w14:paraId="32492F8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2.34</w:t>
            </w:r>
          </w:p>
        </w:tc>
      </w:tr>
      <w:tr w:rsidR="004676EF" w:rsidRPr="00734AB6" w14:paraId="2475D23B" w14:textId="77777777" w:rsidTr="007D2DCB">
        <w:tc>
          <w:tcPr>
            <w:tcW w:w="3828" w:type="dxa"/>
            <w:vMerge w:val="restart"/>
            <w:tcBorders>
              <w:left w:val="nil"/>
              <w:bottom w:val="nil"/>
              <w:right w:val="nil"/>
            </w:tcBorders>
          </w:tcPr>
          <w:p w14:paraId="7D46A83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Latency for incongruent correct trials</w:t>
            </w:r>
          </w:p>
        </w:tc>
        <w:tc>
          <w:tcPr>
            <w:tcW w:w="1984" w:type="dxa"/>
            <w:tcBorders>
              <w:left w:val="nil"/>
              <w:bottom w:val="nil"/>
              <w:right w:val="nil"/>
            </w:tcBorders>
          </w:tcPr>
          <w:p w14:paraId="1AAF327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w:t>
            </w:r>
          </w:p>
        </w:tc>
        <w:tc>
          <w:tcPr>
            <w:tcW w:w="1276" w:type="dxa"/>
            <w:tcBorders>
              <w:left w:val="nil"/>
              <w:bottom w:val="nil"/>
              <w:right w:val="nil"/>
            </w:tcBorders>
          </w:tcPr>
          <w:p w14:paraId="4E2F26BD"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629.55</w:t>
            </w:r>
          </w:p>
        </w:tc>
        <w:tc>
          <w:tcPr>
            <w:tcW w:w="1276" w:type="dxa"/>
            <w:tcBorders>
              <w:left w:val="nil"/>
              <w:bottom w:val="nil"/>
              <w:right w:val="nil"/>
            </w:tcBorders>
          </w:tcPr>
          <w:p w14:paraId="01EE0D0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2.55</w:t>
            </w:r>
          </w:p>
        </w:tc>
      </w:tr>
      <w:tr w:rsidR="004676EF" w:rsidRPr="00734AB6" w14:paraId="11A4F318" w14:textId="77777777" w:rsidTr="007D2DCB">
        <w:tc>
          <w:tcPr>
            <w:tcW w:w="3828" w:type="dxa"/>
            <w:vMerge/>
            <w:tcBorders>
              <w:top w:val="nil"/>
              <w:left w:val="nil"/>
              <w:bottom w:val="single" w:sz="4" w:space="0" w:color="auto"/>
              <w:right w:val="nil"/>
            </w:tcBorders>
          </w:tcPr>
          <w:p w14:paraId="570EE65E"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single" w:sz="4" w:space="0" w:color="auto"/>
              <w:right w:val="nil"/>
            </w:tcBorders>
          </w:tcPr>
          <w:p w14:paraId="71A8992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50</w:t>
            </w:r>
          </w:p>
        </w:tc>
        <w:tc>
          <w:tcPr>
            <w:tcW w:w="1276" w:type="dxa"/>
            <w:tcBorders>
              <w:top w:val="nil"/>
              <w:left w:val="nil"/>
              <w:bottom w:val="single" w:sz="4" w:space="0" w:color="auto"/>
              <w:right w:val="nil"/>
            </w:tcBorders>
          </w:tcPr>
          <w:p w14:paraId="6C0995A2"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643.45</w:t>
            </w:r>
          </w:p>
        </w:tc>
        <w:tc>
          <w:tcPr>
            <w:tcW w:w="1276" w:type="dxa"/>
            <w:tcBorders>
              <w:top w:val="nil"/>
              <w:left w:val="nil"/>
              <w:bottom w:val="single" w:sz="4" w:space="0" w:color="auto"/>
              <w:right w:val="nil"/>
            </w:tcBorders>
          </w:tcPr>
          <w:p w14:paraId="46BE67E7"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2.78</w:t>
            </w:r>
          </w:p>
        </w:tc>
      </w:tr>
      <w:tr w:rsidR="004676EF" w:rsidRPr="00734AB6" w14:paraId="54847CAC" w14:textId="77777777" w:rsidTr="007D2DCB">
        <w:tc>
          <w:tcPr>
            <w:tcW w:w="3828" w:type="dxa"/>
            <w:vMerge w:val="restart"/>
            <w:tcBorders>
              <w:left w:val="nil"/>
              <w:bottom w:val="nil"/>
              <w:right w:val="nil"/>
            </w:tcBorders>
          </w:tcPr>
          <w:p w14:paraId="000EA1F6"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Latency for neutral correct trials</w:t>
            </w:r>
          </w:p>
        </w:tc>
        <w:tc>
          <w:tcPr>
            <w:tcW w:w="1984" w:type="dxa"/>
            <w:tcBorders>
              <w:left w:val="nil"/>
              <w:bottom w:val="nil"/>
              <w:right w:val="nil"/>
            </w:tcBorders>
          </w:tcPr>
          <w:p w14:paraId="4C67FD5C"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w:t>
            </w:r>
          </w:p>
        </w:tc>
        <w:tc>
          <w:tcPr>
            <w:tcW w:w="1276" w:type="dxa"/>
            <w:tcBorders>
              <w:left w:val="nil"/>
              <w:bottom w:val="nil"/>
              <w:right w:val="nil"/>
            </w:tcBorders>
          </w:tcPr>
          <w:p w14:paraId="4C6F859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567.69</w:t>
            </w:r>
          </w:p>
        </w:tc>
        <w:tc>
          <w:tcPr>
            <w:tcW w:w="1276" w:type="dxa"/>
            <w:tcBorders>
              <w:left w:val="nil"/>
              <w:bottom w:val="nil"/>
              <w:right w:val="nil"/>
            </w:tcBorders>
          </w:tcPr>
          <w:p w14:paraId="6D64F12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2.87</w:t>
            </w:r>
          </w:p>
        </w:tc>
      </w:tr>
      <w:tr w:rsidR="004676EF" w:rsidRPr="00734AB6" w14:paraId="39FB5C60" w14:textId="77777777" w:rsidTr="007D2DCB">
        <w:tc>
          <w:tcPr>
            <w:tcW w:w="3828" w:type="dxa"/>
            <w:vMerge/>
            <w:tcBorders>
              <w:top w:val="nil"/>
              <w:left w:val="nil"/>
              <w:bottom w:val="nil"/>
              <w:right w:val="nil"/>
            </w:tcBorders>
          </w:tcPr>
          <w:p w14:paraId="79AFB71C"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nil"/>
              <w:right w:val="nil"/>
            </w:tcBorders>
          </w:tcPr>
          <w:p w14:paraId="6510AB3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22</w:t>
            </w:r>
          </w:p>
        </w:tc>
        <w:tc>
          <w:tcPr>
            <w:tcW w:w="1276" w:type="dxa"/>
            <w:tcBorders>
              <w:top w:val="nil"/>
              <w:left w:val="nil"/>
              <w:bottom w:val="nil"/>
              <w:right w:val="nil"/>
            </w:tcBorders>
          </w:tcPr>
          <w:p w14:paraId="4B84B172"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560.09</w:t>
            </w:r>
          </w:p>
        </w:tc>
        <w:tc>
          <w:tcPr>
            <w:tcW w:w="1276" w:type="dxa"/>
            <w:tcBorders>
              <w:top w:val="nil"/>
              <w:left w:val="nil"/>
              <w:bottom w:val="nil"/>
              <w:right w:val="nil"/>
            </w:tcBorders>
          </w:tcPr>
          <w:p w14:paraId="3C984E2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2.72</w:t>
            </w:r>
          </w:p>
        </w:tc>
      </w:tr>
      <w:tr w:rsidR="004676EF" w:rsidRPr="00734AB6" w14:paraId="38108966" w14:textId="77777777" w:rsidTr="007D2DCB">
        <w:tc>
          <w:tcPr>
            <w:tcW w:w="3828" w:type="dxa"/>
            <w:vMerge/>
            <w:tcBorders>
              <w:top w:val="nil"/>
              <w:left w:val="nil"/>
              <w:bottom w:val="single" w:sz="4" w:space="0" w:color="auto"/>
              <w:right w:val="nil"/>
            </w:tcBorders>
          </w:tcPr>
          <w:p w14:paraId="7B13B4C6"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single" w:sz="4" w:space="0" w:color="auto"/>
              <w:right w:val="nil"/>
            </w:tcBorders>
          </w:tcPr>
          <w:p w14:paraId="3E0B1155"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56</w:t>
            </w:r>
          </w:p>
        </w:tc>
        <w:tc>
          <w:tcPr>
            <w:tcW w:w="1276" w:type="dxa"/>
            <w:tcBorders>
              <w:top w:val="nil"/>
              <w:left w:val="nil"/>
              <w:bottom w:val="single" w:sz="4" w:space="0" w:color="auto"/>
              <w:right w:val="nil"/>
            </w:tcBorders>
          </w:tcPr>
          <w:p w14:paraId="49A4B807"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301.15</w:t>
            </w:r>
          </w:p>
        </w:tc>
        <w:tc>
          <w:tcPr>
            <w:tcW w:w="1276" w:type="dxa"/>
            <w:tcBorders>
              <w:top w:val="nil"/>
              <w:left w:val="nil"/>
              <w:bottom w:val="single" w:sz="4" w:space="0" w:color="auto"/>
              <w:right w:val="nil"/>
            </w:tcBorders>
          </w:tcPr>
          <w:p w14:paraId="4F34CFB1"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2.16</w:t>
            </w:r>
          </w:p>
        </w:tc>
      </w:tr>
      <w:tr w:rsidR="004676EF" w:rsidRPr="00734AB6" w14:paraId="41930D63" w14:textId="77777777" w:rsidTr="007D2DCB">
        <w:tc>
          <w:tcPr>
            <w:tcW w:w="3828" w:type="dxa"/>
            <w:vMerge w:val="restart"/>
            <w:tcBorders>
              <w:left w:val="nil"/>
              <w:bottom w:val="nil"/>
              <w:right w:val="nil"/>
            </w:tcBorders>
          </w:tcPr>
          <w:p w14:paraId="6D73EE8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Difference in latency between incongruent and congruent correct trials</w:t>
            </w:r>
          </w:p>
        </w:tc>
        <w:tc>
          <w:tcPr>
            <w:tcW w:w="1984" w:type="dxa"/>
            <w:tcBorders>
              <w:left w:val="nil"/>
              <w:bottom w:val="nil"/>
              <w:right w:val="nil"/>
            </w:tcBorders>
          </w:tcPr>
          <w:p w14:paraId="1393E25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31</w:t>
            </w:r>
          </w:p>
        </w:tc>
        <w:tc>
          <w:tcPr>
            <w:tcW w:w="1276" w:type="dxa"/>
            <w:tcBorders>
              <w:left w:val="nil"/>
              <w:bottom w:val="nil"/>
              <w:right w:val="nil"/>
            </w:tcBorders>
          </w:tcPr>
          <w:p w14:paraId="2B5F8105"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128.44</w:t>
            </w:r>
          </w:p>
        </w:tc>
        <w:tc>
          <w:tcPr>
            <w:tcW w:w="1276" w:type="dxa"/>
            <w:tcBorders>
              <w:left w:val="nil"/>
              <w:bottom w:val="nil"/>
              <w:right w:val="nil"/>
            </w:tcBorders>
          </w:tcPr>
          <w:p w14:paraId="09E56CF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2.11</w:t>
            </w:r>
          </w:p>
        </w:tc>
      </w:tr>
      <w:tr w:rsidR="004676EF" w:rsidRPr="00734AB6" w14:paraId="13774ABB" w14:textId="77777777" w:rsidTr="007D2DCB">
        <w:tc>
          <w:tcPr>
            <w:tcW w:w="3828" w:type="dxa"/>
            <w:vMerge/>
            <w:tcBorders>
              <w:top w:val="nil"/>
              <w:left w:val="nil"/>
              <w:bottom w:val="nil"/>
              <w:right w:val="nil"/>
            </w:tcBorders>
          </w:tcPr>
          <w:p w14:paraId="417562E3"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nil"/>
              <w:right w:val="nil"/>
            </w:tcBorders>
          </w:tcPr>
          <w:p w14:paraId="4F5F62B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32</w:t>
            </w:r>
          </w:p>
        </w:tc>
        <w:tc>
          <w:tcPr>
            <w:tcW w:w="1276" w:type="dxa"/>
            <w:tcBorders>
              <w:top w:val="nil"/>
              <w:left w:val="nil"/>
              <w:bottom w:val="nil"/>
              <w:right w:val="nil"/>
            </w:tcBorders>
          </w:tcPr>
          <w:p w14:paraId="195B3F42"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157.0</w:t>
            </w:r>
          </w:p>
        </w:tc>
        <w:tc>
          <w:tcPr>
            <w:tcW w:w="1276" w:type="dxa"/>
            <w:tcBorders>
              <w:top w:val="nil"/>
              <w:left w:val="nil"/>
              <w:bottom w:val="nil"/>
              <w:right w:val="nil"/>
            </w:tcBorders>
          </w:tcPr>
          <w:p w14:paraId="5C96779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3.13</w:t>
            </w:r>
          </w:p>
        </w:tc>
      </w:tr>
      <w:tr w:rsidR="004676EF" w:rsidRPr="00734AB6" w14:paraId="4332B7B4" w14:textId="77777777" w:rsidTr="007D2DCB">
        <w:tc>
          <w:tcPr>
            <w:tcW w:w="3828" w:type="dxa"/>
            <w:vMerge/>
            <w:tcBorders>
              <w:top w:val="nil"/>
              <w:left w:val="nil"/>
              <w:bottom w:val="single" w:sz="4" w:space="0" w:color="auto"/>
              <w:right w:val="nil"/>
            </w:tcBorders>
          </w:tcPr>
          <w:p w14:paraId="627A9E1B"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single" w:sz="4" w:space="0" w:color="auto"/>
              <w:right w:val="nil"/>
            </w:tcBorders>
          </w:tcPr>
          <w:p w14:paraId="1510582A"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86</w:t>
            </w:r>
          </w:p>
        </w:tc>
        <w:tc>
          <w:tcPr>
            <w:tcW w:w="1276" w:type="dxa"/>
            <w:tcBorders>
              <w:top w:val="nil"/>
              <w:left w:val="nil"/>
              <w:bottom w:val="single" w:sz="4" w:space="0" w:color="auto"/>
              <w:right w:val="nil"/>
            </w:tcBorders>
          </w:tcPr>
          <w:p w14:paraId="2F12FB61"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5.34</w:t>
            </w:r>
          </w:p>
        </w:tc>
        <w:tc>
          <w:tcPr>
            <w:tcW w:w="1276" w:type="dxa"/>
            <w:tcBorders>
              <w:top w:val="nil"/>
              <w:left w:val="nil"/>
              <w:bottom w:val="single" w:sz="4" w:space="0" w:color="auto"/>
              <w:right w:val="nil"/>
            </w:tcBorders>
          </w:tcPr>
          <w:p w14:paraId="064293F4"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2.17</w:t>
            </w:r>
          </w:p>
        </w:tc>
      </w:tr>
      <w:tr w:rsidR="004676EF" w:rsidRPr="00734AB6" w14:paraId="386E5010" w14:textId="77777777" w:rsidTr="007D2DCB">
        <w:tc>
          <w:tcPr>
            <w:tcW w:w="3828" w:type="dxa"/>
            <w:vMerge w:val="restart"/>
            <w:tcBorders>
              <w:left w:val="nil"/>
              <w:bottom w:val="nil"/>
              <w:right w:val="nil"/>
            </w:tcBorders>
          </w:tcPr>
          <w:p w14:paraId="0BBE59D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Number of correct congruent trials</w:t>
            </w:r>
          </w:p>
        </w:tc>
        <w:tc>
          <w:tcPr>
            <w:tcW w:w="1984" w:type="dxa"/>
            <w:tcBorders>
              <w:left w:val="nil"/>
              <w:bottom w:val="nil"/>
              <w:right w:val="nil"/>
            </w:tcBorders>
          </w:tcPr>
          <w:p w14:paraId="20898B1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20</w:t>
            </w:r>
          </w:p>
        </w:tc>
        <w:tc>
          <w:tcPr>
            <w:tcW w:w="1276" w:type="dxa"/>
            <w:tcBorders>
              <w:left w:val="nil"/>
              <w:bottom w:val="nil"/>
              <w:right w:val="nil"/>
            </w:tcBorders>
          </w:tcPr>
          <w:p w14:paraId="57A8A54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31</w:t>
            </w:r>
          </w:p>
        </w:tc>
        <w:tc>
          <w:tcPr>
            <w:tcW w:w="1276" w:type="dxa"/>
            <w:tcBorders>
              <w:left w:val="nil"/>
              <w:bottom w:val="nil"/>
              <w:right w:val="nil"/>
            </w:tcBorders>
          </w:tcPr>
          <w:p w14:paraId="7BD86A2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6.45</w:t>
            </w:r>
          </w:p>
        </w:tc>
      </w:tr>
      <w:tr w:rsidR="004676EF" w:rsidRPr="00734AB6" w14:paraId="3429DFB2" w14:textId="77777777" w:rsidTr="007D2DCB">
        <w:tc>
          <w:tcPr>
            <w:tcW w:w="3828" w:type="dxa"/>
            <w:vMerge/>
            <w:tcBorders>
              <w:top w:val="nil"/>
              <w:left w:val="nil"/>
              <w:bottom w:val="single" w:sz="4" w:space="0" w:color="auto"/>
              <w:right w:val="nil"/>
            </w:tcBorders>
          </w:tcPr>
          <w:p w14:paraId="7B023845"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single" w:sz="4" w:space="0" w:color="auto"/>
              <w:right w:val="nil"/>
            </w:tcBorders>
          </w:tcPr>
          <w:p w14:paraId="1F35B3B1"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22</w:t>
            </w:r>
          </w:p>
        </w:tc>
        <w:tc>
          <w:tcPr>
            <w:tcW w:w="1276" w:type="dxa"/>
            <w:tcBorders>
              <w:top w:val="nil"/>
              <w:left w:val="nil"/>
              <w:bottom w:val="single" w:sz="4" w:space="0" w:color="auto"/>
              <w:right w:val="nil"/>
            </w:tcBorders>
          </w:tcPr>
          <w:p w14:paraId="6A3B5441"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35</w:t>
            </w:r>
          </w:p>
        </w:tc>
        <w:tc>
          <w:tcPr>
            <w:tcW w:w="1276" w:type="dxa"/>
            <w:tcBorders>
              <w:top w:val="nil"/>
              <w:left w:val="nil"/>
              <w:bottom w:val="single" w:sz="4" w:space="0" w:color="auto"/>
              <w:right w:val="nil"/>
            </w:tcBorders>
          </w:tcPr>
          <w:p w14:paraId="011C425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3.33</w:t>
            </w:r>
          </w:p>
        </w:tc>
      </w:tr>
      <w:tr w:rsidR="004676EF" w:rsidRPr="00734AB6" w14:paraId="499AD2CE" w14:textId="77777777" w:rsidTr="007D2DCB">
        <w:tc>
          <w:tcPr>
            <w:tcW w:w="3828" w:type="dxa"/>
            <w:vMerge w:val="restart"/>
            <w:tcBorders>
              <w:left w:val="nil"/>
              <w:bottom w:val="nil"/>
              <w:right w:val="nil"/>
            </w:tcBorders>
          </w:tcPr>
          <w:p w14:paraId="45776C35"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Number of correct incongruent trials</w:t>
            </w:r>
          </w:p>
        </w:tc>
        <w:tc>
          <w:tcPr>
            <w:tcW w:w="1984" w:type="dxa"/>
            <w:tcBorders>
              <w:left w:val="nil"/>
              <w:bottom w:val="nil"/>
              <w:right w:val="nil"/>
            </w:tcBorders>
          </w:tcPr>
          <w:p w14:paraId="117F099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20</w:t>
            </w:r>
          </w:p>
        </w:tc>
        <w:tc>
          <w:tcPr>
            <w:tcW w:w="1276" w:type="dxa"/>
            <w:tcBorders>
              <w:left w:val="nil"/>
              <w:bottom w:val="nil"/>
              <w:right w:val="nil"/>
            </w:tcBorders>
          </w:tcPr>
          <w:p w14:paraId="51A0411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16</w:t>
            </w:r>
          </w:p>
        </w:tc>
        <w:tc>
          <w:tcPr>
            <w:tcW w:w="1276" w:type="dxa"/>
            <w:tcBorders>
              <w:left w:val="nil"/>
              <w:bottom w:val="nil"/>
              <w:right w:val="nil"/>
            </w:tcBorders>
          </w:tcPr>
          <w:p w14:paraId="0BEE21F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4.51</w:t>
            </w:r>
          </w:p>
        </w:tc>
      </w:tr>
      <w:tr w:rsidR="004676EF" w:rsidRPr="00734AB6" w14:paraId="11F26336" w14:textId="77777777" w:rsidTr="007D2DCB">
        <w:tc>
          <w:tcPr>
            <w:tcW w:w="3828" w:type="dxa"/>
            <w:vMerge/>
            <w:tcBorders>
              <w:top w:val="nil"/>
              <w:left w:val="nil"/>
              <w:bottom w:val="nil"/>
              <w:right w:val="nil"/>
            </w:tcBorders>
          </w:tcPr>
          <w:p w14:paraId="53961841" w14:textId="77777777" w:rsidR="004676EF" w:rsidRPr="00734AB6" w:rsidRDefault="004676EF" w:rsidP="005535A9">
            <w:pPr>
              <w:spacing w:after="0" w:line="360" w:lineRule="auto"/>
              <w:rPr>
                <w:rFonts w:asciiTheme="majorHAnsi" w:hAnsiTheme="majorHAnsi"/>
                <w:b/>
              </w:rPr>
            </w:pPr>
          </w:p>
        </w:tc>
        <w:tc>
          <w:tcPr>
            <w:tcW w:w="1984" w:type="dxa"/>
            <w:tcBorders>
              <w:top w:val="nil"/>
              <w:left w:val="nil"/>
              <w:bottom w:val="nil"/>
              <w:right w:val="nil"/>
            </w:tcBorders>
          </w:tcPr>
          <w:p w14:paraId="402D5346"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w:t>
            </w:r>
          </w:p>
        </w:tc>
        <w:tc>
          <w:tcPr>
            <w:tcW w:w="1276" w:type="dxa"/>
            <w:tcBorders>
              <w:top w:val="nil"/>
              <w:left w:val="nil"/>
              <w:bottom w:val="nil"/>
              <w:right w:val="nil"/>
            </w:tcBorders>
          </w:tcPr>
          <w:p w14:paraId="25E0803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22</w:t>
            </w:r>
          </w:p>
        </w:tc>
        <w:tc>
          <w:tcPr>
            <w:tcW w:w="1276" w:type="dxa"/>
            <w:tcBorders>
              <w:top w:val="nil"/>
              <w:left w:val="nil"/>
              <w:bottom w:val="nil"/>
              <w:right w:val="nil"/>
            </w:tcBorders>
          </w:tcPr>
          <w:p w14:paraId="30A3AB61"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3.15</w:t>
            </w:r>
          </w:p>
        </w:tc>
      </w:tr>
      <w:tr w:rsidR="004676EF" w:rsidRPr="00734AB6" w14:paraId="0B696425" w14:textId="77777777" w:rsidTr="007D2DCB">
        <w:tc>
          <w:tcPr>
            <w:tcW w:w="3828" w:type="dxa"/>
            <w:vMerge/>
            <w:tcBorders>
              <w:top w:val="nil"/>
              <w:left w:val="nil"/>
              <w:right w:val="nil"/>
            </w:tcBorders>
          </w:tcPr>
          <w:p w14:paraId="1AD4C039" w14:textId="77777777" w:rsidR="004676EF" w:rsidRPr="00734AB6" w:rsidRDefault="004676EF" w:rsidP="005535A9">
            <w:pPr>
              <w:spacing w:after="0" w:line="360" w:lineRule="auto"/>
              <w:rPr>
                <w:rFonts w:asciiTheme="majorHAnsi" w:hAnsiTheme="majorHAnsi"/>
                <w:b/>
              </w:rPr>
            </w:pPr>
          </w:p>
        </w:tc>
        <w:tc>
          <w:tcPr>
            <w:tcW w:w="1984" w:type="dxa"/>
            <w:tcBorders>
              <w:top w:val="nil"/>
              <w:left w:val="nil"/>
              <w:right w:val="nil"/>
            </w:tcBorders>
          </w:tcPr>
          <w:p w14:paraId="6EDF079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48</w:t>
            </w:r>
          </w:p>
        </w:tc>
        <w:tc>
          <w:tcPr>
            <w:tcW w:w="1276" w:type="dxa"/>
            <w:tcBorders>
              <w:top w:val="nil"/>
              <w:left w:val="nil"/>
              <w:right w:val="nil"/>
            </w:tcBorders>
          </w:tcPr>
          <w:p w14:paraId="7D34527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20</w:t>
            </w:r>
          </w:p>
        </w:tc>
        <w:tc>
          <w:tcPr>
            <w:tcW w:w="1276" w:type="dxa"/>
            <w:tcBorders>
              <w:top w:val="nil"/>
              <w:left w:val="nil"/>
              <w:right w:val="nil"/>
            </w:tcBorders>
          </w:tcPr>
          <w:p w14:paraId="5B4BF10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3.60</w:t>
            </w:r>
          </w:p>
        </w:tc>
      </w:tr>
      <w:tr w:rsidR="004676EF" w:rsidRPr="00734AB6" w14:paraId="0805229F" w14:textId="77777777" w:rsidTr="007D2DCB">
        <w:tc>
          <w:tcPr>
            <w:tcW w:w="8364" w:type="dxa"/>
            <w:gridSpan w:val="4"/>
            <w:tcBorders>
              <w:left w:val="nil"/>
              <w:bottom w:val="single" w:sz="4" w:space="0" w:color="auto"/>
              <w:right w:val="nil"/>
            </w:tcBorders>
          </w:tcPr>
          <w:p w14:paraId="65339C6E" w14:textId="77777777" w:rsidR="004676EF" w:rsidRPr="00734AB6" w:rsidRDefault="004676EF" w:rsidP="005535A9">
            <w:pPr>
              <w:spacing w:after="0" w:line="360" w:lineRule="auto"/>
              <w:rPr>
                <w:rFonts w:asciiTheme="majorHAnsi" w:hAnsiTheme="majorHAnsi"/>
                <w:b/>
              </w:rPr>
            </w:pPr>
            <w:r w:rsidRPr="00734AB6">
              <w:rPr>
                <w:rFonts w:asciiTheme="majorHAnsi" w:hAnsiTheme="majorHAnsi"/>
                <w:b/>
              </w:rPr>
              <w:t>BRIEF-A</w:t>
            </w:r>
          </w:p>
        </w:tc>
      </w:tr>
      <w:tr w:rsidR="004676EF" w:rsidRPr="00734AB6" w14:paraId="1C9DA4D0" w14:textId="77777777" w:rsidTr="007D2DCB">
        <w:tc>
          <w:tcPr>
            <w:tcW w:w="3828" w:type="dxa"/>
            <w:vMerge w:val="restart"/>
            <w:tcBorders>
              <w:left w:val="nil"/>
              <w:bottom w:val="nil"/>
              <w:right w:val="nil"/>
            </w:tcBorders>
          </w:tcPr>
          <w:p w14:paraId="480DEE8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Self-Monitor</w:t>
            </w:r>
          </w:p>
        </w:tc>
        <w:tc>
          <w:tcPr>
            <w:tcW w:w="1984" w:type="dxa"/>
            <w:tcBorders>
              <w:left w:val="nil"/>
              <w:bottom w:val="nil"/>
              <w:right w:val="nil"/>
            </w:tcBorders>
          </w:tcPr>
          <w:p w14:paraId="59837BF1"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4</w:t>
            </w:r>
          </w:p>
        </w:tc>
        <w:tc>
          <w:tcPr>
            <w:tcW w:w="1276" w:type="dxa"/>
            <w:tcBorders>
              <w:left w:val="nil"/>
              <w:bottom w:val="nil"/>
              <w:right w:val="nil"/>
            </w:tcBorders>
          </w:tcPr>
          <w:p w14:paraId="2436A56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80</w:t>
            </w:r>
          </w:p>
        </w:tc>
        <w:tc>
          <w:tcPr>
            <w:tcW w:w="1276" w:type="dxa"/>
            <w:tcBorders>
              <w:left w:val="nil"/>
              <w:bottom w:val="nil"/>
              <w:right w:val="nil"/>
            </w:tcBorders>
          </w:tcPr>
          <w:p w14:paraId="5F74BDA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2.75</w:t>
            </w:r>
          </w:p>
        </w:tc>
      </w:tr>
      <w:tr w:rsidR="004676EF" w:rsidRPr="00734AB6" w14:paraId="15F8E79D" w14:textId="77777777" w:rsidTr="007D2DCB">
        <w:tc>
          <w:tcPr>
            <w:tcW w:w="3828" w:type="dxa"/>
            <w:vMerge/>
            <w:tcBorders>
              <w:top w:val="nil"/>
              <w:left w:val="nil"/>
              <w:bottom w:val="nil"/>
              <w:right w:val="nil"/>
            </w:tcBorders>
          </w:tcPr>
          <w:p w14:paraId="66C888EA"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nil"/>
              <w:right w:val="nil"/>
            </w:tcBorders>
          </w:tcPr>
          <w:p w14:paraId="3639728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w:t>
            </w:r>
          </w:p>
        </w:tc>
        <w:tc>
          <w:tcPr>
            <w:tcW w:w="1276" w:type="dxa"/>
            <w:tcBorders>
              <w:top w:val="nil"/>
              <w:left w:val="nil"/>
              <w:bottom w:val="nil"/>
              <w:right w:val="nil"/>
            </w:tcBorders>
          </w:tcPr>
          <w:p w14:paraId="54EC09CC"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93</w:t>
            </w:r>
          </w:p>
        </w:tc>
        <w:tc>
          <w:tcPr>
            <w:tcW w:w="1276" w:type="dxa"/>
            <w:tcBorders>
              <w:top w:val="nil"/>
              <w:left w:val="nil"/>
              <w:bottom w:val="nil"/>
              <w:right w:val="nil"/>
            </w:tcBorders>
          </w:tcPr>
          <w:p w14:paraId="7E40C60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3.96</w:t>
            </w:r>
          </w:p>
        </w:tc>
      </w:tr>
      <w:tr w:rsidR="004676EF" w:rsidRPr="00734AB6" w14:paraId="429082BF" w14:textId="77777777" w:rsidTr="007D2DCB">
        <w:tc>
          <w:tcPr>
            <w:tcW w:w="3828" w:type="dxa"/>
            <w:vMerge/>
            <w:tcBorders>
              <w:top w:val="nil"/>
              <w:left w:val="nil"/>
              <w:right w:val="nil"/>
            </w:tcBorders>
          </w:tcPr>
          <w:p w14:paraId="08DA1E06" w14:textId="77777777" w:rsidR="004676EF" w:rsidRPr="00734AB6" w:rsidRDefault="004676EF" w:rsidP="005535A9">
            <w:pPr>
              <w:spacing w:after="0" w:line="360" w:lineRule="auto"/>
              <w:rPr>
                <w:rFonts w:asciiTheme="majorHAnsi" w:hAnsiTheme="majorHAnsi"/>
              </w:rPr>
            </w:pPr>
          </w:p>
        </w:tc>
        <w:tc>
          <w:tcPr>
            <w:tcW w:w="1984" w:type="dxa"/>
            <w:tcBorders>
              <w:top w:val="nil"/>
              <w:left w:val="nil"/>
              <w:right w:val="nil"/>
            </w:tcBorders>
          </w:tcPr>
          <w:p w14:paraId="32BE7132"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68</w:t>
            </w:r>
          </w:p>
        </w:tc>
        <w:tc>
          <w:tcPr>
            <w:tcW w:w="1276" w:type="dxa"/>
            <w:tcBorders>
              <w:top w:val="nil"/>
              <w:left w:val="nil"/>
              <w:right w:val="nil"/>
            </w:tcBorders>
          </w:tcPr>
          <w:p w14:paraId="4F095AAA"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89</w:t>
            </w:r>
          </w:p>
        </w:tc>
        <w:tc>
          <w:tcPr>
            <w:tcW w:w="1276" w:type="dxa"/>
            <w:tcBorders>
              <w:top w:val="nil"/>
              <w:left w:val="nil"/>
              <w:right w:val="nil"/>
            </w:tcBorders>
          </w:tcPr>
          <w:p w14:paraId="34E7FAE2"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3.59</w:t>
            </w:r>
          </w:p>
        </w:tc>
      </w:tr>
      <w:tr w:rsidR="004676EF" w:rsidRPr="00734AB6" w14:paraId="6EED8E19" w14:textId="77777777" w:rsidTr="007D2DCB">
        <w:tc>
          <w:tcPr>
            <w:tcW w:w="3828" w:type="dxa"/>
            <w:tcBorders>
              <w:left w:val="nil"/>
              <w:bottom w:val="single" w:sz="4" w:space="0" w:color="auto"/>
              <w:right w:val="nil"/>
            </w:tcBorders>
          </w:tcPr>
          <w:p w14:paraId="3CF4C0A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Initiate</w:t>
            </w:r>
          </w:p>
        </w:tc>
        <w:tc>
          <w:tcPr>
            <w:tcW w:w="1984" w:type="dxa"/>
            <w:tcBorders>
              <w:left w:val="nil"/>
              <w:bottom w:val="single" w:sz="4" w:space="0" w:color="auto"/>
              <w:right w:val="nil"/>
            </w:tcBorders>
          </w:tcPr>
          <w:p w14:paraId="148F129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w:t>
            </w:r>
          </w:p>
        </w:tc>
        <w:tc>
          <w:tcPr>
            <w:tcW w:w="1276" w:type="dxa"/>
            <w:tcBorders>
              <w:left w:val="nil"/>
              <w:bottom w:val="single" w:sz="4" w:space="0" w:color="auto"/>
              <w:right w:val="nil"/>
            </w:tcBorders>
          </w:tcPr>
          <w:p w14:paraId="4FC921D7"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93</w:t>
            </w:r>
          </w:p>
        </w:tc>
        <w:tc>
          <w:tcPr>
            <w:tcW w:w="1276" w:type="dxa"/>
            <w:tcBorders>
              <w:left w:val="nil"/>
              <w:bottom w:val="single" w:sz="4" w:space="0" w:color="auto"/>
              <w:right w:val="nil"/>
            </w:tcBorders>
          </w:tcPr>
          <w:p w14:paraId="72242007"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2.93</w:t>
            </w:r>
          </w:p>
        </w:tc>
      </w:tr>
      <w:tr w:rsidR="004676EF" w:rsidRPr="00734AB6" w14:paraId="68404009" w14:textId="77777777" w:rsidTr="007D2DCB">
        <w:tc>
          <w:tcPr>
            <w:tcW w:w="3828" w:type="dxa"/>
            <w:vMerge w:val="restart"/>
            <w:tcBorders>
              <w:left w:val="nil"/>
              <w:bottom w:val="nil"/>
              <w:right w:val="nil"/>
            </w:tcBorders>
          </w:tcPr>
          <w:p w14:paraId="2A71421B"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Plan/Organise</w:t>
            </w:r>
          </w:p>
        </w:tc>
        <w:tc>
          <w:tcPr>
            <w:tcW w:w="1984" w:type="dxa"/>
            <w:tcBorders>
              <w:left w:val="nil"/>
              <w:bottom w:val="nil"/>
              <w:right w:val="nil"/>
            </w:tcBorders>
          </w:tcPr>
          <w:p w14:paraId="5601C45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24</w:t>
            </w:r>
          </w:p>
        </w:tc>
        <w:tc>
          <w:tcPr>
            <w:tcW w:w="1276" w:type="dxa"/>
            <w:tcBorders>
              <w:left w:val="nil"/>
              <w:bottom w:val="nil"/>
              <w:right w:val="nil"/>
            </w:tcBorders>
          </w:tcPr>
          <w:p w14:paraId="1CD7640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86</w:t>
            </w:r>
          </w:p>
        </w:tc>
        <w:tc>
          <w:tcPr>
            <w:tcW w:w="1276" w:type="dxa"/>
            <w:tcBorders>
              <w:left w:val="nil"/>
              <w:bottom w:val="nil"/>
              <w:right w:val="nil"/>
            </w:tcBorders>
          </w:tcPr>
          <w:p w14:paraId="0E262403"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2.83</w:t>
            </w:r>
          </w:p>
        </w:tc>
      </w:tr>
      <w:tr w:rsidR="004676EF" w:rsidRPr="00734AB6" w14:paraId="508BBD6A" w14:textId="77777777" w:rsidTr="00EF1F62">
        <w:tc>
          <w:tcPr>
            <w:tcW w:w="3828" w:type="dxa"/>
            <w:vMerge/>
            <w:tcBorders>
              <w:top w:val="nil"/>
              <w:left w:val="nil"/>
              <w:bottom w:val="single" w:sz="4" w:space="0" w:color="auto"/>
              <w:right w:val="nil"/>
            </w:tcBorders>
          </w:tcPr>
          <w:p w14:paraId="03E574E9" w14:textId="77777777" w:rsidR="004676EF" w:rsidRPr="00734AB6" w:rsidRDefault="004676EF" w:rsidP="005535A9">
            <w:pPr>
              <w:spacing w:after="0" w:line="360" w:lineRule="auto"/>
              <w:rPr>
                <w:rFonts w:asciiTheme="majorHAnsi" w:hAnsiTheme="majorHAnsi"/>
              </w:rPr>
            </w:pPr>
          </w:p>
        </w:tc>
        <w:tc>
          <w:tcPr>
            <w:tcW w:w="1984" w:type="dxa"/>
            <w:tcBorders>
              <w:top w:val="nil"/>
              <w:left w:val="nil"/>
              <w:bottom w:val="single" w:sz="4" w:space="0" w:color="auto"/>
              <w:right w:val="nil"/>
            </w:tcBorders>
          </w:tcPr>
          <w:p w14:paraId="14C2C7BE"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79</w:t>
            </w:r>
          </w:p>
        </w:tc>
        <w:tc>
          <w:tcPr>
            <w:tcW w:w="1276" w:type="dxa"/>
            <w:tcBorders>
              <w:top w:val="nil"/>
              <w:left w:val="nil"/>
              <w:bottom w:val="single" w:sz="4" w:space="0" w:color="auto"/>
              <w:right w:val="nil"/>
            </w:tcBorders>
          </w:tcPr>
          <w:p w14:paraId="0F75873D"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91</w:t>
            </w:r>
          </w:p>
        </w:tc>
        <w:tc>
          <w:tcPr>
            <w:tcW w:w="1276" w:type="dxa"/>
            <w:tcBorders>
              <w:top w:val="nil"/>
              <w:left w:val="nil"/>
              <w:bottom w:val="single" w:sz="4" w:space="0" w:color="auto"/>
              <w:right w:val="nil"/>
            </w:tcBorders>
          </w:tcPr>
          <w:p w14:paraId="2AD1E004"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3.29</w:t>
            </w:r>
          </w:p>
        </w:tc>
      </w:tr>
      <w:tr w:rsidR="004676EF" w:rsidRPr="00734AB6" w14:paraId="314F54C2" w14:textId="77777777" w:rsidTr="00EF1F62">
        <w:tc>
          <w:tcPr>
            <w:tcW w:w="3828" w:type="dxa"/>
            <w:vMerge w:val="restart"/>
            <w:tcBorders>
              <w:top w:val="single" w:sz="4" w:space="0" w:color="auto"/>
              <w:left w:val="nil"/>
              <w:bottom w:val="nil"/>
              <w:right w:val="nil"/>
            </w:tcBorders>
          </w:tcPr>
          <w:p w14:paraId="1BEE5BA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Task Monitor</w:t>
            </w:r>
          </w:p>
        </w:tc>
        <w:tc>
          <w:tcPr>
            <w:tcW w:w="1984" w:type="dxa"/>
            <w:tcBorders>
              <w:top w:val="single" w:sz="4" w:space="0" w:color="auto"/>
              <w:left w:val="nil"/>
              <w:bottom w:val="nil"/>
              <w:right w:val="nil"/>
            </w:tcBorders>
          </w:tcPr>
          <w:p w14:paraId="224009B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24</w:t>
            </w:r>
          </w:p>
        </w:tc>
        <w:tc>
          <w:tcPr>
            <w:tcW w:w="1276" w:type="dxa"/>
            <w:tcBorders>
              <w:top w:val="single" w:sz="4" w:space="0" w:color="auto"/>
              <w:left w:val="nil"/>
              <w:bottom w:val="nil"/>
              <w:right w:val="nil"/>
            </w:tcBorders>
          </w:tcPr>
          <w:p w14:paraId="0DC078DC"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86</w:t>
            </w:r>
          </w:p>
        </w:tc>
        <w:tc>
          <w:tcPr>
            <w:tcW w:w="1276" w:type="dxa"/>
            <w:tcBorders>
              <w:top w:val="single" w:sz="4" w:space="0" w:color="auto"/>
              <w:left w:val="nil"/>
              <w:bottom w:val="nil"/>
              <w:right w:val="nil"/>
            </w:tcBorders>
          </w:tcPr>
          <w:p w14:paraId="2BE9542F"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2.37</w:t>
            </w:r>
          </w:p>
        </w:tc>
      </w:tr>
      <w:tr w:rsidR="004676EF" w:rsidRPr="00734AB6" w14:paraId="7A839FCD" w14:textId="77777777" w:rsidTr="007D2DCB">
        <w:tc>
          <w:tcPr>
            <w:tcW w:w="3828" w:type="dxa"/>
            <w:vMerge/>
            <w:tcBorders>
              <w:top w:val="nil"/>
              <w:left w:val="nil"/>
              <w:bottom w:val="nil"/>
              <w:right w:val="nil"/>
            </w:tcBorders>
          </w:tcPr>
          <w:p w14:paraId="4B736D78" w14:textId="77777777" w:rsidR="004676EF" w:rsidRPr="00734AB6" w:rsidRDefault="004676EF" w:rsidP="005535A9">
            <w:pPr>
              <w:spacing w:after="0" w:line="360" w:lineRule="auto"/>
              <w:rPr>
                <w:rFonts w:asciiTheme="majorHAnsi" w:hAnsiTheme="majorHAnsi"/>
                <w:b/>
              </w:rPr>
            </w:pPr>
          </w:p>
        </w:tc>
        <w:tc>
          <w:tcPr>
            <w:tcW w:w="1984" w:type="dxa"/>
            <w:tcBorders>
              <w:top w:val="nil"/>
              <w:left w:val="nil"/>
              <w:bottom w:val="nil"/>
              <w:right w:val="nil"/>
            </w:tcBorders>
          </w:tcPr>
          <w:p w14:paraId="263B6A04"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32</w:t>
            </w:r>
          </w:p>
        </w:tc>
        <w:tc>
          <w:tcPr>
            <w:tcW w:w="1276" w:type="dxa"/>
            <w:tcBorders>
              <w:top w:val="nil"/>
              <w:left w:val="nil"/>
              <w:bottom w:val="nil"/>
              <w:right w:val="nil"/>
            </w:tcBorders>
          </w:tcPr>
          <w:p w14:paraId="505ED1A0"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90</w:t>
            </w:r>
          </w:p>
        </w:tc>
        <w:tc>
          <w:tcPr>
            <w:tcW w:w="1276" w:type="dxa"/>
            <w:tcBorders>
              <w:top w:val="nil"/>
              <w:left w:val="nil"/>
              <w:bottom w:val="nil"/>
              <w:right w:val="nil"/>
            </w:tcBorders>
          </w:tcPr>
          <w:p w14:paraId="609CCD7A"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2.7</w:t>
            </w:r>
          </w:p>
        </w:tc>
      </w:tr>
      <w:tr w:rsidR="004676EF" w:rsidRPr="00734AB6" w14:paraId="56CCA9E7" w14:textId="77777777" w:rsidTr="007D2DCB">
        <w:tc>
          <w:tcPr>
            <w:tcW w:w="3828" w:type="dxa"/>
            <w:vMerge/>
            <w:tcBorders>
              <w:top w:val="nil"/>
              <w:left w:val="nil"/>
              <w:bottom w:val="nil"/>
              <w:right w:val="nil"/>
            </w:tcBorders>
          </w:tcPr>
          <w:p w14:paraId="26967D8D" w14:textId="77777777" w:rsidR="004676EF" w:rsidRPr="00734AB6" w:rsidRDefault="004676EF" w:rsidP="005535A9">
            <w:pPr>
              <w:spacing w:after="0" w:line="360" w:lineRule="auto"/>
              <w:rPr>
                <w:rFonts w:asciiTheme="majorHAnsi" w:hAnsiTheme="majorHAnsi"/>
                <w:b/>
              </w:rPr>
            </w:pPr>
          </w:p>
        </w:tc>
        <w:tc>
          <w:tcPr>
            <w:tcW w:w="1984" w:type="dxa"/>
            <w:tcBorders>
              <w:top w:val="nil"/>
              <w:left w:val="nil"/>
              <w:bottom w:val="nil"/>
              <w:right w:val="nil"/>
            </w:tcBorders>
          </w:tcPr>
          <w:p w14:paraId="765B4A4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58</w:t>
            </w:r>
          </w:p>
        </w:tc>
        <w:tc>
          <w:tcPr>
            <w:tcW w:w="1276" w:type="dxa"/>
            <w:tcBorders>
              <w:top w:val="nil"/>
              <w:left w:val="nil"/>
              <w:bottom w:val="nil"/>
              <w:right w:val="nil"/>
            </w:tcBorders>
          </w:tcPr>
          <w:p w14:paraId="273DB7F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86</w:t>
            </w:r>
          </w:p>
        </w:tc>
        <w:tc>
          <w:tcPr>
            <w:tcW w:w="1276" w:type="dxa"/>
            <w:tcBorders>
              <w:top w:val="nil"/>
              <w:left w:val="nil"/>
              <w:bottom w:val="nil"/>
              <w:right w:val="nil"/>
            </w:tcBorders>
          </w:tcPr>
          <w:p w14:paraId="05C7A334"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2.37</w:t>
            </w:r>
          </w:p>
        </w:tc>
      </w:tr>
      <w:tr w:rsidR="004676EF" w:rsidRPr="00734AB6" w14:paraId="6CD6E857" w14:textId="77777777" w:rsidTr="00EF1F62">
        <w:tc>
          <w:tcPr>
            <w:tcW w:w="3828" w:type="dxa"/>
            <w:vMerge/>
            <w:tcBorders>
              <w:top w:val="nil"/>
              <w:left w:val="nil"/>
              <w:bottom w:val="single" w:sz="4" w:space="0" w:color="auto"/>
              <w:right w:val="nil"/>
            </w:tcBorders>
          </w:tcPr>
          <w:p w14:paraId="049EDC9C" w14:textId="77777777" w:rsidR="004676EF" w:rsidRPr="00734AB6" w:rsidRDefault="004676EF" w:rsidP="005535A9">
            <w:pPr>
              <w:spacing w:after="0" w:line="360" w:lineRule="auto"/>
              <w:rPr>
                <w:rFonts w:asciiTheme="majorHAnsi" w:hAnsiTheme="majorHAnsi"/>
                <w:b/>
              </w:rPr>
            </w:pPr>
          </w:p>
        </w:tc>
        <w:tc>
          <w:tcPr>
            <w:tcW w:w="1984" w:type="dxa"/>
            <w:tcBorders>
              <w:top w:val="nil"/>
              <w:left w:val="nil"/>
              <w:bottom w:val="single" w:sz="4" w:space="0" w:color="auto"/>
              <w:right w:val="nil"/>
            </w:tcBorders>
          </w:tcPr>
          <w:p w14:paraId="5D821068"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80</w:t>
            </w:r>
          </w:p>
        </w:tc>
        <w:tc>
          <w:tcPr>
            <w:tcW w:w="1276" w:type="dxa"/>
            <w:tcBorders>
              <w:top w:val="nil"/>
              <w:left w:val="nil"/>
              <w:bottom w:val="single" w:sz="4" w:space="0" w:color="auto"/>
              <w:right w:val="nil"/>
            </w:tcBorders>
          </w:tcPr>
          <w:p w14:paraId="61BC4769"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86</w:t>
            </w:r>
          </w:p>
        </w:tc>
        <w:tc>
          <w:tcPr>
            <w:tcW w:w="1276" w:type="dxa"/>
            <w:tcBorders>
              <w:top w:val="nil"/>
              <w:left w:val="nil"/>
              <w:bottom w:val="single" w:sz="4" w:space="0" w:color="auto"/>
              <w:right w:val="nil"/>
            </w:tcBorders>
          </w:tcPr>
          <w:p w14:paraId="0F0C7AFD" w14:textId="77777777" w:rsidR="004676EF" w:rsidRPr="00734AB6" w:rsidRDefault="004676EF" w:rsidP="005535A9">
            <w:pPr>
              <w:spacing w:after="0" w:line="360" w:lineRule="auto"/>
              <w:rPr>
                <w:rFonts w:asciiTheme="majorHAnsi" w:hAnsiTheme="majorHAnsi"/>
              </w:rPr>
            </w:pPr>
            <w:r w:rsidRPr="00734AB6">
              <w:rPr>
                <w:rFonts w:asciiTheme="majorHAnsi" w:hAnsiTheme="majorHAnsi"/>
              </w:rPr>
              <w:t>2.37</w:t>
            </w:r>
          </w:p>
        </w:tc>
      </w:tr>
    </w:tbl>
    <w:p w14:paraId="0A82405A" w14:textId="0185AACA" w:rsidR="00EF7585" w:rsidRPr="00734AB6" w:rsidRDefault="00EF7585" w:rsidP="00EF7585">
      <w:pPr>
        <w:pBdr>
          <w:top w:val="double" w:sz="4" w:space="1" w:color="auto"/>
        </w:pBdr>
        <w:rPr>
          <w:b/>
        </w:rPr>
      </w:pPr>
      <w:bookmarkStart w:id="188" w:name="_Toc45200550"/>
    </w:p>
    <w:p w14:paraId="0554B6E3" w14:textId="41EB78CA" w:rsidR="004676EF" w:rsidRPr="00734AB6" w:rsidRDefault="004676EF" w:rsidP="00EF7585">
      <w:pPr>
        <w:rPr>
          <w:b/>
        </w:rPr>
      </w:pPr>
      <w:r w:rsidRPr="00734AB6">
        <w:rPr>
          <w:b/>
        </w:rPr>
        <w:t>C(ix)</w:t>
      </w:r>
      <w:r w:rsidRPr="00734AB6">
        <w:rPr>
          <w:b/>
        </w:rPr>
        <w:tab/>
        <w:t>Participant information sheets</w:t>
      </w:r>
      <w:bookmarkEnd w:id="188"/>
      <w:r w:rsidRPr="00734AB6">
        <w:rPr>
          <w:b/>
        </w:rPr>
        <w:t xml:space="preserve"> </w:t>
      </w:r>
    </w:p>
    <w:p w14:paraId="1DF8CD7A" w14:textId="77777777" w:rsidR="004676EF" w:rsidRPr="00734AB6" w:rsidRDefault="004676EF" w:rsidP="0099584D">
      <w:pPr>
        <w:spacing w:line="360" w:lineRule="auto"/>
        <w:rPr>
          <w:rFonts w:asciiTheme="majorHAnsi" w:hAnsiTheme="majorHAnsi"/>
          <w:b/>
        </w:rPr>
      </w:pPr>
    </w:p>
    <w:p w14:paraId="6CEF7ED6" w14:textId="77777777" w:rsidR="004676EF" w:rsidRPr="00734AB6" w:rsidRDefault="004676EF" w:rsidP="00EF1F62">
      <w:pPr>
        <w:spacing w:after="0" w:line="360" w:lineRule="auto"/>
        <w:rPr>
          <w:rFonts w:asciiTheme="majorHAnsi" w:hAnsiTheme="majorHAnsi"/>
          <w:b/>
        </w:rPr>
      </w:pPr>
      <w:r w:rsidRPr="00734AB6">
        <w:rPr>
          <w:rFonts w:asciiTheme="majorHAnsi" w:hAnsiTheme="majorHAnsi"/>
          <w:b/>
        </w:rPr>
        <w:t>EXPERIMENTAL PARTICIPANTS</w:t>
      </w:r>
    </w:p>
    <w:p w14:paraId="3AE1B674" w14:textId="77777777" w:rsidR="004676EF" w:rsidRPr="00734AB6" w:rsidRDefault="004676EF" w:rsidP="00EF1F62">
      <w:pPr>
        <w:pBdr>
          <w:bottom w:val="single" w:sz="4" w:space="1" w:color="auto"/>
        </w:pBdr>
        <w:spacing w:after="0" w:line="360" w:lineRule="auto"/>
        <w:ind w:right="118"/>
        <w:rPr>
          <w:rFonts w:asciiTheme="majorHAnsi" w:eastAsia="Arial Unicode MS" w:hAnsiTheme="majorHAnsi" w:cs="Arial"/>
          <w:b/>
        </w:rPr>
      </w:pPr>
    </w:p>
    <w:p w14:paraId="00214A66" w14:textId="43990F98" w:rsidR="004676EF" w:rsidRPr="00734AB6" w:rsidRDefault="004676EF" w:rsidP="005766E0">
      <w:pPr>
        <w:shd w:val="clear" w:color="auto" w:fill="AEAAAA" w:themeFill="background2" w:themeFillShade="BF"/>
        <w:tabs>
          <w:tab w:val="left" w:pos="7088"/>
          <w:tab w:val="right" w:pos="8787"/>
        </w:tabs>
        <w:spacing w:after="120" w:line="360" w:lineRule="auto"/>
        <w:rPr>
          <w:rFonts w:asciiTheme="majorHAnsi" w:hAnsiTheme="majorHAnsi" w:cs="Arial"/>
          <w:b/>
        </w:rPr>
      </w:pPr>
      <w:bookmarkStart w:id="189" w:name="_Sample_Participant_Information"/>
      <w:bookmarkEnd w:id="189"/>
      <w:r w:rsidRPr="00734AB6">
        <w:rPr>
          <w:rFonts w:asciiTheme="majorHAnsi" w:hAnsiTheme="majorHAnsi" w:cs="Arial"/>
          <w:b/>
        </w:rPr>
        <w:t xml:space="preserve">Participant Information Sheet </w:t>
      </w:r>
      <w:r w:rsidRPr="00734AB6">
        <w:rPr>
          <w:rFonts w:asciiTheme="majorHAnsi" w:hAnsiTheme="majorHAnsi" w:cs="Arial"/>
          <w:b/>
        </w:rPr>
        <w:tab/>
        <w:t>SAS1834</w:t>
      </w:r>
      <w:r w:rsidR="005766E0" w:rsidRPr="00734AB6">
        <w:rPr>
          <w:rFonts w:asciiTheme="majorHAnsi" w:hAnsiTheme="majorHAnsi" w:cs="Arial"/>
          <w:b/>
        </w:rPr>
        <w:tab/>
      </w:r>
    </w:p>
    <w:p w14:paraId="182FDEC2" w14:textId="77777777" w:rsidR="004676EF" w:rsidRPr="00734AB6" w:rsidRDefault="004676EF" w:rsidP="0099584D">
      <w:pPr>
        <w:pStyle w:val="NormalWeb"/>
        <w:spacing w:before="0" w:beforeAutospacing="0" w:after="0" w:afterAutospacing="0" w:line="360" w:lineRule="auto"/>
        <w:jc w:val="both"/>
        <w:rPr>
          <w:rFonts w:asciiTheme="majorHAnsi" w:hAnsiTheme="majorHAnsi" w:cs="Arial"/>
          <w:sz w:val="22"/>
          <w:szCs w:val="22"/>
        </w:rPr>
      </w:pPr>
    </w:p>
    <w:p w14:paraId="7F8178B0" w14:textId="77777777" w:rsidR="004676EF" w:rsidRPr="00734AB6" w:rsidRDefault="004676EF" w:rsidP="0099584D">
      <w:pPr>
        <w:pStyle w:val="NormalWeb"/>
        <w:tabs>
          <w:tab w:val="left" w:pos="1701"/>
        </w:tabs>
        <w:spacing w:before="0" w:beforeAutospacing="0" w:after="0" w:afterAutospacing="0" w:line="360" w:lineRule="auto"/>
        <w:ind w:left="1701" w:hanging="1701"/>
        <w:jc w:val="both"/>
        <w:rPr>
          <w:rFonts w:asciiTheme="majorHAnsi" w:hAnsiTheme="majorHAnsi" w:cs="Arial"/>
          <w:sz w:val="22"/>
          <w:szCs w:val="22"/>
        </w:rPr>
      </w:pPr>
      <w:r w:rsidRPr="00734AB6">
        <w:rPr>
          <w:rFonts w:asciiTheme="majorHAnsi" w:hAnsiTheme="majorHAnsi" w:cs="Arial"/>
          <w:b/>
          <w:sz w:val="22"/>
          <w:szCs w:val="22"/>
        </w:rPr>
        <w:t>Title of study:</w:t>
      </w:r>
      <w:r w:rsidRPr="00734AB6">
        <w:rPr>
          <w:rFonts w:asciiTheme="majorHAnsi" w:hAnsiTheme="majorHAnsi" w:cs="Arial"/>
          <w:b/>
          <w:sz w:val="22"/>
          <w:szCs w:val="22"/>
        </w:rPr>
        <w:tab/>
        <w:t>The cognitive performance of off-prescription users of modafinil and methylphenidate</w:t>
      </w:r>
    </w:p>
    <w:p w14:paraId="24FFF9B2"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0B1AF42A"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You are being invited to take part in a research study. Before you decide whether or not to take part, it is important for you to understand why the research is being done and what it will involve. Please take time to read the following information carefully.  </w:t>
      </w:r>
    </w:p>
    <w:p w14:paraId="2415A236"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6CFCB8DF"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The present study was developed based on the results of a previous study which found that people who use modafinil and methylphenidate off-prescription report differences in their mental abilities with and without the use of these drugs.  As the previous study was a survey where respondents gave self-reports of their mental abilities, the next step is to measure mental abilities in a laboratory-controlled environment. Therefore, the aim of the current study is to ascertain whether the results of the laboratory tests of cognitive performance reflect those of the self-reports.  </w:t>
      </w:r>
    </w:p>
    <w:p w14:paraId="364D3940"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4B9A1801"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The testing session will run for approximately 30 minutes.  You will be given a questionnaire to complete which asks questions about age, gender and education, as well as drug use questions.  You will then be given another questionnaire to complete which asks questions about your mental abilities such as attention, planning and memory.  You will then be asked to perform some computer tasks which will either require you to press a button or to look in a certain direction.  Your eye movements will be recorded during one task. This means you will be asked to sit with your chin on a chin rest while a camera on the desk records your eye movements.  Following these tests you will be given a debriefing sheet which will explain this study in more detail.  </w:t>
      </w:r>
    </w:p>
    <w:p w14:paraId="7197AA56"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You have been asked to participate in this study as you have reported that you take modafinil and/or methylphenidate off-prescription.  In total, we are inviting 100 people to participate in this study.  In return for your participation you will be rewarded £15 for your time and contribution to our study.  It is up to you to decide whether or not to take part. If you do decide to take part you will be given this information sheet to keep and be asked to sign a consent form. If you decide to take part you are still free to withdraw at any time and without giving a reason.  This can be done before the </w:t>
      </w:r>
      <w:r w:rsidRPr="00734AB6">
        <w:rPr>
          <w:rStyle w:val="Emphasis"/>
          <w:rFonts w:asciiTheme="majorHAnsi" w:hAnsiTheme="majorHAnsi" w:cs="Arial"/>
          <w:sz w:val="22"/>
          <w:szCs w:val="22"/>
          <w:bdr w:val="none" w:sz="0" w:space="0" w:color="auto" w:frame="1"/>
        </w:rPr>
        <w:lastRenderedPageBreak/>
        <w:t xml:space="preserve">experiment by contacting me on the email address or telephone number at the end of this sheet, or during the experiment by informing me that you would like to withdraw, stating your participant number.  You are still free to withdraw anytime up to the submission of the manuscript and without giving a reason.  Again, this can be done by contacting me on the email address or telephone number below.  </w:t>
      </w:r>
    </w:p>
    <w:p w14:paraId="626EAC7C" w14:textId="77777777" w:rsidR="004676EF" w:rsidRPr="00734AB6" w:rsidRDefault="004676EF" w:rsidP="0099584D">
      <w:pPr>
        <w:pStyle w:val="NormalWeb"/>
        <w:spacing w:before="0" w:after="0" w:line="360" w:lineRule="auto"/>
        <w:jc w:val="both"/>
        <w:rPr>
          <w:rStyle w:val="Emphasis"/>
          <w:rFonts w:asciiTheme="majorHAnsi" w:hAnsiTheme="majorHAnsi" w:cs="Arial"/>
          <w:b/>
          <w:i w:val="0"/>
          <w:sz w:val="22"/>
          <w:szCs w:val="22"/>
          <w:bdr w:val="none" w:sz="0" w:space="0" w:color="auto" w:frame="1"/>
        </w:rPr>
      </w:pPr>
      <w:r w:rsidRPr="00734AB6">
        <w:rPr>
          <w:rStyle w:val="Emphasis"/>
          <w:rFonts w:asciiTheme="majorHAnsi" w:hAnsiTheme="majorHAnsi" w:cs="Arial"/>
          <w:b/>
          <w:sz w:val="22"/>
          <w:szCs w:val="22"/>
          <w:bdr w:val="none" w:sz="0" w:space="0" w:color="auto" w:frame="1"/>
        </w:rPr>
        <w:t>You may only participate if you are over 18 years of age, you have not been diagnosed with Attention Deficit/Hyperactivity Disorder, you are not currently taking any prescribed medications for any mental disorder and have not taken any recreational or off-prescription psychoactive drugs in the past 24 hours.</w:t>
      </w:r>
    </w:p>
    <w:p w14:paraId="4ADC0C01"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This is a completely anonymous study and no information that could identify you will be collected.  This study is being conducted as part of Rachel </w:t>
      </w:r>
      <w:proofErr w:type="spellStart"/>
      <w:r w:rsidRPr="00734AB6">
        <w:rPr>
          <w:rStyle w:val="Emphasis"/>
          <w:rFonts w:asciiTheme="majorHAnsi" w:hAnsiTheme="majorHAnsi" w:cs="Arial"/>
          <w:sz w:val="22"/>
          <w:szCs w:val="22"/>
          <w:bdr w:val="none" w:sz="0" w:space="0" w:color="auto" w:frame="1"/>
        </w:rPr>
        <w:t>Teodorini’s</w:t>
      </w:r>
      <w:proofErr w:type="spellEnd"/>
      <w:r w:rsidRPr="00734AB6">
        <w:rPr>
          <w:rStyle w:val="Emphasis"/>
          <w:rFonts w:asciiTheme="majorHAnsi" w:hAnsiTheme="majorHAnsi" w:cs="Arial"/>
          <w:sz w:val="22"/>
          <w:szCs w:val="22"/>
          <w:bdr w:val="none" w:sz="0" w:space="0" w:color="auto" w:frame="1"/>
        </w:rPr>
        <w:t xml:space="preserve"> PhD programme at London South Bank University.  This study will form part of my PhD thesis and may also be published in a peer-reviewed journal.  All information collected from this survey will be securely stored on a password protected computer that will only be accessed by me (Rachel Teodorini) and my doctoral supervisors (Dr Nicola Rycroft, Senior Lecturer and Dr James Smith-Spark, Associate Professor) both of whom belong to the Division of Psychology at London South Bank University and have expertise in substance use and mental abilities.  This information will be stored for a period of time (approximately 5 years from publication) to comply with journal regulations.</w:t>
      </w:r>
    </w:p>
    <w:p w14:paraId="76C55EF9"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Other than the £15 (in Amazon vouchers) reward, and contributing to a knowledge base that will help to inform research on the prevalence of use of these drugs, it is unlikely that you will gain any other personal benefit from participating in this research.  You will not be disadvantaged by participating in this research.  This study has been organized by the PhD student and aforementioned supervisors and funded by the Centre for Addictive Behaviour Research and London South Bank University.  It has also been ethically approved by the School of Applied Sciences Research Ethics Committee.</w:t>
      </w:r>
    </w:p>
    <w:p w14:paraId="0CD963C8"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If you would like to take part in this study, please contact me via email, using an email address that will not identify you.  If you choose to participate, you will need to attend one session in the laboratory at London South Bank University in Elephant and Castle in Central London.  </w:t>
      </w:r>
    </w:p>
    <w:p w14:paraId="0AD5A3BC"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All the information collected about you and other participants will be kept strictly confidential (subject to legal limitations).  Data generated by the study must be retained in accordance with the University's Code of Practice.  All data generated in the course of the research must be kept securely in paper or electronic form for a period of 10 years after the completion of a research project.  Your privacy and anonymity will be ensured in the collection, storage and publication of research material </w:t>
      </w:r>
      <w:r w:rsidRPr="00734AB6">
        <w:rPr>
          <w:rStyle w:val="Emphasis"/>
          <w:rFonts w:asciiTheme="majorHAnsi" w:hAnsiTheme="majorHAnsi" w:cs="Arial"/>
          <w:sz w:val="22"/>
          <w:szCs w:val="22"/>
          <w:bdr w:val="none" w:sz="0" w:space="0" w:color="auto" w:frame="1"/>
        </w:rPr>
        <w:lastRenderedPageBreak/>
        <w:t>as no personally identifiable information about you will be collected.  If the results of this research are published in a peer-reviewed journal and you would like to obtain a copy of the published research, please contact me via email and I will advise you as to how to obtain a copy of the published research.</w:t>
      </w:r>
    </w:p>
    <w:p w14:paraId="40F71FFD" w14:textId="77777777" w:rsidR="004676EF" w:rsidRPr="00734AB6" w:rsidRDefault="004676EF" w:rsidP="0099584D">
      <w:pPr>
        <w:pStyle w:val="NormalWeb"/>
        <w:spacing w:before="0" w:beforeAutospacing="0" w:after="0" w:afterAutospacing="0" w:line="360" w:lineRule="auto"/>
        <w:jc w:val="both"/>
        <w:rPr>
          <w:rFonts w:asciiTheme="majorHAnsi" w:hAnsiTheme="majorHAnsi" w:cs="Arial"/>
          <w:iCs/>
          <w:sz w:val="22"/>
          <w:szCs w:val="22"/>
          <w:bdr w:val="none" w:sz="0" w:space="0" w:color="auto" w:frame="1"/>
        </w:rPr>
      </w:pPr>
      <w:r w:rsidRPr="00734AB6">
        <w:rPr>
          <w:rFonts w:asciiTheme="majorHAnsi" w:hAnsiTheme="majorHAnsi" w:cs="Arial"/>
          <w:sz w:val="22"/>
          <w:szCs w:val="22"/>
        </w:rPr>
        <w:t xml:space="preserve">For additional information and further clarifications about the study please contact the researcher, Rachel Teodorini, at </w:t>
      </w:r>
      <w:hyperlink r:id="rId76" w:history="1">
        <w:r w:rsidRPr="00734AB6">
          <w:rPr>
            <w:rStyle w:val="Hyperlink"/>
            <w:rFonts w:asciiTheme="majorHAnsi" w:hAnsiTheme="majorHAnsi" w:cs="Arial"/>
            <w:sz w:val="22"/>
            <w:szCs w:val="22"/>
          </w:rPr>
          <w:t>teodorr2@lsbu.ac.uk</w:t>
        </w:r>
      </w:hyperlink>
      <w:r w:rsidRPr="00734AB6">
        <w:rPr>
          <w:rFonts w:asciiTheme="majorHAnsi" w:hAnsiTheme="majorHAnsi" w:cs="Arial"/>
          <w:sz w:val="22"/>
          <w:szCs w:val="22"/>
        </w:rPr>
        <w:t xml:space="preserve">, </w:t>
      </w:r>
      <w:proofErr w:type="spellStart"/>
      <w:r w:rsidRPr="00734AB6">
        <w:rPr>
          <w:rFonts w:asciiTheme="majorHAnsi" w:hAnsiTheme="majorHAnsi" w:cs="Arial"/>
          <w:sz w:val="22"/>
          <w:szCs w:val="22"/>
        </w:rPr>
        <w:t>tel</w:t>
      </w:r>
      <w:proofErr w:type="spellEnd"/>
      <w:r w:rsidRPr="00734AB6">
        <w:rPr>
          <w:rFonts w:asciiTheme="majorHAnsi" w:hAnsiTheme="majorHAnsi" w:cs="Arial"/>
          <w:sz w:val="22"/>
          <w:szCs w:val="22"/>
        </w:rPr>
        <w:t xml:space="preserve">: 020 7815 5431.  Contact details for supervisors are: Dr Nicola Rycroft, email: </w:t>
      </w:r>
      <w:hyperlink r:id="rId77" w:history="1">
        <w:r w:rsidRPr="00734AB6">
          <w:rPr>
            <w:rStyle w:val="Hyperlink"/>
            <w:rFonts w:asciiTheme="majorHAnsi" w:hAnsiTheme="majorHAnsi" w:cs="Arial"/>
            <w:sz w:val="22"/>
            <w:szCs w:val="22"/>
          </w:rPr>
          <w:t>rycroftn@lsbu.ac.uk</w:t>
        </w:r>
      </w:hyperlink>
      <w:r w:rsidRPr="00734AB6">
        <w:rPr>
          <w:rFonts w:asciiTheme="majorHAnsi" w:hAnsiTheme="majorHAnsi" w:cs="Arial"/>
          <w:sz w:val="22"/>
          <w:szCs w:val="22"/>
        </w:rPr>
        <w:t xml:space="preserve">; Dr James Smith-Spark, email: </w:t>
      </w:r>
      <w:hyperlink r:id="rId78" w:history="1">
        <w:r w:rsidRPr="00734AB6">
          <w:rPr>
            <w:rStyle w:val="Hyperlink"/>
            <w:rFonts w:asciiTheme="majorHAnsi" w:hAnsiTheme="majorHAnsi" w:cs="Arial"/>
            <w:sz w:val="22"/>
            <w:szCs w:val="22"/>
          </w:rPr>
          <w:t>smithspj@lsbu.ac.uk</w:t>
        </w:r>
      </w:hyperlink>
      <w:r w:rsidRPr="00734AB6">
        <w:rPr>
          <w:rFonts w:asciiTheme="majorHAnsi" w:hAnsiTheme="majorHAnsi" w:cs="Arial"/>
          <w:sz w:val="22"/>
          <w:szCs w:val="22"/>
        </w:rPr>
        <w:t>.  If you have any concerns or complaints</w:t>
      </w:r>
      <w:r w:rsidRPr="00734AB6">
        <w:rPr>
          <w:rFonts w:asciiTheme="majorHAnsi" w:hAnsiTheme="majorHAnsi"/>
          <w:sz w:val="22"/>
          <w:szCs w:val="22"/>
        </w:rPr>
        <w:t xml:space="preserve"> </w:t>
      </w:r>
      <w:r w:rsidRPr="00734AB6">
        <w:rPr>
          <w:rFonts w:asciiTheme="majorHAnsi" w:hAnsiTheme="majorHAnsi" w:cs="Arial"/>
          <w:sz w:val="22"/>
          <w:szCs w:val="22"/>
        </w:rPr>
        <w:t xml:space="preserve">about the way in which the study has been conducted, you may contact the Chair of the School of Applied Sciences Research Ethics Committee at </w:t>
      </w:r>
      <w:hyperlink r:id="rId79" w:history="1">
        <w:r w:rsidRPr="00734AB6">
          <w:rPr>
            <w:rStyle w:val="Hyperlink"/>
            <w:rFonts w:asciiTheme="majorHAnsi" w:hAnsiTheme="majorHAnsi" w:cs="Arial"/>
            <w:sz w:val="22"/>
            <w:szCs w:val="22"/>
          </w:rPr>
          <w:t>sasethics@lsbu.ac.uk</w:t>
        </w:r>
      </w:hyperlink>
      <w:r w:rsidRPr="00734AB6">
        <w:rPr>
          <w:rFonts w:asciiTheme="majorHAnsi" w:hAnsiTheme="majorHAnsi" w:cs="Arial"/>
          <w:sz w:val="22"/>
          <w:szCs w:val="22"/>
        </w:rPr>
        <w:t>.</w:t>
      </w:r>
    </w:p>
    <w:p w14:paraId="63930BB1" w14:textId="77777777" w:rsidR="004676EF" w:rsidRPr="00734AB6" w:rsidRDefault="004676EF" w:rsidP="0099584D">
      <w:pPr>
        <w:spacing w:line="360" w:lineRule="auto"/>
        <w:rPr>
          <w:rFonts w:asciiTheme="majorHAnsi" w:hAnsiTheme="majorHAnsi" w:cs="Arial"/>
        </w:rPr>
      </w:pPr>
      <w:r w:rsidRPr="00734AB6">
        <w:rPr>
          <w:rFonts w:asciiTheme="majorHAnsi" w:hAnsiTheme="majorHAnsi" w:cs="Arial"/>
        </w:rPr>
        <w:t>If you would like to take part, you are free to discuss this with your GP, friends or family.  Thank you for taking the time to read this information sheet.</w:t>
      </w:r>
    </w:p>
    <w:p w14:paraId="1B347CE4" w14:textId="7A29E14A" w:rsidR="004676EF" w:rsidRPr="00734AB6" w:rsidRDefault="004676EF" w:rsidP="0099584D">
      <w:pPr>
        <w:spacing w:line="360" w:lineRule="auto"/>
        <w:rPr>
          <w:rFonts w:asciiTheme="majorHAnsi" w:hAnsiTheme="majorHAnsi" w:cs="Arial"/>
        </w:rPr>
      </w:pPr>
    </w:p>
    <w:p w14:paraId="47A7E668" w14:textId="77777777" w:rsidR="004676EF" w:rsidRPr="00734AB6" w:rsidRDefault="004676EF" w:rsidP="0099584D">
      <w:pPr>
        <w:spacing w:line="360" w:lineRule="auto"/>
        <w:rPr>
          <w:rFonts w:asciiTheme="majorHAnsi" w:hAnsiTheme="majorHAnsi" w:cs="Arial"/>
          <w:b/>
          <w:smallCaps/>
        </w:rPr>
      </w:pPr>
      <w:proofErr w:type="spellStart"/>
      <w:r w:rsidRPr="00734AB6">
        <w:rPr>
          <w:rFonts w:asciiTheme="majorHAnsi" w:hAnsiTheme="majorHAnsi" w:cs="Arial"/>
          <w:b/>
          <w:smallCaps/>
        </w:rPr>
        <w:t>rachel</w:t>
      </w:r>
      <w:proofErr w:type="spellEnd"/>
      <w:r w:rsidRPr="00734AB6">
        <w:rPr>
          <w:rFonts w:asciiTheme="majorHAnsi" w:hAnsiTheme="majorHAnsi" w:cs="Arial"/>
          <w:b/>
          <w:smallCaps/>
        </w:rPr>
        <w:t xml:space="preserve"> </w:t>
      </w:r>
      <w:proofErr w:type="spellStart"/>
      <w:r w:rsidRPr="00734AB6">
        <w:rPr>
          <w:rFonts w:asciiTheme="majorHAnsi" w:hAnsiTheme="majorHAnsi" w:cs="Arial"/>
          <w:b/>
          <w:smallCaps/>
        </w:rPr>
        <w:t>teodorini</w:t>
      </w:r>
      <w:proofErr w:type="spellEnd"/>
    </w:p>
    <w:p w14:paraId="0F3F0ABC" w14:textId="77777777" w:rsidR="004676EF" w:rsidRPr="00734AB6" w:rsidRDefault="004676EF" w:rsidP="0099584D">
      <w:pPr>
        <w:spacing w:line="360" w:lineRule="auto"/>
        <w:rPr>
          <w:rFonts w:asciiTheme="majorHAnsi" w:hAnsiTheme="majorHAnsi" w:cs="Arial"/>
        </w:rPr>
      </w:pPr>
      <w:r w:rsidRPr="00734AB6">
        <w:rPr>
          <w:rFonts w:asciiTheme="majorHAnsi" w:hAnsiTheme="majorHAnsi" w:cs="Arial"/>
          <w:b/>
          <w:smallCaps/>
        </w:rPr>
        <w:t>15/02/2019</w:t>
      </w:r>
    </w:p>
    <w:p w14:paraId="008B97CE" w14:textId="77777777" w:rsidR="004676EF" w:rsidRPr="00734AB6" w:rsidRDefault="004676EF" w:rsidP="0099584D">
      <w:pPr>
        <w:pBdr>
          <w:bottom w:val="single" w:sz="4" w:space="1" w:color="auto"/>
        </w:pBdr>
        <w:spacing w:line="360" w:lineRule="auto"/>
        <w:rPr>
          <w:rFonts w:asciiTheme="majorHAnsi" w:hAnsiTheme="majorHAnsi" w:cs="Arial"/>
        </w:rPr>
      </w:pPr>
    </w:p>
    <w:p w14:paraId="064B7495" w14:textId="77777777" w:rsidR="004676EF" w:rsidRPr="00734AB6" w:rsidRDefault="004676EF" w:rsidP="0099584D">
      <w:pPr>
        <w:spacing w:line="360" w:lineRule="auto"/>
        <w:rPr>
          <w:rFonts w:asciiTheme="majorHAnsi" w:hAnsiTheme="majorHAnsi" w:cs="Arial"/>
        </w:rPr>
      </w:pPr>
      <w:r w:rsidRPr="00734AB6">
        <w:rPr>
          <w:rFonts w:asciiTheme="majorHAnsi" w:hAnsiTheme="majorHAnsi" w:cs="Arial"/>
          <w:b/>
          <w:u w:val="single"/>
        </w:rPr>
        <w:t>Please note</w:t>
      </w:r>
      <w:r w:rsidRPr="00734AB6">
        <w:rPr>
          <w:rFonts w:asciiTheme="majorHAnsi" w:hAnsiTheme="majorHAnsi" w:cs="Arial"/>
        </w:rPr>
        <w:t xml:space="preserve">:  The following contact details are provided for you to use if you have any concerns about your drug use.  </w:t>
      </w:r>
    </w:p>
    <w:p w14:paraId="17C43B32" w14:textId="77777777" w:rsidR="004676EF" w:rsidRPr="00734AB6" w:rsidRDefault="004676EF" w:rsidP="0099584D">
      <w:pPr>
        <w:spacing w:after="0" w:line="360" w:lineRule="auto"/>
        <w:rPr>
          <w:rStyle w:val="Strong"/>
          <w:rFonts w:asciiTheme="majorHAnsi" w:hAnsiTheme="majorHAnsi" w:cs="Arial"/>
          <w:color w:val="000000"/>
          <w:u w:val="single"/>
          <w:shd w:val="clear" w:color="auto" w:fill="FFFFFF"/>
        </w:rPr>
      </w:pPr>
      <w:proofErr w:type="spellStart"/>
      <w:r w:rsidRPr="00734AB6">
        <w:rPr>
          <w:rStyle w:val="Strong"/>
          <w:rFonts w:asciiTheme="majorHAnsi" w:hAnsiTheme="majorHAnsi" w:cs="Arial"/>
          <w:color w:val="000000"/>
          <w:u w:val="single"/>
          <w:shd w:val="clear" w:color="auto" w:fill="FFFFFF"/>
        </w:rPr>
        <w:t>SupportLine</w:t>
      </w:r>
      <w:proofErr w:type="spellEnd"/>
      <w:r w:rsidRPr="00734AB6">
        <w:rPr>
          <w:rStyle w:val="Strong"/>
          <w:rFonts w:asciiTheme="majorHAnsi" w:hAnsiTheme="majorHAnsi" w:cs="Arial"/>
          <w:color w:val="000000"/>
          <w:u w:val="single"/>
          <w:shd w:val="clear" w:color="auto" w:fill="FFFFFF"/>
        </w:rPr>
        <w:t xml:space="preserve"> </w:t>
      </w:r>
    </w:p>
    <w:p w14:paraId="5E1F9B93" w14:textId="77777777" w:rsidR="004676EF" w:rsidRPr="00734AB6" w:rsidRDefault="004676EF" w:rsidP="0099584D">
      <w:pPr>
        <w:spacing w:after="0" w:line="360" w:lineRule="auto"/>
        <w:rPr>
          <w:rFonts w:asciiTheme="majorHAnsi" w:hAnsiTheme="majorHAnsi" w:cs="Arial"/>
          <w:shd w:val="clear" w:color="auto" w:fill="FFFFFF"/>
        </w:rPr>
      </w:pPr>
      <w:r w:rsidRPr="00734AB6">
        <w:rPr>
          <w:rStyle w:val="Strong"/>
          <w:rFonts w:asciiTheme="majorHAnsi" w:hAnsiTheme="majorHAnsi" w:cs="Arial"/>
          <w:color w:val="000000"/>
          <w:shd w:val="clear" w:color="auto" w:fill="FFFFFF"/>
        </w:rPr>
        <w:t>Telephone Helpline: 01708 765200</w:t>
      </w:r>
      <w:r w:rsidRPr="00734AB6">
        <w:rPr>
          <w:rFonts w:asciiTheme="majorHAnsi" w:hAnsiTheme="majorHAnsi" w:cs="Arial"/>
          <w:b/>
          <w:color w:val="000000"/>
        </w:rPr>
        <w:br/>
      </w:r>
      <w:r w:rsidRPr="00734AB6">
        <w:rPr>
          <w:rFonts w:asciiTheme="majorHAnsi" w:hAnsiTheme="majorHAnsi" w:cs="Arial"/>
          <w:shd w:val="clear" w:color="auto" w:fill="FFFFFF"/>
        </w:rPr>
        <w:t>email: </w:t>
      </w:r>
      <w:hyperlink r:id="rId80" w:history="1">
        <w:r w:rsidRPr="00734AB6">
          <w:rPr>
            <w:rStyle w:val="Hyperlink"/>
            <w:rFonts w:asciiTheme="majorHAnsi" w:hAnsiTheme="majorHAnsi" w:cs="Arial"/>
            <w:bCs/>
            <w:shd w:val="clear" w:color="auto" w:fill="FFFFFF"/>
          </w:rPr>
          <w:t>info@supportline.org.uk</w:t>
        </w:r>
      </w:hyperlink>
      <w:r w:rsidRPr="00734AB6">
        <w:rPr>
          <w:rFonts w:asciiTheme="majorHAnsi" w:hAnsiTheme="majorHAnsi" w:cs="Arial"/>
          <w:shd w:val="clear" w:color="auto" w:fill="FFFFFF"/>
        </w:rPr>
        <w:t> </w:t>
      </w:r>
    </w:p>
    <w:p w14:paraId="7DA04FFD" w14:textId="77777777" w:rsidR="004676EF" w:rsidRPr="00734AB6" w:rsidRDefault="00754FB3" w:rsidP="0099584D">
      <w:pPr>
        <w:spacing w:line="360" w:lineRule="auto"/>
        <w:rPr>
          <w:rFonts w:asciiTheme="majorHAnsi" w:hAnsiTheme="majorHAnsi" w:cs="Arial"/>
          <w:color w:val="000000"/>
          <w:shd w:val="clear" w:color="auto" w:fill="FFFFFF"/>
        </w:rPr>
      </w:pPr>
      <w:hyperlink r:id="rId81" w:history="1">
        <w:r w:rsidR="004676EF" w:rsidRPr="00734AB6">
          <w:rPr>
            <w:rStyle w:val="Hyperlink"/>
            <w:rFonts w:asciiTheme="majorHAnsi" w:hAnsiTheme="majorHAnsi" w:cs="Arial"/>
            <w:shd w:val="clear" w:color="auto" w:fill="FFFFFF"/>
          </w:rPr>
          <w:t>www.supportline.org.uk/</w:t>
        </w:r>
      </w:hyperlink>
      <w:r w:rsidR="004676EF" w:rsidRPr="00734AB6">
        <w:rPr>
          <w:rFonts w:asciiTheme="majorHAnsi" w:hAnsiTheme="majorHAnsi" w:cs="Arial"/>
          <w:shd w:val="clear" w:color="auto" w:fill="FFFFFF"/>
        </w:rPr>
        <w:t xml:space="preserve"> </w:t>
      </w:r>
      <w:r w:rsidR="004676EF" w:rsidRPr="00734AB6">
        <w:rPr>
          <w:rFonts w:asciiTheme="majorHAnsi" w:hAnsiTheme="majorHAnsi" w:cs="Arial"/>
          <w:shd w:val="clear" w:color="auto" w:fill="FFFFFF"/>
        </w:rPr>
        <w:br/>
      </w:r>
      <w:r w:rsidR="004676EF" w:rsidRPr="00734AB6">
        <w:rPr>
          <w:rFonts w:asciiTheme="majorHAnsi" w:hAnsiTheme="majorHAnsi" w:cs="Arial"/>
          <w:color w:val="000000"/>
          <w:shd w:val="clear" w:color="auto" w:fill="FFFFFF"/>
        </w:rPr>
        <w:t>Provides emotional support and keeps details of local agencies providing help and support for all issues relating to Drugs.</w:t>
      </w:r>
    </w:p>
    <w:p w14:paraId="0A299D6A"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7988B2C3"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b/>
          <w:i w:val="0"/>
          <w:sz w:val="22"/>
          <w:szCs w:val="22"/>
          <w:u w:val="single"/>
          <w:bdr w:val="none" w:sz="0" w:space="0" w:color="auto" w:frame="1"/>
        </w:rPr>
      </w:pPr>
      <w:r w:rsidRPr="00734AB6">
        <w:rPr>
          <w:rStyle w:val="Emphasis"/>
          <w:rFonts w:asciiTheme="majorHAnsi" w:hAnsiTheme="majorHAnsi" w:cs="Arial"/>
          <w:b/>
          <w:sz w:val="22"/>
          <w:szCs w:val="22"/>
          <w:u w:val="single"/>
          <w:bdr w:val="none" w:sz="0" w:space="0" w:color="auto" w:frame="1"/>
        </w:rPr>
        <w:t>Release</w:t>
      </w:r>
    </w:p>
    <w:p w14:paraId="0C3ED915" w14:textId="77777777" w:rsidR="004676EF" w:rsidRPr="00734AB6" w:rsidRDefault="004676EF" w:rsidP="0099584D">
      <w:pPr>
        <w:spacing w:after="0" w:line="360" w:lineRule="auto"/>
        <w:rPr>
          <w:rFonts w:asciiTheme="majorHAnsi" w:hAnsiTheme="majorHAnsi" w:cs="Arial"/>
        </w:rPr>
      </w:pPr>
      <w:r w:rsidRPr="00734AB6">
        <w:rPr>
          <w:rFonts w:asciiTheme="majorHAnsi" w:hAnsiTheme="majorHAnsi" w:cs="Arial"/>
        </w:rPr>
        <w:t>Telephone Helpline: 020 7324 2989</w:t>
      </w:r>
    </w:p>
    <w:p w14:paraId="621AA004"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email: </w:t>
      </w:r>
      <w:hyperlink r:id="rId82" w:history="1">
        <w:r w:rsidRPr="00734AB6">
          <w:rPr>
            <w:rStyle w:val="Hyperlink"/>
            <w:rFonts w:asciiTheme="majorHAnsi" w:hAnsiTheme="majorHAnsi" w:cs="Arial"/>
            <w:sz w:val="22"/>
            <w:szCs w:val="22"/>
            <w:bdr w:val="none" w:sz="0" w:space="0" w:color="auto" w:frame="1"/>
          </w:rPr>
          <w:t>ask@release.org.uk</w:t>
        </w:r>
      </w:hyperlink>
      <w:r w:rsidRPr="00734AB6">
        <w:rPr>
          <w:rStyle w:val="Emphasis"/>
          <w:rFonts w:asciiTheme="majorHAnsi" w:hAnsiTheme="majorHAnsi" w:cs="Arial"/>
          <w:sz w:val="22"/>
          <w:szCs w:val="22"/>
          <w:bdr w:val="none" w:sz="0" w:space="0" w:color="auto" w:frame="1"/>
        </w:rPr>
        <w:t xml:space="preserve"> </w:t>
      </w:r>
    </w:p>
    <w:p w14:paraId="3279ABCB" w14:textId="77777777" w:rsidR="004676EF" w:rsidRPr="00734AB6" w:rsidRDefault="00754FB3"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hyperlink r:id="rId83" w:history="1">
        <w:r w:rsidR="004676EF" w:rsidRPr="00734AB6">
          <w:rPr>
            <w:rStyle w:val="Hyperlink"/>
            <w:rFonts w:asciiTheme="majorHAnsi" w:hAnsiTheme="majorHAnsi" w:cs="Arial"/>
            <w:sz w:val="22"/>
            <w:szCs w:val="22"/>
            <w:bdr w:val="none" w:sz="0" w:space="0" w:color="auto" w:frame="1"/>
          </w:rPr>
          <w:t>www.release.org.uk</w:t>
        </w:r>
      </w:hyperlink>
      <w:r w:rsidR="004676EF" w:rsidRPr="00734AB6">
        <w:rPr>
          <w:rStyle w:val="Emphasis"/>
          <w:rFonts w:asciiTheme="majorHAnsi" w:hAnsiTheme="majorHAnsi" w:cs="Arial"/>
          <w:sz w:val="22"/>
          <w:szCs w:val="22"/>
          <w:bdr w:val="none" w:sz="0" w:space="0" w:color="auto" w:frame="1"/>
        </w:rPr>
        <w:t xml:space="preserve"> </w:t>
      </w:r>
    </w:p>
    <w:p w14:paraId="00C06BA2"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Release is the national centre of expertise on drugs and drugs law. The organisation provides free non-judgmental, specialist advice and information to the public and professionals on issues related to drug use and to drug laws.</w:t>
      </w:r>
    </w:p>
    <w:p w14:paraId="70EDD401"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3A812A04" w14:textId="51B338DB" w:rsidR="00EF1F62" w:rsidRPr="00734AB6" w:rsidRDefault="00EF1F62" w:rsidP="00D22283">
      <w:pPr>
        <w:pBdr>
          <w:top w:val="double" w:sz="4" w:space="1" w:color="auto"/>
        </w:pBdr>
        <w:rPr>
          <w:rFonts w:asciiTheme="majorHAnsi" w:eastAsia="Times New Roman" w:hAnsiTheme="majorHAnsi" w:cs="Arial"/>
          <w:b/>
          <w:lang w:eastAsia="en-GB"/>
        </w:rPr>
      </w:pPr>
    </w:p>
    <w:p w14:paraId="795E42BB" w14:textId="33B4CF4A" w:rsidR="004676EF" w:rsidRPr="00734AB6" w:rsidRDefault="004676EF" w:rsidP="0099584D">
      <w:pPr>
        <w:pStyle w:val="NormalWeb"/>
        <w:spacing w:before="0" w:beforeAutospacing="0" w:after="0" w:afterAutospacing="0" w:line="360" w:lineRule="auto"/>
        <w:jc w:val="both"/>
        <w:rPr>
          <w:rFonts w:asciiTheme="majorHAnsi" w:hAnsiTheme="majorHAnsi" w:cs="Arial"/>
          <w:b/>
          <w:sz w:val="22"/>
          <w:szCs w:val="22"/>
        </w:rPr>
      </w:pPr>
      <w:r w:rsidRPr="00734AB6">
        <w:rPr>
          <w:rFonts w:asciiTheme="majorHAnsi" w:hAnsiTheme="majorHAnsi" w:cs="Arial"/>
          <w:b/>
          <w:sz w:val="22"/>
          <w:szCs w:val="22"/>
        </w:rPr>
        <w:t>CONTROL PARTICIPANTS</w:t>
      </w:r>
    </w:p>
    <w:p w14:paraId="3032ECE1" w14:textId="77777777" w:rsidR="004676EF" w:rsidRPr="00734AB6" w:rsidRDefault="004676EF" w:rsidP="00EF1F62">
      <w:pPr>
        <w:spacing w:after="0" w:line="360" w:lineRule="auto"/>
        <w:rPr>
          <w:rFonts w:asciiTheme="majorHAnsi" w:hAnsiTheme="majorHAnsi"/>
        </w:rPr>
      </w:pPr>
    </w:p>
    <w:p w14:paraId="2CB651C6" w14:textId="77777777" w:rsidR="004676EF" w:rsidRPr="00734AB6" w:rsidRDefault="004676EF" w:rsidP="00E2030F">
      <w:pPr>
        <w:shd w:val="clear" w:color="auto" w:fill="AEAAAA" w:themeFill="background2" w:themeFillShade="BF"/>
        <w:tabs>
          <w:tab w:val="left" w:pos="7088"/>
          <w:tab w:val="left" w:pos="9072"/>
        </w:tabs>
        <w:spacing w:after="120" w:line="360" w:lineRule="auto"/>
        <w:rPr>
          <w:rFonts w:asciiTheme="majorHAnsi" w:hAnsiTheme="majorHAnsi" w:cs="Arial"/>
          <w:b/>
        </w:rPr>
      </w:pPr>
      <w:r w:rsidRPr="00734AB6">
        <w:rPr>
          <w:rFonts w:asciiTheme="majorHAnsi" w:hAnsiTheme="majorHAnsi" w:cs="Arial"/>
          <w:b/>
        </w:rPr>
        <w:t xml:space="preserve">Participant Information Sheet </w:t>
      </w:r>
      <w:r w:rsidRPr="00734AB6">
        <w:rPr>
          <w:rFonts w:asciiTheme="majorHAnsi" w:hAnsiTheme="majorHAnsi" w:cs="Arial"/>
          <w:b/>
        </w:rPr>
        <w:tab/>
        <w:t>SAS1834</w:t>
      </w:r>
    </w:p>
    <w:p w14:paraId="696BF131" w14:textId="77777777" w:rsidR="004676EF" w:rsidRPr="00734AB6" w:rsidRDefault="004676EF" w:rsidP="0099584D">
      <w:pPr>
        <w:pStyle w:val="NormalWeb"/>
        <w:spacing w:before="0" w:beforeAutospacing="0" w:after="0" w:afterAutospacing="0" w:line="360" w:lineRule="auto"/>
        <w:jc w:val="both"/>
        <w:rPr>
          <w:rFonts w:asciiTheme="majorHAnsi" w:hAnsiTheme="majorHAnsi" w:cs="Arial"/>
          <w:sz w:val="22"/>
          <w:szCs w:val="22"/>
        </w:rPr>
      </w:pPr>
    </w:p>
    <w:p w14:paraId="6D10E3F4" w14:textId="77777777" w:rsidR="004676EF" w:rsidRPr="00734AB6" w:rsidRDefault="004676EF" w:rsidP="0099584D">
      <w:pPr>
        <w:pStyle w:val="NormalWeb"/>
        <w:tabs>
          <w:tab w:val="left" w:pos="1701"/>
        </w:tabs>
        <w:spacing w:before="0" w:beforeAutospacing="0" w:after="0" w:afterAutospacing="0" w:line="360" w:lineRule="auto"/>
        <w:ind w:left="1701" w:hanging="1701"/>
        <w:jc w:val="both"/>
        <w:rPr>
          <w:rFonts w:asciiTheme="majorHAnsi" w:hAnsiTheme="majorHAnsi" w:cs="Arial"/>
          <w:sz w:val="22"/>
          <w:szCs w:val="22"/>
        </w:rPr>
      </w:pPr>
      <w:r w:rsidRPr="00734AB6">
        <w:rPr>
          <w:rFonts w:asciiTheme="majorHAnsi" w:hAnsiTheme="majorHAnsi" w:cs="Arial"/>
          <w:b/>
          <w:sz w:val="22"/>
          <w:szCs w:val="22"/>
        </w:rPr>
        <w:t>Title of study:</w:t>
      </w:r>
      <w:r w:rsidRPr="00734AB6">
        <w:rPr>
          <w:rFonts w:asciiTheme="majorHAnsi" w:hAnsiTheme="majorHAnsi" w:cs="Arial"/>
          <w:b/>
          <w:sz w:val="22"/>
          <w:szCs w:val="22"/>
        </w:rPr>
        <w:tab/>
        <w:t>The cognitive performance of off-prescription users of modafinil and methylphenidate</w:t>
      </w:r>
    </w:p>
    <w:p w14:paraId="3C05EAD9"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4A0F4D30"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You are being invited to take part in a research study. Before you decide whether or not to take part, it is important for you to understand why the research is being done and what it will involve. Please take time to read the following information carefully.  </w:t>
      </w:r>
    </w:p>
    <w:p w14:paraId="481119C8"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5316E459"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The present study was developed based on the results of a previous study which found that people who use modafinil and methylphenidate off-prescription report differences in their cognitive performance with and without the use of these drugs.  As the previous study was a survey where respondents gave self-reports of their cognitive performance, the next step is to measure cognitive performance in a laboratory-controlled environment. Therefore, the aim of the current study is to ascertain whether the results of the laboratory tests of cognitive performance reflect those of the self-reports.  </w:t>
      </w:r>
    </w:p>
    <w:p w14:paraId="30430A3E"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16ECB32F"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The testing session will run for approximately 75 minutes.  You will be given a questionnaire to complete which asks questions about age, gender and education, as well as drug use questions.  You will then be given another questionnaire to complete which asks questions about your mental abilities such as attention, planning and memory.  You will then be asked to perform some computer tasks which will either require you to press a button or to look in a certain direction.  Your eye movements will be recorded during one task. This means you will be asked to sit with your chin on a chin rest while a camera on the desk records your eye movements.  Following these tests you will be given a debriefing sheet which will explain this study in more detail. </w:t>
      </w:r>
    </w:p>
    <w:p w14:paraId="11A2D091"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You have been asked to participate in this study as you have reported that you have never taken modafinil or methylphenidate.  In total, we are inviting 100 people to participate in this study.  In return for your participation you will be rewarded £15 or 10 RPS Credits for your time and contribution to our study.  It is up to you to decide whether or not to take part. If you do decide to take part you will be given this information sheet to keep and be asked to sign a consent form. If you decide to take part you are still free to withdraw at any time and without giving a reason.  This can be done before the experiment by contacting me on the email address or telephone number at </w:t>
      </w:r>
      <w:r w:rsidRPr="00734AB6">
        <w:rPr>
          <w:rStyle w:val="Emphasis"/>
          <w:rFonts w:asciiTheme="majorHAnsi" w:hAnsiTheme="majorHAnsi" w:cs="Arial"/>
          <w:sz w:val="22"/>
          <w:szCs w:val="22"/>
          <w:bdr w:val="none" w:sz="0" w:space="0" w:color="auto" w:frame="1"/>
        </w:rPr>
        <w:lastRenderedPageBreak/>
        <w:t xml:space="preserve">the end of this sheet, or during the experiment by informing me that you would like to withdraw.  You are still free to withdraw anytime up to the submission of the manuscript and without giving a reason.  Again, this can be done by contacting me on the email address or telephone number below, stating your participant number.  By choosing to either take part or not take part in the study will have no impact on your marks, assessment or future studies.  </w:t>
      </w:r>
    </w:p>
    <w:p w14:paraId="2E2810E3" w14:textId="77777777" w:rsidR="004676EF" w:rsidRPr="00734AB6" w:rsidRDefault="004676EF" w:rsidP="0099584D">
      <w:pPr>
        <w:pStyle w:val="NormalWeb"/>
        <w:spacing w:before="0" w:after="0" w:line="360" w:lineRule="auto"/>
        <w:jc w:val="both"/>
        <w:rPr>
          <w:rStyle w:val="Emphasis"/>
          <w:rFonts w:asciiTheme="majorHAnsi" w:hAnsiTheme="majorHAnsi" w:cs="Arial"/>
          <w:b/>
          <w:i w:val="0"/>
          <w:sz w:val="22"/>
          <w:szCs w:val="22"/>
          <w:bdr w:val="none" w:sz="0" w:space="0" w:color="auto" w:frame="1"/>
        </w:rPr>
      </w:pPr>
      <w:r w:rsidRPr="00734AB6">
        <w:rPr>
          <w:rStyle w:val="Emphasis"/>
          <w:rFonts w:asciiTheme="majorHAnsi" w:hAnsiTheme="majorHAnsi" w:cs="Arial"/>
          <w:b/>
          <w:sz w:val="22"/>
          <w:szCs w:val="22"/>
          <w:bdr w:val="none" w:sz="0" w:space="0" w:color="auto" w:frame="1"/>
        </w:rPr>
        <w:t>You may only participate if you are over 18 years of age, you have not been diagnosed with Attention Deficit/Hyperactivity Disorder, you are not currently taking any prescribed medications for any mental disorder and have not taken any recreational or off-prescription psychoactive drugs in the past 24 hours.</w:t>
      </w:r>
    </w:p>
    <w:p w14:paraId="521C8F82"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This is a completely anonymous study and no information that could identify you will be collected.  This study is being conducted as part of Rachel </w:t>
      </w:r>
      <w:proofErr w:type="spellStart"/>
      <w:r w:rsidRPr="00734AB6">
        <w:rPr>
          <w:rStyle w:val="Emphasis"/>
          <w:rFonts w:asciiTheme="majorHAnsi" w:hAnsiTheme="majorHAnsi" w:cs="Arial"/>
          <w:sz w:val="22"/>
          <w:szCs w:val="22"/>
          <w:bdr w:val="none" w:sz="0" w:space="0" w:color="auto" w:frame="1"/>
        </w:rPr>
        <w:t>Teodorini’s</w:t>
      </w:r>
      <w:proofErr w:type="spellEnd"/>
      <w:r w:rsidRPr="00734AB6">
        <w:rPr>
          <w:rStyle w:val="Emphasis"/>
          <w:rFonts w:asciiTheme="majorHAnsi" w:hAnsiTheme="majorHAnsi" w:cs="Arial"/>
          <w:sz w:val="22"/>
          <w:szCs w:val="22"/>
          <w:bdr w:val="none" w:sz="0" w:space="0" w:color="auto" w:frame="1"/>
        </w:rPr>
        <w:t xml:space="preserve"> PhD programme at London South Bank University.  This study will form part of my PhD thesis and may also be published in a peer-reviewed journal.  All information collected from this survey will be securely stored on a password protected computer that will only be accessed by me (Rachel Teodorini) and my doctoral supervisors (Dr Nicola Rycroft, Senior Lecturer and Dr James Smith-Spark, Associate Professor) both of whom belong to the Division of Psychology at London South Bank University and have expertise in substance use and cognitive performance.  This information will be stored for a period of time (approximately 5 years from publication) to comply with journal regulations.</w:t>
      </w:r>
    </w:p>
    <w:p w14:paraId="2CBA4D2A"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p>
    <w:p w14:paraId="022EFD0F"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Other than the £15 (in Amazon vouchers) reward or 10 RPS credits, and contributing to a knowledge base that will help to inform research on the prevalence of use of these drugs, it is unlikely that you will gain any other personal benefit from participating in this research.  You</w:t>
      </w:r>
      <w:r w:rsidRPr="00734AB6">
        <w:rPr>
          <w:rStyle w:val="Emphasis"/>
          <w:rFonts w:asciiTheme="majorHAnsi" w:hAnsiTheme="majorHAnsi" w:cs="Arial"/>
          <w:color w:val="FF0000"/>
          <w:sz w:val="22"/>
          <w:szCs w:val="22"/>
          <w:bdr w:val="none" w:sz="0" w:space="0" w:color="auto" w:frame="1"/>
        </w:rPr>
        <w:t xml:space="preserve"> </w:t>
      </w:r>
      <w:r w:rsidRPr="00734AB6">
        <w:rPr>
          <w:rStyle w:val="Emphasis"/>
          <w:rFonts w:asciiTheme="majorHAnsi" w:hAnsiTheme="majorHAnsi" w:cs="Arial"/>
          <w:sz w:val="22"/>
          <w:szCs w:val="22"/>
          <w:bdr w:val="none" w:sz="0" w:space="0" w:color="auto" w:frame="1"/>
        </w:rPr>
        <w:t>will not be disadvantaged by participating in this research.  This study has been organized by the PhD student and aforementioned supervisors and funded by the Centre for Addictive Behaviour Research and London South Bank University.  It has also been ethically approved by the School of Applied Sciences Research Ethics Committee.</w:t>
      </w:r>
    </w:p>
    <w:p w14:paraId="5FAECFC9"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If you would like to take part in this study, please follow the instructions on the RPS site or contact me via email.  If you choose to participate, you will need to attend one session in the laboratory at London South Bank University.  </w:t>
      </w:r>
    </w:p>
    <w:p w14:paraId="506639B9" w14:textId="77777777" w:rsidR="004676EF" w:rsidRPr="00734AB6" w:rsidRDefault="004676EF" w:rsidP="0099584D">
      <w:pPr>
        <w:pStyle w:val="NormalWeb"/>
        <w:spacing w:before="0" w:after="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All the information collected about you and other participants will be kept strictly confidential (subject to legal limitations).  Data generated by the study must be retained in accordance with the University's Code of Practice.  All data generated in the course of the research must be kept securely </w:t>
      </w:r>
      <w:r w:rsidRPr="00734AB6">
        <w:rPr>
          <w:rStyle w:val="Emphasis"/>
          <w:rFonts w:asciiTheme="majorHAnsi" w:hAnsiTheme="majorHAnsi" w:cs="Arial"/>
          <w:sz w:val="22"/>
          <w:szCs w:val="22"/>
          <w:bdr w:val="none" w:sz="0" w:space="0" w:color="auto" w:frame="1"/>
        </w:rPr>
        <w:lastRenderedPageBreak/>
        <w:t>in paper or electronic form for a period of 10 years after the completion of a research project and if the results of this research are published, all data will be kept securely for five years.  Your privacy and anonymity will be ensured in the collection, storage and publication of research material as no personally identifiable information about you will be collected as part of the data.  If the results of this research are published in a peer-reviewed journal and you would like to obtain a copy of the published research, please contact me via email and I will advise you as to how to obtain a copy of the published research.</w:t>
      </w:r>
    </w:p>
    <w:p w14:paraId="7CC147AB" w14:textId="77777777" w:rsidR="004676EF" w:rsidRPr="00734AB6" w:rsidRDefault="004676EF" w:rsidP="0099584D">
      <w:pPr>
        <w:pStyle w:val="NormalWeb"/>
        <w:spacing w:before="0" w:beforeAutospacing="0" w:after="0" w:afterAutospacing="0" w:line="360" w:lineRule="auto"/>
        <w:jc w:val="both"/>
        <w:rPr>
          <w:rFonts w:asciiTheme="majorHAnsi" w:hAnsiTheme="majorHAnsi" w:cs="Arial"/>
          <w:iCs/>
          <w:sz w:val="22"/>
          <w:szCs w:val="22"/>
          <w:bdr w:val="none" w:sz="0" w:space="0" w:color="auto" w:frame="1"/>
        </w:rPr>
      </w:pPr>
      <w:r w:rsidRPr="00734AB6">
        <w:rPr>
          <w:rFonts w:asciiTheme="majorHAnsi" w:hAnsiTheme="majorHAnsi" w:cs="Arial"/>
          <w:sz w:val="22"/>
          <w:szCs w:val="22"/>
        </w:rPr>
        <w:t xml:space="preserve">For additional information and further clarifications about the study please contact the researcher, Rachel Teodorini, at </w:t>
      </w:r>
      <w:hyperlink r:id="rId84" w:history="1">
        <w:r w:rsidRPr="00734AB6">
          <w:rPr>
            <w:rStyle w:val="Hyperlink"/>
            <w:rFonts w:asciiTheme="majorHAnsi" w:hAnsiTheme="majorHAnsi" w:cs="Arial"/>
            <w:sz w:val="22"/>
            <w:szCs w:val="22"/>
          </w:rPr>
          <w:t>teodorr2@lsbu.ac.uk</w:t>
        </w:r>
      </w:hyperlink>
      <w:r w:rsidRPr="00734AB6">
        <w:rPr>
          <w:rFonts w:asciiTheme="majorHAnsi" w:hAnsiTheme="majorHAnsi" w:cs="Arial"/>
          <w:sz w:val="22"/>
          <w:szCs w:val="22"/>
        </w:rPr>
        <w:t xml:space="preserve">, </w:t>
      </w:r>
      <w:proofErr w:type="spellStart"/>
      <w:r w:rsidRPr="00734AB6">
        <w:rPr>
          <w:rFonts w:asciiTheme="majorHAnsi" w:hAnsiTheme="majorHAnsi" w:cs="Arial"/>
          <w:sz w:val="22"/>
          <w:szCs w:val="22"/>
        </w:rPr>
        <w:t>tel</w:t>
      </w:r>
      <w:proofErr w:type="spellEnd"/>
      <w:r w:rsidRPr="00734AB6">
        <w:rPr>
          <w:rFonts w:asciiTheme="majorHAnsi" w:hAnsiTheme="majorHAnsi" w:cs="Arial"/>
          <w:sz w:val="22"/>
          <w:szCs w:val="22"/>
        </w:rPr>
        <w:t xml:space="preserve">: 020 7815 5431.  Contact details for supervisors are: Dr Nicola Rycroft, email: </w:t>
      </w:r>
      <w:hyperlink r:id="rId85" w:history="1">
        <w:r w:rsidRPr="00734AB6">
          <w:rPr>
            <w:rStyle w:val="Hyperlink"/>
            <w:rFonts w:asciiTheme="majorHAnsi" w:hAnsiTheme="majorHAnsi" w:cs="Arial"/>
            <w:sz w:val="22"/>
            <w:szCs w:val="22"/>
          </w:rPr>
          <w:t>rycroftn@lsbu.ac.uk</w:t>
        </w:r>
      </w:hyperlink>
      <w:r w:rsidRPr="00734AB6">
        <w:rPr>
          <w:rFonts w:asciiTheme="majorHAnsi" w:hAnsiTheme="majorHAnsi" w:cs="Arial"/>
          <w:sz w:val="22"/>
          <w:szCs w:val="22"/>
        </w:rPr>
        <w:t xml:space="preserve">; Dr James Smith-Spark, email: </w:t>
      </w:r>
      <w:hyperlink r:id="rId86" w:history="1">
        <w:r w:rsidRPr="00734AB6">
          <w:rPr>
            <w:rStyle w:val="Hyperlink"/>
            <w:rFonts w:asciiTheme="majorHAnsi" w:hAnsiTheme="majorHAnsi" w:cs="Arial"/>
            <w:sz w:val="22"/>
            <w:szCs w:val="22"/>
          </w:rPr>
          <w:t>smithspj@lsbu.ac.uk</w:t>
        </w:r>
      </w:hyperlink>
      <w:r w:rsidRPr="00734AB6">
        <w:rPr>
          <w:rFonts w:asciiTheme="majorHAnsi" w:hAnsiTheme="majorHAnsi" w:cs="Arial"/>
          <w:sz w:val="22"/>
          <w:szCs w:val="22"/>
        </w:rPr>
        <w:t>.  If you have any concerns or complaints</w:t>
      </w:r>
      <w:r w:rsidRPr="00734AB6">
        <w:rPr>
          <w:rFonts w:asciiTheme="majorHAnsi" w:hAnsiTheme="majorHAnsi"/>
          <w:sz w:val="22"/>
          <w:szCs w:val="22"/>
        </w:rPr>
        <w:t xml:space="preserve"> </w:t>
      </w:r>
      <w:r w:rsidRPr="00734AB6">
        <w:rPr>
          <w:rFonts w:asciiTheme="majorHAnsi" w:hAnsiTheme="majorHAnsi" w:cs="Arial"/>
          <w:sz w:val="22"/>
          <w:szCs w:val="22"/>
        </w:rPr>
        <w:t xml:space="preserve">about the way in which the study has been conducted, you may contact the Chair of the School of Applied Sciences Research Ethics Committee at </w:t>
      </w:r>
      <w:hyperlink r:id="rId87" w:history="1">
        <w:r w:rsidRPr="00734AB6">
          <w:rPr>
            <w:rStyle w:val="Hyperlink"/>
            <w:rFonts w:asciiTheme="majorHAnsi" w:hAnsiTheme="majorHAnsi" w:cs="Arial"/>
            <w:sz w:val="22"/>
            <w:szCs w:val="22"/>
          </w:rPr>
          <w:t>sasethics@lsbu.ac.uk</w:t>
        </w:r>
      </w:hyperlink>
      <w:r w:rsidRPr="00734AB6">
        <w:rPr>
          <w:rFonts w:asciiTheme="majorHAnsi" w:hAnsiTheme="majorHAnsi" w:cs="Arial"/>
          <w:sz w:val="22"/>
          <w:szCs w:val="22"/>
        </w:rPr>
        <w:t>.</w:t>
      </w:r>
    </w:p>
    <w:p w14:paraId="1DE766AE" w14:textId="77777777" w:rsidR="004676EF" w:rsidRPr="00734AB6" w:rsidRDefault="004676EF" w:rsidP="0099584D">
      <w:pPr>
        <w:spacing w:line="360" w:lineRule="auto"/>
        <w:rPr>
          <w:rFonts w:asciiTheme="majorHAnsi" w:hAnsiTheme="majorHAnsi" w:cs="Arial"/>
        </w:rPr>
      </w:pPr>
      <w:r w:rsidRPr="00734AB6">
        <w:rPr>
          <w:rFonts w:asciiTheme="majorHAnsi" w:hAnsiTheme="majorHAnsi" w:cs="Arial"/>
        </w:rPr>
        <w:t>If you would like to take part, you are free to discuss this with your GP, friends or family.  Thank you for taking the time to read this information sheet.</w:t>
      </w:r>
    </w:p>
    <w:p w14:paraId="27A652B1" w14:textId="77777777" w:rsidR="004676EF" w:rsidRPr="00734AB6" w:rsidRDefault="004676EF" w:rsidP="0099584D">
      <w:pPr>
        <w:spacing w:line="360" w:lineRule="auto"/>
        <w:rPr>
          <w:rFonts w:asciiTheme="majorHAnsi" w:hAnsiTheme="majorHAnsi" w:cs="Arial"/>
          <w:b/>
          <w:smallCaps/>
        </w:rPr>
      </w:pPr>
      <w:proofErr w:type="spellStart"/>
      <w:r w:rsidRPr="00734AB6">
        <w:rPr>
          <w:rFonts w:asciiTheme="majorHAnsi" w:hAnsiTheme="majorHAnsi" w:cs="Arial"/>
          <w:b/>
          <w:smallCaps/>
        </w:rPr>
        <w:t>rachel</w:t>
      </w:r>
      <w:proofErr w:type="spellEnd"/>
      <w:r w:rsidRPr="00734AB6">
        <w:rPr>
          <w:rFonts w:asciiTheme="majorHAnsi" w:hAnsiTheme="majorHAnsi" w:cs="Arial"/>
          <w:b/>
          <w:smallCaps/>
        </w:rPr>
        <w:t xml:space="preserve"> </w:t>
      </w:r>
      <w:proofErr w:type="spellStart"/>
      <w:r w:rsidRPr="00734AB6">
        <w:rPr>
          <w:rFonts w:asciiTheme="majorHAnsi" w:hAnsiTheme="majorHAnsi" w:cs="Arial"/>
          <w:b/>
          <w:smallCaps/>
        </w:rPr>
        <w:t>teodorini</w:t>
      </w:r>
      <w:proofErr w:type="spellEnd"/>
    </w:p>
    <w:p w14:paraId="32BF298B" w14:textId="77777777" w:rsidR="004676EF" w:rsidRPr="00734AB6" w:rsidRDefault="004676EF" w:rsidP="0099584D">
      <w:pPr>
        <w:spacing w:line="360" w:lineRule="auto"/>
        <w:rPr>
          <w:rFonts w:asciiTheme="majorHAnsi" w:hAnsiTheme="majorHAnsi" w:cs="Arial"/>
        </w:rPr>
      </w:pPr>
      <w:r w:rsidRPr="00734AB6">
        <w:rPr>
          <w:rFonts w:asciiTheme="majorHAnsi" w:hAnsiTheme="majorHAnsi" w:cs="Arial"/>
          <w:b/>
          <w:smallCaps/>
        </w:rPr>
        <w:t>15/02/2019</w:t>
      </w:r>
    </w:p>
    <w:p w14:paraId="6AA979C8" w14:textId="77777777" w:rsidR="004676EF" w:rsidRPr="00734AB6" w:rsidRDefault="004676EF" w:rsidP="00E2030F">
      <w:pPr>
        <w:pBdr>
          <w:bottom w:val="single" w:sz="4" w:space="1" w:color="auto"/>
        </w:pBdr>
        <w:spacing w:after="0" w:line="360" w:lineRule="auto"/>
        <w:rPr>
          <w:rFonts w:asciiTheme="majorHAnsi" w:hAnsiTheme="majorHAnsi" w:cs="Arial"/>
        </w:rPr>
      </w:pPr>
    </w:p>
    <w:p w14:paraId="02B1E805" w14:textId="77777777" w:rsidR="004676EF" w:rsidRPr="00734AB6" w:rsidRDefault="004676EF" w:rsidP="0099584D">
      <w:pPr>
        <w:spacing w:line="360" w:lineRule="auto"/>
        <w:rPr>
          <w:rFonts w:asciiTheme="majorHAnsi" w:hAnsiTheme="majorHAnsi" w:cs="Arial"/>
        </w:rPr>
      </w:pPr>
      <w:r w:rsidRPr="00734AB6">
        <w:rPr>
          <w:rFonts w:asciiTheme="majorHAnsi" w:hAnsiTheme="majorHAnsi" w:cs="Arial"/>
          <w:b/>
          <w:u w:val="single"/>
        </w:rPr>
        <w:t>Please note</w:t>
      </w:r>
      <w:r w:rsidRPr="00734AB6">
        <w:rPr>
          <w:rFonts w:asciiTheme="majorHAnsi" w:hAnsiTheme="majorHAnsi" w:cs="Arial"/>
        </w:rPr>
        <w:t xml:space="preserve">:  The following contact details are provided for you to use if you have any concerns about your drug use.  </w:t>
      </w:r>
    </w:p>
    <w:p w14:paraId="7E1EACAD" w14:textId="77777777" w:rsidR="004676EF" w:rsidRPr="00734AB6" w:rsidRDefault="004676EF" w:rsidP="0099584D">
      <w:pPr>
        <w:spacing w:after="0" w:line="360" w:lineRule="auto"/>
        <w:rPr>
          <w:rStyle w:val="Strong"/>
          <w:rFonts w:asciiTheme="majorHAnsi" w:hAnsiTheme="majorHAnsi" w:cs="Arial"/>
          <w:color w:val="000000"/>
          <w:u w:val="single"/>
          <w:shd w:val="clear" w:color="auto" w:fill="FFFFFF"/>
        </w:rPr>
      </w:pPr>
      <w:proofErr w:type="spellStart"/>
      <w:r w:rsidRPr="00734AB6">
        <w:rPr>
          <w:rStyle w:val="Strong"/>
          <w:rFonts w:asciiTheme="majorHAnsi" w:hAnsiTheme="majorHAnsi" w:cs="Arial"/>
          <w:color w:val="000000"/>
          <w:u w:val="single"/>
          <w:shd w:val="clear" w:color="auto" w:fill="FFFFFF"/>
        </w:rPr>
        <w:t>SupportLine</w:t>
      </w:r>
      <w:proofErr w:type="spellEnd"/>
      <w:r w:rsidRPr="00734AB6">
        <w:rPr>
          <w:rStyle w:val="Strong"/>
          <w:rFonts w:asciiTheme="majorHAnsi" w:hAnsiTheme="majorHAnsi" w:cs="Arial"/>
          <w:color w:val="000000"/>
          <w:u w:val="single"/>
          <w:shd w:val="clear" w:color="auto" w:fill="FFFFFF"/>
        </w:rPr>
        <w:t xml:space="preserve"> </w:t>
      </w:r>
    </w:p>
    <w:p w14:paraId="79D37723" w14:textId="77777777" w:rsidR="004676EF" w:rsidRPr="00734AB6" w:rsidRDefault="004676EF" w:rsidP="0099584D">
      <w:pPr>
        <w:spacing w:after="0" w:line="360" w:lineRule="auto"/>
        <w:rPr>
          <w:rFonts w:asciiTheme="majorHAnsi" w:hAnsiTheme="majorHAnsi" w:cs="Arial"/>
          <w:shd w:val="clear" w:color="auto" w:fill="FFFFFF"/>
        </w:rPr>
      </w:pPr>
      <w:r w:rsidRPr="00734AB6">
        <w:rPr>
          <w:rStyle w:val="Strong"/>
          <w:rFonts w:asciiTheme="majorHAnsi" w:hAnsiTheme="majorHAnsi" w:cs="Arial"/>
          <w:color w:val="000000"/>
          <w:shd w:val="clear" w:color="auto" w:fill="FFFFFF"/>
        </w:rPr>
        <w:t>Telephone Helpline: 01708 765200</w:t>
      </w:r>
      <w:r w:rsidRPr="00734AB6">
        <w:rPr>
          <w:rFonts w:asciiTheme="majorHAnsi" w:hAnsiTheme="majorHAnsi" w:cs="Arial"/>
          <w:b/>
          <w:color w:val="000000"/>
        </w:rPr>
        <w:br/>
      </w:r>
      <w:r w:rsidRPr="00734AB6">
        <w:rPr>
          <w:rFonts w:asciiTheme="majorHAnsi" w:hAnsiTheme="majorHAnsi" w:cs="Arial"/>
          <w:shd w:val="clear" w:color="auto" w:fill="FFFFFF"/>
        </w:rPr>
        <w:t>email: </w:t>
      </w:r>
      <w:hyperlink r:id="rId88" w:history="1">
        <w:r w:rsidRPr="00734AB6">
          <w:rPr>
            <w:rStyle w:val="Hyperlink"/>
            <w:rFonts w:asciiTheme="majorHAnsi" w:hAnsiTheme="majorHAnsi" w:cs="Arial"/>
            <w:bCs/>
            <w:shd w:val="clear" w:color="auto" w:fill="FFFFFF"/>
          </w:rPr>
          <w:t>info@supportline.org.uk</w:t>
        </w:r>
      </w:hyperlink>
      <w:r w:rsidRPr="00734AB6">
        <w:rPr>
          <w:rFonts w:asciiTheme="majorHAnsi" w:hAnsiTheme="majorHAnsi" w:cs="Arial"/>
          <w:shd w:val="clear" w:color="auto" w:fill="FFFFFF"/>
        </w:rPr>
        <w:t> </w:t>
      </w:r>
    </w:p>
    <w:p w14:paraId="408E6816" w14:textId="77777777" w:rsidR="004676EF" w:rsidRPr="00734AB6" w:rsidRDefault="00754FB3" w:rsidP="0099584D">
      <w:pPr>
        <w:spacing w:line="360" w:lineRule="auto"/>
        <w:rPr>
          <w:rFonts w:asciiTheme="majorHAnsi" w:hAnsiTheme="majorHAnsi" w:cs="Arial"/>
          <w:color w:val="000000"/>
          <w:shd w:val="clear" w:color="auto" w:fill="FFFFFF"/>
        </w:rPr>
      </w:pPr>
      <w:hyperlink r:id="rId89" w:history="1">
        <w:r w:rsidR="004676EF" w:rsidRPr="00734AB6">
          <w:rPr>
            <w:rStyle w:val="Hyperlink"/>
            <w:rFonts w:asciiTheme="majorHAnsi" w:hAnsiTheme="majorHAnsi" w:cs="Arial"/>
            <w:shd w:val="clear" w:color="auto" w:fill="FFFFFF"/>
          </w:rPr>
          <w:t>www.supportline.org.uk/</w:t>
        </w:r>
      </w:hyperlink>
      <w:r w:rsidR="004676EF" w:rsidRPr="00734AB6">
        <w:rPr>
          <w:rFonts w:asciiTheme="majorHAnsi" w:hAnsiTheme="majorHAnsi" w:cs="Arial"/>
          <w:shd w:val="clear" w:color="auto" w:fill="FFFFFF"/>
        </w:rPr>
        <w:t xml:space="preserve"> </w:t>
      </w:r>
      <w:r w:rsidR="004676EF" w:rsidRPr="00734AB6">
        <w:rPr>
          <w:rFonts w:asciiTheme="majorHAnsi" w:hAnsiTheme="majorHAnsi" w:cs="Arial"/>
          <w:shd w:val="clear" w:color="auto" w:fill="FFFFFF"/>
        </w:rPr>
        <w:br/>
      </w:r>
      <w:r w:rsidR="004676EF" w:rsidRPr="00734AB6">
        <w:rPr>
          <w:rFonts w:asciiTheme="majorHAnsi" w:hAnsiTheme="majorHAnsi" w:cs="Arial"/>
          <w:color w:val="000000"/>
          <w:shd w:val="clear" w:color="auto" w:fill="FFFFFF"/>
        </w:rPr>
        <w:t>Provides emotional support and keeps details of local agencies providing help and support for all issues relating to Drugs.</w:t>
      </w:r>
    </w:p>
    <w:p w14:paraId="323BDCE6" w14:textId="77777777" w:rsidR="004676EF" w:rsidRPr="00734AB6" w:rsidRDefault="004676EF" w:rsidP="00E2030F">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p>
    <w:p w14:paraId="3D963347"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b/>
          <w:i w:val="0"/>
          <w:sz w:val="22"/>
          <w:szCs w:val="22"/>
          <w:u w:val="single"/>
          <w:bdr w:val="none" w:sz="0" w:space="0" w:color="auto" w:frame="1"/>
        </w:rPr>
      </w:pPr>
      <w:r w:rsidRPr="00734AB6">
        <w:rPr>
          <w:rStyle w:val="Emphasis"/>
          <w:rFonts w:asciiTheme="majorHAnsi" w:hAnsiTheme="majorHAnsi" w:cs="Arial"/>
          <w:b/>
          <w:sz w:val="22"/>
          <w:szCs w:val="22"/>
          <w:u w:val="single"/>
          <w:bdr w:val="none" w:sz="0" w:space="0" w:color="auto" w:frame="1"/>
        </w:rPr>
        <w:t>Release</w:t>
      </w:r>
    </w:p>
    <w:p w14:paraId="463A0ED2" w14:textId="77777777" w:rsidR="004676EF" w:rsidRPr="00734AB6" w:rsidRDefault="004676EF" w:rsidP="0099584D">
      <w:pPr>
        <w:spacing w:after="0" w:line="360" w:lineRule="auto"/>
        <w:rPr>
          <w:rFonts w:asciiTheme="majorHAnsi" w:hAnsiTheme="majorHAnsi" w:cs="Arial"/>
        </w:rPr>
      </w:pPr>
      <w:r w:rsidRPr="00734AB6">
        <w:rPr>
          <w:rFonts w:asciiTheme="majorHAnsi" w:hAnsiTheme="majorHAnsi" w:cs="Arial"/>
        </w:rPr>
        <w:t>Telephone Helpline: 020 7324 2989</w:t>
      </w:r>
    </w:p>
    <w:p w14:paraId="3C577AF0" w14:textId="77777777" w:rsidR="004676EF" w:rsidRPr="00734AB6" w:rsidRDefault="004676EF"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r w:rsidRPr="00734AB6">
        <w:rPr>
          <w:rStyle w:val="Emphasis"/>
          <w:rFonts w:asciiTheme="majorHAnsi" w:hAnsiTheme="majorHAnsi" w:cs="Arial"/>
          <w:sz w:val="22"/>
          <w:szCs w:val="22"/>
          <w:bdr w:val="none" w:sz="0" w:space="0" w:color="auto" w:frame="1"/>
        </w:rPr>
        <w:t xml:space="preserve">email: </w:t>
      </w:r>
      <w:hyperlink r:id="rId90" w:history="1">
        <w:r w:rsidRPr="00734AB6">
          <w:rPr>
            <w:rStyle w:val="Hyperlink"/>
            <w:rFonts w:asciiTheme="majorHAnsi" w:hAnsiTheme="majorHAnsi" w:cs="Arial"/>
            <w:sz w:val="22"/>
            <w:szCs w:val="22"/>
            <w:bdr w:val="none" w:sz="0" w:space="0" w:color="auto" w:frame="1"/>
          </w:rPr>
          <w:t>ask@release.org.uk</w:t>
        </w:r>
      </w:hyperlink>
      <w:r w:rsidRPr="00734AB6">
        <w:rPr>
          <w:rStyle w:val="Emphasis"/>
          <w:rFonts w:asciiTheme="majorHAnsi" w:hAnsiTheme="majorHAnsi" w:cs="Arial"/>
          <w:sz w:val="22"/>
          <w:szCs w:val="22"/>
          <w:bdr w:val="none" w:sz="0" w:space="0" w:color="auto" w:frame="1"/>
        </w:rPr>
        <w:t xml:space="preserve"> </w:t>
      </w:r>
    </w:p>
    <w:p w14:paraId="03140B34" w14:textId="77777777" w:rsidR="004676EF" w:rsidRPr="00734AB6" w:rsidRDefault="00754FB3" w:rsidP="0099584D">
      <w:pPr>
        <w:pStyle w:val="NormalWeb"/>
        <w:spacing w:before="0" w:beforeAutospacing="0" w:after="0" w:afterAutospacing="0" w:line="360" w:lineRule="auto"/>
        <w:jc w:val="both"/>
        <w:rPr>
          <w:rStyle w:val="Emphasis"/>
          <w:rFonts w:asciiTheme="majorHAnsi" w:hAnsiTheme="majorHAnsi" w:cs="Arial"/>
          <w:i w:val="0"/>
          <w:sz w:val="22"/>
          <w:szCs w:val="22"/>
          <w:bdr w:val="none" w:sz="0" w:space="0" w:color="auto" w:frame="1"/>
        </w:rPr>
      </w:pPr>
      <w:hyperlink r:id="rId91" w:history="1">
        <w:r w:rsidR="004676EF" w:rsidRPr="00734AB6">
          <w:rPr>
            <w:rStyle w:val="Hyperlink"/>
            <w:rFonts w:asciiTheme="majorHAnsi" w:hAnsiTheme="majorHAnsi" w:cs="Arial"/>
            <w:sz w:val="22"/>
            <w:szCs w:val="22"/>
            <w:bdr w:val="none" w:sz="0" w:space="0" w:color="auto" w:frame="1"/>
          </w:rPr>
          <w:t>www.release.org.uk</w:t>
        </w:r>
      </w:hyperlink>
      <w:r w:rsidR="004676EF" w:rsidRPr="00734AB6">
        <w:rPr>
          <w:rStyle w:val="Emphasis"/>
          <w:rFonts w:asciiTheme="majorHAnsi" w:hAnsiTheme="majorHAnsi" w:cs="Arial"/>
          <w:sz w:val="22"/>
          <w:szCs w:val="22"/>
          <w:bdr w:val="none" w:sz="0" w:space="0" w:color="auto" w:frame="1"/>
        </w:rPr>
        <w:t xml:space="preserve"> </w:t>
      </w:r>
    </w:p>
    <w:p w14:paraId="32FE7E57" w14:textId="0D43DD50" w:rsidR="00E2030F" w:rsidRPr="00734AB6" w:rsidRDefault="004676EF" w:rsidP="0099584D">
      <w:pPr>
        <w:pStyle w:val="NormalWeb"/>
        <w:spacing w:before="0" w:beforeAutospacing="0" w:after="0" w:afterAutospacing="0" w:line="360" w:lineRule="auto"/>
        <w:jc w:val="both"/>
        <w:rPr>
          <w:rStyle w:val="Emphasis"/>
          <w:rFonts w:asciiTheme="majorHAnsi" w:hAnsiTheme="majorHAnsi" w:cs="Arial"/>
          <w:sz w:val="22"/>
          <w:szCs w:val="22"/>
          <w:bdr w:val="none" w:sz="0" w:space="0" w:color="auto" w:frame="1"/>
        </w:rPr>
      </w:pPr>
      <w:r w:rsidRPr="00734AB6">
        <w:rPr>
          <w:rStyle w:val="Emphasis"/>
          <w:rFonts w:asciiTheme="majorHAnsi" w:hAnsiTheme="majorHAnsi" w:cs="Arial"/>
          <w:sz w:val="22"/>
          <w:szCs w:val="22"/>
          <w:bdr w:val="none" w:sz="0" w:space="0" w:color="auto" w:frame="1"/>
        </w:rPr>
        <w:t>Release is the national centre of expertise on drugs and drugs law. The organisation provides free non-judgmental, specialist advice and information to the public and professionals on issues related to drug use and to drug laws.</w:t>
      </w:r>
    </w:p>
    <w:p w14:paraId="7F8DFB7C" w14:textId="53FB2DD5" w:rsidR="00E2030F" w:rsidRDefault="00E2030F" w:rsidP="00D22283">
      <w:pPr>
        <w:pBdr>
          <w:top w:val="double" w:sz="4" w:space="1" w:color="auto"/>
        </w:pBdr>
        <w:rPr>
          <w:rStyle w:val="Emphasis"/>
          <w:rFonts w:asciiTheme="majorHAnsi" w:eastAsia="Times New Roman" w:hAnsiTheme="majorHAnsi" w:cs="Arial"/>
          <w:bdr w:val="none" w:sz="0" w:space="0" w:color="auto" w:frame="1"/>
          <w:lang w:eastAsia="en-GB"/>
        </w:rPr>
      </w:pPr>
    </w:p>
    <w:p w14:paraId="661A196C" w14:textId="79DF85CF" w:rsidR="005E4F0A" w:rsidRDefault="005E4F0A" w:rsidP="005E4F0A">
      <w:pPr>
        <w:pStyle w:val="Heading2"/>
        <w:rPr>
          <w:rStyle w:val="Emphasis"/>
          <w:rFonts w:eastAsia="Times New Roman" w:cs="Arial"/>
          <w:b/>
          <w:bCs/>
          <w:i w:val="0"/>
          <w:iCs w:val="0"/>
          <w:color w:val="auto"/>
          <w:sz w:val="22"/>
          <w:szCs w:val="22"/>
          <w:bdr w:val="none" w:sz="0" w:space="0" w:color="auto" w:frame="1"/>
          <w:lang w:eastAsia="en-GB"/>
        </w:rPr>
      </w:pPr>
      <w:r w:rsidRPr="005E4F0A">
        <w:rPr>
          <w:rStyle w:val="Emphasis"/>
          <w:rFonts w:eastAsia="Times New Roman" w:cs="Arial"/>
          <w:b/>
          <w:bCs/>
          <w:i w:val="0"/>
          <w:iCs w:val="0"/>
          <w:color w:val="auto"/>
          <w:sz w:val="22"/>
          <w:szCs w:val="22"/>
          <w:bdr w:val="none" w:sz="0" w:space="0" w:color="auto" w:frame="1"/>
          <w:lang w:eastAsia="en-GB"/>
        </w:rPr>
        <w:t>C(</w:t>
      </w:r>
      <w:r w:rsidR="00475257">
        <w:rPr>
          <w:rStyle w:val="Emphasis"/>
          <w:rFonts w:eastAsia="Times New Roman" w:cs="Arial"/>
          <w:b/>
          <w:bCs/>
          <w:i w:val="0"/>
          <w:iCs w:val="0"/>
          <w:color w:val="auto"/>
          <w:sz w:val="22"/>
          <w:szCs w:val="22"/>
          <w:bdr w:val="none" w:sz="0" w:space="0" w:color="auto" w:frame="1"/>
          <w:lang w:eastAsia="en-GB"/>
        </w:rPr>
        <w:t>viii</w:t>
      </w:r>
      <w:r w:rsidRPr="005E4F0A">
        <w:rPr>
          <w:rStyle w:val="Emphasis"/>
          <w:rFonts w:eastAsia="Times New Roman" w:cs="Arial"/>
          <w:b/>
          <w:bCs/>
          <w:i w:val="0"/>
          <w:iCs w:val="0"/>
          <w:color w:val="auto"/>
          <w:sz w:val="22"/>
          <w:szCs w:val="22"/>
          <w:bdr w:val="none" w:sz="0" w:space="0" w:color="auto" w:frame="1"/>
          <w:lang w:eastAsia="en-GB"/>
        </w:rPr>
        <w:t>)</w:t>
      </w:r>
      <w:r>
        <w:rPr>
          <w:rStyle w:val="Emphasis"/>
          <w:rFonts w:eastAsia="Times New Roman" w:cs="Arial"/>
          <w:b/>
          <w:bCs/>
          <w:i w:val="0"/>
          <w:iCs w:val="0"/>
          <w:color w:val="auto"/>
          <w:sz w:val="22"/>
          <w:szCs w:val="22"/>
          <w:bdr w:val="none" w:sz="0" w:space="0" w:color="auto" w:frame="1"/>
          <w:lang w:eastAsia="en-GB"/>
        </w:rPr>
        <w:tab/>
        <w:t>Advertisement</w:t>
      </w:r>
    </w:p>
    <w:p w14:paraId="753B289A" w14:textId="20B9207A" w:rsidR="005E4F0A" w:rsidRDefault="005E4F0A" w:rsidP="005E4F0A">
      <w:pPr>
        <w:rPr>
          <w:lang w:eastAsia="en-GB"/>
        </w:rPr>
      </w:pPr>
    </w:p>
    <w:p w14:paraId="339E3B28" w14:textId="77777777" w:rsidR="005E4F0A" w:rsidRPr="005E4F0A" w:rsidRDefault="005E4F0A" w:rsidP="005E4F0A">
      <w:pPr>
        <w:spacing w:after="0" w:line="240" w:lineRule="auto"/>
        <w:rPr>
          <w:rFonts w:asciiTheme="majorHAnsi" w:eastAsia="Times New Roman" w:hAnsiTheme="majorHAnsi" w:cstheme="majorHAnsi"/>
          <w:lang w:eastAsia="en-GB"/>
        </w:rPr>
      </w:pPr>
      <w:r w:rsidRPr="005E4F0A">
        <w:rPr>
          <w:rFonts w:asciiTheme="majorHAnsi" w:eastAsia="Times New Roman" w:hAnsiTheme="majorHAnsi" w:cstheme="majorHAnsi"/>
          <w:b/>
          <w:bCs/>
          <w:color w:val="404040"/>
          <w:shd w:val="clear" w:color="auto" w:fill="FFFFFF"/>
          <w:lang w:eastAsia="en-GB"/>
        </w:rPr>
        <w:t>Recruiting for a confidential experimental study</w:t>
      </w:r>
    </w:p>
    <w:p w14:paraId="58504413" w14:textId="77777777" w:rsidR="005E4F0A" w:rsidRPr="005E4F0A" w:rsidRDefault="005E4F0A" w:rsidP="005E4F0A">
      <w:pPr>
        <w:shd w:val="clear" w:color="auto" w:fill="FFFFFF"/>
        <w:spacing w:after="0" w:line="240" w:lineRule="auto"/>
        <w:rPr>
          <w:rFonts w:asciiTheme="majorHAnsi" w:eastAsia="Times New Roman" w:hAnsiTheme="majorHAnsi" w:cstheme="majorHAnsi"/>
          <w:color w:val="404040"/>
          <w:lang w:eastAsia="en-GB"/>
        </w:rPr>
      </w:pPr>
      <w:r w:rsidRPr="005E4F0A">
        <w:rPr>
          <w:rFonts w:asciiTheme="majorHAnsi" w:eastAsia="Times New Roman" w:hAnsiTheme="majorHAnsi" w:cstheme="majorHAnsi"/>
          <w:b/>
          <w:bCs/>
          <w:color w:val="404040"/>
          <w:lang w:eastAsia="en-GB"/>
        </w:rPr>
        <w:br/>
      </w:r>
      <w:r w:rsidRPr="005E4F0A">
        <w:rPr>
          <w:rFonts w:asciiTheme="majorHAnsi" w:eastAsia="Times New Roman" w:hAnsiTheme="majorHAnsi" w:cstheme="majorHAnsi"/>
          <w:color w:val="404040"/>
          <w:lang w:eastAsia="en-GB"/>
        </w:rPr>
        <w:t>If you take modafinil and/or methylphenidate without prescription (i.e. you have not been diagnosed with ADD/ADHD) and would/may be interested in participating in a lab-based study later this year about the use of cognitive enhancing drugs please provide an email address, in the space below, on which you may be contacted or you can email me, Rachel Teodorini at </w:t>
      </w:r>
      <w:hyperlink r:id="rId92" w:history="1">
        <w:r w:rsidRPr="005E4F0A">
          <w:rPr>
            <w:rStyle w:val="Hyperlink"/>
            <w:rFonts w:asciiTheme="majorHAnsi" w:eastAsia="Times New Roman" w:hAnsiTheme="majorHAnsi" w:cstheme="majorHAnsi"/>
            <w:lang w:eastAsia="en-GB"/>
          </w:rPr>
          <w:t>teodorr2@lsbu.ac.uk</w:t>
        </w:r>
      </w:hyperlink>
      <w:r w:rsidRPr="005E4F0A">
        <w:rPr>
          <w:rFonts w:asciiTheme="majorHAnsi" w:eastAsia="Times New Roman" w:hAnsiTheme="majorHAnsi" w:cstheme="majorHAnsi"/>
          <w:color w:val="404040"/>
          <w:lang w:eastAsia="en-GB"/>
        </w:rPr>
        <w:t>. </w:t>
      </w:r>
      <w:r w:rsidRPr="005E4F0A">
        <w:rPr>
          <w:rFonts w:asciiTheme="majorHAnsi" w:eastAsia="Times New Roman" w:hAnsiTheme="majorHAnsi" w:cstheme="majorHAnsi"/>
          <w:color w:val="404040"/>
          <w:lang w:eastAsia="en-GB"/>
        </w:rPr>
        <w:br/>
      </w:r>
      <w:r w:rsidRPr="005E4F0A">
        <w:rPr>
          <w:rFonts w:asciiTheme="majorHAnsi" w:eastAsia="Times New Roman" w:hAnsiTheme="majorHAnsi" w:cstheme="majorHAnsi"/>
          <w:color w:val="404040"/>
          <w:lang w:eastAsia="en-GB"/>
        </w:rPr>
        <w:br/>
        <w:t xml:space="preserve">You may only participate if you are over 18 years of age, you have not been diagnosed with Attention Deficit/Hyperactivity Disorder, and you are not currently taking any prescribed medications for any mental health problem.  Participants will be awarded for their participation with £15 in Amazon vouchers.  If you would like to participate in the study you will be provided with an information sheet explaining what the study will involve.  </w:t>
      </w:r>
    </w:p>
    <w:p w14:paraId="1A505EE0" w14:textId="77777777" w:rsidR="005E4F0A" w:rsidRPr="005E4F0A" w:rsidRDefault="005E4F0A" w:rsidP="005E4F0A">
      <w:pPr>
        <w:shd w:val="clear" w:color="auto" w:fill="FFFFFF"/>
        <w:spacing w:after="0" w:line="240" w:lineRule="auto"/>
        <w:rPr>
          <w:rFonts w:asciiTheme="majorHAnsi" w:eastAsia="Times New Roman" w:hAnsiTheme="majorHAnsi" w:cstheme="majorHAnsi"/>
          <w:color w:val="404040"/>
          <w:lang w:eastAsia="en-GB"/>
        </w:rPr>
      </w:pPr>
    </w:p>
    <w:p w14:paraId="18548647" w14:textId="77777777" w:rsidR="005E4F0A" w:rsidRPr="005E4F0A" w:rsidRDefault="005E4F0A" w:rsidP="005E4F0A">
      <w:pPr>
        <w:shd w:val="clear" w:color="auto" w:fill="FFFFFF"/>
        <w:spacing w:after="0" w:line="240" w:lineRule="auto"/>
        <w:rPr>
          <w:rFonts w:asciiTheme="majorHAnsi" w:eastAsia="Times New Roman" w:hAnsiTheme="majorHAnsi" w:cstheme="majorHAnsi"/>
          <w:color w:val="404040"/>
          <w:lang w:eastAsia="en-GB"/>
        </w:rPr>
      </w:pPr>
      <w:r w:rsidRPr="005E4F0A">
        <w:rPr>
          <w:rFonts w:asciiTheme="majorHAnsi" w:eastAsia="Times New Roman" w:hAnsiTheme="majorHAnsi" w:cstheme="majorHAnsi"/>
          <w:color w:val="404040"/>
          <w:lang w:eastAsia="en-GB"/>
        </w:rPr>
        <w:t>The study will take place at London South Bank University, located in Elephant and Castle, London, UK in January 2019 and participation will take 75 minutes. </w:t>
      </w:r>
      <w:r w:rsidRPr="005E4F0A">
        <w:rPr>
          <w:rFonts w:asciiTheme="majorHAnsi" w:eastAsia="Times New Roman" w:hAnsiTheme="majorHAnsi" w:cstheme="majorHAnsi"/>
          <w:color w:val="404040"/>
          <w:lang w:eastAsia="en-GB"/>
        </w:rPr>
        <w:br/>
      </w:r>
      <w:r w:rsidRPr="005E4F0A">
        <w:rPr>
          <w:rFonts w:asciiTheme="majorHAnsi" w:eastAsia="Times New Roman" w:hAnsiTheme="majorHAnsi" w:cstheme="majorHAnsi"/>
          <w:color w:val="404040"/>
          <w:lang w:eastAsia="en-GB"/>
        </w:rPr>
        <w:br/>
        <w:t>Please provide a false name/ pseudonym and ensure that the email address you provide will not identify you.</w:t>
      </w:r>
      <w:r w:rsidRPr="005E4F0A">
        <w:rPr>
          <w:rFonts w:asciiTheme="majorHAnsi" w:eastAsia="Times New Roman" w:hAnsiTheme="majorHAnsi" w:cstheme="majorHAnsi"/>
          <w:color w:val="404040"/>
          <w:lang w:eastAsia="en-GB"/>
        </w:rPr>
        <w:br/>
      </w:r>
      <w:r w:rsidRPr="005E4F0A">
        <w:rPr>
          <w:rFonts w:asciiTheme="majorHAnsi" w:eastAsia="Times New Roman" w:hAnsiTheme="majorHAnsi" w:cstheme="majorHAnsi"/>
          <w:color w:val="404040"/>
          <w:lang w:eastAsia="en-GB"/>
        </w:rPr>
        <w:br/>
        <w:t>The email address you provide will be stored on password protected computers only accessible by the researcher, Rachel Teodorini.  It will only be used to contact you for possible participation in a lab-based study. Your email address will be deleted in May 2019, at the end of the funding period for my PhD. </w:t>
      </w:r>
      <w:r w:rsidRPr="005E4F0A">
        <w:rPr>
          <w:rFonts w:asciiTheme="majorHAnsi" w:eastAsia="Times New Roman" w:hAnsiTheme="majorHAnsi" w:cstheme="majorHAnsi"/>
          <w:color w:val="404040"/>
          <w:lang w:eastAsia="en-GB"/>
        </w:rPr>
        <w:br/>
      </w:r>
      <w:r w:rsidRPr="005E4F0A">
        <w:rPr>
          <w:rFonts w:asciiTheme="majorHAnsi" w:eastAsia="Times New Roman" w:hAnsiTheme="majorHAnsi" w:cstheme="majorHAnsi"/>
          <w:color w:val="404040"/>
          <w:lang w:eastAsia="en-GB"/>
        </w:rPr>
        <w:br/>
        <w:t>Please also note that if you do provide an email address you are under no obligation to participate in this lab-based experiment and may also opt out at any time during the experiment.  </w:t>
      </w:r>
    </w:p>
    <w:p w14:paraId="7DB00F88" w14:textId="77777777" w:rsidR="005E4F0A" w:rsidRDefault="005E4F0A" w:rsidP="005E4F0A">
      <w:pPr>
        <w:pBdr>
          <w:bottom w:val="double" w:sz="4" w:space="1" w:color="auto"/>
        </w:pBdr>
      </w:pPr>
    </w:p>
    <w:p w14:paraId="791FA95B" w14:textId="77777777" w:rsidR="005E4F0A" w:rsidRPr="005E4F0A" w:rsidRDefault="005E4F0A" w:rsidP="005E4F0A">
      <w:pPr>
        <w:rPr>
          <w:lang w:eastAsia="en-GB"/>
        </w:rPr>
      </w:pPr>
    </w:p>
    <w:p w14:paraId="65E566AB" w14:textId="3B353B9E" w:rsidR="004676EF" w:rsidRPr="00734AB6" w:rsidRDefault="004676EF" w:rsidP="00EF1F62">
      <w:pPr>
        <w:pStyle w:val="Heading2"/>
        <w:spacing w:before="0" w:line="360" w:lineRule="auto"/>
        <w:rPr>
          <w:b/>
          <w:color w:val="auto"/>
          <w:sz w:val="22"/>
          <w:szCs w:val="22"/>
        </w:rPr>
      </w:pPr>
      <w:bookmarkStart w:id="190" w:name="_Toc45200551"/>
      <w:bookmarkStart w:id="191" w:name="_Toc48136441"/>
      <w:r w:rsidRPr="00734AB6">
        <w:rPr>
          <w:b/>
          <w:color w:val="auto"/>
          <w:sz w:val="22"/>
          <w:szCs w:val="22"/>
        </w:rPr>
        <w:t>C(</w:t>
      </w:r>
      <w:r w:rsidR="00475257">
        <w:rPr>
          <w:b/>
          <w:color w:val="auto"/>
          <w:sz w:val="22"/>
          <w:szCs w:val="22"/>
        </w:rPr>
        <w:t>i</w:t>
      </w:r>
      <w:r w:rsidRPr="00734AB6">
        <w:rPr>
          <w:b/>
          <w:color w:val="auto"/>
          <w:sz w:val="22"/>
          <w:szCs w:val="22"/>
        </w:rPr>
        <w:t>x)</w:t>
      </w:r>
      <w:r w:rsidRPr="00734AB6">
        <w:rPr>
          <w:b/>
          <w:color w:val="auto"/>
          <w:sz w:val="22"/>
          <w:szCs w:val="22"/>
        </w:rPr>
        <w:tab/>
        <w:t>Participant consent form</w:t>
      </w:r>
      <w:bookmarkEnd w:id="190"/>
      <w:bookmarkEnd w:id="191"/>
    </w:p>
    <w:p w14:paraId="2CA0A110" w14:textId="77777777" w:rsidR="004676EF" w:rsidRPr="00734AB6" w:rsidRDefault="004676EF" w:rsidP="00E2030F">
      <w:pPr>
        <w:pBdr>
          <w:bottom w:val="single" w:sz="4" w:space="1" w:color="auto"/>
        </w:pBdr>
        <w:spacing w:after="0" w:line="360" w:lineRule="auto"/>
        <w:ind w:left="142" w:right="118"/>
        <w:rPr>
          <w:rFonts w:asciiTheme="majorHAnsi" w:eastAsia="Arial Unicode MS" w:hAnsiTheme="majorHAnsi" w:cs="Arial"/>
          <w:b/>
        </w:rPr>
      </w:pPr>
    </w:p>
    <w:p w14:paraId="294FAEB7" w14:textId="77777777" w:rsidR="004676EF" w:rsidRPr="00734AB6" w:rsidRDefault="004676EF" w:rsidP="00E2030F">
      <w:pPr>
        <w:shd w:val="clear" w:color="auto" w:fill="AEAAAA" w:themeFill="background2" w:themeFillShade="BF"/>
        <w:tabs>
          <w:tab w:val="left" w:pos="7088"/>
          <w:tab w:val="left" w:pos="9072"/>
        </w:tabs>
        <w:spacing w:after="120" w:line="360" w:lineRule="auto"/>
        <w:rPr>
          <w:rFonts w:asciiTheme="majorHAnsi" w:hAnsiTheme="majorHAnsi" w:cs="Arial"/>
          <w:b/>
        </w:rPr>
      </w:pPr>
      <w:r w:rsidRPr="00734AB6">
        <w:rPr>
          <w:rFonts w:asciiTheme="majorHAnsi" w:hAnsiTheme="majorHAnsi" w:cs="Arial"/>
          <w:b/>
        </w:rPr>
        <w:t>Research Project Consent Form</w:t>
      </w:r>
      <w:r w:rsidRPr="00734AB6">
        <w:rPr>
          <w:rFonts w:asciiTheme="majorHAnsi" w:hAnsiTheme="majorHAnsi" w:cs="Arial"/>
          <w:b/>
        </w:rPr>
        <w:tab/>
        <w:t>SAS1834</w:t>
      </w:r>
    </w:p>
    <w:p w14:paraId="70EE7C64" w14:textId="77777777" w:rsidR="004676EF" w:rsidRPr="00734AB6" w:rsidRDefault="004676EF" w:rsidP="00E2030F">
      <w:pPr>
        <w:spacing w:after="120" w:line="276" w:lineRule="auto"/>
        <w:ind w:left="2127" w:hanging="2127"/>
        <w:rPr>
          <w:rFonts w:asciiTheme="majorHAnsi" w:hAnsiTheme="majorHAnsi" w:cs="Arial"/>
        </w:rPr>
      </w:pPr>
      <w:r w:rsidRPr="00734AB6">
        <w:rPr>
          <w:rFonts w:asciiTheme="majorHAnsi" w:hAnsiTheme="majorHAnsi" w:cs="Arial"/>
          <w:b/>
        </w:rPr>
        <w:t xml:space="preserve">Full title of Project: </w:t>
      </w:r>
      <w:r w:rsidRPr="00734AB6">
        <w:rPr>
          <w:rFonts w:asciiTheme="majorHAnsi" w:hAnsiTheme="majorHAnsi" w:cs="Arial"/>
        </w:rPr>
        <w:t>The cognitive performance of off-prescription users of modafinil and methylphenidate</w:t>
      </w:r>
    </w:p>
    <w:p w14:paraId="08270756" w14:textId="77777777" w:rsidR="004676EF" w:rsidRPr="00734AB6" w:rsidRDefault="004676EF" w:rsidP="00E2030F">
      <w:pPr>
        <w:spacing w:after="120" w:line="276" w:lineRule="auto"/>
        <w:rPr>
          <w:rFonts w:asciiTheme="majorHAnsi" w:hAnsiTheme="majorHAnsi" w:cs="Arial"/>
          <w:b/>
        </w:rPr>
      </w:pPr>
      <w:r w:rsidRPr="00734AB6">
        <w:rPr>
          <w:rFonts w:asciiTheme="majorHAnsi" w:hAnsiTheme="majorHAnsi" w:cs="Arial"/>
          <w:b/>
        </w:rPr>
        <w:t>Ethics approval registration Number: SAS1834</w:t>
      </w:r>
    </w:p>
    <w:p w14:paraId="5C511D39" w14:textId="77777777" w:rsidR="004676EF" w:rsidRPr="00734AB6" w:rsidRDefault="004676EF" w:rsidP="00E2030F">
      <w:pPr>
        <w:spacing w:after="120" w:line="276" w:lineRule="auto"/>
        <w:rPr>
          <w:rFonts w:asciiTheme="majorHAnsi" w:eastAsia="Times" w:hAnsiTheme="majorHAnsi" w:cs="Arial"/>
          <w:b/>
        </w:rPr>
      </w:pPr>
      <w:r w:rsidRPr="00734AB6">
        <w:rPr>
          <w:rFonts w:asciiTheme="majorHAnsi" w:eastAsia="Times" w:hAnsiTheme="majorHAnsi" w:cs="Arial"/>
          <w:b/>
        </w:rPr>
        <w:t xml:space="preserve">Name: </w:t>
      </w:r>
      <w:r w:rsidRPr="00734AB6">
        <w:rPr>
          <w:rFonts w:asciiTheme="majorHAnsi" w:eastAsia="Times" w:hAnsiTheme="majorHAnsi" w:cs="Arial"/>
          <w:b/>
          <w:u w:val="single"/>
        </w:rPr>
        <w:tab/>
      </w:r>
      <w:r w:rsidRPr="00734AB6">
        <w:rPr>
          <w:rFonts w:asciiTheme="majorHAnsi" w:eastAsia="Times" w:hAnsiTheme="majorHAnsi" w:cs="Arial"/>
          <w:b/>
          <w:u w:val="single"/>
        </w:rPr>
        <w:tab/>
      </w:r>
      <w:r w:rsidRPr="00734AB6">
        <w:rPr>
          <w:rFonts w:asciiTheme="majorHAnsi" w:eastAsia="Times" w:hAnsiTheme="majorHAnsi" w:cs="Arial"/>
          <w:b/>
        </w:rPr>
        <w:t>(Please only provide initials)  Participant No. __________</w:t>
      </w:r>
    </w:p>
    <w:p w14:paraId="2EDAE947" w14:textId="77777777" w:rsidR="004676EF" w:rsidRPr="00734AB6" w:rsidRDefault="004676EF" w:rsidP="00E2030F">
      <w:pPr>
        <w:spacing w:after="120" w:line="276" w:lineRule="auto"/>
        <w:rPr>
          <w:rFonts w:asciiTheme="majorHAnsi" w:eastAsia="Times" w:hAnsiTheme="majorHAnsi" w:cs="Arial"/>
        </w:rPr>
      </w:pPr>
      <w:r w:rsidRPr="00734AB6">
        <w:rPr>
          <w:rFonts w:asciiTheme="majorHAnsi" w:eastAsia="Times" w:hAnsiTheme="majorHAnsi" w:cs="Arial"/>
          <w:b/>
        </w:rPr>
        <w:t xml:space="preserve">Researcher Position: </w:t>
      </w:r>
      <w:r w:rsidRPr="00734AB6">
        <w:rPr>
          <w:rFonts w:asciiTheme="majorHAnsi" w:eastAsia="Times" w:hAnsiTheme="majorHAnsi" w:cs="Arial"/>
        </w:rPr>
        <w:t>Principal Investigator</w:t>
      </w:r>
    </w:p>
    <w:p w14:paraId="1F340CE8" w14:textId="77777777" w:rsidR="004676EF" w:rsidRPr="00734AB6" w:rsidRDefault="004676EF" w:rsidP="00E2030F">
      <w:pPr>
        <w:spacing w:after="120" w:line="276" w:lineRule="auto"/>
        <w:rPr>
          <w:rFonts w:asciiTheme="majorHAnsi" w:eastAsia="Times" w:hAnsiTheme="majorHAnsi" w:cs="Arial"/>
        </w:rPr>
      </w:pPr>
      <w:r w:rsidRPr="00734AB6">
        <w:rPr>
          <w:rFonts w:asciiTheme="majorHAnsi" w:eastAsia="Times" w:hAnsiTheme="majorHAnsi" w:cs="Arial"/>
          <w:b/>
        </w:rPr>
        <w:t xml:space="preserve">Contact details of Researcher: </w:t>
      </w:r>
      <w:r w:rsidRPr="00734AB6">
        <w:rPr>
          <w:rFonts w:asciiTheme="majorHAnsi" w:eastAsia="Times" w:hAnsiTheme="majorHAnsi" w:cs="Arial"/>
        </w:rPr>
        <w:t xml:space="preserve">Rachel Teodorini email: </w:t>
      </w:r>
      <w:hyperlink r:id="rId93" w:history="1">
        <w:r w:rsidRPr="00734AB6">
          <w:rPr>
            <w:rStyle w:val="Hyperlink"/>
            <w:rFonts w:asciiTheme="majorHAnsi" w:eastAsia="Times" w:hAnsiTheme="majorHAnsi" w:cs="Arial"/>
          </w:rPr>
          <w:t>teodorir@lsbu.ac.uk</w:t>
        </w:r>
      </w:hyperlink>
      <w:r w:rsidRPr="00734AB6">
        <w:rPr>
          <w:rFonts w:asciiTheme="majorHAnsi" w:eastAsia="Times" w:hAnsiTheme="majorHAnsi" w:cs="Arial"/>
        </w:rPr>
        <w:t xml:space="preserve"> Tel: 020 7815 5431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3"/>
        <w:gridCol w:w="778"/>
        <w:gridCol w:w="676"/>
      </w:tblGrid>
      <w:tr w:rsidR="004676EF" w:rsidRPr="00734AB6" w14:paraId="66DFC9F2" w14:textId="77777777" w:rsidTr="004676EF">
        <w:trPr>
          <w:trHeight w:val="506"/>
          <w:jc w:val="center"/>
        </w:trPr>
        <w:tc>
          <w:tcPr>
            <w:tcW w:w="8866" w:type="dxa"/>
            <w:shd w:val="clear" w:color="auto" w:fill="17365D"/>
          </w:tcPr>
          <w:p w14:paraId="2ADFD808" w14:textId="77777777" w:rsidR="004676EF" w:rsidRPr="00734AB6" w:rsidRDefault="004676EF" w:rsidP="0099584D">
            <w:pPr>
              <w:spacing w:after="120" w:line="360" w:lineRule="auto"/>
              <w:contextualSpacing/>
              <w:rPr>
                <w:rFonts w:asciiTheme="majorHAnsi" w:hAnsiTheme="majorHAnsi" w:cs="Arial"/>
                <w:b/>
                <w:color w:val="FFFFFF"/>
              </w:rPr>
            </w:pPr>
            <w:r w:rsidRPr="00734AB6">
              <w:rPr>
                <w:rFonts w:asciiTheme="majorHAnsi" w:hAnsiTheme="majorHAnsi" w:cs="Arial"/>
                <w:b/>
                <w:color w:val="FFFFFF"/>
              </w:rPr>
              <w:t>Taking part (please tick the box that applies)</w:t>
            </w:r>
          </w:p>
        </w:tc>
        <w:tc>
          <w:tcPr>
            <w:tcW w:w="855" w:type="dxa"/>
            <w:shd w:val="clear" w:color="auto" w:fill="17365D"/>
          </w:tcPr>
          <w:p w14:paraId="686F63C6" w14:textId="77777777" w:rsidR="004676EF" w:rsidRPr="00734AB6" w:rsidRDefault="004676EF" w:rsidP="0099584D">
            <w:pPr>
              <w:spacing w:after="120" w:line="360" w:lineRule="auto"/>
              <w:contextualSpacing/>
              <w:jc w:val="center"/>
              <w:rPr>
                <w:rFonts w:asciiTheme="majorHAnsi" w:hAnsiTheme="majorHAnsi" w:cs="Arial"/>
                <w:b/>
                <w:color w:val="FFFFFF"/>
              </w:rPr>
            </w:pPr>
            <w:r w:rsidRPr="00734AB6">
              <w:rPr>
                <w:rFonts w:asciiTheme="majorHAnsi" w:hAnsiTheme="majorHAnsi" w:cs="Arial"/>
                <w:b/>
                <w:color w:val="FFFFFF"/>
              </w:rPr>
              <w:t>Yes</w:t>
            </w:r>
          </w:p>
        </w:tc>
        <w:tc>
          <w:tcPr>
            <w:tcW w:w="735" w:type="dxa"/>
            <w:shd w:val="clear" w:color="auto" w:fill="17365D"/>
          </w:tcPr>
          <w:p w14:paraId="14539DF7" w14:textId="77777777" w:rsidR="004676EF" w:rsidRPr="00734AB6" w:rsidRDefault="004676EF" w:rsidP="0099584D">
            <w:pPr>
              <w:spacing w:after="120" w:line="360" w:lineRule="auto"/>
              <w:contextualSpacing/>
              <w:jc w:val="center"/>
              <w:rPr>
                <w:rFonts w:asciiTheme="majorHAnsi" w:hAnsiTheme="majorHAnsi" w:cs="Arial"/>
                <w:b/>
                <w:color w:val="FFFFFF"/>
              </w:rPr>
            </w:pPr>
            <w:r w:rsidRPr="00734AB6">
              <w:rPr>
                <w:rFonts w:asciiTheme="majorHAnsi" w:hAnsiTheme="majorHAnsi" w:cs="Arial"/>
                <w:b/>
                <w:color w:val="FFFFFF"/>
              </w:rPr>
              <w:t>No</w:t>
            </w:r>
          </w:p>
        </w:tc>
      </w:tr>
      <w:tr w:rsidR="004676EF" w:rsidRPr="00734AB6" w14:paraId="1A22EAF0" w14:textId="77777777" w:rsidTr="004676EF">
        <w:trPr>
          <w:trHeight w:val="506"/>
          <w:jc w:val="center"/>
        </w:trPr>
        <w:tc>
          <w:tcPr>
            <w:tcW w:w="8866" w:type="dxa"/>
            <w:shd w:val="clear" w:color="auto" w:fill="FFFFFF"/>
          </w:tcPr>
          <w:p w14:paraId="3253321D"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lastRenderedPageBreak/>
              <w:t>I confirm that I have read and understood the information sheet/project brief and/or the student has explained the above study. I have had the opportunity to ask questions.</w:t>
            </w:r>
          </w:p>
        </w:tc>
        <w:sdt>
          <w:sdtPr>
            <w:rPr>
              <w:rFonts w:asciiTheme="majorHAnsi" w:hAnsiTheme="majorHAnsi" w:cs="Arial"/>
            </w:rPr>
            <w:id w:val="-1159838961"/>
            <w14:checkbox>
              <w14:checked w14:val="0"/>
              <w14:checkedState w14:val="2612" w14:font="MS Gothic"/>
              <w14:uncheckedState w14:val="2610" w14:font="MS Gothic"/>
            </w14:checkbox>
          </w:sdtPr>
          <w:sdtContent>
            <w:tc>
              <w:tcPr>
                <w:tcW w:w="855" w:type="dxa"/>
                <w:shd w:val="clear" w:color="auto" w:fill="FFFFFF"/>
              </w:tcPr>
              <w:p w14:paraId="3CB65D46"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sdt>
          <w:sdtPr>
            <w:rPr>
              <w:rFonts w:asciiTheme="majorHAnsi" w:hAnsiTheme="majorHAnsi" w:cs="Arial"/>
            </w:rPr>
            <w:id w:val="-1871362139"/>
            <w14:checkbox>
              <w14:checked w14:val="0"/>
              <w14:checkedState w14:val="2612" w14:font="MS Gothic"/>
              <w14:uncheckedState w14:val="2610" w14:font="MS Gothic"/>
            </w14:checkbox>
          </w:sdtPr>
          <w:sdtContent>
            <w:tc>
              <w:tcPr>
                <w:tcW w:w="735" w:type="dxa"/>
                <w:shd w:val="clear" w:color="auto" w:fill="FFFFFF"/>
              </w:tcPr>
              <w:p w14:paraId="3B251EFF"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tr>
      <w:tr w:rsidR="004676EF" w:rsidRPr="00734AB6" w14:paraId="07890F7A" w14:textId="77777777" w:rsidTr="004676EF">
        <w:trPr>
          <w:trHeight w:val="506"/>
          <w:jc w:val="center"/>
        </w:trPr>
        <w:tc>
          <w:tcPr>
            <w:tcW w:w="8866" w:type="dxa"/>
            <w:shd w:val="clear" w:color="auto" w:fill="FFFFFF"/>
          </w:tcPr>
          <w:p w14:paraId="489BCBE8"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t>I understand that my participation is voluntary and that I am free to withdraw at any time, without providing a reason.</w:t>
            </w:r>
          </w:p>
        </w:tc>
        <w:sdt>
          <w:sdtPr>
            <w:rPr>
              <w:rFonts w:asciiTheme="majorHAnsi" w:hAnsiTheme="majorHAnsi" w:cs="Arial"/>
            </w:rPr>
            <w:id w:val="1218015261"/>
            <w14:checkbox>
              <w14:checked w14:val="0"/>
              <w14:checkedState w14:val="2612" w14:font="MS Gothic"/>
              <w14:uncheckedState w14:val="2610" w14:font="MS Gothic"/>
            </w14:checkbox>
          </w:sdtPr>
          <w:sdtContent>
            <w:tc>
              <w:tcPr>
                <w:tcW w:w="855" w:type="dxa"/>
                <w:shd w:val="clear" w:color="auto" w:fill="FFFFFF"/>
              </w:tcPr>
              <w:p w14:paraId="1BEA7181"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sdt>
          <w:sdtPr>
            <w:rPr>
              <w:rFonts w:asciiTheme="majorHAnsi" w:hAnsiTheme="majorHAnsi" w:cs="Arial"/>
            </w:rPr>
            <w:id w:val="311604470"/>
            <w14:checkbox>
              <w14:checked w14:val="0"/>
              <w14:checkedState w14:val="2612" w14:font="MS Gothic"/>
              <w14:uncheckedState w14:val="2610" w14:font="MS Gothic"/>
            </w14:checkbox>
          </w:sdtPr>
          <w:sdtContent>
            <w:tc>
              <w:tcPr>
                <w:tcW w:w="735" w:type="dxa"/>
                <w:shd w:val="clear" w:color="auto" w:fill="FFFFFF"/>
              </w:tcPr>
              <w:p w14:paraId="0C111CC3"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tr>
      <w:tr w:rsidR="004676EF" w:rsidRPr="00734AB6" w14:paraId="2C867A49" w14:textId="77777777" w:rsidTr="004676EF">
        <w:trPr>
          <w:trHeight w:val="506"/>
          <w:jc w:val="center"/>
        </w:trPr>
        <w:tc>
          <w:tcPr>
            <w:tcW w:w="8866" w:type="dxa"/>
            <w:tcBorders>
              <w:bottom w:val="single" w:sz="4" w:space="0" w:color="auto"/>
            </w:tcBorders>
            <w:shd w:val="clear" w:color="auto" w:fill="FFFFFF"/>
          </w:tcPr>
          <w:p w14:paraId="30237C5C"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t>I agree to take part in the above study.</w:t>
            </w:r>
          </w:p>
        </w:tc>
        <w:sdt>
          <w:sdtPr>
            <w:rPr>
              <w:rFonts w:asciiTheme="majorHAnsi" w:hAnsiTheme="majorHAnsi" w:cs="Arial"/>
            </w:rPr>
            <w:id w:val="919059683"/>
            <w14:checkbox>
              <w14:checked w14:val="0"/>
              <w14:checkedState w14:val="2612" w14:font="MS Gothic"/>
              <w14:uncheckedState w14:val="2610" w14:font="MS Gothic"/>
            </w14:checkbox>
          </w:sdtPr>
          <w:sdtContent>
            <w:tc>
              <w:tcPr>
                <w:tcW w:w="855" w:type="dxa"/>
                <w:tcBorders>
                  <w:bottom w:val="single" w:sz="4" w:space="0" w:color="auto"/>
                </w:tcBorders>
                <w:shd w:val="clear" w:color="auto" w:fill="FFFFFF"/>
              </w:tcPr>
              <w:p w14:paraId="5C66A25F"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sdt>
          <w:sdtPr>
            <w:rPr>
              <w:rFonts w:asciiTheme="majorHAnsi" w:hAnsiTheme="majorHAnsi" w:cs="Arial"/>
            </w:rPr>
            <w:id w:val="498162778"/>
            <w14:checkbox>
              <w14:checked w14:val="0"/>
              <w14:checkedState w14:val="2612" w14:font="MS Gothic"/>
              <w14:uncheckedState w14:val="2610" w14:font="MS Gothic"/>
            </w14:checkbox>
          </w:sdtPr>
          <w:sdtContent>
            <w:tc>
              <w:tcPr>
                <w:tcW w:w="735" w:type="dxa"/>
                <w:tcBorders>
                  <w:bottom w:val="single" w:sz="4" w:space="0" w:color="auto"/>
                </w:tcBorders>
                <w:shd w:val="clear" w:color="auto" w:fill="FFFFFF"/>
              </w:tcPr>
              <w:p w14:paraId="68700541"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tr>
      <w:tr w:rsidR="004676EF" w:rsidRPr="00734AB6" w14:paraId="601E7B38" w14:textId="77777777" w:rsidTr="004676EF">
        <w:trPr>
          <w:trHeight w:val="506"/>
          <w:jc w:val="center"/>
        </w:trPr>
        <w:tc>
          <w:tcPr>
            <w:tcW w:w="8866" w:type="dxa"/>
            <w:tcBorders>
              <w:bottom w:val="single" w:sz="4" w:space="0" w:color="auto"/>
            </w:tcBorders>
            <w:shd w:val="clear" w:color="auto" w:fill="FFFFFF"/>
          </w:tcPr>
          <w:p w14:paraId="3E0E1D09"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t>I confirm that I have not taken any cognitive enhancing drug for the past 24 hours</w:t>
            </w:r>
          </w:p>
        </w:tc>
        <w:sdt>
          <w:sdtPr>
            <w:rPr>
              <w:rFonts w:asciiTheme="majorHAnsi" w:hAnsiTheme="majorHAnsi" w:cs="Arial"/>
            </w:rPr>
            <w:id w:val="1516885479"/>
            <w14:checkbox>
              <w14:checked w14:val="0"/>
              <w14:checkedState w14:val="2612" w14:font="MS Gothic"/>
              <w14:uncheckedState w14:val="2610" w14:font="MS Gothic"/>
            </w14:checkbox>
          </w:sdtPr>
          <w:sdtContent>
            <w:tc>
              <w:tcPr>
                <w:tcW w:w="855" w:type="dxa"/>
                <w:tcBorders>
                  <w:bottom w:val="single" w:sz="4" w:space="0" w:color="auto"/>
                </w:tcBorders>
                <w:shd w:val="clear" w:color="auto" w:fill="FFFFFF"/>
              </w:tcPr>
              <w:p w14:paraId="3E7CA5EE"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sdt>
          <w:sdtPr>
            <w:rPr>
              <w:rFonts w:asciiTheme="majorHAnsi" w:hAnsiTheme="majorHAnsi" w:cs="Arial"/>
            </w:rPr>
            <w:id w:val="984358271"/>
            <w14:checkbox>
              <w14:checked w14:val="0"/>
              <w14:checkedState w14:val="2612" w14:font="MS Gothic"/>
              <w14:uncheckedState w14:val="2610" w14:font="MS Gothic"/>
            </w14:checkbox>
          </w:sdtPr>
          <w:sdtContent>
            <w:tc>
              <w:tcPr>
                <w:tcW w:w="735" w:type="dxa"/>
                <w:tcBorders>
                  <w:bottom w:val="single" w:sz="4" w:space="0" w:color="auto"/>
                </w:tcBorders>
                <w:shd w:val="clear" w:color="auto" w:fill="FFFFFF"/>
              </w:tcPr>
              <w:p w14:paraId="4EF67620"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tr>
      <w:tr w:rsidR="004676EF" w:rsidRPr="00734AB6" w14:paraId="5965F942" w14:textId="77777777" w:rsidTr="004676EF">
        <w:trPr>
          <w:trHeight w:val="506"/>
          <w:jc w:val="center"/>
        </w:trPr>
        <w:tc>
          <w:tcPr>
            <w:tcW w:w="8866" w:type="dxa"/>
            <w:shd w:val="clear" w:color="auto" w:fill="FFFFFF"/>
          </w:tcPr>
          <w:p w14:paraId="0C6A0C22"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t>I confirm that I am over 18 years of age, I have not been diagnosed with ADHD and that I am not currently taking any prescribed medications for any mental disorder</w:t>
            </w:r>
          </w:p>
        </w:tc>
        <w:sdt>
          <w:sdtPr>
            <w:rPr>
              <w:rFonts w:asciiTheme="majorHAnsi" w:hAnsiTheme="majorHAnsi" w:cs="Arial"/>
            </w:rPr>
            <w:id w:val="-24557303"/>
            <w14:checkbox>
              <w14:checked w14:val="0"/>
              <w14:checkedState w14:val="2612" w14:font="MS Gothic"/>
              <w14:uncheckedState w14:val="2610" w14:font="MS Gothic"/>
            </w14:checkbox>
          </w:sdtPr>
          <w:sdtContent>
            <w:tc>
              <w:tcPr>
                <w:tcW w:w="855" w:type="dxa"/>
                <w:shd w:val="clear" w:color="auto" w:fill="FFFFFF"/>
              </w:tcPr>
              <w:p w14:paraId="5B602055"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sdt>
          <w:sdtPr>
            <w:rPr>
              <w:rFonts w:asciiTheme="majorHAnsi" w:hAnsiTheme="majorHAnsi" w:cs="Arial"/>
            </w:rPr>
            <w:id w:val="-1769915920"/>
            <w14:checkbox>
              <w14:checked w14:val="0"/>
              <w14:checkedState w14:val="2612" w14:font="MS Gothic"/>
              <w14:uncheckedState w14:val="2610" w14:font="MS Gothic"/>
            </w14:checkbox>
          </w:sdtPr>
          <w:sdtContent>
            <w:tc>
              <w:tcPr>
                <w:tcW w:w="735" w:type="dxa"/>
                <w:shd w:val="clear" w:color="auto" w:fill="FFFFFF"/>
              </w:tcPr>
              <w:p w14:paraId="11C54EA0" w14:textId="77777777" w:rsidR="004676EF" w:rsidRPr="00734AB6" w:rsidRDefault="004676EF" w:rsidP="00E2030F">
                <w:pPr>
                  <w:spacing w:after="120" w:line="276" w:lineRule="auto"/>
                  <w:contextualSpacing/>
                  <w:jc w:val="center"/>
                  <w:rPr>
                    <w:rFonts w:asciiTheme="majorHAnsi" w:eastAsia="MS Gothic" w:hAnsiTheme="majorHAnsi" w:cs="Arial"/>
                  </w:rPr>
                </w:pPr>
                <w:r w:rsidRPr="00734AB6">
                  <w:rPr>
                    <w:rFonts w:ascii="Segoe UI Symbol" w:eastAsia="MS Gothic" w:hAnsi="Segoe UI Symbol" w:cs="Segoe UI Symbol"/>
                  </w:rPr>
                  <w:t>☐</w:t>
                </w:r>
              </w:p>
            </w:tc>
          </w:sdtContent>
        </w:sdt>
      </w:tr>
      <w:tr w:rsidR="004676EF" w:rsidRPr="00734AB6" w14:paraId="459C1C81" w14:textId="77777777" w:rsidTr="004676EF">
        <w:trPr>
          <w:trHeight w:val="334"/>
          <w:jc w:val="center"/>
        </w:trPr>
        <w:tc>
          <w:tcPr>
            <w:tcW w:w="8866" w:type="dxa"/>
            <w:tcBorders>
              <w:top w:val="single" w:sz="4" w:space="0" w:color="auto"/>
              <w:left w:val="nil"/>
              <w:bottom w:val="nil"/>
              <w:right w:val="nil"/>
            </w:tcBorders>
            <w:shd w:val="clear" w:color="auto" w:fill="FFFFFF"/>
          </w:tcPr>
          <w:p w14:paraId="38184E77" w14:textId="77777777" w:rsidR="004676EF" w:rsidRPr="00734AB6" w:rsidRDefault="004676EF" w:rsidP="00E2030F">
            <w:pPr>
              <w:spacing w:after="120" w:line="276" w:lineRule="auto"/>
              <w:contextualSpacing/>
              <w:rPr>
                <w:rFonts w:asciiTheme="majorHAnsi" w:hAnsiTheme="majorHAnsi" w:cs="Arial"/>
              </w:rPr>
            </w:pPr>
          </w:p>
        </w:tc>
        <w:tc>
          <w:tcPr>
            <w:tcW w:w="855" w:type="dxa"/>
            <w:tcBorders>
              <w:top w:val="single" w:sz="4" w:space="0" w:color="auto"/>
              <w:left w:val="nil"/>
              <w:bottom w:val="nil"/>
              <w:right w:val="nil"/>
            </w:tcBorders>
            <w:shd w:val="clear" w:color="auto" w:fill="FFFFFF"/>
          </w:tcPr>
          <w:p w14:paraId="1786FDE1" w14:textId="77777777" w:rsidR="004676EF" w:rsidRPr="00734AB6" w:rsidRDefault="004676EF" w:rsidP="00E2030F">
            <w:pPr>
              <w:spacing w:after="120" w:line="276" w:lineRule="auto"/>
              <w:contextualSpacing/>
              <w:jc w:val="center"/>
              <w:rPr>
                <w:rFonts w:asciiTheme="majorHAnsi" w:hAnsiTheme="majorHAnsi" w:cs="Arial"/>
              </w:rPr>
            </w:pPr>
          </w:p>
        </w:tc>
        <w:tc>
          <w:tcPr>
            <w:tcW w:w="735" w:type="dxa"/>
            <w:tcBorders>
              <w:top w:val="single" w:sz="4" w:space="0" w:color="auto"/>
              <w:left w:val="nil"/>
              <w:bottom w:val="nil"/>
              <w:right w:val="nil"/>
            </w:tcBorders>
            <w:shd w:val="clear" w:color="auto" w:fill="FFFFFF"/>
          </w:tcPr>
          <w:p w14:paraId="30C661A1" w14:textId="77777777" w:rsidR="004676EF" w:rsidRPr="00734AB6" w:rsidRDefault="004676EF" w:rsidP="00E2030F">
            <w:pPr>
              <w:spacing w:after="120" w:line="276" w:lineRule="auto"/>
              <w:contextualSpacing/>
              <w:jc w:val="center"/>
              <w:rPr>
                <w:rFonts w:asciiTheme="majorHAnsi" w:hAnsiTheme="majorHAnsi" w:cs="Arial"/>
              </w:rPr>
            </w:pPr>
          </w:p>
        </w:tc>
      </w:tr>
      <w:tr w:rsidR="004676EF" w:rsidRPr="00734AB6" w14:paraId="7EB3182C" w14:textId="77777777" w:rsidTr="004676EF">
        <w:trPr>
          <w:trHeight w:val="506"/>
          <w:jc w:val="center"/>
        </w:trPr>
        <w:tc>
          <w:tcPr>
            <w:tcW w:w="8866" w:type="dxa"/>
            <w:tcBorders>
              <w:top w:val="nil"/>
            </w:tcBorders>
            <w:shd w:val="clear" w:color="auto" w:fill="17365D"/>
          </w:tcPr>
          <w:p w14:paraId="10FE517D" w14:textId="77777777" w:rsidR="004676EF" w:rsidRPr="00734AB6" w:rsidRDefault="004676EF" w:rsidP="00E2030F">
            <w:pPr>
              <w:spacing w:after="120" w:line="276" w:lineRule="auto"/>
              <w:contextualSpacing/>
              <w:rPr>
                <w:rFonts w:asciiTheme="majorHAnsi" w:hAnsiTheme="majorHAnsi" w:cs="Arial"/>
                <w:b/>
                <w:color w:val="FFFFFF"/>
              </w:rPr>
            </w:pPr>
            <w:r w:rsidRPr="00734AB6">
              <w:rPr>
                <w:rFonts w:asciiTheme="majorHAnsi" w:hAnsiTheme="majorHAnsi" w:cs="Arial"/>
                <w:b/>
                <w:color w:val="FFFFFF"/>
              </w:rPr>
              <w:t>Use of my information (please tick the box that applies)</w:t>
            </w:r>
          </w:p>
        </w:tc>
        <w:tc>
          <w:tcPr>
            <w:tcW w:w="855" w:type="dxa"/>
            <w:tcBorders>
              <w:top w:val="nil"/>
            </w:tcBorders>
            <w:shd w:val="clear" w:color="auto" w:fill="17365D"/>
          </w:tcPr>
          <w:p w14:paraId="0788ECF9" w14:textId="77777777" w:rsidR="004676EF" w:rsidRPr="00734AB6" w:rsidRDefault="004676EF" w:rsidP="00E2030F">
            <w:pPr>
              <w:spacing w:after="120" w:line="276" w:lineRule="auto"/>
              <w:contextualSpacing/>
              <w:jc w:val="center"/>
              <w:rPr>
                <w:rFonts w:asciiTheme="majorHAnsi" w:hAnsiTheme="majorHAnsi" w:cs="Arial"/>
                <w:b/>
                <w:color w:val="FFFFFF"/>
              </w:rPr>
            </w:pPr>
            <w:r w:rsidRPr="00734AB6">
              <w:rPr>
                <w:rFonts w:asciiTheme="majorHAnsi" w:hAnsiTheme="majorHAnsi" w:cs="Arial"/>
                <w:b/>
                <w:color w:val="FFFFFF"/>
              </w:rPr>
              <w:t>Yes</w:t>
            </w:r>
          </w:p>
        </w:tc>
        <w:tc>
          <w:tcPr>
            <w:tcW w:w="735" w:type="dxa"/>
            <w:tcBorders>
              <w:top w:val="nil"/>
            </w:tcBorders>
            <w:shd w:val="clear" w:color="auto" w:fill="17365D"/>
          </w:tcPr>
          <w:p w14:paraId="2AF7C7A7" w14:textId="77777777" w:rsidR="004676EF" w:rsidRPr="00734AB6" w:rsidRDefault="004676EF" w:rsidP="00E2030F">
            <w:pPr>
              <w:spacing w:after="120" w:line="276" w:lineRule="auto"/>
              <w:contextualSpacing/>
              <w:jc w:val="center"/>
              <w:rPr>
                <w:rFonts w:asciiTheme="majorHAnsi" w:hAnsiTheme="majorHAnsi" w:cs="Arial"/>
                <w:b/>
                <w:color w:val="FFFFFF"/>
              </w:rPr>
            </w:pPr>
            <w:r w:rsidRPr="00734AB6">
              <w:rPr>
                <w:rFonts w:asciiTheme="majorHAnsi" w:hAnsiTheme="majorHAnsi" w:cs="Arial"/>
                <w:b/>
                <w:color w:val="FFFFFF"/>
              </w:rPr>
              <w:t>No</w:t>
            </w:r>
          </w:p>
        </w:tc>
      </w:tr>
      <w:tr w:rsidR="004676EF" w:rsidRPr="00734AB6" w14:paraId="5A4314C7" w14:textId="77777777" w:rsidTr="004676EF">
        <w:trPr>
          <w:trHeight w:val="506"/>
          <w:jc w:val="center"/>
        </w:trPr>
        <w:tc>
          <w:tcPr>
            <w:tcW w:w="8866" w:type="dxa"/>
            <w:shd w:val="clear" w:color="auto" w:fill="FFFFFF"/>
          </w:tcPr>
          <w:p w14:paraId="37B34D44"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t>I understand that my data may be quoted in publications, reports, posters, web pages, and other research outputs.</w:t>
            </w:r>
          </w:p>
        </w:tc>
        <w:sdt>
          <w:sdtPr>
            <w:rPr>
              <w:rFonts w:asciiTheme="majorHAnsi" w:hAnsiTheme="majorHAnsi" w:cs="Arial"/>
            </w:rPr>
            <w:id w:val="1792391449"/>
            <w14:checkbox>
              <w14:checked w14:val="0"/>
              <w14:checkedState w14:val="2612" w14:font="MS Gothic"/>
              <w14:uncheckedState w14:val="2610" w14:font="MS Gothic"/>
            </w14:checkbox>
          </w:sdtPr>
          <w:sdtContent>
            <w:tc>
              <w:tcPr>
                <w:tcW w:w="855" w:type="dxa"/>
                <w:shd w:val="clear" w:color="auto" w:fill="FFFFFF"/>
              </w:tcPr>
              <w:p w14:paraId="74A7F826"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tc>
          <w:tcPr>
            <w:tcW w:w="735" w:type="dxa"/>
            <w:shd w:val="clear" w:color="auto" w:fill="FFFFFF"/>
          </w:tcPr>
          <w:p w14:paraId="6AE7D0D3"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tr>
      <w:tr w:rsidR="004676EF" w:rsidRPr="00734AB6" w14:paraId="2A8F3849" w14:textId="77777777" w:rsidTr="004676EF">
        <w:trPr>
          <w:trHeight w:val="506"/>
          <w:jc w:val="center"/>
        </w:trPr>
        <w:tc>
          <w:tcPr>
            <w:tcW w:w="8866" w:type="dxa"/>
            <w:shd w:val="clear" w:color="auto" w:fill="FFFFFF"/>
          </w:tcPr>
          <w:p w14:paraId="5A81064F" w14:textId="77777777" w:rsidR="004676EF" w:rsidRPr="00734AB6" w:rsidRDefault="004676EF" w:rsidP="00E2030F">
            <w:pPr>
              <w:spacing w:after="120" w:line="276" w:lineRule="auto"/>
              <w:contextualSpacing/>
              <w:rPr>
                <w:rFonts w:asciiTheme="majorHAnsi" w:hAnsiTheme="majorHAnsi" w:cs="Arial"/>
              </w:rPr>
            </w:pPr>
            <w:r w:rsidRPr="00734AB6">
              <w:rPr>
                <w:rFonts w:asciiTheme="majorHAnsi" w:hAnsiTheme="majorHAnsi" w:cs="Arial"/>
              </w:rPr>
              <w:t>I agree for the data I provide to be stored in a specialist data centre and I understand it may be used for future research.</w:t>
            </w:r>
          </w:p>
        </w:tc>
        <w:sdt>
          <w:sdtPr>
            <w:rPr>
              <w:rFonts w:asciiTheme="majorHAnsi" w:hAnsiTheme="majorHAnsi" w:cs="Arial"/>
            </w:rPr>
            <w:id w:val="-1957246334"/>
            <w14:checkbox>
              <w14:checked w14:val="0"/>
              <w14:checkedState w14:val="2612" w14:font="MS Gothic"/>
              <w14:uncheckedState w14:val="2610" w14:font="MS Gothic"/>
            </w14:checkbox>
          </w:sdtPr>
          <w:sdtContent>
            <w:tc>
              <w:tcPr>
                <w:tcW w:w="855" w:type="dxa"/>
                <w:shd w:val="clear" w:color="auto" w:fill="FFFFFF"/>
              </w:tcPr>
              <w:p w14:paraId="22DBF3BF"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sdt>
          <w:sdtPr>
            <w:rPr>
              <w:rFonts w:asciiTheme="majorHAnsi" w:hAnsiTheme="majorHAnsi" w:cs="Arial"/>
            </w:rPr>
            <w:id w:val="1225179331"/>
            <w14:checkbox>
              <w14:checked w14:val="0"/>
              <w14:checkedState w14:val="2612" w14:font="MS Gothic"/>
              <w14:uncheckedState w14:val="2610" w14:font="MS Gothic"/>
            </w14:checkbox>
          </w:sdtPr>
          <w:sdtContent>
            <w:tc>
              <w:tcPr>
                <w:tcW w:w="735" w:type="dxa"/>
                <w:shd w:val="clear" w:color="auto" w:fill="FFFFFF"/>
              </w:tcPr>
              <w:p w14:paraId="6B22A134" w14:textId="77777777" w:rsidR="004676EF" w:rsidRPr="00734AB6" w:rsidRDefault="004676EF" w:rsidP="00E2030F">
                <w:pPr>
                  <w:spacing w:after="120" w:line="276" w:lineRule="auto"/>
                  <w:contextualSpacing/>
                  <w:jc w:val="center"/>
                  <w:rPr>
                    <w:rFonts w:asciiTheme="majorHAnsi" w:hAnsiTheme="majorHAnsi" w:cs="Arial"/>
                  </w:rPr>
                </w:pPr>
                <w:r w:rsidRPr="00734AB6">
                  <w:rPr>
                    <w:rFonts w:ascii="Segoe UI Symbol" w:eastAsia="MS Gothic" w:hAnsi="Segoe UI Symbol" w:cs="Segoe UI Symbol"/>
                  </w:rPr>
                  <w:t>☐</w:t>
                </w:r>
              </w:p>
            </w:tc>
          </w:sdtContent>
        </w:sdt>
      </w:tr>
    </w:tbl>
    <w:p w14:paraId="536F0DAD" w14:textId="77777777" w:rsidR="004676EF" w:rsidRPr="00734AB6" w:rsidRDefault="004676EF" w:rsidP="0099584D">
      <w:pPr>
        <w:spacing w:after="0" w:line="360" w:lineRule="auto"/>
        <w:rPr>
          <w:rFonts w:asciiTheme="majorHAnsi" w:eastAsia="Times" w:hAnsiTheme="majorHAnsi" w:cs="Arial"/>
        </w:rPr>
      </w:pPr>
    </w:p>
    <w:tbl>
      <w:tblPr>
        <w:tblW w:w="0" w:type="auto"/>
        <w:jc w:val="center"/>
        <w:tblLook w:val="04A0" w:firstRow="1" w:lastRow="0" w:firstColumn="1" w:lastColumn="0" w:noHBand="0" w:noVBand="1"/>
      </w:tblPr>
      <w:tblGrid>
        <w:gridCol w:w="3324"/>
        <w:gridCol w:w="2478"/>
        <w:gridCol w:w="2845"/>
      </w:tblGrid>
      <w:tr w:rsidR="004676EF" w:rsidRPr="00734AB6" w14:paraId="1FB160EA" w14:textId="77777777" w:rsidTr="004676EF">
        <w:trPr>
          <w:trHeight w:val="656"/>
          <w:jc w:val="center"/>
        </w:trPr>
        <w:tc>
          <w:tcPr>
            <w:tcW w:w="4077" w:type="dxa"/>
            <w:shd w:val="clear" w:color="auto" w:fill="auto"/>
          </w:tcPr>
          <w:p w14:paraId="68FA2DF6" w14:textId="77777777" w:rsidR="004676EF" w:rsidRPr="00734AB6" w:rsidRDefault="004676EF" w:rsidP="0099584D">
            <w:pPr>
              <w:pBdr>
                <w:bottom w:val="single" w:sz="12" w:space="1" w:color="auto"/>
              </w:pBdr>
              <w:spacing w:after="0" w:line="360" w:lineRule="auto"/>
              <w:jc w:val="center"/>
              <w:rPr>
                <w:rFonts w:asciiTheme="majorHAnsi" w:eastAsia="Times" w:hAnsiTheme="majorHAnsi" w:cs="Arial"/>
              </w:rPr>
            </w:pPr>
            <w:r w:rsidRPr="00734AB6">
              <w:rPr>
                <w:rFonts w:asciiTheme="majorHAnsi" w:eastAsia="Times" w:hAnsiTheme="majorHAnsi" w:cs="Arial"/>
              </w:rPr>
              <w:t xml:space="preserve">UNDISCLOSED </w:t>
            </w:r>
          </w:p>
          <w:p w14:paraId="1504F89A" w14:textId="5D96E147" w:rsidR="004676EF" w:rsidRPr="00734AB6" w:rsidRDefault="00EF1F62" w:rsidP="00EF1F62">
            <w:pPr>
              <w:spacing w:after="0" w:line="360" w:lineRule="auto"/>
              <w:jc w:val="center"/>
              <w:rPr>
                <w:rFonts w:asciiTheme="majorHAnsi" w:eastAsia="Times" w:hAnsiTheme="majorHAnsi" w:cs="Arial"/>
              </w:rPr>
            </w:pPr>
            <w:r w:rsidRPr="00734AB6">
              <w:rPr>
                <w:rFonts w:asciiTheme="majorHAnsi" w:eastAsia="Times" w:hAnsiTheme="majorHAnsi" w:cs="Arial"/>
              </w:rPr>
              <w:t>Participant</w:t>
            </w:r>
          </w:p>
        </w:tc>
        <w:tc>
          <w:tcPr>
            <w:tcW w:w="3044" w:type="dxa"/>
            <w:shd w:val="clear" w:color="auto" w:fill="auto"/>
          </w:tcPr>
          <w:p w14:paraId="7A1CA0D1" w14:textId="77777777" w:rsidR="004676EF" w:rsidRPr="00734AB6" w:rsidRDefault="004676EF" w:rsidP="0099584D">
            <w:pPr>
              <w:spacing w:after="0" w:line="360" w:lineRule="auto"/>
              <w:jc w:val="center"/>
              <w:rPr>
                <w:rFonts w:asciiTheme="majorHAnsi" w:eastAsia="Times" w:hAnsiTheme="majorHAnsi" w:cs="Arial"/>
              </w:rPr>
            </w:pPr>
            <w:r w:rsidRPr="00734AB6">
              <w:rPr>
                <w:rFonts w:asciiTheme="majorHAnsi" w:eastAsia="Times" w:hAnsiTheme="majorHAnsi" w:cs="Arial"/>
              </w:rPr>
              <w:t>________</w:t>
            </w:r>
          </w:p>
          <w:p w14:paraId="37527CEB" w14:textId="77777777" w:rsidR="004676EF" w:rsidRPr="00734AB6" w:rsidRDefault="004676EF" w:rsidP="0099584D">
            <w:pPr>
              <w:spacing w:after="0" w:line="360" w:lineRule="auto"/>
              <w:jc w:val="center"/>
              <w:rPr>
                <w:rFonts w:asciiTheme="majorHAnsi" w:eastAsia="Times" w:hAnsiTheme="majorHAnsi" w:cs="Arial"/>
              </w:rPr>
            </w:pPr>
            <w:r w:rsidRPr="00734AB6">
              <w:rPr>
                <w:rFonts w:asciiTheme="majorHAnsi" w:eastAsia="Times" w:hAnsiTheme="majorHAnsi" w:cs="Arial"/>
              </w:rPr>
              <w:t>Date</w:t>
            </w:r>
          </w:p>
        </w:tc>
        <w:tc>
          <w:tcPr>
            <w:tcW w:w="3561" w:type="dxa"/>
            <w:shd w:val="clear" w:color="auto" w:fill="auto"/>
          </w:tcPr>
          <w:p w14:paraId="20F9F7CC" w14:textId="77777777" w:rsidR="004676EF" w:rsidRPr="00734AB6" w:rsidRDefault="004676EF" w:rsidP="0099584D">
            <w:pPr>
              <w:spacing w:after="0" w:line="360" w:lineRule="auto"/>
              <w:jc w:val="center"/>
              <w:rPr>
                <w:rFonts w:asciiTheme="majorHAnsi" w:eastAsia="Times" w:hAnsiTheme="majorHAnsi" w:cs="Arial"/>
              </w:rPr>
            </w:pPr>
            <w:r w:rsidRPr="00734AB6">
              <w:rPr>
                <w:rFonts w:asciiTheme="majorHAnsi" w:eastAsia="Times" w:hAnsiTheme="majorHAnsi" w:cs="Arial"/>
              </w:rPr>
              <w:t>________</w:t>
            </w:r>
          </w:p>
          <w:p w14:paraId="30A4071B" w14:textId="77777777" w:rsidR="004676EF" w:rsidRPr="00734AB6" w:rsidRDefault="004676EF" w:rsidP="0099584D">
            <w:pPr>
              <w:spacing w:after="0" w:line="360" w:lineRule="auto"/>
              <w:jc w:val="center"/>
              <w:rPr>
                <w:rFonts w:asciiTheme="majorHAnsi" w:eastAsia="Times" w:hAnsiTheme="majorHAnsi" w:cs="Arial"/>
              </w:rPr>
            </w:pPr>
            <w:r w:rsidRPr="00734AB6">
              <w:rPr>
                <w:rFonts w:asciiTheme="majorHAnsi" w:eastAsia="Times" w:hAnsiTheme="majorHAnsi" w:cs="Arial"/>
              </w:rPr>
              <w:t>Pease sign your initials only</w:t>
            </w:r>
          </w:p>
        </w:tc>
      </w:tr>
      <w:tr w:rsidR="004676EF" w:rsidRPr="00734AB6" w14:paraId="60644103" w14:textId="77777777" w:rsidTr="004676EF">
        <w:trPr>
          <w:trHeight w:val="773"/>
          <w:jc w:val="center"/>
        </w:trPr>
        <w:tc>
          <w:tcPr>
            <w:tcW w:w="4077" w:type="dxa"/>
            <w:shd w:val="clear" w:color="auto" w:fill="auto"/>
          </w:tcPr>
          <w:p w14:paraId="0C67B02D" w14:textId="77777777" w:rsidR="004676EF" w:rsidRPr="00734AB6" w:rsidRDefault="004676EF" w:rsidP="00EF1F62">
            <w:pPr>
              <w:pBdr>
                <w:bottom w:val="single" w:sz="12" w:space="1" w:color="auto"/>
              </w:pBdr>
              <w:spacing w:after="0" w:line="360" w:lineRule="auto"/>
              <w:rPr>
                <w:rFonts w:asciiTheme="majorHAnsi" w:eastAsia="Times" w:hAnsiTheme="majorHAnsi" w:cs="Arial"/>
              </w:rPr>
            </w:pPr>
          </w:p>
          <w:p w14:paraId="6C56449A" w14:textId="097160AF" w:rsidR="004676EF" w:rsidRPr="00734AB6" w:rsidRDefault="00EF1F62" w:rsidP="00EF1F62">
            <w:pPr>
              <w:spacing w:after="0" w:line="360" w:lineRule="auto"/>
              <w:jc w:val="center"/>
              <w:rPr>
                <w:rFonts w:asciiTheme="majorHAnsi" w:eastAsia="Times" w:hAnsiTheme="majorHAnsi" w:cs="Arial"/>
              </w:rPr>
            </w:pPr>
            <w:r w:rsidRPr="00734AB6">
              <w:rPr>
                <w:rFonts w:asciiTheme="majorHAnsi" w:eastAsia="Times" w:hAnsiTheme="majorHAnsi" w:cs="Arial"/>
              </w:rPr>
              <w:t>Name of Researcher</w:t>
            </w:r>
          </w:p>
        </w:tc>
        <w:tc>
          <w:tcPr>
            <w:tcW w:w="3044" w:type="dxa"/>
            <w:shd w:val="clear" w:color="auto" w:fill="auto"/>
          </w:tcPr>
          <w:p w14:paraId="4A32A3D6" w14:textId="77777777" w:rsidR="004676EF" w:rsidRPr="00734AB6" w:rsidRDefault="004676EF" w:rsidP="00EF1F62">
            <w:pPr>
              <w:spacing w:after="0" w:line="360" w:lineRule="auto"/>
              <w:jc w:val="center"/>
              <w:rPr>
                <w:rFonts w:asciiTheme="majorHAnsi" w:eastAsia="Times" w:hAnsiTheme="majorHAnsi" w:cs="Arial"/>
              </w:rPr>
            </w:pPr>
            <w:r w:rsidRPr="00734AB6">
              <w:rPr>
                <w:rFonts w:asciiTheme="majorHAnsi" w:eastAsia="Times" w:hAnsiTheme="majorHAnsi" w:cs="Arial"/>
              </w:rPr>
              <w:t>________</w:t>
            </w:r>
          </w:p>
          <w:p w14:paraId="13C42E7F" w14:textId="77777777" w:rsidR="004676EF" w:rsidRPr="00734AB6" w:rsidRDefault="004676EF" w:rsidP="0099584D">
            <w:pPr>
              <w:spacing w:after="0" w:line="360" w:lineRule="auto"/>
              <w:jc w:val="center"/>
              <w:rPr>
                <w:rFonts w:asciiTheme="majorHAnsi" w:eastAsia="Times" w:hAnsiTheme="majorHAnsi" w:cs="Arial"/>
              </w:rPr>
            </w:pPr>
            <w:r w:rsidRPr="00734AB6">
              <w:rPr>
                <w:rFonts w:asciiTheme="majorHAnsi" w:eastAsia="Times" w:hAnsiTheme="majorHAnsi" w:cs="Arial"/>
              </w:rPr>
              <w:t>Date</w:t>
            </w:r>
          </w:p>
        </w:tc>
        <w:tc>
          <w:tcPr>
            <w:tcW w:w="3561" w:type="dxa"/>
            <w:shd w:val="clear" w:color="auto" w:fill="auto"/>
          </w:tcPr>
          <w:p w14:paraId="5C42797A" w14:textId="77777777" w:rsidR="004676EF" w:rsidRPr="00734AB6" w:rsidRDefault="004676EF" w:rsidP="00EF1F62">
            <w:pPr>
              <w:spacing w:after="0" w:line="360" w:lineRule="auto"/>
              <w:jc w:val="center"/>
              <w:rPr>
                <w:rFonts w:asciiTheme="majorHAnsi" w:eastAsia="Times" w:hAnsiTheme="majorHAnsi" w:cs="Arial"/>
              </w:rPr>
            </w:pPr>
            <w:r w:rsidRPr="00734AB6">
              <w:rPr>
                <w:rFonts w:asciiTheme="majorHAnsi" w:eastAsia="Times" w:hAnsiTheme="majorHAnsi" w:cs="Arial"/>
              </w:rPr>
              <w:t>________</w:t>
            </w:r>
          </w:p>
          <w:p w14:paraId="7D3B20BF" w14:textId="77777777" w:rsidR="004676EF" w:rsidRPr="00734AB6" w:rsidRDefault="004676EF" w:rsidP="0099584D">
            <w:pPr>
              <w:spacing w:after="0" w:line="360" w:lineRule="auto"/>
              <w:jc w:val="center"/>
              <w:rPr>
                <w:rFonts w:asciiTheme="majorHAnsi" w:eastAsia="Times" w:hAnsiTheme="majorHAnsi" w:cs="Arial"/>
              </w:rPr>
            </w:pPr>
            <w:r w:rsidRPr="00734AB6">
              <w:rPr>
                <w:rFonts w:asciiTheme="majorHAnsi" w:eastAsia="Times" w:hAnsiTheme="majorHAnsi" w:cs="Arial"/>
              </w:rPr>
              <w:t xml:space="preserve">Signature </w:t>
            </w:r>
          </w:p>
        </w:tc>
      </w:tr>
    </w:tbl>
    <w:p w14:paraId="011EF339" w14:textId="77777777" w:rsidR="004676EF" w:rsidRPr="00734AB6" w:rsidRDefault="004676EF" w:rsidP="0099584D">
      <w:pPr>
        <w:spacing w:after="0" w:line="360" w:lineRule="auto"/>
        <w:rPr>
          <w:rFonts w:asciiTheme="majorHAnsi" w:eastAsia="Times" w:hAnsiTheme="majorHAnsi" w:cs="Arial"/>
          <w:b/>
        </w:rPr>
      </w:pPr>
      <w:r w:rsidRPr="00734AB6">
        <w:rPr>
          <w:rFonts w:asciiTheme="majorHAnsi" w:eastAsia="Times" w:hAnsiTheme="majorHAnsi" w:cs="Arial"/>
          <w:b/>
        </w:rPr>
        <w:t>Project contact details for further information:</w:t>
      </w:r>
    </w:p>
    <w:p w14:paraId="1B659119" w14:textId="77777777" w:rsidR="004676EF" w:rsidRPr="00734AB6" w:rsidRDefault="004676EF" w:rsidP="0099584D">
      <w:pPr>
        <w:spacing w:after="0" w:line="360" w:lineRule="auto"/>
        <w:rPr>
          <w:rFonts w:asciiTheme="majorHAnsi" w:eastAsia="Times" w:hAnsiTheme="majorHAnsi" w:cs="Arial"/>
        </w:rPr>
      </w:pPr>
      <w:r w:rsidRPr="00734AB6">
        <w:rPr>
          <w:rFonts w:asciiTheme="majorHAnsi" w:eastAsia="Times" w:hAnsiTheme="majorHAnsi" w:cs="Arial"/>
        </w:rPr>
        <w:t>Project Supervisor/ Head of Division name: Dr Nicky Rycroft</w:t>
      </w:r>
    </w:p>
    <w:p w14:paraId="12AAA1E5" w14:textId="77777777" w:rsidR="004676EF" w:rsidRPr="00734AB6" w:rsidRDefault="004676EF" w:rsidP="0099584D">
      <w:pPr>
        <w:spacing w:after="0" w:line="360" w:lineRule="auto"/>
        <w:rPr>
          <w:rFonts w:asciiTheme="majorHAnsi" w:eastAsia="Times" w:hAnsiTheme="majorHAnsi" w:cs="Arial"/>
        </w:rPr>
      </w:pPr>
      <w:r w:rsidRPr="00734AB6">
        <w:rPr>
          <w:rFonts w:asciiTheme="majorHAnsi" w:eastAsia="Times" w:hAnsiTheme="majorHAnsi" w:cs="Arial"/>
        </w:rPr>
        <w:t>Phone:  +44 (0)20 7815 8047</w:t>
      </w:r>
    </w:p>
    <w:p w14:paraId="6EDE6ABA" w14:textId="3E93CAB5" w:rsidR="004676EF" w:rsidRPr="00734AB6" w:rsidRDefault="004676EF" w:rsidP="00E2030F">
      <w:pPr>
        <w:spacing w:after="0" w:line="360" w:lineRule="auto"/>
        <w:rPr>
          <w:rFonts w:asciiTheme="majorHAnsi" w:eastAsia="Times" w:hAnsiTheme="majorHAnsi" w:cs="Arial"/>
        </w:rPr>
      </w:pPr>
      <w:r w:rsidRPr="00734AB6">
        <w:rPr>
          <w:rFonts w:asciiTheme="majorHAnsi" w:eastAsia="Times" w:hAnsiTheme="majorHAnsi" w:cs="Arial"/>
        </w:rPr>
        <w:t xml:space="preserve">Email address: </w:t>
      </w:r>
      <w:hyperlink r:id="rId94" w:history="1">
        <w:r w:rsidR="00D22283" w:rsidRPr="00734AB6">
          <w:rPr>
            <w:rStyle w:val="Hyperlink"/>
            <w:rFonts w:asciiTheme="majorHAnsi" w:eastAsia="Times" w:hAnsiTheme="majorHAnsi" w:cs="Arial"/>
          </w:rPr>
          <w:t>rycroftn@lsbu.ac.uk</w:t>
        </w:r>
      </w:hyperlink>
    </w:p>
    <w:p w14:paraId="00B3EB44" w14:textId="77777777" w:rsidR="00D22283" w:rsidRPr="00734AB6" w:rsidRDefault="00D22283" w:rsidP="00E2030F">
      <w:pPr>
        <w:spacing w:after="0" w:line="360" w:lineRule="auto"/>
        <w:rPr>
          <w:rFonts w:asciiTheme="majorHAnsi" w:hAnsiTheme="majorHAnsi" w:cs="Arial"/>
        </w:rPr>
      </w:pPr>
    </w:p>
    <w:p w14:paraId="1D728BB9" w14:textId="46D45141" w:rsidR="00E2030F" w:rsidRPr="00734AB6" w:rsidRDefault="00E2030F" w:rsidP="00D22283">
      <w:pPr>
        <w:pBdr>
          <w:top w:val="double" w:sz="4" w:space="1" w:color="auto"/>
        </w:pBdr>
        <w:rPr>
          <w:rFonts w:asciiTheme="majorHAnsi" w:eastAsiaTheme="majorEastAsia" w:hAnsiTheme="majorHAnsi" w:cstheme="majorBidi"/>
          <w:b/>
        </w:rPr>
      </w:pPr>
      <w:bookmarkStart w:id="192" w:name="_Toc45200552"/>
    </w:p>
    <w:p w14:paraId="65B14599" w14:textId="65496B7D" w:rsidR="004676EF" w:rsidRPr="00734AB6" w:rsidRDefault="004676EF" w:rsidP="0099584D">
      <w:pPr>
        <w:pStyle w:val="Heading2"/>
        <w:spacing w:line="360" w:lineRule="auto"/>
        <w:rPr>
          <w:b/>
          <w:color w:val="auto"/>
          <w:sz w:val="22"/>
          <w:szCs w:val="22"/>
        </w:rPr>
      </w:pPr>
      <w:bookmarkStart w:id="193" w:name="_Toc48136442"/>
      <w:r w:rsidRPr="00734AB6">
        <w:rPr>
          <w:b/>
          <w:color w:val="auto"/>
          <w:sz w:val="22"/>
          <w:szCs w:val="22"/>
        </w:rPr>
        <w:t>C(x)</w:t>
      </w:r>
      <w:r w:rsidRPr="00734AB6">
        <w:rPr>
          <w:b/>
          <w:color w:val="auto"/>
          <w:sz w:val="22"/>
          <w:szCs w:val="22"/>
        </w:rPr>
        <w:tab/>
        <w:t>Participant debriefing information</w:t>
      </w:r>
      <w:bookmarkEnd w:id="192"/>
      <w:bookmarkEnd w:id="193"/>
    </w:p>
    <w:p w14:paraId="5CC7EB4D" w14:textId="77777777" w:rsidR="004676EF" w:rsidRPr="00734AB6" w:rsidRDefault="004676EF" w:rsidP="0099584D">
      <w:pPr>
        <w:shd w:val="clear" w:color="auto" w:fill="17365D"/>
        <w:tabs>
          <w:tab w:val="left" w:pos="6804"/>
          <w:tab w:val="left" w:pos="8647"/>
        </w:tabs>
        <w:spacing w:line="360" w:lineRule="auto"/>
        <w:rPr>
          <w:rFonts w:asciiTheme="majorHAnsi" w:hAnsiTheme="majorHAnsi" w:cs="Arial"/>
          <w:b/>
          <w:color w:val="FFFFFF" w:themeColor="background1"/>
        </w:rPr>
      </w:pPr>
      <w:r w:rsidRPr="00734AB6">
        <w:rPr>
          <w:rFonts w:asciiTheme="majorHAnsi" w:hAnsiTheme="majorHAnsi" w:cs="Arial"/>
          <w:b/>
          <w:color w:val="FFFFFF" w:themeColor="background1"/>
        </w:rPr>
        <w:t>Debriefing Information</w:t>
      </w:r>
      <w:r w:rsidRPr="00734AB6">
        <w:rPr>
          <w:rFonts w:asciiTheme="majorHAnsi" w:hAnsiTheme="majorHAnsi" w:cs="Arial"/>
          <w:b/>
          <w:color w:val="FFFFFF" w:themeColor="background1"/>
        </w:rPr>
        <w:tab/>
        <w:t>SAS1834</w:t>
      </w:r>
    </w:p>
    <w:p w14:paraId="7C9AD850" w14:textId="77777777" w:rsidR="004676EF" w:rsidRPr="00734AB6" w:rsidRDefault="004676EF" w:rsidP="0099584D">
      <w:pPr>
        <w:tabs>
          <w:tab w:val="left" w:pos="1701"/>
        </w:tabs>
        <w:spacing w:after="0" w:line="360" w:lineRule="auto"/>
        <w:ind w:left="1701" w:hanging="1701"/>
        <w:rPr>
          <w:rFonts w:asciiTheme="majorHAnsi" w:hAnsiTheme="majorHAnsi"/>
          <w:b/>
          <w:u w:val="single"/>
        </w:rPr>
      </w:pPr>
      <w:r w:rsidRPr="00734AB6">
        <w:rPr>
          <w:rFonts w:asciiTheme="majorHAnsi" w:hAnsiTheme="majorHAnsi"/>
          <w:b/>
        </w:rPr>
        <w:t>Title of study:</w:t>
      </w:r>
      <w:r w:rsidRPr="00734AB6">
        <w:rPr>
          <w:rFonts w:asciiTheme="majorHAnsi" w:hAnsiTheme="majorHAnsi"/>
          <w:b/>
        </w:rPr>
        <w:tab/>
      </w:r>
      <w:r w:rsidRPr="00734AB6">
        <w:rPr>
          <w:rFonts w:asciiTheme="majorHAnsi" w:hAnsiTheme="majorHAnsi"/>
          <w:b/>
          <w:u w:val="single"/>
        </w:rPr>
        <w:t xml:space="preserve">The cognitive performance of off-prescription users of modafinil </w:t>
      </w:r>
    </w:p>
    <w:p w14:paraId="5B69721E" w14:textId="77777777" w:rsidR="004676EF" w:rsidRPr="00734AB6" w:rsidRDefault="004676EF" w:rsidP="0099584D">
      <w:pPr>
        <w:tabs>
          <w:tab w:val="left" w:pos="1701"/>
        </w:tabs>
        <w:spacing w:line="360" w:lineRule="auto"/>
        <w:ind w:left="1701"/>
        <w:rPr>
          <w:rFonts w:asciiTheme="majorHAnsi" w:hAnsiTheme="majorHAnsi"/>
          <w:b/>
        </w:rPr>
      </w:pPr>
      <w:r w:rsidRPr="00734AB6">
        <w:rPr>
          <w:rFonts w:asciiTheme="majorHAnsi" w:hAnsiTheme="majorHAnsi"/>
          <w:b/>
          <w:u w:val="single"/>
        </w:rPr>
        <w:t>and methylphenidate</w:t>
      </w:r>
    </w:p>
    <w:p w14:paraId="774BC8E1" w14:textId="77777777" w:rsidR="004676EF" w:rsidRPr="00734AB6" w:rsidRDefault="004676EF" w:rsidP="00E2030F">
      <w:pPr>
        <w:spacing w:line="276" w:lineRule="auto"/>
        <w:rPr>
          <w:rFonts w:asciiTheme="majorHAnsi" w:hAnsiTheme="majorHAnsi"/>
        </w:rPr>
      </w:pPr>
      <w:r w:rsidRPr="00734AB6">
        <w:rPr>
          <w:rFonts w:asciiTheme="majorHAnsi" w:hAnsiTheme="majorHAnsi"/>
        </w:rPr>
        <w:t xml:space="preserve">Thank you for participating in our study.  This study was developed based on the results of a previous study which found that people who report using methylphenidate (trade name Ritalin) off-prescription also reported experiencing poor cognitive performance without the use of methylphenidate.  However, people who reported using modafinil without a prescription did not report experiencing poor cognitive performance without the use of modafinil.  The difference in these self-reports of cognitive performance without the use of these cognitive enhancers may </w:t>
      </w:r>
      <w:r w:rsidRPr="00734AB6">
        <w:rPr>
          <w:rFonts w:asciiTheme="majorHAnsi" w:hAnsiTheme="majorHAnsi"/>
        </w:rPr>
        <w:lastRenderedPageBreak/>
        <w:t>reflect different motivations for using these drugs (to improve poor cognitive performance or to facilitate increased cognitive performance for longer periods of time).</w:t>
      </w:r>
    </w:p>
    <w:p w14:paraId="316653BA" w14:textId="77777777" w:rsidR="004676EF" w:rsidRPr="00734AB6" w:rsidRDefault="004676EF" w:rsidP="00E2030F">
      <w:pPr>
        <w:spacing w:line="276" w:lineRule="auto"/>
        <w:rPr>
          <w:rFonts w:asciiTheme="majorHAnsi" w:hAnsiTheme="majorHAnsi"/>
        </w:rPr>
      </w:pPr>
      <w:r w:rsidRPr="00734AB6">
        <w:rPr>
          <w:rFonts w:asciiTheme="majorHAnsi" w:hAnsiTheme="majorHAnsi"/>
        </w:rPr>
        <w:t>However, these reports of cognitive performance are purely subjective and therefore need to be verified objectively.  The questionnaire that you completed at the beginning of the session is the Behaviour Rating Inventory of Executive Function questionnaire (</w:t>
      </w:r>
      <w:proofErr w:type="spellStart"/>
      <w:r w:rsidRPr="00734AB6">
        <w:rPr>
          <w:rFonts w:asciiTheme="majorHAnsi" w:hAnsiTheme="majorHAnsi"/>
        </w:rPr>
        <w:t>Gioia</w:t>
      </w:r>
      <w:proofErr w:type="spellEnd"/>
      <w:r w:rsidRPr="00734AB6">
        <w:rPr>
          <w:rFonts w:asciiTheme="majorHAnsi" w:hAnsiTheme="majorHAnsi"/>
        </w:rPr>
        <w:t xml:space="preserve">, </w:t>
      </w:r>
      <w:proofErr w:type="spellStart"/>
      <w:r w:rsidRPr="00734AB6">
        <w:rPr>
          <w:rFonts w:asciiTheme="majorHAnsi" w:hAnsiTheme="majorHAnsi"/>
        </w:rPr>
        <w:t>Isquith</w:t>
      </w:r>
      <w:proofErr w:type="spellEnd"/>
      <w:r w:rsidRPr="00734AB6">
        <w:rPr>
          <w:rFonts w:asciiTheme="majorHAnsi" w:hAnsiTheme="majorHAnsi"/>
        </w:rPr>
        <w:t xml:space="preserve">, Guy &amp; Kenworthy, 2000) for adults (BRIEF-A) which assesses cognitive functions such as emotional control, the ability to observe and regulate one's own behaviour in a social context, working memory, planning and organisation.  The computer tasks you completed were the Sustained Attention to Response (SART) task (Robertson, Manley, Andrade, Baddeley &amp; </w:t>
      </w:r>
      <w:proofErr w:type="spellStart"/>
      <w:r w:rsidRPr="00734AB6">
        <w:rPr>
          <w:rFonts w:asciiTheme="majorHAnsi" w:hAnsiTheme="majorHAnsi"/>
        </w:rPr>
        <w:t>Yiend</w:t>
      </w:r>
      <w:proofErr w:type="spellEnd"/>
      <w:r w:rsidRPr="00734AB6">
        <w:rPr>
          <w:rFonts w:asciiTheme="majorHAnsi" w:hAnsiTheme="majorHAnsi"/>
        </w:rPr>
        <w:t>, 1997) which measures working memory performance, sustained attention, and impulse/inhibitory control.  The Arrow Flanker Task (</w:t>
      </w:r>
      <w:proofErr w:type="spellStart"/>
      <w:r w:rsidRPr="00734AB6">
        <w:rPr>
          <w:rFonts w:asciiTheme="majorHAnsi" w:hAnsiTheme="majorHAnsi"/>
        </w:rPr>
        <w:t>Ridderinkhof</w:t>
      </w:r>
      <w:proofErr w:type="spellEnd"/>
      <w:r w:rsidRPr="00734AB6">
        <w:rPr>
          <w:rFonts w:asciiTheme="majorHAnsi" w:hAnsiTheme="majorHAnsi"/>
        </w:rPr>
        <w:t xml:space="preserve">, van der </w:t>
      </w:r>
      <w:proofErr w:type="spellStart"/>
      <w:r w:rsidRPr="00734AB6">
        <w:rPr>
          <w:rFonts w:asciiTheme="majorHAnsi" w:hAnsiTheme="majorHAnsi"/>
        </w:rPr>
        <w:t>Molen</w:t>
      </w:r>
      <w:proofErr w:type="spellEnd"/>
      <w:r w:rsidRPr="00734AB6">
        <w:rPr>
          <w:rFonts w:asciiTheme="majorHAnsi" w:hAnsiTheme="majorHAnsi"/>
        </w:rPr>
        <w:t xml:space="preserve">, Band &amp; </w:t>
      </w:r>
      <w:proofErr w:type="spellStart"/>
      <w:r w:rsidRPr="00734AB6">
        <w:rPr>
          <w:rFonts w:asciiTheme="majorHAnsi" w:hAnsiTheme="majorHAnsi"/>
        </w:rPr>
        <w:t>Bashore</w:t>
      </w:r>
      <w:proofErr w:type="spellEnd"/>
      <w:r w:rsidRPr="00734AB6">
        <w:rPr>
          <w:rFonts w:asciiTheme="majorHAnsi" w:hAnsiTheme="majorHAnsi"/>
        </w:rPr>
        <w:t xml:space="preserve">, 1997) measures the ability to control impulsive behaviour and the ability to focus on a particular object in the environment for a certain period of time.  The task measuring eye movement is called the </w:t>
      </w:r>
      <w:proofErr w:type="spellStart"/>
      <w:r w:rsidRPr="00734AB6">
        <w:rPr>
          <w:rFonts w:asciiTheme="majorHAnsi" w:hAnsiTheme="majorHAnsi"/>
        </w:rPr>
        <w:t>Antisaccade</w:t>
      </w:r>
      <w:proofErr w:type="spellEnd"/>
      <w:r w:rsidRPr="00734AB6">
        <w:rPr>
          <w:rFonts w:asciiTheme="majorHAnsi" w:hAnsiTheme="majorHAnsi"/>
        </w:rPr>
        <w:t xml:space="preserve"> task (Hallett, 1978).  This task measures distraction and processing control of impulsive behaviour.  </w:t>
      </w:r>
    </w:p>
    <w:p w14:paraId="3DA6E74E" w14:textId="77777777" w:rsidR="004676EF" w:rsidRPr="00734AB6" w:rsidRDefault="004676EF" w:rsidP="00E2030F">
      <w:pPr>
        <w:spacing w:line="276" w:lineRule="auto"/>
        <w:rPr>
          <w:rFonts w:asciiTheme="majorHAnsi" w:hAnsiTheme="majorHAnsi"/>
        </w:rPr>
      </w:pPr>
      <w:r w:rsidRPr="00734AB6">
        <w:rPr>
          <w:rFonts w:asciiTheme="majorHAnsi" w:hAnsiTheme="majorHAnsi"/>
        </w:rPr>
        <w:t>Together, these tasks tap the same mental processes as those measured in the previous study.  Data from this study will be analysed and compared to the self-report data from the previous study, allowing for more accurate assessments of whether and to what extent poor cognitive performance is being experienced by individuals who take modafinil and/or methylphenidate off-prescription.  In addition, it is hoped that the data collected will confirm whether there is a split in the cognitive performance of modafinil and methylphenidate users and in turn this will help to understand motivations for the off-prescription use of these drugs.</w:t>
      </w:r>
    </w:p>
    <w:p w14:paraId="470461EB" w14:textId="77777777" w:rsidR="004676EF" w:rsidRPr="00734AB6" w:rsidRDefault="004676EF" w:rsidP="00E2030F">
      <w:pPr>
        <w:spacing w:line="276" w:lineRule="auto"/>
        <w:rPr>
          <w:rFonts w:asciiTheme="majorHAnsi" w:hAnsiTheme="majorHAnsi"/>
        </w:rPr>
      </w:pPr>
      <w:r w:rsidRPr="00734AB6">
        <w:rPr>
          <w:rFonts w:asciiTheme="majorHAnsi" w:hAnsiTheme="majorHAnsi"/>
        </w:rPr>
        <w:t xml:space="preserve">If you have concerns about any aspect of this study please contact the researcher, Rachel Teodorini, at </w:t>
      </w:r>
      <w:hyperlink r:id="rId95" w:history="1">
        <w:r w:rsidRPr="00734AB6">
          <w:rPr>
            <w:rStyle w:val="Hyperlink"/>
            <w:rFonts w:asciiTheme="majorHAnsi" w:hAnsiTheme="majorHAnsi"/>
          </w:rPr>
          <w:t>teodorr2@lsbu.ac.uk</w:t>
        </w:r>
      </w:hyperlink>
      <w:r w:rsidRPr="00734AB6">
        <w:rPr>
          <w:rFonts w:asciiTheme="majorHAnsi" w:hAnsiTheme="majorHAnsi"/>
        </w:rPr>
        <w:t xml:space="preserve">, </w:t>
      </w:r>
      <w:proofErr w:type="spellStart"/>
      <w:r w:rsidRPr="00734AB6">
        <w:rPr>
          <w:rFonts w:asciiTheme="majorHAnsi" w:hAnsiTheme="majorHAnsi"/>
        </w:rPr>
        <w:t>tel</w:t>
      </w:r>
      <w:proofErr w:type="spellEnd"/>
      <w:r w:rsidRPr="00734AB6">
        <w:rPr>
          <w:rFonts w:asciiTheme="majorHAnsi" w:hAnsiTheme="majorHAnsi"/>
        </w:rPr>
        <w:t>: 020 7815 5431.  Following which, if you still have concerns, you may contact the Chair of the School of Applied Science Ethics Panel at sasethics@lsbu.ac.uk.</w:t>
      </w:r>
    </w:p>
    <w:p w14:paraId="0E2D5242" w14:textId="77777777" w:rsidR="004676EF" w:rsidRPr="00734AB6" w:rsidRDefault="004676EF" w:rsidP="00E2030F">
      <w:pPr>
        <w:spacing w:line="276" w:lineRule="auto"/>
        <w:rPr>
          <w:rStyle w:val="Hyperlink"/>
          <w:rFonts w:asciiTheme="majorHAnsi" w:hAnsiTheme="majorHAnsi"/>
        </w:rPr>
      </w:pPr>
      <w:r w:rsidRPr="00734AB6">
        <w:rPr>
          <w:rFonts w:asciiTheme="majorHAnsi" w:hAnsiTheme="majorHAnsi"/>
        </w:rPr>
        <w:t xml:space="preserve">If you would like more information about these drugs please visit the following sites: </w:t>
      </w:r>
      <w:r w:rsidRPr="00734AB6">
        <w:rPr>
          <w:rStyle w:val="Hyperlink"/>
          <w:rFonts w:asciiTheme="majorHAnsi" w:hAnsiTheme="majorHAnsi"/>
        </w:rPr>
        <w:t xml:space="preserve">https://www.release.org.uk </w:t>
      </w:r>
    </w:p>
    <w:p w14:paraId="7BB9784D" w14:textId="77777777" w:rsidR="004676EF" w:rsidRPr="00734AB6" w:rsidRDefault="004676EF" w:rsidP="00E2030F">
      <w:pPr>
        <w:spacing w:line="276" w:lineRule="auto"/>
        <w:rPr>
          <w:rStyle w:val="Hyperlink"/>
          <w:rFonts w:asciiTheme="majorHAnsi" w:hAnsiTheme="majorHAnsi"/>
        </w:rPr>
      </w:pPr>
      <w:r w:rsidRPr="00734AB6">
        <w:rPr>
          <w:rStyle w:val="Hyperlink"/>
          <w:rFonts w:asciiTheme="majorHAnsi" w:hAnsiTheme="majorHAnsi"/>
        </w:rPr>
        <w:t xml:space="preserve">https://www.drugwise.org.uk </w:t>
      </w:r>
    </w:p>
    <w:p w14:paraId="1549295F" w14:textId="77777777" w:rsidR="004676EF" w:rsidRPr="00734AB6" w:rsidRDefault="004676EF" w:rsidP="00E2030F">
      <w:pPr>
        <w:spacing w:line="276" w:lineRule="auto"/>
        <w:rPr>
          <w:rFonts w:asciiTheme="majorHAnsi" w:hAnsiTheme="majorHAnsi"/>
        </w:rPr>
      </w:pPr>
      <w:r w:rsidRPr="00734AB6">
        <w:rPr>
          <w:rFonts w:asciiTheme="majorHAnsi" w:hAnsiTheme="majorHAnsi"/>
        </w:rPr>
        <w:t>Modafinil and methylphenidate are illegal to take without prescription and illegal use is liable to a prison sentence of up to 5 years.  Finally, if you have any concerns about your use of these drugs please refer to your information sheet for further support or consult your GP.</w:t>
      </w:r>
    </w:p>
    <w:p w14:paraId="32C4DDAE" w14:textId="5A3DF9BC" w:rsidR="00E2030F" w:rsidRPr="00734AB6" w:rsidRDefault="00E2030F">
      <w:pPr>
        <w:rPr>
          <w:rFonts w:asciiTheme="majorHAnsi" w:hAnsiTheme="majorHAnsi"/>
        </w:rPr>
      </w:pPr>
    </w:p>
    <w:p w14:paraId="16A29A4F" w14:textId="77777777" w:rsidR="00D22283" w:rsidRPr="00734AB6" w:rsidRDefault="00D22283" w:rsidP="00D22283">
      <w:pPr>
        <w:pBdr>
          <w:top w:val="double" w:sz="4" w:space="1" w:color="auto"/>
        </w:pBdr>
        <w:rPr>
          <w:rFonts w:asciiTheme="majorHAnsi" w:hAnsiTheme="majorHAnsi"/>
        </w:rPr>
      </w:pPr>
    </w:p>
    <w:p w14:paraId="45793095" w14:textId="3AB54ED9" w:rsidR="004676EF" w:rsidRPr="00734AB6" w:rsidRDefault="004676EF" w:rsidP="0099584D">
      <w:pPr>
        <w:pStyle w:val="Heading2"/>
        <w:spacing w:line="360" w:lineRule="auto"/>
        <w:rPr>
          <w:b/>
          <w:color w:val="auto"/>
          <w:sz w:val="22"/>
          <w:szCs w:val="22"/>
        </w:rPr>
      </w:pPr>
      <w:bookmarkStart w:id="194" w:name="_Toc45200553"/>
      <w:bookmarkStart w:id="195" w:name="_Toc48136443"/>
      <w:r w:rsidRPr="00734AB6">
        <w:rPr>
          <w:b/>
          <w:color w:val="auto"/>
          <w:sz w:val="22"/>
          <w:szCs w:val="22"/>
        </w:rPr>
        <w:t>C(xi)</w:t>
      </w:r>
      <w:r w:rsidRPr="00734AB6">
        <w:rPr>
          <w:b/>
          <w:color w:val="auto"/>
          <w:sz w:val="22"/>
          <w:szCs w:val="22"/>
        </w:rPr>
        <w:tab/>
        <w:t>Mental Health</w:t>
      </w:r>
      <w:bookmarkEnd w:id="194"/>
      <w:bookmarkEnd w:id="195"/>
    </w:p>
    <w:p w14:paraId="55498BD6" w14:textId="4194873B"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C.5</w:t>
      </w:r>
      <w:r w:rsidRPr="00734AB6">
        <w:rPr>
          <w:rFonts w:asciiTheme="majorHAnsi" w:hAnsiTheme="majorHAnsi"/>
          <w:b/>
        </w:rPr>
        <w:t>.</w:t>
      </w:r>
      <w:r w:rsidRPr="00734AB6">
        <w:rPr>
          <w:rFonts w:asciiTheme="majorHAnsi" w:hAnsiTheme="majorHAnsi"/>
          <w:b/>
        </w:rPr>
        <w:tab/>
        <w:t>Psychiatric diagnosis</w:t>
      </w:r>
    </w:p>
    <w:tbl>
      <w:tblPr>
        <w:tblW w:w="8505" w:type="dxa"/>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2551"/>
        <w:gridCol w:w="2126"/>
      </w:tblGrid>
      <w:tr w:rsidR="004676EF" w:rsidRPr="00734AB6" w14:paraId="16F18260" w14:textId="77777777" w:rsidTr="00E2030F">
        <w:trPr>
          <w:trHeight w:val="281"/>
        </w:trPr>
        <w:tc>
          <w:tcPr>
            <w:tcW w:w="3828" w:type="dxa"/>
          </w:tcPr>
          <w:p w14:paraId="01866411" w14:textId="77777777" w:rsidR="004676EF" w:rsidRPr="00734AB6" w:rsidRDefault="004676EF" w:rsidP="0099584D">
            <w:pPr>
              <w:tabs>
                <w:tab w:val="left" w:pos="1985"/>
                <w:tab w:val="left" w:pos="5812"/>
              </w:tabs>
              <w:spacing w:line="360" w:lineRule="auto"/>
              <w:rPr>
                <w:rFonts w:asciiTheme="majorHAnsi" w:hAnsiTheme="majorHAnsi"/>
                <w:b/>
              </w:rPr>
            </w:pPr>
          </w:p>
        </w:tc>
        <w:tc>
          <w:tcPr>
            <w:tcW w:w="2551" w:type="dxa"/>
          </w:tcPr>
          <w:p w14:paraId="1BB9930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6" w:type="dxa"/>
          </w:tcPr>
          <w:p w14:paraId="394B406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551E6D8F" w14:textId="77777777" w:rsidTr="00E2030F">
        <w:trPr>
          <w:trHeight w:val="281"/>
        </w:trPr>
        <w:tc>
          <w:tcPr>
            <w:tcW w:w="3828" w:type="dxa"/>
          </w:tcPr>
          <w:p w14:paraId="4A23506D" w14:textId="77777777" w:rsidR="004676EF" w:rsidRPr="00734AB6" w:rsidRDefault="004676EF" w:rsidP="0099584D">
            <w:pPr>
              <w:tabs>
                <w:tab w:val="left" w:pos="1985"/>
                <w:tab w:val="left" w:pos="5812"/>
              </w:tabs>
              <w:spacing w:line="360" w:lineRule="auto"/>
              <w:rPr>
                <w:rFonts w:asciiTheme="majorHAnsi" w:hAnsiTheme="majorHAnsi"/>
                <w:b/>
              </w:rPr>
            </w:pPr>
            <w:r w:rsidRPr="00734AB6">
              <w:rPr>
                <w:rFonts w:asciiTheme="majorHAnsi" w:hAnsiTheme="majorHAnsi"/>
                <w:b/>
              </w:rPr>
              <w:t>Have you been diagnosed with a psychiatric disorder?</w:t>
            </w:r>
          </w:p>
        </w:tc>
        <w:tc>
          <w:tcPr>
            <w:tcW w:w="2551" w:type="dxa"/>
          </w:tcPr>
          <w:p w14:paraId="47D13E3D" w14:textId="77777777" w:rsidR="004676EF" w:rsidRPr="00734AB6" w:rsidRDefault="004676EF" w:rsidP="0099584D">
            <w:pPr>
              <w:spacing w:line="360" w:lineRule="auto"/>
              <w:rPr>
                <w:rFonts w:asciiTheme="majorHAnsi" w:hAnsiTheme="majorHAnsi"/>
                <w:b/>
              </w:rPr>
            </w:pPr>
          </w:p>
        </w:tc>
        <w:tc>
          <w:tcPr>
            <w:tcW w:w="2126" w:type="dxa"/>
          </w:tcPr>
          <w:p w14:paraId="414D7F6E" w14:textId="77777777" w:rsidR="004676EF" w:rsidRPr="00734AB6" w:rsidRDefault="004676EF" w:rsidP="0099584D">
            <w:pPr>
              <w:spacing w:line="360" w:lineRule="auto"/>
              <w:rPr>
                <w:rFonts w:asciiTheme="majorHAnsi" w:hAnsiTheme="majorHAnsi"/>
                <w:b/>
              </w:rPr>
            </w:pPr>
          </w:p>
        </w:tc>
      </w:tr>
      <w:tr w:rsidR="004676EF" w:rsidRPr="00734AB6" w14:paraId="36B137B6" w14:textId="77777777" w:rsidTr="00E2030F">
        <w:trPr>
          <w:trHeight w:val="304"/>
        </w:trPr>
        <w:tc>
          <w:tcPr>
            <w:tcW w:w="3828" w:type="dxa"/>
            <w:tcBorders>
              <w:bottom w:val="nil"/>
            </w:tcBorders>
          </w:tcPr>
          <w:p w14:paraId="0B5DF58C" w14:textId="77777777" w:rsidR="004676EF" w:rsidRPr="00734AB6" w:rsidRDefault="004676EF" w:rsidP="0099584D">
            <w:pPr>
              <w:spacing w:line="360" w:lineRule="auto"/>
              <w:rPr>
                <w:rFonts w:asciiTheme="majorHAnsi" w:hAnsiTheme="majorHAnsi"/>
              </w:rPr>
            </w:pPr>
            <w:r w:rsidRPr="00734AB6">
              <w:rPr>
                <w:rFonts w:asciiTheme="majorHAnsi" w:hAnsiTheme="majorHAnsi"/>
              </w:rPr>
              <w:t>Yes</w:t>
            </w:r>
          </w:p>
        </w:tc>
        <w:tc>
          <w:tcPr>
            <w:tcW w:w="2551" w:type="dxa"/>
            <w:tcBorders>
              <w:bottom w:val="nil"/>
            </w:tcBorders>
          </w:tcPr>
          <w:p w14:paraId="2EA1B33C" w14:textId="77777777" w:rsidR="004676EF" w:rsidRPr="00734AB6" w:rsidRDefault="004676EF" w:rsidP="0099584D">
            <w:pPr>
              <w:spacing w:line="360" w:lineRule="auto"/>
              <w:rPr>
                <w:rFonts w:asciiTheme="majorHAnsi" w:hAnsiTheme="majorHAnsi"/>
              </w:rPr>
            </w:pPr>
            <w:r w:rsidRPr="00734AB6">
              <w:rPr>
                <w:rFonts w:asciiTheme="majorHAnsi" w:hAnsiTheme="majorHAnsi"/>
              </w:rPr>
              <w:t>10 (21.3)</w:t>
            </w:r>
          </w:p>
        </w:tc>
        <w:tc>
          <w:tcPr>
            <w:tcW w:w="2126" w:type="dxa"/>
            <w:tcBorders>
              <w:bottom w:val="nil"/>
            </w:tcBorders>
          </w:tcPr>
          <w:p w14:paraId="0C65C131" w14:textId="77777777" w:rsidR="004676EF" w:rsidRPr="00734AB6" w:rsidRDefault="004676EF" w:rsidP="0099584D">
            <w:pPr>
              <w:spacing w:line="360" w:lineRule="auto"/>
              <w:rPr>
                <w:rFonts w:asciiTheme="majorHAnsi" w:hAnsiTheme="majorHAnsi"/>
              </w:rPr>
            </w:pPr>
            <w:r w:rsidRPr="00734AB6">
              <w:rPr>
                <w:rFonts w:asciiTheme="majorHAnsi" w:hAnsiTheme="majorHAnsi"/>
              </w:rPr>
              <w:t>4 (9.3)</w:t>
            </w:r>
          </w:p>
        </w:tc>
      </w:tr>
      <w:tr w:rsidR="004676EF" w:rsidRPr="00734AB6" w14:paraId="37F80FAD" w14:textId="77777777" w:rsidTr="00E2030F">
        <w:tc>
          <w:tcPr>
            <w:tcW w:w="3828" w:type="dxa"/>
            <w:tcBorders>
              <w:top w:val="nil"/>
              <w:bottom w:val="single" w:sz="4" w:space="0" w:color="auto"/>
            </w:tcBorders>
          </w:tcPr>
          <w:p w14:paraId="47B322D3" w14:textId="77777777" w:rsidR="004676EF" w:rsidRPr="00734AB6" w:rsidRDefault="004676EF" w:rsidP="0099584D">
            <w:pPr>
              <w:spacing w:line="360" w:lineRule="auto"/>
              <w:rPr>
                <w:rFonts w:asciiTheme="majorHAnsi" w:hAnsiTheme="majorHAnsi"/>
              </w:rPr>
            </w:pPr>
            <w:r w:rsidRPr="00734AB6">
              <w:rPr>
                <w:rFonts w:asciiTheme="majorHAnsi" w:hAnsiTheme="majorHAnsi"/>
              </w:rPr>
              <w:lastRenderedPageBreak/>
              <w:t>No</w:t>
            </w:r>
          </w:p>
        </w:tc>
        <w:tc>
          <w:tcPr>
            <w:tcW w:w="2551" w:type="dxa"/>
            <w:tcBorders>
              <w:top w:val="nil"/>
              <w:bottom w:val="single" w:sz="4" w:space="0" w:color="auto"/>
            </w:tcBorders>
          </w:tcPr>
          <w:p w14:paraId="3E4BCD19" w14:textId="77777777" w:rsidR="004676EF" w:rsidRPr="00734AB6" w:rsidRDefault="004676EF" w:rsidP="0099584D">
            <w:pPr>
              <w:spacing w:line="360" w:lineRule="auto"/>
              <w:rPr>
                <w:rFonts w:asciiTheme="majorHAnsi" w:hAnsiTheme="majorHAnsi"/>
              </w:rPr>
            </w:pPr>
            <w:r w:rsidRPr="00734AB6">
              <w:rPr>
                <w:rFonts w:asciiTheme="majorHAnsi" w:hAnsiTheme="majorHAnsi"/>
              </w:rPr>
              <w:t>37 (78.7)</w:t>
            </w:r>
          </w:p>
        </w:tc>
        <w:tc>
          <w:tcPr>
            <w:tcW w:w="2126" w:type="dxa"/>
            <w:tcBorders>
              <w:top w:val="nil"/>
              <w:bottom w:val="single" w:sz="4" w:space="0" w:color="auto"/>
            </w:tcBorders>
          </w:tcPr>
          <w:p w14:paraId="7D0806C1" w14:textId="77777777" w:rsidR="004676EF" w:rsidRPr="00734AB6" w:rsidRDefault="004676EF" w:rsidP="0099584D">
            <w:pPr>
              <w:spacing w:line="360" w:lineRule="auto"/>
              <w:rPr>
                <w:rFonts w:asciiTheme="majorHAnsi" w:hAnsiTheme="majorHAnsi"/>
              </w:rPr>
            </w:pPr>
            <w:r w:rsidRPr="00734AB6">
              <w:rPr>
                <w:rFonts w:asciiTheme="majorHAnsi" w:hAnsiTheme="majorHAnsi"/>
              </w:rPr>
              <w:t>39 (90.7)</w:t>
            </w:r>
          </w:p>
        </w:tc>
      </w:tr>
      <w:tr w:rsidR="004676EF" w:rsidRPr="00734AB6" w14:paraId="052D3BB6" w14:textId="77777777" w:rsidTr="00E2030F">
        <w:tc>
          <w:tcPr>
            <w:tcW w:w="3828" w:type="dxa"/>
            <w:tcBorders>
              <w:top w:val="single" w:sz="4" w:space="0" w:color="auto"/>
              <w:bottom w:val="nil"/>
            </w:tcBorders>
          </w:tcPr>
          <w:p w14:paraId="427E398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What was the diagnosis?</w:t>
            </w:r>
          </w:p>
        </w:tc>
        <w:tc>
          <w:tcPr>
            <w:tcW w:w="2551" w:type="dxa"/>
            <w:tcBorders>
              <w:top w:val="single" w:sz="4" w:space="0" w:color="auto"/>
              <w:bottom w:val="nil"/>
            </w:tcBorders>
          </w:tcPr>
          <w:p w14:paraId="7F7226DD" w14:textId="77777777" w:rsidR="004676EF" w:rsidRPr="00734AB6" w:rsidRDefault="004676EF" w:rsidP="0099584D">
            <w:pPr>
              <w:spacing w:line="360" w:lineRule="auto"/>
              <w:rPr>
                <w:rFonts w:asciiTheme="majorHAnsi" w:hAnsiTheme="majorHAnsi"/>
              </w:rPr>
            </w:pPr>
          </w:p>
        </w:tc>
        <w:tc>
          <w:tcPr>
            <w:tcW w:w="2126" w:type="dxa"/>
            <w:tcBorders>
              <w:top w:val="single" w:sz="4" w:space="0" w:color="auto"/>
              <w:bottom w:val="nil"/>
            </w:tcBorders>
          </w:tcPr>
          <w:p w14:paraId="5949F447" w14:textId="77777777" w:rsidR="004676EF" w:rsidRPr="00734AB6" w:rsidRDefault="004676EF" w:rsidP="0099584D">
            <w:pPr>
              <w:spacing w:line="360" w:lineRule="auto"/>
              <w:rPr>
                <w:rFonts w:asciiTheme="majorHAnsi" w:hAnsiTheme="majorHAnsi"/>
              </w:rPr>
            </w:pPr>
          </w:p>
        </w:tc>
      </w:tr>
      <w:tr w:rsidR="004676EF" w:rsidRPr="00734AB6" w14:paraId="3A99B65E" w14:textId="77777777" w:rsidTr="00E2030F">
        <w:tc>
          <w:tcPr>
            <w:tcW w:w="3828" w:type="dxa"/>
            <w:tcBorders>
              <w:top w:val="nil"/>
              <w:bottom w:val="nil"/>
            </w:tcBorders>
          </w:tcPr>
          <w:p w14:paraId="33586885" w14:textId="77777777" w:rsidR="004676EF" w:rsidRPr="00734AB6" w:rsidRDefault="004676EF" w:rsidP="0099584D">
            <w:pPr>
              <w:spacing w:line="360" w:lineRule="auto"/>
              <w:rPr>
                <w:rFonts w:asciiTheme="majorHAnsi" w:hAnsiTheme="majorHAnsi"/>
              </w:rPr>
            </w:pPr>
            <w:r w:rsidRPr="00734AB6">
              <w:rPr>
                <w:rFonts w:asciiTheme="majorHAnsi" w:hAnsiTheme="majorHAnsi"/>
              </w:rPr>
              <w:t>Depression</w:t>
            </w:r>
          </w:p>
        </w:tc>
        <w:tc>
          <w:tcPr>
            <w:tcW w:w="2551" w:type="dxa"/>
            <w:tcBorders>
              <w:top w:val="nil"/>
              <w:bottom w:val="nil"/>
            </w:tcBorders>
          </w:tcPr>
          <w:p w14:paraId="61AE8105" w14:textId="77777777" w:rsidR="004676EF" w:rsidRPr="00734AB6" w:rsidRDefault="004676EF" w:rsidP="0099584D">
            <w:pPr>
              <w:spacing w:line="360" w:lineRule="auto"/>
              <w:rPr>
                <w:rFonts w:asciiTheme="majorHAnsi" w:hAnsiTheme="majorHAnsi"/>
              </w:rPr>
            </w:pPr>
            <w:r w:rsidRPr="00734AB6">
              <w:rPr>
                <w:rFonts w:asciiTheme="majorHAnsi" w:hAnsiTheme="majorHAnsi"/>
              </w:rPr>
              <w:t>6 (54.5)</w:t>
            </w:r>
          </w:p>
        </w:tc>
        <w:tc>
          <w:tcPr>
            <w:tcW w:w="2126" w:type="dxa"/>
            <w:tcBorders>
              <w:top w:val="nil"/>
              <w:bottom w:val="nil"/>
            </w:tcBorders>
          </w:tcPr>
          <w:p w14:paraId="7E987A53"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34B44D28" w14:textId="77777777" w:rsidTr="00E2030F">
        <w:tc>
          <w:tcPr>
            <w:tcW w:w="3828" w:type="dxa"/>
            <w:tcBorders>
              <w:top w:val="nil"/>
              <w:bottom w:val="nil"/>
            </w:tcBorders>
          </w:tcPr>
          <w:p w14:paraId="35F60380" w14:textId="77777777" w:rsidR="004676EF" w:rsidRPr="00734AB6" w:rsidRDefault="004676EF" w:rsidP="0099584D">
            <w:pPr>
              <w:spacing w:line="360" w:lineRule="auto"/>
              <w:rPr>
                <w:rFonts w:asciiTheme="majorHAnsi" w:hAnsiTheme="majorHAnsi"/>
              </w:rPr>
            </w:pPr>
            <w:r w:rsidRPr="00734AB6">
              <w:rPr>
                <w:rFonts w:asciiTheme="majorHAnsi" w:hAnsiTheme="majorHAnsi"/>
              </w:rPr>
              <w:t>Anxiety</w:t>
            </w:r>
          </w:p>
        </w:tc>
        <w:tc>
          <w:tcPr>
            <w:tcW w:w="2551" w:type="dxa"/>
            <w:tcBorders>
              <w:top w:val="nil"/>
              <w:bottom w:val="nil"/>
            </w:tcBorders>
          </w:tcPr>
          <w:p w14:paraId="39F106B0" w14:textId="77777777" w:rsidR="004676EF" w:rsidRPr="00734AB6" w:rsidRDefault="004676EF" w:rsidP="0099584D">
            <w:pPr>
              <w:spacing w:line="360" w:lineRule="auto"/>
              <w:rPr>
                <w:rFonts w:asciiTheme="majorHAnsi" w:hAnsiTheme="majorHAnsi"/>
              </w:rPr>
            </w:pPr>
            <w:r w:rsidRPr="00734AB6">
              <w:rPr>
                <w:rFonts w:asciiTheme="majorHAnsi" w:hAnsiTheme="majorHAnsi"/>
              </w:rPr>
              <w:t>1  (9.1)</w:t>
            </w:r>
          </w:p>
        </w:tc>
        <w:tc>
          <w:tcPr>
            <w:tcW w:w="2126" w:type="dxa"/>
            <w:tcBorders>
              <w:top w:val="nil"/>
              <w:bottom w:val="nil"/>
            </w:tcBorders>
          </w:tcPr>
          <w:p w14:paraId="6E9A68D3"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2C5DD4ED" w14:textId="77777777" w:rsidTr="00E2030F">
        <w:tc>
          <w:tcPr>
            <w:tcW w:w="3828" w:type="dxa"/>
            <w:tcBorders>
              <w:top w:val="nil"/>
              <w:bottom w:val="nil"/>
            </w:tcBorders>
          </w:tcPr>
          <w:p w14:paraId="0400BD98" w14:textId="77777777" w:rsidR="004676EF" w:rsidRPr="00734AB6" w:rsidRDefault="004676EF" w:rsidP="0099584D">
            <w:pPr>
              <w:spacing w:line="360" w:lineRule="auto"/>
              <w:rPr>
                <w:rFonts w:asciiTheme="majorHAnsi" w:hAnsiTheme="majorHAnsi"/>
              </w:rPr>
            </w:pPr>
            <w:r w:rsidRPr="00734AB6">
              <w:rPr>
                <w:rFonts w:asciiTheme="majorHAnsi" w:hAnsiTheme="majorHAnsi"/>
              </w:rPr>
              <w:t>Depression and Anxiety</w:t>
            </w:r>
          </w:p>
        </w:tc>
        <w:tc>
          <w:tcPr>
            <w:tcW w:w="2551" w:type="dxa"/>
            <w:tcBorders>
              <w:top w:val="nil"/>
              <w:bottom w:val="nil"/>
            </w:tcBorders>
          </w:tcPr>
          <w:p w14:paraId="2B761D54" w14:textId="77777777" w:rsidR="004676EF" w:rsidRPr="00734AB6" w:rsidRDefault="004676EF" w:rsidP="0099584D">
            <w:pPr>
              <w:spacing w:line="360" w:lineRule="auto"/>
              <w:rPr>
                <w:rFonts w:asciiTheme="majorHAnsi" w:hAnsiTheme="majorHAnsi"/>
              </w:rPr>
            </w:pPr>
            <w:r w:rsidRPr="00734AB6">
              <w:rPr>
                <w:rFonts w:asciiTheme="majorHAnsi" w:hAnsiTheme="majorHAnsi"/>
              </w:rPr>
              <w:t>2  (18.2)</w:t>
            </w:r>
          </w:p>
        </w:tc>
        <w:tc>
          <w:tcPr>
            <w:tcW w:w="2126" w:type="dxa"/>
            <w:tcBorders>
              <w:top w:val="nil"/>
              <w:bottom w:val="nil"/>
            </w:tcBorders>
          </w:tcPr>
          <w:p w14:paraId="6D4FE053" w14:textId="77777777" w:rsidR="004676EF" w:rsidRPr="00734AB6" w:rsidRDefault="004676EF" w:rsidP="0099584D">
            <w:pPr>
              <w:spacing w:line="360" w:lineRule="auto"/>
              <w:rPr>
                <w:rFonts w:asciiTheme="majorHAnsi" w:hAnsiTheme="majorHAnsi"/>
              </w:rPr>
            </w:pPr>
            <w:r w:rsidRPr="00734AB6">
              <w:rPr>
                <w:rFonts w:asciiTheme="majorHAnsi" w:hAnsiTheme="majorHAnsi"/>
              </w:rPr>
              <w:t>2 (4.7)</w:t>
            </w:r>
          </w:p>
        </w:tc>
      </w:tr>
      <w:tr w:rsidR="004676EF" w:rsidRPr="00734AB6" w14:paraId="6CF35792" w14:textId="77777777" w:rsidTr="00E2030F">
        <w:tc>
          <w:tcPr>
            <w:tcW w:w="3828" w:type="dxa"/>
            <w:tcBorders>
              <w:top w:val="nil"/>
            </w:tcBorders>
          </w:tcPr>
          <w:p w14:paraId="26BE5CD8" w14:textId="77777777" w:rsidR="004676EF" w:rsidRPr="00734AB6" w:rsidRDefault="004676EF" w:rsidP="0099584D">
            <w:pPr>
              <w:spacing w:line="360" w:lineRule="auto"/>
              <w:rPr>
                <w:rFonts w:asciiTheme="majorHAnsi" w:hAnsiTheme="majorHAnsi"/>
              </w:rPr>
            </w:pPr>
            <w:r w:rsidRPr="00734AB6">
              <w:rPr>
                <w:rFonts w:asciiTheme="majorHAnsi" w:hAnsiTheme="majorHAnsi"/>
              </w:rPr>
              <w:t>Complex PTSD</w:t>
            </w:r>
          </w:p>
        </w:tc>
        <w:tc>
          <w:tcPr>
            <w:tcW w:w="2551" w:type="dxa"/>
            <w:tcBorders>
              <w:top w:val="nil"/>
            </w:tcBorders>
          </w:tcPr>
          <w:p w14:paraId="6FFC8EA7" w14:textId="77777777" w:rsidR="004676EF" w:rsidRPr="00734AB6" w:rsidRDefault="004676EF" w:rsidP="0099584D">
            <w:pPr>
              <w:spacing w:line="360" w:lineRule="auto"/>
              <w:rPr>
                <w:rFonts w:asciiTheme="majorHAnsi" w:hAnsiTheme="majorHAnsi"/>
              </w:rPr>
            </w:pPr>
            <w:r w:rsidRPr="00734AB6">
              <w:rPr>
                <w:rFonts w:asciiTheme="majorHAnsi" w:hAnsiTheme="majorHAnsi"/>
              </w:rPr>
              <w:t>1  (9.1)</w:t>
            </w:r>
          </w:p>
        </w:tc>
        <w:tc>
          <w:tcPr>
            <w:tcW w:w="2126" w:type="dxa"/>
            <w:tcBorders>
              <w:top w:val="nil"/>
            </w:tcBorders>
          </w:tcPr>
          <w:p w14:paraId="46F981BF" w14:textId="77777777" w:rsidR="004676EF" w:rsidRPr="00734AB6" w:rsidRDefault="004676EF" w:rsidP="0099584D">
            <w:pPr>
              <w:spacing w:line="360" w:lineRule="auto"/>
              <w:rPr>
                <w:rFonts w:asciiTheme="majorHAnsi" w:hAnsiTheme="majorHAnsi"/>
              </w:rPr>
            </w:pPr>
          </w:p>
        </w:tc>
      </w:tr>
    </w:tbl>
    <w:p w14:paraId="4E737E6A"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3FC58472" w14:textId="77777777" w:rsidR="004676EF" w:rsidRPr="00734AB6" w:rsidRDefault="004676EF" w:rsidP="0099584D">
      <w:pPr>
        <w:spacing w:line="360" w:lineRule="auto"/>
        <w:rPr>
          <w:rFonts w:asciiTheme="majorHAnsi" w:hAnsiTheme="majorHAnsi"/>
        </w:rPr>
      </w:pPr>
    </w:p>
    <w:p w14:paraId="50D924DF" w14:textId="77777777" w:rsidR="00D22283" w:rsidRPr="00734AB6" w:rsidRDefault="00D22283" w:rsidP="0099584D">
      <w:pPr>
        <w:spacing w:line="360" w:lineRule="auto"/>
        <w:rPr>
          <w:rFonts w:asciiTheme="majorHAnsi" w:hAnsiTheme="majorHAnsi"/>
        </w:rPr>
      </w:pPr>
    </w:p>
    <w:p w14:paraId="47F10F32" w14:textId="77777777" w:rsidR="00D22283" w:rsidRPr="00734AB6" w:rsidRDefault="00D22283" w:rsidP="0099584D">
      <w:pPr>
        <w:spacing w:line="360" w:lineRule="auto"/>
        <w:rPr>
          <w:rFonts w:asciiTheme="majorHAnsi" w:hAnsiTheme="majorHAnsi"/>
        </w:rPr>
      </w:pPr>
    </w:p>
    <w:p w14:paraId="05E0CB88" w14:textId="77777777" w:rsidR="00D22283" w:rsidRPr="00734AB6" w:rsidRDefault="00D22283" w:rsidP="0099584D">
      <w:pPr>
        <w:spacing w:line="360" w:lineRule="auto"/>
        <w:rPr>
          <w:rFonts w:asciiTheme="majorHAnsi" w:hAnsiTheme="majorHAnsi"/>
        </w:rPr>
      </w:pPr>
    </w:p>
    <w:p w14:paraId="0883F20A" w14:textId="77068996" w:rsidR="00E2030F" w:rsidRPr="00734AB6" w:rsidRDefault="00E2030F" w:rsidP="00D22283">
      <w:pPr>
        <w:pBdr>
          <w:top w:val="double" w:sz="4" w:space="1" w:color="auto"/>
        </w:pBdr>
        <w:rPr>
          <w:rFonts w:asciiTheme="majorHAnsi" w:eastAsiaTheme="majorEastAsia" w:hAnsiTheme="majorHAnsi" w:cstheme="majorBidi"/>
          <w:b/>
        </w:rPr>
      </w:pPr>
      <w:bookmarkStart w:id="196" w:name="_Toc45200554"/>
    </w:p>
    <w:p w14:paraId="67DF92E4" w14:textId="77777777" w:rsidR="00D22283" w:rsidRPr="00734AB6" w:rsidRDefault="00D22283">
      <w:pPr>
        <w:rPr>
          <w:rFonts w:asciiTheme="majorHAnsi" w:eastAsiaTheme="majorEastAsia" w:hAnsiTheme="majorHAnsi" w:cstheme="majorBidi"/>
          <w:b/>
        </w:rPr>
      </w:pPr>
      <w:r w:rsidRPr="00734AB6">
        <w:rPr>
          <w:b/>
        </w:rPr>
        <w:br w:type="page"/>
      </w:r>
    </w:p>
    <w:p w14:paraId="1776DE63" w14:textId="5838E22D" w:rsidR="004676EF" w:rsidRPr="00734AB6" w:rsidRDefault="004676EF" w:rsidP="0099584D">
      <w:pPr>
        <w:pStyle w:val="Heading2"/>
        <w:spacing w:line="360" w:lineRule="auto"/>
        <w:rPr>
          <w:b/>
          <w:color w:val="auto"/>
          <w:sz w:val="22"/>
          <w:szCs w:val="22"/>
        </w:rPr>
      </w:pPr>
      <w:bookmarkStart w:id="197" w:name="_Toc48136444"/>
      <w:r w:rsidRPr="00734AB6">
        <w:rPr>
          <w:b/>
          <w:color w:val="auto"/>
          <w:sz w:val="22"/>
          <w:szCs w:val="22"/>
        </w:rPr>
        <w:lastRenderedPageBreak/>
        <w:t>C(xii)</w:t>
      </w:r>
      <w:r w:rsidRPr="00734AB6">
        <w:rPr>
          <w:b/>
          <w:color w:val="auto"/>
          <w:sz w:val="22"/>
          <w:szCs w:val="22"/>
        </w:rPr>
        <w:tab/>
        <w:t>Cannabis</w:t>
      </w:r>
      <w:bookmarkEnd w:id="196"/>
      <w:bookmarkEnd w:id="197"/>
    </w:p>
    <w:p w14:paraId="463E2EB1" w14:textId="0994732F"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C.6</w:t>
      </w:r>
      <w:r w:rsidRPr="00734AB6">
        <w:rPr>
          <w:rFonts w:asciiTheme="majorHAnsi" w:hAnsiTheme="majorHAnsi"/>
          <w:b/>
        </w:rPr>
        <w:t>.</w:t>
      </w:r>
      <w:r w:rsidRPr="00734AB6">
        <w:rPr>
          <w:rFonts w:asciiTheme="majorHAnsi" w:hAnsiTheme="majorHAnsi"/>
          <w:b/>
        </w:rPr>
        <w:tab/>
        <w:t>Reported Cannabis use</w:t>
      </w:r>
    </w:p>
    <w:tbl>
      <w:tblPr>
        <w:tblW w:w="8505" w:type="dxa"/>
        <w:tblBorders>
          <w:top w:val="single" w:sz="4" w:space="0" w:color="auto"/>
          <w:bottom w:val="single" w:sz="4" w:space="0" w:color="auto"/>
          <w:insideH w:val="single" w:sz="4" w:space="0" w:color="auto"/>
        </w:tblBorders>
        <w:tblLook w:val="04A0" w:firstRow="1" w:lastRow="0" w:firstColumn="1" w:lastColumn="0" w:noHBand="0" w:noVBand="1"/>
      </w:tblPr>
      <w:tblGrid>
        <w:gridCol w:w="3544"/>
        <w:gridCol w:w="2693"/>
        <w:gridCol w:w="2268"/>
      </w:tblGrid>
      <w:tr w:rsidR="004676EF" w:rsidRPr="00734AB6" w14:paraId="7A871742" w14:textId="77777777" w:rsidTr="00E2030F">
        <w:trPr>
          <w:trHeight w:val="281"/>
        </w:trPr>
        <w:tc>
          <w:tcPr>
            <w:tcW w:w="3544" w:type="dxa"/>
          </w:tcPr>
          <w:p w14:paraId="5A921504" w14:textId="77777777" w:rsidR="004676EF" w:rsidRPr="00734AB6" w:rsidRDefault="004676EF" w:rsidP="0099584D">
            <w:pPr>
              <w:tabs>
                <w:tab w:val="left" w:pos="1985"/>
                <w:tab w:val="left" w:pos="5812"/>
              </w:tabs>
              <w:spacing w:line="360" w:lineRule="auto"/>
              <w:rPr>
                <w:rFonts w:asciiTheme="majorHAnsi" w:hAnsiTheme="majorHAnsi"/>
                <w:b/>
              </w:rPr>
            </w:pPr>
          </w:p>
        </w:tc>
        <w:tc>
          <w:tcPr>
            <w:tcW w:w="2693" w:type="dxa"/>
          </w:tcPr>
          <w:p w14:paraId="313D16B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268" w:type="dxa"/>
          </w:tcPr>
          <w:p w14:paraId="0F9C4EC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4CD5F8A9" w14:textId="77777777" w:rsidTr="00E2030F">
        <w:trPr>
          <w:trHeight w:val="281"/>
        </w:trPr>
        <w:tc>
          <w:tcPr>
            <w:tcW w:w="3544" w:type="dxa"/>
          </w:tcPr>
          <w:p w14:paraId="2B943F8E" w14:textId="77777777" w:rsidR="004676EF" w:rsidRPr="00734AB6" w:rsidRDefault="004676EF" w:rsidP="0099584D">
            <w:pPr>
              <w:tabs>
                <w:tab w:val="left" w:pos="1985"/>
                <w:tab w:val="left" w:pos="5812"/>
              </w:tabs>
              <w:spacing w:line="360" w:lineRule="auto"/>
              <w:rPr>
                <w:rFonts w:asciiTheme="majorHAnsi" w:hAnsiTheme="majorHAnsi"/>
                <w:b/>
              </w:rPr>
            </w:pPr>
            <w:r w:rsidRPr="00734AB6">
              <w:rPr>
                <w:rFonts w:asciiTheme="majorHAnsi" w:hAnsiTheme="majorHAnsi"/>
                <w:b/>
              </w:rPr>
              <w:t>Have you ever taken cannabis?</w:t>
            </w:r>
          </w:p>
        </w:tc>
        <w:tc>
          <w:tcPr>
            <w:tcW w:w="2693" w:type="dxa"/>
          </w:tcPr>
          <w:p w14:paraId="7156F8BC" w14:textId="77777777" w:rsidR="004676EF" w:rsidRPr="00734AB6" w:rsidRDefault="004676EF" w:rsidP="0099584D">
            <w:pPr>
              <w:spacing w:line="360" w:lineRule="auto"/>
              <w:rPr>
                <w:rFonts w:asciiTheme="majorHAnsi" w:hAnsiTheme="majorHAnsi"/>
                <w:b/>
              </w:rPr>
            </w:pPr>
          </w:p>
        </w:tc>
        <w:tc>
          <w:tcPr>
            <w:tcW w:w="2268" w:type="dxa"/>
          </w:tcPr>
          <w:p w14:paraId="30912F72" w14:textId="77777777" w:rsidR="004676EF" w:rsidRPr="00734AB6" w:rsidRDefault="004676EF" w:rsidP="0099584D">
            <w:pPr>
              <w:spacing w:line="360" w:lineRule="auto"/>
              <w:rPr>
                <w:rFonts w:asciiTheme="majorHAnsi" w:hAnsiTheme="majorHAnsi"/>
                <w:b/>
              </w:rPr>
            </w:pPr>
          </w:p>
        </w:tc>
      </w:tr>
      <w:tr w:rsidR="004676EF" w:rsidRPr="00734AB6" w14:paraId="26289D89" w14:textId="77777777" w:rsidTr="00E2030F">
        <w:trPr>
          <w:trHeight w:val="304"/>
        </w:trPr>
        <w:tc>
          <w:tcPr>
            <w:tcW w:w="3544" w:type="dxa"/>
            <w:tcBorders>
              <w:bottom w:val="nil"/>
            </w:tcBorders>
          </w:tcPr>
          <w:p w14:paraId="47B159D7" w14:textId="77777777" w:rsidR="004676EF" w:rsidRPr="00734AB6" w:rsidRDefault="004676EF" w:rsidP="0099584D">
            <w:pPr>
              <w:spacing w:line="360" w:lineRule="auto"/>
              <w:rPr>
                <w:rFonts w:asciiTheme="majorHAnsi" w:hAnsiTheme="majorHAnsi"/>
              </w:rPr>
            </w:pPr>
            <w:r w:rsidRPr="00734AB6">
              <w:rPr>
                <w:rFonts w:asciiTheme="majorHAnsi" w:hAnsiTheme="majorHAnsi"/>
              </w:rPr>
              <w:t>Yes</w:t>
            </w:r>
          </w:p>
        </w:tc>
        <w:tc>
          <w:tcPr>
            <w:tcW w:w="2693" w:type="dxa"/>
            <w:tcBorders>
              <w:bottom w:val="nil"/>
            </w:tcBorders>
          </w:tcPr>
          <w:p w14:paraId="79D05CE7" w14:textId="77777777" w:rsidR="004676EF" w:rsidRPr="00734AB6" w:rsidRDefault="004676EF" w:rsidP="0099584D">
            <w:pPr>
              <w:spacing w:line="360" w:lineRule="auto"/>
              <w:rPr>
                <w:rFonts w:asciiTheme="majorHAnsi" w:hAnsiTheme="majorHAnsi"/>
              </w:rPr>
            </w:pPr>
            <w:r w:rsidRPr="00734AB6">
              <w:rPr>
                <w:rFonts w:asciiTheme="majorHAnsi" w:hAnsiTheme="majorHAnsi"/>
              </w:rPr>
              <w:t>41 (87.2)</w:t>
            </w:r>
          </w:p>
        </w:tc>
        <w:tc>
          <w:tcPr>
            <w:tcW w:w="2268" w:type="dxa"/>
            <w:tcBorders>
              <w:bottom w:val="nil"/>
            </w:tcBorders>
          </w:tcPr>
          <w:p w14:paraId="4988F4EA" w14:textId="77777777" w:rsidR="004676EF" w:rsidRPr="00734AB6" w:rsidRDefault="004676EF" w:rsidP="0099584D">
            <w:pPr>
              <w:spacing w:line="360" w:lineRule="auto"/>
              <w:rPr>
                <w:rFonts w:asciiTheme="majorHAnsi" w:hAnsiTheme="majorHAnsi"/>
              </w:rPr>
            </w:pPr>
            <w:r w:rsidRPr="00734AB6">
              <w:rPr>
                <w:rFonts w:asciiTheme="majorHAnsi" w:hAnsiTheme="majorHAnsi"/>
              </w:rPr>
              <w:t>17 (39.5)</w:t>
            </w:r>
          </w:p>
        </w:tc>
      </w:tr>
      <w:tr w:rsidR="004676EF" w:rsidRPr="00734AB6" w14:paraId="4BB20120" w14:textId="77777777" w:rsidTr="00E2030F">
        <w:tc>
          <w:tcPr>
            <w:tcW w:w="3544" w:type="dxa"/>
            <w:tcBorders>
              <w:top w:val="nil"/>
              <w:bottom w:val="single" w:sz="4" w:space="0" w:color="auto"/>
            </w:tcBorders>
          </w:tcPr>
          <w:p w14:paraId="7F305327" w14:textId="77777777" w:rsidR="004676EF" w:rsidRPr="00734AB6" w:rsidRDefault="004676EF" w:rsidP="0099584D">
            <w:pPr>
              <w:spacing w:line="360" w:lineRule="auto"/>
              <w:rPr>
                <w:rFonts w:asciiTheme="majorHAnsi" w:hAnsiTheme="majorHAnsi"/>
              </w:rPr>
            </w:pPr>
            <w:r w:rsidRPr="00734AB6">
              <w:rPr>
                <w:rFonts w:asciiTheme="majorHAnsi" w:hAnsiTheme="majorHAnsi"/>
              </w:rPr>
              <w:t>No</w:t>
            </w:r>
          </w:p>
        </w:tc>
        <w:tc>
          <w:tcPr>
            <w:tcW w:w="2693" w:type="dxa"/>
            <w:tcBorders>
              <w:top w:val="nil"/>
              <w:bottom w:val="single" w:sz="4" w:space="0" w:color="auto"/>
            </w:tcBorders>
          </w:tcPr>
          <w:p w14:paraId="7BF2FCD2" w14:textId="77777777" w:rsidR="004676EF" w:rsidRPr="00734AB6" w:rsidRDefault="004676EF" w:rsidP="0099584D">
            <w:pPr>
              <w:spacing w:line="360" w:lineRule="auto"/>
              <w:rPr>
                <w:rFonts w:asciiTheme="majorHAnsi" w:hAnsiTheme="majorHAnsi"/>
              </w:rPr>
            </w:pPr>
            <w:r w:rsidRPr="00734AB6">
              <w:rPr>
                <w:rFonts w:asciiTheme="majorHAnsi" w:hAnsiTheme="majorHAnsi"/>
              </w:rPr>
              <w:t>6   (12.8)</w:t>
            </w:r>
          </w:p>
        </w:tc>
        <w:tc>
          <w:tcPr>
            <w:tcW w:w="2268" w:type="dxa"/>
            <w:tcBorders>
              <w:top w:val="nil"/>
              <w:bottom w:val="single" w:sz="4" w:space="0" w:color="auto"/>
            </w:tcBorders>
          </w:tcPr>
          <w:p w14:paraId="33D9F5A8" w14:textId="77777777" w:rsidR="004676EF" w:rsidRPr="00734AB6" w:rsidRDefault="004676EF" w:rsidP="0099584D">
            <w:pPr>
              <w:spacing w:line="360" w:lineRule="auto"/>
              <w:rPr>
                <w:rFonts w:asciiTheme="majorHAnsi" w:hAnsiTheme="majorHAnsi"/>
              </w:rPr>
            </w:pPr>
            <w:r w:rsidRPr="00734AB6">
              <w:rPr>
                <w:rFonts w:asciiTheme="majorHAnsi" w:hAnsiTheme="majorHAnsi"/>
              </w:rPr>
              <w:t>26 (60.5)</w:t>
            </w:r>
          </w:p>
        </w:tc>
      </w:tr>
      <w:tr w:rsidR="004676EF" w:rsidRPr="00734AB6" w14:paraId="0CABBD8D" w14:textId="77777777" w:rsidTr="00E2030F">
        <w:tc>
          <w:tcPr>
            <w:tcW w:w="3544" w:type="dxa"/>
            <w:tcBorders>
              <w:top w:val="single" w:sz="4" w:space="0" w:color="auto"/>
              <w:bottom w:val="nil"/>
            </w:tcBorders>
          </w:tcPr>
          <w:p w14:paraId="06E21354"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Do you have a prescription for medicinal cannabis?</w:t>
            </w:r>
          </w:p>
        </w:tc>
        <w:tc>
          <w:tcPr>
            <w:tcW w:w="2693" w:type="dxa"/>
            <w:tcBorders>
              <w:top w:val="single" w:sz="4" w:space="0" w:color="auto"/>
              <w:bottom w:val="nil"/>
            </w:tcBorders>
          </w:tcPr>
          <w:p w14:paraId="2A0C23CE" w14:textId="77777777" w:rsidR="004676EF" w:rsidRPr="00734AB6" w:rsidRDefault="004676EF" w:rsidP="0099584D">
            <w:pPr>
              <w:spacing w:line="360" w:lineRule="auto"/>
              <w:rPr>
                <w:rFonts w:asciiTheme="majorHAnsi" w:hAnsiTheme="majorHAnsi"/>
              </w:rPr>
            </w:pPr>
          </w:p>
        </w:tc>
        <w:tc>
          <w:tcPr>
            <w:tcW w:w="2268" w:type="dxa"/>
            <w:tcBorders>
              <w:top w:val="single" w:sz="4" w:space="0" w:color="auto"/>
              <w:bottom w:val="nil"/>
            </w:tcBorders>
          </w:tcPr>
          <w:p w14:paraId="2EC668B5" w14:textId="77777777" w:rsidR="004676EF" w:rsidRPr="00734AB6" w:rsidRDefault="004676EF" w:rsidP="0099584D">
            <w:pPr>
              <w:spacing w:line="360" w:lineRule="auto"/>
              <w:rPr>
                <w:rFonts w:asciiTheme="majorHAnsi" w:hAnsiTheme="majorHAnsi"/>
              </w:rPr>
            </w:pPr>
          </w:p>
        </w:tc>
      </w:tr>
      <w:tr w:rsidR="004676EF" w:rsidRPr="00734AB6" w14:paraId="6C8415DD" w14:textId="77777777" w:rsidTr="00E2030F">
        <w:tc>
          <w:tcPr>
            <w:tcW w:w="3544" w:type="dxa"/>
            <w:tcBorders>
              <w:top w:val="nil"/>
              <w:bottom w:val="nil"/>
            </w:tcBorders>
          </w:tcPr>
          <w:p w14:paraId="33937CE0" w14:textId="77777777" w:rsidR="004676EF" w:rsidRPr="00734AB6" w:rsidRDefault="004676EF" w:rsidP="0099584D">
            <w:pPr>
              <w:spacing w:line="360" w:lineRule="auto"/>
              <w:rPr>
                <w:rFonts w:asciiTheme="majorHAnsi" w:hAnsiTheme="majorHAnsi"/>
              </w:rPr>
            </w:pPr>
            <w:r w:rsidRPr="00734AB6">
              <w:rPr>
                <w:rFonts w:asciiTheme="majorHAnsi" w:hAnsiTheme="majorHAnsi"/>
              </w:rPr>
              <w:t>No</w:t>
            </w:r>
          </w:p>
        </w:tc>
        <w:tc>
          <w:tcPr>
            <w:tcW w:w="2693" w:type="dxa"/>
            <w:tcBorders>
              <w:top w:val="nil"/>
              <w:bottom w:val="nil"/>
            </w:tcBorders>
          </w:tcPr>
          <w:p w14:paraId="3C2A6F1F" w14:textId="77777777" w:rsidR="004676EF" w:rsidRPr="00734AB6" w:rsidRDefault="004676EF" w:rsidP="0099584D">
            <w:pPr>
              <w:spacing w:line="360" w:lineRule="auto"/>
              <w:rPr>
                <w:rFonts w:asciiTheme="majorHAnsi" w:hAnsiTheme="majorHAnsi"/>
              </w:rPr>
            </w:pPr>
            <w:r w:rsidRPr="00734AB6">
              <w:rPr>
                <w:rFonts w:asciiTheme="majorHAnsi" w:hAnsiTheme="majorHAnsi"/>
              </w:rPr>
              <w:t>6 (54.5)</w:t>
            </w:r>
          </w:p>
        </w:tc>
        <w:tc>
          <w:tcPr>
            <w:tcW w:w="2268" w:type="dxa"/>
            <w:tcBorders>
              <w:top w:val="nil"/>
              <w:bottom w:val="nil"/>
            </w:tcBorders>
          </w:tcPr>
          <w:p w14:paraId="42F5D89F"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63A74BEF" w14:textId="77777777" w:rsidTr="00E2030F">
        <w:trPr>
          <w:trHeight w:val="281"/>
        </w:trPr>
        <w:tc>
          <w:tcPr>
            <w:tcW w:w="3544" w:type="dxa"/>
          </w:tcPr>
          <w:p w14:paraId="2247B1C7" w14:textId="77777777" w:rsidR="004676EF" w:rsidRPr="00734AB6" w:rsidRDefault="004676EF" w:rsidP="0099584D">
            <w:pPr>
              <w:tabs>
                <w:tab w:val="left" w:pos="1985"/>
                <w:tab w:val="left" w:pos="5812"/>
              </w:tabs>
              <w:spacing w:line="360" w:lineRule="auto"/>
              <w:rPr>
                <w:rFonts w:asciiTheme="majorHAnsi" w:hAnsiTheme="majorHAnsi"/>
                <w:b/>
              </w:rPr>
            </w:pPr>
            <w:r w:rsidRPr="00734AB6">
              <w:rPr>
                <w:rFonts w:asciiTheme="majorHAnsi" w:hAnsiTheme="majorHAnsi"/>
                <w:b/>
              </w:rPr>
              <w:t>Age of first use of cannabis</w:t>
            </w:r>
          </w:p>
        </w:tc>
        <w:tc>
          <w:tcPr>
            <w:tcW w:w="2693" w:type="dxa"/>
          </w:tcPr>
          <w:p w14:paraId="337BE7C0" w14:textId="77777777" w:rsidR="004676EF" w:rsidRPr="00734AB6" w:rsidRDefault="004676EF" w:rsidP="0099584D">
            <w:pPr>
              <w:spacing w:line="360" w:lineRule="auto"/>
              <w:rPr>
                <w:rFonts w:asciiTheme="majorHAnsi" w:hAnsiTheme="majorHAnsi"/>
                <w:b/>
              </w:rPr>
            </w:pPr>
            <w:r w:rsidRPr="00734AB6">
              <w:rPr>
                <w:rFonts w:asciiTheme="majorHAnsi" w:hAnsiTheme="majorHAnsi"/>
              </w:rPr>
              <w:t>Mean = 16.66 (SD = 3.13)</w:t>
            </w:r>
          </w:p>
        </w:tc>
        <w:tc>
          <w:tcPr>
            <w:tcW w:w="2268" w:type="dxa"/>
          </w:tcPr>
          <w:p w14:paraId="33767D07" w14:textId="77777777" w:rsidR="004676EF" w:rsidRPr="00734AB6" w:rsidRDefault="004676EF" w:rsidP="0099584D">
            <w:pPr>
              <w:spacing w:line="360" w:lineRule="auto"/>
              <w:rPr>
                <w:rFonts w:asciiTheme="majorHAnsi" w:hAnsiTheme="majorHAnsi"/>
              </w:rPr>
            </w:pPr>
            <w:r w:rsidRPr="00734AB6">
              <w:rPr>
                <w:rFonts w:asciiTheme="majorHAnsi" w:hAnsiTheme="majorHAnsi"/>
              </w:rPr>
              <w:t>Mean = 18.29 (SD = 3.85)</w:t>
            </w:r>
          </w:p>
        </w:tc>
      </w:tr>
      <w:tr w:rsidR="004676EF" w:rsidRPr="00734AB6" w14:paraId="6935D8E1" w14:textId="77777777" w:rsidTr="00E2030F">
        <w:tc>
          <w:tcPr>
            <w:tcW w:w="3544" w:type="dxa"/>
            <w:tcBorders>
              <w:top w:val="nil"/>
              <w:bottom w:val="nil"/>
            </w:tcBorders>
          </w:tcPr>
          <w:p w14:paraId="2418FA3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Cannabis use in past 6 months</w:t>
            </w:r>
          </w:p>
        </w:tc>
        <w:tc>
          <w:tcPr>
            <w:tcW w:w="2693" w:type="dxa"/>
            <w:tcBorders>
              <w:top w:val="nil"/>
              <w:bottom w:val="nil"/>
            </w:tcBorders>
          </w:tcPr>
          <w:p w14:paraId="6D4433D9" w14:textId="77777777" w:rsidR="004676EF" w:rsidRPr="00734AB6" w:rsidRDefault="004676EF" w:rsidP="0099584D">
            <w:pPr>
              <w:spacing w:line="360" w:lineRule="auto"/>
              <w:rPr>
                <w:rFonts w:asciiTheme="majorHAnsi" w:hAnsiTheme="majorHAnsi"/>
              </w:rPr>
            </w:pPr>
          </w:p>
        </w:tc>
        <w:tc>
          <w:tcPr>
            <w:tcW w:w="2268" w:type="dxa"/>
            <w:tcBorders>
              <w:top w:val="nil"/>
              <w:bottom w:val="nil"/>
            </w:tcBorders>
          </w:tcPr>
          <w:p w14:paraId="6C85EF2F" w14:textId="77777777" w:rsidR="004676EF" w:rsidRPr="00734AB6" w:rsidRDefault="004676EF" w:rsidP="0099584D">
            <w:pPr>
              <w:spacing w:line="360" w:lineRule="auto"/>
              <w:rPr>
                <w:rFonts w:asciiTheme="majorHAnsi" w:hAnsiTheme="majorHAnsi"/>
              </w:rPr>
            </w:pPr>
          </w:p>
        </w:tc>
      </w:tr>
      <w:tr w:rsidR="004676EF" w:rsidRPr="00734AB6" w14:paraId="6C2D155F" w14:textId="77777777" w:rsidTr="00E2030F">
        <w:tc>
          <w:tcPr>
            <w:tcW w:w="3544" w:type="dxa"/>
            <w:tcBorders>
              <w:top w:val="nil"/>
              <w:bottom w:val="nil"/>
            </w:tcBorders>
          </w:tcPr>
          <w:p w14:paraId="51CE24DA"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693" w:type="dxa"/>
            <w:tcBorders>
              <w:top w:val="nil"/>
              <w:bottom w:val="nil"/>
            </w:tcBorders>
          </w:tcPr>
          <w:p w14:paraId="6C68955C" w14:textId="77777777" w:rsidR="004676EF" w:rsidRPr="00734AB6" w:rsidRDefault="004676EF" w:rsidP="0099584D">
            <w:pPr>
              <w:spacing w:line="360" w:lineRule="auto"/>
              <w:rPr>
                <w:rFonts w:asciiTheme="majorHAnsi" w:hAnsiTheme="majorHAnsi"/>
              </w:rPr>
            </w:pPr>
            <w:r w:rsidRPr="00734AB6">
              <w:rPr>
                <w:rFonts w:asciiTheme="majorHAnsi" w:hAnsiTheme="majorHAnsi"/>
              </w:rPr>
              <w:t>2   (4.9)</w:t>
            </w:r>
          </w:p>
        </w:tc>
        <w:tc>
          <w:tcPr>
            <w:tcW w:w="2268" w:type="dxa"/>
            <w:tcBorders>
              <w:top w:val="nil"/>
              <w:bottom w:val="nil"/>
            </w:tcBorders>
          </w:tcPr>
          <w:p w14:paraId="0336E648" w14:textId="77777777" w:rsidR="004676EF" w:rsidRPr="00734AB6" w:rsidRDefault="004676EF" w:rsidP="0099584D">
            <w:pPr>
              <w:spacing w:line="360" w:lineRule="auto"/>
              <w:rPr>
                <w:rFonts w:asciiTheme="majorHAnsi" w:hAnsiTheme="majorHAnsi"/>
              </w:rPr>
            </w:pPr>
            <w:r w:rsidRPr="00734AB6">
              <w:rPr>
                <w:rFonts w:asciiTheme="majorHAnsi" w:hAnsiTheme="majorHAnsi"/>
              </w:rPr>
              <w:t>0</w:t>
            </w:r>
          </w:p>
        </w:tc>
      </w:tr>
      <w:tr w:rsidR="004676EF" w:rsidRPr="00734AB6" w14:paraId="106DC041" w14:textId="77777777" w:rsidTr="00E2030F">
        <w:tc>
          <w:tcPr>
            <w:tcW w:w="3544" w:type="dxa"/>
            <w:tcBorders>
              <w:top w:val="nil"/>
              <w:bottom w:val="nil"/>
            </w:tcBorders>
          </w:tcPr>
          <w:p w14:paraId="1899C6B7"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693" w:type="dxa"/>
            <w:tcBorders>
              <w:top w:val="nil"/>
              <w:bottom w:val="nil"/>
            </w:tcBorders>
          </w:tcPr>
          <w:p w14:paraId="5E6925EF" w14:textId="77777777" w:rsidR="004676EF" w:rsidRPr="00734AB6" w:rsidRDefault="004676EF" w:rsidP="0099584D">
            <w:pPr>
              <w:spacing w:line="360" w:lineRule="auto"/>
              <w:rPr>
                <w:rFonts w:asciiTheme="majorHAnsi" w:hAnsiTheme="majorHAnsi"/>
              </w:rPr>
            </w:pPr>
            <w:r w:rsidRPr="00734AB6">
              <w:rPr>
                <w:rFonts w:asciiTheme="majorHAnsi" w:hAnsiTheme="majorHAnsi"/>
              </w:rPr>
              <w:t>5   (12.2)</w:t>
            </w:r>
          </w:p>
        </w:tc>
        <w:tc>
          <w:tcPr>
            <w:tcW w:w="2268" w:type="dxa"/>
            <w:tcBorders>
              <w:top w:val="nil"/>
              <w:bottom w:val="nil"/>
            </w:tcBorders>
          </w:tcPr>
          <w:p w14:paraId="02E1184C" w14:textId="77777777" w:rsidR="004676EF" w:rsidRPr="00734AB6" w:rsidRDefault="004676EF" w:rsidP="0099584D">
            <w:pPr>
              <w:spacing w:line="360" w:lineRule="auto"/>
              <w:rPr>
                <w:rFonts w:asciiTheme="majorHAnsi" w:hAnsiTheme="majorHAnsi"/>
              </w:rPr>
            </w:pPr>
            <w:r w:rsidRPr="00734AB6">
              <w:rPr>
                <w:rFonts w:asciiTheme="majorHAnsi" w:hAnsiTheme="majorHAnsi"/>
              </w:rPr>
              <w:t>0</w:t>
            </w:r>
          </w:p>
        </w:tc>
      </w:tr>
      <w:tr w:rsidR="004676EF" w:rsidRPr="00734AB6" w14:paraId="5416A31B" w14:textId="77777777" w:rsidTr="00E2030F">
        <w:tc>
          <w:tcPr>
            <w:tcW w:w="3544" w:type="dxa"/>
            <w:tcBorders>
              <w:top w:val="nil"/>
              <w:bottom w:val="nil"/>
            </w:tcBorders>
          </w:tcPr>
          <w:p w14:paraId="5D752A45"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693" w:type="dxa"/>
            <w:tcBorders>
              <w:top w:val="nil"/>
              <w:bottom w:val="nil"/>
            </w:tcBorders>
          </w:tcPr>
          <w:p w14:paraId="72E393CC" w14:textId="77777777" w:rsidR="004676EF" w:rsidRPr="00734AB6" w:rsidRDefault="004676EF" w:rsidP="0099584D">
            <w:pPr>
              <w:spacing w:line="360" w:lineRule="auto"/>
              <w:rPr>
                <w:rFonts w:asciiTheme="majorHAnsi" w:hAnsiTheme="majorHAnsi"/>
              </w:rPr>
            </w:pPr>
            <w:r w:rsidRPr="00734AB6">
              <w:rPr>
                <w:rFonts w:asciiTheme="majorHAnsi" w:hAnsiTheme="majorHAnsi"/>
              </w:rPr>
              <w:t>2   (4.3)</w:t>
            </w:r>
          </w:p>
        </w:tc>
        <w:tc>
          <w:tcPr>
            <w:tcW w:w="2268" w:type="dxa"/>
            <w:tcBorders>
              <w:top w:val="nil"/>
              <w:bottom w:val="nil"/>
            </w:tcBorders>
          </w:tcPr>
          <w:p w14:paraId="1FA9E72E" w14:textId="77777777" w:rsidR="004676EF" w:rsidRPr="00734AB6" w:rsidRDefault="004676EF" w:rsidP="0099584D">
            <w:pPr>
              <w:spacing w:line="360" w:lineRule="auto"/>
              <w:rPr>
                <w:rFonts w:asciiTheme="majorHAnsi" w:hAnsiTheme="majorHAnsi"/>
              </w:rPr>
            </w:pPr>
            <w:r w:rsidRPr="00734AB6">
              <w:rPr>
                <w:rFonts w:asciiTheme="majorHAnsi" w:hAnsiTheme="majorHAnsi"/>
              </w:rPr>
              <w:t>0</w:t>
            </w:r>
          </w:p>
        </w:tc>
      </w:tr>
      <w:tr w:rsidR="004676EF" w:rsidRPr="00734AB6" w14:paraId="5B241C13" w14:textId="77777777" w:rsidTr="00E2030F">
        <w:tc>
          <w:tcPr>
            <w:tcW w:w="3544" w:type="dxa"/>
            <w:tcBorders>
              <w:top w:val="nil"/>
              <w:bottom w:val="nil"/>
            </w:tcBorders>
          </w:tcPr>
          <w:p w14:paraId="037C2305" w14:textId="77777777" w:rsidR="004676EF" w:rsidRPr="00734AB6" w:rsidRDefault="004676EF" w:rsidP="0099584D">
            <w:pPr>
              <w:spacing w:line="360" w:lineRule="auto"/>
              <w:rPr>
                <w:rFonts w:asciiTheme="majorHAnsi" w:hAnsiTheme="majorHAnsi"/>
              </w:rPr>
            </w:pPr>
            <w:r w:rsidRPr="00734AB6">
              <w:rPr>
                <w:rFonts w:asciiTheme="majorHAnsi" w:hAnsiTheme="majorHAnsi"/>
              </w:rPr>
              <w:t>1-2 times per month</w:t>
            </w:r>
          </w:p>
        </w:tc>
        <w:tc>
          <w:tcPr>
            <w:tcW w:w="2693" w:type="dxa"/>
            <w:tcBorders>
              <w:top w:val="nil"/>
              <w:bottom w:val="nil"/>
            </w:tcBorders>
          </w:tcPr>
          <w:p w14:paraId="4C5832FC" w14:textId="77777777" w:rsidR="004676EF" w:rsidRPr="00734AB6" w:rsidRDefault="004676EF" w:rsidP="0099584D">
            <w:pPr>
              <w:spacing w:line="360" w:lineRule="auto"/>
              <w:rPr>
                <w:rFonts w:asciiTheme="majorHAnsi" w:hAnsiTheme="majorHAnsi"/>
              </w:rPr>
            </w:pPr>
            <w:r w:rsidRPr="00734AB6">
              <w:rPr>
                <w:rFonts w:asciiTheme="majorHAnsi" w:hAnsiTheme="majorHAnsi"/>
              </w:rPr>
              <w:t>7   (17.1)</w:t>
            </w:r>
          </w:p>
        </w:tc>
        <w:tc>
          <w:tcPr>
            <w:tcW w:w="2268" w:type="dxa"/>
            <w:tcBorders>
              <w:top w:val="nil"/>
              <w:bottom w:val="nil"/>
            </w:tcBorders>
          </w:tcPr>
          <w:p w14:paraId="6EA8C1EA" w14:textId="77777777" w:rsidR="004676EF" w:rsidRPr="00734AB6" w:rsidRDefault="004676EF" w:rsidP="0099584D">
            <w:pPr>
              <w:spacing w:line="360" w:lineRule="auto"/>
              <w:rPr>
                <w:rFonts w:asciiTheme="majorHAnsi" w:hAnsiTheme="majorHAnsi"/>
              </w:rPr>
            </w:pPr>
            <w:r w:rsidRPr="00734AB6">
              <w:rPr>
                <w:rFonts w:asciiTheme="majorHAnsi" w:hAnsiTheme="majorHAnsi"/>
              </w:rPr>
              <w:t>3 (6.98)</w:t>
            </w:r>
          </w:p>
        </w:tc>
      </w:tr>
      <w:tr w:rsidR="004676EF" w:rsidRPr="00734AB6" w14:paraId="48767BB0" w14:textId="77777777" w:rsidTr="00E2030F">
        <w:tc>
          <w:tcPr>
            <w:tcW w:w="3544" w:type="dxa"/>
            <w:tcBorders>
              <w:top w:val="nil"/>
              <w:bottom w:val="nil"/>
            </w:tcBorders>
          </w:tcPr>
          <w:p w14:paraId="1355FEAA"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693" w:type="dxa"/>
            <w:tcBorders>
              <w:top w:val="nil"/>
              <w:bottom w:val="nil"/>
            </w:tcBorders>
          </w:tcPr>
          <w:p w14:paraId="6517799A" w14:textId="77777777" w:rsidR="004676EF" w:rsidRPr="00734AB6" w:rsidRDefault="004676EF" w:rsidP="0099584D">
            <w:pPr>
              <w:spacing w:line="360" w:lineRule="auto"/>
              <w:rPr>
                <w:rFonts w:asciiTheme="majorHAnsi" w:hAnsiTheme="majorHAnsi"/>
              </w:rPr>
            </w:pPr>
            <w:r w:rsidRPr="00734AB6">
              <w:rPr>
                <w:rFonts w:asciiTheme="majorHAnsi" w:hAnsiTheme="majorHAnsi"/>
              </w:rPr>
              <w:t>7   (17.1)</w:t>
            </w:r>
          </w:p>
        </w:tc>
        <w:tc>
          <w:tcPr>
            <w:tcW w:w="2268" w:type="dxa"/>
            <w:tcBorders>
              <w:top w:val="nil"/>
              <w:bottom w:val="nil"/>
            </w:tcBorders>
          </w:tcPr>
          <w:p w14:paraId="50A0EB7A" w14:textId="77777777" w:rsidR="004676EF" w:rsidRPr="00734AB6" w:rsidRDefault="004676EF" w:rsidP="0099584D">
            <w:pPr>
              <w:spacing w:line="360" w:lineRule="auto"/>
              <w:rPr>
                <w:rFonts w:asciiTheme="majorHAnsi" w:hAnsiTheme="majorHAnsi"/>
              </w:rPr>
            </w:pPr>
            <w:r w:rsidRPr="00734AB6">
              <w:rPr>
                <w:rFonts w:asciiTheme="majorHAnsi" w:hAnsiTheme="majorHAnsi"/>
              </w:rPr>
              <w:t>4 (9.3)</w:t>
            </w:r>
          </w:p>
        </w:tc>
      </w:tr>
      <w:tr w:rsidR="004676EF" w:rsidRPr="00734AB6" w14:paraId="24CDD650" w14:textId="77777777" w:rsidTr="00E2030F">
        <w:tc>
          <w:tcPr>
            <w:tcW w:w="3544" w:type="dxa"/>
            <w:tcBorders>
              <w:top w:val="nil"/>
            </w:tcBorders>
          </w:tcPr>
          <w:p w14:paraId="0473FD03" w14:textId="77777777" w:rsidR="004676EF" w:rsidRPr="00734AB6" w:rsidRDefault="004676EF" w:rsidP="0099584D">
            <w:pPr>
              <w:spacing w:line="360" w:lineRule="auto"/>
              <w:rPr>
                <w:rFonts w:asciiTheme="majorHAnsi" w:hAnsiTheme="majorHAnsi"/>
              </w:rPr>
            </w:pPr>
            <w:r w:rsidRPr="00734AB6">
              <w:rPr>
                <w:rFonts w:asciiTheme="majorHAnsi" w:hAnsiTheme="majorHAnsi"/>
              </w:rPr>
              <w:t xml:space="preserve">None </w:t>
            </w:r>
          </w:p>
        </w:tc>
        <w:tc>
          <w:tcPr>
            <w:tcW w:w="2693" w:type="dxa"/>
            <w:tcBorders>
              <w:top w:val="nil"/>
            </w:tcBorders>
          </w:tcPr>
          <w:p w14:paraId="70BE090B" w14:textId="77777777" w:rsidR="004676EF" w:rsidRPr="00734AB6" w:rsidRDefault="004676EF" w:rsidP="0099584D">
            <w:pPr>
              <w:spacing w:line="360" w:lineRule="auto"/>
              <w:rPr>
                <w:rFonts w:asciiTheme="majorHAnsi" w:hAnsiTheme="majorHAnsi"/>
              </w:rPr>
            </w:pPr>
            <w:r w:rsidRPr="00734AB6">
              <w:rPr>
                <w:rFonts w:asciiTheme="majorHAnsi" w:hAnsiTheme="majorHAnsi"/>
              </w:rPr>
              <w:t>18 (43.9)</w:t>
            </w:r>
          </w:p>
        </w:tc>
        <w:tc>
          <w:tcPr>
            <w:tcW w:w="2268" w:type="dxa"/>
            <w:tcBorders>
              <w:top w:val="nil"/>
            </w:tcBorders>
          </w:tcPr>
          <w:p w14:paraId="456DEA99" w14:textId="77777777" w:rsidR="004676EF" w:rsidRPr="00734AB6" w:rsidRDefault="004676EF" w:rsidP="0099584D">
            <w:pPr>
              <w:spacing w:line="360" w:lineRule="auto"/>
              <w:rPr>
                <w:rFonts w:asciiTheme="majorHAnsi" w:hAnsiTheme="majorHAnsi"/>
              </w:rPr>
            </w:pPr>
            <w:r w:rsidRPr="00734AB6">
              <w:rPr>
                <w:rFonts w:asciiTheme="majorHAnsi" w:hAnsiTheme="majorHAnsi"/>
              </w:rPr>
              <w:t>11 (25.58)</w:t>
            </w:r>
          </w:p>
        </w:tc>
      </w:tr>
    </w:tbl>
    <w:p w14:paraId="07A36FAA"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23FF93DE" w14:textId="77777777" w:rsidR="004676EF" w:rsidRPr="00734AB6" w:rsidRDefault="004676EF" w:rsidP="001F00D7">
      <w:pPr>
        <w:spacing w:after="0" w:line="360" w:lineRule="auto"/>
        <w:rPr>
          <w:rFonts w:asciiTheme="majorHAnsi" w:hAnsiTheme="majorHAnsi"/>
        </w:rPr>
      </w:pPr>
    </w:p>
    <w:p w14:paraId="07132C0B" w14:textId="77777777" w:rsidR="00D22283" w:rsidRPr="00734AB6" w:rsidRDefault="00D22283" w:rsidP="001F00D7">
      <w:pPr>
        <w:spacing w:after="0" w:line="360" w:lineRule="auto"/>
        <w:rPr>
          <w:rFonts w:asciiTheme="majorHAnsi" w:hAnsiTheme="majorHAnsi"/>
        </w:rPr>
      </w:pPr>
    </w:p>
    <w:p w14:paraId="04CDEC6E" w14:textId="77777777" w:rsidR="00D22283" w:rsidRPr="00734AB6" w:rsidRDefault="00D22283" w:rsidP="001F00D7">
      <w:pPr>
        <w:spacing w:after="0" w:line="360" w:lineRule="auto"/>
        <w:rPr>
          <w:rFonts w:asciiTheme="majorHAnsi" w:hAnsiTheme="majorHAnsi"/>
        </w:rPr>
      </w:pPr>
    </w:p>
    <w:p w14:paraId="6AF3DDF3" w14:textId="77777777" w:rsidR="00D22283" w:rsidRPr="00734AB6" w:rsidRDefault="00D22283" w:rsidP="001F00D7">
      <w:pPr>
        <w:spacing w:after="0" w:line="360" w:lineRule="auto"/>
        <w:rPr>
          <w:rFonts w:asciiTheme="majorHAnsi" w:hAnsiTheme="majorHAnsi"/>
        </w:rPr>
      </w:pPr>
    </w:p>
    <w:p w14:paraId="289690A4" w14:textId="77777777" w:rsidR="00D22283" w:rsidRPr="00734AB6" w:rsidRDefault="00D22283" w:rsidP="00D22283">
      <w:pPr>
        <w:pBdr>
          <w:top w:val="double" w:sz="4" w:space="1" w:color="auto"/>
        </w:pBdr>
        <w:spacing w:after="0" w:line="360" w:lineRule="auto"/>
        <w:rPr>
          <w:rFonts w:asciiTheme="majorHAnsi" w:hAnsiTheme="majorHAnsi"/>
        </w:rPr>
      </w:pPr>
    </w:p>
    <w:p w14:paraId="1575DE58" w14:textId="77777777" w:rsidR="00E2030F" w:rsidRPr="00734AB6" w:rsidRDefault="00E2030F">
      <w:pPr>
        <w:rPr>
          <w:rFonts w:asciiTheme="majorHAnsi" w:eastAsiaTheme="majorEastAsia" w:hAnsiTheme="majorHAnsi" w:cstheme="majorBidi"/>
          <w:b/>
        </w:rPr>
      </w:pPr>
      <w:bookmarkStart w:id="198" w:name="_Toc45200555"/>
      <w:r w:rsidRPr="00734AB6">
        <w:rPr>
          <w:b/>
        </w:rPr>
        <w:br w:type="page"/>
      </w:r>
    </w:p>
    <w:p w14:paraId="1ED86D96" w14:textId="0FA3AECE" w:rsidR="004676EF" w:rsidRPr="00734AB6" w:rsidRDefault="004676EF" w:rsidP="0099584D">
      <w:pPr>
        <w:pStyle w:val="Heading2"/>
        <w:spacing w:line="360" w:lineRule="auto"/>
        <w:rPr>
          <w:b/>
          <w:color w:val="auto"/>
          <w:sz w:val="22"/>
          <w:szCs w:val="22"/>
        </w:rPr>
      </w:pPr>
      <w:bookmarkStart w:id="199" w:name="_Toc48136445"/>
      <w:r w:rsidRPr="00734AB6">
        <w:rPr>
          <w:b/>
          <w:color w:val="auto"/>
          <w:sz w:val="22"/>
          <w:szCs w:val="22"/>
        </w:rPr>
        <w:lastRenderedPageBreak/>
        <w:t>C(xiv)</w:t>
      </w:r>
      <w:r w:rsidRPr="00734AB6">
        <w:rPr>
          <w:b/>
          <w:color w:val="auto"/>
          <w:sz w:val="22"/>
          <w:szCs w:val="22"/>
        </w:rPr>
        <w:tab/>
        <w:t>Modafinil*</w:t>
      </w:r>
      <w:bookmarkEnd w:id="198"/>
      <w:bookmarkEnd w:id="199"/>
    </w:p>
    <w:p w14:paraId="6FF0E75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r w:rsidRPr="00734AB6">
        <w:rPr>
          <w:rFonts w:asciiTheme="majorHAnsi" w:hAnsiTheme="majorHAnsi"/>
        </w:rPr>
        <w:tab/>
        <w:t>All participants stated that they did not have a prescription for modafinil.</w:t>
      </w:r>
    </w:p>
    <w:p w14:paraId="07E7B1E7" w14:textId="5942EF22"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C.7</w:t>
      </w:r>
      <w:r w:rsidRPr="00734AB6">
        <w:rPr>
          <w:rFonts w:asciiTheme="majorHAnsi" w:hAnsiTheme="majorHAnsi"/>
          <w:b/>
        </w:rPr>
        <w:t xml:space="preserve">. Lifetime use of modafinil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4676EF" w:rsidRPr="00734AB6" w14:paraId="0AECCA5C" w14:textId="77777777" w:rsidTr="004676EF">
        <w:tc>
          <w:tcPr>
            <w:tcW w:w="3119" w:type="dxa"/>
            <w:tcBorders>
              <w:bottom w:val="single" w:sz="4" w:space="0" w:color="auto"/>
            </w:tcBorders>
          </w:tcPr>
          <w:p w14:paraId="5EA08E82" w14:textId="77777777" w:rsidR="004676EF" w:rsidRPr="00734AB6" w:rsidRDefault="004676EF" w:rsidP="001F00D7">
            <w:pPr>
              <w:spacing w:before="240" w:after="0" w:line="276" w:lineRule="auto"/>
              <w:rPr>
                <w:rFonts w:asciiTheme="majorHAnsi" w:hAnsiTheme="majorHAnsi"/>
                <w:b/>
              </w:rPr>
            </w:pPr>
            <w:r w:rsidRPr="00734AB6">
              <w:rPr>
                <w:rFonts w:asciiTheme="majorHAnsi" w:hAnsiTheme="majorHAnsi"/>
                <w:b/>
              </w:rPr>
              <w:t>Have you ever used modafinil?</w:t>
            </w:r>
          </w:p>
        </w:tc>
        <w:tc>
          <w:tcPr>
            <w:tcW w:w="2693" w:type="dxa"/>
            <w:tcBorders>
              <w:bottom w:val="single" w:sz="4" w:space="0" w:color="auto"/>
            </w:tcBorders>
          </w:tcPr>
          <w:p w14:paraId="5087F5C8" w14:textId="77777777" w:rsidR="004676EF" w:rsidRPr="00734AB6" w:rsidRDefault="004676EF" w:rsidP="001F00D7">
            <w:pPr>
              <w:spacing w:before="240" w:after="0" w:line="276" w:lineRule="auto"/>
              <w:rPr>
                <w:rFonts w:asciiTheme="majorHAnsi" w:hAnsiTheme="majorHAnsi"/>
                <w:b/>
              </w:rPr>
            </w:pPr>
            <w:r w:rsidRPr="00734AB6">
              <w:rPr>
                <w:rFonts w:asciiTheme="majorHAnsi" w:hAnsiTheme="majorHAnsi"/>
                <w:b/>
              </w:rPr>
              <w:t>CED user group N (%)*</w:t>
            </w:r>
          </w:p>
        </w:tc>
      </w:tr>
      <w:tr w:rsidR="004676EF" w:rsidRPr="00734AB6" w14:paraId="45575C58" w14:textId="77777777" w:rsidTr="004676EF">
        <w:tc>
          <w:tcPr>
            <w:tcW w:w="3119" w:type="dxa"/>
            <w:tcBorders>
              <w:top w:val="nil"/>
              <w:bottom w:val="nil"/>
              <w:right w:val="nil"/>
            </w:tcBorders>
          </w:tcPr>
          <w:p w14:paraId="391BD096" w14:textId="77777777" w:rsidR="004676EF" w:rsidRPr="00734AB6" w:rsidRDefault="004676EF" w:rsidP="001F00D7">
            <w:pPr>
              <w:spacing w:before="240" w:after="0" w:line="276" w:lineRule="auto"/>
              <w:rPr>
                <w:rFonts w:asciiTheme="majorHAnsi" w:hAnsiTheme="majorHAnsi"/>
                <w:b/>
              </w:rPr>
            </w:pPr>
            <w:r w:rsidRPr="00734AB6">
              <w:rPr>
                <w:rFonts w:asciiTheme="majorHAnsi" w:hAnsiTheme="majorHAnsi"/>
                <w:b/>
              </w:rPr>
              <w:t>Yes</w:t>
            </w:r>
          </w:p>
        </w:tc>
        <w:tc>
          <w:tcPr>
            <w:tcW w:w="2693" w:type="dxa"/>
            <w:tcBorders>
              <w:top w:val="nil"/>
              <w:left w:val="nil"/>
              <w:bottom w:val="nil"/>
            </w:tcBorders>
          </w:tcPr>
          <w:p w14:paraId="7B1DE7ED" w14:textId="77777777" w:rsidR="004676EF" w:rsidRPr="00734AB6" w:rsidRDefault="004676EF" w:rsidP="001F00D7">
            <w:pPr>
              <w:spacing w:before="240" w:after="0" w:line="276" w:lineRule="auto"/>
              <w:rPr>
                <w:rFonts w:asciiTheme="majorHAnsi" w:hAnsiTheme="majorHAnsi"/>
              </w:rPr>
            </w:pPr>
            <w:r w:rsidRPr="00734AB6">
              <w:rPr>
                <w:rFonts w:asciiTheme="majorHAnsi" w:hAnsiTheme="majorHAnsi"/>
              </w:rPr>
              <w:t>41 (87.2)</w:t>
            </w:r>
          </w:p>
        </w:tc>
      </w:tr>
      <w:tr w:rsidR="004676EF" w:rsidRPr="00734AB6" w14:paraId="726F2095" w14:textId="77777777" w:rsidTr="004676EF">
        <w:tc>
          <w:tcPr>
            <w:tcW w:w="3119" w:type="dxa"/>
            <w:tcBorders>
              <w:top w:val="nil"/>
              <w:bottom w:val="single" w:sz="4" w:space="0" w:color="auto"/>
              <w:right w:val="nil"/>
            </w:tcBorders>
          </w:tcPr>
          <w:p w14:paraId="437E6F84" w14:textId="77777777" w:rsidR="004676EF" w:rsidRPr="00734AB6" w:rsidRDefault="004676EF" w:rsidP="001F00D7">
            <w:pPr>
              <w:spacing w:before="240" w:after="0" w:line="276" w:lineRule="auto"/>
              <w:rPr>
                <w:rFonts w:asciiTheme="majorHAnsi" w:hAnsiTheme="majorHAnsi"/>
                <w:b/>
              </w:rPr>
            </w:pPr>
            <w:r w:rsidRPr="00734AB6">
              <w:rPr>
                <w:rFonts w:asciiTheme="majorHAnsi" w:hAnsiTheme="majorHAnsi"/>
                <w:b/>
              </w:rPr>
              <w:t>No</w:t>
            </w:r>
          </w:p>
        </w:tc>
        <w:tc>
          <w:tcPr>
            <w:tcW w:w="2693" w:type="dxa"/>
            <w:tcBorders>
              <w:top w:val="nil"/>
              <w:left w:val="nil"/>
              <w:bottom w:val="single" w:sz="4" w:space="0" w:color="auto"/>
            </w:tcBorders>
          </w:tcPr>
          <w:p w14:paraId="6488E2BC" w14:textId="77777777" w:rsidR="004676EF" w:rsidRPr="00734AB6" w:rsidRDefault="004676EF" w:rsidP="001F00D7">
            <w:pPr>
              <w:spacing w:before="240" w:after="0" w:line="276" w:lineRule="auto"/>
              <w:rPr>
                <w:rFonts w:asciiTheme="majorHAnsi" w:hAnsiTheme="majorHAnsi"/>
              </w:rPr>
            </w:pPr>
            <w:r w:rsidRPr="00734AB6">
              <w:rPr>
                <w:rFonts w:asciiTheme="majorHAnsi" w:hAnsiTheme="majorHAnsi"/>
              </w:rPr>
              <w:t>6   (12.8)</w:t>
            </w:r>
          </w:p>
        </w:tc>
      </w:tr>
      <w:tr w:rsidR="004676EF" w:rsidRPr="00734AB6" w14:paraId="18171581" w14:textId="77777777" w:rsidTr="004676EF">
        <w:tc>
          <w:tcPr>
            <w:tcW w:w="3119" w:type="dxa"/>
            <w:tcBorders>
              <w:top w:val="single" w:sz="4" w:space="0" w:color="auto"/>
              <w:bottom w:val="single" w:sz="4" w:space="0" w:color="auto"/>
              <w:right w:val="nil"/>
            </w:tcBorders>
          </w:tcPr>
          <w:p w14:paraId="2C41EF9D" w14:textId="77777777" w:rsidR="004676EF" w:rsidRPr="00734AB6" w:rsidRDefault="004676EF" w:rsidP="001F00D7">
            <w:pPr>
              <w:spacing w:before="240" w:after="0" w:line="276" w:lineRule="auto"/>
              <w:rPr>
                <w:rFonts w:asciiTheme="majorHAnsi" w:hAnsiTheme="majorHAnsi"/>
                <w:b/>
              </w:rPr>
            </w:pPr>
            <w:r w:rsidRPr="00734AB6">
              <w:rPr>
                <w:rFonts w:asciiTheme="majorHAnsi" w:hAnsiTheme="majorHAnsi"/>
                <w:b/>
              </w:rPr>
              <w:t>Age of first use of modafinil</w:t>
            </w:r>
          </w:p>
        </w:tc>
        <w:tc>
          <w:tcPr>
            <w:tcW w:w="2693" w:type="dxa"/>
            <w:tcBorders>
              <w:top w:val="single" w:sz="4" w:space="0" w:color="auto"/>
              <w:left w:val="nil"/>
              <w:bottom w:val="single" w:sz="4" w:space="0" w:color="auto"/>
            </w:tcBorders>
          </w:tcPr>
          <w:p w14:paraId="78921AB2" w14:textId="77777777" w:rsidR="004676EF" w:rsidRPr="00734AB6" w:rsidRDefault="004676EF" w:rsidP="001F00D7">
            <w:pPr>
              <w:spacing w:before="240" w:after="0" w:line="276" w:lineRule="auto"/>
              <w:rPr>
                <w:rFonts w:asciiTheme="majorHAnsi" w:hAnsiTheme="majorHAnsi"/>
              </w:rPr>
            </w:pPr>
            <w:r w:rsidRPr="00734AB6">
              <w:rPr>
                <w:rFonts w:asciiTheme="majorHAnsi" w:hAnsiTheme="majorHAnsi"/>
              </w:rPr>
              <w:t>Mean = 24.56 (SD = 5.64)</w:t>
            </w:r>
          </w:p>
        </w:tc>
      </w:tr>
    </w:tbl>
    <w:p w14:paraId="48A0ACA3"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3072FCA8" w14:textId="77777777" w:rsidR="00D22283" w:rsidRPr="00734AB6" w:rsidRDefault="00D22283" w:rsidP="0099584D">
      <w:pPr>
        <w:tabs>
          <w:tab w:val="left" w:pos="426"/>
        </w:tabs>
        <w:spacing w:line="360" w:lineRule="auto"/>
        <w:rPr>
          <w:rFonts w:asciiTheme="majorHAnsi" w:hAnsiTheme="majorHAnsi"/>
        </w:rPr>
      </w:pPr>
    </w:p>
    <w:p w14:paraId="7801F05E" w14:textId="53605AF0"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C.8</w:t>
      </w:r>
      <w:r w:rsidRPr="00734AB6">
        <w:rPr>
          <w:rFonts w:asciiTheme="majorHAnsi" w:hAnsiTheme="majorHAnsi"/>
          <w:b/>
        </w:rPr>
        <w:t>. Dosage levels of reported modafinil use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89"/>
        <w:gridCol w:w="2131"/>
      </w:tblGrid>
      <w:tr w:rsidR="004676EF" w:rsidRPr="00734AB6" w14:paraId="382A1E82" w14:textId="77777777" w:rsidTr="004676EF">
        <w:tc>
          <w:tcPr>
            <w:tcW w:w="2689" w:type="dxa"/>
            <w:tcBorders>
              <w:bottom w:val="single" w:sz="4" w:space="0" w:color="auto"/>
            </w:tcBorders>
          </w:tcPr>
          <w:p w14:paraId="7D6F4B3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Dosage</w:t>
            </w:r>
          </w:p>
        </w:tc>
        <w:tc>
          <w:tcPr>
            <w:tcW w:w="2131" w:type="dxa"/>
            <w:tcBorders>
              <w:bottom w:val="single" w:sz="4" w:space="0" w:color="auto"/>
            </w:tcBorders>
          </w:tcPr>
          <w:p w14:paraId="31A593F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 (%)*</w:t>
            </w:r>
          </w:p>
        </w:tc>
      </w:tr>
      <w:tr w:rsidR="004676EF" w:rsidRPr="00734AB6" w14:paraId="45797B72" w14:textId="77777777" w:rsidTr="004676EF">
        <w:tc>
          <w:tcPr>
            <w:tcW w:w="2689" w:type="dxa"/>
            <w:tcBorders>
              <w:top w:val="nil"/>
              <w:bottom w:val="nil"/>
              <w:right w:val="nil"/>
            </w:tcBorders>
          </w:tcPr>
          <w:p w14:paraId="42E12869" w14:textId="77777777" w:rsidR="004676EF" w:rsidRPr="00734AB6" w:rsidRDefault="004676EF" w:rsidP="0099584D">
            <w:pPr>
              <w:spacing w:line="360" w:lineRule="auto"/>
              <w:rPr>
                <w:rFonts w:asciiTheme="majorHAnsi" w:hAnsiTheme="majorHAnsi"/>
              </w:rPr>
            </w:pPr>
            <w:r w:rsidRPr="00734AB6">
              <w:rPr>
                <w:rFonts w:asciiTheme="majorHAnsi" w:hAnsiTheme="majorHAnsi"/>
              </w:rPr>
              <w:t>50mg</w:t>
            </w:r>
          </w:p>
        </w:tc>
        <w:tc>
          <w:tcPr>
            <w:tcW w:w="2131" w:type="dxa"/>
            <w:tcBorders>
              <w:top w:val="nil"/>
              <w:left w:val="nil"/>
              <w:bottom w:val="nil"/>
            </w:tcBorders>
          </w:tcPr>
          <w:p w14:paraId="52D80D0D" w14:textId="77777777" w:rsidR="004676EF" w:rsidRPr="00734AB6" w:rsidRDefault="004676EF" w:rsidP="0099584D">
            <w:pPr>
              <w:spacing w:line="360" w:lineRule="auto"/>
              <w:rPr>
                <w:rFonts w:asciiTheme="majorHAnsi" w:hAnsiTheme="majorHAnsi"/>
              </w:rPr>
            </w:pPr>
            <w:r w:rsidRPr="00734AB6">
              <w:rPr>
                <w:rFonts w:asciiTheme="majorHAnsi" w:hAnsiTheme="majorHAnsi"/>
              </w:rPr>
              <w:t>2 (4.3)</w:t>
            </w:r>
          </w:p>
        </w:tc>
      </w:tr>
      <w:tr w:rsidR="004676EF" w:rsidRPr="00734AB6" w14:paraId="3A570C0A" w14:textId="77777777" w:rsidTr="004676EF">
        <w:tc>
          <w:tcPr>
            <w:tcW w:w="2689" w:type="dxa"/>
            <w:tcBorders>
              <w:top w:val="nil"/>
              <w:bottom w:val="nil"/>
              <w:right w:val="nil"/>
            </w:tcBorders>
          </w:tcPr>
          <w:p w14:paraId="6081A871" w14:textId="77777777" w:rsidR="004676EF" w:rsidRPr="00734AB6" w:rsidRDefault="004676EF" w:rsidP="0099584D">
            <w:pPr>
              <w:spacing w:line="360" w:lineRule="auto"/>
              <w:rPr>
                <w:rFonts w:asciiTheme="majorHAnsi" w:hAnsiTheme="majorHAnsi"/>
              </w:rPr>
            </w:pPr>
            <w:r w:rsidRPr="00734AB6">
              <w:rPr>
                <w:rFonts w:asciiTheme="majorHAnsi" w:hAnsiTheme="majorHAnsi"/>
              </w:rPr>
              <w:t>75mg</w:t>
            </w:r>
          </w:p>
        </w:tc>
        <w:tc>
          <w:tcPr>
            <w:tcW w:w="2131" w:type="dxa"/>
            <w:tcBorders>
              <w:top w:val="nil"/>
              <w:left w:val="nil"/>
              <w:bottom w:val="nil"/>
            </w:tcBorders>
          </w:tcPr>
          <w:p w14:paraId="6927E3B2" w14:textId="77777777" w:rsidR="004676EF" w:rsidRPr="00734AB6" w:rsidRDefault="004676EF" w:rsidP="0099584D">
            <w:pPr>
              <w:spacing w:line="360" w:lineRule="auto"/>
              <w:rPr>
                <w:rFonts w:asciiTheme="majorHAnsi" w:hAnsiTheme="majorHAnsi"/>
              </w:rPr>
            </w:pPr>
            <w:r w:rsidRPr="00734AB6">
              <w:rPr>
                <w:rFonts w:asciiTheme="majorHAnsi" w:hAnsiTheme="majorHAnsi"/>
              </w:rPr>
              <w:t>3 (6.4)</w:t>
            </w:r>
          </w:p>
        </w:tc>
      </w:tr>
      <w:tr w:rsidR="004676EF" w:rsidRPr="00734AB6" w14:paraId="6D14BE74" w14:textId="77777777" w:rsidTr="004676EF">
        <w:tc>
          <w:tcPr>
            <w:tcW w:w="2689" w:type="dxa"/>
            <w:tcBorders>
              <w:top w:val="nil"/>
              <w:bottom w:val="nil"/>
              <w:right w:val="nil"/>
            </w:tcBorders>
          </w:tcPr>
          <w:p w14:paraId="3875B672" w14:textId="77777777" w:rsidR="004676EF" w:rsidRPr="00734AB6" w:rsidRDefault="004676EF" w:rsidP="0099584D">
            <w:pPr>
              <w:spacing w:line="360" w:lineRule="auto"/>
              <w:rPr>
                <w:rFonts w:asciiTheme="majorHAnsi" w:hAnsiTheme="majorHAnsi"/>
              </w:rPr>
            </w:pPr>
            <w:r w:rsidRPr="00734AB6">
              <w:rPr>
                <w:rFonts w:asciiTheme="majorHAnsi" w:hAnsiTheme="majorHAnsi"/>
              </w:rPr>
              <w:t>100mg</w:t>
            </w:r>
          </w:p>
        </w:tc>
        <w:tc>
          <w:tcPr>
            <w:tcW w:w="2131" w:type="dxa"/>
            <w:tcBorders>
              <w:top w:val="nil"/>
              <w:left w:val="nil"/>
              <w:bottom w:val="nil"/>
            </w:tcBorders>
          </w:tcPr>
          <w:p w14:paraId="16E512F3" w14:textId="77777777" w:rsidR="004676EF" w:rsidRPr="00734AB6" w:rsidRDefault="004676EF" w:rsidP="0099584D">
            <w:pPr>
              <w:spacing w:line="360" w:lineRule="auto"/>
              <w:rPr>
                <w:rFonts w:asciiTheme="majorHAnsi" w:hAnsiTheme="majorHAnsi"/>
              </w:rPr>
            </w:pPr>
            <w:r w:rsidRPr="00734AB6">
              <w:rPr>
                <w:rFonts w:asciiTheme="majorHAnsi" w:hAnsiTheme="majorHAnsi"/>
              </w:rPr>
              <w:t>16 (34.0)</w:t>
            </w:r>
          </w:p>
        </w:tc>
      </w:tr>
      <w:tr w:rsidR="004676EF" w:rsidRPr="00734AB6" w14:paraId="520C17AE" w14:textId="77777777" w:rsidTr="004676EF">
        <w:tc>
          <w:tcPr>
            <w:tcW w:w="2689" w:type="dxa"/>
            <w:tcBorders>
              <w:top w:val="nil"/>
              <w:bottom w:val="nil"/>
              <w:right w:val="nil"/>
            </w:tcBorders>
          </w:tcPr>
          <w:p w14:paraId="4FDB6199" w14:textId="77777777" w:rsidR="004676EF" w:rsidRPr="00734AB6" w:rsidRDefault="004676EF" w:rsidP="0099584D">
            <w:pPr>
              <w:spacing w:line="360" w:lineRule="auto"/>
              <w:rPr>
                <w:rFonts w:asciiTheme="majorHAnsi" w:hAnsiTheme="majorHAnsi"/>
              </w:rPr>
            </w:pPr>
            <w:r w:rsidRPr="00734AB6">
              <w:rPr>
                <w:rFonts w:asciiTheme="majorHAnsi" w:hAnsiTheme="majorHAnsi"/>
              </w:rPr>
              <w:t>150mg</w:t>
            </w:r>
          </w:p>
        </w:tc>
        <w:tc>
          <w:tcPr>
            <w:tcW w:w="2131" w:type="dxa"/>
            <w:tcBorders>
              <w:top w:val="nil"/>
              <w:left w:val="nil"/>
              <w:bottom w:val="nil"/>
            </w:tcBorders>
          </w:tcPr>
          <w:p w14:paraId="2E3C155B" w14:textId="77777777" w:rsidR="004676EF" w:rsidRPr="00734AB6" w:rsidRDefault="004676EF" w:rsidP="0099584D">
            <w:pPr>
              <w:spacing w:line="360" w:lineRule="auto"/>
              <w:rPr>
                <w:rFonts w:asciiTheme="majorHAnsi" w:hAnsiTheme="majorHAnsi"/>
              </w:rPr>
            </w:pPr>
            <w:r w:rsidRPr="00734AB6">
              <w:rPr>
                <w:rFonts w:asciiTheme="majorHAnsi" w:hAnsiTheme="majorHAnsi"/>
              </w:rPr>
              <w:t>3 (6.4)</w:t>
            </w:r>
          </w:p>
        </w:tc>
      </w:tr>
      <w:tr w:rsidR="004676EF" w:rsidRPr="00734AB6" w14:paraId="42998043" w14:textId="77777777" w:rsidTr="004676EF">
        <w:tc>
          <w:tcPr>
            <w:tcW w:w="2689" w:type="dxa"/>
            <w:tcBorders>
              <w:top w:val="nil"/>
              <w:bottom w:val="nil"/>
              <w:right w:val="nil"/>
            </w:tcBorders>
          </w:tcPr>
          <w:p w14:paraId="34F53CF6" w14:textId="77777777" w:rsidR="004676EF" w:rsidRPr="00734AB6" w:rsidRDefault="004676EF" w:rsidP="0099584D">
            <w:pPr>
              <w:spacing w:line="360" w:lineRule="auto"/>
              <w:rPr>
                <w:rFonts w:asciiTheme="majorHAnsi" w:hAnsiTheme="majorHAnsi"/>
              </w:rPr>
            </w:pPr>
            <w:r w:rsidRPr="00734AB6">
              <w:rPr>
                <w:rFonts w:asciiTheme="majorHAnsi" w:hAnsiTheme="majorHAnsi"/>
              </w:rPr>
              <w:t>200mg</w:t>
            </w:r>
          </w:p>
        </w:tc>
        <w:tc>
          <w:tcPr>
            <w:tcW w:w="2131" w:type="dxa"/>
            <w:tcBorders>
              <w:top w:val="nil"/>
              <w:left w:val="nil"/>
              <w:bottom w:val="nil"/>
            </w:tcBorders>
          </w:tcPr>
          <w:p w14:paraId="3F307F89" w14:textId="77777777" w:rsidR="004676EF" w:rsidRPr="00734AB6" w:rsidRDefault="004676EF" w:rsidP="0099584D">
            <w:pPr>
              <w:spacing w:line="360" w:lineRule="auto"/>
              <w:rPr>
                <w:rFonts w:asciiTheme="majorHAnsi" w:hAnsiTheme="majorHAnsi"/>
              </w:rPr>
            </w:pPr>
            <w:r w:rsidRPr="00734AB6">
              <w:rPr>
                <w:rFonts w:asciiTheme="majorHAnsi" w:hAnsiTheme="majorHAnsi"/>
              </w:rPr>
              <w:t>10 (21.3)</w:t>
            </w:r>
          </w:p>
        </w:tc>
      </w:tr>
      <w:tr w:rsidR="004676EF" w:rsidRPr="00734AB6" w14:paraId="701086E2" w14:textId="77777777" w:rsidTr="004676EF">
        <w:tc>
          <w:tcPr>
            <w:tcW w:w="2689" w:type="dxa"/>
            <w:tcBorders>
              <w:top w:val="nil"/>
              <w:bottom w:val="nil"/>
              <w:right w:val="nil"/>
            </w:tcBorders>
          </w:tcPr>
          <w:p w14:paraId="15DA6DD9" w14:textId="77777777" w:rsidR="004676EF" w:rsidRPr="00734AB6" w:rsidRDefault="004676EF" w:rsidP="0099584D">
            <w:pPr>
              <w:spacing w:line="360" w:lineRule="auto"/>
              <w:rPr>
                <w:rFonts w:asciiTheme="majorHAnsi" w:hAnsiTheme="majorHAnsi"/>
              </w:rPr>
            </w:pPr>
            <w:r w:rsidRPr="00734AB6">
              <w:rPr>
                <w:rFonts w:asciiTheme="majorHAnsi" w:hAnsiTheme="majorHAnsi"/>
              </w:rPr>
              <w:t>300mg</w:t>
            </w:r>
          </w:p>
        </w:tc>
        <w:tc>
          <w:tcPr>
            <w:tcW w:w="2131" w:type="dxa"/>
            <w:tcBorders>
              <w:top w:val="nil"/>
              <w:left w:val="nil"/>
              <w:bottom w:val="nil"/>
            </w:tcBorders>
          </w:tcPr>
          <w:p w14:paraId="77B4D9B2" w14:textId="77777777" w:rsidR="004676EF" w:rsidRPr="00734AB6" w:rsidRDefault="004676EF" w:rsidP="0099584D">
            <w:pPr>
              <w:spacing w:line="360" w:lineRule="auto"/>
              <w:rPr>
                <w:rFonts w:asciiTheme="majorHAnsi" w:hAnsiTheme="majorHAnsi"/>
              </w:rPr>
            </w:pPr>
            <w:r w:rsidRPr="00734AB6">
              <w:rPr>
                <w:rFonts w:asciiTheme="majorHAnsi" w:hAnsiTheme="majorHAnsi"/>
              </w:rPr>
              <w:t>3 (6.4)</w:t>
            </w:r>
          </w:p>
        </w:tc>
      </w:tr>
      <w:tr w:rsidR="004676EF" w:rsidRPr="00734AB6" w14:paraId="1777E62D" w14:textId="77777777" w:rsidTr="004676EF">
        <w:tc>
          <w:tcPr>
            <w:tcW w:w="2689" w:type="dxa"/>
            <w:tcBorders>
              <w:top w:val="nil"/>
              <w:bottom w:val="single" w:sz="4" w:space="0" w:color="auto"/>
              <w:right w:val="nil"/>
            </w:tcBorders>
          </w:tcPr>
          <w:p w14:paraId="45138ACE" w14:textId="77777777" w:rsidR="004676EF" w:rsidRPr="00734AB6" w:rsidRDefault="004676EF" w:rsidP="0099584D">
            <w:pPr>
              <w:spacing w:line="360" w:lineRule="auto"/>
              <w:rPr>
                <w:rFonts w:asciiTheme="majorHAnsi" w:hAnsiTheme="majorHAnsi"/>
              </w:rPr>
            </w:pPr>
            <w:r w:rsidRPr="00734AB6">
              <w:rPr>
                <w:rFonts w:asciiTheme="majorHAnsi" w:hAnsiTheme="majorHAnsi"/>
              </w:rPr>
              <w:t>400mg</w:t>
            </w:r>
          </w:p>
        </w:tc>
        <w:tc>
          <w:tcPr>
            <w:tcW w:w="2131" w:type="dxa"/>
            <w:tcBorders>
              <w:top w:val="nil"/>
              <w:left w:val="nil"/>
              <w:bottom w:val="single" w:sz="4" w:space="0" w:color="auto"/>
            </w:tcBorders>
          </w:tcPr>
          <w:p w14:paraId="19C0E0AC"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w:t>
            </w:r>
          </w:p>
        </w:tc>
      </w:tr>
    </w:tbl>
    <w:p w14:paraId="6DC60EF5"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6238B933" w14:textId="77777777" w:rsidR="004676EF" w:rsidRPr="00734AB6" w:rsidRDefault="004676EF" w:rsidP="0099584D">
      <w:pPr>
        <w:spacing w:line="360" w:lineRule="auto"/>
        <w:rPr>
          <w:rFonts w:asciiTheme="majorHAnsi" w:hAnsiTheme="majorHAnsi"/>
        </w:rPr>
      </w:pPr>
    </w:p>
    <w:p w14:paraId="4CBF7F8A" w14:textId="77777777" w:rsidR="00E2030F" w:rsidRPr="00734AB6" w:rsidRDefault="00E2030F">
      <w:pPr>
        <w:rPr>
          <w:rFonts w:asciiTheme="majorHAnsi" w:hAnsiTheme="majorHAnsi"/>
          <w:b/>
        </w:rPr>
      </w:pPr>
      <w:r w:rsidRPr="00734AB6">
        <w:rPr>
          <w:rFonts w:asciiTheme="majorHAnsi" w:hAnsiTheme="majorHAnsi"/>
          <w:b/>
        </w:rPr>
        <w:br w:type="page"/>
      </w:r>
    </w:p>
    <w:p w14:paraId="3525BE75" w14:textId="65DF90B6" w:rsidR="004676EF" w:rsidRPr="00734AB6" w:rsidRDefault="004676EF" w:rsidP="0099584D">
      <w:pPr>
        <w:spacing w:line="360" w:lineRule="auto"/>
        <w:rPr>
          <w:rFonts w:asciiTheme="majorHAnsi" w:hAnsiTheme="majorHAnsi"/>
          <w:b/>
        </w:rPr>
      </w:pPr>
      <w:r w:rsidRPr="00734AB6">
        <w:rPr>
          <w:rFonts w:asciiTheme="majorHAnsi" w:hAnsiTheme="majorHAnsi"/>
          <w:b/>
        </w:rPr>
        <w:lastRenderedPageBreak/>
        <w:t xml:space="preserve">Table </w:t>
      </w:r>
      <w:r w:rsidR="00833970" w:rsidRPr="00734AB6">
        <w:rPr>
          <w:rFonts w:asciiTheme="majorHAnsi" w:hAnsiTheme="majorHAnsi"/>
          <w:b/>
        </w:rPr>
        <w:t>C.9</w:t>
      </w:r>
      <w:r w:rsidRPr="00734AB6">
        <w:rPr>
          <w:rFonts w:asciiTheme="majorHAnsi" w:hAnsiTheme="majorHAnsi"/>
          <w:b/>
        </w:rPr>
        <w:t>. Maximum and minimum dose of modafinil</w:t>
      </w:r>
    </w:p>
    <w:tbl>
      <w:tblPr>
        <w:tblW w:w="0" w:type="auto"/>
        <w:tblLook w:val="04A0" w:firstRow="1" w:lastRow="0" w:firstColumn="1" w:lastColumn="0" w:noHBand="0" w:noVBand="1"/>
      </w:tblPr>
      <w:tblGrid>
        <w:gridCol w:w="1560"/>
        <w:gridCol w:w="1984"/>
        <w:gridCol w:w="1985"/>
      </w:tblGrid>
      <w:tr w:rsidR="004676EF" w:rsidRPr="00734AB6" w14:paraId="6F03130C" w14:textId="77777777" w:rsidTr="004676EF">
        <w:tc>
          <w:tcPr>
            <w:tcW w:w="1560" w:type="dxa"/>
            <w:tcBorders>
              <w:left w:val="nil"/>
              <w:bottom w:val="single" w:sz="4" w:space="0" w:color="auto"/>
              <w:right w:val="nil"/>
            </w:tcBorders>
          </w:tcPr>
          <w:p w14:paraId="04085BA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Dosage (mg)</w:t>
            </w:r>
          </w:p>
        </w:tc>
        <w:tc>
          <w:tcPr>
            <w:tcW w:w="1984" w:type="dxa"/>
            <w:tcBorders>
              <w:left w:val="nil"/>
              <w:bottom w:val="single" w:sz="4" w:space="0" w:color="auto"/>
              <w:right w:val="nil"/>
            </w:tcBorders>
          </w:tcPr>
          <w:p w14:paraId="4FB1FF7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Maximum N (%)*</w:t>
            </w:r>
          </w:p>
        </w:tc>
        <w:tc>
          <w:tcPr>
            <w:tcW w:w="1985" w:type="dxa"/>
            <w:tcBorders>
              <w:left w:val="nil"/>
              <w:bottom w:val="single" w:sz="4" w:space="0" w:color="auto"/>
              <w:right w:val="nil"/>
            </w:tcBorders>
          </w:tcPr>
          <w:p w14:paraId="7AA38A7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Minimum N (%)*</w:t>
            </w:r>
          </w:p>
        </w:tc>
      </w:tr>
      <w:tr w:rsidR="004676EF" w:rsidRPr="00734AB6" w14:paraId="6F0D76B6" w14:textId="77777777" w:rsidTr="004676EF">
        <w:tc>
          <w:tcPr>
            <w:tcW w:w="1560" w:type="dxa"/>
            <w:tcBorders>
              <w:left w:val="nil"/>
              <w:bottom w:val="nil"/>
              <w:right w:val="nil"/>
            </w:tcBorders>
          </w:tcPr>
          <w:p w14:paraId="63FEB941" w14:textId="77777777" w:rsidR="004676EF" w:rsidRPr="00734AB6" w:rsidRDefault="004676EF" w:rsidP="0099584D">
            <w:pPr>
              <w:spacing w:line="360" w:lineRule="auto"/>
              <w:rPr>
                <w:rFonts w:asciiTheme="majorHAnsi" w:hAnsiTheme="majorHAnsi"/>
              </w:rPr>
            </w:pPr>
            <w:r w:rsidRPr="00734AB6">
              <w:rPr>
                <w:rFonts w:asciiTheme="majorHAnsi" w:hAnsiTheme="majorHAnsi"/>
              </w:rPr>
              <w:t>25</w:t>
            </w:r>
          </w:p>
        </w:tc>
        <w:tc>
          <w:tcPr>
            <w:tcW w:w="1984" w:type="dxa"/>
            <w:tcBorders>
              <w:left w:val="nil"/>
              <w:bottom w:val="nil"/>
              <w:right w:val="nil"/>
            </w:tcBorders>
          </w:tcPr>
          <w:p w14:paraId="3E15E33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985" w:type="dxa"/>
            <w:tcBorders>
              <w:left w:val="nil"/>
              <w:bottom w:val="nil"/>
              <w:right w:val="nil"/>
            </w:tcBorders>
          </w:tcPr>
          <w:p w14:paraId="68BB287F" w14:textId="77777777" w:rsidR="004676EF" w:rsidRPr="00734AB6" w:rsidRDefault="004676EF" w:rsidP="0099584D">
            <w:pPr>
              <w:spacing w:line="360" w:lineRule="auto"/>
              <w:rPr>
                <w:rFonts w:asciiTheme="majorHAnsi" w:hAnsiTheme="majorHAnsi"/>
              </w:rPr>
            </w:pPr>
            <w:r w:rsidRPr="00734AB6">
              <w:rPr>
                <w:rFonts w:asciiTheme="majorHAnsi" w:hAnsiTheme="majorHAnsi"/>
              </w:rPr>
              <w:t>4 (8.51)</w:t>
            </w:r>
          </w:p>
        </w:tc>
      </w:tr>
      <w:tr w:rsidR="004676EF" w:rsidRPr="00734AB6" w14:paraId="42FD4E66" w14:textId="77777777" w:rsidTr="004676EF">
        <w:tc>
          <w:tcPr>
            <w:tcW w:w="1560" w:type="dxa"/>
            <w:tcBorders>
              <w:top w:val="nil"/>
              <w:left w:val="nil"/>
              <w:bottom w:val="nil"/>
              <w:right w:val="nil"/>
            </w:tcBorders>
          </w:tcPr>
          <w:p w14:paraId="72901781" w14:textId="77777777" w:rsidR="004676EF" w:rsidRPr="00734AB6" w:rsidRDefault="004676EF" w:rsidP="0099584D">
            <w:pPr>
              <w:spacing w:line="360" w:lineRule="auto"/>
              <w:rPr>
                <w:rFonts w:asciiTheme="majorHAnsi" w:hAnsiTheme="majorHAnsi"/>
              </w:rPr>
            </w:pPr>
            <w:r w:rsidRPr="00734AB6">
              <w:rPr>
                <w:rFonts w:asciiTheme="majorHAnsi" w:hAnsiTheme="majorHAnsi"/>
              </w:rPr>
              <w:t>50</w:t>
            </w:r>
          </w:p>
        </w:tc>
        <w:tc>
          <w:tcPr>
            <w:tcW w:w="1984" w:type="dxa"/>
            <w:tcBorders>
              <w:top w:val="nil"/>
              <w:left w:val="nil"/>
              <w:bottom w:val="nil"/>
              <w:right w:val="nil"/>
            </w:tcBorders>
          </w:tcPr>
          <w:p w14:paraId="1CE2A594"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985" w:type="dxa"/>
            <w:tcBorders>
              <w:top w:val="nil"/>
              <w:left w:val="nil"/>
              <w:bottom w:val="nil"/>
              <w:right w:val="nil"/>
            </w:tcBorders>
          </w:tcPr>
          <w:p w14:paraId="3DF6E007" w14:textId="77777777" w:rsidR="004676EF" w:rsidRPr="00734AB6" w:rsidRDefault="004676EF" w:rsidP="0099584D">
            <w:pPr>
              <w:spacing w:line="360" w:lineRule="auto"/>
              <w:rPr>
                <w:rFonts w:asciiTheme="majorHAnsi" w:hAnsiTheme="majorHAnsi"/>
              </w:rPr>
            </w:pPr>
            <w:r w:rsidRPr="00734AB6">
              <w:rPr>
                <w:rFonts w:asciiTheme="majorHAnsi" w:hAnsiTheme="majorHAnsi"/>
              </w:rPr>
              <w:t>13 (19.1)</w:t>
            </w:r>
          </w:p>
        </w:tc>
      </w:tr>
      <w:tr w:rsidR="004676EF" w:rsidRPr="00734AB6" w14:paraId="2AE63744" w14:textId="77777777" w:rsidTr="004676EF">
        <w:tc>
          <w:tcPr>
            <w:tcW w:w="1560" w:type="dxa"/>
            <w:tcBorders>
              <w:top w:val="nil"/>
              <w:left w:val="nil"/>
              <w:bottom w:val="nil"/>
              <w:right w:val="nil"/>
            </w:tcBorders>
          </w:tcPr>
          <w:p w14:paraId="0AB58170" w14:textId="77777777" w:rsidR="004676EF" w:rsidRPr="00734AB6" w:rsidRDefault="004676EF" w:rsidP="0099584D">
            <w:pPr>
              <w:spacing w:line="360" w:lineRule="auto"/>
              <w:rPr>
                <w:rFonts w:asciiTheme="majorHAnsi" w:hAnsiTheme="majorHAnsi"/>
              </w:rPr>
            </w:pPr>
            <w:r w:rsidRPr="00734AB6">
              <w:rPr>
                <w:rFonts w:asciiTheme="majorHAnsi" w:hAnsiTheme="majorHAnsi"/>
              </w:rPr>
              <w:t>75</w:t>
            </w:r>
          </w:p>
        </w:tc>
        <w:tc>
          <w:tcPr>
            <w:tcW w:w="1984" w:type="dxa"/>
            <w:tcBorders>
              <w:top w:val="nil"/>
              <w:left w:val="nil"/>
              <w:bottom w:val="nil"/>
              <w:right w:val="nil"/>
            </w:tcBorders>
          </w:tcPr>
          <w:p w14:paraId="70336C1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985" w:type="dxa"/>
            <w:tcBorders>
              <w:top w:val="nil"/>
              <w:left w:val="nil"/>
              <w:bottom w:val="nil"/>
              <w:right w:val="nil"/>
            </w:tcBorders>
          </w:tcPr>
          <w:p w14:paraId="7FC7B135" w14:textId="77777777" w:rsidR="004676EF" w:rsidRPr="00734AB6" w:rsidRDefault="004676EF" w:rsidP="0099584D">
            <w:pPr>
              <w:spacing w:line="360" w:lineRule="auto"/>
              <w:rPr>
                <w:rFonts w:asciiTheme="majorHAnsi" w:hAnsiTheme="majorHAnsi"/>
              </w:rPr>
            </w:pPr>
            <w:r w:rsidRPr="00734AB6">
              <w:rPr>
                <w:rFonts w:asciiTheme="majorHAnsi" w:hAnsiTheme="majorHAnsi"/>
              </w:rPr>
              <w:t>2 (4.3)</w:t>
            </w:r>
          </w:p>
        </w:tc>
      </w:tr>
      <w:tr w:rsidR="004676EF" w:rsidRPr="00734AB6" w14:paraId="5189EBFF" w14:textId="77777777" w:rsidTr="004676EF">
        <w:tc>
          <w:tcPr>
            <w:tcW w:w="1560" w:type="dxa"/>
            <w:tcBorders>
              <w:top w:val="nil"/>
              <w:left w:val="nil"/>
              <w:bottom w:val="nil"/>
              <w:right w:val="nil"/>
            </w:tcBorders>
          </w:tcPr>
          <w:p w14:paraId="5CE2ECAA" w14:textId="77777777" w:rsidR="004676EF" w:rsidRPr="00734AB6" w:rsidRDefault="004676EF" w:rsidP="0099584D">
            <w:pPr>
              <w:spacing w:line="360" w:lineRule="auto"/>
              <w:rPr>
                <w:rFonts w:asciiTheme="majorHAnsi" w:hAnsiTheme="majorHAnsi"/>
              </w:rPr>
            </w:pPr>
            <w:r w:rsidRPr="00734AB6">
              <w:rPr>
                <w:rFonts w:asciiTheme="majorHAnsi" w:hAnsiTheme="majorHAnsi"/>
              </w:rPr>
              <w:t>100</w:t>
            </w:r>
          </w:p>
        </w:tc>
        <w:tc>
          <w:tcPr>
            <w:tcW w:w="1984" w:type="dxa"/>
            <w:tcBorders>
              <w:top w:val="nil"/>
              <w:left w:val="nil"/>
              <w:bottom w:val="nil"/>
              <w:right w:val="nil"/>
            </w:tcBorders>
          </w:tcPr>
          <w:p w14:paraId="089E221C" w14:textId="77777777" w:rsidR="004676EF" w:rsidRPr="00734AB6" w:rsidRDefault="004676EF" w:rsidP="0099584D">
            <w:pPr>
              <w:spacing w:line="360" w:lineRule="auto"/>
              <w:rPr>
                <w:rFonts w:asciiTheme="majorHAnsi" w:hAnsiTheme="majorHAnsi"/>
              </w:rPr>
            </w:pPr>
            <w:r w:rsidRPr="00734AB6">
              <w:rPr>
                <w:rFonts w:asciiTheme="majorHAnsi" w:hAnsiTheme="majorHAnsi"/>
              </w:rPr>
              <w:t>9 (19.1)</w:t>
            </w:r>
          </w:p>
        </w:tc>
        <w:tc>
          <w:tcPr>
            <w:tcW w:w="1985" w:type="dxa"/>
            <w:tcBorders>
              <w:top w:val="nil"/>
              <w:left w:val="nil"/>
              <w:bottom w:val="nil"/>
              <w:right w:val="nil"/>
            </w:tcBorders>
          </w:tcPr>
          <w:p w14:paraId="358F3250" w14:textId="77777777" w:rsidR="004676EF" w:rsidRPr="00734AB6" w:rsidRDefault="004676EF" w:rsidP="0099584D">
            <w:pPr>
              <w:spacing w:line="360" w:lineRule="auto"/>
              <w:rPr>
                <w:rFonts w:asciiTheme="majorHAnsi" w:hAnsiTheme="majorHAnsi"/>
              </w:rPr>
            </w:pPr>
            <w:r w:rsidRPr="00734AB6">
              <w:rPr>
                <w:rFonts w:asciiTheme="majorHAnsi" w:hAnsiTheme="majorHAnsi"/>
              </w:rPr>
              <w:t>16 (34.0)</w:t>
            </w:r>
          </w:p>
        </w:tc>
      </w:tr>
      <w:tr w:rsidR="004676EF" w:rsidRPr="00734AB6" w14:paraId="37714457" w14:textId="77777777" w:rsidTr="004676EF">
        <w:tc>
          <w:tcPr>
            <w:tcW w:w="1560" w:type="dxa"/>
            <w:tcBorders>
              <w:top w:val="nil"/>
              <w:left w:val="nil"/>
              <w:bottom w:val="nil"/>
              <w:right w:val="nil"/>
            </w:tcBorders>
          </w:tcPr>
          <w:p w14:paraId="332F73AC" w14:textId="77777777" w:rsidR="004676EF" w:rsidRPr="00734AB6" w:rsidRDefault="004676EF" w:rsidP="0099584D">
            <w:pPr>
              <w:spacing w:line="360" w:lineRule="auto"/>
              <w:rPr>
                <w:rFonts w:asciiTheme="majorHAnsi" w:hAnsiTheme="majorHAnsi"/>
              </w:rPr>
            </w:pPr>
            <w:r w:rsidRPr="00734AB6">
              <w:rPr>
                <w:rFonts w:asciiTheme="majorHAnsi" w:hAnsiTheme="majorHAnsi"/>
              </w:rPr>
              <w:t>150</w:t>
            </w:r>
          </w:p>
        </w:tc>
        <w:tc>
          <w:tcPr>
            <w:tcW w:w="1984" w:type="dxa"/>
            <w:tcBorders>
              <w:top w:val="nil"/>
              <w:left w:val="nil"/>
              <w:bottom w:val="nil"/>
              <w:right w:val="nil"/>
            </w:tcBorders>
          </w:tcPr>
          <w:p w14:paraId="3E7565C0" w14:textId="77777777" w:rsidR="004676EF" w:rsidRPr="00734AB6" w:rsidRDefault="004676EF" w:rsidP="0099584D">
            <w:pPr>
              <w:spacing w:line="360" w:lineRule="auto"/>
              <w:rPr>
                <w:rFonts w:asciiTheme="majorHAnsi" w:hAnsiTheme="majorHAnsi"/>
              </w:rPr>
            </w:pPr>
            <w:r w:rsidRPr="00734AB6">
              <w:rPr>
                <w:rFonts w:asciiTheme="majorHAnsi" w:hAnsiTheme="majorHAnsi"/>
              </w:rPr>
              <w:t>4 (8.51)</w:t>
            </w:r>
          </w:p>
        </w:tc>
        <w:tc>
          <w:tcPr>
            <w:tcW w:w="1985" w:type="dxa"/>
            <w:tcBorders>
              <w:top w:val="nil"/>
              <w:left w:val="nil"/>
              <w:bottom w:val="nil"/>
              <w:right w:val="nil"/>
            </w:tcBorders>
          </w:tcPr>
          <w:p w14:paraId="38CD4F8A"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62A8CC1B" w14:textId="77777777" w:rsidTr="004676EF">
        <w:tc>
          <w:tcPr>
            <w:tcW w:w="1560" w:type="dxa"/>
            <w:tcBorders>
              <w:top w:val="nil"/>
              <w:left w:val="nil"/>
              <w:bottom w:val="nil"/>
              <w:right w:val="nil"/>
            </w:tcBorders>
          </w:tcPr>
          <w:p w14:paraId="0F5783F7" w14:textId="77777777" w:rsidR="004676EF" w:rsidRPr="00734AB6" w:rsidRDefault="004676EF" w:rsidP="0099584D">
            <w:pPr>
              <w:spacing w:line="360" w:lineRule="auto"/>
              <w:rPr>
                <w:rFonts w:asciiTheme="majorHAnsi" w:hAnsiTheme="majorHAnsi"/>
              </w:rPr>
            </w:pPr>
            <w:r w:rsidRPr="00734AB6">
              <w:rPr>
                <w:rFonts w:asciiTheme="majorHAnsi" w:hAnsiTheme="majorHAnsi"/>
              </w:rPr>
              <w:t>200</w:t>
            </w:r>
          </w:p>
        </w:tc>
        <w:tc>
          <w:tcPr>
            <w:tcW w:w="1984" w:type="dxa"/>
            <w:tcBorders>
              <w:top w:val="nil"/>
              <w:left w:val="nil"/>
              <w:bottom w:val="nil"/>
              <w:right w:val="nil"/>
            </w:tcBorders>
          </w:tcPr>
          <w:p w14:paraId="2B6E63B6" w14:textId="77777777" w:rsidR="004676EF" w:rsidRPr="00734AB6" w:rsidRDefault="004676EF" w:rsidP="0099584D">
            <w:pPr>
              <w:spacing w:line="360" w:lineRule="auto"/>
              <w:rPr>
                <w:rFonts w:asciiTheme="majorHAnsi" w:hAnsiTheme="majorHAnsi"/>
              </w:rPr>
            </w:pPr>
            <w:r w:rsidRPr="00734AB6">
              <w:rPr>
                <w:rFonts w:asciiTheme="majorHAnsi" w:hAnsiTheme="majorHAnsi"/>
              </w:rPr>
              <w:t>16 (34.0)</w:t>
            </w:r>
          </w:p>
        </w:tc>
        <w:tc>
          <w:tcPr>
            <w:tcW w:w="1985" w:type="dxa"/>
            <w:tcBorders>
              <w:top w:val="nil"/>
              <w:left w:val="nil"/>
              <w:bottom w:val="nil"/>
              <w:right w:val="nil"/>
            </w:tcBorders>
          </w:tcPr>
          <w:p w14:paraId="44F413CF" w14:textId="77777777" w:rsidR="004676EF" w:rsidRPr="00734AB6" w:rsidRDefault="004676EF" w:rsidP="0099584D">
            <w:pPr>
              <w:spacing w:line="360" w:lineRule="auto"/>
              <w:rPr>
                <w:rFonts w:asciiTheme="majorHAnsi" w:hAnsiTheme="majorHAnsi"/>
              </w:rPr>
            </w:pPr>
            <w:r w:rsidRPr="00734AB6">
              <w:rPr>
                <w:rFonts w:asciiTheme="majorHAnsi" w:hAnsiTheme="majorHAnsi"/>
              </w:rPr>
              <w:t>3 (6.4)</w:t>
            </w:r>
          </w:p>
        </w:tc>
      </w:tr>
      <w:tr w:rsidR="004676EF" w:rsidRPr="00734AB6" w14:paraId="62F03336" w14:textId="77777777" w:rsidTr="004676EF">
        <w:tc>
          <w:tcPr>
            <w:tcW w:w="1560" w:type="dxa"/>
            <w:tcBorders>
              <w:top w:val="nil"/>
              <w:left w:val="nil"/>
              <w:bottom w:val="nil"/>
              <w:right w:val="nil"/>
            </w:tcBorders>
          </w:tcPr>
          <w:p w14:paraId="00AB14D5" w14:textId="77777777" w:rsidR="004676EF" w:rsidRPr="00734AB6" w:rsidRDefault="004676EF" w:rsidP="0099584D">
            <w:pPr>
              <w:spacing w:line="360" w:lineRule="auto"/>
              <w:rPr>
                <w:rFonts w:asciiTheme="majorHAnsi" w:hAnsiTheme="majorHAnsi"/>
              </w:rPr>
            </w:pPr>
            <w:r w:rsidRPr="00734AB6">
              <w:rPr>
                <w:rFonts w:asciiTheme="majorHAnsi" w:hAnsiTheme="majorHAnsi"/>
              </w:rPr>
              <w:t>250</w:t>
            </w:r>
          </w:p>
        </w:tc>
        <w:tc>
          <w:tcPr>
            <w:tcW w:w="1984" w:type="dxa"/>
            <w:tcBorders>
              <w:top w:val="nil"/>
              <w:left w:val="nil"/>
              <w:bottom w:val="nil"/>
              <w:right w:val="nil"/>
            </w:tcBorders>
          </w:tcPr>
          <w:p w14:paraId="3E4AEDDF" w14:textId="77777777" w:rsidR="004676EF" w:rsidRPr="00734AB6" w:rsidRDefault="004676EF" w:rsidP="0099584D">
            <w:pPr>
              <w:spacing w:line="360" w:lineRule="auto"/>
              <w:rPr>
                <w:rFonts w:asciiTheme="majorHAnsi" w:hAnsiTheme="majorHAnsi"/>
              </w:rPr>
            </w:pPr>
            <w:r w:rsidRPr="00734AB6">
              <w:rPr>
                <w:rFonts w:asciiTheme="majorHAnsi" w:hAnsiTheme="majorHAnsi"/>
              </w:rPr>
              <w:t>2 (4.3)</w:t>
            </w:r>
          </w:p>
        </w:tc>
        <w:tc>
          <w:tcPr>
            <w:tcW w:w="1985" w:type="dxa"/>
            <w:tcBorders>
              <w:top w:val="nil"/>
              <w:left w:val="nil"/>
              <w:bottom w:val="nil"/>
              <w:right w:val="nil"/>
            </w:tcBorders>
          </w:tcPr>
          <w:p w14:paraId="5B944A38"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1C472DCC" w14:textId="77777777" w:rsidTr="004676EF">
        <w:tc>
          <w:tcPr>
            <w:tcW w:w="1560" w:type="dxa"/>
            <w:tcBorders>
              <w:top w:val="nil"/>
              <w:left w:val="nil"/>
              <w:bottom w:val="nil"/>
              <w:right w:val="nil"/>
            </w:tcBorders>
          </w:tcPr>
          <w:p w14:paraId="33E99BE6" w14:textId="77777777" w:rsidR="004676EF" w:rsidRPr="00734AB6" w:rsidRDefault="004676EF" w:rsidP="0099584D">
            <w:pPr>
              <w:spacing w:line="360" w:lineRule="auto"/>
              <w:rPr>
                <w:rFonts w:asciiTheme="majorHAnsi" w:hAnsiTheme="majorHAnsi"/>
              </w:rPr>
            </w:pPr>
            <w:r w:rsidRPr="00734AB6">
              <w:rPr>
                <w:rFonts w:asciiTheme="majorHAnsi" w:hAnsiTheme="majorHAnsi"/>
              </w:rPr>
              <w:t>300</w:t>
            </w:r>
          </w:p>
        </w:tc>
        <w:tc>
          <w:tcPr>
            <w:tcW w:w="1984" w:type="dxa"/>
            <w:tcBorders>
              <w:top w:val="nil"/>
              <w:left w:val="nil"/>
              <w:bottom w:val="nil"/>
              <w:right w:val="nil"/>
            </w:tcBorders>
          </w:tcPr>
          <w:p w14:paraId="240E9502" w14:textId="77777777" w:rsidR="004676EF" w:rsidRPr="00734AB6" w:rsidRDefault="004676EF" w:rsidP="0099584D">
            <w:pPr>
              <w:spacing w:line="360" w:lineRule="auto"/>
              <w:rPr>
                <w:rFonts w:asciiTheme="majorHAnsi" w:hAnsiTheme="majorHAnsi"/>
              </w:rPr>
            </w:pPr>
            <w:r w:rsidRPr="00734AB6">
              <w:rPr>
                <w:rFonts w:asciiTheme="majorHAnsi" w:hAnsiTheme="majorHAnsi"/>
              </w:rPr>
              <w:t>2 (4.3)</w:t>
            </w:r>
          </w:p>
        </w:tc>
        <w:tc>
          <w:tcPr>
            <w:tcW w:w="1985" w:type="dxa"/>
            <w:tcBorders>
              <w:top w:val="nil"/>
              <w:left w:val="nil"/>
              <w:bottom w:val="nil"/>
              <w:right w:val="nil"/>
            </w:tcBorders>
          </w:tcPr>
          <w:p w14:paraId="5E772805"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4FBC8A80" w14:textId="77777777" w:rsidTr="004676EF">
        <w:tc>
          <w:tcPr>
            <w:tcW w:w="1560" w:type="dxa"/>
            <w:tcBorders>
              <w:top w:val="nil"/>
              <w:left w:val="nil"/>
              <w:bottom w:val="nil"/>
              <w:right w:val="nil"/>
            </w:tcBorders>
          </w:tcPr>
          <w:p w14:paraId="71B4A6C0" w14:textId="77777777" w:rsidR="004676EF" w:rsidRPr="00734AB6" w:rsidRDefault="004676EF" w:rsidP="0099584D">
            <w:pPr>
              <w:spacing w:line="360" w:lineRule="auto"/>
              <w:rPr>
                <w:rFonts w:asciiTheme="majorHAnsi" w:hAnsiTheme="majorHAnsi"/>
              </w:rPr>
            </w:pPr>
            <w:r w:rsidRPr="00734AB6">
              <w:rPr>
                <w:rFonts w:asciiTheme="majorHAnsi" w:hAnsiTheme="majorHAnsi"/>
              </w:rPr>
              <w:t>400</w:t>
            </w:r>
          </w:p>
        </w:tc>
        <w:tc>
          <w:tcPr>
            <w:tcW w:w="1984" w:type="dxa"/>
            <w:tcBorders>
              <w:top w:val="nil"/>
              <w:left w:val="nil"/>
              <w:bottom w:val="nil"/>
              <w:right w:val="nil"/>
            </w:tcBorders>
          </w:tcPr>
          <w:p w14:paraId="3A6E0411" w14:textId="77777777" w:rsidR="004676EF" w:rsidRPr="00734AB6" w:rsidRDefault="004676EF" w:rsidP="0099584D">
            <w:pPr>
              <w:spacing w:line="360" w:lineRule="auto"/>
              <w:rPr>
                <w:rFonts w:asciiTheme="majorHAnsi" w:hAnsiTheme="majorHAnsi"/>
              </w:rPr>
            </w:pPr>
            <w:r w:rsidRPr="00734AB6">
              <w:rPr>
                <w:rFonts w:asciiTheme="majorHAnsi" w:hAnsiTheme="majorHAnsi"/>
              </w:rPr>
              <w:t>4 (8.5)</w:t>
            </w:r>
          </w:p>
        </w:tc>
        <w:tc>
          <w:tcPr>
            <w:tcW w:w="1985" w:type="dxa"/>
            <w:tcBorders>
              <w:top w:val="nil"/>
              <w:left w:val="nil"/>
              <w:bottom w:val="nil"/>
              <w:right w:val="nil"/>
            </w:tcBorders>
          </w:tcPr>
          <w:p w14:paraId="299EE4C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9C45D4F" w14:textId="77777777" w:rsidTr="004676EF">
        <w:tc>
          <w:tcPr>
            <w:tcW w:w="1560" w:type="dxa"/>
            <w:tcBorders>
              <w:top w:val="nil"/>
              <w:left w:val="nil"/>
              <w:right w:val="nil"/>
            </w:tcBorders>
          </w:tcPr>
          <w:p w14:paraId="0F1A3E46" w14:textId="77777777" w:rsidR="004676EF" w:rsidRPr="00734AB6" w:rsidRDefault="004676EF" w:rsidP="0099584D">
            <w:pPr>
              <w:spacing w:line="360" w:lineRule="auto"/>
              <w:rPr>
                <w:rFonts w:asciiTheme="majorHAnsi" w:hAnsiTheme="majorHAnsi"/>
              </w:rPr>
            </w:pPr>
            <w:r w:rsidRPr="00734AB6">
              <w:rPr>
                <w:rFonts w:asciiTheme="majorHAnsi" w:hAnsiTheme="majorHAnsi"/>
              </w:rPr>
              <w:t>600</w:t>
            </w:r>
          </w:p>
        </w:tc>
        <w:tc>
          <w:tcPr>
            <w:tcW w:w="1984" w:type="dxa"/>
            <w:tcBorders>
              <w:top w:val="nil"/>
              <w:left w:val="nil"/>
              <w:right w:val="nil"/>
            </w:tcBorders>
          </w:tcPr>
          <w:p w14:paraId="7CD3BAE0"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w:t>
            </w:r>
          </w:p>
        </w:tc>
        <w:tc>
          <w:tcPr>
            <w:tcW w:w="1985" w:type="dxa"/>
            <w:tcBorders>
              <w:top w:val="nil"/>
              <w:left w:val="nil"/>
              <w:right w:val="nil"/>
            </w:tcBorders>
          </w:tcPr>
          <w:p w14:paraId="61B50D19"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bl>
    <w:p w14:paraId="7D3C88BF" w14:textId="77777777" w:rsidR="004676EF" w:rsidRPr="00734AB6" w:rsidRDefault="004676EF" w:rsidP="0099584D">
      <w:pPr>
        <w:spacing w:line="360" w:lineRule="auto"/>
        <w:rPr>
          <w:rFonts w:asciiTheme="majorHAnsi" w:hAnsiTheme="majorHAnsi"/>
        </w:rPr>
      </w:pPr>
    </w:p>
    <w:p w14:paraId="6B4D1740" w14:textId="63C69971" w:rsidR="001F00D7" w:rsidRPr="00734AB6" w:rsidRDefault="001F00D7">
      <w:pPr>
        <w:rPr>
          <w:rFonts w:asciiTheme="majorHAnsi" w:hAnsiTheme="majorHAnsi"/>
          <w:b/>
        </w:rPr>
      </w:pPr>
    </w:p>
    <w:p w14:paraId="21B5E773" w14:textId="1554A510"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t xml:space="preserve">Table </w:t>
      </w:r>
      <w:r w:rsidR="00833970" w:rsidRPr="00734AB6">
        <w:rPr>
          <w:rFonts w:asciiTheme="majorHAnsi" w:hAnsiTheme="majorHAnsi"/>
          <w:b/>
        </w:rPr>
        <w:t>C.11</w:t>
      </w:r>
      <w:r w:rsidRPr="00734AB6">
        <w:rPr>
          <w:rFonts w:asciiTheme="majorHAnsi" w:hAnsiTheme="majorHAnsi"/>
          <w:b/>
        </w:rPr>
        <w:t>.</w:t>
      </w:r>
      <w:r w:rsidRPr="00734AB6">
        <w:rPr>
          <w:rFonts w:asciiTheme="majorHAnsi" w:hAnsiTheme="majorHAnsi"/>
          <w:b/>
        </w:rPr>
        <w:tab/>
        <w:t>Routes of administration of modafinil</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89"/>
        <w:gridCol w:w="2131"/>
      </w:tblGrid>
      <w:tr w:rsidR="004676EF" w:rsidRPr="00734AB6" w14:paraId="7F10D31C" w14:textId="77777777" w:rsidTr="004676EF">
        <w:tc>
          <w:tcPr>
            <w:tcW w:w="2689" w:type="dxa"/>
            <w:tcBorders>
              <w:bottom w:val="single" w:sz="4" w:space="0" w:color="auto"/>
            </w:tcBorders>
          </w:tcPr>
          <w:p w14:paraId="5A7CDE3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Route of administration</w:t>
            </w:r>
          </w:p>
        </w:tc>
        <w:tc>
          <w:tcPr>
            <w:tcW w:w="2131" w:type="dxa"/>
            <w:tcBorders>
              <w:bottom w:val="single" w:sz="4" w:space="0" w:color="auto"/>
            </w:tcBorders>
          </w:tcPr>
          <w:p w14:paraId="03661A6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 (%)*</w:t>
            </w:r>
          </w:p>
        </w:tc>
      </w:tr>
      <w:tr w:rsidR="004676EF" w:rsidRPr="00734AB6" w14:paraId="29967918" w14:textId="77777777" w:rsidTr="004676EF">
        <w:tc>
          <w:tcPr>
            <w:tcW w:w="2689" w:type="dxa"/>
            <w:tcBorders>
              <w:top w:val="nil"/>
              <w:bottom w:val="nil"/>
              <w:right w:val="nil"/>
            </w:tcBorders>
          </w:tcPr>
          <w:p w14:paraId="437FE19E" w14:textId="77777777" w:rsidR="004676EF" w:rsidRPr="00734AB6" w:rsidRDefault="004676EF" w:rsidP="0099584D">
            <w:pPr>
              <w:spacing w:line="360" w:lineRule="auto"/>
              <w:rPr>
                <w:rFonts w:asciiTheme="majorHAnsi" w:hAnsiTheme="majorHAnsi"/>
              </w:rPr>
            </w:pPr>
            <w:r w:rsidRPr="00734AB6">
              <w:rPr>
                <w:rFonts w:asciiTheme="majorHAnsi" w:hAnsiTheme="majorHAnsi"/>
              </w:rPr>
              <w:t>Swallow pill</w:t>
            </w:r>
          </w:p>
        </w:tc>
        <w:tc>
          <w:tcPr>
            <w:tcW w:w="2131" w:type="dxa"/>
            <w:tcBorders>
              <w:top w:val="nil"/>
              <w:left w:val="nil"/>
              <w:bottom w:val="nil"/>
            </w:tcBorders>
          </w:tcPr>
          <w:p w14:paraId="1BFF3B66" w14:textId="77777777" w:rsidR="004676EF" w:rsidRPr="00734AB6" w:rsidRDefault="004676EF" w:rsidP="0099584D">
            <w:pPr>
              <w:spacing w:line="360" w:lineRule="auto"/>
              <w:rPr>
                <w:rFonts w:asciiTheme="majorHAnsi" w:hAnsiTheme="majorHAnsi"/>
              </w:rPr>
            </w:pPr>
            <w:r w:rsidRPr="00734AB6">
              <w:rPr>
                <w:rFonts w:asciiTheme="majorHAnsi" w:hAnsiTheme="majorHAnsi"/>
              </w:rPr>
              <w:t>39 (95.1)</w:t>
            </w:r>
          </w:p>
        </w:tc>
      </w:tr>
      <w:tr w:rsidR="004676EF" w:rsidRPr="00734AB6" w14:paraId="002C49F6" w14:textId="77777777" w:rsidTr="004676EF">
        <w:tc>
          <w:tcPr>
            <w:tcW w:w="2689" w:type="dxa"/>
            <w:tcBorders>
              <w:top w:val="nil"/>
              <w:bottom w:val="nil"/>
              <w:right w:val="nil"/>
            </w:tcBorders>
          </w:tcPr>
          <w:p w14:paraId="0CB05AAC" w14:textId="77777777" w:rsidR="004676EF" w:rsidRPr="00734AB6" w:rsidRDefault="004676EF" w:rsidP="0099584D">
            <w:pPr>
              <w:spacing w:line="360" w:lineRule="auto"/>
              <w:rPr>
                <w:rFonts w:asciiTheme="majorHAnsi" w:hAnsiTheme="majorHAnsi"/>
              </w:rPr>
            </w:pPr>
            <w:r w:rsidRPr="00734AB6">
              <w:rPr>
                <w:rFonts w:asciiTheme="majorHAnsi" w:hAnsiTheme="majorHAnsi"/>
              </w:rPr>
              <w:t>Swallow pill and snort</w:t>
            </w:r>
          </w:p>
        </w:tc>
        <w:tc>
          <w:tcPr>
            <w:tcW w:w="2131" w:type="dxa"/>
            <w:tcBorders>
              <w:top w:val="nil"/>
              <w:left w:val="nil"/>
              <w:bottom w:val="nil"/>
            </w:tcBorders>
          </w:tcPr>
          <w:p w14:paraId="649340DD" w14:textId="77777777" w:rsidR="004676EF" w:rsidRPr="00734AB6" w:rsidRDefault="004676EF" w:rsidP="0099584D">
            <w:pPr>
              <w:spacing w:line="360" w:lineRule="auto"/>
              <w:rPr>
                <w:rFonts w:asciiTheme="majorHAnsi" w:hAnsiTheme="majorHAnsi"/>
              </w:rPr>
            </w:pPr>
            <w:r w:rsidRPr="00734AB6">
              <w:rPr>
                <w:rFonts w:asciiTheme="majorHAnsi" w:hAnsiTheme="majorHAnsi"/>
              </w:rPr>
              <w:t>1   (2.4)</w:t>
            </w:r>
          </w:p>
        </w:tc>
      </w:tr>
      <w:tr w:rsidR="004676EF" w:rsidRPr="00734AB6" w14:paraId="3635F2DF" w14:textId="77777777" w:rsidTr="004676EF">
        <w:tc>
          <w:tcPr>
            <w:tcW w:w="2689" w:type="dxa"/>
            <w:tcBorders>
              <w:top w:val="nil"/>
              <w:bottom w:val="nil"/>
              <w:right w:val="nil"/>
            </w:tcBorders>
          </w:tcPr>
          <w:p w14:paraId="3E1E1685" w14:textId="77777777" w:rsidR="004676EF" w:rsidRPr="00734AB6" w:rsidRDefault="004676EF" w:rsidP="0099584D">
            <w:pPr>
              <w:spacing w:line="360" w:lineRule="auto"/>
              <w:rPr>
                <w:rFonts w:asciiTheme="majorHAnsi" w:hAnsiTheme="majorHAnsi"/>
              </w:rPr>
            </w:pPr>
            <w:r w:rsidRPr="00734AB6">
              <w:rPr>
                <w:rFonts w:asciiTheme="majorHAnsi" w:hAnsiTheme="majorHAnsi"/>
              </w:rPr>
              <w:t>subcutaneous</w:t>
            </w:r>
          </w:p>
        </w:tc>
        <w:tc>
          <w:tcPr>
            <w:tcW w:w="2131" w:type="dxa"/>
            <w:tcBorders>
              <w:top w:val="nil"/>
              <w:left w:val="nil"/>
              <w:bottom w:val="nil"/>
            </w:tcBorders>
          </w:tcPr>
          <w:p w14:paraId="2352AFF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(2.4)</w:t>
            </w:r>
          </w:p>
        </w:tc>
      </w:tr>
    </w:tbl>
    <w:p w14:paraId="4EB321D0" w14:textId="77777777" w:rsidR="004676EF" w:rsidRPr="00734AB6" w:rsidRDefault="004676EF" w:rsidP="0099584D">
      <w:pPr>
        <w:spacing w:line="360" w:lineRule="auto"/>
        <w:rPr>
          <w:rFonts w:asciiTheme="majorHAnsi" w:hAnsiTheme="majorHAnsi"/>
        </w:rPr>
      </w:pPr>
    </w:p>
    <w:p w14:paraId="4925095F" w14:textId="77777777" w:rsidR="004676EF" w:rsidRPr="00734AB6" w:rsidRDefault="004676EF" w:rsidP="0099584D">
      <w:pPr>
        <w:spacing w:line="360" w:lineRule="auto"/>
        <w:rPr>
          <w:rFonts w:asciiTheme="majorHAnsi" w:hAnsiTheme="majorHAnsi"/>
        </w:rPr>
      </w:pPr>
    </w:p>
    <w:p w14:paraId="54F95FB0" w14:textId="77777777" w:rsidR="00D22283" w:rsidRPr="00734AB6" w:rsidRDefault="00D22283" w:rsidP="00D22283">
      <w:pPr>
        <w:pBdr>
          <w:top w:val="double" w:sz="4" w:space="1" w:color="auto"/>
        </w:pBdr>
        <w:spacing w:line="360" w:lineRule="auto"/>
        <w:rPr>
          <w:rFonts w:asciiTheme="majorHAnsi" w:hAnsiTheme="majorHAnsi"/>
        </w:rPr>
      </w:pPr>
    </w:p>
    <w:p w14:paraId="7FA68643" w14:textId="77777777" w:rsidR="00D22283" w:rsidRPr="00734AB6" w:rsidRDefault="00D22283">
      <w:pPr>
        <w:rPr>
          <w:rFonts w:asciiTheme="majorHAnsi" w:eastAsiaTheme="majorEastAsia" w:hAnsiTheme="majorHAnsi" w:cstheme="majorBidi"/>
          <w:b/>
        </w:rPr>
      </w:pPr>
      <w:bookmarkStart w:id="200" w:name="_Toc45200556"/>
      <w:r w:rsidRPr="00734AB6">
        <w:rPr>
          <w:b/>
        </w:rPr>
        <w:br w:type="page"/>
      </w:r>
    </w:p>
    <w:p w14:paraId="2CE54F10" w14:textId="7DD8C265" w:rsidR="004676EF" w:rsidRPr="00734AB6" w:rsidRDefault="004676EF" w:rsidP="0099584D">
      <w:pPr>
        <w:pStyle w:val="Heading2"/>
        <w:spacing w:line="360" w:lineRule="auto"/>
        <w:rPr>
          <w:b/>
          <w:color w:val="auto"/>
          <w:sz w:val="22"/>
          <w:szCs w:val="22"/>
        </w:rPr>
      </w:pPr>
      <w:bookmarkStart w:id="201" w:name="_Toc48136446"/>
      <w:r w:rsidRPr="00734AB6">
        <w:rPr>
          <w:b/>
          <w:color w:val="auto"/>
          <w:sz w:val="22"/>
          <w:szCs w:val="22"/>
        </w:rPr>
        <w:lastRenderedPageBreak/>
        <w:t>C(xv)</w:t>
      </w:r>
      <w:r w:rsidRPr="00734AB6">
        <w:rPr>
          <w:b/>
          <w:color w:val="auto"/>
          <w:sz w:val="22"/>
          <w:szCs w:val="22"/>
        </w:rPr>
        <w:tab/>
        <w:t>Methylphenidate*</w:t>
      </w:r>
      <w:bookmarkEnd w:id="200"/>
      <w:bookmarkEnd w:id="201"/>
    </w:p>
    <w:p w14:paraId="7416F293"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r w:rsidRPr="00734AB6">
        <w:rPr>
          <w:rFonts w:asciiTheme="majorHAnsi" w:hAnsiTheme="majorHAnsi"/>
        </w:rPr>
        <w:tab/>
        <w:t>All participants stated that they did not have a prescription for methylphenidate.</w:t>
      </w:r>
    </w:p>
    <w:p w14:paraId="2F64E278" w14:textId="088F545D"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333937" w:rsidRPr="00734AB6">
        <w:rPr>
          <w:rFonts w:asciiTheme="majorHAnsi" w:hAnsiTheme="majorHAnsi"/>
          <w:b/>
        </w:rPr>
        <w:t>C.12</w:t>
      </w:r>
      <w:r w:rsidRPr="00734AB6">
        <w:rPr>
          <w:rFonts w:asciiTheme="majorHAnsi" w:hAnsiTheme="majorHAnsi"/>
          <w:b/>
        </w:rPr>
        <w:t xml:space="preserve">. Lifetime use of methylphenidate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4676EF" w:rsidRPr="00734AB6" w14:paraId="5AB72C8F" w14:textId="77777777" w:rsidTr="004676EF">
        <w:tc>
          <w:tcPr>
            <w:tcW w:w="3119" w:type="dxa"/>
            <w:tcBorders>
              <w:bottom w:val="single" w:sz="4" w:space="0" w:color="auto"/>
            </w:tcBorders>
          </w:tcPr>
          <w:p w14:paraId="4C50F32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Have you ever used methylphenidate?</w:t>
            </w:r>
          </w:p>
        </w:tc>
        <w:tc>
          <w:tcPr>
            <w:tcW w:w="2693" w:type="dxa"/>
            <w:tcBorders>
              <w:bottom w:val="single" w:sz="4" w:space="0" w:color="auto"/>
            </w:tcBorders>
          </w:tcPr>
          <w:p w14:paraId="588E0087"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 user group N (%)*</w:t>
            </w:r>
          </w:p>
        </w:tc>
      </w:tr>
      <w:tr w:rsidR="004676EF" w:rsidRPr="00734AB6" w14:paraId="048A3418" w14:textId="77777777" w:rsidTr="004676EF">
        <w:tc>
          <w:tcPr>
            <w:tcW w:w="3119" w:type="dxa"/>
            <w:tcBorders>
              <w:top w:val="nil"/>
              <w:bottom w:val="nil"/>
              <w:right w:val="nil"/>
            </w:tcBorders>
          </w:tcPr>
          <w:p w14:paraId="40354AE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Yes</w:t>
            </w:r>
          </w:p>
        </w:tc>
        <w:tc>
          <w:tcPr>
            <w:tcW w:w="2693" w:type="dxa"/>
            <w:tcBorders>
              <w:top w:val="nil"/>
              <w:left w:val="nil"/>
              <w:bottom w:val="nil"/>
            </w:tcBorders>
          </w:tcPr>
          <w:p w14:paraId="578781C5" w14:textId="77777777" w:rsidR="004676EF" w:rsidRPr="00734AB6" w:rsidRDefault="004676EF" w:rsidP="0099584D">
            <w:pPr>
              <w:spacing w:line="360" w:lineRule="auto"/>
              <w:rPr>
                <w:rFonts w:asciiTheme="majorHAnsi" w:hAnsiTheme="majorHAnsi"/>
              </w:rPr>
            </w:pPr>
            <w:r w:rsidRPr="00734AB6">
              <w:rPr>
                <w:rFonts w:asciiTheme="majorHAnsi" w:hAnsiTheme="majorHAnsi"/>
              </w:rPr>
              <w:t>19 (40..4)</w:t>
            </w:r>
          </w:p>
        </w:tc>
      </w:tr>
      <w:tr w:rsidR="004676EF" w:rsidRPr="00734AB6" w14:paraId="27B2E320" w14:textId="77777777" w:rsidTr="004676EF">
        <w:tc>
          <w:tcPr>
            <w:tcW w:w="3119" w:type="dxa"/>
            <w:tcBorders>
              <w:top w:val="nil"/>
              <w:bottom w:val="single" w:sz="4" w:space="0" w:color="auto"/>
              <w:right w:val="nil"/>
            </w:tcBorders>
          </w:tcPr>
          <w:p w14:paraId="44FD21C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No</w:t>
            </w:r>
          </w:p>
        </w:tc>
        <w:tc>
          <w:tcPr>
            <w:tcW w:w="2693" w:type="dxa"/>
            <w:tcBorders>
              <w:top w:val="nil"/>
              <w:left w:val="nil"/>
              <w:bottom w:val="single" w:sz="4" w:space="0" w:color="auto"/>
            </w:tcBorders>
          </w:tcPr>
          <w:p w14:paraId="3E06D8AB" w14:textId="77777777" w:rsidR="004676EF" w:rsidRPr="00734AB6" w:rsidRDefault="004676EF" w:rsidP="0099584D">
            <w:pPr>
              <w:spacing w:line="360" w:lineRule="auto"/>
              <w:rPr>
                <w:rFonts w:asciiTheme="majorHAnsi" w:hAnsiTheme="majorHAnsi"/>
              </w:rPr>
            </w:pPr>
            <w:r w:rsidRPr="00734AB6">
              <w:rPr>
                <w:rFonts w:asciiTheme="majorHAnsi" w:hAnsiTheme="majorHAnsi"/>
              </w:rPr>
              <w:t>28 (59.6)</w:t>
            </w:r>
          </w:p>
        </w:tc>
      </w:tr>
      <w:tr w:rsidR="004676EF" w:rsidRPr="00734AB6" w14:paraId="52701D42" w14:textId="77777777" w:rsidTr="004676EF">
        <w:tc>
          <w:tcPr>
            <w:tcW w:w="3119" w:type="dxa"/>
            <w:tcBorders>
              <w:top w:val="single" w:sz="4" w:space="0" w:color="auto"/>
              <w:bottom w:val="single" w:sz="4" w:space="0" w:color="auto"/>
              <w:right w:val="nil"/>
            </w:tcBorders>
          </w:tcPr>
          <w:p w14:paraId="14C015A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Age of first use of methylphenidate</w:t>
            </w:r>
          </w:p>
        </w:tc>
        <w:tc>
          <w:tcPr>
            <w:tcW w:w="2693" w:type="dxa"/>
            <w:tcBorders>
              <w:top w:val="single" w:sz="4" w:space="0" w:color="auto"/>
              <w:left w:val="nil"/>
              <w:bottom w:val="single" w:sz="4" w:space="0" w:color="auto"/>
            </w:tcBorders>
          </w:tcPr>
          <w:p w14:paraId="280B3EAC" w14:textId="77777777" w:rsidR="004676EF" w:rsidRPr="00734AB6" w:rsidRDefault="004676EF" w:rsidP="0099584D">
            <w:pPr>
              <w:spacing w:line="360" w:lineRule="auto"/>
              <w:rPr>
                <w:rFonts w:asciiTheme="majorHAnsi" w:hAnsiTheme="majorHAnsi"/>
              </w:rPr>
            </w:pPr>
            <w:r w:rsidRPr="00734AB6">
              <w:rPr>
                <w:rFonts w:asciiTheme="majorHAnsi" w:hAnsiTheme="majorHAnsi"/>
              </w:rPr>
              <w:t>Mean = 22.39 (SD = 6.05)</w:t>
            </w:r>
          </w:p>
        </w:tc>
      </w:tr>
    </w:tbl>
    <w:p w14:paraId="321F3F79"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73D2DE45" w14:textId="77777777" w:rsidR="004676EF" w:rsidRPr="00734AB6" w:rsidRDefault="004676EF" w:rsidP="0099584D">
      <w:pPr>
        <w:spacing w:line="360" w:lineRule="auto"/>
        <w:rPr>
          <w:rFonts w:asciiTheme="majorHAnsi" w:hAnsiTheme="majorHAnsi"/>
        </w:rPr>
      </w:pPr>
    </w:p>
    <w:p w14:paraId="7BA5EAAF" w14:textId="5B27C070"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08537A" w:rsidRPr="00734AB6">
        <w:rPr>
          <w:rFonts w:asciiTheme="majorHAnsi" w:hAnsiTheme="majorHAnsi"/>
          <w:b/>
        </w:rPr>
        <w:t>C.13</w:t>
      </w:r>
      <w:r w:rsidRPr="00734AB6">
        <w:rPr>
          <w:rFonts w:asciiTheme="majorHAnsi" w:hAnsiTheme="majorHAnsi"/>
          <w:b/>
        </w:rPr>
        <w:t>. Dosage levels of reported methylphenidate use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89"/>
        <w:gridCol w:w="2131"/>
      </w:tblGrid>
      <w:tr w:rsidR="004676EF" w:rsidRPr="00734AB6" w14:paraId="2683AD6D" w14:textId="77777777" w:rsidTr="004676EF">
        <w:tc>
          <w:tcPr>
            <w:tcW w:w="2689" w:type="dxa"/>
            <w:tcBorders>
              <w:bottom w:val="single" w:sz="4" w:space="0" w:color="auto"/>
            </w:tcBorders>
          </w:tcPr>
          <w:p w14:paraId="272931E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Dosage</w:t>
            </w:r>
          </w:p>
        </w:tc>
        <w:tc>
          <w:tcPr>
            <w:tcW w:w="2131" w:type="dxa"/>
            <w:tcBorders>
              <w:bottom w:val="single" w:sz="4" w:space="0" w:color="auto"/>
            </w:tcBorders>
          </w:tcPr>
          <w:p w14:paraId="726BA41C"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 (%)*</w:t>
            </w:r>
          </w:p>
        </w:tc>
      </w:tr>
      <w:tr w:rsidR="004676EF" w:rsidRPr="00734AB6" w14:paraId="1D239BBD" w14:textId="77777777" w:rsidTr="004676EF">
        <w:tc>
          <w:tcPr>
            <w:tcW w:w="2689" w:type="dxa"/>
            <w:tcBorders>
              <w:top w:val="nil"/>
              <w:bottom w:val="nil"/>
              <w:right w:val="nil"/>
            </w:tcBorders>
          </w:tcPr>
          <w:p w14:paraId="24A0EDC4" w14:textId="77777777" w:rsidR="004676EF" w:rsidRPr="00734AB6" w:rsidRDefault="004676EF" w:rsidP="0099584D">
            <w:pPr>
              <w:spacing w:line="360" w:lineRule="auto"/>
              <w:rPr>
                <w:rFonts w:asciiTheme="majorHAnsi" w:hAnsiTheme="majorHAnsi"/>
              </w:rPr>
            </w:pPr>
            <w:r w:rsidRPr="00734AB6">
              <w:rPr>
                <w:rFonts w:asciiTheme="majorHAnsi" w:hAnsiTheme="majorHAnsi"/>
              </w:rPr>
              <w:t>10mg</w:t>
            </w:r>
          </w:p>
        </w:tc>
        <w:tc>
          <w:tcPr>
            <w:tcW w:w="2131" w:type="dxa"/>
            <w:tcBorders>
              <w:top w:val="nil"/>
              <w:left w:val="nil"/>
              <w:bottom w:val="nil"/>
            </w:tcBorders>
          </w:tcPr>
          <w:p w14:paraId="4CCE3066" w14:textId="77777777" w:rsidR="004676EF" w:rsidRPr="00734AB6" w:rsidRDefault="004676EF" w:rsidP="0099584D">
            <w:pPr>
              <w:spacing w:line="360" w:lineRule="auto"/>
              <w:rPr>
                <w:rFonts w:asciiTheme="majorHAnsi" w:hAnsiTheme="majorHAnsi"/>
              </w:rPr>
            </w:pPr>
            <w:r w:rsidRPr="00734AB6">
              <w:rPr>
                <w:rFonts w:asciiTheme="majorHAnsi" w:hAnsiTheme="majorHAnsi"/>
              </w:rPr>
              <w:t>4   (33.3)</w:t>
            </w:r>
          </w:p>
        </w:tc>
      </w:tr>
      <w:tr w:rsidR="004676EF" w:rsidRPr="00734AB6" w14:paraId="068DFA14" w14:textId="77777777" w:rsidTr="004676EF">
        <w:tc>
          <w:tcPr>
            <w:tcW w:w="2689" w:type="dxa"/>
            <w:tcBorders>
              <w:top w:val="nil"/>
              <w:bottom w:val="nil"/>
              <w:right w:val="nil"/>
            </w:tcBorders>
          </w:tcPr>
          <w:p w14:paraId="7A1A5D99" w14:textId="77777777" w:rsidR="004676EF" w:rsidRPr="00734AB6" w:rsidRDefault="004676EF" w:rsidP="0099584D">
            <w:pPr>
              <w:spacing w:line="360" w:lineRule="auto"/>
              <w:rPr>
                <w:rFonts w:asciiTheme="majorHAnsi" w:hAnsiTheme="majorHAnsi"/>
              </w:rPr>
            </w:pPr>
            <w:r w:rsidRPr="00734AB6">
              <w:rPr>
                <w:rFonts w:asciiTheme="majorHAnsi" w:hAnsiTheme="majorHAnsi"/>
              </w:rPr>
              <w:t>20mg</w:t>
            </w:r>
          </w:p>
        </w:tc>
        <w:tc>
          <w:tcPr>
            <w:tcW w:w="2131" w:type="dxa"/>
            <w:tcBorders>
              <w:top w:val="nil"/>
              <w:left w:val="nil"/>
              <w:bottom w:val="nil"/>
            </w:tcBorders>
          </w:tcPr>
          <w:p w14:paraId="6085C2C5" w14:textId="77777777" w:rsidR="004676EF" w:rsidRPr="00734AB6" w:rsidRDefault="004676EF" w:rsidP="0099584D">
            <w:pPr>
              <w:spacing w:line="360" w:lineRule="auto"/>
              <w:rPr>
                <w:rFonts w:asciiTheme="majorHAnsi" w:hAnsiTheme="majorHAnsi"/>
              </w:rPr>
            </w:pPr>
            <w:r w:rsidRPr="00734AB6">
              <w:rPr>
                <w:rFonts w:asciiTheme="majorHAnsi" w:hAnsiTheme="majorHAnsi"/>
              </w:rPr>
              <w:t>5   (41.7)</w:t>
            </w:r>
          </w:p>
        </w:tc>
      </w:tr>
      <w:tr w:rsidR="004676EF" w:rsidRPr="00734AB6" w14:paraId="777C5309" w14:textId="77777777" w:rsidTr="004676EF">
        <w:tc>
          <w:tcPr>
            <w:tcW w:w="2689" w:type="dxa"/>
            <w:tcBorders>
              <w:top w:val="nil"/>
              <w:bottom w:val="nil"/>
              <w:right w:val="nil"/>
            </w:tcBorders>
          </w:tcPr>
          <w:p w14:paraId="0FBF8412" w14:textId="77777777" w:rsidR="004676EF" w:rsidRPr="00734AB6" w:rsidRDefault="004676EF" w:rsidP="0099584D">
            <w:pPr>
              <w:spacing w:line="360" w:lineRule="auto"/>
              <w:rPr>
                <w:rFonts w:asciiTheme="majorHAnsi" w:hAnsiTheme="majorHAnsi"/>
              </w:rPr>
            </w:pPr>
            <w:r w:rsidRPr="00734AB6">
              <w:rPr>
                <w:rFonts w:asciiTheme="majorHAnsi" w:hAnsiTheme="majorHAnsi"/>
              </w:rPr>
              <w:t>30mg</w:t>
            </w:r>
          </w:p>
        </w:tc>
        <w:tc>
          <w:tcPr>
            <w:tcW w:w="2131" w:type="dxa"/>
            <w:tcBorders>
              <w:top w:val="nil"/>
              <w:left w:val="nil"/>
              <w:bottom w:val="nil"/>
            </w:tcBorders>
          </w:tcPr>
          <w:p w14:paraId="413A5FDC" w14:textId="77777777" w:rsidR="004676EF" w:rsidRPr="00734AB6" w:rsidRDefault="004676EF" w:rsidP="0099584D">
            <w:pPr>
              <w:spacing w:line="360" w:lineRule="auto"/>
              <w:rPr>
                <w:rFonts w:asciiTheme="majorHAnsi" w:hAnsiTheme="majorHAnsi"/>
              </w:rPr>
            </w:pPr>
            <w:r w:rsidRPr="00734AB6">
              <w:rPr>
                <w:rFonts w:asciiTheme="majorHAnsi" w:hAnsiTheme="majorHAnsi"/>
              </w:rPr>
              <w:t>1   (8.3)</w:t>
            </w:r>
          </w:p>
        </w:tc>
      </w:tr>
      <w:tr w:rsidR="004676EF" w:rsidRPr="00734AB6" w14:paraId="02B3E6B2" w14:textId="77777777" w:rsidTr="004676EF">
        <w:tc>
          <w:tcPr>
            <w:tcW w:w="2689" w:type="dxa"/>
            <w:tcBorders>
              <w:top w:val="nil"/>
              <w:bottom w:val="single" w:sz="4" w:space="0" w:color="auto"/>
              <w:right w:val="nil"/>
            </w:tcBorders>
          </w:tcPr>
          <w:p w14:paraId="778A717C" w14:textId="77777777" w:rsidR="004676EF" w:rsidRPr="00734AB6" w:rsidRDefault="004676EF" w:rsidP="0099584D">
            <w:pPr>
              <w:spacing w:line="360" w:lineRule="auto"/>
              <w:rPr>
                <w:rFonts w:asciiTheme="majorHAnsi" w:hAnsiTheme="majorHAnsi"/>
              </w:rPr>
            </w:pPr>
            <w:r w:rsidRPr="00734AB6">
              <w:rPr>
                <w:rFonts w:asciiTheme="majorHAnsi" w:hAnsiTheme="majorHAnsi"/>
              </w:rPr>
              <w:t>60mg</w:t>
            </w:r>
          </w:p>
        </w:tc>
        <w:tc>
          <w:tcPr>
            <w:tcW w:w="2131" w:type="dxa"/>
            <w:tcBorders>
              <w:top w:val="nil"/>
              <w:left w:val="nil"/>
              <w:bottom w:val="single" w:sz="4" w:space="0" w:color="auto"/>
            </w:tcBorders>
          </w:tcPr>
          <w:p w14:paraId="15308D92" w14:textId="77777777" w:rsidR="004676EF" w:rsidRPr="00734AB6" w:rsidRDefault="004676EF" w:rsidP="0099584D">
            <w:pPr>
              <w:spacing w:line="360" w:lineRule="auto"/>
              <w:rPr>
                <w:rFonts w:asciiTheme="majorHAnsi" w:hAnsiTheme="majorHAnsi"/>
              </w:rPr>
            </w:pPr>
            <w:r w:rsidRPr="00734AB6">
              <w:rPr>
                <w:rFonts w:asciiTheme="majorHAnsi" w:hAnsiTheme="majorHAnsi"/>
              </w:rPr>
              <w:t>2   (16.7)</w:t>
            </w:r>
          </w:p>
        </w:tc>
      </w:tr>
    </w:tbl>
    <w:p w14:paraId="4AA5E72C"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59A258C7" w14:textId="77777777" w:rsidR="004676EF" w:rsidRPr="00734AB6" w:rsidRDefault="004676EF" w:rsidP="0099584D">
      <w:pPr>
        <w:spacing w:line="360" w:lineRule="auto"/>
        <w:rPr>
          <w:rFonts w:asciiTheme="majorHAnsi" w:hAnsiTheme="majorHAnsi"/>
        </w:rPr>
      </w:pPr>
    </w:p>
    <w:p w14:paraId="1C6F0E53" w14:textId="3279B5FF" w:rsidR="001F00D7" w:rsidRPr="00734AB6" w:rsidRDefault="001F00D7">
      <w:pPr>
        <w:rPr>
          <w:rFonts w:asciiTheme="majorHAnsi" w:hAnsiTheme="majorHAnsi"/>
          <w:b/>
        </w:rPr>
      </w:pPr>
    </w:p>
    <w:p w14:paraId="1602E09A" w14:textId="77777777" w:rsidR="00D22283" w:rsidRPr="00734AB6" w:rsidRDefault="00D22283">
      <w:pPr>
        <w:rPr>
          <w:rFonts w:asciiTheme="majorHAnsi" w:hAnsiTheme="majorHAnsi"/>
          <w:b/>
        </w:rPr>
      </w:pPr>
      <w:r w:rsidRPr="00734AB6">
        <w:rPr>
          <w:rFonts w:asciiTheme="majorHAnsi" w:hAnsiTheme="majorHAnsi"/>
          <w:b/>
        </w:rPr>
        <w:br w:type="page"/>
      </w:r>
    </w:p>
    <w:p w14:paraId="4434BA50" w14:textId="0247C2A5" w:rsidR="004676EF" w:rsidRPr="00734AB6" w:rsidRDefault="004676EF" w:rsidP="0099584D">
      <w:pPr>
        <w:spacing w:line="360" w:lineRule="auto"/>
        <w:rPr>
          <w:rFonts w:asciiTheme="majorHAnsi" w:hAnsiTheme="majorHAnsi"/>
          <w:b/>
        </w:rPr>
      </w:pPr>
      <w:r w:rsidRPr="00734AB6">
        <w:rPr>
          <w:rFonts w:asciiTheme="majorHAnsi" w:hAnsiTheme="majorHAnsi"/>
          <w:b/>
        </w:rPr>
        <w:lastRenderedPageBreak/>
        <w:t xml:space="preserve">Table </w:t>
      </w:r>
      <w:r w:rsidR="0008537A" w:rsidRPr="00734AB6">
        <w:rPr>
          <w:rFonts w:asciiTheme="majorHAnsi" w:hAnsiTheme="majorHAnsi"/>
          <w:b/>
        </w:rPr>
        <w:t>C.14</w:t>
      </w:r>
      <w:r w:rsidRPr="00734AB6">
        <w:rPr>
          <w:rFonts w:asciiTheme="majorHAnsi" w:hAnsiTheme="majorHAnsi"/>
          <w:b/>
        </w:rPr>
        <w:t>. Maximum and minimum dose of methylphenidate</w:t>
      </w:r>
    </w:p>
    <w:tbl>
      <w:tblPr>
        <w:tblW w:w="0" w:type="auto"/>
        <w:tblLook w:val="04A0" w:firstRow="1" w:lastRow="0" w:firstColumn="1" w:lastColumn="0" w:noHBand="0" w:noVBand="1"/>
      </w:tblPr>
      <w:tblGrid>
        <w:gridCol w:w="1560"/>
        <w:gridCol w:w="1984"/>
        <w:gridCol w:w="1985"/>
      </w:tblGrid>
      <w:tr w:rsidR="004676EF" w:rsidRPr="00734AB6" w14:paraId="6C9101AD" w14:textId="77777777" w:rsidTr="004676EF">
        <w:tc>
          <w:tcPr>
            <w:tcW w:w="1560" w:type="dxa"/>
            <w:tcBorders>
              <w:left w:val="nil"/>
              <w:bottom w:val="single" w:sz="4" w:space="0" w:color="auto"/>
              <w:right w:val="nil"/>
            </w:tcBorders>
          </w:tcPr>
          <w:p w14:paraId="35DC57B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Dosage (mg)</w:t>
            </w:r>
          </w:p>
        </w:tc>
        <w:tc>
          <w:tcPr>
            <w:tcW w:w="1984" w:type="dxa"/>
            <w:tcBorders>
              <w:left w:val="nil"/>
              <w:bottom w:val="single" w:sz="4" w:space="0" w:color="auto"/>
              <w:right w:val="nil"/>
            </w:tcBorders>
          </w:tcPr>
          <w:p w14:paraId="611EF534"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Maximum N (%)*</w:t>
            </w:r>
          </w:p>
        </w:tc>
        <w:tc>
          <w:tcPr>
            <w:tcW w:w="1985" w:type="dxa"/>
            <w:tcBorders>
              <w:left w:val="nil"/>
              <w:bottom w:val="single" w:sz="4" w:space="0" w:color="auto"/>
              <w:right w:val="nil"/>
            </w:tcBorders>
          </w:tcPr>
          <w:p w14:paraId="7BB1BC4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Minimum N (%)*</w:t>
            </w:r>
          </w:p>
        </w:tc>
      </w:tr>
      <w:tr w:rsidR="004676EF" w:rsidRPr="00734AB6" w14:paraId="08711C10" w14:textId="77777777" w:rsidTr="004676EF">
        <w:tc>
          <w:tcPr>
            <w:tcW w:w="1560" w:type="dxa"/>
            <w:tcBorders>
              <w:left w:val="nil"/>
              <w:bottom w:val="nil"/>
              <w:right w:val="nil"/>
            </w:tcBorders>
          </w:tcPr>
          <w:p w14:paraId="11FA3CDE" w14:textId="77777777" w:rsidR="004676EF" w:rsidRPr="00734AB6" w:rsidRDefault="004676EF" w:rsidP="0099584D">
            <w:pPr>
              <w:spacing w:line="360" w:lineRule="auto"/>
              <w:rPr>
                <w:rFonts w:asciiTheme="majorHAnsi" w:hAnsiTheme="majorHAnsi"/>
              </w:rPr>
            </w:pPr>
            <w:r w:rsidRPr="00734AB6">
              <w:rPr>
                <w:rFonts w:asciiTheme="majorHAnsi" w:hAnsiTheme="majorHAnsi"/>
              </w:rPr>
              <w:t>5mg</w:t>
            </w:r>
          </w:p>
        </w:tc>
        <w:tc>
          <w:tcPr>
            <w:tcW w:w="1984" w:type="dxa"/>
            <w:tcBorders>
              <w:left w:val="nil"/>
              <w:bottom w:val="nil"/>
              <w:right w:val="nil"/>
            </w:tcBorders>
          </w:tcPr>
          <w:p w14:paraId="47FDBD3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985" w:type="dxa"/>
            <w:tcBorders>
              <w:left w:val="nil"/>
              <w:bottom w:val="nil"/>
              <w:right w:val="nil"/>
            </w:tcBorders>
          </w:tcPr>
          <w:p w14:paraId="6C515D31" w14:textId="77777777" w:rsidR="004676EF" w:rsidRPr="00734AB6" w:rsidRDefault="004676EF" w:rsidP="0099584D">
            <w:pPr>
              <w:spacing w:line="360" w:lineRule="auto"/>
              <w:rPr>
                <w:rFonts w:asciiTheme="majorHAnsi" w:hAnsiTheme="majorHAnsi"/>
              </w:rPr>
            </w:pPr>
            <w:r w:rsidRPr="00734AB6">
              <w:rPr>
                <w:rFonts w:asciiTheme="majorHAnsi" w:hAnsiTheme="majorHAnsi"/>
              </w:rPr>
              <w:t>1  (8.3)</w:t>
            </w:r>
          </w:p>
        </w:tc>
      </w:tr>
      <w:tr w:rsidR="004676EF" w:rsidRPr="00734AB6" w14:paraId="0F6C715E" w14:textId="77777777" w:rsidTr="004676EF">
        <w:tc>
          <w:tcPr>
            <w:tcW w:w="1560" w:type="dxa"/>
            <w:tcBorders>
              <w:top w:val="nil"/>
              <w:left w:val="nil"/>
              <w:bottom w:val="nil"/>
              <w:right w:val="nil"/>
            </w:tcBorders>
          </w:tcPr>
          <w:p w14:paraId="764E3DA4" w14:textId="77777777" w:rsidR="004676EF" w:rsidRPr="00734AB6" w:rsidRDefault="004676EF" w:rsidP="0099584D">
            <w:pPr>
              <w:spacing w:line="360" w:lineRule="auto"/>
              <w:rPr>
                <w:rFonts w:asciiTheme="majorHAnsi" w:hAnsiTheme="majorHAnsi"/>
              </w:rPr>
            </w:pPr>
            <w:r w:rsidRPr="00734AB6">
              <w:rPr>
                <w:rFonts w:asciiTheme="majorHAnsi" w:hAnsiTheme="majorHAnsi"/>
              </w:rPr>
              <w:t>10mg</w:t>
            </w:r>
          </w:p>
        </w:tc>
        <w:tc>
          <w:tcPr>
            <w:tcW w:w="1984" w:type="dxa"/>
            <w:tcBorders>
              <w:top w:val="nil"/>
              <w:left w:val="nil"/>
              <w:bottom w:val="nil"/>
              <w:right w:val="nil"/>
            </w:tcBorders>
          </w:tcPr>
          <w:p w14:paraId="329FC6BF" w14:textId="77777777" w:rsidR="004676EF" w:rsidRPr="00734AB6" w:rsidRDefault="004676EF" w:rsidP="0099584D">
            <w:pPr>
              <w:spacing w:line="360" w:lineRule="auto"/>
              <w:rPr>
                <w:rFonts w:asciiTheme="majorHAnsi" w:hAnsiTheme="majorHAnsi"/>
              </w:rPr>
            </w:pPr>
            <w:r w:rsidRPr="00734AB6">
              <w:rPr>
                <w:rFonts w:asciiTheme="majorHAnsi" w:hAnsiTheme="majorHAnsi"/>
              </w:rPr>
              <w:t>1 (8.3)</w:t>
            </w:r>
          </w:p>
        </w:tc>
        <w:tc>
          <w:tcPr>
            <w:tcW w:w="1985" w:type="dxa"/>
            <w:tcBorders>
              <w:top w:val="nil"/>
              <w:left w:val="nil"/>
              <w:bottom w:val="nil"/>
              <w:right w:val="nil"/>
            </w:tcBorders>
          </w:tcPr>
          <w:p w14:paraId="36986521" w14:textId="77777777" w:rsidR="004676EF" w:rsidRPr="00734AB6" w:rsidRDefault="004676EF" w:rsidP="0099584D">
            <w:pPr>
              <w:spacing w:line="360" w:lineRule="auto"/>
              <w:rPr>
                <w:rFonts w:asciiTheme="majorHAnsi" w:hAnsiTheme="majorHAnsi"/>
              </w:rPr>
            </w:pPr>
            <w:r w:rsidRPr="00734AB6">
              <w:rPr>
                <w:rFonts w:asciiTheme="majorHAnsi" w:hAnsiTheme="majorHAnsi"/>
              </w:rPr>
              <w:t>4  (33.3)</w:t>
            </w:r>
          </w:p>
        </w:tc>
      </w:tr>
      <w:tr w:rsidR="004676EF" w:rsidRPr="00734AB6" w14:paraId="4C7ECC52" w14:textId="77777777" w:rsidTr="004676EF">
        <w:tc>
          <w:tcPr>
            <w:tcW w:w="1560" w:type="dxa"/>
            <w:tcBorders>
              <w:top w:val="nil"/>
              <w:left w:val="nil"/>
              <w:bottom w:val="nil"/>
              <w:right w:val="nil"/>
            </w:tcBorders>
          </w:tcPr>
          <w:p w14:paraId="4E45D679" w14:textId="77777777" w:rsidR="004676EF" w:rsidRPr="00734AB6" w:rsidRDefault="004676EF" w:rsidP="0099584D">
            <w:pPr>
              <w:spacing w:line="360" w:lineRule="auto"/>
              <w:rPr>
                <w:rFonts w:asciiTheme="majorHAnsi" w:hAnsiTheme="majorHAnsi"/>
              </w:rPr>
            </w:pPr>
            <w:r w:rsidRPr="00734AB6">
              <w:rPr>
                <w:rFonts w:asciiTheme="majorHAnsi" w:hAnsiTheme="majorHAnsi"/>
              </w:rPr>
              <w:t>20mg</w:t>
            </w:r>
          </w:p>
        </w:tc>
        <w:tc>
          <w:tcPr>
            <w:tcW w:w="1984" w:type="dxa"/>
            <w:tcBorders>
              <w:top w:val="nil"/>
              <w:left w:val="nil"/>
              <w:bottom w:val="nil"/>
              <w:right w:val="nil"/>
            </w:tcBorders>
          </w:tcPr>
          <w:p w14:paraId="6841CA0E" w14:textId="77777777" w:rsidR="004676EF" w:rsidRPr="00734AB6" w:rsidRDefault="004676EF" w:rsidP="0099584D">
            <w:pPr>
              <w:spacing w:line="360" w:lineRule="auto"/>
              <w:rPr>
                <w:rFonts w:asciiTheme="majorHAnsi" w:hAnsiTheme="majorHAnsi"/>
              </w:rPr>
            </w:pPr>
            <w:r w:rsidRPr="00734AB6">
              <w:rPr>
                <w:rFonts w:asciiTheme="majorHAnsi" w:hAnsiTheme="majorHAnsi"/>
              </w:rPr>
              <w:t>5 (41.7)</w:t>
            </w:r>
          </w:p>
        </w:tc>
        <w:tc>
          <w:tcPr>
            <w:tcW w:w="1985" w:type="dxa"/>
            <w:tcBorders>
              <w:top w:val="nil"/>
              <w:left w:val="nil"/>
              <w:bottom w:val="nil"/>
              <w:right w:val="nil"/>
            </w:tcBorders>
          </w:tcPr>
          <w:p w14:paraId="3EF15CB8" w14:textId="77777777" w:rsidR="004676EF" w:rsidRPr="00734AB6" w:rsidRDefault="004676EF" w:rsidP="0099584D">
            <w:pPr>
              <w:spacing w:line="360" w:lineRule="auto"/>
              <w:rPr>
                <w:rFonts w:asciiTheme="majorHAnsi" w:hAnsiTheme="majorHAnsi"/>
              </w:rPr>
            </w:pPr>
            <w:r w:rsidRPr="00734AB6">
              <w:rPr>
                <w:rFonts w:asciiTheme="majorHAnsi" w:hAnsiTheme="majorHAnsi"/>
              </w:rPr>
              <w:t>5  (41.7)</w:t>
            </w:r>
          </w:p>
        </w:tc>
      </w:tr>
      <w:tr w:rsidR="004676EF" w:rsidRPr="00734AB6" w14:paraId="2CC6CEB0" w14:textId="77777777" w:rsidTr="004676EF">
        <w:trPr>
          <w:trHeight w:val="393"/>
        </w:trPr>
        <w:tc>
          <w:tcPr>
            <w:tcW w:w="1560" w:type="dxa"/>
            <w:tcBorders>
              <w:top w:val="nil"/>
              <w:left w:val="nil"/>
              <w:bottom w:val="nil"/>
              <w:right w:val="nil"/>
            </w:tcBorders>
          </w:tcPr>
          <w:p w14:paraId="37713896" w14:textId="77777777" w:rsidR="004676EF" w:rsidRPr="00734AB6" w:rsidRDefault="004676EF" w:rsidP="0099584D">
            <w:pPr>
              <w:spacing w:line="360" w:lineRule="auto"/>
              <w:rPr>
                <w:rFonts w:asciiTheme="majorHAnsi" w:hAnsiTheme="majorHAnsi"/>
              </w:rPr>
            </w:pPr>
            <w:r w:rsidRPr="00734AB6">
              <w:rPr>
                <w:rFonts w:asciiTheme="majorHAnsi" w:hAnsiTheme="majorHAnsi"/>
              </w:rPr>
              <w:t>30mg</w:t>
            </w:r>
          </w:p>
        </w:tc>
        <w:tc>
          <w:tcPr>
            <w:tcW w:w="1984" w:type="dxa"/>
            <w:tcBorders>
              <w:top w:val="nil"/>
              <w:left w:val="nil"/>
              <w:bottom w:val="nil"/>
              <w:right w:val="nil"/>
            </w:tcBorders>
          </w:tcPr>
          <w:p w14:paraId="0D94A15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1985" w:type="dxa"/>
            <w:tcBorders>
              <w:top w:val="nil"/>
              <w:left w:val="nil"/>
              <w:bottom w:val="nil"/>
              <w:right w:val="nil"/>
            </w:tcBorders>
          </w:tcPr>
          <w:p w14:paraId="19FD7D90" w14:textId="77777777" w:rsidR="004676EF" w:rsidRPr="00734AB6" w:rsidRDefault="004676EF" w:rsidP="0099584D">
            <w:pPr>
              <w:spacing w:line="360" w:lineRule="auto"/>
              <w:rPr>
                <w:rFonts w:asciiTheme="majorHAnsi" w:hAnsiTheme="majorHAnsi"/>
              </w:rPr>
            </w:pPr>
            <w:r w:rsidRPr="00734AB6">
              <w:rPr>
                <w:rFonts w:asciiTheme="majorHAnsi" w:hAnsiTheme="majorHAnsi"/>
              </w:rPr>
              <w:t>2  (16.7)</w:t>
            </w:r>
          </w:p>
        </w:tc>
      </w:tr>
      <w:tr w:rsidR="004676EF" w:rsidRPr="00734AB6" w14:paraId="629B95D7" w14:textId="77777777" w:rsidTr="004676EF">
        <w:tc>
          <w:tcPr>
            <w:tcW w:w="1560" w:type="dxa"/>
            <w:tcBorders>
              <w:top w:val="nil"/>
              <w:left w:val="nil"/>
              <w:bottom w:val="nil"/>
              <w:right w:val="nil"/>
            </w:tcBorders>
          </w:tcPr>
          <w:p w14:paraId="61F3F374" w14:textId="77777777" w:rsidR="004676EF" w:rsidRPr="00734AB6" w:rsidRDefault="004676EF" w:rsidP="0099584D">
            <w:pPr>
              <w:spacing w:line="360" w:lineRule="auto"/>
              <w:rPr>
                <w:rFonts w:asciiTheme="majorHAnsi" w:hAnsiTheme="majorHAnsi"/>
              </w:rPr>
            </w:pPr>
            <w:r w:rsidRPr="00734AB6">
              <w:rPr>
                <w:rFonts w:asciiTheme="majorHAnsi" w:hAnsiTheme="majorHAnsi"/>
              </w:rPr>
              <w:t>40mg</w:t>
            </w:r>
          </w:p>
        </w:tc>
        <w:tc>
          <w:tcPr>
            <w:tcW w:w="1984" w:type="dxa"/>
            <w:tcBorders>
              <w:top w:val="nil"/>
              <w:left w:val="nil"/>
              <w:bottom w:val="nil"/>
              <w:right w:val="nil"/>
            </w:tcBorders>
          </w:tcPr>
          <w:p w14:paraId="66CF87D9" w14:textId="77777777" w:rsidR="004676EF" w:rsidRPr="00734AB6" w:rsidRDefault="004676EF" w:rsidP="0099584D">
            <w:pPr>
              <w:spacing w:line="360" w:lineRule="auto"/>
              <w:rPr>
                <w:rFonts w:asciiTheme="majorHAnsi" w:hAnsiTheme="majorHAnsi"/>
              </w:rPr>
            </w:pPr>
            <w:r w:rsidRPr="00734AB6">
              <w:rPr>
                <w:rFonts w:asciiTheme="majorHAnsi" w:hAnsiTheme="majorHAnsi"/>
              </w:rPr>
              <w:t>1 (8.3)</w:t>
            </w:r>
          </w:p>
        </w:tc>
        <w:tc>
          <w:tcPr>
            <w:tcW w:w="1985" w:type="dxa"/>
            <w:tcBorders>
              <w:top w:val="nil"/>
              <w:left w:val="nil"/>
              <w:bottom w:val="nil"/>
              <w:right w:val="nil"/>
            </w:tcBorders>
          </w:tcPr>
          <w:p w14:paraId="429B8073"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12E8CCD" w14:textId="77777777" w:rsidTr="004676EF">
        <w:tc>
          <w:tcPr>
            <w:tcW w:w="1560" w:type="dxa"/>
            <w:tcBorders>
              <w:top w:val="nil"/>
              <w:left w:val="nil"/>
              <w:bottom w:val="nil"/>
              <w:right w:val="nil"/>
            </w:tcBorders>
          </w:tcPr>
          <w:p w14:paraId="05D03FB0" w14:textId="77777777" w:rsidR="004676EF" w:rsidRPr="00734AB6" w:rsidRDefault="004676EF" w:rsidP="0099584D">
            <w:pPr>
              <w:spacing w:line="360" w:lineRule="auto"/>
              <w:rPr>
                <w:rFonts w:asciiTheme="majorHAnsi" w:hAnsiTheme="majorHAnsi"/>
              </w:rPr>
            </w:pPr>
            <w:r w:rsidRPr="00734AB6">
              <w:rPr>
                <w:rFonts w:asciiTheme="majorHAnsi" w:hAnsiTheme="majorHAnsi"/>
              </w:rPr>
              <w:t>60mg</w:t>
            </w:r>
          </w:p>
        </w:tc>
        <w:tc>
          <w:tcPr>
            <w:tcW w:w="1984" w:type="dxa"/>
            <w:tcBorders>
              <w:top w:val="nil"/>
              <w:left w:val="nil"/>
              <w:bottom w:val="nil"/>
              <w:right w:val="nil"/>
            </w:tcBorders>
          </w:tcPr>
          <w:p w14:paraId="2127E99A" w14:textId="77777777" w:rsidR="004676EF" w:rsidRPr="00734AB6" w:rsidRDefault="004676EF" w:rsidP="0099584D">
            <w:pPr>
              <w:spacing w:line="360" w:lineRule="auto"/>
              <w:rPr>
                <w:rFonts w:asciiTheme="majorHAnsi" w:hAnsiTheme="majorHAnsi"/>
              </w:rPr>
            </w:pPr>
            <w:r w:rsidRPr="00734AB6">
              <w:rPr>
                <w:rFonts w:asciiTheme="majorHAnsi" w:hAnsiTheme="majorHAnsi"/>
              </w:rPr>
              <w:t>3 (25.0)</w:t>
            </w:r>
          </w:p>
        </w:tc>
        <w:tc>
          <w:tcPr>
            <w:tcW w:w="1985" w:type="dxa"/>
            <w:tcBorders>
              <w:top w:val="nil"/>
              <w:left w:val="nil"/>
              <w:bottom w:val="nil"/>
              <w:right w:val="nil"/>
            </w:tcBorders>
          </w:tcPr>
          <w:p w14:paraId="1339884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725DE30" w14:textId="77777777" w:rsidTr="004676EF">
        <w:tc>
          <w:tcPr>
            <w:tcW w:w="1560" w:type="dxa"/>
            <w:tcBorders>
              <w:top w:val="nil"/>
              <w:left w:val="nil"/>
              <w:bottom w:val="nil"/>
              <w:right w:val="nil"/>
            </w:tcBorders>
          </w:tcPr>
          <w:p w14:paraId="11DC4900" w14:textId="77777777" w:rsidR="004676EF" w:rsidRPr="00734AB6" w:rsidRDefault="004676EF" w:rsidP="0099584D">
            <w:pPr>
              <w:spacing w:line="360" w:lineRule="auto"/>
              <w:rPr>
                <w:rFonts w:asciiTheme="majorHAnsi" w:hAnsiTheme="majorHAnsi"/>
              </w:rPr>
            </w:pPr>
            <w:r w:rsidRPr="00734AB6">
              <w:rPr>
                <w:rFonts w:asciiTheme="majorHAnsi" w:hAnsiTheme="majorHAnsi"/>
              </w:rPr>
              <w:t>80mg</w:t>
            </w:r>
          </w:p>
        </w:tc>
        <w:tc>
          <w:tcPr>
            <w:tcW w:w="1984" w:type="dxa"/>
            <w:tcBorders>
              <w:top w:val="nil"/>
              <w:left w:val="nil"/>
              <w:bottom w:val="nil"/>
              <w:right w:val="nil"/>
            </w:tcBorders>
          </w:tcPr>
          <w:p w14:paraId="4AE94523" w14:textId="77777777" w:rsidR="004676EF" w:rsidRPr="00734AB6" w:rsidRDefault="004676EF" w:rsidP="0099584D">
            <w:pPr>
              <w:spacing w:line="360" w:lineRule="auto"/>
              <w:rPr>
                <w:rFonts w:asciiTheme="majorHAnsi" w:hAnsiTheme="majorHAnsi"/>
              </w:rPr>
            </w:pPr>
            <w:r w:rsidRPr="00734AB6">
              <w:rPr>
                <w:rFonts w:asciiTheme="majorHAnsi" w:hAnsiTheme="majorHAnsi"/>
              </w:rPr>
              <w:t>1 (8.3)</w:t>
            </w:r>
          </w:p>
        </w:tc>
        <w:tc>
          <w:tcPr>
            <w:tcW w:w="1985" w:type="dxa"/>
            <w:tcBorders>
              <w:top w:val="nil"/>
              <w:left w:val="nil"/>
              <w:bottom w:val="nil"/>
              <w:right w:val="nil"/>
            </w:tcBorders>
          </w:tcPr>
          <w:p w14:paraId="720E3C2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12FE669" w14:textId="77777777" w:rsidTr="004676EF">
        <w:tc>
          <w:tcPr>
            <w:tcW w:w="1560" w:type="dxa"/>
            <w:tcBorders>
              <w:top w:val="nil"/>
              <w:left w:val="nil"/>
              <w:right w:val="nil"/>
            </w:tcBorders>
          </w:tcPr>
          <w:p w14:paraId="72C99866" w14:textId="77777777" w:rsidR="004676EF" w:rsidRPr="00734AB6" w:rsidRDefault="004676EF" w:rsidP="0099584D">
            <w:pPr>
              <w:spacing w:line="360" w:lineRule="auto"/>
              <w:rPr>
                <w:rFonts w:asciiTheme="majorHAnsi" w:hAnsiTheme="majorHAnsi"/>
              </w:rPr>
            </w:pPr>
            <w:r w:rsidRPr="00734AB6">
              <w:rPr>
                <w:rFonts w:asciiTheme="majorHAnsi" w:hAnsiTheme="majorHAnsi"/>
              </w:rPr>
              <w:t>120mg</w:t>
            </w:r>
          </w:p>
        </w:tc>
        <w:tc>
          <w:tcPr>
            <w:tcW w:w="1984" w:type="dxa"/>
            <w:tcBorders>
              <w:top w:val="nil"/>
              <w:left w:val="nil"/>
              <w:right w:val="nil"/>
            </w:tcBorders>
          </w:tcPr>
          <w:p w14:paraId="3AE86D67" w14:textId="77777777" w:rsidR="004676EF" w:rsidRPr="00734AB6" w:rsidRDefault="004676EF" w:rsidP="0099584D">
            <w:pPr>
              <w:spacing w:line="360" w:lineRule="auto"/>
              <w:rPr>
                <w:rFonts w:asciiTheme="majorHAnsi" w:hAnsiTheme="majorHAnsi"/>
              </w:rPr>
            </w:pPr>
            <w:r w:rsidRPr="00734AB6">
              <w:rPr>
                <w:rFonts w:asciiTheme="majorHAnsi" w:hAnsiTheme="majorHAnsi"/>
              </w:rPr>
              <w:t>1 (8.3)</w:t>
            </w:r>
          </w:p>
        </w:tc>
        <w:tc>
          <w:tcPr>
            <w:tcW w:w="1985" w:type="dxa"/>
            <w:tcBorders>
              <w:top w:val="nil"/>
              <w:left w:val="nil"/>
              <w:right w:val="nil"/>
            </w:tcBorders>
          </w:tcPr>
          <w:p w14:paraId="01B9D513"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bl>
    <w:p w14:paraId="35A71FF1" w14:textId="77777777" w:rsidR="004676EF" w:rsidRPr="00734AB6" w:rsidRDefault="004676EF" w:rsidP="00D22283">
      <w:pPr>
        <w:tabs>
          <w:tab w:val="left" w:pos="426"/>
        </w:tabs>
        <w:spacing w:after="0"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67812A34" w14:textId="77777777" w:rsidR="004676EF" w:rsidRPr="00734AB6" w:rsidRDefault="004676EF" w:rsidP="00D22283">
      <w:pPr>
        <w:spacing w:after="0" w:line="360" w:lineRule="auto"/>
        <w:rPr>
          <w:rFonts w:asciiTheme="majorHAnsi" w:hAnsiTheme="majorHAnsi"/>
        </w:rPr>
      </w:pPr>
    </w:p>
    <w:p w14:paraId="613CFBEF" w14:textId="5E2F879E"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t xml:space="preserve">Table </w:t>
      </w:r>
      <w:r w:rsidR="0008537A" w:rsidRPr="00734AB6">
        <w:rPr>
          <w:rFonts w:asciiTheme="majorHAnsi" w:hAnsiTheme="majorHAnsi"/>
          <w:b/>
        </w:rPr>
        <w:t>C.15</w:t>
      </w:r>
      <w:r w:rsidRPr="00734AB6">
        <w:rPr>
          <w:rFonts w:asciiTheme="majorHAnsi" w:hAnsiTheme="majorHAnsi"/>
          <w:b/>
        </w:rPr>
        <w:t>.</w:t>
      </w:r>
      <w:r w:rsidRPr="00734AB6">
        <w:rPr>
          <w:rFonts w:asciiTheme="majorHAnsi" w:hAnsiTheme="majorHAnsi"/>
          <w:b/>
        </w:rPr>
        <w:tab/>
        <w:t>Frequency of methylphenidate use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2409"/>
      </w:tblGrid>
      <w:tr w:rsidR="004676EF" w:rsidRPr="00734AB6" w14:paraId="661D7EA2" w14:textId="77777777" w:rsidTr="004676EF">
        <w:tc>
          <w:tcPr>
            <w:tcW w:w="3828" w:type="dxa"/>
            <w:tcBorders>
              <w:bottom w:val="single" w:sz="4" w:space="0" w:color="auto"/>
            </w:tcBorders>
            <w:shd w:val="clear" w:color="auto" w:fill="auto"/>
          </w:tcPr>
          <w:p w14:paraId="7B99E101"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Frequency of use within the past six months</w:t>
            </w:r>
          </w:p>
        </w:tc>
        <w:tc>
          <w:tcPr>
            <w:tcW w:w="2409" w:type="dxa"/>
            <w:tcBorders>
              <w:bottom w:val="single" w:sz="4" w:space="0" w:color="auto"/>
            </w:tcBorders>
          </w:tcPr>
          <w:p w14:paraId="5959D3C1"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b/>
              </w:rPr>
              <w:t>CED user group N (%)*</w:t>
            </w:r>
          </w:p>
        </w:tc>
      </w:tr>
      <w:tr w:rsidR="004676EF" w:rsidRPr="00734AB6" w14:paraId="1954EC39" w14:textId="77777777" w:rsidTr="004676EF">
        <w:tc>
          <w:tcPr>
            <w:tcW w:w="3828" w:type="dxa"/>
            <w:tcBorders>
              <w:bottom w:val="nil"/>
            </w:tcBorders>
            <w:shd w:val="clear" w:color="auto" w:fill="auto"/>
          </w:tcPr>
          <w:p w14:paraId="148FFFCB"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Every day</w:t>
            </w:r>
          </w:p>
        </w:tc>
        <w:tc>
          <w:tcPr>
            <w:tcW w:w="2409" w:type="dxa"/>
            <w:tcBorders>
              <w:bottom w:val="nil"/>
            </w:tcBorders>
          </w:tcPr>
          <w:p w14:paraId="7354DAA5"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F1E1087" w14:textId="77777777" w:rsidTr="004676EF">
        <w:tc>
          <w:tcPr>
            <w:tcW w:w="3828" w:type="dxa"/>
            <w:tcBorders>
              <w:top w:val="nil"/>
              <w:bottom w:val="nil"/>
            </w:tcBorders>
            <w:shd w:val="clear" w:color="auto" w:fill="auto"/>
          </w:tcPr>
          <w:p w14:paraId="69F6F8FB"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Three or more days per week</w:t>
            </w:r>
          </w:p>
        </w:tc>
        <w:tc>
          <w:tcPr>
            <w:tcW w:w="2409" w:type="dxa"/>
            <w:tcBorders>
              <w:top w:val="nil"/>
              <w:bottom w:val="nil"/>
            </w:tcBorders>
          </w:tcPr>
          <w:p w14:paraId="42BAB0D1" w14:textId="77777777" w:rsidR="004676EF" w:rsidRPr="00734AB6" w:rsidRDefault="004676EF" w:rsidP="0099584D">
            <w:pPr>
              <w:spacing w:line="360" w:lineRule="auto"/>
              <w:rPr>
                <w:rFonts w:asciiTheme="majorHAnsi" w:hAnsiTheme="majorHAnsi"/>
              </w:rPr>
            </w:pPr>
            <w:r w:rsidRPr="00734AB6">
              <w:rPr>
                <w:rFonts w:asciiTheme="majorHAnsi" w:hAnsiTheme="majorHAnsi"/>
              </w:rPr>
              <w:t>2   (10.5)</w:t>
            </w:r>
          </w:p>
        </w:tc>
      </w:tr>
      <w:tr w:rsidR="004676EF" w:rsidRPr="00734AB6" w14:paraId="4B49E803" w14:textId="77777777" w:rsidTr="004676EF">
        <w:tc>
          <w:tcPr>
            <w:tcW w:w="3828" w:type="dxa"/>
            <w:tcBorders>
              <w:top w:val="nil"/>
              <w:bottom w:val="nil"/>
            </w:tcBorders>
            <w:shd w:val="clear" w:color="auto" w:fill="auto"/>
          </w:tcPr>
          <w:p w14:paraId="0F6CD347"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Once or twice per week</w:t>
            </w:r>
          </w:p>
        </w:tc>
        <w:tc>
          <w:tcPr>
            <w:tcW w:w="2409" w:type="dxa"/>
            <w:tcBorders>
              <w:top w:val="nil"/>
              <w:bottom w:val="nil"/>
            </w:tcBorders>
          </w:tcPr>
          <w:p w14:paraId="5CF2022A"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1AFE6738" w14:textId="77777777" w:rsidTr="004676EF">
        <w:tc>
          <w:tcPr>
            <w:tcW w:w="3828" w:type="dxa"/>
            <w:tcBorders>
              <w:top w:val="nil"/>
              <w:bottom w:val="nil"/>
            </w:tcBorders>
            <w:shd w:val="clear" w:color="auto" w:fill="auto"/>
          </w:tcPr>
          <w:p w14:paraId="6D56A45D"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Two or three times per month</w:t>
            </w:r>
          </w:p>
        </w:tc>
        <w:tc>
          <w:tcPr>
            <w:tcW w:w="2409" w:type="dxa"/>
            <w:tcBorders>
              <w:top w:val="nil"/>
              <w:bottom w:val="nil"/>
            </w:tcBorders>
          </w:tcPr>
          <w:p w14:paraId="2FEC657E" w14:textId="77777777" w:rsidR="004676EF" w:rsidRPr="00734AB6" w:rsidRDefault="004676EF" w:rsidP="0099584D">
            <w:pPr>
              <w:spacing w:line="360" w:lineRule="auto"/>
              <w:rPr>
                <w:rFonts w:asciiTheme="majorHAnsi" w:hAnsiTheme="majorHAnsi"/>
              </w:rPr>
            </w:pPr>
            <w:r w:rsidRPr="00734AB6">
              <w:rPr>
                <w:rFonts w:asciiTheme="majorHAnsi" w:hAnsiTheme="majorHAnsi"/>
              </w:rPr>
              <w:t>4   (21.1)</w:t>
            </w:r>
          </w:p>
        </w:tc>
      </w:tr>
      <w:tr w:rsidR="004676EF" w:rsidRPr="00734AB6" w14:paraId="15F07412" w14:textId="77777777" w:rsidTr="004676EF">
        <w:tc>
          <w:tcPr>
            <w:tcW w:w="3828" w:type="dxa"/>
            <w:tcBorders>
              <w:top w:val="nil"/>
            </w:tcBorders>
            <w:shd w:val="clear" w:color="auto" w:fill="auto"/>
          </w:tcPr>
          <w:p w14:paraId="2CCA9E05" w14:textId="77777777" w:rsidR="004676EF" w:rsidRPr="00734AB6" w:rsidRDefault="004676EF" w:rsidP="0099584D">
            <w:pPr>
              <w:widowControl w:val="0"/>
              <w:autoSpaceDE w:val="0"/>
              <w:autoSpaceDN w:val="0"/>
              <w:adjustRightInd w:val="0"/>
              <w:spacing w:line="360" w:lineRule="auto"/>
              <w:rPr>
                <w:rFonts w:asciiTheme="majorHAnsi" w:hAnsiTheme="majorHAnsi" w:cs="Calibri"/>
                <w:b/>
              </w:rPr>
            </w:pPr>
            <w:r w:rsidRPr="00734AB6">
              <w:rPr>
                <w:rFonts w:asciiTheme="majorHAnsi" w:hAnsiTheme="majorHAnsi" w:cs="Calibri"/>
                <w:b/>
              </w:rPr>
              <w:t>Six times or less per year</w:t>
            </w:r>
          </w:p>
        </w:tc>
        <w:tc>
          <w:tcPr>
            <w:tcW w:w="2409" w:type="dxa"/>
            <w:tcBorders>
              <w:top w:val="nil"/>
            </w:tcBorders>
          </w:tcPr>
          <w:p w14:paraId="741CF503" w14:textId="77777777" w:rsidR="004676EF" w:rsidRPr="00734AB6" w:rsidRDefault="004676EF" w:rsidP="0099584D">
            <w:pPr>
              <w:spacing w:line="360" w:lineRule="auto"/>
              <w:rPr>
                <w:rFonts w:asciiTheme="majorHAnsi" w:hAnsiTheme="majorHAnsi"/>
              </w:rPr>
            </w:pPr>
            <w:r w:rsidRPr="00734AB6">
              <w:rPr>
                <w:rFonts w:asciiTheme="majorHAnsi" w:hAnsiTheme="majorHAnsi"/>
              </w:rPr>
              <w:t>4   (21.1)</w:t>
            </w:r>
          </w:p>
        </w:tc>
      </w:tr>
    </w:tbl>
    <w:p w14:paraId="44A1934E" w14:textId="77777777" w:rsidR="004676EF" w:rsidRPr="00734AB6" w:rsidRDefault="004676EF" w:rsidP="00D22283">
      <w:pPr>
        <w:tabs>
          <w:tab w:val="left" w:pos="426"/>
        </w:tabs>
        <w:spacing w:after="0"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71FABBE8" w14:textId="076F3151" w:rsidR="001F00D7" w:rsidRPr="00734AB6" w:rsidRDefault="001F00D7" w:rsidP="00D22283">
      <w:pPr>
        <w:spacing w:after="0"/>
        <w:rPr>
          <w:rFonts w:asciiTheme="majorHAnsi" w:hAnsiTheme="majorHAnsi"/>
          <w:b/>
        </w:rPr>
      </w:pPr>
    </w:p>
    <w:p w14:paraId="72A62874" w14:textId="6B854025" w:rsidR="004676EF" w:rsidRPr="00734AB6" w:rsidRDefault="004676EF" w:rsidP="00D22283">
      <w:pPr>
        <w:tabs>
          <w:tab w:val="left" w:pos="993"/>
        </w:tabs>
        <w:spacing w:after="0" w:line="360" w:lineRule="auto"/>
        <w:rPr>
          <w:rFonts w:asciiTheme="majorHAnsi" w:hAnsiTheme="majorHAnsi"/>
          <w:b/>
        </w:rPr>
      </w:pPr>
      <w:r w:rsidRPr="00734AB6">
        <w:rPr>
          <w:rFonts w:asciiTheme="majorHAnsi" w:hAnsiTheme="majorHAnsi"/>
          <w:b/>
        </w:rPr>
        <w:t xml:space="preserve">Table </w:t>
      </w:r>
      <w:r w:rsidR="0008537A" w:rsidRPr="00734AB6">
        <w:rPr>
          <w:rFonts w:asciiTheme="majorHAnsi" w:hAnsiTheme="majorHAnsi"/>
          <w:b/>
        </w:rPr>
        <w:t>C.16</w:t>
      </w:r>
      <w:r w:rsidRPr="00734AB6">
        <w:rPr>
          <w:rFonts w:asciiTheme="majorHAnsi" w:hAnsiTheme="majorHAnsi"/>
          <w:b/>
        </w:rPr>
        <w:t>.</w:t>
      </w:r>
      <w:r w:rsidRPr="00734AB6">
        <w:rPr>
          <w:rFonts w:asciiTheme="majorHAnsi" w:hAnsiTheme="majorHAnsi"/>
          <w:b/>
        </w:rPr>
        <w:tab/>
        <w:t>Routes of administration of methylphenidate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89"/>
        <w:gridCol w:w="2131"/>
      </w:tblGrid>
      <w:tr w:rsidR="004676EF" w:rsidRPr="00734AB6" w14:paraId="6C84132E" w14:textId="77777777" w:rsidTr="004676EF">
        <w:tc>
          <w:tcPr>
            <w:tcW w:w="2689" w:type="dxa"/>
            <w:tcBorders>
              <w:bottom w:val="single" w:sz="4" w:space="0" w:color="auto"/>
            </w:tcBorders>
          </w:tcPr>
          <w:p w14:paraId="6B6AE6D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Route of administration</w:t>
            </w:r>
          </w:p>
        </w:tc>
        <w:tc>
          <w:tcPr>
            <w:tcW w:w="2131" w:type="dxa"/>
            <w:tcBorders>
              <w:bottom w:val="single" w:sz="4" w:space="0" w:color="auto"/>
            </w:tcBorders>
          </w:tcPr>
          <w:p w14:paraId="7F25E9B7"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 (%)*</w:t>
            </w:r>
          </w:p>
        </w:tc>
      </w:tr>
      <w:tr w:rsidR="004676EF" w:rsidRPr="00734AB6" w14:paraId="1A0ED9D6" w14:textId="77777777" w:rsidTr="004676EF">
        <w:tc>
          <w:tcPr>
            <w:tcW w:w="2689" w:type="dxa"/>
            <w:tcBorders>
              <w:top w:val="nil"/>
              <w:bottom w:val="nil"/>
              <w:right w:val="nil"/>
            </w:tcBorders>
          </w:tcPr>
          <w:p w14:paraId="21E0B5BD" w14:textId="77777777" w:rsidR="004676EF" w:rsidRPr="00734AB6" w:rsidRDefault="004676EF" w:rsidP="0099584D">
            <w:pPr>
              <w:spacing w:line="360" w:lineRule="auto"/>
              <w:rPr>
                <w:rFonts w:asciiTheme="majorHAnsi" w:hAnsiTheme="majorHAnsi"/>
              </w:rPr>
            </w:pPr>
            <w:r w:rsidRPr="00734AB6">
              <w:rPr>
                <w:rFonts w:asciiTheme="majorHAnsi" w:hAnsiTheme="majorHAnsi"/>
              </w:rPr>
              <w:t>Swallow pill</w:t>
            </w:r>
          </w:p>
        </w:tc>
        <w:tc>
          <w:tcPr>
            <w:tcW w:w="2131" w:type="dxa"/>
            <w:tcBorders>
              <w:top w:val="nil"/>
              <w:left w:val="nil"/>
              <w:bottom w:val="nil"/>
            </w:tcBorders>
          </w:tcPr>
          <w:p w14:paraId="44A8C809" w14:textId="77777777" w:rsidR="004676EF" w:rsidRPr="00734AB6" w:rsidRDefault="004676EF" w:rsidP="0099584D">
            <w:pPr>
              <w:spacing w:line="360" w:lineRule="auto"/>
              <w:rPr>
                <w:rFonts w:asciiTheme="majorHAnsi" w:hAnsiTheme="majorHAnsi"/>
              </w:rPr>
            </w:pPr>
            <w:r w:rsidRPr="00734AB6">
              <w:rPr>
                <w:rFonts w:asciiTheme="majorHAnsi" w:hAnsiTheme="majorHAnsi"/>
              </w:rPr>
              <w:t>14 (73.7)</w:t>
            </w:r>
          </w:p>
        </w:tc>
      </w:tr>
      <w:tr w:rsidR="004676EF" w:rsidRPr="00734AB6" w14:paraId="23A80FB4" w14:textId="77777777" w:rsidTr="004676EF">
        <w:tc>
          <w:tcPr>
            <w:tcW w:w="2689" w:type="dxa"/>
            <w:tcBorders>
              <w:top w:val="nil"/>
              <w:bottom w:val="nil"/>
              <w:right w:val="nil"/>
            </w:tcBorders>
          </w:tcPr>
          <w:p w14:paraId="46C7B50B" w14:textId="77777777" w:rsidR="004676EF" w:rsidRPr="00734AB6" w:rsidRDefault="004676EF" w:rsidP="0099584D">
            <w:pPr>
              <w:spacing w:line="360" w:lineRule="auto"/>
              <w:rPr>
                <w:rFonts w:asciiTheme="majorHAnsi" w:hAnsiTheme="majorHAnsi"/>
              </w:rPr>
            </w:pPr>
            <w:r w:rsidRPr="00734AB6">
              <w:rPr>
                <w:rFonts w:asciiTheme="majorHAnsi" w:hAnsiTheme="majorHAnsi"/>
              </w:rPr>
              <w:t>Swallow pill and snort</w:t>
            </w:r>
          </w:p>
        </w:tc>
        <w:tc>
          <w:tcPr>
            <w:tcW w:w="2131" w:type="dxa"/>
            <w:tcBorders>
              <w:top w:val="nil"/>
              <w:left w:val="nil"/>
              <w:bottom w:val="nil"/>
            </w:tcBorders>
          </w:tcPr>
          <w:p w14:paraId="767939B7" w14:textId="77777777" w:rsidR="004676EF" w:rsidRPr="00734AB6" w:rsidRDefault="004676EF" w:rsidP="0099584D">
            <w:pPr>
              <w:spacing w:line="360" w:lineRule="auto"/>
              <w:rPr>
                <w:rFonts w:asciiTheme="majorHAnsi" w:hAnsiTheme="majorHAnsi"/>
              </w:rPr>
            </w:pPr>
            <w:r w:rsidRPr="00734AB6">
              <w:rPr>
                <w:rFonts w:asciiTheme="majorHAnsi" w:hAnsiTheme="majorHAnsi"/>
              </w:rPr>
              <w:t>3   (15.8)</w:t>
            </w:r>
          </w:p>
        </w:tc>
      </w:tr>
      <w:tr w:rsidR="004676EF" w:rsidRPr="00734AB6" w14:paraId="30BED53F" w14:textId="77777777" w:rsidTr="004676EF">
        <w:tc>
          <w:tcPr>
            <w:tcW w:w="2689" w:type="dxa"/>
            <w:tcBorders>
              <w:top w:val="nil"/>
              <w:bottom w:val="nil"/>
              <w:right w:val="nil"/>
            </w:tcBorders>
          </w:tcPr>
          <w:p w14:paraId="016F275D" w14:textId="77777777" w:rsidR="004676EF" w:rsidRPr="00734AB6" w:rsidRDefault="004676EF" w:rsidP="0099584D">
            <w:pPr>
              <w:spacing w:line="360" w:lineRule="auto"/>
              <w:rPr>
                <w:rFonts w:asciiTheme="majorHAnsi" w:hAnsiTheme="majorHAnsi"/>
              </w:rPr>
            </w:pPr>
            <w:r w:rsidRPr="00734AB6">
              <w:rPr>
                <w:rFonts w:asciiTheme="majorHAnsi" w:hAnsiTheme="majorHAnsi"/>
              </w:rPr>
              <w:t>subcutaneous</w:t>
            </w:r>
          </w:p>
        </w:tc>
        <w:tc>
          <w:tcPr>
            <w:tcW w:w="2131" w:type="dxa"/>
            <w:tcBorders>
              <w:top w:val="nil"/>
              <w:left w:val="nil"/>
              <w:bottom w:val="nil"/>
            </w:tcBorders>
          </w:tcPr>
          <w:p w14:paraId="2045CC64" w14:textId="77777777" w:rsidR="004676EF" w:rsidRPr="00734AB6" w:rsidRDefault="004676EF" w:rsidP="0099584D">
            <w:pPr>
              <w:spacing w:line="360" w:lineRule="auto"/>
              <w:rPr>
                <w:rFonts w:asciiTheme="majorHAnsi" w:hAnsiTheme="majorHAnsi"/>
              </w:rPr>
            </w:pPr>
            <w:r w:rsidRPr="00734AB6">
              <w:rPr>
                <w:rFonts w:asciiTheme="majorHAnsi" w:hAnsiTheme="majorHAnsi"/>
              </w:rPr>
              <w:t>2   (10.5)</w:t>
            </w:r>
          </w:p>
        </w:tc>
      </w:tr>
    </w:tbl>
    <w:p w14:paraId="2407AAB7" w14:textId="77777777" w:rsidR="004676EF" w:rsidRPr="00734AB6" w:rsidRDefault="004676EF" w:rsidP="00D22283">
      <w:pPr>
        <w:tabs>
          <w:tab w:val="left" w:pos="426"/>
        </w:tabs>
        <w:spacing w:after="0"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552D01FD" w14:textId="77777777" w:rsidR="004676EF" w:rsidRPr="00734AB6" w:rsidRDefault="004676EF" w:rsidP="00D22283">
      <w:pPr>
        <w:pBdr>
          <w:top w:val="double" w:sz="4" w:space="1" w:color="auto"/>
        </w:pBdr>
        <w:tabs>
          <w:tab w:val="left" w:pos="1276"/>
        </w:tabs>
        <w:spacing w:line="360" w:lineRule="auto"/>
        <w:rPr>
          <w:rFonts w:asciiTheme="majorHAnsi" w:hAnsiTheme="majorHAnsi"/>
          <w:b/>
        </w:rPr>
      </w:pPr>
    </w:p>
    <w:p w14:paraId="5E44AB75" w14:textId="10627195" w:rsidR="004676EF" w:rsidRPr="00734AB6" w:rsidRDefault="004676EF" w:rsidP="0099584D">
      <w:pPr>
        <w:pStyle w:val="Heading2"/>
        <w:spacing w:line="360" w:lineRule="auto"/>
        <w:rPr>
          <w:b/>
          <w:color w:val="auto"/>
          <w:sz w:val="22"/>
          <w:szCs w:val="22"/>
        </w:rPr>
      </w:pPr>
      <w:bookmarkStart w:id="202" w:name="_Toc45200557"/>
      <w:bookmarkStart w:id="203" w:name="_Toc48136447"/>
      <w:r w:rsidRPr="00734AB6">
        <w:rPr>
          <w:b/>
          <w:color w:val="auto"/>
          <w:sz w:val="22"/>
          <w:szCs w:val="22"/>
        </w:rPr>
        <w:t>C(xv)</w:t>
      </w:r>
      <w:r w:rsidRPr="00734AB6">
        <w:rPr>
          <w:b/>
          <w:color w:val="auto"/>
          <w:sz w:val="22"/>
          <w:szCs w:val="22"/>
        </w:rPr>
        <w:tab/>
        <w:t>Alcohol</w:t>
      </w:r>
      <w:bookmarkEnd w:id="202"/>
      <w:bookmarkEnd w:id="203"/>
    </w:p>
    <w:p w14:paraId="0DE32CD4" w14:textId="77777777" w:rsidR="00D22283" w:rsidRPr="00734AB6" w:rsidRDefault="00D22283" w:rsidP="00D22283"/>
    <w:p w14:paraId="0B728C23" w14:textId="509FE802"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08537A" w:rsidRPr="00734AB6">
        <w:rPr>
          <w:rFonts w:asciiTheme="majorHAnsi" w:hAnsiTheme="majorHAnsi"/>
          <w:b/>
        </w:rPr>
        <w:t>C.17</w:t>
      </w:r>
      <w:r w:rsidRPr="00734AB6">
        <w:rPr>
          <w:rFonts w:asciiTheme="majorHAnsi" w:hAnsiTheme="majorHAnsi"/>
          <w:b/>
        </w:rPr>
        <w:t>. Frequency of alcohol use and length of time since last use</w:t>
      </w:r>
    </w:p>
    <w:tbl>
      <w:tblPr>
        <w:tblW w:w="0" w:type="auto"/>
        <w:tblLook w:val="04A0" w:firstRow="1" w:lastRow="0" w:firstColumn="1" w:lastColumn="0" w:noHBand="0" w:noVBand="1"/>
      </w:tblPr>
      <w:tblGrid>
        <w:gridCol w:w="3969"/>
        <w:gridCol w:w="2268"/>
        <w:gridCol w:w="2127"/>
      </w:tblGrid>
      <w:tr w:rsidR="004676EF" w:rsidRPr="00734AB6" w14:paraId="5C5374AD" w14:textId="77777777" w:rsidTr="00E2030F">
        <w:tc>
          <w:tcPr>
            <w:tcW w:w="3969" w:type="dxa"/>
            <w:tcBorders>
              <w:left w:val="nil"/>
              <w:right w:val="nil"/>
            </w:tcBorders>
          </w:tcPr>
          <w:p w14:paraId="4476CC0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ALCOHOL</w:t>
            </w:r>
          </w:p>
        </w:tc>
        <w:tc>
          <w:tcPr>
            <w:tcW w:w="2268" w:type="dxa"/>
            <w:tcBorders>
              <w:left w:val="nil"/>
              <w:right w:val="nil"/>
            </w:tcBorders>
          </w:tcPr>
          <w:p w14:paraId="1C7DA33A"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7" w:type="dxa"/>
            <w:tcBorders>
              <w:left w:val="nil"/>
              <w:right w:val="nil"/>
            </w:tcBorders>
          </w:tcPr>
          <w:p w14:paraId="1AEB9F8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617D4014" w14:textId="77777777" w:rsidTr="00E2030F">
        <w:tc>
          <w:tcPr>
            <w:tcW w:w="8364" w:type="dxa"/>
            <w:gridSpan w:val="3"/>
            <w:tcBorders>
              <w:left w:val="nil"/>
              <w:bottom w:val="single" w:sz="4" w:space="0" w:color="auto"/>
              <w:right w:val="nil"/>
            </w:tcBorders>
          </w:tcPr>
          <w:p w14:paraId="08AFF60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0082F0D2" w14:textId="77777777" w:rsidTr="00E2030F">
        <w:tc>
          <w:tcPr>
            <w:tcW w:w="3969" w:type="dxa"/>
            <w:tcBorders>
              <w:left w:val="nil"/>
              <w:bottom w:val="nil"/>
              <w:right w:val="nil"/>
            </w:tcBorders>
          </w:tcPr>
          <w:p w14:paraId="1D10368E"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12099FA9" w14:textId="5B6DA872" w:rsidR="004676EF" w:rsidRPr="00734AB6" w:rsidRDefault="004676EF" w:rsidP="00A52FA1">
            <w:pPr>
              <w:spacing w:line="360" w:lineRule="auto"/>
              <w:rPr>
                <w:rFonts w:asciiTheme="majorHAnsi" w:hAnsiTheme="majorHAnsi"/>
              </w:rPr>
            </w:pPr>
            <w:r w:rsidRPr="00734AB6">
              <w:rPr>
                <w:rFonts w:asciiTheme="majorHAnsi" w:hAnsiTheme="majorHAnsi"/>
              </w:rPr>
              <w:t>1 (</w:t>
            </w:r>
            <w:r w:rsidR="00A52FA1" w:rsidRPr="00734AB6">
              <w:rPr>
                <w:rFonts w:asciiTheme="majorHAnsi" w:hAnsiTheme="majorHAnsi"/>
              </w:rPr>
              <w:t>2.10</w:t>
            </w:r>
            <w:r w:rsidRPr="00734AB6">
              <w:rPr>
                <w:rFonts w:asciiTheme="majorHAnsi" w:hAnsiTheme="majorHAnsi"/>
              </w:rPr>
              <w:t>)</w:t>
            </w:r>
          </w:p>
        </w:tc>
        <w:tc>
          <w:tcPr>
            <w:tcW w:w="2127" w:type="dxa"/>
            <w:tcBorders>
              <w:left w:val="nil"/>
              <w:bottom w:val="nil"/>
              <w:right w:val="nil"/>
            </w:tcBorders>
          </w:tcPr>
          <w:p w14:paraId="163EC11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5149D49D" w14:textId="77777777" w:rsidTr="00E2030F">
        <w:tc>
          <w:tcPr>
            <w:tcW w:w="3969" w:type="dxa"/>
            <w:tcBorders>
              <w:top w:val="nil"/>
              <w:left w:val="nil"/>
              <w:bottom w:val="nil"/>
              <w:right w:val="nil"/>
            </w:tcBorders>
          </w:tcPr>
          <w:p w14:paraId="3A5D4AC2"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2809BD3C" w14:textId="7EC790CE" w:rsidR="004676EF" w:rsidRPr="00734AB6" w:rsidRDefault="004676EF" w:rsidP="00A52FA1">
            <w:pPr>
              <w:spacing w:line="360" w:lineRule="auto"/>
              <w:rPr>
                <w:rFonts w:asciiTheme="majorHAnsi" w:hAnsiTheme="majorHAnsi"/>
              </w:rPr>
            </w:pPr>
            <w:r w:rsidRPr="00734AB6">
              <w:rPr>
                <w:rFonts w:asciiTheme="majorHAnsi" w:hAnsiTheme="majorHAnsi"/>
              </w:rPr>
              <w:t>6 (</w:t>
            </w:r>
            <w:r w:rsidR="00A52FA1" w:rsidRPr="00734AB6">
              <w:rPr>
                <w:rFonts w:asciiTheme="majorHAnsi" w:hAnsiTheme="majorHAnsi"/>
              </w:rPr>
              <w:t>12.80</w:t>
            </w:r>
            <w:r w:rsidRPr="00734AB6">
              <w:rPr>
                <w:rFonts w:asciiTheme="majorHAnsi" w:hAnsiTheme="majorHAnsi"/>
              </w:rPr>
              <w:t>)</w:t>
            </w:r>
          </w:p>
        </w:tc>
        <w:tc>
          <w:tcPr>
            <w:tcW w:w="2127" w:type="dxa"/>
            <w:tcBorders>
              <w:top w:val="nil"/>
              <w:left w:val="nil"/>
              <w:bottom w:val="nil"/>
              <w:right w:val="nil"/>
            </w:tcBorders>
          </w:tcPr>
          <w:p w14:paraId="18AD740D" w14:textId="77777777" w:rsidR="004676EF" w:rsidRPr="00734AB6" w:rsidRDefault="004676EF" w:rsidP="0099584D">
            <w:pPr>
              <w:spacing w:line="360" w:lineRule="auto"/>
              <w:rPr>
                <w:rFonts w:asciiTheme="majorHAnsi" w:hAnsiTheme="majorHAnsi"/>
              </w:rPr>
            </w:pPr>
            <w:r w:rsidRPr="00734AB6">
              <w:rPr>
                <w:rFonts w:asciiTheme="majorHAnsi" w:hAnsiTheme="majorHAnsi"/>
              </w:rPr>
              <w:t>3 (7.0)</w:t>
            </w:r>
          </w:p>
        </w:tc>
      </w:tr>
      <w:tr w:rsidR="004676EF" w:rsidRPr="00734AB6" w14:paraId="6F21D79F" w14:textId="77777777" w:rsidTr="00E2030F">
        <w:tc>
          <w:tcPr>
            <w:tcW w:w="3969" w:type="dxa"/>
            <w:tcBorders>
              <w:top w:val="nil"/>
              <w:left w:val="nil"/>
              <w:bottom w:val="nil"/>
              <w:right w:val="nil"/>
            </w:tcBorders>
          </w:tcPr>
          <w:p w14:paraId="186E663A"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5E5474B8" w14:textId="4C188FF7" w:rsidR="004676EF" w:rsidRPr="00734AB6" w:rsidRDefault="004676EF" w:rsidP="00A52FA1">
            <w:pPr>
              <w:spacing w:line="360" w:lineRule="auto"/>
              <w:rPr>
                <w:rFonts w:asciiTheme="majorHAnsi" w:hAnsiTheme="majorHAnsi"/>
              </w:rPr>
            </w:pPr>
            <w:r w:rsidRPr="00734AB6">
              <w:rPr>
                <w:rFonts w:asciiTheme="majorHAnsi" w:hAnsiTheme="majorHAnsi"/>
              </w:rPr>
              <w:t>15 (</w:t>
            </w:r>
            <w:r w:rsidR="00A52FA1" w:rsidRPr="00734AB6">
              <w:rPr>
                <w:rFonts w:asciiTheme="majorHAnsi" w:hAnsiTheme="majorHAnsi"/>
              </w:rPr>
              <w:t>31.90</w:t>
            </w:r>
            <w:r w:rsidRPr="00734AB6">
              <w:rPr>
                <w:rFonts w:asciiTheme="majorHAnsi" w:hAnsiTheme="majorHAnsi"/>
              </w:rPr>
              <w:t>)</w:t>
            </w:r>
          </w:p>
        </w:tc>
        <w:tc>
          <w:tcPr>
            <w:tcW w:w="2127" w:type="dxa"/>
            <w:tcBorders>
              <w:top w:val="nil"/>
              <w:left w:val="nil"/>
              <w:bottom w:val="nil"/>
              <w:right w:val="nil"/>
            </w:tcBorders>
          </w:tcPr>
          <w:p w14:paraId="690E92C7" w14:textId="77777777" w:rsidR="004676EF" w:rsidRPr="00734AB6" w:rsidRDefault="004676EF" w:rsidP="0099584D">
            <w:pPr>
              <w:spacing w:line="360" w:lineRule="auto"/>
              <w:rPr>
                <w:rFonts w:asciiTheme="majorHAnsi" w:hAnsiTheme="majorHAnsi"/>
              </w:rPr>
            </w:pPr>
            <w:r w:rsidRPr="00734AB6">
              <w:rPr>
                <w:rFonts w:asciiTheme="majorHAnsi" w:hAnsiTheme="majorHAnsi"/>
              </w:rPr>
              <w:t>8 (18.6)</w:t>
            </w:r>
          </w:p>
        </w:tc>
      </w:tr>
      <w:tr w:rsidR="004676EF" w:rsidRPr="00734AB6" w14:paraId="718034A7" w14:textId="77777777" w:rsidTr="00E2030F">
        <w:tc>
          <w:tcPr>
            <w:tcW w:w="3969" w:type="dxa"/>
            <w:tcBorders>
              <w:top w:val="nil"/>
              <w:left w:val="nil"/>
              <w:bottom w:val="nil"/>
              <w:right w:val="nil"/>
            </w:tcBorders>
          </w:tcPr>
          <w:p w14:paraId="0059EE38"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15148CC6" w14:textId="731E64FB" w:rsidR="004676EF" w:rsidRPr="00734AB6" w:rsidRDefault="004676EF" w:rsidP="00CE66E4">
            <w:pPr>
              <w:spacing w:line="360" w:lineRule="auto"/>
              <w:rPr>
                <w:rFonts w:asciiTheme="majorHAnsi" w:hAnsiTheme="majorHAnsi"/>
              </w:rPr>
            </w:pPr>
            <w:r w:rsidRPr="00734AB6">
              <w:rPr>
                <w:rFonts w:asciiTheme="majorHAnsi" w:hAnsiTheme="majorHAnsi"/>
              </w:rPr>
              <w:t>10 (</w:t>
            </w:r>
            <w:r w:rsidR="00CE66E4" w:rsidRPr="00734AB6">
              <w:rPr>
                <w:rFonts w:asciiTheme="majorHAnsi" w:hAnsiTheme="majorHAnsi"/>
              </w:rPr>
              <w:t>21.30</w:t>
            </w:r>
            <w:r w:rsidRPr="00734AB6">
              <w:rPr>
                <w:rFonts w:asciiTheme="majorHAnsi" w:hAnsiTheme="majorHAnsi"/>
              </w:rPr>
              <w:t>)</w:t>
            </w:r>
          </w:p>
        </w:tc>
        <w:tc>
          <w:tcPr>
            <w:tcW w:w="2127" w:type="dxa"/>
            <w:tcBorders>
              <w:top w:val="nil"/>
              <w:left w:val="nil"/>
              <w:bottom w:val="nil"/>
              <w:right w:val="nil"/>
            </w:tcBorders>
          </w:tcPr>
          <w:p w14:paraId="506944C6" w14:textId="77777777" w:rsidR="004676EF" w:rsidRPr="00734AB6" w:rsidRDefault="004676EF" w:rsidP="0099584D">
            <w:pPr>
              <w:spacing w:line="360" w:lineRule="auto"/>
              <w:rPr>
                <w:rFonts w:asciiTheme="majorHAnsi" w:hAnsiTheme="majorHAnsi"/>
              </w:rPr>
            </w:pPr>
            <w:r w:rsidRPr="00734AB6">
              <w:rPr>
                <w:rFonts w:asciiTheme="majorHAnsi" w:hAnsiTheme="majorHAnsi"/>
              </w:rPr>
              <w:t>2 (4.7)</w:t>
            </w:r>
          </w:p>
        </w:tc>
      </w:tr>
      <w:tr w:rsidR="004676EF" w:rsidRPr="00734AB6" w14:paraId="7F19CE89" w14:textId="77777777" w:rsidTr="00E2030F">
        <w:tc>
          <w:tcPr>
            <w:tcW w:w="3969" w:type="dxa"/>
            <w:tcBorders>
              <w:top w:val="nil"/>
              <w:left w:val="nil"/>
              <w:bottom w:val="nil"/>
              <w:right w:val="nil"/>
            </w:tcBorders>
          </w:tcPr>
          <w:p w14:paraId="5E70DD15"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2ADE568E" w14:textId="6CBFA8AE" w:rsidR="004676EF" w:rsidRPr="00734AB6" w:rsidRDefault="004676EF" w:rsidP="00CE66E4">
            <w:pPr>
              <w:spacing w:line="360" w:lineRule="auto"/>
              <w:rPr>
                <w:rFonts w:asciiTheme="majorHAnsi" w:hAnsiTheme="majorHAnsi"/>
              </w:rPr>
            </w:pPr>
            <w:r w:rsidRPr="00734AB6">
              <w:rPr>
                <w:rFonts w:asciiTheme="majorHAnsi" w:hAnsiTheme="majorHAnsi"/>
              </w:rPr>
              <w:t>1 (</w:t>
            </w:r>
            <w:r w:rsidR="00CE66E4" w:rsidRPr="00734AB6">
              <w:rPr>
                <w:rFonts w:asciiTheme="majorHAnsi" w:hAnsiTheme="majorHAnsi"/>
              </w:rPr>
              <w:t>2.10</w:t>
            </w:r>
            <w:r w:rsidRPr="00734AB6">
              <w:rPr>
                <w:rFonts w:asciiTheme="majorHAnsi" w:hAnsiTheme="majorHAnsi"/>
              </w:rPr>
              <w:t>)</w:t>
            </w:r>
          </w:p>
        </w:tc>
        <w:tc>
          <w:tcPr>
            <w:tcW w:w="2127" w:type="dxa"/>
            <w:tcBorders>
              <w:top w:val="nil"/>
              <w:left w:val="nil"/>
              <w:bottom w:val="nil"/>
              <w:right w:val="nil"/>
            </w:tcBorders>
          </w:tcPr>
          <w:p w14:paraId="2EAB5CF4" w14:textId="753065DB" w:rsidR="004676EF" w:rsidRPr="00734AB6" w:rsidRDefault="004676EF" w:rsidP="00BE630A">
            <w:pPr>
              <w:spacing w:line="360" w:lineRule="auto"/>
              <w:rPr>
                <w:rFonts w:asciiTheme="majorHAnsi" w:hAnsiTheme="majorHAnsi"/>
              </w:rPr>
            </w:pPr>
            <w:r w:rsidRPr="00734AB6">
              <w:rPr>
                <w:rFonts w:asciiTheme="majorHAnsi" w:hAnsiTheme="majorHAnsi"/>
              </w:rPr>
              <w:t>6 (</w:t>
            </w:r>
            <w:r w:rsidR="00BE630A" w:rsidRPr="00734AB6">
              <w:rPr>
                <w:rFonts w:asciiTheme="majorHAnsi" w:hAnsiTheme="majorHAnsi"/>
              </w:rPr>
              <w:t>14.00</w:t>
            </w:r>
            <w:r w:rsidRPr="00734AB6">
              <w:rPr>
                <w:rFonts w:asciiTheme="majorHAnsi" w:hAnsiTheme="majorHAnsi"/>
              </w:rPr>
              <w:t>)</w:t>
            </w:r>
          </w:p>
        </w:tc>
      </w:tr>
      <w:tr w:rsidR="004676EF" w:rsidRPr="00734AB6" w14:paraId="1FFEB928" w14:textId="77777777" w:rsidTr="00E2030F">
        <w:tc>
          <w:tcPr>
            <w:tcW w:w="3969" w:type="dxa"/>
            <w:tcBorders>
              <w:top w:val="nil"/>
              <w:left w:val="nil"/>
              <w:bottom w:val="single" w:sz="4" w:space="0" w:color="auto"/>
              <w:right w:val="nil"/>
            </w:tcBorders>
          </w:tcPr>
          <w:p w14:paraId="1C154C11"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7813EA09" w14:textId="7C929B0C" w:rsidR="004676EF" w:rsidRPr="00734AB6" w:rsidRDefault="00A52FA1" w:rsidP="00CE66E4">
            <w:pPr>
              <w:spacing w:line="360" w:lineRule="auto"/>
              <w:rPr>
                <w:rFonts w:asciiTheme="majorHAnsi" w:hAnsiTheme="majorHAnsi"/>
              </w:rPr>
            </w:pPr>
            <w:r w:rsidRPr="00734AB6">
              <w:rPr>
                <w:rFonts w:asciiTheme="majorHAnsi" w:hAnsiTheme="majorHAnsi"/>
              </w:rPr>
              <w:t>1</w:t>
            </w:r>
            <w:r w:rsidR="004676EF" w:rsidRPr="00734AB6">
              <w:rPr>
                <w:rFonts w:asciiTheme="majorHAnsi" w:hAnsiTheme="majorHAnsi"/>
              </w:rPr>
              <w:t>4 (</w:t>
            </w:r>
            <w:r w:rsidR="00CE66E4" w:rsidRPr="00734AB6">
              <w:rPr>
                <w:rFonts w:asciiTheme="majorHAnsi" w:hAnsiTheme="majorHAnsi"/>
              </w:rPr>
              <w:t>29.80</w:t>
            </w:r>
            <w:r w:rsidR="004676EF" w:rsidRPr="00734AB6">
              <w:rPr>
                <w:rFonts w:asciiTheme="majorHAnsi" w:hAnsiTheme="majorHAnsi"/>
              </w:rPr>
              <w:t>)</w:t>
            </w:r>
          </w:p>
        </w:tc>
        <w:tc>
          <w:tcPr>
            <w:tcW w:w="2127" w:type="dxa"/>
            <w:tcBorders>
              <w:top w:val="nil"/>
              <w:left w:val="nil"/>
              <w:bottom w:val="single" w:sz="4" w:space="0" w:color="auto"/>
              <w:right w:val="nil"/>
            </w:tcBorders>
          </w:tcPr>
          <w:p w14:paraId="2F064E83" w14:textId="51F65967" w:rsidR="004676EF" w:rsidRPr="00734AB6" w:rsidRDefault="00CE66E4" w:rsidP="0099584D">
            <w:pPr>
              <w:spacing w:line="360" w:lineRule="auto"/>
              <w:rPr>
                <w:rFonts w:asciiTheme="majorHAnsi" w:hAnsiTheme="majorHAnsi"/>
              </w:rPr>
            </w:pPr>
            <w:r w:rsidRPr="00734AB6">
              <w:rPr>
                <w:rFonts w:asciiTheme="majorHAnsi" w:hAnsiTheme="majorHAnsi"/>
              </w:rPr>
              <w:t>23 (53.50)</w:t>
            </w:r>
          </w:p>
        </w:tc>
      </w:tr>
      <w:tr w:rsidR="004676EF" w:rsidRPr="00734AB6" w14:paraId="6B792DAA" w14:textId="77777777" w:rsidTr="00E2030F">
        <w:tc>
          <w:tcPr>
            <w:tcW w:w="8364" w:type="dxa"/>
            <w:gridSpan w:val="3"/>
            <w:tcBorders>
              <w:left w:val="nil"/>
              <w:bottom w:val="single" w:sz="4" w:space="0" w:color="auto"/>
              <w:right w:val="nil"/>
            </w:tcBorders>
          </w:tcPr>
          <w:p w14:paraId="0A11E48A"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05C1A9F3" w14:textId="77777777" w:rsidTr="00E2030F">
        <w:tc>
          <w:tcPr>
            <w:tcW w:w="3969" w:type="dxa"/>
            <w:tcBorders>
              <w:left w:val="nil"/>
              <w:bottom w:val="nil"/>
              <w:right w:val="nil"/>
            </w:tcBorders>
          </w:tcPr>
          <w:p w14:paraId="22D9C10E"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16CFF7F3" w14:textId="77777777" w:rsidR="004676EF" w:rsidRPr="00734AB6" w:rsidRDefault="004676EF" w:rsidP="0099584D">
            <w:pPr>
              <w:spacing w:line="360" w:lineRule="auto"/>
              <w:rPr>
                <w:rFonts w:asciiTheme="majorHAnsi" w:hAnsiTheme="majorHAnsi"/>
              </w:rPr>
            </w:pPr>
            <w:r w:rsidRPr="00734AB6">
              <w:rPr>
                <w:rFonts w:asciiTheme="majorHAnsi" w:hAnsiTheme="majorHAnsi"/>
              </w:rPr>
              <w:t>29 (61.7)</w:t>
            </w:r>
          </w:p>
        </w:tc>
        <w:tc>
          <w:tcPr>
            <w:tcW w:w="2127" w:type="dxa"/>
            <w:tcBorders>
              <w:left w:val="nil"/>
              <w:bottom w:val="nil"/>
              <w:right w:val="nil"/>
            </w:tcBorders>
          </w:tcPr>
          <w:p w14:paraId="4367F227" w14:textId="77777777" w:rsidR="004676EF" w:rsidRPr="00734AB6" w:rsidRDefault="004676EF" w:rsidP="0099584D">
            <w:pPr>
              <w:spacing w:line="360" w:lineRule="auto"/>
              <w:rPr>
                <w:rFonts w:asciiTheme="majorHAnsi" w:hAnsiTheme="majorHAnsi"/>
              </w:rPr>
            </w:pPr>
            <w:r w:rsidRPr="00734AB6">
              <w:rPr>
                <w:rFonts w:asciiTheme="majorHAnsi" w:hAnsiTheme="majorHAnsi"/>
              </w:rPr>
              <w:t>15 (34.88)</w:t>
            </w:r>
          </w:p>
        </w:tc>
      </w:tr>
      <w:tr w:rsidR="004676EF" w:rsidRPr="00734AB6" w14:paraId="3B48D4D6" w14:textId="77777777" w:rsidTr="00E2030F">
        <w:tc>
          <w:tcPr>
            <w:tcW w:w="3969" w:type="dxa"/>
            <w:tcBorders>
              <w:top w:val="nil"/>
              <w:left w:val="nil"/>
              <w:bottom w:val="nil"/>
              <w:right w:val="nil"/>
            </w:tcBorders>
          </w:tcPr>
          <w:p w14:paraId="71A17257"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59AC741B" w14:textId="77777777" w:rsidR="004676EF" w:rsidRPr="00734AB6" w:rsidRDefault="004676EF" w:rsidP="0099584D">
            <w:pPr>
              <w:spacing w:line="360" w:lineRule="auto"/>
              <w:rPr>
                <w:rFonts w:asciiTheme="majorHAnsi" w:hAnsiTheme="majorHAnsi"/>
              </w:rPr>
            </w:pPr>
            <w:r w:rsidRPr="00734AB6">
              <w:rPr>
                <w:rFonts w:asciiTheme="majorHAnsi" w:hAnsiTheme="majorHAnsi"/>
              </w:rPr>
              <w:t>5 (10.64)</w:t>
            </w:r>
          </w:p>
        </w:tc>
        <w:tc>
          <w:tcPr>
            <w:tcW w:w="2127" w:type="dxa"/>
            <w:tcBorders>
              <w:top w:val="nil"/>
              <w:left w:val="nil"/>
              <w:bottom w:val="nil"/>
              <w:right w:val="nil"/>
            </w:tcBorders>
          </w:tcPr>
          <w:p w14:paraId="47EF1D6E"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5F06CAFC" w14:textId="77777777" w:rsidTr="00E2030F">
        <w:tc>
          <w:tcPr>
            <w:tcW w:w="3969" w:type="dxa"/>
            <w:tcBorders>
              <w:top w:val="nil"/>
              <w:left w:val="nil"/>
              <w:bottom w:val="nil"/>
              <w:right w:val="nil"/>
            </w:tcBorders>
          </w:tcPr>
          <w:p w14:paraId="7419E158"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1FE6D160"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bottom w:val="nil"/>
              <w:right w:val="nil"/>
            </w:tcBorders>
          </w:tcPr>
          <w:p w14:paraId="74FB12A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97618A5" w14:textId="77777777" w:rsidTr="00E2030F">
        <w:tc>
          <w:tcPr>
            <w:tcW w:w="3969" w:type="dxa"/>
            <w:tcBorders>
              <w:top w:val="nil"/>
              <w:left w:val="nil"/>
              <w:right w:val="nil"/>
            </w:tcBorders>
          </w:tcPr>
          <w:p w14:paraId="22A60263"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55B6457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right w:val="nil"/>
            </w:tcBorders>
          </w:tcPr>
          <w:p w14:paraId="4C93B43B" w14:textId="77777777" w:rsidR="004676EF" w:rsidRPr="00734AB6" w:rsidRDefault="004676EF" w:rsidP="0099584D">
            <w:pPr>
              <w:spacing w:line="360" w:lineRule="auto"/>
              <w:rPr>
                <w:rFonts w:asciiTheme="majorHAnsi" w:hAnsiTheme="majorHAnsi"/>
              </w:rPr>
            </w:pPr>
            <w:r w:rsidRPr="00734AB6">
              <w:rPr>
                <w:rFonts w:asciiTheme="majorHAnsi" w:hAnsiTheme="majorHAnsi"/>
              </w:rPr>
              <w:t>4 (9.3)</w:t>
            </w:r>
          </w:p>
        </w:tc>
      </w:tr>
    </w:tbl>
    <w:p w14:paraId="229C4A49"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60DA8BEA" w14:textId="77777777" w:rsidR="004676EF" w:rsidRPr="00734AB6" w:rsidRDefault="004676EF" w:rsidP="0099584D">
      <w:pPr>
        <w:spacing w:line="360" w:lineRule="auto"/>
        <w:rPr>
          <w:rFonts w:asciiTheme="majorHAnsi" w:hAnsiTheme="majorHAnsi"/>
        </w:rPr>
      </w:pPr>
    </w:p>
    <w:p w14:paraId="5F3B89EB" w14:textId="77777777" w:rsidR="00D22283" w:rsidRPr="00734AB6" w:rsidRDefault="00D22283" w:rsidP="0099584D">
      <w:pPr>
        <w:spacing w:line="360" w:lineRule="auto"/>
        <w:rPr>
          <w:rFonts w:asciiTheme="majorHAnsi" w:hAnsiTheme="majorHAnsi"/>
        </w:rPr>
      </w:pPr>
    </w:p>
    <w:p w14:paraId="0A26F276" w14:textId="77777777" w:rsidR="00D22283" w:rsidRPr="00734AB6" w:rsidRDefault="00D22283" w:rsidP="00D22283">
      <w:pPr>
        <w:pBdr>
          <w:top w:val="double" w:sz="4" w:space="1" w:color="auto"/>
        </w:pBdr>
        <w:spacing w:line="360" w:lineRule="auto"/>
        <w:rPr>
          <w:rFonts w:asciiTheme="majorHAnsi" w:hAnsiTheme="majorHAnsi"/>
        </w:rPr>
      </w:pPr>
    </w:p>
    <w:p w14:paraId="2F724555" w14:textId="77777777" w:rsidR="001F00D7" w:rsidRPr="00734AB6" w:rsidRDefault="001F00D7">
      <w:pPr>
        <w:rPr>
          <w:rFonts w:asciiTheme="majorHAnsi" w:eastAsiaTheme="majorEastAsia" w:hAnsiTheme="majorHAnsi" w:cstheme="majorBidi"/>
          <w:b/>
        </w:rPr>
      </w:pPr>
      <w:bookmarkStart w:id="204" w:name="_Toc45200558"/>
      <w:r w:rsidRPr="00734AB6">
        <w:rPr>
          <w:b/>
        </w:rPr>
        <w:br w:type="page"/>
      </w:r>
    </w:p>
    <w:p w14:paraId="3B366F18" w14:textId="7651E4ED" w:rsidR="004676EF" w:rsidRPr="00734AB6" w:rsidRDefault="004676EF" w:rsidP="0099584D">
      <w:pPr>
        <w:pStyle w:val="Heading2"/>
        <w:spacing w:line="360" w:lineRule="auto"/>
        <w:rPr>
          <w:b/>
          <w:color w:val="auto"/>
          <w:sz w:val="22"/>
          <w:szCs w:val="22"/>
        </w:rPr>
      </w:pPr>
      <w:bookmarkStart w:id="205" w:name="_Toc48136448"/>
      <w:r w:rsidRPr="00734AB6">
        <w:rPr>
          <w:b/>
          <w:color w:val="auto"/>
          <w:sz w:val="22"/>
          <w:szCs w:val="22"/>
        </w:rPr>
        <w:lastRenderedPageBreak/>
        <w:t>C(xvi)</w:t>
      </w:r>
      <w:r w:rsidRPr="00734AB6">
        <w:rPr>
          <w:b/>
          <w:color w:val="auto"/>
          <w:sz w:val="22"/>
          <w:szCs w:val="22"/>
        </w:rPr>
        <w:tab/>
        <w:t>Nicotine</w:t>
      </w:r>
      <w:bookmarkEnd w:id="204"/>
      <w:bookmarkEnd w:id="205"/>
    </w:p>
    <w:p w14:paraId="3250B274" w14:textId="61F7AC6E" w:rsidR="004676EF" w:rsidRPr="00734AB6" w:rsidRDefault="004676EF" w:rsidP="0099584D">
      <w:pPr>
        <w:spacing w:line="360" w:lineRule="auto"/>
        <w:rPr>
          <w:rFonts w:asciiTheme="majorHAnsi" w:hAnsiTheme="majorHAnsi"/>
          <w:b/>
        </w:rPr>
      </w:pPr>
      <w:r w:rsidRPr="00734AB6">
        <w:rPr>
          <w:rFonts w:asciiTheme="majorHAnsi" w:hAnsiTheme="majorHAnsi"/>
          <w:b/>
        </w:rPr>
        <w:t xml:space="preserve">Table </w:t>
      </w:r>
      <w:r w:rsidR="0008537A" w:rsidRPr="00734AB6">
        <w:rPr>
          <w:rFonts w:asciiTheme="majorHAnsi" w:hAnsiTheme="majorHAnsi"/>
          <w:b/>
        </w:rPr>
        <w:t>C.18</w:t>
      </w:r>
      <w:r w:rsidRPr="00734AB6">
        <w:rPr>
          <w:rFonts w:asciiTheme="majorHAnsi" w:hAnsiTheme="majorHAnsi"/>
          <w:b/>
        </w:rPr>
        <w:t>. Frequency use and length of time since last use of nicotine</w:t>
      </w:r>
    </w:p>
    <w:tbl>
      <w:tblPr>
        <w:tblW w:w="0" w:type="auto"/>
        <w:tblLook w:val="04A0" w:firstRow="1" w:lastRow="0" w:firstColumn="1" w:lastColumn="0" w:noHBand="0" w:noVBand="1"/>
      </w:tblPr>
      <w:tblGrid>
        <w:gridCol w:w="3969"/>
        <w:gridCol w:w="2268"/>
        <w:gridCol w:w="2127"/>
      </w:tblGrid>
      <w:tr w:rsidR="004676EF" w:rsidRPr="00734AB6" w14:paraId="7AEB9A59" w14:textId="77777777" w:rsidTr="00E2030F">
        <w:tc>
          <w:tcPr>
            <w:tcW w:w="3969" w:type="dxa"/>
            <w:tcBorders>
              <w:left w:val="nil"/>
              <w:right w:val="nil"/>
            </w:tcBorders>
          </w:tcPr>
          <w:p w14:paraId="5CDAD19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NICOTINE</w:t>
            </w:r>
          </w:p>
        </w:tc>
        <w:tc>
          <w:tcPr>
            <w:tcW w:w="2268" w:type="dxa"/>
            <w:tcBorders>
              <w:left w:val="nil"/>
              <w:right w:val="nil"/>
            </w:tcBorders>
          </w:tcPr>
          <w:p w14:paraId="51A7C30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7" w:type="dxa"/>
            <w:tcBorders>
              <w:left w:val="nil"/>
              <w:right w:val="nil"/>
            </w:tcBorders>
          </w:tcPr>
          <w:p w14:paraId="2BF1EBB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33DA1BE6" w14:textId="77777777" w:rsidTr="00E2030F">
        <w:tc>
          <w:tcPr>
            <w:tcW w:w="8364" w:type="dxa"/>
            <w:gridSpan w:val="3"/>
            <w:tcBorders>
              <w:left w:val="nil"/>
              <w:bottom w:val="single" w:sz="4" w:space="0" w:color="auto"/>
              <w:right w:val="nil"/>
            </w:tcBorders>
          </w:tcPr>
          <w:p w14:paraId="3B8D394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2BAE3E4B" w14:textId="77777777" w:rsidTr="00E2030F">
        <w:tc>
          <w:tcPr>
            <w:tcW w:w="3969" w:type="dxa"/>
            <w:tcBorders>
              <w:left w:val="nil"/>
              <w:bottom w:val="nil"/>
              <w:right w:val="nil"/>
            </w:tcBorders>
          </w:tcPr>
          <w:p w14:paraId="516D239D"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62FC2ECD" w14:textId="77777777" w:rsidR="004676EF" w:rsidRPr="00734AB6" w:rsidRDefault="004676EF" w:rsidP="0099584D">
            <w:pPr>
              <w:spacing w:line="360" w:lineRule="auto"/>
              <w:rPr>
                <w:rFonts w:asciiTheme="majorHAnsi" w:hAnsiTheme="majorHAnsi"/>
              </w:rPr>
            </w:pPr>
            <w:r w:rsidRPr="00734AB6">
              <w:rPr>
                <w:rFonts w:asciiTheme="majorHAnsi" w:hAnsiTheme="majorHAnsi"/>
              </w:rPr>
              <w:t>12 (25.53)</w:t>
            </w:r>
          </w:p>
        </w:tc>
        <w:tc>
          <w:tcPr>
            <w:tcW w:w="2127" w:type="dxa"/>
            <w:tcBorders>
              <w:left w:val="nil"/>
              <w:bottom w:val="nil"/>
              <w:right w:val="nil"/>
            </w:tcBorders>
          </w:tcPr>
          <w:p w14:paraId="7F9C5678" w14:textId="77777777" w:rsidR="004676EF" w:rsidRPr="00734AB6" w:rsidRDefault="004676EF" w:rsidP="0099584D">
            <w:pPr>
              <w:spacing w:line="360" w:lineRule="auto"/>
              <w:rPr>
                <w:rFonts w:asciiTheme="majorHAnsi" w:hAnsiTheme="majorHAnsi"/>
              </w:rPr>
            </w:pPr>
            <w:r w:rsidRPr="00734AB6">
              <w:rPr>
                <w:rFonts w:asciiTheme="majorHAnsi" w:hAnsiTheme="majorHAnsi"/>
              </w:rPr>
              <w:t>7 (16.28)</w:t>
            </w:r>
          </w:p>
        </w:tc>
      </w:tr>
      <w:tr w:rsidR="004676EF" w:rsidRPr="00734AB6" w14:paraId="33515C97" w14:textId="77777777" w:rsidTr="00E2030F">
        <w:tc>
          <w:tcPr>
            <w:tcW w:w="3969" w:type="dxa"/>
            <w:tcBorders>
              <w:top w:val="nil"/>
              <w:left w:val="nil"/>
              <w:bottom w:val="nil"/>
              <w:right w:val="nil"/>
            </w:tcBorders>
          </w:tcPr>
          <w:p w14:paraId="56989118"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36033B5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(2.13)</w:t>
            </w:r>
          </w:p>
        </w:tc>
        <w:tc>
          <w:tcPr>
            <w:tcW w:w="2127" w:type="dxa"/>
            <w:tcBorders>
              <w:top w:val="nil"/>
              <w:left w:val="nil"/>
              <w:bottom w:val="nil"/>
              <w:right w:val="nil"/>
            </w:tcBorders>
          </w:tcPr>
          <w:p w14:paraId="3508F2A4"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3422C684" w14:textId="77777777" w:rsidTr="00E2030F">
        <w:tc>
          <w:tcPr>
            <w:tcW w:w="3969" w:type="dxa"/>
            <w:tcBorders>
              <w:top w:val="nil"/>
              <w:left w:val="nil"/>
              <w:bottom w:val="nil"/>
              <w:right w:val="nil"/>
            </w:tcBorders>
          </w:tcPr>
          <w:p w14:paraId="5359CC9E"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370BB958"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(2.13)</w:t>
            </w:r>
          </w:p>
        </w:tc>
        <w:tc>
          <w:tcPr>
            <w:tcW w:w="2127" w:type="dxa"/>
            <w:tcBorders>
              <w:top w:val="nil"/>
              <w:left w:val="nil"/>
              <w:bottom w:val="nil"/>
              <w:right w:val="nil"/>
            </w:tcBorders>
          </w:tcPr>
          <w:p w14:paraId="57D226A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4031F6C5" w14:textId="77777777" w:rsidTr="00E2030F">
        <w:tc>
          <w:tcPr>
            <w:tcW w:w="3969" w:type="dxa"/>
            <w:tcBorders>
              <w:top w:val="nil"/>
              <w:left w:val="nil"/>
              <w:bottom w:val="nil"/>
              <w:right w:val="nil"/>
            </w:tcBorders>
          </w:tcPr>
          <w:p w14:paraId="35267F9C"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20FA4C5B" w14:textId="77777777" w:rsidR="004676EF" w:rsidRPr="00734AB6" w:rsidRDefault="004676EF" w:rsidP="0099584D">
            <w:pPr>
              <w:spacing w:line="360" w:lineRule="auto"/>
              <w:rPr>
                <w:rFonts w:asciiTheme="majorHAnsi" w:hAnsiTheme="majorHAnsi"/>
              </w:rPr>
            </w:pPr>
            <w:r w:rsidRPr="00734AB6">
              <w:rPr>
                <w:rFonts w:asciiTheme="majorHAnsi" w:hAnsiTheme="majorHAnsi"/>
              </w:rPr>
              <w:t>6 (12.77)</w:t>
            </w:r>
          </w:p>
        </w:tc>
        <w:tc>
          <w:tcPr>
            <w:tcW w:w="2127" w:type="dxa"/>
            <w:tcBorders>
              <w:top w:val="nil"/>
              <w:left w:val="nil"/>
              <w:bottom w:val="nil"/>
              <w:right w:val="nil"/>
            </w:tcBorders>
          </w:tcPr>
          <w:p w14:paraId="3D4FF9E1"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2FBFB6AB" w14:textId="77777777" w:rsidTr="00E2030F">
        <w:tc>
          <w:tcPr>
            <w:tcW w:w="3969" w:type="dxa"/>
            <w:tcBorders>
              <w:top w:val="nil"/>
              <w:left w:val="nil"/>
              <w:bottom w:val="nil"/>
              <w:right w:val="nil"/>
            </w:tcBorders>
          </w:tcPr>
          <w:p w14:paraId="57D4A8B9"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1459B42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bottom w:val="nil"/>
              <w:right w:val="nil"/>
            </w:tcBorders>
          </w:tcPr>
          <w:p w14:paraId="5060E1B5"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23F0603D" w14:textId="77777777" w:rsidTr="00E2030F">
        <w:tc>
          <w:tcPr>
            <w:tcW w:w="3969" w:type="dxa"/>
            <w:tcBorders>
              <w:top w:val="nil"/>
              <w:left w:val="nil"/>
              <w:bottom w:val="single" w:sz="4" w:space="0" w:color="auto"/>
              <w:right w:val="nil"/>
            </w:tcBorders>
          </w:tcPr>
          <w:p w14:paraId="68CF96C2"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7ED78C1B" w14:textId="77777777" w:rsidR="004676EF" w:rsidRPr="00734AB6" w:rsidRDefault="004676EF" w:rsidP="0099584D">
            <w:pPr>
              <w:spacing w:line="360" w:lineRule="auto"/>
              <w:rPr>
                <w:rFonts w:asciiTheme="majorHAnsi" w:hAnsiTheme="majorHAnsi"/>
              </w:rPr>
            </w:pPr>
            <w:r w:rsidRPr="00734AB6">
              <w:rPr>
                <w:rFonts w:asciiTheme="majorHAnsi" w:hAnsiTheme="majorHAnsi"/>
              </w:rPr>
              <w:t>27 (57.45)</w:t>
            </w:r>
          </w:p>
        </w:tc>
        <w:tc>
          <w:tcPr>
            <w:tcW w:w="2127" w:type="dxa"/>
            <w:tcBorders>
              <w:top w:val="nil"/>
              <w:left w:val="nil"/>
              <w:bottom w:val="single" w:sz="4" w:space="0" w:color="auto"/>
              <w:right w:val="nil"/>
            </w:tcBorders>
          </w:tcPr>
          <w:p w14:paraId="2E26DCC6" w14:textId="77777777" w:rsidR="004676EF" w:rsidRPr="00734AB6" w:rsidRDefault="004676EF" w:rsidP="0099584D">
            <w:pPr>
              <w:spacing w:line="360" w:lineRule="auto"/>
              <w:rPr>
                <w:rFonts w:asciiTheme="majorHAnsi" w:hAnsiTheme="majorHAnsi"/>
              </w:rPr>
            </w:pPr>
            <w:r w:rsidRPr="00734AB6">
              <w:rPr>
                <w:rFonts w:asciiTheme="majorHAnsi" w:hAnsiTheme="majorHAnsi"/>
              </w:rPr>
              <w:t>23 (53.49)</w:t>
            </w:r>
          </w:p>
        </w:tc>
      </w:tr>
      <w:tr w:rsidR="004676EF" w:rsidRPr="00734AB6" w14:paraId="003A8723" w14:textId="77777777" w:rsidTr="00E2030F">
        <w:tc>
          <w:tcPr>
            <w:tcW w:w="8364" w:type="dxa"/>
            <w:gridSpan w:val="3"/>
            <w:tcBorders>
              <w:left w:val="nil"/>
              <w:bottom w:val="single" w:sz="4" w:space="0" w:color="auto"/>
              <w:right w:val="nil"/>
            </w:tcBorders>
          </w:tcPr>
          <w:p w14:paraId="57A8C280"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23477783" w14:textId="77777777" w:rsidTr="00E2030F">
        <w:tc>
          <w:tcPr>
            <w:tcW w:w="3969" w:type="dxa"/>
            <w:tcBorders>
              <w:left w:val="nil"/>
              <w:bottom w:val="nil"/>
              <w:right w:val="nil"/>
            </w:tcBorders>
          </w:tcPr>
          <w:p w14:paraId="605F0D00"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39829730" w14:textId="77777777" w:rsidR="004676EF" w:rsidRPr="00734AB6" w:rsidRDefault="004676EF" w:rsidP="0099584D">
            <w:pPr>
              <w:spacing w:line="360" w:lineRule="auto"/>
              <w:rPr>
                <w:rFonts w:asciiTheme="majorHAnsi" w:hAnsiTheme="majorHAnsi"/>
              </w:rPr>
            </w:pPr>
            <w:r w:rsidRPr="00734AB6">
              <w:rPr>
                <w:rFonts w:asciiTheme="majorHAnsi" w:hAnsiTheme="majorHAnsi"/>
              </w:rPr>
              <w:t>16 (34.04)</w:t>
            </w:r>
          </w:p>
        </w:tc>
        <w:tc>
          <w:tcPr>
            <w:tcW w:w="2127" w:type="dxa"/>
            <w:tcBorders>
              <w:left w:val="nil"/>
              <w:bottom w:val="nil"/>
              <w:right w:val="nil"/>
            </w:tcBorders>
          </w:tcPr>
          <w:p w14:paraId="61EEDAA9" w14:textId="77777777" w:rsidR="004676EF" w:rsidRPr="00734AB6" w:rsidRDefault="004676EF" w:rsidP="0099584D">
            <w:pPr>
              <w:spacing w:line="360" w:lineRule="auto"/>
              <w:rPr>
                <w:rFonts w:asciiTheme="majorHAnsi" w:hAnsiTheme="majorHAnsi"/>
              </w:rPr>
            </w:pPr>
            <w:r w:rsidRPr="00734AB6">
              <w:rPr>
                <w:rFonts w:asciiTheme="majorHAnsi" w:hAnsiTheme="majorHAnsi"/>
              </w:rPr>
              <w:t>8 (18.6)</w:t>
            </w:r>
          </w:p>
        </w:tc>
      </w:tr>
      <w:tr w:rsidR="004676EF" w:rsidRPr="00734AB6" w14:paraId="2DFAC63D" w14:textId="77777777" w:rsidTr="00E2030F">
        <w:tc>
          <w:tcPr>
            <w:tcW w:w="3969" w:type="dxa"/>
            <w:tcBorders>
              <w:top w:val="nil"/>
              <w:left w:val="nil"/>
              <w:bottom w:val="nil"/>
              <w:right w:val="nil"/>
            </w:tcBorders>
          </w:tcPr>
          <w:p w14:paraId="07C0A892"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050FA390" w14:textId="77777777" w:rsidR="004676EF" w:rsidRPr="00734AB6" w:rsidRDefault="004676EF" w:rsidP="0099584D">
            <w:pPr>
              <w:spacing w:line="360" w:lineRule="auto"/>
              <w:rPr>
                <w:rFonts w:asciiTheme="majorHAnsi" w:hAnsiTheme="majorHAnsi"/>
              </w:rPr>
            </w:pPr>
            <w:r w:rsidRPr="00734AB6">
              <w:rPr>
                <w:rFonts w:asciiTheme="majorHAnsi" w:hAnsiTheme="majorHAnsi"/>
              </w:rPr>
              <w:t>4 (8.51)</w:t>
            </w:r>
          </w:p>
        </w:tc>
        <w:tc>
          <w:tcPr>
            <w:tcW w:w="2127" w:type="dxa"/>
            <w:tcBorders>
              <w:top w:val="nil"/>
              <w:left w:val="nil"/>
              <w:bottom w:val="nil"/>
              <w:right w:val="nil"/>
            </w:tcBorders>
          </w:tcPr>
          <w:p w14:paraId="44027978"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BB71FA9" w14:textId="77777777" w:rsidTr="00E2030F">
        <w:tc>
          <w:tcPr>
            <w:tcW w:w="3969" w:type="dxa"/>
            <w:tcBorders>
              <w:top w:val="nil"/>
              <w:left w:val="nil"/>
              <w:bottom w:val="nil"/>
              <w:right w:val="nil"/>
            </w:tcBorders>
          </w:tcPr>
          <w:p w14:paraId="0893DD3E"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2B9B4727"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bottom w:val="nil"/>
              <w:right w:val="nil"/>
            </w:tcBorders>
          </w:tcPr>
          <w:p w14:paraId="7F055C69"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422C7C1" w14:textId="77777777" w:rsidTr="00E2030F">
        <w:tc>
          <w:tcPr>
            <w:tcW w:w="3969" w:type="dxa"/>
            <w:tcBorders>
              <w:top w:val="nil"/>
              <w:left w:val="nil"/>
              <w:right w:val="nil"/>
            </w:tcBorders>
          </w:tcPr>
          <w:p w14:paraId="0B463F16"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20EED44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right w:val="nil"/>
            </w:tcBorders>
          </w:tcPr>
          <w:p w14:paraId="05539FB6" w14:textId="77777777" w:rsidR="004676EF" w:rsidRPr="00734AB6" w:rsidRDefault="004676EF" w:rsidP="0099584D">
            <w:pPr>
              <w:spacing w:line="360" w:lineRule="auto"/>
              <w:rPr>
                <w:rFonts w:asciiTheme="majorHAnsi" w:hAnsiTheme="majorHAnsi"/>
              </w:rPr>
            </w:pPr>
            <w:r w:rsidRPr="00734AB6">
              <w:rPr>
                <w:rFonts w:asciiTheme="majorHAnsi" w:hAnsiTheme="majorHAnsi"/>
              </w:rPr>
              <w:t>3 (6.98)</w:t>
            </w:r>
          </w:p>
        </w:tc>
      </w:tr>
    </w:tbl>
    <w:p w14:paraId="7556319E"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06BA7A01" w14:textId="77777777" w:rsidR="004676EF" w:rsidRPr="00734AB6" w:rsidRDefault="004676EF" w:rsidP="0099584D">
      <w:pPr>
        <w:spacing w:line="360" w:lineRule="auto"/>
        <w:rPr>
          <w:rFonts w:asciiTheme="majorHAnsi" w:hAnsiTheme="majorHAnsi"/>
        </w:rPr>
      </w:pPr>
    </w:p>
    <w:p w14:paraId="13305689" w14:textId="77777777" w:rsidR="00D22283" w:rsidRPr="00734AB6" w:rsidRDefault="00D22283" w:rsidP="00D22283">
      <w:pPr>
        <w:pBdr>
          <w:top w:val="double" w:sz="4" w:space="1" w:color="auto"/>
        </w:pBdr>
        <w:spacing w:line="360" w:lineRule="auto"/>
        <w:rPr>
          <w:rFonts w:asciiTheme="majorHAnsi" w:hAnsiTheme="majorHAnsi"/>
        </w:rPr>
      </w:pPr>
    </w:p>
    <w:p w14:paraId="3AE738BA" w14:textId="3EC860B2" w:rsidR="004676EF" w:rsidRPr="00734AB6" w:rsidRDefault="004676EF" w:rsidP="0099584D">
      <w:pPr>
        <w:pStyle w:val="Heading2"/>
        <w:spacing w:line="360" w:lineRule="auto"/>
        <w:rPr>
          <w:b/>
          <w:color w:val="auto"/>
          <w:sz w:val="22"/>
          <w:szCs w:val="22"/>
        </w:rPr>
      </w:pPr>
      <w:bookmarkStart w:id="206" w:name="_Toc45200559"/>
      <w:bookmarkStart w:id="207" w:name="_Toc48136449"/>
      <w:r w:rsidRPr="00734AB6">
        <w:rPr>
          <w:b/>
          <w:color w:val="auto"/>
          <w:sz w:val="22"/>
          <w:szCs w:val="22"/>
        </w:rPr>
        <w:t>C(xvii)</w:t>
      </w:r>
      <w:r w:rsidRPr="00734AB6">
        <w:rPr>
          <w:b/>
          <w:color w:val="auto"/>
          <w:sz w:val="22"/>
          <w:szCs w:val="22"/>
        </w:rPr>
        <w:tab/>
        <w:t>Recreational drug use</w:t>
      </w:r>
      <w:bookmarkEnd w:id="206"/>
      <w:bookmarkEnd w:id="207"/>
    </w:p>
    <w:p w14:paraId="196F8DBB" w14:textId="77777777" w:rsidR="00A06AFF" w:rsidRPr="00734AB6" w:rsidRDefault="00A06AFF" w:rsidP="00A06AFF"/>
    <w:p w14:paraId="53781288" w14:textId="28E3C8FE"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t xml:space="preserve">Table. </w:t>
      </w:r>
      <w:r w:rsidR="0008537A" w:rsidRPr="00734AB6">
        <w:rPr>
          <w:rFonts w:asciiTheme="majorHAnsi" w:hAnsiTheme="majorHAnsi"/>
          <w:b/>
        </w:rPr>
        <w:t>C.19</w:t>
      </w:r>
      <w:r w:rsidRPr="00734AB6">
        <w:rPr>
          <w:rFonts w:asciiTheme="majorHAnsi" w:hAnsiTheme="majorHAnsi"/>
          <w:b/>
        </w:rPr>
        <w:t>.</w:t>
      </w:r>
      <w:r w:rsidRPr="00734AB6">
        <w:rPr>
          <w:rFonts w:asciiTheme="majorHAnsi" w:hAnsiTheme="majorHAnsi"/>
          <w:b/>
        </w:rPr>
        <w:tab/>
      </w:r>
      <w:r w:rsidR="00675AB0" w:rsidRPr="00734AB6">
        <w:rPr>
          <w:rFonts w:asciiTheme="majorHAnsi" w:hAnsiTheme="majorHAnsi"/>
          <w:b/>
        </w:rPr>
        <w:t>Previous diagnosis of</w:t>
      </w:r>
      <w:r w:rsidRPr="00734AB6">
        <w:rPr>
          <w:rFonts w:asciiTheme="majorHAnsi" w:hAnsiTheme="majorHAnsi"/>
          <w:b/>
        </w:rPr>
        <w:t xml:space="preserve"> a drug/alcohol problem</w:t>
      </w:r>
    </w:p>
    <w:tbl>
      <w:tblPr>
        <w:tblW w:w="7655"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2410"/>
        <w:gridCol w:w="2268"/>
      </w:tblGrid>
      <w:tr w:rsidR="004676EF" w:rsidRPr="00734AB6" w14:paraId="316862F5" w14:textId="77777777" w:rsidTr="00E2030F">
        <w:trPr>
          <w:trHeight w:val="281"/>
        </w:trPr>
        <w:tc>
          <w:tcPr>
            <w:tcW w:w="2977" w:type="dxa"/>
          </w:tcPr>
          <w:p w14:paraId="406BD8E0" w14:textId="77777777" w:rsidR="004676EF" w:rsidRPr="00734AB6" w:rsidRDefault="004676EF" w:rsidP="0099584D">
            <w:pPr>
              <w:tabs>
                <w:tab w:val="left" w:pos="1985"/>
                <w:tab w:val="left" w:pos="5812"/>
              </w:tabs>
              <w:spacing w:line="360" w:lineRule="auto"/>
              <w:rPr>
                <w:rFonts w:asciiTheme="majorHAnsi" w:hAnsiTheme="majorHAnsi"/>
                <w:b/>
              </w:rPr>
            </w:pPr>
            <w:r w:rsidRPr="00734AB6">
              <w:rPr>
                <w:rFonts w:asciiTheme="majorHAnsi" w:hAnsiTheme="majorHAnsi"/>
                <w:b/>
              </w:rPr>
              <w:t>Have you ever been treated for a drug/alcohol problem?</w:t>
            </w:r>
          </w:p>
        </w:tc>
        <w:tc>
          <w:tcPr>
            <w:tcW w:w="2410" w:type="dxa"/>
          </w:tcPr>
          <w:p w14:paraId="046BF1A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268" w:type="dxa"/>
          </w:tcPr>
          <w:p w14:paraId="3C234DB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6D30C66D" w14:textId="77777777" w:rsidTr="00E2030F">
        <w:tc>
          <w:tcPr>
            <w:tcW w:w="2977" w:type="dxa"/>
            <w:tcBorders>
              <w:top w:val="nil"/>
              <w:bottom w:val="nil"/>
            </w:tcBorders>
          </w:tcPr>
          <w:p w14:paraId="0CA91AD0" w14:textId="77777777" w:rsidR="004676EF" w:rsidRPr="00734AB6" w:rsidRDefault="004676EF" w:rsidP="0099584D">
            <w:pPr>
              <w:spacing w:line="360" w:lineRule="auto"/>
              <w:rPr>
                <w:rFonts w:asciiTheme="majorHAnsi" w:hAnsiTheme="majorHAnsi"/>
              </w:rPr>
            </w:pPr>
            <w:r w:rsidRPr="00734AB6">
              <w:rPr>
                <w:rFonts w:asciiTheme="majorHAnsi" w:hAnsiTheme="majorHAnsi"/>
              </w:rPr>
              <w:t>Yes</w:t>
            </w:r>
          </w:p>
        </w:tc>
        <w:tc>
          <w:tcPr>
            <w:tcW w:w="2410" w:type="dxa"/>
            <w:tcBorders>
              <w:top w:val="nil"/>
              <w:bottom w:val="nil"/>
            </w:tcBorders>
          </w:tcPr>
          <w:p w14:paraId="4E764DD1" w14:textId="77777777" w:rsidR="004676EF" w:rsidRPr="00734AB6" w:rsidRDefault="004676EF" w:rsidP="0099584D">
            <w:pPr>
              <w:spacing w:line="360" w:lineRule="auto"/>
              <w:rPr>
                <w:rFonts w:asciiTheme="majorHAnsi" w:hAnsiTheme="majorHAnsi"/>
              </w:rPr>
            </w:pPr>
            <w:r w:rsidRPr="00734AB6">
              <w:rPr>
                <w:rFonts w:asciiTheme="majorHAnsi" w:hAnsiTheme="majorHAnsi"/>
              </w:rPr>
              <w:t>2    (4.3)</w:t>
            </w:r>
          </w:p>
        </w:tc>
        <w:tc>
          <w:tcPr>
            <w:tcW w:w="2268" w:type="dxa"/>
            <w:tcBorders>
              <w:top w:val="nil"/>
              <w:bottom w:val="nil"/>
            </w:tcBorders>
          </w:tcPr>
          <w:p w14:paraId="2B9423DE" w14:textId="77777777" w:rsidR="004676EF" w:rsidRPr="00734AB6" w:rsidRDefault="004676EF" w:rsidP="0099584D">
            <w:pPr>
              <w:spacing w:line="360" w:lineRule="auto"/>
              <w:rPr>
                <w:rFonts w:asciiTheme="majorHAnsi" w:hAnsiTheme="majorHAnsi"/>
              </w:rPr>
            </w:pPr>
            <w:r w:rsidRPr="00734AB6">
              <w:rPr>
                <w:rFonts w:asciiTheme="majorHAnsi" w:hAnsiTheme="majorHAnsi"/>
              </w:rPr>
              <w:t>0</w:t>
            </w:r>
          </w:p>
        </w:tc>
      </w:tr>
      <w:tr w:rsidR="004676EF" w:rsidRPr="00734AB6" w14:paraId="4B354C79" w14:textId="77777777" w:rsidTr="00E2030F">
        <w:tc>
          <w:tcPr>
            <w:tcW w:w="2977" w:type="dxa"/>
            <w:tcBorders>
              <w:top w:val="nil"/>
              <w:bottom w:val="nil"/>
            </w:tcBorders>
          </w:tcPr>
          <w:p w14:paraId="03392815" w14:textId="77777777" w:rsidR="004676EF" w:rsidRPr="00734AB6" w:rsidRDefault="004676EF" w:rsidP="0099584D">
            <w:pPr>
              <w:spacing w:line="360" w:lineRule="auto"/>
              <w:rPr>
                <w:rFonts w:asciiTheme="majorHAnsi" w:hAnsiTheme="majorHAnsi"/>
              </w:rPr>
            </w:pPr>
            <w:r w:rsidRPr="00734AB6">
              <w:rPr>
                <w:rFonts w:asciiTheme="majorHAnsi" w:hAnsiTheme="majorHAnsi"/>
              </w:rPr>
              <w:t>No</w:t>
            </w:r>
          </w:p>
        </w:tc>
        <w:tc>
          <w:tcPr>
            <w:tcW w:w="2410" w:type="dxa"/>
            <w:tcBorders>
              <w:top w:val="nil"/>
              <w:bottom w:val="nil"/>
            </w:tcBorders>
          </w:tcPr>
          <w:p w14:paraId="42C35112" w14:textId="77777777" w:rsidR="004676EF" w:rsidRPr="00734AB6" w:rsidRDefault="004676EF" w:rsidP="0099584D">
            <w:pPr>
              <w:spacing w:line="360" w:lineRule="auto"/>
              <w:rPr>
                <w:rFonts w:asciiTheme="majorHAnsi" w:hAnsiTheme="majorHAnsi"/>
              </w:rPr>
            </w:pPr>
            <w:r w:rsidRPr="00734AB6">
              <w:rPr>
                <w:rFonts w:asciiTheme="majorHAnsi" w:hAnsiTheme="majorHAnsi"/>
              </w:rPr>
              <w:t>45 (95.7)</w:t>
            </w:r>
          </w:p>
        </w:tc>
        <w:tc>
          <w:tcPr>
            <w:tcW w:w="2268" w:type="dxa"/>
            <w:tcBorders>
              <w:top w:val="nil"/>
              <w:bottom w:val="nil"/>
            </w:tcBorders>
          </w:tcPr>
          <w:p w14:paraId="5A09F628" w14:textId="77777777" w:rsidR="004676EF" w:rsidRPr="00734AB6" w:rsidRDefault="004676EF" w:rsidP="0099584D">
            <w:pPr>
              <w:spacing w:line="360" w:lineRule="auto"/>
              <w:rPr>
                <w:rFonts w:asciiTheme="majorHAnsi" w:hAnsiTheme="majorHAnsi"/>
              </w:rPr>
            </w:pPr>
            <w:r w:rsidRPr="00734AB6">
              <w:rPr>
                <w:rFonts w:asciiTheme="majorHAnsi" w:hAnsiTheme="majorHAnsi"/>
              </w:rPr>
              <w:t>43 (100)</w:t>
            </w:r>
          </w:p>
        </w:tc>
      </w:tr>
    </w:tbl>
    <w:p w14:paraId="56C3A608"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56C60202" w14:textId="77777777" w:rsidR="001F00D7" w:rsidRPr="00734AB6" w:rsidRDefault="001F00D7">
      <w:pPr>
        <w:rPr>
          <w:rFonts w:asciiTheme="majorHAnsi" w:hAnsiTheme="majorHAnsi"/>
          <w:b/>
        </w:rPr>
      </w:pPr>
      <w:r w:rsidRPr="00734AB6">
        <w:rPr>
          <w:rFonts w:asciiTheme="majorHAnsi" w:hAnsiTheme="majorHAnsi"/>
          <w:b/>
        </w:rPr>
        <w:br w:type="page"/>
      </w:r>
    </w:p>
    <w:p w14:paraId="2AC56636" w14:textId="4DDA9D01"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lastRenderedPageBreak/>
        <w:t xml:space="preserve">Table </w:t>
      </w:r>
      <w:r w:rsidR="002B792E" w:rsidRPr="00734AB6">
        <w:rPr>
          <w:rFonts w:asciiTheme="majorHAnsi" w:hAnsiTheme="majorHAnsi"/>
          <w:b/>
        </w:rPr>
        <w:t>C.20</w:t>
      </w:r>
      <w:r w:rsidRPr="00734AB6">
        <w:rPr>
          <w:rFonts w:asciiTheme="majorHAnsi" w:hAnsiTheme="majorHAnsi"/>
          <w:b/>
        </w:rPr>
        <w:t>.</w:t>
      </w:r>
      <w:r w:rsidRPr="00734AB6">
        <w:rPr>
          <w:rFonts w:asciiTheme="majorHAnsi" w:hAnsiTheme="majorHAnsi"/>
          <w:b/>
        </w:rPr>
        <w:tab/>
        <w:t>Stimulants</w:t>
      </w:r>
    </w:p>
    <w:tbl>
      <w:tblPr>
        <w:tblW w:w="0" w:type="auto"/>
        <w:tblLook w:val="04A0" w:firstRow="1" w:lastRow="0" w:firstColumn="1" w:lastColumn="0" w:noHBand="0" w:noVBand="1"/>
      </w:tblPr>
      <w:tblGrid>
        <w:gridCol w:w="3828"/>
        <w:gridCol w:w="2268"/>
        <w:gridCol w:w="2126"/>
      </w:tblGrid>
      <w:tr w:rsidR="004676EF" w:rsidRPr="00734AB6" w14:paraId="087CB4E8" w14:textId="77777777" w:rsidTr="00E2030F">
        <w:tc>
          <w:tcPr>
            <w:tcW w:w="3828" w:type="dxa"/>
            <w:tcBorders>
              <w:left w:val="nil"/>
              <w:right w:val="nil"/>
            </w:tcBorders>
          </w:tcPr>
          <w:p w14:paraId="71EEEF4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STIMULANTS</w:t>
            </w:r>
          </w:p>
        </w:tc>
        <w:tc>
          <w:tcPr>
            <w:tcW w:w="2268" w:type="dxa"/>
            <w:tcBorders>
              <w:left w:val="nil"/>
              <w:right w:val="nil"/>
            </w:tcBorders>
          </w:tcPr>
          <w:p w14:paraId="765E191B"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6" w:type="dxa"/>
            <w:tcBorders>
              <w:left w:val="nil"/>
              <w:right w:val="nil"/>
            </w:tcBorders>
          </w:tcPr>
          <w:p w14:paraId="12F6288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1054F6D4" w14:textId="77777777" w:rsidTr="00E2030F">
        <w:tc>
          <w:tcPr>
            <w:tcW w:w="8222" w:type="dxa"/>
            <w:gridSpan w:val="3"/>
            <w:tcBorders>
              <w:left w:val="nil"/>
              <w:bottom w:val="single" w:sz="4" w:space="0" w:color="auto"/>
              <w:right w:val="nil"/>
            </w:tcBorders>
          </w:tcPr>
          <w:p w14:paraId="3334EC2B"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26051C1E" w14:textId="77777777" w:rsidTr="00E2030F">
        <w:tc>
          <w:tcPr>
            <w:tcW w:w="3828" w:type="dxa"/>
            <w:tcBorders>
              <w:left w:val="nil"/>
              <w:bottom w:val="nil"/>
              <w:right w:val="nil"/>
            </w:tcBorders>
          </w:tcPr>
          <w:p w14:paraId="268DE840"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2D13B2C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left w:val="nil"/>
              <w:bottom w:val="nil"/>
              <w:right w:val="nil"/>
            </w:tcBorders>
          </w:tcPr>
          <w:p w14:paraId="67BF03E3"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3346BE85" w14:textId="77777777" w:rsidTr="00E2030F">
        <w:tc>
          <w:tcPr>
            <w:tcW w:w="3828" w:type="dxa"/>
            <w:tcBorders>
              <w:top w:val="nil"/>
              <w:left w:val="nil"/>
              <w:bottom w:val="nil"/>
              <w:right w:val="nil"/>
            </w:tcBorders>
          </w:tcPr>
          <w:p w14:paraId="2D148005"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0680007C"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(2.13)</w:t>
            </w:r>
          </w:p>
        </w:tc>
        <w:tc>
          <w:tcPr>
            <w:tcW w:w="2126" w:type="dxa"/>
            <w:tcBorders>
              <w:top w:val="nil"/>
              <w:left w:val="nil"/>
              <w:bottom w:val="nil"/>
              <w:right w:val="nil"/>
            </w:tcBorders>
          </w:tcPr>
          <w:p w14:paraId="779F3F27"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F8625F6" w14:textId="77777777" w:rsidTr="00E2030F">
        <w:tc>
          <w:tcPr>
            <w:tcW w:w="3828" w:type="dxa"/>
            <w:tcBorders>
              <w:top w:val="nil"/>
              <w:left w:val="nil"/>
              <w:bottom w:val="nil"/>
              <w:right w:val="nil"/>
            </w:tcBorders>
          </w:tcPr>
          <w:p w14:paraId="3C07B7D4"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0F240CB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7509AED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18BC402" w14:textId="77777777" w:rsidTr="00E2030F">
        <w:tc>
          <w:tcPr>
            <w:tcW w:w="3828" w:type="dxa"/>
            <w:tcBorders>
              <w:top w:val="nil"/>
              <w:left w:val="nil"/>
              <w:bottom w:val="nil"/>
              <w:right w:val="nil"/>
            </w:tcBorders>
          </w:tcPr>
          <w:p w14:paraId="286B018C"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2C270DA9" w14:textId="77777777" w:rsidR="004676EF" w:rsidRPr="00734AB6" w:rsidRDefault="004676EF" w:rsidP="0099584D">
            <w:pPr>
              <w:spacing w:line="360" w:lineRule="auto"/>
              <w:rPr>
                <w:rFonts w:asciiTheme="majorHAnsi" w:hAnsiTheme="majorHAnsi"/>
              </w:rPr>
            </w:pPr>
            <w:r w:rsidRPr="00734AB6">
              <w:rPr>
                <w:rFonts w:asciiTheme="majorHAnsi" w:hAnsiTheme="majorHAnsi"/>
              </w:rPr>
              <w:t>13 (27.66)</w:t>
            </w:r>
          </w:p>
        </w:tc>
        <w:tc>
          <w:tcPr>
            <w:tcW w:w="2126" w:type="dxa"/>
            <w:tcBorders>
              <w:top w:val="nil"/>
              <w:left w:val="nil"/>
              <w:bottom w:val="nil"/>
              <w:right w:val="nil"/>
            </w:tcBorders>
          </w:tcPr>
          <w:p w14:paraId="7143CFE7"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0810082D" w14:textId="77777777" w:rsidTr="00E2030F">
        <w:tc>
          <w:tcPr>
            <w:tcW w:w="3828" w:type="dxa"/>
            <w:tcBorders>
              <w:top w:val="nil"/>
              <w:left w:val="nil"/>
              <w:bottom w:val="nil"/>
              <w:right w:val="nil"/>
            </w:tcBorders>
          </w:tcPr>
          <w:p w14:paraId="79EB5A90"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54FE3E59" w14:textId="77777777" w:rsidR="004676EF" w:rsidRPr="00734AB6" w:rsidRDefault="004676EF" w:rsidP="0099584D">
            <w:pPr>
              <w:spacing w:line="360" w:lineRule="auto"/>
              <w:rPr>
                <w:rFonts w:asciiTheme="majorHAnsi" w:hAnsiTheme="majorHAnsi"/>
              </w:rPr>
            </w:pPr>
            <w:r w:rsidRPr="00734AB6">
              <w:rPr>
                <w:rFonts w:asciiTheme="majorHAnsi" w:hAnsiTheme="majorHAnsi"/>
              </w:rPr>
              <w:t>17 (36.17)</w:t>
            </w:r>
          </w:p>
        </w:tc>
        <w:tc>
          <w:tcPr>
            <w:tcW w:w="2126" w:type="dxa"/>
            <w:tcBorders>
              <w:top w:val="nil"/>
              <w:left w:val="nil"/>
              <w:bottom w:val="nil"/>
              <w:right w:val="nil"/>
            </w:tcBorders>
          </w:tcPr>
          <w:p w14:paraId="38AAB5DF" w14:textId="77777777" w:rsidR="004676EF" w:rsidRPr="00734AB6" w:rsidRDefault="004676EF" w:rsidP="0099584D">
            <w:pPr>
              <w:spacing w:line="360" w:lineRule="auto"/>
              <w:rPr>
                <w:rFonts w:asciiTheme="majorHAnsi" w:hAnsiTheme="majorHAnsi"/>
              </w:rPr>
            </w:pPr>
            <w:r w:rsidRPr="00734AB6">
              <w:rPr>
                <w:rFonts w:asciiTheme="majorHAnsi" w:hAnsiTheme="majorHAnsi"/>
              </w:rPr>
              <w:t>4 (9.3)</w:t>
            </w:r>
          </w:p>
        </w:tc>
      </w:tr>
      <w:tr w:rsidR="004676EF" w:rsidRPr="00734AB6" w14:paraId="0D7DE031" w14:textId="77777777" w:rsidTr="00E2030F">
        <w:tc>
          <w:tcPr>
            <w:tcW w:w="3828" w:type="dxa"/>
            <w:tcBorders>
              <w:top w:val="nil"/>
              <w:left w:val="nil"/>
              <w:bottom w:val="single" w:sz="4" w:space="0" w:color="auto"/>
              <w:right w:val="nil"/>
            </w:tcBorders>
          </w:tcPr>
          <w:p w14:paraId="6A1669DB"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78E7E9A5"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single" w:sz="4" w:space="0" w:color="auto"/>
              <w:right w:val="nil"/>
            </w:tcBorders>
          </w:tcPr>
          <w:p w14:paraId="73FB5F24"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12334916" w14:textId="77777777" w:rsidTr="00E2030F">
        <w:tc>
          <w:tcPr>
            <w:tcW w:w="8222" w:type="dxa"/>
            <w:gridSpan w:val="3"/>
            <w:tcBorders>
              <w:left w:val="nil"/>
              <w:bottom w:val="single" w:sz="4" w:space="0" w:color="auto"/>
              <w:right w:val="nil"/>
            </w:tcBorders>
          </w:tcPr>
          <w:p w14:paraId="310E71D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32E66994" w14:textId="77777777" w:rsidTr="00E2030F">
        <w:tc>
          <w:tcPr>
            <w:tcW w:w="3828" w:type="dxa"/>
            <w:tcBorders>
              <w:left w:val="nil"/>
              <w:bottom w:val="nil"/>
              <w:right w:val="nil"/>
            </w:tcBorders>
          </w:tcPr>
          <w:p w14:paraId="548798FF"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71055DD4" w14:textId="77777777" w:rsidR="004676EF" w:rsidRPr="00734AB6" w:rsidRDefault="004676EF" w:rsidP="0099584D">
            <w:pPr>
              <w:spacing w:line="360" w:lineRule="auto"/>
              <w:rPr>
                <w:rFonts w:asciiTheme="majorHAnsi" w:hAnsiTheme="majorHAnsi"/>
              </w:rPr>
            </w:pPr>
            <w:r w:rsidRPr="00734AB6">
              <w:rPr>
                <w:rFonts w:asciiTheme="majorHAnsi" w:hAnsiTheme="majorHAnsi"/>
              </w:rPr>
              <w:t>4 (8.51)</w:t>
            </w:r>
          </w:p>
        </w:tc>
        <w:tc>
          <w:tcPr>
            <w:tcW w:w="2126" w:type="dxa"/>
            <w:tcBorders>
              <w:left w:val="nil"/>
              <w:bottom w:val="nil"/>
              <w:right w:val="nil"/>
            </w:tcBorders>
          </w:tcPr>
          <w:p w14:paraId="75ED7D2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6FA34FC0" w14:textId="77777777" w:rsidTr="00E2030F">
        <w:tc>
          <w:tcPr>
            <w:tcW w:w="3828" w:type="dxa"/>
            <w:tcBorders>
              <w:top w:val="nil"/>
              <w:left w:val="nil"/>
              <w:bottom w:val="nil"/>
              <w:right w:val="nil"/>
            </w:tcBorders>
          </w:tcPr>
          <w:p w14:paraId="4C6D1FB7"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11669E3A" w14:textId="77777777" w:rsidR="004676EF" w:rsidRPr="00734AB6" w:rsidRDefault="004676EF" w:rsidP="0099584D">
            <w:pPr>
              <w:spacing w:line="360" w:lineRule="auto"/>
              <w:rPr>
                <w:rFonts w:asciiTheme="majorHAnsi" w:hAnsiTheme="majorHAnsi"/>
              </w:rPr>
            </w:pPr>
            <w:r w:rsidRPr="00734AB6">
              <w:rPr>
                <w:rFonts w:asciiTheme="majorHAnsi" w:hAnsiTheme="majorHAnsi"/>
              </w:rPr>
              <w:t>9 (19.15)</w:t>
            </w:r>
          </w:p>
        </w:tc>
        <w:tc>
          <w:tcPr>
            <w:tcW w:w="2126" w:type="dxa"/>
            <w:tcBorders>
              <w:top w:val="nil"/>
              <w:left w:val="nil"/>
              <w:bottom w:val="nil"/>
              <w:right w:val="nil"/>
            </w:tcBorders>
          </w:tcPr>
          <w:p w14:paraId="28D0DC61" w14:textId="77777777" w:rsidR="004676EF" w:rsidRPr="00734AB6" w:rsidRDefault="004676EF" w:rsidP="0099584D">
            <w:pPr>
              <w:spacing w:line="360" w:lineRule="auto"/>
              <w:rPr>
                <w:rFonts w:asciiTheme="majorHAnsi" w:hAnsiTheme="majorHAnsi"/>
              </w:rPr>
            </w:pPr>
            <w:r w:rsidRPr="00734AB6">
              <w:rPr>
                <w:rFonts w:asciiTheme="majorHAnsi" w:hAnsiTheme="majorHAnsi"/>
              </w:rPr>
              <w:t>4 (9.30)</w:t>
            </w:r>
          </w:p>
        </w:tc>
      </w:tr>
      <w:tr w:rsidR="004676EF" w:rsidRPr="00734AB6" w14:paraId="6FE6E63C" w14:textId="77777777" w:rsidTr="00E2030F">
        <w:tc>
          <w:tcPr>
            <w:tcW w:w="3828" w:type="dxa"/>
            <w:tcBorders>
              <w:top w:val="nil"/>
              <w:left w:val="nil"/>
              <w:bottom w:val="nil"/>
              <w:right w:val="nil"/>
            </w:tcBorders>
          </w:tcPr>
          <w:p w14:paraId="673762C5"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52D520A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555318A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EC53457" w14:textId="77777777" w:rsidTr="00E2030F">
        <w:tc>
          <w:tcPr>
            <w:tcW w:w="3828" w:type="dxa"/>
            <w:tcBorders>
              <w:top w:val="nil"/>
              <w:left w:val="nil"/>
              <w:right w:val="nil"/>
            </w:tcBorders>
          </w:tcPr>
          <w:p w14:paraId="081B84E2"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22C599F6" w14:textId="77777777" w:rsidR="004676EF" w:rsidRPr="00734AB6" w:rsidRDefault="004676EF" w:rsidP="0099584D">
            <w:pPr>
              <w:spacing w:line="360" w:lineRule="auto"/>
              <w:rPr>
                <w:rFonts w:asciiTheme="majorHAnsi" w:hAnsiTheme="majorHAnsi"/>
              </w:rPr>
            </w:pPr>
            <w:r w:rsidRPr="00734AB6">
              <w:rPr>
                <w:rFonts w:asciiTheme="majorHAnsi" w:hAnsiTheme="majorHAnsi"/>
              </w:rPr>
              <w:t>17 (36.17)</w:t>
            </w:r>
          </w:p>
        </w:tc>
        <w:tc>
          <w:tcPr>
            <w:tcW w:w="2126" w:type="dxa"/>
            <w:tcBorders>
              <w:top w:val="nil"/>
              <w:left w:val="nil"/>
              <w:right w:val="nil"/>
            </w:tcBorders>
          </w:tcPr>
          <w:p w14:paraId="11B02D44"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bl>
    <w:p w14:paraId="5E75AEA4"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63B9BCE4" w14:textId="77777777" w:rsidR="004676EF" w:rsidRPr="00734AB6" w:rsidRDefault="004676EF" w:rsidP="0099584D">
      <w:pPr>
        <w:spacing w:line="360" w:lineRule="auto"/>
        <w:rPr>
          <w:rFonts w:asciiTheme="majorHAnsi" w:hAnsiTheme="majorHAnsi"/>
          <w:b/>
        </w:rPr>
      </w:pPr>
    </w:p>
    <w:p w14:paraId="33817533" w14:textId="77777777" w:rsidR="001F00D7" w:rsidRPr="00734AB6" w:rsidRDefault="001F00D7">
      <w:pPr>
        <w:rPr>
          <w:rFonts w:asciiTheme="majorHAnsi" w:hAnsiTheme="majorHAnsi"/>
          <w:b/>
        </w:rPr>
      </w:pPr>
      <w:r w:rsidRPr="00734AB6">
        <w:rPr>
          <w:rFonts w:asciiTheme="majorHAnsi" w:hAnsiTheme="majorHAnsi"/>
          <w:b/>
        </w:rPr>
        <w:br w:type="page"/>
      </w:r>
    </w:p>
    <w:p w14:paraId="67906592" w14:textId="0547EDFB"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lastRenderedPageBreak/>
        <w:t xml:space="preserve">Table </w:t>
      </w:r>
      <w:r w:rsidR="002B792E" w:rsidRPr="00734AB6">
        <w:rPr>
          <w:rFonts w:asciiTheme="majorHAnsi" w:hAnsiTheme="majorHAnsi"/>
          <w:b/>
        </w:rPr>
        <w:t>C.21</w:t>
      </w:r>
      <w:r w:rsidRPr="00734AB6">
        <w:rPr>
          <w:rFonts w:asciiTheme="majorHAnsi" w:hAnsiTheme="majorHAnsi"/>
          <w:b/>
        </w:rPr>
        <w:t>.</w:t>
      </w:r>
      <w:r w:rsidRPr="00734AB6">
        <w:rPr>
          <w:rFonts w:asciiTheme="majorHAnsi" w:hAnsiTheme="majorHAnsi"/>
          <w:b/>
        </w:rPr>
        <w:tab/>
        <w:t>Depressants/anxiolytics/sedatives</w:t>
      </w:r>
    </w:p>
    <w:tbl>
      <w:tblPr>
        <w:tblW w:w="0" w:type="auto"/>
        <w:tblLook w:val="04A0" w:firstRow="1" w:lastRow="0" w:firstColumn="1" w:lastColumn="0" w:noHBand="0" w:noVBand="1"/>
      </w:tblPr>
      <w:tblGrid>
        <w:gridCol w:w="3969"/>
        <w:gridCol w:w="2268"/>
        <w:gridCol w:w="2127"/>
      </w:tblGrid>
      <w:tr w:rsidR="004676EF" w:rsidRPr="00734AB6" w14:paraId="69C5AF40" w14:textId="77777777" w:rsidTr="00E2030F">
        <w:tc>
          <w:tcPr>
            <w:tcW w:w="3969" w:type="dxa"/>
            <w:tcBorders>
              <w:left w:val="nil"/>
              <w:right w:val="nil"/>
            </w:tcBorders>
          </w:tcPr>
          <w:p w14:paraId="29957DB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DEPRESSANTS/ANXIOLYTICS/SEDATIVES</w:t>
            </w:r>
          </w:p>
        </w:tc>
        <w:tc>
          <w:tcPr>
            <w:tcW w:w="2268" w:type="dxa"/>
            <w:tcBorders>
              <w:left w:val="nil"/>
              <w:right w:val="nil"/>
            </w:tcBorders>
          </w:tcPr>
          <w:p w14:paraId="670489A1"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7" w:type="dxa"/>
            <w:tcBorders>
              <w:left w:val="nil"/>
              <w:right w:val="nil"/>
            </w:tcBorders>
          </w:tcPr>
          <w:p w14:paraId="3420CF83"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5AEA4409" w14:textId="77777777" w:rsidTr="00E2030F">
        <w:tc>
          <w:tcPr>
            <w:tcW w:w="8364" w:type="dxa"/>
            <w:gridSpan w:val="3"/>
            <w:tcBorders>
              <w:left w:val="nil"/>
              <w:bottom w:val="single" w:sz="4" w:space="0" w:color="auto"/>
              <w:right w:val="nil"/>
            </w:tcBorders>
          </w:tcPr>
          <w:p w14:paraId="5FE1223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2EE4B2B0" w14:textId="77777777" w:rsidTr="00E2030F">
        <w:tc>
          <w:tcPr>
            <w:tcW w:w="3969" w:type="dxa"/>
            <w:tcBorders>
              <w:left w:val="nil"/>
              <w:bottom w:val="nil"/>
              <w:right w:val="nil"/>
            </w:tcBorders>
          </w:tcPr>
          <w:p w14:paraId="684105FA"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218F3990"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left w:val="nil"/>
              <w:bottom w:val="nil"/>
              <w:right w:val="nil"/>
            </w:tcBorders>
          </w:tcPr>
          <w:p w14:paraId="0EA018D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45CF1305" w14:textId="77777777" w:rsidTr="00E2030F">
        <w:tc>
          <w:tcPr>
            <w:tcW w:w="3969" w:type="dxa"/>
            <w:tcBorders>
              <w:top w:val="nil"/>
              <w:left w:val="nil"/>
              <w:bottom w:val="nil"/>
              <w:right w:val="nil"/>
            </w:tcBorders>
          </w:tcPr>
          <w:p w14:paraId="16A7DC96"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40C62761"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(2.13)</w:t>
            </w:r>
          </w:p>
        </w:tc>
        <w:tc>
          <w:tcPr>
            <w:tcW w:w="2127" w:type="dxa"/>
            <w:tcBorders>
              <w:top w:val="nil"/>
              <w:left w:val="nil"/>
              <w:bottom w:val="nil"/>
              <w:right w:val="nil"/>
            </w:tcBorders>
          </w:tcPr>
          <w:p w14:paraId="0CE1999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19F6D1D" w14:textId="77777777" w:rsidTr="00E2030F">
        <w:tc>
          <w:tcPr>
            <w:tcW w:w="3969" w:type="dxa"/>
            <w:tcBorders>
              <w:top w:val="nil"/>
              <w:left w:val="nil"/>
              <w:bottom w:val="nil"/>
              <w:right w:val="nil"/>
            </w:tcBorders>
          </w:tcPr>
          <w:p w14:paraId="341991BD"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53F8E137"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7" w:type="dxa"/>
            <w:tcBorders>
              <w:top w:val="nil"/>
              <w:left w:val="nil"/>
              <w:bottom w:val="nil"/>
              <w:right w:val="nil"/>
            </w:tcBorders>
          </w:tcPr>
          <w:p w14:paraId="0DE4E7D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14B75566" w14:textId="77777777" w:rsidTr="00E2030F">
        <w:tc>
          <w:tcPr>
            <w:tcW w:w="3969" w:type="dxa"/>
            <w:tcBorders>
              <w:top w:val="nil"/>
              <w:left w:val="nil"/>
              <w:bottom w:val="nil"/>
              <w:right w:val="nil"/>
            </w:tcBorders>
          </w:tcPr>
          <w:p w14:paraId="7C29BFFB"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68B70734" w14:textId="77777777" w:rsidR="004676EF" w:rsidRPr="00734AB6" w:rsidRDefault="004676EF" w:rsidP="0099584D">
            <w:pPr>
              <w:spacing w:line="360" w:lineRule="auto"/>
              <w:rPr>
                <w:rFonts w:asciiTheme="majorHAnsi" w:hAnsiTheme="majorHAnsi"/>
              </w:rPr>
            </w:pPr>
            <w:r w:rsidRPr="00734AB6">
              <w:rPr>
                <w:rFonts w:asciiTheme="majorHAnsi" w:hAnsiTheme="majorHAnsi"/>
              </w:rPr>
              <w:t>5 (10.64)</w:t>
            </w:r>
          </w:p>
        </w:tc>
        <w:tc>
          <w:tcPr>
            <w:tcW w:w="2127" w:type="dxa"/>
            <w:tcBorders>
              <w:top w:val="nil"/>
              <w:left w:val="nil"/>
              <w:bottom w:val="nil"/>
              <w:right w:val="nil"/>
            </w:tcBorders>
          </w:tcPr>
          <w:p w14:paraId="509C3C04"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E9E55C7" w14:textId="77777777" w:rsidTr="00E2030F">
        <w:tc>
          <w:tcPr>
            <w:tcW w:w="3969" w:type="dxa"/>
            <w:tcBorders>
              <w:top w:val="nil"/>
              <w:left w:val="nil"/>
              <w:bottom w:val="nil"/>
              <w:right w:val="nil"/>
            </w:tcBorders>
          </w:tcPr>
          <w:p w14:paraId="5853EBC4"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2688A382" w14:textId="77777777" w:rsidR="004676EF" w:rsidRPr="00734AB6" w:rsidRDefault="004676EF" w:rsidP="0099584D">
            <w:pPr>
              <w:spacing w:line="360" w:lineRule="auto"/>
              <w:rPr>
                <w:rFonts w:asciiTheme="majorHAnsi" w:hAnsiTheme="majorHAnsi"/>
              </w:rPr>
            </w:pPr>
            <w:r w:rsidRPr="00734AB6">
              <w:rPr>
                <w:rFonts w:asciiTheme="majorHAnsi" w:hAnsiTheme="majorHAnsi"/>
              </w:rPr>
              <w:t>1 (2.13)</w:t>
            </w:r>
          </w:p>
        </w:tc>
        <w:tc>
          <w:tcPr>
            <w:tcW w:w="2127" w:type="dxa"/>
            <w:tcBorders>
              <w:top w:val="nil"/>
              <w:left w:val="nil"/>
              <w:bottom w:val="nil"/>
              <w:right w:val="nil"/>
            </w:tcBorders>
          </w:tcPr>
          <w:p w14:paraId="62F57BE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A1712D8" w14:textId="77777777" w:rsidTr="00E2030F">
        <w:tc>
          <w:tcPr>
            <w:tcW w:w="3969" w:type="dxa"/>
            <w:tcBorders>
              <w:top w:val="nil"/>
              <w:left w:val="nil"/>
              <w:bottom w:val="single" w:sz="4" w:space="0" w:color="auto"/>
              <w:right w:val="nil"/>
            </w:tcBorders>
          </w:tcPr>
          <w:p w14:paraId="1B4DBAD7"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1005943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bottom w:val="single" w:sz="4" w:space="0" w:color="auto"/>
              <w:right w:val="nil"/>
            </w:tcBorders>
          </w:tcPr>
          <w:p w14:paraId="4113A7B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3134D9C8" w14:textId="77777777" w:rsidTr="00E2030F">
        <w:tc>
          <w:tcPr>
            <w:tcW w:w="8364" w:type="dxa"/>
            <w:gridSpan w:val="3"/>
            <w:tcBorders>
              <w:left w:val="nil"/>
              <w:bottom w:val="single" w:sz="4" w:space="0" w:color="auto"/>
              <w:right w:val="nil"/>
            </w:tcBorders>
          </w:tcPr>
          <w:p w14:paraId="523AB4B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14D88E14" w14:textId="77777777" w:rsidTr="00E2030F">
        <w:tc>
          <w:tcPr>
            <w:tcW w:w="3969" w:type="dxa"/>
            <w:tcBorders>
              <w:left w:val="nil"/>
              <w:bottom w:val="nil"/>
              <w:right w:val="nil"/>
            </w:tcBorders>
          </w:tcPr>
          <w:p w14:paraId="539391B1"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5F490A71" w14:textId="77777777" w:rsidR="004676EF" w:rsidRPr="00734AB6" w:rsidRDefault="004676EF" w:rsidP="0099584D">
            <w:pPr>
              <w:spacing w:line="360" w:lineRule="auto"/>
              <w:rPr>
                <w:rFonts w:asciiTheme="majorHAnsi" w:hAnsiTheme="majorHAnsi"/>
              </w:rPr>
            </w:pPr>
            <w:r w:rsidRPr="00734AB6">
              <w:rPr>
                <w:rFonts w:asciiTheme="majorHAnsi" w:hAnsiTheme="majorHAnsi"/>
              </w:rPr>
              <w:t>6 (12.77)</w:t>
            </w:r>
          </w:p>
        </w:tc>
        <w:tc>
          <w:tcPr>
            <w:tcW w:w="2127" w:type="dxa"/>
            <w:tcBorders>
              <w:left w:val="nil"/>
              <w:bottom w:val="nil"/>
              <w:right w:val="nil"/>
            </w:tcBorders>
          </w:tcPr>
          <w:p w14:paraId="10227469"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96B8B5B" w14:textId="77777777" w:rsidTr="00E2030F">
        <w:tc>
          <w:tcPr>
            <w:tcW w:w="3969" w:type="dxa"/>
            <w:tcBorders>
              <w:top w:val="nil"/>
              <w:left w:val="nil"/>
              <w:bottom w:val="nil"/>
              <w:right w:val="nil"/>
            </w:tcBorders>
          </w:tcPr>
          <w:p w14:paraId="52CF5601"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77233BCD"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7" w:type="dxa"/>
            <w:tcBorders>
              <w:top w:val="nil"/>
              <w:left w:val="nil"/>
              <w:bottom w:val="nil"/>
              <w:right w:val="nil"/>
            </w:tcBorders>
          </w:tcPr>
          <w:p w14:paraId="1DBA26B4"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C7EE4FD" w14:textId="77777777" w:rsidTr="00E2030F">
        <w:tc>
          <w:tcPr>
            <w:tcW w:w="3969" w:type="dxa"/>
            <w:tcBorders>
              <w:top w:val="nil"/>
              <w:left w:val="nil"/>
              <w:bottom w:val="nil"/>
              <w:right w:val="nil"/>
            </w:tcBorders>
          </w:tcPr>
          <w:p w14:paraId="7DCDCBDD"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5B12EB20"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7" w:type="dxa"/>
            <w:tcBorders>
              <w:top w:val="nil"/>
              <w:left w:val="nil"/>
              <w:bottom w:val="nil"/>
              <w:right w:val="nil"/>
            </w:tcBorders>
          </w:tcPr>
          <w:p w14:paraId="7FD2FE9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BB8188B" w14:textId="77777777" w:rsidTr="00E2030F">
        <w:tc>
          <w:tcPr>
            <w:tcW w:w="3969" w:type="dxa"/>
            <w:tcBorders>
              <w:top w:val="nil"/>
              <w:left w:val="nil"/>
              <w:right w:val="nil"/>
            </w:tcBorders>
          </w:tcPr>
          <w:p w14:paraId="0B23A5D7"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719DDA1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(2.31)</w:t>
            </w:r>
          </w:p>
        </w:tc>
        <w:tc>
          <w:tcPr>
            <w:tcW w:w="2127" w:type="dxa"/>
            <w:tcBorders>
              <w:top w:val="nil"/>
              <w:left w:val="nil"/>
              <w:right w:val="nil"/>
            </w:tcBorders>
          </w:tcPr>
          <w:p w14:paraId="4FC5361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bl>
    <w:p w14:paraId="40927BB1"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679D02E4" w14:textId="77777777" w:rsidR="00A06AFF" w:rsidRPr="00734AB6" w:rsidRDefault="00A06AFF" w:rsidP="0099584D">
      <w:pPr>
        <w:tabs>
          <w:tab w:val="left" w:pos="426"/>
        </w:tabs>
        <w:spacing w:line="360" w:lineRule="auto"/>
        <w:rPr>
          <w:rFonts w:asciiTheme="majorHAnsi" w:hAnsiTheme="majorHAnsi"/>
        </w:rPr>
      </w:pPr>
    </w:p>
    <w:p w14:paraId="49E4FABA" w14:textId="77777777" w:rsidR="001F00D7" w:rsidRPr="00734AB6" w:rsidRDefault="001F00D7">
      <w:pPr>
        <w:rPr>
          <w:rFonts w:asciiTheme="majorHAnsi" w:hAnsiTheme="majorHAnsi"/>
          <w:b/>
        </w:rPr>
      </w:pPr>
      <w:r w:rsidRPr="00734AB6">
        <w:rPr>
          <w:rFonts w:asciiTheme="majorHAnsi" w:hAnsiTheme="majorHAnsi"/>
          <w:b/>
        </w:rPr>
        <w:br w:type="page"/>
      </w:r>
    </w:p>
    <w:p w14:paraId="4E9FFE0E" w14:textId="0879F627"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lastRenderedPageBreak/>
        <w:t xml:space="preserve">Table </w:t>
      </w:r>
      <w:r w:rsidR="002B792E" w:rsidRPr="00734AB6">
        <w:rPr>
          <w:rFonts w:asciiTheme="majorHAnsi" w:hAnsiTheme="majorHAnsi"/>
          <w:b/>
        </w:rPr>
        <w:t>C.22</w:t>
      </w:r>
      <w:r w:rsidRPr="00734AB6">
        <w:rPr>
          <w:rFonts w:asciiTheme="majorHAnsi" w:hAnsiTheme="majorHAnsi"/>
          <w:b/>
        </w:rPr>
        <w:t>.</w:t>
      </w:r>
      <w:r w:rsidRPr="00734AB6">
        <w:rPr>
          <w:rFonts w:asciiTheme="majorHAnsi" w:hAnsiTheme="majorHAnsi"/>
          <w:b/>
        </w:rPr>
        <w:tab/>
        <w:t>Hallucinogens</w:t>
      </w:r>
    </w:p>
    <w:tbl>
      <w:tblPr>
        <w:tblW w:w="0" w:type="auto"/>
        <w:tblLook w:val="04A0" w:firstRow="1" w:lastRow="0" w:firstColumn="1" w:lastColumn="0" w:noHBand="0" w:noVBand="1"/>
      </w:tblPr>
      <w:tblGrid>
        <w:gridCol w:w="3828"/>
        <w:gridCol w:w="2268"/>
        <w:gridCol w:w="2126"/>
      </w:tblGrid>
      <w:tr w:rsidR="004676EF" w:rsidRPr="00734AB6" w14:paraId="265B36D4" w14:textId="77777777" w:rsidTr="00E2030F">
        <w:tc>
          <w:tcPr>
            <w:tcW w:w="3828" w:type="dxa"/>
            <w:tcBorders>
              <w:left w:val="nil"/>
              <w:right w:val="nil"/>
            </w:tcBorders>
          </w:tcPr>
          <w:p w14:paraId="6AE2473C"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HALLUCINOGENS</w:t>
            </w:r>
          </w:p>
        </w:tc>
        <w:tc>
          <w:tcPr>
            <w:tcW w:w="2268" w:type="dxa"/>
            <w:tcBorders>
              <w:left w:val="nil"/>
              <w:right w:val="nil"/>
            </w:tcBorders>
          </w:tcPr>
          <w:p w14:paraId="05D3B51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6" w:type="dxa"/>
            <w:tcBorders>
              <w:left w:val="nil"/>
              <w:right w:val="nil"/>
            </w:tcBorders>
          </w:tcPr>
          <w:p w14:paraId="25D6392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5846EFBF" w14:textId="77777777" w:rsidTr="00E2030F">
        <w:tc>
          <w:tcPr>
            <w:tcW w:w="8222" w:type="dxa"/>
            <w:gridSpan w:val="3"/>
            <w:tcBorders>
              <w:left w:val="nil"/>
              <w:bottom w:val="single" w:sz="4" w:space="0" w:color="auto"/>
              <w:right w:val="nil"/>
            </w:tcBorders>
          </w:tcPr>
          <w:p w14:paraId="14533C8F"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255D1420" w14:textId="77777777" w:rsidTr="00E2030F">
        <w:tc>
          <w:tcPr>
            <w:tcW w:w="3828" w:type="dxa"/>
            <w:tcBorders>
              <w:left w:val="nil"/>
              <w:bottom w:val="nil"/>
              <w:right w:val="nil"/>
            </w:tcBorders>
          </w:tcPr>
          <w:p w14:paraId="34685C43"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22A8431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left w:val="nil"/>
              <w:bottom w:val="nil"/>
              <w:right w:val="nil"/>
            </w:tcBorders>
          </w:tcPr>
          <w:p w14:paraId="2C21BD04"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C1EE1B4" w14:textId="77777777" w:rsidTr="00E2030F">
        <w:tc>
          <w:tcPr>
            <w:tcW w:w="3828" w:type="dxa"/>
            <w:tcBorders>
              <w:top w:val="nil"/>
              <w:left w:val="nil"/>
              <w:bottom w:val="nil"/>
              <w:right w:val="nil"/>
            </w:tcBorders>
          </w:tcPr>
          <w:p w14:paraId="7ED9E903"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08CD0CAF"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(2.31)</w:t>
            </w:r>
          </w:p>
        </w:tc>
        <w:tc>
          <w:tcPr>
            <w:tcW w:w="2126" w:type="dxa"/>
            <w:tcBorders>
              <w:top w:val="nil"/>
              <w:left w:val="nil"/>
              <w:bottom w:val="nil"/>
              <w:right w:val="nil"/>
            </w:tcBorders>
          </w:tcPr>
          <w:p w14:paraId="3D6C3AF7"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7446984" w14:textId="77777777" w:rsidTr="00E2030F">
        <w:tc>
          <w:tcPr>
            <w:tcW w:w="3828" w:type="dxa"/>
            <w:tcBorders>
              <w:top w:val="nil"/>
              <w:left w:val="nil"/>
              <w:bottom w:val="nil"/>
              <w:right w:val="nil"/>
            </w:tcBorders>
          </w:tcPr>
          <w:p w14:paraId="47C5BDA3"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0808EAD0" w14:textId="77777777" w:rsidR="004676EF" w:rsidRPr="00734AB6" w:rsidRDefault="004676EF" w:rsidP="0099584D">
            <w:pPr>
              <w:spacing w:line="360" w:lineRule="auto"/>
              <w:rPr>
                <w:rFonts w:asciiTheme="majorHAnsi" w:hAnsiTheme="majorHAnsi"/>
              </w:rPr>
            </w:pPr>
            <w:r w:rsidRPr="00734AB6">
              <w:rPr>
                <w:rFonts w:asciiTheme="majorHAnsi" w:hAnsiTheme="majorHAnsi"/>
              </w:rPr>
              <w:t>4 (8.51)</w:t>
            </w:r>
          </w:p>
        </w:tc>
        <w:tc>
          <w:tcPr>
            <w:tcW w:w="2126" w:type="dxa"/>
            <w:tcBorders>
              <w:top w:val="nil"/>
              <w:left w:val="nil"/>
              <w:bottom w:val="nil"/>
              <w:right w:val="nil"/>
            </w:tcBorders>
          </w:tcPr>
          <w:p w14:paraId="5924E3CF"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4BE42295" w14:textId="77777777" w:rsidTr="00E2030F">
        <w:tc>
          <w:tcPr>
            <w:tcW w:w="3828" w:type="dxa"/>
            <w:tcBorders>
              <w:top w:val="nil"/>
              <w:left w:val="nil"/>
              <w:bottom w:val="nil"/>
              <w:right w:val="nil"/>
            </w:tcBorders>
          </w:tcPr>
          <w:p w14:paraId="1690EDAF"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50FB0872" w14:textId="77777777" w:rsidR="004676EF" w:rsidRPr="00734AB6" w:rsidRDefault="004676EF" w:rsidP="0099584D">
            <w:pPr>
              <w:spacing w:line="360" w:lineRule="auto"/>
              <w:rPr>
                <w:rFonts w:asciiTheme="majorHAnsi" w:hAnsiTheme="majorHAnsi"/>
              </w:rPr>
            </w:pPr>
            <w:r w:rsidRPr="00734AB6">
              <w:rPr>
                <w:rFonts w:asciiTheme="majorHAnsi" w:hAnsiTheme="majorHAnsi"/>
              </w:rPr>
              <w:t>5 (10.64)</w:t>
            </w:r>
          </w:p>
        </w:tc>
        <w:tc>
          <w:tcPr>
            <w:tcW w:w="2126" w:type="dxa"/>
            <w:tcBorders>
              <w:top w:val="nil"/>
              <w:left w:val="nil"/>
              <w:bottom w:val="nil"/>
              <w:right w:val="nil"/>
            </w:tcBorders>
          </w:tcPr>
          <w:p w14:paraId="497FEE4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6C9A3475" w14:textId="77777777" w:rsidTr="00E2030F">
        <w:tc>
          <w:tcPr>
            <w:tcW w:w="3828" w:type="dxa"/>
            <w:tcBorders>
              <w:top w:val="nil"/>
              <w:left w:val="nil"/>
              <w:bottom w:val="nil"/>
              <w:right w:val="nil"/>
            </w:tcBorders>
          </w:tcPr>
          <w:p w14:paraId="0A0F8859"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10EE661F" w14:textId="77777777" w:rsidR="004676EF" w:rsidRPr="00734AB6" w:rsidRDefault="004676EF" w:rsidP="0099584D">
            <w:pPr>
              <w:spacing w:line="360" w:lineRule="auto"/>
              <w:rPr>
                <w:rFonts w:asciiTheme="majorHAnsi" w:hAnsiTheme="majorHAnsi"/>
              </w:rPr>
            </w:pPr>
            <w:r w:rsidRPr="00734AB6">
              <w:rPr>
                <w:rFonts w:asciiTheme="majorHAnsi" w:hAnsiTheme="majorHAnsi"/>
              </w:rPr>
              <w:t>20 (42.55)</w:t>
            </w:r>
          </w:p>
        </w:tc>
        <w:tc>
          <w:tcPr>
            <w:tcW w:w="2126" w:type="dxa"/>
            <w:tcBorders>
              <w:top w:val="nil"/>
              <w:left w:val="nil"/>
              <w:bottom w:val="nil"/>
              <w:right w:val="nil"/>
            </w:tcBorders>
          </w:tcPr>
          <w:p w14:paraId="24D0780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37D1D3D" w14:textId="77777777" w:rsidTr="00E2030F">
        <w:tc>
          <w:tcPr>
            <w:tcW w:w="3828" w:type="dxa"/>
            <w:tcBorders>
              <w:top w:val="nil"/>
              <w:left w:val="nil"/>
              <w:bottom w:val="single" w:sz="4" w:space="0" w:color="auto"/>
              <w:right w:val="nil"/>
            </w:tcBorders>
          </w:tcPr>
          <w:p w14:paraId="72DB4D02"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6226442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single" w:sz="4" w:space="0" w:color="auto"/>
              <w:right w:val="nil"/>
            </w:tcBorders>
          </w:tcPr>
          <w:p w14:paraId="7110904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10B40718" w14:textId="77777777" w:rsidTr="00E2030F">
        <w:tc>
          <w:tcPr>
            <w:tcW w:w="8222" w:type="dxa"/>
            <w:gridSpan w:val="3"/>
            <w:tcBorders>
              <w:left w:val="nil"/>
              <w:bottom w:val="single" w:sz="4" w:space="0" w:color="auto"/>
              <w:right w:val="nil"/>
            </w:tcBorders>
          </w:tcPr>
          <w:p w14:paraId="11D76E6D"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280236B2" w14:textId="77777777" w:rsidTr="00E2030F">
        <w:tc>
          <w:tcPr>
            <w:tcW w:w="3828" w:type="dxa"/>
            <w:tcBorders>
              <w:left w:val="nil"/>
              <w:bottom w:val="nil"/>
              <w:right w:val="nil"/>
            </w:tcBorders>
          </w:tcPr>
          <w:p w14:paraId="6580DFBC"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1C141C18"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6" w:type="dxa"/>
            <w:tcBorders>
              <w:left w:val="nil"/>
              <w:bottom w:val="nil"/>
              <w:right w:val="nil"/>
            </w:tcBorders>
          </w:tcPr>
          <w:p w14:paraId="4A8694A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w:t>
            </w:r>
          </w:p>
        </w:tc>
      </w:tr>
      <w:tr w:rsidR="004676EF" w:rsidRPr="00734AB6" w14:paraId="77E543BD" w14:textId="77777777" w:rsidTr="00E2030F">
        <w:tc>
          <w:tcPr>
            <w:tcW w:w="3828" w:type="dxa"/>
            <w:tcBorders>
              <w:top w:val="nil"/>
              <w:left w:val="nil"/>
              <w:bottom w:val="nil"/>
              <w:right w:val="nil"/>
            </w:tcBorders>
          </w:tcPr>
          <w:p w14:paraId="77F90495"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2731B1A1" w14:textId="77777777" w:rsidR="004676EF" w:rsidRPr="00734AB6" w:rsidRDefault="004676EF" w:rsidP="0099584D">
            <w:pPr>
              <w:spacing w:line="360" w:lineRule="auto"/>
              <w:rPr>
                <w:rFonts w:asciiTheme="majorHAnsi" w:hAnsiTheme="majorHAnsi"/>
              </w:rPr>
            </w:pPr>
            <w:r w:rsidRPr="00734AB6">
              <w:rPr>
                <w:rFonts w:asciiTheme="majorHAnsi" w:hAnsiTheme="majorHAnsi"/>
              </w:rPr>
              <w:t>13 (27.66)</w:t>
            </w:r>
          </w:p>
        </w:tc>
        <w:tc>
          <w:tcPr>
            <w:tcW w:w="2126" w:type="dxa"/>
            <w:tcBorders>
              <w:top w:val="nil"/>
              <w:left w:val="nil"/>
              <w:bottom w:val="nil"/>
              <w:right w:val="nil"/>
            </w:tcBorders>
          </w:tcPr>
          <w:p w14:paraId="38783DBD"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354A3A4" w14:textId="77777777" w:rsidTr="00E2030F">
        <w:tc>
          <w:tcPr>
            <w:tcW w:w="3828" w:type="dxa"/>
            <w:tcBorders>
              <w:top w:val="nil"/>
              <w:left w:val="nil"/>
              <w:bottom w:val="nil"/>
              <w:right w:val="nil"/>
            </w:tcBorders>
          </w:tcPr>
          <w:p w14:paraId="31649FD3"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7C54265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435086EA"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F700449" w14:textId="77777777" w:rsidTr="00E2030F">
        <w:tc>
          <w:tcPr>
            <w:tcW w:w="3828" w:type="dxa"/>
            <w:tcBorders>
              <w:top w:val="nil"/>
              <w:left w:val="nil"/>
              <w:right w:val="nil"/>
            </w:tcBorders>
          </w:tcPr>
          <w:p w14:paraId="61167BE1"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369B5483" w14:textId="77777777" w:rsidR="004676EF" w:rsidRPr="00734AB6" w:rsidRDefault="004676EF" w:rsidP="0099584D">
            <w:pPr>
              <w:spacing w:line="360" w:lineRule="auto"/>
              <w:rPr>
                <w:rFonts w:asciiTheme="majorHAnsi" w:hAnsiTheme="majorHAnsi"/>
              </w:rPr>
            </w:pPr>
            <w:r w:rsidRPr="00734AB6">
              <w:rPr>
                <w:rFonts w:asciiTheme="majorHAnsi" w:hAnsiTheme="majorHAnsi"/>
              </w:rPr>
              <w:t>16 (34.04)</w:t>
            </w:r>
          </w:p>
        </w:tc>
        <w:tc>
          <w:tcPr>
            <w:tcW w:w="2126" w:type="dxa"/>
            <w:tcBorders>
              <w:top w:val="nil"/>
              <w:left w:val="nil"/>
              <w:right w:val="nil"/>
            </w:tcBorders>
          </w:tcPr>
          <w:p w14:paraId="0005F40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bl>
    <w:p w14:paraId="076170DE"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0D84DB5E" w14:textId="77777777" w:rsidR="00A06AFF" w:rsidRPr="00734AB6" w:rsidRDefault="00A06AFF" w:rsidP="0099584D">
      <w:pPr>
        <w:tabs>
          <w:tab w:val="left" w:pos="426"/>
        </w:tabs>
        <w:spacing w:line="360" w:lineRule="auto"/>
        <w:rPr>
          <w:rFonts w:asciiTheme="majorHAnsi" w:hAnsiTheme="majorHAnsi"/>
        </w:rPr>
      </w:pPr>
    </w:p>
    <w:p w14:paraId="1CE01F80" w14:textId="77777777" w:rsidR="001F00D7" w:rsidRPr="00734AB6" w:rsidRDefault="001F00D7">
      <w:pPr>
        <w:rPr>
          <w:rFonts w:asciiTheme="majorHAnsi" w:hAnsiTheme="majorHAnsi"/>
          <w:b/>
        </w:rPr>
      </w:pPr>
      <w:r w:rsidRPr="00734AB6">
        <w:rPr>
          <w:rFonts w:asciiTheme="majorHAnsi" w:hAnsiTheme="majorHAnsi"/>
          <w:b/>
        </w:rPr>
        <w:br w:type="page"/>
      </w:r>
    </w:p>
    <w:p w14:paraId="403397CA" w14:textId="70739320"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lastRenderedPageBreak/>
        <w:t xml:space="preserve">Table </w:t>
      </w:r>
      <w:r w:rsidR="002B792E" w:rsidRPr="00734AB6">
        <w:rPr>
          <w:rFonts w:asciiTheme="majorHAnsi" w:hAnsiTheme="majorHAnsi"/>
          <w:b/>
        </w:rPr>
        <w:t>C.23</w:t>
      </w:r>
      <w:r w:rsidRPr="00734AB6">
        <w:rPr>
          <w:rFonts w:asciiTheme="majorHAnsi" w:hAnsiTheme="majorHAnsi"/>
          <w:b/>
        </w:rPr>
        <w:t>.</w:t>
      </w:r>
      <w:r w:rsidRPr="00734AB6">
        <w:rPr>
          <w:rFonts w:asciiTheme="majorHAnsi" w:hAnsiTheme="majorHAnsi"/>
          <w:b/>
        </w:rPr>
        <w:tab/>
        <w:t>Opioid pain killers</w:t>
      </w:r>
    </w:p>
    <w:tbl>
      <w:tblPr>
        <w:tblW w:w="0" w:type="auto"/>
        <w:tblLook w:val="04A0" w:firstRow="1" w:lastRow="0" w:firstColumn="1" w:lastColumn="0" w:noHBand="0" w:noVBand="1"/>
      </w:tblPr>
      <w:tblGrid>
        <w:gridCol w:w="3686"/>
        <w:gridCol w:w="2268"/>
        <w:gridCol w:w="2126"/>
      </w:tblGrid>
      <w:tr w:rsidR="004676EF" w:rsidRPr="00734AB6" w14:paraId="422E0A62" w14:textId="77777777" w:rsidTr="00E2030F">
        <w:tc>
          <w:tcPr>
            <w:tcW w:w="3686" w:type="dxa"/>
            <w:tcBorders>
              <w:left w:val="nil"/>
              <w:right w:val="nil"/>
            </w:tcBorders>
          </w:tcPr>
          <w:p w14:paraId="1653017E"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OPIOID PAIN KILLERS</w:t>
            </w:r>
          </w:p>
        </w:tc>
        <w:tc>
          <w:tcPr>
            <w:tcW w:w="2268" w:type="dxa"/>
            <w:tcBorders>
              <w:left w:val="nil"/>
              <w:right w:val="nil"/>
            </w:tcBorders>
          </w:tcPr>
          <w:p w14:paraId="096D01D7"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6" w:type="dxa"/>
            <w:tcBorders>
              <w:left w:val="nil"/>
              <w:right w:val="nil"/>
            </w:tcBorders>
          </w:tcPr>
          <w:p w14:paraId="35EC380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726CD1B2" w14:textId="77777777" w:rsidTr="00E2030F">
        <w:tc>
          <w:tcPr>
            <w:tcW w:w="8080" w:type="dxa"/>
            <w:gridSpan w:val="3"/>
            <w:tcBorders>
              <w:left w:val="nil"/>
              <w:bottom w:val="single" w:sz="4" w:space="0" w:color="auto"/>
              <w:right w:val="nil"/>
            </w:tcBorders>
          </w:tcPr>
          <w:p w14:paraId="7B51210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7D428EDD" w14:textId="77777777" w:rsidTr="00E2030F">
        <w:tc>
          <w:tcPr>
            <w:tcW w:w="3686" w:type="dxa"/>
            <w:tcBorders>
              <w:left w:val="nil"/>
              <w:bottom w:val="nil"/>
              <w:right w:val="nil"/>
            </w:tcBorders>
          </w:tcPr>
          <w:p w14:paraId="53B596DE"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7869B09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left w:val="nil"/>
              <w:bottom w:val="nil"/>
              <w:right w:val="nil"/>
            </w:tcBorders>
          </w:tcPr>
          <w:p w14:paraId="09A7966D"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69C46C3C" w14:textId="77777777" w:rsidTr="00E2030F">
        <w:tc>
          <w:tcPr>
            <w:tcW w:w="3686" w:type="dxa"/>
            <w:tcBorders>
              <w:top w:val="nil"/>
              <w:left w:val="nil"/>
              <w:bottom w:val="nil"/>
              <w:right w:val="nil"/>
            </w:tcBorders>
          </w:tcPr>
          <w:p w14:paraId="7D6FA81F"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3F91A69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51B00BE0"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3DC1DD90" w14:textId="77777777" w:rsidTr="00E2030F">
        <w:tc>
          <w:tcPr>
            <w:tcW w:w="3686" w:type="dxa"/>
            <w:tcBorders>
              <w:top w:val="nil"/>
              <w:left w:val="nil"/>
              <w:bottom w:val="nil"/>
              <w:right w:val="nil"/>
            </w:tcBorders>
          </w:tcPr>
          <w:p w14:paraId="2F792E29"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56ECB81B" w14:textId="77777777" w:rsidR="004676EF" w:rsidRPr="00734AB6" w:rsidRDefault="004676EF" w:rsidP="0099584D">
            <w:pPr>
              <w:spacing w:line="360" w:lineRule="auto"/>
              <w:rPr>
                <w:rFonts w:asciiTheme="majorHAnsi" w:hAnsiTheme="majorHAnsi"/>
              </w:rPr>
            </w:pPr>
            <w:r w:rsidRPr="00734AB6">
              <w:rPr>
                <w:rFonts w:asciiTheme="majorHAnsi" w:hAnsiTheme="majorHAnsi"/>
              </w:rPr>
              <w:t>1 (2.31)</w:t>
            </w:r>
          </w:p>
        </w:tc>
        <w:tc>
          <w:tcPr>
            <w:tcW w:w="2126" w:type="dxa"/>
            <w:tcBorders>
              <w:top w:val="nil"/>
              <w:left w:val="nil"/>
              <w:bottom w:val="nil"/>
              <w:right w:val="nil"/>
            </w:tcBorders>
          </w:tcPr>
          <w:p w14:paraId="525FBC2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41B358E" w14:textId="77777777" w:rsidTr="00E2030F">
        <w:tc>
          <w:tcPr>
            <w:tcW w:w="3686" w:type="dxa"/>
            <w:tcBorders>
              <w:top w:val="nil"/>
              <w:left w:val="nil"/>
              <w:bottom w:val="nil"/>
              <w:right w:val="nil"/>
            </w:tcBorders>
          </w:tcPr>
          <w:p w14:paraId="515DBC65"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14115BCA"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6" w:type="dxa"/>
            <w:tcBorders>
              <w:top w:val="nil"/>
              <w:left w:val="nil"/>
              <w:bottom w:val="nil"/>
              <w:right w:val="nil"/>
            </w:tcBorders>
          </w:tcPr>
          <w:p w14:paraId="78FB19D7"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18725A1" w14:textId="77777777" w:rsidTr="00E2030F">
        <w:tc>
          <w:tcPr>
            <w:tcW w:w="3686" w:type="dxa"/>
            <w:tcBorders>
              <w:top w:val="nil"/>
              <w:left w:val="nil"/>
              <w:bottom w:val="nil"/>
              <w:right w:val="nil"/>
            </w:tcBorders>
          </w:tcPr>
          <w:p w14:paraId="32E26A85"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331D334E" w14:textId="77777777" w:rsidR="004676EF" w:rsidRPr="00734AB6" w:rsidRDefault="004676EF" w:rsidP="0099584D">
            <w:pPr>
              <w:spacing w:line="360" w:lineRule="auto"/>
              <w:rPr>
                <w:rFonts w:asciiTheme="majorHAnsi" w:hAnsiTheme="majorHAnsi"/>
              </w:rPr>
            </w:pPr>
            <w:r w:rsidRPr="00734AB6">
              <w:rPr>
                <w:rFonts w:asciiTheme="majorHAnsi" w:hAnsiTheme="majorHAnsi"/>
              </w:rPr>
              <w:t>3 (6.38)</w:t>
            </w:r>
          </w:p>
        </w:tc>
        <w:tc>
          <w:tcPr>
            <w:tcW w:w="2126" w:type="dxa"/>
            <w:tcBorders>
              <w:top w:val="nil"/>
              <w:left w:val="nil"/>
              <w:bottom w:val="nil"/>
              <w:right w:val="nil"/>
            </w:tcBorders>
          </w:tcPr>
          <w:p w14:paraId="0245F9A7"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776FD379" w14:textId="77777777" w:rsidTr="00E2030F">
        <w:tc>
          <w:tcPr>
            <w:tcW w:w="3686" w:type="dxa"/>
            <w:tcBorders>
              <w:top w:val="nil"/>
              <w:left w:val="nil"/>
              <w:bottom w:val="single" w:sz="4" w:space="0" w:color="auto"/>
              <w:right w:val="nil"/>
            </w:tcBorders>
          </w:tcPr>
          <w:p w14:paraId="48BB608A"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577370D0"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single" w:sz="4" w:space="0" w:color="auto"/>
              <w:right w:val="nil"/>
            </w:tcBorders>
          </w:tcPr>
          <w:p w14:paraId="02BBBDD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624BC9A" w14:textId="77777777" w:rsidTr="00E2030F">
        <w:tc>
          <w:tcPr>
            <w:tcW w:w="8080" w:type="dxa"/>
            <w:gridSpan w:val="3"/>
            <w:tcBorders>
              <w:left w:val="nil"/>
              <w:bottom w:val="single" w:sz="4" w:space="0" w:color="auto"/>
              <w:right w:val="nil"/>
            </w:tcBorders>
          </w:tcPr>
          <w:p w14:paraId="1810C365"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4E3F49D1" w14:textId="77777777" w:rsidTr="00E2030F">
        <w:tc>
          <w:tcPr>
            <w:tcW w:w="3686" w:type="dxa"/>
            <w:tcBorders>
              <w:left w:val="nil"/>
              <w:bottom w:val="nil"/>
              <w:right w:val="nil"/>
            </w:tcBorders>
          </w:tcPr>
          <w:p w14:paraId="5A6441A7"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5337781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left w:val="nil"/>
              <w:bottom w:val="nil"/>
              <w:right w:val="nil"/>
            </w:tcBorders>
          </w:tcPr>
          <w:p w14:paraId="1207BF37"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10EEBEB2" w14:textId="77777777" w:rsidTr="00E2030F">
        <w:tc>
          <w:tcPr>
            <w:tcW w:w="3686" w:type="dxa"/>
            <w:tcBorders>
              <w:top w:val="nil"/>
              <w:left w:val="nil"/>
              <w:bottom w:val="nil"/>
              <w:right w:val="nil"/>
            </w:tcBorders>
          </w:tcPr>
          <w:p w14:paraId="6CFFB08A"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28248144"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6" w:type="dxa"/>
            <w:tcBorders>
              <w:top w:val="nil"/>
              <w:left w:val="nil"/>
              <w:bottom w:val="nil"/>
              <w:right w:val="nil"/>
            </w:tcBorders>
          </w:tcPr>
          <w:p w14:paraId="1B7FCD2C"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FAD659F" w14:textId="77777777" w:rsidTr="00E2030F">
        <w:tc>
          <w:tcPr>
            <w:tcW w:w="3686" w:type="dxa"/>
            <w:tcBorders>
              <w:top w:val="nil"/>
              <w:left w:val="nil"/>
              <w:bottom w:val="nil"/>
              <w:right w:val="nil"/>
            </w:tcBorders>
          </w:tcPr>
          <w:p w14:paraId="32165E80"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1F3411F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2BA1224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4D0CC434" w14:textId="77777777" w:rsidTr="00E2030F">
        <w:tc>
          <w:tcPr>
            <w:tcW w:w="3686" w:type="dxa"/>
            <w:tcBorders>
              <w:top w:val="nil"/>
              <w:left w:val="nil"/>
              <w:right w:val="nil"/>
            </w:tcBorders>
          </w:tcPr>
          <w:p w14:paraId="1A205E74"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66D44BE0" w14:textId="77777777" w:rsidR="004676EF" w:rsidRPr="00734AB6" w:rsidRDefault="004676EF" w:rsidP="0099584D">
            <w:pPr>
              <w:spacing w:line="360" w:lineRule="auto"/>
              <w:rPr>
                <w:rFonts w:asciiTheme="majorHAnsi" w:hAnsiTheme="majorHAnsi"/>
              </w:rPr>
            </w:pPr>
            <w:r w:rsidRPr="00734AB6">
              <w:rPr>
                <w:rFonts w:asciiTheme="majorHAnsi" w:hAnsiTheme="majorHAnsi"/>
              </w:rPr>
              <w:t>3 (6.38)</w:t>
            </w:r>
          </w:p>
        </w:tc>
        <w:tc>
          <w:tcPr>
            <w:tcW w:w="2126" w:type="dxa"/>
            <w:tcBorders>
              <w:top w:val="nil"/>
              <w:left w:val="nil"/>
              <w:right w:val="nil"/>
            </w:tcBorders>
          </w:tcPr>
          <w:p w14:paraId="796FB20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bl>
    <w:p w14:paraId="7DCFD1D5"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3CE06643" w14:textId="77777777" w:rsidR="00A06AFF" w:rsidRPr="00734AB6" w:rsidRDefault="00A06AFF" w:rsidP="0099584D">
      <w:pPr>
        <w:tabs>
          <w:tab w:val="left" w:pos="426"/>
        </w:tabs>
        <w:spacing w:line="360" w:lineRule="auto"/>
        <w:rPr>
          <w:rFonts w:asciiTheme="majorHAnsi" w:hAnsiTheme="majorHAnsi"/>
        </w:rPr>
      </w:pPr>
    </w:p>
    <w:p w14:paraId="749B2167" w14:textId="77777777" w:rsidR="001F00D7" w:rsidRPr="00734AB6" w:rsidRDefault="001F00D7">
      <w:pPr>
        <w:rPr>
          <w:rFonts w:asciiTheme="majorHAnsi" w:hAnsiTheme="majorHAnsi"/>
          <w:b/>
        </w:rPr>
      </w:pPr>
      <w:r w:rsidRPr="00734AB6">
        <w:rPr>
          <w:rFonts w:asciiTheme="majorHAnsi" w:hAnsiTheme="majorHAnsi"/>
          <w:b/>
        </w:rPr>
        <w:br w:type="page"/>
      </w:r>
    </w:p>
    <w:p w14:paraId="28B1DB81" w14:textId="5D252221" w:rsidR="004676EF" w:rsidRPr="00734AB6" w:rsidRDefault="004676EF" w:rsidP="0099584D">
      <w:pPr>
        <w:tabs>
          <w:tab w:val="left" w:pos="1134"/>
        </w:tabs>
        <w:spacing w:line="360" w:lineRule="auto"/>
        <w:rPr>
          <w:rFonts w:asciiTheme="majorHAnsi" w:hAnsiTheme="majorHAnsi"/>
          <w:b/>
        </w:rPr>
      </w:pPr>
      <w:r w:rsidRPr="00734AB6">
        <w:rPr>
          <w:rFonts w:asciiTheme="majorHAnsi" w:hAnsiTheme="majorHAnsi"/>
          <w:b/>
        </w:rPr>
        <w:lastRenderedPageBreak/>
        <w:t xml:space="preserve">Table </w:t>
      </w:r>
      <w:r w:rsidR="002B792E" w:rsidRPr="00734AB6">
        <w:rPr>
          <w:rFonts w:asciiTheme="majorHAnsi" w:hAnsiTheme="majorHAnsi"/>
          <w:b/>
        </w:rPr>
        <w:t>C.24</w:t>
      </w:r>
      <w:r w:rsidRPr="00734AB6">
        <w:rPr>
          <w:rFonts w:asciiTheme="majorHAnsi" w:hAnsiTheme="majorHAnsi"/>
          <w:b/>
        </w:rPr>
        <w:t>.</w:t>
      </w:r>
      <w:r w:rsidRPr="00734AB6">
        <w:rPr>
          <w:rFonts w:asciiTheme="majorHAnsi" w:hAnsiTheme="majorHAnsi"/>
          <w:b/>
        </w:rPr>
        <w:tab/>
        <w:t>Nootropics/ Cognitive enhancers</w:t>
      </w:r>
    </w:p>
    <w:tbl>
      <w:tblPr>
        <w:tblW w:w="0" w:type="auto"/>
        <w:tblLook w:val="04A0" w:firstRow="1" w:lastRow="0" w:firstColumn="1" w:lastColumn="0" w:noHBand="0" w:noVBand="1"/>
      </w:tblPr>
      <w:tblGrid>
        <w:gridCol w:w="3828"/>
        <w:gridCol w:w="2268"/>
        <w:gridCol w:w="2126"/>
      </w:tblGrid>
      <w:tr w:rsidR="004676EF" w:rsidRPr="00734AB6" w14:paraId="45E38324" w14:textId="77777777" w:rsidTr="00E2030F">
        <w:tc>
          <w:tcPr>
            <w:tcW w:w="3828" w:type="dxa"/>
            <w:tcBorders>
              <w:left w:val="nil"/>
              <w:right w:val="nil"/>
            </w:tcBorders>
          </w:tcPr>
          <w:p w14:paraId="4A3EB8E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NOOTROPICS/ COGNITIVE ENHANCERS</w:t>
            </w:r>
          </w:p>
        </w:tc>
        <w:tc>
          <w:tcPr>
            <w:tcW w:w="2268" w:type="dxa"/>
            <w:tcBorders>
              <w:left w:val="nil"/>
              <w:right w:val="nil"/>
            </w:tcBorders>
          </w:tcPr>
          <w:p w14:paraId="63487C56"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CED-user group N (%)*</w:t>
            </w:r>
          </w:p>
        </w:tc>
        <w:tc>
          <w:tcPr>
            <w:tcW w:w="2126" w:type="dxa"/>
            <w:tcBorders>
              <w:left w:val="nil"/>
              <w:right w:val="nil"/>
            </w:tcBorders>
          </w:tcPr>
          <w:p w14:paraId="6ED6EA32"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Control group N (%)*</w:t>
            </w:r>
          </w:p>
        </w:tc>
      </w:tr>
      <w:tr w:rsidR="004676EF" w:rsidRPr="00734AB6" w14:paraId="37890AA2" w14:textId="77777777" w:rsidTr="00E2030F">
        <w:tc>
          <w:tcPr>
            <w:tcW w:w="8222" w:type="dxa"/>
            <w:gridSpan w:val="3"/>
            <w:tcBorders>
              <w:left w:val="nil"/>
              <w:bottom w:val="single" w:sz="4" w:space="0" w:color="auto"/>
              <w:right w:val="nil"/>
            </w:tcBorders>
          </w:tcPr>
          <w:p w14:paraId="442AC309"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Frequency of use with the past 6 months</w:t>
            </w:r>
          </w:p>
        </w:tc>
      </w:tr>
      <w:tr w:rsidR="004676EF" w:rsidRPr="00734AB6" w14:paraId="3A2CB724" w14:textId="77777777" w:rsidTr="00E2030F">
        <w:tc>
          <w:tcPr>
            <w:tcW w:w="3828" w:type="dxa"/>
            <w:tcBorders>
              <w:left w:val="nil"/>
              <w:bottom w:val="nil"/>
              <w:right w:val="nil"/>
            </w:tcBorders>
          </w:tcPr>
          <w:p w14:paraId="1F69C4F1" w14:textId="77777777" w:rsidR="004676EF" w:rsidRPr="00734AB6" w:rsidRDefault="004676EF" w:rsidP="0099584D">
            <w:pPr>
              <w:spacing w:line="360" w:lineRule="auto"/>
              <w:rPr>
                <w:rFonts w:asciiTheme="majorHAnsi" w:hAnsiTheme="majorHAnsi"/>
              </w:rPr>
            </w:pPr>
            <w:r w:rsidRPr="00734AB6">
              <w:rPr>
                <w:rFonts w:asciiTheme="majorHAnsi" w:hAnsiTheme="majorHAnsi"/>
              </w:rPr>
              <w:t>Every day/almost every day</w:t>
            </w:r>
          </w:p>
        </w:tc>
        <w:tc>
          <w:tcPr>
            <w:tcW w:w="2268" w:type="dxa"/>
            <w:tcBorders>
              <w:left w:val="nil"/>
              <w:bottom w:val="nil"/>
              <w:right w:val="nil"/>
            </w:tcBorders>
          </w:tcPr>
          <w:p w14:paraId="37B50E18"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left w:val="nil"/>
              <w:bottom w:val="nil"/>
              <w:right w:val="nil"/>
            </w:tcBorders>
          </w:tcPr>
          <w:p w14:paraId="37EA7F9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E08089F" w14:textId="77777777" w:rsidTr="00E2030F">
        <w:tc>
          <w:tcPr>
            <w:tcW w:w="3828" w:type="dxa"/>
            <w:tcBorders>
              <w:top w:val="nil"/>
              <w:left w:val="nil"/>
              <w:bottom w:val="nil"/>
              <w:right w:val="nil"/>
            </w:tcBorders>
          </w:tcPr>
          <w:p w14:paraId="607AB545" w14:textId="77777777" w:rsidR="004676EF" w:rsidRPr="00734AB6" w:rsidRDefault="004676EF" w:rsidP="0099584D">
            <w:pPr>
              <w:spacing w:line="360" w:lineRule="auto"/>
              <w:rPr>
                <w:rFonts w:asciiTheme="majorHAnsi" w:hAnsiTheme="majorHAnsi"/>
              </w:rPr>
            </w:pPr>
            <w:r w:rsidRPr="00734AB6">
              <w:rPr>
                <w:rFonts w:asciiTheme="majorHAnsi" w:hAnsiTheme="majorHAnsi"/>
              </w:rPr>
              <w:t>3-4 times per week</w:t>
            </w:r>
          </w:p>
        </w:tc>
        <w:tc>
          <w:tcPr>
            <w:tcW w:w="2268" w:type="dxa"/>
            <w:tcBorders>
              <w:top w:val="nil"/>
              <w:left w:val="nil"/>
              <w:bottom w:val="nil"/>
              <w:right w:val="nil"/>
            </w:tcBorders>
          </w:tcPr>
          <w:p w14:paraId="5E89060F"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49BA602A"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E151174" w14:textId="77777777" w:rsidTr="00E2030F">
        <w:tc>
          <w:tcPr>
            <w:tcW w:w="3828" w:type="dxa"/>
            <w:tcBorders>
              <w:top w:val="nil"/>
              <w:left w:val="nil"/>
              <w:bottom w:val="nil"/>
              <w:right w:val="nil"/>
            </w:tcBorders>
          </w:tcPr>
          <w:p w14:paraId="653F7BAC" w14:textId="77777777" w:rsidR="004676EF" w:rsidRPr="00734AB6" w:rsidRDefault="004676EF" w:rsidP="0099584D">
            <w:pPr>
              <w:spacing w:line="360" w:lineRule="auto"/>
              <w:rPr>
                <w:rFonts w:asciiTheme="majorHAnsi" w:hAnsiTheme="majorHAnsi"/>
              </w:rPr>
            </w:pPr>
            <w:r w:rsidRPr="00734AB6">
              <w:rPr>
                <w:rFonts w:asciiTheme="majorHAnsi" w:hAnsiTheme="majorHAnsi"/>
              </w:rPr>
              <w:t>Once per week</w:t>
            </w:r>
          </w:p>
        </w:tc>
        <w:tc>
          <w:tcPr>
            <w:tcW w:w="2268" w:type="dxa"/>
            <w:tcBorders>
              <w:top w:val="nil"/>
              <w:left w:val="nil"/>
              <w:bottom w:val="nil"/>
              <w:right w:val="nil"/>
            </w:tcBorders>
          </w:tcPr>
          <w:p w14:paraId="4F78735D"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5AEE969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4B2241A5" w14:textId="77777777" w:rsidTr="00E2030F">
        <w:tc>
          <w:tcPr>
            <w:tcW w:w="3828" w:type="dxa"/>
            <w:tcBorders>
              <w:top w:val="nil"/>
              <w:left w:val="nil"/>
              <w:bottom w:val="nil"/>
              <w:right w:val="nil"/>
            </w:tcBorders>
          </w:tcPr>
          <w:p w14:paraId="594B51C0" w14:textId="77777777" w:rsidR="004676EF" w:rsidRPr="00734AB6" w:rsidRDefault="004676EF" w:rsidP="0099584D">
            <w:pPr>
              <w:spacing w:line="360" w:lineRule="auto"/>
              <w:rPr>
                <w:rFonts w:asciiTheme="majorHAnsi" w:hAnsiTheme="majorHAnsi"/>
              </w:rPr>
            </w:pPr>
            <w:r w:rsidRPr="00734AB6">
              <w:rPr>
                <w:rFonts w:asciiTheme="majorHAnsi" w:hAnsiTheme="majorHAnsi"/>
              </w:rPr>
              <w:t>1 – 2 times per month</w:t>
            </w:r>
          </w:p>
        </w:tc>
        <w:tc>
          <w:tcPr>
            <w:tcW w:w="2268" w:type="dxa"/>
            <w:tcBorders>
              <w:top w:val="nil"/>
              <w:left w:val="nil"/>
              <w:bottom w:val="nil"/>
              <w:right w:val="nil"/>
            </w:tcBorders>
          </w:tcPr>
          <w:p w14:paraId="398C1EF2"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6" w:type="dxa"/>
            <w:tcBorders>
              <w:top w:val="nil"/>
              <w:left w:val="nil"/>
              <w:bottom w:val="nil"/>
              <w:right w:val="nil"/>
            </w:tcBorders>
          </w:tcPr>
          <w:p w14:paraId="4F8C0ED8"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3E09D8D6" w14:textId="77777777" w:rsidTr="00E2030F">
        <w:tc>
          <w:tcPr>
            <w:tcW w:w="3828" w:type="dxa"/>
            <w:tcBorders>
              <w:top w:val="nil"/>
              <w:left w:val="nil"/>
              <w:bottom w:val="nil"/>
              <w:right w:val="nil"/>
            </w:tcBorders>
          </w:tcPr>
          <w:p w14:paraId="7C3D3439" w14:textId="77777777" w:rsidR="004676EF" w:rsidRPr="00734AB6" w:rsidRDefault="004676EF" w:rsidP="0099584D">
            <w:pPr>
              <w:spacing w:line="360" w:lineRule="auto"/>
              <w:rPr>
                <w:rFonts w:asciiTheme="majorHAnsi" w:hAnsiTheme="majorHAnsi"/>
              </w:rPr>
            </w:pPr>
            <w:r w:rsidRPr="00734AB6">
              <w:rPr>
                <w:rFonts w:asciiTheme="majorHAnsi" w:hAnsiTheme="majorHAnsi"/>
              </w:rPr>
              <w:t>Up to 3 times in total</w:t>
            </w:r>
          </w:p>
        </w:tc>
        <w:tc>
          <w:tcPr>
            <w:tcW w:w="2268" w:type="dxa"/>
            <w:tcBorders>
              <w:top w:val="nil"/>
              <w:left w:val="nil"/>
              <w:bottom w:val="nil"/>
              <w:right w:val="nil"/>
            </w:tcBorders>
          </w:tcPr>
          <w:p w14:paraId="5309746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2CC288E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5D3F846" w14:textId="77777777" w:rsidTr="00E2030F">
        <w:tc>
          <w:tcPr>
            <w:tcW w:w="3828" w:type="dxa"/>
            <w:tcBorders>
              <w:top w:val="nil"/>
              <w:left w:val="nil"/>
              <w:bottom w:val="single" w:sz="4" w:space="0" w:color="auto"/>
              <w:right w:val="nil"/>
            </w:tcBorders>
          </w:tcPr>
          <w:p w14:paraId="1AD04CF5" w14:textId="77777777" w:rsidR="004676EF" w:rsidRPr="00734AB6" w:rsidRDefault="004676EF" w:rsidP="0099584D">
            <w:pPr>
              <w:spacing w:line="360" w:lineRule="auto"/>
              <w:rPr>
                <w:rFonts w:asciiTheme="majorHAnsi" w:hAnsiTheme="majorHAnsi"/>
              </w:rPr>
            </w:pPr>
            <w:r w:rsidRPr="00734AB6">
              <w:rPr>
                <w:rFonts w:asciiTheme="majorHAnsi" w:hAnsiTheme="majorHAnsi"/>
              </w:rPr>
              <w:t>None</w:t>
            </w:r>
          </w:p>
        </w:tc>
        <w:tc>
          <w:tcPr>
            <w:tcW w:w="2268" w:type="dxa"/>
            <w:tcBorders>
              <w:top w:val="nil"/>
              <w:left w:val="nil"/>
              <w:bottom w:val="single" w:sz="4" w:space="0" w:color="auto"/>
              <w:right w:val="nil"/>
            </w:tcBorders>
          </w:tcPr>
          <w:p w14:paraId="442503D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single" w:sz="4" w:space="0" w:color="auto"/>
              <w:right w:val="nil"/>
            </w:tcBorders>
          </w:tcPr>
          <w:p w14:paraId="5B11D2E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550CA433" w14:textId="77777777" w:rsidTr="00E2030F">
        <w:tc>
          <w:tcPr>
            <w:tcW w:w="8222" w:type="dxa"/>
            <w:gridSpan w:val="3"/>
            <w:tcBorders>
              <w:left w:val="nil"/>
              <w:bottom w:val="single" w:sz="4" w:space="0" w:color="auto"/>
              <w:right w:val="nil"/>
            </w:tcBorders>
          </w:tcPr>
          <w:p w14:paraId="3FE87CE8" w14:textId="77777777" w:rsidR="004676EF" w:rsidRPr="00734AB6" w:rsidRDefault="004676EF" w:rsidP="0099584D">
            <w:pPr>
              <w:spacing w:line="360" w:lineRule="auto"/>
              <w:rPr>
                <w:rFonts w:asciiTheme="majorHAnsi" w:hAnsiTheme="majorHAnsi"/>
                <w:b/>
              </w:rPr>
            </w:pPr>
            <w:r w:rsidRPr="00734AB6">
              <w:rPr>
                <w:rFonts w:asciiTheme="majorHAnsi" w:hAnsiTheme="majorHAnsi"/>
                <w:b/>
              </w:rPr>
              <w:t>Length of time since last use</w:t>
            </w:r>
          </w:p>
        </w:tc>
      </w:tr>
      <w:tr w:rsidR="004676EF" w:rsidRPr="00734AB6" w14:paraId="57DB34EE" w14:textId="77777777" w:rsidTr="00E2030F">
        <w:tc>
          <w:tcPr>
            <w:tcW w:w="3828" w:type="dxa"/>
            <w:tcBorders>
              <w:left w:val="nil"/>
              <w:bottom w:val="nil"/>
              <w:right w:val="nil"/>
            </w:tcBorders>
          </w:tcPr>
          <w:p w14:paraId="61042326"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week</w:t>
            </w:r>
          </w:p>
        </w:tc>
        <w:tc>
          <w:tcPr>
            <w:tcW w:w="2268" w:type="dxa"/>
            <w:tcBorders>
              <w:left w:val="nil"/>
              <w:bottom w:val="nil"/>
              <w:right w:val="nil"/>
            </w:tcBorders>
          </w:tcPr>
          <w:p w14:paraId="76C554D9" w14:textId="77777777" w:rsidR="004676EF" w:rsidRPr="00734AB6" w:rsidRDefault="004676EF" w:rsidP="0099584D">
            <w:pPr>
              <w:spacing w:line="360" w:lineRule="auto"/>
              <w:rPr>
                <w:rFonts w:asciiTheme="majorHAnsi" w:hAnsiTheme="majorHAnsi"/>
              </w:rPr>
            </w:pPr>
            <w:r w:rsidRPr="00734AB6">
              <w:rPr>
                <w:rFonts w:asciiTheme="majorHAnsi" w:hAnsiTheme="majorHAnsi"/>
              </w:rPr>
              <w:t>2 (4.26)</w:t>
            </w:r>
          </w:p>
        </w:tc>
        <w:tc>
          <w:tcPr>
            <w:tcW w:w="2126" w:type="dxa"/>
            <w:tcBorders>
              <w:left w:val="nil"/>
              <w:bottom w:val="nil"/>
              <w:right w:val="nil"/>
            </w:tcBorders>
          </w:tcPr>
          <w:p w14:paraId="0B550631"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0248D744" w14:textId="77777777" w:rsidTr="00E2030F">
        <w:tc>
          <w:tcPr>
            <w:tcW w:w="3828" w:type="dxa"/>
            <w:tcBorders>
              <w:top w:val="nil"/>
              <w:left w:val="nil"/>
              <w:bottom w:val="nil"/>
              <w:right w:val="nil"/>
            </w:tcBorders>
          </w:tcPr>
          <w:p w14:paraId="0F8A71F8"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month</w:t>
            </w:r>
          </w:p>
        </w:tc>
        <w:tc>
          <w:tcPr>
            <w:tcW w:w="2268" w:type="dxa"/>
            <w:tcBorders>
              <w:top w:val="nil"/>
              <w:left w:val="nil"/>
              <w:bottom w:val="nil"/>
              <w:right w:val="nil"/>
            </w:tcBorders>
          </w:tcPr>
          <w:p w14:paraId="4D42F2F6"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1C6FA63B"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8531A1A" w14:textId="77777777" w:rsidTr="00E2030F">
        <w:tc>
          <w:tcPr>
            <w:tcW w:w="3828" w:type="dxa"/>
            <w:tcBorders>
              <w:top w:val="nil"/>
              <w:left w:val="nil"/>
              <w:bottom w:val="nil"/>
              <w:right w:val="nil"/>
            </w:tcBorders>
          </w:tcPr>
          <w:p w14:paraId="3F76F729"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6 months</w:t>
            </w:r>
          </w:p>
        </w:tc>
        <w:tc>
          <w:tcPr>
            <w:tcW w:w="2268" w:type="dxa"/>
            <w:tcBorders>
              <w:top w:val="nil"/>
              <w:left w:val="nil"/>
              <w:bottom w:val="nil"/>
              <w:right w:val="nil"/>
            </w:tcBorders>
          </w:tcPr>
          <w:p w14:paraId="51F4C739"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bottom w:val="nil"/>
              <w:right w:val="nil"/>
            </w:tcBorders>
          </w:tcPr>
          <w:p w14:paraId="368BB2B2"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r w:rsidR="004676EF" w:rsidRPr="00734AB6" w14:paraId="2F8743B0" w14:textId="77777777" w:rsidTr="00E2030F">
        <w:tc>
          <w:tcPr>
            <w:tcW w:w="3828" w:type="dxa"/>
            <w:tcBorders>
              <w:top w:val="nil"/>
              <w:left w:val="nil"/>
              <w:right w:val="nil"/>
            </w:tcBorders>
          </w:tcPr>
          <w:p w14:paraId="171D1D35" w14:textId="77777777" w:rsidR="004676EF" w:rsidRPr="00734AB6" w:rsidRDefault="004676EF" w:rsidP="0099584D">
            <w:pPr>
              <w:spacing w:line="360" w:lineRule="auto"/>
              <w:rPr>
                <w:rFonts w:asciiTheme="majorHAnsi" w:hAnsiTheme="majorHAnsi"/>
              </w:rPr>
            </w:pPr>
            <w:r w:rsidRPr="00734AB6">
              <w:rPr>
                <w:rFonts w:asciiTheme="majorHAnsi" w:hAnsiTheme="majorHAnsi"/>
              </w:rPr>
              <w:t>Within the last year</w:t>
            </w:r>
          </w:p>
        </w:tc>
        <w:tc>
          <w:tcPr>
            <w:tcW w:w="2268" w:type="dxa"/>
            <w:tcBorders>
              <w:top w:val="nil"/>
              <w:left w:val="nil"/>
              <w:right w:val="nil"/>
            </w:tcBorders>
          </w:tcPr>
          <w:p w14:paraId="52F631DA"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c>
          <w:tcPr>
            <w:tcW w:w="2126" w:type="dxa"/>
            <w:tcBorders>
              <w:top w:val="nil"/>
              <w:left w:val="nil"/>
              <w:right w:val="nil"/>
            </w:tcBorders>
          </w:tcPr>
          <w:p w14:paraId="49E3497E" w14:textId="77777777" w:rsidR="004676EF" w:rsidRPr="00734AB6" w:rsidRDefault="004676EF" w:rsidP="0099584D">
            <w:pPr>
              <w:spacing w:line="360" w:lineRule="auto"/>
              <w:rPr>
                <w:rFonts w:asciiTheme="majorHAnsi" w:hAnsiTheme="majorHAnsi"/>
              </w:rPr>
            </w:pPr>
            <w:r w:rsidRPr="00734AB6">
              <w:rPr>
                <w:rFonts w:asciiTheme="majorHAnsi" w:hAnsiTheme="majorHAnsi"/>
              </w:rPr>
              <w:t>-</w:t>
            </w:r>
          </w:p>
        </w:tc>
      </w:tr>
    </w:tbl>
    <w:p w14:paraId="733C7367" w14:textId="77777777" w:rsidR="004676EF" w:rsidRPr="00734AB6" w:rsidRDefault="004676EF" w:rsidP="0099584D">
      <w:pPr>
        <w:tabs>
          <w:tab w:val="left" w:pos="426"/>
        </w:tabs>
        <w:spacing w:line="360" w:lineRule="auto"/>
        <w:rPr>
          <w:rFonts w:asciiTheme="majorHAnsi" w:hAnsiTheme="majorHAnsi"/>
        </w:rPr>
      </w:pPr>
      <w:r w:rsidRPr="00734AB6">
        <w:rPr>
          <w:rFonts w:asciiTheme="majorHAnsi" w:hAnsiTheme="majorHAnsi"/>
        </w:rPr>
        <w:t>*</w:t>
      </w:r>
      <w:r w:rsidRPr="00734AB6">
        <w:rPr>
          <w:rFonts w:asciiTheme="majorHAnsi" w:hAnsiTheme="majorHAnsi"/>
        </w:rPr>
        <w:tab/>
        <w:t>Percentages relate to group and not to the whole sample</w:t>
      </w:r>
    </w:p>
    <w:p w14:paraId="712426A8" w14:textId="77777777" w:rsidR="004676EF" w:rsidRPr="00734AB6" w:rsidRDefault="004676EF" w:rsidP="0099584D">
      <w:pPr>
        <w:pBdr>
          <w:bottom w:val="double" w:sz="4" w:space="1" w:color="auto"/>
        </w:pBdr>
        <w:spacing w:line="360" w:lineRule="auto"/>
        <w:rPr>
          <w:rFonts w:asciiTheme="majorHAnsi" w:hAnsiTheme="majorHAnsi"/>
        </w:rPr>
      </w:pPr>
    </w:p>
    <w:p w14:paraId="61845CDA" w14:textId="77777777" w:rsidR="001F00D7" w:rsidRPr="00734AB6" w:rsidRDefault="001F00D7">
      <w:pPr>
        <w:rPr>
          <w:rFonts w:asciiTheme="majorHAnsi" w:eastAsiaTheme="majorEastAsia" w:hAnsiTheme="majorHAnsi" w:cstheme="majorBidi"/>
          <w:b/>
        </w:rPr>
      </w:pPr>
      <w:bookmarkStart w:id="208" w:name="_Toc45200560"/>
      <w:r w:rsidRPr="00734AB6">
        <w:rPr>
          <w:b/>
        </w:rPr>
        <w:br w:type="page"/>
      </w:r>
    </w:p>
    <w:p w14:paraId="12EBFF22" w14:textId="7E5D6F50" w:rsidR="004676EF" w:rsidRPr="00734AB6" w:rsidRDefault="004676EF" w:rsidP="0099584D">
      <w:pPr>
        <w:pStyle w:val="Heading1"/>
        <w:spacing w:line="360" w:lineRule="auto"/>
        <w:rPr>
          <w:b/>
          <w:color w:val="auto"/>
          <w:sz w:val="22"/>
          <w:szCs w:val="22"/>
        </w:rPr>
      </w:pPr>
      <w:bookmarkStart w:id="209" w:name="_Toc48136450"/>
      <w:r w:rsidRPr="00734AB6">
        <w:rPr>
          <w:b/>
          <w:color w:val="auto"/>
          <w:sz w:val="22"/>
          <w:szCs w:val="22"/>
        </w:rPr>
        <w:lastRenderedPageBreak/>
        <w:t xml:space="preserve">Appendix D: </w:t>
      </w:r>
      <w:r w:rsidRPr="00734AB6">
        <w:rPr>
          <w:b/>
          <w:color w:val="auto"/>
          <w:sz w:val="22"/>
          <w:szCs w:val="22"/>
        </w:rPr>
        <w:tab/>
        <w:t xml:space="preserve">Abbreviations and </w:t>
      </w:r>
      <w:proofErr w:type="spellStart"/>
      <w:r w:rsidRPr="00734AB6">
        <w:rPr>
          <w:b/>
          <w:color w:val="auto"/>
          <w:sz w:val="22"/>
          <w:szCs w:val="22"/>
        </w:rPr>
        <w:t>Accronyms</w:t>
      </w:r>
      <w:bookmarkEnd w:id="208"/>
      <w:bookmarkEnd w:id="209"/>
      <w:proofErr w:type="spellEnd"/>
    </w:p>
    <w:p w14:paraId="02A777D3" w14:textId="77777777" w:rsidR="004676EF" w:rsidRPr="00734AB6" w:rsidRDefault="004676EF" w:rsidP="0099584D">
      <w:pPr>
        <w:spacing w:line="360" w:lineRule="auto"/>
        <w:rPr>
          <w:rFonts w:asciiTheme="majorHAnsi" w:hAnsiTheme="majorHAnsi"/>
        </w:rPr>
      </w:pPr>
    </w:p>
    <w:p w14:paraId="6DAC7D2A"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ACC</w:t>
      </w:r>
      <w:r w:rsidRPr="00734AB6">
        <w:rPr>
          <w:rFonts w:asciiTheme="majorHAnsi" w:eastAsia="Calibri" w:hAnsiTheme="majorHAnsi" w:cs="Arial"/>
          <w:b/>
        </w:rPr>
        <w:tab/>
      </w:r>
      <w:r w:rsidRPr="00734AB6">
        <w:rPr>
          <w:rFonts w:asciiTheme="majorHAnsi" w:eastAsia="Calibri" w:hAnsiTheme="majorHAnsi" w:cs="Arial"/>
        </w:rPr>
        <w:t>anterior cingulate cortex</w:t>
      </w:r>
    </w:p>
    <w:p w14:paraId="0D4AB836"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ADD</w:t>
      </w:r>
      <w:r w:rsidRPr="00734AB6">
        <w:rPr>
          <w:rFonts w:asciiTheme="majorHAnsi" w:hAnsiTheme="majorHAnsi"/>
          <w:b/>
        </w:rPr>
        <w:tab/>
      </w:r>
      <w:r w:rsidRPr="00734AB6">
        <w:rPr>
          <w:rFonts w:asciiTheme="majorHAnsi" w:hAnsiTheme="majorHAnsi"/>
        </w:rPr>
        <w:t>Attention Deficit Disorder</w:t>
      </w:r>
    </w:p>
    <w:p w14:paraId="0689B514"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ADHD</w:t>
      </w:r>
      <w:r w:rsidRPr="00734AB6">
        <w:rPr>
          <w:rFonts w:asciiTheme="majorHAnsi" w:hAnsiTheme="majorHAnsi"/>
          <w:b/>
        </w:rPr>
        <w:tab/>
      </w:r>
      <w:r w:rsidRPr="00734AB6">
        <w:rPr>
          <w:rFonts w:asciiTheme="majorHAnsi" w:hAnsiTheme="majorHAnsi"/>
        </w:rPr>
        <w:t>Attention Deficit Hyperactivity Disorder</w:t>
      </w:r>
    </w:p>
    <w:p w14:paraId="6BF4825A" w14:textId="77777777" w:rsidR="004676EF" w:rsidRPr="00734AB6" w:rsidRDefault="004676EF" w:rsidP="0099584D">
      <w:pPr>
        <w:tabs>
          <w:tab w:val="left" w:pos="993"/>
        </w:tabs>
        <w:spacing w:line="360" w:lineRule="auto"/>
        <w:rPr>
          <w:rFonts w:asciiTheme="majorHAnsi" w:hAnsiTheme="majorHAnsi"/>
          <w:b/>
          <w:bCs/>
        </w:rPr>
      </w:pPr>
      <w:r w:rsidRPr="00734AB6">
        <w:rPr>
          <w:rFonts w:asciiTheme="majorHAnsi" w:eastAsia="Calibri" w:hAnsiTheme="majorHAnsi" w:cs="Calibri"/>
          <w:b/>
        </w:rPr>
        <w:t>ASRS</w:t>
      </w:r>
      <w:r w:rsidRPr="00734AB6">
        <w:rPr>
          <w:rFonts w:asciiTheme="majorHAnsi" w:eastAsia="Calibri" w:hAnsiTheme="majorHAnsi" w:cs="Calibri"/>
          <w:b/>
        </w:rPr>
        <w:tab/>
      </w:r>
      <w:r w:rsidRPr="00734AB6">
        <w:rPr>
          <w:rFonts w:asciiTheme="majorHAnsi" w:eastAsia="Calibri" w:hAnsiTheme="majorHAnsi" w:cs="Calibri"/>
        </w:rPr>
        <w:t>Adult ADHD Self-Report Scale</w:t>
      </w:r>
    </w:p>
    <w:p w14:paraId="1E39987B" w14:textId="77777777" w:rsidR="004676EF" w:rsidRPr="00734AB6" w:rsidRDefault="004676EF" w:rsidP="0099584D">
      <w:pPr>
        <w:tabs>
          <w:tab w:val="left" w:pos="993"/>
        </w:tabs>
        <w:spacing w:line="360" w:lineRule="auto"/>
        <w:rPr>
          <w:rFonts w:asciiTheme="majorHAnsi" w:hAnsiTheme="majorHAnsi"/>
          <w:b/>
          <w:bCs/>
        </w:rPr>
      </w:pPr>
      <w:r w:rsidRPr="00734AB6">
        <w:rPr>
          <w:rFonts w:asciiTheme="majorHAnsi" w:eastAsia="Calibri" w:hAnsiTheme="majorHAnsi" w:cs="Calibri"/>
          <w:b/>
        </w:rPr>
        <w:t>AUDIT</w:t>
      </w:r>
      <w:r w:rsidRPr="00734AB6">
        <w:rPr>
          <w:rFonts w:asciiTheme="majorHAnsi" w:eastAsia="Calibri" w:hAnsiTheme="majorHAnsi" w:cs="Calibri"/>
          <w:b/>
        </w:rPr>
        <w:tab/>
      </w:r>
      <w:r w:rsidRPr="00734AB6">
        <w:rPr>
          <w:rFonts w:asciiTheme="majorHAnsi" w:eastAsia="Calibri" w:hAnsiTheme="majorHAnsi" w:cs="Calibri"/>
        </w:rPr>
        <w:t>Alcohol Use Disorders Identification Test</w:t>
      </w:r>
    </w:p>
    <w:p w14:paraId="229B5BCF"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bCs/>
        </w:rPr>
        <w:t>BOLD</w:t>
      </w:r>
      <w:r w:rsidRPr="00734AB6">
        <w:rPr>
          <w:rFonts w:asciiTheme="majorHAnsi" w:hAnsiTheme="majorHAnsi"/>
          <w:b/>
          <w:bCs/>
        </w:rPr>
        <w:tab/>
      </w:r>
      <w:r w:rsidRPr="00734AB6">
        <w:rPr>
          <w:rFonts w:asciiTheme="majorHAnsi" w:hAnsiTheme="majorHAnsi"/>
        </w:rPr>
        <w:t>blood oxygenation level dependent</w:t>
      </w:r>
    </w:p>
    <w:p w14:paraId="3D1DE5B9"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eastAsia="Calibri" w:hAnsiTheme="majorHAnsi"/>
          <w:b/>
        </w:rPr>
        <w:t>BRIEF-A</w:t>
      </w:r>
      <w:r w:rsidRPr="00734AB6">
        <w:rPr>
          <w:rFonts w:asciiTheme="majorHAnsi" w:eastAsia="Calibri" w:hAnsiTheme="majorHAnsi"/>
          <w:b/>
        </w:rPr>
        <w:tab/>
      </w:r>
      <w:r w:rsidRPr="00734AB6">
        <w:rPr>
          <w:rFonts w:asciiTheme="majorHAnsi" w:eastAsia="Calibri" w:hAnsiTheme="majorHAnsi"/>
        </w:rPr>
        <w:t>Behaviour Rating Inventory of Executive Function – Adult Version</w:t>
      </w:r>
    </w:p>
    <w:p w14:paraId="3F02B5A9"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CANTAB</w:t>
      </w:r>
      <w:r w:rsidRPr="00734AB6">
        <w:rPr>
          <w:rFonts w:asciiTheme="majorHAnsi" w:hAnsiTheme="majorHAnsi"/>
          <w:b/>
        </w:rPr>
        <w:tab/>
      </w:r>
      <w:r w:rsidRPr="00734AB6">
        <w:rPr>
          <w:rFonts w:asciiTheme="majorHAnsi" w:hAnsiTheme="majorHAnsi"/>
        </w:rPr>
        <w:t>Cambridge Neuropsychological Test Automated Battery</w:t>
      </w:r>
    </w:p>
    <w:p w14:paraId="65FFEADC"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CED</w:t>
      </w:r>
      <w:r w:rsidRPr="00734AB6">
        <w:rPr>
          <w:rFonts w:asciiTheme="majorHAnsi" w:hAnsiTheme="majorHAnsi"/>
        </w:rPr>
        <w:tab/>
        <w:t>cognitive enhancing drug</w:t>
      </w:r>
    </w:p>
    <w:p w14:paraId="25E1EB4A"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CFQ</w:t>
      </w:r>
      <w:r w:rsidRPr="00734AB6">
        <w:rPr>
          <w:rFonts w:asciiTheme="majorHAnsi" w:eastAsia="Calibri" w:hAnsiTheme="majorHAnsi" w:cs="Arial"/>
          <w:b/>
        </w:rPr>
        <w:tab/>
      </w:r>
      <w:r w:rsidRPr="00734AB6">
        <w:rPr>
          <w:rFonts w:asciiTheme="majorHAnsi" w:eastAsia="Calibri" w:hAnsiTheme="majorHAnsi" w:cs="Arial"/>
        </w:rPr>
        <w:t>Cognitive Failures Questionnaire</w:t>
      </w:r>
    </w:p>
    <w:p w14:paraId="670C48E7"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COMT</w:t>
      </w:r>
      <w:r w:rsidRPr="00734AB6">
        <w:rPr>
          <w:rFonts w:asciiTheme="majorHAnsi" w:eastAsia="Calibri" w:hAnsiTheme="majorHAnsi" w:cs="Arial"/>
        </w:rPr>
        <w:tab/>
      </w:r>
      <w:r w:rsidRPr="00734AB6">
        <w:rPr>
          <w:rFonts w:asciiTheme="majorHAnsi" w:hAnsiTheme="majorHAnsi" w:cs="Calibri"/>
        </w:rPr>
        <w:t>catechol O-methyltransferase</w:t>
      </w:r>
    </w:p>
    <w:p w14:paraId="5D55A9A5"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CPP</w:t>
      </w:r>
      <w:r w:rsidRPr="00734AB6">
        <w:rPr>
          <w:rFonts w:asciiTheme="majorHAnsi" w:eastAsia="Calibri" w:hAnsiTheme="majorHAnsi" w:cs="Arial"/>
        </w:rPr>
        <w:tab/>
      </w:r>
      <w:r w:rsidRPr="00734AB6">
        <w:rPr>
          <w:rFonts w:asciiTheme="majorHAnsi" w:hAnsiTheme="majorHAnsi" w:cs="Calibri"/>
        </w:rPr>
        <w:t>conditioned place preference</w:t>
      </w:r>
    </w:p>
    <w:p w14:paraId="3A5A1614"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DA</w:t>
      </w:r>
      <w:r w:rsidRPr="00734AB6">
        <w:rPr>
          <w:rFonts w:asciiTheme="majorHAnsi" w:eastAsia="Calibri" w:hAnsiTheme="majorHAnsi" w:cs="Arial"/>
          <w:b/>
        </w:rPr>
        <w:tab/>
      </w:r>
      <w:r w:rsidRPr="00734AB6">
        <w:rPr>
          <w:rFonts w:asciiTheme="majorHAnsi" w:eastAsia="Calibri" w:hAnsiTheme="majorHAnsi" w:cs="Arial"/>
        </w:rPr>
        <w:t>dopamine</w:t>
      </w:r>
    </w:p>
    <w:p w14:paraId="2D0DCFC3"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DAN</w:t>
      </w:r>
      <w:r w:rsidRPr="00734AB6">
        <w:rPr>
          <w:rFonts w:asciiTheme="majorHAnsi" w:eastAsia="Calibri" w:hAnsiTheme="majorHAnsi" w:cs="Arial"/>
          <w:b/>
        </w:rPr>
        <w:tab/>
      </w:r>
      <w:r w:rsidRPr="00734AB6">
        <w:rPr>
          <w:rFonts w:asciiTheme="majorHAnsi" w:hAnsiTheme="majorHAnsi"/>
        </w:rPr>
        <w:t>dorsal attention network</w:t>
      </w:r>
    </w:p>
    <w:p w14:paraId="05E84529"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b/>
        </w:rPr>
        <w:t>DLPFC</w:t>
      </w:r>
      <w:r w:rsidRPr="00734AB6">
        <w:rPr>
          <w:rFonts w:asciiTheme="majorHAnsi" w:eastAsia="Calibri" w:hAnsiTheme="majorHAnsi"/>
          <w:b/>
        </w:rPr>
        <w:tab/>
      </w:r>
      <w:r w:rsidRPr="00734AB6">
        <w:rPr>
          <w:rFonts w:asciiTheme="majorHAnsi" w:eastAsia="Calibri" w:hAnsiTheme="majorHAnsi"/>
        </w:rPr>
        <w:t>dorsolateral prefrontal cortex</w:t>
      </w:r>
    </w:p>
    <w:p w14:paraId="3AB1D6CA"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DMN</w:t>
      </w:r>
      <w:r w:rsidRPr="00734AB6">
        <w:rPr>
          <w:rFonts w:asciiTheme="majorHAnsi" w:eastAsia="Calibri" w:hAnsiTheme="majorHAnsi" w:cs="Arial"/>
          <w:b/>
        </w:rPr>
        <w:tab/>
      </w:r>
      <w:r w:rsidRPr="00734AB6">
        <w:rPr>
          <w:rFonts w:asciiTheme="majorHAnsi" w:eastAsia="Calibri" w:hAnsiTheme="majorHAnsi" w:cs="Arial"/>
        </w:rPr>
        <w:t>default mode network</w:t>
      </w:r>
    </w:p>
    <w:p w14:paraId="5389D341"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hAnsiTheme="majorHAnsi"/>
          <w:b/>
        </w:rPr>
        <w:t>DSM-IV</w:t>
      </w:r>
      <w:r w:rsidRPr="00734AB6">
        <w:rPr>
          <w:rFonts w:asciiTheme="majorHAnsi" w:hAnsiTheme="majorHAnsi"/>
          <w:b/>
        </w:rPr>
        <w:tab/>
      </w:r>
      <w:r w:rsidRPr="00734AB6">
        <w:rPr>
          <w:rFonts w:asciiTheme="majorHAnsi" w:hAnsiTheme="majorHAnsi"/>
        </w:rPr>
        <w:t>Diagnostic and Statistical Manual of Mental Disorders 4</w:t>
      </w:r>
    </w:p>
    <w:p w14:paraId="1558502C" w14:textId="77777777" w:rsidR="004676EF" w:rsidRPr="00734AB6" w:rsidRDefault="004676EF" w:rsidP="0099584D">
      <w:pPr>
        <w:tabs>
          <w:tab w:val="left" w:pos="993"/>
        </w:tabs>
        <w:spacing w:line="360" w:lineRule="auto"/>
        <w:rPr>
          <w:rFonts w:asciiTheme="majorHAnsi" w:eastAsia="Calibri" w:hAnsiTheme="majorHAnsi" w:cs="Calibri"/>
          <w:b/>
        </w:rPr>
      </w:pPr>
      <w:r w:rsidRPr="00734AB6">
        <w:rPr>
          <w:rFonts w:asciiTheme="majorHAnsi" w:eastAsia="Calibri" w:hAnsiTheme="majorHAnsi" w:cs="Calibri"/>
          <w:b/>
        </w:rPr>
        <w:t>EMCDDA</w:t>
      </w:r>
      <w:r w:rsidRPr="00734AB6">
        <w:rPr>
          <w:rFonts w:asciiTheme="majorHAnsi" w:eastAsia="Calibri" w:hAnsiTheme="majorHAnsi" w:cs="Calibri"/>
          <w:b/>
        </w:rPr>
        <w:tab/>
      </w:r>
      <w:r w:rsidRPr="00734AB6">
        <w:rPr>
          <w:rFonts w:asciiTheme="majorHAnsi" w:eastAsia="Calibri" w:hAnsiTheme="majorHAnsi" w:cs="Calibri"/>
        </w:rPr>
        <w:t>European Monitoring Centre for Drugs and Drug Addiction</w:t>
      </w:r>
    </w:p>
    <w:p w14:paraId="78086ABE"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hAnsiTheme="majorHAnsi"/>
          <w:b/>
        </w:rPr>
        <w:t>ERN</w:t>
      </w:r>
      <w:r w:rsidRPr="00734AB6">
        <w:rPr>
          <w:rFonts w:asciiTheme="majorHAnsi" w:hAnsiTheme="majorHAnsi"/>
          <w:b/>
        </w:rPr>
        <w:tab/>
      </w:r>
      <w:r w:rsidRPr="00734AB6">
        <w:rPr>
          <w:rFonts w:asciiTheme="majorHAnsi" w:hAnsiTheme="majorHAnsi"/>
        </w:rPr>
        <w:t>error-related negativity</w:t>
      </w:r>
    </w:p>
    <w:p w14:paraId="75F3F527"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b/>
        </w:rPr>
        <w:t>FEF</w:t>
      </w:r>
      <w:r w:rsidRPr="00734AB6">
        <w:rPr>
          <w:rFonts w:asciiTheme="majorHAnsi" w:eastAsia="Calibri" w:hAnsiTheme="majorHAnsi"/>
          <w:b/>
        </w:rPr>
        <w:tab/>
      </w:r>
      <w:r w:rsidRPr="00734AB6">
        <w:rPr>
          <w:rFonts w:asciiTheme="majorHAnsi" w:eastAsia="Calibri" w:hAnsiTheme="majorHAnsi"/>
        </w:rPr>
        <w:t>frontal eye fields</w:t>
      </w:r>
    </w:p>
    <w:p w14:paraId="2B10DC5E"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FOSQ</w:t>
      </w:r>
      <w:r w:rsidRPr="00734AB6">
        <w:rPr>
          <w:rFonts w:asciiTheme="majorHAnsi" w:eastAsia="Calibri" w:hAnsiTheme="majorHAnsi" w:cs="Arial"/>
          <w:b/>
        </w:rPr>
        <w:tab/>
      </w:r>
      <w:r w:rsidRPr="00734AB6">
        <w:rPr>
          <w:rFonts w:asciiTheme="majorHAnsi" w:hAnsiTheme="majorHAnsi"/>
        </w:rPr>
        <w:t>Functional Outcomes of Sleep Questionnaire</w:t>
      </w:r>
    </w:p>
    <w:p w14:paraId="40E2DE16"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GABA</w:t>
      </w:r>
      <w:r w:rsidRPr="00734AB6">
        <w:rPr>
          <w:rFonts w:asciiTheme="majorHAnsi" w:eastAsia="Calibri" w:hAnsiTheme="majorHAnsi" w:cs="Arial"/>
          <w:b/>
        </w:rPr>
        <w:tab/>
      </w:r>
      <w:r w:rsidRPr="00734AB6">
        <w:rPr>
          <w:rFonts w:asciiTheme="majorHAnsi" w:hAnsiTheme="majorHAnsi" w:cs="Calibri"/>
        </w:rPr>
        <w:t>gamma-aminobutyric acid</w:t>
      </w:r>
    </w:p>
    <w:p w14:paraId="5A6EC6F6"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eastAsia="Calibri" w:hAnsiTheme="majorHAnsi"/>
          <w:b/>
        </w:rPr>
        <w:t>GEC</w:t>
      </w:r>
      <w:r w:rsidRPr="00734AB6">
        <w:rPr>
          <w:rFonts w:asciiTheme="majorHAnsi" w:eastAsia="Calibri" w:hAnsiTheme="majorHAnsi"/>
          <w:b/>
        </w:rPr>
        <w:tab/>
      </w:r>
      <w:r w:rsidRPr="00734AB6">
        <w:rPr>
          <w:rFonts w:asciiTheme="majorHAnsi" w:eastAsia="Calibri" w:hAnsiTheme="majorHAnsi"/>
        </w:rPr>
        <w:t>Global Executive Composite</w:t>
      </w:r>
    </w:p>
    <w:p w14:paraId="66D3A474"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GPS</w:t>
      </w:r>
      <w:r w:rsidRPr="00734AB6">
        <w:rPr>
          <w:rFonts w:asciiTheme="majorHAnsi" w:hAnsiTheme="majorHAnsi"/>
          <w:b/>
        </w:rPr>
        <w:tab/>
      </w:r>
      <w:r w:rsidRPr="00734AB6">
        <w:rPr>
          <w:rFonts w:asciiTheme="majorHAnsi" w:hAnsiTheme="majorHAnsi"/>
        </w:rPr>
        <w:t>General Procrastination Scale</w:t>
      </w:r>
    </w:p>
    <w:p w14:paraId="6058F538"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lastRenderedPageBreak/>
        <w:t>HAM-A</w:t>
      </w:r>
      <w:r w:rsidRPr="00734AB6">
        <w:rPr>
          <w:rFonts w:asciiTheme="majorHAnsi" w:hAnsiTheme="majorHAnsi"/>
          <w:b/>
        </w:rPr>
        <w:tab/>
      </w:r>
      <w:r w:rsidRPr="00734AB6">
        <w:rPr>
          <w:rFonts w:asciiTheme="majorHAnsi" w:hAnsiTheme="majorHAnsi"/>
        </w:rPr>
        <w:t>Hamilton Rating Scale for Anxiety</w:t>
      </w:r>
    </w:p>
    <w:p w14:paraId="4FC44194"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HAM-D</w:t>
      </w:r>
      <w:r w:rsidRPr="00734AB6">
        <w:rPr>
          <w:rFonts w:asciiTheme="majorHAnsi" w:hAnsiTheme="majorHAnsi"/>
        </w:rPr>
        <w:t xml:space="preserve"> </w:t>
      </w:r>
      <w:r w:rsidRPr="00734AB6">
        <w:rPr>
          <w:rFonts w:asciiTheme="majorHAnsi" w:hAnsiTheme="majorHAnsi"/>
        </w:rPr>
        <w:tab/>
        <w:t xml:space="preserve">Hamilton Rating Scale for Depression </w:t>
      </w:r>
    </w:p>
    <w:p w14:paraId="3714BB9C" w14:textId="77777777" w:rsidR="004676EF" w:rsidRPr="00734AB6" w:rsidRDefault="004676EF" w:rsidP="0099584D">
      <w:pPr>
        <w:tabs>
          <w:tab w:val="left" w:pos="993"/>
        </w:tabs>
        <w:spacing w:line="360" w:lineRule="auto"/>
        <w:rPr>
          <w:rFonts w:asciiTheme="majorHAnsi" w:eastAsia="Calibri" w:hAnsiTheme="majorHAnsi"/>
          <w:b/>
        </w:rPr>
      </w:pPr>
      <w:proofErr w:type="spellStart"/>
      <w:r w:rsidRPr="00734AB6">
        <w:rPr>
          <w:rFonts w:asciiTheme="majorHAnsi" w:eastAsia="Calibri" w:hAnsiTheme="majorHAnsi"/>
          <w:b/>
        </w:rPr>
        <w:t>i.p.</w:t>
      </w:r>
      <w:proofErr w:type="spellEnd"/>
      <w:r w:rsidRPr="00734AB6">
        <w:rPr>
          <w:rFonts w:asciiTheme="majorHAnsi" w:eastAsia="Calibri" w:hAnsiTheme="majorHAnsi"/>
          <w:b/>
        </w:rPr>
        <w:tab/>
      </w:r>
      <w:r w:rsidRPr="00734AB6">
        <w:rPr>
          <w:rFonts w:asciiTheme="majorHAnsi" w:hAnsiTheme="majorHAnsi" w:cs="Calibri"/>
        </w:rPr>
        <w:t>intraperitoneal</w:t>
      </w:r>
    </w:p>
    <w:p w14:paraId="436F0CC2" w14:textId="71D6AC22" w:rsidR="00BD6B1A" w:rsidRPr="00734AB6" w:rsidRDefault="0010015C" w:rsidP="0099584D">
      <w:pPr>
        <w:tabs>
          <w:tab w:val="left" w:pos="993"/>
        </w:tabs>
        <w:spacing w:line="360" w:lineRule="auto"/>
        <w:rPr>
          <w:rFonts w:asciiTheme="majorHAnsi" w:eastAsia="Calibri" w:hAnsiTheme="majorHAnsi"/>
        </w:rPr>
      </w:pPr>
      <w:r w:rsidRPr="00734AB6">
        <w:rPr>
          <w:rFonts w:asciiTheme="majorHAnsi" w:eastAsia="Calibri" w:hAnsiTheme="majorHAnsi"/>
          <w:b/>
        </w:rPr>
        <w:t>LPFC</w:t>
      </w:r>
      <w:r w:rsidRPr="00734AB6">
        <w:rPr>
          <w:rFonts w:asciiTheme="majorHAnsi" w:eastAsia="Calibri" w:hAnsiTheme="majorHAnsi"/>
          <w:b/>
        </w:rPr>
        <w:tab/>
      </w:r>
      <w:r w:rsidRPr="00734AB6">
        <w:rPr>
          <w:rFonts w:asciiTheme="majorHAnsi" w:eastAsia="Calibri" w:hAnsiTheme="majorHAnsi"/>
        </w:rPr>
        <w:t>Lateral prefrontal cortex</w:t>
      </w:r>
    </w:p>
    <w:p w14:paraId="316E1847"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b/>
        </w:rPr>
        <w:t>MI</w:t>
      </w:r>
      <w:r w:rsidRPr="00734AB6">
        <w:rPr>
          <w:rFonts w:asciiTheme="majorHAnsi" w:eastAsia="Calibri" w:hAnsiTheme="majorHAnsi"/>
          <w:b/>
        </w:rPr>
        <w:tab/>
      </w:r>
      <w:r w:rsidRPr="00734AB6">
        <w:rPr>
          <w:rFonts w:asciiTheme="majorHAnsi" w:eastAsia="Calibri" w:hAnsiTheme="majorHAnsi"/>
        </w:rPr>
        <w:t>Metacognition Index</w:t>
      </w:r>
    </w:p>
    <w:p w14:paraId="67A63601"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Ms</w:t>
      </w:r>
      <w:r w:rsidRPr="00734AB6">
        <w:rPr>
          <w:rFonts w:asciiTheme="majorHAnsi" w:eastAsia="Calibri" w:hAnsiTheme="majorHAnsi" w:cs="Arial"/>
          <w:b/>
        </w:rPr>
        <w:tab/>
      </w:r>
      <w:r w:rsidRPr="00734AB6">
        <w:rPr>
          <w:rFonts w:asciiTheme="majorHAnsi" w:eastAsia="Calibri" w:hAnsiTheme="majorHAnsi" w:cs="Calibri"/>
        </w:rPr>
        <w:t>milliseconds</w:t>
      </w:r>
    </w:p>
    <w:p w14:paraId="6E72B8E0"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NE</w:t>
      </w:r>
      <w:r w:rsidRPr="00734AB6">
        <w:rPr>
          <w:rFonts w:asciiTheme="majorHAnsi" w:eastAsia="Calibri" w:hAnsiTheme="majorHAnsi" w:cs="Arial"/>
          <w:b/>
        </w:rPr>
        <w:tab/>
      </w:r>
      <w:r w:rsidRPr="00734AB6">
        <w:rPr>
          <w:rFonts w:asciiTheme="majorHAnsi" w:eastAsia="Calibri" w:hAnsiTheme="majorHAnsi" w:cs="Arial"/>
        </w:rPr>
        <w:t>noradrenaline</w:t>
      </w:r>
    </w:p>
    <w:p w14:paraId="011FEE8B" w14:textId="690F9E12" w:rsidR="00CA6A60" w:rsidRPr="00734AB6" w:rsidRDefault="00CA6A60" w:rsidP="0099584D">
      <w:pPr>
        <w:tabs>
          <w:tab w:val="left" w:pos="993"/>
        </w:tabs>
        <w:spacing w:line="360" w:lineRule="auto"/>
        <w:rPr>
          <w:rFonts w:asciiTheme="majorHAnsi" w:eastAsia="Calibri" w:hAnsiTheme="majorHAnsi" w:cs="Calibri"/>
        </w:rPr>
      </w:pPr>
      <w:r w:rsidRPr="00734AB6">
        <w:rPr>
          <w:rFonts w:asciiTheme="majorHAnsi" w:eastAsia="Calibri" w:hAnsiTheme="majorHAnsi" w:cs="Calibri"/>
          <w:b/>
        </w:rPr>
        <w:t>NICE</w:t>
      </w:r>
      <w:r w:rsidRPr="00734AB6">
        <w:rPr>
          <w:rFonts w:asciiTheme="majorHAnsi" w:eastAsia="Calibri" w:hAnsiTheme="majorHAnsi" w:cs="Calibri"/>
          <w:b/>
        </w:rPr>
        <w:tab/>
      </w:r>
      <w:r w:rsidRPr="00734AB6">
        <w:rPr>
          <w:rFonts w:asciiTheme="majorHAnsi" w:eastAsia="Calibri" w:hAnsiTheme="majorHAnsi" w:cs="Calibri"/>
        </w:rPr>
        <w:t>The National Institute for Health and Care Excellence</w:t>
      </w:r>
    </w:p>
    <w:p w14:paraId="422B5486"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Calibri"/>
          <w:b/>
        </w:rPr>
        <w:t>NIDA</w:t>
      </w:r>
      <w:r w:rsidRPr="00734AB6">
        <w:rPr>
          <w:rFonts w:asciiTheme="majorHAnsi" w:eastAsia="Calibri" w:hAnsiTheme="majorHAnsi" w:cs="Calibri"/>
          <w:b/>
        </w:rPr>
        <w:tab/>
      </w:r>
      <w:r w:rsidRPr="00734AB6">
        <w:rPr>
          <w:rFonts w:asciiTheme="majorHAnsi" w:eastAsia="Calibri" w:hAnsiTheme="majorHAnsi" w:cs="Calibri"/>
        </w:rPr>
        <w:t>National Institute of Drug Abuse</w:t>
      </w:r>
    </w:p>
    <w:p w14:paraId="135668EE"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PET</w:t>
      </w:r>
      <w:r w:rsidRPr="00734AB6">
        <w:rPr>
          <w:rFonts w:asciiTheme="majorHAnsi" w:eastAsia="Calibri" w:hAnsiTheme="majorHAnsi" w:cs="Arial"/>
          <w:b/>
        </w:rPr>
        <w:tab/>
      </w:r>
      <w:r w:rsidRPr="00734AB6">
        <w:rPr>
          <w:rFonts w:asciiTheme="majorHAnsi" w:hAnsiTheme="majorHAnsi" w:cs="Calibri"/>
        </w:rPr>
        <w:t>positron emission tomography</w:t>
      </w:r>
    </w:p>
    <w:p w14:paraId="539680EC" w14:textId="1B796DC9" w:rsidR="0010015C" w:rsidRPr="00734AB6" w:rsidRDefault="0010015C" w:rsidP="0099584D">
      <w:pPr>
        <w:tabs>
          <w:tab w:val="left" w:pos="993"/>
        </w:tabs>
        <w:spacing w:line="360" w:lineRule="auto"/>
        <w:rPr>
          <w:rFonts w:asciiTheme="majorHAnsi" w:hAnsiTheme="majorHAnsi"/>
        </w:rPr>
      </w:pPr>
      <w:r w:rsidRPr="00734AB6">
        <w:rPr>
          <w:rFonts w:asciiTheme="majorHAnsi" w:hAnsiTheme="majorHAnsi"/>
          <w:b/>
        </w:rPr>
        <w:t>PFC</w:t>
      </w:r>
      <w:r w:rsidRPr="00734AB6">
        <w:rPr>
          <w:rFonts w:asciiTheme="majorHAnsi" w:hAnsiTheme="majorHAnsi"/>
          <w:b/>
        </w:rPr>
        <w:tab/>
      </w:r>
      <w:r w:rsidRPr="00734AB6">
        <w:rPr>
          <w:rFonts w:asciiTheme="majorHAnsi" w:hAnsiTheme="majorHAnsi"/>
        </w:rPr>
        <w:t>prefrontal cortex</w:t>
      </w:r>
    </w:p>
    <w:p w14:paraId="75043A8A" w14:textId="77777777" w:rsidR="004676EF" w:rsidRPr="00734AB6" w:rsidRDefault="004676EF" w:rsidP="0099584D">
      <w:pPr>
        <w:tabs>
          <w:tab w:val="left" w:pos="993"/>
        </w:tabs>
        <w:spacing w:line="360" w:lineRule="auto"/>
        <w:rPr>
          <w:rFonts w:asciiTheme="majorHAnsi" w:hAnsiTheme="majorHAnsi"/>
          <w:b/>
        </w:rPr>
      </w:pPr>
      <w:r w:rsidRPr="00734AB6">
        <w:rPr>
          <w:rFonts w:asciiTheme="majorHAnsi" w:hAnsiTheme="majorHAnsi"/>
          <w:b/>
        </w:rPr>
        <w:t>p.o.</w:t>
      </w:r>
      <w:r w:rsidRPr="00734AB6">
        <w:rPr>
          <w:rFonts w:asciiTheme="majorHAnsi" w:hAnsiTheme="majorHAnsi"/>
          <w:b/>
        </w:rPr>
        <w:tab/>
      </w:r>
      <w:r w:rsidRPr="00734AB6">
        <w:rPr>
          <w:rFonts w:asciiTheme="majorHAnsi" w:hAnsiTheme="majorHAnsi" w:cs="Calibri"/>
        </w:rPr>
        <w:t>orally administered</w:t>
      </w:r>
    </w:p>
    <w:p w14:paraId="3E46B64C"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hAnsiTheme="majorHAnsi"/>
          <w:b/>
        </w:rPr>
        <w:t>POMS</w:t>
      </w:r>
      <w:r w:rsidRPr="00734AB6">
        <w:rPr>
          <w:rFonts w:asciiTheme="majorHAnsi" w:hAnsiTheme="majorHAnsi"/>
        </w:rPr>
        <w:t xml:space="preserve"> </w:t>
      </w:r>
      <w:r w:rsidRPr="00734AB6">
        <w:rPr>
          <w:rFonts w:asciiTheme="majorHAnsi" w:hAnsiTheme="majorHAnsi"/>
        </w:rPr>
        <w:tab/>
        <w:t xml:space="preserve">Profile of Mood States </w:t>
      </w:r>
    </w:p>
    <w:p w14:paraId="39CC4652"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hAnsiTheme="majorHAnsi" w:cs="Calibri"/>
          <w:b/>
        </w:rPr>
        <w:t>PR</w:t>
      </w:r>
      <w:r w:rsidRPr="00734AB6">
        <w:rPr>
          <w:rFonts w:asciiTheme="majorHAnsi" w:hAnsiTheme="majorHAnsi" w:cs="Calibri"/>
          <w:b/>
        </w:rPr>
        <w:tab/>
      </w:r>
      <w:r w:rsidRPr="00734AB6">
        <w:rPr>
          <w:rFonts w:asciiTheme="majorHAnsi" w:hAnsiTheme="majorHAnsi" w:cs="Calibri"/>
        </w:rPr>
        <w:t>progressive ratio</w:t>
      </w:r>
    </w:p>
    <w:p w14:paraId="6CB280EB"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Calibri"/>
          <w:b/>
        </w:rPr>
        <w:t>PRMQ</w:t>
      </w:r>
      <w:r w:rsidRPr="00734AB6">
        <w:rPr>
          <w:rFonts w:asciiTheme="majorHAnsi" w:eastAsia="Calibri" w:hAnsiTheme="majorHAnsi" w:cs="Calibri"/>
          <w:b/>
        </w:rPr>
        <w:tab/>
      </w:r>
      <w:r w:rsidRPr="00734AB6">
        <w:rPr>
          <w:rFonts w:asciiTheme="majorHAnsi" w:eastAsia="Calibri" w:hAnsiTheme="majorHAnsi" w:cs="Calibri"/>
        </w:rPr>
        <w:t>Prospective and Retrospective Memory Questionnaire</w:t>
      </w:r>
    </w:p>
    <w:p w14:paraId="17089C01"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RPS</w:t>
      </w:r>
      <w:r w:rsidRPr="00734AB6">
        <w:rPr>
          <w:rFonts w:asciiTheme="majorHAnsi" w:eastAsia="Calibri" w:hAnsiTheme="majorHAnsi" w:cs="Arial"/>
          <w:b/>
        </w:rPr>
        <w:tab/>
      </w:r>
      <w:r w:rsidRPr="00734AB6">
        <w:rPr>
          <w:rFonts w:asciiTheme="majorHAnsi" w:eastAsia="Calibri" w:hAnsiTheme="majorHAnsi" w:cs="Arial"/>
        </w:rPr>
        <w:t>Research Participation Scheme</w:t>
      </w:r>
    </w:p>
    <w:p w14:paraId="405583BE" w14:textId="77777777" w:rsidR="004676EF" w:rsidRPr="00734AB6" w:rsidRDefault="004676EF"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SART</w:t>
      </w:r>
      <w:r w:rsidRPr="00734AB6">
        <w:rPr>
          <w:rFonts w:asciiTheme="majorHAnsi" w:eastAsia="Calibri" w:hAnsiTheme="majorHAnsi" w:cs="Arial"/>
          <w:b/>
        </w:rPr>
        <w:tab/>
      </w:r>
      <w:r w:rsidRPr="00734AB6">
        <w:rPr>
          <w:rFonts w:asciiTheme="majorHAnsi" w:eastAsia="Calibri" w:hAnsiTheme="majorHAnsi" w:cs="Arial"/>
        </w:rPr>
        <w:t>Sustained Attention to Response Task</w:t>
      </w:r>
    </w:p>
    <w:p w14:paraId="2BABDE66"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SFHS</w:t>
      </w:r>
      <w:r w:rsidRPr="00734AB6">
        <w:rPr>
          <w:rFonts w:asciiTheme="majorHAnsi" w:eastAsia="Calibri" w:hAnsiTheme="majorHAnsi" w:cs="Arial"/>
          <w:b/>
        </w:rPr>
        <w:tab/>
      </w:r>
      <w:r w:rsidRPr="00734AB6">
        <w:rPr>
          <w:rFonts w:asciiTheme="majorHAnsi" w:hAnsiTheme="majorHAnsi"/>
        </w:rPr>
        <w:t>Short Form Health Survey</w:t>
      </w:r>
    </w:p>
    <w:p w14:paraId="7B7FC8BE"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SN</w:t>
      </w:r>
      <w:r w:rsidRPr="00734AB6">
        <w:rPr>
          <w:rFonts w:asciiTheme="majorHAnsi" w:eastAsia="Calibri" w:hAnsiTheme="majorHAnsi" w:cs="Arial"/>
          <w:b/>
        </w:rPr>
        <w:tab/>
      </w:r>
      <w:r w:rsidRPr="00734AB6">
        <w:rPr>
          <w:rFonts w:asciiTheme="majorHAnsi" w:hAnsiTheme="majorHAnsi"/>
        </w:rPr>
        <w:t>saliency network</w:t>
      </w:r>
    </w:p>
    <w:p w14:paraId="43636724" w14:textId="552A848D" w:rsidR="0010015C" w:rsidRPr="00734AB6" w:rsidRDefault="0010015C" w:rsidP="0099584D">
      <w:pPr>
        <w:tabs>
          <w:tab w:val="left" w:pos="993"/>
        </w:tabs>
        <w:spacing w:line="360" w:lineRule="auto"/>
        <w:rPr>
          <w:rFonts w:asciiTheme="majorHAnsi" w:eastAsia="Calibri" w:hAnsiTheme="majorHAnsi" w:cs="Arial"/>
        </w:rPr>
      </w:pPr>
      <w:r w:rsidRPr="00734AB6">
        <w:rPr>
          <w:rFonts w:asciiTheme="majorHAnsi" w:eastAsia="Calibri" w:hAnsiTheme="majorHAnsi" w:cs="Arial"/>
          <w:b/>
        </w:rPr>
        <w:t>TMT</w:t>
      </w:r>
      <w:r w:rsidRPr="00734AB6">
        <w:rPr>
          <w:rFonts w:asciiTheme="majorHAnsi" w:eastAsia="Calibri" w:hAnsiTheme="majorHAnsi" w:cs="Arial"/>
        </w:rPr>
        <w:tab/>
        <w:t>Temporal Motivation Theory</w:t>
      </w:r>
    </w:p>
    <w:p w14:paraId="23C885E5" w14:textId="77777777" w:rsidR="004676EF" w:rsidRPr="00734AB6" w:rsidRDefault="004676EF" w:rsidP="0099584D">
      <w:pPr>
        <w:tabs>
          <w:tab w:val="left" w:pos="993"/>
        </w:tabs>
        <w:spacing w:line="360" w:lineRule="auto"/>
        <w:rPr>
          <w:rFonts w:asciiTheme="majorHAnsi" w:eastAsia="Calibri" w:hAnsiTheme="majorHAnsi" w:cs="Arial"/>
          <w:b/>
        </w:rPr>
      </w:pPr>
      <w:r w:rsidRPr="00734AB6">
        <w:rPr>
          <w:rFonts w:asciiTheme="majorHAnsi" w:eastAsia="Calibri" w:hAnsiTheme="majorHAnsi" w:cs="Arial"/>
          <w:b/>
        </w:rPr>
        <w:t>TOVA</w:t>
      </w:r>
      <w:r w:rsidRPr="00734AB6">
        <w:rPr>
          <w:rFonts w:asciiTheme="majorHAnsi" w:eastAsia="Calibri" w:hAnsiTheme="majorHAnsi" w:cs="Arial"/>
          <w:b/>
        </w:rPr>
        <w:tab/>
      </w:r>
      <w:r w:rsidRPr="00734AB6">
        <w:rPr>
          <w:rFonts w:asciiTheme="majorHAnsi" w:hAnsiTheme="majorHAnsi" w:cs="Calibri"/>
        </w:rPr>
        <w:t>Test of Variables of Attention</w:t>
      </w:r>
    </w:p>
    <w:p w14:paraId="172FFA53" w14:textId="54F25071" w:rsidR="00CA6A60" w:rsidRPr="00734AB6" w:rsidRDefault="00CA6A60" w:rsidP="0099584D">
      <w:pPr>
        <w:tabs>
          <w:tab w:val="left" w:pos="993"/>
        </w:tabs>
        <w:spacing w:line="360" w:lineRule="auto"/>
        <w:rPr>
          <w:rFonts w:asciiTheme="majorHAnsi" w:eastAsia="Calibri" w:hAnsiTheme="majorHAnsi" w:cs="Calibri"/>
        </w:rPr>
      </w:pPr>
      <w:r w:rsidRPr="00734AB6">
        <w:rPr>
          <w:rFonts w:asciiTheme="majorHAnsi" w:eastAsia="Calibri" w:hAnsiTheme="majorHAnsi" w:cs="Calibri"/>
          <w:b/>
        </w:rPr>
        <w:t>UK</w:t>
      </w:r>
      <w:r w:rsidRPr="00734AB6">
        <w:rPr>
          <w:rFonts w:asciiTheme="majorHAnsi" w:eastAsia="Calibri" w:hAnsiTheme="majorHAnsi" w:cs="Calibri"/>
          <w:b/>
        </w:rPr>
        <w:tab/>
      </w:r>
      <w:r w:rsidRPr="00734AB6">
        <w:rPr>
          <w:rFonts w:asciiTheme="majorHAnsi" w:eastAsia="Calibri" w:hAnsiTheme="majorHAnsi" w:cs="Calibri"/>
        </w:rPr>
        <w:t>United Kingdom</w:t>
      </w:r>
    </w:p>
    <w:p w14:paraId="5EC56FBE" w14:textId="77777777" w:rsidR="004676EF" w:rsidRPr="00734AB6" w:rsidRDefault="004676EF" w:rsidP="0099584D">
      <w:pPr>
        <w:tabs>
          <w:tab w:val="left" w:pos="993"/>
        </w:tabs>
        <w:spacing w:line="360" w:lineRule="auto"/>
        <w:rPr>
          <w:rFonts w:asciiTheme="majorHAnsi" w:eastAsia="Calibri" w:hAnsiTheme="majorHAnsi" w:cs="Calibri"/>
          <w:b/>
        </w:rPr>
      </w:pPr>
      <w:r w:rsidRPr="00734AB6">
        <w:rPr>
          <w:rFonts w:asciiTheme="majorHAnsi" w:eastAsia="Calibri" w:hAnsiTheme="majorHAnsi" w:cs="Calibri"/>
          <w:b/>
        </w:rPr>
        <w:t>VAN</w:t>
      </w:r>
      <w:r w:rsidRPr="00734AB6">
        <w:rPr>
          <w:rFonts w:asciiTheme="majorHAnsi" w:eastAsia="Calibri" w:hAnsiTheme="majorHAnsi" w:cs="Calibri"/>
          <w:b/>
        </w:rPr>
        <w:tab/>
      </w:r>
      <w:r w:rsidRPr="00734AB6">
        <w:rPr>
          <w:rFonts w:asciiTheme="majorHAnsi" w:hAnsiTheme="majorHAnsi"/>
        </w:rPr>
        <w:t>ventral attention network</w:t>
      </w:r>
    </w:p>
    <w:p w14:paraId="575CA5C9" w14:textId="77777777" w:rsidR="004676EF" w:rsidRPr="00734AB6" w:rsidRDefault="004676EF" w:rsidP="0099584D">
      <w:pPr>
        <w:tabs>
          <w:tab w:val="left" w:pos="993"/>
        </w:tabs>
        <w:spacing w:line="360" w:lineRule="auto"/>
        <w:rPr>
          <w:rFonts w:asciiTheme="majorHAnsi" w:hAnsiTheme="majorHAnsi"/>
        </w:rPr>
      </w:pPr>
      <w:r w:rsidRPr="00734AB6">
        <w:rPr>
          <w:rFonts w:asciiTheme="majorHAnsi" w:eastAsia="Calibri" w:hAnsiTheme="majorHAnsi" w:cs="Calibri"/>
          <w:b/>
        </w:rPr>
        <w:t>VLPFC</w:t>
      </w:r>
      <w:r w:rsidRPr="00734AB6">
        <w:rPr>
          <w:rFonts w:asciiTheme="majorHAnsi" w:eastAsia="Calibri" w:hAnsiTheme="majorHAnsi" w:cs="Calibri"/>
          <w:b/>
        </w:rPr>
        <w:tab/>
      </w:r>
      <w:r w:rsidRPr="00734AB6">
        <w:rPr>
          <w:rFonts w:asciiTheme="majorHAnsi" w:hAnsiTheme="majorHAnsi"/>
        </w:rPr>
        <w:t>ventrolateral prefrontal control</w:t>
      </w:r>
    </w:p>
    <w:p w14:paraId="5B2BF55B" w14:textId="532895C1" w:rsidR="0010015C" w:rsidRPr="00734AB6" w:rsidRDefault="0010015C" w:rsidP="0099584D">
      <w:pPr>
        <w:tabs>
          <w:tab w:val="left" w:pos="993"/>
        </w:tabs>
        <w:spacing w:line="360" w:lineRule="auto"/>
        <w:rPr>
          <w:rFonts w:asciiTheme="majorHAnsi" w:eastAsia="Calibri" w:hAnsiTheme="majorHAnsi" w:cs="Calibri"/>
        </w:rPr>
      </w:pPr>
      <w:r w:rsidRPr="00734AB6">
        <w:rPr>
          <w:rFonts w:asciiTheme="majorHAnsi" w:eastAsia="Calibri" w:hAnsiTheme="majorHAnsi" w:cs="Calibri"/>
          <w:b/>
        </w:rPr>
        <w:t>VMPFC</w:t>
      </w:r>
      <w:r w:rsidRPr="00734AB6">
        <w:rPr>
          <w:rFonts w:asciiTheme="majorHAnsi" w:eastAsia="Calibri" w:hAnsiTheme="majorHAnsi" w:cs="Calibri"/>
          <w:b/>
        </w:rPr>
        <w:tab/>
      </w:r>
      <w:r w:rsidRPr="00734AB6">
        <w:rPr>
          <w:rFonts w:asciiTheme="majorHAnsi" w:eastAsia="Calibri" w:hAnsiTheme="majorHAnsi" w:cs="Calibri"/>
        </w:rPr>
        <w:t>ventromedial prefrontal cortex</w:t>
      </w:r>
    </w:p>
    <w:p w14:paraId="42ADD6E0" w14:textId="0CEE1B7A" w:rsidR="004676EF" w:rsidRPr="00354CEF" w:rsidRDefault="004676EF" w:rsidP="00354CEF">
      <w:pPr>
        <w:tabs>
          <w:tab w:val="left" w:pos="993"/>
        </w:tabs>
        <w:spacing w:line="360" w:lineRule="auto"/>
        <w:rPr>
          <w:rFonts w:asciiTheme="majorHAnsi" w:hAnsiTheme="majorHAnsi" w:cs="Calibri"/>
        </w:rPr>
      </w:pPr>
      <w:r w:rsidRPr="00734AB6">
        <w:rPr>
          <w:rFonts w:asciiTheme="majorHAnsi" w:eastAsia="Calibri" w:hAnsiTheme="majorHAnsi" w:cs="Calibri"/>
          <w:b/>
        </w:rPr>
        <w:t>WHO</w:t>
      </w:r>
      <w:r w:rsidRPr="00734AB6">
        <w:rPr>
          <w:rFonts w:asciiTheme="majorHAnsi" w:eastAsia="Calibri" w:hAnsiTheme="majorHAnsi" w:cs="Calibri"/>
          <w:b/>
        </w:rPr>
        <w:tab/>
      </w:r>
      <w:r w:rsidRPr="00734AB6">
        <w:rPr>
          <w:rFonts w:asciiTheme="majorHAnsi" w:eastAsia="Calibri" w:hAnsiTheme="majorHAnsi" w:cs="Calibri"/>
        </w:rPr>
        <w:t>World Health Organisation</w:t>
      </w:r>
    </w:p>
    <w:sectPr w:rsidR="004676EF" w:rsidRPr="00354CEF" w:rsidSect="00AD0909">
      <w:footerReference w:type="default" r:id="rId96"/>
      <w:pgSz w:w="11906" w:h="16838"/>
      <w:pgMar w:top="851" w:right="991" w:bottom="85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52D81" w14:textId="77777777" w:rsidR="00A37CD8" w:rsidRDefault="00A37CD8" w:rsidP="008A1957">
      <w:pPr>
        <w:spacing w:after="0" w:line="240" w:lineRule="auto"/>
      </w:pPr>
      <w:r>
        <w:separator/>
      </w:r>
    </w:p>
  </w:endnote>
  <w:endnote w:type="continuationSeparator" w:id="0">
    <w:p w14:paraId="43D746F3" w14:textId="77777777" w:rsidR="00A37CD8" w:rsidRDefault="00A37CD8" w:rsidP="008A1957">
      <w:pPr>
        <w:spacing w:after="0" w:line="240" w:lineRule="auto"/>
      </w:pPr>
      <w:r>
        <w:continuationSeparator/>
      </w:r>
    </w:p>
  </w:endnote>
  <w:endnote w:type="continuationNotice" w:id="1">
    <w:p w14:paraId="366D1579" w14:textId="77777777" w:rsidR="00A37CD8" w:rsidRDefault="00A37C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158949"/>
      <w:docPartObj>
        <w:docPartGallery w:val="Page Numbers (Bottom of Page)"/>
        <w:docPartUnique/>
      </w:docPartObj>
    </w:sdtPr>
    <w:sdtEndPr>
      <w:rPr>
        <w:noProof/>
      </w:rPr>
    </w:sdtEndPr>
    <w:sdtContent>
      <w:p w14:paraId="7B60611A" w14:textId="25CF3F73" w:rsidR="00754FB3" w:rsidRDefault="00754FB3">
        <w:pPr>
          <w:pStyle w:val="Footer"/>
          <w:jc w:val="right"/>
        </w:pPr>
        <w:r>
          <w:fldChar w:fldCharType="begin"/>
        </w:r>
        <w:r>
          <w:instrText xml:space="preserve"> PAGE   \* MERGEFORMAT </w:instrText>
        </w:r>
        <w:r>
          <w:fldChar w:fldCharType="separate"/>
        </w:r>
        <w:r>
          <w:rPr>
            <w:noProof/>
          </w:rPr>
          <w:t>148</w:t>
        </w:r>
        <w:r>
          <w:rPr>
            <w:noProof/>
          </w:rPr>
          <w:fldChar w:fldCharType="end"/>
        </w:r>
      </w:p>
    </w:sdtContent>
  </w:sdt>
  <w:p w14:paraId="66843B89" w14:textId="77777777" w:rsidR="00754FB3" w:rsidRDefault="00754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D4587" w14:textId="77777777" w:rsidR="00A37CD8" w:rsidRDefault="00A37CD8" w:rsidP="008A1957">
      <w:pPr>
        <w:spacing w:after="0" w:line="240" w:lineRule="auto"/>
      </w:pPr>
      <w:r>
        <w:separator/>
      </w:r>
    </w:p>
  </w:footnote>
  <w:footnote w:type="continuationSeparator" w:id="0">
    <w:p w14:paraId="5C021352" w14:textId="77777777" w:rsidR="00A37CD8" w:rsidRDefault="00A37CD8" w:rsidP="008A1957">
      <w:pPr>
        <w:spacing w:after="0" w:line="240" w:lineRule="auto"/>
      </w:pPr>
      <w:r>
        <w:continuationSeparator/>
      </w:r>
    </w:p>
  </w:footnote>
  <w:footnote w:type="continuationNotice" w:id="1">
    <w:p w14:paraId="25D21E1B" w14:textId="77777777" w:rsidR="00A37CD8" w:rsidRDefault="00A37CD8">
      <w:pPr>
        <w:spacing w:after="0" w:line="240" w:lineRule="auto"/>
      </w:pPr>
    </w:p>
  </w:footnote>
  <w:footnote w:id="2">
    <w:p w14:paraId="0CF6A7BA" w14:textId="77777777" w:rsidR="00754FB3" w:rsidRDefault="00754FB3" w:rsidP="009C7702">
      <w:pPr>
        <w:pStyle w:val="FootnoteText"/>
      </w:pPr>
      <w:r>
        <w:rPr>
          <w:rStyle w:val="FootnoteReference"/>
        </w:rPr>
        <w:footnoteRef/>
      </w:r>
      <w:r>
        <w:t xml:space="preserve"> </w:t>
      </w:r>
      <w:r w:rsidRPr="00DA1C14">
        <w:rPr>
          <w:rFonts w:asciiTheme="majorHAnsi" w:eastAsia="Calibri" w:hAnsiTheme="majorHAnsi" w:cs="Calibri"/>
          <w:b/>
          <w:lang w:eastAsia="en-US"/>
        </w:rPr>
        <w:t xml:space="preserve">Normative data </w:t>
      </w:r>
      <w:r>
        <w:rPr>
          <w:rFonts w:asciiTheme="majorHAnsi" w:eastAsia="Calibri" w:hAnsiTheme="majorHAnsi" w:cs="Calibri"/>
          <w:b/>
          <w:lang w:eastAsia="en-US"/>
        </w:rPr>
        <w:t>was drawn from</w:t>
      </w:r>
      <w:r w:rsidRPr="00DA1C14">
        <w:rPr>
          <w:rFonts w:asciiTheme="majorHAnsi" w:eastAsia="Calibri" w:hAnsiTheme="majorHAnsi" w:cs="Calibri"/>
          <w:b/>
          <w:lang w:eastAsia="en-US"/>
        </w:rPr>
        <w:t xml:space="preserve"> Crawford et al.</w:t>
      </w:r>
      <w:r>
        <w:rPr>
          <w:rFonts w:asciiTheme="majorHAnsi" w:eastAsia="Calibri" w:hAnsiTheme="majorHAnsi" w:cs="Calibri"/>
          <w:b/>
          <w:lang w:eastAsia="en-US"/>
        </w:rPr>
        <w:t>’s</w:t>
      </w:r>
      <w:r w:rsidRPr="00DA1C14">
        <w:rPr>
          <w:rFonts w:asciiTheme="majorHAnsi" w:eastAsia="Calibri" w:hAnsiTheme="majorHAnsi" w:cs="Calibri"/>
          <w:b/>
          <w:lang w:eastAsia="en-US"/>
        </w:rPr>
        <w:t xml:space="preserve"> (2003)</w:t>
      </w:r>
      <w:r>
        <w:rPr>
          <w:rFonts w:asciiTheme="majorHAnsi" w:eastAsia="Calibri" w:hAnsiTheme="majorHAnsi" w:cs="Calibri"/>
          <w:b/>
          <w:lang w:eastAsia="en-US"/>
        </w:rPr>
        <w:t xml:space="preserve"> study which specifically focused on providing normative data for the PRMQ.</w:t>
      </w:r>
    </w:p>
  </w:footnote>
  <w:footnote w:id="3">
    <w:p w14:paraId="7D0DE085" w14:textId="77777777" w:rsidR="00754FB3" w:rsidRDefault="00754FB3" w:rsidP="00772E06">
      <w:pPr>
        <w:pStyle w:val="FootnoteText"/>
      </w:pPr>
      <w:r>
        <w:rPr>
          <w:rStyle w:val="FootnoteReference"/>
        </w:rPr>
        <w:footnoteRef/>
      </w:r>
      <w:r>
        <w:t xml:space="preserve"> A question relating to frequency of use of modafinil and methylphenidate was intended to be included but due to a technical error in </w:t>
      </w:r>
      <w:proofErr w:type="spellStart"/>
      <w:r>
        <w:t>Qualtrics</w:t>
      </w:r>
      <w:r>
        <w:rPr>
          <w:vertAlign w:val="superscript"/>
        </w:rPr>
        <w:t>XM</w:t>
      </w:r>
      <w:proofErr w:type="spellEnd"/>
      <w:r>
        <w:t xml:space="preserve">, these data were only collected for the modafinil user group and therefore are not reported here. </w:t>
      </w:r>
    </w:p>
  </w:footnote>
  <w:footnote w:id="4">
    <w:p w14:paraId="64BE1964" w14:textId="77777777" w:rsidR="00754FB3" w:rsidRDefault="00754FB3" w:rsidP="00650528">
      <w:pPr>
        <w:pStyle w:val="FootnoteText"/>
      </w:pPr>
      <w:r>
        <w:rPr>
          <w:rStyle w:val="FootnoteReference"/>
        </w:rPr>
        <w:footnoteRef/>
      </w:r>
      <w:r>
        <w:t xml:space="preserve"> The Sustained Attention to Response task (SART) was also included in the study but due to a technical error the relevant data were not collected. Therefore, details of this task have been removed from the write-up of this study. Please see Appendix </w:t>
      </w:r>
      <w:r w:rsidRPr="004C5281">
        <w:t xml:space="preserve">C(iv) </w:t>
      </w:r>
      <w:r>
        <w:t xml:space="preserve">for details of the SART as it had been originally intended to be run.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E1687"/>
    <w:multiLevelType w:val="hybridMultilevel"/>
    <w:tmpl w:val="5CDCCA34"/>
    <w:lvl w:ilvl="0" w:tplc="71BA6F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125230E"/>
    <w:multiLevelType w:val="multilevel"/>
    <w:tmpl w:val="22C4FA88"/>
    <w:lvl w:ilvl="0">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1AE1E49"/>
    <w:multiLevelType w:val="hybridMultilevel"/>
    <w:tmpl w:val="26B0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9416C"/>
    <w:multiLevelType w:val="multilevel"/>
    <w:tmpl w:val="2B6AD7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2893501"/>
    <w:multiLevelType w:val="hybridMultilevel"/>
    <w:tmpl w:val="3748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890A10"/>
    <w:multiLevelType w:val="hybridMultilevel"/>
    <w:tmpl w:val="77DE0F06"/>
    <w:lvl w:ilvl="0" w:tplc="8E4C6894">
      <w:start w:val="1"/>
      <w:numFmt w:val="decimal"/>
      <w:lvlText w:val="%1."/>
      <w:lvlJc w:val="left"/>
      <w:pPr>
        <w:ind w:left="36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4F693A"/>
    <w:multiLevelType w:val="hybridMultilevel"/>
    <w:tmpl w:val="C462801A"/>
    <w:lvl w:ilvl="0" w:tplc="266073B8">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4857B6"/>
    <w:multiLevelType w:val="multilevel"/>
    <w:tmpl w:val="69127106"/>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6F44A6"/>
    <w:multiLevelType w:val="hybridMultilevel"/>
    <w:tmpl w:val="C488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63342D"/>
    <w:multiLevelType w:val="hybridMultilevel"/>
    <w:tmpl w:val="AEEE871A"/>
    <w:lvl w:ilvl="0" w:tplc="0809000F">
      <w:start w:val="1"/>
      <w:numFmt w:val="decimal"/>
      <w:lvlText w:val="%1."/>
      <w:lvlJc w:val="left"/>
      <w:pPr>
        <w:ind w:left="374" w:hanging="360"/>
      </w:pPr>
      <w:rPr>
        <w:rFonts w:cs="Times New Roman"/>
      </w:rPr>
    </w:lvl>
    <w:lvl w:ilvl="1" w:tplc="08090019" w:tentative="1">
      <w:start w:val="1"/>
      <w:numFmt w:val="lowerLetter"/>
      <w:lvlText w:val="%2."/>
      <w:lvlJc w:val="left"/>
      <w:pPr>
        <w:ind w:left="1094" w:hanging="360"/>
      </w:pPr>
      <w:rPr>
        <w:rFonts w:cs="Times New Roman"/>
      </w:rPr>
    </w:lvl>
    <w:lvl w:ilvl="2" w:tplc="0809001B" w:tentative="1">
      <w:start w:val="1"/>
      <w:numFmt w:val="lowerRoman"/>
      <w:lvlText w:val="%3."/>
      <w:lvlJc w:val="right"/>
      <w:pPr>
        <w:ind w:left="1814" w:hanging="180"/>
      </w:pPr>
      <w:rPr>
        <w:rFonts w:cs="Times New Roman"/>
      </w:rPr>
    </w:lvl>
    <w:lvl w:ilvl="3" w:tplc="0809000F" w:tentative="1">
      <w:start w:val="1"/>
      <w:numFmt w:val="decimal"/>
      <w:lvlText w:val="%4."/>
      <w:lvlJc w:val="left"/>
      <w:pPr>
        <w:ind w:left="2534" w:hanging="360"/>
      </w:pPr>
      <w:rPr>
        <w:rFonts w:cs="Times New Roman"/>
      </w:rPr>
    </w:lvl>
    <w:lvl w:ilvl="4" w:tplc="08090019" w:tentative="1">
      <w:start w:val="1"/>
      <w:numFmt w:val="lowerLetter"/>
      <w:lvlText w:val="%5."/>
      <w:lvlJc w:val="left"/>
      <w:pPr>
        <w:ind w:left="3254" w:hanging="360"/>
      </w:pPr>
      <w:rPr>
        <w:rFonts w:cs="Times New Roman"/>
      </w:rPr>
    </w:lvl>
    <w:lvl w:ilvl="5" w:tplc="0809001B" w:tentative="1">
      <w:start w:val="1"/>
      <w:numFmt w:val="lowerRoman"/>
      <w:lvlText w:val="%6."/>
      <w:lvlJc w:val="right"/>
      <w:pPr>
        <w:ind w:left="3974" w:hanging="180"/>
      </w:pPr>
      <w:rPr>
        <w:rFonts w:cs="Times New Roman"/>
      </w:rPr>
    </w:lvl>
    <w:lvl w:ilvl="6" w:tplc="0809000F" w:tentative="1">
      <w:start w:val="1"/>
      <w:numFmt w:val="decimal"/>
      <w:lvlText w:val="%7."/>
      <w:lvlJc w:val="left"/>
      <w:pPr>
        <w:ind w:left="4694" w:hanging="360"/>
      </w:pPr>
      <w:rPr>
        <w:rFonts w:cs="Times New Roman"/>
      </w:rPr>
    </w:lvl>
    <w:lvl w:ilvl="7" w:tplc="08090019" w:tentative="1">
      <w:start w:val="1"/>
      <w:numFmt w:val="lowerLetter"/>
      <w:lvlText w:val="%8."/>
      <w:lvlJc w:val="left"/>
      <w:pPr>
        <w:ind w:left="5414" w:hanging="360"/>
      </w:pPr>
      <w:rPr>
        <w:rFonts w:cs="Times New Roman"/>
      </w:rPr>
    </w:lvl>
    <w:lvl w:ilvl="8" w:tplc="0809001B" w:tentative="1">
      <w:start w:val="1"/>
      <w:numFmt w:val="lowerRoman"/>
      <w:lvlText w:val="%9."/>
      <w:lvlJc w:val="right"/>
      <w:pPr>
        <w:ind w:left="6134" w:hanging="180"/>
      </w:pPr>
      <w:rPr>
        <w:rFonts w:cs="Times New Roman"/>
      </w:rPr>
    </w:lvl>
  </w:abstractNum>
  <w:abstractNum w:abstractNumId="10" w15:restartNumberingAfterBreak="0">
    <w:nsid w:val="60706832"/>
    <w:multiLevelType w:val="multilevel"/>
    <w:tmpl w:val="3FA2B2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F9B6275"/>
    <w:multiLevelType w:val="hybridMultilevel"/>
    <w:tmpl w:val="EDF0AA2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7653119A"/>
    <w:multiLevelType w:val="hybridMultilevel"/>
    <w:tmpl w:val="6346CA0E"/>
    <w:lvl w:ilvl="0" w:tplc="0809000F">
      <w:start w:val="1"/>
      <w:numFmt w:val="decimal"/>
      <w:lvlText w:val="%1."/>
      <w:lvlJc w:val="left"/>
      <w:pPr>
        <w:ind w:left="360" w:hanging="360"/>
      </w:pPr>
      <w:rPr>
        <w:rFonts w:hint="default"/>
        <w:b w:val="0"/>
        <w:i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747200D"/>
    <w:multiLevelType w:val="multilevel"/>
    <w:tmpl w:val="1062C75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8"/>
  </w:num>
  <w:num w:numId="3">
    <w:abstractNumId w:val="9"/>
  </w:num>
  <w:num w:numId="4">
    <w:abstractNumId w:val="11"/>
  </w:num>
  <w:num w:numId="5">
    <w:abstractNumId w:val="3"/>
  </w:num>
  <w:num w:numId="6">
    <w:abstractNumId w:val="7"/>
  </w:num>
  <w:num w:numId="7">
    <w:abstractNumId w:val="4"/>
  </w:num>
  <w:num w:numId="8">
    <w:abstractNumId w:val="10"/>
  </w:num>
  <w:num w:numId="9">
    <w:abstractNumId w:val="12"/>
  </w:num>
  <w:num w:numId="10">
    <w:abstractNumId w:val="5"/>
  </w:num>
  <w:num w:numId="11">
    <w:abstractNumId w:val="0"/>
  </w:num>
  <w:num w:numId="12">
    <w:abstractNumId w:val="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ADD"/>
    <w:rsid w:val="00002F0C"/>
    <w:rsid w:val="0000339C"/>
    <w:rsid w:val="0000558A"/>
    <w:rsid w:val="00006F4F"/>
    <w:rsid w:val="0000720D"/>
    <w:rsid w:val="00007547"/>
    <w:rsid w:val="00010399"/>
    <w:rsid w:val="0001095D"/>
    <w:rsid w:val="00010B7E"/>
    <w:rsid w:val="0001114F"/>
    <w:rsid w:val="00012F67"/>
    <w:rsid w:val="000147A1"/>
    <w:rsid w:val="00014CFE"/>
    <w:rsid w:val="00015294"/>
    <w:rsid w:val="00015D96"/>
    <w:rsid w:val="00016FB2"/>
    <w:rsid w:val="00017623"/>
    <w:rsid w:val="0002115B"/>
    <w:rsid w:val="00025126"/>
    <w:rsid w:val="000254B2"/>
    <w:rsid w:val="000266F7"/>
    <w:rsid w:val="00026B88"/>
    <w:rsid w:val="0002765A"/>
    <w:rsid w:val="00032F71"/>
    <w:rsid w:val="00034750"/>
    <w:rsid w:val="00035F3D"/>
    <w:rsid w:val="00036DB2"/>
    <w:rsid w:val="000370D1"/>
    <w:rsid w:val="00037A45"/>
    <w:rsid w:val="00042966"/>
    <w:rsid w:val="000444BB"/>
    <w:rsid w:val="00045CC1"/>
    <w:rsid w:val="00046189"/>
    <w:rsid w:val="00046964"/>
    <w:rsid w:val="00050CFE"/>
    <w:rsid w:val="00052745"/>
    <w:rsid w:val="000533FA"/>
    <w:rsid w:val="000535B8"/>
    <w:rsid w:val="00053701"/>
    <w:rsid w:val="00053FC7"/>
    <w:rsid w:val="000547B2"/>
    <w:rsid w:val="00055206"/>
    <w:rsid w:val="00057A81"/>
    <w:rsid w:val="00057E8A"/>
    <w:rsid w:val="000671B9"/>
    <w:rsid w:val="00067C0F"/>
    <w:rsid w:val="00071001"/>
    <w:rsid w:val="0007145E"/>
    <w:rsid w:val="00073FFE"/>
    <w:rsid w:val="00074442"/>
    <w:rsid w:val="00074644"/>
    <w:rsid w:val="00075438"/>
    <w:rsid w:val="00075997"/>
    <w:rsid w:val="00076662"/>
    <w:rsid w:val="0007683A"/>
    <w:rsid w:val="00077198"/>
    <w:rsid w:val="000775CC"/>
    <w:rsid w:val="000779B6"/>
    <w:rsid w:val="00077AF1"/>
    <w:rsid w:val="00080183"/>
    <w:rsid w:val="00080FF3"/>
    <w:rsid w:val="00081C83"/>
    <w:rsid w:val="00082CBB"/>
    <w:rsid w:val="00083306"/>
    <w:rsid w:val="0008385E"/>
    <w:rsid w:val="0008450B"/>
    <w:rsid w:val="0008537A"/>
    <w:rsid w:val="00085AE4"/>
    <w:rsid w:val="000860B8"/>
    <w:rsid w:val="00087160"/>
    <w:rsid w:val="00087544"/>
    <w:rsid w:val="00087C42"/>
    <w:rsid w:val="00087FBE"/>
    <w:rsid w:val="00090267"/>
    <w:rsid w:val="000908DB"/>
    <w:rsid w:val="00090CA3"/>
    <w:rsid w:val="00091005"/>
    <w:rsid w:val="00092E99"/>
    <w:rsid w:val="00095854"/>
    <w:rsid w:val="000964FB"/>
    <w:rsid w:val="00096C01"/>
    <w:rsid w:val="00097C1C"/>
    <w:rsid w:val="000A21DA"/>
    <w:rsid w:val="000A228A"/>
    <w:rsid w:val="000A2883"/>
    <w:rsid w:val="000A33B3"/>
    <w:rsid w:val="000A4ED2"/>
    <w:rsid w:val="000A5B96"/>
    <w:rsid w:val="000A69BB"/>
    <w:rsid w:val="000A6ED6"/>
    <w:rsid w:val="000A70C4"/>
    <w:rsid w:val="000B0542"/>
    <w:rsid w:val="000B2C45"/>
    <w:rsid w:val="000B2F2F"/>
    <w:rsid w:val="000B34DB"/>
    <w:rsid w:val="000B51C7"/>
    <w:rsid w:val="000B6537"/>
    <w:rsid w:val="000B773F"/>
    <w:rsid w:val="000B78D0"/>
    <w:rsid w:val="000C1866"/>
    <w:rsid w:val="000C2312"/>
    <w:rsid w:val="000C3757"/>
    <w:rsid w:val="000C6331"/>
    <w:rsid w:val="000C6BF5"/>
    <w:rsid w:val="000C6C3A"/>
    <w:rsid w:val="000D07C5"/>
    <w:rsid w:val="000D101D"/>
    <w:rsid w:val="000D16AE"/>
    <w:rsid w:val="000D31F4"/>
    <w:rsid w:val="000D3925"/>
    <w:rsid w:val="000D455E"/>
    <w:rsid w:val="000D645C"/>
    <w:rsid w:val="000D64C8"/>
    <w:rsid w:val="000D6E47"/>
    <w:rsid w:val="000D7533"/>
    <w:rsid w:val="000E0545"/>
    <w:rsid w:val="000E4415"/>
    <w:rsid w:val="000E4A7C"/>
    <w:rsid w:val="000E4BE3"/>
    <w:rsid w:val="000F054B"/>
    <w:rsid w:val="000F282D"/>
    <w:rsid w:val="000F37A8"/>
    <w:rsid w:val="000F4509"/>
    <w:rsid w:val="000F5C14"/>
    <w:rsid w:val="0010015C"/>
    <w:rsid w:val="001029F0"/>
    <w:rsid w:val="00103A45"/>
    <w:rsid w:val="0010448F"/>
    <w:rsid w:val="001062A7"/>
    <w:rsid w:val="00106C33"/>
    <w:rsid w:val="00106D82"/>
    <w:rsid w:val="00107108"/>
    <w:rsid w:val="001079A3"/>
    <w:rsid w:val="00107A41"/>
    <w:rsid w:val="00107B09"/>
    <w:rsid w:val="00107E8E"/>
    <w:rsid w:val="00110C2F"/>
    <w:rsid w:val="00110F7F"/>
    <w:rsid w:val="001128F0"/>
    <w:rsid w:val="00112D5F"/>
    <w:rsid w:val="00114F29"/>
    <w:rsid w:val="00116DB7"/>
    <w:rsid w:val="00117A3E"/>
    <w:rsid w:val="00120E0E"/>
    <w:rsid w:val="00123F92"/>
    <w:rsid w:val="00125074"/>
    <w:rsid w:val="00125656"/>
    <w:rsid w:val="00125BED"/>
    <w:rsid w:val="00125CE0"/>
    <w:rsid w:val="00130EC4"/>
    <w:rsid w:val="00131BBB"/>
    <w:rsid w:val="00136615"/>
    <w:rsid w:val="0013687B"/>
    <w:rsid w:val="00136914"/>
    <w:rsid w:val="001375A3"/>
    <w:rsid w:val="001377FC"/>
    <w:rsid w:val="00140FE5"/>
    <w:rsid w:val="0014118E"/>
    <w:rsid w:val="00141832"/>
    <w:rsid w:val="0014189D"/>
    <w:rsid w:val="00143490"/>
    <w:rsid w:val="001440B7"/>
    <w:rsid w:val="00146F19"/>
    <w:rsid w:val="00152096"/>
    <w:rsid w:val="00152203"/>
    <w:rsid w:val="00154EA8"/>
    <w:rsid w:val="0015525B"/>
    <w:rsid w:val="00156E5E"/>
    <w:rsid w:val="00157505"/>
    <w:rsid w:val="00157FD9"/>
    <w:rsid w:val="001626C8"/>
    <w:rsid w:val="00163BDB"/>
    <w:rsid w:val="0016602F"/>
    <w:rsid w:val="00166174"/>
    <w:rsid w:val="00170F64"/>
    <w:rsid w:val="001710B1"/>
    <w:rsid w:val="00172D16"/>
    <w:rsid w:val="00173D5B"/>
    <w:rsid w:val="00174180"/>
    <w:rsid w:val="00174950"/>
    <w:rsid w:val="00177186"/>
    <w:rsid w:val="00177E23"/>
    <w:rsid w:val="00177F25"/>
    <w:rsid w:val="0018098D"/>
    <w:rsid w:val="00180EA2"/>
    <w:rsid w:val="00181EB8"/>
    <w:rsid w:val="0018260B"/>
    <w:rsid w:val="00182E2F"/>
    <w:rsid w:val="0018369C"/>
    <w:rsid w:val="00184B33"/>
    <w:rsid w:val="00185387"/>
    <w:rsid w:val="00190EDA"/>
    <w:rsid w:val="0019281C"/>
    <w:rsid w:val="00195B87"/>
    <w:rsid w:val="00196112"/>
    <w:rsid w:val="00197B0A"/>
    <w:rsid w:val="001A0081"/>
    <w:rsid w:val="001A0A7A"/>
    <w:rsid w:val="001A1860"/>
    <w:rsid w:val="001A1A86"/>
    <w:rsid w:val="001A2F0A"/>
    <w:rsid w:val="001A34FD"/>
    <w:rsid w:val="001A3D9F"/>
    <w:rsid w:val="001A43A7"/>
    <w:rsid w:val="001A488F"/>
    <w:rsid w:val="001A5EFC"/>
    <w:rsid w:val="001A6A57"/>
    <w:rsid w:val="001B2178"/>
    <w:rsid w:val="001B5030"/>
    <w:rsid w:val="001B71DF"/>
    <w:rsid w:val="001C1152"/>
    <w:rsid w:val="001C60AC"/>
    <w:rsid w:val="001C618F"/>
    <w:rsid w:val="001D078A"/>
    <w:rsid w:val="001D0E11"/>
    <w:rsid w:val="001D1CA2"/>
    <w:rsid w:val="001D24AB"/>
    <w:rsid w:val="001D3BCC"/>
    <w:rsid w:val="001D4E15"/>
    <w:rsid w:val="001D5025"/>
    <w:rsid w:val="001D6E58"/>
    <w:rsid w:val="001E3144"/>
    <w:rsid w:val="001E3A7B"/>
    <w:rsid w:val="001E4171"/>
    <w:rsid w:val="001E424F"/>
    <w:rsid w:val="001E4431"/>
    <w:rsid w:val="001E5468"/>
    <w:rsid w:val="001E7397"/>
    <w:rsid w:val="001F00D7"/>
    <w:rsid w:val="001F116F"/>
    <w:rsid w:val="001F2ED5"/>
    <w:rsid w:val="001F37A6"/>
    <w:rsid w:val="001F3C37"/>
    <w:rsid w:val="001F490E"/>
    <w:rsid w:val="001F56D3"/>
    <w:rsid w:val="001F7340"/>
    <w:rsid w:val="00200C80"/>
    <w:rsid w:val="002015DA"/>
    <w:rsid w:val="002024CC"/>
    <w:rsid w:val="002030B8"/>
    <w:rsid w:val="002031C1"/>
    <w:rsid w:val="00203241"/>
    <w:rsid w:val="00203E2F"/>
    <w:rsid w:val="0020547C"/>
    <w:rsid w:val="002068A8"/>
    <w:rsid w:val="00210323"/>
    <w:rsid w:val="00210695"/>
    <w:rsid w:val="0021111E"/>
    <w:rsid w:val="0021132C"/>
    <w:rsid w:val="00212A9E"/>
    <w:rsid w:val="00214259"/>
    <w:rsid w:val="00216B6A"/>
    <w:rsid w:val="0022008B"/>
    <w:rsid w:val="00220AF7"/>
    <w:rsid w:val="002219CD"/>
    <w:rsid w:val="00221DF7"/>
    <w:rsid w:val="002225BF"/>
    <w:rsid w:val="00222F0A"/>
    <w:rsid w:val="002240E8"/>
    <w:rsid w:val="00224E87"/>
    <w:rsid w:val="0022588D"/>
    <w:rsid w:val="0022592D"/>
    <w:rsid w:val="00226284"/>
    <w:rsid w:val="00226501"/>
    <w:rsid w:val="00226E35"/>
    <w:rsid w:val="00227732"/>
    <w:rsid w:val="0023171D"/>
    <w:rsid w:val="00233E3B"/>
    <w:rsid w:val="00234F0D"/>
    <w:rsid w:val="002356B6"/>
    <w:rsid w:val="00237B9B"/>
    <w:rsid w:val="00240E3B"/>
    <w:rsid w:val="002426BC"/>
    <w:rsid w:val="00243B0D"/>
    <w:rsid w:val="0024462F"/>
    <w:rsid w:val="00244EB5"/>
    <w:rsid w:val="00245E0D"/>
    <w:rsid w:val="00246AD8"/>
    <w:rsid w:val="002477B2"/>
    <w:rsid w:val="002506EC"/>
    <w:rsid w:val="002519DB"/>
    <w:rsid w:val="00251C19"/>
    <w:rsid w:val="00251D60"/>
    <w:rsid w:val="00253C9E"/>
    <w:rsid w:val="0025511B"/>
    <w:rsid w:val="00256993"/>
    <w:rsid w:val="00257BCD"/>
    <w:rsid w:val="00260321"/>
    <w:rsid w:val="002608CD"/>
    <w:rsid w:val="00260D28"/>
    <w:rsid w:val="002614D2"/>
    <w:rsid w:val="00262C28"/>
    <w:rsid w:val="00262F7F"/>
    <w:rsid w:val="00263218"/>
    <w:rsid w:val="00263A4A"/>
    <w:rsid w:val="00264B57"/>
    <w:rsid w:val="00264B7C"/>
    <w:rsid w:val="002664A0"/>
    <w:rsid w:val="00266E28"/>
    <w:rsid w:val="00270C07"/>
    <w:rsid w:val="00271B63"/>
    <w:rsid w:val="00271D50"/>
    <w:rsid w:val="0027247A"/>
    <w:rsid w:val="00272A25"/>
    <w:rsid w:val="0027315D"/>
    <w:rsid w:val="0027398D"/>
    <w:rsid w:val="00273A59"/>
    <w:rsid w:val="002743CA"/>
    <w:rsid w:val="0027455C"/>
    <w:rsid w:val="00274A28"/>
    <w:rsid w:val="00275B7B"/>
    <w:rsid w:val="0027637D"/>
    <w:rsid w:val="00276F90"/>
    <w:rsid w:val="0028055F"/>
    <w:rsid w:val="00282BFE"/>
    <w:rsid w:val="002831D5"/>
    <w:rsid w:val="00283DCA"/>
    <w:rsid w:val="0028414D"/>
    <w:rsid w:val="002842D4"/>
    <w:rsid w:val="00285045"/>
    <w:rsid w:val="00286109"/>
    <w:rsid w:val="00286296"/>
    <w:rsid w:val="00287290"/>
    <w:rsid w:val="002901E8"/>
    <w:rsid w:val="00290BD7"/>
    <w:rsid w:val="00290E0E"/>
    <w:rsid w:val="00291750"/>
    <w:rsid w:val="00294F72"/>
    <w:rsid w:val="0029547C"/>
    <w:rsid w:val="002A003B"/>
    <w:rsid w:val="002A0D1D"/>
    <w:rsid w:val="002A2F1B"/>
    <w:rsid w:val="002A3D08"/>
    <w:rsid w:val="002A5C85"/>
    <w:rsid w:val="002A7CEA"/>
    <w:rsid w:val="002A7D89"/>
    <w:rsid w:val="002A7E9A"/>
    <w:rsid w:val="002B06E2"/>
    <w:rsid w:val="002B12F5"/>
    <w:rsid w:val="002B2E07"/>
    <w:rsid w:val="002B30E0"/>
    <w:rsid w:val="002B6098"/>
    <w:rsid w:val="002B792E"/>
    <w:rsid w:val="002C02AF"/>
    <w:rsid w:val="002C0D23"/>
    <w:rsid w:val="002C1363"/>
    <w:rsid w:val="002C1402"/>
    <w:rsid w:val="002C1611"/>
    <w:rsid w:val="002C1983"/>
    <w:rsid w:val="002C223B"/>
    <w:rsid w:val="002C28EF"/>
    <w:rsid w:val="002C2AF5"/>
    <w:rsid w:val="002C485E"/>
    <w:rsid w:val="002C5E8A"/>
    <w:rsid w:val="002C5FF5"/>
    <w:rsid w:val="002C6BB4"/>
    <w:rsid w:val="002C73CC"/>
    <w:rsid w:val="002C7B40"/>
    <w:rsid w:val="002D0ECF"/>
    <w:rsid w:val="002D0F7F"/>
    <w:rsid w:val="002D1845"/>
    <w:rsid w:val="002D1F4E"/>
    <w:rsid w:val="002D2485"/>
    <w:rsid w:val="002D323C"/>
    <w:rsid w:val="002D494B"/>
    <w:rsid w:val="002D4D36"/>
    <w:rsid w:val="002D6887"/>
    <w:rsid w:val="002D7CF7"/>
    <w:rsid w:val="002E0489"/>
    <w:rsid w:val="002E117F"/>
    <w:rsid w:val="002E221E"/>
    <w:rsid w:val="002E23C1"/>
    <w:rsid w:val="002E4282"/>
    <w:rsid w:val="002E46BC"/>
    <w:rsid w:val="002E6B89"/>
    <w:rsid w:val="002E746B"/>
    <w:rsid w:val="002E7B30"/>
    <w:rsid w:val="002F0AA7"/>
    <w:rsid w:val="002F0E1F"/>
    <w:rsid w:val="002F102B"/>
    <w:rsid w:val="002F2D01"/>
    <w:rsid w:val="002F3BFA"/>
    <w:rsid w:val="002F42BC"/>
    <w:rsid w:val="002F4F78"/>
    <w:rsid w:val="002F4FF9"/>
    <w:rsid w:val="002F615D"/>
    <w:rsid w:val="003020FE"/>
    <w:rsid w:val="003044CE"/>
    <w:rsid w:val="003048FB"/>
    <w:rsid w:val="00304CD8"/>
    <w:rsid w:val="00304FD8"/>
    <w:rsid w:val="00306208"/>
    <w:rsid w:val="00307C58"/>
    <w:rsid w:val="00311968"/>
    <w:rsid w:val="00311B33"/>
    <w:rsid w:val="00311E03"/>
    <w:rsid w:val="0031317D"/>
    <w:rsid w:val="00313358"/>
    <w:rsid w:val="003137CA"/>
    <w:rsid w:val="00313B61"/>
    <w:rsid w:val="00313FAC"/>
    <w:rsid w:val="003145E6"/>
    <w:rsid w:val="00316237"/>
    <w:rsid w:val="00316E31"/>
    <w:rsid w:val="00317796"/>
    <w:rsid w:val="00320807"/>
    <w:rsid w:val="0032111B"/>
    <w:rsid w:val="0032190A"/>
    <w:rsid w:val="0032500B"/>
    <w:rsid w:val="003267FD"/>
    <w:rsid w:val="003300D9"/>
    <w:rsid w:val="00330504"/>
    <w:rsid w:val="0033077A"/>
    <w:rsid w:val="00330918"/>
    <w:rsid w:val="00330A62"/>
    <w:rsid w:val="00332046"/>
    <w:rsid w:val="0033228E"/>
    <w:rsid w:val="00332F60"/>
    <w:rsid w:val="00333937"/>
    <w:rsid w:val="00333EAE"/>
    <w:rsid w:val="0033563E"/>
    <w:rsid w:val="003366DA"/>
    <w:rsid w:val="00336AC3"/>
    <w:rsid w:val="00336EB5"/>
    <w:rsid w:val="00336F44"/>
    <w:rsid w:val="003372A0"/>
    <w:rsid w:val="00337C1A"/>
    <w:rsid w:val="003410AF"/>
    <w:rsid w:val="003418B5"/>
    <w:rsid w:val="00342AAA"/>
    <w:rsid w:val="00342B6B"/>
    <w:rsid w:val="00343B05"/>
    <w:rsid w:val="0034452C"/>
    <w:rsid w:val="00344A5F"/>
    <w:rsid w:val="00344CBB"/>
    <w:rsid w:val="00346C78"/>
    <w:rsid w:val="00347475"/>
    <w:rsid w:val="003507F4"/>
    <w:rsid w:val="003509EA"/>
    <w:rsid w:val="0035189C"/>
    <w:rsid w:val="003526D8"/>
    <w:rsid w:val="00354CEF"/>
    <w:rsid w:val="00356D14"/>
    <w:rsid w:val="00357C8D"/>
    <w:rsid w:val="00362470"/>
    <w:rsid w:val="003628A1"/>
    <w:rsid w:val="00362C2B"/>
    <w:rsid w:val="003639E0"/>
    <w:rsid w:val="00364736"/>
    <w:rsid w:val="00364824"/>
    <w:rsid w:val="00371897"/>
    <w:rsid w:val="003736A2"/>
    <w:rsid w:val="0037402B"/>
    <w:rsid w:val="003756B8"/>
    <w:rsid w:val="0037584F"/>
    <w:rsid w:val="00376384"/>
    <w:rsid w:val="003800EF"/>
    <w:rsid w:val="00381411"/>
    <w:rsid w:val="003817BE"/>
    <w:rsid w:val="00381F73"/>
    <w:rsid w:val="0038237C"/>
    <w:rsid w:val="0038333E"/>
    <w:rsid w:val="00384997"/>
    <w:rsid w:val="00391969"/>
    <w:rsid w:val="00391B50"/>
    <w:rsid w:val="00391B67"/>
    <w:rsid w:val="0039284D"/>
    <w:rsid w:val="003937F9"/>
    <w:rsid w:val="00393894"/>
    <w:rsid w:val="00393A28"/>
    <w:rsid w:val="00393C96"/>
    <w:rsid w:val="00393E8C"/>
    <w:rsid w:val="0039473F"/>
    <w:rsid w:val="00394CA4"/>
    <w:rsid w:val="00394FEA"/>
    <w:rsid w:val="003A3337"/>
    <w:rsid w:val="003A4104"/>
    <w:rsid w:val="003A41F9"/>
    <w:rsid w:val="003A5548"/>
    <w:rsid w:val="003A583C"/>
    <w:rsid w:val="003B0AC0"/>
    <w:rsid w:val="003B226F"/>
    <w:rsid w:val="003B47B0"/>
    <w:rsid w:val="003B5B5B"/>
    <w:rsid w:val="003B61F2"/>
    <w:rsid w:val="003C1C7C"/>
    <w:rsid w:val="003C3A70"/>
    <w:rsid w:val="003C4065"/>
    <w:rsid w:val="003C4D29"/>
    <w:rsid w:val="003C5295"/>
    <w:rsid w:val="003C5EAA"/>
    <w:rsid w:val="003D2707"/>
    <w:rsid w:val="003D2C97"/>
    <w:rsid w:val="003D3765"/>
    <w:rsid w:val="003D5280"/>
    <w:rsid w:val="003D5A18"/>
    <w:rsid w:val="003D7077"/>
    <w:rsid w:val="003E1EDF"/>
    <w:rsid w:val="003E32D3"/>
    <w:rsid w:val="003E3510"/>
    <w:rsid w:val="003E3598"/>
    <w:rsid w:val="003E4661"/>
    <w:rsid w:val="003E52C8"/>
    <w:rsid w:val="003E584B"/>
    <w:rsid w:val="003E5C7C"/>
    <w:rsid w:val="003E6CD4"/>
    <w:rsid w:val="003E7B61"/>
    <w:rsid w:val="003F0DB9"/>
    <w:rsid w:val="003F243E"/>
    <w:rsid w:val="003F3425"/>
    <w:rsid w:val="003F3BD1"/>
    <w:rsid w:val="003F5FE7"/>
    <w:rsid w:val="003F6B81"/>
    <w:rsid w:val="003F731E"/>
    <w:rsid w:val="00400FE8"/>
    <w:rsid w:val="0040165D"/>
    <w:rsid w:val="00401696"/>
    <w:rsid w:val="004017FD"/>
    <w:rsid w:val="00410013"/>
    <w:rsid w:val="004109EF"/>
    <w:rsid w:val="00411F79"/>
    <w:rsid w:val="00412DE4"/>
    <w:rsid w:val="00414198"/>
    <w:rsid w:val="00414D08"/>
    <w:rsid w:val="00416CAB"/>
    <w:rsid w:val="00420261"/>
    <w:rsid w:val="0042087A"/>
    <w:rsid w:val="00421F0A"/>
    <w:rsid w:val="00422023"/>
    <w:rsid w:val="00422586"/>
    <w:rsid w:val="00422A22"/>
    <w:rsid w:val="00422DB1"/>
    <w:rsid w:val="004240A4"/>
    <w:rsid w:val="004244F8"/>
    <w:rsid w:val="00426635"/>
    <w:rsid w:val="00426F8A"/>
    <w:rsid w:val="0042725C"/>
    <w:rsid w:val="00432238"/>
    <w:rsid w:val="00437C0B"/>
    <w:rsid w:val="004408EA"/>
    <w:rsid w:val="004423B8"/>
    <w:rsid w:val="004430C8"/>
    <w:rsid w:val="00443104"/>
    <w:rsid w:val="004437EE"/>
    <w:rsid w:val="004444A8"/>
    <w:rsid w:val="004451A9"/>
    <w:rsid w:val="0044558C"/>
    <w:rsid w:val="004466AD"/>
    <w:rsid w:val="00446874"/>
    <w:rsid w:val="004476C5"/>
    <w:rsid w:val="004476CA"/>
    <w:rsid w:val="004478F3"/>
    <w:rsid w:val="0045072C"/>
    <w:rsid w:val="00452CCF"/>
    <w:rsid w:val="004530C5"/>
    <w:rsid w:val="00453719"/>
    <w:rsid w:val="0045376E"/>
    <w:rsid w:val="0045410B"/>
    <w:rsid w:val="00454200"/>
    <w:rsid w:val="00455388"/>
    <w:rsid w:val="00455D2A"/>
    <w:rsid w:val="00455DFC"/>
    <w:rsid w:val="004564AD"/>
    <w:rsid w:val="00457628"/>
    <w:rsid w:val="004600DB"/>
    <w:rsid w:val="00461ACC"/>
    <w:rsid w:val="0046382A"/>
    <w:rsid w:val="00464A9B"/>
    <w:rsid w:val="004651F0"/>
    <w:rsid w:val="00465F20"/>
    <w:rsid w:val="00466749"/>
    <w:rsid w:val="004676EF"/>
    <w:rsid w:val="00467CEC"/>
    <w:rsid w:val="00470349"/>
    <w:rsid w:val="00472245"/>
    <w:rsid w:val="004724AE"/>
    <w:rsid w:val="00473963"/>
    <w:rsid w:val="00475257"/>
    <w:rsid w:val="004755AB"/>
    <w:rsid w:val="0047584F"/>
    <w:rsid w:val="00475FF7"/>
    <w:rsid w:val="00476356"/>
    <w:rsid w:val="00476D69"/>
    <w:rsid w:val="00476FF4"/>
    <w:rsid w:val="004777B6"/>
    <w:rsid w:val="00477D1E"/>
    <w:rsid w:val="00477F51"/>
    <w:rsid w:val="00480859"/>
    <w:rsid w:val="004808E4"/>
    <w:rsid w:val="004809B6"/>
    <w:rsid w:val="00480B44"/>
    <w:rsid w:val="004816EF"/>
    <w:rsid w:val="00481E7A"/>
    <w:rsid w:val="00481F1E"/>
    <w:rsid w:val="00482417"/>
    <w:rsid w:val="004837BE"/>
    <w:rsid w:val="00484E61"/>
    <w:rsid w:val="00485A41"/>
    <w:rsid w:val="0048644A"/>
    <w:rsid w:val="0048744C"/>
    <w:rsid w:val="00487CF1"/>
    <w:rsid w:val="00490701"/>
    <w:rsid w:val="00491B8A"/>
    <w:rsid w:val="00492DA9"/>
    <w:rsid w:val="00493359"/>
    <w:rsid w:val="0049455D"/>
    <w:rsid w:val="00495BBC"/>
    <w:rsid w:val="0049788D"/>
    <w:rsid w:val="004A0DEE"/>
    <w:rsid w:val="004A1ACE"/>
    <w:rsid w:val="004A1DB3"/>
    <w:rsid w:val="004A3A8E"/>
    <w:rsid w:val="004A3D38"/>
    <w:rsid w:val="004A3D66"/>
    <w:rsid w:val="004A5E00"/>
    <w:rsid w:val="004A6A2D"/>
    <w:rsid w:val="004A7DD3"/>
    <w:rsid w:val="004B14D8"/>
    <w:rsid w:val="004B3391"/>
    <w:rsid w:val="004B3489"/>
    <w:rsid w:val="004B3503"/>
    <w:rsid w:val="004B3BD5"/>
    <w:rsid w:val="004B3CEF"/>
    <w:rsid w:val="004B3E16"/>
    <w:rsid w:val="004B3FC0"/>
    <w:rsid w:val="004B47E6"/>
    <w:rsid w:val="004B4876"/>
    <w:rsid w:val="004B5280"/>
    <w:rsid w:val="004B6731"/>
    <w:rsid w:val="004B6896"/>
    <w:rsid w:val="004B7706"/>
    <w:rsid w:val="004C0078"/>
    <w:rsid w:val="004C11FC"/>
    <w:rsid w:val="004C20E6"/>
    <w:rsid w:val="004C210B"/>
    <w:rsid w:val="004C3656"/>
    <w:rsid w:val="004C3BB3"/>
    <w:rsid w:val="004C4BDD"/>
    <w:rsid w:val="004C4F52"/>
    <w:rsid w:val="004C5281"/>
    <w:rsid w:val="004C6F10"/>
    <w:rsid w:val="004D002A"/>
    <w:rsid w:val="004D04A5"/>
    <w:rsid w:val="004D0C71"/>
    <w:rsid w:val="004D24EB"/>
    <w:rsid w:val="004D2D7E"/>
    <w:rsid w:val="004D40DC"/>
    <w:rsid w:val="004D4676"/>
    <w:rsid w:val="004D59BC"/>
    <w:rsid w:val="004D625A"/>
    <w:rsid w:val="004D6644"/>
    <w:rsid w:val="004D6F91"/>
    <w:rsid w:val="004D73AE"/>
    <w:rsid w:val="004D7901"/>
    <w:rsid w:val="004E0ED7"/>
    <w:rsid w:val="004E1F1D"/>
    <w:rsid w:val="004E39A4"/>
    <w:rsid w:val="004E4383"/>
    <w:rsid w:val="004E547B"/>
    <w:rsid w:val="004E6BC0"/>
    <w:rsid w:val="004F0C62"/>
    <w:rsid w:val="004F18AB"/>
    <w:rsid w:val="004F1D9E"/>
    <w:rsid w:val="004F28D7"/>
    <w:rsid w:val="004F2EF1"/>
    <w:rsid w:val="004F3B3F"/>
    <w:rsid w:val="004F427A"/>
    <w:rsid w:val="004F4FC1"/>
    <w:rsid w:val="004F5CEE"/>
    <w:rsid w:val="004F79BC"/>
    <w:rsid w:val="004F7D8A"/>
    <w:rsid w:val="00500566"/>
    <w:rsid w:val="005005D0"/>
    <w:rsid w:val="005025E9"/>
    <w:rsid w:val="00502F5F"/>
    <w:rsid w:val="005034AF"/>
    <w:rsid w:val="00505175"/>
    <w:rsid w:val="00506021"/>
    <w:rsid w:val="00507771"/>
    <w:rsid w:val="00507BB1"/>
    <w:rsid w:val="005110AD"/>
    <w:rsid w:val="00512895"/>
    <w:rsid w:val="00514940"/>
    <w:rsid w:val="00514FD4"/>
    <w:rsid w:val="0051540C"/>
    <w:rsid w:val="0051668A"/>
    <w:rsid w:val="00516FCB"/>
    <w:rsid w:val="00517184"/>
    <w:rsid w:val="005208C0"/>
    <w:rsid w:val="00521AD9"/>
    <w:rsid w:val="00522A12"/>
    <w:rsid w:val="00524295"/>
    <w:rsid w:val="00524B5F"/>
    <w:rsid w:val="005261FB"/>
    <w:rsid w:val="00527125"/>
    <w:rsid w:val="0053176D"/>
    <w:rsid w:val="00531A02"/>
    <w:rsid w:val="00536712"/>
    <w:rsid w:val="00536962"/>
    <w:rsid w:val="005401D7"/>
    <w:rsid w:val="005404B6"/>
    <w:rsid w:val="00540F7F"/>
    <w:rsid w:val="00542096"/>
    <w:rsid w:val="005420B1"/>
    <w:rsid w:val="005430AD"/>
    <w:rsid w:val="0054382F"/>
    <w:rsid w:val="00543F36"/>
    <w:rsid w:val="0054695D"/>
    <w:rsid w:val="00547286"/>
    <w:rsid w:val="005507F0"/>
    <w:rsid w:val="005535A9"/>
    <w:rsid w:val="0055368A"/>
    <w:rsid w:val="00555681"/>
    <w:rsid w:val="00557F3B"/>
    <w:rsid w:val="0056021B"/>
    <w:rsid w:val="0056046D"/>
    <w:rsid w:val="005605AD"/>
    <w:rsid w:val="00562370"/>
    <w:rsid w:val="0056323F"/>
    <w:rsid w:val="0056499C"/>
    <w:rsid w:val="0056570F"/>
    <w:rsid w:val="00565F1C"/>
    <w:rsid w:val="005701A4"/>
    <w:rsid w:val="00570457"/>
    <w:rsid w:val="00572135"/>
    <w:rsid w:val="0057342D"/>
    <w:rsid w:val="00575447"/>
    <w:rsid w:val="005766E0"/>
    <w:rsid w:val="00581241"/>
    <w:rsid w:val="0058147F"/>
    <w:rsid w:val="00581739"/>
    <w:rsid w:val="005819EA"/>
    <w:rsid w:val="00581B04"/>
    <w:rsid w:val="00581B9E"/>
    <w:rsid w:val="00581F66"/>
    <w:rsid w:val="005835C8"/>
    <w:rsid w:val="00583793"/>
    <w:rsid w:val="00583CA3"/>
    <w:rsid w:val="00583F9E"/>
    <w:rsid w:val="0058518B"/>
    <w:rsid w:val="005851C6"/>
    <w:rsid w:val="00590BA9"/>
    <w:rsid w:val="0059193E"/>
    <w:rsid w:val="00592CE2"/>
    <w:rsid w:val="00593BD8"/>
    <w:rsid w:val="00594BB1"/>
    <w:rsid w:val="00594D41"/>
    <w:rsid w:val="00595555"/>
    <w:rsid w:val="00595E59"/>
    <w:rsid w:val="00596436"/>
    <w:rsid w:val="005A10E5"/>
    <w:rsid w:val="005A1A41"/>
    <w:rsid w:val="005A21BB"/>
    <w:rsid w:val="005A2BF6"/>
    <w:rsid w:val="005A507F"/>
    <w:rsid w:val="005A6425"/>
    <w:rsid w:val="005B0DAD"/>
    <w:rsid w:val="005B1B70"/>
    <w:rsid w:val="005B35B3"/>
    <w:rsid w:val="005B7C9F"/>
    <w:rsid w:val="005C243F"/>
    <w:rsid w:val="005C2FD3"/>
    <w:rsid w:val="005C3CA9"/>
    <w:rsid w:val="005C4B30"/>
    <w:rsid w:val="005C6EFD"/>
    <w:rsid w:val="005C7554"/>
    <w:rsid w:val="005D1234"/>
    <w:rsid w:val="005D285A"/>
    <w:rsid w:val="005D46F5"/>
    <w:rsid w:val="005D62D5"/>
    <w:rsid w:val="005D63D8"/>
    <w:rsid w:val="005D6A74"/>
    <w:rsid w:val="005D7E70"/>
    <w:rsid w:val="005D7F69"/>
    <w:rsid w:val="005E3D98"/>
    <w:rsid w:val="005E44C8"/>
    <w:rsid w:val="005E4F0A"/>
    <w:rsid w:val="005E50DA"/>
    <w:rsid w:val="005E78D3"/>
    <w:rsid w:val="005F0F10"/>
    <w:rsid w:val="005F1410"/>
    <w:rsid w:val="005F365F"/>
    <w:rsid w:val="005F3B04"/>
    <w:rsid w:val="005F40F8"/>
    <w:rsid w:val="005F76C6"/>
    <w:rsid w:val="005F79F1"/>
    <w:rsid w:val="00600B58"/>
    <w:rsid w:val="006017A0"/>
    <w:rsid w:val="006018E5"/>
    <w:rsid w:val="006021CC"/>
    <w:rsid w:val="006031E5"/>
    <w:rsid w:val="0060344F"/>
    <w:rsid w:val="00604F09"/>
    <w:rsid w:val="006058BF"/>
    <w:rsid w:val="0060602C"/>
    <w:rsid w:val="00606475"/>
    <w:rsid w:val="00606ADE"/>
    <w:rsid w:val="00606C45"/>
    <w:rsid w:val="00607DA2"/>
    <w:rsid w:val="006100EE"/>
    <w:rsid w:val="00610E1E"/>
    <w:rsid w:val="00610FB7"/>
    <w:rsid w:val="006120ED"/>
    <w:rsid w:val="00612717"/>
    <w:rsid w:val="0061274B"/>
    <w:rsid w:val="00613B72"/>
    <w:rsid w:val="00614871"/>
    <w:rsid w:val="00617523"/>
    <w:rsid w:val="006179EC"/>
    <w:rsid w:val="00617A60"/>
    <w:rsid w:val="00617EE9"/>
    <w:rsid w:val="00620095"/>
    <w:rsid w:val="00621985"/>
    <w:rsid w:val="00625580"/>
    <w:rsid w:val="00625863"/>
    <w:rsid w:val="006268DE"/>
    <w:rsid w:val="006302C4"/>
    <w:rsid w:val="0063088E"/>
    <w:rsid w:val="00631F67"/>
    <w:rsid w:val="006320B7"/>
    <w:rsid w:val="00633D0B"/>
    <w:rsid w:val="00634077"/>
    <w:rsid w:val="006344D6"/>
    <w:rsid w:val="006348CB"/>
    <w:rsid w:val="00634F4A"/>
    <w:rsid w:val="006351A0"/>
    <w:rsid w:val="0063531B"/>
    <w:rsid w:val="0063654C"/>
    <w:rsid w:val="00637A50"/>
    <w:rsid w:val="00640164"/>
    <w:rsid w:val="006403E9"/>
    <w:rsid w:val="00642B4F"/>
    <w:rsid w:val="0064384B"/>
    <w:rsid w:val="00643A8F"/>
    <w:rsid w:val="00643FE3"/>
    <w:rsid w:val="00644D6A"/>
    <w:rsid w:val="00644E57"/>
    <w:rsid w:val="00644F87"/>
    <w:rsid w:val="00646A32"/>
    <w:rsid w:val="00650445"/>
    <w:rsid w:val="00650528"/>
    <w:rsid w:val="00651E9F"/>
    <w:rsid w:val="0065203A"/>
    <w:rsid w:val="00652C70"/>
    <w:rsid w:val="00654517"/>
    <w:rsid w:val="00654B36"/>
    <w:rsid w:val="00654EC2"/>
    <w:rsid w:val="00656AC2"/>
    <w:rsid w:val="00656FE2"/>
    <w:rsid w:val="00660A46"/>
    <w:rsid w:val="00660AAC"/>
    <w:rsid w:val="00660CD1"/>
    <w:rsid w:val="00661A71"/>
    <w:rsid w:val="00661A8E"/>
    <w:rsid w:val="006664B7"/>
    <w:rsid w:val="00666A57"/>
    <w:rsid w:val="00666B82"/>
    <w:rsid w:val="00666C8E"/>
    <w:rsid w:val="00667131"/>
    <w:rsid w:val="006703A3"/>
    <w:rsid w:val="006705A2"/>
    <w:rsid w:val="006712C5"/>
    <w:rsid w:val="00671CE2"/>
    <w:rsid w:val="006726F8"/>
    <w:rsid w:val="00673482"/>
    <w:rsid w:val="0067523C"/>
    <w:rsid w:val="00675A3C"/>
    <w:rsid w:val="00675AB0"/>
    <w:rsid w:val="00676CF9"/>
    <w:rsid w:val="00676E4F"/>
    <w:rsid w:val="00677AA7"/>
    <w:rsid w:val="006808EF"/>
    <w:rsid w:val="00680C01"/>
    <w:rsid w:val="00683A5F"/>
    <w:rsid w:val="00683E1B"/>
    <w:rsid w:val="006840EE"/>
    <w:rsid w:val="00684CA0"/>
    <w:rsid w:val="00685C39"/>
    <w:rsid w:val="00685F6B"/>
    <w:rsid w:val="00686F0B"/>
    <w:rsid w:val="006904E1"/>
    <w:rsid w:val="00690EC5"/>
    <w:rsid w:val="00691870"/>
    <w:rsid w:val="00693105"/>
    <w:rsid w:val="006935EE"/>
    <w:rsid w:val="00694965"/>
    <w:rsid w:val="00696620"/>
    <w:rsid w:val="00696BEB"/>
    <w:rsid w:val="006972A1"/>
    <w:rsid w:val="006A09FC"/>
    <w:rsid w:val="006A0AEF"/>
    <w:rsid w:val="006A3DDF"/>
    <w:rsid w:val="006B09B6"/>
    <w:rsid w:val="006B1474"/>
    <w:rsid w:val="006B21D0"/>
    <w:rsid w:val="006B25D7"/>
    <w:rsid w:val="006B342E"/>
    <w:rsid w:val="006B4173"/>
    <w:rsid w:val="006B4CD0"/>
    <w:rsid w:val="006B71AB"/>
    <w:rsid w:val="006B7994"/>
    <w:rsid w:val="006C10F6"/>
    <w:rsid w:val="006C16AF"/>
    <w:rsid w:val="006C3E6D"/>
    <w:rsid w:val="006C4BA0"/>
    <w:rsid w:val="006C4BBE"/>
    <w:rsid w:val="006C71F0"/>
    <w:rsid w:val="006C765A"/>
    <w:rsid w:val="006D0AF8"/>
    <w:rsid w:val="006D1833"/>
    <w:rsid w:val="006D2E5F"/>
    <w:rsid w:val="006D3A3A"/>
    <w:rsid w:val="006D5DFD"/>
    <w:rsid w:val="006E038F"/>
    <w:rsid w:val="006E080F"/>
    <w:rsid w:val="006E1241"/>
    <w:rsid w:val="006E1B20"/>
    <w:rsid w:val="006E2809"/>
    <w:rsid w:val="006E5004"/>
    <w:rsid w:val="006E5F1F"/>
    <w:rsid w:val="006E6A75"/>
    <w:rsid w:val="006E6AAE"/>
    <w:rsid w:val="006E6E74"/>
    <w:rsid w:val="006F06B3"/>
    <w:rsid w:val="006F164D"/>
    <w:rsid w:val="006F3587"/>
    <w:rsid w:val="006F3BE0"/>
    <w:rsid w:val="006F45F3"/>
    <w:rsid w:val="006F4AD4"/>
    <w:rsid w:val="006F5265"/>
    <w:rsid w:val="006F5BCD"/>
    <w:rsid w:val="006F7A35"/>
    <w:rsid w:val="00700B84"/>
    <w:rsid w:val="00701A0B"/>
    <w:rsid w:val="00702178"/>
    <w:rsid w:val="00702727"/>
    <w:rsid w:val="0070324E"/>
    <w:rsid w:val="00704C13"/>
    <w:rsid w:val="00706870"/>
    <w:rsid w:val="0071075C"/>
    <w:rsid w:val="00717223"/>
    <w:rsid w:val="00720212"/>
    <w:rsid w:val="0072061E"/>
    <w:rsid w:val="00720AFB"/>
    <w:rsid w:val="00720C3D"/>
    <w:rsid w:val="00720EEA"/>
    <w:rsid w:val="007211A8"/>
    <w:rsid w:val="007227CB"/>
    <w:rsid w:val="00722AF1"/>
    <w:rsid w:val="00723397"/>
    <w:rsid w:val="007237E1"/>
    <w:rsid w:val="00723DAF"/>
    <w:rsid w:val="0072517C"/>
    <w:rsid w:val="007259E6"/>
    <w:rsid w:val="00725E66"/>
    <w:rsid w:val="00726A49"/>
    <w:rsid w:val="00726E66"/>
    <w:rsid w:val="00727A66"/>
    <w:rsid w:val="00730592"/>
    <w:rsid w:val="0073063D"/>
    <w:rsid w:val="00731E7C"/>
    <w:rsid w:val="0073374D"/>
    <w:rsid w:val="00734AB6"/>
    <w:rsid w:val="00734C54"/>
    <w:rsid w:val="00735123"/>
    <w:rsid w:val="007369F8"/>
    <w:rsid w:val="00736AFA"/>
    <w:rsid w:val="00740E31"/>
    <w:rsid w:val="00741CB5"/>
    <w:rsid w:val="00742321"/>
    <w:rsid w:val="007431FD"/>
    <w:rsid w:val="00744FF1"/>
    <w:rsid w:val="007455D3"/>
    <w:rsid w:val="00745823"/>
    <w:rsid w:val="007476FF"/>
    <w:rsid w:val="00747F8A"/>
    <w:rsid w:val="00750987"/>
    <w:rsid w:val="007510A1"/>
    <w:rsid w:val="00752E11"/>
    <w:rsid w:val="0075397E"/>
    <w:rsid w:val="007545D2"/>
    <w:rsid w:val="00754FB3"/>
    <w:rsid w:val="00756F24"/>
    <w:rsid w:val="007610A1"/>
    <w:rsid w:val="007649BB"/>
    <w:rsid w:val="0076727C"/>
    <w:rsid w:val="007678F2"/>
    <w:rsid w:val="00767D48"/>
    <w:rsid w:val="007701AF"/>
    <w:rsid w:val="00772E06"/>
    <w:rsid w:val="00772F74"/>
    <w:rsid w:val="007737D7"/>
    <w:rsid w:val="00773EBB"/>
    <w:rsid w:val="007741DD"/>
    <w:rsid w:val="00775C79"/>
    <w:rsid w:val="00775FDD"/>
    <w:rsid w:val="00776C43"/>
    <w:rsid w:val="00780FF6"/>
    <w:rsid w:val="007812AC"/>
    <w:rsid w:val="0078229C"/>
    <w:rsid w:val="00782AA9"/>
    <w:rsid w:val="00783BEA"/>
    <w:rsid w:val="00786593"/>
    <w:rsid w:val="007865A8"/>
    <w:rsid w:val="007875CB"/>
    <w:rsid w:val="00790A28"/>
    <w:rsid w:val="00790CC7"/>
    <w:rsid w:val="00791139"/>
    <w:rsid w:val="0079131C"/>
    <w:rsid w:val="007914DD"/>
    <w:rsid w:val="00792BAC"/>
    <w:rsid w:val="007930E3"/>
    <w:rsid w:val="007933C5"/>
    <w:rsid w:val="00793895"/>
    <w:rsid w:val="007943A8"/>
    <w:rsid w:val="00794FD0"/>
    <w:rsid w:val="0079596C"/>
    <w:rsid w:val="00796635"/>
    <w:rsid w:val="00797389"/>
    <w:rsid w:val="007A0D7E"/>
    <w:rsid w:val="007A17AE"/>
    <w:rsid w:val="007A1D77"/>
    <w:rsid w:val="007A2B2B"/>
    <w:rsid w:val="007A4B3C"/>
    <w:rsid w:val="007A50FE"/>
    <w:rsid w:val="007A523A"/>
    <w:rsid w:val="007A5DCE"/>
    <w:rsid w:val="007A66AF"/>
    <w:rsid w:val="007A759A"/>
    <w:rsid w:val="007B2072"/>
    <w:rsid w:val="007B217C"/>
    <w:rsid w:val="007B3336"/>
    <w:rsid w:val="007B3463"/>
    <w:rsid w:val="007B365E"/>
    <w:rsid w:val="007B39D8"/>
    <w:rsid w:val="007B428A"/>
    <w:rsid w:val="007B76E2"/>
    <w:rsid w:val="007C00A0"/>
    <w:rsid w:val="007C08F6"/>
    <w:rsid w:val="007C1B86"/>
    <w:rsid w:val="007C4603"/>
    <w:rsid w:val="007C549E"/>
    <w:rsid w:val="007C5935"/>
    <w:rsid w:val="007C70C6"/>
    <w:rsid w:val="007D10C5"/>
    <w:rsid w:val="007D2DCB"/>
    <w:rsid w:val="007D31CF"/>
    <w:rsid w:val="007D32D3"/>
    <w:rsid w:val="007D366A"/>
    <w:rsid w:val="007D403F"/>
    <w:rsid w:val="007D40FD"/>
    <w:rsid w:val="007D49E9"/>
    <w:rsid w:val="007D4F53"/>
    <w:rsid w:val="007D69B2"/>
    <w:rsid w:val="007D796A"/>
    <w:rsid w:val="007E0440"/>
    <w:rsid w:val="007E1705"/>
    <w:rsid w:val="007E1B7C"/>
    <w:rsid w:val="007E2D39"/>
    <w:rsid w:val="007E2D5A"/>
    <w:rsid w:val="007E69A2"/>
    <w:rsid w:val="007F0945"/>
    <w:rsid w:val="007F5E4D"/>
    <w:rsid w:val="007F71C4"/>
    <w:rsid w:val="008009A8"/>
    <w:rsid w:val="008034AF"/>
    <w:rsid w:val="008047AD"/>
    <w:rsid w:val="008048FF"/>
    <w:rsid w:val="00804CF2"/>
    <w:rsid w:val="00805CCC"/>
    <w:rsid w:val="00806B03"/>
    <w:rsid w:val="00806EE1"/>
    <w:rsid w:val="008072E6"/>
    <w:rsid w:val="0080779F"/>
    <w:rsid w:val="00807F33"/>
    <w:rsid w:val="00811281"/>
    <w:rsid w:val="00813306"/>
    <w:rsid w:val="00816129"/>
    <w:rsid w:val="00817551"/>
    <w:rsid w:val="00817A49"/>
    <w:rsid w:val="00817EC8"/>
    <w:rsid w:val="00821628"/>
    <w:rsid w:val="00821FAF"/>
    <w:rsid w:val="008242B3"/>
    <w:rsid w:val="0082436F"/>
    <w:rsid w:val="00824F25"/>
    <w:rsid w:val="0082532D"/>
    <w:rsid w:val="00826C2B"/>
    <w:rsid w:val="00827F34"/>
    <w:rsid w:val="00830D8F"/>
    <w:rsid w:val="00831DB8"/>
    <w:rsid w:val="00833970"/>
    <w:rsid w:val="00833A43"/>
    <w:rsid w:val="00835D8A"/>
    <w:rsid w:val="00835F0C"/>
    <w:rsid w:val="00836FEC"/>
    <w:rsid w:val="00837D47"/>
    <w:rsid w:val="00841124"/>
    <w:rsid w:val="00842F9B"/>
    <w:rsid w:val="00843286"/>
    <w:rsid w:val="008439D3"/>
    <w:rsid w:val="00843BF7"/>
    <w:rsid w:val="008448C4"/>
    <w:rsid w:val="008450F0"/>
    <w:rsid w:val="00845923"/>
    <w:rsid w:val="008461C0"/>
    <w:rsid w:val="00846B23"/>
    <w:rsid w:val="0084773D"/>
    <w:rsid w:val="00852F6D"/>
    <w:rsid w:val="00853E32"/>
    <w:rsid w:val="008542FE"/>
    <w:rsid w:val="00854E4E"/>
    <w:rsid w:val="0085615B"/>
    <w:rsid w:val="00856AB0"/>
    <w:rsid w:val="0086117C"/>
    <w:rsid w:val="008628A3"/>
    <w:rsid w:val="00865273"/>
    <w:rsid w:val="008664D1"/>
    <w:rsid w:val="008673ED"/>
    <w:rsid w:val="00867C2D"/>
    <w:rsid w:val="00870364"/>
    <w:rsid w:val="00870F21"/>
    <w:rsid w:val="008710D7"/>
    <w:rsid w:val="00873A3B"/>
    <w:rsid w:val="00873CF4"/>
    <w:rsid w:val="00873F1F"/>
    <w:rsid w:val="0087438D"/>
    <w:rsid w:val="00875B46"/>
    <w:rsid w:val="00876DA2"/>
    <w:rsid w:val="00876F7B"/>
    <w:rsid w:val="00882C06"/>
    <w:rsid w:val="00882F6E"/>
    <w:rsid w:val="008839D3"/>
    <w:rsid w:val="008841CD"/>
    <w:rsid w:val="008842F7"/>
    <w:rsid w:val="008843AD"/>
    <w:rsid w:val="00884A14"/>
    <w:rsid w:val="0088563B"/>
    <w:rsid w:val="00885875"/>
    <w:rsid w:val="00885FB3"/>
    <w:rsid w:val="008904B0"/>
    <w:rsid w:val="008922E7"/>
    <w:rsid w:val="00893362"/>
    <w:rsid w:val="008935B6"/>
    <w:rsid w:val="00895755"/>
    <w:rsid w:val="008959A6"/>
    <w:rsid w:val="008967A4"/>
    <w:rsid w:val="0089689E"/>
    <w:rsid w:val="008A1928"/>
    <w:rsid w:val="008A1957"/>
    <w:rsid w:val="008A2245"/>
    <w:rsid w:val="008A28E9"/>
    <w:rsid w:val="008A4FC7"/>
    <w:rsid w:val="008A5236"/>
    <w:rsid w:val="008A6996"/>
    <w:rsid w:val="008B0CF2"/>
    <w:rsid w:val="008B19B0"/>
    <w:rsid w:val="008B263B"/>
    <w:rsid w:val="008B2DC7"/>
    <w:rsid w:val="008B35EE"/>
    <w:rsid w:val="008B3AEC"/>
    <w:rsid w:val="008B437C"/>
    <w:rsid w:val="008B5D30"/>
    <w:rsid w:val="008B75A9"/>
    <w:rsid w:val="008B7FAD"/>
    <w:rsid w:val="008C0DAB"/>
    <w:rsid w:val="008C23E8"/>
    <w:rsid w:val="008C28B5"/>
    <w:rsid w:val="008C3027"/>
    <w:rsid w:val="008C3CA8"/>
    <w:rsid w:val="008C58C9"/>
    <w:rsid w:val="008C64B3"/>
    <w:rsid w:val="008C7524"/>
    <w:rsid w:val="008D01F3"/>
    <w:rsid w:val="008D0435"/>
    <w:rsid w:val="008D1AB4"/>
    <w:rsid w:val="008D24CA"/>
    <w:rsid w:val="008D34DC"/>
    <w:rsid w:val="008D394C"/>
    <w:rsid w:val="008D3CB4"/>
    <w:rsid w:val="008D6212"/>
    <w:rsid w:val="008D7195"/>
    <w:rsid w:val="008D7565"/>
    <w:rsid w:val="008E187E"/>
    <w:rsid w:val="008E197F"/>
    <w:rsid w:val="008E1D77"/>
    <w:rsid w:val="008E1E32"/>
    <w:rsid w:val="008E2E0F"/>
    <w:rsid w:val="008E3A54"/>
    <w:rsid w:val="008E49DB"/>
    <w:rsid w:val="008E56D3"/>
    <w:rsid w:val="008E7579"/>
    <w:rsid w:val="008F01C9"/>
    <w:rsid w:val="008F0C01"/>
    <w:rsid w:val="008F3C4A"/>
    <w:rsid w:val="008F4092"/>
    <w:rsid w:val="008F43F2"/>
    <w:rsid w:val="008F58D3"/>
    <w:rsid w:val="008F6EAA"/>
    <w:rsid w:val="008F7167"/>
    <w:rsid w:val="009002A9"/>
    <w:rsid w:val="00900B1C"/>
    <w:rsid w:val="00900CB9"/>
    <w:rsid w:val="00904168"/>
    <w:rsid w:val="00904434"/>
    <w:rsid w:val="009045EB"/>
    <w:rsid w:val="009048E0"/>
    <w:rsid w:val="00905BB3"/>
    <w:rsid w:val="00907323"/>
    <w:rsid w:val="0090762F"/>
    <w:rsid w:val="009076A8"/>
    <w:rsid w:val="0090798E"/>
    <w:rsid w:val="00910E5B"/>
    <w:rsid w:val="009112E0"/>
    <w:rsid w:val="0091386B"/>
    <w:rsid w:val="00913D17"/>
    <w:rsid w:val="009160D7"/>
    <w:rsid w:val="00916297"/>
    <w:rsid w:val="0092104B"/>
    <w:rsid w:val="00921515"/>
    <w:rsid w:val="0092246E"/>
    <w:rsid w:val="00925CBA"/>
    <w:rsid w:val="00925D57"/>
    <w:rsid w:val="00925F0E"/>
    <w:rsid w:val="00926D5F"/>
    <w:rsid w:val="009304FA"/>
    <w:rsid w:val="00930808"/>
    <w:rsid w:val="009325DF"/>
    <w:rsid w:val="0093489B"/>
    <w:rsid w:val="00934BEB"/>
    <w:rsid w:val="00935EF1"/>
    <w:rsid w:val="00936113"/>
    <w:rsid w:val="00940E41"/>
    <w:rsid w:val="009418D2"/>
    <w:rsid w:val="009437B4"/>
    <w:rsid w:val="00944615"/>
    <w:rsid w:val="0094582A"/>
    <w:rsid w:val="00946EEC"/>
    <w:rsid w:val="00947CDF"/>
    <w:rsid w:val="00952044"/>
    <w:rsid w:val="00954AA1"/>
    <w:rsid w:val="00960084"/>
    <w:rsid w:val="0096223E"/>
    <w:rsid w:val="00962CF6"/>
    <w:rsid w:val="0096538B"/>
    <w:rsid w:val="00965714"/>
    <w:rsid w:val="00966131"/>
    <w:rsid w:val="0096659E"/>
    <w:rsid w:val="00966B28"/>
    <w:rsid w:val="009675CA"/>
    <w:rsid w:val="00970F14"/>
    <w:rsid w:val="0097313D"/>
    <w:rsid w:val="00973D46"/>
    <w:rsid w:val="00977237"/>
    <w:rsid w:val="0097794A"/>
    <w:rsid w:val="00977A2B"/>
    <w:rsid w:val="00980FAC"/>
    <w:rsid w:val="0098192F"/>
    <w:rsid w:val="00982780"/>
    <w:rsid w:val="00982BEF"/>
    <w:rsid w:val="00983950"/>
    <w:rsid w:val="00983988"/>
    <w:rsid w:val="00983D77"/>
    <w:rsid w:val="00985171"/>
    <w:rsid w:val="00985E37"/>
    <w:rsid w:val="00986BAD"/>
    <w:rsid w:val="00986FAA"/>
    <w:rsid w:val="00987D95"/>
    <w:rsid w:val="0099026D"/>
    <w:rsid w:val="009902B3"/>
    <w:rsid w:val="00990D3E"/>
    <w:rsid w:val="00993382"/>
    <w:rsid w:val="0099584D"/>
    <w:rsid w:val="00996709"/>
    <w:rsid w:val="00996892"/>
    <w:rsid w:val="00996ADD"/>
    <w:rsid w:val="00996D9C"/>
    <w:rsid w:val="0099749B"/>
    <w:rsid w:val="009A01A9"/>
    <w:rsid w:val="009A09E9"/>
    <w:rsid w:val="009A3DC3"/>
    <w:rsid w:val="009A61C4"/>
    <w:rsid w:val="009A622B"/>
    <w:rsid w:val="009A782D"/>
    <w:rsid w:val="009B0ED0"/>
    <w:rsid w:val="009B107C"/>
    <w:rsid w:val="009B11F4"/>
    <w:rsid w:val="009B1619"/>
    <w:rsid w:val="009B1712"/>
    <w:rsid w:val="009B2448"/>
    <w:rsid w:val="009B2DF7"/>
    <w:rsid w:val="009B3393"/>
    <w:rsid w:val="009B5522"/>
    <w:rsid w:val="009B6DE8"/>
    <w:rsid w:val="009B74DE"/>
    <w:rsid w:val="009C199E"/>
    <w:rsid w:val="009C215D"/>
    <w:rsid w:val="009C34F0"/>
    <w:rsid w:val="009C36DF"/>
    <w:rsid w:val="009C3A9A"/>
    <w:rsid w:val="009C56C2"/>
    <w:rsid w:val="009C64C4"/>
    <w:rsid w:val="009C6D20"/>
    <w:rsid w:val="009C7702"/>
    <w:rsid w:val="009D0DD5"/>
    <w:rsid w:val="009D17E0"/>
    <w:rsid w:val="009D19E7"/>
    <w:rsid w:val="009D2794"/>
    <w:rsid w:val="009D2A32"/>
    <w:rsid w:val="009D3264"/>
    <w:rsid w:val="009D3FCA"/>
    <w:rsid w:val="009D4532"/>
    <w:rsid w:val="009D4C33"/>
    <w:rsid w:val="009D57D4"/>
    <w:rsid w:val="009D706A"/>
    <w:rsid w:val="009D7238"/>
    <w:rsid w:val="009E23DC"/>
    <w:rsid w:val="009E312D"/>
    <w:rsid w:val="009E41AE"/>
    <w:rsid w:val="009E4D48"/>
    <w:rsid w:val="009E5007"/>
    <w:rsid w:val="009E5664"/>
    <w:rsid w:val="009E64A1"/>
    <w:rsid w:val="009E654D"/>
    <w:rsid w:val="009F034B"/>
    <w:rsid w:val="009F03E7"/>
    <w:rsid w:val="009F2DDD"/>
    <w:rsid w:val="009F3D71"/>
    <w:rsid w:val="009F41E1"/>
    <w:rsid w:val="009F6821"/>
    <w:rsid w:val="009F6F08"/>
    <w:rsid w:val="009F743C"/>
    <w:rsid w:val="009F75E0"/>
    <w:rsid w:val="00A00B0E"/>
    <w:rsid w:val="00A0233F"/>
    <w:rsid w:val="00A02D04"/>
    <w:rsid w:val="00A03A2A"/>
    <w:rsid w:val="00A0528A"/>
    <w:rsid w:val="00A059AA"/>
    <w:rsid w:val="00A06AFF"/>
    <w:rsid w:val="00A1043D"/>
    <w:rsid w:val="00A122BA"/>
    <w:rsid w:val="00A128CF"/>
    <w:rsid w:val="00A130BC"/>
    <w:rsid w:val="00A153BD"/>
    <w:rsid w:val="00A16518"/>
    <w:rsid w:val="00A17613"/>
    <w:rsid w:val="00A17976"/>
    <w:rsid w:val="00A20D02"/>
    <w:rsid w:val="00A2282D"/>
    <w:rsid w:val="00A22922"/>
    <w:rsid w:val="00A23758"/>
    <w:rsid w:val="00A24B7D"/>
    <w:rsid w:val="00A25505"/>
    <w:rsid w:val="00A25885"/>
    <w:rsid w:val="00A27CC8"/>
    <w:rsid w:val="00A30765"/>
    <w:rsid w:val="00A30939"/>
    <w:rsid w:val="00A312AB"/>
    <w:rsid w:val="00A31919"/>
    <w:rsid w:val="00A3195A"/>
    <w:rsid w:val="00A31F2E"/>
    <w:rsid w:val="00A3289A"/>
    <w:rsid w:val="00A33932"/>
    <w:rsid w:val="00A33F82"/>
    <w:rsid w:val="00A345D5"/>
    <w:rsid w:val="00A37CD8"/>
    <w:rsid w:val="00A37F5B"/>
    <w:rsid w:val="00A402D7"/>
    <w:rsid w:val="00A40569"/>
    <w:rsid w:val="00A408EF"/>
    <w:rsid w:val="00A42C2E"/>
    <w:rsid w:val="00A42D6B"/>
    <w:rsid w:val="00A433A7"/>
    <w:rsid w:val="00A46471"/>
    <w:rsid w:val="00A46F6E"/>
    <w:rsid w:val="00A4737D"/>
    <w:rsid w:val="00A52957"/>
    <w:rsid w:val="00A52FA1"/>
    <w:rsid w:val="00A53A35"/>
    <w:rsid w:val="00A548CF"/>
    <w:rsid w:val="00A5537A"/>
    <w:rsid w:val="00A5612A"/>
    <w:rsid w:val="00A56BBA"/>
    <w:rsid w:val="00A6012F"/>
    <w:rsid w:val="00A61468"/>
    <w:rsid w:val="00A62D8C"/>
    <w:rsid w:val="00A63587"/>
    <w:rsid w:val="00A63730"/>
    <w:rsid w:val="00A64298"/>
    <w:rsid w:val="00A64414"/>
    <w:rsid w:val="00A644A0"/>
    <w:rsid w:val="00A6657D"/>
    <w:rsid w:val="00A666ED"/>
    <w:rsid w:val="00A66AA6"/>
    <w:rsid w:val="00A674AF"/>
    <w:rsid w:val="00A74C3E"/>
    <w:rsid w:val="00A7610E"/>
    <w:rsid w:val="00A8124C"/>
    <w:rsid w:val="00A8312B"/>
    <w:rsid w:val="00A84046"/>
    <w:rsid w:val="00A862FF"/>
    <w:rsid w:val="00A87CF6"/>
    <w:rsid w:val="00A9014D"/>
    <w:rsid w:val="00A904F1"/>
    <w:rsid w:val="00A91839"/>
    <w:rsid w:val="00A9210E"/>
    <w:rsid w:val="00A930ED"/>
    <w:rsid w:val="00A94891"/>
    <w:rsid w:val="00A94BAE"/>
    <w:rsid w:val="00A95736"/>
    <w:rsid w:val="00AA11AF"/>
    <w:rsid w:val="00AA1FA2"/>
    <w:rsid w:val="00AA2559"/>
    <w:rsid w:val="00AA7E67"/>
    <w:rsid w:val="00AB03F3"/>
    <w:rsid w:val="00AB044D"/>
    <w:rsid w:val="00AB2404"/>
    <w:rsid w:val="00AB2AA5"/>
    <w:rsid w:val="00AB2FBF"/>
    <w:rsid w:val="00AB357C"/>
    <w:rsid w:val="00AB4562"/>
    <w:rsid w:val="00AB4E55"/>
    <w:rsid w:val="00AB51D4"/>
    <w:rsid w:val="00AB53B6"/>
    <w:rsid w:val="00AB629D"/>
    <w:rsid w:val="00AB66A9"/>
    <w:rsid w:val="00AB68BB"/>
    <w:rsid w:val="00AB6F19"/>
    <w:rsid w:val="00AB7E37"/>
    <w:rsid w:val="00AC0A70"/>
    <w:rsid w:val="00AC24F4"/>
    <w:rsid w:val="00AC3EE4"/>
    <w:rsid w:val="00AC4155"/>
    <w:rsid w:val="00AC46E6"/>
    <w:rsid w:val="00AC4CD6"/>
    <w:rsid w:val="00AC4E63"/>
    <w:rsid w:val="00AC5C98"/>
    <w:rsid w:val="00AC5CFC"/>
    <w:rsid w:val="00AC6908"/>
    <w:rsid w:val="00AD0909"/>
    <w:rsid w:val="00AD24F0"/>
    <w:rsid w:val="00AD2C70"/>
    <w:rsid w:val="00AD467D"/>
    <w:rsid w:val="00AD47AC"/>
    <w:rsid w:val="00AD47ED"/>
    <w:rsid w:val="00AD631E"/>
    <w:rsid w:val="00AD7B17"/>
    <w:rsid w:val="00AD7D1E"/>
    <w:rsid w:val="00AD7EC1"/>
    <w:rsid w:val="00AE0CCF"/>
    <w:rsid w:val="00AE1BB8"/>
    <w:rsid w:val="00AE24DA"/>
    <w:rsid w:val="00AE496E"/>
    <w:rsid w:val="00AE62EE"/>
    <w:rsid w:val="00AE7CC0"/>
    <w:rsid w:val="00AF01D1"/>
    <w:rsid w:val="00AF11AC"/>
    <w:rsid w:val="00AF13C8"/>
    <w:rsid w:val="00AF1A94"/>
    <w:rsid w:val="00AF2BEA"/>
    <w:rsid w:val="00AF318A"/>
    <w:rsid w:val="00AF35B3"/>
    <w:rsid w:val="00AF415B"/>
    <w:rsid w:val="00AF46E6"/>
    <w:rsid w:val="00B02714"/>
    <w:rsid w:val="00B0285A"/>
    <w:rsid w:val="00B02D5A"/>
    <w:rsid w:val="00B03525"/>
    <w:rsid w:val="00B03F5E"/>
    <w:rsid w:val="00B04B57"/>
    <w:rsid w:val="00B05D7F"/>
    <w:rsid w:val="00B061F9"/>
    <w:rsid w:val="00B068FF"/>
    <w:rsid w:val="00B06941"/>
    <w:rsid w:val="00B06FC4"/>
    <w:rsid w:val="00B07A1E"/>
    <w:rsid w:val="00B11338"/>
    <w:rsid w:val="00B11E9E"/>
    <w:rsid w:val="00B13B72"/>
    <w:rsid w:val="00B14482"/>
    <w:rsid w:val="00B15C32"/>
    <w:rsid w:val="00B16571"/>
    <w:rsid w:val="00B16F46"/>
    <w:rsid w:val="00B17CF0"/>
    <w:rsid w:val="00B22EE2"/>
    <w:rsid w:val="00B23B45"/>
    <w:rsid w:val="00B27776"/>
    <w:rsid w:val="00B3236D"/>
    <w:rsid w:val="00B32761"/>
    <w:rsid w:val="00B32846"/>
    <w:rsid w:val="00B32E9B"/>
    <w:rsid w:val="00B342AE"/>
    <w:rsid w:val="00B34A46"/>
    <w:rsid w:val="00B34DB8"/>
    <w:rsid w:val="00B34F7D"/>
    <w:rsid w:val="00B352DE"/>
    <w:rsid w:val="00B36116"/>
    <w:rsid w:val="00B37E6E"/>
    <w:rsid w:val="00B41E19"/>
    <w:rsid w:val="00B4615D"/>
    <w:rsid w:val="00B471B3"/>
    <w:rsid w:val="00B51618"/>
    <w:rsid w:val="00B51F2C"/>
    <w:rsid w:val="00B51FD0"/>
    <w:rsid w:val="00B52B66"/>
    <w:rsid w:val="00B54A7D"/>
    <w:rsid w:val="00B55CB2"/>
    <w:rsid w:val="00B55EC3"/>
    <w:rsid w:val="00B56873"/>
    <w:rsid w:val="00B57B75"/>
    <w:rsid w:val="00B60C13"/>
    <w:rsid w:val="00B62A4A"/>
    <w:rsid w:val="00B63383"/>
    <w:rsid w:val="00B6505B"/>
    <w:rsid w:val="00B6514A"/>
    <w:rsid w:val="00B65582"/>
    <w:rsid w:val="00B655D4"/>
    <w:rsid w:val="00B66793"/>
    <w:rsid w:val="00B6778B"/>
    <w:rsid w:val="00B70602"/>
    <w:rsid w:val="00B7191B"/>
    <w:rsid w:val="00B72679"/>
    <w:rsid w:val="00B72C47"/>
    <w:rsid w:val="00B7339E"/>
    <w:rsid w:val="00B7398B"/>
    <w:rsid w:val="00B73FC0"/>
    <w:rsid w:val="00B74BFE"/>
    <w:rsid w:val="00B75824"/>
    <w:rsid w:val="00B75BBF"/>
    <w:rsid w:val="00B76D35"/>
    <w:rsid w:val="00B77A4E"/>
    <w:rsid w:val="00B802ED"/>
    <w:rsid w:val="00B80679"/>
    <w:rsid w:val="00B819ED"/>
    <w:rsid w:val="00B8497B"/>
    <w:rsid w:val="00B864C2"/>
    <w:rsid w:val="00B9029A"/>
    <w:rsid w:val="00B91304"/>
    <w:rsid w:val="00B92BD4"/>
    <w:rsid w:val="00B93686"/>
    <w:rsid w:val="00B94388"/>
    <w:rsid w:val="00B967AD"/>
    <w:rsid w:val="00B96A59"/>
    <w:rsid w:val="00B976CD"/>
    <w:rsid w:val="00BA2746"/>
    <w:rsid w:val="00BA2F9F"/>
    <w:rsid w:val="00BA6D5A"/>
    <w:rsid w:val="00BA762B"/>
    <w:rsid w:val="00BB1F24"/>
    <w:rsid w:val="00BB68C3"/>
    <w:rsid w:val="00BB6CF0"/>
    <w:rsid w:val="00BB74C0"/>
    <w:rsid w:val="00BB757C"/>
    <w:rsid w:val="00BB76A2"/>
    <w:rsid w:val="00BB7A64"/>
    <w:rsid w:val="00BC19E7"/>
    <w:rsid w:val="00BC1B19"/>
    <w:rsid w:val="00BC1C84"/>
    <w:rsid w:val="00BC2F8D"/>
    <w:rsid w:val="00BC2FA9"/>
    <w:rsid w:val="00BC3EEF"/>
    <w:rsid w:val="00BC42FC"/>
    <w:rsid w:val="00BC52F1"/>
    <w:rsid w:val="00BC5D28"/>
    <w:rsid w:val="00BC6247"/>
    <w:rsid w:val="00BC66C6"/>
    <w:rsid w:val="00BC6C33"/>
    <w:rsid w:val="00BD0074"/>
    <w:rsid w:val="00BD01F4"/>
    <w:rsid w:val="00BD1AB2"/>
    <w:rsid w:val="00BD2400"/>
    <w:rsid w:val="00BD2D07"/>
    <w:rsid w:val="00BD4D33"/>
    <w:rsid w:val="00BD63F3"/>
    <w:rsid w:val="00BD6B1A"/>
    <w:rsid w:val="00BD6E8E"/>
    <w:rsid w:val="00BD784C"/>
    <w:rsid w:val="00BE0456"/>
    <w:rsid w:val="00BE25F2"/>
    <w:rsid w:val="00BE28A2"/>
    <w:rsid w:val="00BE2FCF"/>
    <w:rsid w:val="00BE3132"/>
    <w:rsid w:val="00BE3A82"/>
    <w:rsid w:val="00BE3CA8"/>
    <w:rsid w:val="00BE630A"/>
    <w:rsid w:val="00BE63F3"/>
    <w:rsid w:val="00BF1880"/>
    <w:rsid w:val="00BF1E5B"/>
    <w:rsid w:val="00BF2FF2"/>
    <w:rsid w:val="00BF304E"/>
    <w:rsid w:val="00BF3300"/>
    <w:rsid w:val="00BF3EA5"/>
    <w:rsid w:val="00BF4348"/>
    <w:rsid w:val="00BF685A"/>
    <w:rsid w:val="00BF6EAC"/>
    <w:rsid w:val="00C01A4C"/>
    <w:rsid w:val="00C0299F"/>
    <w:rsid w:val="00C02B10"/>
    <w:rsid w:val="00C05CFC"/>
    <w:rsid w:val="00C0611D"/>
    <w:rsid w:val="00C10D56"/>
    <w:rsid w:val="00C10F91"/>
    <w:rsid w:val="00C11795"/>
    <w:rsid w:val="00C1195C"/>
    <w:rsid w:val="00C1229D"/>
    <w:rsid w:val="00C128DB"/>
    <w:rsid w:val="00C13BB4"/>
    <w:rsid w:val="00C1429B"/>
    <w:rsid w:val="00C1484E"/>
    <w:rsid w:val="00C14994"/>
    <w:rsid w:val="00C15975"/>
    <w:rsid w:val="00C15FDB"/>
    <w:rsid w:val="00C16735"/>
    <w:rsid w:val="00C172DE"/>
    <w:rsid w:val="00C22BB8"/>
    <w:rsid w:val="00C23B07"/>
    <w:rsid w:val="00C2470D"/>
    <w:rsid w:val="00C26A8A"/>
    <w:rsid w:val="00C2743F"/>
    <w:rsid w:val="00C30B38"/>
    <w:rsid w:val="00C330F1"/>
    <w:rsid w:val="00C335F5"/>
    <w:rsid w:val="00C33797"/>
    <w:rsid w:val="00C35086"/>
    <w:rsid w:val="00C35FD1"/>
    <w:rsid w:val="00C4047D"/>
    <w:rsid w:val="00C4057B"/>
    <w:rsid w:val="00C407D3"/>
    <w:rsid w:val="00C41B01"/>
    <w:rsid w:val="00C4229E"/>
    <w:rsid w:val="00C44EB8"/>
    <w:rsid w:val="00C454C1"/>
    <w:rsid w:val="00C45B0A"/>
    <w:rsid w:val="00C467D2"/>
    <w:rsid w:val="00C50043"/>
    <w:rsid w:val="00C50DF7"/>
    <w:rsid w:val="00C50F49"/>
    <w:rsid w:val="00C52952"/>
    <w:rsid w:val="00C53C79"/>
    <w:rsid w:val="00C53EB3"/>
    <w:rsid w:val="00C54F21"/>
    <w:rsid w:val="00C55138"/>
    <w:rsid w:val="00C56A79"/>
    <w:rsid w:val="00C56B87"/>
    <w:rsid w:val="00C57507"/>
    <w:rsid w:val="00C5765F"/>
    <w:rsid w:val="00C60BD1"/>
    <w:rsid w:val="00C60F22"/>
    <w:rsid w:val="00C62B6F"/>
    <w:rsid w:val="00C6320C"/>
    <w:rsid w:val="00C63BE0"/>
    <w:rsid w:val="00C64207"/>
    <w:rsid w:val="00C66090"/>
    <w:rsid w:val="00C6630D"/>
    <w:rsid w:val="00C67C08"/>
    <w:rsid w:val="00C70230"/>
    <w:rsid w:val="00C72017"/>
    <w:rsid w:val="00C72CA4"/>
    <w:rsid w:val="00C75EC3"/>
    <w:rsid w:val="00C7615A"/>
    <w:rsid w:val="00C7647B"/>
    <w:rsid w:val="00C805A5"/>
    <w:rsid w:val="00C80AB0"/>
    <w:rsid w:val="00C80E6C"/>
    <w:rsid w:val="00C80EA8"/>
    <w:rsid w:val="00C81E73"/>
    <w:rsid w:val="00C84193"/>
    <w:rsid w:val="00C8455E"/>
    <w:rsid w:val="00C84BD0"/>
    <w:rsid w:val="00C875BC"/>
    <w:rsid w:val="00C875C9"/>
    <w:rsid w:val="00C903D6"/>
    <w:rsid w:val="00C935AC"/>
    <w:rsid w:val="00C94084"/>
    <w:rsid w:val="00C94AE7"/>
    <w:rsid w:val="00C96911"/>
    <w:rsid w:val="00CA0ACE"/>
    <w:rsid w:val="00CA21C6"/>
    <w:rsid w:val="00CA2645"/>
    <w:rsid w:val="00CA29E7"/>
    <w:rsid w:val="00CA32D2"/>
    <w:rsid w:val="00CA3329"/>
    <w:rsid w:val="00CA382E"/>
    <w:rsid w:val="00CA40CD"/>
    <w:rsid w:val="00CA6A60"/>
    <w:rsid w:val="00CA7212"/>
    <w:rsid w:val="00CA759A"/>
    <w:rsid w:val="00CA7729"/>
    <w:rsid w:val="00CA7A56"/>
    <w:rsid w:val="00CB1AA1"/>
    <w:rsid w:val="00CB2EE3"/>
    <w:rsid w:val="00CB3767"/>
    <w:rsid w:val="00CB3D0D"/>
    <w:rsid w:val="00CB5B5B"/>
    <w:rsid w:val="00CB62E2"/>
    <w:rsid w:val="00CB6446"/>
    <w:rsid w:val="00CC0049"/>
    <w:rsid w:val="00CC0AB9"/>
    <w:rsid w:val="00CC1029"/>
    <w:rsid w:val="00CC2F47"/>
    <w:rsid w:val="00CC3FF8"/>
    <w:rsid w:val="00CC4B75"/>
    <w:rsid w:val="00CC5913"/>
    <w:rsid w:val="00CD1CD0"/>
    <w:rsid w:val="00CD251D"/>
    <w:rsid w:val="00CD3550"/>
    <w:rsid w:val="00CD3573"/>
    <w:rsid w:val="00CD3838"/>
    <w:rsid w:val="00CD417E"/>
    <w:rsid w:val="00CD50E7"/>
    <w:rsid w:val="00CD50F6"/>
    <w:rsid w:val="00CD57E3"/>
    <w:rsid w:val="00CD5DFB"/>
    <w:rsid w:val="00CD5F56"/>
    <w:rsid w:val="00CD6BB7"/>
    <w:rsid w:val="00CD6C78"/>
    <w:rsid w:val="00CE2297"/>
    <w:rsid w:val="00CE2C84"/>
    <w:rsid w:val="00CE3866"/>
    <w:rsid w:val="00CE4513"/>
    <w:rsid w:val="00CE66E4"/>
    <w:rsid w:val="00CF3065"/>
    <w:rsid w:val="00CF3DF4"/>
    <w:rsid w:val="00CF469B"/>
    <w:rsid w:val="00CF4C44"/>
    <w:rsid w:val="00CF546B"/>
    <w:rsid w:val="00CF560D"/>
    <w:rsid w:val="00CF69B9"/>
    <w:rsid w:val="00CF76E8"/>
    <w:rsid w:val="00D01073"/>
    <w:rsid w:val="00D02DCE"/>
    <w:rsid w:val="00D02DD2"/>
    <w:rsid w:val="00D03068"/>
    <w:rsid w:val="00D0330F"/>
    <w:rsid w:val="00D03973"/>
    <w:rsid w:val="00D03E22"/>
    <w:rsid w:val="00D063DF"/>
    <w:rsid w:val="00D06761"/>
    <w:rsid w:val="00D06771"/>
    <w:rsid w:val="00D067CF"/>
    <w:rsid w:val="00D06FF8"/>
    <w:rsid w:val="00D075FE"/>
    <w:rsid w:val="00D07AEC"/>
    <w:rsid w:val="00D1089F"/>
    <w:rsid w:val="00D10EFF"/>
    <w:rsid w:val="00D10F38"/>
    <w:rsid w:val="00D11B87"/>
    <w:rsid w:val="00D11BBB"/>
    <w:rsid w:val="00D1204A"/>
    <w:rsid w:val="00D12D1F"/>
    <w:rsid w:val="00D134B1"/>
    <w:rsid w:val="00D14243"/>
    <w:rsid w:val="00D1591D"/>
    <w:rsid w:val="00D20560"/>
    <w:rsid w:val="00D2067E"/>
    <w:rsid w:val="00D20883"/>
    <w:rsid w:val="00D20DA5"/>
    <w:rsid w:val="00D22283"/>
    <w:rsid w:val="00D23288"/>
    <w:rsid w:val="00D23B2A"/>
    <w:rsid w:val="00D23DBB"/>
    <w:rsid w:val="00D2424B"/>
    <w:rsid w:val="00D24BE2"/>
    <w:rsid w:val="00D24C28"/>
    <w:rsid w:val="00D24D6C"/>
    <w:rsid w:val="00D25D65"/>
    <w:rsid w:val="00D2610F"/>
    <w:rsid w:val="00D304DA"/>
    <w:rsid w:val="00D31B9E"/>
    <w:rsid w:val="00D31BD7"/>
    <w:rsid w:val="00D32745"/>
    <w:rsid w:val="00D33B45"/>
    <w:rsid w:val="00D35261"/>
    <w:rsid w:val="00D37468"/>
    <w:rsid w:val="00D4306C"/>
    <w:rsid w:val="00D44CB4"/>
    <w:rsid w:val="00D45355"/>
    <w:rsid w:val="00D45470"/>
    <w:rsid w:val="00D466C4"/>
    <w:rsid w:val="00D470F8"/>
    <w:rsid w:val="00D47403"/>
    <w:rsid w:val="00D50240"/>
    <w:rsid w:val="00D51381"/>
    <w:rsid w:val="00D517ED"/>
    <w:rsid w:val="00D51A87"/>
    <w:rsid w:val="00D51E52"/>
    <w:rsid w:val="00D523EE"/>
    <w:rsid w:val="00D56C44"/>
    <w:rsid w:val="00D5701E"/>
    <w:rsid w:val="00D57756"/>
    <w:rsid w:val="00D578A8"/>
    <w:rsid w:val="00D57A54"/>
    <w:rsid w:val="00D61CF4"/>
    <w:rsid w:val="00D6234C"/>
    <w:rsid w:val="00D632DA"/>
    <w:rsid w:val="00D64E9A"/>
    <w:rsid w:val="00D64F56"/>
    <w:rsid w:val="00D7055E"/>
    <w:rsid w:val="00D72412"/>
    <w:rsid w:val="00D72B4F"/>
    <w:rsid w:val="00D73539"/>
    <w:rsid w:val="00D74AF1"/>
    <w:rsid w:val="00D750C3"/>
    <w:rsid w:val="00D75314"/>
    <w:rsid w:val="00D75FE1"/>
    <w:rsid w:val="00D81409"/>
    <w:rsid w:val="00D81FE8"/>
    <w:rsid w:val="00D820A7"/>
    <w:rsid w:val="00D82A4F"/>
    <w:rsid w:val="00D838F7"/>
    <w:rsid w:val="00D87CDF"/>
    <w:rsid w:val="00D91ADA"/>
    <w:rsid w:val="00D92D30"/>
    <w:rsid w:val="00D9396E"/>
    <w:rsid w:val="00D93A0A"/>
    <w:rsid w:val="00D93B7E"/>
    <w:rsid w:val="00D9490A"/>
    <w:rsid w:val="00D94C7B"/>
    <w:rsid w:val="00D95A08"/>
    <w:rsid w:val="00D9703C"/>
    <w:rsid w:val="00D9769F"/>
    <w:rsid w:val="00DA0085"/>
    <w:rsid w:val="00DA0226"/>
    <w:rsid w:val="00DA0D80"/>
    <w:rsid w:val="00DA16AF"/>
    <w:rsid w:val="00DA37F1"/>
    <w:rsid w:val="00DA4E40"/>
    <w:rsid w:val="00DA7027"/>
    <w:rsid w:val="00DB072E"/>
    <w:rsid w:val="00DB2FFE"/>
    <w:rsid w:val="00DB321E"/>
    <w:rsid w:val="00DB4518"/>
    <w:rsid w:val="00DB6629"/>
    <w:rsid w:val="00DC05BD"/>
    <w:rsid w:val="00DC27ED"/>
    <w:rsid w:val="00DC2CB4"/>
    <w:rsid w:val="00DC44B5"/>
    <w:rsid w:val="00DC450E"/>
    <w:rsid w:val="00DC5381"/>
    <w:rsid w:val="00DC5B1D"/>
    <w:rsid w:val="00DC6ADB"/>
    <w:rsid w:val="00DC7255"/>
    <w:rsid w:val="00DC7E75"/>
    <w:rsid w:val="00DD02F5"/>
    <w:rsid w:val="00DD11ED"/>
    <w:rsid w:val="00DD1656"/>
    <w:rsid w:val="00DD1797"/>
    <w:rsid w:val="00DD2235"/>
    <w:rsid w:val="00DD3795"/>
    <w:rsid w:val="00DD3C39"/>
    <w:rsid w:val="00DD5390"/>
    <w:rsid w:val="00DE105A"/>
    <w:rsid w:val="00DE2200"/>
    <w:rsid w:val="00DE3BDD"/>
    <w:rsid w:val="00DE4B1B"/>
    <w:rsid w:val="00DE4B2E"/>
    <w:rsid w:val="00DE5581"/>
    <w:rsid w:val="00DE6172"/>
    <w:rsid w:val="00DE6EA8"/>
    <w:rsid w:val="00DE72E5"/>
    <w:rsid w:val="00DE7B50"/>
    <w:rsid w:val="00DF20BC"/>
    <w:rsid w:val="00DF300B"/>
    <w:rsid w:val="00DF48C5"/>
    <w:rsid w:val="00DF70C4"/>
    <w:rsid w:val="00DF747D"/>
    <w:rsid w:val="00DF7E70"/>
    <w:rsid w:val="00E00ECF"/>
    <w:rsid w:val="00E02797"/>
    <w:rsid w:val="00E04743"/>
    <w:rsid w:val="00E0582B"/>
    <w:rsid w:val="00E0713E"/>
    <w:rsid w:val="00E109DE"/>
    <w:rsid w:val="00E109FD"/>
    <w:rsid w:val="00E11A2F"/>
    <w:rsid w:val="00E11DDD"/>
    <w:rsid w:val="00E11E9D"/>
    <w:rsid w:val="00E134D4"/>
    <w:rsid w:val="00E13FCF"/>
    <w:rsid w:val="00E141A3"/>
    <w:rsid w:val="00E148B6"/>
    <w:rsid w:val="00E15530"/>
    <w:rsid w:val="00E15BAB"/>
    <w:rsid w:val="00E161A9"/>
    <w:rsid w:val="00E16793"/>
    <w:rsid w:val="00E16B52"/>
    <w:rsid w:val="00E1776E"/>
    <w:rsid w:val="00E200BE"/>
    <w:rsid w:val="00E2030F"/>
    <w:rsid w:val="00E20D54"/>
    <w:rsid w:val="00E22B35"/>
    <w:rsid w:val="00E258B2"/>
    <w:rsid w:val="00E25E6A"/>
    <w:rsid w:val="00E26234"/>
    <w:rsid w:val="00E26AE5"/>
    <w:rsid w:val="00E270A4"/>
    <w:rsid w:val="00E27469"/>
    <w:rsid w:val="00E2771C"/>
    <w:rsid w:val="00E30F34"/>
    <w:rsid w:val="00E3141E"/>
    <w:rsid w:val="00E32039"/>
    <w:rsid w:val="00E33AEC"/>
    <w:rsid w:val="00E356F0"/>
    <w:rsid w:val="00E369E2"/>
    <w:rsid w:val="00E3790F"/>
    <w:rsid w:val="00E37F7B"/>
    <w:rsid w:val="00E40B89"/>
    <w:rsid w:val="00E41964"/>
    <w:rsid w:val="00E41B07"/>
    <w:rsid w:val="00E42815"/>
    <w:rsid w:val="00E467AE"/>
    <w:rsid w:val="00E47731"/>
    <w:rsid w:val="00E5175A"/>
    <w:rsid w:val="00E5183A"/>
    <w:rsid w:val="00E52E77"/>
    <w:rsid w:val="00E53E5D"/>
    <w:rsid w:val="00E540CC"/>
    <w:rsid w:val="00E54558"/>
    <w:rsid w:val="00E549D3"/>
    <w:rsid w:val="00E55321"/>
    <w:rsid w:val="00E56FB2"/>
    <w:rsid w:val="00E62593"/>
    <w:rsid w:val="00E631CF"/>
    <w:rsid w:val="00E634D7"/>
    <w:rsid w:val="00E63A61"/>
    <w:rsid w:val="00E65628"/>
    <w:rsid w:val="00E6583E"/>
    <w:rsid w:val="00E658CE"/>
    <w:rsid w:val="00E6594D"/>
    <w:rsid w:val="00E668AC"/>
    <w:rsid w:val="00E70C95"/>
    <w:rsid w:val="00E70CE9"/>
    <w:rsid w:val="00E719A5"/>
    <w:rsid w:val="00E72083"/>
    <w:rsid w:val="00E73007"/>
    <w:rsid w:val="00E74206"/>
    <w:rsid w:val="00E747DE"/>
    <w:rsid w:val="00E74B8A"/>
    <w:rsid w:val="00E80694"/>
    <w:rsid w:val="00E8162B"/>
    <w:rsid w:val="00E8216D"/>
    <w:rsid w:val="00E827ED"/>
    <w:rsid w:val="00E8299E"/>
    <w:rsid w:val="00E82EDD"/>
    <w:rsid w:val="00E8349E"/>
    <w:rsid w:val="00E85170"/>
    <w:rsid w:val="00E854D9"/>
    <w:rsid w:val="00E867B5"/>
    <w:rsid w:val="00E86A04"/>
    <w:rsid w:val="00E9206F"/>
    <w:rsid w:val="00E92A36"/>
    <w:rsid w:val="00E932EC"/>
    <w:rsid w:val="00E93EB8"/>
    <w:rsid w:val="00E940D1"/>
    <w:rsid w:val="00E9459B"/>
    <w:rsid w:val="00EA0457"/>
    <w:rsid w:val="00EA04A5"/>
    <w:rsid w:val="00EA0F0B"/>
    <w:rsid w:val="00EA2058"/>
    <w:rsid w:val="00EA206B"/>
    <w:rsid w:val="00EA2197"/>
    <w:rsid w:val="00EA37BA"/>
    <w:rsid w:val="00EA3AA7"/>
    <w:rsid w:val="00EA3EBE"/>
    <w:rsid w:val="00EA4467"/>
    <w:rsid w:val="00EA5CAF"/>
    <w:rsid w:val="00EA6444"/>
    <w:rsid w:val="00EA78BB"/>
    <w:rsid w:val="00EB270D"/>
    <w:rsid w:val="00EB2A13"/>
    <w:rsid w:val="00EB3F88"/>
    <w:rsid w:val="00EB555A"/>
    <w:rsid w:val="00EB572A"/>
    <w:rsid w:val="00EB6AD9"/>
    <w:rsid w:val="00EB6D3E"/>
    <w:rsid w:val="00EB7811"/>
    <w:rsid w:val="00EB7EFF"/>
    <w:rsid w:val="00EC0BD7"/>
    <w:rsid w:val="00EC13B2"/>
    <w:rsid w:val="00EC1D7B"/>
    <w:rsid w:val="00EC26BF"/>
    <w:rsid w:val="00EC3841"/>
    <w:rsid w:val="00EC3DBB"/>
    <w:rsid w:val="00EC550A"/>
    <w:rsid w:val="00EC5F94"/>
    <w:rsid w:val="00EC6B74"/>
    <w:rsid w:val="00EC74A0"/>
    <w:rsid w:val="00EC7C32"/>
    <w:rsid w:val="00ED0608"/>
    <w:rsid w:val="00ED1039"/>
    <w:rsid w:val="00ED24C6"/>
    <w:rsid w:val="00ED29C0"/>
    <w:rsid w:val="00ED3C0E"/>
    <w:rsid w:val="00ED47B8"/>
    <w:rsid w:val="00ED48F8"/>
    <w:rsid w:val="00ED7005"/>
    <w:rsid w:val="00EE0110"/>
    <w:rsid w:val="00EE0502"/>
    <w:rsid w:val="00EE1430"/>
    <w:rsid w:val="00EE1DC7"/>
    <w:rsid w:val="00EE1F02"/>
    <w:rsid w:val="00EE6E04"/>
    <w:rsid w:val="00EE74BA"/>
    <w:rsid w:val="00EF1839"/>
    <w:rsid w:val="00EF1F62"/>
    <w:rsid w:val="00EF28FD"/>
    <w:rsid w:val="00EF4CE2"/>
    <w:rsid w:val="00EF58DC"/>
    <w:rsid w:val="00EF68DF"/>
    <w:rsid w:val="00EF6A4A"/>
    <w:rsid w:val="00EF72D3"/>
    <w:rsid w:val="00EF7585"/>
    <w:rsid w:val="00F005F7"/>
    <w:rsid w:val="00F00BC3"/>
    <w:rsid w:val="00F0200D"/>
    <w:rsid w:val="00F02052"/>
    <w:rsid w:val="00F026EA"/>
    <w:rsid w:val="00F04041"/>
    <w:rsid w:val="00F04525"/>
    <w:rsid w:val="00F050BB"/>
    <w:rsid w:val="00F05116"/>
    <w:rsid w:val="00F05857"/>
    <w:rsid w:val="00F0636A"/>
    <w:rsid w:val="00F06474"/>
    <w:rsid w:val="00F066E2"/>
    <w:rsid w:val="00F074FA"/>
    <w:rsid w:val="00F1098F"/>
    <w:rsid w:val="00F11302"/>
    <w:rsid w:val="00F1167D"/>
    <w:rsid w:val="00F11BAA"/>
    <w:rsid w:val="00F134F8"/>
    <w:rsid w:val="00F14EAD"/>
    <w:rsid w:val="00F15B24"/>
    <w:rsid w:val="00F16123"/>
    <w:rsid w:val="00F170AE"/>
    <w:rsid w:val="00F17B4B"/>
    <w:rsid w:val="00F20606"/>
    <w:rsid w:val="00F21128"/>
    <w:rsid w:val="00F21EA5"/>
    <w:rsid w:val="00F22B8F"/>
    <w:rsid w:val="00F235DB"/>
    <w:rsid w:val="00F244F9"/>
    <w:rsid w:val="00F248D5"/>
    <w:rsid w:val="00F249D8"/>
    <w:rsid w:val="00F256E2"/>
    <w:rsid w:val="00F25D89"/>
    <w:rsid w:val="00F27EEC"/>
    <w:rsid w:val="00F30905"/>
    <w:rsid w:val="00F310A9"/>
    <w:rsid w:val="00F314E1"/>
    <w:rsid w:val="00F31B18"/>
    <w:rsid w:val="00F33795"/>
    <w:rsid w:val="00F341EE"/>
    <w:rsid w:val="00F34A3B"/>
    <w:rsid w:val="00F36F27"/>
    <w:rsid w:val="00F37AF2"/>
    <w:rsid w:val="00F41101"/>
    <w:rsid w:val="00F43E18"/>
    <w:rsid w:val="00F44133"/>
    <w:rsid w:val="00F44E7E"/>
    <w:rsid w:val="00F457D9"/>
    <w:rsid w:val="00F46341"/>
    <w:rsid w:val="00F47AB9"/>
    <w:rsid w:val="00F50992"/>
    <w:rsid w:val="00F50FE1"/>
    <w:rsid w:val="00F54605"/>
    <w:rsid w:val="00F54D13"/>
    <w:rsid w:val="00F563A7"/>
    <w:rsid w:val="00F56455"/>
    <w:rsid w:val="00F564B0"/>
    <w:rsid w:val="00F56678"/>
    <w:rsid w:val="00F56C0B"/>
    <w:rsid w:val="00F57118"/>
    <w:rsid w:val="00F5724A"/>
    <w:rsid w:val="00F60EE9"/>
    <w:rsid w:val="00F61A71"/>
    <w:rsid w:val="00F627D4"/>
    <w:rsid w:val="00F65CE0"/>
    <w:rsid w:val="00F66F9A"/>
    <w:rsid w:val="00F6744F"/>
    <w:rsid w:val="00F705DC"/>
    <w:rsid w:val="00F70AEB"/>
    <w:rsid w:val="00F70EBA"/>
    <w:rsid w:val="00F7136A"/>
    <w:rsid w:val="00F7272C"/>
    <w:rsid w:val="00F72AF9"/>
    <w:rsid w:val="00F734DD"/>
    <w:rsid w:val="00F7424B"/>
    <w:rsid w:val="00F7492D"/>
    <w:rsid w:val="00F75787"/>
    <w:rsid w:val="00F80457"/>
    <w:rsid w:val="00F80FBC"/>
    <w:rsid w:val="00F82B4B"/>
    <w:rsid w:val="00F836D4"/>
    <w:rsid w:val="00F84292"/>
    <w:rsid w:val="00F85650"/>
    <w:rsid w:val="00F86BC9"/>
    <w:rsid w:val="00F90ADC"/>
    <w:rsid w:val="00F90DD3"/>
    <w:rsid w:val="00F90F8A"/>
    <w:rsid w:val="00F92288"/>
    <w:rsid w:val="00F93825"/>
    <w:rsid w:val="00F93944"/>
    <w:rsid w:val="00F94451"/>
    <w:rsid w:val="00F95BAC"/>
    <w:rsid w:val="00F96289"/>
    <w:rsid w:val="00F96DC6"/>
    <w:rsid w:val="00FA4AC6"/>
    <w:rsid w:val="00FA55DA"/>
    <w:rsid w:val="00FA6120"/>
    <w:rsid w:val="00FA667A"/>
    <w:rsid w:val="00FA67E0"/>
    <w:rsid w:val="00FA7C4A"/>
    <w:rsid w:val="00FA7DB5"/>
    <w:rsid w:val="00FA7EB0"/>
    <w:rsid w:val="00FB2452"/>
    <w:rsid w:val="00FB2608"/>
    <w:rsid w:val="00FB37C0"/>
    <w:rsid w:val="00FB5A18"/>
    <w:rsid w:val="00FB6C33"/>
    <w:rsid w:val="00FB6F58"/>
    <w:rsid w:val="00FB777C"/>
    <w:rsid w:val="00FB7FCB"/>
    <w:rsid w:val="00FC1389"/>
    <w:rsid w:val="00FC145C"/>
    <w:rsid w:val="00FC1AD7"/>
    <w:rsid w:val="00FC1D1D"/>
    <w:rsid w:val="00FC4AB4"/>
    <w:rsid w:val="00FC5850"/>
    <w:rsid w:val="00FC5D55"/>
    <w:rsid w:val="00FC7BBB"/>
    <w:rsid w:val="00FD067D"/>
    <w:rsid w:val="00FD1383"/>
    <w:rsid w:val="00FD1829"/>
    <w:rsid w:val="00FD21CA"/>
    <w:rsid w:val="00FD3E89"/>
    <w:rsid w:val="00FD5DC6"/>
    <w:rsid w:val="00FD704C"/>
    <w:rsid w:val="00FD720D"/>
    <w:rsid w:val="00FD7CCB"/>
    <w:rsid w:val="00FE0452"/>
    <w:rsid w:val="00FE0C58"/>
    <w:rsid w:val="00FE3096"/>
    <w:rsid w:val="00FE3497"/>
    <w:rsid w:val="00FE355C"/>
    <w:rsid w:val="00FE36FA"/>
    <w:rsid w:val="00FE589A"/>
    <w:rsid w:val="00FE61CE"/>
    <w:rsid w:val="00FE68E3"/>
    <w:rsid w:val="00FE7488"/>
    <w:rsid w:val="00FE7BD8"/>
    <w:rsid w:val="00FE7FD3"/>
    <w:rsid w:val="00FF0B6A"/>
    <w:rsid w:val="00FF2C81"/>
    <w:rsid w:val="00FF3221"/>
    <w:rsid w:val="00FF3C26"/>
    <w:rsid w:val="00FF6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F24FC"/>
  <w15:chartTrackingRefBased/>
  <w15:docId w15:val="{2E59DA9B-C478-498D-8804-D31D0BE9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A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6A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C08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4558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C0BD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C0BD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AD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6A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C08F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4558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C0BD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C0BD7"/>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996ADD"/>
    <w:pPr>
      <w:outlineLvl w:val="9"/>
    </w:pPr>
    <w:rPr>
      <w:lang w:val="en-US"/>
    </w:rPr>
  </w:style>
  <w:style w:type="paragraph" w:styleId="TOC2">
    <w:name w:val="toc 2"/>
    <w:basedOn w:val="Normal"/>
    <w:next w:val="Normal"/>
    <w:autoRedefine/>
    <w:uiPriority w:val="39"/>
    <w:unhideWhenUsed/>
    <w:rsid w:val="00734C54"/>
    <w:pPr>
      <w:tabs>
        <w:tab w:val="left" w:pos="1276"/>
        <w:tab w:val="right" w:leader="dot" w:pos="8364"/>
      </w:tabs>
      <w:spacing w:after="100"/>
      <w:ind w:right="283"/>
    </w:pPr>
    <w:rPr>
      <w:rFonts w:eastAsiaTheme="minorEastAsia" w:cs="Times New Roman"/>
      <w:lang w:val="en-US"/>
    </w:rPr>
  </w:style>
  <w:style w:type="paragraph" w:styleId="TOC1">
    <w:name w:val="toc 1"/>
    <w:basedOn w:val="Normal"/>
    <w:next w:val="Normal"/>
    <w:autoRedefine/>
    <w:uiPriority w:val="39"/>
    <w:unhideWhenUsed/>
    <w:rsid w:val="00381F73"/>
    <w:pPr>
      <w:tabs>
        <w:tab w:val="left" w:pos="284"/>
        <w:tab w:val="left" w:pos="1276"/>
        <w:tab w:val="right" w:leader="dot" w:pos="8364"/>
      </w:tabs>
      <w:spacing w:after="100"/>
      <w:ind w:right="283"/>
    </w:pPr>
    <w:rPr>
      <w:rFonts w:eastAsiaTheme="minorEastAsia" w:cs="Times New Roman"/>
      <w:lang w:val="en-US"/>
    </w:rPr>
  </w:style>
  <w:style w:type="paragraph" w:styleId="TOC3">
    <w:name w:val="toc 3"/>
    <w:basedOn w:val="Normal"/>
    <w:next w:val="Normal"/>
    <w:autoRedefine/>
    <w:uiPriority w:val="39"/>
    <w:unhideWhenUsed/>
    <w:rsid w:val="009B11F4"/>
    <w:pPr>
      <w:tabs>
        <w:tab w:val="left" w:pos="1320"/>
        <w:tab w:val="right" w:leader="dot" w:pos="8777"/>
      </w:tabs>
      <w:spacing w:after="100"/>
      <w:ind w:right="283"/>
    </w:pPr>
    <w:rPr>
      <w:rFonts w:eastAsiaTheme="minorEastAsia" w:cs="Times New Roman"/>
      <w:lang w:val="en-US"/>
    </w:rPr>
  </w:style>
  <w:style w:type="character" w:styleId="Hyperlink">
    <w:name w:val="Hyperlink"/>
    <w:basedOn w:val="DefaultParagraphFont"/>
    <w:uiPriority w:val="99"/>
    <w:unhideWhenUsed/>
    <w:rsid w:val="00996ADD"/>
    <w:rPr>
      <w:color w:val="0563C1" w:themeColor="hyperlink"/>
      <w:u w:val="single"/>
    </w:rPr>
  </w:style>
  <w:style w:type="paragraph" w:styleId="NormalWeb">
    <w:name w:val="Normal (Web)"/>
    <w:basedOn w:val="Normal"/>
    <w:unhideWhenUsed/>
    <w:rsid w:val="00E730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73007"/>
    <w:pPr>
      <w:ind w:left="720"/>
      <w:contextualSpacing/>
    </w:pPr>
  </w:style>
  <w:style w:type="character" w:styleId="CommentReference">
    <w:name w:val="annotation reference"/>
    <w:uiPriority w:val="99"/>
    <w:semiHidden/>
    <w:unhideWhenUsed/>
    <w:rsid w:val="00E73007"/>
    <w:rPr>
      <w:sz w:val="16"/>
      <w:szCs w:val="16"/>
    </w:rPr>
  </w:style>
  <w:style w:type="paragraph" w:styleId="CommentText">
    <w:name w:val="annotation text"/>
    <w:basedOn w:val="Normal"/>
    <w:link w:val="CommentTextChar"/>
    <w:uiPriority w:val="99"/>
    <w:unhideWhenUsed/>
    <w:rsid w:val="00E73007"/>
    <w:rPr>
      <w:rFonts w:ascii="Calibri" w:eastAsia="Times New Roman" w:hAnsi="Calibri" w:cs="Times New Roman"/>
      <w:sz w:val="20"/>
      <w:szCs w:val="20"/>
      <w:lang w:eastAsia="en-GB"/>
    </w:rPr>
  </w:style>
  <w:style w:type="character" w:customStyle="1" w:styleId="CommentTextChar">
    <w:name w:val="Comment Text Char"/>
    <w:basedOn w:val="DefaultParagraphFont"/>
    <w:link w:val="CommentText"/>
    <w:uiPriority w:val="99"/>
    <w:rsid w:val="00E73007"/>
    <w:rPr>
      <w:rFonts w:ascii="Calibri" w:eastAsia="Times New Roman" w:hAnsi="Calibri" w:cs="Times New Roman"/>
      <w:sz w:val="20"/>
      <w:szCs w:val="20"/>
      <w:lang w:eastAsia="en-GB"/>
    </w:rPr>
  </w:style>
  <w:style w:type="character" w:customStyle="1" w:styleId="apple-converted-space">
    <w:name w:val="apple-converted-space"/>
    <w:rsid w:val="00E73007"/>
  </w:style>
  <w:style w:type="paragraph" w:customStyle="1" w:styleId="paragraph">
    <w:name w:val="paragraph"/>
    <w:basedOn w:val="Normal"/>
    <w:rsid w:val="00E73007"/>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rsid w:val="00E73007"/>
  </w:style>
  <w:style w:type="character" w:customStyle="1" w:styleId="normaltextrun">
    <w:name w:val="normaltextrun"/>
    <w:rsid w:val="00E73007"/>
  </w:style>
  <w:style w:type="character" w:customStyle="1" w:styleId="eop">
    <w:name w:val="eop"/>
    <w:rsid w:val="00E73007"/>
  </w:style>
  <w:style w:type="paragraph" w:styleId="BalloonText">
    <w:name w:val="Balloon Text"/>
    <w:basedOn w:val="Normal"/>
    <w:link w:val="BalloonTextChar"/>
    <w:uiPriority w:val="99"/>
    <w:semiHidden/>
    <w:unhideWhenUsed/>
    <w:rsid w:val="00E730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007"/>
    <w:rPr>
      <w:rFonts w:ascii="Segoe UI" w:hAnsi="Segoe UI" w:cs="Segoe UI"/>
      <w:sz w:val="18"/>
      <w:szCs w:val="18"/>
    </w:rPr>
  </w:style>
  <w:style w:type="character" w:styleId="Emphasis">
    <w:name w:val="Emphasis"/>
    <w:basedOn w:val="DefaultParagraphFont"/>
    <w:qFormat/>
    <w:rsid w:val="00E73007"/>
    <w:rPr>
      <w:i/>
      <w:iCs/>
    </w:rPr>
  </w:style>
  <w:style w:type="paragraph" w:styleId="Header">
    <w:name w:val="header"/>
    <w:basedOn w:val="Normal"/>
    <w:link w:val="HeaderChar"/>
    <w:uiPriority w:val="99"/>
    <w:unhideWhenUsed/>
    <w:rsid w:val="00E73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007"/>
  </w:style>
  <w:style w:type="paragraph" w:styleId="Footer">
    <w:name w:val="footer"/>
    <w:basedOn w:val="Normal"/>
    <w:link w:val="FooterChar"/>
    <w:uiPriority w:val="99"/>
    <w:unhideWhenUsed/>
    <w:rsid w:val="00E73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007"/>
  </w:style>
  <w:style w:type="paragraph" w:styleId="CommentSubject">
    <w:name w:val="annotation subject"/>
    <w:basedOn w:val="CommentText"/>
    <w:next w:val="CommentText"/>
    <w:link w:val="CommentSubjectChar"/>
    <w:uiPriority w:val="99"/>
    <w:semiHidden/>
    <w:unhideWhenUsed/>
    <w:rsid w:val="00E73007"/>
    <w:pPr>
      <w:spacing w:line="240" w:lineRule="auto"/>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73007"/>
    <w:rPr>
      <w:rFonts w:ascii="Calibri" w:eastAsia="Times New Roman" w:hAnsi="Calibri" w:cs="Times New Roman"/>
      <w:b/>
      <w:bCs/>
      <w:sz w:val="20"/>
      <w:szCs w:val="20"/>
      <w:lang w:eastAsia="en-GB"/>
    </w:rPr>
  </w:style>
  <w:style w:type="paragraph" w:styleId="Revision">
    <w:name w:val="Revision"/>
    <w:hidden/>
    <w:uiPriority w:val="99"/>
    <w:semiHidden/>
    <w:rsid w:val="00960084"/>
    <w:pPr>
      <w:spacing w:after="0" w:line="240" w:lineRule="auto"/>
    </w:pPr>
  </w:style>
  <w:style w:type="table" w:styleId="TableGrid">
    <w:name w:val="Table Grid"/>
    <w:basedOn w:val="TableNormal"/>
    <w:uiPriority w:val="39"/>
    <w:rsid w:val="000F5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9C770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9C7702"/>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9C7702"/>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9C7702"/>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9C7702"/>
    <w:rPr>
      <w:vertAlign w:val="superscript"/>
    </w:rPr>
  </w:style>
  <w:style w:type="paragraph" w:styleId="NoSpacing">
    <w:name w:val="No Spacing"/>
    <w:uiPriority w:val="1"/>
    <w:qFormat/>
    <w:rsid w:val="00BC42FC"/>
    <w:pPr>
      <w:spacing w:after="0" w:line="240" w:lineRule="auto"/>
    </w:pPr>
  </w:style>
  <w:style w:type="character" w:styleId="Strong">
    <w:name w:val="Strong"/>
    <w:basedOn w:val="DefaultParagraphFont"/>
    <w:uiPriority w:val="22"/>
    <w:qFormat/>
    <w:rsid w:val="004676EF"/>
    <w:rPr>
      <w:b/>
      <w:bCs/>
    </w:rPr>
  </w:style>
  <w:style w:type="paragraph" w:styleId="TOC4">
    <w:name w:val="toc 4"/>
    <w:basedOn w:val="Normal"/>
    <w:next w:val="Normal"/>
    <w:autoRedefine/>
    <w:uiPriority w:val="39"/>
    <w:unhideWhenUsed/>
    <w:rsid w:val="00AD0909"/>
    <w:pPr>
      <w:spacing w:after="100"/>
      <w:ind w:left="660"/>
    </w:pPr>
    <w:rPr>
      <w:rFonts w:eastAsiaTheme="minorEastAsia"/>
      <w:lang w:eastAsia="en-GB"/>
    </w:rPr>
  </w:style>
  <w:style w:type="paragraph" w:styleId="TOC5">
    <w:name w:val="toc 5"/>
    <w:basedOn w:val="Normal"/>
    <w:next w:val="Normal"/>
    <w:autoRedefine/>
    <w:uiPriority w:val="39"/>
    <w:unhideWhenUsed/>
    <w:rsid w:val="00AD0909"/>
    <w:pPr>
      <w:spacing w:after="100"/>
      <w:ind w:left="880"/>
    </w:pPr>
    <w:rPr>
      <w:rFonts w:eastAsiaTheme="minorEastAsia"/>
      <w:lang w:eastAsia="en-GB"/>
    </w:rPr>
  </w:style>
  <w:style w:type="paragraph" w:styleId="TOC6">
    <w:name w:val="toc 6"/>
    <w:basedOn w:val="Normal"/>
    <w:next w:val="Normal"/>
    <w:autoRedefine/>
    <w:uiPriority w:val="39"/>
    <w:unhideWhenUsed/>
    <w:rsid w:val="00AD0909"/>
    <w:pPr>
      <w:spacing w:after="100"/>
      <w:ind w:left="1100"/>
    </w:pPr>
    <w:rPr>
      <w:rFonts w:eastAsiaTheme="minorEastAsia"/>
      <w:lang w:eastAsia="en-GB"/>
    </w:rPr>
  </w:style>
  <w:style w:type="paragraph" w:styleId="TOC7">
    <w:name w:val="toc 7"/>
    <w:basedOn w:val="Normal"/>
    <w:next w:val="Normal"/>
    <w:autoRedefine/>
    <w:uiPriority w:val="39"/>
    <w:unhideWhenUsed/>
    <w:rsid w:val="00AD0909"/>
    <w:pPr>
      <w:spacing w:after="100"/>
      <w:ind w:left="1320"/>
    </w:pPr>
    <w:rPr>
      <w:rFonts w:eastAsiaTheme="minorEastAsia"/>
      <w:lang w:eastAsia="en-GB"/>
    </w:rPr>
  </w:style>
  <w:style w:type="paragraph" w:styleId="TOC8">
    <w:name w:val="toc 8"/>
    <w:basedOn w:val="Normal"/>
    <w:next w:val="Normal"/>
    <w:autoRedefine/>
    <w:uiPriority w:val="39"/>
    <w:unhideWhenUsed/>
    <w:rsid w:val="00AD0909"/>
    <w:pPr>
      <w:spacing w:after="100"/>
      <w:ind w:left="1540"/>
    </w:pPr>
    <w:rPr>
      <w:rFonts w:eastAsiaTheme="minorEastAsia"/>
      <w:lang w:eastAsia="en-GB"/>
    </w:rPr>
  </w:style>
  <w:style w:type="paragraph" w:styleId="TOC9">
    <w:name w:val="toc 9"/>
    <w:basedOn w:val="Normal"/>
    <w:next w:val="Normal"/>
    <w:autoRedefine/>
    <w:uiPriority w:val="39"/>
    <w:unhideWhenUsed/>
    <w:rsid w:val="00AD0909"/>
    <w:pPr>
      <w:spacing w:after="100"/>
      <w:ind w:left="1760"/>
    </w:pPr>
    <w:rPr>
      <w:rFonts w:eastAsiaTheme="minorEastAsia"/>
      <w:lang w:eastAsia="en-GB"/>
    </w:rPr>
  </w:style>
  <w:style w:type="character" w:styleId="FollowedHyperlink">
    <w:name w:val="FollowedHyperlink"/>
    <w:basedOn w:val="DefaultParagraphFont"/>
    <w:uiPriority w:val="99"/>
    <w:semiHidden/>
    <w:unhideWhenUsed/>
    <w:rsid w:val="005E78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243887">
      <w:bodyDiv w:val="1"/>
      <w:marLeft w:val="0"/>
      <w:marRight w:val="0"/>
      <w:marTop w:val="0"/>
      <w:marBottom w:val="0"/>
      <w:divBdr>
        <w:top w:val="none" w:sz="0" w:space="0" w:color="auto"/>
        <w:left w:val="none" w:sz="0" w:space="0" w:color="auto"/>
        <w:bottom w:val="none" w:sz="0" w:space="0" w:color="auto"/>
        <w:right w:val="none" w:sz="0" w:space="0" w:color="auto"/>
      </w:divBdr>
    </w:div>
    <w:div w:id="725029465">
      <w:bodyDiv w:val="1"/>
      <w:marLeft w:val="0"/>
      <w:marRight w:val="0"/>
      <w:marTop w:val="0"/>
      <w:marBottom w:val="0"/>
      <w:divBdr>
        <w:top w:val="none" w:sz="0" w:space="0" w:color="auto"/>
        <w:left w:val="none" w:sz="0" w:space="0" w:color="auto"/>
        <w:bottom w:val="none" w:sz="0" w:space="0" w:color="auto"/>
        <w:right w:val="none" w:sz="0" w:space="0" w:color="auto"/>
      </w:divBdr>
    </w:div>
    <w:div w:id="2034650800">
      <w:bodyDiv w:val="1"/>
      <w:marLeft w:val="0"/>
      <w:marRight w:val="0"/>
      <w:marTop w:val="0"/>
      <w:marBottom w:val="0"/>
      <w:divBdr>
        <w:top w:val="none" w:sz="0" w:space="0" w:color="auto"/>
        <w:left w:val="none" w:sz="0" w:space="0" w:color="auto"/>
        <w:bottom w:val="none" w:sz="0" w:space="0" w:color="auto"/>
        <w:right w:val="none" w:sz="0" w:space="0" w:color="auto"/>
      </w:divBdr>
      <w:divsChild>
        <w:div w:id="536047050">
          <w:marLeft w:val="0"/>
          <w:marRight w:val="0"/>
          <w:marTop w:val="0"/>
          <w:marBottom w:val="0"/>
          <w:divBdr>
            <w:top w:val="none" w:sz="0" w:space="0" w:color="auto"/>
            <w:left w:val="none" w:sz="0" w:space="0" w:color="auto"/>
            <w:bottom w:val="none" w:sz="0" w:space="0" w:color="auto"/>
            <w:right w:val="none" w:sz="0" w:space="0" w:color="auto"/>
          </w:divBdr>
        </w:div>
        <w:div w:id="669909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uelight.org" TargetMode="External"/><Relationship Id="rId21" Type="http://schemas.openxmlformats.org/officeDocument/2006/relationships/chart" Target="charts/chart2.xml"/><Relationship Id="rId42" Type="http://schemas.openxmlformats.org/officeDocument/2006/relationships/hyperlink" Target="mailto:smithspj@lsbu.ac.uk" TargetMode="External"/><Relationship Id="rId47" Type="http://schemas.openxmlformats.org/officeDocument/2006/relationships/hyperlink" Target="https://lsbupsychology.qualtrics.com/jfe/form/SV_4JcyBYKV5VaCf9H" TargetMode="External"/><Relationship Id="rId63" Type="http://schemas.microsoft.com/office/2007/relationships/hdphoto" Target="media/hdphoto3.wdp"/><Relationship Id="rId68" Type="http://schemas.openxmlformats.org/officeDocument/2006/relationships/image" Target="media/image14.jpeg"/><Relationship Id="rId84" Type="http://schemas.openxmlformats.org/officeDocument/2006/relationships/hyperlink" Target="mailto:teodorr2@lsbu.ac.uk" TargetMode="External"/><Relationship Id="rId89" Type="http://schemas.openxmlformats.org/officeDocument/2006/relationships/hyperlink" Target="http://www.supportline.org.uk/" TargetMode="External"/><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hyperlink" Target="https://psycnet.apa.org/doi/10.1093/sleep/5.S2.S95" TargetMode="External"/><Relationship Id="rId37" Type="http://schemas.openxmlformats.org/officeDocument/2006/relationships/hyperlink" Target="http://www.parma.us.novartis.com/sites/www.pharma.us.novartis.com/files/ritalin_ritalin-sr.pdf" TargetMode="External"/><Relationship Id="rId53" Type="http://schemas.openxmlformats.org/officeDocument/2006/relationships/hyperlink" Target="mailto:sasethics@lsbu.ac.uk" TargetMode="External"/><Relationship Id="rId58" Type="http://schemas.microsoft.com/office/2007/relationships/hdphoto" Target="media/hdphoto1.wdp"/><Relationship Id="rId74" Type="http://schemas.openxmlformats.org/officeDocument/2006/relationships/chart" Target="charts/chart9.xml"/><Relationship Id="rId79" Type="http://schemas.openxmlformats.org/officeDocument/2006/relationships/hyperlink" Target="mailto:sasethics@lsbu.ac.uk" TargetMode="External"/><Relationship Id="rId5" Type="http://schemas.openxmlformats.org/officeDocument/2006/relationships/numbering" Target="numbering.xml"/><Relationship Id="rId90" Type="http://schemas.openxmlformats.org/officeDocument/2006/relationships/hyperlink" Target="mailto:ask@release.org.uk" TargetMode="External"/><Relationship Id="rId95" Type="http://schemas.openxmlformats.org/officeDocument/2006/relationships/hyperlink" Target="mailto:teodorr2@lsbu.ac.uk" TargetMode="External"/><Relationship Id="rId22" Type="http://schemas.openxmlformats.org/officeDocument/2006/relationships/chart" Target="charts/chart3.xml"/><Relationship Id="rId27" Type="http://schemas.openxmlformats.org/officeDocument/2006/relationships/hyperlink" Target="https://www.reddit.com" TargetMode="External"/><Relationship Id="rId43" Type="http://schemas.openxmlformats.org/officeDocument/2006/relationships/hyperlink" Target="mailto:teodorr2@lsbu.ac.uk" TargetMode="External"/><Relationship Id="rId48" Type="http://schemas.openxmlformats.org/officeDocument/2006/relationships/hyperlink" Target="https://lsbupsychology.qualtrics.com/jfe/form/SV_29bHZ8aCJm0IwkZ" TargetMode="External"/><Relationship Id="rId64" Type="http://schemas.openxmlformats.org/officeDocument/2006/relationships/image" Target="media/image10.jpeg"/><Relationship Id="rId69" Type="http://schemas.openxmlformats.org/officeDocument/2006/relationships/image" Target="media/image15.jpeg"/><Relationship Id="rId80" Type="http://schemas.openxmlformats.org/officeDocument/2006/relationships/hyperlink" Target="mailto:info@supportline.org.uk" TargetMode="External"/><Relationship Id="rId85" Type="http://schemas.openxmlformats.org/officeDocument/2006/relationships/hyperlink" Target="mailto:rycroftn@lsbu.ac.uk" TargetMode="External"/><Relationship Id="rId3" Type="http://schemas.openxmlformats.org/officeDocument/2006/relationships/customXml" Target="../customXml/item3.xml"/><Relationship Id="rId12" Type="http://schemas.openxmlformats.org/officeDocument/2006/relationships/hyperlink" Target="https://orcid.org/0000-0002-9983-7008" TargetMode="Externa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hyperlink" Target="https://web.archive.org/web/20120831222336/http:/www.incb.org/pdf/e/list/green.pdf" TargetMode="External"/><Relationship Id="rId38" Type="http://schemas.openxmlformats.org/officeDocument/2006/relationships/hyperlink" Target="http://www.dw.com/en/oxford-academic-i-use-brain-enhancing-drugs/a-18027581" TargetMode="External"/><Relationship Id="rId46" Type="http://schemas.openxmlformats.org/officeDocument/2006/relationships/hyperlink" Target="https://lsbupsychology.qualtrics.com/jfe/form/SV_4JcyBYKV5VaCf9H" TargetMode="External"/><Relationship Id="rId59" Type="http://schemas.openxmlformats.org/officeDocument/2006/relationships/image" Target="media/image7.png"/><Relationship Id="rId67" Type="http://schemas.openxmlformats.org/officeDocument/2006/relationships/image" Target="media/image13.jpeg"/><Relationship Id="rId20" Type="http://schemas.openxmlformats.org/officeDocument/2006/relationships/chart" Target="charts/chart1.xml"/><Relationship Id="rId41" Type="http://schemas.openxmlformats.org/officeDocument/2006/relationships/hyperlink" Target="mailto:rycroftn@lsbu.ac.uk" TargetMode="External"/><Relationship Id="rId54" Type="http://schemas.openxmlformats.org/officeDocument/2006/relationships/hyperlink" Target="mailto:teodorr2@lsbu.ac.uk" TargetMode="External"/><Relationship Id="rId62" Type="http://schemas.openxmlformats.org/officeDocument/2006/relationships/image" Target="media/image9.png"/><Relationship Id="rId70" Type="http://schemas.openxmlformats.org/officeDocument/2006/relationships/image" Target="media/image16.jpeg"/><Relationship Id="rId75" Type="http://schemas.openxmlformats.org/officeDocument/2006/relationships/chart" Target="charts/chart10.xml"/><Relationship Id="rId83" Type="http://schemas.openxmlformats.org/officeDocument/2006/relationships/hyperlink" Target="http://www.release.org.uk" TargetMode="External"/><Relationship Id="rId88" Type="http://schemas.openxmlformats.org/officeDocument/2006/relationships/hyperlink" Target="mailto:info@supportline.org.uk" TargetMode="External"/><Relationship Id="rId91" Type="http://schemas.openxmlformats.org/officeDocument/2006/relationships/hyperlink" Target="http://www.release.org.uk"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tiff"/><Relationship Id="rId23" Type="http://schemas.openxmlformats.org/officeDocument/2006/relationships/chart" Target="charts/chart4.xml"/><Relationship Id="rId28" Type="http://schemas.openxmlformats.org/officeDocument/2006/relationships/hyperlink" Target="https://pstnet.com/" TargetMode="External"/><Relationship Id="rId36" Type="http://schemas.openxmlformats.org/officeDocument/2006/relationships/hyperlink" Target="http://www.provigil.com/PDFs/prescribing_info.pdf" TargetMode="External"/><Relationship Id="rId49" Type="http://schemas.openxmlformats.org/officeDocument/2006/relationships/hyperlink" Target="https://lsbupsychology.qualtrics.com/jfe/form/SV_29bHZ8aCJm0IwkZ"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hyperlink" Target="mailto:teodorr2@lsbu.ac.uk" TargetMode="External"/><Relationship Id="rId52" Type="http://schemas.openxmlformats.org/officeDocument/2006/relationships/hyperlink" Target="mailto:smithspj@lsbu.ac.uk" TargetMode="External"/><Relationship Id="rId60" Type="http://schemas.microsoft.com/office/2007/relationships/hdphoto" Target="media/hdphoto2.wdp"/><Relationship Id="rId65" Type="http://schemas.openxmlformats.org/officeDocument/2006/relationships/image" Target="media/image11.jpeg"/><Relationship Id="rId73" Type="http://schemas.openxmlformats.org/officeDocument/2006/relationships/hyperlink" Target="mailto:teodorir@lsbu.ac.uk" TargetMode="External"/><Relationship Id="rId78" Type="http://schemas.openxmlformats.org/officeDocument/2006/relationships/hyperlink" Target="mailto:smithspj@lsbu.ac.uk" TargetMode="External"/><Relationship Id="rId81" Type="http://schemas.openxmlformats.org/officeDocument/2006/relationships/hyperlink" Target="http://www.supportline.org.uk/" TargetMode="External"/><Relationship Id="rId86" Type="http://schemas.openxmlformats.org/officeDocument/2006/relationships/hyperlink" Target="mailto:smithspj@lsbu.ac.uk" TargetMode="External"/><Relationship Id="rId94" Type="http://schemas.openxmlformats.org/officeDocument/2006/relationships/hyperlink" Target="mailto:rycroftn@lsbu.ac.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reddit.com" TargetMode="External"/><Relationship Id="rId18" Type="http://schemas.openxmlformats.org/officeDocument/2006/relationships/hyperlink" Target="https://www.bluelight.org" TargetMode="External"/><Relationship Id="rId39" Type="http://schemas.openxmlformats.org/officeDocument/2006/relationships/hyperlink" Target="http://www.theguardian.com/education/abby-and-libby-blog/2014/may/08/one-in-five-students-have-taken-study-drug-modafinil" TargetMode="External"/><Relationship Id="rId34" Type="http://schemas.openxmlformats.org/officeDocument/2006/relationships/hyperlink" Target="https://www.itu.int/en/ITU-D/Statistics/Pages/facts/default.aspx" TargetMode="External"/><Relationship Id="rId50" Type="http://schemas.openxmlformats.org/officeDocument/2006/relationships/hyperlink" Target="mailto:teodorr2@lsbu.ac.uk" TargetMode="External"/><Relationship Id="rId55" Type="http://schemas.openxmlformats.org/officeDocument/2006/relationships/hyperlink" Target="mailto:teodorr2@lsbu.ac.uk" TargetMode="External"/><Relationship Id="rId76" Type="http://schemas.openxmlformats.org/officeDocument/2006/relationships/hyperlink" Target="mailto:teodorr2@lsbu.ac.uk"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7.jpeg"/><Relationship Id="rId92" Type="http://schemas.openxmlformats.org/officeDocument/2006/relationships/hyperlink" Target="mailto:teodorr2@lsbu.ac.uk" TargetMode="External"/><Relationship Id="rId2" Type="http://schemas.openxmlformats.org/officeDocument/2006/relationships/customXml" Target="../customXml/item2.xml"/><Relationship Id="rId29" Type="http://schemas.openxmlformats.org/officeDocument/2006/relationships/hyperlink" Target="https://www.millisecond.com/" TargetMode="External"/><Relationship Id="rId24" Type="http://schemas.openxmlformats.org/officeDocument/2006/relationships/chart" Target="charts/chart5.xml"/><Relationship Id="rId40" Type="http://schemas.openxmlformats.org/officeDocument/2006/relationships/hyperlink" Target="mailto:teodorr2@lsbu.ac.uk" TargetMode="External"/><Relationship Id="rId45" Type="http://schemas.openxmlformats.org/officeDocument/2006/relationships/hyperlink" Target="https://www.erowid.org/psychoactives/psychoactives.shtml" TargetMode="External"/><Relationship Id="rId66" Type="http://schemas.openxmlformats.org/officeDocument/2006/relationships/image" Target="media/image12.jpeg"/><Relationship Id="rId87" Type="http://schemas.openxmlformats.org/officeDocument/2006/relationships/hyperlink" Target="mailto:sasethics@lsbu.ac.uk" TargetMode="External"/><Relationship Id="rId61" Type="http://schemas.openxmlformats.org/officeDocument/2006/relationships/image" Target="media/image8.png"/><Relationship Id="rId82" Type="http://schemas.openxmlformats.org/officeDocument/2006/relationships/hyperlink" Target="mailto:ask@release.org.uk" TargetMode="External"/><Relationship Id="rId19" Type="http://schemas.openxmlformats.org/officeDocument/2006/relationships/hyperlink" Target="https://www.reddit.com" TargetMode="External"/><Relationship Id="rId14" Type="http://schemas.openxmlformats.org/officeDocument/2006/relationships/image" Target="media/image2.png"/><Relationship Id="rId30" Type="http://schemas.openxmlformats.org/officeDocument/2006/relationships/chart" Target="charts/chart7.xml"/><Relationship Id="rId35" Type="http://schemas.openxmlformats.org/officeDocument/2006/relationships/hyperlink" Target="https://www.evidence.nhs.uk/formulary/bnf/current/4-central-nervous-system/44-cns-stimulants-and-drugs-used-for-attention-deficit-hyperactivity-disorder/methylphenidate-hydrochloride" TargetMode="External"/><Relationship Id="rId56" Type="http://schemas.openxmlformats.org/officeDocument/2006/relationships/hyperlink" Target="https://www.erowid.org/psychoactives/psychoactives.shtml" TargetMode="External"/><Relationship Id="rId77" Type="http://schemas.openxmlformats.org/officeDocument/2006/relationships/hyperlink" Target="mailto:rycroftn@lsbu.ac.uk" TargetMode="External"/><Relationship Id="rId8" Type="http://schemas.openxmlformats.org/officeDocument/2006/relationships/webSettings" Target="webSettings.xml"/><Relationship Id="rId51" Type="http://schemas.openxmlformats.org/officeDocument/2006/relationships/hyperlink" Target="mailto:rycroftn@lsbu.ac.uk" TargetMode="External"/><Relationship Id="rId72" Type="http://schemas.openxmlformats.org/officeDocument/2006/relationships/image" Target="media/image18.png"/><Relationship Id="rId93" Type="http://schemas.openxmlformats.org/officeDocument/2006/relationships/hyperlink" Target="mailto:teodorir@lsbu.ac.uk"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Methylphendate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91021472145335"/>
          <c:y val="0.1771674229758777"/>
          <c:w val="0.66500604659912388"/>
          <c:h val="0.46536128887877554"/>
        </c:manualLayout>
      </c:layout>
      <c:pieChart>
        <c:varyColors val="1"/>
        <c:ser>
          <c:idx val="0"/>
          <c:order val="0"/>
          <c:tx>
            <c:strRef>
              <c:f>Sheet1!$B$1</c:f>
              <c:strCache>
                <c:ptCount val="1"/>
                <c:pt idx="0">
                  <c:v>Education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49-4A1A-9D94-68D06F6780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49-4A1A-9D94-68D06F6780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49-4A1A-9D94-68D06F678018}"/>
              </c:ext>
            </c:extLst>
          </c:dPt>
          <c:dPt>
            <c:idx val="3"/>
            <c:bubble3D val="0"/>
            <c:spPr>
              <a:solidFill>
                <a:srgbClr val="FF99FF"/>
              </a:solidFill>
              <a:ln w="19050">
                <a:solidFill>
                  <a:schemeClr val="lt1"/>
                </a:solidFill>
              </a:ln>
              <a:effectLst/>
            </c:spPr>
            <c:extLst>
              <c:ext xmlns:c16="http://schemas.microsoft.com/office/drawing/2014/chart" uri="{C3380CC4-5D6E-409C-BE32-E72D297353CC}">
                <c16:uniqueId val="{00000007-3549-4A1A-9D94-68D06F678018}"/>
              </c:ext>
            </c:extLst>
          </c:dPt>
          <c:dPt>
            <c:idx val="4"/>
            <c:bubble3D val="0"/>
            <c:spPr>
              <a:solidFill>
                <a:srgbClr val="92D050"/>
              </a:solidFill>
              <a:ln w="19050">
                <a:solidFill>
                  <a:schemeClr val="lt1"/>
                </a:solidFill>
              </a:ln>
              <a:effectLst/>
            </c:spPr>
            <c:extLst>
              <c:ext xmlns:c16="http://schemas.microsoft.com/office/drawing/2014/chart" uri="{C3380CC4-5D6E-409C-BE32-E72D297353CC}">
                <c16:uniqueId val="{00000009-3549-4A1A-9D94-68D06F678018}"/>
              </c:ext>
            </c:extLst>
          </c:dPt>
          <c:cat>
            <c:strRef>
              <c:f>Sheet1!$A$2:$A$6</c:f>
              <c:strCache>
                <c:ptCount val="5"/>
                <c:pt idx="0">
                  <c:v>Post-graduate degree 12% (N = 7)</c:v>
                </c:pt>
                <c:pt idx="1">
                  <c:v>Undergraduate degree 28% (N = 16)</c:v>
                </c:pt>
                <c:pt idx="2">
                  <c:v>Educated to 18   56% (N = 32)</c:v>
                </c:pt>
                <c:pt idx="3">
                  <c:v>Educated to 16  2% (N = 1)</c:v>
                </c:pt>
                <c:pt idx="4">
                  <c:v>No formal qualifications 2% (N = 1)</c:v>
                </c:pt>
              </c:strCache>
            </c:strRef>
          </c:cat>
          <c:val>
            <c:numRef>
              <c:f>Sheet1!$B$2:$B$6</c:f>
              <c:numCache>
                <c:formatCode>General</c:formatCode>
                <c:ptCount val="5"/>
                <c:pt idx="0">
                  <c:v>7</c:v>
                </c:pt>
                <c:pt idx="1">
                  <c:v>16</c:v>
                </c:pt>
                <c:pt idx="2">
                  <c:v>32</c:v>
                </c:pt>
                <c:pt idx="3">
                  <c:v>1</c:v>
                </c:pt>
                <c:pt idx="4">
                  <c:v>1</c:v>
                </c:pt>
              </c:numCache>
            </c:numRef>
          </c:val>
          <c:extLst>
            <c:ext xmlns:c16="http://schemas.microsoft.com/office/drawing/2014/chart" uri="{C3380CC4-5D6E-409C-BE32-E72D297353CC}">
              <c16:uniqueId val="{0000000A-3549-4A1A-9D94-68D06F6780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1031277340332458E-2"/>
          <c:y val="0.7040615027014625"/>
          <c:w val="0.94455924716727468"/>
          <c:h val="0.281697191720153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Controls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75-45D1-B3F1-EDFD95BF31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75-45D1-B3F1-EDFD95BF31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75-45D1-B3F1-EDFD95BF319F}"/>
              </c:ext>
            </c:extLst>
          </c:dPt>
          <c:dPt>
            <c:idx val="3"/>
            <c:bubble3D val="0"/>
            <c:spPr>
              <a:solidFill>
                <a:srgbClr val="FF99FF"/>
              </a:solidFill>
              <a:ln w="19050">
                <a:solidFill>
                  <a:schemeClr val="lt1"/>
                </a:solidFill>
              </a:ln>
              <a:effectLst/>
            </c:spPr>
            <c:extLst>
              <c:ext xmlns:c16="http://schemas.microsoft.com/office/drawing/2014/chart" uri="{C3380CC4-5D6E-409C-BE32-E72D297353CC}">
                <c16:uniqueId val="{00000007-5375-45D1-B3F1-EDFD95BF319F}"/>
              </c:ext>
            </c:extLst>
          </c:dPt>
          <c:cat>
            <c:strRef>
              <c:f>Sheet1!$A$2:$A$5</c:f>
              <c:strCache>
                <c:ptCount val="4"/>
                <c:pt idx="0">
                  <c:v>Post-graduate degree 9% (N = 4)</c:v>
                </c:pt>
                <c:pt idx="1">
                  <c:v>Undergraduate degree 21% (N = 9)</c:v>
                </c:pt>
                <c:pt idx="2">
                  <c:v>Educated to 18  65% (N = 28)</c:v>
                </c:pt>
                <c:pt idx="3">
                  <c:v>Educated to 16  5% (N = 2)</c:v>
                </c:pt>
              </c:strCache>
            </c:strRef>
          </c:cat>
          <c:val>
            <c:numRef>
              <c:f>Sheet1!$B$2:$B$5</c:f>
              <c:numCache>
                <c:formatCode>General</c:formatCode>
                <c:ptCount val="4"/>
                <c:pt idx="0">
                  <c:v>4</c:v>
                </c:pt>
                <c:pt idx="1">
                  <c:v>9</c:v>
                </c:pt>
                <c:pt idx="2">
                  <c:v>28</c:v>
                </c:pt>
                <c:pt idx="3">
                  <c:v>3</c:v>
                </c:pt>
              </c:numCache>
            </c:numRef>
          </c:val>
          <c:extLst>
            <c:ext xmlns:c16="http://schemas.microsoft.com/office/drawing/2014/chart" uri="{C3380CC4-5D6E-409C-BE32-E72D297353CC}">
              <c16:uniqueId val="{00000008-5375-45D1-B3F1-EDFD95BF319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17591963441118E-2"/>
          <c:y val="0.72854818147731537"/>
          <c:w val="0.92362604420640304"/>
          <c:h val="0.249101237345331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Modafinil-only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Education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4F-4976-BA7A-78C3381FD9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4F-4976-BA7A-78C3381FD9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4F-4976-BA7A-78C3381FD945}"/>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024F-4976-BA7A-78C3381FD945}"/>
              </c:ext>
            </c:extLst>
          </c:dPt>
          <c:cat>
            <c:strRef>
              <c:f>Sheet1!$A$2:$A$5</c:f>
              <c:strCache>
                <c:ptCount val="4"/>
                <c:pt idx="0">
                  <c:v>Post-graduate degree 20% (N = 17)</c:v>
                </c:pt>
                <c:pt idx="1">
                  <c:v>Undergraduate degree 52% (N = 45)</c:v>
                </c:pt>
                <c:pt idx="2">
                  <c:v>Educated to 18 27% (N = 23)</c:v>
                </c:pt>
                <c:pt idx="3">
                  <c:v>No formal qualifications 1% (N = 1)</c:v>
                </c:pt>
              </c:strCache>
            </c:strRef>
          </c:cat>
          <c:val>
            <c:numRef>
              <c:f>Sheet1!$B$2:$B$5</c:f>
              <c:numCache>
                <c:formatCode>General</c:formatCode>
                <c:ptCount val="4"/>
                <c:pt idx="0">
                  <c:v>17</c:v>
                </c:pt>
                <c:pt idx="1">
                  <c:v>45</c:v>
                </c:pt>
                <c:pt idx="2">
                  <c:v>23</c:v>
                </c:pt>
                <c:pt idx="3">
                  <c:v>1</c:v>
                </c:pt>
              </c:numCache>
            </c:numRef>
          </c:val>
          <c:extLst>
            <c:ext xmlns:c16="http://schemas.microsoft.com/office/drawing/2014/chart" uri="{C3380CC4-5D6E-409C-BE32-E72D297353CC}">
              <c16:uniqueId val="{00000008-024F-4976-BA7A-78C3381FD94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0256229912985257"/>
          <c:w val="0.99084061758662489"/>
          <c:h val="0.292606033669374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Controls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75-45D1-B3F1-EDFD95BF31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75-45D1-B3F1-EDFD95BF31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75-45D1-B3F1-EDFD95BF319F}"/>
              </c:ext>
            </c:extLst>
          </c:dPt>
          <c:dPt>
            <c:idx val="3"/>
            <c:bubble3D val="0"/>
            <c:spPr>
              <a:solidFill>
                <a:srgbClr val="FF99FF"/>
              </a:solidFill>
              <a:ln w="19050">
                <a:solidFill>
                  <a:schemeClr val="lt1"/>
                </a:solidFill>
              </a:ln>
              <a:effectLst/>
            </c:spPr>
            <c:extLst>
              <c:ext xmlns:c16="http://schemas.microsoft.com/office/drawing/2014/chart" uri="{C3380CC4-5D6E-409C-BE32-E72D297353CC}">
                <c16:uniqueId val="{00000007-5375-45D1-B3F1-EDFD95BF319F}"/>
              </c:ext>
            </c:extLst>
          </c:dPt>
          <c:cat>
            <c:strRef>
              <c:f>Sheet1!$A$2:$A$5</c:f>
              <c:strCache>
                <c:ptCount val="4"/>
                <c:pt idx="0">
                  <c:v>Post-graduate degree 22% (N = 23)</c:v>
                </c:pt>
                <c:pt idx="1">
                  <c:v>Undergraduate degree 33% (N = 35)</c:v>
                </c:pt>
                <c:pt idx="2">
                  <c:v>Educated to 18  42% (N = 45)</c:v>
                </c:pt>
                <c:pt idx="3">
                  <c:v>Educated to 16  3% (N = 3)</c:v>
                </c:pt>
              </c:strCache>
            </c:strRef>
          </c:cat>
          <c:val>
            <c:numRef>
              <c:f>Sheet1!$B$2:$B$5</c:f>
              <c:numCache>
                <c:formatCode>General</c:formatCode>
                <c:ptCount val="4"/>
                <c:pt idx="0">
                  <c:v>23</c:v>
                </c:pt>
                <c:pt idx="1">
                  <c:v>35</c:v>
                </c:pt>
                <c:pt idx="2">
                  <c:v>45</c:v>
                </c:pt>
                <c:pt idx="3">
                  <c:v>3</c:v>
                </c:pt>
              </c:numCache>
            </c:numRef>
          </c:val>
          <c:extLst>
            <c:ext xmlns:c16="http://schemas.microsoft.com/office/drawing/2014/chart" uri="{C3380CC4-5D6E-409C-BE32-E72D297353CC}">
              <c16:uniqueId val="{00000008-5375-45D1-B3F1-EDFD95BF319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1759359027489985E-2"/>
          <c:y val="0.7143069380478384"/>
          <c:w val="0.92362604420640304"/>
          <c:h val="0.272910761154855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b="0" dirty="0">
                <a:solidFill>
                  <a:sysClr val="windowText" lastClr="000000"/>
                </a:solidFill>
              </a:rPr>
              <a:t>Methylphenidate unemployed respondents</a:t>
            </a:r>
            <a:r>
              <a:rPr lang="en-US" sz="1100" b="0" baseline="0" dirty="0">
                <a:solidFill>
                  <a:sysClr val="windowText" lastClr="000000"/>
                </a:solidFill>
              </a:rPr>
              <a:t> </a:t>
            </a:r>
            <a:endParaRPr lang="en-US" sz="1100" b="0" dirty="0">
              <a:solidFill>
                <a:sysClr val="windowText" lastClr="000000"/>
              </a:solidFill>
            </a:endParaRPr>
          </a:p>
        </c:rich>
      </c:tx>
      <c:layout>
        <c:manualLayout>
          <c:xMode val="edge"/>
          <c:yMode val="edge"/>
          <c:x val="0.12016072733176393"/>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023492753061039"/>
          <c:y val="0.18045470425411836"/>
          <c:w val="0.71363045136599301"/>
          <c:h val="0.41202213204578098"/>
        </c:manualLayout>
      </c:layout>
      <c:pieChart>
        <c:varyColors val="1"/>
        <c:ser>
          <c:idx val="0"/>
          <c:order val="0"/>
          <c:tx>
            <c:strRef>
              <c:f>Sheet1!$B$1</c:f>
              <c:strCache>
                <c:ptCount val="1"/>
                <c:pt idx="0">
                  <c:v>Sales</c:v>
                </c:pt>
              </c:strCache>
            </c:strRef>
          </c:tx>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9F4A-4C5F-8B14-984AFEA73B00}"/>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9F4A-4C5F-8B14-984AFEA73B00}"/>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9F4A-4C5F-8B14-984AFEA73B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4A-4C5F-8B14-984AFEA73B00}"/>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9F4A-4C5F-8B14-984AFEA73B00}"/>
              </c:ext>
            </c:extLst>
          </c:dPt>
          <c:dPt>
            <c:idx val="5"/>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B-9F4A-4C5F-8B14-984AFEA73B00}"/>
              </c:ext>
            </c:extLst>
          </c:dPt>
          <c:cat>
            <c:strRef>
              <c:f>Sheet1!$A$2:$A$7</c:f>
              <c:strCache>
                <c:ptCount val="6"/>
                <c:pt idx="0">
                  <c:v>Doctorate 4% (N = 2)</c:v>
                </c:pt>
                <c:pt idx="1">
                  <c:v>Masters Degree 18% (N = 10)</c:v>
                </c:pt>
                <c:pt idx="2">
                  <c:v>Bachelors Degree 5% (N = 3)</c:v>
                </c:pt>
                <c:pt idx="3">
                  <c:v>CPD 2% (N = 1)</c:v>
                </c:pt>
                <c:pt idx="4">
                  <c:v>Vocational 2% (N = 1)</c:v>
                </c:pt>
                <c:pt idx="5">
                  <c:v>Not studying  9% (N = 5)</c:v>
                </c:pt>
              </c:strCache>
            </c:strRef>
          </c:cat>
          <c:val>
            <c:numRef>
              <c:f>Sheet1!$B$2:$B$7</c:f>
              <c:numCache>
                <c:formatCode>General</c:formatCode>
                <c:ptCount val="6"/>
                <c:pt idx="0">
                  <c:v>2</c:v>
                </c:pt>
                <c:pt idx="1">
                  <c:v>10</c:v>
                </c:pt>
                <c:pt idx="2">
                  <c:v>3</c:v>
                </c:pt>
                <c:pt idx="3">
                  <c:v>1</c:v>
                </c:pt>
                <c:pt idx="4">
                  <c:v>1</c:v>
                </c:pt>
                <c:pt idx="5">
                  <c:v>5</c:v>
                </c:pt>
              </c:numCache>
            </c:numRef>
          </c:val>
          <c:extLst>
            <c:ext xmlns:c16="http://schemas.microsoft.com/office/drawing/2014/chart" uri="{C3380CC4-5D6E-409C-BE32-E72D297353CC}">
              <c16:uniqueId val="{0000000C-9F4A-4C5F-8B14-984AFEA73B0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871043979829414"/>
          <c:y val="0.6789973902834795"/>
          <c:w val="0.74598533430743841"/>
          <c:h val="0.29821058692449764"/>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dirty="0" err="1">
                <a:solidFill>
                  <a:schemeClr val="tx1"/>
                </a:solidFill>
              </a:rPr>
              <a:t>Modafinil</a:t>
            </a:r>
            <a:r>
              <a:rPr lang="en-US" sz="1100" b="0" dirty="0">
                <a:solidFill>
                  <a:schemeClr val="tx1"/>
                </a:solidFill>
              </a:rPr>
              <a:t>-only unemployed respondents</a:t>
            </a:r>
          </a:p>
        </c:rich>
      </c:tx>
      <c:layout>
        <c:manualLayout>
          <c:xMode val="edge"/>
          <c:yMode val="edge"/>
          <c:x val="9.3353478915586291E-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03138701019644"/>
          <c:y val="0.18576735075351075"/>
          <c:w val="0.71269093838517705"/>
          <c:h val="0.40945270066497663"/>
        </c:manualLayout>
      </c:layout>
      <c:pieChart>
        <c:varyColors val="1"/>
        <c:ser>
          <c:idx val="0"/>
          <c:order val="0"/>
          <c:tx>
            <c:strRef>
              <c:f>Sheet1!$B$1</c:f>
              <c:strCache>
                <c:ptCount val="1"/>
                <c:pt idx="0">
                  <c:v>N</c:v>
                </c:pt>
              </c:strCache>
            </c:strRef>
          </c:tx>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F1A0-4C3D-8A70-E319F8C66873}"/>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F1A0-4C3D-8A70-E319F8C66873}"/>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F1A0-4C3D-8A70-E319F8C668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A0-4C3D-8A70-E319F8C66873}"/>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F1A0-4C3D-8A70-E319F8C66873}"/>
              </c:ext>
            </c:extLst>
          </c:dPt>
          <c:dPt>
            <c:idx val="5"/>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B-F1A0-4C3D-8A70-E319F8C66873}"/>
              </c:ext>
            </c:extLst>
          </c:dPt>
          <c:cat>
            <c:strRef>
              <c:f>Sheet1!$A$2:$A$7</c:f>
              <c:strCache>
                <c:ptCount val="6"/>
                <c:pt idx="0">
                  <c:v>Doctorate 3% (N = 3)</c:v>
                </c:pt>
                <c:pt idx="1">
                  <c:v>Masters Degree 2% (N = 2)</c:v>
                </c:pt>
                <c:pt idx="2">
                  <c:v>Bachelors Degree 13% (N = 11)</c:v>
                </c:pt>
                <c:pt idx="3">
                  <c:v>CPD 1% (N = 1)</c:v>
                </c:pt>
                <c:pt idx="4">
                  <c:v>Vocational 1% (N = 1)</c:v>
                </c:pt>
                <c:pt idx="5">
                  <c:v>Not studying  8% (N = 7)</c:v>
                </c:pt>
              </c:strCache>
            </c:strRef>
          </c:cat>
          <c:val>
            <c:numRef>
              <c:f>Sheet1!$B$2:$B$7</c:f>
              <c:numCache>
                <c:formatCode>General</c:formatCode>
                <c:ptCount val="6"/>
                <c:pt idx="0">
                  <c:v>3</c:v>
                </c:pt>
                <c:pt idx="1">
                  <c:v>2</c:v>
                </c:pt>
                <c:pt idx="2">
                  <c:v>11</c:v>
                </c:pt>
                <c:pt idx="3">
                  <c:v>1</c:v>
                </c:pt>
                <c:pt idx="4">
                  <c:v>1</c:v>
                </c:pt>
                <c:pt idx="5">
                  <c:v>7</c:v>
                </c:pt>
              </c:numCache>
            </c:numRef>
          </c:val>
          <c:extLst>
            <c:ext xmlns:c16="http://schemas.microsoft.com/office/drawing/2014/chart" uri="{C3380CC4-5D6E-409C-BE32-E72D297353CC}">
              <c16:uniqueId val="{0000000C-F1A0-4C3D-8A70-E319F8C6687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8552352728337834E-2"/>
          <c:y val="0.69040486833343784"/>
          <c:w val="0.92656249999999996"/>
          <c:h val="0.277678046216919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995322124392305"/>
          <c:y val="1.564960629921259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2394043668336172E-2"/>
          <c:y val="0.17326592698639942"/>
          <c:w val="0.89174391692484789"/>
          <c:h val="0.43438737771414937"/>
        </c:manualLayout>
      </c:layout>
      <c:pieChart>
        <c:varyColors val="1"/>
        <c:ser>
          <c:idx val="0"/>
          <c:order val="0"/>
          <c:tx>
            <c:strRef>
              <c:f>Sheet1!$B$1</c:f>
              <c:strCache>
                <c:ptCount val="1"/>
                <c:pt idx="0">
                  <c:v>Control unemployed respondents</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2DD9-4326-BA9C-0876EBD77C38}"/>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2DD9-4326-BA9C-0876EBD77C38}"/>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2DD9-4326-BA9C-0876EBD77C38}"/>
              </c:ext>
            </c:extLst>
          </c:dPt>
          <c:dPt>
            <c:idx val="3"/>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7-2DD9-4326-BA9C-0876EBD77C38}"/>
              </c:ext>
            </c:extLst>
          </c:dPt>
          <c:cat>
            <c:strRef>
              <c:f>Sheet1!$A$2:$A$5</c:f>
              <c:strCache>
                <c:ptCount val="4"/>
                <c:pt idx="0">
                  <c:v>Masters Degree 1% (N = 1)</c:v>
                </c:pt>
                <c:pt idx="1">
                  <c:v>Bachelors Degree 10% (N = 11)</c:v>
                </c:pt>
                <c:pt idx="2">
                  <c:v>A Levels 1% (N = 1)</c:v>
                </c:pt>
                <c:pt idx="3">
                  <c:v>Not studying 19% (N = 20)</c:v>
                </c:pt>
              </c:strCache>
            </c:strRef>
          </c:cat>
          <c:val>
            <c:numRef>
              <c:f>Sheet1!$B$2:$B$5</c:f>
              <c:numCache>
                <c:formatCode>General</c:formatCode>
                <c:ptCount val="4"/>
                <c:pt idx="0">
                  <c:v>1</c:v>
                </c:pt>
                <c:pt idx="1">
                  <c:v>11</c:v>
                </c:pt>
                <c:pt idx="2">
                  <c:v>1</c:v>
                </c:pt>
                <c:pt idx="3">
                  <c:v>20</c:v>
                </c:pt>
              </c:numCache>
            </c:numRef>
          </c:val>
          <c:extLst>
            <c:ext xmlns:c16="http://schemas.microsoft.com/office/drawing/2014/chart" uri="{C3380CC4-5D6E-409C-BE32-E72D297353CC}">
              <c16:uniqueId val="{00000008-2DD9-4326-BA9C-0876EBD77C3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863704828498299E-2"/>
          <c:y val="0.68496480553567163"/>
          <c:w val="0.90916777898874634"/>
          <c:h val="0.23170186113099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latin typeface="+mj-lt"/>
              </a:rPr>
              <a:t>CED-user</a:t>
            </a:r>
            <a:r>
              <a:rPr lang="en-GB" sz="1100" b="1" baseline="0">
                <a:latin typeface="+mj-lt"/>
              </a:rPr>
              <a:t> and control group latencies for correct trials</a:t>
            </a:r>
            <a:endParaRPr lang="en-GB" sz="1100"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CED users</c:v>
                </c:pt>
              </c:strCache>
            </c:strRef>
          </c:tx>
          <c:spPr>
            <a:solidFill>
              <a:schemeClr val="tx1"/>
            </a:solidFill>
            <a:ln>
              <a:noFill/>
            </a:ln>
            <a:effectLst/>
          </c:spPr>
          <c:invertIfNegative val="0"/>
          <c:cat>
            <c:strRef>
              <c:f>Sheet1!$A$2:$A$4</c:f>
              <c:strCache>
                <c:ptCount val="3"/>
                <c:pt idx="0">
                  <c:v>Congruent reaction time</c:v>
                </c:pt>
                <c:pt idx="1">
                  <c:v>Incongruent reaction time</c:v>
                </c:pt>
                <c:pt idx="2">
                  <c:v>Neutral reaction time</c:v>
                </c:pt>
              </c:strCache>
            </c:strRef>
          </c:cat>
          <c:val>
            <c:numRef>
              <c:f>Sheet1!$B$2:$B$4</c:f>
              <c:numCache>
                <c:formatCode>General</c:formatCode>
                <c:ptCount val="3"/>
                <c:pt idx="0">
                  <c:v>392.29</c:v>
                </c:pt>
                <c:pt idx="1">
                  <c:v>460.39</c:v>
                </c:pt>
                <c:pt idx="2">
                  <c:v>394.81</c:v>
                </c:pt>
              </c:numCache>
            </c:numRef>
          </c:val>
          <c:extLst>
            <c:ext xmlns:c16="http://schemas.microsoft.com/office/drawing/2014/chart" uri="{C3380CC4-5D6E-409C-BE32-E72D297353CC}">
              <c16:uniqueId val="{00000000-389E-474F-BC10-325DFB088472}"/>
            </c:ext>
          </c:extLst>
        </c:ser>
        <c:ser>
          <c:idx val="1"/>
          <c:order val="1"/>
          <c:tx>
            <c:strRef>
              <c:f>Sheet1!$C$1</c:f>
              <c:strCache>
                <c:ptCount val="1"/>
                <c:pt idx="0">
                  <c:v>Controls</c:v>
                </c:pt>
              </c:strCache>
            </c:strRef>
          </c:tx>
          <c:spPr>
            <a:solidFill>
              <a:schemeClr val="bg2">
                <a:lumMod val="75000"/>
              </a:schemeClr>
            </a:solidFill>
            <a:ln>
              <a:noFill/>
            </a:ln>
            <a:effectLst/>
          </c:spPr>
          <c:invertIfNegative val="0"/>
          <c:cat>
            <c:strRef>
              <c:f>Sheet1!$A$2:$A$4</c:f>
              <c:strCache>
                <c:ptCount val="3"/>
                <c:pt idx="0">
                  <c:v>Congruent reaction time</c:v>
                </c:pt>
                <c:pt idx="1">
                  <c:v>Incongruent reaction time</c:v>
                </c:pt>
                <c:pt idx="2">
                  <c:v>Neutral reaction time</c:v>
                </c:pt>
              </c:strCache>
            </c:strRef>
          </c:cat>
          <c:val>
            <c:numRef>
              <c:f>Sheet1!$C$2:$C$4</c:f>
              <c:numCache>
                <c:formatCode>General</c:formatCode>
                <c:ptCount val="3"/>
                <c:pt idx="0">
                  <c:v>434.76</c:v>
                </c:pt>
                <c:pt idx="1">
                  <c:v>502.18</c:v>
                </c:pt>
                <c:pt idx="2">
                  <c:v>437.86</c:v>
                </c:pt>
              </c:numCache>
            </c:numRef>
          </c:val>
          <c:extLst>
            <c:ext xmlns:c16="http://schemas.microsoft.com/office/drawing/2014/chart" uri="{C3380CC4-5D6E-409C-BE32-E72D297353CC}">
              <c16:uniqueId val="{00000001-389E-474F-BC10-325DFB088472}"/>
            </c:ext>
          </c:extLst>
        </c:ser>
        <c:dLbls>
          <c:showLegendKey val="0"/>
          <c:showVal val="0"/>
          <c:showCatName val="0"/>
          <c:showSerName val="0"/>
          <c:showPercent val="0"/>
          <c:showBubbleSize val="0"/>
        </c:dLbls>
        <c:gapWidth val="219"/>
        <c:overlap val="-27"/>
        <c:axId val="352699472"/>
        <c:axId val="349644000"/>
      </c:barChart>
      <c:catAx>
        <c:axId val="352699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Trial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644000"/>
        <c:crosses val="autoZero"/>
        <c:auto val="1"/>
        <c:lblAlgn val="ctr"/>
        <c:lblOffset val="100"/>
        <c:noMultiLvlLbl val="0"/>
      </c:catAx>
      <c:valAx>
        <c:axId val="349644000"/>
        <c:scaling>
          <c:orientation val="minMax"/>
          <c:max val="55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reaction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6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latin typeface="+mj-lt"/>
              </a:rPr>
              <a:t>CED</a:t>
            </a:r>
            <a:r>
              <a:rPr lang="en-GB" sz="1100" b="1" baseline="0">
                <a:latin typeface="+mj-lt"/>
              </a:rPr>
              <a:t>-user and control group numbers of correct trials</a:t>
            </a:r>
            <a:endParaRPr lang="en-GB" sz="1100"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CED users</c:v>
                </c:pt>
              </c:strCache>
            </c:strRef>
          </c:tx>
          <c:spPr>
            <a:solidFill>
              <a:schemeClr val="tx1"/>
            </a:solidFill>
            <a:ln>
              <a:noFill/>
            </a:ln>
            <a:effectLst/>
          </c:spPr>
          <c:invertIfNegative val="0"/>
          <c:cat>
            <c:strRef>
              <c:f>Sheet1!$A$2:$A$4</c:f>
              <c:strCache>
                <c:ptCount val="3"/>
                <c:pt idx="0">
                  <c:v>Congruent Correct Trials</c:v>
                </c:pt>
                <c:pt idx="1">
                  <c:v>Incongruent Correct Trials</c:v>
                </c:pt>
                <c:pt idx="2">
                  <c:v>Neutral Correct Trials</c:v>
                </c:pt>
              </c:strCache>
            </c:strRef>
          </c:cat>
          <c:val>
            <c:numRef>
              <c:f>Sheet1!$B$2:$B$4</c:f>
              <c:numCache>
                <c:formatCode>General</c:formatCode>
                <c:ptCount val="3"/>
                <c:pt idx="0">
                  <c:v>39.520000000000003</c:v>
                </c:pt>
                <c:pt idx="1">
                  <c:v>35.33</c:v>
                </c:pt>
                <c:pt idx="2">
                  <c:v>39.03</c:v>
                </c:pt>
              </c:numCache>
            </c:numRef>
          </c:val>
          <c:extLst>
            <c:ext xmlns:c16="http://schemas.microsoft.com/office/drawing/2014/chart" uri="{C3380CC4-5D6E-409C-BE32-E72D297353CC}">
              <c16:uniqueId val="{00000000-54CE-493E-BEC8-3379483B4AE8}"/>
            </c:ext>
          </c:extLst>
        </c:ser>
        <c:ser>
          <c:idx val="1"/>
          <c:order val="1"/>
          <c:tx>
            <c:strRef>
              <c:f>Sheet1!$C$1</c:f>
              <c:strCache>
                <c:ptCount val="1"/>
                <c:pt idx="0">
                  <c:v>Controls</c:v>
                </c:pt>
              </c:strCache>
            </c:strRef>
          </c:tx>
          <c:spPr>
            <a:solidFill>
              <a:schemeClr val="bg2">
                <a:lumMod val="75000"/>
              </a:schemeClr>
            </a:solidFill>
            <a:ln>
              <a:noFill/>
            </a:ln>
            <a:effectLst/>
          </c:spPr>
          <c:invertIfNegative val="0"/>
          <c:cat>
            <c:strRef>
              <c:f>Sheet1!$A$2:$A$4</c:f>
              <c:strCache>
                <c:ptCount val="3"/>
                <c:pt idx="0">
                  <c:v>Congruent Correct Trials</c:v>
                </c:pt>
                <c:pt idx="1">
                  <c:v>Incongruent Correct Trials</c:v>
                </c:pt>
                <c:pt idx="2">
                  <c:v>Neutral Correct Trials</c:v>
                </c:pt>
              </c:strCache>
            </c:strRef>
          </c:cat>
          <c:val>
            <c:numRef>
              <c:f>Sheet1!$C$2:$C$4</c:f>
              <c:numCache>
                <c:formatCode>General</c:formatCode>
                <c:ptCount val="3"/>
                <c:pt idx="0">
                  <c:v>38.979999999999997</c:v>
                </c:pt>
                <c:pt idx="1">
                  <c:v>36.340000000000003</c:v>
                </c:pt>
                <c:pt idx="2">
                  <c:v>38.619999999999997</c:v>
                </c:pt>
              </c:numCache>
            </c:numRef>
          </c:val>
          <c:extLst>
            <c:ext xmlns:c16="http://schemas.microsoft.com/office/drawing/2014/chart" uri="{C3380CC4-5D6E-409C-BE32-E72D297353CC}">
              <c16:uniqueId val="{00000001-54CE-493E-BEC8-3379483B4AE8}"/>
            </c:ext>
          </c:extLst>
        </c:ser>
        <c:dLbls>
          <c:showLegendKey val="0"/>
          <c:showVal val="0"/>
          <c:showCatName val="0"/>
          <c:showSerName val="0"/>
          <c:showPercent val="0"/>
          <c:showBubbleSize val="0"/>
        </c:dLbls>
        <c:gapWidth val="219"/>
        <c:overlap val="-27"/>
        <c:axId val="424524800"/>
        <c:axId val="591466536"/>
      </c:barChart>
      <c:catAx>
        <c:axId val="42452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466536"/>
        <c:crosses val="autoZero"/>
        <c:auto val="1"/>
        <c:lblAlgn val="ctr"/>
        <c:lblOffset val="100"/>
        <c:noMultiLvlLbl val="0"/>
      </c:catAx>
      <c:valAx>
        <c:axId val="59146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52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CED-user</a:t>
            </a:r>
            <a:r>
              <a:rPr lang="en-US" baseline="0"/>
              <a: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91021472145335"/>
          <c:y val="0.1771674229758777"/>
          <c:w val="0.66500604659912388"/>
          <c:h val="0.46536128887877554"/>
        </c:manualLayout>
      </c:layout>
      <c:pieChart>
        <c:varyColors val="1"/>
        <c:ser>
          <c:idx val="0"/>
          <c:order val="0"/>
          <c:tx>
            <c:strRef>
              <c:f>Sheet1!$B$1</c:f>
              <c:strCache>
                <c:ptCount val="1"/>
                <c:pt idx="0">
                  <c:v>Education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AE-490E-820C-BD883D1E46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49-4A1A-9D94-68D06F6780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49-4A1A-9D94-68D06F678018}"/>
              </c:ext>
            </c:extLst>
          </c:dPt>
          <c:dPt>
            <c:idx val="3"/>
            <c:bubble3D val="0"/>
            <c:spPr>
              <a:solidFill>
                <a:srgbClr val="FF99FF"/>
              </a:solidFill>
              <a:ln w="19050">
                <a:solidFill>
                  <a:schemeClr val="lt1"/>
                </a:solidFill>
              </a:ln>
              <a:effectLst/>
            </c:spPr>
            <c:extLst>
              <c:ext xmlns:c16="http://schemas.microsoft.com/office/drawing/2014/chart" uri="{C3380CC4-5D6E-409C-BE32-E72D297353CC}">
                <c16:uniqueId val="{00000007-3549-4A1A-9D94-68D06F678018}"/>
              </c:ext>
            </c:extLst>
          </c:dPt>
          <c:cat>
            <c:strRef>
              <c:f>Sheet1!$A$2:$A$5</c:f>
              <c:strCache>
                <c:ptCount val="4"/>
                <c:pt idx="0">
                  <c:v>Post-graduate degree 32% (N = 15)</c:v>
                </c:pt>
                <c:pt idx="1">
                  <c:v>Undergraduate degree 36% (N = 17)</c:v>
                </c:pt>
                <c:pt idx="2">
                  <c:v>Educated to 18   26% (N = 12)</c:v>
                </c:pt>
                <c:pt idx="3">
                  <c:v>Educated to 16  6% (N = 3)</c:v>
                </c:pt>
              </c:strCache>
            </c:strRef>
          </c:cat>
          <c:val>
            <c:numRef>
              <c:f>Sheet1!$B$2:$B$5</c:f>
              <c:numCache>
                <c:formatCode>General</c:formatCode>
                <c:ptCount val="4"/>
                <c:pt idx="0">
                  <c:v>15</c:v>
                </c:pt>
                <c:pt idx="1">
                  <c:v>17</c:v>
                </c:pt>
                <c:pt idx="2">
                  <c:v>12</c:v>
                </c:pt>
                <c:pt idx="3">
                  <c:v>3</c:v>
                </c:pt>
              </c:numCache>
            </c:numRef>
          </c:val>
          <c:extLst>
            <c:ext xmlns:c16="http://schemas.microsoft.com/office/drawing/2014/chart" uri="{C3380CC4-5D6E-409C-BE32-E72D297353CC}">
              <c16:uniqueId val="{0000000A-3549-4A1A-9D94-68D06F6780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1031175981051149E-2"/>
          <c:y val="0.71839157196346404"/>
          <c:w val="0.94455924716727468"/>
          <c:h val="0.267367122458152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8EE5E6C787C4A9B14B4FA2D158499" ma:contentTypeVersion="4" ma:contentTypeDescription="Create a new document." ma:contentTypeScope="" ma:versionID="afe0bbd801aa18341e8d5c4a2a75f6c6">
  <xsd:schema xmlns:xsd="http://www.w3.org/2001/XMLSchema" xmlns:xs="http://www.w3.org/2001/XMLSchema" xmlns:p="http://schemas.microsoft.com/office/2006/metadata/properties" xmlns:ns2="e77465b7-ed91-478d-9eda-e9d07b844392" targetNamespace="http://schemas.microsoft.com/office/2006/metadata/properties" ma:root="true" ma:fieldsID="26128962b3423c1d45c2f9649da7f422" ns2:_="">
    <xsd:import namespace="e77465b7-ed91-478d-9eda-e9d07b8443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465b7-ed91-478d-9eda-e9d07b844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44AACE-C0F9-489B-A0B9-755868875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465b7-ed91-478d-9eda-e9d07b844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DB6A90-7C26-4D2A-83B5-E0F241EAB8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0D44A-7486-430B-895C-02D0C26B0E5D}">
  <ds:schemaRefs>
    <ds:schemaRef ds:uri="http://schemas.openxmlformats.org/officeDocument/2006/bibliography"/>
  </ds:schemaRefs>
</ds:datastoreItem>
</file>

<file path=customXml/itemProps4.xml><?xml version="1.0" encoding="utf-8"?>
<ds:datastoreItem xmlns:ds="http://schemas.openxmlformats.org/officeDocument/2006/customXml" ds:itemID="{47B72BA4-7DA4-4EC6-9BE7-3C61066F86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279</Pages>
  <Words>84572</Words>
  <Characters>482063</Characters>
  <Application>Microsoft Office Word</Application>
  <DocSecurity>0</DocSecurity>
  <Lines>4017</Lines>
  <Paragraphs>1131</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565504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Teodorini</dc:creator>
  <cp:keywords/>
  <dc:description/>
  <cp:lastModifiedBy>Rachel Teodorini</cp:lastModifiedBy>
  <cp:revision>5</cp:revision>
  <dcterms:created xsi:type="dcterms:W3CDTF">2021-01-05T15:12:00Z</dcterms:created>
  <dcterms:modified xsi:type="dcterms:W3CDTF">2021-02-13T18:14:00Z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0x010100FC48EE5E6C787C4A9B14B4FA2D158499</vt:lpwstr>
  </property>
</Properties>
</file>