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40FD" w14:textId="77777777" w:rsidR="002F3AD6" w:rsidRPr="00A51A17" w:rsidRDefault="002F3AD6" w:rsidP="002F3AD6">
      <w:pPr>
        <w:spacing w:line="480" w:lineRule="auto"/>
        <w:jc w:val="center"/>
        <w:rPr>
          <w:b/>
          <w:lang w:val="en-US"/>
        </w:rPr>
      </w:pPr>
      <w:r w:rsidRPr="00A51A17">
        <w:rPr>
          <w:b/>
          <w:lang w:val="en-US"/>
        </w:rPr>
        <w:t>Psychological distress in the context of the COVID-19 pandemic: The joint contribution of intolerance of uncertainty and cyberchondria</w:t>
      </w:r>
    </w:p>
    <w:p w14:paraId="15BD0E04" w14:textId="77777777" w:rsidR="002F3AD6" w:rsidRPr="00A51A17" w:rsidRDefault="002F3AD6" w:rsidP="002F3AD6">
      <w:pPr>
        <w:spacing w:line="480" w:lineRule="auto"/>
        <w:jc w:val="center"/>
        <w:rPr>
          <w:b/>
          <w:lang w:val="en-US"/>
        </w:rPr>
      </w:pPr>
    </w:p>
    <w:p w14:paraId="10CF7CB5" w14:textId="77777777" w:rsidR="002F3AD6" w:rsidRPr="00A51A17" w:rsidRDefault="002F3AD6" w:rsidP="002F3AD6">
      <w:pPr>
        <w:spacing w:line="480" w:lineRule="auto"/>
        <w:jc w:val="center"/>
        <w:rPr>
          <w:shd w:val="clear" w:color="auto" w:fill="FFFFFF"/>
          <w:vertAlign w:val="superscript"/>
        </w:rPr>
      </w:pPr>
      <w:r w:rsidRPr="00A51A17">
        <w:t xml:space="preserve">Gioia Bottesi </w:t>
      </w:r>
      <w:r w:rsidRPr="00A51A17">
        <w:rPr>
          <w:shd w:val="clear" w:color="auto" w:fill="FFFFFF"/>
          <w:vertAlign w:val="superscript"/>
        </w:rPr>
        <w:t>a</w:t>
      </w:r>
      <w:r w:rsidRPr="00A51A17">
        <w:rPr>
          <w:rFonts w:eastAsia="MS Mincho"/>
          <w:vertAlign w:val="superscript"/>
          <w:lang w:eastAsia="en-US"/>
        </w:rPr>
        <w:t>*</w:t>
      </w:r>
      <w:r w:rsidRPr="00A51A17">
        <w:t>, Claudia Marino</w:t>
      </w:r>
      <w:r w:rsidRPr="00A51A17">
        <w:rPr>
          <w:shd w:val="clear" w:color="auto" w:fill="FFFFFF"/>
          <w:vertAlign w:val="superscript"/>
        </w:rPr>
        <w:t xml:space="preserve"> b,c</w:t>
      </w:r>
      <w:r w:rsidRPr="00A51A17">
        <w:rPr>
          <w:rFonts w:eastAsia="MS Mincho"/>
          <w:vertAlign w:val="superscript"/>
          <w:lang w:eastAsia="en-US"/>
        </w:rPr>
        <w:t>*</w:t>
      </w:r>
      <w:r w:rsidRPr="00A51A17">
        <w:t>, Alessio Vieno</w:t>
      </w:r>
      <w:r w:rsidRPr="00A51A17">
        <w:rPr>
          <w:shd w:val="clear" w:color="auto" w:fill="FFFFFF"/>
          <w:vertAlign w:val="superscript"/>
        </w:rPr>
        <w:t xml:space="preserve"> b</w:t>
      </w:r>
      <w:r w:rsidRPr="00A51A17">
        <w:t>, Marta Ghisi</w:t>
      </w:r>
      <w:r w:rsidRPr="00A51A17">
        <w:rPr>
          <w:shd w:val="clear" w:color="auto" w:fill="FFFFFF"/>
          <w:vertAlign w:val="superscript"/>
        </w:rPr>
        <w:t xml:space="preserve"> a</w:t>
      </w:r>
      <w:r w:rsidRPr="00A51A17">
        <w:t>, Marcantonio M. Spada</w:t>
      </w:r>
      <w:r w:rsidRPr="00A51A17">
        <w:rPr>
          <w:shd w:val="clear" w:color="auto" w:fill="FFFFFF"/>
          <w:vertAlign w:val="superscript"/>
        </w:rPr>
        <w:t xml:space="preserve"> c</w:t>
      </w:r>
    </w:p>
    <w:p w14:paraId="02EFE9A6" w14:textId="77777777" w:rsidR="002F3AD6" w:rsidRPr="00A51A17" w:rsidRDefault="002F3AD6" w:rsidP="002F3AD6">
      <w:pPr>
        <w:spacing w:line="480" w:lineRule="auto"/>
      </w:pPr>
    </w:p>
    <w:p w14:paraId="48E33A21" w14:textId="77777777" w:rsidR="002F3AD6" w:rsidRPr="00A51A17" w:rsidRDefault="002F3AD6" w:rsidP="002F3AD6">
      <w:pPr>
        <w:pStyle w:val="Default"/>
        <w:tabs>
          <w:tab w:val="left" w:pos="567"/>
        </w:tabs>
        <w:spacing w:line="480" w:lineRule="auto"/>
        <w:jc w:val="both"/>
        <w:rPr>
          <w:rFonts w:ascii="Times New Roman" w:hAnsi="Times New Roman" w:cs="Times New Roman"/>
          <w:color w:val="auto"/>
          <w:shd w:val="clear" w:color="auto" w:fill="FFFFFF"/>
          <w:lang w:val="en-US"/>
        </w:rPr>
      </w:pPr>
      <w:r w:rsidRPr="00A51A17">
        <w:rPr>
          <w:rFonts w:ascii="Times New Roman" w:hAnsi="Times New Roman" w:cs="Times New Roman"/>
          <w:color w:val="auto"/>
          <w:shd w:val="clear" w:color="auto" w:fill="FFFFFF"/>
          <w:vertAlign w:val="superscript"/>
          <w:lang w:val="en-US"/>
        </w:rPr>
        <w:t xml:space="preserve">a </w:t>
      </w:r>
      <w:r w:rsidRPr="00A51A17">
        <w:rPr>
          <w:rFonts w:ascii="Times New Roman" w:hAnsi="Times New Roman" w:cs="Times New Roman"/>
          <w:color w:val="auto"/>
          <w:shd w:val="clear" w:color="auto" w:fill="FFFFFF"/>
          <w:lang w:val="en-US"/>
        </w:rPr>
        <w:t xml:space="preserve">Department of General Psychology, University of Padova, via Venezia 8, 35131 Padova, </w:t>
      </w:r>
    </w:p>
    <w:p w14:paraId="5039E000" w14:textId="77777777" w:rsidR="002F3AD6" w:rsidRPr="00A51A17" w:rsidRDefault="002F3AD6" w:rsidP="002F3AD6">
      <w:pPr>
        <w:pStyle w:val="Default"/>
        <w:tabs>
          <w:tab w:val="left" w:pos="567"/>
        </w:tabs>
        <w:spacing w:line="480" w:lineRule="auto"/>
        <w:jc w:val="both"/>
        <w:rPr>
          <w:rFonts w:ascii="Times New Roman" w:hAnsi="Times New Roman" w:cs="Times New Roman"/>
          <w:color w:val="auto"/>
          <w:lang w:val="en-US"/>
        </w:rPr>
      </w:pPr>
      <w:r w:rsidRPr="00A51A17">
        <w:rPr>
          <w:rFonts w:ascii="Times New Roman" w:hAnsi="Times New Roman" w:cs="Times New Roman"/>
          <w:color w:val="auto"/>
          <w:shd w:val="clear" w:color="auto" w:fill="FFFFFF"/>
          <w:vertAlign w:val="superscript"/>
        </w:rPr>
        <w:t>b</w:t>
      </w:r>
      <w:r w:rsidRPr="00A51A17">
        <w:rPr>
          <w:rFonts w:ascii="Times New Roman" w:hAnsi="Times New Roman" w:cs="Times New Roman"/>
          <w:color w:val="auto"/>
          <w:lang w:val="en-US"/>
        </w:rPr>
        <w:t xml:space="preserve"> Department of Developmental and Social Psychology, University of Padova, via Venezia 8, 35131 Padova, Italy. </w:t>
      </w:r>
    </w:p>
    <w:p w14:paraId="575352F0" w14:textId="77777777" w:rsidR="002F3AD6" w:rsidRPr="00A51A17" w:rsidRDefault="002F3AD6" w:rsidP="002F3AD6">
      <w:pPr>
        <w:pStyle w:val="Default"/>
        <w:tabs>
          <w:tab w:val="left" w:pos="567"/>
        </w:tabs>
        <w:spacing w:line="480" w:lineRule="auto"/>
        <w:jc w:val="both"/>
        <w:rPr>
          <w:rStyle w:val="Hyperlink"/>
          <w:rFonts w:ascii="Times New Roman" w:hAnsi="Times New Roman" w:cs="Times New Roman"/>
          <w:color w:val="auto"/>
          <w:u w:val="none"/>
          <w:lang w:val="en-US"/>
        </w:rPr>
      </w:pPr>
      <w:r w:rsidRPr="00A51A17">
        <w:rPr>
          <w:rFonts w:ascii="Times New Roman" w:hAnsi="Times New Roman" w:cs="Times New Roman"/>
          <w:color w:val="auto"/>
          <w:shd w:val="clear" w:color="auto" w:fill="FFFFFF"/>
          <w:vertAlign w:val="superscript"/>
        </w:rPr>
        <w:t>c</w:t>
      </w:r>
      <w:r w:rsidRPr="00A51A17">
        <w:rPr>
          <w:rFonts w:ascii="Times New Roman" w:hAnsi="Times New Roman" w:cs="Times New Roman"/>
          <w:color w:val="auto"/>
          <w:shd w:val="clear" w:color="auto" w:fill="FFFFFF"/>
        </w:rPr>
        <w:t xml:space="preserve"> </w:t>
      </w:r>
      <w:r w:rsidRPr="00A51A17">
        <w:rPr>
          <w:rFonts w:ascii="Times New Roman" w:hAnsi="Times New Roman" w:cs="Times New Roman"/>
          <w:color w:val="auto"/>
          <w:lang w:val="en-GB"/>
        </w:rPr>
        <w:t xml:space="preserve">Division of Psychology, School of Applied Sciences, London South Bank University, </w:t>
      </w:r>
      <w:r w:rsidRPr="00A51A17">
        <w:rPr>
          <w:rFonts w:ascii="Times New Roman" w:hAnsi="Times New Roman" w:cs="Times New Roman"/>
          <w:color w:val="auto"/>
          <w:lang w:val="en-US"/>
        </w:rPr>
        <w:t>103 Borough Road London SE1 0AA</w:t>
      </w:r>
      <w:r w:rsidRPr="00A51A17">
        <w:rPr>
          <w:rFonts w:ascii="Times New Roman" w:hAnsi="Times New Roman" w:cs="Times New Roman"/>
          <w:color w:val="auto"/>
          <w:lang w:val="en-GB"/>
        </w:rPr>
        <w:t xml:space="preserve">, United Kingdom. </w:t>
      </w:r>
    </w:p>
    <w:p w14:paraId="32A1B374" w14:textId="77777777" w:rsidR="002F3AD6" w:rsidRPr="00A51A17" w:rsidRDefault="002F3AD6" w:rsidP="002F3AD6">
      <w:pPr>
        <w:pStyle w:val="Default"/>
        <w:tabs>
          <w:tab w:val="left" w:pos="567"/>
        </w:tabs>
        <w:spacing w:line="480" w:lineRule="auto"/>
        <w:jc w:val="both"/>
        <w:rPr>
          <w:rFonts w:ascii="Times New Roman" w:hAnsi="Times New Roman" w:cs="Times New Roman"/>
          <w:color w:val="auto"/>
          <w:lang w:val="en-GB"/>
        </w:rPr>
      </w:pPr>
    </w:p>
    <w:p w14:paraId="006E430F" w14:textId="77777777" w:rsidR="002F3AD6" w:rsidRPr="00A51A17" w:rsidRDefault="002F3AD6" w:rsidP="002F3AD6">
      <w:pPr>
        <w:pStyle w:val="Default"/>
        <w:tabs>
          <w:tab w:val="left" w:pos="567"/>
        </w:tabs>
        <w:spacing w:line="480" w:lineRule="auto"/>
        <w:jc w:val="both"/>
        <w:rPr>
          <w:rFonts w:ascii="Times New Roman" w:hAnsi="Times New Roman" w:cs="Times New Roman"/>
          <w:bCs/>
          <w:color w:val="auto"/>
          <w:lang w:val="en-US"/>
        </w:rPr>
      </w:pPr>
      <w:r w:rsidRPr="00A51A17">
        <w:rPr>
          <w:rFonts w:ascii="Times New Roman" w:hAnsi="Times New Roman" w:cs="Times New Roman"/>
          <w:color w:val="auto"/>
          <w:vertAlign w:val="superscript"/>
          <w:lang w:val="en-US"/>
        </w:rPr>
        <w:t xml:space="preserve">* </w:t>
      </w:r>
      <w:r w:rsidRPr="00A51A17">
        <w:rPr>
          <w:rFonts w:ascii="Times New Roman" w:hAnsi="Times New Roman" w:cs="Times New Roman"/>
          <w:color w:val="auto"/>
          <w:lang w:val="en-US"/>
        </w:rPr>
        <w:t>= These two </w:t>
      </w:r>
      <w:r w:rsidRPr="00A51A17">
        <w:rPr>
          <w:rFonts w:ascii="Times New Roman" w:hAnsi="Times New Roman" w:cs="Times New Roman"/>
          <w:bCs/>
          <w:color w:val="auto"/>
          <w:lang w:val="en-US"/>
        </w:rPr>
        <w:t>authors contributed equally to this work.</w:t>
      </w:r>
    </w:p>
    <w:p w14:paraId="210F48BA" w14:textId="77777777" w:rsidR="002F3AD6" w:rsidRPr="00A51A17" w:rsidRDefault="002F3AD6" w:rsidP="002F3AD6">
      <w:pPr>
        <w:pStyle w:val="Default"/>
        <w:tabs>
          <w:tab w:val="left" w:pos="567"/>
        </w:tabs>
        <w:spacing w:line="480" w:lineRule="auto"/>
        <w:jc w:val="both"/>
        <w:rPr>
          <w:rFonts w:ascii="Times New Roman" w:hAnsi="Times New Roman" w:cs="Times New Roman"/>
          <w:color w:val="auto"/>
          <w:lang w:val="en-GB"/>
        </w:rPr>
      </w:pPr>
    </w:p>
    <w:p w14:paraId="6265DCD7" w14:textId="77777777" w:rsidR="002F3AD6" w:rsidRPr="00A51A17" w:rsidRDefault="002F3AD6" w:rsidP="002F3AD6">
      <w:pPr>
        <w:pStyle w:val="Default"/>
        <w:tabs>
          <w:tab w:val="left" w:pos="567"/>
          <w:tab w:val="left" w:pos="2685"/>
        </w:tabs>
        <w:spacing w:line="480" w:lineRule="auto"/>
        <w:jc w:val="both"/>
        <w:rPr>
          <w:rFonts w:ascii="Times New Roman" w:hAnsi="Times New Roman" w:cs="Times New Roman"/>
          <w:color w:val="auto"/>
          <w:shd w:val="clear" w:color="auto" w:fill="FFFFFF"/>
          <w:lang w:val="it-IT"/>
        </w:rPr>
      </w:pPr>
      <w:r w:rsidRPr="00A51A17">
        <w:rPr>
          <w:rFonts w:ascii="Times New Roman" w:hAnsi="Times New Roman" w:cs="Times New Roman"/>
          <w:color w:val="auto"/>
          <w:shd w:val="clear" w:color="auto" w:fill="FFFFFF"/>
          <w:lang w:val="it-IT"/>
        </w:rPr>
        <w:t>ORCiDs: Gioia Bottesi ORCID: 0000-0002-8411-8887; Claudia Marino: 0000-0002-1127-3907; Alessio Vieno: 0000-0003-4417-4822; Marta Ghisi: 0000-0002-6904-7259; Marcantonio M. Spada: 0000-0003-4548-9578.</w:t>
      </w:r>
    </w:p>
    <w:p w14:paraId="78D5FE34" w14:textId="77777777" w:rsidR="002F3AD6" w:rsidRPr="00A51A17" w:rsidRDefault="002F3AD6" w:rsidP="002F3AD6">
      <w:pPr>
        <w:spacing w:line="480" w:lineRule="auto"/>
        <w:jc w:val="center"/>
        <w:rPr>
          <w:shd w:val="clear" w:color="auto" w:fill="FFFFFF"/>
        </w:rPr>
      </w:pPr>
    </w:p>
    <w:p w14:paraId="44860E2C" w14:textId="77777777" w:rsidR="002F3AD6" w:rsidRPr="00A51A17" w:rsidRDefault="002F3AD6" w:rsidP="002F3AD6">
      <w:pPr>
        <w:spacing w:line="480" w:lineRule="auto"/>
        <w:jc w:val="center"/>
        <w:rPr>
          <w:shd w:val="clear" w:color="auto" w:fill="FFFFFF"/>
          <w:lang w:val="en-US"/>
        </w:rPr>
      </w:pPr>
      <w:r w:rsidRPr="00A51A17">
        <w:rPr>
          <w:shd w:val="clear" w:color="auto" w:fill="FFFFFF"/>
          <w:lang w:val="en-US"/>
        </w:rPr>
        <w:t>Correspondence concerning this article should be addressed to Gioia Bottesi, Ph.D.,</w:t>
      </w:r>
    </w:p>
    <w:p w14:paraId="65DA7C6F" w14:textId="77777777" w:rsidR="002F3AD6" w:rsidRPr="00A51A17" w:rsidRDefault="002F3AD6" w:rsidP="002F3AD6">
      <w:pPr>
        <w:spacing w:line="480" w:lineRule="auto"/>
        <w:jc w:val="center"/>
        <w:rPr>
          <w:shd w:val="clear" w:color="auto" w:fill="FFFFFF"/>
          <w:lang w:val="en-US"/>
        </w:rPr>
      </w:pPr>
      <w:r w:rsidRPr="00A51A17">
        <w:rPr>
          <w:shd w:val="clear" w:color="auto" w:fill="FFFFFF"/>
          <w:lang w:val="en-US"/>
        </w:rPr>
        <w:t xml:space="preserve">Department of General Psychology, University of Padova, via Venezia 8, 35131 Padova, Italy. Phone: +39 049 827 6257; Fax (shared): + 39 049 827 6600; E-mail: </w:t>
      </w:r>
      <w:hyperlink r:id="rId8" w:history="1">
        <w:r w:rsidRPr="00A51A17">
          <w:rPr>
            <w:rStyle w:val="Hyperlink"/>
            <w:color w:val="auto"/>
            <w:shd w:val="clear" w:color="auto" w:fill="FFFFFF"/>
            <w:lang w:val="en-US"/>
          </w:rPr>
          <w:t>gioia.bottesi@unipd.it</w:t>
        </w:r>
      </w:hyperlink>
    </w:p>
    <w:p w14:paraId="09E48EFC" w14:textId="77777777" w:rsidR="002F3AD6" w:rsidRPr="00A51A17" w:rsidRDefault="002F3AD6" w:rsidP="002F3AD6">
      <w:pPr>
        <w:spacing w:line="480" w:lineRule="auto"/>
        <w:jc w:val="center"/>
        <w:rPr>
          <w:shd w:val="clear" w:color="auto" w:fill="FFFFFF"/>
          <w:lang w:val="en-US"/>
        </w:rPr>
      </w:pPr>
    </w:p>
    <w:p w14:paraId="34EF7DF6" w14:textId="77777777" w:rsidR="004E7373" w:rsidRDefault="004E7373" w:rsidP="39DF1CE0">
      <w:pPr>
        <w:spacing w:after="200" w:line="480" w:lineRule="auto"/>
        <w:jc w:val="center"/>
        <w:rPr>
          <w:color w:val="000000" w:themeColor="text1"/>
          <w:sz w:val="22"/>
          <w:szCs w:val="22"/>
          <w:lang w:val="en-US"/>
        </w:rPr>
      </w:pPr>
    </w:p>
    <w:p w14:paraId="166FD092" w14:textId="4EE4A735" w:rsidR="002F3AD6" w:rsidRPr="00A51A17" w:rsidRDefault="53960930" w:rsidP="39DF1CE0">
      <w:pPr>
        <w:spacing w:after="200" w:line="480" w:lineRule="auto"/>
        <w:jc w:val="center"/>
        <w:rPr>
          <w:color w:val="000000" w:themeColor="text1"/>
          <w:sz w:val="22"/>
          <w:szCs w:val="22"/>
          <w:lang w:val="en-US"/>
        </w:rPr>
      </w:pPr>
      <w:r w:rsidRPr="39DF1CE0">
        <w:rPr>
          <w:color w:val="000000" w:themeColor="text1"/>
          <w:sz w:val="22"/>
          <w:szCs w:val="22"/>
          <w:lang w:val="en-US"/>
        </w:rPr>
        <w:t>Accepted: 21/06/2021</w:t>
      </w:r>
    </w:p>
    <w:p w14:paraId="7FE057ED" w14:textId="42BD6307" w:rsidR="002F3AD6" w:rsidRPr="00A51A17" w:rsidRDefault="53960930" w:rsidP="39DF1CE0">
      <w:pPr>
        <w:spacing w:after="200" w:line="480" w:lineRule="auto"/>
        <w:jc w:val="center"/>
        <w:rPr>
          <w:color w:val="000000" w:themeColor="text1"/>
          <w:sz w:val="22"/>
          <w:szCs w:val="22"/>
          <w:lang w:val="en-US"/>
        </w:rPr>
      </w:pPr>
      <w:r w:rsidRPr="39DF1CE0">
        <w:rPr>
          <w:i/>
          <w:iCs/>
          <w:color w:val="000000" w:themeColor="text1"/>
          <w:sz w:val="22"/>
          <w:szCs w:val="22"/>
          <w:lang w:val="en-US"/>
        </w:rPr>
        <w:t>Psychology and Health</w:t>
      </w:r>
    </w:p>
    <w:p w14:paraId="10E35D3C" w14:textId="77777777" w:rsidR="004E7373" w:rsidRDefault="004E7373" w:rsidP="002F3AD6">
      <w:pPr>
        <w:spacing w:line="480" w:lineRule="auto"/>
        <w:jc w:val="center"/>
        <w:rPr>
          <w:b/>
          <w:bCs/>
          <w:shd w:val="clear" w:color="auto" w:fill="FFFFFF"/>
          <w:lang w:val="en-US"/>
        </w:rPr>
      </w:pPr>
    </w:p>
    <w:p w14:paraId="4628815D" w14:textId="178CD566" w:rsidR="00173B94" w:rsidRPr="00A51A17" w:rsidRDefault="003D77B9" w:rsidP="002F3AD6">
      <w:pPr>
        <w:spacing w:line="480" w:lineRule="auto"/>
        <w:jc w:val="center"/>
        <w:rPr>
          <w:lang w:val="en-US"/>
        </w:rPr>
      </w:pPr>
      <w:r w:rsidRPr="00A51A17">
        <w:rPr>
          <w:lang w:val="en-US"/>
        </w:rPr>
        <w:lastRenderedPageBreak/>
        <w:t>Abstract</w:t>
      </w:r>
    </w:p>
    <w:p w14:paraId="7EF2574C" w14:textId="60F67F32" w:rsidR="00FC7C7A" w:rsidRPr="00A51A17" w:rsidRDefault="00561C07" w:rsidP="009C7DCA">
      <w:pPr>
        <w:spacing w:line="480" w:lineRule="auto"/>
        <w:ind w:firstLine="567"/>
        <w:rPr>
          <w:lang w:val="en-US"/>
        </w:rPr>
      </w:pPr>
      <w:r w:rsidRPr="00A51A17">
        <w:rPr>
          <w:lang w:val="en-US"/>
        </w:rPr>
        <w:tab/>
      </w:r>
      <w:r w:rsidRPr="00A51A17">
        <w:rPr>
          <w:lang w:val="en-US"/>
        </w:rPr>
        <w:tab/>
      </w:r>
      <w:r w:rsidRPr="00A51A17">
        <w:rPr>
          <w:lang w:val="en-US"/>
        </w:rPr>
        <w:tab/>
      </w:r>
      <w:r w:rsidRPr="00A51A17">
        <w:rPr>
          <w:lang w:val="en-US"/>
        </w:rPr>
        <w:tab/>
      </w:r>
      <w:r w:rsidR="00FC7C7A" w:rsidRPr="00A51A17">
        <w:rPr>
          <w:lang w:val="en-US"/>
        </w:rPr>
        <w:t>Objective</w:t>
      </w:r>
      <w:r w:rsidR="001C5CBB" w:rsidRPr="00A51A17">
        <w:rPr>
          <w:lang w:val="en-US"/>
        </w:rPr>
        <w:t>:</w:t>
      </w:r>
      <w:r w:rsidR="00FC7C7A" w:rsidRPr="00A51A17">
        <w:rPr>
          <w:lang w:val="en-US"/>
        </w:rPr>
        <w:t xml:space="preserve"> </w:t>
      </w:r>
      <w:r w:rsidR="001C5CBB" w:rsidRPr="00A51A17">
        <w:rPr>
          <w:lang w:val="en-US"/>
        </w:rPr>
        <w:t>T</w:t>
      </w:r>
      <w:r w:rsidR="0075017D" w:rsidRPr="00A51A17">
        <w:rPr>
          <w:lang w:val="en-US"/>
        </w:rPr>
        <w:t xml:space="preserve">o explore the direct and indirect associations between </w:t>
      </w:r>
      <w:r w:rsidR="00357073" w:rsidRPr="00A51A17">
        <w:rPr>
          <w:bCs/>
          <w:lang w:val="en-US"/>
        </w:rPr>
        <w:t>i</w:t>
      </w:r>
      <w:r w:rsidR="008977DB" w:rsidRPr="00A51A17">
        <w:rPr>
          <w:bCs/>
          <w:lang w:val="en-US"/>
        </w:rPr>
        <w:t xml:space="preserve">ntolerance of </w:t>
      </w:r>
      <w:r w:rsidR="00357073" w:rsidRPr="00A51A17">
        <w:rPr>
          <w:bCs/>
          <w:lang w:val="en-US"/>
        </w:rPr>
        <w:t>u</w:t>
      </w:r>
      <w:r w:rsidR="0075017D" w:rsidRPr="00A51A17">
        <w:rPr>
          <w:bCs/>
          <w:lang w:val="en-US"/>
        </w:rPr>
        <w:t>ncertainty</w:t>
      </w:r>
      <w:r w:rsidR="00B42FE3" w:rsidRPr="00A51A17">
        <w:rPr>
          <w:bCs/>
          <w:lang w:val="en-US"/>
        </w:rPr>
        <w:t>,</w:t>
      </w:r>
      <w:r w:rsidR="0075017D" w:rsidRPr="00A51A17">
        <w:rPr>
          <w:lang w:val="en-US"/>
        </w:rPr>
        <w:t xml:space="preserve"> </w:t>
      </w:r>
      <w:r w:rsidR="00357073" w:rsidRPr="00A51A17">
        <w:rPr>
          <w:lang w:val="en-US"/>
        </w:rPr>
        <w:t>h</w:t>
      </w:r>
      <w:r w:rsidR="0075017D" w:rsidRPr="00A51A17">
        <w:rPr>
          <w:lang w:val="en-US"/>
        </w:rPr>
        <w:t xml:space="preserve">ealth </w:t>
      </w:r>
      <w:r w:rsidR="00357073" w:rsidRPr="00A51A17">
        <w:rPr>
          <w:lang w:val="en-US"/>
        </w:rPr>
        <w:t>a</w:t>
      </w:r>
      <w:r w:rsidR="0075017D" w:rsidRPr="00A51A17">
        <w:rPr>
          <w:lang w:val="en-US"/>
        </w:rPr>
        <w:t xml:space="preserve">nxiety (HA), and psychological distress through </w:t>
      </w:r>
      <w:r w:rsidR="00357073" w:rsidRPr="00A51A17">
        <w:rPr>
          <w:lang w:val="en-US"/>
        </w:rPr>
        <w:t>p</w:t>
      </w:r>
      <w:r w:rsidR="0075017D" w:rsidRPr="00A51A17">
        <w:rPr>
          <w:lang w:val="en-US"/>
        </w:rPr>
        <w:t xml:space="preserve">roblematic </w:t>
      </w:r>
      <w:r w:rsidR="00357073" w:rsidRPr="00A51A17">
        <w:rPr>
          <w:lang w:val="en-US"/>
        </w:rPr>
        <w:t>i</w:t>
      </w:r>
      <w:r w:rsidR="0075017D" w:rsidRPr="00A51A17">
        <w:rPr>
          <w:lang w:val="en-US"/>
        </w:rPr>
        <w:t xml:space="preserve">nternet </w:t>
      </w:r>
      <w:r w:rsidR="00357073" w:rsidRPr="00A51A17">
        <w:rPr>
          <w:lang w:val="en-US"/>
        </w:rPr>
        <w:t>u</w:t>
      </w:r>
      <w:r w:rsidR="0075017D" w:rsidRPr="00A51A17">
        <w:rPr>
          <w:lang w:val="en-US"/>
        </w:rPr>
        <w:t>se (PIU) and cyberchondria</w:t>
      </w:r>
      <w:r w:rsidR="00A937E1" w:rsidRPr="00A51A17">
        <w:rPr>
          <w:lang w:val="en-US"/>
        </w:rPr>
        <w:t>,</w:t>
      </w:r>
      <w:r w:rsidR="0075017D" w:rsidRPr="00A51A17">
        <w:rPr>
          <w:lang w:val="en-US"/>
        </w:rPr>
        <w:t xml:space="preserve"> </w:t>
      </w:r>
      <w:r w:rsidR="00A937E1" w:rsidRPr="00A51A17">
        <w:rPr>
          <w:lang w:val="en-US"/>
        </w:rPr>
        <w:t xml:space="preserve">both </w:t>
      </w:r>
      <w:r w:rsidR="0075017D" w:rsidRPr="00A51A17">
        <w:rPr>
          <w:lang w:val="en-US"/>
        </w:rPr>
        <w:t xml:space="preserve">before and during the first months of the COVID-19 </w:t>
      </w:r>
      <w:r w:rsidR="004C3CCC" w:rsidRPr="00A51A17">
        <w:rPr>
          <w:lang w:val="en-US"/>
        </w:rPr>
        <w:t>pandemic</w:t>
      </w:r>
      <w:r w:rsidR="0075017D" w:rsidRPr="00A51A17">
        <w:rPr>
          <w:lang w:val="en-US"/>
        </w:rPr>
        <w:t xml:space="preserve">. </w:t>
      </w:r>
    </w:p>
    <w:p w14:paraId="6ABA0C28" w14:textId="790F8429" w:rsidR="00FC7C7A" w:rsidRPr="00A51A17" w:rsidRDefault="00FC7C7A" w:rsidP="009C7DCA">
      <w:pPr>
        <w:spacing w:line="480" w:lineRule="auto"/>
        <w:ind w:firstLine="567"/>
        <w:rPr>
          <w:lang w:val="en-US"/>
        </w:rPr>
      </w:pPr>
      <w:r w:rsidRPr="00A51A17">
        <w:rPr>
          <w:lang w:val="en-US"/>
        </w:rPr>
        <w:t>Design</w:t>
      </w:r>
      <w:r w:rsidR="001C5CBB" w:rsidRPr="00A51A17">
        <w:rPr>
          <w:lang w:val="en-US"/>
        </w:rPr>
        <w:t>:</w:t>
      </w:r>
      <w:r w:rsidRPr="00A51A17">
        <w:rPr>
          <w:lang w:val="en-US"/>
        </w:rPr>
        <w:t xml:space="preserve"> </w:t>
      </w:r>
      <w:r w:rsidR="00BE68D0" w:rsidRPr="00A51A17">
        <w:rPr>
          <w:lang w:val="en-US"/>
        </w:rPr>
        <w:t xml:space="preserve">Two </w:t>
      </w:r>
      <w:r w:rsidR="00561C07" w:rsidRPr="00A51A17">
        <w:rPr>
          <w:lang w:val="en-US"/>
        </w:rPr>
        <w:t xml:space="preserve">Italian </w:t>
      </w:r>
      <w:r w:rsidR="00BE68D0" w:rsidRPr="00A51A17">
        <w:rPr>
          <w:lang w:val="en-US"/>
        </w:rPr>
        <w:t xml:space="preserve">samples were </w:t>
      </w:r>
      <w:r w:rsidR="00561C07" w:rsidRPr="00A51A17">
        <w:rPr>
          <w:lang w:val="en-US"/>
        </w:rPr>
        <w:t>enrolled via an</w:t>
      </w:r>
      <w:r w:rsidR="00357073" w:rsidRPr="00A51A17">
        <w:rPr>
          <w:lang w:val="en-US"/>
        </w:rPr>
        <w:t xml:space="preserve"> online questionnaire. </w:t>
      </w:r>
      <w:r w:rsidR="00BE68D0" w:rsidRPr="00A51A17">
        <w:rPr>
          <w:lang w:val="en-US"/>
        </w:rPr>
        <w:t xml:space="preserve">Sample 1 </w:t>
      </w:r>
      <w:r w:rsidR="00357073" w:rsidRPr="00A51A17">
        <w:rPr>
          <w:lang w:val="en-US"/>
        </w:rPr>
        <w:t>(N=556</w:t>
      </w:r>
      <w:r w:rsidR="004C7458" w:rsidRPr="00A51A17">
        <w:rPr>
          <w:lang w:val="en-US"/>
        </w:rPr>
        <w:t xml:space="preserve">; </w:t>
      </w:r>
      <w:r w:rsidR="00357073" w:rsidRPr="00A51A17">
        <w:rPr>
          <w:lang w:val="en-US"/>
        </w:rPr>
        <w:t>69.3% females, M</w:t>
      </w:r>
      <w:r w:rsidR="00357073" w:rsidRPr="00A51A17">
        <w:rPr>
          <w:vertAlign w:val="subscript"/>
          <w:lang w:val="en-US"/>
        </w:rPr>
        <w:t>age</w:t>
      </w:r>
      <w:r w:rsidR="00357073" w:rsidRPr="00A51A17">
        <w:rPr>
          <w:lang w:val="en-US"/>
        </w:rPr>
        <w:t xml:space="preserve"> 29.6 years, SD=13.2) </w:t>
      </w:r>
      <w:r w:rsidR="00BE68D0" w:rsidRPr="00A51A17">
        <w:rPr>
          <w:lang w:val="en-US"/>
        </w:rPr>
        <w:t xml:space="preserve">was recruited </w:t>
      </w:r>
      <w:r w:rsidR="000E2E00" w:rsidRPr="00A51A17">
        <w:rPr>
          <w:bCs/>
          <w:lang w:val="en-US"/>
        </w:rPr>
        <w:t>in non-pandemic times</w:t>
      </w:r>
      <w:r w:rsidR="00357073" w:rsidRPr="00A51A17">
        <w:rPr>
          <w:lang w:val="en-US"/>
        </w:rPr>
        <w:t xml:space="preserve">, whereas </w:t>
      </w:r>
      <w:r w:rsidR="00BE68D0" w:rsidRPr="00A51A17">
        <w:rPr>
          <w:lang w:val="en-US"/>
        </w:rPr>
        <w:t xml:space="preserve">Sample 2 </w:t>
      </w:r>
      <w:r w:rsidR="00357073" w:rsidRPr="00A51A17">
        <w:rPr>
          <w:lang w:val="en-US"/>
        </w:rPr>
        <w:t>(N=575</w:t>
      </w:r>
      <w:r w:rsidR="004C7458" w:rsidRPr="00A51A17">
        <w:rPr>
          <w:lang w:val="en-US"/>
        </w:rPr>
        <w:t xml:space="preserve">; </w:t>
      </w:r>
      <w:r w:rsidR="00357073" w:rsidRPr="00A51A17">
        <w:rPr>
          <w:lang w:val="en-US"/>
        </w:rPr>
        <w:t>74% females, M</w:t>
      </w:r>
      <w:r w:rsidR="00357073" w:rsidRPr="00A51A17">
        <w:rPr>
          <w:vertAlign w:val="subscript"/>
          <w:lang w:val="en-US"/>
        </w:rPr>
        <w:t>age</w:t>
      </w:r>
      <w:r w:rsidR="00357073" w:rsidRPr="00A51A17">
        <w:rPr>
          <w:lang w:val="en-US"/>
        </w:rPr>
        <w:t xml:space="preserve"> 31.9 years, SD=13.4) </w:t>
      </w:r>
      <w:r w:rsidR="00BE68D0" w:rsidRPr="00A51A17">
        <w:rPr>
          <w:lang w:val="en-US"/>
        </w:rPr>
        <w:t>was recruited during the COVID-19 lockdown.</w:t>
      </w:r>
    </w:p>
    <w:p w14:paraId="679F9400" w14:textId="0DCA30D1" w:rsidR="001C5CBB" w:rsidRPr="00A51A17" w:rsidRDefault="00484B4C" w:rsidP="009C7DCA">
      <w:pPr>
        <w:spacing w:line="480" w:lineRule="auto"/>
        <w:ind w:firstLine="567"/>
        <w:rPr>
          <w:lang w:val="en-US"/>
        </w:rPr>
      </w:pPr>
      <w:r w:rsidRPr="00A51A17">
        <w:rPr>
          <w:lang w:val="en-US"/>
        </w:rPr>
        <w:t>Main o</w:t>
      </w:r>
      <w:r w:rsidR="00FC7C7A" w:rsidRPr="00A51A17">
        <w:rPr>
          <w:lang w:val="en-US"/>
        </w:rPr>
        <w:t>utcome measures</w:t>
      </w:r>
      <w:r w:rsidR="001C5CBB" w:rsidRPr="00A51A17">
        <w:rPr>
          <w:lang w:val="en-US"/>
        </w:rPr>
        <w:t>:</w:t>
      </w:r>
      <w:r w:rsidRPr="00A51A17">
        <w:rPr>
          <w:lang w:val="en-US"/>
        </w:rPr>
        <w:t xml:space="preserve"> </w:t>
      </w:r>
      <w:r w:rsidR="00110CF7" w:rsidRPr="00A51A17">
        <w:rPr>
          <w:lang w:val="en-US"/>
        </w:rPr>
        <w:t>S</w:t>
      </w:r>
      <w:r w:rsidRPr="00A51A17">
        <w:rPr>
          <w:lang w:val="en-US"/>
        </w:rPr>
        <w:t xml:space="preserve">elf-report measures assessing </w:t>
      </w:r>
      <w:r w:rsidR="004E2B94" w:rsidRPr="00A51A17">
        <w:rPr>
          <w:lang w:val="en-US"/>
        </w:rPr>
        <w:t>HA and psychological distress</w:t>
      </w:r>
      <w:r w:rsidRPr="00A51A17">
        <w:rPr>
          <w:lang w:val="en-US"/>
        </w:rPr>
        <w:t>.</w:t>
      </w:r>
    </w:p>
    <w:p w14:paraId="1EDAD335" w14:textId="7A8DA7EF" w:rsidR="00FC7C7A" w:rsidRPr="00A51A17" w:rsidRDefault="00FC7C7A" w:rsidP="00FC7C7A">
      <w:pPr>
        <w:spacing w:line="480" w:lineRule="auto"/>
        <w:ind w:firstLine="567"/>
        <w:rPr>
          <w:lang w:val="en-US"/>
        </w:rPr>
      </w:pPr>
      <w:r w:rsidRPr="00A51A17">
        <w:rPr>
          <w:lang w:val="en-US"/>
        </w:rPr>
        <w:t>Results</w:t>
      </w:r>
      <w:r w:rsidR="001C5CBB" w:rsidRPr="00A51A17">
        <w:rPr>
          <w:lang w:val="en-US"/>
        </w:rPr>
        <w:t>:</w:t>
      </w:r>
      <w:r w:rsidRPr="00A51A17">
        <w:rPr>
          <w:lang w:val="en-US"/>
        </w:rPr>
        <w:t xml:space="preserve"> </w:t>
      </w:r>
      <w:r w:rsidRPr="00A51A17">
        <w:rPr>
          <w:bCs/>
          <w:lang w:val="en-US" w:eastAsia="en-GB"/>
        </w:rPr>
        <w:t xml:space="preserve">Two distinct path analyses showed that </w:t>
      </w:r>
      <w:r w:rsidR="00110CF7" w:rsidRPr="00A51A17">
        <w:rPr>
          <w:bCs/>
          <w:lang w:val="en-US"/>
        </w:rPr>
        <w:t>intolerance of uncertainty</w:t>
      </w:r>
      <w:r w:rsidR="00110CF7" w:rsidRPr="00A51A17">
        <w:rPr>
          <w:lang w:val="en-US"/>
        </w:rPr>
        <w:t xml:space="preserve"> </w:t>
      </w:r>
      <w:r w:rsidRPr="00A51A17">
        <w:rPr>
          <w:bCs/>
          <w:lang w:val="en-US" w:eastAsia="en-GB"/>
        </w:rPr>
        <w:t xml:space="preserve">was directly associated with HA and psychological distress in both samples. </w:t>
      </w:r>
      <w:r w:rsidR="004C3CCC" w:rsidRPr="00A51A17">
        <w:rPr>
          <w:bCs/>
          <w:lang w:val="en-US" w:eastAsia="en-GB"/>
        </w:rPr>
        <w:t>Moreover</w:t>
      </w:r>
      <w:r w:rsidR="00ED065D" w:rsidRPr="00A51A17">
        <w:rPr>
          <w:bCs/>
          <w:lang w:val="en-US" w:eastAsia="en-GB"/>
        </w:rPr>
        <w:t>, cyberchondria</w:t>
      </w:r>
      <w:r w:rsidR="0075017D" w:rsidRPr="00A51A17">
        <w:rPr>
          <w:lang w:val="en-US" w:eastAsia="en-GB"/>
        </w:rPr>
        <w:t xml:space="preserve"> partially mediated the relationship between </w:t>
      </w:r>
      <w:r w:rsidR="00110CF7" w:rsidRPr="00A51A17">
        <w:rPr>
          <w:bCs/>
          <w:lang w:val="en-US"/>
        </w:rPr>
        <w:t>intolerance of uncertainty</w:t>
      </w:r>
      <w:r w:rsidR="00110CF7" w:rsidRPr="00A51A17">
        <w:rPr>
          <w:lang w:val="en-US"/>
        </w:rPr>
        <w:t xml:space="preserve"> </w:t>
      </w:r>
      <w:r w:rsidR="0075017D" w:rsidRPr="00A51A17">
        <w:rPr>
          <w:lang w:val="en-US" w:eastAsia="en-GB"/>
        </w:rPr>
        <w:t xml:space="preserve">and </w:t>
      </w:r>
      <w:r w:rsidR="00ED065D" w:rsidRPr="00A51A17">
        <w:rPr>
          <w:bCs/>
          <w:lang w:val="en-US" w:eastAsia="en-GB"/>
        </w:rPr>
        <w:t>HA</w:t>
      </w:r>
      <w:r w:rsidR="004C3CCC" w:rsidRPr="00A51A17">
        <w:rPr>
          <w:bCs/>
          <w:lang w:val="en-US" w:eastAsia="en-GB"/>
        </w:rPr>
        <w:t xml:space="preserve"> and PIU partially mediated the relationship between </w:t>
      </w:r>
      <w:r w:rsidR="00110CF7" w:rsidRPr="00A51A17">
        <w:rPr>
          <w:bCs/>
          <w:lang w:val="en-US"/>
        </w:rPr>
        <w:t>intolerance of uncertainty</w:t>
      </w:r>
      <w:r w:rsidR="00110CF7" w:rsidRPr="00A51A17">
        <w:rPr>
          <w:lang w:val="en-US"/>
        </w:rPr>
        <w:t xml:space="preserve"> </w:t>
      </w:r>
      <w:r w:rsidR="004C3CCC" w:rsidRPr="00A51A17">
        <w:rPr>
          <w:bCs/>
          <w:lang w:val="en-US" w:eastAsia="en-GB"/>
        </w:rPr>
        <w:t>and psychological distress in both samples</w:t>
      </w:r>
      <w:r w:rsidR="0075017D" w:rsidRPr="00A51A17">
        <w:rPr>
          <w:lang w:val="en-US" w:eastAsia="en-GB"/>
        </w:rPr>
        <w:t xml:space="preserve">. </w:t>
      </w:r>
      <w:r w:rsidR="00357073" w:rsidRPr="00A51A17">
        <w:rPr>
          <w:bCs/>
          <w:lang w:val="en-US" w:eastAsia="en-GB"/>
        </w:rPr>
        <w:t>T</w:t>
      </w:r>
      <w:r w:rsidR="000D4DA5" w:rsidRPr="00A51A17">
        <w:rPr>
          <w:lang w:val="en-US"/>
        </w:rPr>
        <w:t xml:space="preserve">he link </w:t>
      </w:r>
      <w:r w:rsidR="000D4DA5" w:rsidRPr="00A51A17">
        <w:rPr>
          <w:bCs/>
          <w:lang w:val="en-US" w:eastAsia="en-GB"/>
        </w:rPr>
        <w:t>between cyberchondria and psychological distress was significant in Sample 2 but non-significant in Sample 1</w:t>
      </w:r>
      <w:r w:rsidR="001C5CBB" w:rsidRPr="00A51A17">
        <w:rPr>
          <w:bCs/>
          <w:lang w:val="en-US" w:eastAsia="en-GB"/>
        </w:rPr>
        <w:t>.</w:t>
      </w:r>
      <w:r w:rsidR="0075017D" w:rsidRPr="00A51A17">
        <w:rPr>
          <w:bCs/>
          <w:lang w:val="en-US" w:eastAsia="en-GB"/>
        </w:rPr>
        <w:t xml:space="preserve"> The model accounted for a substantial variance of </w:t>
      </w:r>
      <w:r w:rsidR="000D4DA5" w:rsidRPr="00A51A17">
        <w:rPr>
          <w:bCs/>
          <w:lang w:val="en-US" w:eastAsia="en-GB"/>
        </w:rPr>
        <w:t>HA</w:t>
      </w:r>
      <w:r w:rsidR="0075017D" w:rsidRPr="00A51A17">
        <w:rPr>
          <w:bCs/>
          <w:lang w:val="en-US" w:eastAsia="en-GB"/>
        </w:rPr>
        <w:t xml:space="preserve"> </w:t>
      </w:r>
      <w:r w:rsidR="000D4DA5" w:rsidRPr="00A51A17">
        <w:rPr>
          <w:lang w:val="en-US" w:eastAsia="en-GB"/>
        </w:rPr>
        <w:t>and psychological distress</w:t>
      </w:r>
      <w:r w:rsidR="008977DB" w:rsidRPr="00A51A17">
        <w:rPr>
          <w:lang w:val="en-US" w:eastAsia="en-GB"/>
        </w:rPr>
        <w:t xml:space="preserve"> in both samples</w:t>
      </w:r>
      <w:r w:rsidR="0075017D" w:rsidRPr="00A51A17">
        <w:rPr>
          <w:lang w:val="en-US" w:eastAsia="en-GB"/>
        </w:rPr>
        <w:t xml:space="preserve">. </w:t>
      </w:r>
    </w:p>
    <w:p w14:paraId="7492ADF5" w14:textId="1D8FF58B" w:rsidR="001272AD" w:rsidRPr="00A51A17" w:rsidRDefault="00FC7C7A" w:rsidP="00FC7C7A">
      <w:pPr>
        <w:spacing w:line="480" w:lineRule="auto"/>
        <w:ind w:firstLine="567"/>
        <w:rPr>
          <w:lang w:val="en-US" w:eastAsia="en-GB"/>
        </w:rPr>
      </w:pPr>
      <w:r w:rsidRPr="00A51A17">
        <w:rPr>
          <w:lang w:val="en-US" w:eastAsia="en-GB"/>
        </w:rPr>
        <w:t xml:space="preserve">Conclusion. Our </w:t>
      </w:r>
      <w:r w:rsidRPr="00A51A17">
        <w:rPr>
          <w:bCs/>
          <w:lang w:val="en-US"/>
        </w:rPr>
        <w:t xml:space="preserve">findings suggest that problematic online behaviors might exacerbate the negative consequences of </w:t>
      </w:r>
      <w:r w:rsidR="00110CF7" w:rsidRPr="00A51A17">
        <w:rPr>
          <w:bCs/>
          <w:lang w:val="en-US"/>
        </w:rPr>
        <w:t>intolerance of uncertainty</w:t>
      </w:r>
      <w:r w:rsidR="00110CF7" w:rsidRPr="00A51A17">
        <w:rPr>
          <w:lang w:val="en-US"/>
        </w:rPr>
        <w:t xml:space="preserve"> </w:t>
      </w:r>
      <w:r w:rsidRPr="00A51A17">
        <w:rPr>
          <w:bCs/>
          <w:lang w:val="en-US"/>
        </w:rPr>
        <w:t>in terms of higher levels of HA and psychological distress both in pandemic and non-pandemic contexts.</w:t>
      </w:r>
    </w:p>
    <w:p w14:paraId="2916816E" w14:textId="0B8B7B0C" w:rsidR="003D77B9" w:rsidRPr="00A51A17" w:rsidRDefault="00173B94" w:rsidP="00610DDE">
      <w:pPr>
        <w:spacing w:line="480" w:lineRule="auto"/>
        <w:contextualSpacing/>
        <w:rPr>
          <w:bCs/>
          <w:i/>
          <w:iCs/>
          <w:lang w:val="en-US"/>
        </w:rPr>
      </w:pPr>
      <w:r w:rsidRPr="00A51A17">
        <w:rPr>
          <w:bCs/>
          <w:i/>
          <w:iCs/>
          <w:lang w:val="en-US"/>
        </w:rPr>
        <w:t xml:space="preserve">Keywords: </w:t>
      </w:r>
      <w:r w:rsidR="008977DB" w:rsidRPr="00A51A17">
        <w:rPr>
          <w:bCs/>
          <w:lang w:val="en-US"/>
        </w:rPr>
        <w:t>Intolerance of uncertainty; health anxiety; psychological distress; cyberchondria; problematic Internet use.</w:t>
      </w:r>
    </w:p>
    <w:p w14:paraId="2575E6DC" w14:textId="3884C599" w:rsidR="002A4FB0" w:rsidRPr="00A51A17" w:rsidRDefault="003D77B9" w:rsidP="00610DDE">
      <w:pPr>
        <w:spacing w:line="480" w:lineRule="auto"/>
        <w:rPr>
          <w:b/>
          <w:bCs/>
          <w:lang w:val="en-US"/>
        </w:rPr>
      </w:pPr>
      <w:r w:rsidRPr="00A51A17">
        <w:rPr>
          <w:lang w:val="en-US"/>
        </w:rPr>
        <w:br w:type="page"/>
      </w:r>
      <w:r w:rsidR="00197FA8" w:rsidRPr="00A51A17">
        <w:rPr>
          <w:b/>
          <w:bCs/>
          <w:lang w:val="en-US"/>
        </w:rPr>
        <w:lastRenderedPageBreak/>
        <w:t>I</w:t>
      </w:r>
      <w:r w:rsidR="00E74C66" w:rsidRPr="00A51A17">
        <w:rPr>
          <w:b/>
          <w:bCs/>
          <w:lang w:val="en-US"/>
        </w:rPr>
        <w:t>ntroduction</w:t>
      </w:r>
    </w:p>
    <w:p w14:paraId="38985A72" w14:textId="23F71726" w:rsidR="0025401C" w:rsidRPr="00A51A17" w:rsidRDefault="002A4FB0" w:rsidP="00610DDE">
      <w:pPr>
        <w:suppressAutoHyphens/>
        <w:spacing w:line="480" w:lineRule="auto"/>
        <w:ind w:firstLine="567"/>
        <w:rPr>
          <w:bCs/>
          <w:lang w:val="en-US"/>
        </w:rPr>
      </w:pPr>
      <w:r w:rsidRPr="00A51A17">
        <w:rPr>
          <w:b/>
          <w:bCs/>
          <w:lang w:val="en-US"/>
        </w:rPr>
        <w:tab/>
      </w:r>
      <w:r w:rsidRPr="00A51A17">
        <w:rPr>
          <w:b/>
          <w:bCs/>
          <w:lang w:val="en-US"/>
        </w:rPr>
        <w:tab/>
      </w:r>
      <w:r w:rsidRPr="00A51A17">
        <w:rPr>
          <w:bCs/>
          <w:lang w:val="en-US"/>
        </w:rPr>
        <w:t>Uncertainty is unpleasant in most circumstances</w:t>
      </w:r>
      <w:r w:rsidR="00547AE0" w:rsidRPr="00A51A17">
        <w:rPr>
          <w:bCs/>
          <w:lang w:val="en-US"/>
        </w:rPr>
        <w:t>, with</w:t>
      </w:r>
      <w:r w:rsidRPr="00A51A17">
        <w:rPr>
          <w:bCs/>
          <w:lang w:val="en-US"/>
        </w:rPr>
        <w:t xml:space="preserve"> </w:t>
      </w:r>
      <w:r w:rsidR="00547AE0" w:rsidRPr="00A51A17">
        <w:rPr>
          <w:bCs/>
          <w:lang w:val="en-US"/>
        </w:rPr>
        <w:t xml:space="preserve">many </w:t>
      </w:r>
      <w:r w:rsidRPr="00A51A17">
        <w:rPr>
          <w:bCs/>
          <w:lang w:val="en-US"/>
        </w:rPr>
        <w:t xml:space="preserve">people likely to feel uncomfortable with </w:t>
      </w:r>
      <w:r w:rsidR="00547AE0" w:rsidRPr="00A51A17">
        <w:rPr>
          <w:bCs/>
          <w:lang w:val="en-US"/>
        </w:rPr>
        <w:t>this state</w:t>
      </w:r>
      <w:r w:rsidRPr="00A51A17">
        <w:rPr>
          <w:bCs/>
          <w:lang w:val="en-US"/>
        </w:rPr>
        <w:t xml:space="preserve">. </w:t>
      </w:r>
      <w:r w:rsidR="0025401C" w:rsidRPr="00A51A17">
        <w:rPr>
          <w:bCs/>
          <w:lang w:val="en-US"/>
        </w:rPr>
        <w:t>However, i</w:t>
      </w:r>
      <w:r w:rsidR="00F407E3" w:rsidRPr="00A51A17">
        <w:rPr>
          <w:bCs/>
          <w:lang w:val="en-US"/>
        </w:rPr>
        <w:t>ndividuals</w:t>
      </w:r>
      <w:r w:rsidRPr="00A51A17">
        <w:rPr>
          <w:bCs/>
          <w:lang w:val="en-US"/>
        </w:rPr>
        <w:t xml:space="preserve"> </w:t>
      </w:r>
      <w:r w:rsidR="00F407E3" w:rsidRPr="00A51A17">
        <w:rPr>
          <w:bCs/>
          <w:lang w:val="en-US"/>
        </w:rPr>
        <w:t xml:space="preserve">with difficulties tolerating </w:t>
      </w:r>
      <w:r w:rsidRPr="00A51A17">
        <w:rPr>
          <w:bCs/>
          <w:lang w:val="en-US"/>
        </w:rPr>
        <w:t>uncertainty</w:t>
      </w:r>
      <w:r w:rsidR="0025401C" w:rsidRPr="00A51A17">
        <w:rPr>
          <w:bCs/>
          <w:lang w:val="en-US"/>
        </w:rPr>
        <w:t xml:space="preserve"> </w:t>
      </w:r>
      <w:r w:rsidR="00C74891" w:rsidRPr="00A51A17">
        <w:rPr>
          <w:bCs/>
          <w:lang w:val="en-US"/>
        </w:rPr>
        <w:t xml:space="preserve">typically </w:t>
      </w:r>
      <w:r w:rsidR="00F407E3" w:rsidRPr="00A51A17">
        <w:rPr>
          <w:bCs/>
          <w:lang w:val="en-US"/>
        </w:rPr>
        <w:t>experience negative emotions</w:t>
      </w:r>
      <w:r w:rsidR="004F192B" w:rsidRPr="00A51A17">
        <w:rPr>
          <w:bCs/>
          <w:lang w:val="en-US"/>
        </w:rPr>
        <w:t xml:space="preserve">, </w:t>
      </w:r>
      <w:r w:rsidR="00F407E3" w:rsidRPr="00A51A17">
        <w:rPr>
          <w:bCs/>
          <w:lang w:val="en-US"/>
        </w:rPr>
        <w:t>negatively interpret uncertain situations, and enact dysfunctional behaviors in the attempt to control or avoid uncertainty (</w:t>
      </w:r>
      <w:r w:rsidR="0025401C" w:rsidRPr="00A51A17">
        <w:rPr>
          <w:bCs/>
          <w:lang w:val="en-US"/>
        </w:rPr>
        <w:t>Freeston</w:t>
      </w:r>
      <w:r w:rsidR="00442D91" w:rsidRPr="00A51A17">
        <w:rPr>
          <w:bCs/>
          <w:lang w:val="en-US"/>
        </w:rPr>
        <w:t xml:space="preserve"> et al.</w:t>
      </w:r>
      <w:r w:rsidR="0025401C" w:rsidRPr="00A51A17">
        <w:rPr>
          <w:bCs/>
          <w:lang w:val="en-US"/>
        </w:rPr>
        <w:t>, 1994</w:t>
      </w:r>
      <w:r w:rsidR="00F407E3" w:rsidRPr="00A51A17">
        <w:rPr>
          <w:bCs/>
          <w:lang w:val="en-US"/>
        </w:rPr>
        <w:t xml:space="preserve">). Intolerance of uncertainty </w:t>
      </w:r>
      <w:r w:rsidR="0047086E" w:rsidRPr="00A51A17">
        <w:rPr>
          <w:bCs/>
          <w:lang w:val="en-US"/>
        </w:rPr>
        <w:t>is a trans-diagnostic vulnerability factor underlying several psychopathologies</w:t>
      </w:r>
      <w:r w:rsidR="00831EBC" w:rsidRPr="00A51A17">
        <w:rPr>
          <w:bCs/>
          <w:lang w:val="en-US"/>
        </w:rPr>
        <w:t xml:space="preserve">, in particular anxiety disorders, such as generalized anxiety disorder and health anxiety (HA) </w:t>
      </w:r>
      <w:r w:rsidR="0047086E" w:rsidRPr="00A51A17">
        <w:rPr>
          <w:bCs/>
          <w:lang w:val="en-US"/>
        </w:rPr>
        <w:t>(e.g.</w:t>
      </w:r>
      <w:r w:rsidR="00267F5E" w:rsidRPr="00A51A17">
        <w:rPr>
          <w:bCs/>
          <w:lang w:val="en-US"/>
        </w:rPr>
        <w:t>,</w:t>
      </w:r>
      <w:r w:rsidR="0047086E" w:rsidRPr="00A51A17">
        <w:rPr>
          <w:bCs/>
          <w:lang w:val="en-US"/>
        </w:rPr>
        <w:t xml:space="preserve"> McEvoy</w:t>
      </w:r>
      <w:r w:rsidR="00442D91" w:rsidRPr="00A51A17">
        <w:rPr>
          <w:bCs/>
          <w:lang w:val="en-US"/>
        </w:rPr>
        <w:t xml:space="preserve"> et al., </w:t>
      </w:r>
      <w:r w:rsidR="0047086E" w:rsidRPr="00A51A17">
        <w:rPr>
          <w:bCs/>
          <w:lang w:val="en-US"/>
        </w:rPr>
        <w:t>2019; Shihata</w:t>
      </w:r>
      <w:r w:rsidR="00442D91" w:rsidRPr="00A51A17">
        <w:rPr>
          <w:bCs/>
          <w:lang w:val="en-US"/>
        </w:rPr>
        <w:t xml:space="preserve"> et al., </w:t>
      </w:r>
      <w:r w:rsidR="0047086E" w:rsidRPr="00A51A17">
        <w:rPr>
          <w:bCs/>
          <w:lang w:val="en-US"/>
        </w:rPr>
        <w:t xml:space="preserve">2016) and it </w:t>
      </w:r>
      <w:r w:rsidR="00F407E3" w:rsidRPr="00A51A17">
        <w:rPr>
          <w:bCs/>
          <w:lang w:val="en-US"/>
        </w:rPr>
        <w:t>is</w:t>
      </w:r>
      <w:r w:rsidRPr="00A51A17">
        <w:rPr>
          <w:bCs/>
          <w:lang w:val="en-US"/>
        </w:rPr>
        <w:t xml:space="preserve"> </w:t>
      </w:r>
      <w:r w:rsidR="0025401C" w:rsidRPr="00A51A17">
        <w:rPr>
          <w:bCs/>
          <w:lang w:val="en-US"/>
        </w:rPr>
        <w:t>defined</w:t>
      </w:r>
      <w:r w:rsidR="00F407E3" w:rsidRPr="00A51A17">
        <w:rPr>
          <w:bCs/>
          <w:lang w:val="en-US"/>
        </w:rPr>
        <w:t xml:space="preserve"> as </w:t>
      </w:r>
      <w:r w:rsidRPr="00A51A17">
        <w:rPr>
          <w:bCs/>
          <w:lang w:val="en-US"/>
        </w:rPr>
        <w:t>the “individual’s dispositional incapacity to endure the aversive response triggered by the perceived absence of salient, key, or sufficient information, and sustained by the associated perception of uncertainty” (Carleton, 2016, p.31)</w:t>
      </w:r>
      <w:r w:rsidR="0047086E" w:rsidRPr="00A51A17">
        <w:rPr>
          <w:bCs/>
          <w:lang w:val="en-US"/>
        </w:rPr>
        <w:t xml:space="preserve">. </w:t>
      </w:r>
      <w:r w:rsidR="0025401C" w:rsidRPr="00A51A17">
        <w:rPr>
          <w:bCs/>
          <w:lang w:val="en-US"/>
        </w:rPr>
        <w:t xml:space="preserve">People high in </w:t>
      </w:r>
      <w:r w:rsidR="004E2B94" w:rsidRPr="00A51A17">
        <w:rPr>
          <w:bCs/>
          <w:lang w:val="en-US"/>
        </w:rPr>
        <w:t>intolerance of uncertainty</w:t>
      </w:r>
      <w:r w:rsidR="004E2B94" w:rsidRPr="00A51A17">
        <w:rPr>
          <w:lang w:val="en-US"/>
        </w:rPr>
        <w:t xml:space="preserve"> </w:t>
      </w:r>
      <w:r w:rsidR="0047086E" w:rsidRPr="00A51A17">
        <w:rPr>
          <w:bCs/>
          <w:lang w:val="en-US"/>
        </w:rPr>
        <w:t>usually rely on</w:t>
      </w:r>
      <w:r w:rsidR="0025401C" w:rsidRPr="00A51A17">
        <w:rPr>
          <w:bCs/>
          <w:lang w:val="en-US"/>
        </w:rPr>
        <w:t xml:space="preserve"> </w:t>
      </w:r>
      <w:r w:rsidR="0047086E" w:rsidRPr="00A51A17">
        <w:rPr>
          <w:bCs/>
          <w:lang w:val="en-US"/>
        </w:rPr>
        <w:t xml:space="preserve">a variety of </w:t>
      </w:r>
      <w:r w:rsidR="00F27994" w:rsidRPr="00A51A17">
        <w:rPr>
          <w:bCs/>
          <w:lang w:val="en-US"/>
        </w:rPr>
        <w:t>uncertainty</w:t>
      </w:r>
      <w:r w:rsidR="0047086E" w:rsidRPr="00A51A17">
        <w:rPr>
          <w:bCs/>
          <w:lang w:val="en-US"/>
        </w:rPr>
        <w:t>-reducing</w:t>
      </w:r>
      <w:r w:rsidR="0025401C" w:rsidRPr="00A51A17">
        <w:rPr>
          <w:bCs/>
          <w:lang w:val="en-US"/>
        </w:rPr>
        <w:t xml:space="preserve"> strategies</w:t>
      </w:r>
      <w:r w:rsidR="0047086E" w:rsidRPr="00A51A17">
        <w:rPr>
          <w:bCs/>
          <w:lang w:val="en-US"/>
        </w:rPr>
        <w:t xml:space="preserve"> (Sankar</w:t>
      </w:r>
      <w:r w:rsidR="00442D91" w:rsidRPr="00A51A17">
        <w:rPr>
          <w:bCs/>
          <w:lang w:val="en-US"/>
        </w:rPr>
        <w:t xml:space="preserve"> et al., </w:t>
      </w:r>
      <w:r w:rsidR="0047086E" w:rsidRPr="00A51A17">
        <w:rPr>
          <w:bCs/>
          <w:lang w:val="en-US"/>
        </w:rPr>
        <w:t>2017)</w:t>
      </w:r>
      <w:r w:rsidR="003A04FF" w:rsidRPr="00A51A17">
        <w:rPr>
          <w:bCs/>
          <w:lang w:val="en-US"/>
        </w:rPr>
        <w:t>, such as</w:t>
      </w:r>
      <w:r w:rsidR="00206C6A" w:rsidRPr="00A51A17">
        <w:rPr>
          <w:bCs/>
          <w:lang w:val="en-US"/>
        </w:rPr>
        <w:t>:</w:t>
      </w:r>
      <w:r w:rsidR="00442D91" w:rsidRPr="00A51A17">
        <w:rPr>
          <w:bCs/>
          <w:lang w:val="en-US"/>
        </w:rPr>
        <w:t xml:space="preserve"> </w:t>
      </w:r>
      <w:r w:rsidR="00206C6A" w:rsidRPr="00A51A17">
        <w:rPr>
          <w:bCs/>
          <w:lang w:val="en-US"/>
        </w:rPr>
        <w:t xml:space="preserve">(1) </w:t>
      </w:r>
      <w:r w:rsidR="000C7FC2" w:rsidRPr="00A51A17">
        <w:rPr>
          <w:bCs/>
          <w:lang w:val="en-US"/>
        </w:rPr>
        <w:t>under-engagement behaviors, aiming at avoiding future uncertain situations by means of distraction or procrastination</w:t>
      </w:r>
      <w:r w:rsidR="00206C6A" w:rsidRPr="00A51A17">
        <w:rPr>
          <w:bCs/>
          <w:lang w:val="en-US"/>
        </w:rPr>
        <w:t>;</w:t>
      </w:r>
      <w:r w:rsidR="000C7FC2" w:rsidRPr="00A51A17">
        <w:rPr>
          <w:bCs/>
          <w:lang w:val="en-US"/>
        </w:rPr>
        <w:t xml:space="preserve"> and </w:t>
      </w:r>
      <w:r w:rsidR="00206C6A" w:rsidRPr="00A51A17">
        <w:rPr>
          <w:bCs/>
          <w:lang w:val="en-US"/>
        </w:rPr>
        <w:t xml:space="preserve">(2) </w:t>
      </w:r>
      <w:r w:rsidR="00C74891" w:rsidRPr="00A51A17">
        <w:rPr>
          <w:bCs/>
          <w:lang w:val="en-US"/>
        </w:rPr>
        <w:t>o</w:t>
      </w:r>
      <w:r w:rsidR="0047086E" w:rsidRPr="00A51A17">
        <w:rPr>
          <w:bCs/>
          <w:lang w:val="en-US"/>
        </w:rPr>
        <w:t>ver-engagement behaviors</w:t>
      </w:r>
      <w:r w:rsidR="00C74891" w:rsidRPr="00A51A17">
        <w:rPr>
          <w:bCs/>
          <w:lang w:val="en-US"/>
        </w:rPr>
        <w:t>, whose goal is</w:t>
      </w:r>
      <w:r w:rsidR="0047086E" w:rsidRPr="00A51A17">
        <w:rPr>
          <w:bCs/>
          <w:lang w:val="en-US"/>
        </w:rPr>
        <w:t xml:space="preserve"> </w:t>
      </w:r>
      <w:r w:rsidR="00547AE0" w:rsidRPr="00A51A17">
        <w:rPr>
          <w:bCs/>
          <w:lang w:val="en-US"/>
        </w:rPr>
        <w:t xml:space="preserve">to increase </w:t>
      </w:r>
      <w:r w:rsidR="0047086E" w:rsidRPr="00A51A17">
        <w:rPr>
          <w:bCs/>
          <w:lang w:val="en-US"/>
        </w:rPr>
        <w:t>certainty</w:t>
      </w:r>
      <w:r w:rsidR="00C74891" w:rsidRPr="00A51A17">
        <w:rPr>
          <w:bCs/>
          <w:lang w:val="en-US"/>
        </w:rPr>
        <w:t xml:space="preserve"> about future uncertain outcomes through</w:t>
      </w:r>
      <w:r w:rsidR="00F863C5" w:rsidRPr="00A51A17">
        <w:rPr>
          <w:bCs/>
          <w:lang w:val="en-US"/>
        </w:rPr>
        <w:t xml:space="preserve">, </w:t>
      </w:r>
      <w:r w:rsidR="00C74891" w:rsidRPr="00A51A17">
        <w:rPr>
          <w:bCs/>
          <w:lang w:val="en-US"/>
        </w:rPr>
        <w:t>for example</w:t>
      </w:r>
      <w:r w:rsidR="00F863C5" w:rsidRPr="00A51A17">
        <w:rPr>
          <w:bCs/>
          <w:lang w:val="en-US"/>
        </w:rPr>
        <w:t xml:space="preserve">, </w:t>
      </w:r>
      <w:r w:rsidR="00C74891" w:rsidRPr="00A51A17">
        <w:rPr>
          <w:bCs/>
          <w:lang w:val="en-US"/>
        </w:rPr>
        <w:t>overpreparation</w:t>
      </w:r>
      <w:r w:rsidR="00F863C5" w:rsidRPr="00A51A17">
        <w:rPr>
          <w:bCs/>
          <w:lang w:val="en-US"/>
        </w:rPr>
        <w:t xml:space="preserve"> and </w:t>
      </w:r>
      <w:r w:rsidR="00C74891" w:rsidRPr="00A51A17">
        <w:rPr>
          <w:bCs/>
          <w:lang w:val="en-US"/>
        </w:rPr>
        <w:t xml:space="preserve">excessive information seeking. </w:t>
      </w:r>
      <w:r w:rsidR="00F863C5" w:rsidRPr="00A51A17">
        <w:rPr>
          <w:bCs/>
          <w:lang w:val="en-US"/>
        </w:rPr>
        <w:t>These</w:t>
      </w:r>
      <w:r w:rsidR="00C74891" w:rsidRPr="00A51A17">
        <w:rPr>
          <w:bCs/>
          <w:lang w:val="en-US"/>
        </w:rPr>
        <w:t xml:space="preserve"> behaviors are not dysfunctional </w:t>
      </w:r>
      <w:r w:rsidR="00C74891" w:rsidRPr="00A51A17">
        <w:rPr>
          <w:bCs/>
          <w:i/>
          <w:iCs/>
          <w:lang w:val="en-US"/>
        </w:rPr>
        <w:t>per se</w:t>
      </w:r>
      <w:r w:rsidR="00C74891" w:rsidRPr="00A51A17">
        <w:rPr>
          <w:bCs/>
          <w:lang w:val="en-US"/>
        </w:rPr>
        <w:t xml:space="preserve">, but they may </w:t>
      </w:r>
      <w:r w:rsidR="004529D6" w:rsidRPr="00A51A17">
        <w:rPr>
          <w:bCs/>
          <w:lang w:val="en-US"/>
        </w:rPr>
        <w:t xml:space="preserve">negatively reinforce </w:t>
      </w:r>
      <w:r w:rsidR="004E2B94" w:rsidRPr="00A51A17">
        <w:rPr>
          <w:bCs/>
          <w:lang w:val="en-US"/>
        </w:rPr>
        <w:t>intolerance of uncertainty</w:t>
      </w:r>
      <w:r w:rsidR="004529D6" w:rsidRPr="00A51A17">
        <w:rPr>
          <w:bCs/>
          <w:lang w:val="en-US"/>
        </w:rPr>
        <w:t xml:space="preserve"> </w:t>
      </w:r>
      <w:r w:rsidR="00C74891" w:rsidRPr="00A51A17">
        <w:rPr>
          <w:bCs/>
          <w:lang w:val="en-US"/>
        </w:rPr>
        <w:t>if they are performed in a</w:t>
      </w:r>
      <w:r w:rsidR="00F863C5" w:rsidRPr="00A51A17">
        <w:rPr>
          <w:bCs/>
          <w:lang w:val="en-US"/>
        </w:rPr>
        <w:t xml:space="preserve">n </w:t>
      </w:r>
      <w:r w:rsidR="00C74891" w:rsidRPr="00A51A17">
        <w:rPr>
          <w:bCs/>
          <w:lang w:val="en-US"/>
        </w:rPr>
        <w:t>inflexible manner (Bottesi</w:t>
      </w:r>
      <w:r w:rsidR="00442D91" w:rsidRPr="00A51A17">
        <w:rPr>
          <w:bCs/>
          <w:lang w:val="en-US"/>
        </w:rPr>
        <w:t xml:space="preserve"> et al., </w:t>
      </w:r>
      <w:r w:rsidR="00C74891" w:rsidRPr="00A51A17">
        <w:rPr>
          <w:bCs/>
          <w:lang w:val="en-US"/>
        </w:rPr>
        <w:t>2019a; Sankar et al., 2017)</w:t>
      </w:r>
      <w:r w:rsidR="00F863C5" w:rsidRPr="00A51A17">
        <w:rPr>
          <w:bCs/>
          <w:lang w:val="en-US"/>
        </w:rPr>
        <w:t>.</w:t>
      </w:r>
    </w:p>
    <w:p w14:paraId="527E6801" w14:textId="70C30289" w:rsidR="00502EB5" w:rsidRPr="00A51A17" w:rsidRDefault="008D3AA6" w:rsidP="00610DDE">
      <w:pPr>
        <w:suppressAutoHyphens/>
        <w:spacing w:line="480" w:lineRule="auto"/>
        <w:ind w:firstLine="567"/>
        <w:rPr>
          <w:bCs/>
          <w:lang w:val="en-US"/>
        </w:rPr>
      </w:pPr>
      <w:r w:rsidRPr="00A51A17">
        <w:rPr>
          <w:bCs/>
          <w:lang w:val="en-US"/>
        </w:rPr>
        <w:t>Growing evidence suggest</w:t>
      </w:r>
      <w:r w:rsidR="00206C6A" w:rsidRPr="00A51A17">
        <w:rPr>
          <w:bCs/>
          <w:lang w:val="en-US"/>
        </w:rPr>
        <w:t>s</w:t>
      </w:r>
      <w:r w:rsidRPr="00A51A17">
        <w:rPr>
          <w:bCs/>
          <w:lang w:val="en-US"/>
        </w:rPr>
        <w:t xml:space="preserve"> that people may </w:t>
      </w:r>
      <w:r w:rsidR="00D2129A" w:rsidRPr="00A51A17">
        <w:rPr>
          <w:bCs/>
          <w:lang w:val="en-US"/>
        </w:rPr>
        <w:t xml:space="preserve">problematically </w:t>
      </w:r>
      <w:r w:rsidRPr="00A51A17">
        <w:rPr>
          <w:bCs/>
          <w:lang w:val="en-US"/>
        </w:rPr>
        <w:t>use</w:t>
      </w:r>
      <w:r w:rsidR="00D2129A" w:rsidRPr="00A51A17">
        <w:rPr>
          <w:bCs/>
          <w:lang w:val="en-US"/>
        </w:rPr>
        <w:t xml:space="preserve"> the</w:t>
      </w:r>
      <w:r w:rsidRPr="00A51A17">
        <w:rPr>
          <w:bCs/>
          <w:lang w:val="en-US"/>
        </w:rPr>
        <w:t xml:space="preserve"> Internet (i.e., problematic internet use, PIU) as a way to regulate </w:t>
      </w:r>
      <w:r w:rsidR="00713335" w:rsidRPr="00A51A17">
        <w:rPr>
          <w:bCs/>
          <w:lang w:val="en-US"/>
        </w:rPr>
        <w:t xml:space="preserve">negative emotions </w:t>
      </w:r>
      <w:r w:rsidRPr="00A51A17">
        <w:rPr>
          <w:bCs/>
          <w:lang w:val="en-US"/>
        </w:rPr>
        <w:t>(</w:t>
      </w:r>
      <w:r w:rsidR="00D01492" w:rsidRPr="00A51A17">
        <w:rPr>
          <w:bCs/>
          <w:lang w:val="en-US"/>
        </w:rPr>
        <w:t xml:space="preserve">e.g., </w:t>
      </w:r>
      <w:r w:rsidRPr="00A51A17">
        <w:rPr>
          <w:bCs/>
          <w:lang w:val="en-US"/>
        </w:rPr>
        <w:t xml:space="preserve">Akbari, 2017; </w:t>
      </w:r>
      <w:r w:rsidR="00547AE0" w:rsidRPr="00A51A17">
        <w:rPr>
          <w:bCs/>
          <w:lang w:val="en-US"/>
        </w:rPr>
        <w:t xml:space="preserve">Spada, 2014; </w:t>
      </w:r>
      <w:r w:rsidR="00610CC7" w:rsidRPr="00A51A17">
        <w:rPr>
          <w:bCs/>
          <w:lang w:val="en-US"/>
        </w:rPr>
        <w:t>Spada</w:t>
      </w:r>
      <w:r w:rsidRPr="00A51A17">
        <w:rPr>
          <w:bCs/>
          <w:lang w:val="en-US"/>
        </w:rPr>
        <w:t xml:space="preserve"> &amp; </w:t>
      </w:r>
      <w:r w:rsidR="00610CC7" w:rsidRPr="00A51A17">
        <w:rPr>
          <w:bCs/>
          <w:lang w:val="en-US"/>
        </w:rPr>
        <w:t>Marino</w:t>
      </w:r>
      <w:r w:rsidRPr="00A51A17">
        <w:rPr>
          <w:bCs/>
          <w:lang w:val="en-US"/>
        </w:rPr>
        <w:t>, 2017)</w:t>
      </w:r>
      <w:r w:rsidR="00713335" w:rsidRPr="00A51A17">
        <w:rPr>
          <w:bCs/>
          <w:lang w:val="en-US"/>
        </w:rPr>
        <w:t xml:space="preserve"> and it </w:t>
      </w:r>
      <w:r w:rsidR="00F57D9F" w:rsidRPr="00A51A17">
        <w:rPr>
          <w:bCs/>
          <w:lang w:val="en-US"/>
        </w:rPr>
        <w:t xml:space="preserve">may represent a reassurance seeking and/or avoidance behavior enacted to reduce </w:t>
      </w:r>
      <w:r w:rsidR="00713335" w:rsidRPr="00A51A17">
        <w:rPr>
          <w:bCs/>
          <w:lang w:val="en-US"/>
        </w:rPr>
        <w:t>also</w:t>
      </w:r>
      <w:r w:rsidR="00F57D9F" w:rsidRPr="00A51A17">
        <w:rPr>
          <w:bCs/>
          <w:lang w:val="en-US"/>
        </w:rPr>
        <w:t xml:space="preserve"> uncertainty. </w:t>
      </w:r>
      <w:r w:rsidR="00D2129A" w:rsidRPr="00A51A17">
        <w:rPr>
          <w:bCs/>
          <w:lang w:val="en-US"/>
        </w:rPr>
        <w:t>Indeed, Caplan (2010) defined PIU as the interplay between 4 dimensions: (i) the preference for online social interactions instead of face-to-face ones; (ii) mood regulation, that is using the Internet to alleviate distress and negative feeling; (iii) deficient self-regulation in terms of compulsive online behavior (i.e. the inability to regulate Internet use) and cognitive preoccupation (i.e. obsessive thinking about the Internet); and (iv) negative consequences for daily life resulting from Internet use.</w:t>
      </w:r>
      <w:r w:rsidR="000C7FC2" w:rsidRPr="00A51A17">
        <w:rPr>
          <w:bCs/>
          <w:lang w:val="en-US"/>
        </w:rPr>
        <w:t xml:space="preserve"> </w:t>
      </w:r>
      <w:r w:rsidRPr="00A51A17">
        <w:rPr>
          <w:bCs/>
          <w:lang w:val="en-US"/>
        </w:rPr>
        <w:t xml:space="preserve">To date, the relationship between </w:t>
      </w:r>
      <w:r w:rsidR="004E2B94" w:rsidRPr="00A51A17">
        <w:rPr>
          <w:bCs/>
          <w:lang w:val="en-US"/>
        </w:rPr>
        <w:t>intolerance of uncertainty</w:t>
      </w:r>
      <w:r w:rsidRPr="00A51A17">
        <w:rPr>
          <w:bCs/>
          <w:lang w:val="en-US"/>
        </w:rPr>
        <w:t xml:space="preserve"> and PIU has been barely explored</w:t>
      </w:r>
      <w:r w:rsidR="00A23940" w:rsidRPr="00A51A17">
        <w:rPr>
          <w:bCs/>
          <w:lang w:val="en-US"/>
        </w:rPr>
        <w:t>. For example,</w:t>
      </w:r>
      <w:r w:rsidRPr="00A51A17">
        <w:rPr>
          <w:bCs/>
          <w:lang w:val="en-US"/>
        </w:rPr>
        <w:t xml:space="preserve"> </w:t>
      </w:r>
      <w:r w:rsidR="00763B14" w:rsidRPr="00A51A17">
        <w:rPr>
          <w:bCs/>
          <w:lang w:val="en-US"/>
        </w:rPr>
        <w:t xml:space="preserve">a </w:t>
      </w:r>
      <w:r w:rsidR="00EB72E1" w:rsidRPr="00A51A17">
        <w:rPr>
          <w:bCs/>
          <w:lang w:val="en-US"/>
        </w:rPr>
        <w:t xml:space="preserve">recent </w:t>
      </w:r>
      <w:r w:rsidR="00763B14" w:rsidRPr="00A51A17">
        <w:rPr>
          <w:bCs/>
          <w:lang w:val="en-US"/>
        </w:rPr>
        <w:t>study</w:t>
      </w:r>
      <w:r w:rsidR="00EB72E1" w:rsidRPr="00A51A17">
        <w:rPr>
          <w:bCs/>
          <w:lang w:val="en-US"/>
        </w:rPr>
        <w:t xml:space="preserve"> </w:t>
      </w:r>
      <w:r w:rsidR="00A23940" w:rsidRPr="00A51A17">
        <w:rPr>
          <w:bCs/>
          <w:lang w:val="en-US"/>
        </w:rPr>
        <w:t xml:space="preserve">outlined </w:t>
      </w:r>
      <w:r w:rsidRPr="00A51A17">
        <w:rPr>
          <w:bCs/>
          <w:lang w:val="en-US"/>
        </w:rPr>
        <w:t xml:space="preserve">that </w:t>
      </w:r>
      <w:r w:rsidR="004E2B94" w:rsidRPr="00A51A17">
        <w:rPr>
          <w:bCs/>
          <w:lang w:val="en-US"/>
        </w:rPr>
        <w:t>intolerance of uncertainty</w:t>
      </w:r>
      <w:r w:rsidR="004E2B94" w:rsidRPr="00A51A17">
        <w:rPr>
          <w:lang w:val="en-US"/>
        </w:rPr>
        <w:t xml:space="preserve"> </w:t>
      </w:r>
      <w:r w:rsidRPr="00A51A17">
        <w:rPr>
          <w:bCs/>
          <w:lang w:val="en-US"/>
        </w:rPr>
        <w:t>is associated with problematic smartphone use via non-social smartphone use (Rozgonjuk et al., 2019)</w:t>
      </w:r>
      <w:r w:rsidR="00A23940" w:rsidRPr="00A51A17">
        <w:rPr>
          <w:bCs/>
          <w:lang w:val="en-US"/>
        </w:rPr>
        <w:t xml:space="preserve"> and Faghani and colleagues (2020) showed a positive correlation between </w:t>
      </w:r>
      <w:r w:rsidR="004E2B94" w:rsidRPr="00A51A17">
        <w:rPr>
          <w:bCs/>
          <w:lang w:val="en-US"/>
        </w:rPr>
        <w:t>intolerance of uncertainty</w:t>
      </w:r>
      <w:r w:rsidR="004E2B94" w:rsidRPr="00A51A17">
        <w:rPr>
          <w:lang w:val="en-US"/>
        </w:rPr>
        <w:t xml:space="preserve"> </w:t>
      </w:r>
      <w:r w:rsidR="00A23940" w:rsidRPr="00A51A17">
        <w:rPr>
          <w:bCs/>
          <w:lang w:val="en-US"/>
        </w:rPr>
        <w:t>and PIU.</w:t>
      </w:r>
      <w:r w:rsidR="000C7FC2" w:rsidRPr="00A51A17">
        <w:rPr>
          <w:bCs/>
          <w:lang w:val="en-US"/>
        </w:rPr>
        <w:t xml:space="preserve"> Interestingly,</w:t>
      </w:r>
      <w:r w:rsidRPr="00A51A17">
        <w:rPr>
          <w:bCs/>
          <w:lang w:val="en-US"/>
        </w:rPr>
        <w:t xml:space="preserve"> </w:t>
      </w:r>
      <w:r w:rsidR="000C7FC2" w:rsidRPr="00A51A17">
        <w:rPr>
          <w:bCs/>
          <w:lang w:val="en-US"/>
        </w:rPr>
        <w:t>f</w:t>
      </w:r>
      <w:r w:rsidR="00146289" w:rsidRPr="00A51A17">
        <w:rPr>
          <w:bCs/>
          <w:lang w:val="en-US"/>
        </w:rPr>
        <w:t xml:space="preserve">indings from a cross-temporal meta-analysis </w:t>
      </w:r>
      <w:r w:rsidR="000C7FC2" w:rsidRPr="00A51A17">
        <w:rPr>
          <w:bCs/>
          <w:lang w:val="en-US"/>
        </w:rPr>
        <w:t>showed</w:t>
      </w:r>
      <w:r w:rsidR="00146289" w:rsidRPr="00A51A17">
        <w:rPr>
          <w:bCs/>
          <w:lang w:val="en-US"/>
        </w:rPr>
        <w:t xml:space="preserve"> </w:t>
      </w:r>
      <w:r w:rsidR="000C7FC2" w:rsidRPr="00A51A17">
        <w:rPr>
          <w:bCs/>
          <w:lang w:val="en-US"/>
        </w:rPr>
        <w:t>that</w:t>
      </w:r>
      <w:r w:rsidR="00146289" w:rsidRPr="00A51A17">
        <w:rPr>
          <w:bCs/>
          <w:lang w:val="en-US"/>
        </w:rPr>
        <w:t xml:space="preserve"> self-reported </w:t>
      </w:r>
      <w:r w:rsidR="004E2B94" w:rsidRPr="00A51A17">
        <w:rPr>
          <w:bCs/>
          <w:lang w:val="en-US"/>
        </w:rPr>
        <w:t>intolerance of uncertainty</w:t>
      </w:r>
      <w:r w:rsidR="004E2B94" w:rsidRPr="00A51A17">
        <w:rPr>
          <w:lang w:val="en-US"/>
        </w:rPr>
        <w:t xml:space="preserve"> </w:t>
      </w:r>
      <w:r w:rsidR="00146289" w:rsidRPr="00A51A17">
        <w:rPr>
          <w:bCs/>
          <w:lang w:val="en-US"/>
        </w:rPr>
        <w:t xml:space="preserve">levels </w:t>
      </w:r>
      <w:r w:rsidR="000C7FC2" w:rsidRPr="00A51A17">
        <w:rPr>
          <w:bCs/>
          <w:lang w:val="en-US"/>
        </w:rPr>
        <w:t xml:space="preserve">have increased </w:t>
      </w:r>
      <w:r w:rsidR="00146289" w:rsidRPr="00A51A17">
        <w:rPr>
          <w:bCs/>
          <w:lang w:val="en-US"/>
        </w:rPr>
        <w:t>across time (from 1999 to 2014)</w:t>
      </w:r>
      <w:r w:rsidR="000C7FC2" w:rsidRPr="00A51A17">
        <w:rPr>
          <w:bCs/>
          <w:lang w:val="en-US"/>
        </w:rPr>
        <w:t xml:space="preserve"> and</w:t>
      </w:r>
      <w:r w:rsidR="00146289" w:rsidRPr="00A51A17">
        <w:rPr>
          <w:bCs/>
          <w:lang w:val="en-US"/>
        </w:rPr>
        <w:t xml:space="preserve"> </w:t>
      </w:r>
      <w:r w:rsidR="000C7FC2" w:rsidRPr="00A51A17">
        <w:rPr>
          <w:bCs/>
          <w:lang w:val="en-US"/>
        </w:rPr>
        <w:t xml:space="preserve">that such increases </w:t>
      </w:r>
      <w:r w:rsidR="00206C6A" w:rsidRPr="00A51A17">
        <w:rPr>
          <w:bCs/>
          <w:lang w:val="en-US"/>
        </w:rPr>
        <w:t xml:space="preserve">are </w:t>
      </w:r>
      <w:r w:rsidR="00146289" w:rsidRPr="00A51A17">
        <w:rPr>
          <w:bCs/>
          <w:lang w:val="en-US"/>
        </w:rPr>
        <w:t>positively correlated with increases in mobile phone penetration and Internet usage (Carleton et al., 2019). According to the authors, this result possibly suggest</w:t>
      </w:r>
      <w:r w:rsidR="00206C6A" w:rsidRPr="00A51A17">
        <w:rPr>
          <w:bCs/>
          <w:lang w:val="en-US"/>
        </w:rPr>
        <w:t>s</w:t>
      </w:r>
      <w:r w:rsidR="00146289" w:rsidRPr="00A51A17">
        <w:rPr>
          <w:bCs/>
          <w:lang w:val="en-US"/>
        </w:rPr>
        <w:t xml:space="preserve"> that increasing connectivity may reduce everyday exposures to uncertainty, since mobile phones may act as continuously available safety cues (i.e., they facilitate over-engagement). </w:t>
      </w:r>
      <w:r w:rsidR="00267F5E" w:rsidRPr="00A51A17">
        <w:rPr>
          <w:bCs/>
          <w:lang w:val="en-US"/>
        </w:rPr>
        <w:t xml:space="preserve">This mechanism </w:t>
      </w:r>
      <w:r w:rsidR="00EB72E1" w:rsidRPr="00A51A17">
        <w:rPr>
          <w:bCs/>
          <w:lang w:val="en-US"/>
        </w:rPr>
        <w:t>may</w:t>
      </w:r>
      <w:r w:rsidR="00267F5E" w:rsidRPr="00A51A17">
        <w:rPr>
          <w:bCs/>
          <w:lang w:val="en-US"/>
        </w:rPr>
        <w:t xml:space="preserve"> </w:t>
      </w:r>
      <w:r w:rsidR="00EB72E1" w:rsidRPr="00A51A17">
        <w:rPr>
          <w:bCs/>
          <w:lang w:val="en-US"/>
        </w:rPr>
        <w:t>partially</w:t>
      </w:r>
      <w:r w:rsidR="00267F5E" w:rsidRPr="00A51A17">
        <w:rPr>
          <w:bCs/>
          <w:lang w:val="en-US"/>
        </w:rPr>
        <w:t xml:space="preserve"> account for the </w:t>
      </w:r>
      <w:r w:rsidR="00AD2A60" w:rsidRPr="00A51A17">
        <w:rPr>
          <w:bCs/>
          <w:lang w:val="en-US"/>
        </w:rPr>
        <w:t xml:space="preserve">well-documented relationship between </w:t>
      </w:r>
      <w:r w:rsidR="004E2B94" w:rsidRPr="00A51A17">
        <w:rPr>
          <w:bCs/>
          <w:lang w:val="en-US"/>
        </w:rPr>
        <w:t>intolerance of uncertainty</w:t>
      </w:r>
      <w:r w:rsidR="00AD2A60" w:rsidRPr="00A51A17">
        <w:rPr>
          <w:bCs/>
          <w:lang w:val="en-US"/>
        </w:rPr>
        <w:t xml:space="preserve">, </w:t>
      </w:r>
      <w:r w:rsidR="00831EBC" w:rsidRPr="00A51A17">
        <w:rPr>
          <w:bCs/>
          <w:lang w:val="en-US"/>
        </w:rPr>
        <w:t>HA</w:t>
      </w:r>
      <w:r w:rsidR="00737834" w:rsidRPr="00A51A17">
        <w:rPr>
          <w:bCs/>
          <w:lang w:val="en-US"/>
        </w:rPr>
        <w:t xml:space="preserve">, and </w:t>
      </w:r>
      <w:r w:rsidR="00AD2A60" w:rsidRPr="00A51A17">
        <w:rPr>
          <w:bCs/>
          <w:lang w:val="en-US"/>
        </w:rPr>
        <w:t>cyberchondria (</w:t>
      </w:r>
      <w:r w:rsidR="00610CC7" w:rsidRPr="00A51A17">
        <w:rPr>
          <w:bCs/>
          <w:lang w:val="en-US"/>
        </w:rPr>
        <w:t xml:space="preserve">e.g., </w:t>
      </w:r>
      <w:r w:rsidR="00AD2A60" w:rsidRPr="00A51A17">
        <w:rPr>
          <w:lang w:val="en-US"/>
        </w:rPr>
        <w:t xml:space="preserve">Bajcar &amp; Babiak, 2020; </w:t>
      </w:r>
      <w:r w:rsidR="00AD2A60" w:rsidRPr="00A51A17">
        <w:rPr>
          <w:bCs/>
          <w:lang w:val="en-US"/>
        </w:rPr>
        <w:t>Fergus, 2013; 2015; Norr et al., 2015).</w:t>
      </w:r>
      <w:r w:rsidR="00737834" w:rsidRPr="00A51A17">
        <w:rPr>
          <w:bCs/>
          <w:lang w:val="en-US"/>
        </w:rPr>
        <w:t xml:space="preserve"> </w:t>
      </w:r>
      <w:r w:rsidR="00AD2A60" w:rsidRPr="00A51A17">
        <w:rPr>
          <w:bCs/>
          <w:lang w:val="en-US"/>
        </w:rPr>
        <w:t xml:space="preserve">Cyberchondria refers to tendency to </w:t>
      </w:r>
      <w:r w:rsidR="00206C6A" w:rsidRPr="00A51A17">
        <w:rPr>
          <w:bCs/>
          <w:lang w:val="en-US"/>
        </w:rPr>
        <w:t xml:space="preserve">excessively search for </w:t>
      </w:r>
      <w:r w:rsidR="00502EB5" w:rsidRPr="00A51A17">
        <w:rPr>
          <w:bCs/>
          <w:lang w:val="en-US"/>
        </w:rPr>
        <w:t>Internet</w:t>
      </w:r>
      <w:r w:rsidR="00D63576" w:rsidRPr="00A51A17">
        <w:rPr>
          <w:bCs/>
          <w:lang w:val="en-US"/>
        </w:rPr>
        <w:t xml:space="preserve"> health information notwithstanding</w:t>
      </w:r>
      <w:r w:rsidR="00AD2A60" w:rsidRPr="00A51A17">
        <w:rPr>
          <w:bCs/>
          <w:lang w:val="en-US"/>
        </w:rPr>
        <w:t xml:space="preserve"> the distress </w:t>
      </w:r>
      <w:r w:rsidR="00D63576" w:rsidRPr="00A51A17">
        <w:rPr>
          <w:bCs/>
          <w:lang w:val="en-US"/>
        </w:rPr>
        <w:t xml:space="preserve">deriving from </w:t>
      </w:r>
      <w:r w:rsidR="00206C6A" w:rsidRPr="00A51A17">
        <w:rPr>
          <w:bCs/>
          <w:lang w:val="en-US"/>
        </w:rPr>
        <w:t>it</w:t>
      </w:r>
      <w:r w:rsidR="00D63576" w:rsidRPr="00A51A17">
        <w:rPr>
          <w:bCs/>
          <w:lang w:val="en-US"/>
        </w:rPr>
        <w:t xml:space="preserve"> </w:t>
      </w:r>
      <w:r w:rsidR="00AD2A60" w:rsidRPr="00A51A17">
        <w:rPr>
          <w:bCs/>
          <w:lang w:val="en-US"/>
        </w:rPr>
        <w:t>(Starcevic &amp; Berle, 2013)</w:t>
      </w:r>
      <w:r w:rsidR="00D63576" w:rsidRPr="00A51A17">
        <w:rPr>
          <w:bCs/>
          <w:lang w:val="en-US"/>
        </w:rPr>
        <w:t>, and it is</w:t>
      </w:r>
      <w:r w:rsidR="00BB6369" w:rsidRPr="00A51A17">
        <w:rPr>
          <w:bCs/>
          <w:lang w:val="en-US"/>
        </w:rPr>
        <w:t xml:space="preserve"> strongly </w:t>
      </w:r>
      <w:r w:rsidR="00D63576" w:rsidRPr="00A51A17">
        <w:rPr>
          <w:bCs/>
          <w:lang w:val="en-US"/>
        </w:rPr>
        <w:t xml:space="preserve">associated with HA (McMullan et al., 2019). </w:t>
      </w:r>
      <w:r w:rsidR="00206C6A" w:rsidRPr="00A51A17">
        <w:rPr>
          <w:bCs/>
          <w:lang w:val="en-US"/>
        </w:rPr>
        <w:t xml:space="preserve">In addition, also </w:t>
      </w:r>
      <w:r w:rsidR="004E2B94" w:rsidRPr="00A51A17">
        <w:rPr>
          <w:bCs/>
          <w:lang w:val="en-US"/>
        </w:rPr>
        <w:t>intolerance of uncertainty</w:t>
      </w:r>
      <w:r w:rsidR="004E2B94" w:rsidRPr="00A51A17">
        <w:rPr>
          <w:lang w:val="en-US"/>
        </w:rPr>
        <w:t xml:space="preserve"> </w:t>
      </w:r>
      <w:r w:rsidR="00206C6A" w:rsidRPr="00A51A17">
        <w:rPr>
          <w:bCs/>
          <w:lang w:val="en-US"/>
        </w:rPr>
        <w:t xml:space="preserve">has been </w:t>
      </w:r>
      <w:r w:rsidR="00BB6369" w:rsidRPr="00A51A17">
        <w:rPr>
          <w:bCs/>
          <w:lang w:val="en-US"/>
        </w:rPr>
        <w:t xml:space="preserve">linked to HA (e.g., Fergus &amp; Valentiner, 2011; </w:t>
      </w:r>
      <w:r w:rsidR="00BB6369" w:rsidRPr="00A51A17">
        <w:rPr>
          <w:lang w:val="en-US"/>
        </w:rPr>
        <w:t xml:space="preserve">Wright et al., 2016), which is </w:t>
      </w:r>
      <w:r w:rsidR="00206C6A" w:rsidRPr="00A51A17">
        <w:rPr>
          <w:lang w:val="en-US"/>
        </w:rPr>
        <w:t>uns</w:t>
      </w:r>
      <w:r w:rsidR="00BB6369" w:rsidRPr="00A51A17">
        <w:rPr>
          <w:lang w:val="en-US"/>
        </w:rPr>
        <w:t xml:space="preserve">urprising given that illness </w:t>
      </w:r>
      <w:r w:rsidR="00BB6369" w:rsidRPr="00A51A17">
        <w:rPr>
          <w:bCs/>
          <w:lang w:val="en-US"/>
        </w:rPr>
        <w:t>uncertainty pertains to “whether an individual has or will develop a particular condition; how that condition will evolve; to what extent a particular treatment is beneficial; and whether a patient is receiving the right care, in the right place, at the right time, from the right people” (Hillen et al. 2017, p. 62).</w:t>
      </w:r>
      <w:r w:rsidR="00267F5E" w:rsidRPr="00A51A17">
        <w:rPr>
          <w:bCs/>
          <w:lang w:val="en-US"/>
        </w:rPr>
        <w:t xml:space="preserve"> </w:t>
      </w:r>
      <w:r w:rsidR="006266DA" w:rsidRPr="00A51A17">
        <w:rPr>
          <w:bCs/>
          <w:lang w:val="en-US"/>
        </w:rPr>
        <w:t>There is evidence</w:t>
      </w:r>
      <w:r w:rsidR="00206C6A" w:rsidRPr="00A51A17">
        <w:rPr>
          <w:bCs/>
          <w:lang w:val="en-US"/>
        </w:rPr>
        <w:t xml:space="preserve"> to suggest </w:t>
      </w:r>
      <w:r w:rsidR="006266DA" w:rsidRPr="00A51A17">
        <w:rPr>
          <w:bCs/>
          <w:lang w:val="en-US"/>
        </w:rPr>
        <w:t xml:space="preserve">that </w:t>
      </w:r>
      <w:r w:rsidR="004E2B94" w:rsidRPr="00A51A17">
        <w:rPr>
          <w:bCs/>
          <w:lang w:val="en-US"/>
        </w:rPr>
        <w:t>intolerance of uncertainty</w:t>
      </w:r>
      <w:r w:rsidR="004E2B94" w:rsidRPr="00A51A17">
        <w:rPr>
          <w:lang w:val="en-US"/>
        </w:rPr>
        <w:t xml:space="preserve"> </w:t>
      </w:r>
      <w:r w:rsidR="006266DA" w:rsidRPr="00A51A17">
        <w:rPr>
          <w:bCs/>
          <w:lang w:val="en-US"/>
        </w:rPr>
        <w:t>is highly related to cyberchondria, especially its distress dimension (Fergus, 2015; Norr et al., 2015), and that it moderates the association between the frequency of online searches for medical information and HA (Fergus, 201</w:t>
      </w:r>
      <w:r w:rsidR="00960F5C" w:rsidRPr="00A51A17">
        <w:rPr>
          <w:bCs/>
          <w:lang w:val="en-US"/>
        </w:rPr>
        <w:t>3</w:t>
      </w:r>
      <w:r w:rsidR="006266DA" w:rsidRPr="00A51A17">
        <w:rPr>
          <w:bCs/>
          <w:lang w:val="en-US"/>
        </w:rPr>
        <w:t xml:space="preserve">). </w:t>
      </w:r>
      <w:r w:rsidR="00960F5C" w:rsidRPr="00A51A17">
        <w:rPr>
          <w:bCs/>
          <w:lang w:val="en-US"/>
        </w:rPr>
        <w:t xml:space="preserve">Within such a framework, </w:t>
      </w:r>
      <w:r w:rsidR="003D126D" w:rsidRPr="00A51A17">
        <w:rPr>
          <w:bCs/>
          <w:lang w:val="en-US"/>
        </w:rPr>
        <w:t>individuals</w:t>
      </w:r>
      <w:r w:rsidR="006266DA" w:rsidRPr="00A51A17">
        <w:rPr>
          <w:bCs/>
          <w:lang w:val="en-US"/>
        </w:rPr>
        <w:t xml:space="preserve"> with high </w:t>
      </w:r>
      <w:r w:rsidR="004E2B94" w:rsidRPr="00A51A17">
        <w:rPr>
          <w:bCs/>
          <w:lang w:val="en-US"/>
        </w:rPr>
        <w:t>intolerance of uncertainty</w:t>
      </w:r>
      <w:r w:rsidR="004E2B94" w:rsidRPr="00A51A17">
        <w:rPr>
          <w:lang w:val="en-US"/>
        </w:rPr>
        <w:t xml:space="preserve"> </w:t>
      </w:r>
      <w:r w:rsidR="00F508E1" w:rsidRPr="00A51A17">
        <w:rPr>
          <w:bCs/>
          <w:lang w:val="en-US"/>
        </w:rPr>
        <w:t xml:space="preserve">should </w:t>
      </w:r>
      <w:r w:rsidR="00206C6A" w:rsidRPr="00A51A17">
        <w:rPr>
          <w:bCs/>
          <w:lang w:val="en-US"/>
        </w:rPr>
        <w:t xml:space="preserve">engage in </w:t>
      </w:r>
      <w:r w:rsidR="006266DA" w:rsidRPr="00A51A17">
        <w:rPr>
          <w:bCs/>
          <w:lang w:val="en-US"/>
        </w:rPr>
        <w:t xml:space="preserve">excessive </w:t>
      </w:r>
      <w:r w:rsidR="00960F5C" w:rsidRPr="00A51A17">
        <w:rPr>
          <w:bCs/>
          <w:lang w:val="en-US"/>
        </w:rPr>
        <w:t xml:space="preserve">Internet searches for medical information </w:t>
      </w:r>
      <w:r w:rsidR="006266DA" w:rsidRPr="00A51A17">
        <w:rPr>
          <w:bCs/>
          <w:lang w:val="en-US"/>
        </w:rPr>
        <w:t>to attain certainty</w:t>
      </w:r>
      <w:r w:rsidR="00960F5C" w:rsidRPr="00A51A17">
        <w:rPr>
          <w:bCs/>
          <w:lang w:val="en-US"/>
        </w:rPr>
        <w:t xml:space="preserve"> about their symptoms. </w:t>
      </w:r>
    </w:p>
    <w:p w14:paraId="3D6E03F4" w14:textId="6C466A23" w:rsidR="00EB72E1" w:rsidRPr="00A51A17" w:rsidRDefault="00206C6A" w:rsidP="00610DDE">
      <w:pPr>
        <w:suppressAutoHyphens/>
        <w:spacing w:line="480" w:lineRule="auto"/>
        <w:ind w:firstLine="567"/>
        <w:rPr>
          <w:bCs/>
          <w:lang w:val="en-US"/>
        </w:rPr>
      </w:pPr>
      <w:r w:rsidRPr="00A51A17">
        <w:rPr>
          <w:bCs/>
          <w:lang w:val="en-US"/>
        </w:rPr>
        <w:t>Taken together,</w:t>
      </w:r>
      <w:r w:rsidR="00EB72E1" w:rsidRPr="00A51A17">
        <w:rPr>
          <w:bCs/>
          <w:lang w:val="en-US"/>
        </w:rPr>
        <w:t xml:space="preserve"> the above-mentioned considerations appear to support the notion that Internet use may serve as a strategy to manage uncertainty</w:t>
      </w:r>
      <w:r w:rsidRPr="00A51A17">
        <w:rPr>
          <w:bCs/>
          <w:lang w:val="en-US"/>
        </w:rPr>
        <w:t xml:space="preserve"> which, in turn, is ca</w:t>
      </w:r>
      <w:r w:rsidR="00EB72E1" w:rsidRPr="00A51A17">
        <w:rPr>
          <w:bCs/>
          <w:lang w:val="en-US"/>
        </w:rPr>
        <w:t xml:space="preserve">pable of potentiating psychological distress by increasing </w:t>
      </w:r>
      <w:r w:rsidR="004E2B94" w:rsidRPr="00A51A17">
        <w:rPr>
          <w:bCs/>
          <w:lang w:val="en-US"/>
        </w:rPr>
        <w:t>intolerance of uncertainty</w:t>
      </w:r>
      <w:r w:rsidR="00EB72E1" w:rsidRPr="00A51A17">
        <w:rPr>
          <w:bCs/>
          <w:lang w:val="en-US"/>
        </w:rPr>
        <w:t xml:space="preserve">. </w:t>
      </w:r>
    </w:p>
    <w:p w14:paraId="3C16DA7F" w14:textId="589D3E32" w:rsidR="0025401C" w:rsidRPr="00A51A17" w:rsidRDefault="003D126D" w:rsidP="003D126D">
      <w:pPr>
        <w:suppressAutoHyphens/>
        <w:spacing w:line="480" w:lineRule="auto"/>
        <w:jc w:val="both"/>
        <w:rPr>
          <w:bCs/>
          <w:i/>
          <w:iCs/>
          <w:lang w:val="en-US"/>
        </w:rPr>
      </w:pPr>
      <w:r w:rsidRPr="00A51A17">
        <w:rPr>
          <w:bCs/>
          <w:i/>
          <w:iCs/>
          <w:lang w:val="en-US"/>
        </w:rPr>
        <w:t>The current study</w:t>
      </w:r>
    </w:p>
    <w:p w14:paraId="2551F8BA" w14:textId="77777777" w:rsidR="008D1731" w:rsidRPr="00A51A17" w:rsidRDefault="002C6EE9" w:rsidP="001C45CA">
      <w:pPr>
        <w:autoSpaceDE w:val="0"/>
        <w:autoSpaceDN w:val="0"/>
        <w:adjustRightInd w:val="0"/>
        <w:spacing w:line="480" w:lineRule="auto"/>
        <w:ind w:firstLine="708"/>
        <w:rPr>
          <w:iCs/>
          <w:lang w:val="en-US"/>
        </w:rPr>
      </w:pPr>
      <w:r w:rsidRPr="00A51A17">
        <w:rPr>
          <w:bCs/>
          <w:lang w:val="en-US"/>
        </w:rPr>
        <w:tab/>
      </w:r>
      <w:r w:rsidRPr="00A51A17">
        <w:rPr>
          <w:bCs/>
          <w:lang w:val="en-US"/>
        </w:rPr>
        <w:tab/>
      </w:r>
      <w:r w:rsidRPr="00A51A17">
        <w:rPr>
          <w:iCs/>
          <w:lang w:val="en-US"/>
        </w:rPr>
        <w:t>The Coronavirus (COVID-19) was first identified in December 2019 in Wuhan, China</w:t>
      </w:r>
      <w:r w:rsidR="0050169C" w:rsidRPr="00A51A17">
        <w:rPr>
          <w:iCs/>
          <w:lang w:val="en-US"/>
        </w:rPr>
        <w:t>,</w:t>
      </w:r>
      <w:r w:rsidRPr="00A51A17">
        <w:rPr>
          <w:iCs/>
          <w:lang w:val="en-US"/>
        </w:rPr>
        <w:t xml:space="preserve"> and its spread as a pandemic was officially recognized on 11 March 2020 as Italy, Iran, South Korea, and Japan reported surging numbers of cases (World Health Organization, 2020)</w:t>
      </w:r>
      <w:r w:rsidR="0050169C" w:rsidRPr="00A51A17">
        <w:rPr>
          <w:iCs/>
          <w:lang w:val="en-US"/>
        </w:rPr>
        <w:t xml:space="preserve">. </w:t>
      </w:r>
      <w:r w:rsidR="004E09E2" w:rsidRPr="00A51A17">
        <w:rPr>
          <w:iCs/>
          <w:lang w:val="en-US"/>
        </w:rPr>
        <w:t xml:space="preserve">The COVID-19 pandemic </w:t>
      </w:r>
      <w:r w:rsidR="004E09E2" w:rsidRPr="00A51A17">
        <w:rPr>
          <w:lang w:val="en-US"/>
        </w:rPr>
        <w:t xml:space="preserve">and its impacts on daily life has caused </w:t>
      </w:r>
      <w:r w:rsidR="004E09E2" w:rsidRPr="00A51A17">
        <w:rPr>
          <w:iCs/>
          <w:lang w:val="en-US"/>
        </w:rPr>
        <w:t>elevated levels of post-traumatic stress, general stress, fear, anxiety, HA, and suicidality</w:t>
      </w:r>
      <w:r w:rsidR="004E09E2" w:rsidRPr="00A51A17">
        <w:rPr>
          <w:rFonts w:eastAsia="TimesNewRomanPSMT"/>
          <w:lang w:val="en-US"/>
        </w:rPr>
        <w:t xml:space="preserve"> </w:t>
      </w:r>
      <w:r w:rsidR="004E09E2" w:rsidRPr="00A51A17">
        <w:rPr>
          <w:iCs/>
          <w:lang w:val="en-US"/>
        </w:rPr>
        <w:t xml:space="preserve">(e.g., </w:t>
      </w:r>
      <w:r w:rsidR="004E09E2" w:rsidRPr="00A51A17">
        <w:rPr>
          <w:rFonts w:eastAsia="TimesNewRomanPSMT"/>
          <w:lang w:val="en-US"/>
        </w:rPr>
        <w:t xml:space="preserve">Casagrande et al., 2020; </w:t>
      </w:r>
      <w:r w:rsidR="004E09E2" w:rsidRPr="00A51A17">
        <w:rPr>
          <w:iCs/>
          <w:lang w:val="en-US"/>
        </w:rPr>
        <w:t xml:space="preserve">Qiu et al., 2020; Wang et al., 2020); similar </w:t>
      </w:r>
      <w:r w:rsidR="0096626A" w:rsidRPr="00A51A17">
        <w:rPr>
          <w:iCs/>
          <w:lang w:val="en-US"/>
        </w:rPr>
        <w:t>findings were reported in the context of</w:t>
      </w:r>
      <w:r w:rsidR="0096626A" w:rsidRPr="00A51A17">
        <w:rPr>
          <w:rFonts w:eastAsia="TimesNewRomanPSMT"/>
          <w:lang w:val="en-US"/>
        </w:rPr>
        <w:t xml:space="preserve"> prior outbreaks</w:t>
      </w:r>
      <w:r w:rsidR="004E09E2" w:rsidRPr="00A51A17">
        <w:rPr>
          <w:iCs/>
          <w:lang w:val="en-US"/>
        </w:rPr>
        <w:t xml:space="preserve">, such as </w:t>
      </w:r>
      <w:r w:rsidR="004404E0" w:rsidRPr="00A51A17">
        <w:rPr>
          <w:iCs/>
          <w:lang w:val="en-US"/>
        </w:rPr>
        <w:t>SARS</w:t>
      </w:r>
      <w:r w:rsidR="004E09E2" w:rsidRPr="00A51A17">
        <w:rPr>
          <w:iCs/>
          <w:lang w:val="en-US"/>
        </w:rPr>
        <w:t xml:space="preserve"> (</w:t>
      </w:r>
      <w:r w:rsidR="004E09E2" w:rsidRPr="00A51A17">
        <w:rPr>
          <w:rFonts w:eastAsia="TimesNewRomanPSMT"/>
          <w:lang w:val="en-US"/>
        </w:rPr>
        <w:t xml:space="preserve">e.g., </w:t>
      </w:r>
      <w:r w:rsidR="004E09E2" w:rsidRPr="00A51A17">
        <w:rPr>
          <w:iCs/>
          <w:lang w:val="en-US"/>
        </w:rPr>
        <w:t xml:space="preserve">Cheng et al., 2004) and </w:t>
      </w:r>
      <w:r w:rsidR="004404E0" w:rsidRPr="00A51A17">
        <w:rPr>
          <w:iCs/>
          <w:lang w:val="en-US"/>
        </w:rPr>
        <w:t>H1N1</w:t>
      </w:r>
      <w:r w:rsidR="004E09E2" w:rsidRPr="00A51A17">
        <w:rPr>
          <w:iCs/>
          <w:lang w:val="en-US"/>
        </w:rPr>
        <w:t xml:space="preserve"> </w:t>
      </w:r>
      <w:r w:rsidR="0096626A" w:rsidRPr="00A51A17">
        <w:rPr>
          <w:iCs/>
          <w:lang w:val="en-US"/>
        </w:rPr>
        <w:t xml:space="preserve">swine flu </w:t>
      </w:r>
      <w:r w:rsidR="004E09E2" w:rsidRPr="00A51A17">
        <w:rPr>
          <w:iCs/>
          <w:lang w:val="en-US"/>
        </w:rPr>
        <w:t>(Rubin et al., 2009; Wheaton et al, 2012</w:t>
      </w:r>
      <w:r w:rsidR="004404E0" w:rsidRPr="00A51A17">
        <w:rPr>
          <w:iCs/>
          <w:lang w:val="en-US"/>
        </w:rPr>
        <w:t>)</w:t>
      </w:r>
      <w:r w:rsidR="0096626A" w:rsidRPr="00A51A17">
        <w:rPr>
          <w:iCs/>
          <w:lang w:val="en-US"/>
        </w:rPr>
        <w:t>.</w:t>
      </w:r>
      <w:r w:rsidR="004404E0" w:rsidRPr="00A51A17">
        <w:rPr>
          <w:iCs/>
          <w:lang w:val="en-US"/>
        </w:rPr>
        <w:t xml:space="preserve"> </w:t>
      </w:r>
    </w:p>
    <w:p w14:paraId="1B60E0ED" w14:textId="77777777" w:rsidR="001659AC" w:rsidRPr="00A51A17" w:rsidRDefault="009F413D" w:rsidP="00374EC5">
      <w:pPr>
        <w:autoSpaceDE w:val="0"/>
        <w:autoSpaceDN w:val="0"/>
        <w:adjustRightInd w:val="0"/>
        <w:spacing w:line="480" w:lineRule="auto"/>
        <w:ind w:firstLine="708"/>
        <w:rPr>
          <w:lang w:val="en-US"/>
        </w:rPr>
      </w:pPr>
      <w:r w:rsidRPr="00A51A17">
        <w:rPr>
          <w:rFonts w:eastAsia="TimesNewRomanPSMT"/>
          <w:lang w:val="en-US"/>
        </w:rPr>
        <w:t xml:space="preserve">In </w:t>
      </w:r>
      <w:r w:rsidR="0096626A" w:rsidRPr="00A51A17">
        <w:rPr>
          <w:rFonts w:eastAsia="TimesNewRomanPSMT"/>
          <w:lang w:val="en-US"/>
        </w:rPr>
        <w:t>times of pandemics</w:t>
      </w:r>
      <w:r w:rsidRPr="00A51A17">
        <w:rPr>
          <w:rFonts w:eastAsia="TimesNewRomanPSMT"/>
          <w:lang w:val="en-US"/>
        </w:rPr>
        <w:t xml:space="preserve">, </w:t>
      </w:r>
      <w:r w:rsidR="00610DDE" w:rsidRPr="00A51A17">
        <w:rPr>
          <w:rFonts w:eastAsia="TimesNewRomanPSMT"/>
          <w:lang w:val="en-US"/>
        </w:rPr>
        <w:t xml:space="preserve">actual and perceived </w:t>
      </w:r>
      <w:r w:rsidRPr="00A51A17">
        <w:rPr>
          <w:rFonts w:eastAsia="TimesNewRomanPSMT"/>
          <w:lang w:val="en-US"/>
        </w:rPr>
        <w:t>uncertaint</w:t>
      </w:r>
      <w:r w:rsidR="00610DDE" w:rsidRPr="00A51A17">
        <w:rPr>
          <w:rFonts w:eastAsia="TimesNewRomanPSMT"/>
          <w:lang w:val="en-US"/>
        </w:rPr>
        <w:t>ies</w:t>
      </w:r>
      <w:r w:rsidRPr="00A51A17">
        <w:rPr>
          <w:rFonts w:eastAsia="TimesNewRomanPSMT"/>
          <w:lang w:val="en-US"/>
        </w:rPr>
        <w:t xml:space="preserve"> </w:t>
      </w:r>
      <w:r w:rsidR="00AE5B13" w:rsidRPr="00A51A17">
        <w:rPr>
          <w:rFonts w:eastAsia="TimesNewRomanPSMT"/>
          <w:lang w:val="en-US"/>
        </w:rPr>
        <w:t xml:space="preserve">- along with actual and perceived threats – </w:t>
      </w:r>
      <w:r w:rsidR="00610DDE" w:rsidRPr="00A51A17">
        <w:rPr>
          <w:rFonts w:eastAsia="TimesNewRomanPSMT"/>
          <w:lang w:val="en-US"/>
        </w:rPr>
        <w:t xml:space="preserve">appear to </w:t>
      </w:r>
      <w:r w:rsidR="00F508E1" w:rsidRPr="00A51A17">
        <w:rPr>
          <w:rFonts w:eastAsia="TimesNewRomanPSMT"/>
          <w:lang w:val="en-US"/>
        </w:rPr>
        <w:t>crucially contribute</w:t>
      </w:r>
      <w:r w:rsidR="00610DDE" w:rsidRPr="00A51A17">
        <w:rPr>
          <w:rFonts w:eastAsia="TimesNewRomanPSMT"/>
          <w:lang w:val="en-US"/>
        </w:rPr>
        <w:t xml:space="preserve"> </w:t>
      </w:r>
      <w:r w:rsidR="00F508E1" w:rsidRPr="00A51A17">
        <w:rPr>
          <w:rFonts w:eastAsia="TimesNewRomanPSMT"/>
          <w:lang w:val="en-US"/>
        </w:rPr>
        <w:t xml:space="preserve">to </w:t>
      </w:r>
      <w:r w:rsidR="00610DDE" w:rsidRPr="00A51A17">
        <w:rPr>
          <w:rFonts w:eastAsia="TimesNewRomanPSMT"/>
          <w:lang w:val="en-US"/>
        </w:rPr>
        <w:t xml:space="preserve">psychological distress </w:t>
      </w:r>
      <w:r w:rsidRPr="00A51A17">
        <w:rPr>
          <w:rFonts w:eastAsia="TimesNewRomanPSMT"/>
          <w:lang w:val="en-US"/>
        </w:rPr>
        <w:t>(Freeston et al., 2020</w:t>
      </w:r>
      <w:r w:rsidR="00610DDE" w:rsidRPr="00A51A17">
        <w:rPr>
          <w:rFonts w:eastAsia="TimesNewRomanPSMT"/>
          <w:lang w:val="en-US"/>
        </w:rPr>
        <w:t xml:space="preserve">). </w:t>
      </w:r>
      <w:r w:rsidR="004404E0" w:rsidRPr="00A51A17">
        <w:rPr>
          <w:rFonts w:eastAsia="TimesNewRomanPSMT"/>
          <w:lang w:val="en-US"/>
        </w:rPr>
        <w:t>T</w:t>
      </w:r>
      <w:r w:rsidR="0031229C" w:rsidRPr="00A51A17">
        <w:rPr>
          <w:bCs/>
          <w:lang w:val="en-US"/>
        </w:rPr>
        <w:t>here are many unknowns about COVID-19</w:t>
      </w:r>
      <w:r w:rsidR="00F508E1" w:rsidRPr="00A51A17">
        <w:rPr>
          <w:bCs/>
          <w:lang w:val="en-US"/>
        </w:rPr>
        <w:t xml:space="preserve"> including the </w:t>
      </w:r>
      <w:r w:rsidR="0031229C" w:rsidRPr="00A51A17">
        <w:rPr>
          <w:bCs/>
          <w:lang w:val="en-US"/>
        </w:rPr>
        <w:t xml:space="preserve">unclear and unpredictable nature of the virus, its spread and progression, </w:t>
      </w:r>
      <w:r w:rsidR="00F508E1" w:rsidRPr="00A51A17">
        <w:rPr>
          <w:bCs/>
          <w:lang w:val="en-US"/>
        </w:rPr>
        <w:t xml:space="preserve">how it can be contained </w:t>
      </w:r>
      <w:r w:rsidR="0031229C" w:rsidRPr="00A51A17">
        <w:rPr>
          <w:bCs/>
          <w:lang w:val="en-US"/>
        </w:rPr>
        <w:t xml:space="preserve">and </w:t>
      </w:r>
      <w:r w:rsidR="00F508E1" w:rsidRPr="00A51A17">
        <w:rPr>
          <w:bCs/>
          <w:lang w:val="en-US"/>
        </w:rPr>
        <w:t>managed</w:t>
      </w:r>
      <w:r w:rsidR="0031229C" w:rsidRPr="00A51A17">
        <w:rPr>
          <w:bCs/>
          <w:lang w:val="en-US"/>
        </w:rPr>
        <w:t xml:space="preserve">, and its short- and long-term impact on individual and public health, livelihood, </w:t>
      </w:r>
      <w:r w:rsidR="00F508E1" w:rsidRPr="00A51A17">
        <w:rPr>
          <w:bCs/>
          <w:lang w:val="en-US"/>
        </w:rPr>
        <w:t>and the economy</w:t>
      </w:r>
      <w:r w:rsidR="0031229C" w:rsidRPr="00A51A17">
        <w:rPr>
          <w:bCs/>
          <w:lang w:val="en-US"/>
        </w:rPr>
        <w:t xml:space="preserve"> (Bakioğlu</w:t>
      </w:r>
      <w:r w:rsidR="0031229C" w:rsidRPr="00A51A17">
        <w:rPr>
          <w:lang w:val="en-US"/>
        </w:rPr>
        <w:t>, Korkmaz, &amp; Ercan,</w:t>
      </w:r>
      <w:r w:rsidR="0031229C" w:rsidRPr="00A51A17">
        <w:rPr>
          <w:bCs/>
          <w:lang w:val="en-US"/>
        </w:rPr>
        <w:t xml:space="preserve"> 2020</w:t>
      </w:r>
      <w:r w:rsidR="00610DDE" w:rsidRPr="00A51A17">
        <w:rPr>
          <w:bCs/>
          <w:lang w:val="en-US"/>
        </w:rPr>
        <w:t xml:space="preserve">). Moreover, </w:t>
      </w:r>
      <w:r w:rsidR="00D23C0B" w:rsidRPr="00A51A17">
        <w:rPr>
          <w:bCs/>
          <w:lang w:val="en-US"/>
        </w:rPr>
        <w:t xml:space="preserve">as soon as one </w:t>
      </w:r>
      <w:r w:rsidR="00F508E1" w:rsidRPr="00A51A17">
        <w:rPr>
          <w:bCs/>
          <w:lang w:val="en-US"/>
        </w:rPr>
        <w:t>piece of information appears to have reached ‘</w:t>
      </w:r>
      <w:r w:rsidR="00D23C0B" w:rsidRPr="00A51A17">
        <w:rPr>
          <w:bCs/>
          <w:lang w:val="en-US"/>
        </w:rPr>
        <w:t>certain</w:t>
      </w:r>
      <w:r w:rsidR="00F508E1" w:rsidRPr="00A51A17">
        <w:rPr>
          <w:bCs/>
          <w:lang w:val="en-US"/>
        </w:rPr>
        <w:t xml:space="preserve"> status’ </w:t>
      </w:r>
      <w:r w:rsidR="00D23C0B" w:rsidRPr="00A51A17">
        <w:rPr>
          <w:bCs/>
          <w:lang w:val="en-US"/>
        </w:rPr>
        <w:t>in official information</w:t>
      </w:r>
      <w:r w:rsidR="00F508E1" w:rsidRPr="00A51A17">
        <w:rPr>
          <w:bCs/>
          <w:lang w:val="en-US"/>
        </w:rPr>
        <w:t xml:space="preserve"> (e.g.</w:t>
      </w:r>
      <w:r w:rsidR="00FD195A" w:rsidRPr="00A51A17">
        <w:rPr>
          <w:bCs/>
          <w:lang w:val="en-US"/>
        </w:rPr>
        <w:t>,</w:t>
      </w:r>
      <w:r w:rsidR="00F508E1" w:rsidRPr="00A51A17">
        <w:rPr>
          <w:bCs/>
          <w:lang w:val="en-US"/>
        </w:rPr>
        <w:t xml:space="preserve"> government briefings)</w:t>
      </w:r>
      <w:r w:rsidR="00D23C0B" w:rsidRPr="00A51A17">
        <w:rPr>
          <w:bCs/>
          <w:lang w:val="en-US"/>
        </w:rPr>
        <w:t xml:space="preserve">, a new uncertainty </w:t>
      </w:r>
      <w:r w:rsidR="00F508E1" w:rsidRPr="00A51A17">
        <w:rPr>
          <w:bCs/>
          <w:lang w:val="en-US"/>
        </w:rPr>
        <w:t>emerges.</w:t>
      </w:r>
      <w:r w:rsidR="004404E0" w:rsidRPr="00A51A17">
        <w:rPr>
          <w:bCs/>
          <w:lang w:val="en-US"/>
        </w:rPr>
        <w:t xml:space="preserve"> </w:t>
      </w:r>
      <w:r w:rsidR="00F508E1" w:rsidRPr="00A51A17">
        <w:rPr>
          <w:bCs/>
          <w:lang w:val="en-US"/>
        </w:rPr>
        <w:t xml:space="preserve">As </w:t>
      </w:r>
      <w:r w:rsidR="004404E0" w:rsidRPr="00A51A17">
        <w:rPr>
          <w:bCs/>
          <w:lang w:val="en-US"/>
        </w:rPr>
        <w:t>such, the continuous availability and constant access to multiple, often contrasting</w:t>
      </w:r>
      <w:r w:rsidR="00F508E1" w:rsidRPr="00A51A17">
        <w:rPr>
          <w:bCs/>
          <w:lang w:val="en-US"/>
        </w:rPr>
        <w:t>,</w:t>
      </w:r>
      <w:r w:rsidR="00374EC5" w:rsidRPr="00A51A17">
        <w:rPr>
          <w:bCs/>
          <w:lang w:val="en-US"/>
        </w:rPr>
        <w:t xml:space="preserve"> online</w:t>
      </w:r>
      <w:r w:rsidR="004404E0" w:rsidRPr="00A51A17">
        <w:rPr>
          <w:bCs/>
          <w:lang w:val="en-US"/>
        </w:rPr>
        <w:t xml:space="preserve"> information</w:t>
      </w:r>
      <w:r w:rsidR="00D23C0B" w:rsidRPr="00A51A17">
        <w:rPr>
          <w:bCs/>
          <w:lang w:val="en-US"/>
        </w:rPr>
        <w:t xml:space="preserve"> </w:t>
      </w:r>
      <w:r w:rsidR="00AE5B13" w:rsidRPr="00A51A17">
        <w:rPr>
          <w:bCs/>
          <w:lang w:val="en-US"/>
        </w:rPr>
        <w:t>can</w:t>
      </w:r>
      <w:r w:rsidR="00D23C0B" w:rsidRPr="00A51A17">
        <w:rPr>
          <w:bCs/>
          <w:lang w:val="en-US"/>
        </w:rPr>
        <w:t xml:space="preserve"> partly explain why </w:t>
      </w:r>
      <w:r w:rsidR="00FE5E60" w:rsidRPr="00A51A17">
        <w:rPr>
          <w:bCs/>
          <w:lang w:val="en-US"/>
        </w:rPr>
        <w:t xml:space="preserve">both </w:t>
      </w:r>
      <w:r w:rsidR="0001070C" w:rsidRPr="00A51A17">
        <w:rPr>
          <w:lang w:val="en-US"/>
        </w:rPr>
        <w:t xml:space="preserve">PIU </w:t>
      </w:r>
      <w:r w:rsidR="00FE5E60" w:rsidRPr="00A51A17">
        <w:rPr>
          <w:lang w:val="en-US"/>
        </w:rPr>
        <w:t xml:space="preserve">and </w:t>
      </w:r>
      <w:r w:rsidR="0001070C" w:rsidRPr="00A51A17">
        <w:rPr>
          <w:bCs/>
          <w:lang w:val="en-US"/>
        </w:rPr>
        <w:t>cyberchondria</w:t>
      </w:r>
      <w:r w:rsidR="0001070C" w:rsidRPr="00A51A17">
        <w:rPr>
          <w:lang w:val="en-US"/>
        </w:rPr>
        <w:t xml:space="preserve"> </w:t>
      </w:r>
      <w:r w:rsidR="00FE5E60" w:rsidRPr="00A51A17">
        <w:rPr>
          <w:bCs/>
          <w:lang w:val="en-US"/>
        </w:rPr>
        <w:t xml:space="preserve">may </w:t>
      </w:r>
      <w:r w:rsidR="00F508E1" w:rsidRPr="00A51A17">
        <w:rPr>
          <w:bCs/>
          <w:lang w:val="en-US"/>
        </w:rPr>
        <w:t xml:space="preserve">emerge </w:t>
      </w:r>
      <w:r w:rsidR="00FE5E60" w:rsidRPr="00A51A17">
        <w:rPr>
          <w:bCs/>
          <w:lang w:val="en-US"/>
        </w:rPr>
        <w:t>as risk factor for psychological distress during COVID-19</w:t>
      </w:r>
      <w:r w:rsidR="001E6CC4" w:rsidRPr="00A51A17">
        <w:rPr>
          <w:bCs/>
          <w:lang w:val="en-US"/>
        </w:rPr>
        <w:t xml:space="preserve"> (e.g.</w:t>
      </w:r>
      <w:r w:rsidR="00FD195A" w:rsidRPr="00A51A17">
        <w:rPr>
          <w:bCs/>
          <w:lang w:val="en-US"/>
        </w:rPr>
        <w:t>,</w:t>
      </w:r>
      <w:r w:rsidR="001E6CC4" w:rsidRPr="00A51A17">
        <w:rPr>
          <w:bCs/>
          <w:lang w:val="en-US"/>
        </w:rPr>
        <w:t xml:space="preserve"> </w:t>
      </w:r>
      <w:r w:rsidR="001E6CC4" w:rsidRPr="00A51A17">
        <w:rPr>
          <w:lang w:val="en-US"/>
        </w:rPr>
        <w:t>Jungmann &amp; Witthöft, 2020).</w:t>
      </w:r>
      <w:r w:rsidR="004404E0" w:rsidRPr="00A51A17">
        <w:rPr>
          <w:lang w:val="en-US"/>
        </w:rPr>
        <w:t xml:space="preserve"> </w:t>
      </w:r>
      <w:r w:rsidR="00637BCF" w:rsidRPr="00A51A17">
        <w:rPr>
          <w:lang w:val="en-US"/>
        </w:rPr>
        <w:t>Since the COVID-19 pandemic began, people worldwide are receiving a large quantity of information</w:t>
      </w:r>
      <w:r w:rsidR="0055071E" w:rsidRPr="00A51A17">
        <w:rPr>
          <w:lang w:val="en-US"/>
        </w:rPr>
        <w:t xml:space="preserve">, </w:t>
      </w:r>
      <w:r w:rsidR="00D172E1" w:rsidRPr="00A51A17">
        <w:rPr>
          <w:lang w:val="en-US"/>
        </w:rPr>
        <w:t>with</w:t>
      </w:r>
      <w:r w:rsidR="00637BCF" w:rsidRPr="00A51A17">
        <w:rPr>
          <w:lang w:val="en-US"/>
        </w:rPr>
        <w:t xml:space="preserve"> authors observ</w:t>
      </w:r>
      <w:r w:rsidR="00D172E1" w:rsidRPr="00A51A17">
        <w:rPr>
          <w:lang w:val="en-US"/>
        </w:rPr>
        <w:t>ing</w:t>
      </w:r>
      <w:r w:rsidR="00637BCF" w:rsidRPr="00A51A17">
        <w:rPr>
          <w:lang w:val="en-US"/>
        </w:rPr>
        <w:t xml:space="preserve"> a dose-response relationship between COVID-19 media exposure and </w:t>
      </w:r>
      <w:r w:rsidR="00D172E1" w:rsidRPr="00A51A17">
        <w:rPr>
          <w:lang w:val="en-US"/>
        </w:rPr>
        <w:t>anxiety and depressive symptoms</w:t>
      </w:r>
      <w:r w:rsidR="00637BCF" w:rsidRPr="00A51A17">
        <w:rPr>
          <w:lang w:val="en-US"/>
        </w:rPr>
        <w:t xml:space="preserve"> (Yao et al., 2020). </w:t>
      </w:r>
      <w:r w:rsidR="008D1731" w:rsidRPr="00A51A17">
        <w:rPr>
          <w:lang w:val="en-US"/>
        </w:rPr>
        <w:t xml:space="preserve">Wathelet et al. (2020) explored the association between a wide range of predictors and several mental health outcomes (suicidal thoughts, distress, perceived stress, depression, and anxiety) in a large sample of French undergraduates during quarantine. They found that the more time (minutes per day) they spent accessing COVID-19 information, the more likely they were to report at least one mental health outcome; moreover, lower quality information was associated with referring at least one outcome. </w:t>
      </w:r>
      <w:r w:rsidR="00D172E1" w:rsidRPr="00A51A17">
        <w:rPr>
          <w:lang w:val="en-US"/>
        </w:rPr>
        <w:t xml:space="preserve">Excessive </w:t>
      </w:r>
      <w:r w:rsidR="00434C0E" w:rsidRPr="00A51A17">
        <w:rPr>
          <w:lang w:val="en-US"/>
        </w:rPr>
        <w:t>I</w:t>
      </w:r>
      <w:r w:rsidR="00D172E1" w:rsidRPr="00A51A17">
        <w:rPr>
          <w:lang w:val="en-US"/>
        </w:rPr>
        <w:t xml:space="preserve">nternet use </w:t>
      </w:r>
      <w:r w:rsidR="00E105D5" w:rsidRPr="00A51A17">
        <w:rPr>
          <w:lang w:val="en-US"/>
        </w:rPr>
        <w:t>increases</w:t>
      </w:r>
      <w:r w:rsidR="00D172E1" w:rsidRPr="00A51A17">
        <w:rPr>
          <w:lang w:val="en-US"/>
        </w:rPr>
        <w:t xml:space="preserve"> the </w:t>
      </w:r>
      <w:r w:rsidR="00623C6B" w:rsidRPr="00A51A17">
        <w:rPr>
          <w:lang w:val="en-US"/>
        </w:rPr>
        <w:t xml:space="preserve">availability of conflicting or ambiguous information from different sources: this information </w:t>
      </w:r>
      <w:r w:rsidR="00D172E1" w:rsidRPr="00A51A17">
        <w:rPr>
          <w:lang w:val="en-US"/>
        </w:rPr>
        <w:t xml:space="preserve">may be more or </w:t>
      </w:r>
      <w:r w:rsidR="002008F8" w:rsidRPr="00A51A17">
        <w:rPr>
          <w:lang w:val="en-US"/>
        </w:rPr>
        <w:t xml:space="preserve">less </w:t>
      </w:r>
      <w:r w:rsidR="00D172E1" w:rsidRPr="00A51A17">
        <w:rPr>
          <w:lang w:val="en-US"/>
        </w:rPr>
        <w:t xml:space="preserve">helpful, may vary in quality, and may </w:t>
      </w:r>
      <w:r w:rsidR="002E3EF3" w:rsidRPr="00A51A17">
        <w:rPr>
          <w:lang w:val="en-US"/>
        </w:rPr>
        <w:t>further promote</w:t>
      </w:r>
      <w:r w:rsidR="00D172E1" w:rsidRPr="00A51A17">
        <w:rPr>
          <w:lang w:val="en-US"/>
        </w:rPr>
        <w:t xml:space="preserve"> perceived threats and uncertainties, </w:t>
      </w:r>
      <w:r w:rsidR="002008F8" w:rsidRPr="00A51A17">
        <w:rPr>
          <w:lang w:val="en-US"/>
        </w:rPr>
        <w:t>thus heightening</w:t>
      </w:r>
      <w:r w:rsidR="00D172E1" w:rsidRPr="00A51A17">
        <w:rPr>
          <w:lang w:val="en-US"/>
        </w:rPr>
        <w:t xml:space="preserve"> psychological distress (Freeston et al., 2020</w:t>
      </w:r>
      <w:r w:rsidR="00E105D5" w:rsidRPr="00A51A17">
        <w:rPr>
          <w:lang w:val="en-US"/>
        </w:rPr>
        <w:t xml:space="preserve">). </w:t>
      </w:r>
      <w:r w:rsidR="00EB4CCC" w:rsidRPr="00A51A17">
        <w:rPr>
          <w:lang w:val="en-US"/>
        </w:rPr>
        <w:t>Indeed, the Internet – social media in particular - allows an extremely rapid dissemination of several kinds of information about specific topics (i.e., “infodemics”), which fuels the spread of disinformation and misinformation at extraordinary speeds and amplifies uncertainty (Vaezi &amp; Javanmard, 2020). Therefore, the quality of information clearly assumes a relevant role in the association between excessive internet searches and uncertainty</w:t>
      </w:r>
      <w:r w:rsidR="000341E7" w:rsidRPr="00A51A17">
        <w:rPr>
          <w:lang w:val="en-US"/>
        </w:rPr>
        <w:t>.</w:t>
      </w:r>
    </w:p>
    <w:p w14:paraId="456BC2E2" w14:textId="05D96CB9" w:rsidR="0015257A" w:rsidRPr="00A51A17" w:rsidRDefault="001659AC" w:rsidP="00374EC5">
      <w:pPr>
        <w:autoSpaceDE w:val="0"/>
        <w:autoSpaceDN w:val="0"/>
        <w:adjustRightInd w:val="0"/>
        <w:spacing w:line="480" w:lineRule="auto"/>
        <w:ind w:firstLine="708"/>
        <w:rPr>
          <w:lang w:val="en-US"/>
        </w:rPr>
      </w:pPr>
      <w:r w:rsidRPr="00A51A17">
        <w:rPr>
          <w:lang w:val="en-US"/>
        </w:rPr>
        <w:t>B</w:t>
      </w:r>
      <w:r w:rsidR="007B30B2" w:rsidRPr="00A51A17">
        <w:rPr>
          <w:lang w:val="en-US"/>
        </w:rPr>
        <w:t xml:space="preserve">eyond online searches for COVID-19-related information, </w:t>
      </w:r>
      <w:r w:rsidR="0015257A" w:rsidRPr="00A51A17">
        <w:rPr>
          <w:lang w:val="en-US"/>
        </w:rPr>
        <w:t xml:space="preserve">the Internet have </w:t>
      </w:r>
      <w:r w:rsidR="007B30B2" w:rsidRPr="00A51A17">
        <w:rPr>
          <w:lang w:val="en-US"/>
        </w:rPr>
        <w:t xml:space="preserve">simultaneously </w:t>
      </w:r>
      <w:r w:rsidR="0015257A" w:rsidRPr="00A51A17">
        <w:rPr>
          <w:lang w:val="en-US"/>
        </w:rPr>
        <w:t>played</w:t>
      </w:r>
      <w:r w:rsidR="007B30B2" w:rsidRPr="00A51A17">
        <w:rPr>
          <w:lang w:val="en-US"/>
        </w:rPr>
        <w:t xml:space="preserve"> positive and negative roles during the pandemic. </w:t>
      </w:r>
      <w:r w:rsidR="00E0183C" w:rsidRPr="00A51A17">
        <w:rPr>
          <w:lang w:val="en-US"/>
        </w:rPr>
        <w:t>On one hand, o</w:t>
      </w:r>
      <w:r w:rsidR="007B30B2" w:rsidRPr="00A51A17">
        <w:rPr>
          <w:lang w:val="en-US"/>
        </w:rPr>
        <w:t>nline platforms allowed social connection, relationships maintenance</w:t>
      </w:r>
      <w:r w:rsidR="00A6196D" w:rsidRPr="00A51A17">
        <w:rPr>
          <w:lang w:val="en-US"/>
        </w:rPr>
        <w:t xml:space="preserve">, </w:t>
      </w:r>
      <w:r w:rsidR="007B30B2" w:rsidRPr="00A51A17">
        <w:rPr>
          <w:lang w:val="en-US"/>
        </w:rPr>
        <w:t>smart-working</w:t>
      </w:r>
      <w:r w:rsidR="00A6196D" w:rsidRPr="00A51A17">
        <w:rPr>
          <w:lang w:val="en-US"/>
        </w:rPr>
        <w:t>, “online” physical activity, and entertainment (Kir</w:t>
      </w:r>
      <w:r w:rsidR="003B2F57" w:rsidRPr="00A51A17">
        <w:rPr>
          <w:lang w:val="en-US"/>
        </w:rPr>
        <w:t>á</w:t>
      </w:r>
      <w:r w:rsidR="00A6196D" w:rsidRPr="00A51A17">
        <w:rPr>
          <w:lang w:val="en-US"/>
        </w:rPr>
        <w:t>ly et al. 2020)</w:t>
      </w:r>
      <w:r w:rsidR="007B30B2" w:rsidRPr="00A51A17">
        <w:rPr>
          <w:lang w:val="en-US"/>
        </w:rPr>
        <w:t xml:space="preserve">. Moreover, </w:t>
      </w:r>
      <w:r w:rsidR="00FB4335" w:rsidRPr="00A51A17">
        <w:rPr>
          <w:lang w:val="en-US"/>
        </w:rPr>
        <w:t>online activities</w:t>
      </w:r>
      <w:r w:rsidR="007B30B2" w:rsidRPr="00A51A17">
        <w:rPr>
          <w:lang w:val="en-US"/>
        </w:rPr>
        <w:t xml:space="preserve"> were used </w:t>
      </w:r>
      <w:r w:rsidR="00A6196D" w:rsidRPr="00A51A17">
        <w:rPr>
          <w:lang w:val="en-US"/>
        </w:rPr>
        <w:t>as putative coping strategies</w:t>
      </w:r>
      <w:r w:rsidR="007B30B2" w:rsidRPr="00A51A17">
        <w:rPr>
          <w:lang w:val="en-US"/>
        </w:rPr>
        <w:t xml:space="preserve"> in order to </w:t>
      </w:r>
      <w:r w:rsidR="00902AD6" w:rsidRPr="00A51A17">
        <w:rPr>
          <w:lang w:val="en-US"/>
        </w:rPr>
        <w:t xml:space="preserve">alleviate the negative consequences of </w:t>
      </w:r>
      <w:r w:rsidR="007B30B2" w:rsidRPr="00A51A17">
        <w:rPr>
          <w:lang w:val="en-US"/>
        </w:rPr>
        <w:t>lockdown</w:t>
      </w:r>
      <w:r w:rsidR="00902AD6" w:rsidRPr="00A51A17">
        <w:rPr>
          <w:lang w:val="en-US"/>
        </w:rPr>
        <w:t xml:space="preserve">, such </w:t>
      </w:r>
      <w:r w:rsidR="007B30B2" w:rsidRPr="00A51A17">
        <w:rPr>
          <w:lang w:val="en-US"/>
        </w:rPr>
        <w:t xml:space="preserve">as </w:t>
      </w:r>
      <w:r w:rsidR="00902AD6" w:rsidRPr="00A51A17">
        <w:rPr>
          <w:lang w:val="en-US"/>
        </w:rPr>
        <w:t>isolation</w:t>
      </w:r>
      <w:r w:rsidR="007B30B2" w:rsidRPr="00A51A17">
        <w:rPr>
          <w:lang w:val="en-US"/>
        </w:rPr>
        <w:t xml:space="preserve"> and </w:t>
      </w:r>
      <w:r w:rsidR="00902AD6" w:rsidRPr="00A51A17">
        <w:rPr>
          <w:lang w:val="en-US"/>
        </w:rPr>
        <w:t xml:space="preserve">psychological </w:t>
      </w:r>
      <w:r w:rsidR="007B30B2" w:rsidRPr="00A51A17">
        <w:rPr>
          <w:lang w:val="en-US"/>
        </w:rPr>
        <w:t>dist</w:t>
      </w:r>
      <w:r w:rsidR="00E0183C" w:rsidRPr="00A51A17">
        <w:rPr>
          <w:lang w:val="en-US"/>
        </w:rPr>
        <w:t>ress</w:t>
      </w:r>
      <w:r w:rsidR="00A6196D" w:rsidRPr="00A51A17">
        <w:rPr>
          <w:lang w:val="en-US"/>
        </w:rPr>
        <w:t xml:space="preserve">. </w:t>
      </w:r>
      <w:r w:rsidR="00E0183C" w:rsidRPr="00A51A17">
        <w:rPr>
          <w:lang w:val="en-US"/>
        </w:rPr>
        <w:t>On the other hand</w:t>
      </w:r>
      <w:r w:rsidR="007B30B2" w:rsidRPr="00A51A17">
        <w:rPr>
          <w:lang w:val="en-US"/>
        </w:rPr>
        <w:t xml:space="preserve">, </w:t>
      </w:r>
      <w:r w:rsidR="00FB4335" w:rsidRPr="00A51A17">
        <w:rPr>
          <w:lang w:val="en-US"/>
        </w:rPr>
        <w:t xml:space="preserve">constant connectivity might have favored, for a minority of users, the engagement in addictive behaviors, </w:t>
      </w:r>
      <w:r w:rsidR="003B2F57" w:rsidRPr="00A51A17">
        <w:rPr>
          <w:lang w:val="en-US"/>
        </w:rPr>
        <w:t xml:space="preserve">such as </w:t>
      </w:r>
      <w:r w:rsidR="00FB4335" w:rsidRPr="00A51A17">
        <w:rPr>
          <w:lang w:val="en-US"/>
        </w:rPr>
        <w:t>problematic gaming, social media, shopping, pornography use, and gambling (</w:t>
      </w:r>
      <w:r w:rsidR="00E0183C" w:rsidRPr="00A51A17">
        <w:rPr>
          <w:lang w:val="en-US"/>
        </w:rPr>
        <w:t>e.g., King et al., 2020; Mestre-Bach et al., 2020</w:t>
      </w:r>
      <w:r w:rsidR="00FB4335" w:rsidRPr="00A51A17">
        <w:rPr>
          <w:lang w:val="en-US"/>
        </w:rPr>
        <w:t xml:space="preserve">). Indeed, </w:t>
      </w:r>
      <w:r w:rsidR="007B30B2" w:rsidRPr="00A51A17">
        <w:rPr>
          <w:lang w:val="en-US"/>
        </w:rPr>
        <w:t xml:space="preserve">“being always online” </w:t>
      </w:r>
      <w:r w:rsidR="00FB4335" w:rsidRPr="00A51A17">
        <w:rPr>
          <w:lang w:val="en-US"/>
        </w:rPr>
        <w:t xml:space="preserve">might </w:t>
      </w:r>
      <w:r w:rsidR="00CF7967" w:rsidRPr="00A51A17">
        <w:rPr>
          <w:lang w:val="en-US"/>
        </w:rPr>
        <w:t>contr</w:t>
      </w:r>
      <w:r w:rsidR="00FB4335" w:rsidRPr="00A51A17">
        <w:rPr>
          <w:lang w:val="en-US"/>
        </w:rPr>
        <w:t>ibute</w:t>
      </w:r>
      <w:r w:rsidR="00CF7967" w:rsidRPr="00A51A17">
        <w:rPr>
          <w:lang w:val="en-US"/>
        </w:rPr>
        <w:t xml:space="preserve"> to the development of</w:t>
      </w:r>
      <w:r w:rsidR="007B30B2" w:rsidRPr="00A51A17">
        <w:rPr>
          <w:lang w:val="en-US"/>
        </w:rPr>
        <w:t xml:space="preserve"> PIU, in terms of preoccupation, </w:t>
      </w:r>
      <w:r w:rsidR="00FB4335" w:rsidRPr="00A51A17">
        <w:rPr>
          <w:lang w:val="en-US"/>
        </w:rPr>
        <w:t xml:space="preserve">emotion dysregulation, </w:t>
      </w:r>
      <w:r w:rsidR="007B30B2" w:rsidRPr="00A51A17">
        <w:rPr>
          <w:lang w:val="en-US"/>
        </w:rPr>
        <w:t>compulsive use</w:t>
      </w:r>
      <w:r w:rsidR="00902AD6" w:rsidRPr="00A51A17">
        <w:rPr>
          <w:lang w:val="en-US"/>
        </w:rPr>
        <w:t xml:space="preserve"> of </w:t>
      </w:r>
      <w:r w:rsidR="00767932" w:rsidRPr="00A51A17">
        <w:rPr>
          <w:lang w:val="en-US"/>
        </w:rPr>
        <w:t>technological</w:t>
      </w:r>
      <w:r w:rsidR="00902AD6" w:rsidRPr="00A51A17">
        <w:rPr>
          <w:lang w:val="en-US"/>
        </w:rPr>
        <w:t xml:space="preserve"> devices</w:t>
      </w:r>
      <w:r w:rsidR="00CF7967" w:rsidRPr="00A51A17">
        <w:rPr>
          <w:lang w:val="en-US"/>
        </w:rPr>
        <w:t xml:space="preserve"> and negative consequences for </w:t>
      </w:r>
      <w:r w:rsidR="00FB4335" w:rsidRPr="00A51A17">
        <w:rPr>
          <w:lang w:val="en-US"/>
        </w:rPr>
        <w:t>daily life</w:t>
      </w:r>
      <w:r w:rsidR="00CF7967" w:rsidRPr="00A51A17">
        <w:rPr>
          <w:lang w:val="en-US"/>
        </w:rPr>
        <w:t xml:space="preserve"> (</w:t>
      </w:r>
      <w:r w:rsidR="00E0183C" w:rsidRPr="00A51A17">
        <w:rPr>
          <w:lang w:val="en-US"/>
        </w:rPr>
        <w:t>e.g., Islam et al., 2020</w:t>
      </w:r>
      <w:r w:rsidR="00CF7967" w:rsidRPr="00A51A17">
        <w:rPr>
          <w:lang w:val="en-US"/>
        </w:rPr>
        <w:t xml:space="preserve">). </w:t>
      </w:r>
    </w:p>
    <w:p w14:paraId="4A66D958" w14:textId="45A0C9DE" w:rsidR="00FD195A" w:rsidRPr="00A51A17" w:rsidRDefault="004404E0" w:rsidP="00374EC5">
      <w:pPr>
        <w:autoSpaceDE w:val="0"/>
        <w:autoSpaceDN w:val="0"/>
        <w:adjustRightInd w:val="0"/>
        <w:spacing w:line="480" w:lineRule="auto"/>
        <w:ind w:firstLine="708"/>
        <w:rPr>
          <w:lang w:val="en-US"/>
        </w:rPr>
      </w:pPr>
      <w:r w:rsidRPr="00A51A17">
        <w:rPr>
          <w:lang w:val="en-US"/>
        </w:rPr>
        <w:t xml:space="preserve">The current study was designed to explore the </w:t>
      </w:r>
      <w:r w:rsidR="0001070C" w:rsidRPr="00A51A17">
        <w:rPr>
          <w:lang w:val="en-US"/>
        </w:rPr>
        <w:t xml:space="preserve">direct and indirect </w:t>
      </w:r>
      <w:r w:rsidRPr="00A51A17">
        <w:rPr>
          <w:lang w:val="en-US"/>
        </w:rPr>
        <w:t xml:space="preserve">associations </w:t>
      </w:r>
      <w:r w:rsidR="0001070C" w:rsidRPr="00A51A17">
        <w:rPr>
          <w:lang w:val="en-US"/>
        </w:rPr>
        <w:t xml:space="preserve">between </w:t>
      </w:r>
      <w:r w:rsidR="004E2B94" w:rsidRPr="00A51A17">
        <w:rPr>
          <w:bCs/>
          <w:lang w:val="en-US"/>
        </w:rPr>
        <w:t>intolerance of uncertainty</w:t>
      </w:r>
      <w:r w:rsidR="0001070C" w:rsidRPr="00A51A17">
        <w:rPr>
          <w:lang w:val="en-US"/>
        </w:rPr>
        <w:t xml:space="preserve">, </w:t>
      </w:r>
      <w:r w:rsidR="00374EC5" w:rsidRPr="00A51A17">
        <w:rPr>
          <w:lang w:val="en-US"/>
        </w:rPr>
        <w:t xml:space="preserve">HA, and </w:t>
      </w:r>
      <w:r w:rsidR="0001070C" w:rsidRPr="00A51A17">
        <w:rPr>
          <w:lang w:val="en-US"/>
        </w:rPr>
        <w:t xml:space="preserve">psychological distress through PIU and cyberchondria (see Figure 1). </w:t>
      </w:r>
      <w:r w:rsidR="00FD195A" w:rsidRPr="00A51A17">
        <w:rPr>
          <w:i/>
          <w:iCs/>
          <w:lang w:val="en-US"/>
        </w:rPr>
        <w:t>[FIGURE 1 HERE]</w:t>
      </w:r>
    </w:p>
    <w:p w14:paraId="53D5826B" w14:textId="6A035409" w:rsidR="002A4FB0" w:rsidRPr="00A51A17" w:rsidRDefault="0001070C" w:rsidP="00374EC5">
      <w:pPr>
        <w:autoSpaceDE w:val="0"/>
        <w:autoSpaceDN w:val="0"/>
        <w:adjustRightInd w:val="0"/>
        <w:spacing w:line="480" w:lineRule="auto"/>
        <w:ind w:firstLine="708"/>
        <w:rPr>
          <w:lang w:val="en-US"/>
        </w:rPr>
      </w:pPr>
      <w:r w:rsidRPr="00A51A17">
        <w:rPr>
          <w:lang w:val="en-US"/>
        </w:rPr>
        <w:t xml:space="preserve">In line with extant literature, we expected </w:t>
      </w:r>
      <w:r w:rsidR="004E2B94" w:rsidRPr="00A51A17">
        <w:rPr>
          <w:lang w:val="en-US"/>
        </w:rPr>
        <w:t>(</w:t>
      </w:r>
      <w:r w:rsidR="0038542C" w:rsidRPr="00A51A17">
        <w:rPr>
          <w:lang w:val="en-US"/>
        </w:rPr>
        <w:t xml:space="preserve">hypothesis </w:t>
      </w:r>
      <w:r w:rsidR="004E2B94" w:rsidRPr="00A51A17">
        <w:rPr>
          <w:lang w:val="en-US"/>
        </w:rPr>
        <w:t xml:space="preserve">1) </w:t>
      </w:r>
      <w:r w:rsidRPr="00A51A17">
        <w:rPr>
          <w:lang w:val="en-US"/>
        </w:rPr>
        <w:t xml:space="preserve">both PIU and </w:t>
      </w:r>
      <w:r w:rsidRPr="00A51A17">
        <w:rPr>
          <w:bCs/>
          <w:lang w:val="en-US"/>
        </w:rPr>
        <w:t xml:space="preserve">cyberchondria to mediate the relationships between </w:t>
      </w:r>
      <w:r w:rsidR="004E2B94" w:rsidRPr="00A51A17">
        <w:rPr>
          <w:bCs/>
          <w:lang w:val="en-US"/>
        </w:rPr>
        <w:t>intolerance of uncertainty</w:t>
      </w:r>
      <w:r w:rsidR="004E2B94" w:rsidRPr="00A51A17">
        <w:rPr>
          <w:lang w:val="en-US"/>
        </w:rPr>
        <w:t xml:space="preserve"> </w:t>
      </w:r>
      <w:r w:rsidRPr="00A51A17">
        <w:rPr>
          <w:bCs/>
          <w:lang w:val="en-US"/>
        </w:rPr>
        <w:t xml:space="preserve">and psychological distress given that they may act as maladaptive </w:t>
      </w:r>
      <w:r w:rsidR="00F27994" w:rsidRPr="00A51A17">
        <w:rPr>
          <w:bCs/>
          <w:lang w:val="en-US"/>
        </w:rPr>
        <w:t>uncertainty</w:t>
      </w:r>
      <w:r w:rsidR="00374EC5" w:rsidRPr="00A51A17">
        <w:rPr>
          <w:bCs/>
          <w:lang w:val="en-US"/>
        </w:rPr>
        <w:t>-reducing</w:t>
      </w:r>
      <w:r w:rsidRPr="00A51A17">
        <w:rPr>
          <w:bCs/>
          <w:lang w:val="en-US"/>
        </w:rPr>
        <w:t xml:space="preserve"> </w:t>
      </w:r>
      <w:r w:rsidR="00374EC5" w:rsidRPr="00A51A17">
        <w:rPr>
          <w:bCs/>
          <w:lang w:val="en-US"/>
        </w:rPr>
        <w:t>behaviors</w:t>
      </w:r>
      <w:r w:rsidRPr="00A51A17">
        <w:rPr>
          <w:bCs/>
          <w:lang w:val="en-US"/>
        </w:rPr>
        <w:t xml:space="preserve"> ultimately increasing psychological distress (Bottesi et al., 2019a). We also expected </w:t>
      </w:r>
      <w:r w:rsidR="004E2B94" w:rsidRPr="00A51A17">
        <w:rPr>
          <w:bCs/>
          <w:lang w:val="en-US"/>
        </w:rPr>
        <w:t>(</w:t>
      </w:r>
      <w:r w:rsidR="0038542C" w:rsidRPr="00A51A17">
        <w:rPr>
          <w:bCs/>
          <w:lang w:val="en-US"/>
        </w:rPr>
        <w:t xml:space="preserve">hypothesis </w:t>
      </w:r>
      <w:r w:rsidR="004E2B94" w:rsidRPr="00A51A17">
        <w:rPr>
          <w:bCs/>
          <w:lang w:val="en-US"/>
        </w:rPr>
        <w:t xml:space="preserve">2) </w:t>
      </w:r>
      <w:r w:rsidRPr="00A51A17">
        <w:rPr>
          <w:bCs/>
          <w:lang w:val="en-US"/>
        </w:rPr>
        <w:t xml:space="preserve">to confirm the role of cyberchondria as a maintenance factor involved in the path from </w:t>
      </w:r>
      <w:r w:rsidR="004E2B94" w:rsidRPr="00A51A17">
        <w:rPr>
          <w:bCs/>
          <w:lang w:val="en-US"/>
        </w:rPr>
        <w:t>intolerance of uncertainty</w:t>
      </w:r>
      <w:r w:rsidR="004E2B94" w:rsidRPr="00A51A17">
        <w:rPr>
          <w:lang w:val="en-US"/>
        </w:rPr>
        <w:t xml:space="preserve"> </w:t>
      </w:r>
      <w:r w:rsidRPr="00A51A17">
        <w:rPr>
          <w:bCs/>
          <w:lang w:val="en-US"/>
        </w:rPr>
        <w:t>and HA (</w:t>
      </w:r>
      <w:r w:rsidR="00374EC5" w:rsidRPr="00A51A17">
        <w:rPr>
          <w:bCs/>
          <w:lang w:val="en-US"/>
        </w:rPr>
        <w:t>e.g., Fergus, 2013</w:t>
      </w:r>
      <w:r w:rsidRPr="00A51A17">
        <w:rPr>
          <w:bCs/>
          <w:lang w:val="en-US"/>
        </w:rPr>
        <w:t xml:space="preserve">). </w:t>
      </w:r>
      <w:r w:rsidR="009138AE" w:rsidRPr="00A51A17">
        <w:rPr>
          <w:bCs/>
          <w:lang w:val="en-US"/>
        </w:rPr>
        <w:t>Moreover, we expect</w:t>
      </w:r>
      <w:r w:rsidR="00F508E1" w:rsidRPr="00A51A17">
        <w:rPr>
          <w:bCs/>
          <w:lang w:val="en-US"/>
        </w:rPr>
        <w:t>ed</w:t>
      </w:r>
      <w:r w:rsidR="009138AE" w:rsidRPr="00A51A17">
        <w:rPr>
          <w:bCs/>
          <w:lang w:val="en-US"/>
        </w:rPr>
        <w:t xml:space="preserve"> </w:t>
      </w:r>
      <w:r w:rsidR="004E2B94" w:rsidRPr="00A51A17">
        <w:rPr>
          <w:bCs/>
          <w:lang w:val="en-US"/>
        </w:rPr>
        <w:t>(</w:t>
      </w:r>
      <w:r w:rsidR="0038542C" w:rsidRPr="00A51A17">
        <w:rPr>
          <w:bCs/>
          <w:lang w:val="en-US"/>
        </w:rPr>
        <w:t xml:space="preserve">hypothesis </w:t>
      </w:r>
      <w:r w:rsidR="004E2B94" w:rsidRPr="00A51A17">
        <w:rPr>
          <w:bCs/>
          <w:lang w:val="en-US"/>
        </w:rPr>
        <w:t xml:space="preserve">3) </w:t>
      </w:r>
      <w:r w:rsidR="009138AE" w:rsidRPr="00A51A17">
        <w:rPr>
          <w:bCs/>
          <w:lang w:val="en-US"/>
        </w:rPr>
        <w:t xml:space="preserve">that PIU </w:t>
      </w:r>
      <w:r w:rsidR="00F508E1" w:rsidRPr="00A51A17">
        <w:rPr>
          <w:bCs/>
          <w:lang w:val="en-US"/>
        </w:rPr>
        <w:t>would</w:t>
      </w:r>
      <w:r w:rsidR="009138AE" w:rsidRPr="00A51A17">
        <w:rPr>
          <w:bCs/>
          <w:lang w:val="en-US"/>
        </w:rPr>
        <w:t xml:space="preserve"> </w:t>
      </w:r>
      <w:r w:rsidR="00F508E1" w:rsidRPr="00A51A17">
        <w:rPr>
          <w:bCs/>
          <w:lang w:val="en-US"/>
        </w:rPr>
        <w:t xml:space="preserve">mediate </w:t>
      </w:r>
      <w:r w:rsidR="009138AE" w:rsidRPr="00A51A17">
        <w:rPr>
          <w:bCs/>
          <w:lang w:val="en-US"/>
        </w:rPr>
        <w:t xml:space="preserve">the relationship between </w:t>
      </w:r>
      <w:r w:rsidR="004E2B94" w:rsidRPr="00A51A17">
        <w:rPr>
          <w:bCs/>
          <w:lang w:val="en-US"/>
        </w:rPr>
        <w:t>intolerance of uncertainty</w:t>
      </w:r>
      <w:r w:rsidR="004E2B94" w:rsidRPr="00A51A17">
        <w:rPr>
          <w:lang w:val="en-US"/>
        </w:rPr>
        <w:t xml:space="preserve"> </w:t>
      </w:r>
      <w:r w:rsidR="009138AE" w:rsidRPr="00A51A17">
        <w:rPr>
          <w:bCs/>
          <w:lang w:val="en-US"/>
        </w:rPr>
        <w:t xml:space="preserve">and psychological distress, as </w:t>
      </w:r>
      <w:r w:rsidR="004E2B94" w:rsidRPr="00A51A17">
        <w:rPr>
          <w:bCs/>
          <w:lang w:val="en-US"/>
        </w:rPr>
        <w:t>intolerance of uncertainty</w:t>
      </w:r>
      <w:r w:rsidR="004E2B94" w:rsidRPr="00A51A17">
        <w:rPr>
          <w:lang w:val="en-US"/>
        </w:rPr>
        <w:t xml:space="preserve"> </w:t>
      </w:r>
      <w:r w:rsidR="009138AE" w:rsidRPr="00A51A17">
        <w:rPr>
          <w:bCs/>
          <w:lang w:val="en-US"/>
        </w:rPr>
        <w:t xml:space="preserve">and PIU </w:t>
      </w:r>
      <w:r w:rsidR="0061774E" w:rsidRPr="00A51A17">
        <w:rPr>
          <w:bCs/>
          <w:lang w:val="en-US"/>
        </w:rPr>
        <w:t xml:space="preserve">are positively </w:t>
      </w:r>
      <w:r w:rsidR="00F508E1" w:rsidRPr="00A51A17">
        <w:rPr>
          <w:bCs/>
          <w:lang w:val="en-US"/>
        </w:rPr>
        <w:t>associated</w:t>
      </w:r>
      <w:r w:rsidR="0061774E" w:rsidRPr="00A51A17">
        <w:rPr>
          <w:bCs/>
          <w:lang w:val="en-US"/>
        </w:rPr>
        <w:t xml:space="preserve"> (e.g., Faghani et al., 2020) and the role of PIU in worsening the levels of psychological well-being is well established (e.g., Ho et al., 2014)</w:t>
      </w:r>
      <w:r w:rsidR="009138AE" w:rsidRPr="00A51A17">
        <w:rPr>
          <w:bCs/>
          <w:lang w:val="en-US"/>
        </w:rPr>
        <w:t xml:space="preserve">. </w:t>
      </w:r>
      <w:r w:rsidRPr="00A51A17">
        <w:rPr>
          <w:bCs/>
          <w:lang w:val="en-US"/>
        </w:rPr>
        <w:t>The COVID-19</w:t>
      </w:r>
      <w:r w:rsidR="00374EC5" w:rsidRPr="00A51A17">
        <w:rPr>
          <w:bCs/>
          <w:lang w:val="en-US"/>
        </w:rPr>
        <w:t xml:space="preserve"> outbreak</w:t>
      </w:r>
      <w:r w:rsidRPr="00A51A17">
        <w:rPr>
          <w:bCs/>
          <w:lang w:val="en-US"/>
        </w:rPr>
        <w:t xml:space="preserve"> gave us the unique opportunity to test the same </w:t>
      </w:r>
      <w:r w:rsidR="00374EC5" w:rsidRPr="00A51A17">
        <w:rPr>
          <w:bCs/>
          <w:lang w:val="en-US"/>
        </w:rPr>
        <w:t>hypotheses</w:t>
      </w:r>
      <w:r w:rsidRPr="00A51A17">
        <w:rPr>
          <w:bCs/>
          <w:lang w:val="en-US"/>
        </w:rPr>
        <w:t xml:space="preserve"> in </w:t>
      </w:r>
      <w:r w:rsidR="00374EC5" w:rsidRPr="00A51A17">
        <w:rPr>
          <w:bCs/>
          <w:lang w:val="en-US"/>
        </w:rPr>
        <w:t>circumstances characterized by</w:t>
      </w:r>
      <w:r w:rsidR="00374EC5" w:rsidRPr="00A51A17">
        <w:rPr>
          <w:lang w:val="en-US"/>
        </w:rPr>
        <w:t xml:space="preserve"> </w:t>
      </w:r>
      <w:r w:rsidR="00374EC5" w:rsidRPr="00A51A17">
        <w:rPr>
          <w:bCs/>
          <w:lang w:val="en-US"/>
        </w:rPr>
        <w:t>pervasive and enduring uncertainty. Therefore, we investigated the</w:t>
      </w:r>
      <w:r w:rsidR="00FD195A" w:rsidRPr="00A51A17">
        <w:rPr>
          <w:bCs/>
          <w:lang w:val="en-US"/>
        </w:rPr>
        <w:t xml:space="preserve"> </w:t>
      </w:r>
      <w:r w:rsidR="00374EC5" w:rsidRPr="00A51A17">
        <w:rPr>
          <w:bCs/>
          <w:lang w:val="en-US"/>
        </w:rPr>
        <w:t xml:space="preserve">associations between </w:t>
      </w:r>
      <w:r w:rsidR="00AE5B13" w:rsidRPr="00A51A17">
        <w:rPr>
          <w:bCs/>
          <w:lang w:val="en-US"/>
        </w:rPr>
        <w:t xml:space="preserve">these </w:t>
      </w:r>
      <w:r w:rsidR="00374EC5" w:rsidRPr="00A51A17">
        <w:rPr>
          <w:bCs/>
          <w:lang w:val="en-US"/>
        </w:rPr>
        <w:t xml:space="preserve">constructs in two large non-clinical samples of Italian individuals, the first one recruited in non-pandemic times and the second one during the </w:t>
      </w:r>
      <w:r w:rsidR="00374EC5" w:rsidRPr="00A51A17">
        <w:rPr>
          <w:lang w:val="en-US"/>
        </w:rPr>
        <w:t>Italian C</w:t>
      </w:r>
      <w:r w:rsidR="00CC3901" w:rsidRPr="00A51A17">
        <w:rPr>
          <w:lang w:val="en-US"/>
        </w:rPr>
        <w:t>OVID</w:t>
      </w:r>
      <w:r w:rsidR="00374EC5" w:rsidRPr="00A51A17">
        <w:rPr>
          <w:lang w:val="en-US"/>
        </w:rPr>
        <w:t>-19 lockdown.</w:t>
      </w:r>
    </w:p>
    <w:p w14:paraId="200F5E12" w14:textId="63F5EFF0" w:rsidR="00173B94" w:rsidRPr="00A51A17" w:rsidRDefault="00447415" w:rsidP="00EC7E64">
      <w:pPr>
        <w:spacing w:line="480" w:lineRule="auto"/>
        <w:rPr>
          <w:b/>
          <w:lang w:val="en-US"/>
        </w:rPr>
      </w:pPr>
      <w:r w:rsidRPr="00A51A17">
        <w:rPr>
          <w:b/>
          <w:lang w:val="en-US"/>
        </w:rPr>
        <w:t>Material</w:t>
      </w:r>
      <w:r w:rsidR="00FC7C7A" w:rsidRPr="00A51A17">
        <w:rPr>
          <w:b/>
          <w:lang w:val="en-US"/>
        </w:rPr>
        <w:t>s</w:t>
      </w:r>
      <w:r w:rsidRPr="00A51A17">
        <w:rPr>
          <w:b/>
          <w:lang w:val="en-US"/>
        </w:rPr>
        <w:t xml:space="preserve"> and Methods</w:t>
      </w:r>
    </w:p>
    <w:p w14:paraId="6012BD58" w14:textId="6D02AEBD" w:rsidR="00447415" w:rsidRPr="00A51A17" w:rsidRDefault="00447415" w:rsidP="00EC7E64">
      <w:pPr>
        <w:suppressAutoHyphens/>
        <w:spacing w:line="480" w:lineRule="auto"/>
        <w:rPr>
          <w:bCs/>
          <w:i/>
          <w:lang w:val="en-US"/>
        </w:rPr>
      </w:pPr>
      <w:r w:rsidRPr="00A51A17">
        <w:rPr>
          <w:bCs/>
          <w:i/>
          <w:lang w:val="en-US"/>
        </w:rPr>
        <w:t>Participants and Procedure</w:t>
      </w:r>
    </w:p>
    <w:p w14:paraId="00694AC3" w14:textId="0650B49A" w:rsidR="001617DE" w:rsidRPr="00A51A17" w:rsidRDefault="000E3E26" w:rsidP="00EC7E64">
      <w:pPr>
        <w:spacing w:line="480" w:lineRule="auto"/>
        <w:ind w:firstLine="567"/>
        <w:rPr>
          <w:lang w:val="en-US"/>
        </w:rPr>
      </w:pPr>
      <w:r w:rsidRPr="00A51A17">
        <w:rPr>
          <w:lang w:val="en-US"/>
        </w:rPr>
        <w:t xml:space="preserve">Two </w:t>
      </w:r>
      <w:r w:rsidR="00B97FD3" w:rsidRPr="00A51A17">
        <w:rPr>
          <w:lang w:val="en-US"/>
        </w:rPr>
        <w:t>distinct</w:t>
      </w:r>
      <w:r w:rsidRPr="00A51A17">
        <w:rPr>
          <w:lang w:val="en-US"/>
        </w:rPr>
        <w:t xml:space="preserve"> samples were used for the purpose of the present study. Sample 1 was recruited before the Italian </w:t>
      </w:r>
      <w:r w:rsidR="00CC3901" w:rsidRPr="00A51A17">
        <w:rPr>
          <w:lang w:val="en-US"/>
        </w:rPr>
        <w:t xml:space="preserve">COVID-19 </w:t>
      </w:r>
      <w:r w:rsidRPr="00A51A17">
        <w:rPr>
          <w:lang w:val="en-US"/>
        </w:rPr>
        <w:t>lockdown via an online questionnaire, available from September 2019 to February 2020. A total of 567</w:t>
      </w:r>
      <w:r w:rsidR="00037902" w:rsidRPr="00A51A17">
        <w:rPr>
          <w:lang w:val="en-US"/>
        </w:rPr>
        <w:t xml:space="preserve"> adults participated in this study. </w:t>
      </w:r>
      <w:r w:rsidR="00417B76" w:rsidRPr="00A51A17">
        <w:rPr>
          <w:lang w:val="en-US"/>
        </w:rPr>
        <w:t>Five</w:t>
      </w:r>
      <w:r w:rsidR="00037902" w:rsidRPr="00A51A17">
        <w:rPr>
          <w:lang w:val="en-US"/>
        </w:rPr>
        <w:t xml:space="preserve"> participants were excluded as they </w:t>
      </w:r>
      <w:r w:rsidRPr="00A51A17">
        <w:rPr>
          <w:lang w:val="en-US"/>
        </w:rPr>
        <w:t>did not complete the questionnaire.</w:t>
      </w:r>
      <w:r w:rsidR="00A67C92" w:rsidRPr="00A51A17">
        <w:rPr>
          <w:lang w:val="en-US"/>
        </w:rPr>
        <w:t xml:space="preserve"> </w:t>
      </w:r>
      <w:r w:rsidR="005811EC" w:rsidRPr="00A51A17">
        <w:rPr>
          <w:lang w:val="en-US"/>
        </w:rPr>
        <w:t xml:space="preserve">Six </w:t>
      </w:r>
      <w:r w:rsidR="00A67C92" w:rsidRPr="00A51A17">
        <w:rPr>
          <w:lang w:val="en-US"/>
        </w:rPr>
        <w:t xml:space="preserve">participants were excluded as they reported to have a serious disease (such as, </w:t>
      </w:r>
      <w:r w:rsidR="005811EC" w:rsidRPr="00A51A17">
        <w:rPr>
          <w:lang w:val="en-US"/>
        </w:rPr>
        <w:t>cancer and multiple sclerosis</w:t>
      </w:r>
      <w:r w:rsidR="00A67C92" w:rsidRPr="00A51A17">
        <w:rPr>
          <w:lang w:val="en-US"/>
        </w:rPr>
        <w:t xml:space="preserve">). </w:t>
      </w:r>
      <w:r w:rsidRPr="00A51A17">
        <w:rPr>
          <w:lang w:val="en-US"/>
        </w:rPr>
        <w:t>Therefore, t</w:t>
      </w:r>
      <w:r w:rsidR="00037902" w:rsidRPr="00A51A17">
        <w:rPr>
          <w:lang w:val="en-US"/>
        </w:rPr>
        <w:t xml:space="preserve">he final sample comprised </w:t>
      </w:r>
      <w:r w:rsidRPr="00A51A17">
        <w:rPr>
          <w:lang w:val="en-US"/>
        </w:rPr>
        <w:t>5</w:t>
      </w:r>
      <w:r w:rsidR="005811EC" w:rsidRPr="00A51A17">
        <w:rPr>
          <w:lang w:val="en-US"/>
        </w:rPr>
        <w:t>5</w:t>
      </w:r>
      <w:r w:rsidR="00417B76" w:rsidRPr="00A51A17">
        <w:rPr>
          <w:lang w:val="en-US"/>
        </w:rPr>
        <w:t>6</w:t>
      </w:r>
      <w:r w:rsidR="001D51F3" w:rsidRPr="00A51A17">
        <w:rPr>
          <w:lang w:val="en-US"/>
        </w:rPr>
        <w:t xml:space="preserve"> </w:t>
      </w:r>
      <w:r w:rsidR="00037902" w:rsidRPr="00A51A17">
        <w:rPr>
          <w:lang w:val="en-US"/>
        </w:rPr>
        <w:t xml:space="preserve">participants </w:t>
      </w:r>
      <w:r w:rsidR="00173B94" w:rsidRPr="00A51A17">
        <w:rPr>
          <w:lang w:val="en-US"/>
        </w:rPr>
        <w:t>(</w:t>
      </w:r>
      <w:r w:rsidRPr="00A51A17">
        <w:rPr>
          <w:lang w:val="en-US"/>
        </w:rPr>
        <w:t>69.3</w:t>
      </w:r>
      <w:r w:rsidR="001D51F3" w:rsidRPr="00A51A17">
        <w:rPr>
          <w:lang w:val="en-US"/>
        </w:rPr>
        <w:t>% females</w:t>
      </w:r>
      <w:r w:rsidR="00173B94" w:rsidRPr="00A51A17">
        <w:rPr>
          <w:lang w:val="en-US"/>
        </w:rPr>
        <w:t>, M</w:t>
      </w:r>
      <w:r w:rsidR="00173B94" w:rsidRPr="00A51A17">
        <w:rPr>
          <w:vertAlign w:val="subscript"/>
          <w:lang w:val="en-US"/>
        </w:rPr>
        <w:t>age</w:t>
      </w:r>
      <w:r w:rsidR="003155E6" w:rsidRPr="00A51A17">
        <w:rPr>
          <w:lang w:val="en-US"/>
        </w:rPr>
        <w:t xml:space="preserve"> </w:t>
      </w:r>
      <w:r w:rsidR="001D51F3" w:rsidRPr="00A51A17">
        <w:rPr>
          <w:lang w:val="en-US"/>
        </w:rPr>
        <w:t>2</w:t>
      </w:r>
      <w:r w:rsidRPr="00A51A17">
        <w:rPr>
          <w:lang w:val="en-US"/>
        </w:rPr>
        <w:t>9</w:t>
      </w:r>
      <w:r w:rsidR="003155E6" w:rsidRPr="00A51A17">
        <w:rPr>
          <w:lang w:val="en-US"/>
        </w:rPr>
        <w:t>.</w:t>
      </w:r>
      <w:r w:rsidR="005811EC" w:rsidRPr="00A51A17">
        <w:rPr>
          <w:lang w:val="en-US"/>
        </w:rPr>
        <w:t>6</w:t>
      </w:r>
      <w:r w:rsidR="00E34C97" w:rsidRPr="00A51A17">
        <w:rPr>
          <w:lang w:val="en-US"/>
        </w:rPr>
        <w:t xml:space="preserve"> years, </w:t>
      </w:r>
      <w:r w:rsidR="00173B94" w:rsidRPr="00A51A17">
        <w:rPr>
          <w:lang w:val="en-US"/>
        </w:rPr>
        <w:t>SD</w:t>
      </w:r>
      <w:r w:rsidR="003155E6" w:rsidRPr="00A51A17">
        <w:rPr>
          <w:lang w:val="en-US"/>
        </w:rPr>
        <w:t>=</w:t>
      </w:r>
      <w:r w:rsidRPr="00A51A17">
        <w:rPr>
          <w:lang w:val="en-US"/>
        </w:rPr>
        <w:t>13</w:t>
      </w:r>
      <w:r w:rsidR="003155E6" w:rsidRPr="00A51A17">
        <w:rPr>
          <w:lang w:val="en-US"/>
        </w:rPr>
        <w:t>.</w:t>
      </w:r>
      <w:r w:rsidR="005811EC" w:rsidRPr="00A51A17">
        <w:rPr>
          <w:lang w:val="en-US"/>
        </w:rPr>
        <w:t>2</w:t>
      </w:r>
      <w:r w:rsidR="003155E6" w:rsidRPr="00A51A17">
        <w:rPr>
          <w:lang w:val="en-US"/>
        </w:rPr>
        <w:t>, range 1</w:t>
      </w:r>
      <w:r w:rsidR="00B96BD5" w:rsidRPr="00A51A17">
        <w:rPr>
          <w:lang w:val="en-US"/>
        </w:rPr>
        <w:t>8</w:t>
      </w:r>
      <w:r w:rsidR="00B66188" w:rsidRPr="00A51A17">
        <w:rPr>
          <w:lang w:val="en-US"/>
        </w:rPr>
        <w:t>-</w:t>
      </w:r>
      <w:r w:rsidR="00DF1390" w:rsidRPr="00A51A17">
        <w:rPr>
          <w:lang w:val="en-US"/>
        </w:rPr>
        <w:t>72</w:t>
      </w:r>
      <w:r w:rsidR="00173B94" w:rsidRPr="00A51A17">
        <w:rPr>
          <w:lang w:val="en-US"/>
        </w:rPr>
        <w:t>)</w:t>
      </w:r>
      <w:r w:rsidR="00187DAF" w:rsidRPr="00A51A17">
        <w:rPr>
          <w:lang w:val="en-US"/>
        </w:rPr>
        <w:t xml:space="preserve">. </w:t>
      </w:r>
      <w:r w:rsidR="00CF11F3" w:rsidRPr="00A51A17">
        <w:rPr>
          <w:lang w:val="en-US"/>
        </w:rPr>
        <w:t>The 1</w:t>
      </w:r>
      <w:r w:rsidR="00B97FD3" w:rsidRPr="00A51A17">
        <w:rPr>
          <w:lang w:val="en-US"/>
        </w:rPr>
        <w:t>2</w:t>
      </w:r>
      <w:r w:rsidR="00A67C92" w:rsidRPr="00A51A17">
        <w:rPr>
          <w:lang w:val="en-US"/>
        </w:rPr>
        <w:t>.</w:t>
      </w:r>
      <w:r w:rsidR="00B97FD3" w:rsidRPr="00A51A17">
        <w:rPr>
          <w:lang w:val="en-US"/>
        </w:rPr>
        <w:t>9</w:t>
      </w:r>
      <w:r w:rsidR="00CF11F3" w:rsidRPr="00A51A17">
        <w:rPr>
          <w:lang w:val="en-US"/>
        </w:rPr>
        <w:t>% of the sample reported a common health condition, such as</w:t>
      </w:r>
      <w:r w:rsidR="00A67C92" w:rsidRPr="00A51A17">
        <w:rPr>
          <w:lang w:val="en-US"/>
        </w:rPr>
        <w:t xml:space="preserve"> arthritis, hypothyroidism, and</w:t>
      </w:r>
      <w:r w:rsidR="00B97FD3" w:rsidRPr="00A51A17">
        <w:rPr>
          <w:lang w:val="en-US"/>
        </w:rPr>
        <w:t xml:space="preserve"> asthma</w:t>
      </w:r>
      <w:r w:rsidR="00CF11F3" w:rsidRPr="00A51A17">
        <w:rPr>
          <w:lang w:val="en-US"/>
        </w:rPr>
        <w:t xml:space="preserve">. </w:t>
      </w:r>
      <w:r w:rsidR="00B97FD3" w:rsidRPr="00A51A17">
        <w:rPr>
          <w:lang w:val="en-US"/>
        </w:rPr>
        <w:t>45% of r</w:t>
      </w:r>
      <w:r w:rsidR="001617DE" w:rsidRPr="00A51A17">
        <w:rPr>
          <w:lang w:val="en-US"/>
        </w:rPr>
        <w:t xml:space="preserve">espondents were university students </w:t>
      </w:r>
      <w:r w:rsidR="00B97FD3" w:rsidRPr="00A51A17">
        <w:rPr>
          <w:lang w:val="en-US"/>
        </w:rPr>
        <w:t>and</w:t>
      </w:r>
      <w:r w:rsidR="001617DE" w:rsidRPr="00A51A17">
        <w:rPr>
          <w:lang w:val="en-US"/>
        </w:rPr>
        <w:t xml:space="preserve"> </w:t>
      </w:r>
      <w:r w:rsidR="00B97FD3" w:rsidRPr="00A51A17">
        <w:rPr>
          <w:lang w:val="en-US"/>
        </w:rPr>
        <w:t>41% workers, whereas the remaining</w:t>
      </w:r>
      <w:r w:rsidR="001617DE" w:rsidRPr="00A51A17">
        <w:rPr>
          <w:lang w:val="en-US"/>
        </w:rPr>
        <w:t xml:space="preserve"> </w:t>
      </w:r>
      <w:r w:rsidR="00B97FD3" w:rsidRPr="00A51A17">
        <w:rPr>
          <w:lang w:val="en-US"/>
        </w:rPr>
        <w:t xml:space="preserve">were </w:t>
      </w:r>
      <w:r w:rsidR="001617DE" w:rsidRPr="00A51A17">
        <w:rPr>
          <w:lang w:val="en-US"/>
        </w:rPr>
        <w:t>unemployed</w:t>
      </w:r>
      <w:r w:rsidR="00EC2DE6" w:rsidRPr="00A51A17">
        <w:rPr>
          <w:lang w:val="en-US"/>
        </w:rPr>
        <w:t xml:space="preserve">, housewife </w:t>
      </w:r>
      <w:r w:rsidR="00B97FD3" w:rsidRPr="00A51A17">
        <w:rPr>
          <w:lang w:val="en-US"/>
        </w:rPr>
        <w:t>or retired.</w:t>
      </w:r>
      <w:r w:rsidR="00B234AB" w:rsidRPr="00A51A17">
        <w:rPr>
          <w:lang w:val="en-US"/>
        </w:rPr>
        <w:t xml:space="preserve"> With regards to marital status, 26.1% of the sample reported to be married, 70.5% to be single, and the remaining were divorced or widowed.</w:t>
      </w:r>
    </w:p>
    <w:p w14:paraId="3830719B" w14:textId="21ADA12F" w:rsidR="0002573C" w:rsidRPr="00A51A17" w:rsidRDefault="00B97FD3" w:rsidP="00EC7E64">
      <w:pPr>
        <w:spacing w:line="480" w:lineRule="auto"/>
        <w:ind w:firstLine="567"/>
        <w:rPr>
          <w:lang w:val="en-US"/>
        </w:rPr>
      </w:pPr>
      <w:r w:rsidRPr="00A51A17">
        <w:rPr>
          <w:lang w:val="en-US"/>
        </w:rPr>
        <w:t xml:space="preserve">Sample 2 was recruited during the Italian </w:t>
      </w:r>
      <w:r w:rsidR="00CC3901" w:rsidRPr="00A51A17">
        <w:rPr>
          <w:lang w:val="en-US"/>
        </w:rPr>
        <w:t xml:space="preserve">COVID-19 </w:t>
      </w:r>
      <w:r w:rsidRPr="00A51A17">
        <w:rPr>
          <w:lang w:val="en-US"/>
        </w:rPr>
        <w:t>lockdown via an online questionnaire, available from March 2020 to May 2020. A total of 5</w:t>
      </w:r>
      <w:r w:rsidR="009A244D" w:rsidRPr="00A51A17">
        <w:rPr>
          <w:lang w:val="en-US"/>
        </w:rPr>
        <w:t>82</w:t>
      </w:r>
      <w:r w:rsidRPr="00A51A17">
        <w:rPr>
          <w:lang w:val="en-US"/>
        </w:rPr>
        <w:t xml:space="preserve"> adults participated in this study. </w:t>
      </w:r>
      <w:r w:rsidR="00417B76" w:rsidRPr="00A51A17">
        <w:rPr>
          <w:lang w:val="en-US"/>
        </w:rPr>
        <w:t xml:space="preserve">Four </w:t>
      </w:r>
      <w:r w:rsidRPr="00A51A17">
        <w:rPr>
          <w:lang w:val="en-US"/>
        </w:rPr>
        <w:t xml:space="preserve">participants were excluded as they did not complete the questionnaire. </w:t>
      </w:r>
      <w:r w:rsidR="009A244D" w:rsidRPr="00A51A17">
        <w:rPr>
          <w:lang w:val="en-US"/>
        </w:rPr>
        <w:t>Four</w:t>
      </w:r>
      <w:r w:rsidRPr="00A51A17">
        <w:rPr>
          <w:lang w:val="en-US"/>
        </w:rPr>
        <w:t xml:space="preserve"> participants were excluded as they reported to have a serious disease (such as, cancer and </w:t>
      </w:r>
      <w:r w:rsidR="009A244D" w:rsidRPr="00A51A17">
        <w:rPr>
          <w:lang w:val="en-US"/>
        </w:rPr>
        <w:t>genetic disease</w:t>
      </w:r>
      <w:r w:rsidRPr="00A51A17">
        <w:rPr>
          <w:lang w:val="en-US"/>
        </w:rPr>
        <w:t>).  Therefore, the final sample comprised 5</w:t>
      </w:r>
      <w:r w:rsidR="009A244D" w:rsidRPr="00A51A17">
        <w:rPr>
          <w:lang w:val="en-US"/>
        </w:rPr>
        <w:t>7</w:t>
      </w:r>
      <w:r w:rsidR="00417B76" w:rsidRPr="00A51A17">
        <w:rPr>
          <w:lang w:val="en-US"/>
        </w:rPr>
        <w:t>5</w:t>
      </w:r>
      <w:r w:rsidRPr="00A51A17">
        <w:rPr>
          <w:lang w:val="en-US"/>
        </w:rPr>
        <w:t xml:space="preserve"> participants (</w:t>
      </w:r>
      <w:r w:rsidR="00EC2DE6" w:rsidRPr="00A51A17">
        <w:rPr>
          <w:lang w:val="en-US"/>
        </w:rPr>
        <w:t>74</w:t>
      </w:r>
      <w:r w:rsidRPr="00A51A17">
        <w:rPr>
          <w:lang w:val="en-US"/>
        </w:rPr>
        <w:t>% females, M</w:t>
      </w:r>
      <w:r w:rsidRPr="00A51A17">
        <w:rPr>
          <w:vertAlign w:val="subscript"/>
          <w:lang w:val="en-US"/>
        </w:rPr>
        <w:t>age</w:t>
      </w:r>
      <w:r w:rsidRPr="00A51A17">
        <w:rPr>
          <w:lang w:val="en-US"/>
        </w:rPr>
        <w:t xml:space="preserve"> </w:t>
      </w:r>
      <w:r w:rsidR="00EC2DE6" w:rsidRPr="00A51A17">
        <w:rPr>
          <w:lang w:val="en-US"/>
        </w:rPr>
        <w:t>31</w:t>
      </w:r>
      <w:r w:rsidRPr="00A51A17">
        <w:rPr>
          <w:lang w:val="en-US"/>
        </w:rPr>
        <w:t>.</w:t>
      </w:r>
      <w:r w:rsidR="00EC2DE6" w:rsidRPr="00A51A17">
        <w:rPr>
          <w:lang w:val="en-US"/>
        </w:rPr>
        <w:t>9</w:t>
      </w:r>
      <w:r w:rsidRPr="00A51A17">
        <w:rPr>
          <w:lang w:val="en-US"/>
        </w:rPr>
        <w:t xml:space="preserve"> years, SD=13.</w:t>
      </w:r>
      <w:r w:rsidR="00EC2DE6" w:rsidRPr="00A51A17">
        <w:rPr>
          <w:lang w:val="en-US"/>
        </w:rPr>
        <w:t>4</w:t>
      </w:r>
      <w:r w:rsidRPr="00A51A17">
        <w:rPr>
          <w:lang w:val="en-US"/>
        </w:rPr>
        <w:t>, range 18-</w:t>
      </w:r>
      <w:r w:rsidR="00EC2DE6" w:rsidRPr="00A51A17">
        <w:rPr>
          <w:lang w:val="en-US"/>
        </w:rPr>
        <w:t>81</w:t>
      </w:r>
      <w:r w:rsidRPr="00A51A17">
        <w:rPr>
          <w:lang w:val="en-US"/>
        </w:rPr>
        <w:t xml:space="preserve">). The </w:t>
      </w:r>
      <w:r w:rsidR="00EC2DE6" w:rsidRPr="00A51A17">
        <w:rPr>
          <w:lang w:val="en-US"/>
        </w:rPr>
        <w:t>20.1</w:t>
      </w:r>
      <w:r w:rsidRPr="00A51A17">
        <w:rPr>
          <w:lang w:val="en-US"/>
        </w:rPr>
        <w:t xml:space="preserve">% of the sample reported a common health condition, such as </w:t>
      </w:r>
      <w:r w:rsidR="00EC2DE6" w:rsidRPr="00A51A17">
        <w:rPr>
          <w:lang w:val="en-US"/>
        </w:rPr>
        <w:t xml:space="preserve">asthma, </w:t>
      </w:r>
      <w:r w:rsidRPr="00A51A17">
        <w:rPr>
          <w:lang w:val="en-US"/>
        </w:rPr>
        <w:t>arthritis, hypothyroidism, and</w:t>
      </w:r>
      <w:r w:rsidR="00EC2DE6" w:rsidRPr="00A51A17">
        <w:rPr>
          <w:lang w:val="en-US"/>
        </w:rPr>
        <w:t xml:space="preserve"> polycystic ovary</w:t>
      </w:r>
      <w:r w:rsidRPr="00A51A17">
        <w:rPr>
          <w:lang w:val="en-US"/>
        </w:rPr>
        <w:t>. 4</w:t>
      </w:r>
      <w:r w:rsidR="00EC2DE6" w:rsidRPr="00A51A17">
        <w:rPr>
          <w:lang w:val="en-US"/>
        </w:rPr>
        <w:t>2</w:t>
      </w:r>
      <w:r w:rsidRPr="00A51A17">
        <w:rPr>
          <w:lang w:val="en-US"/>
        </w:rPr>
        <w:t xml:space="preserve">% of respondents were university students and </w:t>
      </w:r>
      <w:r w:rsidR="00EC2DE6" w:rsidRPr="00A51A17">
        <w:rPr>
          <w:lang w:val="en-US"/>
        </w:rPr>
        <w:t>33.2</w:t>
      </w:r>
      <w:r w:rsidRPr="00A51A17">
        <w:rPr>
          <w:lang w:val="en-US"/>
        </w:rPr>
        <w:t>% workers, whereas the remaining were unemployed</w:t>
      </w:r>
      <w:r w:rsidR="00EC2DE6" w:rsidRPr="00A51A17">
        <w:rPr>
          <w:lang w:val="en-US"/>
        </w:rPr>
        <w:t>, housewife,</w:t>
      </w:r>
      <w:r w:rsidRPr="00A51A17">
        <w:rPr>
          <w:lang w:val="en-US"/>
        </w:rPr>
        <w:t xml:space="preserve"> or retired.</w:t>
      </w:r>
      <w:r w:rsidR="0017314B" w:rsidRPr="00A51A17">
        <w:rPr>
          <w:lang w:val="en-US"/>
        </w:rPr>
        <w:t xml:space="preserve"> </w:t>
      </w:r>
      <w:r w:rsidR="00B234AB" w:rsidRPr="00A51A17">
        <w:rPr>
          <w:lang w:val="en-US"/>
        </w:rPr>
        <w:t>With regards to marital status, 32.2% of the sample reported to be married, 63.7% to be single, and the remaining were divorced or widowed.</w:t>
      </w:r>
    </w:p>
    <w:p w14:paraId="4B110063" w14:textId="7F29D430" w:rsidR="0002573C" w:rsidRPr="00A51A17" w:rsidRDefault="00A83056" w:rsidP="00EC7E64">
      <w:pPr>
        <w:spacing w:line="480" w:lineRule="auto"/>
        <w:ind w:firstLine="567"/>
        <w:rPr>
          <w:lang w:val="en-US"/>
        </w:rPr>
      </w:pPr>
      <w:r w:rsidRPr="00A51A17">
        <w:rPr>
          <w:lang w:val="en-US"/>
        </w:rPr>
        <w:t xml:space="preserve">The </w:t>
      </w:r>
      <w:r w:rsidR="00434423" w:rsidRPr="00A51A17">
        <w:rPr>
          <w:lang w:val="en-US"/>
        </w:rPr>
        <w:t xml:space="preserve">two </w:t>
      </w:r>
      <w:r w:rsidR="00A03147" w:rsidRPr="00A51A17">
        <w:rPr>
          <w:lang w:val="en-US"/>
        </w:rPr>
        <w:t xml:space="preserve">distinct </w:t>
      </w:r>
      <w:r w:rsidRPr="00A51A17">
        <w:rPr>
          <w:lang w:val="en-US"/>
        </w:rPr>
        <w:t>sample</w:t>
      </w:r>
      <w:r w:rsidR="00434423" w:rsidRPr="00A51A17">
        <w:rPr>
          <w:lang w:val="en-US"/>
        </w:rPr>
        <w:t>s</w:t>
      </w:r>
      <w:r w:rsidRPr="00A51A17">
        <w:rPr>
          <w:lang w:val="en-US"/>
        </w:rPr>
        <w:t xml:space="preserve"> w</w:t>
      </w:r>
      <w:r w:rsidR="00434423" w:rsidRPr="00A51A17">
        <w:rPr>
          <w:lang w:val="en-US"/>
        </w:rPr>
        <w:t xml:space="preserve">ere </w:t>
      </w:r>
      <w:r w:rsidRPr="00A51A17">
        <w:rPr>
          <w:lang w:val="en-US"/>
        </w:rPr>
        <w:t>recruited online by sharing the</w:t>
      </w:r>
      <w:r w:rsidR="0002573C" w:rsidRPr="00A51A17">
        <w:rPr>
          <w:lang w:val="en-US"/>
        </w:rPr>
        <w:t xml:space="preserve"> questionnaire</w:t>
      </w:r>
      <w:r w:rsidRPr="00A51A17">
        <w:rPr>
          <w:lang w:val="en-US"/>
        </w:rPr>
        <w:t xml:space="preserve"> link</w:t>
      </w:r>
      <w:r w:rsidR="0017314B" w:rsidRPr="00A51A17">
        <w:rPr>
          <w:lang w:val="en-US"/>
        </w:rPr>
        <w:t>s</w:t>
      </w:r>
      <w:r w:rsidRPr="00A51A17">
        <w:rPr>
          <w:lang w:val="en-US"/>
        </w:rPr>
        <w:t xml:space="preserve"> in social network </w:t>
      </w:r>
      <w:r w:rsidR="00871642" w:rsidRPr="00A51A17">
        <w:rPr>
          <w:lang w:val="en-US"/>
        </w:rPr>
        <w:t xml:space="preserve">sites </w:t>
      </w:r>
      <w:r w:rsidRPr="00A51A17">
        <w:rPr>
          <w:lang w:val="en-US"/>
        </w:rPr>
        <w:t>groups</w:t>
      </w:r>
      <w:r w:rsidR="00093FA3" w:rsidRPr="00A51A17">
        <w:rPr>
          <w:lang w:val="en-US"/>
        </w:rPr>
        <w:t xml:space="preserve"> and platforms (Facebook, Twitter, Instagram, and WhatsApp)</w:t>
      </w:r>
      <w:r w:rsidRPr="00A51A17">
        <w:rPr>
          <w:lang w:val="en-US"/>
        </w:rPr>
        <w:t xml:space="preserve">. </w:t>
      </w:r>
      <w:r w:rsidR="00093FA3" w:rsidRPr="00A51A17">
        <w:rPr>
          <w:lang w:val="en-US"/>
        </w:rPr>
        <w:t xml:space="preserve">All participants entered the study on a voluntary basis and no incentives were offered for participation. </w:t>
      </w:r>
      <w:r w:rsidRPr="00A51A17">
        <w:rPr>
          <w:lang w:val="en-US"/>
        </w:rPr>
        <w:t xml:space="preserve">Participants were asked to give their consent in the first page of the study website, which explained the purpose of the study and assured the </w:t>
      </w:r>
      <w:r w:rsidR="00D63592" w:rsidRPr="00A51A17">
        <w:rPr>
          <w:lang w:val="en-US"/>
        </w:rPr>
        <w:t>confidentiality</w:t>
      </w:r>
      <w:r w:rsidRPr="00A51A17">
        <w:rPr>
          <w:lang w:val="en-US"/>
        </w:rPr>
        <w:t xml:space="preserve"> of the responses. Participants were then directed to a second page containing demographic information and a series of self-report scales. </w:t>
      </w:r>
      <w:r w:rsidR="0002573C" w:rsidRPr="00A51A17">
        <w:rPr>
          <w:lang w:val="en-US"/>
        </w:rPr>
        <w:t xml:space="preserve">The same questionnaire was completed by the two distinct samples. However, additional questions about </w:t>
      </w:r>
      <w:r w:rsidR="00CC3901" w:rsidRPr="00A51A17">
        <w:rPr>
          <w:lang w:val="en-US"/>
        </w:rPr>
        <w:t xml:space="preserve">COVID-19 </w:t>
      </w:r>
      <w:r w:rsidR="0002573C" w:rsidRPr="00A51A17">
        <w:rPr>
          <w:lang w:val="en-US"/>
        </w:rPr>
        <w:t xml:space="preserve">experience were added to the questionnaire completed by Sample 2 (see Measures section). </w:t>
      </w:r>
    </w:p>
    <w:p w14:paraId="0368A8C1" w14:textId="5580C345" w:rsidR="00BE3415" w:rsidRPr="00A51A17" w:rsidRDefault="00BE3415" w:rsidP="00EC7E64">
      <w:pPr>
        <w:spacing w:line="480" w:lineRule="auto"/>
        <w:ind w:firstLine="567"/>
        <w:rPr>
          <w:lang w:val="en-US"/>
        </w:rPr>
      </w:pPr>
      <w:r w:rsidRPr="00A51A17">
        <w:rPr>
          <w:lang w:val="en-US"/>
        </w:rPr>
        <w:t xml:space="preserve">The </w:t>
      </w:r>
      <w:r w:rsidR="00E83030" w:rsidRPr="00A51A17">
        <w:rPr>
          <w:lang w:val="en-US"/>
        </w:rPr>
        <w:t xml:space="preserve">original study </w:t>
      </w:r>
      <w:r w:rsidRPr="00A51A17">
        <w:rPr>
          <w:lang w:val="en-US"/>
        </w:rPr>
        <w:t xml:space="preserve">received formal approval by the Ethics Committee for Psychological Research at the </w:t>
      </w:r>
      <w:r w:rsidR="00E83030" w:rsidRPr="00A51A17">
        <w:rPr>
          <w:lang w:val="en-US"/>
        </w:rPr>
        <w:t>local University</w:t>
      </w:r>
      <w:r w:rsidR="00A16484" w:rsidRPr="00A51A17">
        <w:rPr>
          <w:lang w:val="en-US"/>
        </w:rPr>
        <w:t>.</w:t>
      </w:r>
      <w:r w:rsidR="00E83030" w:rsidRPr="00A51A17">
        <w:rPr>
          <w:lang w:val="en-US"/>
        </w:rPr>
        <w:t xml:space="preserve"> The same Committee subsequently approved the inclusion of additional questions about COVID-19 experience. This research was conducted in accordance with the Declaration of Helsinki.</w:t>
      </w:r>
    </w:p>
    <w:p w14:paraId="611EA8B6" w14:textId="1AF67FB9" w:rsidR="00B928D1" w:rsidRPr="00A51A17" w:rsidRDefault="00B928D1" w:rsidP="00EC7E64">
      <w:pPr>
        <w:spacing w:line="480" w:lineRule="auto"/>
        <w:rPr>
          <w:bCs/>
          <w:i/>
          <w:iCs/>
          <w:lang w:val="en-US"/>
        </w:rPr>
      </w:pPr>
      <w:r w:rsidRPr="00A51A17">
        <w:rPr>
          <w:bCs/>
          <w:i/>
          <w:iCs/>
          <w:lang w:val="en-US"/>
        </w:rPr>
        <w:t>Measures</w:t>
      </w:r>
    </w:p>
    <w:p w14:paraId="60E04616" w14:textId="4DA7CEC1" w:rsidR="004B3EA9" w:rsidRPr="00A51A17" w:rsidRDefault="00D66D25" w:rsidP="00EC7E64">
      <w:pPr>
        <w:spacing w:line="480" w:lineRule="auto"/>
        <w:ind w:left="8" w:firstLine="701"/>
        <w:rPr>
          <w:lang w:val="en-US"/>
        </w:rPr>
      </w:pPr>
      <w:r w:rsidRPr="00A51A17">
        <w:rPr>
          <w:i/>
          <w:lang w:val="en-US"/>
        </w:rPr>
        <w:t>Intolerance of Uncertainty.</w:t>
      </w:r>
      <w:r w:rsidRPr="00A51A17">
        <w:rPr>
          <w:lang w:val="en-US"/>
        </w:rPr>
        <w:t xml:space="preserve"> The Italian</w:t>
      </w:r>
      <w:r w:rsidR="00A15C02" w:rsidRPr="00A51A17">
        <w:rPr>
          <w:lang w:val="en-US"/>
        </w:rPr>
        <w:t xml:space="preserve"> revised</w:t>
      </w:r>
      <w:r w:rsidRPr="00A51A17">
        <w:rPr>
          <w:lang w:val="en-US"/>
        </w:rPr>
        <w:t xml:space="preserve"> version of the IUS-12 (</w:t>
      </w:r>
      <w:r w:rsidR="00A15C02" w:rsidRPr="00A51A17">
        <w:rPr>
          <w:lang w:val="en-US"/>
        </w:rPr>
        <w:t xml:space="preserve">IUS-Revised, IUS-R; </w:t>
      </w:r>
      <w:r w:rsidRPr="00A51A17">
        <w:rPr>
          <w:lang w:val="en-US"/>
        </w:rPr>
        <w:t>Bottesi</w:t>
      </w:r>
      <w:r w:rsidR="00BC2645" w:rsidRPr="00A51A17">
        <w:rPr>
          <w:lang w:val="en-US"/>
        </w:rPr>
        <w:t xml:space="preserve"> et al.,</w:t>
      </w:r>
      <w:r w:rsidRPr="00A51A17">
        <w:rPr>
          <w:lang w:val="en-US"/>
        </w:rPr>
        <w:t xml:space="preserve"> 2019</w:t>
      </w:r>
      <w:r w:rsidR="00BC2645" w:rsidRPr="00A51A17">
        <w:rPr>
          <w:lang w:val="en-US"/>
        </w:rPr>
        <w:t>b</w:t>
      </w:r>
      <w:r w:rsidRPr="00A51A17">
        <w:rPr>
          <w:lang w:val="en-US"/>
        </w:rPr>
        <w:t xml:space="preserve">) was used to assess </w:t>
      </w:r>
      <w:r w:rsidR="004E2B94" w:rsidRPr="00A51A17">
        <w:rPr>
          <w:bCs/>
          <w:lang w:val="en-US"/>
        </w:rPr>
        <w:t>intolerance of uncertainty</w:t>
      </w:r>
      <w:r w:rsidRPr="00A51A17">
        <w:rPr>
          <w:lang w:val="en-US"/>
        </w:rPr>
        <w:t>. It consists of 12 items rated on a 5-point scale (from (1) “not at all agree” to (4) “completely agree”). The Cronbach’s alpha for the scale was α = .</w:t>
      </w:r>
      <w:r w:rsidR="00C25E8A" w:rsidRPr="00A51A17">
        <w:rPr>
          <w:lang w:val="en-US"/>
        </w:rPr>
        <w:t>86</w:t>
      </w:r>
      <w:r w:rsidRPr="00A51A17">
        <w:rPr>
          <w:lang w:val="en-US"/>
        </w:rPr>
        <w:t xml:space="preserve"> [95% CI .</w:t>
      </w:r>
      <w:r w:rsidR="00C25E8A" w:rsidRPr="00A51A17">
        <w:rPr>
          <w:lang w:val="en-US"/>
        </w:rPr>
        <w:t>84</w:t>
      </w:r>
      <w:r w:rsidRPr="00A51A17">
        <w:rPr>
          <w:lang w:val="en-US"/>
        </w:rPr>
        <w:t>-.</w:t>
      </w:r>
      <w:r w:rsidR="00C25E8A" w:rsidRPr="00A51A17">
        <w:rPr>
          <w:lang w:val="en-US"/>
        </w:rPr>
        <w:t>88</w:t>
      </w:r>
      <w:r w:rsidRPr="00A51A17">
        <w:rPr>
          <w:lang w:val="en-US"/>
        </w:rPr>
        <w:t>])</w:t>
      </w:r>
      <w:r w:rsidR="004B3EA9" w:rsidRPr="00A51A17">
        <w:rPr>
          <w:lang w:val="en-US"/>
        </w:rPr>
        <w:t xml:space="preserve"> for Sample 1 and .</w:t>
      </w:r>
      <w:r w:rsidR="00C25E8A" w:rsidRPr="00A51A17">
        <w:rPr>
          <w:lang w:val="en-US"/>
        </w:rPr>
        <w:t>89</w:t>
      </w:r>
      <w:r w:rsidR="004B3EA9" w:rsidRPr="00A51A17">
        <w:rPr>
          <w:lang w:val="en-US"/>
        </w:rPr>
        <w:t xml:space="preserve"> [9</w:t>
      </w:r>
      <w:r w:rsidR="00F924DF" w:rsidRPr="00A51A17">
        <w:rPr>
          <w:lang w:val="en-US"/>
        </w:rPr>
        <w:t>5</w:t>
      </w:r>
      <w:r w:rsidR="004B3EA9" w:rsidRPr="00A51A17">
        <w:rPr>
          <w:lang w:val="en-US"/>
        </w:rPr>
        <w:t>% CI: .</w:t>
      </w:r>
      <w:r w:rsidR="00C25E8A" w:rsidRPr="00A51A17">
        <w:rPr>
          <w:lang w:val="en-US"/>
        </w:rPr>
        <w:t>87</w:t>
      </w:r>
      <w:r w:rsidR="004B3EA9" w:rsidRPr="00A51A17">
        <w:rPr>
          <w:lang w:val="en-US"/>
        </w:rPr>
        <w:t>-.9</w:t>
      </w:r>
      <w:r w:rsidR="00C25E8A" w:rsidRPr="00A51A17">
        <w:rPr>
          <w:lang w:val="en-US"/>
        </w:rPr>
        <w:t>0</w:t>
      </w:r>
      <w:r w:rsidR="004B3EA9" w:rsidRPr="00A51A17">
        <w:rPr>
          <w:lang w:val="en-US"/>
        </w:rPr>
        <w:t>] for Sample 2.</w:t>
      </w:r>
      <w:r w:rsidR="00267750" w:rsidRPr="00A51A17">
        <w:rPr>
          <w:lang w:val="en-US"/>
        </w:rPr>
        <w:t xml:space="preserve"> </w:t>
      </w:r>
      <w:r w:rsidR="00E72FFC" w:rsidRPr="00A51A17">
        <w:rPr>
          <w:lang w:val="en-US"/>
        </w:rPr>
        <w:t>A confirmatory factor analysis (CFA) was performed using DWLS estimator (Jöreskog &amp; Sörbom, 1993) to test for the construct validity of the measure. The CFA confirmed an adequate fit to the data for Sample 1 (χ</w:t>
      </w:r>
      <w:r w:rsidR="00E72FFC" w:rsidRPr="00A51A17">
        <w:rPr>
          <w:vertAlign w:val="superscript"/>
          <w:lang w:val="en-US"/>
        </w:rPr>
        <w:t>2</w:t>
      </w:r>
      <w:r w:rsidR="00E72FFC" w:rsidRPr="00A51A17">
        <w:rPr>
          <w:vertAlign w:val="subscript"/>
          <w:lang w:val="en-US"/>
        </w:rPr>
        <w:t>(54)</w:t>
      </w:r>
      <w:r w:rsidR="00E72FFC" w:rsidRPr="00A51A17">
        <w:rPr>
          <w:lang w:val="en-US"/>
        </w:rPr>
        <w:t xml:space="preserve"> = 232.93, </w:t>
      </w:r>
      <w:r w:rsidR="00E72FFC" w:rsidRPr="00A51A17">
        <w:rPr>
          <w:i/>
          <w:lang w:val="en-US"/>
        </w:rPr>
        <w:t>p</w:t>
      </w:r>
      <w:r w:rsidR="00E72FFC" w:rsidRPr="00A51A17">
        <w:rPr>
          <w:lang w:val="en-US"/>
        </w:rPr>
        <w:t xml:space="preserve"> &lt; .001; CFI = .96; NNFI = .95; RMSEA = .077, 90% CI [.067, .088]) and Sample 2 (χ</w:t>
      </w:r>
      <w:r w:rsidR="00E72FFC" w:rsidRPr="00A51A17">
        <w:rPr>
          <w:vertAlign w:val="superscript"/>
          <w:lang w:val="en-US"/>
        </w:rPr>
        <w:t>2</w:t>
      </w:r>
      <w:r w:rsidR="00E72FFC" w:rsidRPr="00A51A17">
        <w:rPr>
          <w:vertAlign w:val="subscript"/>
          <w:lang w:val="en-US"/>
        </w:rPr>
        <w:t>(</w:t>
      </w:r>
      <w:r w:rsidR="009218C5" w:rsidRPr="00A51A17">
        <w:rPr>
          <w:vertAlign w:val="subscript"/>
          <w:lang w:val="en-US"/>
        </w:rPr>
        <w:t>54</w:t>
      </w:r>
      <w:r w:rsidR="00E72FFC" w:rsidRPr="00A51A17">
        <w:rPr>
          <w:vertAlign w:val="subscript"/>
          <w:lang w:val="en-US"/>
        </w:rPr>
        <w:t>)</w:t>
      </w:r>
      <w:r w:rsidR="00E72FFC" w:rsidRPr="00A51A17">
        <w:rPr>
          <w:lang w:val="en-US"/>
        </w:rPr>
        <w:t xml:space="preserve"> = </w:t>
      </w:r>
      <w:r w:rsidR="009218C5" w:rsidRPr="00A51A17">
        <w:rPr>
          <w:lang w:val="en-US"/>
        </w:rPr>
        <w:t>207</w:t>
      </w:r>
      <w:r w:rsidR="00E72FFC" w:rsidRPr="00A51A17">
        <w:rPr>
          <w:lang w:val="en-US"/>
        </w:rPr>
        <w:t>.</w:t>
      </w:r>
      <w:r w:rsidR="009218C5" w:rsidRPr="00A51A17">
        <w:rPr>
          <w:lang w:val="en-US"/>
        </w:rPr>
        <w:t>90</w:t>
      </w:r>
      <w:r w:rsidR="00E72FFC" w:rsidRPr="00A51A17">
        <w:rPr>
          <w:lang w:val="en-US"/>
        </w:rPr>
        <w:t xml:space="preserve">, </w:t>
      </w:r>
      <w:r w:rsidR="00E72FFC" w:rsidRPr="00A51A17">
        <w:rPr>
          <w:i/>
          <w:lang w:val="en-US"/>
        </w:rPr>
        <w:t>p</w:t>
      </w:r>
      <w:r w:rsidR="00E72FFC" w:rsidRPr="00A51A17">
        <w:rPr>
          <w:lang w:val="en-US"/>
        </w:rPr>
        <w:t xml:space="preserve"> &lt; .001; CFI = .97; NNFI = .9</w:t>
      </w:r>
      <w:r w:rsidR="009218C5" w:rsidRPr="00A51A17">
        <w:rPr>
          <w:lang w:val="en-US"/>
        </w:rPr>
        <w:t>7</w:t>
      </w:r>
      <w:r w:rsidR="00E72FFC" w:rsidRPr="00A51A17">
        <w:rPr>
          <w:lang w:val="en-US"/>
        </w:rPr>
        <w:t>; RMSEA = .0</w:t>
      </w:r>
      <w:r w:rsidR="009218C5" w:rsidRPr="00A51A17">
        <w:rPr>
          <w:lang w:val="en-US"/>
        </w:rPr>
        <w:t>7</w:t>
      </w:r>
      <w:r w:rsidR="00E72FFC" w:rsidRPr="00A51A17">
        <w:rPr>
          <w:lang w:val="en-US"/>
        </w:rPr>
        <w:t>1, 90% CI [.0</w:t>
      </w:r>
      <w:r w:rsidR="009218C5" w:rsidRPr="00A51A17">
        <w:rPr>
          <w:lang w:val="en-US"/>
        </w:rPr>
        <w:t>61</w:t>
      </w:r>
      <w:r w:rsidR="00E72FFC" w:rsidRPr="00A51A17">
        <w:rPr>
          <w:lang w:val="en-US"/>
        </w:rPr>
        <w:t>, .0</w:t>
      </w:r>
      <w:r w:rsidR="009218C5" w:rsidRPr="00A51A17">
        <w:rPr>
          <w:lang w:val="en-US"/>
        </w:rPr>
        <w:t>81</w:t>
      </w:r>
      <w:r w:rsidR="00E72FFC" w:rsidRPr="00A51A17">
        <w:rPr>
          <w:lang w:val="en-US"/>
        </w:rPr>
        <w:t>]).</w:t>
      </w:r>
    </w:p>
    <w:p w14:paraId="41067C69" w14:textId="4F90F64D" w:rsidR="00BF3146" w:rsidRPr="00A51A17" w:rsidRDefault="00BF3146" w:rsidP="00EC7E64">
      <w:pPr>
        <w:spacing w:line="480" w:lineRule="auto"/>
        <w:ind w:left="8" w:firstLine="701"/>
        <w:rPr>
          <w:lang w:val="en-US"/>
        </w:rPr>
      </w:pPr>
      <w:r w:rsidRPr="00A51A17">
        <w:rPr>
          <w:i/>
          <w:lang w:val="en-US"/>
        </w:rPr>
        <w:t xml:space="preserve">Cyberchondria. </w:t>
      </w:r>
      <w:r w:rsidRPr="00A51A17">
        <w:rPr>
          <w:lang w:val="en-US"/>
        </w:rPr>
        <w:t xml:space="preserve">The Italian revised version of the Cyberchondria Severity Scale (CSS 2- item 24 and mistrust factor removed; Marino et al., 2020; original scale by McElroy &amp; Shevlin, 2014) </w:t>
      </w:r>
      <w:r w:rsidR="00A15C02" w:rsidRPr="00A51A17">
        <w:rPr>
          <w:lang w:val="en-US"/>
        </w:rPr>
        <w:t xml:space="preserve">comprises </w:t>
      </w:r>
      <w:r w:rsidRPr="00A51A17">
        <w:rPr>
          <w:lang w:val="en-US"/>
        </w:rPr>
        <w:t>29 items used to assess cyberchondria. Participants were asked to rate the frequency of each item on a 5-point scale (from (1) “never” to (5) “always”). Higher scores on the scale indicate higher levels of cyberchondria. The Cronbach’s alpha for the CSS 2 was .95 [9</w:t>
      </w:r>
      <w:r w:rsidR="00F924DF" w:rsidRPr="00A51A17">
        <w:rPr>
          <w:lang w:val="en-US"/>
        </w:rPr>
        <w:t>5</w:t>
      </w:r>
      <w:r w:rsidRPr="00A51A17">
        <w:rPr>
          <w:lang w:val="en-US"/>
        </w:rPr>
        <w:t>% CI: .95-.96] for Sample 1 and .95 [9</w:t>
      </w:r>
      <w:r w:rsidR="00F924DF" w:rsidRPr="00A51A17">
        <w:rPr>
          <w:lang w:val="en-US"/>
        </w:rPr>
        <w:t>5</w:t>
      </w:r>
      <w:r w:rsidRPr="00A51A17">
        <w:rPr>
          <w:lang w:val="en-US"/>
        </w:rPr>
        <w:t>% CI: .94-.95] for Sample 2.</w:t>
      </w:r>
      <w:r w:rsidR="00E72FFC" w:rsidRPr="00A51A17">
        <w:rPr>
          <w:lang w:val="en-US"/>
        </w:rPr>
        <w:t xml:space="preserve"> The CFA confirmed an adequate fit to the data for Sample 1 (χ</w:t>
      </w:r>
      <w:r w:rsidR="00E72FFC" w:rsidRPr="00A51A17">
        <w:rPr>
          <w:vertAlign w:val="superscript"/>
          <w:lang w:val="en-US"/>
        </w:rPr>
        <w:t>2</w:t>
      </w:r>
      <w:r w:rsidR="00E72FFC" w:rsidRPr="00A51A17">
        <w:rPr>
          <w:vertAlign w:val="subscript"/>
          <w:lang w:val="en-US"/>
        </w:rPr>
        <w:t>(</w:t>
      </w:r>
      <w:r w:rsidR="009218C5" w:rsidRPr="00A51A17">
        <w:rPr>
          <w:vertAlign w:val="subscript"/>
          <w:lang w:val="en-US"/>
        </w:rPr>
        <w:t>37</w:t>
      </w:r>
      <w:r w:rsidR="00E72FFC" w:rsidRPr="00A51A17">
        <w:rPr>
          <w:vertAlign w:val="subscript"/>
          <w:lang w:val="en-US"/>
        </w:rPr>
        <w:t>7)</w:t>
      </w:r>
      <w:r w:rsidR="00E72FFC" w:rsidRPr="00A51A17">
        <w:rPr>
          <w:lang w:val="en-US"/>
        </w:rPr>
        <w:t xml:space="preserve"> = 961.05, </w:t>
      </w:r>
      <w:r w:rsidR="00E72FFC" w:rsidRPr="00A51A17">
        <w:rPr>
          <w:i/>
          <w:lang w:val="en-US"/>
        </w:rPr>
        <w:t>p</w:t>
      </w:r>
      <w:r w:rsidR="00E72FFC" w:rsidRPr="00A51A17">
        <w:rPr>
          <w:lang w:val="en-US"/>
        </w:rPr>
        <w:t xml:space="preserve"> &lt; .001; CFI = .97; NNFI = .97; RMSEA = .054, 90% CI [.049, .058]) and Sample 2 (χ</w:t>
      </w:r>
      <w:r w:rsidR="00E72FFC" w:rsidRPr="00A51A17">
        <w:rPr>
          <w:vertAlign w:val="superscript"/>
          <w:lang w:val="en-US"/>
        </w:rPr>
        <w:t>2</w:t>
      </w:r>
      <w:r w:rsidR="009218C5" w:rsidRPr="00A51A17">
        <w:rPr>
          <w:vertAlign w:val="subscript"/>
          <w:lang w:val="en-US"/>
        </w:rPr>
        <w:t>(37</w:t>
      </w:r>
      <w:r w:rsidR="00E72FFC" w:rsidRPr="00A51A17">
        <w:rPr>
          <w:vertAlign w:val="subscript"/>
          <w:lang w:val="en-US"/>
        </w:rPr>
        <w:t>7)</w:t>
      </w:r>
      <w:r w:rsidR="00E72FFC" w:rsidRPr="00A51A17">
        <w:rPr>
          <w:lang w:val="en-US"/>
        </w:rPr>
        <w:t xml:space="preserve"> = </w:t>
      </w:r>
      <w:r w:rsidR="009218C5" w:rsidRPr="00A51A17">
        <w:rPr>
          <w:lang w:val="en-US"/>
        </w:rPr>
        <w:t>962</w:t>
      </w:r>
      <w:r w:rsidR="00E72FFC" w:rsidRPr="00A51A17">
        <w:rPr>
          <w:lang w:val="en-US"/>
        </w:rPr>
        <w:t>.</w:t>
      </w:r>
      <w:r w:rsidR="009218C5" w:rsidRPr="00A51A17">
        <w:rPr>
          <w:lang w:val="en-US"/>
        </w:rPr>
        <w:t>38</w:t>
      </w:r>
      <w:r w:rsidR="00E72FFC" w:rsidRPr="00A51A17">
        <w:rPr>
          <w:lang w:val="en-US"/>
        </w:rPr>
        <w:t xml:space="preserve">, </w:t>
      </w:r>
      <w:r w:rsidR="00E72FFC" w:rsidRPr="00A51A17">
        <w:rPr>
          <w:i/>
          <w:lang w:val="en-US"/>
        </w:rPr>
        <w:t>p</w:t>
      </w:r>
      <w:r w:rsidR="00E72FFC" w:rsidRPr="00A51A17">
        <w:rPr>
          <w:lang w:val="en-US"/>
        </w:rPr>
        <w:t xml:space="preserve"> &lt; .001; CFI = .97; NNFI = .9</w:t>
      </w:r>
      <w:r w:rsidR="009218C5" w:rsidRPr="00A51A17">
        <w:rPr>
          <w:lang w:val="en-US"/>
        </w:rPr>
        <w:t>7</w:t>
      </w:r>
      <w:r w:rsidR="00E72FFC" w:rsidRPr="00A51A17">
        <w:rPr>
          <w:lang w:val="en-US"/>
        </w:rPr>
        <w:t>; RMSEA = .05</w:t>
      </w:r>
      <w:r w:rsidR="009218C5" w:rsidRPr="00A51A17">
        <w:rPr>
          <w:lang w:val="en-US"/>
        </w:rPr>
        <w:t>3</w:t>
      </w:r>
      <w:r w:rsidR="00E72FFC" w:rsidRPr="00A51A17">
        <w:rPr>
          <w:lang w:val="en-US"/>
        </w:rPr>
        <w:t>, 90% CI [.04</w:t>
      </w:r>
      <w:r w:rsidR="009218C5" w:rsidRPr="00A51A17">
        <w:rPr>
          <w:lang w:val="en-US"/>
        </w:rPr>
        <w:t>9</w:t>
      </w:r>
      <w:r w:rsidR="00E72FFC" w:rsidRPr="00A51A17">
        <w:rPr>
          <w:lang w:val="en-US"/>
        </w:rPr>
        <w:t>, .05</w:t>
      </w:r>
      <w:r w:rsidR="009218C5" w:rsidRPr="00A51A17">
        <w:rPr>
          <w:lang w:val="en-US"/>
        </w:rPr>
        <w:t>8</w:t>
      </w:r>
      <w:r w:rsidR="00E72FFC" w:rsidRPr="00A51A17">
        <w:rPr>
          <w:lang w:val="en-US"/>
        </w:rPr>
        <w:t>]).</w:t>
      </w:r>
    </w:p>
    <w:p w14:paraId="70EC52A1" w14:textId="673E351F" w:rsidR="00E72FFC" w:rsidRPr="00A51A17" w:rsidRDefault="00BF3146" w:rsidP="00E72FFC">
      <w:pPr>
        <w:spacing w:line="480" w:lineRule="auto"/>
        <w:ind w:left="8" w:firstLine="701"/>
        <w:rPr>
          <w:lang w:val="en-US"/>
        </w:rPr>
      </w:pPr>
      <w:r w:rsidRPr="00A51A17">
        <w:rPr>
          <w:i/>
          <w:lang w:val="en-US"/>
        </w:rPr>
        <w:t xml:space="preserve">Problematic Internet Use. </w:t>
      </w:r>
      <w:r w:rsidRPr="00A51A17">
        <w:rPr>
          <w:lang w:val="en-US"/>
        </w:rPr>
        <w:t>The Italian version (Fioravanti, Primi, &amp; Casale, 2013) of the Generalized Problematic Internet Use Scale 2 (</w:t>
      </w:r>
      <w:r w:rsidR="001F2588" w:rsidRPr="00A51A17">
        <w:rPr>
          <w:lang w:val="en-US"/>
        </w:rPr>
        <w:t xml:space="preserve">GPIUS2; </w:t>
      </w:r>
      <w:r w:rsidRPr="00A51A17">
        <w:rPr>
          <w:lang w:val="en-US"/>
        </w:rPr>
        <w:t>Caplan, 2010) contains 15 items that assess problematic Internet use in terms of preference for online social interactions, mood regulation, compulsive use, cognitive preoccupation and negative consequences due to Internet use. Participants were asked to answer each item on a 8-point scale (from (1) “definitely disagree” to (8) “definitely agree”). The Cronbach’s alpha for the GPIUS2 was .90 [9</w:t>
      </w:r>
      <w:r w:rsidR="00F924DF" w:rsidRPr="00A51A17">
        <w:rPr>
          <w:lang w:val="en-US"/>
        </w:rPr>
        <w:t>5</w:t>
      </w:r>
      <w:r w:rsidRPr="00A51A17">
        <w:rPr>
          <w:lang w:val="en-US"/>
        </w:rPr>
        <w:t>% CI: .89-.91] for Sample 1 and .90 [9</w:t>
      </w:r>
      <w:r w:rsidR="00626D04" w:rsidRPr="00A51A17">
        <w:rPr>
          <w:lang w:val="en-US"/>
        </w:rPr>
        <w:t>5</w:t>
      </w:r>
      <w:r w:rsidRPr="00A51A17">
        <w:rPr>
          <w:lang w:val="en-US"/>
        </w:rPr>
        <w:t>% CI: .88-.91] for Sample 2.</w:t>
      </w:r>
      <w:r w:rsidR="003F5E09" w:rsidRPr="00A51A17">
        <w:rPr>
          <w:i/>
          <w:lang w:val="en-US"/>
        </w:rPr>
        <w:t xml:space="preserve"> </w:t>
      </w:r>
      <w:r w:rsidR="00E72FFC" w:rsidRPr="00A51A17">
        <w:rPr>
          <w:lang w:val="en-US"/>
        </w:rPr>
        <w:t>The CFA confirmed an adequate fit to the data for Sample 1 (χ</w:t>
      </w:r>
      <w:r w:rsidR="00E72FFC" w:rsidRPr="00A51A17">
        <w:rPr>
          <w:vertAlign w:val="superscript"/>
          <w:lang w:val="en-US"/>
        </w:rPr>
        <w:t>2</w:t>
      </w:r>
      <w:r w:rsidR="00E72FFC" w:rsidRPr="00A51A17">
        <w:rPr>
          <w:vertAlign w:val="subscript"/>
          <w:lang w:val="en-US"/>
        </w:rPr>
        <w:t>(90)</w:t>
      </w:r>
      <w:r w:rsidR="00E72FFC" w:rsidRPr="00A51A17">
        <w:rPr>
          <w:lang w:val="en-US"/>
        </w:rPr>
        <w:t xml:space="preserve"> = 235.20, </w:t>
      </w:r>
      <w:r w:rsidR="00E72FFC" w:rsidRPr="00A51A17">
        <w:rPr>
          <w:i/>
          <w:lang w:val="en-US"/>
        </w:rPr>
        <w:t>p</w:t>
      </w:r>
      <w:r w:rsidR="00E72FFC" w:rsidRPr="00A51A17">
        <w:rPr>
          <w:lang w:val="en-US"/>
        </w:rPr>
        <w:t xml:space="preserve"> &lt; .001; CFI = .97; NNFI = .97; RMSEA = .054, 90% CI [.046, .063]) and Sample 2 (χ</w:t>
      </w:r>
      <w:r w:rsidR="00E72FFC" w:rsidRPr="00A51A17">
        <w:rPr>
          <w:vertAlign w:val="superscript"/>
          <w:lang w:val="en-US"/>
        </w:rPr>
        <w:t>2</w:t>
      </w:r>
      <w:r w:rsidR="009218C5" w:rsidRPr="00A51A17">
        <w:rPr>
          <w:vertAlign w:val="subscript"/>
          <w:lang w:val="en-US"/>
        </w:rPr>
        <w:t>(90</w:t>
      </w:r>
      <w:r w:rsidR="00E72FFC" w:rsidRPr="00A51A17">
        <w:rPr>
          <w:vertAlign w:val="subscript"/>
          <w:lang w:val="en-US"/>
        </w:rPr>
        <w:t>)</w:t>
      </w:r>
      <w:r w:rsidR="00E72FFC" w:rsidRPr="00A51A17">
        <w:rPr>
          <w:lang w:val="en-US"/>
        </w:rPr>
        <w:t xml:space="preserve"> = </w:t>
      </w:r>
      <w:r w:rsidR="009218C5" w:rsidRPr="00A51A17">
        <w:rPr>
          <w:lang w:val="en-US"/>
        </w:rPr>
        <w:t>462</w:t>
      </w:r>
      <w:r w:rsidR="00E72FFC" w:rsidRPr="00A51A17">
        <w:rPr>
          <w:lang w:val="en-US"/>
        </w:rPr>
        <w:t>.</w:t>
      </w:r>
      <w:r w:rsidR="009218C5" w:rsidRPr="00A51A17">
        <w:rPr>
          <w:lang w:val="en-US"/>
        </w:rPr>
        <w:t>56</w:t>
      </w:r>
      <w:r w:rsidR="00E72FFC" w:rsidRPr="00A51A17">
        <w:rPr>
          <w:lang w:val="en-US"/>
        </w:rPr>
        <w:t xml:space="preserve">, </w:t>
      </w:r>
      <w:r w:rsidR="00E72FFC" w:rsidRPr="00A51A17">
        <w:rPr>
          <w:i/>
          <w:lang w:val="en-US"/>
        </w:rPr>
        <w:t>p</w:t>
      </w:r>
      <w:r w:rsidR="00E72FFC" w:rsidRPr="00A51A17">
        <w:rPr>
          <w:lang w:val="en-US"/>
        </w:rPr>
        <w:t xml:space="preserve"> &lt; .001; CFI = .9</w:t>
      </w:r>
      <w:r w:rsidR="009218C5" w:rsidRPr="00A51A17">
        <w:rPr>
          <w:lang w:val="en-US"/>
        </w:rPr>
        <w:t>4</w:t>
      </w:r>
      <w:r w:rsidR="00E72FFC" w:rsidRPr="00A51A17">
        <w:rPr>
          <w:lang w:val="en-US"/>
        </w:rPr>
        <w:t>; NNFI = .9</w:t>
      </w:r>
      <w:r w:rsidR="009218C5" w:rsidRPr="00A51A17">
        <w:rPr>
          <w:lang w:val="en-US"/>
        </w:rPr>
        <w:t>4</w:t>
      </w:r>
      <w:r w:rsidR="00E72FFC" w:rsidRPr="00A51A17">
        <w:rPr>
          <w:lang w:val="en-US"/>
        </w:rPr>
        <w:t>; RMSEA = .0</w:t>
      </w:r>
      <w:r w:rsidR="009218C5" w:rsidRPr="00A51A17">
        <w:rPr>
          <w:lang w:val="en-US"/>
        </w:rPr>
        <w:t>85</w:t>
      </w:r>
      <w:r w:rsidR="00E72FFC" w:rsidRPr="00A51A17">
        <w:rPr>
          <w:lang w:val="en-US"/>
        </w:rPr>
        <w:t>, 90% CI [.0</w:t>
      </w:r>
      <w:r w:rsidR="009218C5" w:rsidRPr="00A51A17">
        <w:rPr>
          <w:lang w:val="en-US"/>
        </w:rPr>
        <w:t>78</w:t>
      </w:r>
      <w:r w:rsidR="00E72FFC" w:rsidRPr="00A51A17">
        <w:rPr>
          <w:lang w:val="en-US"/>
        </w:rPr>
        <w:t>, .0</w:t>
      </w:r>
      <w:r w:rsidR="009218C5" w:rsidRPr="00A51A17">
        <w:rPr>
          <w:lang w:val="en-US"/>
        </w:rPr>
        <w:t>93</w:t>
      </w:r>
      <w:r w:rsidR="00E72FFC" w:rsidRPr="00A51A17">
        <w:rPr>
          <w:lang w:val="en-US"/>
        </w:rPr>
        <w:t>]).</w:t>
      </w:r>
    </w:p>
    <w:p w14:paraId="1D7FC868" w14:textId="5D632261" w:rsidR="00E83030" w:rsidRPr="00A51A17" w:rsidRDefault="00E83030" w:rsidP="00EC7E64">
      <w:pPr>
        <w:spacing w:line="480" w:lineRule="auto"/>
        <w:ind w:left="8" w:firstLine="701"/>
        <w:rPr>
          <w:lang w:val="en-US"/>
        </w:rPr>
      </w:pPr>
      <w:r w:rsidRPr="00A51A17">
        <w:rPr>
          <w:i/>
          <w:lang w:val="en-US"/>
        </w:rPr>
        <w:t xml:space="preserve">Psychological Distress. </w:t>
      </w:r>
      <w:r w:rsidRPr="00A51A17">
        <w:rPr>
          <w:lang w:val="en-US"/>
        </w:rPr>
        <w:t>The Italian version (Bottesi et al., 2015) of the Depression Anxiety Stress Scale-21 (DASS-21; Lovibond &amp; Lovibond, 1995) comprises 21 items used to assess psychological distress. Participants were asked to answer each item on a 4-point scale (from (0) “never” to (3) “almost always”) thinking about the last 7 days. The Cronbach’s alpha for the DASS-21 was .95 [9</w:t>
      </w:r>
      <w:r w:rsidR="00F924DF" w:rsidRPr="00A51A17">
        <w:rPr>
          <w:lang w:val="en-US"/>
        </w:rPr>
        <w:t>5</w:t>
      </w:r>
      <w:r w:rsidRPr="00A51A17">
        <w:rPr>
          <w:lang w:val="en-US"/>
        </w:rPr>
        <w:t>% CI: .94-.96] for Sample 1 and .95 [9</w:t>
      </w:r>
      <w:r w:rsidR="00F924DF" w:rsidRPr="00A51A17">
        <w:rPr>
          <w:lang w:val="en-US"/>
        </w:rPr>
        <w:t>5</w:t>
      </w:r>
      <w:r w:rsidRPr="00A51A17">
        <w:rPr>
          <w:lang w:val="en-US"/>
        </w:rPr>
        <w:t>% CI: .94-.95] for Sample 2.</w:t>
      </w:r>
      <w:r w:rsidR="00E72FFC" w:rsidRPr="00A51A17">
        <w:rPr>
          <w:lang w:val="en-US"/>
        </w:rPr>
        <w:t xml:space="preserve"> The CFA confirmed an adequate fit to the data for Sample 1 (χ</w:t>
      </w:r>
      <w:r w:rsidR="00E72FFC" w:rsidRPr="00A51A17">
        <w:rPr>
          <w:vertAlign w:val="superscript"/>
          <w:lang w:val="en-US"/>
        </w:rPr>
        <w:t>2</w:t>
      </w:r>
      <w:r w:rsidR="009218C5" w:rsidRPr="00A51A17">
        <w:rPr>
          <w:vertAlign w:val="superscript"/>
          <w:lang w:val="en-US"/>
        </w:rPr>
        <w:t xml:space="preserve"> </w:t>
      </w:r>
      <w:r w:rsidR="009218C5" w:rsidRPr="00A51A17">
        <w:rPr>
          <w:vertAlign w:val="subscript"/>
          <w:lang w:val="en-US"/>
        </w:rPr>
        <w:t>(</w:t>
      </w:r>
      <w:r w:rsidR="00E72FFC" w:rsidRPr="00A51A17">
        <w:rPr>
          <w:vertAlign w:val="subscript"/>
          <w:lang w:val="en-US"/>
        </w:rPr>
        <w:t>189)</w:t>
      </w:r>
      <w:r w:rsidR="00E72FFC" w:rsidRPr="00A51A17">
        <w:rPr>
          <w:lang w:val="en-US"/>
        </w:rPr>
        <w:t xml:space="preserve"> = 324.82, </w:t>
      </w:r>
      <w:r w:rsidR="00E72FFC" w:rsidRPr="00A51A17">
        <w:rPr>
          <w:i/>
          <w:lang w:val="en-US"/>
        </w:rPr>
        <w:t>p</w:t>
      </w:r>
      <w:r w:rsidR="00E72FFC" w:rsidRPr="00A51A17">
        <w:rPr>
          <w:lang w:val="en-US"/>
        </w:rPr>
        <w:t xml:space="preserve"> &lt; .001; CFI = .99; NNFI = .99; RMSEA = .036, 90% CI [.030, .043]) and Sample 2 (χ</w:t>
      </w:r>
      <w:r w:rsidR="00E72FFC" w:rsidRPr="00A51A17">
        <w:rPr>
          <w:vertAlign w:val="superscript"/>
          <w:lang w:val="en-US"/>
        </w:rPr>
        <w:t>2</w:t>
      </w:r>
      <w:r w:rsidR="009218C5" w:rsidRPr="00A51A17">
        <w:rPr>
          <w:vertAlign w:val="subscript"/>
          <w:lang w:val="en-US"/>
        </w:rPr>
        <w:t>(189</w:t>
      </w:r>
      <w:r w:rsidR="00E72FFC" w:rsidRPr="00A51A17">
        <w:rPr>
          <w:vertAlign w:val="subscript"/>
          <w:lang w:val="en-US"/>
        </w:rPr>
        <w:t>)</w:t>
      </w:r>
      <w:r w:rsidR="00E72FFC" w:rsidRPr="00A51A17">
        <w:rPr>
          <w:lang w:val="en-US"/>
        </w:rPr>
        <w:t xml:space="preserve"> = </w:t>
      </w:r>
      <w:r w:rsidR="009218C5" w:rsidRPr="00A51A17">
        <w:rPr>
          <w:lang w:val="en-US"/>
        </w:rPr>
        <w:t>383</w:t>
      </w:r>
      <w:r w:rsidR="00E72FFC" w:rsidRPr="00A51A17">
        <w:rPr>
          <w:lang w:val="en-US"/>
        </w:rPr>
        <w:t>.</w:t>
      </w:r>
      <w:r w:rsidR="009218C5" w:rsidRPr="00A51A17">
        <w:rPr>
          <w:lang w:val="en-US"/>
        </w:rPr>
        <w:t>88</w:t>
      </w:r>
      <w:r w:rsidR="00E72FFC" w:rsidRPr="00A51A17">
        <w:rPr>
          <w:lang w:val="en-US"/>
        </w:rPr>
        <w:t xml:space="preserve">, </w:t>
      </w:r>
      <w:r w:rsidR="00E72FFC" w:rsidRPr="00A51A17">
        <w:rPr>
          <w:i/>
          <w:lang w:val="en-US"/>
        </w:rPr>
        <w:t>p</w:t>
      </w:r>
      <w:r w:rsidR="00E72FFC" w:rsidRPr="00A51A17">
        <w:rPr>
          <w:lang w:val="en-US"/>
        </w:rPr>
        <w:t xml:space="preserve"> &lt; .001; CFI = .9</w:t>
      </w:r>
      <w:r w:rsidR="009218C5" w:rsidRPr="00A51A17">
        <w:rPr>
          <w:lang w:val="en-US"/>
        </w:rPr>
        <w:t>9</w:t>
      </w:r>
      <w:r w:rsidR="00E72FFC" w:rsidRPr="00A51A17">
        <w:rPr>
          <w:lang w:val="en-US"/>
        </w:rPr>
        <w:t>; NNFI = .9</w:t>
      </w:r>
      <w:r w:rsidR="009218C5" w:rsidRPr="00A51A17">
        <w:rPr>
          <w:lang w:val="en-US"/>
        </w:rPr>
        <w:t>9</w:t>
      </w:r>
      <w:r w:rsidR="00E72FFC" w:rsidRPr="00A51A17">
        <w:rPr>
          <w:lang w:val="en-US"/>
        </w:rPr>
        <w:t>; RMSEA = .0</w:t>
      </w:r>
      <w:r w:rsidR="009218C5" w:rsidRPr="00A51A17">
        <w:rPr>
          <w:lang w:val="en-US"/>
        </w:rPr>
        <w:t>43</w:t>
      </w:r>
      <w:r w:rsidR="00E72FFC" w:rsidRPr="00A51A17">
        <w:rPr>
          <w:lang w:val="en-US"/>
        </w:rPr>
        <w:t>, 90% CI [.0</w:t>
      </w:r>
      <w:r w:rsidR="009218C5" w:rsidRPr="00A51A17">
        <w:rPr>
          <w:lang w:val="en-US"/>
        </w:rPr>
        <w:t>37</w:t>
      </w:r>
      <w:r w:rsidR="00E72FFC" w:rsidRPr="00A51A17">
        <w:rPr>
          <w:lang w:val="en-US"/>
        </w:rPr>
        <w:t>, .0</w:t>
      </w:r>
      <w:r w:rsidR="009218C5" w:rsidRPr="00A51A17">
        <w:rPr>
          <w:lang w:val="en-US"/>
        </w:rPr>
        <w:t>49</w:t>
      </w:r>
      <w:r w:rsidR="00E72FFC" w:rsidRPr="00A51A17">
        <w:rPr>
          <w:lang w:val="en-US"/>
        </w:rPr>
        <w:t>]).</w:t>
      </w:r>
    </w:p>
    <w:p w14:paraId="26C859B2" w14:textId="1AC7F764" w:rsidR="00E72FFC" w:rsidRPr="00A51A17" w:rsidRDefault="003F5E09" w:rsidP="00E72FFC">
      <w:pPr>
        <w:spacing w:line="480" w:lineRule="auto"/>
        <w:ind w:left="8" w:firstLine="701"/>
        <w:rPr>
          <w:lang w:val="en-US"/>
        </w:rPr>
      </w:pPr>
      <w:r w:rsidRPr="00A51A17">
        <w:rPr>
          <w:i/>
          <w:lang w:val="en-US"/>
        </w:rPr>
        <w:t xml:space="preserve">Health Anxiety. </w:t>
      </w:r>
      <w:r w:rsidRPr="00A51A17">
        <w:rPr>
          <w:lang w:val="en-US"/>
        </w:rPr>
        <w:t>The Italian version (Melli, Coradeschi, &amp; Smurra, 2007) of the HAQ (Lucock &amp; Morley, 1996) comprises 21 items used to assess health anxiety. Participants were asked to answer each of them on a 4-point scale (from (1) “never or rarely” to (5) “most of the time”). The Cronbach’s alpha for the HAQ was .92 [9</w:t>
      </w:r>
      <w:r w:rsidR="00F924DF" w:rsidRPr="00A51A17">
        <w:rPr>
          <w:lang w:val="en-US"/>
        </w:rPr>
        <w:t>5</w:t>
      </w:r>
      <w:r w:rsidRPr="00A51A17">
        <w:rPr>
          <w:lang w:val="en-US"/>
        </w:rPr>
        <w:t>% CI: .91-.93] for Sample 1 and .94 [9</w:t>
      </w:r>
      <w:r w:rsidR="00F924DF" w:rsidRPr="00A51A17">
        <w:rPr>
          <w:lang w:val="en-US"/>
        </w:rPr>
        <w:t>5</w:t>
      </w:r>
      <w:r w:rsidRPr="00A51A17">
        <w:rPr>
          <w:lang w:val="en-US"/>
        </w:rPr>
        <w:t>% CI: .93-.94] for Sample 2.</w:t>
      </w:r>
      <w:r w:rsidR="00E72FFC" w:rsidRPr="00A51A17">
        <w:rPr>
          <w:lang w:val="en-US"/>
        </w:rPr>
        <w:t xml:space="preserve"> The CFA confirmed an adequate fit to the data for Sample 1 (χ</w:t>
      </w:r>
      <w:r w:rsidR="00E72FFC" w:rsidRPr="00A51A17">
        <w:rPr>
          <w:vertAlign w:val="superscript"/>
          <w:lang w:val="en-US"/>
        </w:rPr>
        <w:t>2</w:t>
      </w:r>
      <w:r w:rsidR="00E72FFC" w:rsidRPr="00A51A17">
        <w:rPr>
          <w:vertAlign w:val="subscript"/>
          <w:lang w:val="en-US"/>
        </w:rPr>
        <w:t>(</w:t>
      </w:r>
      <w:r w:rsidR="009218C5" w:rsidRPr="00A51A17">
        <w:rPr>
          <w:vertAlign w:val="subscript"/>
          <w:lang w:val="en-US"/>
        </w:rPr>
        <w:t>189</w:t>
      </w:r>
      <w:r w:rsidR="00E72FFC" w:rsidRPr="00A51A17">
        <w:rPr>
          <w:vertAlign w:val="subscript"/>
          <w:lang w:val="en-US"/>
        </w:rPr>
        <w:t>)</w:t>
      </w:r>
      <w:r w:rsidR="00E72FFC" w:rsidRPr="00A51A17">
        <w:rPr>
          <w:lang w:val="en-US"/>
        </w:rPr>
        <w:t xml:space="preserve"> = 459.64, </w:t>
      </w:r>
      <w:r w:rsidR="00E72FFC" w:rsidRPr="00A51A17">
        <w:rPr>
          <w:i/>
          <w:lang w:val="en-US"/>
        </w:rPr>
        <w:t>p</w:t>
      </w:r>
      <w:r w:rsidR="00E72FFC" w:rsidRPr="00A51A17">
        <w:rPr>
          <w:lang w:val="en-US"/>
        </w:rPr>
        <w:t xml:space="preserve"> &lt; .001; CFI = .9</w:t>
      </w:r>
      <w:r w:rsidR="009218C5" w:rsidRPr="00A51A17">
        <w:rPr>
          <w:lang w:val="en-US"/>
        </w:rPr>
        <w:t>8</w:t>
      </w:r>
      <w:r w:rsidR="00E72FFC" w:rsidRPr="00A51A17">
        <w:rPr>
          <w:lang w:val="en-US"/>
        </w:rPr>
        <w:t>; NNFI = .9</w:t>
      </w:r>
      <w:r w:rsidR="009218C5" w:rsidRPr="00A51A17">
        <w:rPr>
          <w:lang w:val="en-US"/>
        </w:rPr>
        <w:t>8</w:t>
      </w:r>
      <w:r w:rsidR="00E72FFC" w:rsidRPr="00A51A17">
        <w:rPr>
          <w:lang w:val="en-US"/>
        </w:rPr>
        <w:t>; RMSEA = .05</w:t>
      </w:r>
      <w:r w:rsidR="009218C5" w:rsidRPr="00A51A17">
        <w:rPr>
          <w:lang w:val="en-US"/>
        </w:rPr>
        <w:t>1</w:t>
      </w:r>
      <w:r w:rsidR="00E72FFC" w:rsidRPr="00A51A17">
        <w:rPr>
          <w:lang w:val="en-US"/>
        </w:rPr>
        <w:t>, 90% CI [.04</w:t>
      </w:r>
      <w:r w:rsidR="009218C5" w:rsidRPr="00A51A17">
        <w:rPr>
          <w:lang w:val="en-US"/>
        </w:rPr>
        <w:t>5</w:t>
      </w:r>
      <w:r w:rsidR="00E72FFC" w:rsidRPr="00A51A17">
        <w:rPr>
          <w:lang w:val="en-US"/>
        </w:rPr>
        <w:t>, .05</w:t>
      </w:r>
      <w:r w:rsidR="009218C5" w:rsidRPr="00A51A17">
        <w:rPr>
          <w:lang w:val="en-US"/>
        </w:rPr>
        <w:t>7</w:t>
      </w:r>
      <w:r w:rsidR="00E72FFC" w:rsidRPr="00A51A17">
        <w:rPr>
          <w:lang w:val="en-US"/>
        </w:rPr>
        <w:t>]) and Sample 2 (χ</w:t>
      </w:r>
      <w:r w:rsidR="00E72FFC" w:rsidRPr="00A51A17">
        <w:rPr>
          <w:vertAlign w:val="superscript"/>
          <w:lang w:val="en-US"/>
        </w:rPr>
        <w:t>2</w:t>
      </w:r>
      <w:r w:rsidR="00E72FFC" w:rsidRPr="00A51A17">
        <w:rPr>
          <w:vertAlign w:val="subscript"/>
          <w:lang w:val="en-US"/>
        </w:rPr>
        <w:t>(</w:t>
      </w:r>
      <w:r w:rsidR="009218C5" w:rsidRPr="00A51A17">
        <w:rPr>
          <w:vertAlign w:val="subscript"/>
          <w:lang w:val="en-US"/>
        </w:rPr>
        <w:t>189</w:t>
      </w:r>
      <w:r w:rsidR="00E72FFC" w:rsidRPr="00A51A17">
        <w:rPr>
          <w:vertAlign w:val="subscript"/>
          <w:lang w:val="en-US"/>
        </w:rPr>
        <w:t>)</w:t>
      </w:r>
      <w:r w:rsidR="00E72FFC" w:rsidRPr="00A51A17">
        <w:rPr>
          <w:lang w:val="en-US"/>
        </w:rPr>
        <w:t xml:space="preserve"> = </w:t>
      </w:r>
      <w:r w:rsidR="009218C5" w:rsidRPr="00A51A17">
        <w:rPr>
          <w:lang w:val="en-US"/>
        </w:rPr>
        <w:t>414</w:t>
      </w:r>
      <w:r w:rsidR="00E72FFC" w:rsidRPr="00A51A17">
        <w:rPr>
          <w:lang w:val="en-US"/>
        </w:rPr>
        <w:t>.</w:t>
      </w:r>
      <w:r w:rsidR="009218C5" w:rsidRPr="00A51A17">
        <w:rPr>
          <w:lang w:val="en-US"/>
        </w:rPr>
        <w:t>06</w:t>
      </w:r>
      <w:r w:rsidR="00E72FFC" w:rsidRPr="00A51A17">
        <w:rPr>
          <w:lang w:val="en-US"/>
        </w:rPr>
        <w:t xml:space="preserve">, </w:t>
      </w:r>
      <w:r w:rsidR="00E72FFC" w:rsidRPr="00A51A17">
        <w:rPr>
          <w:i/>
          <w:lang w:val="en-US"/>
        </w:rPr>
        <w:t>p</w:t>
      </w:r>
      <w:r w:rsidR="00E72FFC" w:rsidRPr="00A51A17">
        <w:rPr>
          <w:lang w:val="en-US"/>
        </w:rPr>
        <w:t xml:space="preserve"> &lt; .001; CFI = .9</w:t>
      </w:r>
      <w:r w:rsidR="009218C5" w:rsidRPr="00A51A17">
        <w:rPr>
          <w:lang w:val="en-US"/>
        </w:rPr>
        <w:t>9</w:t>
      </w:r>
      <w:r w:rsidR="00E72FFC" w:rsidRPr="00A51A17">
        <w:rPr>
          <w:lang w:val="en-US"/>
        </w:rPr>
        <w:t>; NNFI = .9</w:t>
      </w:r>
      <w:r w:rsidR="009218C5" w:rsidRPr="00A51A17">
        <w:rPr>
          <w:lang w:val="en-US"/>
        </w:rPr>
        <w:t>9</w:t>
      </w:r>
      <w:r w:rsidR="00E72FFC" w:rsidRPr="00A51A17">
        <w:rPr>
          <w:lang w:val="en-US"/>
        </w:rPr>
        <w:t>; RMSEA = .0</w:t>
      </w:r>
      <w:r w:rsidR="009218C5" w:rsidRPr="00A51A17">
        <w:rPr>
          <w:lang w:val="en-US"/>
        </w:rPr>
        <w:t>46</w:t>
      </w:r>
      <w:r w:rsidR="00E72FFC" w:rsidRPr="00A51A17">
        <w:rPr>
          <w:lang w:val="en-US"/>
        </w:rPr>
        <w:t>, 90% CI [.04</w:t>
      </w:r>
      <w:r w:rsidR="009218C5" w:rsidRPr="00A51A17">
        <w:rPr>
          <w:lang w:val="en-US"/>
        </w:rPr>
        <w:t>0</w:t>
      </w:r>
      <w:r w:rsidR="00E72FFC" w:rsidRPr="00A51A17">
        <w:rPr>
          <w:lang w:val="en-US"/>
        </w:rPr>
        <w:t>, .05</w:t>
      </w:r>
      <w:r w:rsidR="009218C5" w:rsidRPr="00A51A17">
        <w:rPr>
          <w:lang w:val="en-US"/>
        </w:rPr>
        <w:t>2</w:t>
      </w:r>
      <w:r w:rsidR="00E72FFC" w:rsidRPr="00A51A17">
        <w:rPr>
          <w:lang w:val="en-US"/>
        </w:rPr>
        <w:t>]).</w:t>
      </w:r>
    </w:p>
    <w:p w14:paraId="24FFFEA7" w14:textId="551C6109" w:rsidR="00267750" w:rsidRPr="00A51A17" w:rsidRDefault="008A0426" w:rsidP="00EC7E64">
      <w:pPr>
        <w:spacing w:line="480" w:lineRule="auto"/>
        <w:ind w:left="8" w:firstLine="701"/>
        <w:rPr>
          <w:lang w:val="en-US"/>
        </w:rPr>
      </w:pPr>
      <w:r w:rsidRPr="00A51A17">
        <w:rPr>
          <w:lang w:val="en-US"/>
        </w:rPr>
        <w:t>For each measure, i</w:t>
      </w:r>
      <w:r w:rsidR="00267750" w:rsidRPr="00A51A17">
        <w:rPr>
          <w:lang w:val="en-US"/>
        </w:rPr>
        <w:t xml:space="preserve">tems were summed to obtain a total score for each </w:t>
      </w:r>
      <w:r w:rsidRPr="00A51A17">
        <w:rPr>
          <w:lang w:val="en-US"/>
        </w:rPr>
        <w:t>construct and h</w:t>
      </w:r>
      <w:r w:rsidR="00267750" w:rsidRPr="00A51A17">
        <w:rPr>
          <w:lang w:val="en-US"/>
        </w:rPr>
        <w:t>igher scores represent higher levels of each variable.</w:t>
      </w:r>
    </w:p>
    <w:p w14:paraId="08B776B1" w14:textId="76D7C86D" w:rsidR="0002573C" w:rsidRPr="00A51A17" w:rsidRDefault="00ED2290" w:rsidP="00EC7E64">
      <w:pPr>
        <w:spacing w:line="480" w:lineRule="auto"/>
        <w:ind w:firstLine="567"/>
        <w:rPr>
          <w:lang w:val="en-US"/>
        </w:rPr>
      </w:pPr>
      <w:r w:rsidRPr="00A51A17">
        <w:rPr>
          <w:lang w:val="en-US"/>
        </w:rPr>
        <w:t xml:space="preserve">[Sample 2 only] </w:t>
      </w:r>
      <w:r w:rsidR="00CC3901" w:rsidRPr="00A51A17">
        <w:rPr>
          <w:lang w:val="en-US"/>
        </w:rPr>
        <w:t xml:space="preserve">COVID-19 </w:t>
      </w:r>
      <w:r w:rsidR="0002573C" w:rsidRPr="00A51A17">
        <w:rPr>
          <w:i/>
          <w:lang w:val="en-US"/>
        </w:rPr>
        <w:t xml:space="preserve">experience. </w:t>
      </w:r>
      <w:r w:rsidRPr="00A51A17">
        <w:rPr>
          <w:lang w:val="en-US"/>
        </w:rPr>
        <w:t>16</w:t>
      </w:r>
      <w:r w:rsidRPr="00A51A17">
        <w:rPr>
          <w:i/>
          <w:lang w:val="en-US"/>
        </w:rPr>
        <w:t xml:space="preserve"> </w:t>
      </w:r>
      <w:r w:rsidR="003B4122" w:rsidRPr="00A51A17">
        <w:rPr>
          <w:lang w:val="en-US"/>
        </w:rPr>
        <w:t>ad-hoc</w:t>
      </w:r>
      <w:r w:rsidR="003B4122" w:rsidRPr="00A51A17">
        <w:rPr>
          <w:i/>
          <w:lang w:val="en-US"/>
        </w:rPr>
        <w:t xml:space="preserve"> </w:t>
      </w:r>
      <w:r w:rsidR="0002573C" w:rsidRPr="00A51A17">
        <w:rPr>
          <w:lang w:val="en-US"/>
        </w:rPr>
        <w:t>questions</w:t>
      </w:r>
      <w:r w:rsidRPr="00A51A17">
        <w:rPr>
          <w:lang w:val="en-US"/>
        </w:rPr>
        <w:t xml:space="preserve"> were</w:t>
      </w:r>
      <w:r w:rsidR="0002573C" w:rsidRPr="00A51A17">
        <w:rPr>
          <w:lang w:val="en-US"/>
        </w:rPr>
        <w:t xml:space="preserve"> gathered </w:t>
      </w:r>
      <w:r w:rsidR="003B4122" w:rsidRPr="00A51A17">
        <w:rPr>
          <w:lang w:val="en-US"/>
        </w:rPr>
        <w:t xml:space="preserve">and adapted </w:t>
      </w:r>
      <w:r w:rsidR="0002573C" w:rsidRPr="00A51A17">
        <w:rPr>
          <w:lang w:val="en-US"/>
        </w:rPr>
        <w:t xml:space="preserve">from the survey used in one of the first published studies on </w:t>
      </w:r>
      <w:r w:rsidR="00CC3901" w:rsidRPr="00A51A17">
        <w:rPr>
          <w:lang w:val="en-US"/>
        </w:rPr>
        <w:t xml:space="preserve">COVID-19 </w:t>
      </w:r>
      <w:r w:rsidR="0002573C" w:rsidRPr="00A51A17">
        <w:rPr>
          <w:lang w:val="en-US"/>
        </w:rPr>
        <w:t xml:space="preserve">in China (Wang et al., 2020; see Table 1). </w:t>
      </w:r>
      <w:r w:rsidRPr="00A51A17">
        <w:rPr>
          <w:lang w:val="en-US"/>
        </w:rPr>
        <w:t xml:space="preserve">Questions covers several aspects related to the COVID-19 outbreak: </w:t>
      </w:r>
      <w:r w:rsidR="003B4122" w:rsidRPr="00A51A17">
        <w:rPr>
          <w:lang w:val="en-US"/>
        </w:rPr>
        <w:t>(1) Physical symptoms in the past 14 days; (2) Contact history with COVID-19 in the past 14 days; (3) Concerns about COVID-19; and (4) Additional information required with respect to COVID-19</w:t>
      </w:r>
      <w:r w:rsidR="000662E4" w:rsidRPr="00A51A17">
        <w:rPr>
          <w:lang w:val="en-US"/>
        </w:rPr>
        <w:t xml:space="preserve">. </w:t>
      </w:r>
    </w:p>
    <w:p w14:paraId="2B3055F3" w14:textId="7D8EA7CE" w:rsidR="00447415" w:rsidRPr="00A51A17" w:rsidRDefault="00447415" w:rsidP="00EC7E64">
      <w:pPr>
        <w:spacing w:line="480" w:lineRule="auto"/>
        <w:rPr>
          <w:bCs/>
          <w:i/>
          <w:iCs/>
          <w:lang w:val="en-US"/>
        </w:rPr>
      </w:pPr>
      <w:r w:rsidRPr="00A51A17">
        <w:rPr>
          <w:bCs/>
          <w:i/>
          <w:iCs/>
          <w:lang w:val="en-US"/>
        </w:rPr>
        <w:t xml:space="preserve">Statistical Analysis </w:t>
      </w:r>
    </w:p>
    <w:p w14:paraId="1183FA58" w14:textId="4DC328BC" w:rsidR="002D5486" w:rsidRPr="00A51A17" w:rsidRDefault="002D5486" w:rsidP="002D5486">
      <w:pPr>
        <w:spacing w:line="480" w:lineRule="auto"/>
        <w:ind w:firstLine="567"/>
        <w:rPr>
          <w:lang w:val="en-US"/>
        </w:rPr>
      </w:pPr>
      <w:r w:rsidRPr="00A51A17">
        <w:rPr>
          <w:lang w:val="en-US"/>
        </w:rPr>
        <w:t>First, for Sample 2, frequencies were calculated for each COVID-19-related question in order to provide a description of participants’ health status, contact history and main concerns during the COVID-19 outbreak (Table 1).</w:t>
      </w:r>
    </w:p>
    <w:p w14:paraId="6E6F368B" w14:textId="68E9DF24" w:rsidR="0017314B" w:rsidRPr="00A51A17" w:rsidRDefault="002D5486" w:rsidP="00447415">
      <w:pPr>
        <w:spacing w:line="480" w:lineRule="auto"/>
        <w:ind w:firstLine="567"/>
        <w:rPr>
          <w:lang w:val="en-US"/>
        </w:rPr>
      </w:pPr>
      <w:r w:rsidRPr="00A51A17">
        <w:rPr>
          <w:lang w:val="en-US"/>
        </w:rPr>
        <w:t xml:space="preserve">Second, </w:t>
      </w:r>
      <w:r w:rsidR="0017314B" w:rsidRPr="00A51A17">
        <w:rPr>
          <w:lang w:val="en-US"/>
        </w:rPr>
        <w:t>in order to explore the associations between the variables of the study in each sample</w:t>
      </w:r>
      <w:r w:rsidR="0084089D" w:rsidRPr="00A51A17">
        <w:rPr>
          <w:lang w:val="en-US"/>
        </w:rPr>
        <w:t>,</w:t>
      </w:r>
      <w:r w:rsidR="0017314B" w:rsidRPr="00A51A17">
        <w:rPr>
          <w:lang w:val="en-US"/>
        </w:rPr>
        <w:t xml:space="preserve"> correlation analyses were conducted. Then, the pattern of relationships specified by our theoretical model (Figure 1) was tested</w:t>
      </w:r>
      <w:r w:rsidR="00783D28" w:rsidRPr="00A51A17">
        <w:rPr>
          <w:lang w:val="en-US"/>
        </w:rPr>
        <w:t xml:space="preserve"> twice, using the two distinct samples</w:t>
      </w:r>
      <w:r w:rsidR="00A03147" w:rsidRPr="00A51A17">
        <w:rPr>
          <w:lang w:val="en-US"/>
        </w:rPr>
        <w:t xml:space="preserve"> separately</w:t>
      </w:r>
      <w:r w:rsidR="00783D28" w:rsidRPr="00A51A17">
        <w:rPr>
          <w:lang w:val="en-US"/>
        </w:rPr>
        <w:t>. Two p</w:t>
      </w:r>
      <w:r w:rsidR="0017314B" w:rsidRPr="00A51A17">
        <w:rPr>
          <w:lang w:val="en-US"/>
        </w:rPr>
        <w:t>a</w:t>
      </w:r>
      <w:r w:rsidR="00783D28" w:rsidRPr="00A51A17">
        <w:rPr>
          <w:lang w:val="en-US"/>
        </w:rPr>
        <w:t>th analyse</w:t>
      </w:r>
      <w:r w:rsidR="0017314B" w:rsidRPr="00A51A17">
        <w:rPr>
          <w:lang w:val="en-US"/>
        </w:rPr>
        <w:t>s</w:t>
      </w:r>
      <w:r w:rsidR="00783D28" w:rsidRPr="00A51A17">
        <w:rPr>
          <w:lang w:val="en-US"/>
        </w:rPr>
        <w:t xml:space="preserve"> were run</w:t>
      </w:r>
      <w:r w:rsidR="0017314B" w:rsidRPr="00A51A17">
        <w:rPr>
          <w:lang w:val="en-US"/>
        </w:rPr>
        <w:t>, using the Lavaan package (Rosseel, 2012) of software R (R Development Core Team 2013). A single observed score for each construct included in the model was used. The Robust Maximum Likelihood method estimator was used and the Sobel test (Baron &amp; Kenny, 1986; Hayes, 2009) was used to test for mediation. R</w:t>
      </w:r>
      <w:r w:rsidR="0017314B" w:rsidRPr="00A51A17">
        <w:rPr>
          <w:vertAlign w:val="superscript"/>
          <w:lang w:val="en-US"/>
        </w:rPr>
        <w:t>2</w:t>
      </w:r>
      <w:r w:rsidR="0017314B" w:rsidRPr="00A51A17">
        <w:rPr>
          <w:lang w:val="en-US"/>
        </w:rPr>
        <w:t xml:space="preserve"> of each endogenous variable and the Total Coefficient of Determination (TCD; Bollen, 1989; Jӧreskog &amp; Sӧrbom, 1996) were considered in order to evaluate the goodness of fit of the model. In the tested model, </w:t>
      </w:r>
      <w:r w:rsidR="00CC3901" w:rsidRPr="00A51A17">
        <w:rPr>
          <w:lang w:val="en-US"/>
        </w:rPr>
        <w:t>HA</w:t>
      </w:r>
      <w:r w:rsidR="00783D28" w:rsidRPr="00A51A17">
        <w:rPr>
          <w:lang w:val="en-US"/>
        </w:rPr>
        <w:t xml:space="preserve"> and psychological distress</w:t>
      </w:r>
      <w:r w:rsidR="0017314B" w:rsidRPr="00A51A17">
        <w:rPr>
          <w:lang w:val="en-US"/>
        </w:rPr>
        <w:t xml:space="preserve"> were the outcome variables</w:t>
      </w:r>
      <w:r w:rsidR="00783D28" w:rsidRPr="00A51A17">
        <w:rPr>
          <w:lang w:val="en-US"/>
        </w:rPr>
        <w:t>, cyberchondria and PIU</w:t>
      </w:r>
      <w:r w:rsidR="0017314B" w:rsidRPr="00A51A17">
        <w:rPr>
          <w:lang w:val="en-US"/>
        </w:rPr>
        <w:t xml:space="preserve"> were the</w:t>
      </w:r>
      <w:r w:rsidR="00783D28" w:rsidRPr="00A51A17">
        <w:rPr>
          <w:lang w:val="en-US"/>
        </w:rPr>
        <w:t xml:space="preserve"> mediators</w:t>
      </w:r>
      <w:r w:rsidR="0017314B" w:rsidRPr="00A51A17">
        <w:rPr>
          <w:lang w:val="en-US"/>
        </w:rPr>
        <w:t xml:space="preserve">, and </w:t>
      </w:r>
      <w:r w:rsidR="004E2B94" w:rsidRPr="00A51A17">
        <w:rPr>
          <w:bCs/>
          <w:lang w:val="en-US"/>
        </w:rPr>
        <w:t>intolerance of uncertainty</w:t>
      </w:r>
      <w:r w:rsidR="004E2B94" w:rsidRPr="00A51A17">
        <w:rPr>
          <w:lang w:val="en-US"/>
        </w:rPr>
        <w:t xml:space="preserve"> </w:t>
      </w:r>
      <w:r w:rsidR="00783D28" w:rsidRPr="00A51A17">
        <w:rPr>
          <w:lang w:val="en-US"/>
        </w:rPr>
        <w:t>was the independent variable</w:t>
      </w:r>
      <w:r w:rsidR="0017314B" w:rsidRPr="00A51A17">
        <w:rPr>
          <w:lang w:val="en-US"/>
        </w:rPr>
        <w:t xml:space="preserve">, whereas age, gender, having reported </w:t>
      </w:r>
      <w:r w:rsidR="004E2B94" w:rsidRPr="00A51A17">
        <w:rPr>
          <w:lang w:val="en-US"/>
        </w:rPr>
        <w:t>a</w:t>
      </w:r>
      <w:r w:rsidR="0017314B" w:rsidRPr="00A51A17">
        <w:rPr>
          <w:lang w:val="en-US"/>
        </w:rPr>
        <w:t xml:space="preserve"> health condition</w:t>
      </w:r>
      <w:r w:rsidR="00CC4C62" w:rsidRPr="00A51A17">
        <w:rPr>
          <w:lang w:val="en-US"/>
        </w:rPr>
        <w:t xml:space="preserve"> </w:t>
      </w:r>
      <w:r w:rsidR="0017314B" w:rsidRPr="00A51A17">
        <w:rPr>
          <w:lang w:val="en-US"/>
        </w:rPr>
        <w:t xml:space="preserve">were included as control variables on the </w:t>
      </w:r>
      <w:r w:rsidR="00CC740D" w:rsidRPr="00A51A17">
        <w:rPr>
          <w:lang w:val="en-US"/>
        </w:rPr>
        <w:t>two</w:t>
      </w:r>
      <w:r w:rsidR="0017314B" w:rsidRPr="00A51A17">
        <w:rPr>
          <w:lang w:val="en-US"/>
        </w:rPr>
        <w:t xml:space="preserve"> outcomes (Figure 1). </w:t>
      </w:r>
      <w:r w:rsidR="00CF7D1E" w:rsidRPr="00A51A17">
        <w:rPr>
          <w:lang w:val="en-US"/>
        </w:rPr>
        <w:t xml:space="preserve">Moreover, in the model tested on Sample 2, two additional control variables were added, namely quarantine </w:t>
      </w:r>
      <w:r w:rsidR="00B42FE3" w:rsidRPr="00A51A17">
        <w:rPr>
          <w:lang w:val="en-US"/>
        </w:rPr>
        <w:t xml:space="preserve">in the previous 14 days </w:t>
      </w:r>
      <w:r w:rsidR="002F1515" w:rsidRPr="00A51A17">
        <w:rPr>
          <w:lang w:val="en-US"/>
        </w:rPr>
        <w:t>(“no”</w:t>
      </w:r>
      <w:r w:rsidR="00B42FE3" w:rsidRPr="00A51A17">
        <w:rPr>
          <w:lang w:val="en-US"/>
        </w:rPr>
        <w:t xml:space="preserve">/ </w:t>
      </w:r>
      <w:r w:rsidR="002F1515" w:rsidRPr="00A51A17">
        <w:rPr>
          <w:lang w:val="en-US"/>
        </w:rPr>
        <w:t xml:space="preserve">“yes”) </w:t>
      </w:r>
      <w:r w:rsidR="00CF7D1E" w:rsidRPr="00A51A17">
        <w:rPr>
          <w:lang w:val="en-US"/>
        </w:rPr>
        <w:t>and</w:t>
      </w:r>
      <w:r w:rsidR="00B42FE3" w:rsidRPr="00A51A17">
        <w:rPr>
          <w:lang w:val="en-US"/>
        </w:rPr>
        <w:t xml:space="preserve"> frequency of</w:t>
      </w:r>
      <w:r w:rsidR="002F1515" w:rsidRPr="00A51A17">
        <w:rPr>
          <w:lang w:val="en-US"/>
        </w:rPr>
        <w:t xml:space="preserve"> online</w:t>
      </w:r>
      <w:r w:rsidR="00CF7D1E" w:rsidRPr="00A51A17">
        <w:rPr>
          <w:lang w:val="en-US"/>
        </w:rPr>
        <w:t xml:space="preserve"> search</w:t>
      </w:r>
      <w:r w:rsidR="002F1515" w:rsidRPr="00A51A17">
        <w:rPr>
          <w:lang w:val="en-US"/>
        </w:rPr>
        <w:t>ing for COVID-19 related information and news (rated on a 4-point scale (from (1) “never or rarely” to (4) “most of the time”).</w:t>
      </w:r>
    </w:p>
    <w:p w14:paraId="59AA095B" w14:textId="64C8949A" w:rsidR="00173B94" w:rsidRPr="004E7373" w:rsidRDefault="00197FA8" w:rsidP="0012017C">
      <w:pPr>
        <w:spacing w:line="480" w:lineRule="auto"/>
        <w:jc w:val="both"/>
        <w:rPr>
          <w:b/>
          <w:lang w:val="en-US"/>
        </w:rPr>
      </w:pPr>
      <w:r w:rsidRPr="00A51A17">
        <w:rPr>
          <w:b/>
          <w:lang w:val="en-US"/>
        </w:rPr>
        <w:t>R</w:t>
      </w:r>
      <w:r w:rsidR="00B821F2" w:rsidRPr="00A51A17">
        <w:rPr>
          <w:b/>
          <w:lang w:val="en-US"/>
        </w:rPr>
        <w:t>esults</w:t>
      </w:r>
    </w:p>
    <w:p w14:paraId="1E835B00" w14:textId="77777777" w:rsidR="001B62C8" w:rsidRPr="004E7373" w:rsidRDefault="001B62C8" w:rsidP="001B62C8">
      <w:pPr>
        <w:spacing w:line="480" w:lineRule="auto"/>
        <w:ind w:firstLine="567"/>
        <w:rPr>
          <w:lang w:val="en-US"/>
        </w:rPr>
      </w:pPr>
      <w:r w:rsidRPr="004E7373">
        <w:rPr>
          <w:lang w:val="en-US"/>
        </w:rPr>
        <w:t xml:space="preserve">Table 1 shows that Sample 2 was mainly constituted from medically healthy community adults, respecting precautionary measures during the COVID-19 outbreak. About half of the participants reported moderate to extreme concern about their health, and higher than usual and frequent online searching for COVID-19 related information and news. Seventy percent of the sample considered media information reliable, with the vast majority of participants being aware of COVID-19 symptoms and route of transmission. </w:t>
      </w:r>
      <w:r w:rsidRPr="004E7373">
        <w:rPr>
          <w:i/>
          <w:iCs/>
          <w:lang w:val="en-US"/>
        </w:rPr>
        <w:t>[TABLE 1 HERE]</w:t>
      </w:r>
    </w:p>
    <w:p w14:paraId="3046E41F" w14:textId="5CA6ABEB" w:rsidR="001B62C8" w:rsidRPr="004E7373" w:rsidRDefault="001B62C8" w:rsidP="001B62C8">
      <w:pPr>
        <w:spacing w:line="480" w:lineRule="auto"/>
        <w:ind w:firstLine="567"/>
        <w:rPr>
          <w:i/>
          <w:iCs/>
          <w:lang w:val="en-US"/>
        </w:rPr>
      </w:pPr>
      <w:r w:rsidRPr="004E7373">
        <w:rPr>
          <w:lang w:val="en-US"/>
        </w:rPr>
        <w:t>Table 2 shows the means, standard deviations, skewness, kurtosis. The two samples were compared with respect to scores obtained on all study measures. No differences emerged except for scores on the PIU (</w:t>
      </w:r>
      <w:r w:rsidRPr="004E7373">
        <w:rPr>
          <w:i/>
          <w:lang w:val="en-US"/>
        </w:rPr>
        <w:t>t</w:t>
      </w:r>
      <w:r w:rsidRPr="004E7373">
        <w:rPr>
          <w:vertAlign w:val="subscript"/>
          <w:lang w:val="en-US"/>
        </w:rPr>
        <w:t>(1129)</w:t>
      </w:r>
      <w:r w:rsidRPr="004E7373">
        <w:rPr>
          <w:lang w:val="en-US"/>
        </w:rPr>
        <w:t xml:space="preserve">= -5.02, </w:t>
      </w:r>
      <w:r w:rsidRPr="004E7373">
        <w:rPr>
          <w:i/>
          <w:lang w:val="en-US"/>
        </w:rPr>
        <w:t>p</w:t>
      </w:r>
      <w:r w:rsidRPr="004E7373">
        <w:rPr>
          <w:lang w:val="en-US"/>
        </w:rPr>
        <w:t xml:space="preserve"> &lt; .001) and </w:t>
      </w:r>
      <w:r w:rsidRPr="004E7373">
        <w:rPr>
          <w:bCs/>
          <w:lang w:val="en-US"/>
        </w:rPr>
        <w:t>intolerance of uncertainty (</w:t>
      </w:r>
      <w:r w:rsidRPr="004E7373">
        <w:rPr>
          <w:i/>
          <w:lang w:val="en-US"/>
        </w:rPr>
        <w:t>t</w:t>
      </w:r>
      <w:r w:rsidRPr="004E7373">
        <w:rPr>
          <w:vertAlign w:val="subscript"/>
          <w:lang w:val="en-US"/>
        </w:rPr>
        <w:t>(1129)</w:t>
      </w:r>
      <w:r w:rsidRPr="004E7373">
        <w:rPr>
          <w:lang w:val="en-US"/>
        </w:rPr>
        <w:t xml:space="preserve">= -2.63, </w:t>
      </w:r>
      <w:r w:rsidRPr="004E7373">
        <w:rPr>
          <w:i/>
          <w:lang w:val="en-US"/>
        </w:rPr>
        <w:t>p</w:t>
      </w:r>
      <w:r w:rsidRPr="004E7373">
        <w:rPr>
          <w:lang w:val="en-US"/>
        </w:rPr>
        <w:t xml:space="preserve"> = .009): in both cases, Sample 2 scored significantly higher than Sample 1 (Table 2). </w:t>
      </w:r>
      <w:r w:rsidRPr="004E7373">
        <w:rPr>
          <w:i/>
          <w:iCs/>
          <w:lang w:val="en-US"/>
        </w:rPr>
        <w:t>[TABLE 2 HERE]</w:t>
      </w:r>
    </w:p>
    <w:p w14:paraId="2AAA39ED" w14:textId="77777777" w:rsidR="001B62C8" w:rsidRPr="004E7373" w:rsidRDefault="001B62C8" w:rsidP="001B62C8">
      <w:pPr>
        <w:spacing w:line="480" w:lineRule="auto"/>
        <w:ind w:firstLine="567"/>
        <w:rPr>
          <w:lang w:val="en-US"/>
        </w:rPr>
      </w:pPr>
      <w:r w:rsidRPr="004E7373">
        <w:rPr>
          <w:lang w:val="en-US"/>
        </w:rPr>
        <w:t xml:space="preserve">Table 3 shows the bivariate correlations between the variables included in the study for Sample 1 and Sample 2, respectively. </w:t>
      </w:r>
      <w:r w:rsidRPr="004E7373">
        <w:rPr>
          <w:i/>
          <w:iCs/>
          <w:lang w:val="en-US"/>
        </w:rPr>
        <w:t>[TABLE 3 HERE]</w:t>
      </w:r>
    </w:p>
    <w:p w14:paraId="5F7D0992" w14:textId="77777777" w:rsidR="001B62C8" w:rsidRPr="004E7373" w:rsidRDefault="001B62C8" w:rsidP="001B62C8">
      <w:pPr>
        <w:spacing w:line="480" w:lineRule="auto"/>
        <w:ind w:firstLine="567"/>
        <w:rPr>
          <w:lang w:val="en-US"/>
        </w:rPr>
      </w:pPr>
      <w:r w:rsidRPr="004E7373">
        <w:rPr>
          <w:lang w:val="en-US"/>
        </w:rPr>
        <w:t>All of the study variables were correlated with each other in both Samples 1 and 2. Of note is that a large positive correlation was found between cyberchondria and HA (</w:t>
      </w:r>
      <w:r w:rsidRPr="004E7373">
        <w:rPr>
          <w:i/>
          <w:lang w:val="en-US"/>
        </w:rPr>
        <w:t>r</w:t>
      </w:r>
      <w:r w:rsidRPr="004E7373">
        <w:rPr>
          <w:lang w:val="en-US"/>
        </w:rPr>
        <w:t xml:space="preserve"> = .68, </w:t>
      </w:r>
      <w:r w:rsidRPr="004E7373">
        <w:rPr>
          <w:i/>
          <w:lang w:val="en-US"/>
        </w:rPr>
        <w:t>p</w:t>
      </w:r>
      <w:r w:rsidRPr="004E7373">
        <w:rPr>
          <w:lang w:val="en-US"/>
        </w:rPr>
        <w:t xml:space="preserve"> &lt; .001 in both samples). Overall, the strongest correlations were observed between </w:t>
      </w:r>
      <w:r w:rsidRPr="004E7373">
        <w:rPr>
          <w:bCs/>
          <w:lang w:val="en-US"/>
        </w:rPr>
        <w:t>intolerance of uncertainty</w:t>
      </w:r>
      <w:r w:rsidRPr="004E7373">
        <w:rPr>
          <w:lang w:val="en-US"/>
        </w:rPr>
        <w:t>, the outcome variables, and mediators.</w:t>
      </w:r>
    </w:p>
    <w:p w14:paraId="5AE50306" w14:textId="77777777" w:rsidR="001B62C8" w:rsidRPr="004E7373" w:rsidRDefault="001B62C8" w:rsidP="001B62C8">
      <w:pPr>
        <w:spacing w:line="480" w:lineRule="auto"/>
        <w:ind w:firstLine="567"/>
        <w:rPr>
          <w:lang w:val="en-US"/>
        </w:rPr>
      </w:pPr>
      <w:r w:rsidRPr="004E7373">
        <w:rPr>
          <w:lang w:val="en-US"/>
        </w:rPr>
        <w:t xml:space="preserve">Results of the path analyses indicated that the hypothesized model is tenable in both samples (Figure 2). </w:t>
      </w:r>
      <w:r w:rsidRPr="004E7373">
        <w:rPr>
          <w:i/>
          <w:iCs/>
          <w:lang w:val="en-US"/>
        </w:rPr>
        <w:t>[FIGURE 2 HERE]</w:t>
      </w:r>
    </w:p>
    <w:p w14:paraId="1EB1E6FB" w14:textId="1F5BB49D" w:rsidR="001B62C8" w:rsidRPr="004E7373" w:rsidRDefault="001B62C8" w:rsidP="001B62C8">
      <w:pPr>
        <w:spacing w:line="480" w:lineRule="auto"/>
        <w:ind w:firstLine="567"/>
        <w:rPr>
          <w:lang w:val="en-US"/>
        </w:rPr>
      </w:pPr>
      <w:r w:rsidRPr="004E7373">
        <w:rPr>
          <w:lang w:val="en-US"/>
        </w:rPr>
        <w:t xml:space="preserve">Specifically, in Sample 1, </w:t>
      </w:r>
      <w:r w:rsidRPr="004E7373">
        <w:rPr>
          <w:bCs/>
          <w:lang w:val="en-US"/>
        </w:rPr>
        <w:t>intolerance of uncertainty</w:t>
      </w:r>
      <w:r w:rsidRPr="004E7373">
        <w:rPr>
          <w:lang w:val="en-US"/>
        </w:rPr>
        <w:t xml:space="preserve"> was directly associated with psychological distress (</w:t>
      </w:r>
      <w:r w:rsidRPr="004E7373">
        <w:rPr>
          <w:i/>
          <w:lang w:val="en-US"/>
        </w:rPr>
        <w:t>β</w:t>
      </w:r>
      <w:r w:rsidRPr="004E7373">
        <w:rPr>
          <w:lang w:val="en-US"/>
        </w:rPr>
        <w:t xml:space="preserve"> = .31, </w:t>
      </w:r>
      <w:r w:rsidRPr="004E7373">
        <w:rPr>
          <w:i/>
          <w:lang w:val="en-US"/>
        </w:rPr>
        <w:t>p</w:t>
      </w:r>
      <w:r w:rsidRPr="004E7373">
        <w:rPr>
          <w:lang w:val="en-US"/>
        </w:rPr>
        <w:t xml:space="preserve"> &lt; .001) and indirectly via HA (indirect effect: </w:t>
      </w:r>
      <w:r w:rsidRPr="004E7373">
        <w:rPr>
          <w:i/>
          <w:lang w:val="en-US"/>
        </w:rPr>
        <w:t>β</w:t>
      </w:r>
      <w:r w:rsidRPr="004E7373">
        <w:rPr>
          <w:lang w:val="en-US"/>
        </w:rPr>
        <w:t xml:space="preserve"> = .</w:t>
      </w:r>
      <w:r w:rsidR="004D402B" w:rsidRPr="004E7373">
        <w:rPr>
          <w:lang w:val="en-US"/>
        </w:rPr>
        <w:t>0</w:t>
      </w:r>
      <w:r w:rsidRPr="004E7373">
        <w:rPr>
          <w:lang w:val="en-US"/>
        </w:rPr>
        <w:t xml:space="preserve">6, </w:t>
      </w:r>
      <w:r w:rsidRPr="004E7373">
        <w:rPr>
          <w:i/>
          <w:lang w:val="en-US"/>
        </w:rPr>
        <w:t>p</w:t>
      </w:r>
      <w:r w:rsidRPr="004E7373">
        <w:rPr>
          <w:lang w:val="en-US"/>
        </w:rPr>
        <w:t xml:space="preserve"> = .001; association between HA and psychological distress: </w:t>
      </w:r>
      <w:r w:rsidRPr="004E7373">
        <w:rPr>
          <w:i/>
          <w:lang w:val="en-US"/>
        </w:rPr>
        <w:t>β</w:t>
      </w:r>
      <w:r w:rsidRPr="004E7373">
        <w:rPr>
          <w:lang w:val="en-US"/>
        </w:rPr>
        <w:t xml:space="preserve"> = .23, </w:t>
      </w:r>
      <w:r w:rsidRPr="004E7373">
        <w:rPr>
          <w:i/>
          <w:lang w:val="en-US"/>
        </w:rPr>
        <w:t>p</w:t>
      </w:r>
      <w:r w:rsidRPr="004E7373">
        <w:rPr>
          <w:lang w:val="en-US"/>
        </w:rPr>
        <w:t xml:space="preserve"> &lt; .001). Moreover, intolerance of uncertainty was positively associated to cyberchondria (</w:t>
      </w:r>
      <w:r w:rsidRPr="004E7373">
        <w:rPr>
          <w:i/>
          <w:lang w:val="en-US"/>
        </w:rPr>
        <w:t>β</w:t>
      </w:r>
      <w:r w:rsidRPr="004E7373">
        <w:rPr>
          <w:lang w:val="en-US"/>
        </w:rPr>
        <w:t xml:space="preserve"> = .34, </w:t>
      </w:r>
      <w:r w:rsidRPr="004E7373">
        <w:rPr>
          <w:i/>
          <w:lang w:val="en-US"/>
        </w:rPr>
        <w:t>p</w:t>
      </w:r>
      <w:r w:rsidRPr="004E7373">
        <w:rPr>
          <w:lang w:val="en-US"/>
        </w:rPr>
        <w:t xml:space="preserve"> &lt; .001), which in turn was positively associated with HA (</w:t>
      </w:r>
      <w:r w:rsidRPr="004E7373">
        <w:rPr>
          <w:i/>
          <w:lang w:val="en-US"/>
        </w:rPr>
        <w:t>β</w:t>
      </w:r>
      <w:r w:rsidRPr="004E7373">
        <w:rPr>
          <w:lang w:val="en-US"/>
        </w:rPr>
        <w:t xml:space="preserve"> = .60, </w:t>
      </w:r>
      <w:r w:rsidRPr="004E7373">
        <w:rPr>
          <w:i/>
          <w:lang w:val="en-US"/>
        </w:rPr>
        <w:t>p</w:t>
      </w:r>
      <w:r w:rsidRPr="004E7373">
        <w:rPr>
          <w:lang w:val="en-US"/>
        </w:rPr>
        <w:t xml:space="preserve"> &lt; .001) but not with psychological distress (</w:t>
      </w:r>
      <w:r w:rsidRPr="004E7373">
        <w:rPr>
          <w:i/>
          <w:lang w:val="en-US"/>
        </w:rPr>
        <w:t>β</w:t>
      </w:r>
      <w:r w:rsidRPr="004E7373">
        <w:rPr>
          <w:lang w:val="en-US"/>
        </w:rPr>
        <w:t xml:space="preserve"> = -.04, </w:t>
      </w:r>
      <w:r w:rsidRPr="004E7373">
        <w:rPr>
          <w:i/>
          <w:lang w:val="en-US"/>
        </w:rPr>
        <w:t>p</w:t>
      </w:r>
      <w:r w:rsidRPr="004E7373">
        <w:rPr>
          <w:lang w:val="en-US"/>
        </w:rPr>
        <w:t xml:space="preserve"> = .421). Furthermore, </w:t>
      </w:r>
      <w:r w:rsidRPr="004E7373">
        <w:rPr>
          <w:bCs/>
          <w:lang w:val="en-US"/>
        </w:rPr>
        <w:t>intolerance of uncertainty</w:t>
      </w:r>
      <w:r w:rsidRPr="004E7373">
        <w:rPr>
          <w:lang w:val="en-US"/>
        </w:rPr>
        <w:t xml:space="preserve"> was positively associated with PIU (</w:t>
      </w:r>
      <w:r w:rsidRPr="004E7373">
        <w:rPr>
          <w:i/>
          <w:lang w:val="en-US"/>
        </w:rPr>
        <w:t>β</w:t>
      </w:r>
      <w:r w:rsidRPr="004E7373">
        <w:rPr>
          <w:lang w:val="en-US"/>
        </w:rPr>
        <w:t xml:space="preserve"> = .43, </w:t>
      </w:r>
      <w:r w:rsidRPr="004E7373">
        <w:rPr>
          <w:i/>
          <w:lang w:val="en-US"/>
        </w:rPr>
        <w:t>p</w:t>
      </w:r>
      <w:r w:rsidRPr="004E7373">
        <w:rPr>
          <w:lang w:val="en-US"/>
        </w:rPr>
        <w:t xml:space="preserve"> &lt; .001), which was in turn associated with psychological distress (</w:t>
      </w:r>
      <w:r w:rsidRPr="004E7373">
        <w:rPr>
          <w:i/>
          <w:lang w:val="en-US"/>
        </w:rPr>
        <w:t>β</w:t>
      </w:r>
      <w:r w:rsidRPr="004E7373">
        <w:rPr>
          <w:lang w:val="en-US"/>
        </w:rPr>
        <w:t xml:space="preserve"> = .21, </w:t>
      </w:r>
      <w:r w:rsidRPr="004E7373">
        <w:rPr>
          <w:i/>
          <w:lang w:val="en-US"/>
        </w:rPr>
        <w:t>p</w:t>
      </w:r>
      <w:r w:rsidRPr="004E7373">
        <w:rPr>
          <w:lang w:val="en-US"/>
        </w:rPr>
        <w:t xml:space="preserve"> &lt; .001) but not with HA (</w:t>
      </w:r>
      <w:r w:rsidRPr="004E7373">
        <w:rPr>
          <w:i/>
          <w:lang w:val="en-US"/>
        </w:rPr>
        <w:t>β</w:t>
      </w:r>
      <w:r w:rsidRPr="004E7373">
        <w:rPr>
          <w:lang w:val="en-US"/>
        </w:rPr>
        <w:t xml:space="preserve"> = -.02, </w:t>
      </w:r>
      <w:r w:rsidRPr="004E7373">
        <w:rPr>
          <w:i/>
          <w:lang w:val="en-US"/>
        </w:rPr>
        <w:t>p</w:t>
      </w:r>
      <w:r w:rsidRPr="004E7373">
        <w:rPr>
          <w:lang w:val="en-US"/>
        </w:rPr>
        <w:t xml:space="preserve"> = .604) (hypothesis 1). </w:t>
      </w:r>
    </w:p>
    <w:p w14:paraId="29F6F0F2" w14:textId="77777777" w:rsidR="001B62C8" w:rsidRPr="004E7373" w:rsidRDefault="001B62C8" w:rsidP="001B62C8">
      <w:pPr>
        <w:spacing w:line="480" w:lineRule="auto"/>
        <w:ind w:firstLine="567"/>
        <w:rPr>
          <w:lang w:val="en-US"/>
        </w:rPr>
      </w:pPr>
      <w:r w:rsidRPr="004E7373">
        <w:rPr>
          <w:lang w:val="en-US"/>
        </w:rPr>
        <w:t>With regards to Sample 2, the paths were similar to the ones observed in Sample 1 with the exception of the association between cyberchondria and psychological distress, which was significant in Sample 2 (</w:t>
      </w:r>
      <w:r w:rsidRPr="004E7373">
        <w:rPr>
          <w:i/>
          <w:lang w:val="en-US"/>
        </w:rPr>
        <w:t>β</w:t>
      </w:r>
      <w:r w:rsidRPr="004E7373">
        <w:rPr>
          <w:lang w:val="en-US"/>
        </w:rPr>
        <w:t xml:space="preserve"> = .17, </w:t>
      </w:r>
      <w:r w:rsidRPr="004E7373">
        <w:rPr>
          <w:i/>
          <w:lang w:val="en-US"/>
        </w:rPr>
        <w:t>p</w:t>
      </w:r>
      <w:r w:rsidRPr="004E7373">
        <w:rPr>
          <w:lang w:val="en-US"/>
        </w:rPr>
        <w:t xml:space="preserve"> &lt; .01) but non-significant in Sample 1. Moreover, the two COVID-19-related control variables (quarantine and frequency of online searching for COVID-19 information) were not associated with HA (quarantine: </w:t>
      </w:r>
      <w:r w:rsidRPr="004E7373">
        <w:rPr>
          <w:i/>
          <w:lang w:val="en-US"/>
        </w:rPr>
        <w:t>β</w:t>
      </w:r>
      <w:r w:rsidRPr="004E7373">
        <w:rPr>
          <w:lang w:val="en-US"/>
        </w:rPr>
        <w:t xml:space="preserve"> = .03, </w:t>
      </w:r>
      <w:r w:rsidRPr="004E7373">
        <w:rPr>
          <w:i/>
          <w:lang w:val="en-US"/>
        </w:rPr>
        <w:t>p</w:t>
      </w:r>
      <w:r w:rsidRPr="004E7373">
        <w:rPr>
          <w:lang w:val="en-US"/>
        </w:rPr>
        <w:t xml:space="preserve"> = .412; online searching for COVID-19 information: </w:t>
      </w:r>
      <w:r w:rsidRPr="004E7373">
        <w:rPr>
          <w:i/>
          <w:lang w:val="en-US"/>
        </w:rPr>
        <w:t>β</w:t>
      </w:r>
      <w:r w:rsidRPr="004E7373">
        <w:rPr>
          <w:lang w:val="en-US"/>
        </w:rPr>
        <w:t xml:space="preserve"> = .03, </w:t>
      </w:r>
      <w:r w:rsidRPr="004E7373">
        <w:rPr>
          <w:i/>
          <w:lang w:val="en-US"/>
        </w:rPr>
        <w:t>p</w:t>
      </w:r>
      <w:r w:rsidRPr="004E7373">
        <w:rPr>
          <w:lang w:val="en-US"/>
        </w:rPr>
        <w:t xml:space="preserve"> = .405) nor psychological distress (quarantine: </w:t>
      </w:r>
      <w:r w:rsidRPr="004E7373">
        <w:rPr>
          <w:i/>
          <w:lang w:val="en-US"/>
        </w:rPr>
        <w:t>β</w:t>
      </w:r>
      <w:r w:rsidRPr="004E7373">
        <w:rPr>
          <w:lang w:val="en-US"/>
        </w:rPr>
        <w:t xml:space="preserve"> = .01, </w:t>
      </w:r>
      <w:r w:rsidRPr="004E7373">
        <w:rPr>
          <w:i/>
          <w:lang w:val="en-US"/>
        </w:rPr>
        <w:t>p</w:t>
      </w:r>
      <w:r w:rsidRPr="004E7373">
        <w:rPr>
          <w:lang w:val="en-US"/>
        </w:rPr>
        <w:t xml:space="preserve"> = .758; online searching for COVID-19 information: </w:t>
      </w:r>
      <w:r w:rsidRPr="004E7373">
        <w:rPr>
          <w:i/>
          <w:lang w:val="en-US"/>
        </w:rPr>
        <w:t>β</w:t>
      </w:r>
      <w:r w:rsidRPr="004E7373">
        <w:rPr>
          <w:lang w:val="en-US"/>
        </w:rPr>
        <w:t xml:space="preserve"> = -.001, </w:t>
      </w:r>
      <w:r w:rsidRPr="004E7373">
        <w:rPr>
          <w:i/>
          <w:lang w:val="en-US"/>
        </w:rPr>
        <w:t>p</w:t>
      </w:r>
      <w:r w:rsidRPr="004E7373">
        <w:rPr>
          <w:lang w:val="en-US"/>
        </w:rPr>
        <w:t xml:space="preserve"> = .971). </w:t>
      </w:r>
    </w:p>
    <w:p w14:paraId="01862B84" w14:textId="77777777" w:rsidR="001B62C8" w:rsidRPr="004E7373" w:rsidRDefault="001B62C8" w:rsidP="001B62C8">
      <w:pPr>
        <w:spacing w:line="480" w:lineRule="auto"/>
        <w:ind w:firstLine="567"/>
        <w:rPr>
          <w:i/>
          <w:iCs/>
          <w:lang w:val="en-US"/>
        </w:rPr>
      </w:pPr>
      <w:r w:rsidRPr="004E7373">
        <w:rPr>
          <w:lang w:val="en-US"/>
        </w:rPr>
        <w:t xml:space="preserve">As shown in Table 4, in both Samples 1 and 2, several indirect associations were found to be significant. As an example, results of the Sobel test supported the mediating role of cyberchondria in the association between </w:t>
      </w:r>
      <w:r w:rsidRPr="004E7373">
        <w:rPr>
          <w:bCs/>
          <w:lang w:val="en-US"/>
        </w:rPr>
        <w:t>intolerance of uncertainty</w:t>
      </w:r>
      <w:r w:rsidRPr="004E7373">
        <w:rPr>
          <w:lang w:val="en-US"/>
        </w:rPr>
        <w:t xml:space="preserve"> and HA (Sample 1: </w:t>
      </w:r>
      <w:r w:rsidRPr="004E7373">
        <w:rPr>
          <w:i/>
          <w:lang w:val="en-US"/>
        </w:rPr>
        <w:t>β</w:t>
      </w:r>
      <w:r w:rsidRPr="004E7373">
        <w:rPr>
          <w:lang w:val="en-US"/>
        </w:rPr>
        <w:t xml:space="preserve"> = .20, </w:t>
      </w:r>
      <w:r w:rsidRPr="004E7373">
        <w:rPr>
          <w:i/>
          <w:lang w:val="en-US"/>
        </w:rPr>
        <w:t>p</w:t>
      </w:r>
      <w:r w:rsidRPr="004E7373">
        <w:rPr>
          <w:lang w:val="en-US"/>
        </w:rPr>
        <w:t xml:space="preserve"> &lt; .001; Sample 2: </w:t>
      </w:r>
      <w:r w:rsidRPr="004E7373">
        <w:rPr>
          <w:i/>
          <w:lang w:val="en-US"/>
        </w:rPr>
        <w:t>β</w:t>
      </w:r>
      <w:r w:rsidRPr="004E7373">
        <w:rPr>
          <w:lang w:val="en-US"/>
        </w:rPr>
        <w:t xml:space="preserve"> = .21, </w:t>
      </w:r>
      <w:r w:rsidRPr="004E7373">
        <w:rPr>
          <w:i/>
          <w:lang w:val="en-US"/>
        </w:rPr>
        <w:t>p</w:t>
      </w:r>
      <w:r w:rsidRPr="004E7373">
        <w:rPr>
          <w:lang w:val="en-US"/>
        </w:rPr>
        <w:t xml:space="preserve"> &lt; .001) (hypothesis 2) and the mediating role of PIU in the association between </w:t>
      </w:r>
      <w:r w:rsidRPr="004E7373">
        <w:rPr>
          <w:bCs/>
          <w:lang w:val="en-US"/>
        </w:rPr>
        <w:t>intolerance of uncertainty</w:t>
      </w:r>
      <w:r w:rsidRPr="004E7373">
        <w:rPr>
          <w:lang w:val="en-US"/>
        </w:rPr>
        <w:t xml:space="preserve"> and psychological distress (Sample 1: </w:t>
      </w:r>
      <w:r w:rsidRPr="004E7373">
        <w:rPr>
          <w:i/>
          <w:lang w:val="en-US"/>
        </w:rPr>
        <w:t>β</w:t>
      </w:r>
      <w:r w:rsidRPr="004E7373">
        <w:rPr>
          <w:lang w:val="en-US"/>
        </w:rPr>
        <w:t xml:space="preserve"> = .09, </w:t>
      </w:r>
      <w:r w:rsidRPr="004E7373">
        <w:rPr>
          <w:i/>
          <w:lang w:val="en-US"/>
        </w:rPr>
        <w:t>p</w:t>
      </w:r>
      <w:r w:rsidRPr="004E7373">
        <w:rPr>
          <w:lang w:val="en-US"/>
        </w:rPr>
        <w:t xml:space="preserve"> &lt; .001; Sample 2: </w:t>
      </w:r>
      <w:r w:rsidRPr="004E7373">
        <w:rPr>
          <w:i/>
          <w:lang w:val="en-US"/>
        </w:rPr>
        <w:t>β</w:t>
      </w:r>
      <w:r w:rsidRPr="004E7373">
        <w:rPr>
          <w:lang w:val="en-US"/>
        </w:rPr>
        <w:t xml:space="preserve"> = .06, </w:t>
      </w:r>
      <w:r w:rsidRPr="004E7373">
        <w:rPr>
          <w:i/>
          <w:lang w:val="en-US"/>
        </w:rPr>
        <w:t>p</w:t>
      </w:r>
      <w:r w:rsidRPr="004E7373">
        <w:rPr>
          <w:lang w:val="en-US"/>
        </w:rPr>
        <w:t xml:space="preserve"> = .002) (hypothesis 3). </w:t>
      </w:r>
      <w:r w:rsidRPr="004E7373">
        <w:rPr>
          <w:i/>
          <w:iCs/>
          <w:lang w:val="en-US"/>
        </w:rPr>
        <w:t>[TABLE 4 HERE]</w:t>
      </w:r>
    </w:p>
    <w:p w14:paraId="1BFB0E61" w14:textId="09636736" w:rsidR="001B62C8" w:rsidRPr="00266519" w:rsidRDefault="001B62C8" w:rsidP="001B62C8">
      <w:pPr>
        <w:spacing w:line="480" w:lineRule="auto"/>
        <w:ind w:firstLine="567"/>
        <w:rPr>
          <w:lang w:val="en-US"/>
        </w:rPr>
      </w:pPr>
      <w:r w:rsidRPr="004E7373">
        <w:rPr>
          <w:lang w:val="en-US"/>
        </w:rPr>
        <w:t xml:space="preserve">With regards to model fit, in Sample 1, the model accounted for considerable amount of variance for the outcomes (i.e., 52% of the variance for health anxiety, 35% of the variance for psychological distress). As regard mediators, the model accounted for lower variance (11% for </w:t>
      </w:r>
      <w:r w:rsidRPr="00266519">
        <w:rPr>
          <w:lang w:val="en-US"/>
        </w:rPr>
        <w:t>cyberchondria and 18% of the variance for PIU). Similarly, in Sample 2, the model accounted for a considerable amount of variance for the outcomes (i.e., 55% of the variance for health anxiety, 34% of the variance for psychological distress). As regard mediators, the model accounted for lower variance (14% for cyberchondria and 16% of the variance for PIU). Finally, the total amount of variance explained by the model (Total Coefficient of Determination) in Sample 1 (TCD = .41) and in Sample 2 (TCD = .41) indicated a good fit to the observed data. Indeed, these TCD correspond to a correlation of r = .64, which can be considered medium to large effect sizes (Cohen, 1988).</w:t>
      </w:r>
    </w:p>
    <w:p w14:paraId="7050ED1B" w14:textId="7DF9C111" w:rsidR="00C45A82" w:rsidRPr="00A51A17" w:rsidRDefault="00F86926" w:rsidP="00EC7E64">
      <w:pPr>
        <w:spacing w:line="480" w:lineRule="auto"/>
        <w:rPr>
          <w:b/>
          <w:lang w:val="en-US"/>
        </w:rPr>
      </w:pPr>
      <w:r w:rsidRPr="00A51A17">
        <w:rPr>
          <w:b/>
          <w:lang w:val="en-US"/>
        </w:rPr>
        <w:t>D</w:t>
      </w:r>
      <w:r w:rsidR="00F00FE9" w:rsidRPr="00A51A17">
        <w:rPr>
          <w:b/>
          <w:lang w:val="en-US"/>
        </w:rPr>
        <w:t>iscussion</w:t>
      </w:r>
    </w:p>
    <w:p w14:paraId="2580F79E" w14:textId="54BE4701" w:rsidR="00AA67C8" w:rsidRPr="00A51A17" w:rsidRDefault="00C45A82" w:rsidP="00EC7E64">
      <w:pPr>
        <w:spacing w:line="480" w:lineRule="auto"/>
        <w:ind w:firstLine="567"/>
        <w:rPr>
          <w:lang w:val="en-US"/>
        </w:rPr>
      </w:pPr>
      <w:r w:rsidRPr="00A51A17">
        <w:rPr>
          <w:b/>
          <w:lang w:val="en-US"/>
        </w:rPr>
        <w:tab/>
      </w:r>
      <w:r w:rsidR="00396CE0" w:rsidRPr="00A51A17">
        <w:rPr>
          <w:lang w:val="en-US"/>
        </w:rPr>
        <w:t>Overall current findings support the model under examination</w:t>
      </w:r>
      <w:r w:rsidR="00B055D4" w:rsidRPr="00A51A17">
        <w:rPr>
          <w:lang w:val="en-US"/>
        </w:rPr>
        <w:t xml:space="preserve">, </w:t>
      </w:r>
      <w:r w:rsidR="007456F9" w:rsidRPr="00A51A17">
        <w:rPr>
          <w:lang w:val="en-US"/>
        </w:rPr>
        <w:t xml:space="preserve">as </w:t>
      </w:r>
      <w:r w:rsidR="000E6139" w:rsidRPr="00A51A17">
        <w:rPr>
          <w:lang w:val="en-US"/>
        </w:rPr>
        <w:t xml:space="preserve">significant </w:t>
      </w:r>
      <w:r w:rsidR="00AA67C8" w:rsidRPr="00A51A17">
        <w:rPr>
          <w:lang w:val="en-US"/>
        </w:rPr>
        <w:t>d</w:t>
      </w:r>
      <w:r w:rsidR="00396CE0" w:rsidRPr="00A51A17">
        <w:rPr>
          <w:lang w:val="en-US"/>
        </w:rPr>
        <w:t xml:space="preserve">irect and indirect associations </w:t>
      </w:r>
      <w:r w:rsidRPr="00A51A17">
        <w:rPr>
          <w:lang w:val="en-US"/>
        </w:rPr>
        <w:t xml:space="preserve">between </w:t>
      </w:r>
      <w:r w:rsidR="004E2B94" w:rsidRPr="00A51A17">
        <w:rPr>
          <w:bCs/>
          <w:lang w:val="en-US"/>
        </w:rPr>
        <w:t>intolerance of uncertainty</w:t>
      </w:r>
      <w:r w:rsidRPr="00A51A17">
        <w:rPr>
          <w:lang w:val="en-US"/>
        </w:rPr>
        <w:t xml:space="preserve">, HA, and psychological distress through PIU and cyberchondria </w:t>
      </w:r>
      <w:r w:rsidR="00396CE0" w:rsidRPr="00A51A17">
        <w:rPr>
          <w:lang w:val="en-US"/>
        </w:rPr>
        <w:t>emerged</w:t>
      </w:r>
      <w:r w:rsidR="00B055D4" w:rsidRPr="00A51A17">
        <w:rPr>
          <w:lang w:val="en-US"/>
        </w:rPr>
        <w:t xml:space="preserve"> in both samples</w:t>
      </w:r>
      <w:r w:rsidR="00C71367" w:rsidRPr="00A51A17">
        <w:rPr>
          <w:lang w:val="en-US"/>
        </w:rPr>
        <w:t xml:space="preserve">. </w:t>
      </w:r>
      <w:r w:rsidR="00AA67C8" w:rsidRPr="00A51A17">
        <w:rPr>
          <w:lang w:val="en-US"/>
        </w:rPr>
        <w:t>Conceptually, the personality dimension of neuroticism may account for the complex interplay between these constructs</w:t>
      </w:r>
      <w:r w:rsidR="0089191B" w:rsidRPr="00A51A17">
        <w:rPr>
          <w:lang w:val="en-US"/>
        </w:rPr>
        <w:t xml:space="preserve">: </w:t>
      </w:r>
      <w:r w:rsidR="00B055D4" w:rsidRPr="00A51A17">
        <w:rPr>
          <w:lang w:val="en-US"/>
        </w:rPr>
        <w:t xml:space="preserve">indeed, </w:t>
      </w:r>
      <w:r w:rsidR="004E2B94" w:rsidRPr="00A51A17">
        <w:rPr>
          <w:bCs/>
          <w:lang w:val="en-US"/>
        </w:rPr>
        <w:t>intolerance of uncertainty</w:t>
      </w:r>
      <w:r w:rsidR="004E2B94" w:rsidRPr="00A51A17">
        <w:rPr>
          <w:lang w:val="en-US"/>
        </w:rPr>
        <w:t xml:space="preserve"> </w:t>
      </w:r>
      <w:r w:rsidRPr="00A51A17">
        <w:rPr>
          <w:lang w:val="en-US"/>
        </w:rPr>
        <w:t xml:space="preserve">is considered as </w:t>
      </w:r>
      <w:r w:rsidR="00AA67C8" w:rsidRPr="00A51A17">
        <w:rPr>
          <w:lang w:val="en-US"/>
        </w:rPr>
        <w:t xml:space="preserve">a </w:t>
      </w:r>
      <w:r w:rsidRPr="00A51A17">
        <w:rPr>
          <w:lang w:val="en-US"/>
        </w:rPr>
        <w:t xml:space="preserve">core </w:t>
      </w:r>
      <w:r w:rsidR="002D0BAA" w:rsidRPr="00A51A17">
        <w:rPr>
          <w:lang w:val="en-US"/>
        </w:rPr>
        <w:t>predisposition</w:t>
      </w:r>
      <w:r w:rsidRPr="00A51A17">
        <w:rPr>
          <w:lang w:val="en-US"/>
        </w:rPr>
        <w:t xml:space="preserve"> originating from </w:t>
      </w:r>
      <w:r w:rsidR="0089191B" w:rsidRPr="00A51A17">
        <w:rPr>
          <w:lang w:val="en-US"/>
        </w:rPr>
        <w:t>neuroticism</w:t>
      </w:r>
      <w:r w:rsidRPr="00A51A17">
        <w:rPr>
          <w:lang w:val="en-US"/>
        </w:rPr>
        <w:t xml:space="preserve"> (Carleton, 2016; Norton &amp; Mehta, 2007), </w:t>
      </w:r>
      <w:r w:rsidR="0089191B" w:rsidRPr="00A51A17">
        <w:rPr>
          <w:lang w:val="en-US"/>
        </w:rPr>
        <w:t xml:space="preserve">which </w:t>
      </w:r>
      <w:r w:rsidR="00AA67C8" w:rsidRPr="00A51A17">
        <w:rPr>
          <w:lang w:val="en-US"/>
        </w:rPr>
        <w:t>is also</w:t>
      </w:r>
      <w:r w:rsidRPr="00A51A17">
        <w:rPr>
          <w:lang w:val="en-US"/>
        </w:rPr>
        <w:t xml:space="preserve"> </w:t>
      </w:r>
      <w:r w:rsidR="00AA67C8" w:rsidRPr="00A51A17">
        <w:rPr>
          <w:lang w:val="en-US"/>
        </w:rPr>
        <w:t>strongly</w:t>
      </w:r>
      <w:r w:rsidRPr="00A51A17">
        <w:rPr>
          <w:lang w:val="en-US"/>
        </w:rPr>
        <w:t xml:space="preserve"> associated with PIU (Koronczai et al., 2019) and cyberchondria (</w:t>
      </w:r>
      <w:r w:rsidRPr="00A51A17">
        <w:rPr>
          <w:shd w:val="clear" w:color="auto" w:fill="FFFFFF"/>
          <w:lang w:val="en-US"/>
        </w:rPr>
        <w:t>Bajcar &amp; Babiak, 2020</w:t>
      </w:r>
      <w:r w:rsidRPr="00A51A17">
        <w:rPr>
          <w:lang w:val="en-US"/>
        </w:rPr>
        <w:t>).</w:t>
      </w:r>
      <w:r w:rsidR="00AA67C8" w:rsidRPr="00A51A17">
        <w:rPr>
          <w:lang w:val="en-US"/>
        </w:rPr>
        <w:t xml:space="preserve"> Consequently, our results are fully consistent with research documenting the role of </w:t>
      </w:r>
      <w:r w:rsidR="004E2B94" w:rsidRPr="00A51A17">
        <w:rPr>
          <w:bCs/>
          <w:lang w:val="en-US"/>
        </w:rPr>
        <w:t>intolerance of uncertainty</w:t>
      </w:r>
      <w:r w:rsidR="004E2B94" w:rsidRPr="00A51A17">
        <w:rPr>
          <w:lang w:val="en-US"/>
        </w:rPr>
        <w:t xml:space="preserve"> </w:t>
      </w:r>
      <w:r w:rsidR="00AA67C8" w:rsidRPr="00A51A17">
        <w:rPr>
          <w:lang w:val="en-US"/>
        </w:rPr>
        <w:t>as a transdiagnostic vulnerability factor spanning several clinical phenotypes (</w:t>
      </w:r>
      <w:r w:rsidR="00AA67C8" w:rsidRPr="00A51A17">
        <w:rPr>
          <w:bCs/>
          <w:lang w:val="en-US"/>
        </w:rPr>
        <w:t>McEvoy et al., 2019; Shihata et al., 2016</w:t>
      </w:r>
      <w:r w:rsidR="00AA67C8" w:rsidRPr="00A51A17">
        <w:rPr>
          <w:lang w:val="en-US"/>
        </w:rPr>
        <w:t>).</w:t>
      </w:r>
    </w:p>
    <w:p w14:paraId="320E7EAF" w14:textId="30FF5A25" w:rsidR="005A7051" w:rsidRPr="00A51A17" w:rsidRDefault="00AA67C8" w:rsidP="00EC7E64">
      <w:pPr>
        <w:spacing w:line="480" w:lineRule="auto"/>
        <w:ind w:firstLine="567"/>
        <w:rPr>
          <w:lang w:val="en-US"/>
        </w:rPr>
      </w:pPr>
      <w:r w:rsidRPr="00A51A17">
        <w:rPr>
          <w:lang w:val="en-US"/>
        </w:rPr>
        <w:t xml:space="preserve">PIU mediated the path from </w:t>
      </w:r>
      <w:r w:rsidR="004E2B94" w:rsidRPr="00A51A17">
        <w:rPr>
          <w:bCs/>
          <w:lang w:val="en-US"/>
        </w:rPr>
        <w:t>intolerance of uncertainty</w:t>
      </w:r>
      <w:r w:rsidR="004E2B94" w:rsidRPr="00A51A17">
        <w:rPr>
          <w:lang w:val="en-US"/>
        </w:rPr>
        <w:t xml:space="preserve"> </w:t>
      </w:r>
      <w:r w:rsidRPr="00A51A17">
        <w:rPr>
          <w:lang w:val="en-US"/>
        </w:rPr>
        <w:t xml:space="preserve">to psychological distress </w:t>
      </w:r>
      <w:r w:rsidR="00B055D4" w:rsidRPr="00A51A17">
        <w:rPr>
          <w:lang w:val="en-US"/>
        </w:rPr>
        <w:t xml:space="preserve">both in non-pandemic times and during </w:t>
      </w:r>
      <w:r w:rsidR="000D7B70" w:rsidRPr="00A51A17">
        <w:rPr>
          <w:lang w:val="en-US"/>
        </w:rPr>
        <w:t xml:space="preserve">the </w:t>
      </w:r>
      <w:r w:rsidR="00B055D4" w:rsidRPr="00A51A17">
        <w:rPr>
          <w:lang w:val="en-US"/>
        </w:rPr>
        <w:t>COVID-19 lockdown.</w:t>
      </w:r>
      <w:r w:rsidR="000E6139" w:rsidRPr="00A51A17">
        <w:rPr>
          <w:lang w:val="en-US"/>
        </w:rPr>
        <w:t xml:space="preserve"> </w:t>
      </w:r>
      <w:r w:rsidR="00B055D4" w:rsidRPr="00A51A17">
        <w:rPr>
          <w:lang w:val="en-US"/>
        </w:rPr>
        <w:t xml:space="preserve">This finding </w:t>
      </w:r>
      <w:r w:rsidR="007456F9" w:rsidRPr="00A51A17">
        <w:rPr>
          <w:lang w:val="en-US"/>
        </w:rPr>
        <w:t>confirms</w:t>
      </w:r>
      <w:r w:rsidR="00B055D4" w:rsidRPr="00A51A17">
        <w:rPr>
          <w:lang w:val="en-US"/>
        </w:rPr>
        <w:t xml:space="preserve"> </w:t>
      </w:r>
      <w:r w:rsidRPr="00A51A17">
        <w:rPr>
          <w:lang w:val="en-US"/>
        </w:rPr>
        <w:t xml:space="preserve">that </w:t>
      </w:r>
      <w:r w:rsidR="00B055D4" w:rsidRPr="00A51A17">
        <w:rPr>
          <w:lang w:val="en-US"/>
        </w:rPr>
        <w:t xml:space="preserve">increasing connectivity may facilitate the </w:t>
      </w:r>
      <w:r w:rsidRPr="00A51A17">
        <w:rPr>
          <w:lang w:val="en-US"/>
        </w:rPr>
        <w:t>engage</w:t>
      </w:r>
      <w:r w:rsidR="00B055D4" w:rsidRPr="00A51A17">
        <w:rPr>
          <w:lang w:val="en-US"/>
        </w:rPr>
        <w:t>ment</w:t>
      </w:r>
      <w:r w:rsidRPr="00A51A17">
        <w:rPr>
          <w:lang w:val="en-US"/>
        </w:rPr>
        <w:t xml:space="preserve"> </w:t>
      </w:r>
      <w:r w:rsidR="00B055D4" w:rsidRPr="00A51A17">
        <w:rPr>
          <w:lang w:val="en-US"/>
        </w:rPr>
        <w:t>with</w:t>
      </w:r>
      <w:r w:rsidRPr="00A51A17">
        <w:rPr>
          <w:lang w:val="en-US"/>
        </w:rPr>
        <w:t xml:space="preserve"> excessive Internet use to </w:t>
      </w:r>
      <w:r w:rsidR="001146CC" w:rsidRPr="00A51A17">
        <w:rPr>
          <w:lang w:val="en-US"/>
        </w:rPr>
        <w:t>manage uncertainty</w:t>
      </w:r>
      <w:r w:rsidR="000E6139" w:rsidRPr="00A51A17">
        <w:rPr>
          <w:lang w:val="en-US"/>
        </w:rPr>
        <w:t>,</w:t>
      </w:r>
      <w:r w:rsidR="00FC4B2B" w:rsidRPr="00A51A17">
        <w:rPr>
          <w:lang w:val="en-US"/>
        </w:rPr>
        <w:t xml:space="preserve"> </w:t>
      </w:r>
      <w:r w:rsidR="00B055D4" w:rsidRPr="00A51A17">
        <w:rPr>
          <w:lang w:val="en-US"/>
        </w:rPr>
        <w:t>independent</w:t>
      </w:r>
      <w:r w:rsidR="008570AC" w:rsidRPr="00A51A17">
        <w:rPr>
          <w:lang w:val="en-US"/>
        </w:rPr>
        <w:t>ly</w:t>
      </w:r>
      <w:r w:rsidR="00B055D4" w:rsidRPr="00A51A17">
        <w:rPr>
          <w:lang w:val="en-US"/>
        </w:rPr>
        <w:t xml:space="preserve"> of </w:t>
      </w:r>
      <w:r w:rsidR="00F27994" w:rsidRPr="00A51A17">
        <w:rPr>
          <w:lang w:val="en-US"/>
        </w:rPr>
        <w:t>real-</w:t>
      </w:r>
      <w:r w:rsidR="00B055D4" w:rsidRPr="00A51A17">
        <w:rPr>
          <w:lang w:val="en-US"/>
        </w:rPr>
        <w:t xml:space="preserve">life </w:t>
      </w:r>
      <w:r w:rsidR="00F27994" w:rsidRPr="00A51A17">
        <w:rPr>
          <w:lang w:val="en-US"/>
        </w:rPr>
        <w:t>uncertain events</w:t>
      </w:r>
      <w:r w:rsidR="00B055D4" w:rsidRPr="00A51A17">
        <w:rPr>
          <w:lang w:val="en-US"/>
        </w:rPr>
        <w:t xml:space="preserve"> </w:t>
      </w:r>
      <w:r w:rsidR="00FC4B2B" w:rsidRPr="00A51A17">
        <w:rPr>
          <w:lang w:val="en-US"/>
        </w:rPr>
        <w:t>(Carleton et al., 2019)</w:t>
      </w:r>
      <w:r w:rsidR="00F27994" w:rsidRPr="00A51A17">
        <w:rPr>
          <w:lang w:val="en-US"/>
        </w:rPr>
        <w:t>. H</w:t>
      </w:r>
      <w:r w:rsidR="008A2FE7" w:rsidRPr="00A51A17">
        <w:rPr>
          <w:lang w:val="en-US"/>
        </w:rPr>
        <w:t xml:space="preserve">owever, it is to note that Sample 2 reported higher levels of PIU than Sample 1, </w:t>
      </w:r>
      <w:r w:rsidR="001146CC" w:rsidRPr="00A51A17">
        <w:rPr>
          <w:lang w:val="en-US"/>
        </w:rPr>
        <w:t>in line</w:t>
      </w:r>
      <w:r w:rsidR="008A2FE7" w:rsidRPr="00A51A17">
        <w:rPr>
          <w:lang w:val="en-US"/>
        </w:rPr>
        <w:t xml:space="preserve"> with studies that showed increases in Internet </w:t>
      </w:r>
      <w:r w:rsidR="00F074E5" w:rsidRPr="00A51A17">
        <w:rPr>
          <w:lang w:val="en-US"/>
        </w:rPr>
        <w:t>and digital media use</w:t>
      </w:r>
      <w:r w:rsidR="008A2FE7" w:rsidRPr="00A51A17">
        <w:rPr>
          <w:lang w:val="en-US"/>
        </w:rPr>
        <w:t xml:space="preserve"> during local lockdowns (</w:t>
      </w:r>
      <w:r w:rsidR="00F27994" w:rsidRPr="00A51A17">
        <w:rPr>
          <w:lang w:val="en-US"/>
        </w:rPr>
        <w:t>Cellini et al., 2020; Dixit et al., 2020)</w:t>
      </w:r>
      <w:r w:rsidR="00223DB4" w:rsidRPr="00A51A17">
        <w:rPr>
          <w:lang w:val="en-US"/>
        </w:rPr>
        <w:t>.</w:t>
      </w:r>
      <w:r w:rsidR="008A2FE7" w:rsidRPr="00A51A17">
        <w:rPr>
          <w:lang w:val="en-US"/>
        </w:rPr>
        <w:t xml:space="preserve"> </w:t>
      </w:r>
      <w:r w:rsidRPr="00A51A17">
        <w:rPr>
          <w:lang w:val="en-US"/>
        </w:rPr>
        <w:t>PIU is likely to function both as an under-engagement (</w:t>
      </w:r>
      <w:r w:rsidR="00EC7E64" w:rsidRPr="00A51A17">
        <w:rPr>
          <w:lang w:val="en-US"/>
        </w:rPr>
        <w:t>e.g.,</w:t>
      </w:r>
      <w:r w:rsidRPr="00A51A17">
        <w:rPr>
          <w:lang w:val="en-US"/>
        </w:rPr>
        <w:t xml:space="preserve"> </w:t>
      </w:r>
      <w:r w:rsidR="0089191B" w:rsidRPr="00A51A17">
        <w:rPr>
          <w:lang w:val="en-US"/>
        </w:rPr>
        <w:t>online social interactions or online gaming to reduce</w:t>
      </w:r>
      <w:r w:rsidR="00223DB4" w:rsidRPr="00A51A17">
        <w:rPr>
          <w:lang w:val="en-US"/>
        </w:rPr>
        <w:t xml:space="preserve"> and/or distract from uncertainty) and an over-engagement (</w:t>
      </w:r>
      <w:r w:rsidR="00EC7E64" w:rsidRPr="00A51A17">
        <w:rPr>
          <w:lang w:val="en-US"/>
        </w:rPr>
        <w:t>e.g.,</w:t>
      </w:r>
      <w:r w:rsidR="00223DB4" w:rsidRPr="00A51A17">
        <w:rPr>
          <w:lang w:val="en-US"/>
        </w:rPr>
        <w:t xml:space="preserve"> </w:t>
      </w:r>
      <w:r w:rsidR="0089191B" w:rsidRPr="00A51A17">
        <w:rPr>
          <w:lang w:val="en-US"/>
        </w:rPr>
        <w:t xml:space="preserve">online information </w:t>
      </w:r>
      <w:r w:rsidR="00223DB4" w:rsidRPr="00A51A17">
        <w:rPr>
          <w:lang w:val="en-US"/>
        </w:rPr>
        <w:t>seek</w:t>
      </w:r>
      <w:r w:rsidR="0089191B" w:rsidRPr="00A51A17">
        <w:rPr>
          <w:lang w:val="en-US"/>
        </w:rPr>
        <w:t>ing</w:t>
      </w:r>
      <w:r w:rsidR="00223DB4" w:rsidRPr="00A51A17">
        <w:rPr>
          <w:lang w:val="en-US"/>
        </w:rPr>
        <w:t xml:space="preserve"> </w:t>
      </w:r>
      <w:r w:rsidR="0089191B" w:rsidRPr="00A51A17">
        <w:rPr>
          <w:lang w:val="en-US"/>
        </w:rPr>
        <w:t xml:space="preserve">to </w:t>
      </w:r>
      <w:r w:rsidR="0037447D" w:rsidRPr="00A51A17">
        <w:rPr>
          <w:lang w:val="en-US"/>
        </w:rPr>
        <w:t>gain</w:t>
      </w:r>
      <w:r w:rsidR="0089191B" w:rsidRPr="00A51A17">
        <w:rPr>
          <w:lang w:val="en-US"/>
        </w:rPr>
        <w:t xml:space="preserve"> </w:t>
      </w:r>
      <w:r w:rsidR="00223DB4" w:rsidRPr="00A51A17">
        <w:rPr>
          <w:lang w:val="en-US"/>
        </w:rPr>
        <w:t xml:space="preserve">certainty) </w:t>
      </w:r>
      <w:r w:rsidR="00F27994" w:rsidRPr="00A51A17">
        <w:rPr>
          <w:lang w:val="en-US"/>
        </w:rPr>
        <w:t>uncertainty</w:t>
      </w:r>
      <w:r w:rsidR="000E6139" w:rsidRPr="00A51A17">
        <w:rPr>
          <w:lang w:val="en-US"/>
        </w:rPr>
        <w:t>-reducing strategy</w:t>
      </w:r>
      <w:r w:rsidR="00223DB4" w:rsidRPr="00A51A17">
        <w:rPr>
          <w:lang w:val="en-US"/>
        </w:rPr>
        <w:t xml:space="preserve"> (Sankar et al., 2017).</w:t>
      </w:r>
      <w:r w:rsidR="001146CC" w:rsidRPr="00A51A17">
        <w:rPr>
          <w:lang w:val="en-US"/>
        </w:rPr>
        <w:t xml:space="preserve"> </w:t>
      </w:r>
      <w:r w:rsidR="00223DB4" w:rsidRPr="00A51A17">
        <w:rPr>
          <w:lang w:val="en-US"/>
        </w:rPr>
        <w:t>Being always-on-and-connected through mobile devices comes at a cost</w:t>
      </w:r>
      <w:r w:rsidR="00FC4B2B" w:rsidRPr="00A51A17">
        <w:rPr>
          <w:lang w:val="en-US"/>
        </w:rPr>
        <w:t xml:space="preserve">, since </w:t>
      </w:r>
      <w:r w:rsidR="0089191B" w:rsidRPr="00A51A17">
        <w:rPr>
          <w:lang w:val="en-US"/>
        </w:rPr>
        <w:t xml:space="preserve">immediate uncertainty </w:t>
      </w:r>
      <w:r w:rsidR="00FC4B2B" w:rsidRPr="00A51A17">
        <w:rPr>
          <w:lang w:val="en-US"/>
        </w:rPr>
        <w:t>(and</w:t>
      </w:r>
      <w:r w:rsidR="0089191B" w:rsidRPr="00A51A17">
        <w:rPr>
          <w:lang w:val="en-US"/>
        </w:rPr>
        <w:t xml:space="preserve"> related </w:t>
      </w:r>
      <w:r w:rsidR="00FC4B2B" w:rsidRPr="00A51A17">
        <w:rPr>
          <w:lang w:val="en-US"/>
        </w:rPr>
        <w:t>distress) reduction</w:t>
      </w:r>
      <w:r w:rsidR="00F074E5" w:rsidRPr="00A51A17">
        <w:rPr>
          <w:lang w:val="en-US"/>
        </w:rPr>
        <w:t>s</w:t>
      </w:r>
      <w:r w:rsidR="00FC4B2B" w:rsidRPr="00A51A17">
        <w:rPr>
          <w:lang w:val="en-US"/>
        </w:rPr>
        <w:t xml:space="preserve"> </w:t>
      </w:r>
      <w:r w:rsidR="0089191B" w:rsidRPr="00A51A17">
        <w:rPr>
          <w:lang w:val="en-US"/>
        </w:rPr>
        <w:t xml:space="preserve">may negatively reinforce </w:t>
      </w:r>
      <w:r w:rsidR="00FC4B2B" w:rsidRPr="00A51A17">
        <w:rPr>
          <w:lang w:val="en-US"/>
        </w:rPr>
        <w:t xml:space="preserve">both PIU and </w:t>
      </w:r>
      <w:r w:rsidR="004E2B94" w:rsidRPr="00A51A17">
        <w:rPr>
          <w:bCs/>
          <w:lang w:val="en-US"/>
        </w:rPr>
        <w:t>intolerance of uncertainty</w:t>
      </w:r>
      <w:r w:rsidR="00FC4B2B" w:rsidRPr="00A51A17">
        <w:rPr>
          <w:lang w:val="en-US"/>
        </w:rPr>
        <w:t xml:space="preserve">. In the long term this could result in the consolidation of a vicious cycle further increasing </w:t>
      </w:r>
      <w:r w:rsidR="00223DB4" w:rsidRPr="00A51A17">
        <w:rPr>
          <w:lang w:val="en-US"/>
        </w:rPr>
        <w:t xml:space="preserve">psychological distress. </w:t>
      </w:r>
    </w:p>
    <w:p w14:paraId="3FA48F30" w14:textId="6DBA78D1" w:rsidR="00AA67C8" w:rsidRPr="00A51A17" w:rsidRDefault="0037447D" w:rsidP="00EC7E64">
      <w:pPr>
        <w:spacing w:line="480" w:lineRule="auto"/>
        <w:ind w:firstLine="567"/>
        <w:rPr>
          <w:lang w:val="en-US"/>
        </w:rPr>
      </w:pPr>
      <w:r w:rsidRPr="00A51A17">
        <w:rPr>
          <w:lang w:val="en-US"/>
        </w:rPr>
        <w:t xml:space="preserve">In the current study, </w:t>
      </w:r>
      <w:r w:rsidR="005A7051" w:rsidRPr="00A51A17">
        <w:rPr>
          <w:lang w:val="en-US"/>
        </w:rPr>
        <w:t xml:space="preserve">despite the significant bivariate correlation between </w:t>
      </w:r>
      <w:r w:rsidR="00FC4B2B" w:rsidRPr="00A51A17">
        <w:rPr>
          <w:lang w:val="en-US"/>
        </w:rPr>
        <w:t>PIU</w:t>
      </w:r>
      <w:r w:rsidR="005A7051" w:rsidRPr="00A51A17">
        <w:rPr>
          <w:lang w:val="en-US"/>
        </w:rPr>
        <w:t xml:space="preserve"> and HA, PIU  </w:t>
      </w:r>
      <w:r w:rsidR="00FC4B2B" w:rsidRPr="00A51A17">
        <w:rPr>
          <w:lang w:val="en-US"/>
        </w:rPr>
        <w:t xml:space="preserve"> </w:t>
      </w:r>
      <w:r w:rsidRPr="00A51A17">
        <w:rPr>
          <w:lang w:val="en-US"/>
        </w:rPr>
        <w:t>was</w:t>
      </w:r>
      <w:r w:rsidR="00FC4B2B" w:rsidRPr="00A51A17">
        <w:rPr>
          <w:lang w:val="en-US"/>
        </w:rPr>
        <w:t xml:space="preserve"> not </w:t>
      </w:r>
      <w:r w:rsidR="000D7B70" w:rsidRPr="00A51A17">
        <w:rPr>
          <w:lang w:val="en-US"/>
        </w:rPr>
        <w:t xml:space="preserve">significant </w:t>
      </w:r>
      <w:r w:rsidR="00FC4B2B" w:rsidRPr="00A51A17">
        <w:rPr>
          <w:lang w:val="en-US"/>
        </w:rPr>
        <w:t xml:space="preserve">in the relationship between </w:t>
      </w:r>
      <w:r w:rsidR="004E2B94" w:rsidRPr="00A51A17">
        <w:rPr>
          <w:bCs/>
          <w:lang w:val="en-US"/>
        </w:rPr>
        <w:t>intolerance of uncertainty</w:t>
      </w:r>
      <w:r w:rsidR="004E2B94" w:rsidRPr="00A51A17">
        <w:rPr>
          <w:lang w:val="en-US"/>
        </w:rPr>
        <w:t xml:space="preserve"> </w:t>
      </w:r>
      <w:r w:rsidR="009F5198" w:rsidRPr="00A51A17">
        <w:rPr>
          <w:lang w:val="en-US"/>
        </w:rPr>
        <w:t>and HA</w:t>
      </w:r>
      <w:r w:rsidR="005A7051" w:rsidRPr="00A51A17">
        <w:rPr>
          <w:lang w:val="en-US"/>
        </w:rPr>
        <w:t xml:space="preserve"> in the path model</w:t>
      </w:r>
      <w:r w:rsidR="002D1EA5" w:rsidRPr="00A51A17">
        <w:rPr>
          <w:lang w:val="en-US"/>
        </w:rPr>
        <w:t xml:space="preserve">, when </w:t>
      </w:r>
      <w:r w:rsidR="00B27970" w:rsidRPr="00A51A17">
        <w:rPr>
          <w:lang w:val="en-US"/>
        </w:rPr>
        <w:t>considering</w:t>
      </w:r>
      <w:r w:rsidR="002D1EA5" w:rsidRPr="00A51A17">
        <w:rPr>
          <w:lang w:val="en-US"/>
        </w:rPr>
        <w:t xml:space="preserve"> the simultaneous role of cyberchondria, which </w:t>
      </w:r>
      <w:r w:rsidR="009F5198" w:rsidRPr="00A51A17">
        <w:rPr>
          <w:lang w:val="en-US"/>
        </w:rPr>
        <w:t xml:space="preserve">significantly mediated this path in both samples. </w:t>
      </w:r>
      <w:r w:rsidR="00F24521" w:rsidRPr="00A51A17">
        <w:rPr>
          <w:lang w:val="en-US"/>
        </w:rPr>
        <w:t xml:space="preserve">It </w:t>
      </w:r>
      <w:r w:rsidR="008831C6" w:rsidRPr="00A51A17">
        <w:rPr>
          <w:lang w:val="en-US"/>
        </w:rPr>
        <w:t>could be</w:t>
      </w:r>
      <w:r w:rsidR="00F24521" w:rsidRPr="00A51A17">
        <w:rPr>
          <w:lang w:val="en-US"/>
        </w:rPr>
        <w:t xml:space="preserve"> that </w:t>
      </w:r>
      <w:r w:rsidR="000A46FB" w:rsidRPr="00A51A17">
        <w:rPr>
          <w:lang w:val="en-US"/>
        </w:rPr>
        <w:t xml:space="preserve">generalized </w:t>
      </w:r>
      <w:r w:rsidR="00FB397D" w:rsidRPr="00A51A17">
        <w:rPr>
          <w:lang w:val="en-US"/>
        </w:rPr>
        <w:t>high levels of emotion dysregulation</w:t>
      </w:r>
      <w:r w:rsidR="000325EB" w:rsidRPr="00A51A17">
        <w:rPr>
          <w:lang w:val="en-US"/>
        </w:rPr>
        <w:t xml:space="preserve"> due to Internet use</w:t>
      </w:r>
      <w:r w:rsidR="00FB397D" w:rsidRPr="00A51A17">
        <w:rPr>
          <w:lang w:val="en-US"/>
        </w:rPr>
        <w:t xml:space="preserve">, compulsive Internet use and </w:t>
      </w:r>
      <w:r w:rsidR="00F24521" w:rsidRPr="00A51A17">
        <w:rPr>
          <w:lang w:val="en-US"/>
        </w:rPr>
        <w:t>obsessive thoughts about the Internet</w:t>
      </w:r>
      <w:r w:rsidR="00FB397D" w:rsidRPr="00A51A17">
        <w:rPr>
          <w:lang w:val="en-US"/>
        </w:rPr>
        <w:t xml:space="preserve"> incre</w:t>
      </w:r>
      <w:r w:rsidR="000A46FB" w:rsidRPr="00A51A17">
        <w:rPr>
          <w:lang w:val="en-US"/>
        </w:rPr>
        <w:t>ase anxiety</w:t>
      </w:r>
      <w:r w:rsidR="000325EB" w:rsidRPr="00A51A17">
        <w:rPr>
          <w:lang w:val="en-US"/>
        </w:rPr>
        <w:t xml:space="preserve"> and obsessive-comp</w:t>
      </w:r>
      <w:r w:rsidR="000A46FB" w:rsidRPr="00A51A17">
        <w:rPr>
          <w:lang w:val="en-US"/>
        </w:rPr>
        <w:t>ulsive symptoms (e.g., Carli et al., 2013), which are often found to be associated with HA</w:t>
      </w:r>
      <w:r w:rsidR="00FB397D" w:rsidRPr="00A51A17">
        <w:rPr>
          <w:lang w:val="en-US"/>
        </w:rPr>
        <w:t xml:space="preserve"> (</w:t>
      </w:r>
      <w:r w:rsidR="000A46FB" w:rsidRPr="00A51A17">
        <w:rPr>
          <w:lang w:val="en-US"/>
        </w:rPr>
        <w:t xml:space="preserve">e.g., </w:t>
      </w:r>
      <w:r w:rsidR="00A11CE4" w:rsidRPr="00A51A17">
        <w:rPr>
          <w:lang w:val="en-US"/>
        </w:rPr>
        <w:t>Fergus &amp; Russel, 2016</w:t>
      </w:r>
      <w:r w:rsidR="00FB397D" w:rsidRPr="00A51A17">
        <w:rPr>
          <w:lang w:val="en-US"/>
        </w:rPr>
        <w:t>). However</w:t>
      </w:r>
      <w:r w:rsidR="000D7B70" w:rsidRPr="00A51A17">
        <w:rPr>
          <w:lang w:val="en-US"/>
        </w:rPr>
        <w:t>,</w:t>
      </w:r>
      <w:r w:rsidR="00FB397D" w:rsidRPr="00A51A17">
        <w:rPr>
          <w:lang w:val="en-US"/>
        </w:rPr>
        <w:t xml:space="preserve"> in the current study, PIU refers to </w:t>
      </w:r>
      <w:r w:rsidR="000D7B70" w:rsidRPr="00A51A17">
        <w:rPr>
          <w:lang w:val="en-US"/>
        </w:rPr>
        <w:t xml:space="preserve">a </w:t>
      </w:r>
      <w:r w:rsidR="00FB397D" w:rsidRPr="00A51A17">
        <w:rPr>
          <w:lang w:val="en-US"/>
        </w:rPr>
        <w:t>generalized problematic pattern of Internet use</w:t>
      </w:r>
      <w:r w:rsidR="006B0719" w:rsidRPr="00A51A17">
        <w:rPr>
          <w:lang w:val="en-US"/>
        </w:rPr>
        <w:t xml:space="preserve">, </w:t>
      </w:r>
      <w:r w:rsidR="00A11CE4" w:rsidRPr="00A51A17">
        <w:rPr>
          <w:lang w:val="en-US"/>
        </w:rPr>
        <w:t>whereas c</w:t>
      </w:r>
      <w:r w:rsidR="00FB397D" w:rsidRPr="00A51A17">
        <w:rPr>
          <w:lang w:val="en-US"/>
        </w:rPr>
        <w:t xml:space="preserve">yberchondria </w:t>
      </w:r>
      <w:r w:rsidR="00AB4277" w:rsidRPr="00A51A17">
        <w:rPr>
          <w:lang w:val="en-US"/>
        </w:rPr>
        <w:t>specifically refers</w:t>
      </w:r>
      <w:r w:rsidR="000A46FB" w:rsidRPr="00A51A17">
        <w:rPr>
          <w:lang w:val="en-US"/>
        </w:rPr>
        <w:t xml:space="preserve"> to health</w:t>
      </w:r>
      <w:r w:rsidR="00A11CE4" w:rsidRPr="00A51A17">
        <w:rPr>
          <w:lang w:val="en-US"/>
        </w:rPr>
        <w:t>-related online</w:t>
      </w:r>
      <w:r w:rsidR="000A46FB" w:rsidRPr="00A51A17">
        <w:rPr>
          <w:lang w:val="en-US"/>
        </w:rPr>
        <w:t xml:space="preserve"> searches </w:t>
      </w:r>
      <w:r w:rsidR="00A11CE4" w:rsidRPr="00A51A17">
        <w:rPr>
          <w:lang w:val="en-US"/>
        </w:rPr>
        <w:t xml:space="preserve">and </w:t>
      </w:r>
      <w:r w:rsidR="00004841" w:rsidRPr="00A51A17">
        <w:rPr>
          <w:lang w:val="en-US"/>
        </w:rPr>
        <w:t>can be</w:t>
      </w:r>
      <w:r w:rsidR="00A11CE4" w:rsidRPr="00A51A17">
        <w:rPr>
          <w:lang w:val="en-US"/>
        </w:rPr>
        <w:t xml:space="preserve"> considered a specific sub-type of PIU </w:t>
      </w:r>
      <w:r w:rsidR="000A46FB" w:rsidRPr="00A51A17">
        <w:rPr>
          <w:lang w:val="en-US"/>
        </w:rPr>
        <w:t>(</w:t>
      </w:r>
      <w:r w:rsidR="00004841" w:rsidRPr="00A51A17">
        <w:rPr>
          <w:lang w:val="en-US"/>
        </w:rPr>
        <w:t>e.g., Fergus &amp; Dolan, 2014</w:t>
      </w:r>
      <w:r w:rsidR="000A46FB" w:rsidRPr="00A51A17">
        <w:rPr>
          <w:lang w:val="en-US"/>
        </w:rPr>
        <w:t>).</w:t>
      </w:r>
      <w:r w:rsidR="006B0719" w:rsidRPr="00A51A17">
        <w:rPr>
          <w:lang w:val="en-US"/>
        </w:rPr>
        <w:t xml:space="preserve"> Thus, when included in the same model, cyberchondria emerged as significant predictor of HA over PIU.</w:t>
      </w:r>
      <w:r w:rsidR="000A46FB" w:rsidRPr="00A51A17">
        <w:rPr>
          <w:lang w:val="en-US"/>
        </w:rPr>
        <w:t xml:space="preserve"> </w:t>
      </w:r>
      <w:r w:rsidR="009F5198" w:rsidRPr="00A51A17">
        <w:rPr>
          <w:lang w:val="en-US"/>
        </w:rPr>
        <w:t>According to our findings</w:t>
      </w:r>
      <w:r w:rsidR="000D7B70" w:rsidRPr="00A51A17">
        <w:rPr>
          <w:lang w:val="en-US"/>
        </w:rPr>
        <w:t>,</w:t>
      </w:r>
      <w:r w:rsidR="009F5198" w:rsidRPr="00A51A17">
        <w:rPr>
          <w:lang w:val="en-US"/>
        </w:rPr>
        <w:t xml:space="preserve"> and in line with literature</w:t>
      </w:r>
      <w:r w:rsidR="00AB4277" w:rsidRPr="00A51A17">
        <w:rPr>
          <w:lang w:val="en-US"/>
        </w:rPr>
        <w:t xml:space="preserve"> (e.g., </w:t>
      </w:r>
      <w:r w:rsidR="00AB4277" w:rsidRPr="00A51A17">
        <w:rPr>
          <w:bCs/>
          <w:lang w:val="en-US"/>
        </w:rPr>
        <w:t>Fergus, 2013</w:t>
      </w:r>
      <w:r w:rsidR="00AB4277" w:rsidRPr="00A51A17">
        <w:rPr>
          <w:lang w:val="en-US"/>
        </w:rPr>
        <w:t>)</w:t>
      </w:r>
      <w:r w:rsidRPr="00A51A17">
        <w:rPr>
          <w:lang w:val="en-US"/>
        </w:rPr>
        <w:t>,</w:t>
      </w:r>
      <w:r w:rsidR="000E6139" w:rsidRPr="00A51A17">
        <w:rPr>
          <w:lang w:val="en-US"/>
        </w:rPr>
        <w:t xml:space="preserve"> </w:t>
      </w:r>
      <w:r w:rsidR="009F5198" w:rsidRPr="00A51A17">
        <w:rPr>
          <w:bCs/>
          <w:lang w:val="en-US"/>
        </w:rPr>
        <w:t xml:space="preserve">cyberchondria may act as a specific maintenance factor in the association between </w:t>
      </w:r>
      <w:r w:rsidR="004E2B94" w:rsidRPr="00A51A17">
        <w:rPr>
          <w:bCs/>
          <w:lang w:val="en-US"/>
        </w:rPr>
        <w:t>intolerance of uncertainty</w:t>
      </w:r>
      <w:r w:rsidR="004E2B94" w:rsidRPr="00A51A17">
        <w:rPr>
          <w:lang w:val="en-US"/>
        </w:rPr>
        <w:t xml:space="preserve"> </w:t>
      </w:r>
      <w:r w:rsidR="009F5198" w:rsidRPr="00A51A17">
        <w:rPr>
          <w:bCs/>
          <w:lang w:val="en-US"/>
        </w:rPr>
        <w:t>and HA</w:t>
      </w:r>
      <w:r w:rsidR="00436BD3" w:rsidRPr="00A51A17">
        <w:rPr>
          <w:bCs/>
          <w:lang w:val="en-US"/>
        </w:rPr>
        <w:t>;</w:t>
      </w:r>
      <w:r w:rsidR="009F5198" w:rsidRPr="00A51A17">
        <w:rPr>
          <w:bCs/>
          <w:lang w:val="en-US"/>
        </w:rPr>
        <w:t xml:space="preserve"> </w:t>
      </w:r>
      <w:r w:rsidR="00436BD3" w:rsidRPr="00A51A17">
        <w:rPr>
          <w:bCs/>
          <w:lang w:val="en-US"/>
        </w:rPr>
        <w:t>indeed,</w:t>
      </w:r>
      <w:r w:rsidR="009F5198" w:rsidRPr="00A51A17">
        <w:rPr>
          <w:bCs/>
          <w:lang w:val="en-US"/>
        </w:rPr>
        <w:t xml:space="preserve"> Internet searches for health information frequently lead to the consideration of various medical possibilities, thus increasing uncertainty, </w:t>
      </w:r>
      <w:r w:rsidR="004E2B94" w:rsidRPr="00A51A17">
        <w:rPr>
          <w:bCs/>
          <w:lang w:val="en-US"/>
        </w:rPr>
        <w:t>intolerance of uncertainty</w:t>
      </w:r>
      <w:r w:rsidR="009F5198" w:rsidRPr="00A51A17">
        <w:rPr>
          <w:bCs/>
          <w:lang w:val="en-US"/>
        </w:rPr>
        <w:t>, and HA.</w:t>
      </w:r>
      <w:r w:rsidRPr="00A51A17">
        <w:rPr>
          <w:bCs/>
          <w:lang w:val="en-US"/>
        </w:rPr>
        <w:t xml:space="preserve"> Once again, this link was observed both in </w:t>
      </w:r>
      <w:r w:rsidRPr="00A51A17">
        <w:rPr>
          <w:lang w:val="en-US"/>
        </w:rPr>
        <w:t xml:space="preserve">non-pandemic times and during COVID-19 lockdown; therefore, it is </w:t>
      </w:r>
      <w:r w:rsidRPr="00A51A17">
        <w:rPr>
          <w:bCs/>
          <w:lang w:val="en-US"/>
        </w:rPr>
        <w:t xml:space="preserve">reasonable </w:t>
      </w:r>
      <w:r w:rsidR="007456F9" w:rsidRPr="00A51A17">
        <w:rPr>
          <w:bCs/>
          <w:lang w:val="en-US"/>
        </w:rPr>
        <w:t xml:space="preserve">to assume </w:t>
      </w:r>
      <w:r w:rsidRPr="00A51A17">
        <w:rPr>
          <w:bCs/>
          <w:lang w:val="en-US"/>
        </w:rPr>
        <w:t xml:space="preserve">that these variables are </w:t>
      </w:r>
      <w:r w:rsidR="000E6139" w:rsidRPr="00A51A17">
        <w:rPr>
          <w:bCs/>
          <w:lang w:val="en-US"/>
        </w:rPr>
        <w:t>strongly related</w:t>
      </w:r>
      <w:r w:rsidRPr="00A51A17">
        <w:rPr>
          <w:bCs/>
          <w:lang w:val="en-US"/>
        </w:rPr>
        <w:t xml:space="preserve"> </w:t>
      </w:r>
      <w:r w:rsidRPr="00A51A17">
        <w:rPr>
          <w:lang w:val="en-US"/>
        </w:rPr>
        <w:t>independent</w:t>
      </w:r>
      <w:r w:rsidR="008570AC" w:rsidRPr="00A51A17">
        <w:rPr>
          <w:lang w:val="en-US"/>
        </w:rPr>
        <w:t>ly</w:t>
      </w:r>
      <w:r w:rsidRPr="00A51A17">
        <w:rPr>
          <w:lang w:val="en-US"/>
        </w:rPr>
        <w:t xml:space="preserve"> </w:t>
      </w:r>
      <w:r w:rsidR="00F074E5" w:rsidRPr="00A51A17">
        <w:rPr>
          <w:lang w:val="en-US"/>
        </w:rPr>
        <w:t xml:space="preserve">of </w:t>
      </w:r>
      <w:r w:rsidRPr="00A51A17">
        <w:rPr>
          <w:lang w:val="en-US"/>
        </w:rPr>
        <w:t>actual illness uncertainties.</w:t>
      </w:r>
      <w:r w:rsidR="00FF00E6" w:rsidRPr="00A51A17">
        <w:rPr>
          <w:lang w:val="en-US"/>
        </w:rPr>
        <w:t xml:space="preserve"> Indeed, the frequency of online searching for COVID-19 information was not associated with HA and psychological distress.</w:t>
      </w:r>
    </w:p>
    <w:p w14:paraId="32A0A439" w14:textId="5680187E" w:rsidR="00EC7E64" w:rsidRPr="00A51A17" w:rsidRDefault="007456F9" w:rsidP="00EC7E64">
      <w:pPr>
        <w:spacing w:line="480" w:lineRule="auto"/>
        <w:ind w:firstLine="567"/>
        <w:rPr>
          <w:bCs/>
          <w:lang w:val="en-US"/>
        </w:rPr>
      </w:pPr>
      <w:r w:rsidRPr="00A51A17">
        <w:rPr>
          <w:lang w:val="en-US"/>
        </w:rPr>
        <w:t>C</w:t>
      </w:r>
      <w:r w:rsidR="00BF7866" w:rsidRPr="00A51A17">
        <w:rPr>
          <w:lang w:val="en-US"/>
        </w:rPr>
        <w:t xml:space="preserve">yberchondria </w:t>
      </w:r>
      <w:r w:rsidRPr="00A51A17">
        <w:rPr>
          <w:lang w:val="en-US"/>
        </w:rPr>
        <w:t xml:space="preserve">was also found to </w:t>
      </w:r>
      <w:r w:rsidR="00BF7866" w:rsidRPr="00A51A17">
        <w:rPr>
          <w:lang w:val="en-US"/>
        </w:rPr>
        <w:t xml:space="preserve">mediate the path from </w:t>
      </w:r>
      <w:r w:rsidR="004E2B94" w:rsidRPr="00A51A17">
        <w:rPr>
          <w:bCs/>
          <w:lang w:val="en-US"/>
        </w:rPr>
        <w:t>intolerance of uncertainty</w:t>
      </w:r>
      <w:r w:rsidR="004E2B94" w:rsidRPr="00A51A17">
        <w:rPr>
          <w:lang w:val="en-US"/>
        </w:rPr>
        <w:t xml:space="preserve"> </w:t>
      </w:r>
      <w:r w:rsidR="00BF7866" w:rsidRPr="00A51A17">
        <w:rPr>
          <w:lang w:val="en-US"/>
        </w:rPr>
        <w:t xml:space="preserve">to psychological distress </w:t>
      </w:r>
      <w:r w:rsidR="000E6139" w:rsidRPr="00A51A17">
        <w:rPr>
          <w:lang w:val="en-US"/>
        </w:rPr>
        <w:t>only in Sample 2</w:t>
      </w:r>
      <w:r w:rsidR="007F42E6" w:rsidRPr="00A51A17">
        <w:rPr>
          <w:lang w:val="en-US"/>
        </w:rPr>
        <w:t>; i</w:t>
      </w:r>
      <w:r w:rsidR="000E6139" w:rsidRPr="00A51A17">
        <w:rPr>
          <w:lang w:val="en-US"/>
        </w:rPr>
        <w:t xml:space="preserve">n particular, </w:t>
      </w:r>
      <w:r w:rsidR="007F42E6" w:rsidRPr="00A51A17">
        <w:rPr>
          <w:lang w:val="en-US"/>
        </w:rPr>
        <w:t xml:space="preserve">its </w:t>
      </w:r>
      <w:r w:rsidR="007766FC" w:rsidRPr="00A51A17">
        <w:rPr>
          <w:lang w:val="en-US"/>
        </w:rPr>
        <w:t>mediation</w:t>
      </w:r>
      <w:r w:rsidR="007F42E6" w:rsidRPr="00A51A17">
        <w:rPr>
          <w:lang w:val="en-US"/>
        </w:rPr>
        <w:t>al effect</w:t>
      </w:r>
      <w:r w:rsidR="007766FC" w:rsidRPr="00A51A17">
        <w:rPr>
          <w:lang w:val="en-US"/>
        </w:rPr>
        <w:t xml:space="preserve"> was both simple and serial (</w:t>
      </w:r>
      <w:r w:rsidR="00EC7E64" w:rsidRPr="00A51A17">
        <w:rPr>
          <w:lang w:val="en-US"/>
        </w:rPr>
        <w:t>i.e.,</w:t>
      </w:r>
      <w:r w:rsidR="007766FC" w:rsidRPr="00A51A17">
        <w:rPr>
          <w:lang w:val="en-US"/>
        </w:rPr>
        <w:t xml:space="preserve"> through HA) during lockdown.</w:t>
      </w:r>
      <w:r w:rsidR="00406D24" w:rsidRPr="00A51A17">
        <w:rPr>
          <w:lang w:val="en-US"/>
        </w:rPr>
        <w:t xml:space="preserve"> </w:t>
      </w:r>
      <w:r w:rsidR="000D7B70" w:rsidRPr="00A51A17">
        <w:rPr>
          <w:lang w:val="en-US"/>
        </w:rPr>
        <w:t xml:space="preserve">This finding aligns itself to the </w:t>
      </w:r>
      <w:r w:rsidR="00406D24" w:rsidRPr="00A51A17">
        <w:rPr>
          <w:lang w:val="en-US"/>
        </w:rPr>
        <w:t xml:space="preserve">vast body of recent literature </w:t>
      </w:r>
      <w:r w:rsidR="000D7B70" w:rsidRPr="00A51A17">
        <w:rPr>
          <w:lang w:val="en-US"/>
        </w:rPr>
        <w:t xml:space="preserve">demonstrating </w:t>
      </w:r>
      <w:r w:rsidR="00406D24" w:rsidRPr="00A51A17">
        <w:rPr>
          <w:lang w:val="en-US"/>
        </w:rPr>
        <w:t xml:space="preserve">that </w:t>
      </w:r>
      <w:r w:rsidR="00406D24" w:rsidRPr="00A51A17">
        <w:rPr>
          <w:bCs/>
          <w:lang w:val="en-US"/>
        </w:rPr>
        <w:t xml:space="preserve">excessive online searches for medical information </w:t>
      </w:r>
      <w:r w:rsidR="00CE5E84" w:rsidRPr="00A51A17">
        <w:rPr>
          <w:lang w:val="en-US"/>
        </w:rPr>
        <w:t>are</w:t>
      </w:r>
      <w:r w:rsidR="00406D24" w:rsidRPr="00A51A17">
        <w:rPr>
          <w:lang w:val="en-US"/>
        </w:rPr>
        <w:t xml:space="preserve"> </w:t>
      </w:r>
      <w:r w:rsidR="00CE5E84" w:rsidRPr="00A51A17">
        <w:rPr>
          <w:lang w:val="en-US"/>
        </w:rPr>
        <w:t>strongly related with</w:t>
      </w:r>
      <w:r w:rsidR="00406D24" w:rsidRPr="00A51A17">
        <w:rPr>
          <w:lang w:val="en-US"/>
        </w:rPr>
        <w:t xml:space="preserve"> psychological distress </w:t>
      </w:r>
      <w:r w:rsidR="00FB3B10" w:rsidRPr="00A51A17">
        <w:rPr>
          <w:lang w:val="en-US"/>
        </w:rPr>
        <w:t>in</w:t>
      </w:r>
      <w:r w:rsidR="00406D24" w:rsidRPr="00A51A17">
        <w:rPr>
          <w:lang w:val="en-US"/>
        </w:rPr>
        <w:t xml:space="preserve"> the current COVID-19 pandemic (Farooq et al., 2020; Hashemi, 2020; Kouzy et al., 2020; Laato et al., 2020; Starcevic et al., 2020), and t</w:t>
      </w:r>
      <w:r w:rsidR="007F42E6" w:rsidRPr="00A51A17">
        <w:rPr>
          <w:lang w:val="en-US"/>
        </w:rPr>
        <w:t xml:space="preserve">he combination of cyberchondria and HA is considered an important amplifier of </w:t>
      </w:r>
      <w:r w:rsidR="000D7B70" w:rsidRPr="00A51A17">
        <w:rPr>
          <w:lang w:val="en-US"/>
        </w:rPr>
        <w:t xml:space="preserve">COVID-19 </w:t>
      </w:r>
      <w:r w:rsidR="007F42E6" w:rsidRPr="00A51A17">
        <w:rPr>
          <w:lang w:val="en-US"/>
        </w:rPr>
        <w:t>anxiety (Jungmann &amp; Witthöft, 2020)</w:t>
      </w:r>
      <w:r w:rsidR="00406D24" w:rsidRPr="00A51A17">
        <w:rPr>
          <w:lang w:val="en-US"/>
        </w:rPr>
        <w:t xml:space="preserve">. </w:t>
      </w:r>
      <w:r w:rsidR="00241CDF" w:rsidRPr="00A51A17">
        <w:rPr>
          <w:lang w:val="en-US"/>
        </w:rPr>
        <w:t>In both Sample 1 and Sample 2, mean scores on the DASS-21 and the IUS-R were within the normative ranges (Bottesi et al., 2015; 2019b). However</w:t>
      </w:r>
      <w:r w:rsidR="00DE02C2" w:rsidRPr="00A51A17">
        <w:rPr>
          <w:lang w:val="en-US"/>
        </w:rPr>
        <w:t xml:space="preserve">, higher levels of </w:t>
      </w:r>
      <w:r w:rsidR="004E2B94" w:rsidRPr="00A51A17">
        <w:rPr>
          <w:bCs/>
          <w:lang w:val="en-US"/>
        </w:rPr>
        <w:t>intolerance of uncertainty</w:t>
      </w:r>
      <w:r w:rsidR="004E2B94" w:rsidRPr="00A51A17">
        <w:rPr>
          <w:lang w:val="en-US"/>
        </w:rPr>
        <w:t xml:space="preserve"> </w:t>
      </w:r>
      <w:r w:rsidR="00DE02C2" w:rsidRPr="00A51A17">
        <w:rPr>
          <w:lang w:val="en-US"/>
        </w:rPr>
        <w:t xml:space="preserve">were observed in Sample 2 compared to Sample 1. During the lockdown, people suddenly found themselves in a novel, unforeseen situation. </w:t>
      </w:r>
      <w:r w:rsidR="00715B4D" w:rsidRPr="00A51A17">
        <w:rPr>
          <w:lang w:val="en-US"/>
        </w:rPr>
        <w:t>Despite most of our participants reported being aware about what symptoms they needed to be on the alert for (97.5%) and COVID-19 route of transmission (99.7%), at this time other</w:t>
      </w:r>
      <w:r w:rsidR="00E34F86" w:rsidRPr="00A51A17">
        <w:rPr>
          <w:lang w:val="en-US"/>
        </w:rPr>
        <w:t xml:space="preserve"> uncertainties </w:t>
      </w:r>
      <w:r w:rsidR="00715B4D" w:rsidRPr="00A51A17">
        <w:rPr>
          <w:lang w:val="en-US"/>
        </w:rPr>
        <w:t xml:space="preserve">may </w:t>
      </w:r>
      <w:r w:rsidR="000D7B70" w:rsidRPr="00A51A17">
        <w:rPr>
          <w:lang w:val="en-US"/>
        </w:rPr>
        <w:t>have emerged</w:t>
      </w:r>
      <w:r w:rsidR="0048013C" w:rsidRPr="00A51A17">
        <w:rPr>
          <w:lang w:val="en-US"/>
        </w:rPr>
        <w:t>, for example,</w:t>
      </w:r>
      <w:r w:rsidR="000D7B70" w:rsidRPr="00A51A17">
        <w:rPr>
          <w:lang w:val="en-US"/>
        </w:rPr>
        <w:t xml:space="preserve"> from</w:t>
      </w:r>
      <w:r w:rsidR="00E34F86" w:rsidRPr="00A51A17">
        <w:rPr>
          <w:lang w:val="en-US"/>
        </w:rPr>
        <w:t xml:space="preserve"> not knowing</w:t>
      </w:r>
      <w:r w:rsidR="009F0978" w:rsidRPr="00A51A17">
        <w:rPr>
          <w:lang w:val="en-US"/>
        </w:rPr>
        <w:t xml:space="preserve"> </w:t>
      </w:r>
      <w:r w:rsidR="00E34F86" w:rsidRPr="00A51A17">
        <w:rPr>
          <w:lang w:val="en-US"/>
        </w:rPr>
        <w:t>whether</w:t>
      </w:r>
      <w:r w:rsidR="009F0978" w:rsidRPr="00A51A17">
        <w:rPr>
          <w:lang w:val="en-US"/>
        </w:rPr>
        <w:t xml:space="preserve"> and how the</w:t>
      </w:r>
      <w:r w:rsidR="00E34F86" w:rsidRPr="00A51A17">
        <w:rPr>
          <w:lang w:val="en-US"/>
        </w:rPr>
        <w:t>y/their loved ones may ha</w:t>
      </w:r>
      <w:r w:rsidR="0011523D" w:rsidRPr="00A51A17">
        <w:rPr>
          <w:lang w:val="en-US"/>
        </w:rPr>
        <w:t>ve had</w:t>
      </w:r>
      <w:r w:rsidR="00E34F86" w:rsidRPr="00A51A17">
        <w:rPr>
          <w:lang w:val="en-US"/>
        </w:rPr>
        <w:t xml:space="preserve"> </w:t>
      </w:r>
      <w:r w:rsidR="0011523D" w:rsidRPr="00A51A17">
        <w:rPr>
          <w:lang w:val="en-US"/>
        </w:rPr>
        <w:t>contracted the virus</w:t>
      </w:r>
      <w:r w:rsidR="00715B4D" w:rsidRPr="00A51A17">
        <w:rPr>
          <w:lang w:val="en-US"/>
        </w:rPr>
        <w:t xml:space="preserve"> </w:t>
      </w:r>
      <w:r w:rsidRPr="00A51A17">
        <w:rPr>
          <w:lang w:val="en-US"/>
        </w:rPr>
        <w:t>and</w:t>
      </w:r>
      <w:r w:rsidR="00E34F86" w:rsidRPr="00A51A17">
        <w:rPr>
          <w:lang w:val="en-US"/>
        </w:rPr>
        <w:t xml:space="preserve"> not having a clear idea about </w:t>
      </w:r>
      <w:r w:rsidR="009F0978" w:rsidRPr="00A51A17">
        <w:rPr>
          <w:lang w:val="en-US"/>
        </w:rPr>
        <w:t>how the</w:t>
      </w:r>
      <w:r w:rsidR="00E34F86" w:rsidRPr="00A51A17">
        <w:rPr>
          <w:lang w:val="en-US"/>
        </w:rPr>
        <w:t xml:space="preserve"> </w:t>
      </w:r>
      <w:r w:rsidR="009F0978" w:rsidRPr="00A51A17">
        <w:rPr>
          <w:lang w:val="en-US"/>
        </w:rPr>
        <w:t>viru</w:t>
      </w:r>
      <w:r w:rsidR="00E34F86" w:rsidRPr="00A51A17">
        <w:rPr>
          <w:lang w:val="en-US"/>
        </w:rPr>
        <w:t>s was</w:t>
      </w:r>
      <w:r w:rsidR="009F0978" w:rsidRPr="00A51A17">
        <w:rPr>
          <w:lang w:val="en-US"/>
        </w:rPr>
        <w:t xml:space="preserve"> spread</w:t>
      </w:r>
      <w:r w:rsidRPr="00A51A17">
        <w:rPr>
          <w:lang w:val="en-US"/>
        </w:rPr>
        <w:t>ing</w:t>
      </w:r>
      <w:r w:rsidR="00E34F86" w:rsidRPr="00A51A17">
        <w:rPr>
          <w:lang w:val="en-US"/>
        </w:rPr>
        <w:t xml:space="preserve"> and how serious it was. </w:t>
      </w:r>
      <w:r w:rsidR="00CE5E84" w:rsidRPr="00A51A17">
        <w:rPr>
          <w:lang w:val="en-US"/>
        </w:rPr>
        <w:t xml:space="preserve">In </w:t>
      </w:r>
      <w:r w:rsidR="006353CA" w:rsidRPr="00A51A17">
        <w:rPr>
          <w:lang w:val="en-US"/>
        </w:rPr>
        <w:t>such</w:t>
      </w:r>
      <w:r w:rsidR="00CE5E84" w:rsidRPr="00A51A17">
        <w:rPr>
          <w:lang w:val="en-US"/>
        </w:rPr>
        <w:t xml:space="preserve"> circumstances, high </w:t>
      </w:r>
      <w:r w:rsidR="004E2B94" w:rsidRPr="00A51A17">
        <w:rPr>
          <w:bCs/>
          <w:lang w:val="en-US"/>
        </w:rPr>
        <w:t>intolerance of uncertainty</w:t>
      </w:r>
      <w:r w:rsidR="004E2B94" w:rsidRPr="00A51A17">
        <w:rPr>
          <w:lang w:val="en-US"/>
        </w:rPr>
        <w:t xml:space="preserve"> </w:t>
      </w:r>
      <w:r w:rsidR="001146CC" w:rsidRPr="00A51A17">
        <w:rPr>
          <w:lang w:val="en-US"/>
        </w:rPr>
        <w:t xml:space="preserve">would </w:t>
      </w:r>
      <w:r w:rsidR="00CE5E84" w:rsidRPr="00A51A17">
        <w:rPr>
          <w:lang w:val="en-US"/>
        </w:rPr>
        <w:t xml:space="preserve">drive excessive health-related information seeking </w:t>
      </w:r>
      <w:r w:rsidR="000D7B70" w:rsidRPr="00A51A17">
        <w:rPr>
          <w:lang w:val="en-US"/>
        </w:rPr>
        <w:t>as a means of obtaining</w:t>
      </w:r>
      <w:r w:rsidR="00CE5E84" w:rsidRPr="00A51A17">
        <w:rPr>
          <w:lang w:val="en-US"/>
        </w:rPr>
        <w:t xml:space="preserve"> certainty</w:t>
      </w:r>
      <w:r w:rsidR="00FB3B10" w:rsidRPr="00A51A17">
        <w:rPr>
          <w:lang w:val="en-US"/>
        </w:rPr>
        <w:t xml:space="preserve"> about these issues</w:t>
      </w:r>
      <w:r w:rsidR="00CE5E84" w:rsidRPr="00A51A17">
        <w:rPr>
          <w:lang w:val="en-US"/>
        </w:rPr>
        <w:t xml:space="preserve">. </w:t>
      </w:r>
      <w:r w:rsidR="006353CA" w:rsidRPr="00A51A17">
        <w:rPr>
          <w:lang w:val="en-US"/>
        </w:rPr>
        <w:t xml:space="preserve">However, </w:t>
      </w:r>
      <w:r w:rsidR="00FB3B10" w:rsidRPr="00A51A17">
        <w:rPr>
          <w:lang w:val="en-US"/>
        </w:rPr>
        <w:t xml:space="preserve">having </w:t>
      </w:r>
      <w:r w:rsidR="002E7785" w:rsidRPr="00A51A17">
        <w:rPr>
          <w:lang w:val="en-US"/>
        </w:rPr>
        <w:t>constant</w:t>
      </w:r>
      <w:r w:rsidR="00FB3B10" w:rsidRPr="00A51A17">
        <w:rPr>
          <w:lang w:val="en-US"/>
        </w:rPr>
        <w:t xml:space="preserve"> access to </w:t>
      </w:r>
      <w:r w:rsidR="00CE5E84" w:rsidRPr="00A51A17">
        <w:rPr>
          <w:lang w:val="en-US"/>
        </w:rPr>
        <w:t xml:space="preserve">an overwhelming amount of </w:t>
      </w:r>
      <w:r w:rsidR="001146CC" w:rsidRPr="00A51A17">
        <w:rPr>
          <w:lang w:val="en-US"/>
        </w:rPr>
        <w:t xml:space="preserve">health-related </w:t>
      </w:r>
      <w:r w:rsidR="00CE5E84" w:rsidRPr="00A51A17">
        <w:rPr>
          <w:lang w:val="en-US"/>
        </w:rPr>
        <w:t>information</w:t>
      </w:r>
      <w:r w:rsidR="006353CA" w:rsidRPr="00A51A17">
        <w:rPr>
          <w:lang w:val="en-US"/>
        </w:rPr>
        <w:t xml:space="preserve"> -</w:t>
      </w:r>
      <w:r w:rsidR="00FB3B10" w:rsidRPr="00A51A17">
        <w:rPr>
          <w:lang w:val="en-US"/>
        </w:rPr>
        <w:t xml:space="preserve"> often</w:t>
      </w:r>
      <w:r w:rsidR="00CE5E84" w:rsidRPr="00A51A17">
        <w:rPr>
          <w:lang w:val="en-US"/>
        </w:rPr>
        <w:t xml:space="preserve"> c</w:t>
      </w:r>
      <w:r w:rsidR="00CE5E84" w:rsidRPr="00A51A17">
        <w:rPr>
          <w:bCs/>
          <w:lang w:val="en-US"/>
        </w:rPr>
        <w:t>onflicting or ambiguous</w:t>
      </w:r>
      <w:r w:rsidR="006353CA" w:rsidRPr="00A51A17">
        <w:rPr>
          <w:bCs/>
          <w:lang w:val="en-US"/>
        </w:rPr>
        <w:t xml:space="preserve"> </w:t>
      </w:r>
      <w:r w:rsidR="001146CC" w:rsidRPr="00A51A17">
        <w:rPr>
          <w:bCs/>
          <w:lang w:val="en-US"/>
        </w:rPr>
        <w:t>–</w:t>
      </w:r>
      <w:r w:rsidR="00CE5E84" w:rsidRPr="00A51A17">
        <w:rPr>
          <w:bCs/>
          <w:lang w:val="en-US"/>
        </w:rPr>
        <w:t xml:space="preserve"> </w:t>
      </w:r>
      <w:r w:rsidR="001146CC" w:rsidRPr="00A51A17">
        <w:rPr>
          <w:bCs/>
          <w:lang w:val="en-US"/>
        </w:rPr>
        <w:t xml:space="preserve">does not decrease uncertainty. </w:t>
      </w:r>
      <w:r w:rsidR="000D7B70" w:rsidRPr="00A51A17">
        <w:rPr>
          <w:bCs/>
          <w:lang w:val="en-US"/>
        </w:rPr>
        <w:t>On the contrary,</w:t>
      </w:r>
      <w:r w:rsidR="001146CC" w:rsidRPr="00A51A17">
        <w:rPr>
          <w:bCs/>
          <w:lang w:val="en-US"/>
        </w:rPr>
        <w:t xml:space="preserve"> it </w:t>
      </w:r>
      <w:r w:rsidR="00CE5E84" w:rsidRPr="00A51A17">
        <w:rPr>
          <w:lang w:val="en-US"/>
        </w:rPr>
        <w:t xml:space="preserve">may </w:t>
      </w:r>
      <w:r w:rsidR="00E34F86" w:rsidRPr="00A51A17">
        <w:rPr>
          <w:lang w:val="en-US"/>
        </w:rPr>
        <w:t>contribute to information overload and overconcern among individuals</w:t>
      </w:r>
      <w:r w:rsidR="00CE5E84" w:rsidRPr="00A51A17">
        <w:rPr>
          <w:lang w:val="en-US"/>
        </w:rPr>
        <w:t xml:space="preserve">, </w:t>
      </w:r>
      <w:r w:rsidR="001146CC" w:rsidRPr="00A51A17">
        <w:rPr>
          <w:lang w:val="en-US"/>
        </w:rPr>
        <w:t>which</w:t>
      </w:r>
      <w:r w:rsidR="00CE5E84" w:rsidRPr="00A51A17">
        <w:rPr>
          <w:lang w:val="en-US"/>
        </w:rPr>
        <w:t xml:space="preserve"> further increas</w:t>
      </w:r>
      <w:r w:rsidR="001146CC" w:rsidRPr="00A51A17">
        <w:rPr>
          <w:lang w:val="en-US"/>
        </w:rPr>
        <w:t>es</w:t>
      </w:r>
      <w:r w:rsidR="00CE5E84" w:rsidRPr="00A51A17">
        <w:rPr>
          <w:lang w:val="en-US"/>
        </w:rPr>
        <w:t xml:space="preserve"> not only HA</w:t>
      </w:r>
      <w:r w:rsidR="006353CA" w:rsidRPr="00A51A17">
        <w:rPr>
          <w:lang w:val="en-US"/>
        </w:rPr>
        <w:t>,</w:t>
      </w:r>
      <w:r w:rsidR="00CE5E84" w:rsidRPr="00A51A17">
        <w:rPr>
          <w:lang w:val="en-US"/>
        </w:rPr>
        <w:t xml:space="preserve"> but also psychological distress</w:t>
      </w:r>
      <w:r w:rsidR="006353CA" w:rsidRPr="00A51A17">
        <w:rPr>
          <w:lang w:val="en-US"/>
        </w:rPr>
        <w:t xml:space="preserve">. </w:t>
      </w:r>
      <w:r w:rsidR="005731F8" w:rsidRPr="00A51A17">
        <w:rPr>
          <w:lang w:val="en-US"/>
        </w:rPr>
        <w:t>In their “</w:t>
      </w:r>
      <w:r w:rsidR="009C7DCA" w:rsidRPr="00A51A17">
        <w:rPr>
          <w:lang w:val="en-US"/>
        </w:rPr>
        <w:t>U</w:t>
      </w:r>
      <w:r w:rsidR="005731F8" w:rsidRPr="00A51A17">
        <w:rPr>
          <w:lang w:val="en-US"/>
        </w:rPr>
        <w:t xml:space="preserve">ncertainty </w:t>
      </w:r>
      <w:r w:rsidR="009C7DCA" w:rsidRPr="00A51A17">
        <w:rPr>
          <w:lang w:val="en-US"/>
        </w:rPr>
        <w:t>Distress M</w:t>
      </w:r>
      <w:r w:rsidR="005731F8" w:rsidRPr="00A51A17">
        <w:rPr>
          <w:lang w:val="en-US"/>
        </w:rPr>
        <w:t>odel”</w:t>
      </w:r>
      <w:r w:rsidR="001146CC" w:rsidRPr="00A51A17">
        <w:rPr>
          <w:lang w:val="en-US"/>
        </w:rPr>
        <w:t>,</w:t>
      </w:r>
      <w:r w:rsidR="005731F8" w:rsidRPr="00A51A17">
        <w:rPr>
          <w:lang w:val="en-US"/>
        </w:rPr>
        <w:t xml:space="preserve"> Freeston et al. (2020) define </w:t>
      </w:r>
      <w:r w:rsidR="005731F8" w:rsidRPr="00A51A17">
        <w:rPr>
          <w:i/>
          <w:iCs/>
          <w:lang w:val="en-US"/>
        </w:rPr>
        <w:t>uncertainty distress</w:t>
      </w:r>
      <w:r w:rsidR="005731F8" w:rsidRPr="00A51A17">
        <w:rPr>
          <w:lang w:val="en-US"/>
        </w:rPr>
        <w:t xml:space="preserve"> as “the subjective negative emotions experienced in response to the as yet unknown aspects of a given situation” (p. 3).</w:t>
      </w:r>
      <w:r w:rsidR="00082DA0" w:rsidRPr="00A51A17">
        <w:rPr>
          <w:lang w:val="en-US"/>
        </w:rPr>
        <w:t xml:space="preserve"> </w:t>
      </w:r>
      <w:r w:rsidR="001146CC" w:rsidRPr="00A51A17">
        <w:rPr>
          <w:lang w:val="en-US"/>
        </w:rPr>
        <w:t xml:space="preserve">Such a description appears to adequately capture the nature of </w:t>
      </w:r>
      <w:r w:rsidR="00A225F3" w:rsidRPr="00A51A17">
        <w:rPr>
          <w:lang w:val="en-US"/>
        </w:rPr>
        <w:t xml:space="preserve">the </w:t>
      </w:r>
      <w:r w:rsidR="001146CC" w:rsidRPr="00A51A17">
        <w:rPr>
          <w:lang w:val="en-US"/>
        </w:rPr>
        <w:t xml:space="preserve">psychological distress related to COVID-19. </w:t>
      </w:r>
    </w:p>
    <w:p w14:paraId="34456102" w14:textId="3BF9EC20" w:rsidR="006B0719" w:rsidRPr="00A51A17" w:rsidRDefault="003132EB" w:rsidP="00EC7E64">
      <w:pPr>
        <w:spacing w:line="480" w:lineRule="auto"/>
        <w:ind w:firstLine="567"/>
        <w:rPr>
          <w:lang w:val="en-US"/>
        </w:rPr>
      </w:pPr>
      <w:r w:rsidRPr="00A51A17">
        <w:rPr>
          <w:bCs/>
          <w:lang w:val="en-US"/>
        </w:rPr>
        <w:t xml:space="preserve">This study </w:t>
      </w:r>
      <w:r w:rsidR="006F53F7" w:rsidRPr="00A51A17">
        <w:rPr>
          <w:bCs/>
          <w:lang w:val="en-US"/>
        </w:rPr>
        <w:t>has</w:t>
      </w:r>
      <w:r w:rsidRPr="00A51A17">
        <w:rPr>
          <w:bCs/>
          <w:lang w:val="en-US"/>
        </w:rPr>
        <w:t xml:space="preserve"> several limitations that should be acknowledged. </w:t>
      </w:r>
      <w:r w:rsidR="00241CDF" w:rsidRPr="00A51A17">
        <w:rPr>
          <w:bCs/>
          <w:lang w:val="en-US"/>
        </w:rPr>
        <w:t>First, t</w:t>
      </w:r>
      <w:r w:rsidR="00241CDF" w:rsidRPr="00A51A17">
        <w:rPr>
          <w:lang w:val="en-US"/>
        </w:rPr>
        <w:t xml:space="preserve">wo </w:t>
      </w:r>
      <w:r w:rsidR="000B549E" w:rsidRPr="00A51A17">
        <w:rPr>
          <w:lang w:val="en-US"/>
        </w:rPr>
        <w:t>different</w:t>
      </w:r>
      <w:r w:rsidRPr="00A51A17">
        <w:rPr>
          <w:lang w:val="en-US"/>
        </w:rPr>
        <w:t xml:space="preserve"> samples were</w:t>
      </w:r>
      <w:r w:rsidR="000B549E" w:rsidRPr="00A51A17">
        <w:rPr>
          <w:lang w:val="en-US"/>
        </w:rPr>
        <w:t xml:space="preserve"> used and were</w:t>
      </w:r>
      <w:r w:rsidRPr="00A51A17">
        <w:rPr>
          <w:lang w:val="en-US"/>
        </w:rPr>
        <w:t xml:space="preserve"> convenient self-selected </w:t>
      </w:r>
      <w:r w:rsidR="006D317E" w:rsidRPr="00A51A17">
        <w:rPr>
          <w:lang w:val="en-US"/>
        </w:rPr>
        <w:t xml:space="preserve">community </w:t>
      </w:r>
      <w:r w:rsidRPr="00A51A17">
        <w:rPr>
          <w:lang w:val="en-US"/>
        </w:rPr>
        <w:t xml:space="preserve">samples recruited online. </w:t>
      </w:r>
      <w:r w:rsidR="002C702D" w:rsidRPr="00A51A17">
        <w:rPr>
          <w:lang w:val="en-US"/>
        </w:rPr>
        <w:t xml:space="preserve">Thus, future studies should replicate these findings using randomly selected participants and </w:t>
      </w:r>
      <w:r w:rsidR="00DD243F" w:rsidRPr="00A51A17">
        <w:rPr>
          <w:lang w:val="en-US"/>
        </w:rPr>
        <w:t xml:space="preserve">employing a </w:t>
      </w:r>
      <w:r w:rsidR="002C702D" w:rsidRPr="00A51A17">
        <w:rPr>
          <w:lang w:val="en-US"/>
        </w:rPr>
        <w:t xml:space="preserve">longitudinal/experimental design. </w:t>
      </w:r>
      <w:r w:rsidR="00241CDF" w:rsidRPr="00A51A17">
        <w:rPr>
          <w:lang w:val="en-US"/>
        </w:rPr>
        <w:t>Second</w:t>
      </w:r>
      <w:r w:rsidR="006D317E" w:rsidRPr="00A51A17">
        <w:rPr>
          <w:lang w:val="en-US"/>
        </w:rPr>
        <w:t>, d</w:t>
      </w:r>
      <w:r w:rsidR="006F53F7" w:rsidRPr="00A51A17">
        <w:rPr>
          <w:lang w:val="en-US"/>
        </w:rPr>
        <w:t xml:space="preserve">espite the fact that path analyses might be suggestive of the directions of the associations among the studied variables (e.g., Bullock, Harlow, &amp; Mulaik, 1994), the cross-sectional design of the study does not allow to draw </w:t>
      </w:r>
      <w:r w:rsidR="00DD243F" w:rsidRPr="00A51A17">
        <w:rPr>
          <w:lang w:val="en-US"/>
        </w:rPr>
        <w:t xml:space="preserve">a </w:t>
      </w:r>
      <w:r w:rsidR="006F53F7" w:rsidRPr="00A51A17">
        <w:rPr>
          <w:lang w:val="en-US"/>
        </w:rPr>
        <w:t xml:space="preserve">conclusive causal inference. </w:t>
      </w:r>
      <w:r w:rsidR="002C702D" w:rsidRPr="00A51A17">
        <w:rPr>
          <w:lang w:val="en-US"/>
        </w:rPr>
        <w:t>Further longitudinal studies should monitor the changes in the variable</w:t>
      </w:r>
      <w:r w:rsidR="009C7DCA" w:rsidRPr="00A51A17">
        <w:rPr>
          <w:lang w:val="en-US"/>
        </w:rPr>
        <w:t>s</w:t>
      </w:r>
      <w:r w:rsidR="002C702D" w:rsidRPr="00A51A17">
        <w:rPr>
          <w:lang w:val="en-US"/>
        </w:rPr>
        <w:t xml:space="preserve"> of interest over time. </w:t>
      </w:r>
      <w:r w:rsidR="006F53F7" w:rsidRPr="00A51A17">
        <w:rPr>
          <w:lang w:val="en-US"/>
        </w:rPr>
        <w:t xml:space="preserve">As mentioned above, the issue of directionality is particularly important as cyberchondria and PIU might also be maintaining factors exacerbating the levels of </w:t>
      </w:r>
      <w:r w:rsidR="004E2B94" w:rsidRPr="00A51A17">
        <w:rPr>
          <w:bCs/>
          <w:lang w:val="en-US"/>
        </w:rPr>
        <w:t>intolerance of uncertainty</w:t>
      </w:r>
      <w:r w:rsidR="006F53F7" w:rsidRPr="00A51A17">
        <w:rPr>
          <w:lang w:val="en-US"/>
        </w:rPr>
        <w:t>, thus establishing a vicious c</w:t>
      </w:r>
      <w:r w:rsidR="00DD243F" w:rsidRPr="00A51A17">
        <w:rPr>
          <w:lang w:val="en-US"/>
        </w:rPr>
        <w:t>ycle</w:t>
      </w:r>
      <w:r w:rsidR="006F53F7" w:rsidRPr="00A51A17">
        <w:rPr>
          <w:lang w:val="en-US"/>
        </w:rPr>
        <w:t xml:space="preserve">. </w:t>
      </w:r>
      <w:r w:rsidR="00241CDF" w:rsidRPr="00A51A17">
        <w:rPr>
          <w:lang w:val="en-US"/>
        </w:rPr>
        <w:t>Third</w:t>
      </w:r>
      <w:r w:rsidR="006F53F7" w:rsidRPr="00A51A17">
        <w:rPr>
          <w:lang w:val="en-US"/>
        </w:rPr>
        <w:t xml:space="preserve">, the </w:t>
      </w:r>
      <w:r w:rsidR="00A41FE8" w:rsidRPr="00A51A17">
        <w:rPr>
          <w:lang w:val="en-US"/>
        </w:rPr>
        <w:t xml:space="preserve">relatively </w:t>
      </w:r>
      <w:r w:rsidR="006F53F7" w:rsidRPr="00A51A17">
        <w:rPr>
          <w:lang w:val="en-US"/>
        </w:rPr>
        <w:t xml:space="preserve">modest sample sizes did not allow to </w:t>
      </w:r>
      <w:r w:rsidR="00A41FE8" w:rsidRPr="00A51A17">
        <w:rPr>
          <w:lang w:val="en-US"/>
        </w:rPr>
        <w:t>use</w:t>
      </w:r>
      <w:r w:rsidR="006F53F7" w:rsidRPr="00A51A17">
        <w:rPr>
          <w:lang w:val="en-US"/>
        </w:rPr>
        <w:t xml:space="preserve"> a </w:t>
      </w:r>
      <w:r w:rsidR="00A41FE8" w:rsidRPr="00A51A17">
        <w:rPr>
          <w:lang w:val="en-US"/>
        </w:rPr>
        <w:t xml:space="preserve">traditional structural equation modelling approach </w:t>
      </w:r>
      <w:r w:rsidR="006F53F7" w:rsidRPr="00A51A17">
        <w:rPr>
          <w:lang w:val="en-US"/>
        </w:rPr>
        <w:t>and</w:t>
      </w:r>
      <w:r w:rsidR="00A41FE8" w:rsidRPr="00A51A17">
        <w:rPr>
          <w:lang w:val="en-US"/>
        </w:rPr>
        <w:t xml:space="preserve"> to run </w:t>
      </w:r>
      <w:r w:rsidR="006F53F7" w:rsidRPr="00A51A17">
        <w:rPr>
          <w:lang w:val="en-US"/>
        </w:rPr>
        <w:t xml:space="preserve">multi-group analyses. </w:t>
      </w:r>
      <w:r w:rsidR="00A41FE8" w:rsidRPr="00A51A17">
        <w:rPr>
          <w:lang w:val="en-US"/>
        </w:rPr>
        <w:t xml:space="preserve">However, the present study showed a similar pattern of relationships for the two samples, which were overall comparable despite the higher levels of </w:t>
      </w:r>
      <w:r w:rsidR="004E2B94" w:rsidRPr="00A51A17">
        <w:rPr>
          <w:bCs/>
          <w:lang w:val="en-US"/>
        </w:rPr>
        <w:t>intolerance of uncertainty</w:t>
      </w:r>
      <w:r w:rsidR="004E2B94" w:rsidRPr="00A51A17">
        <w:rPr>
          <w:lang w:val="en-US"/>
        </w:rPr>
        <w:t xml:space="preserve"> </w:t>
      </w:r>
      <w:r w:rsidR="00A41FE8" w:rsidRPr="00A51A17">
        <w:rPr>
          <w:lang w:val="en-US"/>
        </w:rPr>
        <w:t xml:space="preserve">and PIU reported by Sample 2 who completed the </w:t>
      </w:r>
      <w:r w:rsidR="00DD243F" w:rsidRPr="00A51A17">
        <w:rPr>
          <w:lang w:val="en-US"/>
        </w:rPr>
        <w:t>study</w:t>
      </w:r>
      <w:r w:rsidR="00A41FE8" w:rsidRPr="00A51A17">
        <w:rPr>
          <w:lang w:val="en-US"/>
        </w:rPr>
        <w:t xml:space="preserve"> during the first months of the pandemic outbreak in Italy.</w:t>
      </w:r>
      <w:r w:rsidR="000B549E" w:rsidRPr="00A51A17">
        <w:rPr>
          <w:lang w:val="en-US"/>
        </w:rPr>
        <w:t xml:space="preserve"> </w:t>
      </w:r>
      <w:r w:rsidR="00241CDF" w:rsidRPr="00A51A17">
        <w:rPr>
          <w:lang w:val="en-US"/>
        </w:rPr>
        <w:t xml:space="preserve">Fourth, in our study we could not </w:t>
      </w:r>
      <w:r w:rsidR="00A271AC" w:rsidRPr="00A51A17">
        <w:rPr>
          <w:lang w:val="en-US"/>
        </w:rPr>
        <w:t>use</w:t>
      </w:r>
      <w:r w:rsidR="00241CDF" w:rsidRPr="00A51A17">
        <w:rPr>
          <w:lang w:val="en-US"/>
        </w:rPr>
        <w:t xml:space="preserve"> a </w:t>
      </w:r>
      <w:r w:rsidR="00241CDF" w:rsidRPr="00A51A17">
        <w:rPr>
          <w:iCs/>
          <w:lang w:val="en-US"/>
        </w:rPr>
        <w:t>specific measure of COVID-19 psychological distress</w:t>
      </w:r>
      <w:r w:rsidR="00A271AC" w:rsidRPr="00A51A17">
        <w:rPr>
          <w:iCs/>
          <w:lang w:val="en-US"/>
        </w:rPr>
        <w:t xml:space="preserve"> – as for example the recently developed Fear of COVID-19 Scale (Ahorsu et al., 2020), Coronavirus Anxiety Scale (Lee, 2020a, 2020b), COVID Stress Scales (Taylor et al., 2020), and COVID-19 Anxiety Syndrome Scale (</w:t>
      </w:r>
      <w:r w:rsidR="00A271AC" w:rsidRPr="00A51A17">
        <w:rPr>
          <w:shd w:val="clear" w:color="auto" w:fill="FFFFFF"/>
          <w:lang w:val="es-ES"/>
        </w:rPr>
        <w:t>Nikčević &amp; Spada, 2020</w:t>
      </w:r>
      <w:r w:rsidR="00A271AC" w:rsidRPr="00A51A17">
        <w:rPr>
          <w:iCs/>
          <w:lang w:val="en-US"/>
        </w:rPr>
        <w:t xml:space="preserve">). Indeed, when we designed our study (before the COVID-19 outbreak) the DASS-21 represented the most suitable measure </w:t>
      </w:r>
      <w:r w:rsidR="0048013C" w:rsidRPr="00A51A17">
        <w:rPr>
          <w:iCs/>
          <w:lang w:val="en-US"/>
        </w:rPr>
        <w:t>to assess</w:t>
      </w:r>
      <w:r w:rsidR="00A271AC" w:rsidRPr="00A51A17">
        <w:rPr>
          <w:iCs/>
          <w:lang w:val="en-US"/>
        </w:rPr>
        <w:t xml:space="preserve"> psychological distress </w:t>
      </w:r>
      <w:r w:rsidR="0048013C" w:rsidRPr="00A51A17">
        <w:rPr>
          <w:iCs/>
          <w:lang w:val="en-US"/>
        </w:rPr>
        <w:t>and</w:t>
      </w:r>
      <w:r w:rsidR="00A271AC" w:rsidRPr="00A51A17">
        <w:rPr>
          <w:iCs/>
          <w:lang w:val="en-US"/>
        </w:rPr>
        <w:t xml:space="preserve"> given our purposes. Moreover, </w:t>
      </w:r>
      <w:r w:rsidR="0048013C" w:rsidRPr="00A51A17">
        <w:rPr>
          <w:iCs/>
          <w:lang w:val="en-US"/>
        </w:rPr>
        <w:t>none</w:t>
      </w:r>
      <w:r w:rsidR="00A271AC" w:rsidRPr="00A51A17">
        <w:rPr>
          <w:iCs/>
          <w:lang w:val="en-US"/>
        </w:rPr>
        <w:t xml:space="preserve"> of the above-mentioned questionnaires was </w:t>
      </w:r>
      <w:r w:rsidR="000E2E00" w:rsidRPr="00A51A17">
        <w:rPr>
          <w:iCs/>
          <w:lang w:val="en-US"/>
        </w:rPr>
        <w:t xml:space="preserve">translated into Italian </w:t>
      </w:r>
      <w:r w:rsidR="00A271AC" w:rsidRPr="00A51A17">
        <w:rPr>
          <w:iCs/>
          <w:lang w:val="en-US"/>
        </w:rPr>
        <w:t>at the time of Sample 2 enrollment.</w:t>
      </w:r>
      <w:r w:rsidR="00A271AC" w:rsidRPr="00A51A17">
        <w:rPr>
          <w:lang w:val="en-US"/>
        </w:rPr>
        <w:t xml:space="preserve"> </w:t>
      </w:r>
      <w:r w:rsidR="00024043" w:rsidRPr="00A51A17">
        <w:rPr>
          <w:lang w:val="en-US"/>
        </w:rPr>
        <w:t xml:space="preserve">Furthermore, the research protocol did not include the frequency of specific online activities, thus future studies should ascertain which types of activities (such as, problematic social media use, exposure to negative news, etc.) are more likely to contribute to PIU. </w:t>
      </w:r>
      <w:r w:rsidR="00241CDF" w:rsidRPr="00A51A17">
        <w:rPr>
          <w:lang w:val="en-US"/>
        </w:rPr>
        <w:t>Last</w:t>
      </w:r>
      <w:r w:rsidR="0048013C" w:rsidRPr="00A51A17">
        <w:rPr>
          <w:lang w:val="en-US"/>
        </w:rPr>
        <w:t>ly</w:t>
      </w:r>
      <w:r w:rsidR="00A41FE8" w:rsidRPr="00A51A17">
        <w:rPr>
          <w:lang w:val="en-US"/>
        </w:rPr>
        <w:t>, cut-offs for the CSS and the GP</w:t>
      </w:r>
      <w:r w:rsidR="00024043" w:rsidRPr="00A51A17">
        <w:rPr>
          <w:lang w:val="en-US"/>
        </w:rPr>
        <w:t xml:space="preserve">IUS2 are currently unavailable. </w:t>
      </w:r>
      <w:r w:rsidR="00A41FE8" w:rsidRPr="00A51A17">
        <w:rPr>
          <w:lang w:val="en-US"/>
        </w:rPr>
        <w:t xml:space="preserve">Future studies are warranted in order to establish cut-off </w:t>
      </w:r>
      <w:r w:rsidR="009C7DCA" w:rsidRPr="00A51A17">
        <w:rPr>
          <w:lang w:val="en-US"/>
        </w:rPr>
        <w:t>values t</w:t>
      </w:r>
      <w:r w:rsidR="00DD243F" w:rsidRPr="00A51A17">
        <w:rPr>
          <w:lang w:val="en-US"/>
        </w:rPr>
        <w:t>o facilitate the</w:t>
      </w:r>
      <w:r w:rsidR="00A41FE8" w:rsidRPr="00A51A17">
        <w:rPr>
          <w:lang w:val="en-US"/>
        </w:rPr>
        <w:t xml:space="preserve"> assess</w:t>
      </w:r>
      <w:r w:rsidR="00DD243F" w:rsidRPr="00A51A17">
        <w:rPr>
          <w:lang w:val="en-US"/>
        </w:rPr>
        <w:t>ment of</w:t>
      </w:r>
      <w:r w:rsidR="00A41FE8" w:rsidRPr="00A51A17">
        <w:rPr>
          <w:lang w:val="en-US"/>
        </w:rPr>
        <w:t xml:space="preserve"> the prevalence of problematic online behaviors</w:t>
      </w:r>
      <w:r w:rsidR="000B549E" w:rsidRPr="00A51A17">
        <w:rPr>
          <w:lang w:val="en-US"/>
        </w:rPr>
        <w:t xml:space="preserve"> </w:t>
      </w:r>
      <w:r w:rsidR="00A41FE8" w:rsidRPr="00A51A17">
        <w:rPr>
          <w:lang w:val="en-US"/>
        </w:rPr>
        <w:t xml:space="preserve">and </w:t>
      </w:r>
      <w:r w:rsidR="00DD243F" w:rsidRPr="00A51A17">
        <w:rPr>
          <w:lang w:val="en-US"/>
        </w:rPr>
        <w:t xml:space="preserve">allow </w:t>
      </w:r>
      <w:r w:rsidR="00A41FE8" w:rsidRPr="00A51A17">
        <w:rPr>
          <w:lang w:val="en-US"/>
        </w:rPr>
        <w:t>practitioners to screen community adults at risk of cyberchondria and PIU</w:t>
      </w:r>
      <w:r w:rsidR="000B549E" w:rsidRPr="00A51A17">
        <w:rPr>
          <w:lang w:val="en-US"/>
        </w:rPr>
        <w:t xml:space="preserve"> in the context of COVID-19 pandemic</w:t>
      </w:r>
      <w:r w:rsidR="00A41FE8" w:rsidRPr="00A51A17">
        <w:rPr>
          <w:lang w:val="en-US"/>
        </w:rPr>
        <w:t>.</w:t>
      </w:r>
    </w:p>
    <w:p w14:paraId="727DC14E" w14:textId="64EDE38E" w:rsidR="000B549E" w:rsidRPr="00A51A17" w:rsidRDefault="009C7DCA" w:rsidP="00EE2843">
      <w:pPr>
        <w:spacing w:line="480" w:lineRule="auto"/>
        <w:ind w:firstLine="567"/>
        <w:rPr>
          <w:bCs/>
          <w:lang w:val="en-US"/>
        </w:rPr>
      </w:pPr>
      <w:r w:rsidRPr="00A51A17">
        <w:rPr>
          <w:bCs/>
          <w:lang w:val="en-US"/>
        </w:rPr>
        <w:tab/>
      </w:r>
      <w:r w:rsidR="000B549E" w:rsidRPr="00A51A17">
        <w:rPr>
          <w:bCs/>
          <w:lang w:val="en-US"/>
        </w:rPr>
        <w:t>T</w:t>
      </w:r>
      <w:r w:rsidR="006D317E" w:rsidRPr="00A51A17">
        <w:rPr>
          <w:bCs/>
          <w:lang w:val="en-US"/>
        </w:rPr>
        <w:t>o our knowledge, t</w:t>
      </w:r>
      <w:r w:rsidR="000B549E" w:rsidRPr="00A51A17">
        <w:rPr>
          <w:bCs/>
          <w:lang w:val="en-US"/>
        </w:rPr>
        <w:t xml:space="preserve">he present study </w:t>
      </w:r>
      <w:r w:rsidR="006D317E" w:rsidRPr="00A51A17">
        <w:rPr>
          <w:bCs/>
          <w:lang w:val="en-US"/>
        </w:rPr>
        <w:t xml:space="preserve">is the first </w:t>
      </w:r>
      <w:r w:rsidR="00DD243F" w:rsidRPr="00A51A17">
        <w:rPr>
          <w:bCs/>
          <w:lang w:val="en-US"/>
        </w:rPr>
        <w:t>to provide</w:t>
      </w:r>
      <w:r w:rsidR="000B549E" w:rsidRPr="00A51A17">
        <w:rPr>
          <w:bCs/>
          <w:lang w:val="en-US"/>
        </w:rPr>
        <w:t xml:space="preserve"> new insight</w:t>
      </w:r>
      <w:r w:rsidR="00DD243F" w:rsidRPr="00A51A17">
        <w:rPr>
          <w:bCs/>
          <w:lang w:val="en-US"/>
        </w:rPr>
        <w:t>s</w:t>
      </w:r>
      <w:r w:rsidR="000B549E" w:rsidRPr="00A51A17">
        <w:rPr>
          <w:bCs/>
          <w:lang w:val="en-US"/>
        </w:rPr>
        <w:t xml:space="preserve"> on the</w:t>
      </w:r>
      <w:r w:rsidR="006D317E" w:rsidRPr="00A51A17">
        <w:rPr>
          <w:bCs/>
          <w:lang w:val="en-US"/>
        </w:rPr>
        <w:t xml:space="preserve"> </w:t>
      </w:r>
      <w:r w:rsidR="00DD243F" w:rsidRPr="00A51A17">
        <w:rPr>
          <w:bCs/>
          <w:lang w:val="en-US"/>
        </w:rPr>
        <w:t>combined</w:t>
      </w:r>
      <w:r w:rsidR="000B549E" w:rsidRPr="00A51A17">
        <w:rPr>
          <w:bCs/>
          <w:lang w:val="en-US"/>
        </w:rPr>
        <w:t xml:space="preserve"> role of </w:t>
      </w:r>
      <w:r w:rsidR="004E2B94" w:rsidRPr="00A51A17">
        <w:rPr>
          <w:bCs/>
          <w:lang w:val="en-US"/>
        </w:rPr>
        <w:t>intolerance of uncertainty</w:t>
      </w:r>
      <w:r w:rsidR="000B549E" w:rsidRPr="00A51A17">
        <w:rPr>
          <w:bCs/>
          <w:lang w:val="en-US"/>
        </w:rPr>
        <w:t xml:space="preserve">, cyberchondria and PIU in </w:t>
      </w:r>
      <w:r w:rsidR="00DD243F" w:rsidRPr="00A51A17">
        <w:rPr>
          <w:bCs/>
          <w:lang w:val="en-US"/>
        </w:rPr>
        <w:t>predicting</w:t>
      </w:r>
      <w:r w:rsidR="000B549E" w:rsidRPr="00A51A17">
        <w:rPr>
          <w:bCs/>
          <w:lang w:val="en-US"/>
        </w:rPr>
        <w:t xml:space="preserve"> levels of HA and psychological distress</w:t>
      </w:r>
      <w:r w:rsidR="006D317E" w:rsidRPr="00A51A17">
        <w:rPr>
          <w:bCs/>
          <w:lang w:val="en-US"/>
        </w:rPr>
        <w:t xml:space="preserve"> before and during the COVID-19 outbreak</w:t>
      </w:r>
      <w:r w:rsidR="000B549E" w:rsidRPr="00A51A17">
        <w:rPr>
          <w:bCs/>
          <w:lang w:val="en-US"/>
        </w:rPr>
        <w:t>.</w:t>
      </w:r>
      <w:r w:rsidR="006D317E" w:rsidRPr="00A51A17">
        <w:rPr>
          <w:bCs/>
          <w:lang w:val="en-US"/>
        </w:rPr>
        <w:t xml:space="preserve"> Indeed, f</w:t>
      </w:r>
      <w:r w:rsidR="000B549E" w:rsidRPr="00A51A17">
        <w:rPr>
          <w:bCs/>
          <w:lang w:val="en-US"/>
        </w:rPr>
        <w:t xml:space="preserve">indings </w:t>
      </w:r>
      <w:r w:rsidR="006D317E" w:rsidRPr="00A51A17">
        <w:rPr>
          <w:bCs/>
          <w:lang w:val="en-US"/>
        </w:rPr>
        <w:t xml:space="preserve">suggested that </w:t>
      </w:r>
      <w:r w:rsidR="004E2B94" w:rsidRPr="00A51A17">
        <w:rPr>
          <w:bCs/>
          <w:lang w:val="en-US"/>
        </w:rPr>
        <w:t>intolerance of uncertainty</w:t>
      </w:r>
      <w:r w:rsidR="004E2B94" w:rsidRPr="00A51A17">
        <w:rPr>
          <w:lang w:val="en-US"/>
        </w:rPr>
        <w:t xml:space="preserve"> </w:t>
      </w:r>
      <w:r w:rsidR="003F0771" w:rsidRPr="00A51A17">
        <w:rPr>
          <w:bCs/>
          <w:lang w:val="en-US"/>
        </w:rPr>
        <w:t>is</w:t>
      </w:r>
      <w:r w:rsidR="006D317E" w:rsidRPr="00A51A17">
        <w:rPr>
          <w:bCs/>
          <w:lang w:val="en-US"/>
        </w:rPr>
        <w:t xml:space="preserve"> relevant </w:t>
      </w:r>
      <w:r w:rsidR="00DD243F" w:rsidRPr="00A51A17">
        <w:rPr>
          <w:bCs/>
          <w:lang w:val="en-US"/>
        </w:rPr>
        <w:t xml:space="preserve">to </w:t>
      </w:r>
      <w:r w:rsidR="002D49E6" w:rsidRPr="00A51A17">
        <w:rPr>
          <w:bCs/>
          <w:lang w:val="en-US"/>
        </w:rPr>
        <w:t xml:space="preserve">both </w:t>
      </w:r>
      <w:r w:rsidR="006D317E" w:rsidRPr="00A51A17">
        <w:rPr>
          <w:bCs/>
          <w:lang w:val="en-US"/>
        </w:rPr>
        <w:t xml:space="preserve">in </w:t>
      </w:r>
      <w:r w:rsidR="002D49E6" w:rsidRPr="00A51A17">
        <w:rPr>
          <w:bCs/>
          <w:lang w:val="en-US"/>
        </w:rPr>
        <w:t>pandemic and non-pandemic</w:t>
      </w:r>
      <w:r w:rsidR="006D317E" w:rsidRPr="00A51A17">
        <w:rPr>
          <w:bCs/>
          <w:lang w:val="en-US"/>
        </w:rPr>
        <w:t xml:space="preserve"> context</w:t>
      </w:r>
      <w:r w:rsidR="002D49E6" w:rsidRPr="00A51A17">
        <w:rPr>
          <w:bCs/>
          <w:lang w:val="en-US"/>
        </w:rPr>
        <w:t>s</w:t>
      </w:r>
      <w:r w:rsidR="006D317E" w:rsidRPr="00A51A17">
        <w:rPr>
          <w:bCs/>
          <w:lang w:val="en-US"/>
        </w:rPr>
        <w:t xml:space="preserve"> and </w:t>
      </w:r>
      <w:r w:rsidR="000B549E" w:rsidRPr="00A51A17">
        <w:rPr>
          <w:bCs/>
          <w:lang w:val="en-US"/>
        </w:rPr>
        <w:t>should be considered in clinical contexts</w:t>
      </w:r>
      <w:r w:rsidR="006D317E" w:rsidRPr="00A51A17">
        <w:rPr>
          <w:bCs/>
          <w:lang w:val="en-US"/>
        </w:rPr>
        <w:t xml:space="preserve"> </w:t>
      </w:r>
      <w:r w:rsidR="00647D0D" w:rsidRPr="00A51A17">
        <w:rPr>
          <w:bCs/>
          <w:lang w:val="en-US"/>
        </w:rPr>
        <w:t xml:space="preserve">(e.g., cognitive-behavioral therapy) in order to tackle HA and psychological distress. Moreover, </w:t>
      </w:r>
      <w:r w:rsidR="002D49E6" w:rsidRPr="00A51A17">
        <w:rPr>
          <w:bCs/>
          <w:lang w:val="en-US"/>
        </w:rPr>
        <w:t>results of the current study suggest that problematic online behaviors (i.e., cyberchondria and PIU)</w:t>
      </w:r>
      <w:r w:rsidR="003F0771" w:rsidRPr="00A51A17">
        <w:rPr>
          <w:bCs/>
          <w:lang w:val="en-US"/>
        </w:rPr>
        <w:t xml:space="preserve"> might exacerbate the negative consequences of </w:t>
      </w:r>
      <w:r w:rsidR="00A022A5" w:rsidRPr="00A51A17">
        <w:rPr>
          <w:bCs/>
          <w:lang w:val="en-US"/>
        </w:rPr>
        <w:t>intolerance of uncertainty</w:t>
      </w:r>
      <w:r w:rsidR="00A022A5" w:rsidRPr="00A51A17">
        <w:rPr>
          <w:lang w:val="en-US"/>
        </w:rPr>
        <w:t xml:space="preserve"> </w:t>
      </w:r>
      <w:r w:rsidR="003F0771" w:rsidRPr="00A51A17">
        <w:rPr>
          <w:bCs/>
          <w:lang w:val="en-US"/>
        </w:rPr>
        <w:t>in terms of higher levels of HA and psychological distress</w:t>
      </w:r>
      <w:r w:rsidR="002D49E6" w:rsidRPr="00A51A17">
        <w:rPr>
          <w:bCs/>
          <w:lang w:val="en-US"/>
        </w:rPr>
        <w:t>. Thus, given</w:t>
      </w:r>
      <w:r w:rsidR="003F0771" w:rsidRPr="00A51A17">
        <w:rPr>
          <w:bCs/>
          <w:lang w:val="en-US"/>
        </w:rPr>
        <w:t xml:space="preserve"> the spread of both general and health-related Internet use, c</w:t>
      </w:r>
      <w:r w:rsidR="00647D0D" w:rsidRPr="00A51A17">
        <w:rPr>
          <w:bCs/>
          <w:lang w:val="en-US"/>
        </w:rPr>
        <w:t xml:space="preserve">orrect and clear information related to the </w:t>
      </w:r>
      <w:r w:rsidR="003F0771" w:rsidRPr="00A51A17">
        <w:rPr>
          <w:bCs/>
          <w:lang w:val="en-US"/>
        </w:rPr>
        <w:t>“positive” use</w:t>
      </w:r>
      <w:r w:rsidR="00647D0D" w:rsidRPr="00A51A17">
        <w:rPr>
          <w:bCs/>
          <w:lang w:val="en-US"/>
        </w:rPr>
        <w:t xml:space="preserve"> of the Internet for health searches and reassurance-seeking might be of value for</w:t>
      </w:r>
      <w:r w:rsidR="006D317E" w:rsidRPr="00A51A17">
        <w:rPr>
          <w:bCs/>
          <w:lang w:val="en-US"/>
        </w:rPr>
        <w:t xml:space="preserve"> targeted preventive practices.</w:t>
      </w:r>
      <w:r w:rsidR="00647D0D" w:rsidRPr="00A51A17">
        <w:rPr>
          <w:bCs/>
          <w:lang w:val="en-US"/>
        </w:rPr>
        <w:t xml:space="preserve"> </w:t>
      </w:r>
      <w:r w:rsidRPr="00A51A17">
        <w:rPr>
          <w:bCs/>
          <w:lang w:val="en-US"/>
        </w:rPr>
        <w:t xml:space="preserve">Lastly, </w:t>
      </w:r>
      <w:r w:rsidRPr="00A51A17">
        <w:rPr>
          <w:lang w:val="en-US"/>
        </w:rPr>
        <w:t xml:space="preserve">in line with the recently proposed “Uncertainty Distress Model” (Freeston et al., 2020) and in accordance with our findings, </w:t>
      </w:r>
      <w:r w:rsidRPr="00A51A17">
        <w:rPr>
          <w:bCs/>
          <w:lang w:val="en-US"/>
        </w:rPr>
        <w:t xml:space="preserve">helping people managing and rebalancing information, for example by reducing access to some types of information while potentially increasing access to others, may represent a starting point to address both cyberchondria and psychological distress in the context of the COVID-19 pandemic. </w:t>
      </w:r>
    </w:p>
    <w:p w14:paraId="5F99358B" w14:textId="77777777" w:rsidR="00FC7C7A" w:rsidRPr="00A51A17" w:rsidRDefault="00FC7C7A" w:rsidP="00FC7C7A">
      <w:pPr>
        <w:spacing w:line="480" w:lineRule="auto"/>
        <w:jc w:val="center"/>
        <w:rPr>
          <w:b/>
          <w:shd w:val="clear" w:color="auto" w:fill="FFFFFF"/>
          <w:lang w:val="en-US"/>
        </w:rPr>
      </w:pPr>
    </w:p>
    <w:p w14:paraId="00E47A6A" w14:textId="77777777" w:rsidR="002F3AD6" w:rsidRPr="00A51A17" w:rsidRDefault="002F3AD6" w:rsidP="002F3AD6">
      <w:pPr>
        <w:autoSpaceDE w:val="0"/>
        <w:autoSpaceDN w:val="0"/>
        <w:adjustRightInd w:val="0"/>
        <w:spacing w:line="480" w:lineRule="auto"/>
        <w:rPr>
          <w:lang w:val="en-US"/>
        </w:rPr>
      </w:pPr>
      <w:r w:rsidRPr="00A51A17">
        <w:rPr>
          <w:b/>
          <w:bCs/>
          <w:szCs w:val="22"/>
          <w:lang w:val="en-US"/>
        </w:rPr>
        <w:t xml:space="preserve">Acknowledgements. </w:t>
      </w:r>
      <w:r w:rsidRPr="00A51A17">
        <w:rPr>
          <w:lang w:val="en-US"/>
        </w:rPr>
        <w:t xml:space="preserve">This work was carried out within the scope of the project “use-inspired basic research”, for which the Department of General Psychology of the University of Padova has been recognized as “Dipartimento di eccellenza” by the Ministry of University and Research. </w:t>
      </w:r>
    </w:p>
    <w:p w14:paraId="0200BE0F" w14:textId="77777777" w:rsidR="002F3AD6" w:rsidRPr="00A51A17" w:rsidRDefault="002F3AD6" w:rsidP="00FC7C7A">
      <w:pPr>
        <w:spacing w:line="480" w:lineRule="auto"/>
        <w:rPr>
          <w:b/>
          <w:shd w:val="clear" w:color="auto" w:fill="FFFFFF"/>
          <w:lang w:val="en-US"/>
        </w:rPr>
      </w:pPr>
    </w:p>
    <w:p w14:paraId="1740C72C" w14:textId="783E1D8E" w:rsidR="00FC7C7A" w:rsidRPr="00A51A17" w:rsidRDefault="00FC7C7A" w:rsidP="00FC7C7A">
      <w:pPr>
        <w:spacing w:line="480" w:lineRule="auto"/>
        <w:rPr>
          <w:bCs/>
          <w:shd w:val="clear" w:color="auto" w:fill="FFFFFF"/>
          <w:lang w:val="en-US"/>
        </w:rPr>
      </w:pPr>
      <w:r w:rsidRPr="00A51A17">
        <w:rPr>
          <w:b/>
          <w:shd w:val="clear" w:color="auto" w:fill="FFFFFF"/>
          <w:lang w:val="en-US"/>
        </w:rPr>
        <w:t xml:space="preserve">Declarations of interest: </w:t>
      </w:r>
      <w:r w:rsidR="001C5CBB" w:rsidRPr="00A51A17">
        <w:rPr>
          <w:bCs/>
          <w:shd w:val="clear" w:color="auto" w:fill="FFFFFF"/>
          <w:lang w:val="en-US"/>
        </w:rPr>
        <w:t>The authors report no conflict of interest.</w:t>
      </w:r>
    </w:p>
    <w:p w14:paraId="08329312" w14:textId="77777777" w:rsidR="00FC7C7A" w:rsidRPr="00A51A17" w:rsidRDefault="00FC7C7A" w:rsidP="00DA439D">
      <w:pPr>
        <w:autoSpaceDE w:val="0"/>
        <w:autoSpaceDN w:val="0"/>
        <w:adjustRightInd w:val="0"/>
        <w:spacing w:line="480" w:lineRule="auto"/>
        <w:rPr>
          <w:lang w:val="en-US"/>
        </w:rPr>
      </w:pPr>
    </w:p>
    <w:p w14:paraId="3D773A50" w14:textId="0B2D3830" w:rsidR="00DA439D" w:rsidRPr="00A51A17" w:rsidRDefault="00023B17" w:rsidP="00023B17">
      <w:pPr>
        <w:autoSpaceDE w:val="0"/>
        <w:autoSpaceDN w:val="0"/>
        <w:adjustRightInd w:val="0"/>
        <w:spacing w:line="480" w:lineRule="auto"/>
        <w:rPr>
          <w:lang w:val="en-US"/>
        </w:rPr>
      </w:pPr>
      <w:r w:rsidRPr="00A51A17">
        <w:rPr>
          <w:b/>
          <w:bCs/>
          <w:lang w:val="en-US"/>
        </w:rPr>
        <w:t>Data availability statement:</w:t>
      </w:r>
      <w:r w:rsidRPr="00A51A17">
        <w:rPr>
          <w:lang w:val="en-US"/>
        </w:rPr>
        <w:t xml:space="preserve"> The data that support the findings of this study are available from the corresponding author, G. B., upon reasonable request.</w:t>
      </w:r>
    </w:p>
    <w:p w14:paraId="69994C60" w14:textId="35436681" w:rsidR="003954F3" w:rsidRPr="00A51A17" w:rsidRDefault="00D9775A" w:rsidP="00A81819">
      <w:pPr>
        <w:spacing w:line="480" w:lineRule="auto"/>
        <w:contextualSpacing/>
        <w:jc w:val="center"/>
        <w:rPr>
          <w:bCs/>
          <w:lang w:val="en-US"/>
        </w:rPr>
      </w:pPr>
      <w:r w:rsidRPr="00A51A17">
        <w:rPr>
          <w:bCs/>
          <w:lang w:val="en-US"/>
        </w:rPr>
        <w:br w:type="page"/>
      </w:r>
      <w:r w:rsidR="00197FA8" w:rsidRPr="00A51A17">
        <w:rPr>
          <w:bCs/>
          <w:lang w:val="en-US"/>
        </w:rPr>
        <w:t>R</w:t>
      </w:r>
      <w:r w:rsidR="00BF3646" w:rsidRPr="00A51A17">
        <w:rPr>
          <w:bCs/>
          <w:lang w:val="en-US"/>
        </w:rPr>
        <w:t>eferences</w:t>
      </w:r>
    </w:p>
    <w:p w14:paraId="381F1A63" w14:textId="3CDB1939" w:rsidR="0048013C" w:rsidRPr="00A51A17" w:rsidRDefault="0048013C" w:rsidP="0048013C">
      <w:pPr>
        <w:spacing w:line="480" w:lineRule="auto"/>
        <w:ind w:left="567" w:hanging="567"/>
        <w:rPr>
          <w:shd w:val="clear" w:color="auto" w:fill="FFFFFF"/>
          <w:lang w:val="en-US"/>
        </w:rPr>
      </w:pPr>
      <w:r w:rsidRPr="00A51A17">
        <w:rPr>
          <w:shd w:val="clear" w:color="auto" w:fill="FFFFFF"/>
          <w:lang w:val="en-US"/>
        </w:rPr>
        <w:t>Ahorsu, D. K., Lin, C. Y., Imani, V., Saffari, M., Griffiths, M. D., &amp; Pakpour, A. H. (2020). The fear of COVID-19 scale: development and initial validation. </w:t>
      </w:r>
      <w:r w:rsidRPr="00A51A17">
        <w:rPr>
          <w:i/>
          <w:iCs/>
          <w:shd w:val="clear" w:color="auto" w:fill="FFFFFF"/>
          <w:lang w:val="en-US"/>
        </w:rPr>
        <w:t>International Journal of Mental Health and Addiction</w:t>
      </w:r>
      <w:r w:rsidRPr="00A51A17">
        <w:rPr>
          <w:shd w:val="clear" w:color="auto" w:fill="FFFFFF"/>
          <w:lang w:val="en-US"/>
        </w:rPr>
        <w:t>. https://doi.org/10.1007/s11469-020-00270-8</w:t>
      </w:r>
    </w:p>
    <w:p w14:paraId="6BEF8CE2" w14:textId="657E997E" w:rsidR="00610CC7" w:rsidRPr="00A51A17" w:rsidRDefault="00610CC7" w:rsidP="00AD2A60">
      <w:pPr>
        <w:spacing w:line="480" w:lineRule="auto"/>
        <w:ind w:left="567" w:hanging="567"/>
        <w:rPr>
          <w:shd w:val="clear" w:color="auto" w:fill="FFFFFF"/>
          <w:lang w:val="en-US"/>
        </w:rPr>
      </w:pPr>
      <w:r w:rsidRPr="00A51A17">
        <w:rPr>
          <w:shd w:val="clear" w:color="auto" w:fill="FFFFFF"/>
          <w:lang w:val="en-US"/>
        </w:rPr>
        <w:t xml:space="preserve">Akbari, M. (2017). Metacognitions or distress intolerance: The mediating role in the relationship between emotional dysregulation and problematic internet use. </w:t>
      </w:r>
      <w:r w:rsidRPr="00A51A17">
        <w:rPr>
          <w:i/>
          <w:iCs/>
          <w:shd w:val="clear" w:color="auto" w:fill="FFFFFF"/>
          <w:lang w:val="en-US"/>
        </w:rPr>
        <w:t>Addictive Behaviors Reports, 6</w:t>
      </w:r>
      <w:r w:rsidRPr="00A51A17">
        <w:rPr>
          <w:shd w:val="clear" w:color="auto" w:fill="FFFFFF"/>
          <w:lang w:val="en-US"/>
        </w:rPr>
        <w:t>, 128-133. https://doi.org/10.1016/j.abrep.2017.10.004.</w:t>
      </w:r>
    </w:p>
    <w:p w14:paraId="26B1AB78" w14:textId="567BF194" w:rsidR="00AD2A60" w:rsidRPr="00A51A17" w:rsidRDefault="00AD2A60" w:rsidP="00AD2A60">
      <w:pPr>
        <w:spacing w:line="480" w:lineRule="auto"/>
        <w:ind w:left="567" w:hanging="567"/>
        <w:rPr>
          <w:shd w:val="clear" w:color="auto" w:fill="FFFFFF"/>
          <w:lang w:val="en-US"/>
        </w:rPr>
      </w:pPr>
      <w:r w:rsidRPr="00A51A17">
        <w:rPr>
          <w:shd w:val="clear" w:color="auto" w:fill="FFFFFF"/>
          <w:lang w:val="en-US"/>
        </w:rPr>
        <w:t xml:space="preserve">Bajcar, B., &amp; Babiak, J. (2020). Neuroticism and cyberchondria: The mediating role of intolerance of uncertainty and defensive pessimism. </w:t>
      </w:r>
      <w:r w:rsidRPr="00A51A17">
        <w:rPr>
          <w:i/>
          <w:iCs/>
          <w:shd w:val="clear" w:color="auto" w:fill="FFFFFF"/>
          <w:lang w:val="en-US"/>
        </w:rPr>
        <w:t>Personality and Individual Differences</w:t>
      </w:r>
      <w:r w:rsidRPr="00A51A17">
        <w:rPr>
          <w:shd w:val="clear" w:color="auto" w:fill="FFFFFF"/>
          <w:lang w:val="en-US"/>
        </w:rPr>
        <w:t xml:space="preserve">, </w:t>
      </w:r>
      <w:r w:rsidRPr="00A51A17">
        <w:rPr>
          <w:i/>
          <w:iCs/>
          <w:shd w:val="clear" w:color="auto" w:fill="FFFFFF"/>
          <w:lang w:val="en-US"/>
        </w:rPr>
        <w:t>162</w:t>
      </w:r>
      <w:r w:rsidRPr="00A51A17">
        <w:rPr>
          <w:shd w:val="clear" w:color="auto" w:fill="FFFFFF"/>
          <w:lang w:val="en-US"/>
        </w:rPr>
        <w:t>, 110006. https://doi.org/10.1016/j.paid.2020.110006.</w:t>
      </w:r>
    </w:p>
    <w:p w14:paraId="4BE714F6" w14:textId="76BDC6AF" w:rsidR="00E83030" w:rsidRPr="00A51A17" w:rsidRDefault="00E83030" w:rsidP="00E83030">
      <w:pPr>
        <w:widowControl w:val="0"/>
        <w:autoSpaceDE w:val="0"/>
        <w:autoSpaceDN w:val="0"/>
        <w:adjustRightInd w:val="0"/>
        <w:spacing w:line="480" w:lineRule="auto"/>
        <w:ind w:left="720" w:hanging="720"/>
        <w:rPr>
          <w:noProof/>
          <w:lang w:val="en-US"/>
        </w:rPr>
      </w:pPr>
      <w:r w:rsidRPr="00A51A17">
        <w:rPr>
          <w:noProof/>
          <w:lang w:val="en-US"/>
        </w:rPr>
        <w:t xml:space="preserve">Baron, R. M., &amp; Kenny, D. A. (1986). The moderator–mediator variable distinction in social psychological research: Conceptual, strategic, and statistical considerations. </w:t>
      </w:r>
      <w:r w:rsidRPr="00A51A17">
        <w:rPr>
          <w:i/>
          <w:noProof/>
          <w:lang w:val="en-US"/>
        </w:rPr>
        <w:t>Journal of Personality and Social Psychology, 51</w:t>
      </w:r>
      <w:r w:rsidRPr="00A51A17">
        <w:rPr>
          <w:noProof/>
          <w:lang w:val="en-US"/>
        </w:rPr>
        <w:t>(6), 1173-</w:t>
      </w:r>
      <w:r w:rsidRPr="00A51A17">
        <w:rPr>
          <w:lang w:val="en-US"/>
        </w:rPr>
        <w:t xml:space="preserve"> </w:t>
      </w:r>
      <w:r w:rsidRPr="00A51A17">
        <w:rPr>
          <w:noProof/>
          <w:lang w:val="en-US"/>
        </w:rPr>
        <w:t xml:space="preserve">1182. </w:t>
      </w:r>
      <w:r w:rsidRPr="00A51A17">
        <w:rPr>
          <w:shd w:val="clear" w:color="auto" w:fill="FFFFFF"/>
          <w:lang w:val="en-US"/>
        </w:rPr>
        <w:t>https://doi.org/</w:t>
      </w:r>
      <w:r w:rsidRPr="00A51A17">
        <w:rPr>
          <w:noProof/>
          <w:lang w:val="en-US"/>
        </w:rPr>
        <w:t>10.1037/0022-3514.51.6.1173</w:t>
      </w:r>
    </w:p>
    <w:p w14:paraId="1A9A58AC" w14:textId="57C6D4CD" w:rsidR="0031229C" w:rsidRPr="00A51A17" w:rsidRDefault="0031229C" w:rsidP="0031229C">
      <w:pPr>
        <w:spacing w:line="480" w:lineRule="auto"/>
        <w:ind w:left="567" w:hanging="567"/>
        <w:rPr>
          <w:shd w:val="clear" w:color="auto" w:fill="FFFFFF"/>
          <w:lang w:val="en-US"/>
        </w:rPr>
      </w:pPr>
      <w:r w:rsidRPr="00A51A17">
        <w:rPr>
          <w:shd w:val="clear" w:color="auto" w:fill="FFFFFF"/>
          <w:lang w:val="en-US"/>
        </w:rPr>
        <w:t xml:space="preserve">Bakioğlu, F., Korkmaz, O., &amp; Ercan, H. (2020). Fear of COVID-19 and Positivity: Mediating Role of Intolerance of Uncertainty, Depression, Anxiety, and Stress. </w:t>
      </w:r>
      <w:r w:rsidRPr="00A51A17">
        <w:rPr>
          <w:i/>
          <w:iCs/>
          <w:shd w:val="clear" w:color="auto" w:fill="FFFFFF"/>
          <w:lang w:val="en-US"/>
        </w:rPr>
        <w:t>International Journal of Mental Health and Addiction</w:t>
      </w:r>
      <w:r w:rsidRPr="00A51A17">
        <w:rPr>
          <w:shd w:val="clear" w:color="auto" w:fill="FFFFFF"/>
          <w:lang w:val="en-US"/>
        </w:rPr>
        <w:t>. https://doi.org/10.1007/s11469-020-00331-y</w:t>
      </w:r>
    </w:p>
    <w:p w14:paraId="5709DD19" w14:textId="77777777" w:rsidR="00E83030" w:rsidRPr="00A51A17" w:rsidRDefault="00E83030" w:rsidP="00E83030">
      <w:pPr>
        <w:spacing w:line="480" w:lineRule="auto"/>
        <w:rPr>
          <w:iCs/>
          <w:lang w:val="en-US"/>
        </w:rPr>
      </w:pPr>
      <w:r w:rsidRPr="00A51A17">
        <w:rPr>
          <w:iCs/>
          <w:lang w:val="en-US"/>
        </w:rPr>
        <w:t xml:space="preserve">Bollen, K. A. (1989). </w:t>
      </w:r>
      <w:r w:rsidRPr="00A51A17">
        <w:rPr>
          <w:i/>
          <w:iCs/>
          <w:lang w:val="en-US"/>
        </w:rPr>
        <w:t>Structural equations with latent variables</w:t>
      </w:r>
      <w:r w:rsidRPr="00A51A17">
        <w:rPr>
          <w:iCs/>
          <w:lang w:val="en-US"/>
        </w:rPr>
        <w:t>. New York: Wiley.</w:t>
      </w:r>
    </w:p>
    <w:p w14:paraId="21232D9B" w14:textId="38E3EA25" w:rsidR="00533119" w:rsidRPr="00A51A17" w:rsidRDefault="00A81819" w:rsidP="00A81819">
      <w:pPr>
        <w:spacing w:line="480" w:lineRule="auto"/>
        <w:ind w:left="567" w:hanging="567"/>
        <w:rPr>
          <w:bCs/>
          <w:lang w:val="en-US"/>
        </w:rPr>
      </w:pPr>
      <w:r w:rsidRPr="00A51A17">
        <w:rPr>
          <w:shd w:val="clear" w:color="auto" w:fill="FFFFFF"/>
          <w:lang w:val="en-US"/>
        </w:rPr>
        <w:t xml:space="preserve">Bottesi, G., Carraro, E., Martignon, A., Cerea, S., &amp; Ghisi, M. (2019a). “I’m Uncertain: What Should I Do?”: An Investigation of Behavioral Responses to Everyday Life Uncertain Situations. </w:t>
      </w:r>
      <w:r w:rsidRPr="00A51A17">
        <w:rPr>
          <w:i/>
          <w:shd w:val="clear" w:color="auto" w:fill="FFFFFF"/>
          <w:lang w:val="en-US"/>
        </w:rPr>
        <w:t>International Journal of Cognitive Therapy</w:t>
      </w:r>
      <w:r w:rsidRPr="00A51A17">
        <w:rPr>
          <w:shd w:val="clear" w:color="auto" w:fill="FFFFFF"/>
          <w:lang w:val="en-US"/>
        </w:rPr>
        <w:t xml:space="preserve">, </w:t>
      </w:r>
      <w:r w:rsidRPr="00A51A17">
        <w:rPr>
          <w:i/>
          <w:shd w:val="clear" w:color="auto" w:fill="FFFFFF"/>
          <w:lang w:val="en-US"/>
        </w:rPr>
        <w:t>12</w:t>
      </w:r>
      <w:r w:rsidRPr="00A51A17">
        <w:rPr>
          <w:shd w:val="clear" w:color="auto" w:fill="FFFFFF"/>
          <w:lang w:val="en-US"/>
        </w:rPr>
        <w:t>, 55-72.</w:t>
      </w:r>
      <w:r w:rsidR="00533119" w:rsidRPr="00A51A17">
        <w:rPr>
          <w:shd w:val="clear" w:color="auto" w:fill="FFFFFF"/>
          <w:lang w:val="en-US"/>
        </w:rPr>
        <w:t xml:space="preserve"> </w:t>
      </w:r>
      <w:r w:rsidRPr="00A51A17">
        <w:rPr>
          <w:lang w:val="en-US"/>
        </w:rPr>
        <w:t>https://doi.org/</w:t>
      </w:r>
      <w:r w:rsidRPr="00A51A17">
        <w:rPr>
          <w:bCs/>
          <w:lang w:val="en-US"/>
        </w:rPr>
        <w:t>10.1007/s41811-019-00040-y</w:t>
      </w:r>
      <w:r w:rsidR="00533119" w:rsidRPr="00A51A17">
        <w:rPr>
          <w:bCs/>
          <w:lang w:val="en-US"/>
        </w:rPr>
        <w:t>.</w:t>
      </w:r>
    </w:p>
    <w:p w14:paraId="63679408" w14:textId="3BBB263B" w:rsidR="00BC2645" w:rsidRPr="00A51A17" w:rsidRDefault="00BC2645" w:rsidP="00BC2645">
      <w:pPr>
        <w:spacing w:line="480" w:lineRule="auto"/>
        <w:ind w:left="426" w:right="-291" w:hanging="426"/>
        <w:rPr>
          <w:lang w:val="en-US"/>
        </w:rPr>
      </w:pPr>
      <w:r w:rsidRPr="00A51A17">
        <w:t xml:space="preserve">Bottesi, G., Ghisi, M., Altoè, G., Conforti, E., Melli, G., &amp; Sica, C. (2015). </w:t>
      </w:r>
      <w:r w:rsidRPr="00A51A17">
        <w:rPr>
          <w:lang w:val="en-US"/>
        </w:rPr>
        <w:t xml:space="preserve">The Italian version of the Depression Anxiety Stress Scales-21: Factor structure and psychometric properties on community and clinical samples. </w:t>
      </w:r>
      <w:r w:rsidRPr="00A51A17">
        <w:rPr>
          <w:i/>
          <w:lang w:val="en-US"/>
        </w:rPr>
        <w:t>Comprehensive Psychiatry, 60</w:t>
      </w:r>
      <w:r w:rsidRPr="00A51A17">
        <w:rPr>
          <w:lang w:val="en-US"/>
        </w:rPr>
        <w:t>, 170-181. https://doi.org/10.1016/j.comppsych.2015.04.005.</w:t>
      </w:r>
    </w:p>
    <w:p w14:paraId="13BA713C" w14:textId="4DB99FE3" w:rsidR="00A81819" w:rsidRPr="00A51A17" w:rsidRDefault="00A81819" w:rsidP="00A81819">
      <w:pPr>
        <w:spacing w:line="480" w:lineRule="auto"/>
        <w:ind w:left="567" w:hanging="567"/>
        <w:rPr>
          <w:shd w:val="clear" w:color="auto" w:fill="FFFFFF"/>
          <w:lang w:val="en-US"/>
        </w:rPr>
      </w:pPr>
      <w:r w:rsidRPr="00F15562">
        <w:rPr>
          <w:shd w:val="clear" w:color="auto" w:fill="FFFFFF"/>
          <w:lang w:val="en-GB"/>
        </w:rPr>
        <w:t xml:space="preserve">Bottesi, G., Noventa, S., Freeston, M. H., &amp; Ghisi, M. (2019b). </w:t>
      </w:r>
      <w:r w:rsidRPr="00A51A17">
        <w:rPr>
          <w:shd w:val="clear" w:color="auto" w:fill="FFFFFF"/>
          <w:lang w:val="en-US"/>
        </w:rPr>
        <w:t xml:space="preserve">Seeking certainty about Intolerance of Uncertainty: addressing old and new issues through the Intolerance of Uncertainty Scale-Revised. </w:t>
      </w:r>
      <w:r w:rsidRPr="00A51A17">
        <w:rPr>
          <w:i/>
          <w:iCs/>
          <w:shd w:val="clear" w:color="auto" w:fill="FFFFFF"/>
          <w:lang w:val="en-US"/>
        </w:rPr>
        <w:t>PLoS ONE</w:t>
      </w:r>
      <w:r w:rsidRPr="00A51A17">
        <w:rPr>
          <w:shd w:val="clear" w:color="auto" w:fill="FFFFFF"/>
          <w:lang w:val="en-US"/>
        </w:rPr>
        <w:t xml:space="preserve">, 14(2):e0211929. </w:t>
      </w:r>
      <w:r w:rsidR="00FD195A" w:rsidRPr="00A51A17">
        <w:rPr>
          <w:lang w:val="en-US"/>
        </w:rPr>
        <w:t>https://doi.org/</w:t>
      </w:r>
      <w:r w:rsidR="00FD195A" w:rsidRPr="00A51A17">
        <w:rPr>
          <w:shd w:val="clear" w:color="auto" w:fill="FFFFFF"/>
          <w:lang w:val="en-US"/>
        </w:rPr>
        <w:t>10.1371/journal.pone.0211929</w:t>
      </w:r>
      <w:r w:rsidRPr="00A51A17">
        <w:rPr>
          <w:shd w:val="clear" w:color="auto" w:fill="FFFFFF"/>
          <w:lang w:val="en-US"/>
        </w:rPr>
        <w:t>.</w:t>
      </w:r>
    </w:p>
    <w:p w14:paraId="13862B40" w14:textId="3127DF09" w:rsidR="000B549E" w:rsidRPr="00A51A17" w:rsidRDefault="000B549E" w:rsidP="000B549E">
      <w:pPr>
        <w:autoSpaceDE w:val="0"/>
        <w:autoSpaceDN w:val="0"/>
        <w:adjustRightInd w:val="0"/>
        <w:spacing w:line="480" w:lineRule="auto"/>
        <w:ind w:left="284" w:hanging="284"/>
        <w:rPr>
          <w:rStyle w:val="Hyperlink"/>
          <w:color w:val="auto"/>
          <w:lang w:val="en-US"/>
        </w:rPr>
      </w:pPr>
      <w:r w:rsidRPr="00A51A17">
        <w:rPr>
          <w:lang w:val="en-US"/>
        </w:rPr>
        <w:t xml:space="preserve">Bullock, H. E., Harlow, L. L., &amp; Mulaik, S. A. (1994). Causation issues in structural equation modeling research. </w:t>
      </w:r>
      <w:r w:rsidRPr="00A51A17">
        <w:rPr>
          <w:i/>
          <w:lang w:val="en-US"/>
        </w:rPr>
        <w:t>Structural Equation Modeling: A Multidisciplinary Journal, 1</w:t>
      </w:r>
      <w:r w:rsidRPr="00A51A17">
        <w:rPr>
          <w:lang w:val="en-US"/>
        </w:rPr>
        <w:t xml:space="preserve">(3), 253-267. </w:t>
      </w:r>
      <w:r w:rsidR="00FD195A" w:rsidRPr="00A51A17">
        <w:rPr>
          <w:lang w:val="en-US"/>
        </w:rPr>
        <w:t>https://doi.org/10.1080/10705519409539977.</w:t>
      </w:r>
    </w:p>
    <w:p w14:paraId="725A15C4" w14:textId="5FDD4AC2" w:rsidR="00553916" w:rsidRPr="00A51A17" w:rsidRDefault="00553916" w:rsidP="00553916">
      <w:pPr>
        <w:spacing w:line="480" w:lineRule="auto"/>
        <w:ind w:left="567" w:hanging="567"/>
        <w:rPr>
          <w:lang w:val="en-US"/>
        </w:rPr>
      </w:pPr>
      <w:r w:rsidRPr="00A51A17">
        <w:rPr>
          <w:lang w:val="en-US"/>
        </w:rPr>
        <w:t>Caplan, S. E. (2010). Theory and measurement of generalized problematic Internet use: A two-step approach. </w:t>
      </w:r>
      <w:r w:rsidRPr="00A51A17">
        <w:rPr>
          <w:i/>
          <w:iCs/>
          <w:lang w:val="en-US"/>
        </w:rPr>
        <w:t>Computers in Human Behavior</w:t>
      </w:r>
      <w:r w:rsidRPr="00A51A17">
        <w:rPr>
          <w:lang w:val="en-US"/>
        </w:rPr>
        <w:t>, </w:t>
      </w:r>
      <w:r w:rsidRPr="00A51A17">
        <w:rPr>
          <w:i/>
          <w:iCs/>
          <w:lang w:val="en-US"/>
        </w:rPr>
        <w:t>26</w:t>
      </w:r>
      <w:r w:rsidRPr="00A51A17">
        <w:rPr>
          <w:lang w:val="en-US"/>
        </w:rPr>
        <w:t>(5), 1089-1097. https://doi.org/10.1016/j.chb.2010.03.012.</w:t>
      </w:r>
    </w:p>
    <w:p w14:paraId="154B8B04" w14:textId="77777777" w:rsidR="00A81819" w:rsidRPr="00A51A17" w:rsidRDefault="00A81819" w:rsidP="00A81819">
      <w:pPr>
        <w:spacing w:line="480" w:lineRule="auto"/>
        <w:ind w:left="567" w:hanging="567"/>
        <w:rPr>
          <w:lang w:val="en-US"/>
        </w:rPr>
      </w:pPr>
      <w:r w:rsidRPr="00A51A17">
        <w:rPr>
          <w:lang w:val="en-US"/>
        </w:rPr>
        <w:t xml:space="preserve">Carleton, R. N. (2016). Into the unknown: A review and synthesis of contemporary models involving uncertainty. </w:t>
      </w:r>
      <w:r w:rsidRPr="00A51A17">
        <w:rPr>
          <w:bCs/>
          <w:i/>
          <w:lang w:val="en-US"/>
        </w:rPr>
        <w:t>Journal of Anxiety Disorders</w:t>
      </w:r>
      <w:r w:rsidRPr="00A51A17">
        <w:rPr>
          <w:lang w:val="en-US"/>
        </w:rPr>
        <w:t xml:space="preserve">, </w:t>
      </w:r>
      <w:r w:rsidRPr="00A51A17">
        <w:rPr>
          <w:i/>
          <w:lang w:val="en-US"/>
        </w:rPr>
        <w:t>39</w:t>
      </w:r>
      <w:r w:rsidRPr="00A51A17">
        <w:rPr>
          <w:lang w:val="en-US"/>
        </w:rPr>
        <w:t>, 30-43. https://doi.org/10.1016/j.janxdis.2016.02.007.</w:t>
      </w:r>
    </w:p>
    <w:p w14:paraId="4ABB03D6" w14:textId="58758424" w:rsidR="00533119" w:rsidRPr="00A51A17" w:rsidRDefault="00533119" w:rsidP="00F00FE9">
      <w:pPr>
        <w:spacing w:line="480" w:lineRule="auto"/>
        <w:ind w:left="709" w:hanging="709"/>
        <w:rPr>
          <w:lang w:val="en-US"/>
        </w:rPr>
      </w:pPr>
      <w:r w:rsidRPr="00A51A17">
        <w:rPr>
          <w:lang w:val="en-US"/>
        </w:rPr>
        <w:t xml:space="preserve">Carleton, R. N., Desgagné, G., Krakauer, R., &amp; Hong, R. Y. (2019). Increasing intolerance of uncertainty over time: The potential influence of increasing connectivity. </w:t>
      </w:r>
      <w:r w:rsidRPr="00A51A17">
        <w:rPr>
          <w:i/>
          <w:iCs/>
          <w:lang w:val="en-US"/>
        </w:rPr>
        <w:t>Cognitive Behaviour Therapy, 48</w:t>
      </w:r>
      <w:r w:rsidRPr="00A51A17">
        <w:rPr>
          <w:lang w:val="en-US"/>
        </w:rPr>
        <w:t xml:space="preserve">(2), 121-136. </w:t>
      </w:r>
      <w:r w:rsidR="00FD195A" w:rsidRPr="00A51A17">
        <w:rPr>
          <w:lang w:val="en-US"/>
        </w:rPr>
        <w:t>https://doi.org/10.1080/16506073.2018.1476580</w:t>
      </w:r>
    </w:p>
    <w:p w14:paraId="22A110E4" w14:textId="3CF2F59F" w:rsidR="000A46FB" w:rsidRPr="00A51A17" w:rsidRDefault="000A46FB" w:rsidP="00F00FE9">
      <w:pPr>
        <w:spacing w:line="480" w:lineRule="auto"/>
        <w:ind w:left="709" w:hanging="709"/>
      </w:pPr>
      <w:r w:rsidRPr="00A51A17">
        <w:rPr>
          <w:lang w:val="en-US"/>
        </w:rPr>
        <w:t xml:space="preserve">Carli, V., Durkee, T., Wasserman, D., Hadlaczky, G., Despalins, R., Kramarz, E., ... &amp; Kaess, M. (2013). The association between pathological internet use and comorbid psychopathology: a systematic review. </w:t>
      </w:r>
      <w:r w:rsidRPr="00A51A17">
        <w:rPr>
          <w:i/>
          <w:iCs/>
        </w:rPr>
        <w:t>Psychopathology, 46</w:t>
      </w:r>
      <w:r w:rsidRPr="00A51A17">
        <w:t>(1), 1-13. https://doi.org/10.1159/000337971</w:t>
      </w:r>
    </w:p>
    <w:p w14:paraId="1D91A519" w14:textId="77777777" w:rsidR="00F074E5" w:rsidRPr="00A51A17" w:rsidRDefault="00D23C0B" w:rsidP="00F074E5">
      <w:pPr>
        <w:spacing w:line="480" w:lineRule="auto"/>
        <w:ind w:left="480" w:hanging="480"/>
      </w:pPr>
      <w:r w:rsidRPr="00A51A17">
        <w:t xml:space="preserve">Casagrande, M., Favieri, F., Tambelli, R., &amp; Forte, G. (2020). </w:t>
      </w:r>
      <w:r w:rsidRPr="00A51A17">
        <w:rPr>
          <w:lang w:val="en-US"/>
        </w:rPr>
        <w:t xml:space="preserve">The enemy who sealed the world: effects quarantine due to the COVID-19 on sleep quality, anxiety, and psychological distress in the Italian population. </w:t>
      </w:r>
      <w:r w:rsidRPr="00A51A17">
        <w:rPr>
          <w:i/>
          <w:iCs/>
        </w:rPr>
        <w:t>Sleep Medicine,</w:t>
      </w:r>
      <w:r w:rsidRPr="00A51A17">
        <w:t xml:space="preserve"> </w:t>
      </w:r>
      <w:r w:rsidRPr="00A51A17">
        <w:rPr>
          <w:i/>
          <w:iCs/>
        </w:rPr>
        <w:t>75</w:t>
      </w:r>
      <w:r w:rsidRPr="00A51A17">
        <w:t>, 12–20. https://doi.org//10.1016 /j.sleep.2020.05.011</w:t>
      </w:r>
    </w:p>
    <w:p w14:paraId="139DA8E1" w14:textId="7D4D7517" w:rsidR="00F074E5" w:rsidRPr="00A51A17" w:rsidRDefault="00F074E5" w:rsidP="00F074E5">
      <w:pPr>
        <w:spacing w:line="480" w:lineRule="auto"/>
        <w:ind w:left="480" w:hanging="480"/>
        <w:rPr>
          <w:lang w:val="en-US"/>
        </w:rPr>
      </w:pPr>
      <w:r w:rsidRPr="00A51A17">
        <w:t xml:space="preserve">Cellini, N., Canale, N., Mioni, G., &amp; Costa, S. (2020). </w:t>
      </w:r>
      <w:r w:rsidRPr="00A51A17">
        <w:rPr>
          <w:lang w:val="en-US"/>
        </w:rPr>
        <w:t xml:space="preserve">Changes in sleep pattern, sense of time and digital media use during COVID‐19 lockdown in Italy. </w:t>
      </w:r>
      <w:r w:rsidRPr="00A51A17">
        <w:rPr>
          <w:i/>
          <w:iCs/>
          <w:lang w:val="en-US"/>
        </w:rPr>
        <w:t>Journal of Sleep Research</w:t>
      </w:r>
      <w:r w:rsidRPr="00A51A17">
        <w:rPr>
          <w:lang w:val="en-US"/>
        </w:rPr>
        <w:t>, e13074. https://doi.org/10.1111/jsr.13074.</w:t>
      </w:r>
    </w:p>
    <w:p w14:paraId="0FC79E19" w14:textId="363B14E7" w:rsidR="004404E0" w:rsidRPr="00A51A17" w:rsidRDefault="004404E0" w:rsidP="004404E0">
      <w:pPr>
        <w:spacing w:line="480" w:lineRule="auto"/>
        <w:rPr>
          <w:lang w:val="en-US"/>
        </w:rPr>
      </w:pPr>
      <w:r w:rsidRPr="00A51A17">
        <w:rPr>
          <w:lang w:val="en-US"/>
        </w:rPr>
        <w:t>Cheng, S. K. W., Wong, C. W., Tsang, J., &amp; Wong, K. C. (2004). Psychological distress and</w:t>
      </w:r>
    </w:p>
    <w:p w14:paraId="7808F16E" w14:textId="07F6B5BA" w:rsidR="004404E0" w:rsidRPr="00A51A17" w:rsidRDefault="004404E0" w:rsidP="004404E0">
      <w:pPr>
        <w:spacing w:line="480" w:lineRule="auto"/>
        <w:ind w:left="720"/>
        <w:rPr>
          <w:lang w:val="en-US"/>
        </w:rPr>
      </w:pPr>
      <w:r w:rsidRPr="00A51A17">
        <w:rPr>
          <w:lang w:val="en-US"/>
        </w:rPr>
        <w:t xml:space="preserve">negative appraisals in survivors of severe acute respiratory syndrome (SARS). </w:t>
      </w:r>
      <w:r w:rsidRPr="00A51A17">
        <w:rPr>
          <w:i/>
          <w:iCs/>
          <w:lang w:val="en-US"/>
        </w:rPr>
        <w:t>Psychological Medicine, 34</w:t>
      </w:r>
      <w:r w:rsidRPr="00A51A17">
        <w:rPr>
          <w:lang w:val="en-US"/>
        </w:rPr>
        <w:t>(7), 1187–1195. https://doi.org/10.1017/S0033291704002272</w:t>
      </w:r>
    </w:p>
    <w:p w14:paraId="65FE2217" w14:textId="77777777" w:rsidR="001F48D0" w:rsidRPr="00A51A17" w:rsidRDefault="001F48D0" w:rsidP="001F48D0">
      <w:pPr>
        <w:spacing w:line="480" w:lineRule="auto"/>
        <w:ind w:left="720" w:hanging="720"/>
        <w:jc w:val="both"/>
        <w:rPr>
          <w:lang w:val="en-US"/>
        </w:rPr>
      </w:pPr>
      <w:r w:rsidRPr="00A51A17">
        <w:rPr>
          <w:lang w:val="en-US"/>
        </w:rPr>
        <w:t xml:space="preserve">Cohen, J. (1988). </w:t>
      </w:r>
      <w:r w:rsidRPr="00A51A17">
        <w:rPr>
          <w:i/>
          <w:lang w:val="en-US"/>
        </w:rPr>
        <w:t>Statistical power analysis for behavioral science</w:t>
      </w:r>
      <w:r w:rsidRPr="00A51A17">
        <w:rPr>
          <w:lang w:val="en-US"/>
        </w:rPr>
        <w:t xml:space="preserve"> (2nd ed). Hillsdale, N.J.: Erlbaum.</w:t>
      </w:r>
    </w:p>
    <w:p w14:paraId="25EE54D4" w14:textId="3A354F97" w:rsidR="00F27994" w:rsidRPr="00A51A17" w:rsidRDefault="00F27994" w:rsidP="00AD2A60">
      <w:pPr>
        <w:spacing w:line="480" w:lineRule="auto"/>
        <w:ind w:left="709" w:hanging="709"/>
        <w:rPr>
          <w:lang w:val="en-US"/>
        </w:rPr>
      </w:pPr>
      <w:r w:rsidRPr="00A51A17">
        <w:rPr>
          <w:lang w:val="en-US"/>
        </w:rPr>
        <w:t xml:space="preserve">Dixit, A., Marthoenis, M., Arafat, S. Y., Sharma, P., &amp; Kar, S. K. (2020). Binge watching behavior during COVID 19 pandemic: A cross-sectional, cross-national online survey. </w:t>
      </w:r>
      <w:r w:rsidRPr="00A51A17">
        <w:rPr>
          <w:i/>
          <w:iCs/>
          <w:lang w:val="en-US"/>
        </w:rPr>
        <w:t>Psychiatry Research</w:t>
      </w:r>
      <w:r w:rsidRPr="00A51A17">
        <w:rPr>
          <w:lang w:val="en-US"/>
        </w:rPr>
        <w:t>. https://doi.org/10.1016/j.psychres.2020.113089</w:t>
      </w:r>
    </w:p>
    <w:p w14:paraId="1507F0B8" w14:textId="0B09861D" w:rsidR="00406D24" w:rsidRPr="00A51A17" w:rsidRDefault="00406D24" w:rsidP="00AD2A60">
      <w:pPr>
        <w:spacing w:line="480" w:lineRule="auto"/>
        <w:ind w:left="709" w:hanging="709"/>
        <w:rPr>
          <w:lang w:val="en-US"/>
        </w:rPr>
      </w:pPr>
      <w:r w:rsidRPr="00A51A17">
        <w:rPr>
          <w:lang w:val="en-US"/>
        </w:rPr>
        <w:t xml:space="preserve">Farooq, A., Laato, S., &amp; Islam, A. N. (2020). Impact of online information on self-isolation intention during the COVID-19 pandemic: cross-sectional study. </w:t>
      </w:r>
      <w:r w:rsidRPr="00A51A17">
        <w:rPr>
          <w:i/>
          <w:iCs/>
          <w:lang w:val="en-US"/>
        </w:rPr>
        <w:t>Journal of Medical Internet Research, 22</w:t>
      </w:r>
      <w:r w:rsidRPr="00A51A17">
        <w:rPr>
          <w:lang w:val="en-US"/>
        </w:rPr>
        <w:t>(5), e19128. https://doi.org/10.2196/19128.</w:t>
      </w:r>
    </w:p>
    <w:p w14:paraId="69ACC545" w14:textId="13829E84" w:rsidR="00AD2A60" w:rsidRPr="00A51A17" w:rsidRDefault="00AD2A60" w:rsidP="00AD2A60">
      <w:pPr>
        <w:spacing w:line="480" w:lineRule="auto"/>
        <w:ind w:left="709" w:hanging="709"/>
        <w:rPr>
          <w:lang w:val="en-US"/>
        </w:rPr>
      </w:pPr>
      <w:r w:rsidRPr="00A51A17">
        <w:rPr>
          <w:lang w:val="en-US"/>
        </w:rPr>
        <w:t xml:space="preserve">Fergus, T. A. (2013). Cyberchondria and intolerance of uncertainty: Examining when individuals experience health anxiety in response to Internet searches for medical information. </w:t>
      </w:r>
      <w:r w:rsidRPr="00A51A17">
        <w:rPr>
          <w:i/>
          <w:iCs/>
          <w:lang w:val="en-US"/>
        </w:rPr>
        <w:t>Cyberpsychology, Behavior and Social Networking</w:t>
      </w:r>
      <w:r w:rsidRPr="00A51A17">
        <w:rPr>
          <w:lang w:val="en-US"/>
        </w:rPr>
        <w:t xml:space="preserve">, </w:t>
      </w:r>
      <w:r w:rsidRPr="00A51A17">
        <w:rPr>
          <w:i/>
          <w:iCs/>
          <w:lang w:val="en-US"/>
        </w:rPr>
        <w:t>16</w:t>
      </w:r>
      <w:r w:rsidRPr="00A51A17">
        <w:rPr>
          <w:lang w:val="en-US"/>
        </w:rPr>
        <w:t>(10), 735–739. https://doi.org/10.1089/cyber.2012.0671.</w:t>
      </w:r>
    </w:p>
    <w:p w14:paraId="2418CA00" w14:textId="55612229" w:rsidR="00AD2A60" w:rsidRPr="00A51A17" w:rsidRDefault="00AD2A60" w:rsidP="00AD2A60">
      <w:pPr>
        <w:spacing w:line="480" w:lineRule="auto"/>
        <w:ind w:left="709" w:hanging="709"/>
        <w:rPr>
          <w:lang w:val="en-US"/>
        </w:rPr>
      </w:pPr>
      <w:r w:rsidRPr="00A51A17">
        <w:rPr>
          <w:lang w:val="en-US"/>
        </w:rPr>
        <w:t xml:space="preserve">Fergus, T. A. (2015). Anxiety sensitivity and intolerance of uncertainty as potential risk factors for cyberchondria: A replication and extension examining dimensions of each construct. </w:t>
      </w:r>
      <w:r w:rsidRPr="00A51A17">
        <w:rPr>
          <w:i/>
          <w:iCs/>
          <w:lang w:val="en-US"/>
        </w:rPr>
        <w:t>Journal of Affective Disorders</w:t>
      </w:r>
      <w:r w:rsidRPr="00A51A17">
        <w:rPr>
          <w:lang w:val="en-US"/>
        </w:rPr>
        <w:t xml:space="preserve">, </w:t>
      </w:r>
      <w:r w:rsidRPr="00A51A17">
        <w:rPr>
          <w:i/>
          <w:iCs/>
          <w:lang w:val="en-US"/>
        </w:rPr>
        <w:t>184</w:t>
      </w:r>
      <w:r w:rsidRPr="00A51A17">
        <w:rPr>
          <w:lang w:val="en-US"/>
        </w:rPr>
        <w:t xml:space="preserve">, 305–309. </w:t>
      </w:r>
      <w:r w:rsidR="00FD195A" w:rsidRPr="00A51A17">
        <w:rPr>
          <w:lang w:val="en-US"/>
        </w:rPr>
        <w:t>https://doi.org/10.1016/j.jad.2015.06.017</w:t>
      </w:r>
      <w:r w:rsidRPr="00A51A17">
        <w:rPr>
          <w:lang w:val="en-US"/>
        </w:rPr>
        <w:t>.</w:t>
      </w:r>
    </w:p>
    <w:p w14:paraId="330E271F" w14:textId="6539EA99" w:rsidR="00004841" w:rsidRPr="00A51A17" w:rsidRDefault="00004841" w:rsidP="00AD2A60">
      <w:pPr>
        <w:spacing w:line="480" w:lineRule="auto"/>
        <w:ind w:left="709" w:hanging="709"/>
        <w:rPr>
          <w:lang w:val="en-US"/>
        </w:rPr>
      </w:pPr>
      <w:r w:rsidRPr="00A51A17">
        <w:rPr>
          <w:sz w:val="23"/>
          <w:szCs w:val="23"/>
          <w:lang w:val="en-US"/>
        </w:rPr>
        <w:t xml:space="preserve">Fergus, T. A., &amp; Dolan, S. L. (2014). Problematic Internet use and Internet searches for medical information:The role of health anxiety. </w:t>
      </w:r>
      <w:r w:rsidRPr="00A51A17">
        <w:rPr>
          <w:i/>
          <w:iCs/>
          <w:sz w:val="23"/>
          <w:szCs w:val="23"/>
          <w:lang w:val="en-US"/>
        </w:rPr>
        <w:t>Cyberpsychology, Behavior and Social Networking, 17</w:t>
      </w:r>
      <w:r w:rsidRPr="00A51A17">
        <w:rPr>
          <w:sz w:val="23"/>
          <w:szCs w:val="23"/>
          <w:lang w:val="en-US"/>
        </w:rPr>
        <w:t xml:space="preserve">(12), 761 –765. </w:t>
      </w:r>
      <w:r w:rsidR="00FD195A" w:rsidRPr="00A51A17">
        <w:rPr>
          <w:rStyle w:val="epub-sectionitem"/>
          <w:lang w:val="en-US"/>
        </w:rPr>
        <w:t>https://doi.org/10.1089/cyber.2014.0169.</w:t>
      </w:r>
    </w:p>
    <w:p w14:paraId="46D34BC2" w14:textId="234A0167" w:rsidR="00004841" w:rsidRPr="00A51A17" w:rsidRDefault="00004841" w:rsidP="00004841">
      <w:pPr>
        <w:spacing w:line="480" w:lineRule="auto"/>
        <w:ind w:left="709" w:hanging="709"/>
        <w:rPr>
          <w:lang w:val="en-US"/>
        </w:rPr>
      </w:pPr>
      <w:r w:rsidRPr="00A51A17">
        <w:rPr>
          <w:lang w:val="en-US"/>
        </w:rPr>
        <w:t xml:space="preserve">Fergus, T. A., &amp; Russell, L. H. (2016). Does cyberchondria overlap with health anxiety and obsessive–compulsive symptoms? An examination of latent structure and scale interrelations. </w:t>
      </w:r>
      <w:r w:rsidRPr="00A51A17">
        <w:rPr>
          <w:i/>
          <w:lang w:val="en-US"/>
        </w:rPr>
        <w:t>Journal of Anxiety Disorders, 38,</w:t>
      </w:r>
      <w:r w:rsidRPr="00A51A17">
        <w:rPr>
          <w:lang w:val="en-US"/>
        </w:rPr>
        <w:t xml:space="preserve"> 88-94. http://dx.doi.org/10.1016/j.janxdis.2016.01.009</w:t>
      </w:r>
      <w:r w:rsidR="00FD195A" w:rsidRPr="00A51A17">
        <w:rPr>
          <w:lang w:val="en-US"/>
        </w:rPr>
        <w:t>.</w:t>
      </w:r>
    </w:p>
    <w:p w14:paraId="6E1282FE" w14:textId="79E9E5AA" w:rsidR="001E6CC4" w:rsidRPr="00A51A17" w:rsidRDefault="00BB6369" w:rsidP="001E6CC4">
      <w:pPr>
        <w:spacing w:line="480" w:lineRule="auto"/>
        <w:ind w:left="709" w:hanging="709"/>
        <w:rPr>
          <w:bCs/>
          <w:lang w:val="en-US"/>
        </w:rPr>
      </w:pPr>
      <w:r w:rsidRPr="00A51A17">
        <w:rPr>
          <w:bCs/>
          <w:lang w:val="en-US"/>
        </w:rPr>
        <w:t xml:space="preserve">Fergus, T. A., &amp; Valentiner, D. P. (2011). Intolerance of uncertainty moderates the relationship between catastrophic health appraisals and health anxiety. </w:t>
      </w:r>
      <w:r w:rsidRPr="00A51A17">
        <w:rPr>
          <w:bCs/>
          <w:i/>
          <w:iCs/>
          <w:lang w:val="en-US"/>
        </w:rPr>
        <w:t>Cognitive Therapy and Research, 35</w:t>
      </w:r>
      <w:r w:rsidRPr="00A51A17">
        <w:rPr>
          <w:bCs/>
          <w:lang w:val="en-US"/>
        </w:rPr>
        <w:t xml:space="preserve">(6), 560-565. </w:t>
      </w:r>
      <w:r w:rsidR="00FD195A" w:rsidRPr="00A51A17">
        <w:rPr>
          <w:bCs/>
          <w:lang w:val="en-US"/>
        </w:rPr>
        <w:t>https://doi.org/10.1007/s10608-011-9392-9</w:t>
      </w:r>
      <w:r w:rsidRPr="00A51A17">
        <w:rPr>
          <w:bCs/>
          <w:lang w:val="en-US"/>
        </w:rPr>
        <w:t>.</w:t>
      </w:r>
    </w:p>
    <w:p w14:paraId="05C5B7BD" w14:textId="44709BB2" w:rsidR="00553916" w:rsidRPr="00A51A17" w:rsidRDefault="00553916" w:rsidP="001E6CC4">
      <w:pPr>
        <w:spacing w:line="480" w:lineRule="auto"/>
        <w:ind w:left="709" w:hanging="709"/>
        <w:rPr>
          <w:bCs/>
          <w:lang w:val="en-US"/>
        </w:rPr>
      </w:pPr>
      <w:r w:rsidRPr="00A51A17">
        <w:rPr>
          <w:bCs/>
          <w:lang w:val="en-US"/>
        </w:rPr>
        <w:t xml:space="preserve">Fioravanti, G., Primi, C., &amp; Casale, S. (2013). Psychometric evaluation of the generalized problematic internet use scale 2 in an Italian sample. </w:t>
      </w:r>
      <w:r w:rsidRPr="00A51A17">
        <w:rPr>
          <w:bCs/>
          <w:i/>
          <w:iCs/>
          <w:lang w:val="en-US"/>
        </w:rPr>
        <w:t>Cyberpsychology, Behavior, and Social Networking, 16</w:t>
      </w:r>
      <w:r w:rsidRPr="00A51A17">
        <w:rPr>
          <w:bCs/>
          <w:lang w:val="en-US"/>
        </w:rPr>
        <w:t>(10), 761-766. https://doi.org/10.1089/cyber.2012.0429.</w:t>
      </w:r>
    </w:p>
    <w:p w14:paraId="46F00E83" w14:textId="175728D2" w:rsidR="001E6CC4" w:rsidRPr="00A51A17" w:rsidRDefault="001E6CC4" w:rsidP="001E6CC4">
      <w:pPr>
        <w:spacing w:line="480" w:lineRule="auto"/>
        <w:ind w:left="709" w:hanging="709"/>
        <w:rPr>
          <w:lang w:val="en-US"/>
        </w:rPr>
      </w:pPr>
      <w:r w:rsidRPr="00A51A17">
        <w:rPr>
          <w:bCs/>
          <w:lang w:val="en-US"/>
        </w:rPr>
        <w:t xml:space="preserve">Freeston, M. H., Mawn, L., Tiplady, A., </w:t>
      </w:r>
      <w:r w:rsidRPr="00A51A17">
        <w:rPr>
          <w:lang w:val="en-US"/>
        </w:rPr>
        <w:t>Bottesi, G.,</w:t>
      </w:r>
      <w:r w:rsidRPr="00A51A17">
        <w:rPr>
          <w:bCs/>
          <w:lang w:val="en-US"/>
        </w:rPr>
        <w:t xml:space="preserve"> &amp; Thwaites, S. (2020). Towards a model of uncertainty distress in the context of Coronavirus (Covid-19). </w:t>
      </w:r>
      <w:r w:rsidRPr="00A51A17">
        <w:rPr>
          <w:bCs/>
          <w:i/>
          <w:iCs/>
          <w:lang w:val="en-US"/>
        </w:rPr>
        <w:t>The Cognitive Behaviour Therapist</w:t>
      </w:r>
      <w:r w:rsidRPr="00A51A17">
        <w:rPr>
          <w:bCs/>
          <w:lang w:val="en-US"/>
        </w:rPr>
        <w:t>,</w:t>
      </w:r>
      <w:r w:rsidRPr="00A51A17">
        <w:rPr>
          <w:bCs/>
          <w:i/>
          <w:iCs/>
          <w:lang w:val="en-US"/>
        </w:rPr>
        <w:t xml:space="preserve"> 13</w:t>
      </w:r>
      <w:r w:rsidRPr="00A51A17">
        <w:rPr>
          <w:bCs/>
          <w:lang w:val="en-US"/>
        </w:rPr>
        <w:t>, e31. https://doi.org/10.1017/S1754470X2000029X.</w:t>
      </w:r>
    </w:p>
    <w:p w14:paraId="66423D7E" w14:textId="246D3DF0" w:rsidR="0091674F" w:rsidRPr="00A51A17" w:rsidRDefault="00A81819" w:rsidP="0091674F">
      <w:pPr>
        <w:spacing w:line="480" w:lineRule="auto"/>
        <w:ind w:left="567" w:hanging="567"/>
        <w:rPr>
          <w:lang w:val="en-US"/>
        </w:rPr>
      </w:pPr>
      <w:r w:rsidRPr="00A51A17">
        <w:rPr>
          <w:lang w:val="en-US"/>
        </w:rPr>
        <w:t xml:space="preserve">Freeston, M. H., Rhéaume, J., Letarte, H., Dugas, M. J., &amp; Ladouceur, R. (1994). Why do people worry? </w:t>
      </w:r>
      <w:r w:rsidRPr="00A51A17">
        <w:rPr>
          <w:i/>
          <w:lang w:val="en-US"/>
        </w:rPr>
        <w:t>Personality and Individual Differences, 17</w:t>
      </w:r>
      <w:r w:rsidRPr="00A51A17">
        <w:rPr>
          <w:lang w:val="en-US"/>
        </w:rPr>
        <w:t xml:space="preserve">, 791-802. </w:t>
      </w:r>
      <w:r w:rsidR="0091674F" w:rsidRPr="00A51A17">
        <w:rPr>
          <w:lang w:val="en-US"/>
        </w:rPr>
        <w:t>https://doi.org/10.1016/0191-8869(94)90048-5</w:t>
      </w:r>
      <w:r w:rsidRPr="00A51A17">
        <w:rPr>
          <w:lang w:val="en-US"/>
        </w:rPr>
        <w:t>.</w:t>
      </w:r>
    </w:p>
    <w:p w14:paraId="48B8945C" w14:textId="31EDE521" w:rsidR="00B3753B" w:rsidRPr="00A51A17" w:rsidRDefault="00E83030" w:rsidP="00E83030">
      <w:pPr>
        <w:spacing w:line="480" w:lineRule="auto"/>
        <w:ind w:left="720" w:hanging="720"/>
        <w:rPr>
          <w:noProof/>
        </w:rPr>
      </w:pPr>
      <w:r w:rsidRPr="00A51A17">
        <w:rPr>
          <w:noProof/>
          <w:lang w:val="en-US"/>
        </w:rPr>
        <w:t xml:space="preserve"> </w:t>
      </w:r>
      <w:r w:rsidR="00B3753B" w:rsidRPr="00A51A17">
        <w:rPr>
          <w:noProof/>
          <w:lang w:val="en-US"/>
        </w:rPr>
        <w:t xml:space="preserve">Hashemi, S. G. S., Hosseinnezhad, S., Dini, S., Griffiths, M. D., Lin, C. Y., &amp; Pakpour, A. H. (2020). The mediating effect of the cyberchondria and anxiety sensitivity in the association between problematic internet use, metacognition beliefs, and fear of COVID-19 among Iranian online population. </w:t>
      </w:r>
      <w:r w:rsidR="00B3753B" w:rsidRPr="00A51A17">
        <w:rPr>
          <w:i/>
          <w:iCs/>
          <w:noProof/>
        </w:rPr>
        <w:t>Heliyon, 6</w:t>
      </w:r>
      <w:r w:rsidR="00B3753B" w:rsidRPr="00A51A17">
        <w:rPr>
          <w:noProof/>
        </w:rPr>
        <w:t>(10), e05135. https://doi.org/10.1016/j.heliyon.2020.e05135.</w:t>
      </w:r>
    </w:p>
    <w:p w14:paraId="07D7B7C7" w14:textId="6F486E33" w:rsidR="00E83030" w:rsidRPr="00A51A17" w:rsidRDefault="00E83030" w:rsidP="00E83030">
      <w:pPr>
        <w:spacing w:line="480" w:lineRule="auto"/>
        <w:ind w:left="720" w:hanging="720"/>
        <w:rPr>
          <w:iCs/>
          <w:lang w:val="en-US"/>
        </w:rPr>
      </w:pPr>
      <w:r w:rsidRPr="00A51A17">
        <w:rPr>
          <w:noProof/>
        </w:rPr>
        <w:t xml:space="preserve">Hayes, A. F. (2009). </w:t>
      </w:r>
      <w:r w:rsidRPr="00A51A17">
        <w:rPr>
          <w:noProof/>
          <w:lang w:val="en-US"/>
        </w:rPr>
        <w:t xml:space="preserve">Beyond Baron and Kenny: Statistical mediation analysis in the new millennium. </w:t>
      </w:r>
      <w:r w:rsidRPr="00A51A17">
        <w:rPr>
          <w:i/>
          <w:noProof/>
          <w:lang w:val="en-US"/>
        </w:rPr>
        <w:t>Communication Monographs, 76</w:t>
      </w:r>
      <w:r w:rsidRPr="00A51A17">
        <w:rPr>
          <w:noProof/>
          <w:lang w:val="en-US"/>
        </w:rPr>
        <w:t>(4), 408-420.</w:t>
      </w:r>
      <w:r w:rsidRPr="00A51A17">
        <w:rPr>
          <w:lang w:val="en-US"/>
        </w:rPr>
        <w:t xml:space="preserve"> </w:t>
      </w:r>
      <w:r w:rsidRPr="00A51A17">
        <w:rPr>
          <w:noProof/>
          <w:lang w:val="en-US"/>
        </w:rPr>
        <w:t>https://doi.org/10.1080/03637750903310360.</w:t>
      </w:r>
    </w:p>
    <w:p w14:paraId="71AB2C57" w14:textId="2421422F" w:rsidR="003F5E09" w:rsidRPr="00A51A17" w:rsidRDefault="003F5E09" w:rsidP="003F5E09">
      <w:pPr>
        <w:spacing w:line="480" w:lineRule="auto"/>
        <w:ind w:left="567" w:hanging="567"/>
        <w:rPr>
          <w:lang w:val="en-US"/>
        </w:rPr>
      </w:pPr>
      <w:r w:rsidRPr="00A51A17">
        <w:rPr>
          <w:lang w:val="en-US"/>
        </w:rPr>
        <w:t xml:space="preserve">Hillen, M. A., Gutheil, C. M., Strout, T. D., Smets, E. M. A., &amp; Han, P. K. J. (2017). Tolerance of uncertainty: Conceptual analysis, integrative model, and implications for healthcare. </w:t>
      </w:r>
      <w:r w:rsidRPr="00A51A17">
        <w:rPr>
          <w:i/>
          <w:iCs/>
          <w:lang w:val="en-US"/>
        </w:rPr>
        <w:t>Social Science &amp; Medicine, 180</w:t>
      </w:r>
      <w:r w:rsidRPr="00A51A17">
        <w:rPr>
          <w:lang w:val="en-US"/>
        </w:rPr>
        <w:t xml:space="preserve">, 62 – 75. </w:t>
      </w:r>
      <w:r w:rsidR="00FD195A" w:rsidRPr="00A51A17">
        <w:rPr>
          <w:lang w:val="en-US"/>
        </w:rPr>
        <w:t>https://doi.org/10.1016/j.socscimed.2017.03.024</w:t>
      </w:r>
      <w:r w:rsidRPr="00A51A17">
        <w:rPr>
          <w:lang w:val="en-US"/>
        </w:rPr>
        <w:t>.</w:t>
      </w:r>
    </w:p>
    <w:p w14:paraId="4EC89827" w14:textId="59D64E88" w:rsidR="0061774E" w:rsidRPr="00A51A17" w:rsidRDefault="0061774E" w:rsidP="003F5E09">
      <w:pPr>
        <w:spacing w:line="480" w:lineRule="auto"/>
        <w:ind w:left="567" w:hanging="567"/>
        <w:rPr>
          <w:lang w:val="en-US"/>
        </w:rPr>
      </w:pPr>
      <w:r w:rsidRPr="00A51A17">
        <w:rPr>
          <w:lang w:val="en-US"/>
        </w:rPr>
        <w:t xml:space="preserve">Ho, R. C., Zhang, M. W., Tsang, T. Y., Toh, A. H., Pan, F., Lu, Y., ... &amp; Watanabe, H. (2014). The association between internet addiction and psychiatric co-morbidity: a meta-analysis. BMC </w:t>
      </w:r>
      <w:r w:rsidR="00FD195A" w:rsidRPr="00A51A17">
        <w:rPr>
          <w:lang w:val="en-US"/>
        </w:rPr>
        <w:t>P</w:t>
      </w:r>
      <w:r w:rsidRPr="00A51A17">
        <w:rPr>
          <w:lang w:val="en-US"/>
        </w:rPr>
        <w:t xml:space="preserve">sychiatry, </w:t>
      </w:r>
      <w:r w:rsidRPr="00A51A17">
        <w:rPr>
          <w:i/>
          <w:iCs/>
          <w:lang w:val="en-US"/>
        </w:rPr>
        <w:t>14</w:t>
      </w:r>
      <w:r w:rsidRPr="00A51A17">
        <w:rPr>
          <w:lang w:val="en-US"/>
        </w:rPr>
        <w:t xml:space="preserve">(1), 1-10. </w:t>
      </w:r>
      <w:r w:rsidR="00FD195A" w:rsidRPr="00A51A17">
        <w:rPr>
          <w:rStyle w:val="c-bibliographic-informationvalue"/>
          <w:lang w:val="en-US"/>
        </w:rPr>
        <w:t>https://doi.org/10.1186/1471-244X-14-183.</w:t>
      </w:r>
      <w:r w:rsidR="00091368" w:rsidRPr="00A51A17">
        <w:rPr>
          <w:rStyle w:val="c-bibliographic-informationvalue"/>
          <w:lang w:val="en-US"/>
        </w:rPr>
        <w:t xml:space="preserve"> </w:t>
      </w:r>
    </w:p>
    <w:p w14:paraId="3CD52014" w14:textId="57EFEC90" w:rsidR="00091368" w:rsidRPr="00A51A17" w:rsidRDefault="00091368" w:rsidP="00C45A82">
      <w:pPr>
        <w:spacing w:line="480" w:lineRule="auto"/>
        <w:ind w:left="720" w:hanging="720"/>
        <w:rPr>
          <w:iCs/>
          <w:lang w:val="en-US"/>
        </w:rPr>
      </w:pPr>
      <w:r w:rsidRPr="00A51A17">
        <w:rPr>
          <w:iCs/>
          <w:lang w:val="en-US"/>
        </w:rPr>
        <w:t xml:space="preserve">Islam, M. S., Sujan, M. S. H., Tasnim, R., Ferdous, M. Z., Masud, J. H. B., Kundu, S., ... &amp; Griffiths, M. D. (2020). Problematic internet use among young and adult population in Bangladesh: Correlates with lifestyle and online activities during the COVID-19 pandemic. </w:t>
      </w:r>
      <w:r w:rsidRPr="00A51A17">
        <w:rPr>
          <w:i/>
          <w:lang w:val="en-US"/>
        </w:rPr>
        <w:t>Addictive Behaviors Reports, 12</w:t>
      </w:r>
      <w:r w:rsidRPr="00A51A17">
        <w:rPr>
          <w:iCs/>
          <w:lang w:val="en-US"/>
        </w:rPr>
        <w:t>, 100311.</w:t>
      </w:r>
      <w:r w:rsidR="006F42B2" w:rsidRPr="00A51A17">
        <w:rPr>
          <w:iCs/>
          <w:lang w:val="en-US"/>
        </w:rPr>
        <w:t xml:space="preserve"> https://doi.org/10.1016/j.abrep.2020.100311.</w:t>
      </w:r>
    </w:p>
    <w:p w14:paraId="53B35095" w14:textId="7DF74114" w:rsidR="00E83030" w:rsidRPr="00A51A17" w:rsidRDefault="00E83030" w:rsidP="00C45A82">
      <w:pPr>
        <w:spacing w:line="480" w:lineRule="auto"/>
        <w:ind w:left="720" w:hanging="720"/>
        <w:rPr>
          <w:iCs/>
          <w:lang w:val="en-US"/>
        </w:rPr>
      </w:pPr>
      <w:r w:rsidRPr="00A51A17">
        <w:rPr>
          <w:iCs/>
          <w:lang w:val="en-US"/>
        </w:rPr>
        <w:t>J</w:t>
      </w:r>
      <w:r w:rsidRPr="00A51A17">
        <w:rPr>
          <w:iCs/>
        </w:rPr>
        <w:t>ӧ</w:t>
      </w:r>
      <w:r w:rsidRPr="00A51A17">
        <w:rPr>
          <w:iCs/>
          <w:lang w:val="en-US"/>
        </w:rPr>
        <w:t>reskog, K.G., &amp; S</w:t>
      </w:r>
      <w:r w:rsidRPr="00A51A17">
        <w:rPr>
          <w:iCs/>
        </w:rPr>
        <w:t>ӧ</w:t>
      </w:r>
      <w:r w:rsidRPr="00A51A17">
        <w:rPr>
          <w:iCs/>
          <w:lang w:val="en-US"/>
        </w:rPr>
        <w:t xml:space="preserve">rbom, D. (1996). </w:t>
      </w:r>
      <w:r w:rsidRPr="00A51A17">
        <w:rPr>
          <w:i/>
          <w:iCs/>
          <w:lang w:val="en-US"/>
        </w:rPr>
        <w:t>LISREL 8: User’s reference guide</w:t>
      </w:r>
      <w:r w:rsidRPr="00A51A17">
        <w:rPr>
          <w:iCs/>
          <w:lang w:val="en-US"/>
        </w:rPr>
        <w:t>. Chicago: Scientific Software International.</w:t>
      </w:r>
    </w:p>
    <w:p w14:paraId="304E0673" w14:textId="77777777" w:rsidR="00FE5E60" w:rsidRPr="00A51A17" w:rsidRDefault="00FE5E60" w:rsidP="00FE5E60">
      <w:pPr>
        <w:spacing w:line="480" w:lineRule="auto"/>
        <w:rPr>
          <w:lang w:val="en-US"/>
        </w:rPr>
      </w:pPr>
      <w:r w:rsidRPr="00A51A17">
        <w:rPr>
          <w:lang w:val="en-US"/>
        </w:rPr>
        <w:t xml:space="preserve">Jungmann, S. M., &amp; Witthöft, M. (2020). Health anxiety, cyberchondria, and coping in the </w:t>
      </w:r>
    </w:p>
    <w:p w14:paraId="3C5A359B" w14:textId="555FBBF1" w:rsidR="00FE5E60" w:rsidRPr="00A51A17" w:rsidRDefault="00FE5E60" w:rsidP="00FE5E60">
      <w:pPr>
        <w:spacing w:line="480" w:lineRule="auto"/>
        <w:ind w:left="720"/>
        <w:rPr>
          <w:lang w:val="en-US"/>
        </w:rPr>
      </w:pPr>
      <w:r w:rsidRPr="00A51A17">
        <w:rPr>
          <w:lang w:val="en-US"/>
        </w:rPr>
        <w:t xml:space="preserve">current COVID-19 pandemic: Which factors are related to coronavirus anxiety? </w:t>
      </w:r>
      <w:r w:rsidRPr="00A51A17">
        <w:rPr>
          <w:i/>
          <w:iCs/>
          <w:lang w:val="en-US"/>
        </w:rPr>
        <w:t>Journal of Anxiety Disorders</w:t>
      </w:r>
      <w:r w:rsidRPr="00A51A17">
        <w:rPr>
          <w:lang w:val="en-US"/>
        </w:rPr>
        <w:t>, 102239.</w:t>
      </w:r>
      <w:r w:rsidR="00D23C0B" w:rsidRPr="00A51A17">
        <w:rPr>
          <w:lang w:val="en-US"/>
        </w:rPr>
        <w:t xml:space="preserve"> https://doi.org/10.1016/j.janxdis.2020.102239.</w:t>
      </w:r>
    </w:p>
    <w:p w14:paraId="7FC0E975" w14:textId="49BF1915" w:rsidR="00870E52" w:rsidRPr="00A51A17" w:rsidRDefault="00870E52" w:rsidP="00C45A82">
      <w:pPr>
        <w:spacing w:line="480" w:lineRule="auto"/>
        <w:ind w:left="567" w:hanging="567"/>
        <w:rPr>
          <w:lang w:val="en-US"/>
        </w:rPr>
      </w:pPr>
      <w:r w:rsidRPr="00A51A17">
        <w:rPr>
          <w:lang w:val="en-US"/>
        </w:rPr>
        <w:t xml:space="preserve">King, D. L., Delfabbro, P. H., Billieux, J., &amp; Potenza, M. N. (2020). Problematic online gaming and the COVID-19 pandemic. </w:t>
      </w:r>
      <w:r w:rsidRPr="00A51A17">
        <w:rPr>
          <w:i/>
          <w:iCs/>
          <w:lang w:val="en-US"/>
        </w:rPr>
        <w:t>Journal of Behavioral Addictions, 9</w:t>
      </w:r>
      <w:r w:rsidRPr="00A51A17">
        <w:rPr>
          <w:lang w:val="en-US"/>
        </w:rPr>
        <w:t>(2), 184-186.</w:t>
      </w:r>
      <w:r w:rsidR="004855B8" w:rsidRPr="00A51A17">
        <w:rPr>
          <w:lang w:val="en-US"/>
        </w:rPr>
        <w:t xml:space="preserve"> https://doi.org/10.1556/2006.2020.00016.</w:t>
      </w:r>
    </w:p>
    <w:p w14:paraId="6E79433B" w14:textId="77A7E9CA" w:rsidR="0014287F" w:rsidRPr="00A51A17" w:rsidRDefault="0014287F" w:rsidP="00C45A82">
      <w:pPr>
        <w:spacing w:line="480" w:lineRule="auto"/>
        <w:ind w:left="567" w:hanging="567"/>
        <w:rPr>
          <w:lang w:val="en-US"/>
        </w:rPr>
      </w:pPr>
      <w:r w:rsidRPr="00A51A17">
        <w:rPr>
          <w:lang w:val="en-US"/>
        </w:rPr>
        <w:t xml:space="preserve">Király, O., Potenza, M. N., Stein, D. J., King, D. L., Hodgins, D. C., Saunders, J. B., ... &amp; Demetrovics, Z. (2020). Preventing problematic internet use during the COVID-19 pandemic: Consensus guidance. </w:t>
      </w:r>
      <w:r w:rsidRPr="00A51A17">
        <w:rPr>
          <w:i/>
          <w:iCs/>
          <w:lang w:val="en-US"/>
        </w:rPr>
        <w:t>Comprehensive Psychiatry, 100</w:t>
      </w:r>
      <w:r w:rsidRPr="00A51A17">
        <w:rPr>
          <w:lang w:val="en-US"/>
        </w:rPr>
        <w:t>, 152180.</w:t>
      </w:r>
      <w:r w:rsidR="00241961" w:rsidRPr="00A51A17">
        <w:rPr>
          <w:lang w:val="en-US"/>
        </w:rPr>
        <w:t xml:space="preserve"> https://doi.org/10.1016/j.comppsych.2020.152180.</w:t>
      </w:r>
    </w:p>
    <w:p w14:paraId="62E52C11" w14:textId="407F4B51" w:rsidR="00C45A82" w:rsidRPr="00A51A17" w:rsidRDefault="00C45A82" w:rsidP="00C45A82">
      <w:pPr>
        <w:spacing w:line="480" w:lineRule="auto"/>
        <w:ind w:left="567" w:hanging="567"/>
        <w:rPr>
          <w:lang w:val="en-US"/>
        </w:rPr>
      </w:pPr>
      <w:r w:rsidRPr="00A51A17">
        <w:rPr>
          <w:lang w:val="en-US"/>
        </w:rPr>
        <w:t xml:space="preserve">Koronczai, B., </w:t>
      </w:r>
      <w:r w:rsidR="00B055D4" w:rsidRPr="00A51A17">
        <w:rPr>
          <w:lang w:val="en-US"/>
        </w:rPr>
        <w:t>Kökönyei</w:t>
      </w:r>
      <w:r w:rsidRPr="00A51A17">
        <w:rPr>
          <w:lang w:val="en-US"/>
        </w:rPr>
        <w:t xml:space="preserve">, G., Griffiths, M. D., &amp; Demetrovics, Z. (2019). The relationship between personality traits, psychopathological symptoms, and problematic internet use: A complex mediation model. </w:t>
      </w:r>
      <w:r w:rsidRPr="00A51A17">
        <w:rPr>
          <w:i/>
          <w:iCs/>
          <w:lang w:val="en-US"/>
        </w:rPr>
        <w:t>Journal of Medical Internet Research, 21</w:t>
      </w:r>
      <w:r w:rsidRPr="00A51A17">
        <w:rPr>
          <w:lang w:val="en-US"/>
        </w:rPr>
        <w:t>(4), e11837. https://doi.org/10.2196/11837.</w:t>
      </w:r>
    </w:p>
    <w:p w14:paraId="365E8362" w14:textId="72445C2C" w:rsidR="00406D24" w:rsidRPr="00A51A17" w:rsidRDefault="00406D24" w:rsidP="00406D24">
      <w:pPr>
        <w:spacing w:line="480" w:lineRule="auto"/>
        <w:ind w:left="567" w:hanging="567"/>
        <w:rPr>
          <w:lang w:val="en-US"/>
        </w:rPr>
      </w:pPr>
      <w:r w:rsidRPr="00A51A17">
        <w:rPr>
          <w:lang w:val="en-US"/>
        </w:rPr>
        <w:t>Kouzy, R., Abi Jaoude, J., Kraitem, A., El Alam, M. B., Karam, B., Adib, E., ... &amp; Baddour, K. (2020). Coronavirus goes viral: quantifying the COVID-19 misinformation epidemic on Twitter. </w:t>
      </w:r>
      <w:r w:rsidRPr="00A51A17">
        <w:rPr>
          <w:i/>
          <w:iCs/>
          <w:lang w:val="en-US"/>
        </w:rPr>
        <w:t>Cureus</w:t>
      </w:r>
      <w:r w:rsidRPr="00A51A17">
        <w:rPr>
          <w:lang w:val="en-US"/>
        </w:rPr>
        <w:t>, </w:t>
      </w:r>
      <w:r w:rsidRPr="00A51A17">
        <w:rPr>
          <w:i/>
          <w:iCs/>
          <w:lang w:val="en-US"/>
        </w:rPr>
        <w:t>12</w:t>
      </w:r>
      <w:r w:rsidRPr="00A51A17">
        <w:rPr>
          <w:lang w:val="en-US"/>
        </w:rPr>
        <w:t>(3). https://doi.org/10.7759/cureus.7255.</w:t>
      </w:r>
    </w:p>
    <w:p w14:paraId="277A2B72" w14:textId="470F438B" w:rsidR="00B3753B" w:rsidRPr="00A51A17" w:rsidRDefault="00B3753B" w:rsidP="00C45A82">
      <w:pPr>
        <w:spacing w:line="480" w:lineRule="auto"/>
        <w:ind w:left="567" w:hanging="567"/>
        <w:rPr>
          <w:lang w:val="en-US"/>
        </w:rPr>
      </w:pPr>
      <w:r w:rsidRPr="00A51A17">
        <w:rPr>
          <w:lang w:val="en-US"/>
        </w:rPr>
        <w:t xml:space="preserve">Laato, S., Islam, A. N., Islam, M. N., &amp; Whelan, E. (2020). What drives unverified information sharing and cyberchondria during the COVID-19 pandemic?. </w:t>
      </w:r>
      <w:r w:rsidRPr="00A51A17">
        <w:rPr>
          <w:i/>
          <w:iCs/>
          <w:lang w:val="en-US"/>
        </w:rPr>
        <w:t>European Journal of Information Systems</w:t>
      </w:r>
      <w:r w:rsidRPr="00A51A17">
        <w:rPr>
          <w:lang w:val="en-US"/>
        </w:rPr>
        <w:t>, 1-18. https://doi.org/10.1080/0960085X.2020.1770632.</w:t>
      </w:r>
    </w:p>
    <w:p w14:paraId="6A2ECE0E" w14:textId="06AA9E21" w:rsidR="0048013C" w:rsidRPr="00A51A17" w:rsidRDefault="0048013C" w:rsidP="0048013C">
      <w:pPr>
        <w:spacing w:line="480" w:lineRule="auto"/>
        <w:ind w:left="567" w:hanging="567"/>
        <w:rPr>
          <w:lang w:val="en-US"/>
        </w:rPr>
      </w:pPr>
      <w:r w:rsidRPr="00A51A17">
        <w:rPr>
          <w:lang w:val="en-US"/>
        </w:rPr>
        <w:t>Lee, S. A., Jobe, M. C., Mathis, A. A., &amp; Gibbons, J. A. (2020a). Incremental validity of coronaphobia: Coronavirus anxiety explains depression, generalized anxiety, and death anxiety. </w:t>
      </w:r>
      <w:r w:rsidRPr="00A51A17">
        <w:rPr>
          <w:i/>
          <w:iCs/>
          <w:lang w:val="en-US"/>
        </w:rPr>
        <w:t>Journal of Anxiety Disorders</w:t>
      </w:r>
      <w:r w:rsidRPr="00A51A17">
        <w:rPr>
          <w:lang w:val="en-US"/>
        </w:rPr>
        <w:t>, </w:t>
      </w:r>
      <w:r w:rsidRPr="00A51A17">
        <w:rPr>
          <w:i/>
          <w:iCs/>
          <w:lang w:val="en-US"/>
        </w:rPr>
        <w:t>74</w:t>
      </w:r>
      <w:r w:rsidRPr="00A51A17">
        <w:rPr>
          <w:lang w:val="en-US"/>
        </w:rPr>
        <w:t>, 102268. https://doi.org/10.1016/j.janxdis.2020.102268.</w:t>
      </w:r>
    </w:p>
    <w:p w14:paraId="6FADF5B8" w14:textId="2199564E" w:rsidR="0048013C" w:rsidRPr="00A51A17" w:rsidRDefault="0048013C" w:rsidP="0048013C">
      <w:pPr>
        <w:spacing w:line="480" w:lineRule="auto"/>
        <w:ind w:left="567" w:hanging="567"/>
        <w:rPr>
          <w:lang w:val="en-US"/>
        </w:rPr>
      </w:pPr>
      <w:r w:rsidRPr="00A51A17">
        <w:rPr>
          <w:lang w:val="en-US"/>
        </w:rPr>
        <w:t>Lee, S. A., Mathis, A. A., Jobe, M. C., &amp; Pappalardo, E. A. (2020b). Clinically significant fear and anxiety of COVID-19: A psychometric examination of the Coronavirus Anxiety Scale. </w:t>
      </w:r>
      <w:r w:rsidRPr="00A51A17">
        <w:rPr>
          <w:i/>
          <w:iCs/>
          <w:lang w:val="en-US"/>
        </w:rPr>
        <w:t>Psychiatry Research</w:t>
      </w:r>
      <w:r w:rsidRPr="00A51A17">
        <w:rPr>
          <w:lang w:val="en-US"/>
        </w:rPr>
        <w:t>, 113112. https://doi.org/10.1016/j.psychres.2020.113112</w:t>
      </w:r>
      <w:r w:rsidRPr="00A51A17">
        <w:rPr>
          <w:rStyle w:val="Hyperlink"/>
          <w:color w:val="auto"/>
          <w:lang w:val="en-US"/>
        </w:rPr>
        <w:t>.</w:t>
      </w:r>
    </w:p>
    <w:p w14:paraId="3987F469" w14:textId="1B51AD83" w:rsidR="00B563D1" w:rsidRPr="00A51A17" w:rsidRDefault="00B563D1" w:rsidP="00C45A82">
      <w:pPr>
        <w:spacing w:line="480" w:lineRule="auto"/>
        <w:ind w:left="567" w:hanging="567"/>
        <w:rPr>
          <w:lang w:val="en-US"/>
        </w:rPr>
      </w:pPr>
      <w:r w:rsidRPr="00A51A17">
        <w:rPr>
          <w:lang w:val="en-US"/>
        </w:rPr>
        <w:t xml:space="preserve">Lovibond, S. H., &amp; Lovibond, P. F. (1995). </w:t>
      </w:r>
      <w:r w:rsidRPr="00A51A17">
        <w:rPr>
          <w:i/>
          <w:lang w:val="en-US"/>
        </w:rPr>
        <w:t>Manual for the Depression Anxiety Stress Scales. (2nd Ed.)</w:t>
      </w:r>
      <w:r w:rsidRPr="00A51A17">
        <w:rPr>
          <w:iCs/>
          <w:lang w:val="en-US"/>
        </w:rPr>
        <w:t>.</w:t>
      </w:r>
      <w:r w:rsidRPr="00A51A17">
        <w:rPr>
          <w:i/>
          <w:iCs/>
          <w:lang w:val="en-US"/>
        </w:rPr>
        <w:t xml:space="preserve"> </w:t>
      </w:r>
      <w:r w:rsidRPr="00A51A17">
        <w:rPr>
          <w:iCs/>
          <w:lang w:val="en-US"/>
        </w:rPr>
        <w:t>Sydney: Psychology Foundation.</w:t>
      </w:r>
    </w:p>
    <w:p w14:paraId="71F35234" w14:textId="49E83756" w:rsidR="00553916" w:rsidRPr="00A51A17" w:rsidRDefault="00553916" w:rsidP="0091674F">
      <w:pPr>
        <w:spacing w:line="480" w:lineRule="auto"/>
        <w:ind w:left="567" w:hanging="567"/>
        <w:rPr>
          <w:bCs/>
          <w:lang w:val="en-US"/>
        </w:rPr>
      </w:pPr>
      <w:r w:rsidRPr="00A51A17">
        <w:rPr>
          <w:bCs/>
          <w:lang w:val="en-US"/>
        </w:rPr>
        <w:t xml:space="preserve">Lucock, M. P., &amp; Morley, S. (1996). The health anxiety questionnaire. </w:t>
      </w:r>
      <w:r w:rsidRPr="00A51A17">
        <w:rPr>
          <w:bCs/>
          <w:i/>
          <w:iCs/>
          <w:lang w:val="en-US"/>
        </w:rPr>
        <w:t>British Journal of Health Psychology, 1</w:t>
      </w:r>
      <w:r w:rsidRPr="00A51A17">
        <w:rPr>
          <w:bCs/>
          <w:lang w:val="en-US"/>
        </w:rPr>
        <w:t>(2), 137-150. https://doi.org/10.1111/j.2044-8287.1996.tb00498.x.</w:t>
      </w:r>
    </w:p>
    <w:p w14:paraId="3472387E" w14:textId="6A845665" w:rsidR="0091674F" w:rsidRPr="00A51A17" w:rsidRDefault="0091674F" w:rsidP="0091674F">
      <w:pPr>
        <w:spacing w:line="480" w:lineRule="auto"/>
        <w:ind w:left="567" w:hanging="567"/>
        <w:rPr>
          <w:lang w:val="en-US"/>
        </w:rPr>
      </w:pPr>
      <w:r w:rsidRPr="00A51A17">
        <w:rPr>
          <w:bCs/>
        </w:rPr>
        <w:t xml:space="preserve">Marino, C., Fergus, T., Vieno, A., </w:t>
      </w:r>
      <w:r w:rsidRPr="00A51A17">
        <w:t>Bottesi, G.,</w:t>
      </w:r>
      <w:r w:rsidRPr="00A51A17">
        <w:rPr>
          <w:bCs/>
        </w:rPr>
        <w:t xml:space="preserve"> Ghisi, M., &amp; Spada, M. M. (</w:t>
      </w:r>
      <w:r w:rsidRPr="00A51A17">
        <w:rPr>
          <w:bCs/>
          <w:iCs/>
        </w:rPr>
        <w:t>2020</w:t>
      </w:r>
      <w:r w:rsidRPr="00A51A17">
        <w:rPr>
          <w:bCs/>
        </w:rPr>
        <w:t>).</w:t>
      </w:r>
      <w:r w:rsidRPr="00A51A17">
        <w:t xml:space="preserve"> </w:t>
      </w:r>
      <w:r w:rsidRPr="00A51A17">
        <w:rPr>
          <w:bCs/>
          <w:lang w:val="en-US"/>
        </w:rPr>
        <w:t xml:space="preserve">Testing the Italian version of the Cyberchondria Severity Scale and a metacognitive model of Cyberchondria. </w:t>
      </w:r>
      <w:r w:rsidRPr="00A51A17">
        <w:rPr>
          <w:bCs/>
          <w:i/>
          <w:lang w:val="en-GB"/>
        </w:rPr>
        <w:t xml:space="preserve">Clinical Psychology and Psychotherapy, 27, </w:t>
      </w:r>
      <w:r w:rsidRPr="00A51A17">
        <w:rPr>
          <w:bCs/>
          <w:iCs/>
          <w:lang w:val="en-GB"/>
        </w:rPr>
        <w:t>581–596</w:t>
      </w:r>
      <w:r w:rsidRPr="00A51A17">
        <w:rPr>
          <w:bCs/>
          <w:lang w:val="en-GB"/>
        </w:rPr>
        <w:t xml:space="preserve">. </w:t>
      </w:r>
      <w:r w:rsidRPr="00A51A17">
        <w:rPr>
          <w:bCs/>
          <w:lang w:val="en-US"/>
        </w:rPr>
        <w:t>https://doi.org/</w:t>
      </w:r>
      <w:r w:rsidRPr="00A51A17">
        <w:rPr>
          <w:lang w:val="en-GB"/>
        </w:rPr>
        <w:t xml:space="preserve"> </w:t>
      </w:r>
      <w:r w:rsidRPr="00A51A17">
        <w:rPr>
          <w:bCs/>
          <w:lang w:val="en-GB"/>
        </w:rPr>
        <w:t>10.1002/cpp.2444.</w:t>
      </w:r>
    </w:p>
    <w:p w14:paraId="5A0C297A" w14:textId="6A2E4482" w:rsidR="00553916" w:rsidRPr="00A51A17" w:rsidRDefault="00553916" w:rsidP="00A81819">
      <w:pPr>
        <w:spacing w:line="480" w:lineRule="auto"/>
        <w:ind w:left="360" w:hanging="360"/>
        <w:rPr>
          <w:lang w:val="en-US"/>
        </w:rPr>
      </w:pPr>
      <w:r w:rsidRPr="00A51A17">
        <w:rPr>
          <w:lang w:val="en-US"/>
        </w:rPr>
        <w:t xml:space="preserve">McElroy, E., &amp; Shevlin, M. (2014). The development and initial validation of the cyberchondria severity scale (CSS). </w:t>
      </w:r>
      <w:r w:rsidRPr="00A51A17">
        <w:rPr>
          <w:i/>
          <w:iCs/>
          <w:lang w:val="en-US"/>
        </w:rPr>
        <w:t>Journal of Anxiety Disorders, 28</w:t>
      </w:r>
      <w:r w:rsidRPr="00A51A17">
        <w:rPr>
          <w:lang w:val="en-US"/>
        </w:rPr>
        <w:t>(2), 259-265. https://doi.org/10.1016/j.janxdis.2013.12.007.</w:t>
      </w:r>
    </w:p>
    <w:p w14:paraId="069462CC" w14:textId="2576CFBC" w:rsidR="00A81819" w:rsidRPr="00A51A17" w:rsidRDefault="00A81819" w:rsidP="00A81819">
      <w:pPr>
        <w:spacing w:line="480" w:lineRule="auto"/>
        <w:ind w:left="360" w:hanging="360"/>
        <w:rPr>
          <w:lang w:val="en-US"/>
        </w:rPr>
      </w:pPr>
      <w:r w:rsidRPr="00A51A17">
        <w:rPr>
          <w:lang w:val="en-US"/>
        </w:rPr>
        <w:t xml:space="preserve">McEvoy, P. M., Hyett, M. P., Shihata, S., Price, J. E., &amp; Strachan, L. (2019). The impact of methodological and measurement factors on transdiagnostic associations with intolerance of uncertainty: A meta-analysis. </w:t>
      </w:r>
      <w:r w:rsidRPr="00A51A17">
        <w:rPr>
          <w:i/>
          <w:lang w:val="en-US"/>
        </w:rPr>
        <w:t>Clinical Psychology Review, 73</w:t>
      </w:r>
      <w:r w:rsidRPr="00A51A17">
        <w:rPr>
          <w:lang w:val="en-US"/>
        </w:rPr>
        <w:t xml:space="preserve">, 101778. </w:t>
      </w:r>
      <w:r w:rsidR="00D63576" w:rsidRPr="00A51A17">
        <w:rPr>
          <w:lang w:val="en-US"/>
        </w:rPr>
        <w:t>https://doi.org/10.1016/j.cpr.2019.101778</w:t>
      </w:r>
      <w:r w:rsidRPr="00A51A17">
        <w:rPr>
          <w:lang w:val="en-US"/>
        </w:rPr>
        <w:t>.</w:t>
      </w:r>
    </w:p>
    <w:p w14:paraId="333E4B9B" w14:textId="14FEF4FA" w:rsidR="00D63576" w:rsidRPr="00A51A17" w:rsidRDefault="00D63576" w:rsidP="00D63576">
      <w:pPr>
        <w:spacing w:line="480" w:lineRule="auto"/>
        <w:ind w:left="360" w:hanging="360"/>
        <w:rPr>
          <w:lang w:val="en-US"/>
        </w:rPr>
      </w:pPr>
      <w:r w:rsidRPr="00A51A17">
        <w:rPr>
          <w:lang w:val="en-US"/>
        </w:rPr>
        <w:t xml:space="preserve">McMullan, R. D., Berle, D., Arnáez, S., &amp; Starcevic, V. (2019). The relationships between health anxiety, online health information seeking, and cyberchondria: Systematic review and meta-analysis. </w:t>
      </w:r>
      <w:r w:rsidRPr="00A51A17">
        <w:rPr>
          <w:i/>
          <w:iCs/>
          <w:lang w:val="en-US"/>
        </w:rPr>
        <w:t>Journal of Affective Disorders, 245</w:t>
      </w:r>
      <w:r w:rsidRPr="00A51A17">
        <w:rPr>
          <w:lang w:val="en-US"/>
        </w:rPr>
        <w:t>, 270–278. https://doi.org/10.1016/j.jad.2018. 11.037.</w:t>
      </w:r>
    </w:p>
    <w:p w14:paraId="6FDA4AD1" w14:textId="77777777" w:rsidR="00553916" w:rsidRPr="00A51A17" w:rsidRDefault="00553916" w:rsidP="00AD2A60">
      <w:pPr>
        <w:spacing w:line="480" w:lineRule="auto"/>
        <w:ind w:left="426" w:right="-291" w:hanging="426"/>
      </w:pPr>
      <w:r w:rsidRPr="00A51A17">
        <w:rPr>
          <w:lang w:val="en-US"/>
        </w:rPr>
        <w:t xml:space="preserve">Melli, G., Coradeschi, D., &amp; Smurra, R. (2007). </w:t>
      </w:r>
      <w:r w:rsidRPr="00A51A17">
        <w:t xml:space="preserve">La versione italiana dell'Health Anxiety Questionnaire: attendibilita e struttura fattoriale. </w:t>
      </w:r>
      <w:r w:rsidRPr="00A51A17">
        <w:rPr>
          <w:i/>
          <w:iCs/>
        </w:rPr>
        <w:t>Psicoterapia Cognitiva e Comportamentale, 13</w:t>
      </w:r>
      <w:r w:rsidRPr="00A51A17">
        <w:t>(1), 37-48.</w:t>
      </w:r>
    </w:p>
    <w:p w14:paraId="79167A15" w14:textId="071A5877" w:rsidR="006C5F4A" w:rsidRPr="00A51A17" w:rsidRDefault="006C5F4A" w:rsidP="00AD2A60">
      <w:pPr>
        <w:spacing w:line="480" w:lineRule="auto"/>
        <w:ind w:left="426" w:right="-291" w:hanging="426"/>
        <w:rPr>
          <w:lang w:val="en-US"/>
        </w:rPr>
      </w:pPr>
      <w:r w:rsidRPr="00A51A17">
        <w:t xml:space="preserve">Mestre-Bach, G., Blycker, G. R., &amp; Potenza, M. N. (2020). </w:t>
      </w:r>
      <w:r w:rsidRPr="00A51A17">
        <w:rPr>
          <w:lang w:val="en-US"/>
        </w:rPr>
        <w:t xml:space="preserve">Pornography use in the setting of the COVID-19 pandemic. </w:t>
      </w:r>
      <w:r w:rsidRPr="00A51A17">
        <w:rPr>
          <w:i/>
          <w:iCs/>
          <w:lang w:val="en-US"/>
        </w:rPr>
        <w:t>Journal of Behavioral Addictions, 9</w:t>
      </w:r>
      <w:r w:rsidRPr="00A51A17">
        <w:rPr>
          <w:lang w:val="en-US"/>
        </w:rPr>
        <w:t>(2), 181-183.</w:t>
      </w:r>
      <w:r w:rsidR="00312A45" w:rsidRPr="00A51A17">
        <w:rPr>
          <w:lang w:val="en-US"/>
        </w:rPr>
        <w:t xml:space="preserve"> https://doi.org/10.1556/2006.2020.00015.</w:t>
      </w:r>
    </w:p>
    <w:p w14:paraId="55DB97D3" w14:textId="1B3C730D" w:rsidR="000F7723" w:rsidRPr="00A51A17" w:rsidRDefault="000F7723" w:rsidP="00AD2A60">
      <w:pPr>
        <w:spacing w:line="480" w:lineRule="auto"/>
        <w:ind w:left="426" w:right="-291" w:hanging="426"/>
        <w:rPr>
          <w:lang w:val="en-US"/>
        </w:rPr>
      </w:pPr>
      <w:r w:rsidRPr="00A51A17">
        <w:rPr>
          <w:lang w:val="en-US"/>
        </w:rPr>
        <w:t xml:space="preserve">Nikčević, A. V., &amp; Spada, M. M. (2020). The COVID-19 anxiety syndrome scale: Development and psychometric properties. </w:t>
      </w:r>
      <w:r w:rsidRPr="00A51A17">
        <w:rPr>
          <w:i/>
          <w:iCs/>
          <w:lang w:val="en-US"/>
        </w:rPr>
        <w:t>Psychiatry rRsearch, 292,</w:t>
      </w:r>
      <w:r w:rsidRPr="00A51A17">
        <w:rPr>
          <w:lang w:val="en-US"/>
        </w:rPr>
        <w:t xml:space="preserve"> 113322. https://doi.org/10.1016/j.psychres.2020.113322.</w:t>
      </w:r>
    </w:p>
    <w:p w14:paraId="44912AC1" w14:textId="7CD36BCD" w:rsidR="00AD2A60" w:rsidRPr="00A51A17" w:rsidRDefault="00AD2A60" w:rsidP="00AD2A60">
      <w:pPr>
        <w:spacing w:line="480" w:lineRule="auto"/>
        <w:ind w:left="426" w:right="-291" w:hanging="426"/>
        <w:rPr>
          <w:lang w:val="en-US"/>
        </w:rPr>
      </w:pPr>
      <w:r w:rsidRPr="00A51A17">
        <w:rPr>
          <w:lang w:val="en-US"/>
        </w:rPr>
        <w:t xml:space="preserve">Norr, A. M., Albanese, B. J., Oglesby, M. E., Allan, N. P., &amp; Schmidt, N. B. (2015). Anxiety sensitivity and intolerance of uncertainty as potential risk factors for cyberchondria. </w:t>
      </w:r>
      <w:r w:rsidRPr="00A51A17">
        <w:rPr>
          <w:i/>
          <w:iCs/>
          <w:lang w:val="en-US"/>
        </w:rPr>
        <w:t>Journal of Affective Disorders</w:t>
      </w:r>
      <w:r w:rsidRPr="00A51A17">
        <w:rPr>
          <w:lang w:val="en-US"/>
        </w:rPr>
        <w:t xml:space="preserve">, </w:t>
      </w:r>
      <w:r w:rsidRPr="00A51A17">
        <w:rPr>
          <w:i/>
          <w:iCs/>
          <w:lang w:val="en-US"/>
        </w:rPr>
        <w:t>174</w:t>
      </w:r>
      <w:r w:rsidRPr="00A51A17">
        <w:rPr>
          <w:lang w:val="en-US"/>
        </w:rPr>
        <w:t xml:space="preserve">, 64–69. </w:t>
      </w:r>
      <w:r w:rsidR="0048013C" w:rsidRPr="00A51A17">
        <w:rPr>
          <w:lang w:val="en-US"/>
        </w:rPr>
        <w:t>https://doi.org/10.1016/j.jad.2014.11.023</w:t>
      </w:r>
      <w:r w:rsidRPr="00A51A17">
        <w:rPr>
          <w:lang w:val="en-US"/>
        </w:rPr>
        <w:t>.</w:t>
      </w:r>
    </w:p>
    <w:p w14:paraId="0DF53775" w14:textId="76F86031" w:rsidR="00C71367" w:rsidRPr="00A51A17" w:rsidRDefault="00C71367" w:rsidP="00AD2A60">
      <w:pPr>
        <w:spacing w:line="480" w:lineRule="auto"/>
        <w:ind w:left="426" w:right="-291" w:hanging="426"/>
        <w:rPr>
          <w:lang w:val="en-US"/>
        </w:rPr>
      </w:pPr>
      <w:r w:rsidRPr="00A51A17">
        <w:rPr>
          <w:lang w:val="en-US"/>
        </w:rPr>
        <w:t xml:space="preserve">Norton, P. J., &amp; Mehta, P. D. (2007). Hierarchical model of vulnerabilities for emotional disorders. </w:t>
      </w:r>
      <w:r w:rsidRPr="00A51A17">
        <w:rPr>
          <w:i/>
          <w:iCs/>
          <w:lang w:val="en-US"/>
        </w:rPr>
        <w:t>Cognitive Behaviour Therapy, 36</w:t>
      </w:r>
      <w:r w:rsidRPr="00A51A17">
        <w:rPr>
          <w:lang w:val="en-US"/>
        </w:rPr>
        <w:t>(4), 240-254. https://doi.org/10.1080/16506070701628065.</w:t>
      </w:r>
    </w:p>
    <w:p w14:paraId="2C95EFE8" w14:textId="77777777" w:rsidR="00D23C0B" w:rsidRPr="00A51A17" w:rsidRDefault="00D23C0B" w:rsidP="00D23C0B">
      <w:pPr>
        <w:spacing w:line="480" w:lineRule="auto"/>
        <w:rPr>
          <w:lang w:val="en-US"/>
        </w:rPr>
      </w:pPr>
      <w:r w:rsidRPr="00A51A17">
        <w:rPr>
          <w:lang w:val="en-US"/>
        </w:rPr>
        <w:t>Qiu, J., Shen, B., Zhao, M., Wang, Z., Xie, B., &amp; Xu, Y. (2020). A nationwide survey of</w:t>
      </w:r>
    </w:p>
    <w:p w14:paraId="0F2171DF" w14:textId="77777777" w:rsidR="00D23C0B" w:rsidRPr="00A51A17" w:rsidRDefault="00D23C0B" w:rsidP="00D23C0B">
      <w:pPr>
        <w:spacing w:line="480" w:lineRule="auto"/>
        <w:ind w:firstLine="720"/>
        <w:rPr>
          <w:lang w:val="en-US"/>
        </w:rPr>
      </w:pPr>
      <w:r w:rsidRPr="00A51A17">
        <w:rPr>
          <w:lang w:val="en-US"/>
        </w:rPr>
        <w:t xml:space="preserve">psychological distress among Chinese people in the COVID-19 epidemic: </w:t>
      </w:r>
    </w:p>
    <w:p w14:paraId="111A42A5" w14:textId="104EAF79" w:rsidR="00D23C0B" w:rsidRPr="00A51A17" w:rsidRDefault="00D23C0B" w:rsidP="00D23C0B">
      <w:pPr>
        <w:spacing w:line="480" w:lineRule="auto"/>
        <w:ind w:left="709" w:firstLine="11"/>
        <w:rPr>
          <w:lang w:val="en-US"/>
        </w:rPr>
      </w:pPr>
      <w:r w:rsidRPr="00A51A17">
        <w:rPr>
          <w:lang w:val="en-US"/>
        </w:rPr>
        <w:t xml:space="preserve">Implications and policy recommendations. </w:t>
      </w:r>
      <w:r w:rsidRPr="00A51A17">
        <w:rPr>
          <w:i/>
          <w:iCs/>
          <w:lang w:val="en-US"/>
        </w:rPr>
        <w:t>General Psychiatry, 33</w:t>
      </w:r>
      <w:r w:rsidRPr="00A51A17">
        <w:rPr>
          <w:lang w:val="en-US"/>
        </w:rPr>
        <w:t>(2): e100213. https://doi.org/10.1136/gpsych-2020-100213</w:t>
      </w:r>
    </w:p>
    <w:p w14:paraId="04BCF3FE" w14:textId="77777777" w:rsidR="00E83030" w:rsidRPr="00A51A17" w:rsidRDefault="00E83030" w:rsidP="00E83030">
      <w:pPr>
        <w:pStyle w:val="Bibliography"/>
        <w:spacing w:after="0" w:line="480" w:lineRule="auto"/>
        <w:ind w:left="720" w:hanging="720"/>
        <w:rPr>
          <w:rFonts w:ascii="Times New Roman" w:hAnsi="Times New Roman" w:cs="Times New Roman"/>
          <w:sz w:val="24"/>
          <w:szCs w:val="24"/>
          <w:lang w:val="en-US"/>
        </w:rPr>
      </w:pPr>
      <w:r w:rsidRPr="00A51A17">
        <w:rPr>
          <w:rFonts w:ascii="Times New Roman" w:hAnsi="Times New Roman" w:cs="Times New Roman"/>
          <w:sz w:val="24"/>
          <w:szCs w:val="24"/>
          <w:lang w:val="en-US"/>
        </w:rPr>
        <w:t xml:space="preserve">R Core Team (2013). R: A language and environment for statistical computing [Computer software manual]. Vienna, Austria Available from </w:t>
      </w:r>
      <w:hyperlink r:id="rId9" w:history="1">
        <w:r w:rsidRPr="00A51A17">
          <w:rPr>
            <w:rStyle w:val="Hyperlink"/>
            <w:rFonts w:ascii="Times New Roman" w:hAnsi="Times New Roman" w:cs="Times New Roman"/>
            <w:color w:val="auto"/>
            <w:sz w:val="24"/>
            <w:szCs w:val="24"/>
          </w:rPr>
          <w:t>http://www.R-project.org/</w:t>
        </w:r>
      </w:hyperlink>
      <w:r w:rsidRPr="00A51A17">
        <w:rPr>
          <w:rFonts w:ascii="Times New Roman" w:hAnsi="Times New Roman" w:cs="Times New Roman"/>
          <w:sz w:val="24"/>
          <w:szCs w:val="24"/>
          <w:lang w:val="en-US"/>
        </w:rPr>
        <w:t>.</w:t>
      </w:r>
    </w:p>
    <w:p w14:paraId="6A22615A" w14:textId="3245CE0B" w:rsidR="00E83030" w:rsidRPr="00A51A17" w:rsidRDefault="00E83030" w:rsidP="00E83030">
      <w:pPr>
        <w:pStyle w:val="Bibliography"/>
        <w:spacing w:after="0" w:line="480" w:lineRule="auto"/>
        <w:ind w:left="720" w:hanging="720"/>
        <w:rPr>
          <w:rFonts w:ascii="Times New Roman" w:hAnsi="Times New Roman" w:cs="Times New Roman"/>
          <w:sz w:val="24"/>
          <w:szCs w:val="24"/>
        </w:rPr>
      </w:pPr>
      <w:r w:rsidRPr="00A51A17">
        <w:rPr>
          <w:rFonts w:ascii="Times New Roman" w:hAnsi="Times New Roman" w:cs="Times New Roman"/>
          <w:sz w:val="24"/>
          <w:szCs w:val="24"/>
          <w:lang w:val="en-US"/>
        </w:rPr>
        <w:t xml:space="preserve">Rosseel, Y. (2012). Lavaan: An R package for structural equation modeling. </w:t>
      </w:r>
      <w:r w:rsidRPr="00A51A17">
        <w:rPr>
          <w:rFonts w:ascii="Times New Roman" w:hAnsi="Times New Roman" w:cs="Times New Roman"/>
          <w:i/>
          <w:sz w:val="24"/>
          <w:szCs w:val="24"/>
        </w:rPr>
        <w:t>Journal of Statistical Software</w:t>
      </w:r>
      <w:r w:rsidRPr="00A51A17">
        <w:rPr>
          <w:rFonts w:ascii="Times New Roman" w:hAnsi="Times New Roman" w:cs="Times New Roman"/>
          <w:sz w:val="24"/>
          <w:szCs w:val="24"/>
        </w:rPr>
        <w:t xml:space="preserve">, </w:t>
      </w:r>
      <w:r w:rsidRPr="00A51A17">
        <w:rPr>
          <w:rFonts w:ascii="Times New Roman" w:hAnsi="Times New Roman" w:cs="Times New Roman"/>
          <w:i/>
          <w:sz w:val="24"/>
          <w:szCs w:val="24"/>
        </w:rPr>
        <w:t>48</w:t>
      </w:r>
      <w:r w:rsidRPr="00A51A17">
        <w:rPr>
          <w:rFonts w:ascii="Times New Roman" w:hAnsi="Times New Roman" w:cs="Times New Roman"/>
          <w:sz w:val="24"/>
          <w:szCs w:val="24"/>
        </w:rPr>
        <w:t xml:space="preserve">, 1–36. </w:t>
      </w:r>
      <w:r w:rsidRPr="00A51A17">
        <w:rPr>
          <w:rFonts w:ascii="Times New Roman" w:hAnsi="Times New Roman" w:cs="Times New Roman"/>
          <w:sz w:val="24"/>
          <w:szCs w:val="24"/>
          <w:lang w:val="en-US"/>
        </w:rPr>
        <w:t>https://doi.org/</w:t>
      </w:r>
      <w:r w:rsidRPr="00A51A17">
        <w:rPr>
          <w:rFonts w:ascii="Times New Roman" w:hAnsi="Times New Roman" w:cs="Times New Roman"/>
          <w:sz w:val="24"/>
          <w:szCs w:val="24"/>
        </w:rPr>
        <w:t>10.18637/jss.v048.i02</w:t>
      </w:r>
    </w:p>
    <w:p w14:paraId="28202995" w14:textId="6B271283" w:rsidR="00533119" w:rsidRPr="00A51A17" w:rsidRDefault="00533119" w:rsidP="00533119">
      <w:pPr>
        <w:spacing w:line="480" w:lineRule="auto"/>
        <w:ind w:left="426" w:right="-291" w:hanging="426"/>
        <w:rPr>
          <w:lang w:val="en-US"/>
        </w:rPr>
      </w:pPr>
      <w:r w:rsidRPr="00A51A17">
        <w:rPr>
          <w:lang w:val="en-US"/>
        </w:rPr>
        <w:t xml:space="preserve">Rozgonjuk, D., Elhai, J. D., Täht, K., Vassil, K., Levine, J. C., &amp; Asmundson, G. J. (2019). Non-social smartphone use mediates the relationship between intolerance of uncertainty and problematic smartphone use: Evidence from a repeated-measures study. </w:t>
      </w:r>
      <w:r w:rsidRPr="00A51A17">
        <w:rPr>
          <w:i/>
          <w:iCs/>
          <w:lang w:val="en-US"/>
        </w:rPr>
        <w:t>Computers in Human Behavior, 96</w:t>
      </w:r>
      <w:r w:rsidRPr="00A51A17">
        <w:rPr>
          <w:lang w:val="en-US"/>
        </w:rPr>
        <w:t>, 56-62. https://doi.org/10.1016/j.chb.2019.02.013.</w:t>
      </w:r>
    </w:p>
    <w:p w14:paraId="447D3A06" w14:textId="77777777" w:rsidR="004404E0" w:rsidRPr="00A51A17" w:rsidRDefault="004404E0" w:rsidP="004404E0">
      <w:pPr>
        <w:pStyle w:val="Bibliography"/>
        <w:spacing w:line="480" w:lineRule="auto"/>
        <w:ind w:left="720" w:hanging="720"/>
        <w:rPr>
          <w:rFonts w:ascii="Times New Roman" w:hAnsi="Times New Roman" w:cs="Times New Roman"/>
          <w:noProof/>
          <w:sz w:val="24"/>
          <w:szCs w:val="24"/>
        </w:rPr>
      </w:pPr>
      <w:r w:rsidRPr="00A51A17">
        <w:rPr>
          <w:rFonts w:ascii="Times New Roman" w:hAnsi="Times New Roman" w:cs="Times New Roman"/>
          <w:sz w:val="24"/>
          <w:szCs w:val="24"/>
        </w:rPr>
        <w:t>Rubin, G. J., Amlôt, R., Page, L., &amp; Wessely, S. (2009). Public perceptions, anxiety, and</w:t>
      </w:r>
    </w:p>
    <w:p w14:paraId="1327CCED" w14:textId="21BB7383" w:rsidR="004404E0" w:rsidRPr="00A51A17" w:rsidRDefault="004404E0" w:rsidP="004404E0">
      <w:pPr>
        <w:spacing w:line="480" w:lineRule="auto"/>
        <w:ind w:left="720"/>
        <w:rPr>
          <w:lang w:val="en-US"/>
        </w:rPr>
      </w:pPr>
      <w:r w:rsidRPr="00A51A17">
        <w:rPr>
          <w:lang w:val="en-US"/>
        </w:rPr>
        <w:t xml:space="preserve">behaviour change in relation to the swine flu outbreak: Cross sectional telephone survey. </w:t>
      </w:r>
      <w:r w:rsidRPr="00A51A17">
        <w:rPr>
          <w:i/>
          <w:iCs/>
          <w:lang w:val="en-US"/>
        </w:rPr>
        <w:t>British Medical Journal, 339</w:t>
      </w:r>
      <w:r w:rsidRPr="00A51A17">
        <w:rPr>
          <w:lang w:val="en-US"/>
        </w:rPr>
        <w:t>, b2651. https://doi.org/10.1136/bmj.b2651</w:t>
      </w:r>
    </w:p>
    <w:p w14:paraId="16021128" w14:textId="0F0AB075" w:rsidR="00533119" w:rsidRPr="00A51A17" w:rsidRDefault="00533119" w:rsidP="00533119">
      <w:pPr>
        <w:spacing w:line="480" w:lineRule="auto"/>
        <w:ind w:left="426" w:right="-291" w:hanging="426"/>
        <w:rPr>
          <w:lang w:val="en-US"/>
        </w:rPr>
      </w:pPr>
      <w:r w:rsidRPr="00A51A17">
        <w:rPr>
          <w:lang w:val="en-US"/>
        </w:rPr>
        <w:t xml:space="preserve">Sankar, R., Robinson, L., Honey, E., &amp; Freeston, M. H. (2017) ‘We know intolerance of uncertainty is a transdiagnostic factor but we don’t know what it looks like in everyday life’: A systematic review of intolerance of uncertainty behaviours. </w:t>
      </w:r>
      <w:r w:rsidRPr="00A51A17">
        <w:rPr>
          <w:i/>
          <w:lang w:val="en-US"/>
        </w:rPr>
        <w:t>Clinical Psychology Forum</w:t>
      </w:r>
      <w:r w:rsidRPr="00A51A17">
        <w:rPr>
          <w:lang w:val="en-US"/>
        </w:rPr>
        <w:t xml:space="preserve">, </w:t>
      </w:r>
      <w:r w:rsidRPr="00A51A17">
        <w:rPr>
          <w:i/>
          <w:lang w:val="en-US"/>
        </w:rPr>
        <w:t>296</w:t>
      </w:r>
      <w:r w:rsidRPr="00A51A17">
        <w:rPr>
          <w:lang w:val="en-US"/>
        </w:rPr>
        <w:t>, 10-15.</w:t>
      </w:r>
    </w:p>
    <w:p w14:paraId="059ED5C6" w14:textId="3850FDF8" w:rsidR="00A81819" w:rsidRPr="00A51A17" w:rsidRDefault="00A81819" w:rsidP="00A81819">
      <w:pPr>
        <w:spacing w:line="480" w:lineRule="auto"/>
        <w:ind w:left="567" w:hanging="567"/>
        <w:rPr>
          <w:lang w:val="en-US"/>
        </w:rPr>
      </w:pPr>
      <w:r w:rsidRPr="00A51A17">
        <w:rPr>
          <w:lang w:val="en-US"/>
        </w:rPr>
        <w:t xml:space="preserve">Shihata, S., McEvoy, P. M., Mullan, B. A., &amp; Carleton, R. N. (2016). Intolerance of uncertainty in emotional disorders: What uncertainties remain? </w:t>
      </w:r>
      <w:r w:rsidRPr="00A51A17">
        <w:rPr>
          <w:i/>
          <w:lang w:val="en-US"/>
        </w:rPr>
        <w:t>Journal of Anxiety Disorders, 41</w:t>
      </w:r>
      <w:r w:rsidRPr="00A51A17">
        <w:rPr>
          <w:lang w:val="en-US"/>
        </w:rPr>
        <w:t>, 115-124. https://doi.org/10.1016/j.janxdis.2016.05.001.</w:t>
      </w:r>
    </w:p>
    <w:p w14:paraId="66360107" w14:textId="4EB816FE" w:rsidR="00547AE0" w:rsidRPr="00A51A17" w:rsidRDefault="00547AE0" w:rsidP="00610CC7">
      <w:pPr>
        <w:spacing w:line="480" w:lineRule="auto"/>
        <w:ind w:left="709" w:hanging="709"/>
        <w:rPr>
          <w:lang w:val="en-US"/>
        </w:rPr>
      </w:pPr>
      <w:r w:rsidRPr="00A51A17">
        <w:rPr>
          <w:lang w:val="en-US"/>
        </w:rPr>
        <w:t xml:space="preserve">Spada, M. M. (2014). An overview of problematic Internet use. </w:t>
      </w:r>
      <w:r w:rsidRPr="00A51A17">
        <w:rPr>
          <w:i/>
          <w:lang w:val="en-US"/>
        </w:rPr>
        <w:t xml:space="preserve">Addictive Behaviors, 39(1), </w:t>
      </w:r>
      <w:r w:rsidRPr="00A51A17">
        <w:rPr>
          <w:lang w:val="en-US"/>
        </w:rPr>
        <w:t>3-6</w:t>
      </w:r>
      <w:r w:rsidR="00FD195A" w:rsidRPr="00A51A17">
        <w:rPr>
          <w:lang w:val="en-US"/>
        </w:rPr>
        <w:t>. https://doi.org/10.1016/j.addbeh.2013.09.007.</w:t>
      </w:r>
    </w:p>
    <w:p w14:paraId="34EF99FF" w14:textId="5891A363" w:rsidR="00610CC7" w:rsidRPr="00A51A17" w:rsidRDefault="00610CC7" w:rsidP="00610CC7">
      <w:pPr>
        <w:spacing w:line="480" w:lineRule="auto"/>
        <w:ind w:left="709" w:hanging="709"/>
        <w:rPr>
          <w:lang w:val="en-US"/>
        </w:rPr>
      </w:pPr>
      <w:r w:rsidRPr="00A51A17">
        <w:t xml:space="preserve">Spada, M. M., &amp; Marino, C. (2017). </w:t>
      </w:r>
      <w:r w:rsidRPr="00A51A17">
        <w:rPr>
          <w:lang w:val="en-US"/>
        </w:rPr>
        <w:t xml:space="preserve">Metacognitions and emotion regulation as predictors of problematic internet use in adolescents. </w:t>
      </w:r>
      <w:r w:rsidRPr="00A51A17">
        <w:rPr>
          <w:i/>
          <w:iCs/>
          <w:lang w:val="en-US"/>
        </w:rPr>
        <w:t>Clinical Neuropsychiatry, 14</w:t>
      </w:r>
      <w:r w:rsidRPr="00A51A17">
        <w:rPr>
          <w:lang w:val="en-US"/>
        </w:rPr>
        <w:t xml:space="preserve">, 59-63. </w:t>
      </w:r>
    </w:p>
    <w:p w14:paraId="54A3B449" w14:textId="604E81D5" w:rsidR="002358AD" w:rsidRPr="00A51A17" w:rsidRDefault="00D63576" w:rsidP="002358AD">
      <w:pPr>
        <w:spacing w:line="480" w:lineRule="auto"/>
        <w:ind w:left="709" w:hanging="709"/>
        <w:rPr>
          <w:lang w:val="en-US"/>
        </w:rPr>
      </w:pPr>
      <w:r w:rsidRPr="00A51A17">
        <w:rPr>
          <w:lang w:val="en-US"/>
        </w:rPr>
        <w:t xml:space="preserve">Starcevic, V., &amp; Berle, D. (2013). Cyberchondria: Towards a better understanding of excessive health-related Internet use. </w:t>
      </w:r>
      <w:r w:rsidRPr="00A51A17">
        <w:rPr>
          <w:i/>
          <w:iCs/>
          <w:lang w:val="en-US"/>
        </w:rPr>
        <w:t>Expert Review of Neurotherapeutics, 13</w:t>
      </w:r>
      <w:r w:rsidRPr="00A51A17">
        <w:rPr>
          <w:lang w:val="en-US"/>
        </w:rPr>
        <w:t xml:space="preserve">(2), 205–213. </w:t>
      </w:r>
      <w:r w:rsidR="002358AD" w:rsidRPr="00A51A17">
        <w:rPr>
          <w:lang w:val="en-US"/>
        </w:rPr>
        <w:t>https://doi.org/10.1586/ern.12.162</w:t>
      </w:r>
      <w:r w:rsidR="00406D24" w:rsidRPr="00A51A17">
        <w:rPr>
          <w:lang w:val="en-US"/>
        </w:rPr>
        <w:t>.</w:t>
      </w:r>
    </w:p>
    <w:p w14:paraId="5AD4FDFC" w14:textId="51B5EC31" w:rsidR="0048013C" w:rsidRPr="00A51A17" w:rsidRDefault="00406D24" w:rsidP="002358AD">
      <w:pPr>
        <w:spacing w:line="480" w:lineRule="auto"/>
        <w:ind w:left="709" w:hanging="709"/>
        <w:rPr>
          <w:lang w:val="en-US"/>
        </w:rPr>
      </w:pPr>
      <w:r w:rsidRPr="00A51A17">
        <w:rPr>
          <w:lang w:val="en-US"/>
        </w:rPr>
        <w:t>Starcevic, V., Berle, D. &amp; Arnáez, S. Recent Insights into Cyberchondria. </w:t>
      </w:r>
      <w:r w:rsidRPr="00A51A17">
        <w:rPr>
          <w:i/>
          <w:iCs/>
          <w:lang w:val="en-US"/>
        </w:rPr>
        <w:t>Current Psychiatry</w:t>
      </w:r>
      <w:r w:rsidR="002358AD" w:rsidRPr="00A51A17">
        <w:rPr>
          <w:i/>
          <w:iCs/>
          <w:lang w:val="en-US"/>
        </w:rPr>
        <w:t xml:space="preserve"> </w:t>
      </w:r>
      <w:r w:rsidRPr="00A51A17">
        <w:rPr>
          <w:i/>
          <w:iCs/>
          <w:lang w:val="en-US"/>
        </w:rPr>
        <w:t>Reports, 22</w:t>
      </w:r>
      <w:r w:rsidRPr="00A51A17">
        <w:rPr>
          <w:b/>
          <w:bCs/>
          <w:lang w:val="en-US"/>
        </w:rPr>
        <w:t>, </w:t>
      </w:r>
      <w:r w:rsidRPr="00A51A17">
        <w:rPr>
          <w:lang w:val="en-US"/>
        </w:rPr>
        <w:t xml:space="preserve">56 (2020). </w:t>
      </w:r>
      <w:r w:rsidR="0048013C" w:rsidRPr="00A51A17">
        <w:rPr>
          <w:lang w:val="en-US"/>
        </w:rPr>
        <w:t>https://doi.org/10.1007/s11920-020-01179-8</w:t>
      </w:r>
      <w:r w:rsidRPr="00A51A17">
        <w:rPr>
          <w:lang w:val="en-US"/>
        </w:rPr>
        <w:t>.</w:t>
      </w:r>
    </w:p>
    <w:p w14:paraId="1673A9D9" w14:textId="305C6199" w:rsidR="00505CAE" w:rsidRPr="00A51A17" w:rsidRDefault="0048013C" w:rsidP="00505CAE">
      <w:pPr>
        <w:spacing w:line="480" w:lineRule="auto"/>
        <w:ind w:left="709" w:hanging="709"/>
        <w:rPr>
          <w:lang w:val="en-US"/>
        </w:rPr>
      </w:pPr>
      <w:r w:rsidRPr="00A51A17">
        <w:rPr>
          <w:lang w:val="en-US"/>
        </w:rPr>
        <w:t>Taylor, S., Landry, C., Paluszek, M., Fergus, T. A., McKay, D., &amp; Asmundson, G. J. (2020). Development and initial validation of the COVID Stress Scales. </w:t>
      </w:r>
      <w:r w:rsidRPr="00A51A17">
        <w:rPr>
          <w:i/>
          <w:iCs/>
          <w:lang w:val="en-US"/>
        </w:rPr>
        <w:t>Journal of Anxiety Disorders</w:t>
      </w:r>
      <w:r w:rsidRPr="00A51A17">
        <w:rPr>
          <w:lang w:val="en-US"/>
        </w:rPr>
        <w:t xml:space="preserve">, 102232. </w:t>
      </w:r>
      <w:r w:rsidR="00505CAE" w:rsidRPr="00A51A17">
        <w:rPr>
          <w:lang w:val="en-US"/>
        </w:rPr>
        <w:t>https://doi.org/10.1016/j.janxdis.2020.102258</w:t>
      </w:r>
      <w:r w:rsidRPr="00A51A17">
        <w:rPr>
          <w:rStyle w:val="Hyperlink"/>
          <w:color w:val="auto"/>
          <w:lang w:val="en-US"/>
        </w:rPr>
        <w:t>.</w:t>
      </w:r>
    </w:p>
    <w:p w14:paraId="7C5A80C3" w14:textId="38E551CB" w:rsidR="00505CAE" w:rsidRPr="00A51A17" w:rsidRDefault="00505CAE" w:rsidP="00505CAE">
      <w:pPr>
        <w:spacing w:line="480" w:lineRule="auto"/>
        <w:ind w:left="709" w:hanging="709"/>
        <w:rPr>
          <w:lang w:val="en-US"/>
        </w:rPr>
      </w:pPr>
      <w:r w:rsidRPr="00A51A17">
        <w:rPr>
          <w:lang w:val="en-US"/>
        </w:rPr>
        <w:t>Vaezi, A., &amp; Javanmard, S. H. (2020). Infodemic and risk communication in the era of CoV-19. </w:t>
      </w:r>
      <w:r w:rsidRPr="00A51A17">
        <w:rPr>
          <w:i/>
          <w:iCs/>
          <w:lang w:val="en-US"/>
        </w:rPr>
        <w:t>Advanced Biomedical Research</w:t>
      </w:r>
      <w:r w:rsidRPr="00A51A17">
        <w:rPr>
          <w:lang w:val="en-US"/>
        </w:rPr>
        <w:t>, </w:t>
      </w:r>
      <w:r w:rsidRPr="00A51A17">
        <w:rPr>
          <w:i/>
          <w:iCs/>
          <w:lang w:val="en-US"/>
        </w:rPr>
        <w:t>9</w:t>
      </w:r>
      <w:r w:rsidRPr="00A51A17">
        <w:rPr>
          <w:lang w:val="en-US"/>
        </w:rPr>
        <w:t>.</w:t>
      </w:r>
      <w:r w:rsidR="00FA6D80" w:rsidRPr="00A51A17">
        <w:rPr>
          <w:lang w:val="en-US"/>
        </w:rPr>
        <w:t xml:space="preserve"> https://doi.org/10.4103/abr.abr_47_20</w:t>
      </w:r>
    </w:p>
    <w:p w14:paraId="19EAC5D2" w14:textId="5A0E9442" w:rsidR="00D23C0B" w:rsidRPr="00A51A17" w:rsidRDefault="00D23C0B" w:rsidP="00D23C0B">
      <w:pPr>
        <w:spacing w:line="480" w:lineRule="auto"/>
        <w:rPr>
          <w:lang w:val="en-US"/>
        </w:rPr>
      </w:pPr>
      <w:r w:rsidRPr="00A51A17">
        <w:rPr>
          <w:lang w:val="en-US"/>
        </w:rPr>
        <w:t xml:space="preserve">Wang, C., Pan, R., Wan, X., Tan, Y., Xu, L., Ho, C. S., et al. (2020). Immediate </w:t>
      </w:r>
    </w:p>
    <w:p w14:paraId="47E7618D" w14:textId="3CE6C36B" w:rsidR="00481191" w:rsidRPr="00A51A17" w:rsidRDefault="00D23C0B" w:rsidP="00481191">
      <w:pPr>
        <w:spacing w:line="480" w:lineRule="auto"/>
        <w:ind w:left="720"/>
        <w:rPr>
          <w:lang w:val="en-US"/>
        </w:rPr>
      </w:pPr>
      <w:r w:rsidRPr="00A51A17">
        <w:rPr>
          <w:lang w:val="en-US"/>
        </w:rPr>
        <w:t xml:space="preserve">psychological responses and associated factors during the initial stage of the 2019 coronavirus disease (COVID-19) epidemic among the general population in China. </w:t>
      </w:r>
      <w:r w:rsidRPr="00A51A17">
        <w:rPr>
          <w:i/>
          <w:iCs/>
          <w:lang w:val="en-US"/>
        </w:rPr>
        <w:t>International Journal of Environmental Research and Public Health, 17</w:t>
      </w:r>
      <w:r w:rsidRPr="00A51A17">
        <w:rPr>
          <w:lang w:val="en-US"/>
        </w:rPr>
        <w:t xml:space="preserve">, 1729. </w:t>
      </w:r>
      <w:r w:rsidR="00481191" w:rsidRPr="00A51A17">
        <w:rPr>
          <w:lang w:val="en-US"/>
        </w:rPr>
        <w:t>https://doi.org/10.3390/ijerph17051729</w:t>
      </w:r>
      <w:r w:rsidRPr="00A51A17">
        <w:rPr>
          <w:lang w:val="en-US"/>
        </w:rPr>
        <w:t>.</w:t>
      </w:r>
    </w:p>
    <w:p w14:paraId="7A2AC0B1" w14:textId="177C70A1" w:rsidR="00481191" w:rsidRPr="00A51A17" w:rsidRDefault="00481191" w:rsidP="00481191">
      <w:pPr>
        <w:spacing w:line="480" w:lineRule="auto"/>
        <w:ind w:left="720" w:hanging="720"/>
        <w:rPr>
          <w:lang w:val="en-US"/>
        </w:rPr>
      </w:pPr>
      <w:r w:rsidRPr="00A51A17">
        <w:rPr>
          <w:lang w:val="en-US"/>
        </w:rPr>
        <w:t>Wathelet, M., Duhem, S., Vaiva, G., Baubet, T., Habran, E., Veerapa, E., ... &amp; D’Hondt, F. (2020). Factors associated with mental health disorders among university students in France confined during the COVID-19 pandemic. </w:t>
      </w:r>
      <w:r w:rsidRPr="00A51A17">
        <w:rPr>
          <w:i/>
          <w:iCs/>
          <w:lang w:val="en-US"/>
        </w:rPr>
        <w:t>JAMA Network Open</w:t>
      </w:r>
      <w:r w:rsidRPr="00A51A17">
        <w:rPr>
          <w:lang w:val="en-US"/>
        </w:rPr>
        <w:t>, </w:t>
      </w:r>
      <w:r w:rsidRPr="00A51A17">
        <w:rPr>
          <w:i/>
          <w:iCs/>
          <w:lang w:val="en-US"/>
        </w:rPr>
        <w:t>3</w:t>
      </w:r>
      <w:r w:rsidRPr="00A51A17">
        <w:rPr>
          <w:lang w:val="en-US"/>
        </w:rPr>
        <w:t xml:space="preserve">(10), e2025591. https://doi.org/10.1001/jamanetworkopen.2020.25591. </w:t>
      </w:r>
    </w:p>
    <w:p w14:paraId="4A1DA403" w14:textId="77777777" w:rsidR="004404E0" w:rsidRPr="00A51A17" w:rsidRDefault="004404E0" w:rsidP="004404E0">
      <w:pPr>
        <w:spacing w:line="480" w:lineRule="auto"/>
        <w:rPr>
          <w:lang w:val="en-US"/>
        </w:rPr>
      </w:pPr>
      <w:r w:rsidRPr="00A51A17">
        <w:rPr>
          <w:lang w:val="en-US"/>
        </w:rPr>
        <w:t>Wheaton, M. G., Abramowitz, J. S., Berman, N.C., Fabricant, L. E., &amp; Olatunji, B. O. (2012).</w:t>
      </w:r>
    </w:p>
    <w:p w14:paraId="2D66238C" w14:textId="18EB9138" w:rsidR="004404E0" w:rsidRPr="00A51A17" w:rsidRDefault="004404E0" w:rsidP="00D23C0B">
      <w:pPr>
        <w:spacing w:line="480" w:lineRule="auto"/>
        <w:ind w:left="720"/>
        <w:rPr>
          <w:lang w:val="en-US"/>
        </w:rPr>
      </w:pPr>
      <w:r w:rsidRPr="00A51A17">
        <w:rPr>
          <w:lang w:val="en-US"/>
        </w:rPr>
        <w:t xml:space="preserve">Psychological predictors of anxiety in response to the H1N1 (swine flu) pandemic. </w:t>
      </w:r>
      <w:r w:rsidRPr="00A51A17">
        <w:rPr>
          <w:i/>
          <w:iCs/>
          <w:lang w:val="en-US"/>
        </w:rPr>
        <w:t>Cognitive Therapy and Research, 36</w:t>
      </w:r>
      <w:r w:rsidRPr="00A51A17">
        <w:rPr>
          <w:lang w:val="en-US"/>
        </w:rPr>
        <w:t>, 210-218. https://doi.org/10.1007/s10608-011-9353-3.</w:t>
      </w:r>
    </w:p>
    <w:p w14:paraId="3F76EC5C" w14:textId="18488D21" w:rsidR="00610DDE" w:rsidRPr="00A51A17" w:rsidRDefault="00610DDE" w:rsidP="00610DDE">
      <w:pPr>
        <w:spacing w:line="480" w:lineRule="auto"/>
        <w:rPr>
          <w:lang w:val="en-US"/>
        </w:rPr>
      </w:pPr>
      <w:r w:rsidRPr="00A51A17">
        <w:rPr>
          <w:lang w:val="en-US"/>
        </w:rPr>
        <w:t>World Health Organization (2020, March 11). WHO Director-General's opening remarks at</w:t>
      </w:r>
    </w:p>
    <w:p w14:paraId="50565632" w14:textId="77777777" w:rsidR="00610DDE" w:rsidRPr="00A51A17" w:rsidRDefault="00610DDE" w:rsidP="00610DDE">
      <w:pPr>
        <w:spacing w:line="480" w:lineRule="auto"/>
        <w:ind w:firstLine="720"/>
        <w:rPr>
          <w:lang w:val="en-US"/>
        </w:rPr>
      </w:pPr>
      <w:r w:rsidRPr="00A51A17">
        <w:rPr>
          <w:lang w:val="en-US"/>
        </w:rPr>
        <w:t>the media briefing on COVID-19-11 March 2020. Retrieved March 11, 2020</w:t>
      </w:r>
    </w:p>
    <w:p w14:paraId="1B358EAA" w14:textId="77777777" w:rsidR="00610DDE" w:rsidRPr="00A51A17" w:rsidRDefault="00610DDE" w:rsidP="00610DDE">
      <w:pPr>
        <w:spacing w:line="480" w:lineRule="auto"/>
        <w:ind w:firstLine="720"/>
        <w:rPr>
          <w:lang w:val="en-US"/>
        </w:rPr>
      </w:pPr>
      <w:r w:rsidRPr="00A51A17">
        <w:rPr>
          <w:lang w:val="en-US"/>
        </w:rPr>
        <w:t>fromhttps://www.who.int/dg/speeches/detail/who-director-general-s-openingremarks-</w:t>
      </w:r>
    </w:p>
    <w:p w14:paraId="2739E780" w14:textId="6C15A94C" w:rsidR="00610DDE" w:rsidRPr="00A51A17" w:rsidRDefault="00610DDE" w:rsidP="00610DDE">
      <w:pPr>
        <w:spacing w:line="480" w:lineRule="auto"/>
        <w:ind w:firstLine="720"/>
        <w:rPr>
          <w:lang w:val="en-US"/>
        </w:rPr>
      </w:pPr>
      <w:r w:rsidRPr="00A51A17">
        <w:rPr>
          <w:lang w:val="en-US"/>
        </w:rPr>
        <w:t>at-the-media-briefing-on-covid-19-11-march-2020.</w:t>
      </w:r>
    </w:p>
    <w:p w14:paraId="399E729F" w14:textId="50599188" w:rsidR="0015341A" w:rsidRPr="00A51A17" w:rsidRDefault="00AD2A60" w:rsidP="00374667">
      <w:pPr>
        <w:spacing w:line="480" w:lineRule="auto"/>
        <w:ind w:left="709" w:hanging="709"/>
        <w:rPr>
          <w:lang w:val="en-US"/>
        </w:rPr>
      </w:pPr>
      <w:r w:rsidRPr="00A51A17">
        <w:rPr>
          <w:lang w:val="en-US"/>
        </w:rPr>
        <w:t>Wright, K. D., Lebell, M. A. N. A., &amp; Carleton, R. N. (2016). Intolerance of uncertainty, anxiety sensitivity, health anxiety, and anxiety disorder symptoms in youth. Journal of Anxiety Disorders, 41, 35–42. https://doi.org/10.1016/j.janxdis.2016.04.011.</w:t>
      </w:r>
    </w:p>
    <w:p w14:paraId="0D687F55" w14:textId="301D9B31" w:rsidR="0015341A" w:rsidRPr="00A51A17" w:rsidRDefault="0015341A" w:rsidP="0015341A">
      <w:pPr>
        <w:spacing w:line="480" w:lineRule="auto"/>
        <w:ind w:left="709" w:hanging="709"/>
        <w:rPr>
          <w:lang w:val="en-US"/>
        </w:rPr>
        <w:sectPr w:rsidR="0015341A" w:rsidRPr="00A51A17" w:rsidSect="00B93D0D">
          <w:footerReference w:type="default" r:id="rId10"/>
          <w:pgSz w:w="11906" w:h="16838"/>
          <w:pgMar w:top="1418" w:right="1134" w:bottom="1134" w:left="1134" w:header="720" w:footer="720" w:gutter="0"/>
          <w:cols w:space="720"/>
          <w:docGrid w:linePitch="360" w:charSpace="36864"/>
        </w:sectPr>
      </w:pPr>
      <w:r w:rsidRPr="00A51A17">
        <w:rPr>
          <w:lang w:val="en-US"/>
        </w:rPr>
        <w:t>Yao, H. (2020). The more exposure to media information about COVID-19, the more distressed you will feel. </w:t>
      </w:r>
      <w:r w:rsidRPr="00A51A17">
        <w:rPr>
          <w:i/>
          <w:iCs/>
          <w:lang w:val="en-US"/>
        </w:rPr>
        <w:t>Brain, Behavior, and Immunity</w:t>
      </w:r>
      <w:r w:rsidRPr="00A51A17">
        <w:rPr>
          <w:lang w:val="en-US"/>
        </w:rPr>
        <w:t>, </w:t>
      </w:r>
      <w:r w:rsidRPr="00A51A17">
        <w:rPr>
          <w:i/>
          <w:iCs/>
          <w:lang w:val="en-US"/>
        </w:rPr>
        <w:t>87</w:t>
      </w:r>
      <w:r w:rsidRPr="00A51A17">
        <w:rPr>
          <w:lang w:val="en-US"/>
        </w:rPr>
        <w:t>, 167-169. https://doi.org/10.1016/j.bbi.2020.05.031</w:t>
      </w:r>
    </w:p>
    <w:p w14:paraId="6D0E9966" w14:textId="2A54A0A0" w:rsidR="00B26C9A" w:rsidRPr="00A51A17" w:rsidRDefault="00B26C9A" w:rsidP="009F60B6">
      <w:pPr>
        <w:spacing w:line="480" w:lineRule="auto"/>
        <w:ind w:left="709" w:hanging="709"/>
        <w:rPr>
          <w:lang w:val="en-US"/>
        </w:rPr>
      </w:pPr>
      <w:r w:rsidRPr="00A51A17">
        <w:rPr>
          <w:lang w:val="en-US"/>
        </w:rPr>
        <w:t>Table 1</w:t>
      </w:r>
      <w:r w:rsidR="00374BA7" w:rsidRPr="00A51A17">
        <w:rPr>
          <w:lang w:val="en-US"/>
        </w:rPr>
        <w:t>.</w:t>
      </w:r>
      <w:r w:rsidRPr="00A51A17">
        <w:rPr>
          <w:lang w:val="en-US"/>
        </w:rPr>
        <w:t xml:space="preserve"> </w:t>
      </w:r>
      <w:r w:rsidR="00DC617D" w:rsidRPr="00A51A17">
        <w:rPr>
          <w:lang w:val="en-US"/>
        </w:rPr>
        <w:t>Ad-hoc q</w:t>
      </w:r>
      <w:r w:rsidR="009F60B6" w:rsidRPr="00A51A17">
        <w:rPr>
          <w:lang w:val="en-US"/>
        </w:rPr>
        <w:t>uestions r</w:t>
      </w:r>
      <w:r w:rsidR="00DC617D" w:rsidRPr="00A51A17">
        <w:rPr>
          <w:lang w:val="en-US"/>
        </w:rPr>
        <w:t xml:space="preserve">elated to the COVID-19 outbreak </w:t>
      </w:r>
      <w:r w:rsidR="009F60B6" w:rsidRPr="00A51A17">
        <w:rPr>
          <w:lang w:val="en-US"/>
        </w:rPr>
        <w:t>(</w:t>
      </w:r>
      <w:r w:rsidR="00DC617D" w:rsidRPr="00A51A17">
        <w:rPr>
          <w:lang w:val="en-US"/>
        </w:rPr>
        <w:t xml:space="preserve">adapted from </w:t>
      </w:r>
      <w:r w:rsidR="009F60B6" w:rsidRPr="00A51A17">
        <w:rPr>
          <w:lang w:val="en-US"/>
        </w:rPr>
        <w:t>Wang et al., 2020)</w:t>
      </w:r>
      <w:r w:rsidR="00DC617D" w:rsidRPr="00A51A17">
        <w:rPr>
          <w:lang w:val="en-US"/>
        </w:rPr>
        <w:t xml:space="preserve">; </w:t>
      </w:r>
      <w:r w:rsidR="002C7D07" w:rsidRPr="00A51A17">
        <w:rPr>
          <w:lang w:val="en-US"/>
        </w:rPr>
        <w:t>Sample 2; N=510</w:t>
      </w:r>
      <w:r w:rsidR="00BD1C63" w:rsidRPr="00A51A17">
        <w:rPr>
          <w:lang w:val="en-US"/>
        </w:rPr>
        <w:t xml:space="preserve"> complete answers</w:t>
      </w:r>
      <w:r w:rsidR="002C7D07" w:rsidRPr="00A51A17">
        <w:rPr>
          <w:lang w:val="en-US"/>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0"/>
        <w:gridCol w:w="1505"/>
      </w:tblGrid>
      <w:tr w:rsidR="00A51A17" w:rsidRPr="00A51A17" w14:paraId="3CC7D1AE" w14:textId="77777777" w:rsidTr="00DC617D">
        <w:tc>
          <w:tcPr>
            <w:tcW w:w="0" w:type="auto"/>
            <w:tcBorders>
              <w:top w:val="single" w:sz="4" w:space="0" w:color="auto"/>
              <w:bottom w:val="single" w:sz="4" w:space="0" w:color="auto"/>
            </w:tcBorders>
            <w:vAlign w:val="center"/>
          </w:tcPr>
          <w:p w14:paraId="518353F6" w14:textId="65F7AB7F" w:rsidR="00F04321" w:rsidRPr="00A51A17" w:rsidRDefault="002C7D07" w:rsidP="009F60B6">
            <w:pPr>
              <w:spacing w:line="480" w:lineRule="auto"/>
              <w:ind w:left="709" w:hanging="709"/>
              <w:rPr>
                <w:rFonts w:ascii="Times New Roman" w:hAnsi="Times New Roman"/>
                <w:b/>
                <w:bCs/>
                <w:lang w:val="en-US"/>
              </w:rPr>
            </w:pPr>
            <w:r w:rsidRPr="00A51A17">
              <w:rPr>
                <w:rFonts w:ascii="Times New Roman" w:hAnsi="Times New Roman"/>
                <w:b/>
                <w:bCs/>
                <w:lang w:val="en-US"/>
              </w:rPr>
              <w:t xml:space="preserve">1. </w:t>
            </w:r>
            <w:r w:rsidR="00F04321" w:rsidRPr="00A51A17">
              <w:rPr>
                <w:rFonts w:ascii="Times New Roman" w:hAnsi="Times New Roman"/>
                <w:b/>
                <w:bCs/>
                <w:lang w:val="en-US"/>
              </w:rPr>
              <w:t>Physical symptoms in the past 14 days</w:t>
            </w:r>
          </w:p>
        </w:tc>
        <w:tc>
          <w:tcPr>
            <w:tcW w:w="0" w:type="auto"/>
            <w:tcBorders>
              <w:top w:val="single" w:sz="4" w:space="0" w:color="auto"/>
              <w:bottom w:val="single" w:sz="4" w:space="0" w:color="auto"/>
            </w:tcBorders>
            <w:vAlign w:val="center"/>
          </w:tcPr>
          <w:p w14:paraId="3638E64D" w14:textId="6BD2D269" w:rsidR="00F04321" w:rsidRPr="00A51A17" w:rsidRDefault="00F04321" w:rsidP="009F60B6">
            <w:pPr>
              <w:spacing w:line="480" w:lineRule="auto"/>
              <w:ind w:left="709" w:hanging="709"/>
              <w:rPr>
                <w:rFonts w:ascii="Times New Roman" w:hAnsi="Times New Roman"/>
                <w:lang w:val="en-US"/>
              </w:rPr>
            </w:pPr>
            <w:r w:rsidRPr="00A51A17">
              <w:rPr>
                <w:rFonts w:ascii="Times New Roman" w:hAnsi="Times New Roman"/>
                <w:lang w:val="en-US"/>
              </w:rPr>
              <w:t>N (%)</w:t>
            </w:r>
          </w:p>
        </w:tc>
      </w:tr>
      <w:tr w:rsidR="00A51A17" w:rsidRPr="00A51A17" w14:paraId="4635DC1A" w14:textId="77777777" w:rsidTr="00DC617D">
        <w:tc>
          <w:tcPr>
            <w:tcW w:w="0" w:type="auto"/>
            <w:tcBorders>
              <w:top w:val="single" w:sz="4" w:space="0" w:color="auto"/>
              <w:bottom w:val="nil"/>
            </w:tcBorders>
          </w:tcPr>
          <w:p w14:paraId="58C3D088" w14:textId="70FE891C" w:rsidR="00F04321" w:rsidRPr="00A51A17" w:rsidRDefault="00F04321" w:rsidP="00F04321">
            <w:pPr>
              <w:spacing w:line="480" w:lineRule="auto"/>
              <w:ind w:left="709" w:hanging="709"/>
              <w:rPr>
                <w:rFonts w:ascii="Times New Roman" w:hAnsi="Times New Roman"/>
                <w:lang w:val="en-US"/>
              </w:rPr>
            </w:pPr>
            <w:r w:rsidRPr="00A51A17">
              <w:rPr>
                <w:rFonts w:ascii="Times New Roman" w:hAnsi="Times New Roman"/>
                <w:lang w:val="en-US"/>
              </w:rPr>
              <w:t xml:space="preserve">Consultation with doctor in the clinic </w:t>
            </w:r>
          </w:p>
        </w:tc>
        <w:tc>
          <w:tcPr>
            <w:tcW w:w="0" w:type="auto"/>
            <w:tcBorders>
              <w:top w:val="single" w:sz="4" w:space="0" w:color="auto"/>
              <w:bottom w:val="nil"/>
            </w:tcBorders>
            <w:vAlign w:val="center"/>
          </w:tcPr>
          <w:p w14:paraId="6B23E6D1" w14:textId="11DEF484" w:rsidR="00F04321" w:rsidRPr="00A51A17" w:rsidRDefault="00F04321" w:rsidP="009F60B6">
            <w:pPr>
              <w:spacing w:line="480" w:lineRule="auto"/>
              <w:ind w:left="709" w:hanging="709"/>
              <w:rPr>
                <w:rFonts w:ascii="Times New Roman" w:hAnsi="Times New Roman"/>
                <w:lang w:val="en-US"/>
              </w:rPr>
            </w:pPr>
            <w:r w:rsidRPr="00A51A17">
              <w:rPr>
                <w:rFonts w:ascii="Times New Roman" w:hAnsi="Times New Roman"/>
                <w:lang w:val="en-US"/>
              </w:rPr>
              <w:t>25 (4.9)</w:t>
            </w:r>
          </w:p>
        </w:tc>
      </w:tr>
      <w:tr w:rsidR="00A51A17" w:rsidRPr="00A51A17" w14:paraId="71044A3C" w14:textId="77777777" w:rsidTr="00DC617D">
        <w:tc>
          <w:tcPr>
            <w:tcW w:w="0" w:type="auto"/>
            <w:tcBorders>
              <w:top w:val="nil"/>
            </w:tcBorders>
          </w:tcPr>
          <w:p w14:paraId="1B49B674" w14:textId="19B71680" w:rsidR="00F04321" w:rsidRPr="00A51A17" w:rsidRDefault="002C7D07" w:rsidP="002C7D07">
            <w:pPr>
              <w:spacing w:line="480" w:lineRule="auto"/>
              <w:ind w:left="709" w:hanging="709"/>
              <w:rPr>
                <w:rFonts w:ascii="Times New Roman" w:hAnsi="Times New Roman"/>
                <w:lang w:val="en-US"/>
              </w:rPr>
            </w:pPr>
            <w:r w:rsidRPr="00A51A17">
              <w:rPr>
                <w:rFonts w:ascii="Times New Roman" w:hAnsi="Times New Roman"/>
                <w:lang w:val="en-US"/>
              </w:rPr>
              <w:t xml:space="preserve">Visiting ER because of one or more flu-like </w:t>
            </w:r>
            <w:r w:rsidR="00786345" w:rsidRPr="00A51A17">
              <w:rPr>
                <w:rFonts w:ascii="Times New Roman" w:hAnsi="Times New Roman"/>
                <w:lang w:val="en-US"/>
              </w:rPr>
              <w:t>symptoms</w:t>
            </w:r>
            <w:r w:rsidRPr="00A51A17">
              <w:rPr>
                <w:rFonts w:ascii="Times New Roman" w:hAnsi="Times New Roman"/>
                <w:lang w:val="en-US"/>
              </w:rPr>
              <w:t xml:space="preserve"> </w:t>
            </w:r>
          </w:p>
        </w:tc>
        <w:tc>
          <w:tcPr>
            <w:tcW w:w="0" w:type="auto"/>
            <w:tcBorders>
              <w:top w:val="nil"/>
            </w:tcBorders>
            <w:vAlign w:val="center"/>
          </w:tcPr>
          <w:p w14:paraId="75E92DEB" w14:textId="7993ABA4" w:rsidR="00F04321" w:rsidRPr="00A51A17" w:rsidRDefault="00F04321" w:rsidP="009F60B6">
            <w:pPr>
              <w:spacing w:line="480" w:lineRule="auto"/>
              <w:ind w:left="709" w:hanging="709"/>
              <w:rPr>
                <w:rFonts w:ascii="Times New Roman" w:hAnsi="Times New Roman"/>
                <w:lang w:val="en-US"/>
              </w:rPr>
            </w:pPr>
            <w:r w:rsidRPr="00A51A17">
              <w:rPr>
                <w:rFonts w:ascii="Times New Roman" w:hAnsi="Times New Roman"/>
                <w:lang w:val="en-US"/>
              </w:rPr>
              <w:t>1 (0.2)</w:t>
            </w:r>
          </w:p>
        </w:tc>
      </w:tr>
      <w:tr w:rsidR="00A51A17" w:rsidRPr="00A51A17" w14:paraId="587666EF" w14:textId="77777777" w:rsidTr="00DC617D">
        <w:tc>
          <w:tcPr>
            <w:tcW w:w="0" w:type="auto"/>
          </w:tcPr>
          <w:p w14:paraId="4CA0DE46" w14:textId="658599CA" w:rsidR="00F04321" w:rsidRPr="00A51A17" w:rsidRDefault="002C7D07" w:rsidP="009F60B6">
            <w:pPr>
              <w:spacing w:line="480" w:lineRule="auto"/>
              <w:ind w:left="709" w:hanging="709"/>
              <w:rPr>
                <w:rFonts w:ascii="Times New Roman" w:hAnsi="Times New Roman"/>
              </w:rPr>
            </w:pPr>
            <w:r w:rsidRPr="00A51A17">
              <w:rPr>
                <w:rFonts w:ascii="Times New Roman" w:hAnsi="Times New Roman"/>
                <w:lang w:val="en-US"/>
              </w:rPr>
              <w:t>Quara</w:t>
            </w:r>
            <w:r w:rsidR="00786345" w:rsidRPr="00A51A17">
              <w:rPr>
                <w:rFonts w:ascii="Times New Roman" w:hAnsi="Times New Roman"/>
                <w:lang w:val="en-US"/>
              </w:rPr>
              <w:t>n</w:t>
            </w:r>
            <w:r w:rsidRPr="00A51A17">
              <w:rPr>
                <w:rFonts w:ascii="Times New Roman" w:hAnsi="Times New Roman"/>
                <w:lang w:val="en-US"/>
              </w:rPr>
              <w:t>t</w:t>
            </w:r>
            <w:r w:rsidRPr="00A51A17">
              <w:rPr>
                <w:rFonts w:ascii="Times New Roman" w:hAnsi="Times New Roman"/>
              </w:rPr>
              <w:t>ine</w:t>
            </w:r>
          </w:p>
        </w:tc>
        <w:tc>
          <w:tcPr>
            <w:tcW w:w="0" w:type="auto"/>
            <w:vAlign w:val="center"/>
          </w:tcPr>
          <w:p w14:paraId="527C14A5" w14:textId="35C8BA27" w:rsidR="00F04321" w:rsidRPr="00A51A17" w:rsidRDefault="002C7D07" w:rsidP="009F60B6">
            <w:pPr>
              <w:spacing w:line="480" w:lineRule="auto"/>
              <w:ind w:left="709" w:hanging="709"/>
              <w:rPr>
                <w:rFonts w:ascii="Times New Roman" w:hAnsi="Times New Roman"/>
              </w:rPr>
            </w:pPr>
            <w:r w:rsidRPr="00A51A17">
              <w:rPr>
                <w:rFonts w:ascii="Times New Roman" w:hAnsi="Times New Roman"/>
              </w:rPr>
              <w:t>209 (41.1)</w:t>
            </w:r>
          </w:p>
        </w:tc>
      </w:tr>
      <w:tr w:rsidR="00A51A17" w:rsidRPr="00A51A17" w14:paraId="0D265461" w14:textId="77777777" w:rsidTr="00DC617D">
        <w:tc>
          <w:tcPr>
            <w:tcW w:w="0" w:type="auto"/>
            <w:tcBorders>
              <w:bottom w:val="nil"/>
            </w:tcBorders>
          </w:tcPr>
          <w:p w14:paraId="5157D549" w14:textId="6998E437" w:rsidR="00F04321" w:rsidRPr="00A51A17" w:rsidRDefault="002C7D07" w:rsidP="002C7D07">
            <w:pPr>
              <w:spacing w:line="480" w:lineRule="auto"/>
              <w:ind w:left="709" w:hanging="709"/>
              <w:rPr>
                <w:rFonts w:ascii="Times New Roman" w:hAnsi="Times New Roman"/>
              </w:rPr>
            </w:pPr>
            <w:r w:rsidRPr="00A51A17">
              <w:rPr>
                <w:rFonts w:ascii="Times New Roman" w:hAnsi="Times New Roman"/>
              </w:rPr>
              <w:t>Testing for COVID-19 (swab)</w:t>
            </w:r>
          </w:p>
        </w:tc>
        <w:tc>
          <w:tcPr>
            <w:tcW w:w="0" w:type="auto"/>
            <w:tcBorders>
              <w:bottom w:val="nil"/>
            </w:tcBorders>
            <w:vAlign w:val="center"/>
          </w:tcPr>
          <w:p w14:paraId="319E3207" w14:textId="29780380" w:rsidR="00F04321" w:rsidRPr="00A51A17" w:rsidRDefault="002C7D07" w:rsidP="009F60B6">
            <w:pPr>
              <w:spacing w:line="480" w:lineRule="auto"/>
              <w:ind w:left="709" w:hanging="709"/>
              <w:rPr>
                <w:rFonts w:ascii="Times New Roman" w:hAnsi="Times New Roman"/>
              </w:rPr>
            </w:pPr>
            <w:r w:rsidRPr="00A51A17">
              <w:rPr>
                <w:rFonts w:ascii="Times New Roman" w:hAnsi="Times New Roman"/>
              </w:rPr>
              <w:t>5 (1%)</w:t>
            </w:r>
          </w:p>
        </w:tc>
      </w:tr>
      <w:tr w:rsidR="00A51A17" w:rsidRPr="00A51A17" w14:paraId="2882D1FA" w14:textId="77777777" w:rsidTr="00DC617D">
        <w:tc>
          <w:tcPr>
            <w:tcW w:w="0" w:type="auto"/>
            <w:tcBorders>
              <w:top w:val="nil"/>
              <w:bottom w:val="single" w:sz="4" w:space="0" w:color="auto"/>
            </w:tcBorders>
          </w:tcPr>
          <w:p w14:paraId="127FD672" w14:textId="0BFDE876" w:rsidR="00F04321" w:rsidRPr="00A51A17" w:rsidRDefault="002C7D07" w:rsidP="009F60B6">
            <w:pPr>
              <w:spacing w:line="480" w:lineRule="auto"/>
              <w:ind w:left="709" w:hanging="709"/>
              <w:rPr>
                <w:rFonts w:ascii="Times New Roman" w:hAnsi="Times New Roman"/>
              </w:rPr>
            </w:pPr>
            <w:r w:rsidRPr="00A51A17">
              <w:rPr>
                <w:rFonts w:ascii="Times New Roman" w:hAnsi="Times New Roman"/>
              </w:rPr>
              <w:t>Di</w:t>
            </w:r>
            <w:r w:rsidR="00786345" w:rsidRPr="00A51A17">
              <w:rPr>
                <w:rFonts w:ascii="Times New Roman" w:hAnsi="Times New Roman"/>
              </w:rPr>
              <w:t>a</w:t>
            </w:r>
            <w:r w:rsidRPr="00A51A17">
              <w:rPr>
                <w:rFonts w:ascii="Times New Roman" w:hAnsi="Times New Roman"/>
              </w:rPr>
              <w:t>gnosis of coronavirus</w:t>
            </w:r>
          </w:p>
        </w:tc>
        <w:tc>
          <w:tcPr>
            <w:tcW w:w="0" w:type="auto"/>
            <w:tcBorders>
              <w:top w:val="nil"/>
              <w:bottom w:val="single" w:sz="4" w:space="0" w:color="auto"/>
            </w:tcBorders>
            <w:vAlign w:val="center"/>
          </w:tcPr>
          <w:p w14:paraId="4D5298A6" w14:textId="7C2B0017" w:rsidR="00F04321" w:rsidRPr="00A51A17" w:rsidRDefault="002C7D07" w:rsidP="009F60B6">
            <w:pPr>
              <w:spacing w:line="480" w:lineRule="auto"/>
              <w:ind w:left="709" w:hanging="709"/>
              <w:rPr>
                <w:rFonts w:ascii="Times New Roman" w:hAnsi="Times New Roman"/>
              </w:rPr>
            </w:pPr>
            <w:r w:rsidRPr="00A51A17">
              <w:rPr>
                <w:rFonts w:ascii="Times New Roman" w:hAnsi="Times New Roman"/>
              </w:rPr>
              <w:t>1 (0.3)</w:t>
            </w:r>
          </w:p>
        </w:tc>
      </w:tr>
      <w:tr w:rsidR="00A51A17" w:rsidRPr="004E7373" w14:paraId="5E9FE599" w14:textId="77777777" w:rsidTr="00DC617D">
        <w:tc>
          <w:tcPr>
            <w:tcW w:w="0" w:type="auto"/>
            <w:tcBorders>
              <w:top w:val="single" w:sz="4" w:space="0" w:color="auto"/>
              <w:bottom w:val="single" w:sz="4" w:space="0" w:color="auto"/>
            </w:tcBorders>
          </w:tcPr>
          <w:p w14:paraId="4D5B4FAF" w14:textId="697B20AB" w:rsidR="002C7D07" w:rsidRPr="00A51A17" w:rsidRDefault="002C7D07" w:rsidP="009F60B6">
            <w:pPr>
              <w:spacing w:line="480" w:lineRule="auto"/>
              <w:ind w:left="709" w:hanging="709"/>
              <w:rPr>
                <w:rFonts w:ascii="Times New Roman" w:hAnsi="Times New Roman"/>
                <w:b/>
                <w:lang w:val="en-US"/>
              </w:rPr>
            </w:pPr>
            <w:r w:rsidRPr="00A51A17">
              <w:rPr>
                <w:rFonts w:ascii="Times New Roman" w:hAnsi="Times New Roman"/>
                <w:b/>
                <w:lang w:val="en-US"/>
              </w:rPr>
              <w:t>2. Contact history with COVID-19 in the past 14 days</w:t>
            </w:r>
          </w:p>
        </w:tc>
        <w:tc>
          <w:tcPr>
            <w:tcW w:w="0" w:type="auto"/>
            <w:tcBorders>
              <w:top w:val="single" w:sz="4" w:space="0" w:color="auto"/>
              <w:bottom w:val="single" w:sz="4" w:space="0" w:color="auto"/>
            </w:tcBorders>
            <w:vAlign w:val="center"/>
          </w:tcPr>
          <w:p w14:paraId="430CD6F9" w14:textId="5DEC0F18" w:rsidR="002C7D07" w:rsidRPr="00A51A17" w:rsidRDefault="002C7D07" w:rsidP="009F60B6">
            <w:pPr>
              <w:spacing w:line="480" w:lineRule="auto"/>
              <w:ind w:left="709" w:hanging="709"/>
              <w:rPr>
                <w:rFonts w:ascii="Times New Roman" w:hAnsi="Times New Roman"/>
                <w:lang w:val="en-US"/>
              </w:rPr>
            </w:pPr>
          </w:p>
        </w:tc>
      </w:tr>
      <w:tr w:rsidR="00A51A17" w:rsidRPr="00A51A17" w14:paraId="1DD801E0" w14:textId="77777777" w:rsidTr="00DC617D">
        <w:tc>
          <w:tcPr>
            <w:tcW w:w="0" w:type="auto"/>
            <w:tcBorders>
              <w:top w:val="single" w:sz="4" w:space="0" w:color="auto"/>
              <w:bottom w:val="nil"/>
            </w:tcBorders>
          </w:tcPr>
          <w:p w14:paraId="777E1640" w14:textId="628EA24F" w:rsidR="002C7D07" w:rsidRPr="00A51A17" w:rsidRDefault="002C7D07" w:rsidP="002C7D07">
            <w:pPr>
              <w:spacing w:line="480" w:lineRule="auto"/>
              <w:ind w:left="709" w:hanging="709"/>
              <w:rPr>
                <w:rFonts w:ascii="Times New Roman" w:hAnsi="Times New Roman"/>
                <w:b/>
                <w:lang w:val="en-US"/>
              </w:rPr>
            </w:pPr>
            <w:r w:rsidRPr="00A51A17">
              <w:rPr>
                <w:rFonts w:ascii="Times New Roman" w:hAnsi="Times New Roman"/>
                <w:lang w:val="en-US"/>
              </w:rPr>
              <w:t>Probability of close contact with an individual with confirmed infection with COVID-19 (</w:t>
            </w:r>
            <w:r w:rsidR="00AF451A" w:rsidRPr="00A51A17">
              <w:rPr>
                <w:rFonts w:ascii="Times New Roman" w:hAnsi="Times New Roman"/>
                <w:lang w:val="en-US"/>
              </w:rPr>
              <w:t>from “likely” to “very much likely”)</w:t>
            </w:r>
          </w:p>
        </w:tc>
        <w:tc>
          <w:tcPr>
            <w:tcW w:w="0" w:type="auto"/>
            <w:tcBorders>
              <w:top w:val="single" w:sz="4" w:space="0" w:color="auto"/>
              <w:bottom w:val="nil"/>
            </w:tcBorders>
            <w:vAlign w:val="center"/>
          </w:tcPr>
          <w:p w14:paraId="3B288DE3" w14:textId="3A60483F" w:rsidR="002C7D07" w:rsidRPr="00A51A17" w:rsidRDefault="00AF451A" w:rsidP="009F60B6">
            <w:pPr>
              <w:spacing w:line="480" w:lineRule="auto"/>
              <w:ind w:left="709" w:hanging="709"/>
              <w:rPr>
                <w:rFonts w:ascii="Times New Roman" w:hAnsi="Times New Roman"/>
                <w:lang w:val="en-US"/>
              </w:rPr>
            </w:pPr>
            <w:r w:rsidRPr="00A51A17">
              <w:rPr>
                <w:rFonts w:ascii="Times New Roman" w:hAnsi="Times New Roman"/>
                <w:lang w:val="en-US"/>
              </w:rPr>
              <w:t>48 (9.5)</w:t>
            </w:r>
          </w:p>
        </w:tc>
      </w:tr>
      <w:tr w:rsidR="00A51A17" w:rsidRPr="00A51A17" w14:paraId="75BE5B43" w14:textId="77777777" w:rsidTr="00DC617D">
        <w:tc>
          <w:tcPr>
            <w:tcW w:w="0" w:type="auto"/>
            <w:tcBorders>
              <w:top w:val="nil"/>
              <w:bottom w:val="nil"/>
            </w:tcBorders>
          </w:tcPr>
          <w:p w14:paraId="6BA30622" w14:textId="6BFD7297" w:rsidR="002C7D07" w:rsidRPr="00A51A17" w:rsidRDefault="00AF451A" w:rsidP="00AF451A">
            <w:pPr>
              <w:spacing w:line="480" w:lineRule="auto"/>
              <w:ind w:left="709" w:hanging="709"/>
              <w:rPr>
                <w:rFonts w:ascii="Times New Roman" w:hAnsi="Times New Roman"/>
                <w:b/>
                <w:lang w:val="en-US"/>
              </w:rPr>
            </w:pPr>
            <w:r w:rsidRPr="00A51A17">
              <w:rPr>
                <w:rFonts w:ascii="Times New Roman" w:hAnsi="Times New Roman"/>
                <w:lang w:val="en-US"/>
              </w:rPr>
              <w:t>Probability of indirect contact with an individual with confirmed infection with COVID-19 (from “likely” to “very much likely”)</w:t>
            </w:r>
          </w:p>
        </w:tc>
        <w:tc>
          <w:tcPr>
            <w:tcW w:w="0" w:type="auto"/>
            <w:tcBorders>
              <w:top w:val="nil"/>
              <w:bottom w:val="nil"/>
            </w:tcBorders>
            <w:vAlign w:val="center"/>
          </w:tcPr>
          <w:p w14:paraId="682F32D7" w14:textId="64CA5D07" w:rsidR="002C7D07" w:rsidRPr="00A51A17" w:rsidRDefault="00AF451A" w:rsidP="009F60B6">
            <w:pPr>
              <w:spacing w:line="480" w:lineRule="auto"/>
              <w:ind w:left="709" w:hanging="709"/>
              <w:rPr>
                <w:rFonts w:ascii="Times New Roman" w:hAnsi="Times New Roman"/>
                <w:lang w:val="en-US"/>
              </w:rPr>
            </w:pPr>
            <w:r w:rsidRPr="00A51A17">
              <w:rPr>
                <w:rFonts w:ascii="Times New Roman" w:hAnsi="Times New Roman"/>
                <w:lang w:val="en-US"/>
              </w:rPr>
              <w:t>91 (17.8)</w:t>
            </w:r>
          </w:p>
        </w:tc>
      </w:tr>
      <w:tr w:rsidR="00A51A17" w:rsidRPr="00A51A17" w14:paraId="79F46AEF" w14:textId="77777777" w:rsidTr="00DC617D">
        <w:tc>
          <w:tcPr>
            <w:tcW w:w="0" w:type="auto"/>
            <w:tcBorders>
              <w:top w:val="nil"/>
              <w:bottom w:val="single" w:sz="4" w:space="0" w:color="auto"/>
            </w:tcBorders>
          </w:tcPr>
          <w:p w14:paraId="64CA6C15" w14:textId="25C3360D" w:rsidR="002C7D07" w:rsidRPr="00A51A17" w:rsidRDefault="00AF451A" w:rsidP="009F60B6">
            <w:pPr>
              <w:spacing w:line="480" w:lineRule="auto"/>
              <w:ind w:left="709" w:hanging="709"/>
              <w:rPr>
                <w:rFonts w:ascii="Times New Roman" w:hAnsi="Times New Roman"/>
                <w:lang w:val="en-US"/>
              </w:rPr>
            </w:pPr>
            <w:r w:rsidRPr="00A51A17">
              <w:rPr>
                <w:rFonts w:ascii="Times New Roman" w:hAnsi="Times New Roman"/>
                <w:lang w:val="en-US"/>
              </w:rPr>
              <w:t>Respecting precautionary measures</w:t>
            </w:r>
          </w:p>
        </w:tc>
        <w:tc>
          <w:tcPr>
            <w:tcW w:w="0" w:type="auto"/>
            <w:tcBorders>
              <w:top w:val="nil"/>
              <w:bottom w:val="single" w:sz="4" w:space="0" w:color="auto"/>
            </w:tcBorders>
            <w:vAlign w:val="center"/>
          </w:tcPr>
          <w:p w14:paraId="44A14582" w14:textId="2E08495A" w:rsidR="002C7D07" w:rsidRPr="00A51A17" w:rsidRDefault="00AF451A" w:rsidP="009F60B6">
            <w:pPr>
              <w:spacing w:line="480" w:lineRule="auto"/>
              <w:ind w:left="709" w:hanging="709"/>
              <w:rPr>
                <w:rFonts w:ascii="Times New Roman" w:hAnsi="Times New Roman"/>
                <w:lang w:val="en-US"/>
              </w:rPr>
            </w:pPr>
            <w:r w:rsidRPr="00A51A17">
              <w:rPr>
                <w:rFonts w:ascii="Times New Roman" w:hAnsi="Times New Roman"/>
                <w:lang w:val="en-US"/>
              </w:rPr>
              <w:t>505 (99)</w:t>
            </w:r>
          </w:p>
        </w:tc>
      </w:tr>
      <w:tr w:rsidR="00A51A17" w:rsidRPr="00A51A17" w14:paraId="55BC1453" w14:textId="77777777" w:rsidTr="00DC617D">
        <w:tc>
          <w:tcPr>
            <w:tcW w:w="0" w:type="auto"/>
            <w:tcBorders>
              <w:top w:val="single" w:sz="4" w:space="0" w:color="auto"/>
              <w:bottom w:val="single" w:sz="4" w:space="0" w:color="auto"/>
            </w:tcBorders>
          </w:tcPr>
          <w:p w14:paraId="5315F5D4" w14:textId="6CE93D30" w:rsidR="00336127" w:rsidRPr="00A51A17" w:rsidRDefault="00336127" w:rsidP="00336127">
            <w:pPr>
              <w:spacing w:line="480" w:lineRule="auto"/>
              <w:ind w:left="709" w:hanging="709"/>
              <w:rPr>
                <w:rFonts w:ascii="Times New Roman" w:hAnsi="Times New Roman"/>
                <w:b/>
                <w:lang w:val="en-US"/>
              </w:rPr>
            </w:pPr>
            <w:r w:rsidRPr="00A51A17">
              <w:rPr>
                <w:rFonts w:ascii="Times New Roman" w:hAnsi="Times New Roman"/>
                <w:b/>
                <w:lang w:val="en-US"/>
              </w:rPr>
              <w:t>3. Concerns about COVID-19</w:t>
            </w:r>
          </w:p>
        </w:tc>
        <w:tc>
          <w:tcPr>
            <w:tcW w:w="0" w:type="auto"/>
            <w:tcBorders>
              <w:top w:val="single" w:sz="4" w:space="0" w:color="auto"/>
              <w:bottom w:val="single" w:sz="4" w:space="0" w:color="auto"/>
            </w:tcBorders>
            <w:vAlign w:val="center"/>
          </w:tcPr>
          <w:p w14:paraId="0C8497B1" w14:textId="440BF4B2" w:rsidR="00336127" w:rsidRPr="00A51A17" w:rsidRDefault="00336127" w:rsidP="009F60B6">
            <w:pPr>
              <w:spacing w:line="480" w:lineRule="auto"/>
              <w:ind w:left="709" w:hanging="709"/>
              <w:rPr>
                <w:rFonts w:ascii="Times New Roman" w:hAnsi="Times New Roman"/>
                <w:lang w:val="en-US"/>
              </w:rPr>
            </w:pPr>
          </w:p>
        </w:tc>
      </w:tr>
      <w:tr w:rsidR="00A51A17" w:rsidRPr="00A51A17" w14:paraId="55644754" w14:textId="77777777" w:rsidTr="00DC617D">
        <w:tc>
          <w:tcPr>
            <w:tcW w:w="0" w:type="auto"/>
            <w:tcBorders>
              <w:top w:val="single" w:sz="4" w:space="0" w:color="auto"/>
              <w:bottom w:val="nil"/>
            </w:tcBorders>
          </w:tcPr>
          <w:p w14:paraId="6A16BEFB" w14:textId="53451276" w:rsidR="002C7D07" w:rsidRPr="00A51A17" w:rsidRDefault="00336127" w:rsidP="00AF451A">
            <w:pPr>
              <w:spacing w:line="480" w:lineRule="auto"/>
              <w:ind w:left="709" w:hanging="709"/>
              <w:rPr>
                <w:rFonts w:ascii="Times New Roman" w:hAnsi="Times New Roman"/>
                <w:b/>
                <w:lang w:val="en-US"/>
              </w:rPr>
            </w:pPr>
            <w:r w:rsidRPr="00A51A17">
              <w:rPr>
                <w:rFonts w:ascii="Times New Roman" w:hAnsi="Times New Roman"/>
                <w:lang w:val="en-US"/>
              </w:rPr>
              <w:t xml:space="preserve">Concern </w:t>
            </w:r>
            <w:r w:rsidR="00AF451A" w:rsidRPr="00A51A17">
              <w:rPr>
                <w:rFonts w:ascii="Times New Roman" w:hAnsi="Times New Roman"/>
                <w:lang w:val="en-US"/>
              </w:rPr>
              <w:t>about one</w:t>
            </w:r>
            <w:r w:rsidRPr="00A51A17">
              <w:rPr>
                <w:rFonts w:ascii="Times New Roman" w:hAnsi="Times New Roman"/>
                <w:lang w:val="en-US"/>
              </w:rPr>
              <w:t>’s</w:t>
            </w:r>
            <w:r w:rsidR="00AF451A" w:rsidRPr="00A51A17">
              <w:rPr>
                <w:rFonts w:ascii="Times New Roman" w:hAnsi="Times New Roman"/>
                <w:lang w:val="en-US"/>
              </w:rPr>
              <w:t xml:space="preserve"> own health more than usual</w:t>
            </w:r>
            <w:r w:rsidR="00AF451A" w:rsidRPr="00A51A17">
              <w:rPr>
                <w:rFonts w:ascii="Times New Roman" w:hAnsi="Times New Roman"/>
                <w:b/>
                <w:lang w:val="en-US"/>
              </w:rPr>
              <w:t xml:space="preserve"> </w:t>
            </w:r>
            <w:r w:rsidR="00AF451A" w:rsidRPr="00A51A17">
              <w:rPr>
                <w:rFonts w:ascii="Times New Roman" w:hAnsi="Times New Roman"/>
                <w:lang w:val="en-US"/>
              </w:rPr>
              <w:t>(from “moderately” to “extremely”)</w:t>
            </w:r>
          </w:p>
        </w:tc>
        <w:tc>
          <w:tcPr>
            <w:tcW w:w="0" w:type="auto"/>
            <w:tcBorders>
              <w:top w:val="single" w:sz="4" w:space="0" w:color="auto"/>
              <w:bottom w:val="nil"/>
            </w:tcBorders>
            <w:vAlign w:val="center"/>
          </w:tcPr>
          <w:p w14:paraId="05A99275" w14:textId="11BEAC05" w:rsidR="002C7D07" w:rsidRPr="00A51A17" w:rsidRDefault="00336127" w:rsidP="009F60B6">
            <w:pPr>
              <w:spacing w:line="480" w:lineRule="auto"/>
              <w:ind w:left="709" w:hanging="709"/>
              <w:rPr>
                <w:rFonts w:ascii="Times New Roman" w:hAnsi="Times New Roman"/>
                <w:lang w:val="en-US"/>
              </w:rPr>
            </w:pPr>
            <w:r w:rsidRPr="00A51A17">
              <w:rPr>
                <w:rFonts w:ascii="Times New Roman" w:hAnsi="Times New Roman"/>
                <w:lang w:val="en-US"/>
              </w:rPr>
              <w:t>252 (49.4)</w:t>
            </w:r>
          </w:p>
        </w:tc>
      </w:tr>
      <w:tr w:rsidR="00A51A17" w:rsidRPr="00A51A17" w14:paraId="74D23EFC" w14:textId="77777777" w:rsidTr="00DC617D">
        <w:tc>
          <w:tcPr>
            <w:tcW w:w="0" w:type="auto"/>
            <w:tcBorders>
              <w:top w:val="nil"/>
              <w:bottom w:val="nil"/>
            </w:tcBorders>
          </w:tcPr>
          <w:p w14:paraId="050D5529" w14:textId="155B2B1A" w:rsidR="002C7D07" w:rsidRPr="00A51A17" w:rsidRDefault="00336127" w:rsidP="00336127">
            <w:pPr>
              <w:spacing w:line="480" w:lineRule="auto"/>
              <w:ind w:left="709" w:hanging="709"/>
              <w:rPr>
                <w:rFonts w:ascii="Times New Roman" w:hAnsi="Times New Roman"/>
                <w:b/>
                <w:lang w:val="en-US"/>
              </w:rPr>
            </w:pPr>
            <w:r w:rsidRPr="00A51A17">
              <w:rPr>
                <w:rFonts w:ascii="Times New Roman" w:hAnsi="Times New Roman"/>
                <w:lang w:val="en-US"/>
              </w:rPr>
              <w:t>Concern about important others’ health more than usual</w:t>
            </w:r>
            <w:r w:rsidRPr="00A51A17">
              <w:rPr>
                <w:rFonts w:ascii="Times New Roman" w:hAnsi="Times New Roman"/>
                <w:b/>
                <w:lang w:val="en-US"/>
              </w:rPr>
              <w:t xml:space="preserve"> </w:t>
            </w:r>
            <w:r w:rsidRPr="00A51A17">
              <w:rPr>
                <w:rFonts w:ascii="Times New Roman" w:hAnsi="Times New Roman"/>
                <w:lang w:val="en-US"/>
              </w:rPr>
              <w:t>(from “moderately” to “extremely”)</w:t>
            </w:r>
          </w:p>
        </w:tc>
        <w:tc>
          <w:tcPr>
            <w:tcW w:w="0" w:type="auto"/>
            <w:tcBorders>
              <w:top w:val="nil"/>
              <w:bottom w:val="nil"/>
            </w:tcBorders>
            <w:vAlign w:val="center"/>
          </w:tcPr>
          <w:p w14:paraId="6B88A942" w14:textId="5AD9E57A" w:rsidR="002C7D07" w:rsidRPr="00A51A17" w:rsidRDefault="00336127" w:rsidP="009F60B6">
            <w:pPr>
              <w:spacing w:line="480" w:lineRule="auto"/>
              <w:ind w:left="709" w:hanging="709"/>
              <w:rPr>
                <w:rFonts w:ascii="Times New Roman" w:hAnsi="Times New Roman"/>
                <w:lang w:val="en-US"/>
              </w:rPr>
            </w:pPr>
            <w:r w:rsidRPr="00A51A17">
              <w:rPr>
                <w:rFonts w:ascii="Times New Roman" w:hAnsi="Times New Roman"/>
                <w:lang w:val="en-US"/>
              </w:rPr>
              <w:t>400 (78.5)</w:t>
            </w:r>
          </w:p>
        </w:tc>
      </w:tr>
      <w:tr w:rsidR="00A51A17" w:rsidRPr="00A51A17" w14:paraId="37E10256" w14:textId="77777777" w:rsidTr="00DC617D">
        <w:tc>
          <w:tcPr>
            <w:tcW w:w="0" w:type="auto"/>
            <w:tcBorders>
              <w:top w:val="nil"/>
              <w:bottom w:val="single" w:sz="4" w:space="0" w:color="auto"/>
            </w:tcBorders>
          </w:tcPr>
          <w:p w14:paraId="2E19A297" w14:textId="5D1170AA" w:rsidR="00336127" w:rsidRPr="00A51A17" w:rsidRDefault="00336127" w:rsidP="00336127">
            <w:pPr>
              <w:spacing w:line="480" w:lineRule="auto"/>
              <w:ind w:left="709" w:hanging="709"/>
              <w:rPr>
                <w:rFonts w:ascii="Times New Roman" w:hAnsi="Times New Roman"/>
                <w:lang w:val="en-US"/>
              </w:rPr>
            </w:pPr>
            <w:r w:rsidRPr="00A51A17">
              <w:rPr>
                <w:rFonts w:ascii="Times New Roman" w:hAnsi="Times New Roman"/>
                <w:lang w:val="en-US"/>
              </w:rPr>
              <w:t>Frequency of online searching for COVID-19 related information and news (“often” and “most of the time”)</w:t>
            </w:r>
          </w:p>
        </w:tc>
        <w:tc>
          <w:tcPr>
            <w:tcW w:w="0" w:type="auto"/>
            <w:tcBorders>
              <w:top w:val="nil"/>
              <w:bottom w:val="single" w:sz="4" w:space="0" w:color="auto"/>
            </w:tcBorders>
            <w:vAlign w:val="center"/>
          </w:tcPr>
          <w:p w14:paraId="287F54B2" w14:textId="2E57CD00" w:rsidR="00336127" w:rsidRPr="00A51A17" w:rsidRDefault="00336127" w:rsidP="009F60B6">
            <w:pPr>
              <w:spacing w:line="480" w:lineRule="auto"/>
              <w:ind w:left="709" w:hanging="709"/>
              <w:rPr>
                <w:rFonts w:ascii="Times New Roman" w:hAnsi="Times New Roman"/>
                <w:lang w:val="en-US"/>
              </w:rPr>
            </w:pPr>
            <w:r w:rsidRPr="00A51A17">
              <w:rPr>
                <w:rFonts w:ascii="Times New Roman" w:hAnsi="Times New Roman"/>
                <w:lang w:val="en-US"/>
              </w:rPr>
              <w:t>259 (50.8)</w:t>
            </w:r>
          </w:p>
        </w:tc>
      </w:tr>
      <w:tr w:rsidR="00A51A17" w:rsidRPr="004E7373" w14:paraId="27A42714" w14:textId="77777777" w:rsidTr="00DC617D">
        <w:tc>
          <w:tcPr>
            <w:tcW w:w="0" w:type="auto"/>
            <w:tcBorders>
              <w:top w:val="single" w:sz="4" w:space="0" w:color="auto"/>
              <w:bottom w:val="single" w:sz="4" w:space="0" w:color="auto"/>
            </w:tcBorders>
          </w:tcPr>
          <w:p w14:paraId="59BA5F97" w14:textId="12728F5C" w:rsidR="00336127" w:rsidRPr="00A51A17" w:rsidRDefault="00336127" w:rsidP="00336127">
            <w:pPr>
              <w:spacing w:line="480" w:lineRule="auto"/>
              <w:ind w:left="709" w:hanging="709"/>
              <w:rPr>
                <w:rFonts w:ascii="Times New Roman" w:hAnsi="Times New Roman"/>
                <w:b/>
                <w:lang w:val="en-US"/>
              </w:rPr>
            </w:pPr>
            <w:r w:rsidRPr="00A51A17">
              <w:rPr>
                <w:rFonts w:ascii="Times New Roman" w:hAnsi="Times New Roman"/>
                <w:b/>
                <w:lang w:val="en-US"/>
              </w:rPr>
              <w:t>4. Additional information required with respect to COVID-19</w:t>
            </w:r>
          </w:p>
        </w:tc>
        <w:tc>
          <w:tcPr>
            <w:tcW w:w="0" w:type="auto"/>
            <w:tcBorders>
              <w:top w:val="single" w:sz="4" w:space="0" w:color="auto"/>
              <w:bottom w:val="single" w:sz="4" w:space="0" w:color="auto"/>
            </w:tcBorders>
            <w:vAlign w:val="center"/>
          </w:tcPr>
          <w:p w14:paraId="5DF1FDD8" w14:textId="49ABC687" w:rsidR="00336127" w:rsidRPr="00A51A17" w:rsidRDefault="00336127" w:rsidP="009F60B6">
            <w:pPr>
              <w:spacing w:line="480" w:lineRule="auto"/>
              <w:ind w:left="709" w:hanging="709"/>
              <w:rPr>
                <w:rFonts w:ascii="Times New Roman" w:hAnsi="Times New Roman"/>
                <w:lang w:val="en-US"/>
              </w:rPr>
            </w:pPr>
          </w:p>
        </w:tc>
      </w:tr>
      <w:tr w:rsidR="00A51A17" w:rsidRPr="00A51A17" w14:paraId="6D8CEDA0" w14:textId="77777777" w:rsidTr="00DC617D">
        <w:tc>
          <w:tcPr>
            <w:tcW w:w="0" w:type="auto"/>
            <w:tcBorders>
              <w:top w:val="single" w:sz="4" w:space="0" w:color="auto"/>
              <w:bottom w:val="nil"/>
            </w:tcBorders>
          </w:tcPr>
          <w:p w14:paraId="0A9C1206" w14:textId="6A1AE5C3" w:rsidR="00336127" w:rsidRPr="00A51A17" w:rsidRDefault="00336127" w:rsidP="00336127">
            <w:pPr>
              <w:spacing w:line="480" w:lineRule="auto"/>
              <w:ind w:left="709" w:hanging="709"/>
              <w:rPr>
                <w:rFonts w:ascii="Times New Roman" w:hAnsi="Times New Roman"/>
                <w:lang w:val="en-US"/>
              </w:rPr>
            </w:pPr>
            <w:r w:rsidRPr="00A51A17">
              <w:rPr>
                <w:rFonts w:ascii="Times New Roman" w:hAnsi="Times New Roman"/>
                <w:lang w:val="en-US"/>
              </w:rPr>
              <w:t>Knowledge of symptoms (from “enough” to “extremely”)</w:t>
            </w:r>
          </w:p>
        </w:tc>
        <w:tc>
          <w:tcPr>
            <w:tcW w:w="0" w:type="auto"/>
            <w:tcBorders>
              <w:top w:val="single" w:sz="4" w:space="0" w:color="auto"/>
              <w:bottom w:val="nil"/>
            </w:tcBorders>
            <w:vAlign w:val="center"/>
          </w:tcPr>
          <w:p w14:paraId="206C15CC" w14:textId="0557D6F6" w:rsidR="00336127" w:rsidRPr="00A51A17" w:rsidRDefault="00336127" w:rsidP="009F60B6">
            <w:pPr>
              <w:spacing w:line="480" w:lineRule="auto"/>
              <w:ind w:left="709" w:hanging="709"/>
              <w:rPr>
                <w:rFonts w:ascii="Times New Roman" w:hAnsi="Times New Roman"/>
                <w:lang w:val="en-US"/>
              </w:rPr>
            </w:pPr>
            <w:r w:rsidRPr="00A51A17">
              <w:rPr>
                <w:rFonts w:ascii="Times New Roman" w:hAnsi="Times New Roman"/>
                <w:lang w:val="en-US"/>
              </w:rPr>
              <w:t>497 (</w:t>
            </w:r>
            <w:r w:rsidR="00DC617D" w:rsidRPr="00A51A17">
              <w:rPr>
                <w:rFonts w:ascii="Times New Roman" w:hAnsi="Times New Roman"/>
                <w:lang w:val="en-US"/>
              </w:rPr>
              <w:t>97.5)</w:t>
            </w:r>
          </w:p>
        </w:tc>
      </w:tr>
      <w:tr w:rsidR="00A51A17" w:rsidRPr="00A51A17" w14:paraId="0DECF725" w14:textId="77777777" w:rsidTr="00DC617D">
        <w:tc>
          <w:tcPr>
            <w:tcW w:w="0" w:type="auto"/>
            <w:tcBorders>
              <w:top w:val="nil"/>
            </w:tcBorders>
          </w:tcPr>
          <w:p w14:paraId="1020FB14" w14:textId="050FB944" w:rsidR="00336127" w:rsidRPr="00A51A17" w:rsidRDefault="00DC617D" w:rsidP="00DC617D">
            <w:pPr>
              <w:spacing w:line="480" w:lineRule="auto"/>
              <w:ind w:left="709" w:hanging="709"/>
              <w:rPr>
                <w:rFonts w:ascii="Times New Roman" w:hAnsi="Times New Roman"/>
                <w:lang w:val="en-US"/>
              </w:rPr>
            </w:pPr>
            <w:r w:rsidRPr="00A51A17">
              <w:rPr>
                <w:rFonts w:ascii="Times New Roman" w:hAnsi="Times New Roman"/>
                <w:lang w:val="en-US"/>
              </w:rPr>
              <w:t>Trust in GP’</w:t>
            </w:r>
            <w:r w:rsidR="002D5486" w:rsidRPr="00A51A17">
              <w:rPr>
                <w:rFonts w:ascii="Times New Roman" w:hAnsi="Times New Roman"/>
                <w:lang w:val="en-US"/>
              </w:rPr>
              <w:t>s</w:t>
            </w:r>
            <w:r w:rsidRPr="00A51A17">
              <w:rPr>
                <w:rFonts w:ascii="Times New Roman" w:hAnsi="Times New Roman"/>
                <w:lang w:val="en-US"/>
              </w:rPr>
              <w:t xml:space="preserve"> ability to identify COVID-19 symptoms (from “enough” to “extremely”)</w:t>
            </w:r>
          </w:p>
        </w:tc>
        <w:tc>
          <w:tcPr>
            <w:tcW w:w="0" w:type="auto"/>
            <w:tcBorders>
              <w:top w:val="nil"/>
            </w:tcBorders>
            <w:vAlign w:val="center"/>
          </w:tcPr>
          <w:p w14:paraId="5C4CEB55" w14:textId="0C4728DC" w:rsidR="00336127" w:rsidRPr="00A51A17" w:rsidRDefault="00DC617D" w:rsidP="009F60B6">
            <w:pPr>
              <w:spacing w:line="480" w:lineRule="auto"/>
              <w:ind w:left="709" w:hanging="709"/>
              <w:rPr>
                <w:rFonts w:ascii="Times New Roman" w:hAnsi="Times New Roman"/>
                <w:lang w:val="en-US"/>
              </w:rPr>
            </w:pPr>
            <w:r w:rsidRPr="00A51A17">
              <w:rPr>
                <w:rFonts w:ascii="Times New Roman" w:hAnsi="Times New Roman"/>
                <w:lang w:val="en-US"/>
              </w:rPr>
              <w:t>423 (82.9)</w:t>
            </w:r>
          </w:p>
        </w:tc>
      </w:tr>
      <w:tr w:rsidR="00A51A17" w:rsidRPr="00A51A17" w14:paraId="60D58792" w14:textId="77777777" w:rsidTr="00DC617D">
        <w:tc>
          <w:tcPr>
            <w:tcW w:w="0" w:type="auto"/>
          </w:tcPr>
          <w:p w14:paraId="2117BC0C" w14:textId="31DFD835" w:rsidR="00336127" w:rsidRPr="00A51A17" w:rsidRDefault="00DC617D" w:rsidP="00DC617D">
            <w:pPr>
              <w:spacing w:line="480" w:lineRule="auto"/>
              <w:ind w:left="709" w:hanging="709"/>
              <w:rPr>
                <w:rFonts w:ascii="Times New Roman" w:hAnsi="Times New Roman"/>
                <w:lang w:val="en-US"/>
              </w:rPr>
            </w:pPr>
            <w:r w:rsidRPr="00A51A17">
              <w:rPr>
                <w:rFonts w:ascii="Times New Roman" w:hAnsi="Times New Roman"/>
                <w:lang w:val="en-US"/>
              </w:rPr>
              <w:t>Knowledge of COVID-19 route of transmission (from “enough” to “extremely”)</w:t>
            </w:r>
          </w:p>
        </w:tc>
        <w:tc>
          <w:tcPr>
            <w:tcW w:w="0" w:type="auto"/>
            <w:vAlign w:val="center"/>
          </w:tcPr>
          <w:p w14:paraId="2695EDEE" w14:textId="1A57C8A3" w:rsidR="00336127" w:rsidRPr="00A51A17" w:rsidRDefault="00DC617D" w:rsidP="009F60B6">
            <w:pPr>
              <w:spacing w:line="480" w:lineRule="auto"/>
              <w:ind w:left="709" w:hanging="709"/>
              <w:rPr>
                <w:rFonts w:ascii="Times New Roman" w:hAnsi="Times New Roman"/>
                <w:lang w:val="en-US"/>
              </w:rPr>
            </w:pPr>
            <w:r w:rsidRPr="00A51A17">
              <w:rPr>
                <w:rFonts w:ascii="Times New Roman" w:hAnsi="Times New Roman"/>
                <w:lang w:val="en-US"/>
              </w:rPr>
              <w:t>508 (99.7)</w:t>
            </w:r>
          </w:p>
        </w:tc>
      </w:tr>
      <w:tr w:rsidR="00A51A17" w:rsidRPr="00A51A17" w14:paraId="4467C050" w14:textId="77777777" w:rsidTr="00DC617D">
        <w:tc>
          <w:tcPr>
            <w:tcW w:w="0" w:type="auto"/>
          </w:tcPr>
          <w:p w14:paraId="23419B61" w14:textId="3F1848EC" w:rsidR="00336127" w:rsidRPr="00A51A17" w:rsidRDefault="00DC617D" w:rsidP="00DC617D">
            <w:pPr>
              <w:spacing w:line="480" w:lineRule="auto"/>
              <w:ind w:left="709" w:hanging="709"/>
              <w:rPr>
                <w:rFonts w:ascii="Times New Roman" w:hAnsi="Times New Roman"/>
                <w:lang w:val="en-US"/>
              </w:rPr>
            </w:pPr>
            <w:r w:rsidRPr="00A51A17">
              <w:rPr>
                <w:rFonts w:ascii="Times New Roman" w:hAnsi="Times New Roman"/>
                <w:lang w:val="en-US"/>
              </w:rPr>
              <w:t>Reliability of media information (from “enough” to “extremely”)</w:t>
            </w:r>
          </w:p>
        </w:tc>
        <w:tc>
          <w:tcPr>
            <w:tcW w:w="0" w:type="auto"/>
            <w:vAlign w:val="center"/>
          </w:tcPr>
          <w:p w14:paraId="26F29C6D" w14:textId="51E9E902" w:rsidR="00336127" w:rsidRPr="00A51A17" w:rsidRDefault="00DC617D" w:rsidP="009F60B6">
            <w:pPr>
              <w:spacing w:line="480" w:lineRule="auto"/>
              <w:ind w:left="709" w:hanging="709"/>
              <w:rPr>
                <w:rFonts w:ascii="Times New Roman" w:hAnsi="Times New Roman"/>
                <w:lang w:val="en-US"/>
              </w:rPr>
            </w:pPr>
            <w:r w:rsidRPr="00A51A17">
              <w:rPr>
                <w:rFonts w:ascii="Times New Roman" w:hAnsi="Times New Roman"/>
                <w:lang w:val="en-US"/>
              </w:rPr>
              <w:t>361 (70.8)</w:t>
            </w:r>
          </w:p>
        </w:tc>
      </w:tr>
      <w:tr w:rsidR="00336127" w:rsidRPr="00A51A17" w14:paraId="2C2DBF90" w14:textId="77777777" w:rsidTr="00DC617D">
        <w:tc>
          <w:tcPr>
            <w:tcW w:w="0" w:type="auto"/>
          </w:tcPr>
          <w:p w14:paraId="430A9B63" w14:textId="22AE2418" w:rsidR="00336127" w:rsidRPr="00A51A17" w:rsidRDefault="00DC617D" w:rsidP="00DC617D">
            <w:pPr>
              <w:spacing w:line="480" w:lineRule="auto"/>
              <w:ind w:left="709" w:hanging="709"/>
              <w:rPr>
                <w:rFonts w:ascii="Times New Roman" w:hAnsi="Times New Roman"/>
                <w:lang w:val="en-US"/>
              </w:rPr>
            </w:pPr>
            <w:r w:rsidRPr="00A51A17">
              <w:rPr>
                <w:rFonts w:ascii="Times New Roman" w:hAnsi="Times New Roman"/>
                <w:lang w:val="en-US"/>
              </w:rPr>
              <w:t>Government precautionary measures are sufficient (from “enough” to “extremely”)</w:t>
            </w:r>
          </w:p>
        </w:tc>
        <w:tc>
          <w:tcPr>
            <w:tcW w:w="0" w:type="auto"/>
            <w:vAlign w:val="center"/>
          </w:tcPr>
          <w:p w14:paraId="08F7F990" w14:textId="03BE4285" w:rsidR="00336127" w:rsidRPr="00A51A17" w:rsidRDefault="00DC617D" w:rsidP="009F60B6">
            <w:pPr>
              <w:spacing w:line="480" w:lineRule="auto"/>
              <w:ind w:left="709" w:hanging="709"/>
              <w:rPr>
                <w:rFonts w:ascii="Times New Roman" w:hAnsi="Times New Roman"/>
                <w:lang w:val="en-US"/>
              </w:rPr>
            </w:pPr>
            <w:r w:rsidRPr="00A51A17">
              <w:rPr>
                <w:rFonts w:ascii="Times New Roman" w:hAnsi="Times New Roman"/>
                <w:lang w:val="en-US"/>
              </w:rPr>
              <w:t>419 (82.1)</w:t>
            </w:r>
          </w:p>
        </w:tc>
      </w:tr>
    </w:tbl>
    <w:p w14:paraId="22BDB8A0" w14:textId="77777777" w:rsidR="009F60B6" w:rsidRPr="00A51A17" w:rsidRDefault="009F60B6" w:rsidP="009F60B6">
      <w:pPr>
        <w:spacing w:line="480" w:lineRule="auto"/>
        <w:ind w:left="709" w:hanging="709"/>
        <w:rPr>
          <w:lang w:val="en-US"/>
        </w:rPr>
      </w:pPr>
    </w:p>
    <w:p w14:paraId="68C63353" w14:textId="0FBD335F" w:rsidR="00BB5DE6" w:rsidRPr="00A51A17" w:rsidRDefault="00BB5DE6" w:rsidP="00BB5DE6">
      <w:pPr>
        <w:tabs>
          <w:tab w:val="left" w:pos="2265"/>
        </w:tabs>
        <w:rPr>
          <w:lang w:val="en-US"/>
        </w:rPr>
      </w:pPr>
    </w:p>
    <w:p w14:paraId="5964E6BA" w14:textId="55FCACB8" w:rsidR="00D602B7" w:rsidRPr="00A51A17" w:rsidRDefault="00B26C9A" w:rsidP="00D602B7">
      <w:pPr>
        <w:jc w:val="both"/>
        <w:rPr>
          <w:b/>
          <w:bCs/>
          <w:lang w:val="en-US" w:eastAsia="en-GB"/>
        </w:rPr>
      </w:pPr>
      <w:r w:rsidRPr="00A51A17">
        <w:rPr>
          <w:lang w:val="en-US"/>
        </w:rPr>
        <w:br w:type="page"/>
        <w:t>Table 2</w:t>
      </w:r>
      <w:r w:rsidR="00374BA7" w:rsidRPr="00A51A17">
        <w:rPr>
          <w:lang w:val="en-US"/>
        </w:rPr>
        <w:t>.</w:t>
      </w:r>
      <w:r w:rsidRPr="00A51A17">
        <w:rPr>
          <w:lang w:val="en-US"/>
        </w:rPr>
        <w:t xml:space="preserve"> </w:t>
      </w:r>
      <w:r w:rsidR="00D602B7" w:rsidRPr="00A51A17">
        <w:rPr>
          <w:bCs/>
          <w:lang w:val="en-US" w:eastAsia="en-GB"/>
        </w:rPr>
        <w:t xml:space="preserve">Means, standard deviations, range, </w:t>
      </w:r>
      <w:r w:rsidR="00D418A4" w:rsidRPr="00A51A17">
        <w:rPr>
          <w:bCs/>
          <w:lang w:val="en-US" w:eastAsia="en-GB"/>
        </w:rPr>
        <w:t xml:space="preserve">skewness, kurtosis, and t-tests </w:t>
      </w:r>
      <w:r w:rsidR="00D602B7" w:rsidRPr="00A51A17">
        <w:rPr>
          <w:bCs/>
          <w:lang w:val="en-US" w:eastAsia="en-GB"/>
        </w:rPr>
        <w:t>for the study variables</w:t>
      </w:r>
      <w:r w:rsidR="00D418A4" w:rsidRPr="00A51A17">
        <w:rPr>
          <w:bCs/>
          <w:lang w:val="en-US" w:eastAsia="en-GB"/>
        </w:rPr>
        <w:t xml:space="preserve"> of Sample 1 and Sample 2</w:t>
      </w:r>
      <w:r w:rsidR="00D602B7" w:rsidRPr="00A51A17">
        <w:rPr>
          <w:bCs/>
          <w:lang w:val="en-US" w:eastAsia="en-GB"/>
        </w:rPr>
        <w:t>.</w:t>
      </w:r>
    </w:p>
    <w:p w14:paraId="0EF44829" w14:textId="77777777" w:rsidR="00D602B7" w:rsidRPr="00A51A17" w:rsidRDefault="00D602B7" w:rsidP="00D602B7">
      <w:pPr>
        <w:jc w:val="both"/>
        <w:rPr>
          <w:b/>
          <w:bCs/>
          <w:lang w:val="en-US" w:eastAsia="en-GB"/>
        </w:rPr>
      </w:pPr>
    </w:p>
    <w:tbl>
      <w:tblPr>
        <w:tblW w:w="4812"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977"/>
        <w:gridCol w:w="2271"/>
        <w:gridCol w:w="993"/>
        <w:gridCol w:w="2269"/>
        <w:gridCol w:w="1273"/>
        <w:gridCol w:w="1983"/>
        <w:gridCol w:w="1983"/>
      </w:tblGrid>
      <w:tr w:rsidR="00A51A17" w:rsidRPr="00A51A17" w14:paraId="6A20313F" w14:textId="37F730F3" w:rsidTr="00966E7F">
        <w:trPr>
          <w:cantSplit/>
        </w:trPr>
        <w:tc>
          <w:tcPr>
            <w:tcW w:w="1083" w:type="pct"/>
            <w:tcBorders>
              <w:top w:val="single" w:sz="4" w:space="0" w:color="auto"/>
              <w:left w:val="nil"/>
              <w:bottom w:val="single" w:sz="4" w:space="0" w:color="auto"/>
              <w:right w:val="nil"/>
            </w:tcBorders>
            <w:shd w:val="clear" w:color="auto" w:fill="auto"/>
          </w:tcPr>
          <w:p w14:paraId="4C811786" w14:textId="77777777" w:rsidR="00966E7F" w:rsidRPr="00A51A17" w:rsidRDefault="00966E7F" w:rsidP="00D602B7">
            <w:pPr>
              <w:autoSpaceDE w:val="0"/>
              <w:autoSpaceDN w:val="0"/>
              <w:adjustRightInd w:val="0"/>
              <w:spacing w:line="320" w:lineRule="atLeast"/>
              <w:ind w:left="60" w:right="60"/>
              <w:rPr>
                <w:lang w:val="en-US"/>
              </w:rPr>
            </w:pPr>
          </w:p>
        </w:tc>
        <w:tc>
          <w:tcPr>
            <w:tcW w:w="826" w:type="pct"/>
            <w:tcBorders>
              <w:top w:val="single" w:sz="4" w:space="0" w:color="auto"/>
              <w:left w:val="nil"/>
              <w:bottom w:val="single" w:sz="4" w:space="0" w:color="auto"/>
              <w:right w:val="nil"/>
            </w:tcBorders>
          </w:tcPr>
          <w:p w14:paraId="0F70463A" w14:textId="77777777" w:rsidR="00966E7F" w:rsidRPr="00A51A17" w:rsidRDefault="00966E7F" w:rsidP="00D602B7">
            <w:pPr>
              <w:autoSpaceDE w:val="0"/>
              <w:autoSpaceDN w:val="0"/>
              <w:adjustRightInd w:val="0"/>
              <w:spacing w:line="320" w:lineRule="atLeast"/>
              <w:ind w:left="60" w:right="60"/>
              <w:jc w:val="center"/>
              <w:rPr>
                <w:lang w:val="en-GB"/>
              </w:rPr>
            </w:pPr>
            <w:r w:rsidRPr="00A51A17">
              <w:rPr>
                <w:lang w:val="en-GB"/>
              </w:rPr>
              <w:t>M(SD)</w:t>
            </w:r>
          </w:p>
        </w:tc>
        <w:tc>
          <w:tcPr>
            <w:tcW w:w="361" w:type="pct"/>
            <w:tcBorders>
              <w:top w:val="single" w:sz="4" w:space="0" w:color="auto"/>
              <w:left w:val="nil"/>
              <w:bottom w:val="single" w:sz="4" w:space="0" w:color="auto"/>
              <w:right w:val="nil"/>
            </w:tcBorders>
            <w:shd w:val="clear" w:color="auto" w:fill="FFFFFF"/>
            <w:vAlign w:val="bottom"/>
          </w:tcPr>
          <w:p w14:paraId="6142CAAD" w14:textId="77777777" w:rsidR="00966E7F" w:rsidRPr="00A51A17" w:rsidRDefault="00966E7F" w:rsidP="00D602B7">
            <w:pPr>
              <w:autoSpaceDE w:val="0"/>
              <w:autoSpaceDN w:val="0"/>
              <w:adjustRightInd w:val="0"/>
              <w:spacing w:line="320" w:lineRule="atLeast"/>
              <w:ind w:right="60"/>
              <w:jc w:val="center"/>
              <w:rPr>
                <w:lang w:val="en-GB"/>
              </w:rPr>
            </w:pPr>
            <w:r w:rsidRPr="00A51A17">
              <w:rPr>
                <w:lang w:val="en-GB"/>
              </w:rPr>
              <w:t>Range</w:t>
            </w:r>
          </w:p>
          <w:p w14:paraId="5A66441C" w14:textId="77777777" w:rsidR="00966E7F" w:rsidRPr="00A51A17" w:rsidRDefault="00966E7F" w:rsidP="00D602B7">
            <w:pPr>
              <w:autoSpaceDE w:val="0"/>
              <w:autoSpaceDN w:val="0"/>
              <w:adjustRightInd w:val="0"/>
              <w:spacing w:line="320" w:lineRule="atLeast"/>
              <w:ind w:right="60"/>
              <w:jc w:val="center"/>
              <w:rPr>
                <w:lang w:val="en-GB"/>
              </w:rPr>
            </w:pPr>
            <w:r w:rsidRPr="00A51A17">
              <w:rPr>
                <w:lang w:val="en-GB"/>
              </w:rPr>
              <w:t>(Min-Max)</w:t>
            </w:r>
          </w:p>
        </w:tc>
        <w:tc>
          <w:tcPr>
            <w:tcW w:w="825" w:type="pct"/>
            <w:tcBorders>
              <w:top w:val="single" w:sz="4" w:space="0" w:color="auto"/>
              <w:left w:val="nil"/>
              <w:bottom w:val="single" w:sz="4" w:space="0" w:color="auto"/>
              <w:right w:val="nil"/>
            </w:tcBorders>
            <w:shd w:val="clear" w:color="auto" w:fill="FFFFFF"/>
          </w:tcPr>
          <w:p w14:paraId="204FCA47" w14:textId="77777777" w:rsidR="00966E7F" w:rsidRPr="00A51A17" w:rsidRDefault="00966E7F" w:rsidP="00D602B7">
            <w:pPr>
              <w:autoSpaceDE w:val="0"/>
              <w:autoSpaceDN w:val="0"/>
              <w:adjustRightInd w:val="0"/>
              <w:spacing w:line="320" w:lineRule="atLeast"/>
              <w:ind w:left="60" w:right="60"/>
              <w:jc w:val="center"/>
              <w:rPr>
                <w:lang w:val="en-GB"/>
              </w:rPr>
            </w:pPr>
            <w:r w:rsidRPr="00A51A17">
              <w:rPr>
                <w:lang w:val="en-GB" w:eastAsia="en-GB"/>
              </w:rPr>
              <w:t>Skewness (SE)</w:t>
            </w:r>
          </w:p>
        </w:tc>
        <w:tc>
          <w:tcPr>
            <w:tcW w:w="463" w:type="pct"/>
            <w:tcBorders>
              <w:top w:val="single" w:sz="4" w:space="0" w:color="auto"/>
              <w:left w:val="nil"/>
              <w:bottom w:val="single" w:sz="4" w:space="0" w:color="auto"/>
              <w:right w:val="nil"/>
            </w:tcBorders>
            <w:shd w:val="clear" w:color="auto" w:fill="FFFFFF"/>
          </w:tcPr>
          <w:p w14:paraId="300FD30C" w14:textId="77777777" w:rsidR="00966E7F" w:rsidRPr="00A51A17" w:rsidRDefault="00966E7F" w:rsidP="00D602B7">
            <w:pPr>
              <w:autoSpaceDE w:val="0"/>
              <w:autoSpaceDN w:val="0"/>
              <w:adjustRightInd w:val="0"/>
              <w:spacing w:line="320" w:lineRule="atLeast"/>
              <w:ind w:left="60" w:right="60"/>
              <w:jc w:val="center"/>
              <w:rPr>
                <w:lang w:val="en-GB"/>
              </w:rPr>
            </w:pPr>
            <w:r w:rsidRPr="00A51A17">
              <w:rPr>
                <w:lang w:val="en-GB" w:eastAsia="en-GB"/>
              </w:rPr>
              <w:t>Kurtosis (SE)</w:t>
            </w:r>
          </w:p>
        </w:tc>
        <w:tc>
          <w:tcPr>
            <w:tcW w:w="721" w:type="pct"/>
            <w:tcBorders>
              <w:top w:val="single" w:sz="4" w:space="0" w:color="auto"/>
              <w:left w:val="nil"/>
              <w:bottom w:val="single" w:sz="4" w:space="0" w:color="auto"/>
              <w:right w:val="nil"/>
            </w:tcBorders>
            <w:shd w:val="clear" w:color="auto" w:fill="FFFFFF"/>
          </w:tcPr>
          <w:p w14:paraId="737C8366" w14:textId="5493F909" w:rsidR="00966E7F" w:rsidRPr="00A51A17" w:rsidRDefault="00966E7F" w:rsidP="00D602B7">
            <w:pPr>
              <w:autoSpaceDE w:val="0"/>
              <w:autoSpaceDN w:val="0"/>
              <w:adjustRightInd w:val="0"/>
              <w:spacing w:line="320" w:lineRule="atLeast"/>
              <w:ind w:left="60" w:right="60"/>
              <w:jc w:val="center"/>
              <w:rPr>
                <w:lang w:val="en-GB" w:eastAsia="en-GB"/>
              </w:rPr>
            </w:pPr>
            <w:r w:rsidRPr="00A51A17">
              <w:rPr>
                <w:i/>
                <w:lang w:val="en-GB" w:eastAsia="en-GB"/>
              </w:rPr>
              <w:t>t</w:t>
            </w:r>
            <w:r w:rsidR="0092796F">
              <w:rPr>
                <w:vertAlign w:val="subscript"/>
                <w:lang w:val="en-GB" w:eastAsia="en-GB"/>
              </w:rPr>
              <w:t>(df</w:t>
            </w:r>
            <w:r w:rsidRPr="00A51A17">
              <w:rPr>
                <w:vertAlign w:val="subscript"/>
                <w:lang w:val="en-GB" w:eastAsia="en-GB"/>
              </w:rPr>
              <w:t>)</w:t>
            </w:r>
          </w:p>
        </w:tc>
        <w:tc>
          <w:tcPr>
            <w:tcW w:w="721" w:type="pct"/>
            <w:tcBorders>
              <w:top w:val="single" w:sz="4" w:space="0" w:color="auto"/>
              <w:left w:val="nil"/>
              <w:bottom w:val="single" w:sz="4" w:space="0" w:color="auto"/>
              <w:right w:val="nil"/>
            </w:tcBorders>
            <w:shd w:val="clear" w:color="auto" w:fill="FFFFFF"/>
          </w:tcPr>
          <w:p w14:paraId="211DA37C" w14:textId="6788609B" w:rsidR="00966E7F" w:rsidRPr="00A51A17" w:rsidRDefault="00966E7F" w:rsidP="00D602B7">
            <w:pPr>
              <w:autoSpaceDE w:val="0"/>
              <w:autoSpaceDN w:val="0"/>
              <w:adjustRightInd w:val="0"/>
              <w:spacing w:line="320" w:lineRule="atLeast"/>
              <w:ind w:left="60" w:right="60"/>
              <w:jc w:val="center"/>
              <w:rPr>
                <w:i/>
                <w:lang w:val="en-GB" w:eastAsia="en-GB"/>
              </w:rPr>
            </w:pPr>
            <w:r w:rsidRPr="00A51A17">
              <w:rPr>
                <w:i/>
                <w:lang w:val="en-GB" w:eastAsia="en-GB"/>
              </w:rPr>
              <w:t>p</w:t>
            </w:r>
          </w:p>
        </w:tc>
      </w:tr>
      <w:tr w:rsidR="00A51A17" w:rsidRPr="00A51A17" w14:paraId="203D7282" w14:textId="09159149" w:rsidTr="00966E7F">
        <w:trPr>
          <w:cantSplit/>
        </w:trPr>
        <w:tc>
          <w:tcPr>
            <w:tcW w:w="1083" w:type="pct"/>
            <w:tcBorders>
              <w:top w:val="single" w:sz="4" w:space="0" w:color="auto"/>
              <w:left w:val="nil"/>
              <w:bottom w:val="nil"/>
              <w:right w:val="nil"/>
            </w:tcBorders>
            <w:shd w:val="clear" w:color="auto" w:fill="auto"/>
          </w:tcPr>
          <w:p w14:paraId="700E3F6F" w14:textId="7EB14E4B" w:rsidR="00966E7F" w:rsidRPr="00A51A17" w:rsidRDefault="00241CDF" w:rsidP="003271F1">
            <w:pPr>
              <w:autoSpaceDE w:val="0"/>
              <w:autoSpaceDN w:val="0"/>
              <w:adjustRightInd w:val="0"/>
              <w:spacing w:line="320" w:lineRule="atLeast"/>
              <w:ind w:left="60" w:right="60"/>
              <w:rPr>
                <w:lang w:val="en-GB"/>
              </w:rPr>
            </w:pPr>
            <w:r w:rsidRPr="00A51A17">
              <w:t xml:space="preserve">Psychological </w:t>
            </w:r>
            <w:r w:rsidR="00A022A5" w:rsidRPr="00A51A17">
              <w:t>d</w:t>
            </w:r>
            <w:r w:rsidR="00966E7F" w:rsidRPr="00A51A17">
              <w:t xml:space="preserve">istress </w:t>
            </w:r>
          </w:p>
        </w:tc>
        <w:tc>
          <w:tcPr>
            <w:tcW w:w="826" w:type="pct"/>
            <w:tcBorders>
              <w:top w:val="single" w:sz="4" w:space="0" w:color="auto"/>
              <w:left w:val="nil"/>
              <w:bottom w:val="nil"/>
              <w:right w:val="nil"/>
            </w:tcBorders>
          </w:tcPr>
          <w:p w14:paraId="6DA487B2" w14:textId="49ABFC65" w:rsidR="00966E7F" w:rsidRPr="00A51A17" w:rsidRDefault="00966E7F" w:rsidP="00D602B7">
            <w:pPr>
              <w:autoSpaceDE w:val="0"/>
              <w:autoSpaceDN w:val="0"/>
              <w:adjustRightInd w:val="0"/>
              <w:spacing w:line="320" w:lineRule="atLeast"/>
              <w:ind w:left="60" w:right="60"/>
              <w:jc w:val="center"/>
              <w:rPr>
                <w:lang w:val="en-GB"/>
              </w:rPr>
            </w:pPr>
          </w:p>
        </w:tc>
        <w:tc>
          <w:tcPr>
            <w:tcW w:w="361" w:type="pct"/>
            <w:tcBorders>
              <w:top w:val="single" w:sz="4" w:space="0" w:color="auto"/>
              <w:left w:val="nil"/>
              <w:bottom w:val="nil"/>
              <w:right w:val="nil"/>
            </w:tcBorders>
            <w:shd w:val="clear" w:color="auto" w:fill="FFFFFF"/>
          </w:tcPr>
          <w:p w14:paraId="5BF6B9F7" w14:textId="6D5AA655" w:rsidR="00966E7F" w:rsidRPr="00A51A17" w:rsidRDefault="00966E7F" w:rsidP="00D602B7">
            <w:pPr>
              <w:autoSpaceDE w:val="0"/>
              <w:autoSpaceDN w:val="0"/>
              <w:adjustRightInd w:val="0"/>
              <w:spacing w:line="320" w:lineRule="atLeast"/>
              <w:ind w:left="60" w:right="60"/>
              <w:jc w:val="center"/>
              <w:rPr>
                <w:lang w:val="en-GB"/>
              </w:rPr>
            </w:pPr>
          </w:p>
        </w:tc>
        <w:tc>
          <w:tcPr>
            <w:tcW w:w="825" w:type="pct"/>
            <w:tcBorders>
              <w:top w:val="single" w:sz="4" w:space="0" w:color="auto"/>
              <w:left w:val="nil"/>
              <w:bottom w:val="nil"/>
              <w:right w:val="nil"/>
            </w:tcBorders>
            <w:shd w:val="clear" w:color="auto" w:fill="FFFFFF"/>
          </w:tcPr>
          <w:p w14:paraId="23490DC7" w14:textId="635C7753" w:rsidR="00966E7F" w:rsidRPr="00A51A17" w:rsidRDefault="00966E7F" w:rsidP="00D602B7">
            <w:pPr>
              <w:autoSpaceDE w:val="0"/>
              <w:autoSpaceDN w:val="0"/>
              <w:adjustRightInd w:val="0"/>
              <w:spacing w:line="320" w:lineRule="atLeast"/>
              <w:ind w:left="60" w:right="60"/>
              <w:jc w:val="center"/>
              <w:rPr>
                <w:lang w:val="en-GB"/>
              </w:rPr>
            </w:pPr>
          </w:p>
        </w:tc>
        <w:tc>
          <w:tcPr>
            <w:tcW w:w="463" w:type="pct"/>
            <w:tcBorders>
              <w:top w:val="single" w:sz="4" w:space="0" w:color="auto"/>
              <w:left w:val="nil"/>
              <w:bottom w:val="nil"/>
              <w:right w:val="nil"/>
            </w:tcBorders>
            <w:shd w:val="clear" w:color="auto" w:fill="FFFFFF"/>
          </w:tcPr>
          <w:p w14:paraId="44A244FD" w14:textId="25E528D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single" w:sz="4" w:space="0" w:color="auto"/>
              <w:left w:val="nil"/>
              <w:bottom w:val="nil"/>
              <w:right w:val="nil"/>
            </w:tcBorders>
            <w:shd w:val="clear" w:color="auto" w:fill="FFFFFF"/>
          </w:tcPr>
          <w:p w14:paraId="7C82232B"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single" w:sz="4" w:space="0" w:color="auto"/>
              <w:left w:val="nil"/>
              <w:bottom w:val="nil"/>
              <w:right w:val="nil"/>
            </w:tcBorders>
            <w:shd w:val="clear" w:color="auto" w:fill="FFFFFF"/>
          </w:tcPr>
          <w:p w14:paraId="1B734AB4"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4E2C3032" w14:textId="3105A32C" w:rsidTr="00966E7F">
        <w:trPr>
          <w:cantSplit/>
        </w:trPr>
        <w:tc>
          <w:tcPr>
            <w:tcW w:w="1083" w:type="pct"/>
            <w:tcBorders>
              <w:top w:val="nil"/>
              <w:left w:val="nil"/>
              <w:bottom w:val="nil"/>
              <w:right w:val="nil"/>
            </w:tcBorders>
            <w:shd w:val="clear" w:color="auto" w:fill="auto"/>
          </w:tcPr>
          <w:p w14:paraId="53BFDC07" w14:textId="1041D532" w:rsidR="00966E7F" w:rsidRPr="00A51A17" w:rsidRDefault="00966E7F" w:rsidP="003271F1">
            <w:pPr>
              <w:autoSpaceDE w:val="0"/>
              <w:autoSpaceDN w:val="0"/>
              <w:adjustRightInd w:val="0"/>
              <w:spacing w:line="320" w:lineRule="atLeast"/>
              <w:ind w:left="567" w:right="60"/>
            </w:pPr>
            <w:r w:rsidRPr="00A51A17">
              <w:t>Sample 1</w:t>
            </w:r>
          </w:p>
        </w:tc>
        <w:tc>
          <w:tcPr>
            <w:tcW w:w="826" w:type="pct"/>
            <w:tcBorders>
              <w:top w:val="nil"/>
              <w:left w:val="nil"/>
              <w:bottom w:val="nil"/>
              <w:right w:val="nil"/>
            </w:tcBorders>
          </w:tcPr>
          <w:p w14:paraId="0268EB30" w14:textId="1E46CC74"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20.57</w:t>
            </w:r>
            <w:r w:rsidR="00966E7F" w:rsidRPr="00A51A17">
              <w:rPr>
                <w:lang w:val="en-GB"/>
              </w:rPr>
              <w:t>(</w:t>
            </w:r>
            <w:r w:rsidRPr="00A51A17">
              <w:rPr>
                <w:lang w:val="en-GB"/>
              </w:rPr>
              <w:t>13.97</w:t>
            </w:r>
            <w:r w:rsidR="00966E7F" w:rsidRPr="00A51A17">
              <w:rPr>
                <w:lang w:val="en-GB"/>
              </w:rPr>
              <w:t>)</w:t>
            </w:r>
          </w:p>
        </w:tc>
        <w:tc>
          <w:tcPr>
            <w:tcW w:w="361" w:type="pct"/>
            <w:tcBorders>
              <w:top w:val="nil"/>
              <w:left w:val="nil"/>
              <w:bottom w:val="nil"/>
              <w:right w:val="nil"/>
            </w:tcBorders>
            <w:shd w:val="clear" w:color="auto" w:fill="FFFFFF"/>
          </w:tcPr>
          <w:p w14:paraId="0E134078" w14:textId="00C1E9FB" w:rsidR="00966E7F" w:rsidRPr="00A51A17" w:rsidRDefault="00966E7F" w:rsidP="00400162">
            <w:pPr>
              <w:autoSpaceDE w:val="0"/>
              <w:autoSpaceDN w:val="0"/>
              <w:adjustRightInd w:val="0"/>
              <w:spacing w:line="320" w:lineRule="atLeast"/>
              <w:ind w:left="60" w:right="60"/>
              <w:jc w:val="center"/>
              <w:rPr>
                <w:lang w:val="en-GB"/>
              </w:rPr>
            </w:pPr>
            <w:r w:rsidRPr="00A51A17">
              <w:rPr>
                <w:lang w:val="en-GB"/>
              </w:rPr>
              <w:t>0-</w:t>
            </w:r>
            <w:r w:rsidR="00400162" w:rsidRPr="00A51A17">
              <w:rPr>
                <w:lang w:val="en-GB"/>
              </w:rPr>
              <w:t>63</w:t>
            </w:r>
          </w:p>
        </w:tc>
        <w:tc>
          <w:tcPr>
            <w:tcW w:w="825" w:type="pct"/>
            <w:tcBorders>
              <w:top w:val="nil"/>
              <w:left w:val="nil"/>
              <w:bottom w:val="nil"/>
              <w:right w:val="nil"/>
            </w:tcBorders>
            <w:shd w:val="clear" w:color="auto" w:fill="FFFFFF"/>
          </w:tcPr>
          <w:p w14:paraId="139CFFA2" w14:textId="46386C3B" w:rsidR="00966E7F" w:rsidRPr="00A51A17" w:rsidRDefault="00C90560" w:rsidP="00C90560">
            <w:pPr>
              <w:autoSpaceDE w:val="0"/>
              <w:autoSpaceDN w:val="0"/>
              <w:adjustRightInd w:val="0"/>
              <w:spacing w:line="320" w:lineRule="atLeast"/>
              <w:ind w:left="60" w:right="60"/>
              <w:jc w:val="center"/>
              <w:rPr>
                <w:lang w:val="en-GB"/>
              </w:rPr>
            </w:pPr>
            <w:r w:rsidRPr="00A51A17">
              <w:rPr>
                <w:lang w:val="en-GB"/>
              </w:rPr>
              <w:t>.77</w:t>
            </w:r>
            <w:r w:rsidR="00966E7F" w:rsidRPr="00A51A17">
              <w:rPr>
                <w:lang w:val="en-GB"/>
              </w:rPr>
              <w:t>(.10</w:t>
            </w:r>
            <w:r w:rsidRPr="00A51A17">
              <w:rPr>
                <w:lang w:val="en-GB"/>
              </w:rPr>
              <w:t>4</w:t>
            </w:r>
            <w:r w:rsidR="00966E7F" w:rsidRPr="00A51A17">
              <w:rPr>
                <w:lang w:val="en-GB"/>
              </w:rPr>
              <w:t>)</w:t>
            </w:r>
          </w:p>
        </w:tc>
        <w:tc>
          <w:tcPr>
            <w:tcW w:w="463" w:type="pct"/>
            <w:tcBorders>
              <w:top w:val="nil"/>
              <w:left w:val="nil"/>
              <w:bottom w:val="nil"/>
              <w:right w:val="nil"/>
            </w:tcBorders>
            <w:shd w:val="clear" w:color="auto" w:fill="FFFFFF"/>
          </w:tcPr>
          <w:p w14:paraId="0907B1A3" w14:textId="59E0A53E"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.0</w:t>
            </w:r>
            <w:r w:rsidR="00C90560" w:rsidRPr="00A51A17">
              <w:rPr>
                <w:lang w:val="en-GB"/>
              </w:rPr>
              <w:t>4</w:t>
            </w:r>
            <w:r w:rsidRPr="00A51A17">
              <w:rPr>
                <w:lang w:val="en-GB"/>
              </w:rPr>
              <w:t>(.20</w:t>
            </w:r>
            <w:r w:rsidR="00C90560" w:rsidRPr="00A51A17">
              <w:rPr>
                <w:lang w:val="en-GB"/>
              </w:rPr>
              <w:t>7</w:t>
            </w:r>
            <w:r w:rsidRPr="00A51A17">
              <w:rPr>
                <w:lang w:val="en-GB"/>
              </w:rPr>
              <w:t>)</w:t>
            </w:r>
          </w:p>
        </w:tc>
        <w:tc>
          <w:tcPr>
            <w:tcW w:w="721" w:type="pct"/>
            <w:tcBorders>
              <w:top w:val="nil"/>
              <w:left w:val="nil"/>
              <w:bottom w:val="nil"/>
              <w:right w:val="nil"/>
            </w:tcBorders>
            <w:shd w:val="clear" w:color="auto" w:fill="FFFFFF"/>
          </w:tcPr>
          <w:p w14:paraId="07366E25" w14:textId="56844E53"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.3</w:t>
            </w:r>
            <w:r w:rsidR="004B2158" w:rsidRPr="00A51A17">
              <w:rPr>
                <w:lang w:val="en-GB"/>
              </w:rPr>
              <w:t>3</w:t>
            </w:r>
            <w:r w:rsidRPr="00A51A17">
              <w:rPr>
                <w:vertAlign w:val="subscript"/>
                <w:lang w:val="en-GB"/>
              </w:rPr>
              <w:t>(11</w:t>
            </w:r>
            <w:r w:rsidR="004B2158" w:rsidRPr="00A51A17">
              <w:rPr>
                <w:vertAlign w:val="subscript"/>
                <w:lang w:val="en-GB"/>
              </w:rPr>
              <w:t>29</w:t>
            </w:r>
            <w:r w:rsidRPr="00A51A17">
              <w:rPr>
                <w:vertAlign w:val="subscript"/>
                <w:lang w:val="en-GB"/>
              </w:rPr>
              <w:t>)</w:t>
            </w:r>
          </w:p>
        </w:tc>
        <w:tc>
          <w:tcPr>
            <w:tcW w:w="721" w:type="pct"/>
            <w:tcBorders>
              <w:top w:val="nil"/>
              <w:left w:val="nil"/>
              <w:bottom w:val="nil"/>
              <w:right w:val="nil"/>
            </w:tcBorders>
            <w:shd w:val="clear" w:color="auto" w:fill="FFFFFF"/>
          </w:tcPr>
          <w:p w14:paraId="4051A946" w14:textId="02229FC7"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.7</w:t>
            </w:r>
            <w:r w:rsidR="004B2158" w:rsidRPr="00A51A17">
              <w:rPr>
                <w:lang w:val="en-GB"/>
              </w:rPr>
              <w:t>40</w:t>
            </w:r>
          </w:p>
        </w:tc>
      </w:tr>
      <w:tr w:rsidR="00A51A17" w:rsidRPr="00A51A17" w14:paraId="7AE166CF" w14:textId="17D7B78D" w:rsidTr="00966E7F">
        <w:trPr>
          <w:cantSplit/>
        </w:trPr>
        <w:tc>
          <w:tcPr>
            <w:tcW w:w="1083" w:type="pct"/>
            <w:tcBorders>
              <w:top w:val="nil"/>
              <w:left w:val="nil"/>
              <w:bottom w:val="nil"/>
              <w:right w:val="nil"/>
            </w:tcBorders>
            <w:shd w:val="clear" w:color="auto" w:fill="auto"/>
          </w:tcPr>
          <w:p w14:paraId="6C90BC0D" w14:textId="489C8946" w:rsidR="00966E7F" w:rsidRPr="00A51A17" w:rsidRDefault="00966E7F" w:rsidP="003271F1">
            <w:pPr>
              <w:autoSpaceDE w:val="0"/>
              <w:autoSpaceDN w:val="0"/>
              <w:adjustRightInd w:val="0"/>
              <w:spacing w:line="320" w:lineRule="atLeast"/>
              <w:ind w:left="60" w:right="60" w:firstLine="507"/>
            </w:pPr>
            <w:r w:rsidRPr="00A51A17">
              <w:t>Sample 2</w:t>
            </w:r>
          </w:p>
        </w:tc>
        <w:tc>
          <w:tcPr>
            <w:tcW w:w="826" w:type="pct"/>
            <w:tcBorders>
              <w:top w:val="nil"/>
              <w:left w:val="nil"/>
              <w:bottom w:val="nil"/>
              <w:right w:val="nil"/>
            </w:tcBorders>
          </w:tcPr>
          <w:p w14:paraId="078B27DA" w14:textId="48720236"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20.30</w:t>
            </w:r>
            <w:r w:rsidR="00966E7F" w:rsidRPr="00A51A17">
              <w:rPr>
                <w:lang w:val="en-GB"/>
              </w:rPr>
              <w:t>(</w:t>
            </w:r>
            <w:r w:rsidRPr="00A51A17">
              <w:rPr>
                <w:lang w:val="en-GB"/>
              </w:rPr>
              <w:t>13</w:t>
            </w:r>
            <w:r w:rsidR="00966E7F" w:rsidRPr="00A51A17">
              <w:rPr>
                <w:lang w:val="en-GB"/>
              </w:rPr>
              <w:t>.6</w:t>
            </w:r>
            <w:r w:rsidRPr="00A51A17">
              <w:rPr>
                <w:lang w:val="en-GB"/>
              </w:rPr>
              <w:t>2</w:t>
            </w:r>
            <w:r w:rsidR="00966E7F" w:rsidRPr="00A51A17">
              <w:rPr>
                <w:lang w:val="en-GB"/>
              </w:rPr>
              <w:t>)</w:t>
            </w:r>
          </w:p>
        </w:tc>
        <w:tc>
          <w:tcPr>
            <w:tcW w:w="361" w:type="pct"/>
            <w:tcBorders>
              <w:top w:val="nil"/>
              <w:left w:val="nil"/>
              <w:bottom w:val="nil"/>
              <w:right w:val="nil"/>
            </w:tcBorders>
            <w:shd w:val="clear" w:color="auto" w:fill="FFFFFF"/>
          </w:tcPr>
          <w:p w14:paraId="008483AE" w14:textId="53EDDEDB" w:rsidR="00966E7F" w:rsidRPr="00A51A17" w:rsidRDefault="00966E7F" w:rsidP="0045662F">
            <w:pPr>
              <w:autoSpaceDE w:val="0"/>
              <w:autoSpaceDN w:val="0"/>
              <w:adjustRightInd w:val="0"/>
              <w:spacing w:line="320" w:lineRule="atLeast"/>
              <w:ind w:left="60" w:right="60"/>
              <w:jc w:val="center"/>
              <w:rPr>
                <w:lang w:val="en-GB"/>
              </w:rPr>
            </w:pPr>
            <w:r w:rsidRPr="00A51A17">
              <w:rPr>
                <w:lang w:val="en-GB"/>
              </w:rPr>
              <w:t>0-</w:t>
            </w:r>
            <w:r w:rsidR="0045662F" w:rsidRPr="00A51A17">
              <w:rPr>
                <w:lang w:val="en-GB"/>
              </w:rPr>
              <w:t>62</w:t>
            </w:r>
          </w:p>
        </w:tc>
        <w:tc>
          <w:tcPr>
            <w:tcW w:w="825" w:type="pct"/>
            <w:tcBorders>
              <w:top w:val="nil"/>
              <w:left w:val="nil"/>
              <w:bottom w:val="nil"/>
              <w:right w:val="nil"/>
            </w:tcBorders>
            <w:shd w:val="clear" w:color="auto" w:fill="FFFFFF"/>
          </w:tcPr>
          <w:p w14:paraId="76BC6780" w14:textId="796E5DE2" w:rsidR="00966E7F" w:rsidRPr="00A51A17" w:rsidRDefault="00966E7F" w:rsidP="00D602B7">
            <w:pPr>
              <w:autoSpaceDE w:val="0"/>
              <w:autoSpaceDN w:val="0"/>
              <w:adjustRightInd w:val="0"/>
              <w:spacing w:line="320" w:lineRule="atLeast"/>
              <w:ind w:left="60" w:right="60"/>
              <w:jc w:val="center"/>
              <w:rPr>
                <w:lang w:val="en-GB"/>
              </w:rPr>
            </w:pPr>
            <w:r w:rsidRPr="00A51A17">
              <w:rPr>
                <w:lang w:val="en-GB"/>
              </w:rPr>
              <w:t>.66(.102)</w:t>
            </w:r>
          </w:p>
        </w:tc>
        <w:tc>
          <w:tcPr>
            <w:tcW w:w="463" w:type="pct"/>
            <w:tcBorders>
              <w:top w:val="nil"/>
              <w:left w:val="nil"/>
              <w:bottom w:val="nil"/>
              <w:right w:val="nil"/>
            </w:tcBorders>
            <w:shd w:val="clear" w:color="auto" w:fill="FFFFFF"/>
          </w:tcPr>
          <w:p w14:paraId="34DB89AB" w14:textId="6579B657" w:rsidR="00966E7F" w:rsidRPr="00A51A17" w:rsidRDefault="00966E7F" w:rsidP="0045662F">
            <w:pPr>
              <w:autoSpaceDE w:val="0"/>
              <w:autoSpaceDN w:val="0"/>
              <w:adjustRightInd w:val="0"/>
              <w:spacing w:line="320" w:lineRule="atLeast"/>
              <w:ind w:left="60" w:right="60"/>
              <w:jc w:val="center"/>
              <w:rPr>
                <w:lang w:val="en-GB"/>
              </w:rPr>
            </w:pPr>
            <w:r w:rsidRPr="00A51A17">
              <w:rPr>
                <w:lang w:val="en-GB"/>
              </w:rPr>
              <w:t>-.0</w:t>
            </w:r>
            <w:r w:rsidR="0045662F" w:rsidRPr="00A51A17">
              <w:rPr>
                <w:lang w:val="en-GB"/>
              </w:rPr>
              <w:t>4</w:t>
            </w:r>
            <w:r w:rsidRPr="00A51A17">
              <w:rPr>
                <w:lang w:val="en-GB"/>
              </w:rPr>
              <w:t>(.203)</w:t>
            </w:r>
          </w:p>
        </w:tc>
        <w:tc>
          <w:tcPr>
            <w:tcW w:w="721" w:type="pct"/>
            <w:tcBorders>
              <w:top w:val="nil"/>
              <w:left w:val="nil"/>
              <w:bottom w:val="nil"/>
              <w:right w:val="nil"/>
            </w:tcBorders>
            <w:shd w:val="clear" w:color="auto" w:fill="FFFFFF"/>
          </w:tcPr>
          <w:p w14:paraId="653D4733"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49A95CE3"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43C5E947" w14:textId="015D40F1" w:rsidTr="00966E7F">
        <w:trPr>
          <w:cantSplit/>
        </w:trPr>
        <w:tc>
          <w:tcPr>
            <w:tcW w:w="1083" w:type="pct"/>
            <w:tcBorders>
              <w:top w:val="nil"/>
              <w:left w:val="nil"/>
              <w:bottom w:val="nil"/>
              <w:right w:val="nil"/>
            </w:tcBorders>
            <w:shd w:val="clear" w:color="auto" w:fill="auto"/>
          </w:tcPr>
          <w:p w14:paraId="705E9B79" w14:textId="4E023763" w:rsidR="00966E7F" w:rsidRPr="00A51A17" w:rsidRDefault="00966E7F" w:rsidP="003271F1">
            <w:pPr>
              <w:autoSpaceDE w:val="0"/>
              <w:autoSpaceDN w:val="0"/>
              <w:adjustRightInd w:val="0"/>
              <w:spacing w:line="320" w:lineRule="atLeast"/>
              <w:ind w:left="60" w:right="60"/>
              <w:rPr>
                <w:lang w:val="en-GB"/>
              </w:rPr>
            </w:pPr>
            <w:r w:rsidRPr="00A51A17">
              <w:rPr>
                <w:lang w:val="en-US"/>
              </w:rPr>
              <w:t xml:space="preserve">Health </w:t>
            </w:r>
            <w:r w:rsidR="00A022A5" w:rsidRPr="00A51A17">
              <w:rPr>
                <w:lang w:val="en-US"/>
              </w:rPr>
              <w:t>a</w:t>
            </w:r>
            <w:r w:rsidRPr="00A51A17">
              <w:rPr>
                <w:lang w:val="en-US"/>
              </w:rPr>
              <w:t>nxiety</w:t>
            </w:r>
          </w:p>
        </w:tc>
        <w:tc>
          <w:tcPr>
            <w:tcW w:w="826" w:type="pct"/>
            <w:tcBorders>
              <w:top w:val="nil"/>
              <w:left w:val="nil"/>
              <w:bottom w:val="nil"/>
              <w:right w:val="nil"/>
            </w:tcBorders>
          </w:tcPr>
          <w:p w14:paraId="787F5E46" w14:textId="542CB9CA" w:rsidR="00966E7F" w:rsidRPr="00A51A17" w:rsidRDefault="00966E7F" w:rsidP="00D602B7">
            <w:pPr>
              <w:autoSpaceDE w:val="0"/>
              <w:autoSpaceDN w:val="0"/>
              <w:adjustRightInd w:val="0"/>
              <w:spacing w:line="320" w:lineRule="atLeast"/>
              <w:ind w:left="60" w:right="60"/>
              <w:jc w:val="center"/>
              <w:rPr>
                <w:lang w:val="en-GB"/>
              </w:rPr>
            </w:pPr>
          </w:p>
        </w:tc>
        <w:tc>
          <w:tcPr>
            <w:tcW w:w="361" w:type="pct"/>
            <w:tcBorders>
              <w:top w:val="nil"/>
              <w:left w:val="nil"/>
              <w:bottom w:val="nil"/>
              <w:right w:val="nil"/>
            </w:tcBorders>
            <w:shd w:val="clear" w:color="auto" w:fill="FFFFFF"/>
          </w:tcPr>
          <w:p w14:paraId="4950A43B" w14:textId="4E956411" w:rsidR="00966E7F" w:rsidRPr="00A51A17" w:rsidRDefault="00966E7F" w:rsidP="00D602B7">
            <w:pPr>
              <w:autoSpaceDE w:val="0"/>
              <w:autoSpaceDN w:val="0"/>
              <w:adjustRightInd w:val="0"/>
              <w:spacing w:line="320" w:lineRule="atLeast"/>
              <w:ind w:left="60" w:right="60"/>
              <w:jc w:val="center"/>
              <w:rPr>
                <w:lang w:val="en-GB"/>
              </w:rPr>
            </w:pPr>
          </w:p>
        </w:tc>
        <w:tc>
          <w:tcPr>
            <w:tcW w:w="825" w:type="pct"/>
            <w:tcBorders>
              <w:top w:val="nil"/>
              <w:left w:val="nil"/>
              <w:bottom w:val="nil"/>
              <w:right w:val="nil"/>
            </w:tcBorders>
            <w:shd w:val="clear" w:color="auto" w:fill="FFFFFF"/>
          </w:tcPr>
          <w:p w14:paraId="35B94E91" w14:textId="0B581E77" w:rsidR="00966E7F" w:rsidRPr="00A51A17" w:rsidRDefault="00966E7F" w:rsidP="00D602B7">
            <w:pPr>
              <w:autoSpaceDE w:val="0"/>
              <w:autoSpaceDN w:val="0"/>
              <w:adjustRightInd w:val="0"/>
              <w:spacing w:line="320" w:lineRule="atLeast"/>
              <w:ind w:left="60" w:right="60"/>
              <w:jc w:val="center"/>
              <w:rPr>
                <w:lang w:val="en-GB"/>
              </w:rPr>
            </w:pPr>
          </w:p>
        </w:tc>
        <w:tc>
          <w:tcPr>
            <w:tcW w:w="463" w:type="pct"/>
            <w:tcBorders>
              <w:top w:val="nil"/>
              <w:left w:val="nil"/>
              <w:bottom w:val="nil"/>
              <w:right w:val="nil"/>
            </w:tcBorders>
            <w:shd w:val="clear" w:color="auto" w:fill="FFFFFF"/>
          </w:tcPr>
          <w:p w14:paraId="2107D011" w14:textId="469CE05D"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48FE01B1"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7191142C"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76F07696" w14:textId="65BFC5C8" w:rsidTr="00966E7F">
        <w:trPr>
          <w:cantSplit/>
        </w:trPr>
        <w:tc>
          <w:tcPr>
            <w:tcW w:w="1083" w:type="pct"/>
            <w:tcBorders>
              <w:top w:val="nil"/>
              <w:left w:val="nil"/>
              <w:bottom w:val="nil"/>
              <w:right w:val="nil"/>
            </w:tcBorders>
            <w:shd w:val="clear" w:color="auto" w:fill="auto"/>
          </w:tcPr>
          <w:p w14:paraId="4786C137" w14:textId="41757701" w:rsidR="00966E7F" w:rsidRPr="00A51A17" w:rsidRDefault="00966E7F" w:rsidP="003271F1">
            <w:pPr>
              <w:autoSpaceDE w:val="0"/>
              <w:autoSpaceDN w:val="0"/>
              <w:adjustRightInd w:val="0"/>
              <w:spacing w:line="320" w:lineRule="atLeast"/>
              <w:ind w:left="60" w:right="60" w:firstLine="507"/>
              <w:rPr>
                <w:lang w:val="en-US"/>
              </w:rPr>
            </w:pPr>
            <w:r w:rsidRPr="00A51A17">
              <w:rPr>
                <w:lang w:val="en-US"/>
              </w:rPr>
              <w:t>Sample 1</w:t>
            </w:r>
          </w:p>
        </w:tc>
        <w:tc>
          <w:tcPr>
            <w:tcW w:w="826" w:type="pct"/>
            <w:tcBorders>
              <w:top w:val="nil"/>
              <w:left w:val="nil"/>
              <w:bottom w:val="nil"/>
              <w:right w:val="nil"/>
            </w:tcBorders>
          </w:tcPr>
          <w:p w14:paraId="17AF2D7B" w14:textId="5EBC3995" w:rsidR="00966E7F" w:rsidRPr="00A51A17" w:rsidRDefault="004B2158" w:rsidP="003271F1">
            <w:pPr>
              <w:autoSpaceDE w:val="0"/>
              <w:autoSpaceDN w:val="0"/>
              <w:adjustRightInd w:val="0"/>
              <w:spacing w:line="320" w:lineRule="atLeast"/>
              <w:ind w:left="60" w:right="60"/>
              <w:jc w:val="center"/>
              <w:rPr>
                <w:lang w:val="en-GB"/>
              </w:rPr>
            </w:pPr>
            <w:r w:rsidRPr="00A51A17">
              <w:rPr>
                <w:lang w:val="en-GB"/>
              </w:rPr>
              <w:t>41.02(11.96</w:t>
            </w:r>
            <w:r w:rsidR="00966E7F" w:rsidRPr="00A51A17">
              <w:rPr>
                <w:lang w:val="en-GB"/>
              </w:rPr>
              <w:t>)</w:t>
            </w:r>
          </w:p>
        </w:tc>
        <w:tc>
          <w:tcPr>
            <w:tcW w:w="361" w:type="pct"/>
            <w:tcBorders>
              <w:top w:val="nil"/>
              <w:left w:val="nil"/>
              <w:bottom w:val="nil"/>
              <w:right w:val="nil"/>
            </w:tcBorders>
            <w:shd w:val="clear" w:color="auto" w:fill="FFFFFF"/>
          </w:tcPr>
          <w:p w14:paraId="36707AA3" w14:textId="10659576" w:rsidR="00966E7F" w:rsidRPr="00A51A17" w:rsidRDefault="00400162" w:rsidP="00400162">
            <w:pPr>
              <w:autoSpaceDE w:val="0"/>
              <w:autoSpaceDN w:val="0"/>
              <w:adjustRightInd w:val="0"/>
              <w:spacing w:line="320" w:lineRule="atLeast"/>
              <w:ind w:left="60" w:right="60"/>
              <w:jc w:val="center"/>
              <w:rPr>
                <w:lang w:val="en-GB"/>
              </w:rPr>
            </w:pPr>
            <w:r w:rsidRPr="00A51A17">
              <w:rPr>
                <w:lang w:val="en-GB"/>
              </w:rPr>
              <w:t>2</w:t>
            </w:r>
            <w:r w:rsidR="00966E7F" w:rsidRPr="00A51A17">
              <w:rPr>
                <w:lang w:val="en-GB"/>
              </w:rPr>
              <w:t>1-</w:t>
            </w:r>
            <w:r w:rsidRPr="00A51A17">
              <w:rPr>
                <w:lang w:val="en-GB"/>
              </w:rPr>
              <w:t>80</w:t>
            </w:r>
          </w:p>
        </w:tc>
        <w:tc>
          <w:tcPr>
            <w:tcW w:w="825" w:type="pct"/>
            <w:tcBorders>
              <w:top w:val="nil"/>
              <w:left w:val="nil"/>
              <w:bottom w:val="nil"/>
              <w:right w:val="nil"/>
            </w:tcBorders>
            <w:shd w:val="clear" w:color="auto" w:fill="FFFFFF"/>
          </w:tcPr>
          <w:p w14:paraId="141D867A" w14:textId="510D2B5D" w:rsidR="00966E7F" w:rsidRPr="00A51A17" w:rsidRDefault="00C90560" w:rsidP="00C90560">
            <w:pPr>
              <w:autoSpaceDE w:val="0"/>
              <w:autoSpaceDN w:val="0"/>
              <w:adjustRightInd w:val="0"/>
              <w:spacing w:line="320" w:lineRule="atLeast"/>
              <w:ind w:left="60" w:right="60"/>
              <w:jc w:val="center"/>
              <w:rPr>
                <w:lang w:val="en-GB"/>
              </w:rPr>
            </w:pPr>
            <w:r w:rsidRPr="00A51A17">
              <w:rPr>
                <w:lang w:val="en-GB"/>
              </w:rPr>
              <w:t>.81</w:t>
            </w:r>
            <w:r w:rsidR="00966E7F" w:rsidRPr="00A51A17">
              <w:rPr>
                <w:lang w:val="en-GB"/>
              </w:rPr>
              <w:t>(.10</w:t>
            </w:r>
            <w:r w:rsidRPr="00A51A17">
              <w:rPr>
                <w:lang w:val="en-GB"/>
              </w:rPr>
              <w:t>4</w:t>
            </w:r>
            <w:r w:rsidR="00966E7F" w:rsidRPr="00A51A17">
              <w:rPr>
                <w:lang w:val="en-GB"/>
              </w:rPr>
              <w:t>)</w:t>
            </w:r>
          </w:p>
        </w:tc>
        <w:tc>
          <w:tcPr>
            <w:tcW w:w="463" w:type="pct"/>
            <w:tcBorders>
              <w:top w:val="nil"/>
              <w:left w:val="nil"/>
              <w:bottom w:val="nil"/>
              <w:right w:val="nil"/>
            </w:tcBorders>
            <w:shd w:val="clear" w:color="auto" w:fill="FFFFFF"/>
          </w:tcPr>
          <w:p w14:paraId="4BBC9FD5" w14:textId="25395F2B"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w:t>
            </w:r>
            <w:r w:rsidR="00C90560" w:rsidRPr="00A51A17">
              <w:rPr>
                <w:lang w:val="en-GB"/>
              </w:rPr>
              <w:t>17</w:t>
            </w:r>
            <w:r w:rsidRPr="00A51A17">
              <w:rPr>
                <w:lang w:val="en-GB"/>
              </w:rPr>
              <w:t>(.20</w:t>
            </w:r>
            <w:r w:rsidR="00C90560" w:rsidRPr="00A51A17">
              <w:rPr>
                <w:lang w:val="en-GB"/>
              </w:rPr>
              <w:t>7</w:t>
            </w:r>
            <w:r w:rsidRPr="00A51A17">
              <w:rPr>
                <w:lang w:val="en-GB"/>
              </w:rPr>
              <w:t>)</w:t>
            </w:r>
          </w:p>
        </w:tc>
        <w:tc>
          <w:tcPr>
            <w:tcW w:w="721" w:type="pct"/>
            <w:tcBorders>
              <w:top w:val="nil"/>
              <w:left w:val="nil"/>
              <w:bottom w:val="nil"/>
              <w:right w:val="nil"/>
            </w:tcBorders>
            <w:shd w:val="clear" w:color="auto" w:fill="FFFFFF"/>
          </w:tcPr>
          <w:p w14:paraId="1E4C79FC" w14:textId="16161A12"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1</w:t>
            </w:r>
            <w:r w:rsidR="00966E7F" w:rsidRPr="00A51A17">
              <w:rPr>
                <w:lang w:val="en-GB"/>
              </w:rPr>
              <w:t>.</w:t>
            </w:r>
            <w:r w:rsidRPr="00A51A17">
              <w:rPr>
                <w:lang w:val="en-GB"/>
              </w:rPr>
              <w:t>05</w:t>
            </w:r>
            <w:r w:rsidR="00966E7F" w:rsidRPr="00A51A17">
              <w:rPr>
                <w:vertAlign w:val="subscript"/>
                <w:lang w:val="en-GB"/>
              </w:rPr>
              <w:t>(11</w:t>
            </w:r>
            <w:r w:rsidRPr="00A51A17">
              <w:rPr>
                <w:vertAlign w:val="subscript"/>
                <w:lang w:val="en-GB"/>
              </w:rPr>
              <w:t>29</w:t>
            </w:r>
            <w:r w:rsidR="00966E7F" w:rsidRPr="00A51A17">
              <w:rPr>
                <w:vertAlign w:val="subscript"/>
                <w:lang w:val="en-GB"/>
              </w:rPr>
              <w:t>)</w:t>
            </w:r>
          </w:p>
        </w:tc>
        <w:tc>
          <w:tcPr>
            <w:tcW w:w="721" w:type="pct"/>
            <w:tcBorders>
              <w:top w:val="nil"/>
              <w:left w:val="nil"/>
              <w:bottom w:val="nil"/>
              <w:right w:val="nil"/>
            </w:tcBorders>
            <w:shd w:val="clear" w:color="auto" w:fill="FFFFFF"/>
          </w:tcPr>
          <w:p w14:paraId="09138152" w14:textId="49F684DD"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w:t>
            </w:r>
            <w:r w:rsidR="004B2158" w:rsidRPr="00A51A17">
              <w:rPr>
                <w:lang w:val="en-GB"/>
              </w:rPr>
              <w:t>295</w:t>
            </w:r>
          </w:p>
        </w:tc>
      </w:tr>
      <w:tr w:rsidR="00A51A17" w:rsidRPr="00A51A17" w14:paraId="1D3B93BD" w14:textId="4C54DD56" w:rsidTr="00966E7F">
        <w:trPr>
          <w:cantSplit/>
        </w:trPr>
        <w:tc>
          <w:tcPr>
            <w:tcW w:w="1083" w:type="pct"/>
            <w:tcBorders>
              <w:top w:val="nil"/>
              <w:left w:val="nil"/>
              <w:bottom w:val="nil"/>
              <w:right w:val="nil"/>
            </w:tcBorders>
            <w:shd w:val="clear" w:color="auto" w:fill="auto"/>
          </w:tcPr>
          <w:p w14:paraId="5A8B9336" w14:textId="526336A2" w:rsidR="00966E7F" w:rsidRPr="00A51A17" w:rsidRDefault="00966E7F" w:rsidP="003271F1">
            <w:pPr>
              <w:autoSpaceDE w:val="0"/>
              <w:autoSpaceDN w:val="0"/>
              <w:adjustRightInd w:val="0"/>
              <w:spacing w:line="320" w:lineRule="atLeast"/>
              <w:ind w:left="60" w:right="60" w:firstLine="507"/>
              <w:rPr>
                <w:lang w:val="en-US"/>
              </w:rPr>
            </w:pPr>
            <w:r w:rsidRPr="00A51A17">
              <w:rPr>
                <w:lang w:val="en-US"/>
              </w:rPr>
              <w:t>Sample 2</w:t>
            </w:r>
          </w:p>
        </w:tc>
        <w:tc>
          <w:tcPr>
            <w:tcW w:w="826" w:type="pct"/>
            <w:tcBorders>
              <w:top w:val="nil"/>
              <w:left w:val="nil"/>
              <w:bottom w:val="nil"/>
              <w:right w:val="nil"/>
            </w:tcBorders>
          </w:tcPr>
          <w:p w14:paraId="379B5C21" w14:textId="2E5E1ADF"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40.26</w:t>
            </w:r>
            <w:r w:rsidR="00966E7F" w:rsidRPr="00A51A17">
              <w:rPr>
                <w:lang w:val="en-GB"/>
              </w:rPr>
              <w:t>(</w:t>
            </w:r>
            <w:r w:rsidRPr="00A51A17">
              <w:rPr>
                <w:lang w:val="en-GB"/>
              </w:rPr>
              <w:t>12</w:t>
            </w:r>
            <w:r w:rsidR="00966E7F" w:rsidRPr="00A51A17">
              <w:rPr>
                <w:lang w:val="en-GB"/>
              </w:rPr>
              <w:t>.</w:t>
            </w:r>
            <w:r w:rsidRPr="00A51A17">
              <w:rPr>
                <w:lang w:val="en-GB"/>
              </w:rPr>
              <w:t>34</w:t>
            </w:r>
            <w:r w:rsidR="00966E7F" w:rsidRPr="00A51A17">
              <w:rPr>
                <w:lang w:val="en-GB"/>
              </w:rPr>
              <w:t>)</w:t>
            </w:r>
          </w:p>
        </w:tc>
        <w:tc>
          <w:tcPr>
            <w:tcW w:w="361" w:type="pct"/>
            <w:tcBorders>
              <w:top w:val="nil"/>
              <w:left w:val="nil"/>
              <w:bottom w:val="nil"/>
              <w:right w:val="nil"/>
            </w:tcBorders>
            <w:shd w:val="clear" w:color="auto" w:fill="FFFFFF"/>
          </w:tcPr>
          <w:p w14:paraId="5E2A2BD6" w14:textId="3D910076" w:rsidR="00966E7F" w:rsidRPr="00A51A17" w:rsidRDefault="0045662F" w:rsidP="0045662F">
            <w:pPr>
              <w:autoSpaceDE w:val="0"/>
              <w:autoSpaceDN w:val="0"/>
              <w:adjustRightInd w:val="0"/>
              <w:spacing w:line="320" w:lineRule="atLeast"/>
              <w:ind w:left="60" w:right="60"/>
              <w:jc w:val="center"/>
              <w:rPr>
                <w:lang w:val="en-GB"/>
              </w:rPr>
            </w:pPr>
            <w:r w:rsidRPr="00A51A17">
              <w:rPr>
                <w:lang w:val="en-GB"/>
              </w:rPr>
              <w:t>2</w:t>
            </w:r>
            <w:r w:rsidR="00966E7F" w:rsidRPr="00A51A17">
              <w:rPr>
                <w:lang w:val="en-GB"/>
              </w:rPr>
              <w:t>1-</w:t>
            </w:r>
            <w:r w:rsidRPr="00A51A17">
              <w:rPr>
                <w:lang w:val="en-GB"/>
              </w:rPr>
              <w:t>83</w:t>
            </w:r>
          </w:p>
        </w:tc>
        <w:tc>
          <w:tcPr>
            <w:tcW w:w="825" w:type="pct"/>
            <w:tcBorders>
              <w:top w:val="nil"/>
              <w:left w:val="nil"/>
              <w:bottom w:val="nil"/>
              <w:right w:val="nil"/>
            </w:tcBorders>
            <w:shd w:val="clear" w:color="auto" w:fill="FFFFFF"/>
          </w:tcPr>
          <w:p w14:paraId="12E0A662" w14:textId="03F1360F" w:rsidR="00966E7F" w:rsidRPr="00A51A17" w:rsidRDefault="0045662F" w:rsidP="00D602B7">
            <w:pPr>
              <w:autoSpaceDE w:val="0"/>
              <w:autoSpaceDN w:val="0"/>
              <w:adjustRightInd w:val="0"/>
              <w:spacing w:line="320" w:lineRule="atLeast"/>
              <w:ind w:left="60" w:right="60"/>
              <w:jc w:val="center"/>
              <w:rPr>
                <w:lang w:val="en-GB"/>
              </w:rPr>
            </w:pPr>
            <w:r w:rsidRPr="00A51A17">
              <w:rPr>
                <w:lang w:val="en-GB"/>
              </w:rPr>
              <w:t>.79</w:t>
            </w:r>
            <w:r w:rsidR="00966E7F" w:rsidRPr="00A51A17">
              <w:rPr>
                <w:lang w:val="en-GB"/>
              </w:rPr>
              <w:t>(102)</w:t>
            </w:r>
          </w:p>
        </w:tc>
        <w:tc>
          <w:tcPr>
            <w:tcW w:w="463" w:type="pct"/>
            <w:tcBorders>
              <w:top w:val="nil"/>
              <w:left w:val="nil"/>
              <w:bottom w:val="nil"/>
              <w:right w:val="nil"/>
            </w:tcBorders>
            <w:shd w:val="clear" w:color="auto" w:fill="FFFFFF"/>
          </w:tcPr>
          <w:p w14:paraId="4F5BB7D2" w14:textId="1CE01BE3" w:rsidR="00966E7F" w:rsidRPr="00A51A17" w:rsidRDefault="00966E7F" w:rsidP="0045662F">
            <w:pPr>
              <w:autoSpaceDE w:val="0"/>
              <w:autoSpaceDN w:val="0"/>
              <w:adjustRightInd w:val="0"/>
              <w:spacing w:line="320" w:lineRule="atLeast"/>
              <w:ind w:left="60" w:right="60"/>
              <w:jc w:val="center"/>
              <w:rPr>
                <w:lang w:val="en-GB"/>
              </w:rPr>
            </w:pPr>
            <w:r w:rsidRPr="00A51A17">
              <w:rPr>
                <w:lang w:val="en-GB"/>
              </w:rPr>
              <w:t>.</w:t>
            </w:r>
            <w:r w:rsidR="0045662F" w:rsidRPr="00A51A17">
              <w:rPr>
                <w:lang w:val="en-GB"/>
              </w:rPr>
              <w:t>12</w:t>
            </w:r>
            <w:r w:rsidRPr="00A51A17">
              <w:rPr>
                <w:lang w:val="en-GB"/>
              </w:rPr>
              <w:t>(.203)</w:t>
            </w:r>
          </w:p>
        </w:tc>
        <w:tc>
          <w:tcPr>
            <w:tcW w:w="721" w:type="pct"/>
            <w:tcBorders>
              <w:top w:val="nil"/>
              <w:left w:val="nil"/>
              <w:bottom w:val="nil"/>
              <w:right w:val="nil"/>
            </w:tcBorders>
            <w:shd w:val="clear" w:color="auto" w:fill="FFFFFF"/>
          </w:tcPr>
          <w:p w14:paraId="0CA7D24D"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6EBC0F12"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6657B460" w14:textId="3F9B15C8" w:rsidTr="00966E7F">
        <w:trPr>
          <w:cantSplit/>
        </w:trPr>
        <w:tc>
          <w:tcPr>
            <w:tcW w:w="1083" w:type="pct"/>
            <w:tcBorders>
              <w:top w:val="nil"/>
              <w:left w:val="nil"/>
              <w:bottom w:val="nil"/>
              <w:right w:val="nil"/>
            </w:tcBorders>
            <w:shd w:val="clear" w:color="auto" w:fill="auto"/>
          </w:tcPr>
          <w:p w14:paraId="1A931F1D" w14:textId="1C427863" w:rsidR="00966E7F" w:rsidRPr="00A51A17" w:rsidRDefault="00966E7F" w:rsidP="00D602B7">
            <w:pPr>
              <w:autoSpaceDE w:val="0"/>
              <w:autoSpaceDN w:val="0"/>
              <w:adjustRightInd w:val="0"/>
              <w:spacing w:line="320" w:lineRule="atLeast"/>
              <w:ind w:left="60" w:right="60"/>
              <w:rPr>
                <w:lang w:val="en-GB"/>
              </w:rPr>
            </w:pPr>
            <w:r w:rsidRPr="00A51A17">
              <w:rPr>
                <w:lang w:val="en-US"/>
              </w:rPr>
              <w:t>Cyberchondria</w:t>
            </w:r>
          </w:p>
        </w:tc>
        <w:tc>
          <w:tcPr>
            <w:tcW w:w="826" w:type="pct"/>
            <w:tcBorders>
              <w:top w:val="nil"/>
              <w:left w:val="nil"/>
              <w:bottom w:val="nil"/>
              <w:right w:val="nil"/>
            </w:tcBorders>
          </w:tcPr>
          <w:p w14:paraId="191D589B" w14:textId="5CCAD851" w:rsidR="00966E7F" w:rsidRPr="00A51A17" w:rsidRDefault="00966E7F" w:rsidP="003271F1">
            <w:pPr>
              <w:autoSpaceDE w:val="0"/>
              <w:autoSpaceDN w:val="0"/>
              <w:adjustRightInd w:val="0"/>
              <w:spacing w:line="320" w:lineRule="atLeast"/>
              <w:ind w:left="60" w:right="60"/>
              <w:jc w:val="center"/>
              <w:rPr>
                <w:lang w:val="en-GB"/>
              </w:rPr>
            </w:pPr>
          </w:p>
        </w:tc>
        <w:tc>
          <w:tcPr>
            <w:tcW w:w="361" w:type="pct"/>
            <w:tcBorders>
              <w:top w:val="nil"/>
              <w:left w:val="nil"/>
              <w:bottom w:val="nil"/>
              <w:right w:val="nil"/>
            </w:tcBorders>
            <w:shd w:val="clear" w:color="auto" w:fill="FFFFFF"/>
          </w:tcPr>
          <w:p w14:paraId="15DCE736" w14:textId="19FEBDFA" w:rsidR="00966E7F" w:rsidRPr="00A51A17" w:rsidRDefault="00966E7F" w:rsidP="003271F1">
            <w:pPr>
              <w:autoSpaceDE w:val="0"/>
              <w:autoSpaceDN w:val="0"/>
              <w:adjustRightInd w:val="0"/>
              <w:spacing w:line="320" w:lineRule="atLeast"/>
              <w:ind w:left="60" w:right="60"/>
              <w:jc w:val="center"/>
              <w:rPr>
                <w:lang w:val="en-GB"/>
              </w:rPr>
            </w:pPr>
          </w:p>
        </w:tc>
        <w:tc>
          <w:tcPr>
            <w:tcW w:w="825" w:type="pct"/>
            <w:tcBorders>
              <w:top w:val="nil"/>
              <w:left w:val="nil"/>
              <w:bottom w:val="nil"/>
              <w:right w:val="nil"/>
            </w:tcBorders>
            <w:shd w:val="clear" w:color="auto" w:fill="FFFFFF"/>
          </w:tcPr>
          <w:p w14:paraId="569EBF3C" w14:textId="042852D7" w:rsidR="00966E7F" w:rsidRPr="00A51A17" w:rsidRDefault="00966E7F" w:rsidP="003271F1">
            <w:pPr>
              <w:autoSpaceDE w:val="0"/>
              <w:autoSpaceDN w:val="0"/>
              <w:adjustRightInd w:val="0"/>
              <w:spacing w:line="320" w:lineRule="atLeast"/>
              <w:ind w:left="60" w:right="60"/>
              <w:jc w:val="center"/>
              <w:rPr>
                <w:lang w:val="en-GB"/>
              </w:rPr>
            </w:pPr>
          </w:p>
        </w:tc>
        <w:tc>
          <w:tcPr>
            <w:tcW w:w="463" w:type="pct"/>
            <w:tcBorders>
              <w:top w:val="nil"/>
              <w:left w:val="nil"/>
              <w:bottom w:val="nil"/>
              <w:right w:val="nil"/>
            </w:tcBorders>
            <w:shd w:val="clear" w:color="auto" w:fill="FFFFFF"/>
          </w:tcPr>
          <w:p w14:paraId="231B389D" w14:textId="2F12ED5A" w:rsidR="00966E7F" w:rsidRPr="00A51A17" w:rsidRDefault="00966E7F" w:rsidP="00CA27F0">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66E2B334"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3B9F773E"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5E8E7C83" w14:textId="6FAE5A57" w:rsidTr="00966E7F">
        <w:trPr>
          <w:cantSplit/>
        </w:trPr>
        <w:tc>
          <w:tcPr>
            <w:tcW w:w="1083" w:type="pct"/>
            <w:tcBorders>
              <w:top w:val="nil"/>
              <w:left w:val="nil"/>
              <w:bottom w:val="nil"/>
              <w:right w:val="nil"/>
            </w:tcBorders>
            <w:shd w:val="clear" w:color="auto" w:fill="auto"/>
          </w:tcPr>
          <w:p w14:paraId="7D6D1182" w14:textId="45D3F1A2" w:rsidR="00966E7F" w:rsidRPr="00A51A17" w:rsidRDefault="00966E7F" w:rsidP="00CA27F0">
            <w:pPr>
              <w:autoSpaceDE w:val="0"/>
              <w:autoSpaceDN w:val="0"/>
              <w:adjustRightInd w:val="0"/>
              <w:spacing w:line="320" w:lineRule="atLeast"/>
              <w:ind w:left="60" w:right="60" w:firstLine="507"/>
              <w:rPr>
                <w:lang w:val="en-US"/>
              </w:rPr>
            </w:pPr>
            <w:r w:rsidRPr="00A51A17">
              <w:rPr>
                <w:lang w:val="en-US"/>
              </w:rPr>
              <w:t>Sample 1</w:t>
            </w:r>
          </w:p>
        </w:tc>
        <w:tc>
          <w:tcPr>
            <w:tcW w:w="826" w:type="pct"/>
            <w:tcBorders>
              <w:top w:val="nil"/>
              <w:left w:val="nil"/>
              <w:bottom w:val="nil"/>
              <w:right w:val="nil"/>
            </w:tcBorders>
          </w:tcPr>
          <w:p w14:paraId="5C45A4FB" w14:textId="6BF4C1ED" w:rsidR="00966E7F" w:rsidRPr="00A51A17" w:rsidRDefault="004B2158" w:rsidP="003271F1">
            <w:pPr>
              <w:autoSpaceDE w:val="0"/>
              <w:autoSpaceDN w:val="0"/>
              <w:adjustRightInd w:val="0"/>
              <w:spacing w:line="320" w:lineRule="atLeast"/>
              <w:ind w:left="60" w:right="60"/>
              <w:jc w:val="center"/>
              <w:rPr>
                <w:lang w:val="en-GB"/>
              </w:rPr>
            </w:pPr>
            <w:r w:rsidRPr="00A51A17">
              <w:rPr>
                <w:lang w:val="en-GB"/>
              </w:rPr>
              <w:t>50.20</w:t>
            </w:r>
            <w:r w:rsidR="00966E7F" w:rsidRPr="00A51A17">
              <w:rPr>
                <w:lang w:val="en-GB"/>
              </w:rPr>
              <w:t>(</w:t>
            </w:r>
            <w:r w:rsidRPr="00A51A17">
              <w:rPr>
                <w:lang w:val="en-GB"/>
              </w:rPr>
              <w:t>19.87</w:t>
            </w:r>
            <w:r w:rsidR="00966E7F" w:rsidRPr="00A51A17">
              <w:rPr>
                <w:lang w:val="en-GB"/>
              </w:rPr>
              <w:t>)</w:t>
            </w:r>
          </w:p>
        </w:tc>
        <w:tc>
          <w:tcPr>
            <w:tcW w:w="361" w:type="pct"/>
            <w:tcBorders>
              <w:top w:val="nil"/>
              <w:left w:val="nil"/>
              <w:bottom w:val="nil"/>
              <w:right w:val="nil"/>
            </w:tcBorders>
            <w:shd w:val="clear" w:color="auto" w:fill="FFFFFF"/>
          </w:tcPr>
          <w:p w14:paraId="76D71BA7" w14:textId="09F71512" w:rsidR="00966E7F" w:rsidRPr="00A51A17" w:rsidRDefault="00C90560" w:rsidP="00C90560">
            <w:pPr>
              <w:autoSpaceDE w:val="0"/>
              <w:autoSpaceDN w:val="0"/>
              <w:adjustRightInd w:val="0"/>
              <w:spacing w:line="320" w:lineRule="atLeast"/>
              <w:ind w:left="60" w:right="60"/>
              <w:jc w:val="center"/>
              <w:rPr>
                <w:lang w:val="en-GB"/>
              </w:rPr>
            </w:pPr>
            <w:r w:rsidRPr="00A51A17">
              <w:rPr>
                <w:lang w:val="en-GB"/>
              </w:rPr>
              <w:t>29</w:t>
            </w:r>
            <w:r w:rsidR="00966E7F" w:rsidRPr="00A51A17">
              <w:rPr>
                <w:lang w:val="en-GB"/>
              </w:rPr>
              <w:t>-</w:t>
            </w:r>
            <w:r w:rsidR="00400162" w:rsidRPr="00A51A17">
              <w:rPr>
                <w:lang w:val="en-GB"/>
              </w:rPr>
              <w:t>1</w:t>
            </w:r>
            <w:r w:rsidRPr="00A51A17">
              <w:rPr>
                <w:lang w:val="en-GB"/>
              </w:rPr>
              <w:t>35</w:t>
            </w:r>
          </w:p>
        </w:tc>
        <w:tc>
          <w:tcPr>
            <w:tcW w:w="825" w:type="pct"/>
            <w:tcBorders>
              <w:top w:val="nil"/>
              <w:left w:val="nil"/>
              <w:bottom w:val="nil"/>
              <w:right w:val="nil"/>
            </w:tcBorders>
            <w:shd w:val="clear" w:color="auto" w:fill="FFFFFF"/>
          </w:tcPr>
          <w:p w14:paraId="354CDA24" w14:textId="5976D169"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1.</w:t>
            </w:r>
            <w:r w:rsidR="00C90560" w:rsidRPr="00A51A17">
              <w:rPr>
                <w:lang w:val="en-GB"/>
              </w:rPr>
              <w:t>15(.104</w:t>
            </w:r>
            <w:r w:rsidRPr="00A51A17">
              <w:rPr>
                <w:lang w:val="en-GB"/>
              </w:rPr>
              <w:t>)</w:t>
            </w:r>
          </w:p>
        </w:tc>
        <w:tc>
          <w:tcPr>
            <w:tcW w:w="463" w:type="pct"/>
            <w:tcBorders>
              <w:top w:val="nil"/>
              <w:left w:val="nil"/>
              <w:bottom w:val="nil"/>
              <w:right w:val="nil"/>
            </w:tcBorders>
            <w:shd w:val="clear" w:color="auto" w:fill="FFFFFF"/>
          </w:tcPr>
          <w:p w14:paraId="6059764F" w14:textId="3DD0E417"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.9</w:t>
            </w:r>
            <w:r w:rsidR="00C90560" w:rsidRPr="00A51A17">
              <w:rPr>
                <w:lang w:val="en-GB"/>
              </w:rPr>
              <w:t>9</w:t>
            </w:r>
            <w:r w:rsidRPr="00A51A17">
              <w:rPr>
                <w:lang w:val="en-GB"/>
              </w:rPr>
              <w:t>(.20</w:t>
            </w:r>
            <w:r w:rsidR="00C90560" w:rsidRPr="00A51A17">
              <w:rPr>
                <w:lang w:val="en-GB"/>
              </w:rPr>
              <w:t>7</w:t>
            </w:r>
            <w:r w:rsidRPr="00A51A17">
              <w:rPr>
                <w:lang w:val="en-GB"/>
              </w:rPr>
              <w:t>)</w:t>
            </w:r>
          </w:p>
        </w:tc>
        <w:tc>
          <w:tcPr>
            <w:tcW w:w="721" w:type="pct"/>
            <w:tcBorders>
              <w:top w:val="nil"/>
              <w:left w:val="nil"/>
              <w:bottom w:val="nil"/>
              <w:right w:val="nil"/>
            </w:tcBorders>
            <w:shd w:val="clear" w:color="auto" w:fill="FFFFFF"/>
          </w:tcPr>
          <w:p w14:paraId="631CAFBB" w14:textId="306AEC2C"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1.7</w:t>
            </w:r>
            <w:r w:rsidR="004B2158" w:rsidRPr="00A51A17">
              <w:rPr>
                <w:lang w:val="en-GB"/>
              </w:rPr>
              <w:t>3</w:t>
            </w:r>
            <w:r w:rsidR="004B2158" w:rsidRPr="00A51A17">
              <w:rPr>
                <w:vertAlign w:val="subscript"/>
                <w:lang w:val="en-GB"/>
              </w:rPr>
              <w:t>(1107.11</w:t>
            </w:r>
            <w:r w:rsidRPr="00A51A17">
              <w:rPr>
                <w:vertAlign w:val="subscript"/>
                <w:lang w:val="en-GB"/>
              </w:rPr>
              <w:t>)</w:t>
            </w:r>
          </w:p>
        </w:tc>
        <w:tc>
          <w:tcPr>
            <w:tcW w:w="721" w:type="pct"/>
            <w:tcBorders>
              <w:top w:val="nil"/>
              <w:left w:val="nil"/>
              <w:bottom w:val="nil"/>
              <w:right w:val="nil"/>
            </w:tcBorders>
            <w:shd w:val="clear" w:color="auto" w:fill="FFFFFF"/>
          </w:tcPr>
          <w:p w14:paraId="0ECCAD20" w14:textId="58D92FDD"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.08</w:t>
            </w:r>
            <w:r w:rsidR="004B2158" w:rsidRPr="00A51A17">
              <w:rPr>
                <w:lang w:val="en-GB"/>
              </w:rPr>
              <w:t>5</w:t>
            </w:r>
          </w:p>
        </w:tc>
      </w:tr>
      <w:tr w:rsidR="00A51A17" w:rsidRPr="00A51A17" w14:paraId="01620766" w14:textId="5D1A5F4B" w:rsidTr="00966E7F">
        <w:trPr>
          <w:cantSplit/>
        </w:trPr>
        <w:tc>
          <w:tcPr>
            <w:tcW w:w="1083" w:type="pct"/>
            <w:tcBorders>
              <w:top w:val="nil"/>
              <w:left w:val="nil"/>
              <w:bottom w:val="nil"/>
              <w:right w:val="nil"/>
            </w:tcBorders>
            <w:shd w:val="clear" w:color="auto" w:fill="auto"/>
          </w:tcPr>
          <w:p w14:paraId="480081A7" w14:textId="6EE9A166" w:rsidR="00966E7F" w:rsidRPr="00A51A17" w:rsidRDefault="00966E7F" w:rsidP="00CA27F0">
            <w:pPr>
              <w:autoSpaceDE w:val="0"/>
              <w:autoSpaceDN w:val="0"/>
              <w:adjustRightInd w:val="0"/>
              <w:spacing w:line="320" w:lineRule="atLeast"/>
              <w:ind w:left="60" w:right="60" w:firstLine="507"/>
              <w:rPr>
                <w:lang w:val="en-US"/>
              </w:rPr>
            </w:pPr>
            <w:r w:rsidRPr="00A51A17">
              <w:rPr>
                <w:lang w:val="en-US"/>
              </w:rPr>
              <w:t>Sample 2</w:t>
            </w:r>
          </w:p>
        </w:tc>
        <w:tc>
          <w:tcPr>
            <w:tcW w:w="826" w:type="pct"/>
            <w:tcBorders>
              <w:top w:val="nil"/>
              <w:left w:val="nil"/>
              <w:bottom w:val="nil"/>
              <w:right w:val="nil"/>
            </w:tcBorders>
          </w:tcPr>
          <w:p w14:paraId="567AB4AA" w14:textId="4574E149"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48</w:t>
            </w:r>
            <w:r w:rsidR="00966E7F" w:rsidRPr="00A51A17">
              <w:rPr>
                <w:lang w:val="en-GB"/>
              </w:rPr>
              <w:t>.</w:t>
            </w:r>
            <w:r w:rsidRPr="00A51A17">
              <w:rPr>
                <w:lang w:val="en-GB"/>
              </w:rPr>
              <w:t>26</w:t>
            </w:r>
            <w:r w:rsidR="00966E7F" w:rsidRPr="00A51A17">
              <w:rPr>
                <w:lang w:val="en-GB"/>
              </w:rPr>
              <w:t>(</w:t>
            </w:r>
            <w:r w:rsidRPr="00A51A17">
              <w:rPr>
                <w:lang w:val="en-GB"/>
              </w:rPr>
              <w:t>17</w:t>
            </w:r>
            <w:r w:rsidR="00966E7F" w:rsidRPr="00A51A17">
              <w:rPr>
                <w:lang w:val="en-GB"/>
              </w:rPr>
              <w:t>.</w:t>
            </w:r>
            <w:r w:rsidRPr="00A51A17">
              <w:rPr>
                <w:lang w:val="en-GB"/>
              </w:rPr>
              <w:t>84</w:t>
            </w:r>
            <w:r w:rsidR="00966E7F" w:rsidRPr="00A51A17">
              <w:rPr>
                <w:lang w:val="en-GB"/>
              </w:rPr>
              <w:t>)</w:t>
            </w:r>
          </w:p>
        </w:tc>
        <w:tc>
          <w:tcPr>
            <w:tcW w:w="361" w:type="pct"/>
            <w:tcBorders>
              <w:top w:val="nil"/>
              <w:left w:val="nil"/>
              <w:bottom w:val="nil"/>
              <w:right w:val="nil"/>
            </w:tcBorders>
            <w:shd w:val="clear" w:color="auto" w:fill="FFFFFF"/>
          </w:tcPr>
          <w:p w14:paraId="3C71C529" w14:textId="3ECE7B6A" w:rsidR="00966E7F" w:rsidRPr="00A51A17" w:rsidRDefault="0045662F" w:rsidP="0045662F">
            <w:pPr>
              <w:autoSpaceDE w:val="0"/>
              <w:autoSpaceDN w:val="0"/>
              <w:adjustRightInd w:val="0"/>
              <w:spacing w:line="320" w:lineRule="atLeast"/>
              <w:ind w:left="60" w:right="60"/>
              <w:jc w:val="center"/>
              <w:rPr>
                <w:lang w:val="en-GB"/>
              </w:rPr>
            </w:pPr>
            <w:r w:rsidRPr="00A51A17">
              <w:rPr>
                <w:lang w:val="en-GB"/>
              </w:rPr>
              <w:t>29</w:t>
            </w:r>
            <w:r w:rsidR="00966E7F" w:rsidRPr="00A51A17">
              <w:rPr>
                <w:lang w:val="en-GB"/>
              </w:rPr>
              <w:t>-</w:t>
            </w:r>
            <w:r w:rsidRPr="00A51A17">
              <w:rPr>
                <w:lang w:val="en-GB"/>
              </w:rPr>
              <w:t>125</w:t>
            </w:r>
          </w:p>
        </w:tc>
        <w:tc>
          <w:tcPr>
            <w:tcW w:w="825" w:type="pct"/>
            <w:tcBorders>
              <w:top w:val="nil"/>
              <w:left w:val="nil"/>
              <w:bottom w:val="nil"/>
              <w:right w:val="nil"/>
            </w:tcBorders>
            <w:shd w:val="clear" w:color="auto" w:fill="FFFFFF"/>
          </w:tcPr>
          <w:p w14:paraId="73A582D8" w14:textId="6798620B" w:rsidR="00966E7F" w:rsidRPr="00A51A17" w:rsidRDefault="0045662F" w:rsidP="00A64A03">
            <w:pPr>
              <w:autoSpaceDE w:val="0"/>
              <w:autoSpaceDN w:val="0"/>
              <w:adjustRightInd w:val="0"/>
              <w:spacing w:line="320" w:lineRule="atLeast"/>
              <w:ind w:left="60" w:right="60"/>
              <w:jc w:val="center"/>
              <w:rPr>
                <w:lang w:val="en-GB"/>
              </w:rPr>
            </w:pPr>
            <w:r w:rsidRPr="00A51A17">
              <w:rPr>
                <w:lang w:val="en-GB"/>
              </w:rPr>
              <w:t>1.25</w:t>
            </w:r>
            <w:r w:rsidR="00966E7F" w:rsidRPr="00A51A17">
              <w:rPr>
                <w:lang w:val="en-GB"/>
              </w:rPr>
              <w:t>(.102)</w:t>
            </w:r>
          </w:p>
        </w:tc>
        <w:tc>
          <w:tcPr>
            <w:tcW w:w="463" w:type="pct"/>
            <w:tcBorders>
              <w:top w:val="nil"/>
              <w:left w:val="nil"/>
              <w:bottom w:val="nil"/>
              <w:right w:val="nil"/>
            </w:tcBorders>
            <w:shd w:val="clear" w:color="auto" w:fill="FFFFFF"/>
          </w:tcPr>
          <w:p w14:paraId="2F998737" w14:textId="10463EFF" w:rsidR="00966E7F" w:rsidRPr="00A51A17" w:rsidRDefault="00966E7F" w:rsidP="0045662F">
            <w:pPr>
              <w:autoSpaceDE w:val="0"/>
              <w:autoSpaceDN w:val="0"/>
              <w:adjustRightInd w:val="0"/>
              <w:spacing w:line="320" w:lineRule="atLeast"/>
              <w:ind w:left="60" w:right="60"/>
              <w:jc w:val="center"/>
              <w:rPr>
                <w:lang w:val="en-GB"/>
              </w:rPr>
            </w:pPr>
            <w:r w:rsidRPr="00A51A17">
              <w:rPr>
                <w:lang w:val="en-GB"/>
              </w:rPr>
              <w:t>1.5</w:t>
            </w:r>
            <w:r w:rsidR="0045662F" w:rsidRPr="00A51A17">
              <w:rPr>
                <w:lang w:val="en-GB"/>
              </w:rPr>
              <w:t>9</w:t>
            </w:r>
            <w:r w:rsidRPr="00A51A17">
              <w:rPr>
                <w:lang w:val="en-GB"/>
              </w:rPr>
              <w:t>(.203)</w:t>
            </w:r>
          </w:p>
        </w:tc>
        <w:tc>
          <w:tcPr>
            <w:tcW w:w="721" w:type="pct"/>
            <w:tcBorders>
              <w:top w:val="nil"/>
              <w:left w:val="nil"/>
              <w:bottom w:val="nil"/>
              <w:right w:val="nil"/>
            </w:tcBorders>
            <w:shd w:val="clear" w:color="auto" w:fill="FFFFFF"/>
          </w:tcPr>
          <w:p w14:paraId="2FE50E4A"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57C6A2B3"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241FECCD" w14:textId="7A5CA0CA" w:rsidTr="00966E7F">
        <w:trPr>
          <w:cantSplit/>
        </w:trPr>
        <w:tc>
          <w:tcPr>
            <w:tcW w:w="1083" w:type="pct"/>
            <w:tcBorders>
              <w:top w:val="nil"/>
              <w:left w:val="nil"/>
              <w:bottom w:val="nil"/>
              <w:right w:val="nil"/>
            </w:tcBorders>
            <w:shd w:val="clear" w:color="auto" w:fill="auto"/>
          </w:tcPr>
          <w:p w14:paraId="4DAFC2CE" w14:textId="65DA2E5D" w:rsidR="00966E7F" w:rsidRPr="00A51A17" w:rsidRDefault="00966E7F" w:rsidP="00D602B7">
            <w:pPr>
              <w:autoSpaceDE w:val="0"/>
              <w:autoSpaceDN w:val="0"/>
              <w:adjustRightInd w:val="0"/>
              <w:spacing w:line="320" w:lineRule="atLeast"/>
              <w:ind w:left="60" w:right="60"/>
              <w:rPr>
                <w:lang w:val="en-GB"/>
              </w:rPr>
            </w:pPr>
            <w:r w:rsidRPr="00A51A17">
              <w:rPr>
                <w:lang w:val="en-US"/>
              </w:rPr>
              <w:t xml:space="preserve">Problematic </w:t>
            </w:r>
            <w:r w:rsidR="00A022A5" w:rsidRPr="00A51A17">
              <w:rPr>
                <w:lang w:val="en-US"/>
              </w:rPr>
              <w:t>i</w:t>
            </w:r>
            <w:r w:rsidRPr="00A51A17">
              <w:rPr>
                <w:lang w:val="en-US"/>
              </w:rPr>
              <w:t xml:space="preserve">nternet </w:t>
            </w:r>
            <w:r w:rsidR="00A022A5" w:rsidRPr="00A51A17">
              <w:rPr>
                <w:lang w:val="en-US"/>
              </w:rPr>
              <w:t>u</w:t>
            </w:r>
            <w:r w:rsidRPr="00A51A17">
              <w:rPr>
                <w:lang w:val="en-US"/>
              </w:rPr>
              <w:t>se</w:t>
            </w:r>
          </w:p>
        </w:tc>
        <w:tc>
          <w:tcPr>
            <w:tcW w:w="826" w:type="pct"/>
            <w:tcBorders>
              <w:top w:val="nil"/>
              <w:left w:val="nil"/>
              <w:bottom w:val="nil"/>
              <w:right w:val="nil"/>
            </w:tcBorders>
          </w:tcPr>
          <w:p w14:paraId="6AD1434F" w14:textId="0B9BA157" w:rsidR="00966E7F" w:rsidRPr="00A51A17" w:rsidRDefault="00966E7F" w:rsidP="00D602B7">
            <w:pPr>
              <w:autoSpaceDE w:val="0"/>
              <w:autoSpaceDN w:val="0"/>
              <w:adjustRightInd w:val="0"/>
              <w:spacing w:line="320" w:lineRule="atLeast"/>
              <w:ind w:left="60" w:right="60"/>
              <w:jc w:val="center"/>
              <w:rPr>
                <w:lang w:val="en-GB"/>
              </w:rPr>
            </w:pPr>
          </w:p>
        </w:tc>
        <w:tc>
          <w:tcPr>
            <w:tcW w:w="361" w:type="pct"/>
            <w:tcBorders>
              <w:top w:val="nil"/>
              <w:left w:val="nil"/>
              <w:bottom w:val="nil"/>
              <w:right w:val="nil"/>
            </w:tcBorders>
            <w:shd w:val="clear" w:color="auto" w:fill="FFFFFF"/>
          </w:tcPr>
          <w:p w14:paraId="79100BCE" w14:textId="3D7D5110" w:rsidR="00966E7F" w:rsidRPr="00A51A17" w:rsidRDefault="00966E7F" w:rsidP="00D602B7">
            <w:pPr>
              <w:autoSpaceDE w:val="0"/>
              <w:autoSpaceDN w:val="0"/>
              <w:adjustRightInd w:val="0"/>
              <w:spacing w:line="320" w:lineRule="atLeast"/>
              <w:ind w:left="60" w:right="60"/>
              <w:jc w:val="center"/>
              <w:rPr>
                <w:lang w:val="en-GB"/>
              </w:rPr>
            </w:pPr>
          </w:p>
        </w:tc>
        <w:tc>
          <w:tcPr>
            <w:tcW w:w="825" w:type="pct"/>
            <w:tcBorders>
              <w:top w:val="nil"/>
              <w:left w:val="nil"/>
              <w:bottom w:val="nil"/>
              <w:right w:val="nil"/>
            </w:tcBorders>
            <w:shd w:val="clear" w:color="auto" w:fill="FFFFFF"/>
          </w:tcPr>
          <w:p w14:paraId="77A1E36E" w14:textId="0BC5C759" w:rsidR="00966E7F" w:rsidRPr="00A51A17" w:rsidRDefault="00966E7F" w:rsidP="00D602B7">
            <w:pPr>
              <w:autoSpaceDE w:val="0"/>
              <w:autoSpaceDN w:val="0"/>
              <w:adjustRightInd w:val="0"/>
              <w:spacing w:line="320" w:lineRule="atLeast"/>
              <w:ind w:left="60" w:right="60"/>
              <w:jc w:val="center"/>
              <w:rPr>
                <w:lang w:val="en-GB"/>
              </w:rPr>
            </w:pPr>
          </w:p>
        </w:tc>
        <w:tc>
          <w:tcPr>
            <w:tcW w:w="463" w:type="pct"/>
            <w:tcBorders>
              <w:top w:val="nil"/>
              <w:left w:val="nil"/>
              <w:bottom w:val="nil"/>
              <w:right w:val="nil"/>
            </w:tcBorders>
            <w:shd w:val="clear" w:color="auto" w:fill="FFFFFF"/>
          </w:tcPr>
          <w:p w14:paraId="189EEE12" w14:textId="320F3089"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386A70F9"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4E915793"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36DD6315" w14:textId="38D97559" w:rsidTr="00966E7F">
        <w:trPr>
          <w:cantSplit/>
        </w:trPr>
        <w:tc>
          <w:tcPr>
            <w:tcW w:w="1083" w:type="pct"/>
            <w:tcBorders>
              <w:top w:val="nil"/>
              <w:left w:val="nil"/>
              <w:bottom w:val="nil"/>
              <w:right w:val="nil"/>
            </w:tcBorders>
            <w:shd w:val="clear" w:color="auto" w:fill="auto"/>
          </w:tcPr>
          <w:p w14:paraId="2B2A448A" w14:textId="40F4C267" w:rsidR="00966E7F" w:rsidRPr="00A51A17" w:rsidRDefault="00966E7F" w:rsidP="00CA27F0">
            <w:pPr>
              <w:autoSpaceDE w:val="0"/>
              <w:autoSpaceDN w:val="0"/>
              <w:adjustRightInd w:val="0"/>
              <w:spacing w:line="320" w:lineRule="atLeast"/>
              <w:ind w:left="60" w:right="60" w:firstLine="507"/>
              <w:rPr>
                <w:lang w:val="en-US"/>
              </w:rPr>
            </w:pPr>
            <w:r w:rsidRPr="00A51A17">
              <w:rPr>
                <w:lang w:val="en-US"/>
              </w:rPr>
              <w:t>Sample 1</w:t>
            </w:r>
          </w:p>
        </w:tc>
        <w:tc>
          <w:tcPr>
            <w:tcW w:w="826" w:type="pct"/>
            <w:tcBorders>
              <w:top w:val="nil"/>
              <w:left w:val="nil"/>
              <w:bottom w:val="nil"/>
              <w:right w:val="nil"/>
            </w:tcBorders>
          </w:tcPr>
          <w:p w14:paraId="0F9421E6" w14:textId="24F02F7C"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35</w:t>
            </w:r>
            <w:r w:rsidR="00966E7F" w:rsidRPr="00A51A17">
              <w:rPr>
                <w:lang w:val="en-GB"/>
              </w:rPr>
              <w:t>.</w:t>
            </w:r>
            <w:r w:rsidRPr="00A51A17">
              <w:rPr>
                <w:lang w:val="en-GB"/>
              </w:rPr>
              <w:t>55</w:t>
            </w:r>
            <w:r w:rsidR="00966E7F" w:rsidRPr="00A51A17">
              <w:rPr>
                <w:lang w:val="en-GB"/>
              </w:rPr>
              <w:t>(1</w:t>
            </w:r>
            <w:r w:rsidRPr="00A51A17">
              <w:rPr>
                <w:lang w:val="en-GB"/>
              </w:rPr>
              <w:t>7.87</w:t>
            </w:r>
            <w:r w:rsidR="00966E7F" w:rsidRPr="00A51A17">
              <w:rPr>
                <w:lang w:val="en-GB"/>
              </w:rPr>
              <w:t>)</w:t>
            </w:r>
          </w:p>
        </w:tc>
        <w:tc>
          <w:tcPr>
            <w:tcW w:w="361" w:type="pct"/>
            <w:tcBorders>
              <w:top w:val="nil"/>
              <w:left w:val="nil"/>
              <w:bottom w:val="nil"/>
              <w:right w:val="nil"/>
            </w:tcBorders>
            <w:shd w:val="clear" w:color="auto" w:fill="FFFFFF"/>
          </w:tcPr>
          <w:p w14:paraId="40E53E22" w14:textId="3816A72F"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1</w:t>
            </w:r>
            <w:r w:rsidR="00C90560" w:rsidRPr="00A51A17">
              <w:rPr>
                <w:lang w:val="en-GB"/>
              </w:rPr>
              <w:t>5</w:t>
            </w:r>
            <w:r w:rsidRPr="00A51A17">
              <w:rPr>
                <w:lang w:val="en-GB"/>
              </w:rPr>
              <w:t>-</w:t>
            </w:r>
            <w:r w:rsidR="00C90560" w:rsidRPr="00A51A17">
              <w:rPr>
                <w:lang w:val="en-GB"/>
              </w:rPr>
              <w:t>118</w:t>
            </w:r>
          </w:p>
        </w:tc>
        <w:tc>
          <w:tcPr>
            <w:tcW w:w="825" w:type="pct"/>
            <w:tcBorders>
              <w:top w:val="nil"/>
              <w:left w:val="nil"/>
              <w:bottom w:val="nil"/>
              <w:right w:val="nil"/>
            </w:tcBorders>
            <w:shd w:val="clear" w:color="auto" w:fill="FFFFFF"/>
          </w:tcPr>
          <w:p w14:paraId="358D866E" w14:textId="3EB813D0"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1.28(.10</w:t>
            </w:r>
            <w:r w:rsidR="00C90560" w:rsidRPr="00A51A17">
              <w:rPr>
                <w:lang w:val="en-GB"/>
              </w:rPr>
              <w:t>4</w:t>
            </w:r>
            <w:r w:rsidRPr="00A51A17">
              <w:rPr>
                <w:lang w:val="en-GB"/>
              </w:rPr>
              <w:t>)</w:t>
            </w:r>
          </w:p>
        </w:tc>
        <w:tc>
          <w:tcPr>
            <w:tcW w:w="463" w:type="pct"/>
            <w:tcBorders>
              <w:top w:val="nil"/>
              <w:left w:val="nil"/>
              <w:bottom w:val="nil"/>
              <w:right w:val="nil"/>
            </w:tcBorders>
            <w:shd w:val="clear" w:color="auto" w:fill="FFFFFF"/>
          </w:tcPr>
          <w:p w14:paraId="116AE8E7" w14:textId="4BC22370"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1.9</w:t>
            </w:r>
            <w:r w:rsidR="00C90560" w:rsidRPr="00A51A17">
              <w:rPr>
                <w:lang w:val="en-GB"/>
              </w:rPr>
              <w:t>3</w:t>
            </w:r>
            <w:r w:rsidRPr="00A51A17">
              <w:rPr>
                <w:lang w:val="en-GB"/>
              </w:rPr>
              <w:t>(.20</w:t>
            </w:r>
            <w:r w:rsidR="00C90560" w:rsidRPr="00A51A17">
              <w:rPr>
                <w:lang w:val="en-GB"/>
              </w:rPr>
              <w:t>7</w:t>
            </w:r>
            <w:r w:rsidRPr="00A51A17">
              <w:rPr>
                <w:lang w:val="en-GB"/>
              </w:rPr>
              <w:t>)</w:t>
            </w:r>
          </w:p>
        </w:tc>
        <w:tc>
          <w:tcPr>
            <w:tcW w:w="721" w:type="pct"/>
            <w:tcBorders>
              <w:top w:val="nil"/>
              <w:left w:val="nil"/>
              <w:bottom w:val="nil"/>
              <w:right w:val="nil"/>
            </w:tcBorders>
            <w:shd w:val="clear" w:color="auto" w:fill="FFFFFF"/>
          </w:tcPr>
          <w:p w14:paraId="4D75AF92" w14:textId="0B8E4287"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-5.0</w:t>
            </w:r>
            <w:r w:rsidR="004B2158" w:rsidRPr="00A51A17">
              <w:rPr>
                <w:lang w:val="en-GB"/>
              </w:rPr>
              <w:t>2</w:t>
            </w:r>
            <w:r w:rsidRPr="00A51A17">
              <w:rPr>
                <w:vertAlign w:val="subscript"/>
                <w:lang w:val="en-GB"/>
              </w:rPr>
              <w:t>(11</w:t>
            </w:r>
            <w:r w:rsidR="004B2158" w:rsidRPr="00A51A17">
              <w:rPr>
                <w:vertAlign w:val="subscript"/>
                <w:lang w:val="en-GB"/>
              </w:rPr>
              <w:t>29</w:t>
            </w:r>
            <w:r w:rsidRPr="00A51A17">
              <w:rPr>
                <w:vertAlign w:val="subscript"/>
                <w:lang w:val="en-GB"/>
              </w:rPr>
              <w:t>)</w:t>
            </w:r>
          </w:p>
        </w:tc>
        <w:tc>
          <w:tcPr>
            <w:tcW w:w="721" w:type="pct"/>
            <w:tcBorders>
              <w:top w:val="nil"/>
              <w:left w:val="nil"/>
              <w:bottom w:val="nil"/>
              <w:right w:val="nil"/>
            </w:tcBorders>
            <w:shd w:val="clear" w:color="auto" w:fill="FFFFFF"/>
          </w:tcPr>
          <w:p w14:paraId="0977B419" w14:textId="2031281A" w:rsidR="00966E7F" w:rsidRPr="00A51A17" w:rsidRDefault="00966E7F" w:rsidP="00D602B7">
            <w:pPr>
              <w:autoSpaceDE w:val="0"/>
              <w:autoSpaceDN w:val="0"/>
              <w:adjustRightInd w:val="0"/>
              <w:spacing w:line="320" w:lineRule="atLeast"/>
              <w:ind w:left="60" w:right="60"/>
              <w:jc w:val="center"/>
              <w:rPr>
                <w:lang w:val="en-GB"/>
              </w:rPr>
            </w:pPr>
            <w:r w:rsidRPr="00A51A17">
              <w:rPr>
                <w:lang w:val="en-GB"/>
              </w:rPr>
              <w:t>&lt;.001</w:t>
            </w:r>
          </w:p>
        </w:tc>
      </w:tr>
      <w:tr w:rsidR="00A51A17" w:rsidRPr="00A51A17" w14:paraId="22BEB74C" w14:textId="5044D19D" w:rsidTr="00966E7F">
        <w:trPr>
          <w:cantSplit/>
        </w:trPr>
        <w:tc>
          <w:tcPr>
            <w:tcW w:w="1083" w:type="pct"/>
            <w:tcBorders>
              <w:top w:val="nil"/>
              <w:left w:val="nil"/>
              <w:bottom w:val="nil"/>
              <w:right w:val="nil"/>
            </w:tcBorders>
            <w:shd w:val="clear" w:color="auto" w:fill="auto"/>
          </w:tcPr>
          <w:p w14:paraId="18F4291B" w14:textId="08D2CC8D" w:rsidR="00966E7F" w:rsidRPr="00A51A17" w:rsidRDefault="00966E7F" w:rsidP="00CA27F0">
            <w:pPr>
              <w:autoSpaceDE w:val="0"/>
              <w:autoSpaceDN w:val="0"/>
              <w:adjustRightInd w:val="0"/>
              <w:spacing w:line="320" w:lineRule="atLeast"/>
              <w:ind w:left="60" w:right="60" w:firstLine="507"/>
              <w:rPr>
                <w:lang w:val="en-US"/>
              </w:rPr>
            </w:pPr>
            <w:r w:rsidRPr="00A51A17">
              <w:rPr>
                <w:lang w:val="en-US"/>
              </w:rPr>
              <w:t>Sample 2</w:t>
            </w:r>
          </w:p>
        </w:tc>
        <w:tc>
          <w:tcPr>
            <w:tcW w:w="826" w:type="pct"/>
            <w:tcBorders>
              <w:top w:val="nil"/>
              <w:left w:val="nil"/>
              <w:bottom w:val="nil"/>
              <w:right w:val="nil"/>
            </w:tcBorders>
          </w:tcPr>
          <w:p w14:paraId="69D99FB6" w14:textId="3CCE87A8"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40</w:t>
            </w:r>
            <w:r w:rsidR="00966E7F" w:rsidRPr="00A51A17">
              <w:rPr>
                <w:lang w:val="en-GB"/>
              </w:rPr>
              <w:t>.</w:t>
            </w:r>
            <w:r w:rsidRPr="00A51A17">
              <w:rPr>
                <w:lang w:val="en-GB"/>
              </w:rPr>
              <w:t>88</w:t>
            </w:r>
            <w:r w:rsidR="00966E7F" w:rsidRPr="00A51A17">
              <w:rPr>
                <w:lang w:val="en-GB"/>
              </w:rPr>
              <w:t>(1</w:t>
            </w:r>
            <w:r w:rsidRPr="00A51A17">
              <w:rPr>
                <w:lang w:val="en-GB"/>
              </w:rPr>
              <w:t>7</w:t>
            </w:r>
            <w:r w:rsidR="00966E7F" w:rsidRPr="00A51A17">
              <w:rPr>
                <w:lang w:val="en-GB"/>
              </w:rPr>
              <w:t>.</w:t>
            </w:r>
            <w:r w:rsidRPr="00A51A17">
              <w:rPr>
                <w:lang w:val="en-GB"/>
              </w:rPr>
              <w:t>87</w:t>
            </w:r>
            <w:r w:rsidR="00966E7F" w:rsidRPr="00A51A17">
              <w:rPr>
                <w:lang w:val="en-GB"/>
              </w:rPr>
              <w:t>)</w:t>
            </w:r>
          </w:p>
        </w:tc>
        <w:tc>
          <w:tcPr>
            <w:tcW w:w="361" w:type="pct"/>
            <w:tcBorders>
              <w:top w:val="nil"/>
              <w:left w:val="nil"/>
              <w:bottom w:val="nil"/>
              <w:right w:val="nil"/>
            </w:tcBorders>
            <w:shd w:val="clear" w:color="auto" w:fill="FFFFFF"/>
          </w:tcPr>
          <w:p w14:paraId="5CD0FE14" w14:textId="6D5A083E" w:rsidR="00966E7F" w:rsidRPr="00A51A17" w:rsidRDefault="00966E7F" w:rsidP="0045662F">
            <w:pPr>
              <w:autoSpaceDE w:val="0"/>
              <w:autoSpaceDN w:val="0"/>
              <w:adjustRightInd w:val="0"/>
              <w:spacing w:line="320" w:lineRule="atLeast"/>
              <w:ind w:left="60" w:right="60"/>
              <w:jc w:val="center"/>
              <w:rPr>
                <w:lang w:val="en-GB"/>
              </w:rPr>
            </w:pPr>
            <w:r w:rsidRPr="00A51A17">
              <w:rPr>
                <w:lang w:val="en-GB"/>
              </w:rPr>
              <w:t>1</w:t>
            </w:r>
            <w:r w:rsidR="0045662F" w:rsidRPr="00A51A17">
              <w:rPr>
                <w:lang w:val="en-GB"/>
              </w:rPr>
              <w:t>5</w:t>
            </w:r>
            <w:r w:rsidRPr="00A51A17">
              <w:rPr>
                <w:lang w:val="en-GB"/>
              </w:rPr>
              <w:t>-</w:t>
            </w:r>
            <w:r w:rsidR="0045662F" w:rsidRPr="00A51A17">
              <w:rPr>
                <w:lang w:val="en-GB"/>
              </w:rPr>
              <w:t>111</w:t>
            </w:r>
          </w:p>
        </w:tc>
        <w:tc>
          <w:tcPr>
            <w:tcW w:w="825" w:type="pct"/>
            <w:tcBorders>
              <w:top w:val="nil"/>
              <w:left w:val="nil"/>
              <w:bottom w:val="nil"/>
              <w:right w:val="nil"/>
            </w:tcBorders>
            <w:shd w:val="clear" w:color="auto" w:fill="FFFFFF"/>
          </w:tcPr>
          <w:p w14:paraId="58B033DC" w14:textId="25928995" w:rsidR="00966E7F" w:rsidRPr="00A51A17" w:rsidRDefault="0045662F" w:rsidP="00D602B7">
            <w:pPr>
              <w:autoSpaceDE w:val="0"/>
              <w:autoSpaceDN w:val="0"/>
              <w:adjustRightInd w:val="0"/>
              <w:spacing w:line="320" w:lineRule="atLeast"/>
              <w:ind w:left="60" w:right="60"/>
              <w:jc w:val="center"/>
              <w:rPr>
                <w:lang w:val="en-GB"/>
              </w:rPr>
            </w:pPr>
            <w:r w:rsidRPr="00A51A17">
              <w:rPr>
                <w:lang w:val="en-GB"/>
              </w:rPr>
              <w:t>.79</w:t>
            </w:r>
            <w:r w:rsidR="00966E7F" w:rsidRPr="00A51A17">
              <w:rPr>
                <w:lang w:val="en-GB"/>
              </w:rPr>
              <w:t>(.102)</w:t>
            </w:r>
          </w:p>
        </w:tc>
        <w:tc>
          <w:tcPr>
            <w:tcW w:w="463" w:type="pct"/>
            <w:tcBorders>
              <w:top w:val="nil"/>
              <w:left w:val="nil"/>
              <w:bottom w:val="nil"/>
              <w:right w:val="nil"/>
            </w:tcBorders>
            <w:shd w:val="clear" w:color="auto" w:fill="FFFFFF"/>
          </w:tcPr>
          <w:p w14:paraId="7AC25CA7" w14:textId="5F441BAF" w:rsidR="00966E7F" w:rsidRPr="00A51A17" w:rsidRDefault="00966E7F" w:rsidP="00D602B7">
            <w:pPr>
              <w:autoSpaceDE w:val="0"/>
              <w:autoSpaceDN w:val="0"/>
              <w:adjustRightInd w:val="0"/>
              <w:spacing w:line="320" w:lineRule="atLeast"/>
              <w:ind w:left="60" w:right="60"/>
              <w:jc w:val="center"/>
              <w:rPr>
                <w:lang w:val="en-GB"/>
              </w:rPr>
            </w:pPr>
            <w:r w:rsidRPr="00A51A17">
              <w:rPr>
                <w:lang w:val="en-GB"/>
              </w:rPr>
              <w:t>.51(.203)</w:t>
            </w:r>
          </w:p>
        </w:tc>
        <w:tc>
          <w:tcPr>
            <w:tcW w:w="721" w:type="pct"/>
            <w:tcBorders>
              <w:top w:val="nil"/>
              <w:left w:val="nil"/>
              <w:bottom w:val="nil"/>
              <w:right w:val="nil"/>
            </w:tcBorders>
            <w:shd w:val="clear" w:color="auto" w:fill="FFFFFF"/>
          </w:tcPr>
          <w:p w14:paraId="0D697BCA"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7B2A4627"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3781A154" w14:textId="1FD2495F" w:rsidTr="00966E7F">
        <w:trPr>
          <w:cantSplit/>
        </w:trPr>
        <w:tc>
          <w:tcPr>
            <w:tcW w:w="1083" w:type="pct"/>
            <w:tcBorders>
              <w:top w:val="nil"/>
              <w:left w:val="nil"/>
              <w:bottom w:val="nil"/>
              <w:right w:val="nil"/>
            </w:tcBorders>
            <w:shd w:val="clear" w:color="auto" w:fill="auto"/>
          </w:tcPr>
          <w:p w14:paraId="77CC3A27" w14:textId="6FF207A4" w:rsidR="00966E7F" w:rsidRPr="00A51A17" w:rsidRDefault="00966E7F" w:rsidP="00CA27F0">
            <w:pPr>
              <w:autoSpaceDE w:val="0"/>
              <w:autoSpaceDN w:val="0"/>
              <w:adjustRightInd w:val="0"/>
              <w:spacing w:line="320" w:lineRule="atLeast"/>
              <w:ind w:left="60" w:right="60"/>
              <w:rPr>
                <w:lang w:val="en-GB"/>
              </w:rPr>
            </w:pPr>
            <w:r w:rsidRPr="00A51A17">
              <w:rPr>
                <w:lang w:val="en-US"/>
              </w:rPr>
              <w:t>I</w:t>
            </w:r>
            <w:r w:rsidRPr="00A51A17">
              <w:t xml:space="preserve">ntolerance of </w:t>
            </w:r>
            <w:r w:rsidR="00A022A5" w:rsidRPr="00A51A17">
              <w:t>u</w:t>
            </w:r>
            <w:r w:rsidRPr="00A51A17">
              <w:t xml:space="preserve">ncertainty </w:t>
            </w:r>
          </w:p>
        </w:tc>
        <w:tc>
          <w:tcPr>
            <w:tcW w:w="826" w:type="pct"/>
            <w:tcBorders>
              <w:top w:val="nil"/>
              <w:left w:val="nil"/>
              <w:bottom w:val="nil"/>
              <w:right w:val="nil"/>
            </w:tcBorders>
          </w:tcPr>
          <w:p w14:paraId="70DFE785" w14:textId="78485BC2" w:rsidR="00966E7F" w:rsidRPr="00A51A17" w:rsidRDefault="00966E7F" w:rsidP="00D602B7">
            <w:pPr>
              <w:autoSpaceDE w:val="0"/>
              <w:autoSpaceDN w:val="0"/>
              <w:adjustRightInd w:val="0"/>
              <w:spacing w:line="320" w:lineRule="atLeast"/>
              <w:ind w:left="60" w:right="60"/>
              <w:jc w:val="center"/>
              <w:rPr>
                <w:lang w:val="en-GB"/>
              </w:rPr>
            </w:pPr>
          </w:p>
        </w:tc>
        <w:tc>
          <w:tcPr>
            <w:tcW w:w="361" w:type="pct"/>
            <w:tcBorders>
              <w:top w:val="nil"/>
              <w:left w:val="nil"/>
              <w:bottom w:val="nil"/>
              <w:right w:val="nil"/>
            </w:tcBorders>
            <w:shd w:val="clear" w:color="auto" w:fill="FFFFFF"/>
          </w:tcPr>
          <w:p w14:paraId="58C1D52C" w14:textId="62DDF68D" w:rsidR="00966E7F" w:rsidRPr="00A51A17" w:rsidRDefault="00966E7F" w:rsidP="00D602B7">
            <w:pPr>
              <w:autoSpaceDE w:val="0"/>
              <w:autoSpaceDN w:val="0"/>
              <w:adjustRightInd w:val="0"/>
              <w:spacing w:line="320" w:lineRule="atLeast"/>
              <w:ind w:left="60" w:right="60"/>
              <w:jc w:val="center"/>
              <w:rPr>
                <w:lang w:val="en-GB"/>
              </w:rPr>
            </w:pPr>
          </w:p>
        </w:tc>
        <w:tc>
          <w:tcPr>
            <w:tcW w:w="825" w:type="pct"/>
            <w:tcBorders>
              <w:top w:val="nil"/>
              <w:left w:val="nil"/>
              <w:bottom w:val="nil"/>
              <w:right w:val="nil"/>
            </w:tcBorders>
            <w:shd w:val="clear" w:color="auto" w:fill="FFFFFF"/>
          </w:tcPr>
          <w:p w14:paraId="1F1BDC91" w14:textId="69A10F89" w:rsidR="00966E7F" w:rsidRPr="00A51A17" w:rsidRDefault="00966E7F" w:rsidP="00D602B7">
            <w:pPr>
              <w:autoSpaceDE w:val="0"/>
              <w:autoSpaceDN w:val="0"/>
              <w:adjustRightInd w:val="0"/>
              <w:spacing w:line="320" w:lineRule="atLeast"/>
              <w:ind w:left="60" w:right="60"/>
              <w:jc w:val="center"/>
              <w:rPr>
                <w:lang w:val="en-GB"/>
              </w:rPr>
            </w:pPr>
          </w:p>
        </w:tc>
        <w:tc>
          <w:tcPr>
            <w:tcW w:w="463" w:type="pct"/>
            <w:tcBorders>
              <w:top w:val="nil"/>
              <w:left w:val="nil"/>
              <w:bottom w:val="nil"/>
              <w:right w:val="nil"/>
            </w:tcBorders>
            <w:shd w:val="clear" w:color="auto" w:fill="FFFFFF"/>
          </w:tcPr>
          <w:p w14:paraId="0AE96984" w14:textId="3FB6F9FC" w:rsidR="00966E7F" w:rsidRPr="00A51A17" w:rsidRDefault="00966E7F" w:rsidP="003271F1">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5D3FD942"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nil"/>
              <w:right w:val="nil"/>
            </w:tcBorders>
            <w:shd w:val="clear" w:color="auto" w:fill="FFFFFF"/>
          </w:tcPr>
          <w:p w14:paraId="61557715" w14:textId="77777777" w:rsidR="00966E7F" w:rsidRPr="00A51A17" w:rsidRDefault="00966E7F" w:rsidP="00D602B7">
            <w:pPr>
              <w:autoSpaceDE w:val="0"/>
              <w:autoSpaceDN w:val="0"/>
              <w:adjustRightInd w:val="0"/>
              <w:spacing w:line="320" w:lineRule="atLeast"/>
              <w:ind w:left="60" w:right="60"/>
              <w:jc w:val="center"/>
              <w:rPr>
                <w:lang w:val="en-GB"/>
              </w:rPr>
            </w:pPr>
          </w:p>
        </w:tc>
      </w:tr>
      <w:tr w:rsidR="00A51A17" w:rsidRPr="00A51A17" w14:paraId="440035A4" w14:textId="26C65BF6" w:rsidTr="00966E7F">
        <w:trPr>
          <w:cantSplit/>
        </w:trPr>
        <w:tc>
          <w:tcPr>
            <w:tcW w:w="1083" w:type="pct"/>
            <w:tcBorders>
              <w:top w:val="nil"/>
              <w:left w:val="nil"/>
              <w:bottom w:val="nil"/>
              <w:right w:val="nil"/>
            </w:tcBorders>
            <w:shd w:val="clear" w:color="auto" w:fill="auto"/>
          </w:tcPr>
          <w:p w14:paraId="06C3E6DB" w14:textId="02C3C4B7" w:rsidR="00966E7F" w:rsidRPr="00A51A17" w:rsidRDefault="00966E7F" w:rsidP="00CA27F0">
            <w:pPr>
              <w:autoSpaceDE w:val="0"/>
              <w:autoSpaceDN w:val="0"/>
              <w:adjustRightInd w:val="0"/>
              <w:spacing w:line="320" w:lineRule="atLeast"/>
              <w:ind w:left="60" w:right="60" w:firstLine="507"/>
            </w:pPr>
            <w:r w:rsidRPr="00A51A17">
              <w:t>Sample 1</w:t>
            </w:r>
          </w:p>
        </w:tc>
        <w:tc>
          <w:tcPr>
            <w:tcW w:w="826" w:type="pct"/>
            <w:tcBorders>
              <w:top w:val="nil"/>
              <w:left w:val="nil"/>
              <w:bottom w:val="nil"/>
              <w:right w:val="nil"/>
            </w:tcBorders>
          </w:tcPr>
          <w:p w14:paraId="247C23AC" w14:textId="044C4ECE"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31</w:t>
            </w:r>
            <w:r w:rsidR="00966E7F" w:rsidRPr="00A51A17">
              <w:rPr>
                <w:lang w:val="en-GB"/>
              </w:rPr>
              <w:t>.</w:t>
            </w:r>
            <w:r w:rsidRPr="00A51A17">
              <w:rPr>
                <w:lang w:val="en-GB"/>
              </w:rPr>
              <w:t>47</w:t>
            </w:r>
            <w:r w:rsidR="00966E7F" w:rsidRPr="00A51A17">
              <w:rPr>
                <w:lang w:val="en-GB"/>
              </w:rPr>
              <w:t>(</w:t>
            </w:r>
            <w:r w:rsidRPr="00A51A17">
              <w:rPr>
                <w:lang w:val="en-GB"/>
              </w:rPr>
              <w:t>8.78</w:t>
            </w:r>
            <w:r w:rsidR="00966E7F" w:rsidRPr="00A51A17">
              <w:rPr>
                <w:lang w:val="en-GB"/>
              </w:rPr>
              <w:t>)</w:t>
            </w:r>
          </w:p>
        </w:tc>
        <w:tc>
          <w:tcPr>
            <w:tcW w:w="361" w:type="pct"/>
            <w:tcBorders>
              <w:top w:val="nil"/>
              <w:left w:val="nil"/>
              <w:bottom w:val="nil"/>
              <w:right w:val="nil"/>
            </w:tcBorders>
            <w:shd w:val="clear" w:color="auto" w:fill="FFFFFF"/>
          </w:tcPr>
          <w:p w14:paraId="4971353B" w14:textId="5D134F08" w:rsidR="00966E7F" w:rsidRPr="00A51A17" w:rsidRDefault="00966E7F" w:rsidP="00D602B7">
            <w:pPr>
              <w:autoSpaceDE w:val="0"/>
              <w:autoSpaceDN w:val="0"/>
              <w:adjustRightInd w:val="0"/>
              <w:spacing w:line="320" w:lineRule="atLeast"/>
              <w:ind w:left="60" w:right="60"/>
              <w:jc w:val="center"/>
              <w:rPr>
                <w:lang w:val="en-GB"/>
              </w:rPr>
            </w:pPr>
            <w:r w:rsidRPr="00A51A17">
              <w:rPr>
                <w:lang w:val="en-GB"/>
              </w:rPr>
              <w:t>1</w:t>
            </w:r>
            <w:r w:rsidR="00C90560" w:rsidRPr="00A51A17">
              <w:rPr>
                <w:lang w:val="en-GB"/>
              </w:rPr>
              <w:t>2-60</w:t>
            </w:r>
          </w:p>
        </w:tc>
        <w:tc>
          <w:tcPr>
            <w:tcW w:w="825" w:type="pct"/>
            <w:tcBorders>
              <w:top w:val="nil"/>
              <w:left w:val="nil"/>
              <w:bottom w:val="nil"/>
              <w:right w:val="nil"/>
            </w:tcBorders>
            <w:shd w:val="clear" w:color="auto" w:fill="FFFFFF"/>
          </w:tcPr>
          <w:p w14:paraId="1713F7AC" w14:textId="6979DC7E" w:rsidR="00966E7F" w:rsidRPr="00A51A17" w:rsidRDefault="00C90560" w:rsidP="00C90560">
            <w:pPr>
              <w:autoSpaceDE w:val="0"/>
              <w:autoSpaceDN w:val="0"/>
              <w:adjustRightInd w:val="0"/>
              <w:spacing w:line="320" w:lineRule="atLeast"/>
              <w:ind w:left="60" w:right="60"/>
              <w:jc w:val="center"/>
              <w:rPr>
                <w:lang w:val="en-GB"/>
              </w:rPr>
            </w:pPr>
            <w:r w:rsidRPr="00A51A17">
              <w:rPr>
                <w:lang w:val="en-GB"/>
              </w:rPr>
              <w:t>.44</w:t>
            </w:r>
            <w:r w:rsidR="00966E7F" w:rsidRPr="00A51A17">
              <w:rPr>
                <w:lang w:val="en-GB"/>
              </w:rPr>
              <w:t>(.10</w:t>
            </w:r>
            <w:r w:rsidRPr="00A51A17">
              <w:rPr>
                <w:lang w:val="en-GB"/>
              </w:rPr>
              <w:t>4</w:t>
            </w:r>
            <w:r w:rsidR="00966E7F" w:rsidRPr="00A51A17">
              <w:rPr>
                <w:lang w:val="en-GB"/>
              </w:rPr>
              <w:t>)</w:t>
            </w:r>
          </w:p>
        </w:tc>
        <w:tc>
          <w:tcPr>
            <w:tcW w:w="463" w:type="pct"/>
            <w:tcBorders>
              <w:top w:val="nil"/>
              <w:left w:val="nil"/>
              <w:bottom w:val="nil"/>
              <w:right w:val="nil"/>
            </w:tcBorders>
            <w:shd w:val="clear" w:color="auto" w:fill="FFFFFF"/>
          </w:tcPr>
          <w:p w14:paraId="74112FCA" w14:textId="4F9CC745" w:rsidR="00966E7F" w:rsidRPr="00A51A17" w:rsidRDefault="00966E7F" w:rsidP="00C90560">
            <w:pPr>
              <w:autoSpaceDE w:val="0"/>
              <w:autoSpaceDN w:val="0"/>
              <w:adjustRightInd w:val="0"/>
              <w:spacing w:line="320" w:lineRule="atLeast"/>
              <w:ind w:left="60" w:right="60"/>
              <w:jc w:val="center"/>
              <w:rPr>
                <w:lang w:val="en-GB"/>
              </w:rPr>
            </w:pPr>
            <w:r w:rsidRPr="00A51A17">
              <w:rPr>
                <w:lang w:val="en-GB"/>
              </w:rPr>
              <w:t>.</w:t>
            </w:r>
            <w:r w:rsidR="00C90560" w:rsidRPr="00A51A17">
              <w:rPr>
                <w:lang w:val="en-GB"/>
              </w:rPr>
              <w:t>03</w:t>
            </w:r>
            <w:r w:rsidRPr="00A51A17">
              <w:rPr>
                <w:lang w:val="en-GB"/>
              </w:rPr>
              <w:t>(.20</w:t>
            </w:r>
            <w:r w:rsidR="00C90560" w:rsidRPr="00A51A17">
              <w:rPr>
                <w:lang w:val="en-GB"/>
              </w:rPr>
              <w:t>7</w:t>
            </w:r>
            <w:r w:rsidRPr="00A51A17">
              <w:rPr>
                <w:lang w:val="en-GB"/>
              </w:rPr>
              <w:t>)</w:t>
            </w:r>
          </w:p>
        </w:tc>
        <w:tc>
          <w:tcPr>
            <w:tcW w:w="721" w:type="pct"/>
            <w:tcBorders>
              <w:top w:val="nil"/>
              <w:left w:val="nil"/>
              <w:bottom w:val="nil"/>
              <w:right w:val="nil"/>
            </w:tcBorders>
            <w:shd w:val="clear" w:color="auto" w:fill="FFFFFF"/>
          </w:tcPr>
          <w:p w14:paraId="52633BF6" w14:textId="0EEBC9BE"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-2.</w:t>
            </w:r>
            <w:r w:rsidR="004B2158" w:rsidRPr="00A51A17">
              <w:rPr>
                <w:lang w:val="en-GB"/>
              </w:rPr>
              <w:t>63</w:t>
            </w:r>
            <w:r w:rsidRPr="00A51A17">
              <w:rPr>
                <w:vertAlign w:val="subscript"/>
                <w:lang w:val="en-GB"/>
              </w:rPr>
              <w:t>(11</w:t>
            </w:r>
            <w:r w:rsidR="004B2158" w:rsidRPr="00A51A17">
              <w:rPr>
                <w:vertAlign w:val="subscript"/>
                <w:lang w:val="en-GB"/>
              </w:rPr>
              <w:t>29</w:t>
            </w:r>
            <w:r w:rsidRPr="00A51A17">
              <w:rPr>
                <w:vertAlign w:val="subscript"/>
                <w:lang w:val="en-GB"/>
              </w:rPr>
              <w:t>)</w:t>
            </w:r>
          </w:p>
        </w:tc>
        <w:tc>
          <w:tcPr>
            <w:tcW w:w="721" w:type="pct"/>
            <w:tcBorders>
              <w:top w:val="nil"/>
              <w:left w:val="nil"/>
              <w:bottom w:val="nil"/>
              <w:right w:val="nil"/>
            </w:tcBorders>
            <w:shd w:val="clear" w:color="auto" w:fill="FFFFFF"/>
          </w:tcPr>
          <w:p w14:paraId="22C2C576" w14:textId="55232431" w:rsidR="00966E7F" w:rsidRPr="00A51A17" w:rsidRDefault="00966E7F" w:rsidP="004B2158">
            <w:pPr>
              <w:autoSpaceDE w:val="0"/>
              <w:autoSpaceDN w:val="0"/>
              <w:adjustRightInd w:val="0"/>
              <w:spacing w:line="320" w:lineRule="atLeast"/>
              <w:ind w:left="60" w:right="60"/>
              <w:jc w:val="center"/>
              <w:rPr>
                <w:lang w:val="en-GB"/>
              </w:rPr>
            </w:pPr>
            <w:r w:rsidRPr="00A51A17">
              <w:rPr>
                <w:lang w:val="en-GB"/>
              </w:rPr>
              <w:t>.00</w:t>
            </w:r>
            <w:r w:rsidR="004B2158" w:rsidRPr="00A51A17">
              <w:rPr>
                <w:lang w:val="en-GB"/>
              </w:rPr>
              <w:t>9</w:t>
            </w:r>
          </w:p>
        </w:tc>
      </w:tr>
      <w:tr w:rsidR="00A51A17" w:rsidRPr="00A51A17" w14:paraId="6E651159" w14:textId="251DF239" w:rsidTr="00966E7F">
        <w:trPr>
          <w:cantSplit/>
        </w:trPr>
        <w:tc>
          <w:tcPr>
            <w:tcW w:w="1083" w:type="pct"/>
            <w:tcBorders>
              <w:top w:val="nil"/>
              <w:left w:val="nil"/>
              <w:bottom w:val="single" w:sz="4" w:space="0" w:color="auto"/>
              <w:right w:val="nil"/>
            </w:tcBorders>
            <w:shd w:val="clear" w:color="auto" w:fill="auto"/>
          </w:tcPr>
          <w:p w14:paraId="0316EC16" w14:textId="2B5E5143" w:rsidR="00966E7F" w:rsidRPr="00A51A17" w:rsidRDefault="00966E7F" w:rsidP="00CA27F0">
            <w:pPr>
              <w:autoSpaceDE w:val="0"/>
              <w:autoSpaceDN w:val="0"/>
              <w:adjustRightInd w:val="0"/>
              <w:spacing w:line="320" w:lineRule="atLeast"/>
              <w:ind w:left="60" w:right="60" w:firstLine="507"/>
              <w:rPr>
                <w:lang w:val="en-GB"/>
              </w:rPr>
            </w:pPr>
            <w:r w:rsidRPr="00A51A17">
              <w:rPr>
                <w:lang w:val="en-US"/>
              </w:rPr>
              <w:t>Sample 2</w:t>
            </w:r>
          </w:p>
        </w:tc>
        <w:tc>
          <w:tcPr>
            <w:tcW w:w="826" w:type="pct"/>
            <w:tcBorders>
              <w:top w:val="nil"/>
              <w:left w:val="nil"/>
              <w:bottom w:val="single" w:sz="4" w:space="0" w:color="auto"/>
              <w:right w:val="nil"/>
            </w:tcBorders>
          </w:tcPr>
          <w:p w14:paraId="216BAFEE" w14:textId="4985C351" w:rsidR="00966E7F" w:rsidRPr="00A51A17" w:rsidRDefault="004B2158" w:rsidP="004B2158">
            <w:pPr>
              <w:autoSpaceDE w:val="0"/>
              <w:autoSpaceDN w:val="0"/>
              <w:adjustRightInd w:val="0"/>
              <w:spacing w:line="320" w:lineRule="atLeast"/>
              <w:ind w:left="60" w:right="60"/>
              <w:jc w:val="center"/>
              <w:rPr>
                <w:lang w:val="en-GB"/>
              </w:rPr>
            </w:pPr>
            <w:r w:rsidRPr="00A51A17">
              <w:rPr>
                <w:lang w:val="en-GB"/>
              </w:rPr>
              <w:t>32.88</w:t>
            </w:r>
            <w:r w:rsidR="00966E7F" w:rsidRPr="00A51A17">
              <w:rPr>
                <w:lang w:val="en-GB"/>
              </w:rPr>
              <w:t>(</w:t>
            </w:r>
            <w:r w:rsidRPr="00A51A17">
              <w:rPr>
                <w:lang w:val="en-GB"/>
              </w:rPr>
              <w:t>9</w:t>
            </w:r>
            <w:r w:rsidR="00966E7F" w:rsidRPr="00A51A17">
              <w:rPr>
                <w:lang w:val="en-GB"/>
              </w:rPr>
              <w:t>.</w:t>
            </w:r>
            <w:r w:rsidRPr="00A51A17">
              <w:rPr>
                <w:lang w:val="en-GB"/>
              </w:rPr>
              <w:t>17</w:t>
            </w:r>
            <w:r w:rsidR="00966E7F" w:rsidRPr="00A51A17">
              <w:rPr>
                <w:lang w:val="en-GB"/>
              </w:rPr>
              <w:t>)</w:t>
            </w:r>
          </w:p>
        </w:tc>
        <w:tc>
          <w:tcPr>
            <w:tcW w:w="361" w:type="pct"/>
            <w:tcBorders>
              <w:top w:val="nil"/>
              <w:left w:val="nil"/>
              <w:bottom w:val="single" w:sz="4" w:space="0" w:color="auto"/>
              <w:right w:val="nil"/>
            </w:tcBorders>
            <w:shd w:val="clear" w:color="auto" w:fill="FFFFFF"/>
          </w:tcPr>
          <w:p w14:paraId="3B49102F" w14:textId="4C3F7E9D" w:rsidR="00966E7F" w:rsidRPr="00A51A17" w:rsidRDefault="00966E7F" w:rsidP="0045662F">
            <w:pPr>
              <w:autoSpaceDE w:val="0"/>
              <w:autoSpaceDN w:val="0"/>
              <w:adjustRightInd w:val="0"/>
              <w:spacing w:line="320" w:lineRule="atLeast"/>
              <w:ind w:left="60" w:right="60"/>
              <w:jc w:val="center"/>
              <w:rPr>
                <w:lang w:val="en-GB"/>
              </w:rPr>
            </w:pPr>
            <w:r w:rsidRPr="00A51A17">
              <w:rPr>
                <w:lang w:val="en-GB"/>
              </w:rPr>
              <w:t>1</w:t>
            </w:r>
            <w:r w:rsidR="0045662F" w:rsidRPr="00A51A17">
              <w:rPr>
                <w:lang w:val="en-GB"/>
              </w:rPr>
              <w:t>2</w:t>
            </w:r>
            <w:r w:rsidRPr="00A51A17">
              <w:rPr>
                <w:lang w:val="en-GB"/>
              </w:rPr>
              <w:t>-</w:t>
            </w:r>
            <w:r w:rsidR="0045662F" w:rsidRPr="00A51A17">
              <w:rPr>
                <w:lang w:val="en-GB"/>
              </w:rPr>
              <w:t>60</w:t>
            </w:r>
          </w:p>
        </w:tc>
        <w:tc>
          <w:tcPr>
            <w:tcW w:w="825" w:type="pct"/>
            <w:tcBorders>
              <w:top w:val="nil"/>
              <w:left w:val="nil"/>
              <w:bottom w:val="single" w:sz="4" w:space="0" w:color="auto"/>
              <w:right w:val="nil"/>
            </w:tcBorders>
            <w:shd w:val="clear" w:color="auto" w:fill="FFFFFF"/>
          </w:tcPr>
          <w:p w14:paraId="7CFEB9EE" w14:textId="46AD1349" w:rsidR="00966E7F" w:rsidRPr="00A51A17" w:rsidRDefault="0045662F" w:rsidP="00D602B7">
            <w:pPr>
              <w:autoSpaceDE w:val="0"/>
              <w:autoSpaceDN w:val="0"/>
              <w:adjustRightInd w:val="0"/>
              <w:spacing w:line="320" w:lineRule="atLeast"/>
              <w:ind w:left="60" w:right="60"/>
              <w:jc w:val="center"/>
              <w:rPr>
                <w:lang w:val="en-GB"/>
              </w:rPr>
            </w:pPr>
            <w:r w:rsidRPr="00A51A17">
              <w:rPr>
                <w:lang w:val="en-GB"/>
              </w:rPr>
              <w:t>.24</w:t>
            </w:r>
            <w:r w:rsidR="00966E7F" w:rsidRPr="00A51A17">
              <w:rPr>
                <w:lang w:val="en-GB"/>
              </w:rPr>
              <w:t>(.102)</w:t>
            </w:r>
          </w:p>
        </w:tc>
        <w:tc>
          <w:tcPr>
            <w:tcW w:w="463" w:type="pct"/>
            <w:tcBorders>
              <w:top w:val="nil"/>
              <w:left w:val="nil"/>
              <w:bottom w:val="single" w:sz="4" w:space="0" w:color="auto"/>
              <w:right w:val="nil"/>
            </w:tcBorders>
            <w:shd w:val="clear" w:color="auto" w:fill="FFFFFF"/>
          </w:tcPr>
          <w:p w14:paraId="532FDE04" w14:textId="3B6C4799" w:rsidR="00966E7F" w:rsidRPr="00A51A17" w:rsidRDefault="00966E7F" w:rsidP="00D602B7">
            <w:pPr>
              <w:autoSpaceDE w:val="0"/>
              <w:autoSpaceDN w:val="0"/>
              <w:adjustRightInd w:val="0"/>
              <w:spacing w:line="320" w:lineRule="atLeast"/>
              <w:ind w:left="60" w:right="60"/>
              <w:jc w:val="center"/>
              <w:rPr>
                <w:lang w:val="en-GB"/>
              </w:rPr>
            </w:pPr>
            <w:r w:rsidRPr="00A51A17">
              <w:rPr>
                <w:lang w:val="en-GB"/>
              </w:rPr>
              <w:t>-.26(.203)</w:t>
            </w:r>
          </w:p>
        </w:tc>
        <w:tc>
          <w:tcPr>
            <w:tcW w:w="721" w:type="pct"/>
            <w:tcBorders>
              <w:top w:val="nil"/>
              <w:left w:val="nil"/>
              <w:bottom w:val="single" w:sz="4" w:space="0" w:color="auto"/>
              <w:right w:val="nil"/>
            </w:tcBorders>
            <w:shd w:val="clear" w:color="auto" w:fill="FFFFFF"/>
          </w:tcPr>
          <w:p w14:paraId="135D52E7" w14:textId="77777777" w:rsidR="00966E7F" w:rsidRPr="00A51A17" w:rsidRDefault="00966E7F" w:rsidP="00D602B7">
            <w:pPr>
              <w:autoSpaceDE w:val="0"/>
              <w:autoSpaceDN w:val="0"/>
              <w:adjustRightInd w:val="0"/>
              <w:spacing w:line="320" w:lineRule="atLeast"/>
              <w:ind w:left="60" w:right="60"/>
              <w:jc w:val="center"/>
              <w:rPr>
                <w:lang w:val="en-GB"/>
              </w:rPr>
            </w:pPr>
          </w:p>
        </w:tc>
        <w:tc>
          <w:tcPr>
            <w:tcW w:w="721" w:type="pct"/>
            <w:tcBorders>
              <w:top w:val="nil"/>
              <w:left w:val="nil"/>
              <w:bottom w:val="single" w:sz="4" w:space="0" w:color="auto"/>
              <w:right w:val="nil"/>
            </w:tcBorders>
            <w:shd w:val="clear" w:color="auto" w:fill="FFFFFF"/>
          </w:tcPr>
          <w:p w14:paraId="08E22A96" w14:textId="77777777" w:rsidR="00966E7F" w:rsidRPr="00A51A17" w:rsidRDefault="00966E7F" w:rsidP="00D602B7">
            <w:pPr>
              <w:autoSpaceDE w:val="0"/>
              <w:autoSpaceDN w:val="0"/>
              <w:adjustRightInd w:val="0"/>
              <w:spacing w:line="320" w:lineRule="atLeast"/>
              <w:ind w:left="60" w:right="60"/>
              <w:jc w:val="center"/>
              <w:rPr>
                <w:lang w:val="en-GB"/>
              </w:rPr>
            </w:pPr>
          </w:p>
        </w:tc>
      </w:tr>
    </w:tbl>
    <w:p w14:paraId="47BF731C" w14:textId="77777777" w:rsidR="00A64A03" w:rsidRPr="00A51A17" w:rsidRDefault="00A64A03" w:rsidP="00A64A03">
      <w:pPr>
        <w:jc w:val="both"/>
        <w:rPr>
          <w:lang w:val="en-US"/>
        </w:rPr>
      </w:pPr>
      <w:r w:rsidRPr="00A51A17">
        <w:rPr>
          <w:lang w:val="en-US"/>
        </w:rPr>
        <w:t>Notes: Sample 1 N= 556; Sample 2 N= 575; *</w:t>
      </w:r>
      <w:r w:rsidRPr="00A51A17">
        <w:rPr>
          <w:i/>
          <w:lang w:val="en-US"/>
        </w:rPr>
        <w:t>p</w:t>
      </w:r>
      <w:r w:rsidRPr="00A51A17">
        <w:rPr>
          <w:lang w:val="en-US"/>
        </w:rPr>
        <w:t>&lt;.05; **</w:t>
      </w:r>
      <w:r w:rsidRPr="00A51A17">
        <w:rPr>
          <w:i/>
          <w:lang w:val="en-US"/>
        </w:rPr>
        <w:t>p</w:t>
      </w:r>
      <w:r w:rsidRPr="00A51A17">
        <w:rPr>
          <w:lang w:val="en-US"/>
        </w:rPr>
        <w:t>&lt;.01; ***</w:t>
      </w:r>
      <w:r w:rsidRPr="00A51A17">
        <w:rPr>
          <w:i/>
          <w:lang w:val="en-US"/>
        </w:rPr>
        <w:t>p</w:t>
      </w:r>
      <w:r w:rsidRPr="00A51A17">
        <w:rPr>
          <w:lang w:val="en-US"/>
        </w:rPr>
        <w:t>&lt;.001.</w:t>
      </w:r>
    </w:p>
    <w:p w14:paraId="16AFD809" w14:textId="77777777" w:rsidR="00A64A03" w:rsidRPr="00A51A17" w:rsidRDefault="00A64A03" w:rsidP="009B2867">
      <w:pPr>
        <w:rPr>
          <w:highlight w:val="yellow"/>
          <w:lang w:val="en-US"/>
        </w:rPr>
      </w:pPr>
    </w:p>
    <w:p w14:paraId="72FF8318" w14:textId="77777777" w:rsidR="00A64A03" w:rsidRPr="00A51A17" w:rsidRDefault="00A64A03" w:rsidP="009B2867">
      <w:pPr>
        <w:rPr>
          <w:highlight w:val="yellow"/>
          <w:lang w:val="en-US"/>
        </w:rPr>
      </w:pPr>
    </w:p>
    <w:p w14:paraId="4F5527E7" w14:textId="1FE6EB11" w:rsidR="00A64A03" w:rsidRPr="00A51A17" w:rsidRDefault="00A64A03" w:rsidP="009B2867">
      <w:pPr>
        <w:rPr>
          <w:highlight w:val="yellow"/>
          <w:lang w:val="en-US"/>
        </w:rPr>
      </w:pPr>
    </w:p>
    <w:p w14:paraId="78D4B859" w14:textId="13B131FC" w:rsidR="00E561FA" w:rsidRPr="00A51A17" w:rsidRDefault="00E561FA" w:rsidP="009B2867">
      <w:pPr>
        <w:rPr>
          <w:highlight w:val="yellow"/>
          <w:lang w:val="en-US"/>
        </w:rPr>
      </w:pPr>
    </w:p>
    <w:p w14:paraId="0FD74992" w14:textId="512E2248" w:rsidR="00E561FA" w:rsidRPr="00A51A17" w:rsidRDefault="00E561FA" w:rsidP="009B2867">
      <w:pPr>
        <w:rPr>
          <w:highlight w:val="yellow"/>
          <w:lang w:val="en-US"/>
        </w:rPr>
      </w:pPr>
    </w:p>
    <w:p w14:paraId="71E5FF7E" w14:textId="1F876EB9" w:rsidR="00E561FA" w:rsidRPr="00A51A17" w:rsidRDefault="00E561FA" w:rsidP="009B2867">
      <w:pPr>
        <w:rPr>
          <w:highlight w:val="yellow"/>
          <w:lang w:val="en-US"/>
        </w:rPr>
      </w:pPr>
    </w:p>
    <w:p w14:paraId="29AF830E" w14:textId="4D436D60" w:rsidR="00E561FA" w:rsidRPr="00A51A17" w:rsidRDefault="00E561FA" w:rsidP="009B2867">
      <w:pPr>
        <w:rPr>
          <w:highlight w:val="yellow"/>
          <w:lang w:val="en-US"/>
        </w:rPr>
      </w:pPr>
    </w:p>
    <w:p w14:paraId="2EC7EC0B" w14:textId="46B7389D" w:rsidR="00E561FA" w:rsidRPr="00A51A17" w:rsidRDefault="00E561FA" w:rsidP="009B2867">
      <w:pPr>
        <w:rPr>
          <w:highlight w:val="yellow"/>
          <w:lang w:val="en-US"/>
        </w:rPr>
      </w:pPr>
    </w:p>
    <w:p w14:paraId="7E03B7F9" w14:textId="77777777" w:rsidR="00E561FA" w:rsidRPr="00A51A17" w:rsidRDefault="00E561FA" w:rsidP="009B2867">
      <w:pPr>
        <w:rPr>
          <w:highlight w:val="yellow"/>
          <w:lang w:val="en-US"/>
        </w:rPr>
      </w:pPr>
    </w:p>
    <w:p w14:paraId="10E8B03F" w14:textId="77777777" w:rsidR="00A64A03" w:rsidRPr="00A51A17" w:rsidRDefault="00A64A03" w:rsidP="009B2867">
      <w:pPr>
        <w:rPr>
          <w:highlight w:val="yellow"/>
          <w:lang w:val="en-US"/>
        </w:rPr>
      </w:pPr>
    </w:p>
    <w:p w14:paraId="34C1F580" w14:textId="62128668" w:rsidR="008911B0" w:rsidRPr="00A51A17" w:rsidRDefault="00305778" w:rsidP="009B2867">
      <w:pPr>
        <w:rPr>
          <w:lang w:val="en-US"/>
        </w:rPr>
      </w:pPr>
      <w:r w:rsidRPr="00A51A17">
        <w:rPr>
          <w:lang w:val="en-US"/>
        </w:rPr>
        <w:t xml:space="preserve">Table </w:t>
      </w:r>
      <w:r w:rsidR="00A62FE2" w:rsidRPr="00A51A17">
        <w:rPr>
          <w:lang w:val="en-US"/>
        </w:rPr>
        <w:t>3</w:t>
      </w:r>
      <w:r w:rsidR="009B4837" w:rsidRPr="00A51A17">
        <w:rPr>
          <w:lang w:val="en-US"/>
        </w:rPr>
        <w:t>.</w:t>
      </w:r>
      <w:r w:rsidR="00F55E55" w:rsidRPr="00A51A17">
        <w:rPr>
          <w:lang w:val="en-US"/>
        </w:rPr>
        <w:t xml:space="preserve"> </w:t>
      </w:r>
      <w:r w:rsidR="00676F2B" w:rsidRPr="00A51A17">
        <w:rPr>
          <w:lang w:val="en-US"/>
        </w:rPr>
        <w:t>B</w:t>
      </w:r>
      <w:r w:rsidR="009B4837" w:rsidRPr="00A51A17">
        <w:rPr>
          <w:lang w:val="en-US"/>
        </w:rPr>
        <w:t>ivariate correlations</w:t>
      </w:r>
      <w:r w:rsidR="00F02DD1" w:rsidRPr="00A51A17">
        <w:rPr>
          <w:lang w:val="en-US"/>
        </w:rPr>
        <w:t xml:space="preserve"> </w:t>
      </w:r>
      <w:r w:rsidR="00783D28" w:rsidRPr="00A51A17">
        <w:rPr>
          <w:lang w:val="en-US"/>
        </w:rPr>
        <w:t>(Sample 1</w:t>
      </w:r>
      <w:r w:rsidR="00676F2B" w:rsidRPr="00A51A17">
        <w:rPr>
          <w:lang w:val="en-US"/>
        </w:rPr>
        <w:t xml:space="preserve"> below the diagonal; Sample 2 above the diagonal</w:t>
      </w:r>
      <w:r w:rsidR="00783D28" w:rsidRPr="00A51A17">
        <w:rPr>
          <w:lang w:val="en-US"/>
        </w:rPr>
        <w:t>)</w:t>
      </w:r>
      <w:r w:rsidR="00F92503" w:rsidRPr="00A51A17">
        <w:rPr>
          <w:lang w:val="en-US"/>
        </w:rPr>
        <w:t>.</w:t>
      </w:r>
    </w:p>
    <w:p w14:paraId="0FF3F3D6" w14:textId="77777777" w:rsidR="005A2488" w:rsidRPr="00A51A17" w:rsidRDefault="005A2488" w:rsidP="005A2488">
      <w:pPr>
        <w:autoSpaceDE w:val="0"/>
        <w:autoSpaceDN w:val="0"/>
        <w:adjustRightInd w:val="0"/>
        <w:rPr>
          <w:lang w:val="en-US"/>
        </w:rPr>
      </w:pPr>
    </w:p>
    <w:tbl>
      <w:tblPr>
        <w:tblW w:w="3969"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03"/>
        <w:gridCol w:w="1323"/>
        <w:gridCol w:w="1323"/>
        <w:gridCol w:w="1322"/>
        <w:gridCol w:w="1322"/>
        <w:gridCol w:w="1322"/>
        <w:gridCol w:w="1325"/>
      </w:tblGrid>
      <w:tr w:rsidR="00A51A17" w:rsidRPr="00A51A17" w14:paraId="0D6F3357" w14:textId="63E3FD06" w:rsidTr="0046462F">
        <w:trPr>
          <w:cantSplit/>
        </w:trPr>
        <w:tc>
          <w:tcPr>
            <w:tcW w:w="1500" w:type="pct"/>
            <w:tcBorders>
              <w:top w:val="single" w:sz="4" w:space="0" w:color="auto"/>
              <w:left w:val="nil"/>
              <w:bottom w:val="single" w:sz="4" w:space="0" w:color="auto"/>
              <w:right w:val="nil"/>
            </w:tcBorders>
            <w:shd w:val="clear" w:color="auto" w:fill="auto"/>
          </w:tcPr>
          <w:p w14:paraId="1CDE2565" w14:textId="77777777" w:rsidR="00D418A4" w:rsidRPr="00A51A17" w:rsidRDefault="00D418A4" w:rsidP="00584FD3">
            <w:pPr>
              <w:autoSpaceDE w:val="0"/>
              <w:autoSpaceDN w:val="0"/>
              <w:adjustRightInd w:val="0"/>
              <w:spacing w:line="320" w:lineRule="atLeast"/>
              <w:ind w:left="60" w:right="60"/>
              <w:rPr>
                <w:lang w:val="en-US"/>
              </w:rPr>
            </w:pPr>
          </w:p>
        </w:tc>
        <w:tc>
          <w:tcPr>
            <w:tcW w:w="583" w:type="pct"/>
            <w:tcBorders>
              <w:top w:val="single" w:sz="4" w:space="0" w:color="auto"/>
              <w:left w:val="nil"/>
              <w:bottom w:val="single" w:sz="4" w:space="0" w:color="auto"/>
              <w:right w:val="nil"/>
            </w:tcBorders>
            <w:shd w:val="clear" w:color="auto" w:fill="FFFFFF"/>
            <w:vAlign w:val="bottom"/>
          </w:tcPr>
          <w:p w14:paraId="6164781B" w14:textId="77777777" w:rsidR="00D418A4" w:rsidRPr="00A51A17" w:rsidRDefault="00D418A4" w:rsidP="00584FD3">
            <w:pPr>
              <w:autoSpaceDE w:val="0"/>
              <w:autoSpaceDN w:val="0"/>
              <w:adjustRightInd w:val="0"/>
              <w:spacing w:line="320" w:lineRule="atLeast"/>
              <w:ind w:left="60" w:right="60"/>
            </w:pPr>
            <w:r w:rsidRPr="00A51A17">
              <w:t>1</w:t>
            </w:r>
          </w:p>
        </w:tc>
        <w:tc>
          <w:tcPr>
            <w:tcW w:w="583" w:type="pct"/>
            <w:tcBorders>
              <w:top w:val="single" w:sz="4" w:space="0" w:color="auto"/>
              <w:left w:val="nil"/>
              <w:bottom w:val="single" w:sz="4" w:space="0" w:color="auto"/>
              <w:right w:val="nil"/>
            </w:tcBorders>
            <w:shd w:val="clear" w:color="auto" w:fill="FFFFFF"/>
            <w:vAlign w:val="bottom"/>
          </w:tcPr>
          <w:p w14:paraId="66607CD2" w14:textId="77777777" w:rsidR="00D418A4" w:rsidRPr="00A51A17" w:rsidRDefault="00D418A4" w:rsidP="00584FD3">
            <w:pPr>
              <w:autoSpaceDE w:val="0"/>
              <w:autoSpaceDN w:val="0"/>
              <w:adjustRightInd w:val="0"/>
              <w:spacing w:line="320" w:lineRule="atLeast"/>
              <w:ind w:left="60" w:right="60"/>
            </w:pPr>
            <w:r w:rsidRPr="00A51A17">
              <w:t>2</w:t>
            </w:r>
          </w:p>
        </w:tc>
        <w:tc>
          <w:tcPr>
            <w:tcW w:w="583" w:type="pct"/>
            <w:tcBorders>
              <w:top w:val="single" w:sz="4" w:space="0" w:color="auto"/>
              <w:left w:val="nil"/>
              <w:bottom w:val="single" w:sz="4" w:space="0" w:color="auto"/>
              <w:right w:val="nil"/>
            </w:tcBorders>
            <w:shd w:val="clear" w:color="auto" w:fill="FFFFFF"/>
            <w:vAlign w:val="bottom"/>
          </w:tcPr>
          <w:p w14:paraId="1EA17C67" w14:textId="77777777" w:rsidR="00D418A4" w:rsidRPr="00A51A17" w:rsidRDefault="00D418A4" w:rsidP="00584FD3">
            <w:pPr>
              <w:autoSpaceDE w:val="0"/>
              <w:autoSpaceDN w:val="0"/>
              <w:adjustRightInd w:val="0"/>
              <w:spacing w:line="320" w:lineRule="atLeast"/>
              <w:ind w:left="60" w:right="60"/>
            </w:pPr>
            <w:r w:rsidRPr="00A51A17">
              <w:t>3</w:t>
            </w:r>
          </w:p>
        </w:tc>
        <w:tc>
          <w:tcPr>
            <w:tcW w:w="583" w:type="pct"/>
            <w:tcBorders>
              <w:top w:val="single" w:sz="4" w:space="0" w:color="auto"/>
              <w:left w:val="nil"/>
              <w:bottom w:val="single" w:sz="4" w:space="0" w:color="auto"/>
              <w:right w:val="nil"/>
            </w:tcBorders>
            <w:shd w:val="clear" w:color="auto" w:fill="FFFFFF"/>
            <w:vAlign w:val="bottom"/>
          </w:tcPr>
          <w:p w14:paraId="342E356A" w14:textId="77777777" w:rsidR="00D418A4" w:rsidRPr="00A51A17" w:rsidRDefault="00D418A4" w:rsidP="00584FD3">
            <w:pPr>
              <w:autoSpaceDE w:val="0"/>
              <w:autoSpaceDN w:val="0"/>
              <w:adjustRightInd w:val="0"/>
              <w:spacing w:line="320" w:lineRule="atLeast"/>
              <w:ind w:left="60" w:right="60"/>
            </w:pPr>
            <w:r w:rsidRPr="00A51A17">
              <w:t>4</w:t>
            </w:r>
          </w:p>
        </w:tc>
        <w:tc>
          <w:tcPr>
            <w:tcW w:w="583" w:type="pct"/>
            <w:tcBorders>
              <w:top w:val="single" w:sz="4" w:space="0" w:color="auto"/>
              <w:left w:val="nil"/>
              <w:bottom w:val="single" w:sz="4" w:space="0" w:color="auto"/>
              <w:right w:val="nil"/>
            </w:tcBorders>
            <w:shd w:val="clear" w:color="auto" w:fill="FFFFFF"/>
            <w:vAlign w:val="bottom"/>
          </w:tcPr>
          <w:p w14:paraId="6BC3ED9C" w14:textId="77777777" w:rsidR="00D418A4" w:rsidRPr="00A51A17" w:rsidRDefault="00D418A4" w:rsidP="00584FD3">
            <w:pPr>
              <w:autoSpaceDE w:val="0"/>
              <w:autoSpaceDN w:val="0"/>
              <w:adjustRightInd w:val="0"/>
              <w:spacing w:line="320" w:lineRule="atLeast"/>
              <w:ind w:left="60" w:right="60"/>
            </w:pPr>
            <w:r w:rsidRPr="00A51A17">
              <w:t>5</w:t>
            </w:r>
          </w:p>
        </w:tc>
        <w:tc>
          <w:tcPr>
            <w:tcW w:w="584" w:type="pct"/>
            <w:tcBorders>
              <w:top w:val="single" w:sz="4" w:space="0" w:color="auto"/>
              <w:left w:val="nil"/>
              <w:bottom w:val="single" w:sz="4" w:space="0" w:color="auto"/>
              <w:right w:val="nil"/>
            </w:tcBorders>
            <w:shd w:val="clear" w:color="auto" w:fill="FFFFFF"/>
          </w:tcPr>
          <w:p w14:paraId="3C6EBBAD" w14:textId="11111B26" w:rsidR="00D418A4" w:rsidRPr="00A51A17" w:rsidRDefault="00D418A4" w:rsidP="00584FD3">
            <w:pPr>
              <w:autoSpaceDE w:val="0"/>
              <w:autoSpaceDN w:val="0"/>
              <w:adjustRightInd w:val="0"/>
              <w:spacing w:line="320" w:lineRule="atLeast"/>
              <w:ind w:left="60" w:right="60"/>
            </w:pPr>
            <w:r w:rsidRPr="00A51A17">
              <w:t>6</w:t>
            </w:r>
          </w:p>
        </w:tc>
      </w:tr>
      <w:tr w:rsidR="00A51A17" w:rsidRPr="00A51A17" w14:paraId="79EAC714" w14:textId="7F22B648" w:rsidTr="0046462F">
        <w:trPr>
          <w:cantSplit/>
        </w:trPr>
        <w:tc>
          <w:tcPr>
            <w:tcW w:w="1500" w:type="pct"/>
            <w:tcBorders>
              <w:top w:val="single" w:sz="4" w:space="0" w:color="auto"/>
              <w:left w:val="nil"/>
              <w:bottom w:val="nil"/>
              <w:right w:val="nil"/>
            </w:tcBorders>
            <w:shd w:val="clear" w:color="auto" w:fill="auto"/>
          </w:tcPr>
          <w:p w14:paraId="7E113E75" w14:textId="1D423A7A" w:rsidR="00D418A4" w:rsidRPr="00A51A17" w:rsidRDefault="00D418A4" w:rsidP="00CA27F0">
            <w:pPr>
              <w:autoSpaceDE w:val="0"/>
              <w:autoSpaceDN w:val="0"/>
              <w:adjustRightInd w:val="0"/>
              <w:spacing w:line="320" w:lineRule="atLeast"/>
              <w:ind w:left="60" w:right="60"/>
            </w:pPr>
            <w:r w:rsidRPr="00A51A17">
              <w:t xml:space="preserve">1. </w:t>
            </w:r>
            <w:r w:rsidR="00B632BF" w:rsidRPr="00A51A17">
              <w:t xml:space="preserve">Psychological </w:t>
            </w:r>
            <w:r w:rsidR="00A022A5" w:rsidRPr="00A51A17">
              <w:t>d</w:t>
            </w:r>
            <w:r w:rsidRPr="00A51A17">
              <w:t xml:space="preserve">istress </w:t>
            </w:r>
          </w:p>
        </w:tc>
        <w:tc>
          <w:tcPr>
            <w:tcW w:w="583" w:type="pct"/>
            <w:tcBorders>
              <w:top w:val="single" w:sz="4" w:space="0" w:color="auto"/>
              <w:left w:val="nil"/>
              <w:bottom w:val="nil"/>
              <w:right w:val="nil"/>
            </w:tcBorders>
            <w:shd w:val="clear" w:color="auto" w:fill="FFFFFF"/>
          </w:tcPr>
          <w:p w14:paraId="76B07CA2" w14:textId="36986244" w:rsidR="00D418A4" w:rsidRPr="00A51A17" w:rsidRDefault="00D418A4" w:rsidP="00584FD3">
            <w:pPr>
              <w:autoSpaceDE w:val="0"/>
              <w:autoSpaceDN w:val="0"/>
              <w:adjustRightInd w:val="0"/>
              <w:spacing w:line="320" w:lineRule="atLeast"/>
              <w:ind w:left="60" w:right="60"/>
            </w:pPr>
            <w:r w:rsidRPr="00A51A17">
              <w:t>-</w:t>
            </w:r>
          </w:p>
        </w:tc>
        <w:tc>
          <w:tcPr>
            <w:tcW w:w="583" w:type="pct"/>
            <w:tcBorders>
              <w:top w:val="single" w:sz="4" w:space="0" w:color="auto"/>
              <w:left w:val="nil"/>
              <w:bottom w:val="nil"/>
              <w:right w:val="nil"/>
            </w:tcBorders>
            <w:shd w:val="clear" w:color="auto" w:fill="FFFFFF"/>
          </w:tcPr>
          <w:p w14:paraId="6BAA58BF" w14:textId="5D8D789A" w:rsidR="00D418A4" w:rsidRPr="00A51A17" w:rsidRDefault="00D418A4" w:rsidP="00584FD3">
            <w:pPr>
              <w:autoSpaceDE w:val="0"/>
              <w:autoSpaceDN w:val="0"/>
              <w:adjustRightInd w:val="0"/>
              <w:spacing w:line="320" w:lineRule="atLeast"/>
              <w:ind w:left="60" w:right="60"/>
            </w:pPr>
            <w:r w:rsidRPr="00A51A17">
              <w:t>.43</w:t>
            </w:r>
            <w:r w:rsidRPr="00A51A17">
              <w:rPr>
                <w:vertAlign w:val="superscript"/>
              </w:rPr>
              <w:t>***</w:t>
            </w:r>
          </w:p>
        </w:tc>
        <w:tc>
          <w:tcPr>
            <w:tcW w:w="583" w:type="pct"/>
            <w:tcBorders>
              <w:top w:val="single" w:sz="4" w:space="0" w:color="auto"/>
              <w:left w:val="nil"/>
              <w:bottom w:val="nil"/>
              <w:right w:val="nil"/>
            </w:tcBorders>
            <w:shd w:val="clear" w:color="auto" w:fill="FFFFFF"/>
          </w:tcPr>
          <w:p w14:paraId="011B8802" w14:textId="63F06AEB" w:rsidR="00D418A4" w:rsidRPr="00A51A17" w:rsidRDefault="00D418A4" w:rsidP="00584FD3">
            <w:pPr>
              <w:autoSpaceDE w:val="0"/>
              <w:autoSpaceDN w:val="0"/>
              <w:adjustRightInd w:val="0"/>
              <w:spacing w:line="320" w:lineRule="atLeast"/>
              <w:ind w:left="60" w:right="60"/>
            </w:pPr>
            <w:r w:rsidRPr="00A51A17">
              <w:t>.39</w:t>
            </w:r>
            <w:r w:rsidRPr="00A51A17">
              <w:rPr>
                <w:vertAlign w:val="superscript"/>
              </w:rPr>
              <w:t>***</w:t>
            </w:r>
          </w:p>
        </w:tc>
        <w:tc>
          <w:tcPr>
            <w:tcW w:w="583" w:type="pct"/>
            <w:tcBorders>
              <w:top w:val="single" w:sz="4" w:space="0" w:color="auto"/>
              <w:left w:val="nil"/>
              <w:bottom w:val="nil"/>
              <w:right w:val="nil"/>
            </w:tcBorders>
            <w:shd w:val="clear" w:color="auto" w:fill="FFFFFF"/>
          </w:tcPr>
          <w:p w14:paraId="183D6881" w14:textId="1CF17101" w:rsidR="00D418A4" w:rsidRPr="00A51A17" w:rsidRDefault="00D418A4" w:rsidP="00584FD3">
            <w:pPr>
              <w:autoSpaceDE w:val="0"/>
              <w:autoSpaceDN w:val="0"/>
              <w:adjustRightInd w:val="0"/>
              <w:spacing w:line="320" w:lineRule="atLeast"/>
              <w:ind w:left="60" w:right="60"/>
            </w:pPr>
            <w:r w:rsidRPr="00A51A17">
              <w:t>.35</w:t>
            </w:r>
            <w:r w:rsidRPr="00A51A17">
              <w:rPr>
                <w:vertAlign w:val="superscript"/>
              </w:rPr>
              <w:t>***</w:t>
            </w:r>
          </w:p>
        </w:tc>
        <w:tc>
          <w:tcPr>
            <w:tcW w:w="583" w:type="pct"/>
            <w:tcBorders>
              <w:top w:val="single" w:sz="4" w:space="0" w:color="auto"/>
              <w:left w:val="nil"/>
              <w:bottom w:val="nil"/>
              <w:right w:val="nil"/>
            </w:tcBorders>
            <w:shd w:val="clear" w:color="auto" w:fill="FFFFFF"/>
          </w:tcPr>
          <w:p w14:paraId="06DEE40D" w14:textId="40FFE83E" w:rsidR="00D418A4" w:rsidRPr="00A51A17" w:rsidRDefault="00D418A4" w:rsidP="00584FD3">
            <w:pPr>
              <w:autoSpaceDE w:val="0"/>
              <w:autoSpaceDN w:val="0"/>
              <w:adjustRightInd w:val="0"/>
              <w:spacing w:line="320" w:lineRule="atLeast"/>
              <w:ind w:left="60" w:right="60"/>
            </w:pPr>
            <w:r w:rsidRPr="00A51A17">
              <w:t>.49</w:t>
            </w:r>
            <w:r w:rsidRPr="00A51A17">
              <w:rPr>
                <w:vertAlign w:val="superscript"/>
              </w:rPr>
              <w:t>***</w:t>
            </w:r>
          </w:p>
        </w:tc>
        <w:tc>
          <w:tcPr>
            <w:tcW w:w="584" w:type="pct"/>
            <w:tcBorders>
              <w:top w:val="single" w:sz="4" w:space="0" w:color="auto"/>
              <w:left w:val="nil"/>
              <w:bottom w:val="nil"/>
              <w:right w:val="nil"/>
            </w:tcBorders>
            <w:shd w:val="clear" w:color="auto" w:fill="FFFFFF"/>
          </w:tcPr>
          <w:p w14:paraId="71B7F192" w14:textId="2623DDB9" w:rsidR="00D418A4" w:rsidRPr="00A51A17" w:rsidRDefault="00D418A4" w:rsidP="00584FD3">
            <w:pPr>
              <w:autoSpaceDE w:val="0"/>
              <w:autoSpaceDN w:val="0"/>
              <w:adjustRightInd w:val="0"/>
              <w:spacing w:line="320" w:lineRule="atLeast"/>
              <w:ind w:left="60" w:right="60"/>
            </w:pPr>
            <w:r w:rsidRPr="00A51A17">
              <w:t>-.15</w:t>
            </w:r>
            <w:r w:rsidRPr="00A51A17">
              <w:rPr>
                <w:vertAlign w:val="superscript"/>
              </w:rPr>
              <w:t>***</w:t>
            </w:r>
          </w:p>
        </w:tc>
      </w:tr>
      <w:tr w:rsidR="00A51A17" w:rsidRPr="00A51A17" w14:paraId="431011E1" w14:textId="38BB7330" w:rsidTr="0046462F">
        <w:trPr>
          <w:cantSplit/>
        </w:trPr>
        <w:tc>
          <w:tcPr>
            <w:tcW w:w="1500" w:type="pct"/>
            <w:tcBorders>
              <w:top w:val="nil"/>
              <w:left w:val="nil"/>
              <w:bottom w:val="nil"/>
              <w:right w:val="nil"/>
            </w:tcBorders>
            <w:shd w:val="clear" w:color="auto" w:fill="auto"/>
          </w:tcPr>
          <w:p w14:paraId="3EE44F90" w14:textId="3326D548" w:rsidR="00D418A4" w:rsidRPr="00A51A17" w:rsidRDefault="00D418A4" w:rsidP="00CA27F0">
            <w:pPr>
              <w:autoSpaceDE w:val="0"/>
              <w:autoSpaceDN w:val="0"/>
              <w:adjustRightInd w:val="0"/>
              <w:spacing w:line="320" w:lineRule="atLeast"/>
              <w:ind w:left="60" w:right="60"/>
            </w:pPr>
            <w:r w:rsidRPr="00A51A17">
              <w:t xml:space="preserve">2. Health </w:t>
            </w:r>
            <w:r w:rsidR="00A022A5" w:rsidRPr="00A51A17">
              <w:t>a</w:t>
            </w:r>
            <w:r w:rsidRPr="00A51A17">
              <w:t>nxiety</w:t>
            </w:r>
          </w:p>
        </w:tc>
        <w:tc>
          <w:tcPr>
            <w:tcW w:w="583" w:type="pct"/>
            <w:tcBorders>
              <w:top w:val="nil"/>
              <w:left w:val="nil"/>
              <w:bottom w:val="nil"/>
              <w:right w:val="nil"/>
            </w:tcBorders>
            <w:shd w:val="clear" w:color="auto" w:fill="FFFFFF"/>
          </w:tcPr>
          <w:p w14:paraId="744C9D87" w14:textId="5509DDF1" w:rsidR="00D418A4" w:rsidRPr="00A51A17" w:rsidRDefault="00D418A4" w:rsidP="008D2B33">
            <w:pPr>
              <w:autoSpaceDE w:val="0"/>
              <w:autoSpaceDN w:val="0"/>
              <w:adjustRightInd w:val="0"/>
              <w:spacing w:line="320" w:lineRule="atLeast"/>
              <w:ind w:left="60" w:right="60"/>
            </w:pPr>
            <w:r w:rsidRPr="00A51A17">
              <w:t>.4</w:t>
            </w:r>
            <w:r w:rsidR="008D2B33" w:rsidRPr="00A51A17">
              <w:t>2</w:t>
            </w:r>
            <w:r w:rsidRPr="00A51A17">
              <w:rPr>
                <w:vertAlign w:val="superscript"/>
              </w:rPr>
              <w:t>***</w:t>
            </w:r>
          </w:p>
        </w:tc>
        <w:tc>
          <w:tcPr>
            <w:tcW w:w="583" w:type="pct"/>
            <w:tcBorders>
              <w:top w:val="nil"/>
              <w:left w:val="nil"/>
              <w:bottom w:val="nil"/>
              <w:right w:val="nil"/>
            </w:tcBorders>
            <w:shd w:val="clear" w:color="auto" w:fill="FFFFFF"/>
          </w:tcPr>
          <w:p w14:paraId="3A4427A0" w14:textId="5D3786FE" w:rsidR="00D418A4" w:rsidRPr="00A51A17" w:rsidRDefault="00D418A4" w:rsidP="00584FD3">
            <w:pPr>
              <w:autoSpaceDE w:val="0"/>
              <w:autoSpaceDN w:val="0"/>
              <w:adjustRightInd w:val="0"/>
              <w:spacing w:line="320" w:lineRule="atLeast"/>
              <w:ind w:left="60" w:right="60"/>
            </w:pPr>
            <w:r w:rsidRPr="00A51A17">
              <w:t>-</w:t>
            </w:r>
          </w:p>
        </w:tc>
        <w:tc>
          <w:tcPr>
            <w:tcW w:w="583" w:type="pct"/>
            <w:tcBorders>
              <w:top w:val="nil"/>
              <w:left w:val="nil"/>
              <w:bottom w:val="nil"/>
              <w:right w:val="nil"/>
            </w:tcBorders>
            <w:shd w:val="clear" w:color="auto" w:fill="FFFFFF"/>
          </w:tcPr>
          <w:p w14:paraId="63B0E809" w14:textId="790B5654" w:rsidR="00D418A4" w:rsidRPr="00A51A17" w:rsidRDefault="00D418A4" w:rsidP="00584FD3">
            <w:pPr>
              <w:autoSpaceDE w:val="0"/>
              <w:autoSpaceDN w:val="0"/>
              <w:adjustRightInd w:val="0"/>
              <w:spacing w:line="320" w:lineRule="atLeast"/>
              <w:ind w:left="60" w:right="60"/>
            </w:pPr>
            <w:r w:rsidRPr="00A51A17">
              <w:t>.68</w:t>
            </w:r>
            <w:r w:rsidRPr="00A51A17">
              <w:rPr>
                <w:vertAlign w:val="superscript"/>
              </w:rPr>
              <w:t>***</w:t>
            </w:r>
          </w:p>
        </w:tc>
        <w:tc>
          <w:tcPr>
            <w:tcW w:w="583" w:type="pct"/>
            <w:tcBorders>
              <w:top w:val="nil"/>
              <w:left w:val="nil"/>
              <w:bottom w:val="nil"/>
              <w:right w:val="nil"/>
            </w:tcBorders>
            <w:shd w:val="clear" w:color="auto" w:fill="FFFFFF"/>
          </w:tcPr>
          <w:p w14:paraId="14C282FB" w14:textId="7C199FF1" w:rsidR="00D418A4" w:rsidRPr="00A51A17" w:rsidRDefault="00D418A4" w:rsidP="00584FD3">
            <w:pPr>
              <w:autoSpaceDE w:val="0"/>
              <w:autoSpaceDN w:val="0"/>
              <w:adjustRightInd w:val="0"/>
              <w:spacing w:line="320" w:lineRule="atLeast"/>
              <w:ind w:left="60" w:right="60"/>
            </w:pPr>
            <w:r w:rsidRPr="00A51A17">
              <w:t>.25</w:t>
            </w:r>
            <w:r w:rsidRPr="00A51A17">
              <w:rPr>
                <w:vertAlign w:val="superscript"/>
              </w:rPr>
              <w:t>***</w:t>
            </w:r>
          </w:p>
        </w:tc>
        <w:tc>
          <w:tcPr>
            <w:tcW w:w="583" w:type="pct"/>
            <w:tcBorders>
              <w:top w:val="nil"/>
              <w:left w:val="nil"/>
              <w:bottom w:val="nil"/>
              <w:right w:val="nil"/>
            </w:tcBorders>
            <w:shd w:val="clear" w:color="auto" w:fill="FFFFFF"/>
          </w:tcPr>
          <w:p w14:paraId="05278545" w14:textId="7D006C85" w:rsidR="00D418A4" w:rsidRPr="00A51A17" w:rsidRDefault="00D418A4" w:rsidP="00584FD3">
            <w:pPr>
              <w:autoSpaceDE w:val="0"/>
              <w:autoSpaceDN w:val="0"/>
              <w:adjustRightInd w:val="0"/>
              <w:spacing w:line="320" w:lineRule="atLeast"/>
              <w:ind w:left="60" w:right="60"/>
            </w:pPr>
            <w:r w:rsidRPr="00A51A17">
              <w:t>.</w:t>
            </w:r>
            <w:r w:rsidR="004D5574" w:rsidRPr="00A51A17">
              <w:t>49</w:t>
            </w:r>
            <w:r w:rsidRPr="00A51A17">
              <w:rPr>
                <w:vertAlign w:val="superscript"/>
              </w:rPr>
              <w:t>***</w:t>
            </w:r>
          </w:p>
        </w:tc>
        <w:tc>
          <w:tcPr>
            <w:tcW w:w="584" w:type="pct"/>
            <w:tcBorders>
              <w:top w:val="nil"/>
              <w:left w:val="nil"/>
              <w:bottom w:val="nil"/>
              <w:right w:val="nil"/>
            </w:tcBorders>
            <w:shd w:val="clear" w:color="auto" w:fill="FFFFFF"/>
          </w:tcPr>
          <w:p w14:paraId="0A3EC9BD" w14:textId="6A66C991" w:rsidR="00D418A4" w:rsidRPr="00A51A17" w:rsidRDefault="004D5574" w:rsidP="00584FD3">
            <w:pPr>
              <w:autoSpaceDE w:val="0"/>
              <w:autoSpaceDN w:val="0"/>
              <w:adjustRightInd w:val="0"/>
              <w:spacing w:line="320" w:lineRule="atLeast"/>
              <w:ind w:left="60" w:right="60"/>
            </w:pPr>
            <w:r w:rsidRPr="00A51A17">
              <w:t>-.03</w:t>
            </w:r>
          </w:p>
        </w:tc>
      </w:tr>
      <w:tr w:rsidR="00A51A17" w:rsidRPr="00A51A17" w14:paraId="0432AD0A" w14:textId="25CE0E36" w:rsidTr="0046462F">
        <w:trPr>
          <w:cantSplit/>
        </w:trPr>
        <w:tc>
          <w:tcPr>
            <w:tcW w:w="1500" w:type="pct"/>
            <w:tcBorders>
              <w:top w:val="nil"/>
              <w:left w:val="nil"/>
              <w:bottom w:val="nil"/>
              <w:right w:val="nil"/>
            </w:tcBorders>
            <w:shd w:val="clear" w:color="auto" w:fill="auto"/>
          </w:tcPr>
          <w:p w14:paraId="5A8ACF23" w14:textId="23F42EBC" w:rsidR="00D418A4" w:rsidRPr="00A51A17" w:rsidRDefault="00D418A4" w:rsidP="002134D4">
            <w:pPr>
              <w:autoSpaceDE w:val="0"/>
              <w:autoSpaceDN w:val="0"/>
              <w:adjustRightInd w:val="0"/>
              <w:spacing w:line="320" w:lineRule="atLeast"/>
              <w:ind w:left="60" w:right="60"/>
            </w:pPr>
            <w:r w:rsidRPr="00A51A17">
              <w:t>3. Cyberchondria</w:t>
            </w:r>
          </w:p>
        </w:tc>
        <w:tc>
          <w:tcPr>
            <w:tcW w:w="583" w:type="pct"/>
            <w:tcBorders>
              <w:top w:val="nil"/>
              <w:left w:val="nil"/>
              <w:bottom w:val="nil"/>
              <w:right w:val="nil"/>
            </w:tcBorders>
            <w:shd w:val="clear" w:color="auto" w:fill="FFFFFF"/>
          </w:tcPr>
          <w:p w14:paraId="22ACDCEA" w14:textId="78D90717" w:rsidR="00D418A4" w:rsidRPr="00A51A17" w:rsidRDefault="00D418A4" w:rsidP="00584FD3">
            <w:pPr>
              <w:autoSpaceDE w:val="0"/>
              <w:autoSpaceDN w:val="0"/>
              <w:adjustRightInd w:val="0"/>
              <w:spacing w:line="320" w:lineRule="atLeast"/>
              <w:ind w:left="60" w:right="60"/>
            </w:pPr>
            <w:r w:rsidRPr="00A51A17">
              <w:t>.32</w:t>
            </w:r>
            <w:r w:rsidRPr="00A51A17">
              <w:rPr>
                <w:vertAlign w:val="superscript"/>
              </w:rPr>
              <w:t>***</w:t>
            </w:r>
          </w:p>
        </w:tc>
        <w:tc>
          <w:tcPr>
            <w:tcW w:w="583" w:type="pct"/>
            <w:tcBorders>
              <w:top w:val="nil"/>
              <w:left w:val="nil"/>
              <w:bottom w:val="nil"/>
              <w:right w:val="nil"/>
            </w:tcBorders>
            <w:shd w:val="clear" w:color="auto" w:fill="FFFFFF"/>
          </w:tcPr>
          <w:p w14:paraId="5CA3D14D" w14:textId="721130AD" w:rsidR="00D418A4" w:rsidRPr="00A51A17" w:rsidRDefault="00D418A4" w:rsidP="00584FD3">
            <w:pPr>
              <w:autoSpaceDE w:val="0"/>
              <w:autoSpaceDN w:val="0"/>
              <w:adjustRightInd w:val="0"/>
              <w:spacing w:line="320" w:lineRule="atLeast"/>
              <w:ind w:left="60" w:right="60"/>
            </w:pPr>
            <w:r w:rsidRPr="00A51A17">
              <w:t>.68</w:t>
            </w:r>
            <w:r w:rsidRPr="00A51A17">
              <w:rPr>
                <w:vertAlign w:val="superscript"/>
              </w:rPr>
              <w:t>***</w:t>
            </w:r>
          </w:p>
        </w:tc>
        <w:tc>
          <w:tcPr>
            <w:tcW w:w="583" w:type="pct"/>
            <w:tcBorders>
              <w:top w:val="nil"/>
              <w:left w:val="nil"/>
              <w:bottom w:val="nil"/>
              <w:right w:val="nil"/>
            </w:tcBorders>
            <w:shd w:val="clear" w:color="auto" w:fill="FFFFFF"/>
          </w:tcPr>
          <w:p w14:paraId="13A15E14" w14:textId="41BC03D9" w:rsidR="00D418A4" w:rsidRPr="00A51A17" w:rsidRDefault="00D418A4" w:rsidP="00584FD3">
            <w:pPr>
              <w:autoSpaceDE w:val="0"/>
              <w:autoSpaceDN w:val="0"/>
              <w:adjustRightInd w:val="0"/>
              <w:spacing w:line="320" w:lineRule="atLeast"/>
              <w:ind w:left="60" w:right="60"/>
            </w:pPr>
            <w:r w:rsidRPr="00A51A17">
              <w:t>-</w:t>
            </w:r>
          </w:p>
        </w:tc>
        <w:tc>
          <w:tcPr>
            <w:tcW w:w="583" w:type="pct"/>
            <w:tcBorders>
              <w:top w:val="nil"/>
              <w:left w:val="nil"/>
              <w:bottom w:val="nil"/>
              <w:right w:val="nil"/>
            </w:tcBorders>
            <w:shd w:val="clear" w:color="auto" w:fill="FFFFFF"/>
          </w:tcPr>
          <w:p w14:paraId="30A2D658" w14:textId="7F793622" w:rsidR="00D418A4" w:rsidRPr="00A51A17" w:rsidRDefault="004D5574" w:rsidP="00584FD3">
            <w:pPr>
              <w:autoSpaceDE w:val="0"/>
              <w:autoSpaceDN w:val="0"/>
              <w:adjustRightInd w:val="0"/>
              <w:spacing w:line="320" w:lineRule="atLeast"/>
              <w:ind w:left="60" w:right="60"/>
            </w:pPr>
            <w:r w:rsidRPr="00A51A17">
              <w:t>.23</w:t>
            </w:r>
            <w:r w:rsidRPr="00A51A17">
              <w:rPr>
                <w:vertAlign w:val="superscript"/>
              </w:rPr>
              <w:t>***</w:t>
            </w:r>
          </w:p>
        </w:tc>
        <w:tc>
          <w:tcPr>
            <w:tcW w:w="583" w:type="pct"/>
            <w:tcBorders>
              <w:top w:val="nil"/>
              <w:left w:val="nil"/>
              <w:bottom w:val="nil"/>
              <w:right w:val="nil"/>
            </w:tcBorders>
            <w:shd w:val="clear" w:color="auto" w:fill="FFFFFF"/>
          </w:tcPr>
          <w:p w14:paraId="7205C6D5" w14:textId="694A7DC8" w:rsidR="00D418A4" w:rsidRPr="00A51A17" w:rsidRDefault="004D5574" w:rsidP="00584FD3">
            <w:pPr>
              <w:autoSpaceDE w:val="0"/>
              <w:autoSpaceDN w:val="0"/>
              <w:adjustRightInd w:val="0"/>
              <w:spacing w:line="320" w:lineRule="atLeast"/>
              <w:ind w:left="60" w:right="60"/>
            </w:pPr>
            <w:r w:rsidRPr="00A51A17">
              <w:t>.35</w:t>
            </w:r>
            <w:r w:rsidRPr="00A51A17">
              <w:rPr>
                <w:vertAlign w:val="superscript"/>
              </w:rPr>
              <w:t>***</w:t>
            </w:r>
          </w:p>
        </w:tc>
        <w:tc>
          <w:tcPr>
            <w:tcW w:w="584" w:type="pct"/>
            <w:tcBorders>
              <w:top w:val="nil"/>
              <w:left w:val="nil"/>
              <w:bottom w:val="nil"/>
              <w:right w:val="nil"/>
            </w:tcBorders>
            <w:shd w:val="clear" w:color="auto" w:fill="FFFFFF"/>
          </w:tcPr>
          <w:p w14:paraId="6D03EA15" w14:textId="78F157AB" w:rsidR="00D418A4" w:rsidRPr="00A51A17" w:rsidRDefault="004D5574" w:rsidP="00584FD3">
            <w:pPr>
              <w:autoSpaceDE w:val="0"/>
              <w:autoSpaceDN w:val="0"/>
              <w:adjustRightInd w:val="0"/>
              <w:spacing w:line="320" w:lineRule="atLeast"/>
              <w:ind w:left="60" w:right="60"/>
            </w:pPr>
            <w:r w:rsidRPr="00A51A17">
              <w:t>-.02</w:t>
            </w:r>
          </w:p>
        </w:tc>
      </w:tr>
      <w:tr w:rsidR="00A51A17" w:rsidRPr="00A51A17" w14:paraId="12AB0C69" w14:textId="4A3817DF" w:rsidTr="0046462F">
        <w:trPr>
          <w:cantSplit/>
        </w:trPr>
        <w:tc>
          <w:tcPr>
            <w:tcW w:w="1500" w:type="pct"/>
            <w:tcBorders>
              <w:top w:val="nil"/>
              <w:left w:val="nil"/>
              <w:bottom w:val="nil"/>
              <w:right w:val="nil"/>
            </w:tcBorders>
            <w:shd w:val="clear" w:color="auto" w:fill="auto"/>
          </w:tcPr>
          <w:p w14:paraId="2724FE2C" w14:textId="5E65732D" w:rsidR="00D418A4" w:rsidRPr="00A51A17" w:rsidRDefault="00D418A4" w:rsidP="002134D4">
            <w:pPr>
              <w:autoSpaceDE w:val="0"/>
              <w:autoSpaceDN w:val="0"/>
              <w:adjustRightInd w:val="0"/>
              <w:spacing w:line="320" w:lineRule="atLeast"/>
              <w:ind w:left="60" w:right="60"/>
            </w:pPr>
            <w:r w:rsidRPr="00A51A17">
              <w:t xml:space="preserve">4. Problematic </w:t>
            </w:r>
            <w:r w:rsidR="00A022A5" w:rsidRPr="00A51A17">
              <w:t>i</w:t>
            </w:r>
            <w:r w:rsidRPr="00A51A17">
              <w:t xml:space="preserve">nternet </w:t>
            </w:r>
            <w:r w:rsidR="00A022A5" w:rsidRPr="00A51A17">
              <w:t>u</w:t>
            </w:r>
            <w:r w:rsidRPr="00A51A17">
              <w:t>se</w:t>
            </w:r>
          </w:p>
        </w:tc>
        <w:tc>
          <w:tcPr>
            <w:tcW w:w="583" w:type="pct"/>
            <w:tcBorders>
              <w:top w:val="nil"/>
              <w:left w:val="nil"/>
              <w:bottom w:val="nil"/>
              <w:right w:val="nil"/>
            </w:tcBorders>
            <w:shd w:val="clear" w:color="auto" w:fill="FFFFFF"/>
          </w:tcPr>
          <w:p w14:paraId="6196CB31" w14:textId="38F206C6" w:rsidR="00D418A4" w:rsidRPr="00A51A17" w:rsidRDefault="00D418A4" w:rsidP="00584FD3">
            <w:pPr>
              <w:autoSpaceDE w:val="0"/>
              <w:autoSpaceDN w:val="0"/>
              <w:adjustRightInd w:val="0"/>
              <w:spacing w:line="320" w:lineRule="atLeast"/>
              <w:ind w:left="60" w:right="60"/>
            </w:pPr>
            <w:r w:rsidRPr="00A51A17">
              <w:t>.39</w:t>
            </w:r>
            <w:r w:rsidRPr="00A51A17">
              <w:rPr>
                <w:vertAlign w:val="superscript"/>
              </w:rPr>
              <w:t>***</w:t>
            </w:r>
          </w:p>
        </w:tc>
        <w:tc>
          <w:tcPr>
            <w:tcW w:w="583" w:type="pct"/>
            <w:tcBorders>
              <w:top w:val="nil"/>
              <w:left w:val="nil"/>
              <w:bottom w:val="nil"/>
              <w:right w:val="nil"/>
            </w:tcBorders>
            <w:shd w:val="clear" w:color="auto" w:fill="FFFFFF"/>
          </w:tcPr>
          <w:p w14:paraId="70FE126E" w14:textId="5F4ACC74" w:rsidR="00D418A4" w:rsidRPr="00A51A17" w:rsidRDefault="00D418A4" w:rsidP="00584FD3">
            <w:pPr>
              <w:autoSpaceDE w:val="0"/>
              <w:autoSpaceDN w:val="0"/>
              <w:adjustRightInd w:val="0"/>
              <w:spacing w:line="320" w:lineRule="atLeast"/>
              <w:ind w:left="60" w:right="60"/>
            </w:pPr>
            <w:r w:rsidRPr="00A51A17">
              <w:t>.31</w:t>
            </w:r>
            <w:r w:rsidRPr="00A51A17">
              <w:rPr>
                <w:vertAlign w:val="superscript"/>
              </w:rPr>
              <w:t>***</w:t>
            </w:r>
          </w:p>
        </w:tc>
        <w:tc>
          <w:tcPr>
            <w:tcW w:w="583" w:type="pct"/>
            <w:tcBorders>
              <w:top w:val="nil"/>
              <w:left w:val="nil"/>
              <w:bottom w:val="nil"/>
              <w:right w:val="nil"/>
            </w:tcBorders>
            <w:shd w:val="clear" w:color="auto" w:fill="FFFFFF"/>
          </w:tcPr>
          <w:p w14:paraId="5E15FAEC" w14:textId="3A6F2FFA" w:rsidR="00D418A4" w:rsidRPr="00A51A17" w:rsidRDefault="00D418A4" w:rsidP="00584FD3">
            <w:pPr>
              <w:autoSpaceDE w:val="0"/>
              <w:autoSpaceDN w:val="0"/>
              <w:adjustRightInd w:val="0"/>
              <w:spacing w:line="320" w:lineRule="atLeast"/>
              <w:ind w:left="60" w:right="60"/>
            </w:pPr>
            <w:r w:rsidRPr="00A51A17">
              <w:t>.37</w:t>
            </w:r>
            <w:r w:rsidRPr="00A51A17">
              <w:rPr>
                <w:vertAlign w:val="superscript"/>
              </w:rPr>
              <w:t>***</w:t>
            </w:r>
          </w:p>
        </w:tc>
        <w:tc>
          <w:tcPr>
            <w:tcW w:w="583" w:type="pct"/>
            <w:tcBorders>
              <w:top w:val="nil"/>
              <w:left w:val="nil"/>
              <w:bottom w:val="nil"/>
              <w:right w:val="nil"/>
            </w:tcBorders>
            <w:shd w:val="clear" w:color="auto" w:fill="FFFFFF"/>
          </w:tcPr>
          <w:p w14:paraId="0C481E68" w14:textId="56D93E40" w:rsidR="00D418A4" w:rsidRPr="00A51A17" w:rsidRDefault="00D418A4" w:rsidP="00584FD3">
            <w:pPr>
              <w:autoSpaceDE w:val="0"/>
              <w:autoSpaceDN w:val="0"/>
              <w:adjustRightInd w:val="0"/>
              <w:spacing w:line="320" w:lineRule="atLeast"/>
              <w:ind w:left="60" w:right="60"/>
            </w:pPr>
            <w:r w:rsidRPr="00A51A17">
              <w:t>-</w:t>
            </w:r>
          </w:p>
        </w:tc>
        <w:tc>
          <w:tcPr>
            <w:tcW w:w="583" w:type="pct"/>
            <w:tcBorders>
              <w:top w:val="nil"/>
              <w:left w:val="nil"/>
              <w:bottom w:val="nil"/>
              <w:right w:val="nil"/>
            </w:tcBorders>
            <w:shd w:val="clear" w:color="auto" w:fill="FFFFFF"/>
          </w:tcPr>
          <w:p w14:paraId="45C33A1F" w14:textId="0EA360AB" w:rsidR="00D418A4" w:rsidRPr="00A51A17" w:rsidRDefault="004D5574" w:rsidP="00584FD3">
            <w:pPr>
              <w:autoSpaceDE w:val="0"/>
              <w:autoSpaceDN w:val="0"/>
              <w:adjustRightInd w:val="0"/>
              <w:spacing w:line="320" w:lineRule="atLeast"/>
              <w:ind w:left="60" w:right="60"/>
            </w:pPr>
            <w:r w:rsidRPr="00A51A17">
              <w:t>.39</w:t>
            </w:r>
            <w:r w:rsidRPr="00A51A17">
              <w:rPr>
                <w:vertAlign w:val="superscript"/>
              </w:rPr>
              <w:t>***</w:t>
            </w:r>
          </w:p>
        </w:tc>
        <w:tc>
          <w:tcPr>
            <w:tcW w:w="584" w:type="pct"/>
            <w:tcBorders>
              <w:top w:val="nil"/>
              <w:left w:val="nil"/>
              <w:bottom w:val="nil"/>
              <w:right w:val="nil"/>
            </w:tcBorders>
            <w:shd w:val="clear" w:color="auto" w:fill="FFFFFF"/>
          </w:tcPr>
          <w:p w14:paraId="64F8A398" w14:textId="52E7C884" w:rsidR="00D418A4" w:rsidRPr="00A51A17" w:rsidRDefault="004D5574" w:rsidP="00584FD3">
            <w:pPr>
              <w:autoSpaceDE w:val="0"/>
              <w:autoSpaceDN w:val="0"/>
              <w:adjustRightInd w:val="0"/>
              <w:spacing w:line="320" w:lineRule="atLeast"/>
              <w:ind w:left="60" w:right="60"/>
            </w:pPr>
            <w:r w:rsidRPr="00A51A17">
              <w:t>-.39</w:t>
            </w:r>
            <w:r w:rsidRPr="00A51A17">
              <w:rPr>
                <w:vertAlign w:val="superscript"/>
              </w:rPr>
              <w:t>***</w:t>
            </w:r>
          </w:p>
        </w:tc>
      </w:tr>
      <w:tr w:rsidR="00A51A17" w:rsidRPr="00A51A17" w14:paraId="47678817" w14:textId="31A8F967" w:rsidTr="0046462F">
        <w:trPr>
          <w:cantSplit/>
        </w:trPr>
        <w:tc>
          <w:tcPr>
            <w:tcW w:w="1500" w:type="pct"/>
            <w:tcBorders>
              <w:top w:val="nil"/>
              <w:left w:val="nil"/>
              <w:bottom w:val="nil"/>
              <w:right w:val="nil"/>
            </w:tcBorders>
            <w:shd w:val="clear" w:color="auto" w:fill="auto"/>
          </w:tcPr>
          <w:p w14:paraId="4707DB81" w14:textId="63BADEE7" w:rsidR="00D418A4" w:rsidRPr="00A51A17" w:rsidRDefault="00D418A4" w:rsidP="002134D4">
            <w:pPr>
              <w:autoSpaceDE w:val="0"/>
              <w:autoSpaceDN w:val="0"/>
              <w:adjustRightInd w:val="0"/>
              <w:spacing w:line="320" w:lineRule="atLeast"/>
              <w:ind w:left="60" w:right="60"/>
            </w:pPr>
            <w:r w:rsidRPr="00A51A17">
              <w:t xml:space="preserve">5. Intolerance of </w:t>
            </w:r>
            <w:r w:rsidR="00A022A5" w:rsidRPr="00A51A17">
              <w:t>u</w:t>
            </w:r>
            <w:r w:rsidRPr="00A51A17">
              <w:t xml:space="preserve">ncertainty </w:t>
            </w:r>
          </w:p>
        </w:tc>
        <w:tc>
          <w:tcPr>
            <w:tcW w:w="583" w:type="pct"/>
            <w:tcBorders>
              <w:top w:val="nil"/>
              <w:left w:val="nil"/>
              <w:bottom w:val="nil"/>
              <w:right w:val="nil"/>
            </w:tcBorders>
            <w:shd w:val="clear" w:color="auto" w:fill="FFFFFF"/>
          </w:tcPr>
          <w:p w14:paraId="35388089" w14:textId="30576F6D" w:rsidR="00D418A4" w:rsidRPr="00A51A17" w:rsidRDefault="00984889" w:rsidP="008D2B33">
            <w:pPr>
              <w:autoSpaceDE w:val="0"/>
              <w:autoSpaceDN w:val="0"/>
              <w:adjustRightInd w:val="0"/>
              <w:spacing w:line="320" w:lineRule="atLeast"/>
              <w:ind w:left="60" w:right="60"/>
            </w:pPr>
            <w:r w:rsidRPr="00A51A17">
              <w:t>.5</w:t>
            </w:r>
            <w:r w:rsidR="008D2B33" w:rsidRPr="00A51A17">
              <w:t>0</w:t>
            </w:r>
            <w:r w:rsidR="00D418A4" w:rsidRPr="00A51A17">
              <w:rPr>
                <w:vertAlign w:val="superscript"/>
              </w:rPr>
              <w:t>***</w:t>
            </w:r>
          </w:p>
        </w:tc>
        <w:tc>
          <w:tcPr>
            <w:tcW w:w="583" w:type="pct"/>
            <w:tcBorders>
              <w:top w:val="nil"/>
              <w:left w:val="nil"/>
              <w:bottom w:val="nil"/>
              <w:right w:val="nil"/>
            </w:tcBorders>
            <w:shd w:val="clear" w:color="auto" w:fill="FFFFFF"/>
          </w:tcPr>
          <w:p w14:paraId="53A7D8B1" w14:textId="40DC7599" w:rsidR="00D418A4" w:rsidRPr="00A51A17" w:rsidRDefault="00D418A4" w:rsidP="00584FD3">
            <w:pPr>
              <w:autoSpaceDE w:val="0"/>
              <w:autoSpaceDN w:val="0"/>
              <w:adjustRightInd w:val="0"/>
              <w:spacing w:line="320" w:lineRule="atLeast"/>
              <w:ind w:left="60" w:right="60"/>
            </w:pPr>
            <w:r w:rsidRPr="00A51A17">
              <w:t>.45</w:t>
            </w:r>
            <w:r w:rsidRPr="00A51A17">
              <w:rPr>
                <w:vertAlign w:val="superscript"/>
              </w:rPr>
              <w:t>***</w:t>
            </w:r>
          </w:p>
        </w:tc>
        <w:tc>
          <w:tcPr>
            <w:tcW w:w="583" w:type="pct"/>
            <w:tcBorders>
              <w:top w:val="nil"/>
              <w:left w:val="nil"/>
              <w:bottom w:val="nil"/>
              <w:right w:val="nil"/>
            </w:tcBorders>
            <w:shd w:val="clear" w:color="auto" w:fill="FFFFFF"/>
          </w:tcPr>
          <w:p w14:paraId="6930DEBB" w14:textId="30C37AA8" w:rsidR="00D418A4" w:rsidRPr="00A51A17" w:rsidRDefault="00D418A4" w:rsidP="00584FD3">
            <w:pPr>
              <w:autoSpaceDE w:val="0"/>
              <w:autoSpaceDN w:val="0"/>
              <w:adjustRightInd w:val="0"/>
              <w:spacing w:line="320" w:lineRule="atLeast"/>
              <w:ind w:left="60" w:right="60"/>
            </w:pPr>
            <w:r w:rsidRPr="00A51A17">
              <w:t>.34</w:t>
            </w:r>
            <w:r w:rsidRPr="00A51A17">
              <w:rPr>
                <w:vertAlign w:val="superscript"/>
              </w:rPr>
              <w:t>***</w:t>
            </w:r>
          </w:p>
        </w:tc>
        <w:tc>
          <w:tcPr>
            <w:tcW w:w="583" w:type="pct"/>
            <w:tcBorders>
              <w:top w:val="nil"/>
              <w:left w:val="nil"/>
              <w:bottom w:val="nil"/>
              <w:right w:val="nil"/>
            </w:tcBorders>
            <w:shd w:val="clear" w:color="auto" w:fill="FFFFFF"/>
          </w:tcPr>
          <w:p w14:paraId="12DDA35F" w14:textId="19C3DFB6" w:rsidR="00D418A4" w:rsidRPr="00A51A17" w:rsidRDefault="00D418A4" w:rsidP="00584FD3">
            <w:pPr>
              <w:autoSpaceDE w:val="0"/>
              <w:autoSpaceDN w:val="0"/>
              <w:adjustRightInd w:val="0"/>
              <w:spacing w:line="320" w:lineRule="atLeast"/>
              <w:ind w:left="60" w:right="60"/>
            </w:pPr>
            <w:r w:rsidRPr="00A51A17">
              <w:t>.42</w:t>
            </w:r>
            <w:r w:rsidRPr="00A51A17">
              <w:rPr>
                <w:vertAlign w:val="superscript"/>
              </w:rPr>
              <w:t>***</w:t>
            </w:r>
          </w:p>
        </w:tc>
        <w:tc>
          <w:tcPr>
            <w:tcW w:w="583" w:type="pct"/>
            <w:tcBorders>
              <w:top w:val="nil"/>
              <w:left w:val="nil"/>
              <w:bottom w:val="nil"/>
              <w:right w:val="nil"/>
            </w:tcBorders>
            <w:shd w:val="clear" w:color="auto" w:fill="FFFFFF"/>
          </w:tcPr>
          <w:p w14:paraId="5BD13B84" w14:textId="1C18A1BF" w:rsidR="00D418A4" w:rsidRPr="00A51A17" w:rsidRDefault="00D418A4" w:rsidP="00584FD3">
            <w:pPr>
              <w:autoSpaceDE w:val="0"/>
              <w:autoSpaceDN w:val="0"/>
              <w:adjustRightInd w:val="0"/>
              <w:spacing w:line="320" w:lineRule="atLeast"/>
              <w:ind w:left="60" w:right="60"/>
            </w:pPr>
            <w:r w:rsidRPr="00A51A17">
              <w:t>-</w:t>
            </w:r>
          </w:p>
        </w:tc>
        <w:tc>
          <w:tcPr>
            <w:tcW w:w="584" w:type="pct"/>
            <w:tcBorders>
              <w:top w:val="nil"/>
              <w:left w:val="nil"/>
              <w:bottom w:val="nil"/>
              <w:right w:val="nil"/>
            </w:tcBorders>
            <w:shd w:val="clear" w:color="auto" w:fill="FFFFFF"/>
          </w:tcPr>
          <w:p w14:paraId="3A74AF92" w14:textId="1B8B0E0F" w:rsidR="00D418A4" w:rsidRPr="00A51A17" w:rsidRDefault="004D5574" w:rsidP="004D5574">
            <w:pPr>
              <w:autoSpaceDE w:val="0"/>
              <w:autoSpaceDN w:val="0"/>
              <w:adjustRightInd w:val="0"/>
              <w:spacing w:line="320" w:lineRule="atLeast"/>
              <w:ind w:left="60" w:right="60"/>
            </w:pPr>
            <w:r w:rsidRPr="00A51A17">
              <w:t>-.16</w:t>
            </w:r>
            <w:r w:rsidRPr="00A51A17">
              <w:rPr>
                <w:vertAlign w:val="superscript"/>
              </w:rPr>
              <w:t>***</w:t>
            </w:r>
          </w:p>
        </w:tc>
      </w:tr>
      <w:tr w:rsidR="00A51A17" w:rsidRPr="00A51A17" w14:paraId="58E9CE86" w14:textId="298054FF" w:rsidTr="0046462F">
        <w:trPr>
          <w:cantSplit/>
        </w:trPr>
        <w:tc>
          <w:tcPr>
            <w:tcW w:w="1500" w:type="pct"/>
            <w:tcBorders>
              <w:top w:val="nil"/>
              <w:left w:val="nil"/>
              <w:bottom w:val="single" w:sz="4" w:space="0" w:color="auto"/>
              <w:right w:val="nil"/>
            </w:tcBorders>
            <w:shd w:val="clear" w:color="auto" w:fill="auto"/>
          </w:tcPr>
          <w:p w14:paraId="69DCB624" w14:textId="31B0E233" w:rsidR="00D418A4" w:rsidRPr="00A51A17" w:rsidRDefault="00D418A4" w:rsidP="002134D4">
            <w:pPr>
              <w:autoSpaceDE w:val="0"/>
              <w:autoSpaceDN w:val="0"/>
              <w:adjustRightInd w:val="0"/>
              <w:spacing w:line="320" w:lineRule="atLeast"/>
              <w:ind w:left="60" w:right="60"/>
            </w:pPr>
            <w:r w:rsidRPr="00A51A17">
              <w:t>6. Age</w:t>
            </w:r>
          </w:p>
        </w:tc>
        <w:tc>
          <w:tcPr>
            <w:tcW w:w="583" w:type="pct"/>
            <w:tcBorders>
              <w:top w:val="nil"/>
              <w:left w:val="nil"/>
              <w:bottom w:val="single" w:sz="4" w:space="0" w:color="auto"/>
              <w:right w:val="nil"/>
            </w:tcBorders>
            <w:shd w:val="clear" w:color="auto" w:fill="FFFFFF"/>
          </w:tcPr>
          <w:p w14:paraId="039BB34B" w14:textId="17880B32" w:rsidR="00D418A4" w:rsidRPr="00A51A17" w:rsidRDefault="00D418A4" w:rsidP="008D2B33">
            <w:pPr>
              <w:autoSpaceDE w:val="0"/>
              <w:autoSpaceDN w:val="0"/>
              <w:adjustRightInd w:val="0"/>
              <w:spacing w:line="320" w:lineRule="atLeast"/>
              <w:ind w:left="60" w:right="60"/>
            </w:pPr>
            <w:r w:rsidRPr="00A51A17">
              <w:t>-.1</w:t>
            </w:r>
            <w:r w:rsidR="008D2B33" w:rsidRPr="00A51A17">
              <w:t>2</w:t>
            </w:r>
            <w:r w:rsidRPr="00A51A17">
              <w:rPr>
                <w:vertAlign w:val="superscript"/>
              </w:rPr>
              <w:t>**</w:t>
            </w:r>
          </w:p>
        </w:tc>
        <w:tc>
          <w:tcPr>
            <w:tcW w:w="583" w:type="pct"/>
            <w:tcBorders>
              <w:top w:val="nil"/>
              <w:left w:val="nil"/>
              <w:bottom w:val="single" w:sz="4" w:space="0" w:color="auto"/>
              <w:right w:val="nil"/>
            </w:tcBorders>
            <w:shd w:val="clear" w:color="auto" w:fill="FFFFFF"/>
          </w:tcPr>
          <w:p w14:paraId="0739F5DA" w14:textId="2DA34C1E" w:rsidR="00D418A4" w:rsidRPr="00A51A17" w:rsidRDefault="00D418A4" w:rsidP="00584FD3">
            <w:pPr>
              <w:autoSpaceDE w:val="0"/>
              <w:autoSpaceDN w:val="0"/>
              <w:adjustRightInd w:val="0"/>
              <w:spacing w:line="320" w:lineRule="atLeast"/>
              <w:ind w:left="60" w:right="60"/>
            </w:pPr>
            <w:r w:rsidRPr="00A51A17">
              <w:t>-.10</w:t>
            </w:r>
            <w:r w:rsidRPr="00A51A17">
              <w:rPr>
                <w:vertAlign w:val="superscript"/>
              </w:rPr>
              <w:t>*</w:t>
            </w:r>
          </w:p>
        </w:tc>
        <w:tc>
          <w:tcPr>
            <w:tcW w:w="583" w:type="pct"/>
            <w:tcBorders>
              <w:top w:val="nil"/>
              <w:left w:val="nil"/>
              <w:bottom w:val="single" w:sz="4" w:space="0" w:color="auto"/>
              <w:right w:val="nil"/>
            </w:tcBorders>
            <w:shd w:val="clear" w:color="auto" w:fill="FFFFFF"/>
          </w:tcPr>
          <w:p w14:paraId="5599691C" w14:textId="14FCCFC9" w:rsidR="00D418A4" w:rsidRPr="00A51A17" w:rsidRDefault="00D418A4" w:rsidP="00584FD3">
            <w:pPr>
              <w:autoSpaceDE w:val="0"/>
              <w:autoSpaceDN w:val="0"/>
              <w:adjustRightInd w:val="0"/>
              <w:spacing w:line="320" w:lineRule="atLeast"/>
              <w:ind w:left="60" w:right="60"/>
            </w:pPr>
            <w:r w:rsidRPr="00A51A17">
              <w:t>-.12</w:t>
            </w:r>
            <w:r w:rsidRPr="00A51A17">
              <w:rPr>
                <w:vertAlign w:val="superscript"/>
              </w:rPr>
              <w:t>**</w:t>
            </w:r>
          </w:p>
        </w:tc>
        <w:tc>
          <w:tcPr>
            <w:tcW w:w="583" w:type="pct"/>
            <w:tcBorders>
              <w:top w:val="nil"/>
              <w:left w:val="nil"/>
              <w:bottom w:val="single" w:sz="4" w:space="0" w:color="auto"/>
              <w:right w:val="nil"/>
            </w:tcBorders>
            <w:shd w:val="clear" w:color="auto" w:fill="FFFFFF"/>
          </w:tcPr>
          <w:p w14:paraId="79624ADC" w14:textId="712C2B69" w:rsidR="00D418A4" w:rsidRPr="00A51A17" w:rsidRDefault="00D418A4" w:rsidP="00584FD3">
            <w:pPr>
              <w:autoSpaceDE w:val="0"/>
              <w:autoSpaceDN w:val="0"/>
              <w:adjustRightInd w:val="0"/>
              <w:spacing w:line="320" w:lineRule="atLeast"/>
              <w:ind w:left="60" w:right="60"/>
            </w:pPr>
            <w:r w:rsidRPr="00A51A17">
              <w:t>-.30</w:t>
            </w:r>
            <w:r w:rsidRPr="00A51A17">
              <w:rPr>
                <w:vertAlign w:val="superscript"/>
              </w:rPr>
              <w:t>***</w:t>
            </w:r>
          </w:p>
        </w:tc>
        <w:tc>
          <w:tcPr>
            <w:tcW w:w="583" w:type="pct"/>
            <w:tcBorders>
              <w:top w:val="nil"/>
              <w:left w:val="nil"/>
              <w:bottom w:val="single" w:sz="4" w:space="0" w:color="auto"/>
              <w:right w:val="nil"/>
            </w:tcBorders>
            <w:shd w:val="clear" w:color="auto" w:fill="FFFFFF"/>
          </w:tcPr>
          <w:p w14:paraId="4ADEC525" w14:textId="63B2F3DD" w:rsidR="00D418A4" w:rsidRPr="00A51A17" w:rsidRDefault="00D418A4" w:rsidP="00CA27F0">
            <w:pPr>
              <w:autoSpaceDE w:val="0"/>
              <w:autoSpaceDN w:val="0"/>
              <w:adjustRightInd w:val="0"/>
              <w:spacing w:line="320" w:lineRule="atLeast"/>
              <w:ind w:left="60" w:right="60"/>
            </w:pPr>
            <w:r w:rsidRPr="00A51A17">
              <w:t>-.16</w:t>
            </w:r>
            <w:r w:rsidRPr="00A51A17">
              <w:rPr>
                <w:vertAlign w:val="superscript"/>
              </w:rPr>
              <w:t>**</w:t>
            </w:r>
          </w:p>
        </w:tc>
        <w:tc>
          <w:tcPr>
            <w:tcW w:w="584" w:type="pct"/>
            <w:tcBorders>
              <w:top w:val="nil"/>
              <w:left w:val="nil"/>
              <w:bottom w:val="single" w:sz="4" w:space="0" w:color="auto"/>
              <w:right w:val="nil"/>
            </w:tcBorders>
            <w:shd w:val="clear" w:color="auto" w:fill="FFFFFF"/>
          </w:tcPr>
          <w:p w14:paraId="3B499620" w14:textId="40A70B2C" w:rsidR="00D418A4" w:rsidRPr="00A51A17" w:rsidRDefault="004D5574" w:rsidP="00CA27F0">
            <w:pPr>
              <w:autoSpaceDE w:val="0"/>
              <w:autoSpaceDN w:val="0"/>
              <w:adjustRightInd w:val="0"/>
              <w:spacing w:line="320" w:lineRule="atLeast"/>
              <w:ind w:left="60" w:right="60"/>
            </w:pPr>
            <w:r w:rsidRPr="00A51A17">
              <w:t>-</w:t>
            </w:r>
          </w:p>
        </w:tc>
      </w:tr>
    </w:tbl>
    <w:p w14:paraId="595805BF" w14:textId="771FB9DC" w:rsidR="00F02DD1" w:rsidRPr="00A51A17" w:rsidRDefault="009B4837" w:rsidP="00084939">
      <w:pPr>
        <w:jc w:val="both"/>
        <w:rPr>
          <w:lang w:val="en-US"/>
        </w:rPr>
      </w:pPr>
      <w:r w:rsidRPr="00A51A17">
        <w:rPr>
          <w:lang w:val="en-US"/>
        </w:rPr>
        <w:t>N</w:t>
      </w:r>
      <w:r w:rsidR="00F02DD1" w:rsidRPr="00A51A17">
        <w:rPr>
          <w:lang w:val="en-US"/>
        </w:rPr>
        <w:t>ote</w:t>
      </w:r>
      <w:r w:rsidR="00084939" w:rsidRPr="00A51A17">
        <w:rPr>
          <w:lang w:val="en-US"/>
        </w:rPr>
        <w:t>s</w:t>
      </w:r>
      <w:r w:rsidR="00F02DD1" w:rsidRPr="00A51A17">
        <w:rPr>
          <w:lang w:val="en-US"/>
        </w:rPr>
        <w:t>:</w:t>
      </w:r>
      <w:r w:rsidRPr="00A51A17">
        <w:rPr>
          <w:lang w:val="en-US"/>
        </w:rPr>
        <w:t xml:space="preserve"> </w:t>
      </w:r>
      <w:r w:rsidR="00E77A3E" w:rsidRPr="00A51A17">
        <w:rPr>
          <w:lang w:val="en-US"/>
        </w:rPr>
        <w:t xml:space="preserve">Sample 1 N= 556; Sample 2 N= 575; </w:t>
      </w:r>
      <w:r w:rsidR="00CB79D6" w:rsidRPr="00A51A17">
        <w:rPr>
          <w:lang w:val="en-US"/>
        </w:rPr>
        <w:t>*</w:t>
      </w:r>
      <w:r w:rsidR="00CB79D6" w:rsidRPr="00A51A17">
        <w:rPr>
          <w:i/>
          <w:lang w:val="en-US"/>
        </w:rPr>
        <w:t>p</w:t>
      </w:r>
      <w:r w:rsidR="00CB79D6" w:rsidRPr="00A51A17">
        <w:rPr>
          <w:lang w:val="en-US"/>
        </w:rPr>
        <w:t>&lt;.05; **</w:t>
      </w:r>
      <w:r w:rsidR="00CB79D6" w:rsidRPr="00A51A17">
        <w:rPr>
          <w:i/>
          <w:lang w:val="en-US"/>
        </w:rPr>
        <w:t>p</w:t>
      </w:r>
      <w:r w:rsidR="00CB79D6" w:rsidRPr="00A51A17">
        <w:rPr>
          <w:lang w:val="en-US"/>
        </w:rPr>
        <w:t>&lt;.01</w:t>
      </w:r>
      <w:r w:rsidR="00CA27F0" w:rsidRPr="00A51A17">
        <w:rPr>
          <w:lang w:val="en-US"/>
        </w:rPr>
        <w:t>; ***</w:t>
      </w:r>
      <w:r w:rsidR="00CA27F0" w:rsidRPr="00A51A17">
        <w:rPr>
          <w:i/>
          <w:lang w:val="en-US"/>
        </w:rPr>
        <w:t>p</w:t>
      </w:r>
      <w:r w:rsidR="00CA27F0" w:rsidRPr="00A51A17">
        <w:rPr>
          <w:lang w:val="en-US"/>
        </w:rPr>
        <w:t>&lt;.001.</w:t>
      </w:r>
    </w:p>
    <w:p w14:paraId="20E159AA" w14:textId="77777777" w:rsidR="001425D1" w:rsidRPr="00A51A17" w:rsidRDefault="001425D1" w:rsidP="001425D1">
      <w:pPr>
        <w:tabs>
          <w:tab w:val="left" w:pos="1140"/>
        </w:tabs>
        <w:jc w:val="both"/>
        <w:rPr>
          <w:lang w:val="en-US"/>
        </w:rPr>
      </w:pPr>
      <w:r w:rsidRPr="00A51A17">
        <w:rPr>
          <w:lang w:val="en-US"/>
        </w:rPr>
        <w:tab/>
      </w:r>
    </w:p>
    <w:p w14:paraId="3D9E684C" w14:textId="3F8C9B8F" w:rsidR="00E419CE" w:rsidRPr="00A51A17" w:rsidRDefault="00420F50" w:rsidP="00084939">
      <w:pPr>
        <w:jc w:val="both"/>
        <w:rPr>
          <w:lang w:val="en-US"/>
        </w:rPr>
      </w:pPr>
      <w:r w:rsidRPr="00A51A17">
        <w:rPr>
          <w:lang w:val="en-US"/>
        </w:rPr>
        <w:br w:type="page"/>
      </w:r>
    </w:p>
    <w:p w14:paraId="3690EF16" w14:textId="103E1FD7" w:rsidR="004431AA" w:rsidRPr="00A51A17" w:rsidRDefault="004431AA" w:rsidP="004431AA">
      <w:pPr>
        <w:spacing w:line="360" w:lineRule="auto"/>
        <w:rPr>
          <w:highlight w:val="yellow"/>
          <w:lang w:val="en-US"/>
        </w:rPr>
      </w:pPr>
      <w:r w:rsidRPr="00A51A17">
        <w:rPr>
          <w:lang w:val="en-US"/>
        </w:rPr>
        <w:t xml:space="preserve">Table </w:t>
      </w:r>
      <w:r w:rsidR="00A62FE2" w:rsidRPr="00A51A17">
        <w:rPr>
          <w:lang w:val="en-US"/>
        </w:rPr>
        <w:t>4</w:t>
      </w:r>
      <w:r w:rsidRPr="00A51A17">
        <w:rPr>
          <w:lang w:val="en-US"/>
        </w:rPr>
        <w:t>. Standardized indirect effects of the independent (</w:t>
      </w:r>
      <w:r w:rsidR="00A022A5" w:rsidRPr="00A51A17">
        <w:rPr>
          <w:lang w:val="en-US"/>
        </w:rPr>
        <w:t>intolerance of uncertainty</w:t>
      </w:r>
      <w:r w:rsidRPr="00A51A17">
        <w:rPr>
          <w:lang w:val="en-US"/>
        </w:rPr>
        <w:t xml:space="preserve">) on the </w:t>
      </w:r>
      <w:r w:rsidR="00BF7866" w:rsidRPr="00A51A17">
        <w:rPr>
          <w:lang w:val="en-US"/>
        </w:rPr>
        <w:t>two</w:t>
      </w:r>
      <w:r w:rsidRPr="00A51A17">
        <w:rPr>
          <w:lang w:val="en-US"/>
        </w:rPr>
        <w:t xml:space="preserve"> outcomes (</w:t>
      </w:r>
      <w:r w:rsidR="001E10AB" w:rsidRPr="00A51A17">
        <w:rPr>
          <w:lang w:val="en-US"/>
        </w:rPr>
        <w:t>health anxiety</w:t>
      </w:r>
      <w:r w:rsidR="00390787" w:rsidRPr="00A51A17">
        <w:rPr>
          <w:lang w:val="en-US"/>
        </w:rPr>
        <w:t xml:space="preserve">, </w:t>
      </w:r>
      <w:r w:rsidR="00BF7866" w:rsidRPr="00A51A17">
        <w:rPr>
          <w:lang w:val="en-US"/>
        </w:rPr>
        <w:t>HA</w:t>
      </w:r>
      <w:r w:rsidR="001E10AB" w:rsidRPr="00A51A17">
        <w:rPr>
          <w:lang w:val="en-US"/>
        </w:rPr>
        <w:t>)</w:t>
      </w:r>
      <w:r w:rsidR="00BF7866" w:rsidRPr="00A51A17">
        <w:rPr>
          <w:lang w:val="en-US"/>
        </w:rPr>
        <w:t xml:space="preserve"> and psychological distress</w:t>
      </w:r>
      <w:r w:rsidRPr="00A51A17">
        <w:rPr>
          <w:lang w:val="en-US"/>
        </w:rPr>
        <w:t>) via the mediators (</w:t>
      </w:r>
      <w:r w:rsidR="00BF7866" w:rsidRPr="00A51A17">
        <w:rPr>
          <w:lang w:val="en-US"/>
        </w:rPr>
        <w:t xml:space="preserve">cyberchondria and </w:t>
      </w:r>
      <w:r w:rsidR="001E10AB" w:rsidRPr="00A51A17">
        <w:rPr>
          <w:lang w:val="en-US"/>
        </w:rPr>
        <w:t>problematic internet use</w:t>
      </w:r>
      <w:r w:rsidR="00390787" w:rsidRPr="00A51A17">
        <w:rPr>
          <w:lang w:val="en-US"/>
        </w:rPr>
        <w:t xml:space="preserve">, </w:t>
      </w:r>
      <w:r w:rsidR="00BF7866" w:rsidRPr="00A51A17">
        <w:rPr>
          <w:lang w:val="en-US"/>
        </w:rPr>
        <w:t>PIU</w:t>
      </w:r>
      <w:r w:rsidRPr="00A51A17">
        <w:rPr>
          <w:lang w:val="en-US"/>
        </w:rPr>
        <w:t>).</w:t>
      </w:r>
    </w:p>
    <w:tbl>
      <w:tblPr>
        <w:tblStyle w:val="TableGrid"/>
        <w:tblpPr w:leftFromText="141" w:rightFromText="141" w:vertAnchor="text" w:horzAnchor="margin" w:tblpY="75"/>
        <w:tblW w:w="1385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660"/>
        <w:gridCol w:w="992"/>
        <w:gridCol w:w="850"/>
        <w:gridCol w:w="1418"/>
        <w:gridCol w:w="1134"/>
        <w:gridCol w:w="1417"/>
        <w:gridCol w:w="993"/>
        <w:gridCol w:w="1134"/>
        <w:gridCol w:w="1417"/>
      </w:tblGrid>
      <w:tr w:rsidR="00A51A17" w:rsidRPr="00A51A17" w14:paraId="0BA07FD3" w14:textId="77777777" w:rsidTr="00A022A5">
        <w:tc>
          <w:tcPr>
            <w:tcW w:w="1843" w:type="dxa"/>
            <w:tcBorders>
              <w:top w:val="single" w:sz="4" w:space="0" w:color="auto"/>
              <w:bottom w:val="single" w:sz="4" w:space="0" w:color="auto"/>
            </w:tcBorders>
          </w:tcPr>
          <w:p w14:paraId="3E5994FC" w14:textId="27181E19" w:rsidR="009A13A9" w:rsidRPr="00A51A17" w:rsidRDefault="009A13A9" w:rsidP="002F66B0">
            <w:pPr>
              <w:rPr>
                <w:rFonts w:ascii="Times New Roman" w:hAnsi="Times New Roman"/>
                <w:lang w:val="en-US"/>
              </w:rPr>
            </w:pPr>
            <w:r w:rsidRPr="00A51A17">
              <w:rPr>
                <w:rFonts w:ascii="Times New Roman" w:hAnsi="Times New Roman"/>
                <w:lang w:val="en-US"/>
              </w:rPr>
              <w:t>Independent</w:t>
            </w:r>
          </w:p>
        </w:tc>
        <w:tc>
          <w:tcPr>
            <w:tcW w:w="2660" w:type="dxa"/>
            <w:tcBorders>
              <w:top w:val="single" w:sz="4" w:space="0" w:color="auto"/>
              <w:bottom w:val="single" w:sz="4" w:space="0" w:color="auto"/>
            </w:tcBorders>
          </w:tcPr>
          <w:p w14:paraId="0DB56B21" w14:textId="5DC4AFA2" w:rsidR="009A13A9" w:rsidRPr="00A51A17" w:rsidRDefault="009A13A9" w:rsidP="002F66B0">
            <w:pPr>
              <w:rPr>
                <w:rFonts w:ascii="Times New Roman" w:hAnsi="Times New Roman"/>
                <w:lang w:val="en-US"/>
              </w:rPr>
            </w:pPr>
            <w:r w:rsidRPr="00A51A17">
              <w:rPr>
                <w:rFonts w:ascii="Times New Roman" w:hAnsi="Times New Roman"/>
                <w:lang w:val="en-US"/>
              </w:rPr>
              <w:t>Mediator</w:t>
            </w:r>
            <w:r w:rsidR="007C2A91" w:rsidRPr="00A51A17">
              <w:rPr>
                <w:rFonts w:ascii="Times New Roman" w:hAnsi="Times New Roman"/>
                <w:lang w:val="en-US"/>
              </w:rPr>
              <w:t>s</w:t>
            </w:r>
          </w:p>
        </w:tc>
        <w:tc>
          <w:tcPr>
            <w:tcW w:w="9355" w:type="dxa"/>
            <w:gridSpan w:val="8"/>
            <w:tcBorders>
              <w:top w:val="single" w:sz="4" w:space="0" w:color="auto"/>
              <w:bottom w:val="single" w:sz="4" w:space="0" w:color="auto"/>
            </w:tcBorders>
          </w:tcPr>
          <w:p w14:paraId="4EE03D67" w14:textId="324EDE57" w:rsidR="009A13A9" w:rsidRPr="00A51A17" w:rsidRDefault="009A13A9" w:rsidP="002F66B0">
            <w:pPr>
              <w:jc w:val="center"/>
              <w:rPr>
                <w:rFonts w:ascii="Times New Roman" w:hAnsi="Times New Roman"/>
                <w:lang w:val="en-US"/>
              </w:rPr>
            </w:pPr>
            <w:r w:rsidRPr="00A51A17">
              <w:rPr>
                <w:rFonts w:ascii="Times New Roman" w:hAnsi="Times New Roman"/>
                <w:lang w:val="en-US"/>
              </w:rPr>
              <w:t>Outcome</w:t>
            </w:r>
          </w:p>
        </w:tc>
      </w:tr>
      <w:tr w:rsidR="00A51A17" w:rsidRPr="00A51A17" w14:paraId="07180192" w14:textId="77777777" w:rsidTr="00A022A5">
        <w:tc>
          <w:tcPr>
            <w:tcW w:w="1843" w:type="dxa"/>
            <w:tcBorders>
              <w:top w:val="single" w:sz="4" w:space="0" w:color="auto"/>
              <w:bottom w:val="nil"/>
            </w:tcBorders>
          </w:tcPr>
          <w:p w14:paraId="43001BE8" w14:textId="77777777" w:rsidR="009A13A9" w:rsidRPr="00A51A17" w:rsidRDefault="009A13A9" w:rsidP="002F66B0">
            <w:pPr>
              <w:rPr>
                <w:rFonts w:ascii="Times New Roman" w:hAnsi="Times New Roman"/>
                <w:lang w:val="en-US"/>
              </w:rPr>
            </w:pPr>
          </w:p>
        </w:tc>
        <w:tc>
          <w:tcPr>
            <w:tcW w:w="2660" w:type="dxa"/>
            <w:tcBorders>
              <w:top w:val="single" w:sz="4" w:space="0" w:color="auto"/>
              <w:bottom w:val="nil"/>
            </w:tcBorders>
          </w:tcPr>
          <w:p w14:paraId="763B6DDE" w14:textId="77777777" w:rsidR="009A13A9" w:rsidRPr="00A51A17" w:rsidRDefault="009A13A9" w:rsidP="002F66B0">
            <w:pPr>
              <w:rPr>
                <w:rFonts w:ascii="Times New Roman" w:hAnsi="Times New Roman"/>
                <w:lang w:val="en-US"/>
              </w:rPr>
            </w:pPr>
          </w:p>
        </w:tc>
        <w:tc>
          <w:tcPr>
            <w:tcW w:w="4394" w:type="dxa"/>
            <w:gridSpan w:val="4"/>
            <w:tcBorders>
              <w:top w:val="single" w:sz="4" w:space="0" w:color="auto"/>
              <w:bottom w:val="single" w:sz="4" w:space="0" w:color="auto"/>
            </w:tcBorders>
          </w:tcPr>
          <w:p w14:paraId="6D6847B2" w14:textId="65C63340" w:rsidR="009A13A9" w:rsidRPr="00A51A17" w:rsidRDefault="009A13A9" w:rsidP="002F66B0">
            <w:pPr>
              <w:jc w:val="center"/>
              <w:rPr>
                <w:rFonts w:ascii="Times New Roman" w:hAnsi="Times New Roman"/>
                <w:lang w:val="en-US"/>
              </w:rPr>
            </w:pPr>
            <w:r w:rsidRPr="00A51A17">
              <w:rPr>
                <w:rFonts w:ascii="Times New Roman" w:hAnsi="Times New Roman"/>
                <w:lang w:val="en-US"/>
              </w:rPr>
              <w:t>Health Anxiety</w:t>
            </w:r>
          </w:p>
        </w:tc>
        <w:tc>
          <w:tcPr>
            <w:tcW w:w="4961" w:type="dxa"/>
            <w:gridSpan w:val="4"/>
            <w:tcBorders>
              <w:top w:val="single" w:sz="4" w:space="0" w:color="auto"/>
              <w:left w:val="single" w:sz="4" w:space="0" w:color="auto"/>
              <w:bottom w:val="nil"/>
            </w:tcBorders>
          </w:tcPr>
          <w:p w14:paraId="11E486E7" w14:textId="2A6B098F" w:rsidR="009A13A9" w:rsidRPr="00A51A17" w:rsidRDefault="00BF7866" w:rsidP="002F66B0">
            <w:pPr>
              <w:jc w:val="center"/>
              <w:rPr>
                <w:rFonts w:ascii="Times New Roman" w:hAnsi="Times New Roman"/>
                <w:lang w:val="en-US"/>
              </w:rPr>
            </w:pPr>
            <w:r w:rsidRPr="00A51A17">
              <w:rPr>
                <w:rFonts w:ascii="Times New Roman" w:hAnsi="Times New Roman"/>
                <w:lang w:val="en-US"/>
              </w:rPr>
              <w:t>Psychological</w:t>
            </w:r>
            <w:r w:rsidR="009A13A9" w:rsidRPr="00A51A17">
              <w:rPr>
                <w:rFonts w:ascii="Times New Roman" w:hAnsi="Times New Roman"/>
                <w:lang w:val="en-US"/>
              </w:rPr>
              <w:t xml:space="preserve"> Distress</w:t>
            </w:r>
          </w:p>
        </w:tc>
      </w:tr>
      <w:tr w:rsidR="00A51A17" w:rsidRPr="00A51A17" w14:paraId="23D67751" w14:textId="77777777" w:rsidTr="00A022A5">
        <w:tc>
          <w:tcPr>
            <w:tcW w:w="1843" w:type="dxa"/>
            <w:tcBorders>
              <w:top w:val="nil"/>
              <w:bottom w:val="single" w:sz="4" w:space="0" w:color="auto"/>
            </w:tcBorders>
          </w:tcPr>
          <w:p w14:paraId="275F35A3" w14:textId="77777777" w:rsidR="009A13A9" w:rsidRPr="00A51A17" w:rsidRDefault="009A13A9" w:rsidP="002F66B0">
            <w:pPr>
              <w:rPr>
                <w:rFonts w:ascii="Times New Roman" w:hAnsi="Times New Roman"/>
                <w:lang w:val="en-US"/>
              </w:rPr>
            </w:pPr>
          </w:p>
        </w:tc>
        <w:tc>
          <w:tcPr>
            <w:tcW w:w="2660" w:type="dxa"/>
            <w:tcBorders>
              <w:top w:val="nil"/>
              <w:bottom w:val="single" w:sz="4" w:space="0" w:color="auto"/>
            </w:tcBorders>
          </w:tcPr>
          <w:p w14:paraId="0A9988A8" w14:textId="77777777" w:rsidR="009A13A9" w:rsidRPr="00A51A17" w:rsidRDefault="009A13A9" w:rsidP="002F66B0">
            <w:pPr>
              <w:rPr>
                <w:rFonts w:ascii="Times New Roman" w:hAnsi="Times New Roman"/>
                <w:lang w:val="en-US"/>
              </w:rPr>
            </w:pPr>
          </w:p>
        </w:tc>
        <w:tc>
          <w:tcPr>
            <w:tcW w:w="992" w:type="dxa"/>
            <w:tcBorders>
              <w:top w:val="single" w:sz="4" w:space="0" w:color="auto"/>
              <w:bottom w:val="single" w:sz="4" w:space="0" w:color="auto"/>
            </w:tcBorders>
          </w:tcPr>
          <w:p w14:paraId="3F1C51B9" w14:textId="3F00F39D" w:rsidR="009A13A9" w:rsidRPr="00A51A17" w:rsidRDefault="009A13A9" w:rsidP="002F66B0">
            <w:pPr>
              <w:jc w:val="center"/>
              <w:rPr>
                <w:rFonts w:ascii="Times New Roman" w:hAnsi="Times New Roman"/>
                <w:lang w:val="en-US"/>
              </w:rPr>
            </w:pPr>
            <w:r w:rsidRPr="00A51A17">
              <w:rPr>
                <w:rFonts w:ascii="Times New Roman" w:hAnsi="Times New Roman"/>
                <w:lang w:val="en-US"/>
              </w:rPr>
              <w:t>Beta</w:t>
            </w:r>
          </w:p>
        </w:tc>
        <w:tc>
          <w:tcPr>
            <w:tcW w:w="850" w:type="dxa"/>
            <w:tcBorders>
              <w:top w:val="single" w:sz="4" w:space="0" w:color="auto"/>
            </w:tcBorders>
          </w:tcPr>
          <w:p w14:paraId="3C7804FE" w14:textId="228EA302" w:rsidR="009A13A9" w:rsidRPr="00A51A17" w:rsidRDefault="009A13A9" w:rsidP="002F66B0">
            <w:pPr>
              <w:jc w:val="center"/>
              <w:rPr>
                <w:rFonts w:ascii="Times New Roman" w:hAnsi="Times New Roman"/>
                <w:lang w:val="en-US"/>
              </w:rPr>
            </w:pPr>
            <w:r w:rsidRPr="00A51A17">
              <w:rPr>
                <w:rFonts w:ascii="Times New Roman" w:hAnsi="Times New Roman"/>
                <w:lang w:val="en-US"/>
              </w:rPr>
              <w:t>SE</w:t>
            </w:r>
          </w:p>
        </w:tc>
        <w:tc>
          <w:tcPr>
            <w:tcW w:w="1418" w:type="dxa"/>
            <w:tcBorders>
              <w:top w:val="single" w:sz="4" w:space="0" w:color="auto"/>
              <w:left w:val="nil"/>
              <w:bottom w:val="nil"/>
              <w:right w:val="nil"/>
            </w:tcBorders>
          </w:tcPr>
          <w:p w14:paraId="6364557E" w14:textId="55103674" w:rsidR="009A13A9" w:rsidRPr="00A51A17" w:rsidRDefault="009A13A9" w:rsidP="002F66B0">
            <w:pPr>
              <w:jc w:val="center"/>
              <w:rPr>
                <w:rFonts w:ascii="Times New Roman" w:hAnsi="Times New Roman"/>
                <w:i/>
                <w:lang w:val="en-US"/>
              </w:rPr>
            </w:pPr>
            <w:r w:rsidRPr="00A51A17">
              <w:rPr>
                <w:rFonts w:ascii="Times New Roman" w:hAnsi="Times New Roman"/>
                <w:i/>
                <w:lang w:val="en-US"/>
              </w:rPr>
              <w:t>z</w:t>
            </w:r>
          </w:p>
        </w:tc>
        <w:tc>
          <w:tcPr>
            <w:tcW w:w="1134" w:type="dxa"/>
            <w:tcBorders>
              <w:top w:val="single" w:sz="4" w:space="0" w:color="auto"/>
              <w:left w:val="nil"/>
              <w:bottom w:val="nil"/>
            </w:tcBorders>
          </w:tcPr>
          <w:p w14:paraId="1B30BF15" w14:textId="6A05D8DA" w:rsidR="009A13A9" w:rsidRPr="00A51A17" w:rsidRDefault="009A13A9" w:rsidP="002F66B0">
            <w:pPr>
              <w:jc w:val="center"/>
              <w:rPr>
                <w:rFonts w:ascii="Times New Roman" w:hAnsi="Times New Roman"/>
                <w:i/>
                <w:lang w:val="en-US"/>
              </w:rPr>
            </w:pPr>
            <w:r w:rsidRPr="00A51A17">
              <w:rPr>
                <w:rFonts w:ascii="Times New Roman" w:hAnsi="Times New Roman"/>
                <w:i/>
                <w:lang w:val="en-US"/>
              </w:rPr>
              <w:t>p</w:t>
            </w:r>
          </w:p>
        </w:tc>
        <w:tc>
          <w:tcPr>
            <w:tcW w:w="1417" w:type="dxa"/>
            <w:tcBorders>
              <w:top w:val="single" w:sz="4" w:space="0" w:color="auto"/>
              <w:left w:val="single" w:sz="4" w:space="0" w:color="auto"/>
              <w:bottom w:val="nil"/>
            </w:tcBorders>
          </w:tcPr>
          <w:p w14:paraId="381F4938" w14:textId="571C4629" w:rsidR="009A13A9" w:rsidRPr="00A51A17" w:rsidRDefault="009A13A9" w:rsidP="002F66B0">
            <w:pPr>
              <w:jc w:val="center"/>
              <w:rPr>
                <w:rFonts w:ascii="Times New Roman" w:hAnsi="Times New Roman"/>
                <w:lang w:val="en-US"/>
              </w:rPr>
            </w:pPr>
            <w:r w:rsidRPr="00A51A17">
              <w:rPr>
                <w:rFonts w:ascii="Times New Roman" w:hAnsi="Times New Roman"/>
                <w:lang w:val="en-US"/>
              </w:rPr>
              <w:t>Beta</w:t>
            </w:r>
          </w:p>
        </w:tc>
        <w:tc>
          <w:tcPr>
            <w:tcW w:w="993" w:type="dxa"/>
            <w:tcBorders>
              <w:top w:val="single" w:sz="4" w:space="0" w:color="auto"/>
            </w:tcBorders>
          </w:tcPr>
          <w:p w14:paraId="2348B2DA" w14:textId="72BC7606" w:rsidR="009A13A9" w:rsidRPr="00A51A17" w:rsidRDefault="009A13A9" w:rsidP="002F66B0">
            <w:pPr>
              <w:jc w:val="center"/>
              <w:rPr>
                <w:rFonts w:ascii="Times New Roman" w:hAnsi="Times New Roman"/>
                <w:lang w:val="en-US"/>
              </w:rPr>
            </w:pPr>
            <w:r w:rsidRPr="00A51A17">
              <w:rPr>
                <w:rFonts w:ascii="Times New Roman" w:hAnsi="Times New Roman"/>
                <w:lang w:val="en-US"/>
              </w:rPr>
              <w:t>SE</w:t>
            </w:r>
          </w:p>
        </w:tc>
        <w:tc>
          <w:tcPr>
            <w:tcW w:w="1134" w:type="dxa"/>
            <w:tcBorders>
              <w:top w:val="single" w:sz="4" w:space="0" w:color="auto"/>
              <w:bottom w:val="nil"/>
              <w:right w:val="nil"/>
            </w:tcBorders>
          </w:tcPr>
          <w:p w14:paraId="37020FF1" w14:textId="4308A9EF" w:rsidR="009A13A9" w:rsidRPr="00A51A17" w:rsidRDefault="009A13A9" w:rsidP="002F66B0">
            <w:pPr>
              <w:jc w:val="center"/>
              <w:rPr>
                <w:rFonts w:ascii="Times New Roman" w:hAnsi="Times New Roman"/>
                <w:lang w:val="en-US"/>
              </w:rPr>
            </w:pPr>
            <w:r w:rsidRPr="00A51A17">
              <w:rPr>
                <w:rFonts w:ascii="Times New Roman" w:hAnsi="Times New Roman"/>
                <w:i/>
                <w:lang w:val="en-US"/>
              </w:rPr>
              <w:t>z</w:t>
            </w:r>
          </w:p>
        </w:tc>
        <w:tc>
          <w:tcPr>
            <w:tcW w:w="1417" w:type="dxa"/>
            <w:tcBorders>
              <w:top w:val="single" w:sz="4" w:space="0" w:color="auto"/>
              <w:left w:val="nil"/>
              <w:bottom w:val="nil"/>
              <w:right w:val="nil"/>
            </w:tcBorders>
          </w:tcPr>
          <w:p w14:paraId="652A539C" w14:textId="3E6C02ED" w:rsidR="009A13A9" w:rsidRPr="00A51A17" w:rsidRDefault="009A13A9" w:rsidP="002F66B0">
            <w:pPr>
              <w:jc w:val="center"/>
              <w:rPr>
                <w:rFonts w:ascii="Times New Roman" w:hAnsi="Times New Roman"/>
                <w:lang w:val="en-US"/>
              </w:rPr>
            </w:pPr>
            <w:r w:rsidRPr="00A51A17">
              <w:rPr>
                <w:rFonts w:ascii="Times New Roman" w:hAnsi="Times New Roman"/>
                <w:i/>
                <w:lang w:val="en-US"/>
              </w:rPr>
              <w:t>p</w:t>
            </w:r>
          </w:p>
        </w:tc>
      </w:tr>
      <w:tr w:rsidR="00A51A17" w:rsidRPr="00A51A17" w14:paraId="3256E836" w14:textId="77777777" w:rsidTr="00A022A5">
        <w:tc>
          <w:tcPr>
            <w:tcW w:w="1843" w:type="dxa"/>
            <w:tcBorders>
              <w:top w:val="single" w:sz="4" w:space="0" w:color="auto"/>
            </w:tcBorders>
          </w:tcPr>
          <w:p w14:paraId="3948DAD6" w14:textId="30213E54" w:rsidR="009A13A9" w:rsidRPr="00A51A17" w:rsidRDefault="00694665" w:rsidP="002F66B0">
            <w:pPr>
              <w:rPr>
                <w:rFonts w:ascii="Times New Roman" w:hAnsi="Times New Roman"/>
                <w:i/>
                <w:lang w:val="en-US"/>
              </w:rPr>
            </w:pPr>
            <w:r w:rsidRPr="00A51A17">
              <w:rPr>
                <w:rFonts w:ascii="Times New Roman" w:hAnsi="Times New Roman"/>
                <w:i/>
                <w:lang w:val="en-US"/>
              </w:rPr>
              <w:t>Sample 1</w:t>
            </w:r>
          </w:p>
        </w:tc>
        <w:tc>
          <w:tcPr>
            <w:tcW w:w="2660" w:type="dxa"/>
            <w:tcBorders>
              <w:top w:val="single" w:sz="4" w:space="0" w:color="auto"/>
            </w:tcBorders>
          </w:tcPr>
          <w:p w14:paraId="3B000D66" w14:textId="5A9F9D20" w:rsidR="009A13A9" w:rsidRPr="00A51A17" w:rsidRDefault="009A13A9" w:rsidP="002F66B0">
            <w:pPr>
              <w:rPr>
                <w:rFonts w:ascii="Times New Roman" w:hAnsi="Times New Roman"/>
                <w:lang w:val="en-US"/>
              </w:rPr>
            </w:pPr>
          </w:p>
        </w:tc>
        <w:tc>
          <w:tcPr>
            <w:tcW w:w="992" w:type="dxa"/>
            <w:tcBorders>
              <w:top w:val="single" w:sz="4" w:space="0" w:color="auto"/>
            </w:tcBorders>
          </w:tcPr>
          <w:p w14:paraId="0C0ECABD" w14:textId="4E422559" w:rsidR="009A13A9" w:rsidRPr="00A51A17" w:rsidRDefault="009A13A9" w:rsidP="002F66B0">
            <w:pPr>
              <w:jc w:val="center"/>
              <w:rPr>
                <w:rFonts w:ascii="Times New Roman" w:hAnsi="Times New Roman"/>
                <w:lang w:val="en-US"/>
              </w:rPr>
            </w:pPr>
          </w:p>
        </w:tc>
        <w:tc>
          <w:tcPr>
            <w:tcW w:w="850" w:type="dxa"/>
            <w:tcBorders>
              <w:top w:val="single" w:sz="4" w:space="0" w:color="auto"/>
            </w:tcBorders>
          </w:tcPr>
          <w:p w14:paraId="2E846F7B" w14:textId="157540C3" w:rsidR="009A13A9" w:rsidRPr="00A51A17" w:rsidRDefault="009A13A9" w:rsidP="002F66B0">
            <w:pPr>
              <w:jc w:val="center"/>
              <w:rPr>
                <w:rFonts w:ascii="Times New Roman" w:hAnsi="Times New Roman"/>
                <w:lang w:val="en-US"/>
              </w:rPr>
            </w:pPr>
          </w:p>
        </w:tc>
        <w:tc>
          <w:tcPr>
            <w:tcW w:w="1418" w:type="dxa"/>
            <w:tcBorders>
              <w:top w:val="single" w:sz="4" w:space="0" w:color="auto"/>
              <w:left w:val="nil"/>
              <w:bottom w:val="nil"/>
              <w:right w:val="nil"/>
            </w:tcBorders>
          </w:tcPr>
          <w:p w14:paraId="34BDB0A4" w14:textId="1EED6CD7" w:rsidR="009A13A9" w:rsidRPr="00A51A17" w:rsidRDefault="009A13A9" w:rsidP="002F66B0">
            <w:pPr>
              <w:jc w:val="center"/>
              <w:rPr>
                <w:rFonts w:ascii="Times New Roman" w:hAnsi="Times New Roman"/>
                <w:lang w:val="en-US"/>
              </w:rPr>
            </w:pPr>
          </w:p>
        </w:tc>
        <w:tc>
          <w:tcPr>
            <w:tcW w:w="1134" w:type="dxa"/>
            <w:tcBorders>
              <w:top w:val="single" w:sz="4" w:space="0" w:color="auto"/>
              <w:left w:val="nil"/>
              <w:bottom w:val="nil"/>
            </w:tcBorders>
          </w:tcPr>
          <w:p w14:paraId="6C2E5027" w14:textId="70AFAF85" w:rsidR="009A13A9" w:rsidRPr="00A51A17" w:rsidRDefault="009A13A9" w:rsidP="002F66B0">
            <w:pPr>
              <w:jc w:val="center"/>
              <w:rPr>
                <w:rFonts w:ascii="Times New Roman" w:hAnsi="Times New Roman"/>
                <w:lang w:val="en-US"/>
              </w:rPr>
            </w:pPr>
          </w:p>
        </w:tc>
        <w:tc>
          <w:tcPr>
            <w:tcW w:w="1417" w:type="dxa"/>
            <w:tcBorders>
              <w:top w:val="single" w:sz="4" w:space="0" w:color="auto"/>
              <w:left w:val="single" w:sz="4" w:space="0" w:color="auto"/>
              <w:bottom w:val="nil"/>
            </w:tcBorders>
          </w:tcPr>
          <w:p w14:paraId="0C59AE51" w14:textId="22C16796" w:rsidR="009A13A9" w:rsidRPr="00A51A17" w:rsidRDefault="009A13A9" w:rsidP="002F66B0">
            <w:pPr>
              <w:jc w:val="center"/>
              <w:rPr>
                <w:rFonts w:ascii="Times New Roman" w:hAnsi="Times New Roman"/>
                <w:lang w:val="en-US"/>
              </w:rPr>
            </w:pPr>
          </w:p>
        </w:tc>
        <w:tc>
          <w:tcPr>
            <w:tcW w:w="993" w:type="dxa"/>
            <w:tcBorders>
              <w:top w:val="single" w:sz="4" w:space="0" w:color="auto"/>
            </w:tcBorders>
          </w:tcPr>
          <w:p w14:paraId="678112AB" w14:textId="3D528B93" w:rsidR="009A13A9" w:rsidRPr="00A51A17" w:rsidRDefault="009A13A9" w:rsidP="002F66B0">
            <w:pPr>
              <w:jc w:val="center"/>
              <w:rPr>
                <w:rFonts w:ascii="Times New Roman" w:hAnsi="Times New Roman"/>
                <w:lang w:val="en-US"/>
              </w:rPr>
            </w:pPr>
          </w:p>
        </w:tc>
        <w:tc>
          <w:tcPr>
            <w:tcW w:w="1134" w:type="dxa"/>
            <w:tcBorders>
              <w:top w:val="single" w:sz="4" w:space="0" w:color="auto"/>
              <w:bottom w:val="nil"/>
              <w:right w:val="nil"/>
            </w:tcBorders>
          </w:tcPr>
          <w:p w14:paraId="5DB621A1" w14:textId="6D1E4539" w:rsidR="009A13A9" w:rsidRPr="00A51A17" w:rsidRDefault="009A13A9" w:rsidP="002F66B0">
            <w:pPr>
              <w:jc w:val="center"/>
              <w:rPr>
                <w:rFonts w:ascii="Times New Roman" w:hAnsi="Times New Roman"/>
                <w:lang w:val="en-US"/>
              </w:rPr>
            </w:pPr>
          </w:p>
        </w:tc>
        <w:tc>
          <w:tcPr>
            <w:tcW w:w="1417" w:type="dxa"/>
            <w:tcBorders>
              <w:top w:val="single" w:sz="4" w:space="0" w:color="auto"/>
              <w:left w:val="nil"/>
              <w:bottom w:val="nil"/>
              <w:right w:val="nil"/>
            </w:tcBorders>
          </w:tcPr>
          <w:p w14:paraId="2F3512D4" w14:textId="735DB60F" w:rsidR="009A13A9" w:rsidRPr="00A51A17" w:rsidRDefault="009A13A9" w:rsidP="002F66B0">
            <w:pPr>
              <w:jc w:val="center"/>
              <w:rPr>
                <w:rFonts w:ascii="Times New Roman" w:hAnsi="Times New Roman"/>
                <w:lang w:val="en-US"/>
              </w:rPr>
            </w:pPr>
          </w:p>
        </w:tc>
      </w:tr>
      <w:tr w:rsidR="00A51A17" w:rsidRPr="00A51A17" w14:paraId="64D69A23" w14:textId="77777777" w:rsidTr="00A022A5">
        <w:tc>
          <w:tcPr>
            <w:tcW w:w="1843" w:type="dxa"/>
          </w:tcPr>
          <w:p w14:paraId="4B1729F2" w14:textId="26A5CE8F" w:rsidR="009A13A9" w:rsidRPr="00A51A17" w:rsidRDefault="007C2A91" w:rsidP="002F66B0">
            <w:pPr>
              <w:rPr>
                <w:rFonts w:ascii="Times New Roman" w:hAnsi="Times New Roman"/>
                <w:lang w:val="en-US"/>
              </w:rPr>
            </w:pPr>
            <w:r w:rsidRPr="00A51A17">
              <w:rPr>
                <w:rFonts w:ascii="Times New Roman" w:hAnsi="Times New Roman"/>
                <w:lang w:val="en-US"/>
              </w:rPr>
              <w:t>I</w:t>
            </w:r>
            <w:r w:rsidR="00A022A5" w:rsidRPr="00A51A17">
              <w:rPr>
                <w:rFonts w:ascii="Times New Roman" w:hAnsi="Times New Roman"/>
                <w:lang w:val="en-US"/>
              </w:rPr>
              <w:t>ntolerance of uncertainty</w:t>
            </w:r>
          </w:p>
        </w:tc>
        <w:tc>
          <w:tcPr>
            <w:tcW w:w="2660" w:type="dxa"/>
          </w:tcPr>
          <w:p w14:paraId="52B109F2" w14:textId="0ECAFF33" w:rsidR="009A13A9" w:rsidRPr="00A51A17" w:rsidRDefault="007C2A91" w:rsidP="002F66B0">
            <w:pPr>
              <w:rPr>
                <w:rFonts w:ascii="Times New Roman" w:hAnsi="Times New Roman"/>
                <w:lang w:val="en-US"/>
              </w:rPr>
            </w:pPr>
            <w:r w:rsidRPr="00A51A17">
              <w:rPr>
                <w:rFonts w:ascii="Times New Roman" w:hAnsi="Times New Roman"/>
                <w:lang w:val="en-US"/>
              </w:rPr>
              <w:t>Cyber</w:t>
            </w:r>
            <w:r w:rsidR="002F66B0" w:rsidRPr="00A51A17">
              <w:rPr>
                <w:rFonts w:ascii="Times New Roman" w:hAnsi="Times New Roman"/>
                <w:lang w:val="en-US"/>
              </w:rPr>
              <w:t>chondria</w:t>
            </w:r>
          </w:p>
        </w:tc>
        <w:tc>
          <w:tcPr>
            <w:tcW w:w="992" w:type="dxa"/>
          </w:tcPr>
          <w:p w14:paraId="6CD76B5E" w14:textId="7743E7A2" w:rsidR="009A13A9" w:rsidRPr="00A51A17" w:rsidRDefault="009A13A9" w:rsidP="00A01F9A">
            <w:pPr>
              <w:jc w:val="center"/>
              <w:rPr>
                <w:rFonts w:ascii="Times New Roman" w:hAnsi="Times New Roman"/>
                <w:lang w:val="en-US"/>
              </w:rPr>
            </w:pPr>
            <w:r w:rsidRPr="00A51A17">
              <w:rPr>
                <w:rFonts w:ascii="Times New Roman" w:hAnsi="Times New Roman"/>
                <w:lang w:val="en-US"/>
              </w:rPr>
              <w:t>.</w:t>
            </w:r>
            <w:r w:rsidR="004964EE" w:rsidRPr="00A51A17">
              <w:rPr>
                <w:rFonts w:ascii="Times New Roman" w:hAnsi="Times New Roman"/>
                <w:lang w:val="en-US"/>
              </w:rPr>
              <w:t>20</w:t>
            </w:r>
            <w:r w:rsidR="00A01F9A" w:rsidRPr="00A51A17">
              <w:rPr>
                <w:rFonts w:ascii="Times New Roman" w:hAnsi="Times New Roman"/>
                <w:lang w:val="en-US"/>
              </w:rPr>
              <w:t>0</w:t>
            </w:r>
          </w:p>
        </w:tc>
        <w:tc>
          <w:tcPr>
            <w:tcW w:w="850" w:type="dxa"/>
          </w:tcPr>
          <w:p w14:paraId="1F3EE8EA" w14:textId="202FC720" w:rsidR="009A13A9" w:rsidRPr="00A51A17" w:rsidRDefault="009A13A9" w:rsidP="00A01F9A">
            <w:pPr>
              <w:jc w:val="center"/>
              <w:rPr>
                <w:rFonts w:ascii="Times New Roman" w:hAnsi="Times New Roman"/>
                <w:lang w:val="en-US"/>
              </w:rPr>
            </w:pPr>
            <w:r w:rsidRPr="00A51A17">
              <w:rPr>
                <w:rFonts w:ascii="Times New Roman" w:hAnsi="Times New Roman"/>
                <w:lang w:val="en-US"/>
              </w:rPr>
              <w:t>.0</w:t>
            </w:r>
            <w:r w:rsidR="00A01F9A" w:rsidRPr="00A51A17">
              <w:rPr>
                <w:rFonts w:ascii="Times New Roman" w:hAnsi="Times New Roman"/>
                <w:lang w:val="en-US"/>
              </w:rPr>
              <w:t>37</w:t>
            </w:r>
          </w:p>
        </w:tc>
        <w:tc>
          <w:tcPr>
            <w:tcW w:w="1418" w:type="dxa"/>
            <w:tcBorders>
              <w:top w:val="nil"/>
              <w:left w:val="nil"/>
              <w:bottom w:val="nil"/>
              <w:right w:val="nil"/>
            </w:tcBorders>
          </w:tcPr>
          <w:p w14:paraId="27E6D88F" w14:textId="1234DC43" w:rsidR="009A13A9" w:rsidRPr="00A51A17" w:rsidRDefault="004964EE" w:rsidP="00A01F9A">
            <w:pPr>
              <w:jc w:val="center"/>
              <w:rPr>
                <w:rFonts w:ascii="Times New Roman" w:hAnsi="Times New Roman"/>
                <w:lang w:val="en-US"/>
              </w:rPr>
            </w:pPr>
            <w:r w:rsidRPr="00A51A17">
              <w:rPr>
                <w:rFonts w:ascii="Times New Roman" w:hAnsi="Times New Roman"/>
                <w:lang w:val="en-US"/>
              </w:rPr>
              <w:t>7</w:t>
            </w:r>
            <w:r w:rsidR="009A13A9" w:rsidRPr="00A51A17">
              <w:rPr>
                <w:rFonts w:ascii="Times New Roman" w:hAnsi="Times New Roman"/>
                <w:lang w:val="en-US"/>
              </w:rPr>
              <w:t>.</w:t>
            </w:r>
            <w:r w:rsidRPr="00A51A17">
              <w:rPr>
                <w:rFonts w:ascii="Times New Roman" w:hAnsi="Times New Roman"/>
                <w:lang w:val="en-US"/>
              </w:rPr>
              <w:t>3</w:t>
            </w:r>
            <w:r w:rsidR="00A01F9A" w:rsidRPr="00A51A17">
              <w:rPr>
                <w:rFonts w:ascii="Times New Roman" w:hAnsi="Times New Roman"/>
                <w:lang w:val="en-US"/>
              </w:rPr>
              <w:t>3</w:t>
            </w:r>
            <w:r w:rsidRPr="00A51A17">
              <w:rPr>
                <w:rFonts w:ascii="Times New Roman" w:hAnsi="Times New Roman"/>
                <w:lang w:val="en-US"/>
              </w:rPr>
              <w:t>1</w:t>
            </w:r>
          </w:p>
        </w:tc>
        <w:tc>
          <w:tcPr>
            <w:tcW w:w="1134" w:type="dxa"/>
            <w:tcBorders>
              <w:top w:val="nil"/>
              <w:left w:val="nil"/>
              <w:bottom w:val="nil"/>
            </w:tcBorders>
          </w:tcPr>
          <w:p w14:paraId="5E0EBE96" w14:textId="57D14D15" w:rsidR="009A13A9" w:rsidRPr="00A51A17" w:rsidRDefault="004964EE" w:rsidP="002F66B0">
            <w:pPr>
              <w:jc w:val="center"/>
              <w:rPr>
                <w:rFonts w:ascii="Times New Roman" w:hAnsi="Times New Roman"/>
                <w:lang w:val="en-US"/>
              </w:rPr>
            </w:pPr>
            <w:r w:rsidRPr="00A51A17">
              <w:rPr>
                <w:rFonts w:ascii="Times New Roman" w:hAnsi="Times New Roman"/>
                <w:lang w:val="en-US"/>
              </w:rPr>
              <w:t>&lt;</w:t>
            </w:r>
            <w:r w:rsidR="009A13A9" w:rsidRPr="00A51A17">
              <w:rPr>
                <w:rFonts w:ascii="Times New Roman" w:hAnsi="Times New Roman"/>
                <w:lang w:val="en-US"/>
              </w:rPr>
              <w:t>.00</w:t>
            </w:r>
            <w:r w:rsidRPr="00A51A17">
              <w:rPr>
                <w:rFonts w:ascii="Times New Roman" w:hAnsi="Times New Roman"/>
                <w:lang w:val="en-US"/>
              </w:rPr>
              <w:t>1</w:t>
            </w:r>
          </w:p>
        </w:tc>
        <w:tc>
          <w:tcPr>
            <w:tcW w:w="1417" w:type="dxa"/>
            <w:tcBorders>
              <w:top w:val="nil"/>
              <w:left w:val="single" w:sz="4" w:space="0" w:color="auto"/>
              <w:bottom w:val="nil"/>
            </w:tcBorders>
          </w:tcPr>
          <w:p w14:paraId="3850A63A" w14:textId="2F7AF9FF" w:rsidR="009A13A9" w:rsidRPr="00A51A17" w:rsidRDefault="004964EE" w:rsidP="002F66B0">
            <w:pPr>
              <w:jc w:val="center"/>
              <w:rPr>
                <w:rFonts w:ascii="Times New Roman" w:hAnsi="Times New Roman"/>
                <w:lang w:val="en-US"/>
              </w:rPr>
            </w:pPr>
            <w:r w:rsidRPr="00A51A17">
              <w:rPr>
                <w:rFonts w:ascii="Times New Roman" w:hAnsi="Times New Roman"/>
                <w:lang w:val="en-US"/>
              </w:rPr>
              <w:t>-.013</w:t>
            </w:r>
          </w:p>
        </w:tc>
        <w:tc>
          <w:tcPr>
            <w:tcW w:w="993" w:type="dxa"/>
          </w:tcPr>
          <w:p w14:paraId="0905C761" w14:textId="6335BBD5" w:rsidR="009A13A9" w:rsidRPr="00A51A17" w:rsidRDefault="004964EE" w:rsidP="00A01F9A">
            <w:pPr>
              <w:jc w:val="center"/>
              <w:rPr>
                <w:rFonts w:ascii="Times New Roman" w:hAnsi="Times New Roman"/>
                <w:lang w:val="en-US"/>
              </w:rPr>
            </w:pPr>
            <w:r w:rsidRPr="00A51A17">
              <w:rPr>
                <w:rFonts w:ascii="Times New Roman" w:hAnsi="Times New Roman"/>
                <w:lang w:val="en-US"/>
              </w:rPr>
              <w:t>.0</w:t>
            </w:r>
            <w:r w:rsidR="00A01F9A" w:rsidRPr="00A51A17">
              <w:rPr>
                <w:rFonts w:ascii="Times New Roman" w:hAnsi="Times New Roman"/>
                <w:lang w:val="en-US"/>
              </w:rPr>
              <w:t>26</w:t>
            </w:r>
          </w:p>
        </w:tc>
        <w:tc>
          <w:tcPr>
            <w:tcW w:w="1134" w:type="dxa"/>
            <w:tcBorders>
              <w:top w:val="nil"/>
              <w:bottom w:val="nil"/>
              <w:right w:val="nil"/>
            </w:tcBorders>
          </w:tcPr>
          <w:p w14:paraId="3DBE9294" w14:textId="38DD8B97" w:rsidR="009A13A9" w:rsidRPr="00A51A17" w:rsidRDefault="004964EE" w:rsidP="00A01F9A">
            <w:pPr>
              <w:jc w:val="center"/>
              <w:rPr>
                <w:rFonts w:ascii="Times New Roman" w:hAnsi="Times New Roman"/>
                <w:lang w:val="en-US"/>
              </w:rPr>
            </w:pPr>
            <w:r w:rsidRPr="00A51A17">
              <w:rPr>
                <w:rFonts w:ascii="Times New Roman" w:hAnsi="Times New Roman"/>
                <w:lang w:val="en-US"/>
              </w:rPr>
              <w:t>-.</w:t>
            </w:r>
            <w:r w:rsidR="00A01F9A" w:rsidRPr="00A51A17">
              <w:rPr>
                <w:rFonts w:ascii="Times New Roman" w:hAnsi="Times New Roman"/>
                <w:lang w:val="en-US"/>
              </w:rPr>
              <w:t>807</w:t>
            </w:r>
          </w:p>
        </w:tc>
        <w:tc>
          <w:tcPr>
            <w:tcW w:w="1417" w:type="dxa"/>
            <w:tcBorders>
              <w:top w:val="nil"/>
              <w:left w:val="nil"/>
              <w:bottom w:val="nil"/>
              <w:right w:val="nil"/>
            </w:tcBorders>
          </w:tcPr>
          <w:p w14:paraId="530A1666" w14:textId="2267F97D" w:rsidR="009A13A9" w:rsidRPr="00A51A17" w:rsidRDefault="004964EE" w:rsidP="00A01F9A">
            <w:pPr>
              <w:jc w:val="center"/>
              <w:rPr>
                <w:rFonts w:ascii="Times New Roman" w:hAnsi="Times New Roman"/>
                <w:lang w:val="en-US"/>
              </w:rPr>
            </w:pPr>
            <w:r w:rsidRPr="00A51A17">
              <w:rPr>
                <w:rFonts w:ascii="Times New Roman" w:hAnsi="Times New Roman"/>
                <w:lang w:val="en-US"/>
              </w:rPr>
              <w:t>.4</w:t>
            </w:r>
            <w:r w:rsidR="00A01F9A" w:rsidRPr="00A51A17">
              <w:rPr>
                <w:rFonts w:ascii="Times New Roman" w:hAnsi="Times New Roman"/>
                <w:lang w:val="en-US"/>
              </w:rPr>
              <w:t>19</w:t>
            </w:r>
          </w:p>
        </w:tc>
      </w:tr>
      <w:tr w:rsidR="00A51A17" w:rsidRPr="00A51A17" w14:paraId="00459E3C" w14:textId="77777777" w:rsidTr="00A022A5">
        <w:tc>
          <w:tcPr>
            <w:tcW w:w="1843" w:type="dxa"/>
          </w:tcPr>
          <w:p w14:paraId="4E7C6F9E" w14:textId="77777777" w:rsidR="007C2A91" w:rsidRPr="00A51A17" w:rsidRDefault="007C2A91" w:rsidP="002F66B0">
            <w:pPr>
              <w:rPr>
                <w:rFonts w:ascii="Times New Roman" w:hAnsi="Times New Roman"/>
                <w:lang w:val="en-US"/>
              </w:rPr>
            </w:pPr>
          </w:p>
        </w:tc>
        <w:tc>
          <w:tcPr>
            <w:tcW w:w="2660" w:type="dxa"/>
          </w:tcPr>
          <w:p w14:paraId="16D2E674" w14:textId="6D9DC83C" w:rsidR="007C2A91" w:rsidRPr="00A51A17" w:rsidRDefault="007C2A91" w:rsidP="002F66B0">
            <w:pPr>
              <w:rPr>
                <w:rFonts w:ascii="Times New Roman" w:hAnsi="Times New Roman"/>
                <w:lang w:val="en-US"/>
              </w:rPr>
            </w:pPr>
            <w:r w:rsidRPr="00A51A17">
              <w:rPr>
                <w:rFonts w:ascii="Times New Roman" w:hAnsi="Times New Roman"/>
                <w:lang w:val="en-US"/>
              </w:rPr>
              <w:t>PIU</w:t>
            </w:r>
          </w:p>
        </w:tc>
        <w:tc>
          <w:tcPr>
            <w:tcW w:w="992" w:type="dxa"/>
          </w:tcPr>
          <w:p w14:paraId="33DFB2C1" w14:textId="64DFCF4C" w:rsidR="007C2A91" w:rsidRPr="00A51A17" w:rsidRDefault="004964EE" w:rsidP="002F66B0">
            <w:pPr>
              <w:jc w:val="center"/>
              <w:rPr>
                <w:rFonts w:ascii="Times New Roman" w:hAnsi="Times New Roman"/>
                <w:lang w:val="en-US"/>
              </w:rPr>
            </w:pPr>
            <w:r w:rsidRPr="00A51A17">
              <w:rPr>
                <w:rFonts w:ascii="Times New Roman" w:hAnsi="Times New Roman"/>
                <w:lang w:val="en-US"/>
              </w:rPr>
              <w:t>-</w:t>
            </w:r>
            <w:r w:rsidR="007C2A91" w:rsidRPr="00A51A17">
              <w:rPr>
                <w:rFonts w:ascii="Times New Roman" w:hAnsi="Times New Roman"/>
                <w:lang w:val="en-US"/>
              </w:rPr>
              <w:t>.</w:t>
            </w:r>
            <w:r w:rsidRPr="00A51A17">
              <w:rPr>
                <w:rFonts w:ascii="Times New Roman" w:hAnsi="Times New Roman"/>
                <w:lang w:val="en-US"/>
              </w:rPr>
              <w:t>009</w:t>
            </w:r>
          </w:p>
        </w:tc>
        <w:tc>
          <w:tcPr>
            <w:tcW w:w="850" w:type="dxa"/>
          </w:tcPr>
          <w:p w14:paraId="27D95BF3" w14:textId="0994EFF6" w:rsidR="007C2A91" w:rsidRPr="00A51A17" w:rsidRDefault="007C2A91" w:rsidP="00A01F9A">
            <w:pPr>
              <w:jc w:val="center"/>
              <w:rPr>
                <w:rFonts w:ascii="Times New Roman" w:hAnsi="Times New Roman"/>
                <w:lang w:val="en-US"/>
              </w:rPr>
            </w:pPr>
            <w:r w:rsidRPr="00A51A17">
              <w:rPr>
                <w:rFonts w:ascii="Times New Roman" w:hAnsi="Times New Roman"/>
                <w:lang w:val="en-US"/>
              </w:rPr>
              <w:t>.</w:t>
            </w:r>
            <w:r w:rsidR="004964EE" w:rsidRPr="00A51A17">
              <w:rPr>
                <w:rFonts w:ascii="Times New Roman" w:hAnsi="Times New Roman"/>
                <w:lang w:val="en-US"/>
              </w:rPr>
              <w:t>0</w:t>
            </w:r>
            <w:r w:rsidR="00A01F9A" w:rsidRPr="00A51A17">
              <w:rPr>
                <w:rFonts w:ascii="Times New Roman" w:hAnsi="Times New Roman"/>
                <w:lang w:val="en-US"/>
              </w:rPr>
              <w:t>24</w:t>
            </w:r>
          </w:p>
        </w:tc>
        <w:tc>
          <w:tcPr>
            <w:tcW w:w="1418" w:type="dxa"/>
            <w:tcBorders>
              <w:top w:val="nil"/>
              <w:left w:val="nil"/>
              <w:bottom w:val="nil"/>
              <w:right w:val="nil"/>
            </w:tcBorders>
          </w:tcPr>
          <w:p w14:paraId="58A937D7" w14:textId="2075E3B9" w:rsidR="007C2A91" w:rsidRPr="00A51A17" w:rsidRDefault="004964EE" w:rsidP="00A01F9A">
            <w:pPr>
              <w:jc w:val="center"/>
              <w:rPr>
                <w:rFonts w:ascii="Times New Roman" w:hAnsi="Times New Roman"/>
                <w:lang w:val="en-US"/>
              </w:rPr>
            </w:pPr>
            <w:r w:rsidRPr="00A51A17">
              <w:rPr>
                <w:rFonts w:ascii="Times New Roman" w:hAnsi="Times New Roman"/>
                <w:lang w:val="en-US"/>
              </w:rPr>
              <w:t>-.5</w:t>
            </w:r>
            <w:r w:rsidR="00A01F9A" w:rsidRPr="00A51A17">
              <w:rPr>
                <w:rFonts w:ascii="Times New Roman" w:hAnsi="Times New Roman"/>
                <w:lang w:val="en-US"/>
              </w:rPr>
              <w:t>11</w:t>
            </w:r>
          </w:p>
        </w:tc>
        <w:tc>
          <w:tcPr>
            <w:tcW w:w="1134" w:type="dxa"/>
            <w:tcBorders>
              <w:top w:val="nil"/>
              <w:left w:val="nil"/>
              <w:bottom w:val="nil"/>
            </w:tcBorders>
          </w:tcPr>
          <w:p w14:paraId="6ED026A4" w14:textId="5F34B202" w:rsidR="007C2A91" w:rsidRPr="00A51A17" w:rsidRDefault="004964EE" w:rsidP="00A01F9A">
            <w:pPr>
              <w:jc w:val="center"/>
              <w:rPr>
                <w:rFonts w:ascii="Times New Roman" w:hAnsi="Times New Roman"/>
                <w:lang w:val="en-US"/>
              </w:rPr>
            </w:pPr>
            <w:r w:rsidRPr="00A51A17">
              <w:rPr>
                <w:rFonts w:ascii="Times New Roman" w:hAnsi="Times New Roman"/>
                <w:lang w:val="en-US"/>
              </w:rPr>
              <w:t>.</w:t>
            </w:r>
            <w:r w:rsidR="00A01F9A" w:rsidRPr="00A51A17">
              <w:rPr>
                <w:rFonts w:ascii="Times New Roman" w:hAnsi="Times New Roman"/>
                <w:lang w:val="en-US"/>
              </w:rPr>
              <w:t>609</w:t>
            </w:r>
          </w:p>
        </w:tc>
        <w:tc>
          <w:tcPr>
            <w:tcW w:w="1417" w:type="dxa"/>
            <w:tcBorders>
              <w:top w:val="nil"/>
              <w:left w:val="single" w:sz="4" w:space="0" w:color="auto"/>
              <w:bottom w:val="nil"/>
            </w:tcBorders>
          </w:tcPr>
          <w:p w14:paraId="4267653A" w14:textId="57E141A6" w:rsidR="007C2A91" w:rsidRPr="00A51A17" w:rsidRDefault="004964EE" w:rsidP="00A01F9A">
            <w:pPr>
              <w:jc w:val="center"/>
              <w:rPr>
                <w:rFonts w:ascii="Times New Roman" w:hAnsi="Times New Roman"/>
                <w:lang w:val="en-US"/>
              </w:rPr>
            </w:pPr>
            <w:r w:rsidRPr="00A51A17">
              <w:rPr>
                <w:rFonts w:ascii="Times New Roman" w:hAnsi="Times New Roman"/>
                <w:lang w:val="en-US"/>
              </w:rPr>
              <w:t>.08</w:t>
            </w:r>
            <w:r w:rsidR="00A01F9A" w:rsidRPr="00A51A17">
              <w:rPr>
                <w:rFonts w:ascii="Times New Roman" w:hAnsi="Times New Roman"/>
                <w:lang w:val="en-US"/>
              </w:rPr>
              <w:t>8</w:t>
            </w:r>
          </w:p>
        </w:tc>
        <w:tc>
          <w:tcPr>
            <w:tcW w:w="993" w:type="dxa"/>
          </w:tcPr>
          <w:p w14:paraId="13A34175" w14:textId="5F7DBE1E" w:rsidR="007C2A91" w:rsidRPr="00A51A17" w:rsidRDefault="004964EE" w:rsidP="00A01F9A">
            <w:pPr>
              <w:jc w:val="center"/>
              <w:rPr>
                <w:rFonts w:ascii="Times New Roman" w:hAnsi="Times New Roman"/>
                <w:lang w:val="en-US"/>
              </w:rPr>
            </w:pPr>
            <w:r w:rsidRPr="00A51A17">
              <w:rPr>
                <w:rFonts w:ascii="Times New Roman" w:hAnsi="Times New Roman"/>
                <w:lang w:val="en-US"/>
              </w:rPr>
              <w:t>.0</w:t>
            </w:r>
            <w:r w:rsidR="00A01F9A" w:rsidRPr="00A51A17">
              <w:rPr>
                <w:rFonts w:ascii="Times New Roman" w:hAnsi="Times New Roman"/>
                <w:lang w:val="en-US"/>
              </w:rPr>
              <w:t>36</w:t>
            </w:r>
          </w:p>
        </w:tc>
        <w:tc>
          <w:tcPr>
            <w:tcW w:w="1134" w:type="dxa"/>
            <w:tcBorders>
              <w:top w:val="nil"/>
              <w:bottom w:val="nil"/>
              <w:right w:val="nil"/>
            </w:tcBorders>
          </w:tcPr>
          <w:p w14:paraId="7912E1BE" w14:textId="16D0AFF4" w:rsidR="007C2A91" w:rsidRPr="00A51A17" w:rsidRDefault="004964EE" w:rsidP="00A01F9A">
            <w:pPr>
              <w:jc w:val="center"/>
              <w:rPr>
                <w:rFonts w:ascii="Times New Roman" w:hAnsi="Times New Roman"/>
                <w:lang w:val="en-US"/>
              </w:rPr>
            </w:pPr>
            <w:r w:rsidRPr="00A51A17">
              <w:rPr>
                <w:rFonts w:ascii="Times New Roman" w:hAnsi="Times New Roman"/>
                <w:lang w:val="en-US"/>
              </w:rPr>
              <w:t>3.7</w:t>
            </w:r>
            <w:r w:rsidR="00A01F9A" w:rsidRPr="00A51A17">
              <w:rPr>
                <w:rFonts w:ascii="Times New Roman" w:hAnsi="Times New Roman"/>
                <w:lang w:val="en-US"/>
              </w:rPr>
              <w:t>94</w:t>
            </w:r>
          </w:p>
        </w:tc>
        <w:tc>
          <w:tcPr>
            <w:tcW w:w="1417" w:type="dxa"/>
            <w:tcBorders>
              <w:top w:val="nil"/>
              <w:left w:val="nil"/>
              <w:bottom w:val="nil"/>
              <w:right w:val="nil"/>
            </w:tcBorders>
          </w:tcPr>
          <w:p w14:paraId="646B37B9" w14:textId="5E2F4AF5" w:rsidR="007C2A91" w:rsidRPr="00A51A17" w:rsidRDefault="004964EE" w:rsidP="002F66B0">
            <w:pPr>
              <w:jc w:val="center"/>
              <w:rPr>
                <w:rFonts w:ascii="Times New Roman" w:hAnsi="Times New Roman"/>
                <w:lang w:val="en-US"/>
              </w:rPr>
            </w:pPr>
            <w:r w:rsidRPr="00A51A17">
              <w:rPr>
                <w:rFonts w:ascii="Times New Roman" w:hAnsi="Times New Roman"/>
                <w:lang w:val="en-US"/>
              </w:rPr>
              <w:t>&lt;.001</w:t>
            </w:r>
          </w:p>
        </w:tc>
      </w:tr>
      <w:tr w:rsidR="00A51A17" w:rsidRPr="00A51A17" w14:paraId="1B016815" w14:textId="77777777" w:rsidTr="00A022A5">
        <w:tc>
          <w:tcPr>
            <w:tcW w:w="1843" w:type="dxa"/>
          </w:tcPr>
          <w:p w14:paraId="17E41918" w14:textId="5876803E" w:rsidR="002F66B0" w:rsidRPr="00A51A17" w:rsidRDefault="002F66B0" w:rsidP="002F66B0">
            <w:pPr>
              <w:rPr>
                <w:rFonts w:ascii="Times New Roman" w:hAnsi="Times New Roman"/>
                <w:lang w:val="en-US"/>
              </w:rPr>
            </w:pPr>
          </w:p>
        </w:tc>
        <w:tc>
          <w:tcPr>
            <w:tcW w:w="2660" w:type="dxa"/>
          </w:tcPr>
          <w:p w14:paraId="24A3622C" w14:textId="626BD048" w:rsidR="002F66B0" w:rsidRPr="00A51A17" w:rsidRDefault="002F66B0" w:rsidP="002F66B0">
            <w:pPr>
              <w:rPr>
                <w:rFonts w:ascii="Times New Roman" w:hAnsi="Times New Roman"/>
                <w:lang w:val="en-US"/>
              </w:rPr>
            </w:pPr>
            <w:r w:rsidRPr="00A51A17">
              <w:rPr>
                <w:rFonts w:ascii="Times New Roman" w:hAnsi="Times New Roman"/>
                <w:lang w:val="en-US"/>
              </w:rPr>
              <w:t xml:space="preserve">Cyberchondria </w:t>
            </w:r>
            <w:r w:rsidRPr="00A51A17">
              <w:rPr>
                <w:rFonts w:ascii="Wingdings" w:eastAsia="Wingdings" w:hAnsi="Wingdings" w:cs="Wingdings"/>
                <w:lang w:val="en-US"/>
              </w:rPr>
              <w:t></w:t>
            </w:r>
            <w:r w:rsidRPr="00A51A17">
              <w:rPr>
                <w:rFonts w:ascii="Times New Roman" w:hAnsi="Times New Roman"/>
                <w:lang w:val="en-US"/>
              </w:rPr>
              <w:t xml:space="preserve"> Health Anxiety</w:t>
            </w:r>
          </w:p>
        </w:tc>
        <w:tc>
          <w:tcPr>
            <w:tcW w:w="992" w:type="dxa"/>
          </w:tcPr>
          <w:p w14:paraId="2AF9EB28" w14:textId="5BA49902"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850" w:type="dxa"/>
          </w:tcPr>
          <w:p w14:paraId="50BF27B6" w14:textId="544BBA97"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8" w:type="dxa"/>
            <w:tcBorders>
              <w:top w:val="nil"/>
              <w:left w:val="nil"/>
              <w:bottom w:val="nil"/>
              <w:right w:val="nil"/>
            </w:tcBorders>
          </w:tcPr>
          <w:p w14:paraId="0B3CB652" w14:textId="5C448CE1"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134" w:type="dxa"/>
            <w:tcBorders>
              <w:top w:val="nil"/>
              <w:left w:val="nil"/>
              <w:bottom w:val="nil"/>
            </w:tcBorders>
          </w:tcPr>
          <w:p w14:paraId="332B0E14" w14:textId="0D349C4D"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7" w:type="dxa"/>
            <w:tcBorders>
              <w:top w:val="nil"/>
              <w:left w:val="single" w:sz="4" w:space="0" w:color="auto"/>
              <w:bottom w:val="nil"/>
            </w:tcBorders>
          </w:tcPr>
          <w:p w14:paraId="31215C82" w14:textId="4C4C1BDA" w:rsidR="002F66B0" w:rsidRPr="00A51A17" w:rsidRDefault="002F66B0" w:rsidP="00A01F9A">
            <w:pPr>
              <w:jc w:val="center"/>
              <w:rPr>
                <w:rFonts w:ascii="Times New Roman" w:hAnsi="Times New Roman"/>
                <w:lang w:val="en-US"/>
              </w:rPr>
            </w:pPr>
            <w:r w:rsidRPr="00A51A17">
              <w:rPr>
                <w:rFonts w:ascii="Times New Roman" w:hAnsi="Times New Roman"/>
                <w:lang w:val="en-US"/>
              </w:rPr>
              <w:t>.04</w:t>
            </w:r>
            <w:r w:rsidR="00A01F9A" w:rsidRPr="00A51A17">
              <w:rPr>
                <w:rFonts w:ascii="Times New Roman" w:hAnsi="Times New Roman"/>
                <w:lang w:val="en-US"/>
              </w:rPr>
              <w:t>5</w:t>
            </w:r>
          </w:p>
        </w:tc>
        <w:tc>
          <w:tcPr>
            <w:tcW w:w="993" w:type="dxa"/>
          </w:tcPr>
          <w:p w14:paraId="67E6C03D" w14:textId="77FD3AD6" w:rsidR="002F66B0" w:rsidRPr="00A51A17" w:rsidRDefault="002F66B0" w:rsidP="00A01F9A">
            <w:pPr>
              <w:jc w:val="center"/>
              <w:rPr>
                <w:rFonts w:ascii="Times New Roman" w:hAnsi="Times New Roman"/>
                <w:lang w:val="en-US"/>
              </w:rPr>
            </w:pPr>
            <w:r w:rsidRPr="00A51A17">
              <w:rPr>
                <w:rFonts w:ascii="Times New Roman" w:hAnsi="Times New Roman"/>
                <w:lang w:val="en-US"/>
              </w:rPr>
              <w:t>.01</w:t>
            </w:r>
            <w:r w:rsidR="00A01F9A" w:rsidRPr="00A51A17">
              <w:rPr>
                <w:rFonts w:ascii="Times New Roman" w:hAnsi="Times New Roman"/>
                <w:lang w:val="en-US"/>
              </w:rPr>
              <w:t>9</w:t>
            </w:r>
          </w:p>
        </w:tc>
        <w:tc>
          <w:tcPr>
            <w:tcW w:w="1134" w:type="dxa"/>
            <w:tcBorders>
              <w:top w:val="nil"/>
              <w:bottom w:val="nil"/>
              <w:right w:val="nil"/>
            </w:tcBorders>
          </w:tcPr>
          <w:p w14:paraId="1A69DC46" w14:textId="19FD1533" w:rsidR="002F66B0" w:rsidRPr="00A51A17" w:rsidRDefault="002F66B0" w:rsidP="00A01F9A">
            <w:pPr>
              <w:jc w:val="center"/>
              <w:rPr>
                <w:rFonts w:ascii="Times New Roman" w:hAnsi="Times New Roman"/>
                <w:lang w:val="en-US"/>
              </w:rPr>
            </w:pPr>
            <w:r w:rsidRPr="00A51A17">
              <w:rPr>
                <w:rFonts w:ascii="Times New Roman" w:hAnsi="Times New Roman"/>
                <w:lang w:val="en-US"/>
              </w:rPr>
              <w:t>3.7</w:t>
            </w:r>
            <w:r w:rsidR="00A01F9A" w:rsidRPr="00A51A17">
              <w:rPr>
                <w:rFonts w:ascii="Times New Roman" w:hAnsi="Times New Roman"/>
                <w:lang w:val="en-US"/>
              </w:rPr>
              <w:t>23</w:t>
            </w:r>
          </w:p>
        </w:tc>
        <w:tc>
          <w:tcPr>
            <w:tcW w:w="1417" w:type="dxa"/>
            <w:tcBorders>
              <w:top w:val="nil"/>
              <w:left w:val="nil"/>
              <w:bottom w:val="nil"/>
              <w:right w:val="nil"/>
            </w:tcBorders>
          </w:tcPr>
          <w:p w14:paraId="6A34236C" w14:textId="5D054D7F" w:rsidR="002F66B0" w:rsidRPr="00A51A17" w:rsidRDefault="002F66B0" w:rsidP="002F66B0">
            <w:pPr>
              <w:jc w:val="center"/>
              <w:rPr>
                <w:rFonts w:ascii="Times New Roman" w:hAnsi="Times New Roman"/>
                <w:lang w:val="en-US"/>
              </w:rPr>
            </w:pPr>
            <w:r w:rsidRPr="00A51A17">
              <w:rPr>
                <w:rFonts w:ascii="Times New Roman" w:hAnsi="Times New Roman"/>
                <w:lang w:val="en-US"/>
              </w:rPr>
              <w:t>&lt;.001</w:t>
            </w:r>
          </w:p>
        </w:tc>
      </w:tr>
      <w:tr w:rsidR="00A51A17" w:rsidRPr="00A51A17" w14:paraId="318FFA69" w14:textId="77777777" w:rsidTr="00A022A5">
        <w:tc>
          <w:tcPr>
            <w:tcW w:w="1843" w:type="dxa"/>
          </w:tcPr>
          <w:p w14:paraId="7FABB201" w14:textId="77777777" w:rsidR="002F66B0" w:rsidRPr="00A51A17" w:rsidRDefault="002F66B0" w:rsidP="002F66B0">
            <w:pPr>
              <w:rPr>
                <w:rFonts w:ascii="Times New Roman" w:hAnsi="Times New Roman"/>
                <w:lang w:val="en-US"/>
              </w:rPr>
            </w:pPr>
          </w:p>
        </w:tc>
        <w:tc>
          <w:tcPr>
            <w:tcW w:w="2660" w:type="dxa"/>
          </w:tcPr>
          <w:p w14:paraId="78D8BD75" w14:textId="36A74028" w:rsidR="002F66B0" w:rsidRPr="00A51A17" w:rsidRDefault="002F66B0" w:rsidP="002F66B0">
            <w:pPr>
              <w:rPr>
                <w:rFonts w:ascii="Times New Roman" w:hAnsi="Times New Roman"/>
                <w:lang w:val="en-US"/>
              </w:rPr>
            </w:pPr>
            <w:r w:rsidRPr="00A51A17">
              <w:rPr>
                <w:rFonts w:ascii="Times New Roman" w:hAnsi="Times New Roman"/>
                <w:lang w:val="en-US"/>
              </w:rPr>
              <w:t xml:space="preserve">PIU </w:t>
            </w:r>
            <w:r w:rsidRPr="00A51A17">
              <w:rPr>
                <w:rFonts w:ascii="Wingdings" w:eastAsia="Wingdings" w:hAnsi="Wingdings" w:cs="Wingdings"/>
                <w:lang w:val="en-US"/>
              </w:rPr>
              <w:t></w:t>
            </w:r>
            <w:r w:rsidRPr="00A51A17">
              <w:rPr>
                <w:rFonts w:ascii="Times New Roman" w:hAnsi="Times New Roman"/>
                <w:lang w:val="en-US"/>
              </w:rPr>
              <w:t xml:space="preserve"> Health Anxiety</w:t>
            </w:r>
          </w:p>
        </w:tc>
        <w:tc>
          <w:tcPr>
            <w:tcW w:w="992" w:type="dxa"/>
          </w:tcPr>
          <w:p w14:paraId="2DE91D54" w14:textId="548ECD79"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850" w:type="dxa"/>
          </w:tcPr>
          <w:p w14:paraId="6316E1AD" w14:textId="78420DE4"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8" w:type="dxa"/>
            <w:tcBorders>
              <w:top w:val="nil"/>
              <w:left w:val="nil"/>
              <w:bottom w:val="nil"/>
              <w:right w:val="nil"/>
            </w:tcBorders>
          </w:tcPr>
          <w:p w14:paraId="7FDC9298" w14:textId="4CDD8E52"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134" w:type="dxa"/>
            <w:tcBorders>
              <w:top w:val="nil"/>
              <w:left w:val="nil"/>
              <w:bottom w:val="nil"/>
            </w:tcBorders>
          </w:tcPr>
          <w:p w14:paraId="4BF0CEE0" w14:textId="365CE81A"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7" w:type="dxa"/>
            <w:tcBorders>
              <w:top w:val="nil"/>
              <w:left w:val="single" w:sz="4" w:space="0" w:color="auto"/>
              <w:bottom w:val="nil"/>
            </w:tcBorders>
          </w:tcPr>
          <w:p w14:paraId="703D3260" w14:textId="294A286D" w:rsidR="002F66B0" w:rsidRPr="00A51A17" w:rsidRDefault="002F66B0" w:rsidP="002F66B0">
            <w:pPr>
              <w:jc w:val="center"/>
              <w:rPr>
                <w:rFonts w:ascii="Times New Roman" w:hAnsi="Times New Roman"/>
                <w:lang w:val="en-US"/>
              </w:rPr>
            </w:pPr>
            <w:r w:rsidRPr="00A51A17">
              <w:rPr>
                <w:rFonts w:ascii="Times New Roman" w:hAnsi="Times New Roman"/>
                <w:lang w:val="en-US"/>
              </w:rPr>
              <w:t>-.002</w:t>
            </w:r>
          </w:p>
        </w:tc>
        <w:tc>
          <w:tcPr>
            <w:tcW w:w="993" w:type="dxa"/>
          </w:tcPr>
          <w:p w14:paraId="76C28641" w14:textId="5888A6A8" w:rsidR="002F66B0" w:rsidRPr="00A51A17" w:rsidRDefault="002F66B0" w:rsidP="00A01F9A">
            <w:pPr>
              <w:jc w:val="center"/>
              <w:rPr>
                <w:rFonts w:ascii="Times New Roman" w:hAnsi="Times New Roman"/>
                <w:lang w:val="en-US"/>
              </w:rPr>
            </w:pPr>
            <w:r w:rsidRPr="00A51A17">
              <w:rPr>
                <w:rFonts w:ascii="Times New Roman" w:hAnsi="Times New Roman"/>
                <w:lang w:val="en-US"/>
              </w:rPr>
              <w:t>.00</w:t>
            </w:r>
            <w:r w:rsidR="00A01F9A" w:rsidRPr="00A51A17">
              <w:rPr>
                <w:rFonts w:ascii="Times New Roman" w:hAnsi="Times New Roman"/>
                <w:lang w:val="en-US"/>
              </w:rPr>
              <w:t>6</w:t>
            </w:r>
          </w:p>
        </w:tc>
        <w:tc>
          <w:tcPr>
            <w:tcW w:w="1134" w:type="dxa"/>
            <w:tcBorders>
              <w:top w:val="nil"/>
              <w:bottom w:val="nil"/>
              <w:right w:val="nil"/>
            </w:tcBorders>
          </w:tcPr>
          <w:p w14:paraId="1FA575B5" w14:textId="5C30C6E4" w:rsidR="002F66B0" w:rsidRPr="00A51A17" w:rsidRDefault="002F66B0" w:rsidP="00A01F9A">
            <w:pPr>
              <w:jc w:val="center"/>
              <w:rPr>
                <w:rFonts w:ascii="Times New Roman" w:hAnsi="Times New Roman"/>
                <w:lang w:val="en-US"/>
              </w:rPr>
            </w:pPr>
            <w:r w:rsidRPr="00A51A17">
              <w:rPr>
                <w:rFonts w:ascii="Times New Roman" w:hAnsi="Times New Roman"/>
                <w:lang w:val="en-US"/>
              </w:rPr>
              <w:t>-.5</w:t>
            </w:r>
            <w:r w:rsidR="00A01F9A" w:rsidRPr="00A51A17">
              <w:rPr>
                <w:rFonts w:ascii="Times New Roman" w:hAnsi="Times New Roman"/>
                <w:lang w:val="en-US"/>
              </w:rPr>
              <w:t>08</w:t>
            </w:r>
          </w:p>
        </w:tc>
        <w:tc>
          <w:tcPr>
            <w:tcW w:w="1417" w:type="dxa"/>
            <w:tcBorders>
              <w:top w:val="nil"/>
              <w:left w:val="nil"/>
              <w:bottom w:val="nil"/>
              <w:right w:val="nil"/>
            </w:tcBorders>
          </w:tcPr>
          <w:p w14:paraId="29A1719A" w14:textId="0E39BFF3" w:rsidR="002F66B0" w:rsidRPr="00A51A17" w:rsidRDefault="00A01F9A" w:rsidP="00A01F9A">
            <w:pPr>
              <w:jc w:val="center"/>
              <w:rPr>
                <w:rFonts w:ascii="Times New Roman" w:hAnsi="Times New Roman"/>
                <w:lang w:val="en-US"/>
              </w:rPr>
            </w:pPr>
            <w:r w:rsidRPr="00A51A17">
              <w:rPr>
                <w:rFonts w:ascii="Times New Roman" w:hAnsi="Times New Roman"/>
                <w:lang w:val="en-US"/>
              </w:rPr>
              <w:t>.612</w:t>
            </w:r>
          </w:p>
        </w:tc>
      </w:tr>
      <w:tr w:rsidR="00A51A17" w:rsidRPr="00A51A17" w14:paraId="7B37A30E" w14:textId="77777777" w:rsidTr="00A022A5">
        <w:tc>
          <w:tcPr>
            <w:tcW w:w="1843" w:type="dxa"/>
          </w:tcPr>
          <w:p w14:paraId="7563F82E" w14:textId="77777777" w:rsidR="002F66B0" w:rsidRPr="00A51A17" w:rsidRDefault="002F66B0" w:rsidP="002F66B0">
            <w:pPr>
              <w:rPr>
                <w:rFonts w:ascii="Times New Roman" w:hAnsi="Times New Roman"/>
                <w:lang w:val="en-US"/>
              </w:rPr>
            </w:pPr>
          </w:p>
        </w:tc>
        <w:tc>
          <w:tcPr>
            <w:tcW w:w="2660" w:type="dxa"/>
          </w:tcPr>
          <w:p w14:paraId="1734E696" w14:textId="6A430D31" w:rsidR="002F66B0" w:rsidRPr="00A51A17" w:rsidRDefault="002F66B0" w:rsidP="002F66B0">
            <w:pPr>
              <w:rPr>
                <w:rFonts w:ascii="Times New Roman" w:hAnsi="Times New Roman"/>
                <w:lang w:val="en-US"/>
              </w:rPr>
            </w:pPr>
            <w:r w:rsidRPr="00A51A17">
              <w:rPr>
                <w:rFonts w:ascii="Times New Roman" w:hAnsi="Times New Roman"/>
                <w:lang w:val="en-US"/>
              </w:rPr>
              <w:t>Health Anxiety</w:t>
            </w:r>
          </w:p>
        </w:tc>
        <w:tc>
          <w:tcPr>
            <w:tcW w:w="992" w:type="dxa"/>
          </w:tcPr>
          <w:p w14:paraId="637ED54B" w14:textId="056D7C71"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850" w:type="dxa"/>
          </w:tcPr>
          <w:p w14:paraId="13C97F0E" w14:textId="191BD845"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8" w:type="dxa"/>
            <w:tcBorders>
              <w:top w:val="nil"/>
              <w:left w:val="nil"/>
              <w:bottom w:val="nil"/>
              <w:right w:val="nil"/>
            </w:tcBorders>
          </w:tcPr>
          <w:p w14:paraId="341C09A3" w14:textId="6AA9BFEB"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134" w:type="dxa"/>
            <w:tcBorders>
              <w:top w:val="nil"/>
              <w:left w:val="nil"/>
              <w:bottom w:val="nil"/>
            </w:tcBorders>
          </w:tcPr>
          <w:p w14:paraId="32AA8BFB" w14:textId="2540F4C7"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7" w:type="dxa"/>
            <w:tcBorders>
              <w:top w:val="nil"/>
              <w:left w:val="single" w:sz="4" w:space="0" w:color="auto"/>
              <w:bottom w:val="nil"/>
            </w:tcBorders>
          </w:tcPr>
          <w:p w14:paraId="53C8E6E3" w14:textId="314AC043" w:rsidR="002F66B0" w:rsidRPr="00A51A17" w:rsidRDefault="002F66B0" w:rsidP="00A01F9A">
            <w:pPr>
              <w:jc w:val="center"/>
              <w:rPr>
                <w:rFonts w:ascii="Times New Roman" w:hAnsi="Times New Roman"/>
                <w:lang w:val="en-US"/>
              </w:rPr>
            </w:pPr>
            <w:r w:rsidRPr="00A51A17">
              <w:rPr>
                <w:rFonts w:ascii="Times New Roman" w:hAnsi="Times New Roman"/>
                <w:lang w:val="en-US"/>
              </w:rPr>
              <w:t>.05</w:t>
            </w:r>
            <w:r w:rsidR="00A01F9A" w:rsidRPr="00A51A17">
              <w:rPr>
                <w:rFonts w:ascii="Times New Roman" w:hAnsi="Times New Roman"/>
                <w:lang w:val="en-US"/>
              </w:rPr>
              <w:t>8</w:t>
            </w:r>
          </w:p>
        </w:tc>
        <w:tc>
          <w:tcPr>
            <w:tcW w:w="993" w:type="dxa"/>
          </w:tcPr>
          <w:p w14:paraId="5D4E6FF9" w14:textId="7A06BD64" w:rsidR="002F66B0" w:rsidRPr="00A51A17" w:rsidRDefault="002F66B0" w:rsidP="00A01F9A">
            <w:pPr>
              <w:jc w:val="center"/>
              <w:rPr>
                <w:rFonts w:ascii="Times New Roman" w:hAnsi="Times New Roman"/>
                <w:lang w:val="en-US"/>
              </w:rPr>
            </w:pPr>
            <w:r w:rsidRPr="00A51A17">
              <w:rPr>
                <w:rFonts w:ascii="Times New Roman" w:hAnsi="Times New Roman"/>
                <w:lang w:val="en-US"/>
              </w:rPr>
              <w:t>.0</w:t>
            </w:r>
            <w:r w:rsidR="00A01F9A" w:rsidRPr="00A51A17">
              <w:rPr>
                <w:rFonts w:ascii="Times New Roman" w:hAnsi="Times New Roman"/>
                <w:lang w:val="en-US"/>
              </w:rPr>
              <w:t>26</w:t>
            </w:r>
          </w:p>
        </w:tc>
        <w:tc>
          <w:tcPr>
            <w:tcW w:w="1134" w:type="dxa"/>
            <w:tcBorders>
              <w:top w:val="nil"/>
              <w:bottom w:val="nil"/>
              <w:right w:val="nil"/>
            </w:tcBorders>
          </w:tcPr>
          <w:p w14:paraId="252A97AC" w14:textId="6ABDB871" w:rsidR="002F66B0" w:rsidRPr="00A51A17" w:rsidRDefault="00A01F9A" w:rsidP="00A01F9A">
            <w:pPr>
              <w:jc w:val="center"/>
              <w:rPr>
                <w:rFonts w:ascii="Times New Roman" w:hAnsi="Times New Roman"/>
                <w:lang w:val="en-US"/>
              </w:rPr>
            </w:pPr>
            <w:r w:rsidRPr="00A51A17">
              <w:rPr>
                <w:rFonts w:ascii="Times New Roman" w:hAnsi="Times New Roman"/>
                <w:lang w:val="en-US"/>
              </w:rPr>
              <w:t>3</w:t>
            </w:r>
            <w:r w:rsidR="002F66B0" w:rsidRPr="00A51A17">
              <w:rPr>
                <w:rFonts w:ascii="Times New Roman" w:hAnsi="Times New Roman"/>
                <w:lang w:val="en-US"/>
              </w:rPr>
              <w:t>.</w:t>
            </w:r>
            <w:r w:rsidRPr="00A51A17">
              <w:rPr>
                <w:rFonts w:ascii="Times New Roman" w:hAnsi="Times New Roman"/>
                <w:lang w:val="en-US"/>
              </w:rPr>
              <w:t>478</w:t>
            </w:r>
          </w:p>
        </w:tc>
        <w:tc>
          <w:tcPr>
            <w:tcW w:w="1417" w:type="dxa"/>
            <w:tcBorders>
              <w:top w:val="nil"/>
              <w:left w:val="nil"/>
              <w:bottom w:val="nil"/>
              <w:right w:val="nil"/>
            </w:tcBorders>
          </w:tcPr>
          <w:p w14:paraId="6E0970C2" w14:textId="664252B1" w:rsidR="002F66B0" w:rsidRPr="00A51A17" w:rsidRDefault="002F66B0" w:rsidP="002F66B0">
            <w:pPr>
              <w:jc w:val="center"/>
              <w:rPr>
                <w:rFonts w:ascii="Times New Roman" w:hAnsi="Times New Roman"/>
                <w:lang w:val="en-US"/>
              </w:rPr>
            </w:pPr>
            <w:r w:rsidRPr="00A51A17">
              <w:rPr>
                <w:rFonts w:ascii="Times New Roman" w:hAnsi="Times New Roman"/>
                <w:lang w:val="en-US"/>
              </w:rPr>
              <w:t>.001</w:t>
            </w:r>
          </w:p>
        </w:tc>
      </w:tr>
      <w:tr w:rsidR="00A51A17" w:rsidRPr="00A51A17" w14:paraId="09F631A6" w14:textId="77777777" w:rsidTr="00A022A5">
        <w:trPr>
          <w:trHeight w:val="278"/>
        </w:trPr>
        <w:tc>
          <w:tcPr>
            <w:tcW w:w="1843" w:type="dxa"/>
          </w:tcPr>
          <w:p w14:paraId="2002BC88" w14:textId="31FD5655" w:rsidR="007C2A91" w:rsidRPr="00A51A17" w:rsidRDefault="007C2A91" w:rsidP="002F66B0">
            <w:pPr>
              <w:rPr>
                <w:rFonts w:ascii="Times New Roman" w:hAnsi="Times New Roman"/>
                <w:i/>
                <w:lang w:val="en-US"/>
              </w:rPr>
            </w:pPr>
            <w:r w:rsidRPr="00A51A17">
              <w:rPr>
                <w:rFonts w:ascii="Times New Roman" w:hAnsi="Times New Roman"/>
                <w:i/>
                <w:lang w:val="en-US"/>
              </w:rPr>
              <w:t>Sample 2</w:t>
            </w:r>
          </w:p>
        </w:tc>
        <w:tc>
          <w:tcPr>
            <w:tcW w:w="2660" w:type="dxa"/>
          </w:tcPr>
          <w:p w14:paraId="24076B26" w14:textId="5522A7E2" w:rsidR="007C2A91" w:rsidRPr="00A51A17" w:rsidRDefault="007C2A91" w:rsidP="002F66B0">
            <w:pPr>
              <w:rPr>
                <w:rFonts w:ascii="Times New Roman" w:hAnsi="Times New Roman"/>
                <w:lang w:val="en-US"/>
              </w:rPr>
            </w:pPr>
          </w:p>
        </w:tc>
        <w:tc>
          <w:tcPr>
            <w:tcW w:w="992" w:type="dxa"/>
          </w:tcPr>
          <w:p w14:paraId="4BA65E0E" w14:textId="7EA25C58" w:rsidR="007C2A91" w:rsidRPr="00A51A17" w:rsidRDefault="007C2A91" w:rsidP="002F66B0">
            <w:pPr>
              <w:jc w:val="center"/>
              <w:rPr>
                <w:rFonts w:ascii="Times New Roman" w:hAnsi="Times New Roman"/>
                <w:lang w:val="en-US"/>
              </w:rPr>
            </w:pPr>
          </w:p>
        </w:tc>
        <w:tc>
          <w:tcPr>
            <w:tcW w:w="850" w:type="dxa"/>
          </w:tcPr>
          <w:p w14:paraId="48732357" w14:textId="673530EA" w:rsidR="007C2A91" w:rsidRPr="00A51A17" w:rsidRDefault="007C2A91" w:rsidP="002F66B0">
            <w:pPr>
              <w:jc w:val="center"/>
              <w:rPr>
                <w:rFonts w:ascii="Times New Roman" w:hAnsi="Times New Roman"/>
                <w:lang w:val="en-US"/>
              </w:rPr>
            </w:pPr>
          </w:p>
        </w:tc>
        <w:tc>
          <w:tcPr>
            <w:tcW w:w="1418" w:type="dxa"/>
            <w:tcBorders>
              <w:top w:val="nil"/>
              <w:left w:val="nil"/>
              <w:bottom w:val="nil"/>
              <w:right w:val="nil"/>
            </w:tcBorders>
          </w:tcPr>
          <w:p w14:paraId="4BA896C2" w14:textId="7B7233AB" w:rsidR="007C2A91" w:rsidRPr="00A51A17" w:rsidRDefault="007C2A91" w:rsidP="002F66B0">
            <w:pPr>
              <w:jc w:val="center"/>
              <w:rPr>
                <w:rFonts w:ascii="Times New Roman" w:hAnsi="Times New Roman"/>
                <w:lang w:val="en-US"/>
              </w:rPr>
            </w:pPr>
          </w:p>
        </w:tc>
        <w:tc>
          <w:tcPr>
            <w:tcW w:w="1134" w:type="dxa"/>
            <w:tcBorders>
              <w:top w:val="nil"/>
              <w:left w:val="nil"/>
              <w:bottom w:val="nil"/>
            </w:tcBorders>
          </w:tcPr>
          <w:p w14:paraId="1DAC6C6A" w14:textId="5094E717" w:rsidR="007C2A91" w:rsidRPr="00A51A17" w:rsidRDefault="007C2A91" w:rsidP="002F66B0">
            <w:pPr>
              <w:jc w:val="center"/>
              <w:rPr>
                <w:rFonts w:ascii="Times New Roman" w:hAnsi="Times New Roman"/>
                <w:lang w:val="en-US"/>
              </w:rPr>
            </w:pPr>
          </w:p>
        </w:tc>
        <w:tc>
          <w:tcPr>
            <w:tcW w:w="1417" w:type="dxa"/>
            <w:tcBorders>
              <w:top w:val="nil"/>
              <w:left w:val="single" w:sz="4" w:space="0" w:color="auto"/>
              <w:bottom w:val="nil"/>
            </w:tcBorders>
          </w:tcPr>
          <w:p w14:paraId="63D46868" w14:textId="180D4821" w:rsidR="007C2A91" w:rsidRPr="00A51A17" w:rsidRDefault="007C2A91" w:rsidP="002F66B0">
            <w:pPr>
              <w:jc w:val="center"/>
              <w:rPr>
                <w:rFonts w:ascii="Times New Roman" w:hAnsi="Times New Roman"/>
                <w:lang w:val="en-US"/>
              </w:rPr>
            </w:pPr>
          </w:p>
        </w:tc>
        <w:tc>
          <w:tcPr>
            <w:tcW w:w="993" w:type="dxa"/>
          </w:tcPr>
          <w:p w14:paraId="66B65CEF" w14:textId="0CAB05E1" w:rsidR="007C2A91" w:rsidRPr="00A51A17" w:rsidRDefault="007C2A91" w:rsidP="002F66B0">
            <w:pPr>
              <w:jc w:val="center"/>
              <w:rPr>
                <w:rFonts w:ascii="Times New Roman" w:hAnsi="Times New Roman"/>
                <w:lang w:val="en-US"/>
              </w:rPr>
            </w:pPr>
          </w:p>
        </w:tc>
        <w:tc>
          <w:tcPr>
            <w:tcW w:w="1134" w:type="dxa"/>
            <w:tcBorders>
              <w:top w:val="nil"/>
              <w:bottom w:val="nil"/>
              <w:right w:val="nil"/>
            </w:tcBorders>
          </w:tcPr>
          <w:p w14:paraId="7D182007" w14:textId="373523CB" w:rsidR="007C2A91" w:rsidRPr="00A51A17" w:rsidRDefault="007C2A91" w:rsidP="002F66B0">
            <w:pPr>
              <w:jc w:val="center"/>
              <w:rPr>
                <w:rFonts w:ascii="Times New Roman" w:hAnsi="Times New Roman"/>
                <w:lang w:val="en-US"/>
              </w:rPr>
            </w:pPr>
          </w:p>
        </w:tc>
        <w:tc>
          <w:tcPr>
            <w:tcW w:w="1417" w:type="dxa"/>
            <w:tcBorders>
              <w:top w:val="nil"/>
              <w:left w:val="nil"/>
              <w:bottom w:val="nil"/>
              <w:right w:val="nil"/>
            </w:tcBorders>
          </w:tcPr>
          <w:p w14:paraId="21919944" w14:textId="5706B406" w:rsidR="007C2A91" w:rsidRPr="00A51A17" w:rsidRDefault="007C2A91" w:rsidP="002F66B0">
            <w:pPr>
              <w:jc w:val="center"/>
              <w:rPr>
                <w:rFonts w:ascii="Times New Roman" w:hAnsi="Times New Roman"/>
                <w:lang w:val="en-US"/>
              </w:rPr>
            </w:pPr>
          </w:p>
        </w:tc>
      </w:tr>
      <w:tr w:rsidR="00A51A17" w:rsidRPr="00A51A17" w14:paraId="3F9B1B15" w14:textId="77777777" w:rsidTr="00A022A5">
        <w:trPr>
          <w:trHeight w:val="278"/>
        </w:trPr>
        <w:tc>
          <w:tcPr>
            <w:tcW w:w="1843" w:type="dxa"/>
          </w:tcPr>
          <w:p w14:paraId="44DB6A39" w14:textId="6B25E304" w:rsidR="00525122" w:rsidRPr="00A51A17" w:rsidRDefault="00A022A5" w:rsidP="00525122">
            <w:pPr>
              <w:rPr>
                <w:rFonts w:ascii="Times New Roman" w:hAnsi="Times New Roman"/>
                <w:lang w:val="en-US"/>
              </w:rPr>
            </w:pPr>
            <w:r w:rsidRPr="00A51A17">
              <w:rPr>
                <w:rFonts w:ascii="Times New Roman" w:hAnsi="Times New Roman"/>
                <w:lang w:val="en-US"/>
              </w:rPr>
              <w:t>Intolerance of uncertainty</w:t>
            </w:r>
          </w:p>
        </w:tc>
        <w:tc>
          <w:tcPr>
            <w:tcW w:w="2660" w:type="dxa"/>
          </w:tcPr>
          <w:p w14:paraId="3086DA09" w14:textId="4BC3872A" w:rsidR="00525122" w:rsidRPr="00A51A17" w:rsidRDefault="00525122" w:rsidP="00525122">
            <w:pPr>
              <w:rPr>
                <w:rFonts w:ascii="Times New Roman" w:hAnsi="Times New Roman"/>
                <w:lang w:val="en-US"/>
              </w:rPr>
            </w:pPr>
            <w:r w:rsidRPr="00A51A17">
              <w:rPr>
                <w:rFonts w:ascii="Times New Roman" w:hAnsi="Times New Roman"/>
                <w:lang w:val="en-US"/>
              </w:rPr>
              <w:t>Cyberchondria</w:t>
            </w:r>
          </w:p>
        </w:tc>
        <w:tc>
          <w:tcPr>
            <w:tcW w:w="992" w:type="dxa"/>
          </w:tcPr>
          <w:p w14:paraId="40675021" w14:textId="7288DEA1" w:rsidR="00525122" w:rsidRPr="00A51A17" w:rsidRDefault="00525122" w:rsidP="00BB5AF2">
            <w:pPr>
              <w:jc w:val="center"/>
              <w:rPr>
                <w:rFonts w:ascii="Times New Roman" w:hAnsi="Times New Roman"/>
                <w:lang w:val="en-US"/>
              </w:rPr>
            </w:pPr>
            <w:r w:rsidRPr="00A51A17">
              <w:rPr>
                <w:rFonts w:ascii="Times New Roman" w:hAnsi="Times New Roman"/>
                <w:lang w:val="en-US"/>
              </w:rPr>
              <w:t>.2</w:t>
            </w:r>
            <w:r w:rsidR="00BB5AF2" w:rsidRPr="00A51A17">
              <w:rPr>
                <w:rFonts w:ascii="Times New Roman" w:hAnsi="Times New Roman"/>
                <w:lang w:val="en-US"/>
              </w:rPr>
              <w:t>12</w:t>
            </w:r>
          </w:p>
        </w:tc>
        <w:tc>
          <w:tcPr>
            <w:tcW w:w="850" w:type="dxa"/>
          </w:tcPr>
          <w:p w14:paraId="5679D90E" w14:textId="094B539F" w:rsidR="00525122" w:rsidRPr="00A51A17" w:rsidRDefault="00525122" w:rsidP="00BB5AF2">
            <w:pPr>
              <w:jc w:val="center"/>
              <w:rPr>
                <w:rFonts w:ascii="Times New Roman" w:hAnsi="Times New Roman"/>
                <w:lang w:val="en-US"/>
              </w:rPr>
            </w:pPr>
            <w:r w:rsidRPr="00A51A17">
              <w:rPr>
                <w:rFonts w:ascii="Times New Roman" w:hAnsi="Times New Roman"/>
                <w:lang w:val="en-US"/>
              </w:rPr>
              <w:t>.0</w:t>
            </w:r>
            <w:r w:rsidR="00D83769" w:rsidRPr="00A51A17">
              <w:rPr>
                <w:rFonts w:ascii="Times New Roman" w:hAnsi="Times New Roman"/>
                <w:lang w:val="en-US"/>
              </w:rPr>
              <w:t>3</w:t>
            </w:r>
            <w:r w:rsidR="00BB5AF2" w:rsidRPr="00A51A17">
              <w:rPr>
                <w:rFonts w:ascii="Times New Roman" w:hAnsi="Times New Roman"/>
                <w:lang w:val="en-US"/>
              </w:rPr>
              <w:t>9</w:t>
            </w:r>
          </w:p>
        </w:tc>
        <w:tc>
          <w:tcPr>
            <w:tcW w:w="1418" w:type="dxa"/>
            <w:tcBorders>
              <w:top w:val="nil"/>
              <w:left w:val="nil"/>
              <w:bottom w:val="nil"/>
              <w:right w:val="nil"/>
            </w:tcBorders>
          </w:tcPr>
          <w:p w14:paraId="69CC5C5F" w14:textId="10D0ABA0" w:rsidR="00525122" w:rsidRPr="00A51A17" w:rsidRDefault="00525122" w:rsidP="00BB5AF2">
            <w:pPr>
              <w:jc w:val="center"/>
              <w:rPr>
                <w:rFonts w:ascii="Times New Roman" w:hAnsi="Times New Roman"/>
                <w:lang w:val="en-US"/>
              </w:rPr>
            </w:pPr>
            <w:r w:rsidRPr="00A51A17">
              <w:rPr>
                <w:rFonts w:ascii="Times New Roman" w:hAnsi="Times New Roman"/>
                <w:lang w:val="en-US"/>
              </w:rPr>
              <w:t>7.</w:t>
            </w:r>
            <w:r w:rsidR="00BB5AF2" w:rsidRPr="00A51A17">
              <w:rPr>
                <w:rFonts w:ascii="Times New Roman" w:hAnsi="Times New Roman"/>
                <w:lang w:val="en-US"/>
              </w:rPr>
              <w:t>322</w:t>
            </w:r>
          </w:p>
        </w:tc>
        <w:tc>
          <w:tcPr>
            <w:tcW w:w="1134" w:type="dxa"/>
            <w:tcBorders>
              <w:top w:val="nil"/>
              <w:left w:val="nil"/>
              <w:bottom w:val="nil"/>
            </w:tcBorders>
          </w:tcPr>
          <w:p w14:paraId="60008F3D" w14:textId="0456D0EE" w:rsidR="00525122" w:rsidRPr="00A51A17" w:rsidRDefault="00525122" w:rsidP="00525122">
            <w:pPr>
              <w:jc w:val="center"/>
              <w:rPr>
                <w:rFonts w:ascii="Times New Roman" w:hAnsi="Times New Roman"/>
                <w:lang w:val="en-US"/>
              </w:rPr>
            </w:pPr>
            <w:r w:rsidRPr="00A51A17">
              <w:rPr>
                <w:rFonts w:ascii="Times New Roman" w:hAnsi="Times New Roman"/>
                <w:lang w:val="en-US"/>
              </w:rPr>
              <w:t>&lt;.001</w:t>
            </w:r>
          </w:p>
        </w:tc>
        <w:tc>
          <w:tcPr>
            <w:tcW w:w="1417" w:type="dxa"/>
            <w:tcBorders>
              <w:top w:val="nil"/>
              <w:left w:val="single" w:sz="4" w:space="0" w:color="auto"/>
              <w:bottom w:val="nil"/>
            </w:tcBorders>
          </w:tcPr>
          <w:p w14:paraId="30EC7CBC" w14:textId="7CE77D99" w:rsidR="00525122" w:rsidRPr="00A51A17" w:rsidRDefault="00525122" w:rsidP="00BB5AF2">
            <w:pPr>
              <w:jc w:val="center"/>
              <w:rPr>
                <w:rFonts w:ascii="Times New Roman" w:hAnsi="Times New Roman"/>
                <w:lang w:val="en-US"/>
              </w:rPr>
            </w:pPr>
            <w:r w:rsidRPr="00A51A17">
              <w:rPr>
                <w:rFonts w:ascii="Times New Roman" w:hAnsi="Times New Roman"/>
                <w:lang w:val="en-US"/>
              </w:rPr>
              <w:t>.0</w:t>
            </w:r>
            <w:r w:rsidR="00BB5AF2" w:rsidRPr="00A51A17">
              <w:rPr>
                <w:rFonts w:ascii="Times New Roman" w:hAnsi="Times New Roman"/>
                <w:lang w:val="en-US"/>
              </w:rPr>
              <w:t>63</w:t>
            </w:r>
          </w:p>
        </w:tc>
        <w:tc>
          <w:tcPr>
            <w:tcW w:w="993" w:type="dxa"/>
          </w:tcPr>
          <w:p w14:paraId="7B79FA3B" w14:textId="46AF28A4" w:rsidR="00525122" w:rsidRPr="00A51A17" w:rsidRDefault="00525122" w:rsidP="00BB5AF2">
            <w:pPr>
              <w:jc w:val="center"/>
              <w:rPr>
                <w:rFonts w:ascii="Times New Roman" w:hAnsi="Times New Roman"/>
                <w:lang w:val="en-US"/>
              </w:rPr>
            </w:pPr>
            <w:r w:rsidRPr="00A51A17">
              <w:rPr>
                <w:rFonts w:ascii="Times New Roman" w:hAnsi="Times New Roman"/>
                <w:lang w:val="en-US"/>
              </w:rPr>
              <w:t>.0</w:t>
            </w:r>
            <w:r w:rsidR="00BB5AF2" w:rsidRPr="00A51A17">
              <w:rPr>
                <w:rFonts w:ascii="Times New Roman" w:hAnsi="Times New Roman"/>
                <w:lang w:val="en-US"/>
              </w:rPr>
              <w:t>32</w:t>
            </w:r>
          </w:p>
        </w:tc>
        <w:tc>
          <w:tcPr>
            <w:tcW w:w="1134" w:type="dxa"/>
            <w:tcBorders>
              <w:top w:val="nil"/>
              <w:bottom w:val="nil"/>
              <w:right w:val="nil"/>
            </w:tcBorders>
          </w:tcPr>
          <w:p w14:paraId="1181A3A5" w14:textId="03A65862" w:rsidR="00525122" w:rsidRPr="00A51A17" w:rsidRDefault="00525122" w:rsidP="00BB5AF2">
            <w:pPr>
              <w:jc w:val="center"/>
              <w:rPr>
                <w:rFonts w:ascii="Times New Roman" w:hAnsi="Times New Roman"/>
                <w:lang w:val="en-US"/>
              </w:rPr>
            </w:pPr>
            <w:r w:rsidRPr="00A51A17">
              <w:rPr>
                <w:rFonts w:ascii="Times New Roman" w:hAnsi="Times New Roman"/>
                <w:lang w:val="en-US"/>
              </w:rPr>
              <w:t>2.</w:t>
            </w:r>
            <w:r w:rsidR="00BB5AF2" w:rsidRPr="00A51A17">
              <w:rPr>
                <w:rFonts w:ascii="Times New Roman" w:hAnsi="Times New Roman"/>
                <w:lang w:val="en-US"/>
              </w:rPr>
              <w:t>936</w:t>
            </w:r>
          </w:p>
        </w:tc>
        <w:tc>
          <w:tcPr>
            <w:tcW w:w="1417" w:type="dxa"/>
            <w:tcBorders>
              <w:top w:val="nil"/>
              <w:left w:val="nil"/>
              <w:bottom w:val="nil"/>
              <w:right w:val="nil"/>
            </w:tcBorders>
          </w:tcPr>
          <w:p w14:paraId="356FAE4F" w14:textId="14B24D04" w:rsidR="00525122" w:rsidRPr="00A51A17" w:rsidRDefault="00525122" w:rsidP="00BB5AF2">
            <w:pPr>
              <w:jc w:val="center"/>
              <w:rPr>
                <w:rFonts w:ascii="Times New Roman" w:hAnsi="Times New Roman"/>
                <w:lang w:val="en-US"/>
              </w:rPr>
            </w:pPr>
            <w:r w:rsidRPr="00A51A17">
              <w:rPr>
                <w:rFonts w:ascii="Times New Roman" w:hAnsi="Times New Roman"/>
                <w:lang w:val="en-US"/>
              </w:rPr>
              <w:t>.00</w:t>
            </w:r>
            <w:r w:rsidR="00BB5AF2" w:rsidRPr="00A51A17">
              <w:rPr>
                <w:rFonts w:ascii="Times New Roman" w:hAnsi="Times New Roman"/>
                <w:lang w:val="en-US"/>
              </w:rPr>
              <w:t>3</w:t>
            </w:r>
          </w:p>
        </w:tc>
      </w:tr>
      <w:tr w:rsidR="00A51A17" w:rsidRPr="00A51A17" w14:paraId="73AF9AA7" w14:textId="77777777" w:rsidTr="00A022A5">
        <w:trPr>
          <w:trHeight w:val="278"/>
        </w:trPr>
        <w:tc>
          <w:tcPr>
            <w:tcW w:w="1843" w:type="dxa"/>
          </w:tcPr>
          <w:p w14:paraId="3C6AD909" w14:textId="3E2193A7" w:rsidR="007C2A91" w:rsidRPr="00A51A17" w:rsidRDefault="007C2A91" w:rsidP="002F66B0">
            <w:pPr>
              <w:rPr>
                <w:rFonts w:ascii="Times New Roman" w:hAnsi="Times New Roman"/>
                <w:lang w:val="en-US"/>
              </w:rPr>
            </w:pPr>
          </w:p>
        </w:tc>
        <w:tc>
          <w:tcPr>
            <w:tcW w:w="2660" w:type="dxa"/>
          </w:tcPr>
          <w:p w14:paraId="6A14F107" w14:textId="34C9D428" w:rsidR="007C2A91" w:rsidRPr="00A51A17" w:rsidRDefault="007C2A91" w:rsidP="002F66B0">
            <w:pPr>
              <w:rPr>
                <w:rFonts w:ascii="Times New Roman" w:hAnsi="Times New Roman"/>
                <w:lang w:val="en-US"/>
              </w:rPr>
            </w:pPr>
            <w:r w:rsidRPr="00A51A17">
              <w:rPr>
                <w:rFonts w:ascii="Times New Roman" w:hAnsi="Times New Roman"/>
                <w:lang w:val="en-US"/>
              </w:rPr>
              <w:t>P</w:t>
            </w:r>
            <w:r w:rsidR="002F66B0" w:rsidRPr="00A51A17">
              <w:rPr>
                <w:rFonts w:ascii="Times New Roman" w:hAnsi="Times New Roman"/>
                <w:lang w:val="en-US"/>
              </w:rPr>
              <w:t>IU</w:t>
            </w:r>
          </w:p>
        </w:tc>
        <w:tc>
          <w:tcPr>
            <w:tcW w:w="992" w:type="dxa"/>
          </w:tcPr>
          <w:p w14:paraId="406F93AD" w14:textId="185058BD" w:rsidR="007C2A91" w:rsidRPr="00A51A17" w:rsidRDefault="007C2A91" w:rsidP="00446B17">
            <w:pPr>
              <w:jc w:val="center"/>
              <w:rPr>
                <w:rFonts w:ascii="Times New Roman" w:hAnsi="Times New Roman"/>
                <w:lang w:val="en-US"/>
              </w:rPr>
            </w:pPr>
            <w:r w:rsidRPr="00A51A17">
              <w:rPr>
                <w:rFonts w:ascii="Times New Roman" w:hAnsi="Times New Roman"/>
                <w:lang w:val="en-US"/>
              </w:rPr>
              <w:t>.0</w:t>
            </w:r>
            <w:r w:rsidR="00446B17" w:rsidRPr="00A51A17">
              <w:rPr>
                <w:rFonts w:ascii="Times New Roman" w:hAnsi="Times New Roman"/>
                <w:lang w:val="en-US"/>
              </w:rPr>
              <w:t>07</w:t>
            </w:r>
          </w:p>
        </w:tc>
        <w:tc>
          <w:tcPr>
            <w:tcW w:w="850" w:type="dxa"/>
          </w:tcPr>
          <w:p w14:paraId="13813089" w14:textId="77B3D7A2" w:rsidR="007C2A91" w:rsidRPr="00A51A17" w:rsidRDefault="007C2A91" w:rsidP="00446B17">
            <w:pPr>
              <w:jc w:val="center"/>
              <w:rPr>
                <w:rFonts w:ascii="Times New Roman" w:hAnsi="Times New Roman"/>
                <w:lang w:val="en-US"/>
              </w:rPr>
            </w:pPr>
            <w:r w:rsidRPr="00A51A17">
              <w:rPr>
                <w:rFonts w:ascii="Times New Roman" w:hAnsi="Times New Roman"/>
                <w:lang w:val="en-US"/>
              </w:rPr>
              <w:t>.0</w:t>
            </w:r>
            <w:r w:rsidR="00446B17" w:rsidRPr="00A51A17">
              <w:rPr>
                <w:rFonts w:ascii="Times New Roman" w:hAnsi="Times New Roman"/>
                <w:lang w:val="en-US"/>
              </w:rPr>
              <w:t>20</w:t>
            </w:r>
          </w:p>
        </w:tc>
        <w:tc>
          <w:tcPr>
            <w:tcW w:w="1418" w:type="dxa"/>
            <w:tcBorders>
              <w:top w:val="nil"/>
              <w:left w:val="nil"/>
              <w:bottom w:val="nil"/>
              <w:right w:val="nil"/>
            </w:tcBorders>
          </w:tcPr>
          <w:p w14:paraId="69C013E8" w14:textId="595248AB" w:rsidR="007C2A91" w:rsidRPr="00A51A17" w:rsidRDefault="007C2A91" w:rsidP="00446B17">
            <w:pPr>
              <w:jc w:val="center"/>
              <w:rPr>
                <w:rFonts w:ascii="Times New Roman" w:hAnsi="Times New Roman"/>
                <w:lang w:val="en-US"/>
              </w:rPr>
            </w:pPr>
            <w:r w:rsidRPr="00A51A17">
              <w:rPr>
                <w:rFonts w:ascii="Times New Roman" w:hAnsi="Times New Roman"/>
                <w:lang w:val="en-US"/>
              </w:rPr>
              <w:t>.</w:t>
            </w:r>
            <w:r w:rsidR="00446B17" w:rsidRPr="00A51A17">
              <w:rPr>
                <w:rFonts w:ascii="Times New Roman" w:hAnsi="Times New Roman"/>
                <w:lang w:val="en-US"/>
              </w:rPr>
              <w:t>483</w:t>
            </w:r>
          </w:p>
        </w:tc>
        <w:tc>
          <w:tcPr>
            <w:tcW w:w="1134" w:type="dxa"/>
            <w:tcBorders>
              <w:top w:val="nil"/>
              <w:left w:val="nil"/>
              <w:bottom w:val="nil"/>
            </w:tcBorders>
          </w:tcPr>
          <w:p w14:paraId="08C887BF" w14:textId="4E07604C" w:rsidR="007C2A91" w:rsidRPr="00A51A17" w:rsidRDefault="007C2A91" w:rsidP="00446B17">
            <w:pPr>
              <w:jc w:val="center"/>
              <w:rPr>
                <w:rFonts w:ascii="Times New Roman" w:hAnsi="Times New Roman"/>
                <w:lang w:val="en-US"/>
              </w:rPr>
            </w:pPr>
            <w:r w:rsidRPr="00A51A17">
              <w:rPr>
                <w:rFonts w:ascii="Times New Roman" w:hAnsi="Times New Roman"/>
                <w:lang w:val="en-US"/>
              </w:rPr>
              <w:t>.</w:t>
            </w:r>
            <w:r w:rsidR="00D83769" w:rsidRPr="00A51A17">
              <w:rPr>
                <w:rFonts w:ascii="Times New Roman" w:hAnsi="Times New Roman"/>
                <w:lang w:val="en-US"/>
              </w:rPr>
              <w:t>62</w:t>
            </w:r>
            <w:r w:rsidR="00446B17" w:rsidRPr="00A51A17">
              <w:rPr>
                <w:rFonts w:ascii="Times New Roman" w:hAnsi="Times New Roman"/>
                <w:lang w:val="en-US"/>
              </w:rPr>
              <w:t>9</w:t>
            </w:r>
          </w:p>
        </w:tc>
        <w:tc>
          <w:tcPr>
            <w:tcW w:w="1417" w:type="dxa"/>
            <w:tcBorders>
              <w:top w:val="nil"/>
              <w:left w:val="single" w:sz="4" w:space="0" w:color="auto"/>
              <w:bottom w:val="nil"/>
            </w:tcBorders>
          </w:tcPr>
          <w:p w14:paraId="464E6F63" w14:textId="48D281F4" w:rsidR="007C2A91" w:rsidRPr="00A51A17" w:rsidRDefault="00525122" w:rsidP="00446B17">
            <w:pPr>
              <w:jc w:val="center"/>
              <w:rPr>
                <w:rFonts w:ascii="Times New Roman" w:hAnsi="Times New Roman"/>
                <w:lang w:val="en-US"/>
              </w:rPr>
            </w:pPr>
            <w:r w:rsidRPr="00A51A17">
              <w:rPr>
                <w:rFonts w:ascii="Times New Roman" w:hAnsi="Times New Roman"/>
                <w:lang w:val="en-US"/>
              </w:rPr>
              <w:t>.06</w:t>
            </w:r>
            <w:r w:rsidR="00446B17" w:rsidRPr="00A51A17">
              <w:rPr>
                <w:rFonts w:ascii="Times New Roman" w:hAnsi="Times New Roman"/>
                <w:lang w:val="en-US"/>
              </w:rPr>
              <w:t>4</w:t>
            </w:r>
          </w:p>
        </w:tc>
        <w:tc>
          <w:tcPr>
            <w:tcW w:w="993" w:type="dxa"/>
          </w:tcPr>
          <w:p w14:paraId="4A14044D" w14:textId="3B37BA56" w:rsidR="007C2A91" w:rsidRPr="00A51A17" w:rsidRDefault="007C2A91" w:rsidP="00446B17">
            <w:pPr>
              <w:jc w:val="center"/>
              <w:rPr>
                <w:rFonts w:ascii="Times New Roman" w:hAnsi="Times New Roman"/>
                <w:lang w:val="en-US"/>
              </w:rPr>
            </w:pPr>
            <w:r w:rsidRPr="00A51A17">
              <w:rPr>
                <w:rFonts w:ascii="Times New Roman" w:hAnsi="Times New Roman"/>
                <w:lang w:val="en-US"/>
              </w:rPr>
              <w:t>.0</w:t>
            </w:r>
            <w:r w:rsidR="00446B17" w:rsidRPr="00A51A17">
              <w:rPr>
                <w:rFonts w:ascii="Times New Roman" w:hAnsi="Times New Roman"/>
                <w:lang w:val="en-US"/>
              </w:rPr>
              <w:t>31</w:t>
            </w:r>
          </w:p>
        </w:tc>
        <w:tc>
          <w:tcPr>
            <w:tcW w:w="1134" w:type="dxa"/>
            <w:tcBorders>
              <w:top w:val="nil"/>
              <w:bottom w:val="nil"/>
              <w:right w:val="nil"/>
            </w:tcBorders>
          </w:tcPr>
          <w:p w14:paraId="7CF5E7EB" w14:textId="7FF62402" w:rsidR="007C2A91" w:rsidRPr="00A51A17" w:rsidRDefault="00525122" w:rsidP="00446B17">
            <w:pPr>
              <w:jc w:val="center"/>
              <w:rPr>
                <w:rFonts w:ascii="Times New Roman" w:hAnsi="Times New Roman"/>
                <w:lang w:val="en-US"/>
              </w:rPr>
            </w:pPr>
            <w:r w:rsidRPr="00A51A17">
              <w:rPr>
                <w:rFonts w:ascii="Times New Roman" w:hAnsi="Times New Roman"/>
                <w:lang w:val="en-US"/>
              </w:rPr>
              <w:t>3</w:t>
            </w:r>
            <w:r w:rsidR="007C2A91" w:rsidRPr="00A51A17">
              <w:rPr>
                <w:rFonts w:ascii="Times New Roman" w:hAnsi="Times New Roman"/>
                <w:lang w:val="en-US"/>
              </w:rPr>
              <w:t>.</w:t>
            </w:r>
            <w:r w:rsidR="00446B17" w:rsidRPr="00A51A17">
              <w:rPr>
                <w:rFonts w:ascii="Times New Roman" w:hAnsi="Times New Roman"/>
                <w:lang w:val="en-US"/>
              </w:rPr>
              <w:t>074</w:t>
            </w:r>
          </w:p>
        </w:tc>
        <w:tc>
          <w:tcPr>
            <w:tcW w:w="1417" w:type="dxa"/>
            <w:tcBorders>
              <w:top w:val="nil"/>
              <w:left w:val="nil"/>
              <w:bottom w:val="nil"/>
              <w:right w:val="nil"/>
            </w:tcBorders>
          </w:tcPr>
          <w:p w14:paraId="00CF1C6F" w14:textId="04DEF6CC" w:rsidR="007C2A91" w:rsidRPr="00A51A17" w:rsidRDefault="007C2A91" w:rsidP="00446B17">
            <w:pPr>
              <w:jc w:val="center"/>
              <w:rPr>
                <w:rFonts w:ascii="Times New Roman" w:hAnsi="Times New Roman"/>
                <w:lang w:val="en-US"/>
              </w:rPr>
            </w:pPr>
            <w:r w:rsidRPr="00A51A17">
              <w:rPr>
                <w:rFonts w:ascii="Times New Roman" w:hAnsi="Times New Roman"/>
                <w:lang w:val="en-US"/>
              </w:rPr>
              <w:t>.0</w:t>
            </w:r>
            <w:r w:rsidR="00525122" w:rsidRPr="00A51A17">
              <w:rPr>
                <w:rFonts w:ascii="Times New Roman" w:hAnsi="Times New Roman"/>
                <w:lang w:val="en-US"/>
              </w:rPr>
              <w:t>0</w:t>
            </w:r>
            <w:r w:rsidR="00446B17" w:rsidRPr="00A51A17">
              <w:rPr>
                <w:rFonts w:ascii="Times New Roman" w:hAnsi="Times New Roman"/>
                <w:lang w:val="en-US"/>
              </w:rPr>
              <w:t>2</w:t>
            </w:r>
          </w:p>
        </w:tc>
      </w:tr>
      <w:tr w:rsidR="00A51A17" w:rsidRPr="00A51A17" w14:paraId="7DB3AD81" w14:textId="77777777" w:rsidTr="00A022A5">
        <w:trPr>
          <w:trHeight w:val="278"/>
        </w:trPr>
        <w:tc>
          <w:tcPr>
            <w:tcW w:w="1843" w:type="dxa"/>
          </w:tcPr>
          <w:p w14:paraId="1F68149E" w14:textId="77777777" w:rsidR="002F66B0" w:rsidRPr="00A51A17" w:rsidRDefault="002F66B0" w:rsidP="002F66B0">
            <w:pPr>
              <w:rPr>
                <w:rFonts w:ascii="Times New Roman" w:hAnsi="Times New Roman"/>
                <w:lang w:val="en-US"/>
              </w:rPr>
            </w:pPr>
          </w:p>
        </w:tc>
        <w:tc>
          <w:tcPr>
            <w:tcW w:w="2660" w:type="dxa"/>
          </w:tcPr>
          <w:p w14:paraId="76EBB521" w14:textId="52335D06" w:rsidR="002F66B0" w:rsidRPr="00A51A17" w:rsidRDefault="002F66B0" w:rsidP="002F66B0">
            <w:pPr>
              <w:rPr>
                <w:rFonts w:ascii="Times New Roman" w:hAnsi="Times New Roman"/>
                <w:lang w:val="en-US"/>
              </w:rPr>
            </w:pPr>
            <w:r w:rsidRPr="00A51A17">
              <w:rPr>
                <w:rFonts w:ascii="Times New Roman" w:hAnsi="Times New Roman"/>
                <w:lang w:val="en-US"/>
              </w:rPr>
              <w:t xml:space="preserve">Cyberchondria </w:t>
            </w:r>
            <w:r w:rsidRPr="00A51A17">
              <w:rPr>
                <w:rFonts w:ascii="Wingdings" w:eastAsia="Wingdings" w:hAnsi="Wingdings" w:cs="Wingdings"/>
                <w:lang w:val="en-US"/>
              </w:rPr>
              <w:t></w:t>
            </w:r>
            <w:r w:rsidRPr="00A51A17">
              <w:rPr>
                <w:rFonts w:ascii="Times New Roman" w:hAnsi="Times New Roman"/>
                <w:lang w:val="en-US"/>
              </w:rPr>
              <w:t xml:space="preserve"> Health Anxiety</w:t>
            </w:r>
          </w:p>
        </w:tc>
        <w:tc>
          <w:tcPr>
            <w:tcW w:w="992" w:type="dxa"/>
          </w:tcPr>
          <w:p w14:paraId="4B90BAFC" w14:textId="05348A83"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850" w:type="dxa"/>
          </w:tcPr>
          <w:p w14:paraId="0A62231A" w14:textId="4BB284A1"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8" w:type="dxa"/>
            <w:tcBorders>
              <w:top w:val="nil"/>
              <w:left w:val="nil"/>
              <w:bottom w:val="nil"/>
              <w:right w:val="nil"/>
            </w:tcBorders>
          </w:tcPr>
          <w:p w14:paraId="71E94FD8" w14:textId="1A96E171"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134" w:type="dxa"/>
            <w:tcBorders>
              <w:top w:val="nil"/>
              <w:left w:val="nil"/>
              <w:bottom w:val="nil"/>
            </w:tcBorders>
          </w:tcPr>
          <w:p w14:paraId="1EA9028A" w14:textId="2953746F"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7" w:type="dxa"/>
            <w:tcBorders>
              <w:top w:val="nil"/>
              <w:left w:val="single" w:sz="4" w:space="0" w:color="auto"/>
              <w:bottom w:val="nil"/>
            </w:tcBorders>
          </w:tcPr>
          <w:p w14:paraId="54D31F5B" w14:textId="2D8FE6BE" w:rsidR="002F66B0" w:rsidRPr="00A51A17" w:rsidRDefault="00525122" w:rsidP="00BB5AF2">
            <w:pPr>
              <w:jc w:val="center"/>
              <w:rPr>
                <w:rFonts w:ascii="Times New Roman" w:hAnsi="Times New Roman"/>
                <w:lang w:val="en-US"/>
              </w:rPr>
            </w:pPr>
            <w:r w:rsidRPr="00A51A17">
              <w:rPr>
                <w:rFonts w:ascii="Times New Roman" w:hAnsi="Times New Roman"/>
                <w:lang w:val="en-US"/>
              </w:rPr>
              <w:t>.0</w:t>
            </w:r>
            <w:r w:rsidR="00BB5AF2" w:rsidRPr="00A51A17">
              <w:rPr>
                <w:rFonts w:ascii="Times New Roman" w:hAnsi="Times New Roman"/>
                <w:lang w:val="en-US"/>
              </w:rPr>
              <w:t>30</w:t>
            </w:r>
          </w:p>
        </w:tc>
        <w:tc>
          <w:tcPr>
            <w:tcW w:w="993" w:type="dxa"/>
          </w:tcPr>
          <w:p w14:paraId="4266BAE1" w14:textId="2207351B" w:rsidR="002F66B0" w:rsidRPr="00A51A17" w:rsidRDefault="00525122" w:rsidP="00BB5AF2">
            <w:pPr>
              <w:jc w:val="center"/>
              <w:rPr>
                <w:rFonts w:ascii="Times New Roman" w:hAnsi="Times New Roman"/>
                <w:lang w:val="en-US"/>
              </w:rPr>
            </w:pPr>
            <w:r w:rsidRPr="00A51A17">
              <w:rPr>
                <w:rFonts w:ascii="Times New Roman" w:hAnsi="Times New Roman"/>
                <w:lang w:val="en-US"/>
              </w:rPr>
              <w:t>.0</w:t>
            </w:r>
            <w:r w:rsidR="00D83769" w:rsidRPr="00A51A17">
              <w:rPr>
                <w:rFonts w:ascii="Times New Roman" w:hAnsi="Times New Roman"/>
                <w:lang w:val="en-US"/>
              </w:rPr>
              <w:t>1</w:t>
            </w:r>
            <w:r w:rsidR="00BB5AF2" w:rsidRPr="00A51A17">
              <w:rPr>
                <w:rFonts w:ascii="Times New Roman" w:hAnsi="Times New Roman"/>
                <w:lang w:val="en-US"/>
              </w:rPr>
              <w:t>7</w:t>
            </w:r>
          </w:p>
        </w:tc>
        <w:tc>
          <w:tcPr>
            <w:tcW w:w="1134" w:type="dxa"/>
            <w:tcBorders>
              <w:top w:val="nil"/>
              <w:bottom w:val="nil"/>
              <w:right w:val="nil"/>
            </w:tcBorders>
          </w:tcPr>
          <w:p w14:paraId="7A1C14E3" w14:textId="4D289A9A" w:rsidR="002F66B0" w:rsidRPr="00A51A17" w:rsidRDefault="00525122" w:rsidP="00BB5AF2">
            <w:pPr>
              <w:jc w:val="center"/>
              <w:rPr>
                <w:rFonts w:ascii="Times New Roman" w:hAnsi="Times New Roman"/>
                <w:lang w:val="en-US"/>
              </w:rPr>
            </w:pPr>
            <w:r w:rsidRPr="00A51A17">
              <w:rPr>
                <w:rFonts w:ascii="Times New Roman" w:hAnsi="Times New Roman"/>
                <w:lang w:val="en-US"/>
              </w:rPr>
              <w:t>2.5</w:t>
            </w:r>
            <w:r w:rsidR="00BB5AF2" w:rsidRPr="00A51A17">
              <w:rPr>
                <w:rFonts w:ascii="Times New Roman" w:hAnsi="Times New Roman"/>
                <w:lang w:val="en-US"/>
              </w:rPr>
              <w:t>74</w:t>
            </w:r>
          </w:p>
        </w:tc>
        <w:tc>
          <w:tcPr>
            <w:tcW w:w="1417" w:type="dxa"/>
            <w:tcBorders>
              <w:top w:val="nil"/>
              <w:left w:val="nil"/>
              <w:bottom w:val="nil"/>
              <w:right w:val="nil"/>
            </w:tcBorders>
          </w:tcPr>
          <w:p w14:paraId="225A4FCA" w14:textId="4E46C38F" w:rsidR="002F66B0" w:rsidRPr="00A51A17" w:rsidRDefault="00525122" w:rsidP="00BB5AF2">
            <w:pPr>
              <w:jc w:val="center"/>
              <w:rPr>
                <w:rFonts w:ascii="Times New Roman" w:hAnsi="Times New Roman"/>
                <w:lang w:val="en-US"/>
              </w:rPr>
            </w:pPr>
            <w:r w:rsidRPr="00A51A17">
              <w:rPr>
                <w:rFonts w:ascii="Times New Roman" w:hAnsi="Times New Roman"/>
                <w:lang w:val="en-US"/>
              </w:rPr>
              <w:t>.0</w:t>
            </w:r>
            <w:r w:rsidR="00BB5AF2" w:rsidRPr="00A51A17">
              <w:rPr>
                <w:rFonts w:ascii="Times New Roman" w:hAnsi="Times New Roman"/>
                <w:lang w:val="en-US"/>
              </w:rPr>
              <w:t>10</w:t>
            </w:r>
          </w:p>
        </w:tc>
      </w:tr>
      <w:tr w:rsidR="00A51A17" w:rsidRPr="00A51A17" w14:paraId="7682A33D" w14:textId="77777777" w:rsidTr="00A022A5">
        <w:trPr>
          <w:trHeight w:val="278"/>
        </w:trPr>
        <w:tc>
          <w:tcPr>
            <w:tcW w:w="1843" w:type="dxa"/>
          </w:tcPr>
          <w:p w14:paraId="713AECFE" w14:textId="77777777" w:rsidR="002F66B0" w:rsidRPr="00A51A17" w:rsidRDefault="002F66B0" w:rsidP="002F66B0">
            <w:pPr>
              <w:rPr>
                <w:rFonts w:ascii="Times New Roman" w:hAnsi="Times New Roman"/>
                <w:lang w:val="en-US"/>
              </w:rPr>
            </w:pPr>
          </w:p>
        </w:tc>
        <w:tc>
          <w:tcPr>
            <w:tcW w:w="2660" w:type="dxa"/>
          </w:tcPr>
          <w:p w14:paraId="7CA2C44E" w14:textId="17848653" w:rsidR="002F66B0" w:rsidRPr="00A51A17" w:rsidRDefault="002F66B0" w:rsidP="002F66B0">
            <w:pPr>
              <w:rPr>
                <w:rFonts w:ascii="Times New Roman" w:hAnsi="Times New Roman"/>
                <w:lang w:val="en-US"/>
              </w:rPr>
            </w:pPr>
            <w:r w:rsidRPr="00A51A17">
              <w:rPr>
                <w:rFonts w:ascii="Times New Roman" w:hAnsi="Times New Roman"/>
                <w:lang w:val="en-US"/>
              </w:rPr>
              <w:t xml:space="preserve">PIU </w:t>
            </w:r>
            <w:r w:rsidRPr="00A51A17">
              <w:rPr>
                <w:rFonts w:ascii="Wingdings" w:eastAsia="Wingdings" w:hAnsi="Wingdings" w:cs="Wingdings"/>
                <w:lang w:val="en-US"/>
              </w:rPr>
              <w:t></w:t>
            </w:r>
            <w:r w:rsidRPr="00A51A17">
              <w:rPr>
                <w:rFonts w:ascii="Times New Roman" w:hAnsi="Times New Roman"/>
                <w:lang w:val="en-US"/>
              </w:rPr>
              <w:t xml:space="preserve"> Health Anxiety</w:t>
            </w:r>
          </w:p>
        </w:tc>
        <w:tc>
          <w:tcPr>
            <w:tcW w:w="992" w:type="dxa"/>
          </w:tcPr>
          <w:p w14:paraId="0B51E418" w14:textId="01A68BA3"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850" w:type="dxa"/>
          </w:tcPr>
          <w:p w14:paraId="5FA814A7" w14:textId="6D47A05D"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8" w:type="dxa"/>
            <w:tcBorders>
              <w:top w:val="nil"/>
              <w:left w:val="nil"/>
              <w:bottom w:val="nil"/>
              <w:right w:val="nil"/>
            </w:tcBorders>
          </w:tcPr>
          <w:p w14:paraId="4E2D43C0" w14:textId="6FDFF9CF"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134" w:type="dxa"/>
            <w:tcBorders>
              <w:top w:val="nil"/>
              <w:left w:val="nil"/>
              <w:bottom w:val="nil"/>
            </w:tcBorders>
          </w:tcPr>
          <w:p w14:paraId="398D0AF8" w14:textId="7E7F6053"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7" w:type="dxa"/>
            <w:tcBorders>
              <w:top w:val="nil"/>
              <w:left w:val="single" w:sz="4" w:space="0" w:color="auto"/>
              <w:bottom w:val="nil"/>
            </w:tcBorders>
          </w:tcPr>
          <w:p w14:paraId="72EAAD59" w14:textId="69365816" w:rsidR="002F66B0" w:rsidRPr="00A51A17" w:rsidRDefault="00525122" w:rsidP="00D83769">
            <w:pPr>
              <w:jc w:val="center"/>
              <w:rPr>
                <w:rFonts w:ascii="Times New Roman" w:hAnsi="Times New Roman"/>
                <w:lang w:val="en-US"/>
              </w:rPr>
            </w:pPr>
            <w:r w:rsidRPr="00A51A17">
              <w:rPr>
                <w:rFonts w:ascii="Times New Roman" w:hAnsi="Times New Roman"/>
                <w:lang w:val="en-US"/>
              </w:rPr>
              <w:t>.00</w:t>
            </w:r>
            <w:r w:rsidR="00D83769" w:rsidRPr="00A51A17">
              <w:rPr>
                <w:rFonts w:ascii="Times New Roman" w:hAnsi="Times New Roman"/>
                <w:lang w:val="en-US"/>
              </w:rPr>
              <w:t>1</w:t>
            </w:r>
          </w:p>
        </w:tc>
        <w:tc>
          <w:tcPr>
            <w:tcW w:w="993" w:type="dxa"/>
          </w:tcPr>
          <w:p w14:paraId="300926B2" w14:textId="3DB1866C" w:rsidR="002F66B0" w:rsidRPr="00A51A17" w:rsidRDefault="00525122" w:rsidP="00D83769">
            <w:pPr>
              <w:jc w:val="center"/>
              <w:rPr>
                <w:rFonts w:ascii="Times New Roman" w:hAnsi="Times New Roman"/>
                <w:lang w:val="en-US"/>
              </w:rPr>
            </w:pPr>
            <w:r w:rsidRPr="00A51A17">
              <w:rPr>
                <w:rFonts w:ascii="Times New Roman" w:hAnsi="Times New Roman"/>
                <w:lang w:val="en-US"/>
              </w:rPr>
              <w:t>.00</w:t>
            </w:r>
            <w:r w:rsidR="00D83769" w:rsidRPr="00A51A17">
              <w:rPr>
                <w:rFonts w:ascii="Times New Roman" w:hAnsi="Times New Roman"/>
                <w:lang w:val="en-US"/>
              </w:rPr>
              <w:t>3</w:t>
            </w:r>
          </w:p>
        </w:tc>
        <w:tc>
          <w:tcPr>
            <w:tcW w:w="1134" w:type="dxa"/>
            <w:tcBorders>
              <w:top w:val="nil"/>
              <w:bottom w:val="nil"/>
              <w:right w:val="nil"/>
            </w:tcBorders>
          </w:tcPr>
          <w:p w14:paraId="6A1E3BC6" w14:textId="252FF04A" w:rsidR="002F66B0" w:rsidRPr="00A51A17" w:rsidRDefault="00525122" w:rsidP="00446B17">
            <w:pPr>
              <w:jc w:val="center"/>
              <w:rPr>
                <w:rFonts w:ascii="Times New Roman" w:hAnsi="Times New Roman"/>
                <w:lang w:val="en-US"/>
              </w:rPr>
            </w:pPr>
            <w:r w:rsidRPr="00A51A17">
              <w:rPr>
                <w:rFonts w:ascii="Times New Roman" w:hAnsi="Times New Roman"/>
                <w:lang w:val="en-US"/>
              </w:rPr>
              <w:t>.</w:t>
            </w:r>
            <w:r w:rsidR="00446B17" w:rsidRPr="00A51A17">
              <w:rPr>
                <w:rFonts w:ascii="Times New Roman" w:hAnsi="Times New Roman"/>
                <w:lang w:val="en-US"/>
              </w:rPr>
              <w:t>476</w:t>
            </w:r>
          </w:p>
        </w:tc>
        <w:tc>
          <w:tcPr>
            <w:tcW w:w="1417" w:type="dxa"/>
            <w:tcBorders>
              <w:top w:val="nil"/>
              <w:left w:val="nil"/>
              <w:bottom w:val="nil"/>
              <w:right w:val="nil"/>
            </w:tcBorders>
          </w:tcPr>
          <w:p w14:paraId="24E81537" w14:textId="3A4566AD" w:rsidR="002F66B0" w:rsidRPr="00A51A17" w:rsidRDefault="00525122" w:rsidP="00446B17">
            <w:pPr>
              <w:jc w:val="center"/>
              <w:rPr>
                <w:rFonts w:ascii="Times New Roman" w:hAnsi="Times New Roman"/>
                <w:lang w:val="en-US"/>
              </w:rPr>
            </w:pPr>
            <w:r w:rsidRPr="00A51A17">
              <w:rPr>
                <w:rFonts w:ascii="Times New Roman" w:hAnsi="Times New Roman"/>
                <w:lang w:val="en-US"/>
              </w:rPr>
              <w:t>.</w:t>
            </w:r>
            <w:r w:rsidR="00446B17" w:rsidRPr="00A51A17">
              <w:rPr>
                <w:rFonts w:ascii="Times New Roman" w:hAnsi="Times New Roman"/>
                <w:lang w:val="en-US"/>
              </w:rPr>
              <w:t>634</w:t>
            </w:r>
          </w:p>
        </w:tc>
      </w:tr>
      <w:tr w:rsidR="00A51A17" w:rsidRPr="00A51A17" w14:paraId="1E8E5B6D" w14:textId="77777777" w:rsidTr="00A022A5">
        <w:trPr>
          <w:trHeight w:val="278"/>
        </w:trPr>
        <w:tc>
          <w:tcPr>
            <w:tcW w:w="1843" w:type="dxa"/>
          </w:tcPr>
          <w:p w14:paraId="60BCA0A6" w14:textId="77777777" w:rsidR="002F66B0" w:rsidRPr="00A51A17" w:rsidRDefault="002F66B0" w:rsidP="002F66B0">
            <w:pPr>
              <w:rPr>
                <w:rFonts w:ascii="Times New Roman" w:hAnsi="Times New Roman"/>
                <w:lang w:val="en-US"/>
              </w:rPr>
            </w:pPr>
          </w:p>
        </w:tc>
        <w:tc>
          <w:tcPr>
            <w:tcW w:w="2660" w:type="dxa"/>
          </w:tcPr>
          <w:p w14:paraId="3F6BF7AA" w14:textId="5221DB25" w:rsidR="002F66B0" w:rsidRPr="00A51A17" w:rsidRDefault="002F66B0" w:rsidP="002F66B0">
            <w:pPr>
              <w:rPr>
                <w:rFonts w:ascii="Times New Roman" w:hAnsi="Times New Roman"/>
                <w:lang w:val="en-US"/>
              </w:rPr>
            </w:pPr>
            <w:r w:rsidRPr="00A51A17">
              <w:rPr>
                <w:rFonts w:ascii="Times New Roman" w:hAnsi="Times New Roman"/>
                <w:lang w:val="en-US"/>
              </w:rPr>
              <w:t>Health Anxiety</w:t>
            </w:r>
          </w:p>
        </w:tc>
        <w:tc>
          <w:tcPr>
            <w:tcW w:w="992" w:type="dxa"/>
          </w:tcPr>
          <w:p w14:paraId="2C091C29" w14:textId="779F402B"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850" w:type="dxa"/>
          </w:tcPr>
          <w:p w14:paraId="748A1DD8" w14:textId="336DA0BE"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8" w:type="dxa"/>
            <w:tcBorders>
              <w:top w:val="nil"/>
              <w:left w:val="nil"/>
              <w:bottom w:val="single" w:sz="4" w:space="0" w:color="auto"/>
              <w:right w:val="nil"/>
            </w:tcBorders>
          </w:tcPr>
          <w:p w14:paraId="71A7D636" w14:textId="0FBC5AE4"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134" w:type="dxa"/>
            <w:tcBorders>
              <w:top w:val="nil"/>
              <w:left w:val="nil"/>
              <w:bottom w:val="single" w:sz="4" w:space="0" w:color="auto"/>
            </w:tcBorders>
          </w:tcPr>
          <w:p w14:paraId="4ED1C14A" w14:textId="47F78357" w:rsidR="002F66B0" w:rsidRPr="00A51A17" w:rsidRDefault="002F66B0" w:rsidP="002F66B0">
            <w:pPr>
              <w:jc w:val="center"/>
              <w:rPr>
                <w:rFonts w:ascii="Times New Roman" w:hAnsi="Times New Roman"/>
                <w:lang w:val="en-US"/>
              </w:rPr>
            </w:pPr>
            <w:r w:rsidRPr="00A51A17">
              <w:rPr>
                <w:rFonts w:ascii="Times New Roman" w:hAnsi="Times New Roman"/>
                <w:lang w:val="en-US"/>
              </w:rPr>
              <w:t>-</w:t>
            </w:r>
          </w:p>
        </w:tc>
        <w:tc>
          <w:tcPr>
            <w:tcW w:w="1417" w:type="dxa"/>
            <w:tcBorders>
              <w:top w:val="nil"/>
              <w:left w:val="single" w:sz="4" w:space="0" w:color="auto"/>
              <w:bottom w:val="single" w:sz="4" w:space="0" w:color="auto"/>
            </w:tcBorders>
          </w:tcPr>
          <w:p w14:paraId="5FF10E78" w14:textId="797EF1D6" w:rsidR="002F66B0" w:rsidRPr="00A51A17" w:rsidRDefault="00525122" w:rsidP="00BB5AF2">
            <w:pPr>
              <w:jc w:val="center"/>
              <w:rPr>
                <w:rFonts w:ascii="Times New Roman" w:hAnsi="Times New Roman"/>
                <w:lang w:val="en-US"/>
              </w:rPr>
            </w:pPr>
            <w:r w:rsidRPr="00A51A17">
              <w:rPr>
                <w:rFonts w:ascii="Times New Roman" w:hAnsi="Times New Roman"/>
                <w:lang w:val="en-US"/>
              </w:rPr>
              <w:t>.0</w:t>
            </w:r>
            <w:r w:rsidR="00BB5AF2" w:rsidRPr="00A51A17">
              <w:rPr>
                <w:rFonts w:ascii="Times New Roman" w:hAnsi="Times New Roman"/>
                <w:lang w:val="en-US"/>
              </w:rPr>
              <w:t>41</w:t>
            </w:r>
          </w:p>
        </w:tc>
        <w:tc>
          <w:tcPr>
            <w:tcW w:w="993" w:type="dxa"/>
          </w:tcPr>
          <w:p w14:paraId="3DC50296" w14:textId="2C57E473" w:rsidR="002F66B0" w:rsidRPr="00A51A17" w:rsidRDefault="00525122" w:rsidP="00BB5AF2">
            <w:pPr>
              <w:jc w:val="center"/>
              <w:rPr>
                <w:rFonts w:ascii="Times New Roman" w:hAnsi="Times New Roman"/>
                <w:lang w:val="en-US"/>
              </w:rPr>
            </w:pPr>
            <w:r w:rsidRPr="00A51A17">
              <w:rPr>
                <w:rFonts w:ascii="Times New Roman" w:hAnsi="Times New Roman"/>
                <w:lang w:val="en-US"/>
              </w:rPr>
              <w:t>.0</w:t>
            </w:r>
            <w:r w:rsidR="00D83769" w:rsidRPr="00A51A17">
              <w:rPr>
                <w:rFonts w:ascii="Times New Roman" w:hAnsi="Times New Roman"/>
                <w:lang w:val="en-US"/>
              </w:rPr>
              <w:t>2</w:t>
            </w:r>
            <w:r w:rsidR="00BB5AF2" w:rsidRPr="00A51A17">
              <w:rPr>
                <w:rFonts w:ascii="Times New Roman" w:hAnsi="Times New Roman"/>
                <w:lang w:val="en-US"/>
              </w:rPr>
              <w:t>5</w:t>
            </w:r>
          </w:p>
        </w:tc>
        <w:tc>
          <w:tcPr>
            <w:tcW w:w="1134" w:type="dxa"/>
            <w:tcBorders>
              <w:top w:val="nil"/>
              <w:bottom w:val="single" w:sz="4" w:space="0" w:color="auto"/>
              <w:right w:val="nil"/>
            </w:tcBorders>
          </w:tcPr>
          <w:p w14:paraId="4A010B09" w14:textId="7957938B" w:rsidR="002F66B0" w:rsidRPr="00A51A17" w:rsidRDefault="00525122" w:rsidP="00BB5AF2">
            <w:pPr>
              <w:jc w:val="center"/>
              <w:rPr>
                <w:rFonts w:ascii="Times New Roman" w:hAnsi="Times New Roman"/>
                <w:lang w:val="en-US"/>
              </w:rPr>
            </w:pPr>
            <w:r w:rsidRPr="00A51A17">
              <w:rPr>
                <w:rFonts w:ascii="Times New Roman" w:hAnsi="Times New Roman"/>
                <w:lang w:val="en-US"/>
              </w:rPr>
              <w:t>2.</w:t>
            </w:r>
            <w:r w:rsidR="00BB5AF2" w:rsidRPr="00A51A17">
              <w:rPr>
                <w:rFonts w:ascii="Times New Roman" w:hAnsi="Times New Roman"/>
                <w:lang w:val="en-US"/>
              </w:rPr>
              <w:t>486</w:t>
            </w:r>
          </w:p>
        </w:tc>
        <w:tc>
          <w:tcPr>
            <w:tcW w:w="1417" w:type="dxa"/>
            <w:tcBorders>
              <w:top w:val="nil"/>
              <w:left w:val="nil"/>
              <w:bottom w:val="single" w:sz="4" w:space="0" w:color="auto"/>
              <w:right w:val="nil"/>
            </w:tcBorders>
          </w:tcPr>
          <w:p w14:paraId="25112A3E" w14:textId="1A1C2D0C" w:rsidR="002F66B0" w:rsidRPr="00A51A17" w:rsidRDefault="00525122" w:rsidP="00BB5AF2">
            <w:pPr>
              <w:jc w:val="center"/>
              <w:rPr>
                <w:rFonts w:ascii="Times New Roman" w:hAnsi="Times New Roman"/>
                <w:lang w:val="en-US"/>
              </w:rPr>
            </w:pPr>
            <w:r w:rsidRPr="00A51A17">
              <w:rPr>
                <w:rFonts w:ascii="Times New Roman" w:hAnsi="Times New Roman"/>
                <w:lang w:val="en-US"/>
              </w:rPr>
              <w:t>.01</w:t>
            </w:r>
            <w:r w:rsidR="00BB5AF2" w:rsidRPr="00A51A17">
              <w:rPr>
                <w:rFonts w:ascii="Times New Roman" w:hAnsi="Times New Roman"/>
                <w:lang w:val="en-US"/>
              </w:rPr>
              <w:t>3</w:t>
            </w:r>
          </w:p>
        </w:tc>
      </w:tr>
    </w:tbl>
    <w:p w14:paraId="0A04899D" w14:textId="77777777" w:rsidR="009A13A9" w:rsidRPr="00A51A17" w:rsidRDefault="009A13A9" w:rsidP="004431AA">
      <w:pPr>
        <w:rPr>
          <w:lang w:val="en-US"/>
        </w:rPr>
      </w:pPr>
    </w:p>
    <w:p w14:paraId="6B1FFA57" w14:textId="77777777" w:rsidR="009A13A9" w:rsidRPr="00A51A17" w:rsidRDefault="009A13A9" w:rsidP="004431AA">
      <w:pPr>
        <w:rPr>
          <w:lang w:val="en-US"/>
        </w:rPr>
      </w:pPr>
    </w:p>
    <w:p w14:paraId="781EDD9A" w14:textId="77777777" w:rsidR="001B2241" w:rsidRPr="00A51A17" w:rsidRDefault="001B2241" w:rsidP="004431AA">
      <w:pPr>
        <w:rPr>
          <w:lang w:val="en-US"/>
        </w:rPr>
      </w:pPr>
    </w:p>
    <w:p w14:paraId="7B7CB547" w14:textId="2203DE00" w:rsidR="39DF1CE0" w:rsidRDefault="39DF1CE0" w:rsidP="39DF1CE0">
      <w:pPr>
        <w:rPr>
          <w:lang w:val="en-US"/>
        </w:rPr>
      </w:pPr>
    </w:p>
    <w:p w14:paraId="716472F0" w14:textId="2C3FA25C" w:rsidR="39DF1CE0" w:rsidRDefault="39DF1CE0" w:rsidP="39DF1CE0">
      <w:pPr>
        <w:rPr>
          <w:lang w:val="en-US"/>
        </w:rPr>
      </w:pPr>
    </w:p>
    <w:p w14:paraId="1CB632C1" w14:textId="66351BA0" w:rsidR="39DF1CE0" w:rsidRDefault="39DF1CE0" w:rsidP="39DF1CE0">
      <w:pPr>
        <w:rPr>
          <w:lang w:val="en-US"/>
        </w:rPr>
      </w:pPr>
    </w:p>
    <w:p w14:paraId="5F4F1BB9" w14:textId="59B5F0D7" w:rsidR="39DF1CE0" w:rsidRDefault="39DF1CE0" w:rsidP="39DF1CE0">
      <w:pPr>
        <w:rPr>
          <w:lang w:val="en-US"/>
        </w:rPr>
      </w:pPr>
    </w:p>
    <w:p w14:paraId="2165D59C" w14:textId="0B9BC740" w:rsidR="39DF1CE0" w:rsidRDefault="39DF1CE0" w:rsidP="39DF1CE0">
      <w:pPr>
        <w:rPr>
          <w:lang w:val="en-US"/>
        </w:rPr>
      </w:pPr>
    </w:p>
    <w:p w14:paraId="4239DCDA" w14:textId="7F572797" w:rsidR="39DF1CE0" w:rsidRDefault="39DF1CE0" w:rsidP="39DF1CE0">
      <w:pPr>
        <w:rPr>
          <w:lang w:val="en-US"/>
        </w:rPr>
      </w:pPr>
    </w:p>
    <w:p w14:paraId="4153E384" w14:textId="03D61AAD" w:rsidR="39DF1CE0" w:rsidRDefault="39DF1CE0" w:rsidP="39DF1CE0">
      <w:pPr>
        <w:rPr>
          <w:lang w:val="en-US"/>
        </w:rPr>
      </w:pPr>
    </w:p>
    <w:p w14:paraId="11208BD5" w14:textId="59A3C0D9" w:rsidR="39DF1CE0" w:rsidRDefault="39DF1CE0" w:rsidP="39DF1CE0">
      <w:pPr>
        <w:rPr>
          <w:lang w:val="en-US"/>
        </w:rPr>
      </w:pPr>
    </w:p>
    <w:p w14:paraId="78620CC3" w14:textId="0390779E" w:rsidR="5406F0B4" w:rsidRDefault="5406F0B4" w:rsidP="39DF1CE0">
      <w:pPr>
        <w:rPr>
          <w:noProof/>
        </w:rPr>
      </w:pPr>
    </w:p>
    <w:p w14:paraId="58498791" w14:textId="3094B84A" w:rsidR="004E7373" w:rsidRDefault="004E7373" w:rsidP="39DF1CE0">
      <w:pPr>
        <w:rPr>
          <w:noProof/>
        </w:rPr>
      </w:pPr>
      <w:r>
        <w:rPr>
          <w:noProof/>
        </w:rPr>
        <w:t xml:space="preserve">Figure 1. </w:t>
      </w:r>
      <w:r>
        <w:rPr>
          <w:rStyle w:val="normaltextrun"/>
          <w:color w:val="000000"/>
          <w:shd w:val="clear" w:color="auto" w:fill="FFFFFF"/>
        </w:rPr>
        <w:t>Proposed theoretical model.</w:t>
      </w:r>
    </w:p>
    <w:p w14:paraId="176BBE8E" w14:textId="72D8B097" w:rsidR="004E7373" w:rsidRDefault="004E7373" w:rsidP="39DF1CE0">
      <w:pPr>
        <w:rPr>
          <w:noProof/>
        </w:rPr>
      </w:pPr>
    </w:p>
    <w:p w14:paraId="7DFB72EF" w14:textId="018C27DF" w:rsidR="004E7373" w:rsidRDefault="004E7373" w:rsidP="39DF1CE0">
      <w:pPr>
        <w:rPr>
          <w:noProof/>
        </w:rPr>
      </w:pPr>
    </w:p>
    <w:p w14:paraId="78E253E6" w14:textId="426412D0" w:rsidR="004E7373" w:rsidRDefault="004E7373" w:rsidP="004E7373">
      <w:pPr>
        <w:jc w:val="center"/>
      </w:pPr>
      <w:r w:rsidRPr="004E7373">
        <w:rPr>
          <w:noProof/>
        </w:rPr>
        <w:drawing>
          <wp:inline distT="0" distB="0" distL="0" distR="0" wp14:anchorId="50E62DD8" wp14:editId="0D3283D4">
            <wp:extent cx="9071610" cy="5102781"/>
            <wp:effectExtent l="0" t="0" r="0" b="3175"/>
            <wp:docPr id="1" name="Immagine 1" descr="C:\Users\bottesi\Downloads\figure 1 re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tesi\Downloads\figure 1 rev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71610" cy="5102781"/>
                    </a:xfrm>
                    <a:prstGeom prst="rect">
                      <a:avLst/>
                    </a:prstGeom>
                    <a:noFill/>
                    <a:ln>
                      <a:noFill/>
                    </a:ln>
                  </pic:spPr>
                </pic:pic>
              </a:graphicData>
            </a:graphic>
          </wp:inline>
        </w:drawing>
      </w:r>
    </w:p>
    <w:p w14:paraId="143280DE" w14:textId="68CDBDE7" w:rsidR="004E7373" w:rsidRDefault="004E7373" w:rsidP="39DF1CE0"/>
    <w:p w14:paraId="37FB3FB4" w14:textId="655B8C25" w:rsidR="004E7373" w:rsidRDefault="004E7373" w:rsidP="39DF1CE0"/>
    <w:p w14:paraId="041C5BA9" w14:textId="6A2D2610" w:rsidR="004E7373" w:rsidRPr="004E7373" w:rsidRDefault="004E7373" w:rsidP="39DF1CE0">
      <w:pPr>
        <w:rPr>
          <w:lang w:val="en-US"/>
        </w:rPr>
      </w:pPr>
      <w:r w:rsidRPr="004E7373">
        <w:rPr>
          <w:lang w:val="en-US"/>
        </w:rPr>
        <w:t xml:space="preserve">Figure 2. </w:t>
      </w:r>
      <w:r w:rsidRPr="004E7373">
        <w:rPr>
          <w:rStyle w:val="normaltextrun"/>
          <w:color w:val="000000"/>
          <w:shd w:val="clear" w:color="auto" w:fill="FFFFFF"/>
          <w:lang w:val="en-US"/>
        </w:rPr>
        <w:t>Model of the inter-relationships between the study variables.</w:t>
      </w:r>
    </w:p>
    <w:p w14:paraId="6F5760C9" w14:textId="52CBD61A" w:rsidR="004E7373" w:rsidRPr="004E7373" w:rsidRDefault="004E7373" w:rsidP="39DF1CE0">
      <w:pPr>
        <w:rPr>
          <w:lang w:val="en-US"/>
        </w:rPr>
      </w:pPr>
    </w:p>
    <w:p w14:paraId="70E1762A" w14:textId="77777777" w:rsidR="004E7373" w:rsidRPr="004E7373" w:rsidRDefault="004E7373" w:rsidP="39DF1CE0">
      <w:pPr>
        <w:rPr>
          <w:lang w:val="en-US"/>
        </w:rPr>
      </w:pPr>
    </w:p>
    <w:p w14:paraId="426CABC5" w14:textId="508E71F0" w:rsidR="004E7373" w:rsidRPr="004E7373" w:rsidRDefault="004E7373" w:rsidP="39DF1CE0">
      <w:pPr>
        <w:rPr>
          <w:lang w:val="en-US"/>
        </w:rPr>
      </w:pPr>
    </w:p>
    <w:p w14:paraId="03B5D890" w14:textId="454516C1" w:rsidR="004E7373" w:rsidRDefault="004E7373" w:rsidP="004E7373">
      <w:pPr>
        <w:jc w:val="center"/>
      </w:pPr>
      <w:r w:rsidRPr="004E7373">
        <w:rPr>
          <w:noProof/>
        </w:rPr>
        <w:drawing>
          <wp:inline distT="0" distB="0" distL="0" distR="0" wp14:anchorId="5BE72B1D" wp14:editId="6C93E298">
            <wp:extent cx="9071610" cy="5102781"/>
            <wp:effectExtent l="0" t="0" r="0" b="3175"/>
            <wp:docPr id="2" name="Immagine 2" descr="C:\Users\bottesi\Downloads\figure 2 rev1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ttesi\Downloads\figure 2 rev1_bla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1610" cy="5102781"/>
                    </a:xfrm>
                    <a:prstGeom prst="rect">
                      <a:avLst/>
                    </a:prstGeom>
                    <a:noFill/>
                    <a:ln>
                      <a:noFill/>
                    </a:ln>
                  </pic:spPr>
                </pic:pic>
              </a:graphicData>
            </a:graphic>
          </wp:inline>
        </w:drawing>
      </w:r>
    </w:p>
    <w:sectPr w:rsidR="004E7373" w:rsidSect="003954F3">
      <w:pgSz w:w="16838" w:h="11906" w:orient="landscape"/>
      <w:pgMar w:top="1134" w:right="1418" w:bottom="1134" w:left="1134" w:header="720" w:footer="720"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85197" w14:textId="77777777" w:rsidR="00A61399" w:rsidRDefault="00A61399" w:rsidP="008911B0">
      <w:r>
        <w:separator/>
      </w:r>
    </w:p>
  </w:endnote>
  <w:endnote w:type="continuationSeparator" w:id="0">
    <w:p w14:paraId="1D82C3A6" w14:textId="77777777" w:rsidR="00A61399" w:rsidRDefault="00A61399" w:rsidP="0089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Malgun Gothic Semilight"/>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EAF1" w14:textId="1D04D810" w:rsidR="003B2F57" w:rsidRPr="00E906E9" w:rsidRDefault="003B2F57">
    <w:pPr>
      <w:pStyle w:val="Footer"/>
      <w:jc w:val="right"/>
      <w:rPr>
        <w:sz w:val="20"/>
        <w:szCs w:val="20"/>
      </w:rPr>
    </w:pPr>
    <w:r w:rsidRPr="00E906E9">
      <w:rPr>
        <w:sz w:val="20"/>
        <w:szCs w:val="20"/>
      </w:rPr>
      <w:fldChar w:fldCharType="begin"/>
    </w:r>
    <w:r w:rsidRPr="00E906E9">
      <w:rPr>
        <w:sz w:val="20"/>
        <w:szCs w:val="20"/>
      </w:rPr>
      <w:instrText>PAGE   \* MERGEFORMAT</w:instrText>
    </w:r>
    <w:r w:rsidRPr="00E906E9">
      <w:rPr>
        <w:sz w:val="20"/>
        <w:szCs w:val="20"/>
      </w:rPr>
      <w:fldChar w:fldCharType="separate"/>
    </w:r>
    <w:r w:rsidR="004E7373">
      <w:rPr>
        <w:noProof/>
        <w:sz w:val="20"/>
        <w:szCs w:val="20"/>
      </w:rPr>
      <w:t>33</w:t>
    </w:r>
    <w:r w:rsidRPr="00E906E9">
      <w:rPr>
        <w:sz w:val="20"/>
        <w:szCs w:val="20"/>
      </w:rPr>
      <w:fldChar w:fldCharType="end"/>
    </w:r>
  </w:p>
  <w:p w14:paraId="44E60E25" w14:textId="77777777" w:rsidR="003B2F57" w:rsidRDefault="003B2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48C9" w14:textId="77777777" w:rsidR="00A61399" w:rsidRDefault="00A61399" w:rsidP="008911B0">
      <w:r>
        <w:separator/>
      </w:r>
    </w:p>
  </w:footnote>
  <w:footnote w:type="continuationSeparator" w:id="0">
    <w:p w14:paraId="16FAAFF3" w14:textId="77777777" w:rsidR="00A61399" w:rsidRDefault="00A61399" w:rsidP="00891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DC3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25AFE"/>
    <w:multiLevelType w:val="hybridMultilevel"/>
    <w:tmpl w:val="ED5EF620"/>
    <w:lvl w:ilvl="0" w:tplc="D90089EC">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514260"/>
    <w:multiLevelType w:val="hybridMultilevel"/>
    <w:tmpl w:val="462A0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9D5177"/>
    <w:multiLevelType w:val="hybridMultilevel"/>
    <w:tmpl w:val="DA3CF210"/>
    <w:lvl w:ilvl="0" w:tplc="C346FD8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0313C3"/>
    <w:multiLevelType w:val="hybridMultilevel"/>
    <w:tmpl w:val="462A0E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E27A7F"/>
    <w:multiLevelType w:val="multilevel"/>
    <w:tmpl w:val="4A2E25C2"/>
    <w:lvl w:ilvl="0">
      <w:start w:val="1"/>
      <w:numFmt w:val="decimal"/>
      <w:lvlText w:val="%1."/>
      <w:lvlJc w:val="left"/>
      <w:pPr>
        <w:tabs>
          <w:tab w:val="num" w:pos="720"/>
        </w:tabs>
        <w:ind w:left="720" w:hanging="720"/>
      </w:pPr>
      <w:rPr>
        <w:rFonts w:hint="default"/>
        <w:b w:val="0"/>
        <w:i w:val="0"/>
        <w:iCs/>
      </w:rPr>
    </w:lvl>
    <w:lvl w:ilvl="1">
      <w:start w:val="1"/>
      <w:numFmt w:val="decimal"/>
      <w:lvlText w:val="%2."/>
      <w:lvlJc w:val="left"/>
      <w:pPr>
        <w:tabs>
          <w:tab w:val="num" w:pos="1146"/>
        </w:tabs>
        <w:ind w:left="1146"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1F"/>
    <w:rsid w:val="0000128D"/>
    <w:rsid w:val="000032E3"/>
    <w:rsid w:val="00004841"/>
    <w:rsid w:val="00005DA5"/>
    <w:rsid w:val="0001070C"/>
    <w:rsid w:val="00016937"/>
    <w:rsid w:val="00017442"/>
    <w:rsid w:val="000178D3"/>
    <w:rsid w:val="00022B33"/>
    <w:rsid w:val="00023B17"/>
    <w:rsid w:val="00024043"/>
    <w:rsid w:val="00024CA3"/>
    <w:rsid w:val="0002573C"/>
    <w:rsid w:val="000325EB"/>
    <w:rsid w:val="00032FC4"/>
    <w:rsid w:val="000332B2"/>
    <w:rsid w:val="000341E7"/>
    <w:rsid w:val="0003605E"/>
    <w:rsid w:val="00037902"/>
    <w:rsid w:val="000419B7"/>
    <w:rsid w:val="00042AFD"/>
    <w:rsid w:val="00044B9D"/>
    <w:rsid w:val="00045DDB"/>
    <w:rsid w:val="000464E8"/>
    <w:rsid w:val="00053C2B"/>
    <w:rsid w:val="00054B1B"/>
    <w:rsid w:val="00060783"/>
    <w:rsid w:val="000624EC"/>
    <w:rsid w:val="00065245"/>
    <w:rsid w:val="000662E4"/>
    <w:rsid w:val="000714B7"/>
    <w:rsid w:val="00071C9B"/>
    <w:rsid w:val="000726BC"/>
    <w:rsid w:val="0007370D"/>
    <w:rsid w:val="00073BFD"/>
    <w:rsid w:val="00074DCD"/>
    <w:rsid w:val="0007556F"/>
    <w:rsid w:val="00080335"/>
    <w:rsid w:val="00080E2D"/>
    <w:rsid w:val="00081A13"/>
    <w:rsid w:val="00082DA0"/>
    <w:rsid w:val="00082E15"/>
    <w:rsid w:val="00083827"/>
    <w:rsid w:val="00084939"/>
    <w:rsid w:val="00084CE8"/>
    <w:rsid w:val="00091368"/>
    <w:rsid w:val="0009146B"/>
    <w:rsid w:val="00092634"/>
    <w:rsid w:val="00093FA3"/>
    <w:rsid w:val="00096683"/>
    <w:rsid w:val="00096847"/>
    <w:rsid w:val="000A2026"/>
    <w:rsid w:val="000A46FB"/>
    <w:rsid w:val="000A4C70"/>
    <w:rsid w:val="000B282D"/>
    <w:rsid w:val="000B420A"/>
    <w:rsid w:val="000B5280"/>
    <w:rsid w:val="000B549E"/>
    <w:rsid w:val="000C1FF5"/>
    <w:rsid w:val="000C23D0"/>
    <w:rsid w:val="000C53CB"/>
    <w:rsid w:val="000C7FC2"/>
    <w:rsid w:val="000D4866"/>
    <w:rsid w:val="000D4DA5"/>
    <w:rsid w:val="000D4FA7"/>
    <w:rsid w:val="000D5DCC"/>
    <w:rsid w:val="000D66DB"/>
    <w:rsid w:val="000D7B70"/>
    <w:rsid w:val="000E1E3B"/>
    <w:rsid w:val="000E2E00"/>
    <w:rsid w:val="000E3E26"/>
    <w:rsid w:val="000E5250"/>
    <w:rsid w:val="000E6139"/>
    <w:rsid w:val="000E6981"/>
    <w:rsid w:val="000F16BE"/>
    <w:rsid w:val="000F34B1"/>
    <w:rsid w:val="000F3611"/>
    <w:rsid w:val="000F5E29"/>
    <w:rsid w:val="000F7723"/>
    <w:rsid w:val="001010DC"/>
    <w:rsid w:val="00101A55"/>
    <w:rsid w:val="001064EC"/>
    <w:rsid w:val="00107AA9"/>
    <w:rsid w:val="00110CF7"/>
    <w:rsid w:val="00111B15"/>
    <w:rsid w:val="00112769"/>
    <w:rsid w:val="001146CC"/>
    <w:rsid w:val="0011523D"/>
    <w:rsid w:val="00115BAB"/>
    <w:rsid w:val="001200B6"/>
    <w:rsid w:val="0012017C"/>
    <w:rsid w:val="0012058F"/>
    <w:rsid w:val="001272AD"/>
    <w:rsid w:val="00131269"/>
    <w:rsid w:val="00131C4E"/>
    <w:rsid w:val="0013387C"/>
    <w:rsid w:val="001359EA"/>
    <w:rsid w:val="00140B7E"/>
    <w:rsid w:val="00140D79"/>
    <w:rsid w:val="00141FA5"/>
    <w:rsid w:val="001425D1"/>
    <w:rsid w:val="0014287F"/>
    <w:rsid w:val="00142FDF"/>
    <w:rsid w:val="00142FE0"/>
    <w:rsid w:val="0014351F"/>
    <w:rsid w:val="00144C14"/>
    <w:rsid w:val="00145A97"/>
    <w:rsid w:val="00146289"/>
    <w:rsid w:val="0015257A"/>
    <w:rsid w:val="001530B6"/>
    <w:rsid w:val="0015341A"/>
    <w:rsid w:val="0015502F"/>
    <w:rsid w:val="00160B93"/>
    <w:rsid w:val="001617DE"/>
    <w:rsid w:val="00162B89"/>
    <w:rsid w:val="0016430F"/>
    <w:rsid w:val="001659AC"/>
    <w:rsid w:val="00167A1F"/>
    <w:rsid w:val="00170C9B"/>
    <w:rsid w:val="00170CFC"/>
    <w:rsid w:val="001724AE"/>
    <w:rsid w:val="0017314B"/>
    <w:rsid w:val="0017360A"/>
    <w:rsid w:val="00173B94"/>
    <w:rsid w:val="00175617"/>
    <w:rsid w:val="00175749"/>
    <w:rsid w:val="0017605B"/>
    <w:rsid w:val="0017736F"/>
    <w:rsid w:val="0018223C"/>
    <w:rsid w:val="00184335"/>
    <w:rsid w:val="00187DAF"/>
    <w:rsid w:val="001909E1"/>
    <w:rsid w:val="0019174C"/>
    <w:rsid w:val="00193934"/>
    <w:rsid w:val="00197FA8"/>
    <w:rsid w:val="001A0C5F"/>
    <w:rsid w:val="001A25F4"/>
    <w:rsid w:val="001B09AB"/>
    <w:rsid w:val="001B2213"/>
    <w:rsid w:val="001B2241"/>
    <w:rsid w:val="001B2B12"/>
    <w:rsid w:val="001B3682"/>
    <w:rsid w:val="001B62C8"/>
    <w:rsid w:val="001C3C97"/>
    <w:rsid w:val="001C3FA0"/>
    <w:rsid w:val="001C45CA"/>
    <w:rsid w:val="001C4B12"/>
    <w:rsid w:val="001C587D"/>
    <w:rsid w:val="001C5CBB"/>
    <w:rsid w:val="001C6D59"/>
    <w:rsid w:val="001C7B28"/>
    <w:rsid w:val="001D0560"/>
    <w:rsid w:val="001D205C"/>
    <w:rsid w:val="001D20B7"/>
    <w:rsid w:val="001D2C1A"/>
    <w:rsid w:val="001D2CE9"/>
    <w:rsid w:val="001D3863"/>
    <w:rsid w:val="001D51F3"/>
    <w:rsid w:val="001D5521"/>
    <w:rsid w:val="001D70A7"/>
    <w:rsid w:val="001E10AB"/>
    <w:rsid w:val="001E1163"/>
    <w:rsid w:val="001E1C68"/>
    <w:rsid w:val="001E6CC4"/>
    <w:rsid w:val="001F2588"/>
    <w:rsid w:val="001F48D0"/>
    <w:rsid w:val="001F6F56"/>
    <w:rsid w:val="002008F8"/>
    <w:rsid w:val="00201A0B"/>
    <w:rsid w:val="00202D36"/>
    <w:rsid w:val="0020313B"/>
    <w:rsid w:val="00206C6A"/>
    <w:rsid w:val="00207203"/>
    <w:rsid w:val="00207E4A"/>
    <w:rsid w:val="002101FF"/>
    <w:rsid w:val="002104FA"/>
    <w:rsid w:val="00210574"/>
    <w:rsid w:val="00210A24"/>
    <w:rsid w:val="00211385"/>
    <w:rsid w:val="00212C37"/>
    <w:rsid w:val="0021340A"/>
    <w:rsid w:val="002134D4"/>
    <w:rsid w:val="00213B4A"/>
    <w:rsid w:val="00214EC0"/>
    <w:rsid w:val="0021647D"/>
    <w:rsid w:val="00221ADC"/>
    <w:rsid w:val="0022209F"/>
    <w:rsid w:val="00223DB4"/>
    <w:rsid w:val="0022694E"/>
    <w:rsid w:val="00231627"/>
    <w:rsid w:val="002358AD"/>
    <w:rsid w:val="00241961"/>
    <w:rsid w:val="00241CDF"/>
    <w:rsid w:val="00244BB1"/>
    <w:rsid w:val="002467EE"/>
    <w:rsid w:val="00246CD8"/>
    <w:rsid w:val="00247D77"/>
    <w:rsid w:val="00250B1E"/>
    <w:rsid w:val="00251D23"/>
    <w:rsid w:val="00253F07"/>
    <w:rsid w:val="0025401C"/>
    <w:rsid w:val="00256E36"/>
    <w:rsid w:val="002607C1"/>
    <w:rsid w:val="00262124"/>
    <w:rsid w:val="00262BE0"/>
    <w:rsid w:val="00263254"/>
    <w:rsid w:val="00265D9F"/>
    <w:rsid w:val="00266185"/>
    <w:rsid w:val="00267750"/>
    <w:rsid w:val="00267F5E"/>
    <w:rsid w:val="00271303"/>
    <w:rsid w:val="0027144D"/>
    <w:rsid w:val="0027732B"/>
    <w:rsid w:val="0027749A"/>
    <w:rsid w:val="00281340"/>
    <w:rsid w:val="002838AB"/>
    <w:rsid w:val="00284FA0"/>
    <w:rsid w:val="00285835"/>
    <w:rsid w:val="00286AB2"/>
    <w:rsid w:val="00290B36"/>
    <w:rsid w:val="002913F8"/>
    <w:rsid w:val="00292BB0"/>
    <w:rsid w:val="002935AE"/>
    <w:rsid w:val="00295CCB"/>
    <w:rsid w:val="002A04FA"/>
    <w:rsid w:val="002A070C"/>
    <w:rsid w:val="002A0CD3"/>
    <w:rsid w:val="002A3E36"/>
    <w:rsid w:val="002A4FB0"/>
    <w:rsid w:val="002A60F9"/>
    <w:rsid w:val="002A64FD"/>
    <w:rsid w:val="002A7BB9"/>
    <w:rsid w:val="002C0F9C"/>
    <w:rsid w:val="002C1DF5"/>
    <w:rsid w:val="002C46E1"/>
    <w:rsid w:val="002C53FC"/>
    <w:rsid w:val="002C563D"/>
    <w:rsid w:val="002C6EE9"/>
    <w:rsid w:val="002C702D"/>
    <w:rsid w:val="002C7D07"/>
    <w:rsid w:val="002D0BAA"/>
    <w:rsid w:val="002D1EA5"/>
    <w:rsid w:val="002D2AFF"/>
    <w:rsid w:val="002D39F3"/>
    <w:rsid w:val="002D3B9B"/>
    <w:rsid w:val="002D49E6"/>
    <w:rsid w:val="002D4EA5"/>
    <w:rsid w:val="002D53DB"/>
    <w:rsid w:val="002D5486"/>
    <w:rsid w:val="002E013C"/>
    <w:rsid w:val="002E0213"/>
    <w:rsid w:val="002E0624"/>
    <w:rsid w:val="002E30B0"/>
    <w:rsid w:val="002E3EF3"/>
    <w:rsid w:val="002E57AB"/>
    <w:rsid w:val="002E6541"/>
    <w:rsid w:val="002E68CB"/>
    <w:rsid w:val="002E6BB9"/>
    <w:rsid w:val="002E7785"/>
    <w:rsid w:val="002F1515"/>
    <w:rsid w:val="002F2050"/>
    <w:rsid w:val="002F2397"/>
    <w:rsid w:val="002F3AD6"/>
    <w:rsid w:val="002F51E7"/>
    <w:rsid w:val="002F66B0"/>
    <w:rsid w:val="00301045"/>
    <w:rsid w:val="00301A29"/>
    <w:rsid w:val="00301F87"/>
    <w:rsid w:val="003034A4"/>
    <w:rsid w:val="00305778"/>
    <w:rsid w:val="00306261"/>
    <w:rsid w:val="00307907"/>
    <w:rsid w:val="00310F82"/>
    <w:rsid w:val="0031229C"/>
    <w:rsid w:val="00312401"/>
    <w:rsid w:val="00312A45"/>
    <w:rsid w:val="00312A8E"/>
    <w:rsid w:val="003132EB"/>
    <w:rsid w:val="00314DB8"/>
    <w:rsid w:val="003155E6"/>
    <w:rsid w:val="00316F2D"/>
    <w:rsid w:val="003271F1"/>
    <w:rsid w:val="00330BE3"/>
    <w:rsid w:val="00330DCF"/>
    <w:rsid w:val="00335725"/>
    <w:rsid w:val="00336127"/>
    <w:rsid w:val="0033701C"/>
    <w:rsid w:val="00346D37"/>
    <w:rsid w:val="00347036"/>
    <w:rsid w:val="00350041"/>
    <w:rsid w:val="0035382A"/>
    <w:rsid w:val="0035444D"/>
    <w:rsid w:val="00356FF1"/>
    <w:rsid w:val="00357073"/>
    <w:rsid w:val="003571DA"/>
    <w:rsid w:val="00357E76"/>
    <w:rsid w:val="003626ED"/>
    <w:rsid w:val="00365140"/>
    <w:rsid w:val="00365BF4"/>
    <w:rsid w:val="00365ED2"/>
    <w:rsid w:val="003668CD"/>
    <w:rsid w:val="00373197"/>
    <w:rsid w:val="0037447D"/>
    <w:rsid w:val="00374667"/>
    <w:rsid w:val="00374BA7"/>
    <w:rsid w:val="00374EC5"/>
    <w:rsid w:val="003765FC"/>
    <w:rsid w:val="003772DE"/>
    <w:rsid w:val="00377E9A"/>
    <w:rsid w:val="00381B2A"/>
    <w:rsid w:val="00382ACD"/>
    <w:rsid w:val="003850CC"/>
    <w:rsid w:val="003850F2"/>
    <w:rsid w:val="0038542C"/>
    <w:rsid w:val="00386AAF"/>
    <w:rsid w:val="00390787"/>
    <w:rsid w:val="00393481"/>
    <w:rsid w:val="003954BB"/>
    <w:rsid w:val="003954F3"/>
    <w:rsid w:val="00396965"/>
    <w:rsid w:val="00396CE0"/>
    <w:rsid w:val="003A03DE"/>
    <w:rsid w:val="003A0418"/>
    <w:rsid w:val="003A04FF"/>
    <w:rsid w:val="003B0993"/>
    <w:rsid w:val="003B0AC5"/>
    <w:rsid w:val="003B2F57"/>
    <w:rsid w:val="003B4122"/>
    <w:rsid w:val="003B5A62"/>
    <w:rsid w:val="003B6A0D"/>
    <w:rsid w:val="003B6D73"/>
    <w:rsid w:val="003B70B3"/>
    <w:rsid w:val="003B733F"/>
    <w:rsid w:val="003C1DE9"/>
    <w:rsid w:val="003C5665"/>
    <w:rsid w:val="003C5926"/>
    <w:rsid w:val="003C6499"/>
    <w:rsid w:val="003C70DD"/>
    <w:rsid w:val="003D126D"/>
    <w:rsid w:val="003D4195"/>
    <w:rsid w:val="003D77B9"/>
    <w:rsid w:val="003D7A14"/>
    <w:rsid w:val="003E48EC"/>
    <w:rsid w:val="003E7DC6"/>
    <w:rsid w:val="003F0771"/>
    <w:rsid w:val="003F12CC"/>
    <w:rsid w:val="003F2892"/>
    <w:rsid w:val="003F490D"/>
    <w:rsid w:val="003F5E09"/>
    <w:rsid w:val="00400162"/>
    <w:rsid w:val="004031F9"/>
    <w:rsid w:val="00406D24"/>
    <w:rsid w:val="00412487"/>
    <w:rsid w:val="0041660D"/>
    <w:rsid w:val="004166F1"/>
    <w:rsid w:val="00416840"/>
    <w:rsid w:val="004168E1"/>
    <w:rsid w:val="00417B76"/>
    <w:rsid w:val="004204FF"/>
    <w:rsid w:val="00420F50"/>
    <w:rsid w:val="00423493"/>
    <w:rsid w:val="00425A82"/>
    <w:rsid w:val="004269C2"/>
    <w:rsid w:val="004321FC"/>
    <w:rsid w:val="0043238F"/>
    <w:rsid w:val="00434423"/>
    <w:rsid w:val="0043471F"/>
    <w:rsid w:val="00434772"/>
    <w:rsid w:val="00434C0E"/>
    <w:rsid w:val="00434D95"/>
    <w:rsid w:val="00434E15"/>
    <w:rsid w:val="00434FFB"/>
    <w:rsid w:val="00436BD3"/>
    <w:rsid w:val="004404E0"/>
    <w:rsid w:val="00441945"/>
    <w:rsid w:val="004425F1"/>
    <w:rsid w:val="00442D91"/>
    <w:rsid w:val="004431AA"/>
    <w:rsid w:val="0044630B"/>
    <w:rsid w:val="00446693"/>
    <w:rsid w:val="00446B17"/>
    <w:rsid w:val="00447415"/>
    <w:rsid w:val="0045192A"/>
    <w:rsid w:val="004529D6"/>
    <w:rsid w:val="00453319"/>
    <w:rsid w:val="00455E19"/>
    <w:rsid w:val="0045662F"/>
    <w:rsid w:val="00456C32"/>
    <w:rsid w:val="00460E79"/>
    <w:rsid w:val="00461373"/>
    <w:rsid w:val="00464036"/>
    <w:rsid w:val="0046462F"/>
    <w:rsid w:val="00466936"/>
    <w:rsid w:val="0047086E"/>
    <w:rsid w:val="00471950"/>
    <w:rsid w:val="0047470A"/>
    <w:rsid w:val="00475D7A"/>
    <w:rsid w:val="00476B8F"/>
    <w:rsid w:val="0048013C"/>
    <w:rsid w:val="00481191"/>
    <w:rsid w:val="004813C9"/>
    <w:rsid w:val="00484B4C"/>
    <w:rsid w:val="004855B8"/>
    <w:rsid w:val="00485ED8"/>
    <w:rsid w:val="00487CB8"/>
    <w:rsid w:val="0049045C"/>
    <w:rsid w:val="00490657"/>
    <w:rsid w:val="004911CF"/>
    <w:rsid w:val="0049127D"/>
    <w:rsid w:val="00492A55"/>
    <w:rsid w:val="004933AD"/>
    <w:rsid w:val="004964EE"/>
    <w:rsid w:val="004A3138"/>
    <w:rsid w:val="004A5A31"/>
    <w:rsid w:val="004A6280"/>
    <w:rsid w:val="004A6949"/>
    <w:rsid w:val="004B2158"/>
    <w:rsid w:val="004B2729"/>
    <w:rsid w:val="004B3079"/>
    <w:rsid w:val="004B35B0"/>
    <w:rsid w:val="004B3EA9"/>
    <w:rsid w:val="004B3EEC"/>
    <w:rsid w:val="004B570D"/>
    <w:rsid w:val="004B722F"/>
    <w:rsid w:val="004C1D20"/>
    <w:rsid w:val="004C20FB"/>
    <w:rsid w:val="004C23B7"/>
    <w:rsid w:val="004C24E3"/>
    <w:rsid w:val="004C3CCC"/>
    <w:rsid w:val="004C7458"/>
    <w:rsid w:val="004C7DF4"/>
    <w:rsid w:val="004C7EE7"/>
    <w:rsid w:val="004C7FEF"/>
    <w:rsid w:val="004D1D69"/>
    <w:rsid w:val="004D208A"/>
    <w:rsid w:val="004D211F"/>
    <w:rsid w:val="004D254E"/>
    <w:rsid w:val="004D402B"/>
    <w:rsid w:val="004D5574"/>
    <w:rsid w:val="004D744B"/>
    <w:rsid w:val="004D7505"/>
    <w:rsid w:val="004E0842"/>
    <w:rsid w:val="004E09E2"/>
    <w:rsid w:val="004E2B94"/>
    <w:rsid w:val="004E3998"/>
    <w:rsid w:val="004E3FF7"/>
    <w:rsid w:val="004E6964"/>
    <w:rsid w:val="004E7373"/>
    <w:rsid w:val="004F192B"/>
    <w:rsid w:val="004F3FA7"/>
    <w:rsid w:val="004F5DA4"/>
    <w:rsid w:val="0050169C"/>
    <w:rsid w:val="00502EB5"/>
    <w:rsid w:val="00503236"/>
    <w:rsid w:val="00504C31"/>
    <w:rsid w:val="00505AF7"/>
    <w:rsid w:val="00505CAE"/>
    <w:rsid w:val="00505FAA"/>
    <w:rsid w:val="005118F1"/>
    <w:rsid w:val="005137D2"/>
    <w:rsid w:val="005154D4"/>
    <w:rsid w:val="00515E02"/>
    <w:rsid w:val="0051640C"/>
    <w:rsid w:val="00516C1A"/>
    <w:rsid w:val="00516F16"/>
    <w:rsid w:val="005176D8"/>
    <w:rsid w:val="00522A4D"/>
    <w:rsid w:val="00524B98"/>
    <w:rsid w:val="00525122"/>
    <w:rsid w:val="00526B49"/>
    <w:rsid w:val="00527638"/>
    <w:rsid w:val="00527DE7"/>
    <w:rsid w:val="0053079E"/>
    <w:rsid w:val="00533119"/>
    <w:rsid w:val="0053584D"/>
    <w:rsid w:val="00537BE0"/>
    <w:rsid w:val="00537EFC"/>
    <w:rsid w:val="005437EC"/>
    <w:rsid w:val="00547AE0"/>
    <w:rsid w:val="0055071E"/>
    <w:rsid w:val="00550A16"/>
    <w:rsid w:val="00553624"/>
    <w:rsid w:val="00553916"/>
    <w:rsid w:val="00561C07"/>
    <w:rsid w:val="00563FD5"/>
    <w:rsid w:val="0056553F"/>
    <w:rsid w:val="0056575F"/>
    <w:rsid w:val="00565A04"/>
    <w:rsid w:val="005667D0"/>
    <w:rsid w:val="0057316F"/>
    <w:rsid w:val="005731F8"/>
    <w:rsid w:val="00574FD5"/>
    <w:rsid w:val="00576481"/>
    <w:rsid w:val="005777AD"/>
    <w:rsid w:val="00577ADA"/>
    <w:rsid w:val="005811EC"/>
    <w:rsid w:val="005834E1"/>
    <w:rsid w:val="00584FD3"/>
    <w:rsid w:val="0058520C"/>
    <w:rsid w:val="00586C2B"/>
    <w:rsid w:val="0058727C"/>
    <w:rsid w:val="00587427"/>
    <w:rsid w:val="00592B00"/>
    <w:rsid w:val="00593B44"/>
    <w:rsid w:val="005A0AE2"/>
    <w:rsid w:val="005A0B0B"/>
    <w:rsid w:val="005A2488"/>
    <w:rsid w:val="005A68E1"/>
    <w:rsid w:val="005A7051"/>
    <w:rsid w:val="005A7349"/>
    <w:rsid w:val="005A7AD9"/>
    <w:rsid w:val="005B0926"/>
    <w:rsid w:val="005B43DC"/>
    <w:rsid w:val="005B455D"/>
    <w:rsid w:val="005B4672"/>
    <w:rsid w:val="005B4D19"/>
    <w:rsid w:val="005C4B14"/>
    <w:rsid w:val="005C5538"/>
    <w:rsid w:val="005C5A43"/>
    <w:rsid w:val="005C7236"/>
    <w:rsid w:val="005C7662"/>
    <w:rsid w:val="005C7842"/>
    <w:rsid w:val="005C7C4A"/>
    <w:rsid w:val="005D0729"/>
    <w:rsid w:val="005D521F"/>
    <w:rsid w:val="005E09AD"/>
    <w:rsid w:val="005E2D5A"/>
    <w:rsid w:val="005E2E9A"/>
    <w:rsid w:val="005E3496"/>
    <w:rsid w:val="005E3CE4"/>
    <w:rsid w:val="005E7124"/>
    <w:rsid w:val="005F06E6"/>
    <w:rsid w:val="005F0A37"/>
    <w:rsid w:val="005F1307"/>
    <w:rsid w:val="005F5623"/>
    <w:rsid w:val="006014BF"/>
    <w:rsid w:val="00602891"/>
    <w:rsid w:val="006038F0"/>
    <w:rsid w:val="00606AF7"/>
    <w:rsid w:val="00610292"/>
    <w:rsid w:val="00610CC7"/>
    <w:rsid w:val="00610DDE"/>
    <w:rsid w:val="00612E21"/>
    <w:rsid w:val="0061774E"/>
    <w:rsid w:val="006205A3"/>
    <w:rsid w:val="00620935"/>
    <w:rsid w:val="0062107F"/>
    <w:rsid w:val="0062139B"/>
    <w:rsid w:val="00623C6B"/>
    <w:rsid w:val="00625CBB"/>
    <w:rsid w:val="006266DA"/>
    <w:rsid w:val="00626D04"/>
    <w:rsid w:val="006308FB"/>
    <w:rsid w:val="006338CB"/>
    <w:rsid w:val="00633C06"/>
    <w:rsid w:val="00633D18"/>
    <w:rsid w:val="006353CA"/>
    <w:rsid w:val="006367F6"/>
    <w:rsid w:val="00637BCF"/>
    <w:rsid w:val="0064409F"/>
    <w:rsid w:val="0064745E"/>
    <w:rsid w:val="00647D0D"/>
    <w:rsid w:val="0065290C"/>
    <w:rsid w:val="006540A4"/>
    <w:rsid w:val="00657581"/>
    <w:rsid w:val="006624AC"/>
    <w:rsid w:val="00667F1B"/>
    <w:rsid w:val="00670367"/>
    <w:rsid w:val="00671473"/>
    <w:rsid w:val="00674190"/>
    <w:rsid w:val="00674D5D"/>
    <w:rsid w:val="00676F2B"/>
    <w:rsid w:val="006822CF"/>
    <w:rsid w:val="006831E5"/>
    <w:rsid w:val="00687C25"/>
    <w:rsid w:val="006913F2"/>
    <w:rsid w:val="00693131"/>
    <w:rsid w:val="00694665"/>
    <w:rsid w:val="006964C4"/>
    <w:rsid w:val="00696CF4"/>
    <w:rsid w:val="00696F71"/>
    <w:rsid w:val="006A02AB"/>
    <w:rsid w:val="006A0BD2"/>
    <w:rsid w:val="006A4B83"/>
    <w:rsid w:val="006A4BCB"/>
    <w:rsid w:val="006A4C01"/>
    <w:rsid w:val="006A4D5D"/>
    <w:rsid w:val="006A6359"/>
    <w:rsid w:val="006A792E"/>
    <w:rsid w:val="006B0719"/>
    <w:rsid w:val="006B176C"/>
    <w:rsid w:val="006B25D2"/>
    <w:rsid w:val="006B513B"/>
    <w:rsid w:val="006B53E9"/>
    <w:rsid w:val="006B55A2"/>
    <w:rsid w:val="006B75BD"/>
    <w:rsid w:val="006B7CCA"/>
    <w:rsid w:val="006C0D69"/>
    <w:rsid w:val="006C3803"/>
    <w:rsid w:val="006C46E0"/>
    <w:rsid w:val="006C5F4A"/>
    <w:rsid w:val="006C5F59"/>
    <w:rsid w:val="006C6F33"/>
    <w:rsid w:val="006C7B5B"/>
    <w:rsid w:val="006D021F"/>
    <w:rsid w:val="006D27B2"/>
    <w:rsid w:val="006D317E"/>
    <w:rsid w:val="006D3816"/>
    <w:rsid w:val="006E083D"/>
    <w:rsid w:val="006E0C85"/>
    <w:rsid w:val="006E2553"/>
    <w:rsid w:val="006E467E"/>
    <w:rsid w:val="006E4863"/>
    <w:rsid w:val="006E5F4B"/>
    <w:rsid w:val="006E639D"/>
    <w:rsid w:val="006E6F6F"/>
    <w:rsid w:val="006F3DEF"/>
    <w:rsid w:val="006F3FA9"/>
    <w:rsid w:val="006F42B2"/>
    <w:rsid w:val="006F53F7"/>
    <w:rsid w:val="006F76DA"/>
    <w:rsid w:val="006F7F63"/>
    <w:rsid w:val="00700D07"/>
    <w:rsid w:val="0070466B"/>
    <w:rsid w:val="00705674"/>
    <w:rsid w:val="00705BEC"/>
    <w:rsid w:val="0070658D"/>
    <w:rsid w:val="00713335"/>
    <w:rsid w:val="00715B4D"/>
    <w:rsid w:val="007165EF"/>
    <w:rsid w:val="00717554"/>
    <w:rsid w:val="00724480"/>
    <w:rsid w:val="007300F9"/>
    <w:rsid w:val="0073045C"/>
    <w:rsid w:val="00730A7E"/>
    <w:rsid w:val="00737834"/>
    <w:rsid w:val="0074165A"/>
    <w:rsid w:val="00742377"/>
    <w:rsid w:val="007433EB"/>
    <w:rsid w:val="007440D1"/>
    <w:rsid w:val="00745448"/>
    <w:rsid w:val="007456F9"/>
    <w:rsid w:val="007476E8"/>
    <w:rsid w:val="0075017D"/>
    <w:rsid w:val="0075109F"/>
    <w:rsid w:val="007528E3"/>
    <w:rsid w:val="00754BF5"/>
    <w:rsid w:val="00761EFA"/>
    <w:rsid w:val="00763A1F"/>
    <w:rsid w:val="00763B14"/>
    <w:rsid w:val="00767932"/>
    <w:rsid w:val="00770003"/>
    <w:rsid w:val="00774D7D"/>
    <w:rsid w:val="007766FC"/>
    <w:rsid w:val="00780140"/>
    <w:rsid w:val="00781C82"/>
    <w:rsid w:val="00783C0A"/>
    <w:rsid w:val="00783D28"/>
    <w:rsid w:val="00786345"/>
    <w:rsid w:val="00786CD4"/>
    <w:rsid w:val="00791355"/>
    <w:rsid w:val="00791954"/>
    <w:rsid w:val="0079237A"/>
    <w:rsid w:val="007928B6"/>
    <w:rsid w:val="00792BBD"/>
    <w:rsid w:val="00793960"/>
    <w:rsid w:val="00794CA1"/>
    <w:rsid w:val="00795DBA"/>
    <w:rsid w:val="0079731B"/>
    <w:rsid w:val="007A1DB6"/>
    <w:rsid w:val="007B05A9"/>
    <w:rsid w:val="007B1B63"/>
    <w:rsid w:val="007B30B2"/>
    <w:rsid w:val="007B32FF"/>
    <w:rsid w:val="007B6755"/>
    <w:rsid w:val="007B67CB"/>
    <w:rsid w:val="007C29CA"/>
    <w:rsid w:val="007C2A91"/>
    <w:rsid w:val="007C4150"/>
    <w:rsid w:val="007C5A41"/>
    <w:rsid w:val="007C7AC8"/>
    <w:rsid w:val="007D37BE"/>
    <w:rsid w:val="007D38A4"/>
    <w:rsid w:val="007D49DF"/>
    <w:rsid w:val="007D66DC"/>
    <w:rsid w:val="007D6C3E"/>
    <w:rsid w:val="007E5038"/>
    <w:rsid w:val="007E6726"/>
    <w:rsid w:val="007E6B1A"/>
    <w:rsid w:val="007E6ECD"/>
    <w:rsid w:val="007F2000"/>
    <w:rsid w:val="007F27FC"/>
    <w:rsid w:val="007F42E6"/>
    <w:rsid w:val="007F5F88"/>
    <w:rsid w:val="007F628E"/>
    <w:rsid w:val="00803146"/>
    <w:rsid w:val="00805666"/>
    <w:rsid w:val="00810762"/>
    <w:rsid w:val="00811381"/>
    <w:rsid w:val="00811B3D"/>
    <w:rsid w:val="008130EA"/>
    <w:rsid w:val="008140EC"/>
    <w:rsid w:val="00821C17"/>
    <w:rsid w:val="00822A23"/>
    <w:rsid w:val="00823F22"/>
    <w:rsid w:val="008250A6"/>
    <w:rsid w:val="00826F2B"/>
    <w:rsid w:val="0083158E"/>
    <w:rsid w:val="00831EBC"/>
    <w:rsid w:val="00833D75"/>
    <w:rsid w:val="0084089D"/>
    <w:rsid w:val="008433C3"/>
    <w:rsid w:val="008443EF"/>
    <w:rsid w:val="00852846"/>
    <w:rsid w:val="008539C5"/>
    <w:rsid w:val="00854F82"/>
    <w:rsid w:val="008552A5"/>
    <w:rsid w:val="00855445"/>
    <w:rsid w:val="00855856"/>
    <w:rsid w:val="008570AC"/>
    <w:rsid w:val="0086450B"/>
    <w:rsid w:val="00864DB5"/>
    <w:rsid w:val="00865F5C"/>
    <w:rsid w:val="00866188"/>
    <w:rsid w:val="00866703"/>
    <w:rsid w:val="00870E52"/>
    <w:rsid w:val="008715FA"/>
    <w:rsid w:val="00871642"/>
    <w:rsid w:val="0087508A"/>
    <w:rsid w:val="00876179"/>
    <w:rsid w:val="008831C6"/>
    <w:rsid w:val="00884329"/>
    <w:rsid w:val="00885D42"/>
    <w:rsid w:val="008911B0"/>
    <w:rsid w:val="0089191B"/>
    <w:rsid w:val="00891D63"/>
    <w:rsid w:val="00892338"/>
    <w:rsid w:val="0089250F"/>
    <w:rsid w:val="008953E0"/>
    <w:rsid w:val="008963C5"/>
    <w:rsid w:val="008977DB"/>
    <w:rsid w:val="00897855"/>
    <w:rsid w:val="008A0426"/>
    <w:rsid w:val="008A2CD2"/>
    <w:rsid w:val="008A2FE7"/>
    <w:rsid w:val="008A4BC4"/>
    <w:rsid w:val="008B1960"/>
    <w:rsid w:val="008B4479"/>
    <w:rsid w:val="008B7C1F"/>
    <w:rsid w:val="008C087F"/>
    <w:rsid w:val="008C0E23"/>
    <w:rsid w:val="008C21ED"/>
    <w:rsid w:val="008C256A"/>
    <w:rsid w:val="008C49B0"/>
    <w:rsid w:val="008C60E0"/>
    <w:rsid w:val="008C6D1E"/>
    <w:rsid w:val="008C6E12"/>
    <w:rsid w:val="008D1731"/>
    <w:rsid w:val="008D2AB8"/>
    <w:rsid w:val="008D2B33"/>
    <w:rsid w:val="008D2B6F"/>
    <w:rsid w:val="008D3AA6"/>
    <w:rsid w:val="008E7B81"/>
    <w:rsid w:val="008F6B45"/>
    <w:rsid w:val="008F6BB2"/>
    <w:rsid w:val="00900108"/>
    <w:rsid w:val="00900C20"/>
    <w:rsid w:val="00902AD6"/>
    <w:rsid w:val="00903264"/>
    <w:rsid w:val="0090768B"/>
    <w:rsid w:val="009138AE"/>
    <w:rsid w:val="0091674F"/>
    <w:rsid w:val="0091780F"/>
    <w:rsid w:val="00917C3C"/>
    <w:rsid w:val="00920443"/>
    <w:rsid w:val="00920BDB"/>
    <w:rsid w:val="009218C5"/>
    <w:rsid w:val="0092796F"/>
    <w:rsid w:val="00927E3F"/>
    <w:rsid w:val="00932787"/>
    <w:rsid w:val="009363A0"/>
    <w:rsid w:val="00942724"/>
    <w:rsid w:val="0094709F"/>
    <w:rsid w:val="0095349D"/>
    <w:rsid w:val="00953A34"/>
    <w:rsid w:val="009546B9"/>
    <w:rsid w:val="00954BD3"/>
    <w:rsid w:val="00955C55"/>
    <w:rsid w:val="00956D14"/>
    <w:rsid w:val="009574DD"/>
    <w:rsid w:val="00960C2C"/>
    <w:rsid w:val="00960F5C"/>
    <w:rsid w:val="00961253"/>
    <w:rsid w:val="009639E9"/>
    <w:rsid w:val="009649ED"/>
    <w:rsid w:val="00964A9B"/>
    <w:rsid w:val="0096626A"/>
    <w:rsid w:val="00966E7F"/>
    <w:rsid w:val="00970C3A"/>
    <w:rsid w:val="00976F2C"/>
    <w:rsid w:val="00983E2F"/>
    <w:rsid w:val="00984889"/>
    <w:rsid w:val="00986FCE"/>
    <w:rsid w:val="009876A0"/>
    <w:rsid w:val="00990C21"/>
    <w:rsid w:val="00994D5A"/>
    <w:rsid w:val="009A093F"/>
    <w:rsid w:val="009A0DAC"/>
    <w:rsid w:val="009A13A9"/>
    <w:rsid w:val="009A13DD"/>
    <w:rsid w:val="009A1B6D"/>
    <w:rsid w:val="009A244D"/>
    <w:rsid w:val="009A2B47"/>
    <w:rsid w:val="009A39EB"/>
    <w:rsid w:val="009B1401"/>
    <w:rsid w:val="009B2867"/>
    <w:rsid w:val="009B4837"/>
    <w:rsid w:val="009C12CA"/>
    <w:rsid w:val="009C212A"/>
    <w:rsid w:val="009C26D5"/>
    <w:rsid w:val="009C6A11"/>
    <w:rsid w:val="009C7DCA"/>
    <w:rsid w:val="009D2601"/>
    <w:rsid w:val="009D5E2F"/>
    <w:rsid w:val="009E155F"/>
    <w:rsid w:val="009E1604"/>
    <w:rsid w:val="009E6145"/>
    <w:rsid w:val="009E6818"/>
    <w:rsid w:val="009F0978"/>
    <w:rsid w:val="009F1DAC"/>
    <w:rsid w:val="009F413D"/>
    <w:rsid w:val="009F48BA"/>
    <w:rsid w:val="009F4DD8"/>
    <w:rsid w:val="009F5198"/>
    <w:rsid w:val="009F60B6"/>
    <w:rsid w:val="009F6A10"/>
    <w:rsid w:val="009F732F"/>
    <w:rsid w:val="00A00451"/>
    <w:rsid w:val="00A01F9A"/>
    <w:rsid w:val="00A022A5"/>
    <w:rsid w:val="00A02B00"/>
    <w:rsid w:val="00A03147"/>
    <w:rsid w:val="00A03DC1"/>
    <w:rsid w:val="00A06978"/>
    <w:rsid w:val="00A07516"/>
    <w:rsid w:val="00A10257"/>
    <w:rsid w:val="00A1055C"/>
    <w:rsid w:val="00A11CE4"/>
    <w:rsid w:val="00A120D1"/>
    <w:rsid w:val="00A1493D"/>
    <w:rsid w:val="00A15B21"/>
    <w:rsid w:val="00A15C02"/>
    <w:rsid w:val="00A16484"/>
    <w:rsid w:val="00A225AF"/>
    <w:rsid w:val="00A225F3"/>
    <w:rsid w:val="00A23940"/>
    <w:rsid w:val="00A271AC"/>
    <w:rsid w:val="00A303BE"/>
    <w:rsid w:val="00A3144C"/>
    <w:rsid w:val="00A340CD"/>
    <w:rsid w:val="00A41FE8"/>
    <w:rsid w:val="00A44A7C"/>
    <w:rsid w:val="00A47883"/>
    <w:rsid w:val="00A47FAA"/>
    <w:rsid w:val="00A51A17"/>
    <w:rsid w:val="00A51BD7"/>
    <w:rsid w:val="00A521B5"/>
    <w:rsid w:val="00A5547E"/>
    <w:rsid w:val="00A61399"/>
    <w:rsid w:val="00A6196D"/>
    <w:rsid w:val="00A6221C"/>
    <w:rsid w:val="00A62FE2"/>
    <w:rsid w:val="00A64A03"/>
    <w:rsid w:val="00A6627C"/>
    <w:rsid w:val="00A67C92"/>
    <w:rsid w:val="00A72E7C"/>
    <w:rsid w:val="00A7350F"/>
    <w:rsid w:val="00A73616"/>
    <w:rsid w:val="00A7371B"/>
    <w:rsid w:val="00A741BB"/>
    <w:rsid w:val="00A74D85"/>
    <w:rsid w:val="00A75156"/>
    <w:rsid w:val="00A77C13"/>
    <w:rsid w:val="00A80CE7"/>
    <w:rsid w:val="00A81819"/>
    <w:rsid w:val="00A83056"/>
    <w:rsid w:val="00A86A44"/>
    <w:rsid w:val="00A87BD1"/>
    <w:rsid w:val="00A87D16"/>
    <w:rsid w:val="00A90F86"/>
    <w:rsid w:val="00A937E1"/>
    <w:rsid w:val="00A9514B"/>
    <w:rsid w:val="00A95A6D"/>
    <w:rsid w:val="00AA1444"/>
    <w:rsid w:val="00AA3585"/>
    <w:rsid w:val="00AA4398"/>
    <w:rsid w:val="00AA4503"/>
    <w:rsid w:val="00AA67C8"/>
    <w:rsid w:val="00AB00F1"/>
    <w:rsid w:val="00AB1000"/>
    <w:rsid w:val="00AB23FD"/>
    <w:rsid w:val="00AB2F0A"/>
    <w:rsid w:val="00AB4277"/>
    <w:rsid w:val="00AB45FB"/>
    <w:rsid w:val="00AB61E1"/>
    <w:rsid w:val="00AC1A20"/>
    <w:rsid w:val="00AC24F2"/>
    <w:rsid w:val="00AC25BF"/>
    <w:rsid w:val="00AC4772"/>
    <w:rsid w:val="00AC610A"/>
    <w:rsid w:val="00AC6A6D"/>
    <w:rsid w:val="00AC6F34"/>
    <w:rsid w:val="00AC73D1"/>
    <w:rsid w:val="00AD2A60"/>
    <w:rsid w:val="00AD516A"/>
    <w:rsid w:val="00AD552D"/>
    <w:rsid w:val="00AD5A6B"/>
    <w:rsid w:val="00AD5EFB"/>
    <w:rsid w:val="00AD74BF"/>
    <w:rsid w:val="00AE336A"/>
    <w:rsid w:val="00AE3D7C"/>
    <w:rsid w:val="00AE4DD8"/>
    <w:rsid w:val="00AE5B13"/>
    <w:rsid w:val="00AE7ED1"/>
    <w:rsid w:val="00AF0C46"/>
    <w:rsid w:val="00AF1C15"/>
    <w:rsid w:val="00AF451A"/>
    <w:rsid w:val="00AF4D2F"/>
    <w:rsid w:val="00AF5A61"/>
    <w:rsid w:val="00B00BD2"/>
    <w:rsid w:val="00B01463"/>
    <w:rsid w:val="00B01FA5"/>
    <w:rsid w:val="00B03C25"/>
    <w:rsid w:val="00B04F97"/>
    <w:rsid w:val="00B053F3"/>
    <w:rsid w:val="00B055D4"/>
    <w:rsid w:val="00B066B5"/>
    <w:rsid w:val="00B07423"/>
    <w:rsid w:val="00B15E69"/>
    <w:rsid w:val="00B17969"/>
    <w:rsid w:val="00B21564"/>
    <w:rsid w:val="00B234AB"/>
    <w:rsid w:val="00B2673A"/>
    <w:rsid w:val="00B26C9A"/>
    <w:rsid w:val="00B27970"/>
    <w:rsid w:val="00B3077E"/>
    <w:rsid w:val="00B31B98"/>
    <w:rsid w:val="00B34813"/>
    <w:rsid w:val="00B3665C"/>
    <w:rsid w:val="00B3753B"/>
    <w:rsid w:val="00B37EAE"/>
    <w:rsid w:val="00B4206B"/>
    <w:rsid w:val="00B42FE3"/>
    <w:rsid w:val="00B439BB"/>
    <w:rsid w:val="00B45C47"/>
    <w:rsid w:val="00B530AB"/>
    <w:rsid w:val="00B543C2"/>
    <w:rsid w:val="00B54445"/>
    <w:rsid w:val="00B55208"/>
    <w:rsid w:val="00B563D1"/>
    <w:rsid w:val="00B567C0"/>
    <w:rsid w:val="00B56E33"/>
    <w:rsid w:val="00B6190A"/>
    <w:rsid w:val="00B61A77"/>
    <w:rsid w:val="00B630EB"/>
    <w:rsid w:val="00B632BF"/>
    <w:rsid w:val="00B6370E"/>
    <w:rsid w:val="00B66188"/>
    <w:rsid w:val="00B67CA0"/>
    <w:rsid w:val="00B7142F"/>
    <w:rsid w:val="00B74BAD"/>
    <w:rsid w:val="00B7674C"/>
    <w:rsid w:val="00B8014F"/>
    <w:rsid w:val="00B81A0F"/>
    <w:rsid w:val="00B81C01"/>
    <w:rsid w:val="00B821F2"/>
    <w:rsid w:val="00B83C7A"/>
    <w:rsid w:val="00B84F68"/>
    <w:rsid w:val="00B85DC5"/>
    <w:rsid w:val="00B906A2"/>
    <w:rsid w:val="00B91BE9"/>
    <w:rsid w:val="00B924EC"/>
    <w:rsid w:val="00B928D1"/>
    <w:rsid w:val="00B93D0D"/>
    <w:rsid w:val="00B96B65"/>
    <w:rsid w:val="00B96BD5"/>
    <w:rsid w:val="00B9755A"/>
    <w:rsid w:val="00B97FD3"/>
    <w:rsid w:val="00BA4F45"/>
    <w:rsid w:val="00BB0DDD"/>
    <w:rsid w:val="00BB301C"/>
    <w:rsid w:val="00BB4A78"/>
    <w:rsid w:val="00BB5AF2"/>
    <w:rsid w:val="00BB5DE6"/>
    <w:rsid w:val="00BB6369"/>
    <w:rsid w:val="00BB7032"/>
    <w:rsid w:val="00BC2274"/>
    <w:rsid w:val="00BC2645"/>
    <w:rsid w:val="00BC2C35"/>
    <w:rsid w:val="00BC5EC8"/>
    <w:rsid w:val="00BC6DFA"/>
    <w:rsid w:val="00BC7B5F"/>
    <w:rsid w:val="00BD1443"/>
    <w:rsid w:val="00BD1C63"/>
    <w:rsid w:val="00BD1C6C"/>
    <w:rsid w:val="00BD2EB9"/>
    <w:rsid w:val="00BD2F25"/>
    <w:rsid w:val="00BD6EED"/>
    <w:rsid w:val="00BE1A17"/>
    <w:rsid w:val="00BE3415"/>
    <w:rsid w:val="00BE60F1"/>
    <w:rsid w:val="00BE688B"/>
    <w:rsid w:val="00BE68D0"/>
    <w:rsid w:val="00BF3146"/>
    <w:rsid w:val="00BF3646"/>
    <w:rsid w:val="00BF4B34"/>
    <w:rsid w:val="00BF7866"/>
    <w:rsid w:val="00C0126F"/>
    <w:rsid w:val="00C0296E"/>
    <w:rsid w:val="00C0388F"/>
    <w:rsid w:val="00C059DB"/>
    <w:rsid w:val="00C05EE0"/>
    <w:rsid w:val="00C06B76"/>
    <w:rsid w:val="00C16B80"/>
    <w:rsid w:val="00C21462"/>
    <w:rsid w:val="00C22CE0"/>
    <w:rsid w:val="00C25E8A"/>
    <w:rsid w:val="00C27897"/>
    <w:rsid w:val="00C3028E"/>
    <w:rsid w:val="00C308B3"/>
    <w:rsid w:val="00C311DD"/>
    <w:rsid w:val="00C319A3"/>
    <w:rsid w:val="00C329E2"/>
    <w:rsid w:val="00C32F38"/>
    <w:rsid w:val="00C35A0D"/>
    <w:rsid w:val="00C36A14"/>
    <w:rsid w:val="00C414FF"/>
    <w:rsid w:val="00C419C9"/>
    <w:rsid w:val="00C41A00"/>
    <w:rsid w:val="00C45A82"/>
    <w:rsid w:val="00C4750F"/>
    <w:rsid w:val="00C50ED9"/>
    <w:rsid w:val="00C5282F"/>
    <w:rsid w:val="00C566ED"/>
    <w:rsid w:val="00C60EDA"/>
    <w:rsid w:val="00C65155"/>
    <w:rsid w:val="00C660C5"/>
    <w:rsid w:val="00C71367"/>
    <w:rsid w:val="00C73C39"/>
    <w:rsid w:val="00C74891"/>
    <w:rsid w:val="00C74DFC"/>
    <w:rsid w:val="00C74EFB"/>
    <w:rsid w:val="00C74F3C"/>
    <w:rsid w:val="00C77410"/>
    <w:rsid w:val="00C8002A"/>
    <w:rsid w:val="00C83B27"/>
    <w:rsid w:val="00C83D58"/>
    <w:rsid w:val="00C841DD"/>
    <w:rsid w:val="00C85065"/>
    <w:rsid w:val="00C866EC"/>
    <w:rsid w:val="00C86BEA"/>
    <w:rsid w:val="00C900BF"/>
    <w:rsid w:val="00C90560"/>
    <w:rsid w:val="00C94079"/>
    <w:rsid w:val="00C9442C"/>
    <w:rsid w:val="00CA0D75"/>
    <w:rsid w:val="00CA0FFE"/>
    <w:rsid w:val="00CA27F0"/>
    <w:rsid w:val="00CA39DA"/>
    <w:rsid w:val="00CB34F7"/>
    <w:rsid w:val="00CB40E7"/>
    <w:rsid w:val="00CB4D06"/>
    <w:rsid w:val="00CB4D58"/>
    <w:rsid w:val="00CB79D6"/>
    <w:rsid w:val="00CC1CBD"/>
    <w:rsid w:val="00CC3901"/>
    <w:rsid w:val="00CC4C62"/>
    <w:rsid w:val="00CC740D"/>
    <w:rsid w:val="00CD156D"/>
    <w:rsid w:val="00CD4023"/>
    <w:rsid w:val="00CD4EC2"/>
    <w:rsid w:val="00CE0402"/>
    <w:rsid w:val="00CE24A7"/>
    <w:rsid w:val="00CE352A"/>
    <w:rsid w:val="00CE4C6C"/>
    <w:rsid w:val="00CE5766"/>
    <w:rsid w:val="00CE5E84"/>
    <w:rsid w:val="00CF11F3"/>
    <w:rsid w:val="00CF24CC"/>
    <w:rsid w:val="00CF3674"/>
    <w:rsid w:val="00CF7967"/>
    <w:rsid w:val="00CF7D1E"/>
    <w:rsid w:val="00D0121A"/>
    <w:rsid w:val="00D01492"/>
    <w:rsid w:val="00D01E21"/>
    <w:rsid w:val="00D02173"/>
    <w:rsid w:val="00D022DF"/>
    <w:rsid w:val="00D06C41"/>
    <w:rsid w:val="00D126DE"/>
    <w:rsid w:val="00D169BE"/>
    <w:rsid w:val="00D1709F"/>
    <w:rsid w:val="00D172E1"/>
    <w:rsid w:val="00D2129A"/>
    <w:rsid w:val="00D22E5A"/>
    <w:rsid w:val="00D23C0B"/>
    <w:rsid w:val="00D26CA5"/>
    <w:rsid w:val="00D300FF"/>
    <w:rsid w:val="00D30934"/>
    <w:rsid w:val="00D31CC8"/>
    <w:rsid w:val="00D321E2"/>
    <w:rsid w:val="00D3460A"/>
    <w:rsid w:val="00D35407"/>
    <w:rsid w:val="00D3571E"/>
    <w:rsid w:val="00D35D9E"/>
    <w:rsid w:val="00D40E2C"/>
    <w:rsid w:val="00D40FAF"/>
    <w:rsid w:val="00D418A4"/>
    <w:rsid w:val="00D41B81"/>
    <w:rsid w:val="00D440E7"/>
    <w:rsid w:val="00D46B03"/>
    <w:rsid w:val="00D46BB4"/>
    <w:rsid w:val="00D52CF6"/>
    <w:rsid w:val="00D54CCA"/>
    <w:rsid w:val="00D5569B"/>
    <w:rsid w:val="00D57238"/>
    <w:rsid w:val="00D57385"/>
    <w:rsid w:val="00D602B7"/>
    <w:rsid w:val="00D6077A"/>
    <w:rsid w:val="00D610FD"/>
    <w:rsid w:val="00D61D36"/>
    <w:rsid w:val="00D62E24"/>
    <w:rsid w:val="00D63576"/>
    <w:rsid w:val="00D63592"/>
    <w:rsid w:val="00D63D42"/>
    <w:rsid w:val="00D6641A"/>
    <w:rsid w:val="00D66D25"/>
    <w:rsid w:val="00D74750"/>
    <w:rsid w:val="00D748E4"/>
    <w:rsid w:val="00D81315"/>
    <w:rsid w:val="00D81F08"/>
    <w:rsid w:val="00D83769"/>
    <w:rsid w:val="00D86270"/>
    <w:rsid w:val="00D86904"/>
    <w:rsid w:val="00D86C36"/>
    <w:rsid w:val="00D9198F"/>
    <w:rsid w:val="00D946D3"/>
    <w:rsid w:val="00D9775A"/>
    <w:rsid w:val="00DA3F59"/>
    <w:rsid w:val="00DA439D"/>
    <w:rsid w:val="00DB119C"/>
    <w:rsid w:val="00DB2E43"/>
    <w:rsid w:val="00DB44CB"/>
    <w:rsid w:val="00DB6122"/>
    <w:rsid w:val="00DC19F0"/>
    <w:rsid w:val="00DC1FF8"/>
    <w:rsid w:val="00DC504C"/>
    <w:rsid w:val="00DC575F"/>
    <w:rsid w:val="00DC58EC"/>
    <w:rsid w:val="00DC617D"/>
    <w:rsid w:val="00DD243F"/>
    <w:rsid w:val="00DD61B9"/>
    <w:rsid w:val="00DD6DA3"/>
    <w:rsid w:val="00DE02C2"/>
    <w:rsid w:val="00DE4712"/>
    <w:rsid w:val="00DE7790"/>
    <w:rsid w:val="00DF1390"/>
    <w:rsid w:val="00DF4E5F"/>
    <w:rsid w:val="00E0183C"/>
    <w:rsid w:val="00E02EAF"/>
    <w:rsid w:val="00E105D5"/>
    <w:rsid w:val="00E11F90"/>
    <w:rsid w:val="00E13777"/>
    <w:rsid w:val="00E1693A"/>
    <w:rsid w:val="00E16FAB"/>
    <w:rsid w:val="00E214AF"/>
    <w:rsid w:val="00E22E7C"/>
    <w:rsid w:val="00E23671"/>
    <w:rsid w:val="00E24CE9"/>
    <w:rsid w:val="00E25A01"/>
    <w:rsid w:val="00E25F73"/>
    <w:rsid w:val="00E26DE5"/>
    <w:rsid w:val="00E3020A"/>
    <w:rsid w:val="00E30345"/>
    <w:rsid w:val="00E307A1"/>
    <w:rsid w:val="00E3107A"/>
    <w:rsid w:val="00E31C56"/>
    <w:rsid w:val="00E32681"/>
    <w:rsid w:val="00E32E9D"/>
    <w:rsid w:val="00E34C97"/>
    <w:rsid w:val="00E34F86"/>
    <w:rsid w:val="00E37816"/>
    <w:rsid w:val="00E37B1E"/>
    <w:rsid w:val="00E419C9"/>
    <w:rsid w:val="00E419CE"/>
    <w:rsid w:val="00E5354C"/>
    <w:rsid w:val="00E5371B"/>
    <w:rsid w:val="00E55517"/>
    <w:rsid w:val="00E561FA"/>
    <w:rsid w:val="00E62F32"/>
    <w:rsid w:val="00E63C00"/>
    <w:rsid w:val="00E70560"/>
    <w:rsid w:val="00E7171B"/>
    <w:rsid w:val="00E71F3D"/>
    <w:rsid w:val="00E72733"/>
    <w:rsid w:val="00E72F2B"/>
    <w:rsid w:val="00E72FFC"/>
    <w:rsid w:val="00E74C66"/>
    <w:rsid w:val="00E778C8"/>
    <w:rsid w:val="00E77A3E"/>
    <w:rsid w:val="00E80363"/>
    <w:rsid w:val="00E82019"/>
    <w:rsid w:val="00E83030"/>
    <w:rsid w:val="00E83845"/>
    <w:rsid w:val="00E851EC"/>
    <w:rsid w:val="00E860DF"/>
    <w:rsid w:val="00E86211"/>
    <w:rsid w:val="00E8632D"/>
    <w:rsid w:val="00E9052E"/>
    <w:rsid w:val="00E906E9"/>
    <w:rsid w:val="00E91043"/>
    <w:rsid w:val="00E917C3"/>
    <w:rsid w:val="00E91C7D"/>
    <w:rsid w:val="00E92444"/>
    <w:rsid w:val="00E94295"/>
    <w:rsid w:val="00E9492B"/>
    <w:rsid w:val="00E94CF0"/>
    <w:rsid w:val="00E96C5D"/>
    <w:rsid w:val="00E97347"/>
    <w:rsid w:val="00EA0324"/>
    <w:rsid w:val="00EA10C1"/>
    <w:rsid w:val="00EA306F"/>
    <w:rsid w:val="00EA3304"/>
    <w:rsid w:val="00EA3431"/>
    <w:rsid w:val="00EA5725"/>
    <w:rsid w:val="00EA78DA"/>
    <w:rsid w:val="00EA7E79"/>
    <w:rsid w:val="00EB02A9"/>
    <w:rsid w:val="00EB4CCC"/>
    <w:rsid w:val="00EB72E1"/>
    <w:rsid w:val="00EB75DC"/>
    <w:rsid w:val="00EB7A1B"/>
    <w:rsid w:val="00EB7D77"/>
    <w:rsid w:val="00EC07FD"/>
    <w:rsid w:val="00EC1B53"/>
    <w:rsid w:val="00EC2DE6"/>
    <w:rsid w:val="00EC57B6"/>
    <w:rsid w:val="00EC7E64"/>
    <w:rsid w:val="00ED065D"/>
    <w:rsid w:val="00ED0D37"/>
    <w:rsid w:val="00ED2290"/>
    <w:rsid w:val="00ED2586"/>
    <w:rsid w:val="00ED27A2"/>
    <w:rsid w:val="00ED2AD4"/>
    <w:rsid w:val="00ED4AA9"/>
    <w:rsid w:val="00EE2843"/>
    <w:rsid w:val="00EE65E7"/>
    <w:rsid w:val="00EE6C99"/>
    <w:rsid w:val="00EE7E03"/>
    <w:rsid w:val="00EF1DF4"/>
    <w:rsid w:val="00EF3E09"/>
    <w:rsid w:val="00F00037"/>
    <w:rsid w:val="00F00ADF"/>
    <w:rsid w:val="00F00FE9"/>
    <w:rsid w:val="00F028CD"/>
    <w:rsid w:val="00F02DD1"/>
    <w:rsid w:val="00F03565"/>
    <w:rsid w:val="00F03AF3"/>
    <w:rsid w:val="00F03BA6"/>
    <w:rsid w:val="00F03D17"/>
    <w:rsid w:val="00F04321"/>
    <w:rsid w:val="00F065D8"/>
    <w:rsid w:val="00F074E5"/>
    <w:rsid w:val="00F10A18"/>
    <w:rsid w:val="00F10E79"/>
    <w:rsid w:val="00F13E54"/>
    <w:rsid w:val="00F146C3"/>
    <w:rsid w:val="00F15562"/>
    <w:rsid w:val="00F17207"/>
    <w:rsid w:val="00F22785"/>
    <w:rsid w:val="00F24521"/>
    <w:rsid w:val="00F27994"/>
    <w:rsid w:val="00F308D9"/>
    <w:rsid w:val="00F30F44"/>
    <w:rsid w:val="00F3106A"/>
    <w:rsid w:val="00F34FDD"/>
    <w:rsid w:val="00F407E3"/>
    <w:rsid w:val="00F44FD4"/>
    <w:rsid w:val="00F508E1"/>
    <w:rsid w:val="00F51225"/>
    <w:rsid w:val="00F533F7"/>
    <w:rsid w:val="00F55E55"/>
    <w:rsid w:val="00F57C6B"/>
    <w:rsid w:val="00F57D9F"/>
    <w:rsid w:val="00F6202D"/>
    <w:rsid w:val="00F62334"/>
    <w:rsid w:val="00F65D88"/>
    <w:rsid w:val="00F65EF8"/>
    <w:rsid w:val="00F6700E"/>
    <w:rsid w:val="00F678C5"/>
    <w:rsid w:val="00F724E4"/>
    <w:rsid w:val="00F80D72"/>
    <w:rsid w:val="00F824E2"/>
    <w:rsid w:val="00F83ED3"/>
    <w:rsid w:val="00F85245"/>
    <w:rsid w:val="00F857D8"/>
    <w:rsid w:val="00F85A30"/>
    <w:rsid w:val="00F85AF6"/>
    <w:rsid w:val="00F86384"/>
    <w:rsid w:val="00F863C5"/>
    <w:rsid w:val="00F86926"/>
    <w:rsid w:val="00F87608"/>
    <w:rsid w:val="00F924DF"/>
    <w:rsid w:val="00F92503"/>
    <w:rsid w:val="00F9270B"/>
    <w:rsid w:val="00F942B6"/>
    <w:rsid w:val="00F94D8F"/>
    <w:rsid w:val="00F958E7"/>
    <w:rsid w:val="00F9624D"/>
    <w:rsid w:val="00F97553"/>
    <w:rsid w:val="00FA1E5A"/>
    <w:rsid w:val="00FA48FA"/>
    <w:rsid w:val="00FA5145"/>
    <w:rsid w:val="00FA57C6"/>
    <w:rsid w:val="00FA6408"/>
    <w:rsid w:val="00FA6D80"/>
    <w:rsid w:val="00FB2428"/>
    <w:rsid w:val="00FB2E6A"/>
    <w:rsid w:val="00FB397D"/>
    <w:rsid w:val="00FB3B10"/>
    <w:rsid w:val="00FB4335"/>
    <w:rsid w:val="00FB4F25"/>
    <w:rsid w:val="00FC40D6"/>
    <w:rsid w:val="00FC4B2B"/>
    <w:rsid w:val="00FC4FE7"/>
    <w:rsid w:val="00FC55F7"/>
    <w:rsid w:val="00FC7343"/>
    <w:rsid w:val="00FC7C7A"/>
    <w:rsid w:val="00FD195A"/>
    <w:rsid w:val="00FD1CD2"/>
    <w:rsid w:val="00FD440F"/>
    <w:rsid w:val="00FE1843"/>
    <w:rsid w:val="00FE2748"/>
    <w:rsid w:val="00FE5867"/>
    <w:rsid w:val="00FE5E60"/>
    <w:rsid w:val="00FF00E6"/>
    <w:rsid w:val="00FF0509"/>
    <w:rsid w:val="00FF1835"/>
    <w:rsid w:val="00FF34A3"/>
    <w:rsid w:val="00FF550B"/>
    <w:rsid w:val="00FF7271"/>
    <w:rsid w:val="0C28E03F"/>
    <w:rsid w:val="39DF1CE0"/>
    <w:rsid w:val="53960930"/>
    <w:rsid w:val="5406F0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36E98E"/>
  <w15:docId w15:val="{ADC43D1C-0AF0-BD4C-B6D7-006A3331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53B"/>
    <w:rPr>
      <w:sz w:val="24"/>
      <w:szCs w:val="24"/>
    </w:rPr>
  </w:style>
  <w:style w:type="paragraph" w:styleId="Heading3">
    <w:name w:val="heading 3"/>
    <w:basedOn w:val="Normal"/>
    <w:link w:val="Heading3Char"/>
    <w:uiPriority w:val="9"/>
    <w:qFormat/>
    <w:rsid w:val="00073BF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A248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character" w:styleId="CommentReference">
    <w:name w:val="annotation reference"/>
    <w:uiPriority w:val="99"/>
    <w:semiHidden/>
    <w:unhideWhenUsed/>
    <w:rsid w:val="005A0B0B"/>
    <w:rPr>
      <w:sz w:val="16"/>
      <w:szCs w:val="16"/>
    </w:rPr>
  </w:style>
  <w:style w:type="paragraph" w:styleId="CommentText">
    <w:name w:val="annotation text"/>
    <w:basedOn w:val="Normal"/>
    <w:link w:val="CommentTextChar"/>
    <w:uiPriority w:val="99"/>
    <w:unhideWhenUsed/>
    <w:rsid w:val="005A0B0B"/>
    <w:rPr>
      <w:sz w:val="20"/>
      <w:szCs w:val="20"/>
    </w:rPr>
  </w:style>
  <w:style w:type="character" w:customStyle="1" w:styleId="CommentTextChar">
    <w:name w:val="Comment Text Char"/>
    <w:link w:val="CommentText"/>
    <w:uiPriority w:val="99"/>
    <w:rsid w:val="005A0B0B"/>
    <w:rPr>
      <w:rFonts w:ascii="Calibri" w:eastAsia="SimSun" w:hAnsi="Calibri" w:cs="Calibri"/>
      <w:kern w:val="1"/>
      <w:lang w:eastAsia="ar-SA"/>
    </w:rPr>
  </w:style>
  <w:style w:type="paragraph" w:styleId="CommentSubject">
    <w:name w:val="annotation subject"/>
    <w:basedOn w:val="CommentText"/>
    <w:next w:val="CommentText"/>
    <w:link w:val="CommentSubjectChar"/>
    <w:uiPriority w:val="99"/>
    <w:semiHidden/>
    <w:unhideWhenUsed/>
    <w:rsid w:val="005A0B0B"/>
    <w:rPr>
      <w:b/>
      <w:bCs/>
    </w:rPr>
  </w:style>
  <w:style w:type="character" w:customStyle="1" w:styleId="CommentSubjectChar">
    <w:name w:val="Comment Subject Char"/>
    <w:link w:val="CommentSubject"/>
    <w:uiPriority w:val="99"/>
    <w:semiHidden/>
    <w:rsid w:val="005A0B0B"/>
    <w:rPr>
      <w:rFonts w:ascii="Calibri" w:eastAsia="SimSun" w:hAnsi="Calibri" w:cs="Calibri"/>
      <w:b/>
      <w:bCs/>
      <w:kern w:val="1"/>
      <w:lang w:eastAsia="ar-SA"/>
    </w:rPr>
  </w:style>
  <w:style w:type="paragraph" w:styleId="BalloonText">
    <w:name w:val="Balloon Text"/>
    <w:basedOn w:val="Normal"/>
    <w:link w:val="BalloonTextChar"/>
    <w:uiPriority w:val="99"/>
    <w:semiHidden/>
    <w:unhideWhenUsed/>
    <w:rsid w:val="005A0B0B"/>
    <w:rPr>
      <w:rFonts w:ascii="Tahoma" w:hAnsi="Tahoma" w:cs="Tahoma"/>
      <w:sz w:val="16"/>
      <w:szCs w:val="16"/>
    </w:rPr>
  </w:style>
  <w:style w:type="character" w:customStyle="1" w:styleId="BalloonTextChar">
    <w:name w:val="Balloon Text Char"/>
    <w:link w:val="BalloonText"/>
    <w:uiPriority w:val="99"/>
    <w:semiHidden/>
    <w:rsid w:val="005A0B0B"/>
    <w:rPr>
      <w:rFonts w:ascii="Tahoma" w:eastAsia="SimSun" w:hAnsi="Tahoma" w:cs="Tahoma"/>
      <w:kern w:val="1"/>
      <w:sz w:val="16"/>
      <w:szCs w:val="16"/>
      <w:lang w:eastAsia="ar-SA"/>
    </w:rPr>
  </w:style>
  <w:style w:type="paragraph" w:customStyle="1" w:styleId="Default">
    <w:name w:val="Default"/>
    <w:rsid w:val="003B0AC5"/>
    <w:pPr>
      <w:autoSpaceDE w:val="0"/>
      <w:autoSpaceDN w:val="0"/>
      <w:adjustRightInd w:val="0"/>
    </w:pPr>
    <w:rPr>
      <w:rFonts w:ascii="Arial" w:eastAsia="MS Mincho" w:hAnsi="Arial" w:cs="Arial"/>
      <w:color w:val="000000"/>
      <w:sz w:val="24"/>
      <w:szCs w:val="24"/>
      <w:lang w:val="en-AU" w:eastAsia="en-US"/>
    </w:rPr>
  </w:style>
  <w:style w:type="character" w:styleId="Hyperlink">
    <w:name w:val="Hyperlink"/>
    <w:uiPriority w:val="99"/>
    <w:unhideWhenUsed/>
    <w:rsid w:val="003B0AC5"/>
    <w:rPr>
      <w:color w:val="0000FF"/>
      <w:u w:val="single"/>
    </w:rPr>
  </w:style>
  <w:style w:type="paragraph" w:styleId="Header">
    <w:name w:val="header"/>
    <w:basedOn w:val="Normal"/>
    <w:link w:val="HeaderChar"/>
    <w:uiPriority w:val="99"/>
    <w:unhideWhenUsed/>
    <w:rsid w:val="008911B0"/>
    <w:pPr>
      <w:tabs>
        <w:tab w:val="center" w:pos="4819"/>
        <w:tab w:val="right" w:pos="9638"/>
      </w:tabs>
    </w:pPr>
  </w:style>
  <w:style w:type="character" w:customStyle="1" w:styleId="HeaderChar">
    <w:name w:val="Header Char"/>
    <w:link w:val="Header"/>
    <w:uiPriority w:val="99"/>
    <w:rsid w:val="008911B0"/>
    <w:rPr>
      <w:rFonts w:ascii="Calibri" w:eastAsia="SimSun" w:hAnsi="Calibri" w:cs="Calibri"/>
      <w:kern w:val="1"/>
      <w:sz w:val="22"/>
      <w:szCs w:val="22"/>
      <w:lang w:eastAsia="ar-SA"/>
    </w:rPr>
  </w:style>
  <w:style w:type="paragraph" w:styleId="Footer">
    <w:name w:val="footer"/>
    <w:basedOn w:val="Normal"/>
    <w:link w:val="FooterChar"/>
    <w:uiPriority w:val="99"/>
    <w:unhideWhenUsed/>
    <w:rsid w:val="008911B0"/>
    <w:pPr>
      <w:tabs>
        <w:tab w:val="center" w:pos="4819"/>
        <w:tab w:val="right" w:pos="9638"/>
      </w:tabs>
    </w:pPr>
  </w:style>
  <w:style w:type="character" w:customStyle="1" w:styleId="FooterChar">
    <w:name w:val="Footer Char"/>
    <w:link w:val="Footer"/>
    <w:uiPriority w:val="99"/>
    <w:rsid w:val="008911B0"/>
    <w:rPr>
      <w:rFonts w:ascii="Calibri" w:eastAsia="SimSun" w:hAnsi="Calibri" w:cs="Calibri"/>
      <w:kern w:val="1"/>
      <w:sz w:val="22"/>
      <w:szCs w:val="22"/>
      <w:lang w:eastAsia="ar-SA"/>
    </w:rPr>
  </w:style>
  <w:style w:type="table" w:styleId="TableGrid">
    <w:name w:val="Table Grid"/>
    <w:basedOn w:val="TableNormal"/>
    <w:uiPriority w:val="59"/>
    <w:rsid w:val="00B26C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
    <w:uiPriority w:val="34"/>
    <w:qFormat/>
    <w:rsid w:val="00B26C9A"/>
    <w:pPr>
      <w:ind w:left="720"/>
      <w:contextualSpacing/>
    </w:pPr>
    <w:rPr>
      <w:rFonts w:eastAsia="Calibri"/>
      <w:lang w:eastAsia="en-US"/>
    </w:rPr>
  </w:style>
  <w:style w:type="character" w:customStyle="1" w:styleId="Heading3Char">
    <w:name w:val="Heading 3 Char"/>
    <w:link w:val="Heading3"/>
    <w:uiPriority w:val="9"/>
    <w:rsid w:val="00073BFD"/>
    <w:rPr>
      <w:b/>
      <w:bCs/>
      <w:sz w:val="27"/>
      <w:szCs w:val="27"/>
    </w:rPr>
  </w:style>
  <w:style w:type="character" w:customStyle="1" w:styleId="apple-converted-space">
    <w:name w:val="apple-converted-space"/>
    <w:basedOn w:val="DefaultParagraphFont"/>
    <w:rsid w:val="005176D8"/>
  </w:style>
  <w:style w:type="character" w:customStyle="1" w:styleId="Heading4Char">
    <w:name w:val="Heading 4 Char"/>
    <w:link w:val="Heading4"/>
    <w:uiPriority w:val="9"/>
    <w:semiHidden/>
    <w:rsid w:val="005A2488"/>
    <w:rPr>
      <w:rFonts w:ascii="Calibri" w:eastAsia="Times New Roman" w:hAnsi="Calibri" w:cs="Times New Roman"/>
      <w:b/>
      <w:bCs/>
      <w:kern w:val="1"/>
      <w:sz w:val="28"/>
      <w:szCs w:val="28"/>
      <w:lang w:eastAsia="ar-SA"/>
    </w:rPr>
  </w:style>
  <w:style w:type="paragraph" w:styleId="ListParagraph">
    <w:name w:val="List Paragraph"/>
    <w:basedOn w:val="Normal"/>
    <w:uiPriority w:val="34"/>
    <w:qFormat/>
    <w:rsid w:val="00A6221C"/>
    <w:pPr>
      <w:ind w:left="720"/>
      <w:contextualSpacing/>
    </w:pPr>
  </w:style>
  <w:style w:type="paragraph" w:styleId="Revision">
    <w:name w:val="Revision"/>
    <w:hidden/>
    <w:uiPriority w:val="99"/>
    <w:semiHidden/>
    <w:rsid w:val="00504C31"/>
    <w:rPr>
      <w:rFonts w:ascii="Calibri" w:eastAsia="SimSun" w:hAnsi="Calibri" w:cs="Calibri"/>
      <w:kern w:val="1"/>
      <w:sz w:val="22"/>
      <w:szCs w:val="22"/>
      <w:lang w:eastAsia="ar-SA"/>
    </w:rPr>
  </w:style>
  <w:style w:type="character" w:customStyle="1" w:styleId="UnresolvedMention1">
    <w:name w:val="Unresolved Mention1"/>
    <w:basedOn w:val="DefaultParagraphFont"/>
    <w:uiPriority w:val="99"/>
    <w:semiHidden/>
    <w:unhideWhenUsed/>
    <w:rsid w:val="00447415"/>
    <w:rPr>
      <w:color w:val="605E5C"/>
      <w:shd w:val="clear" w:color="auto" w:fill="E1DFDD"/>
    </w:rPr>
  </w:style>
  <w:style w:type="character" w:styleId="FollowedHyperlink">
    <w:name w:val="FollowedHyperlink"/>
    <w:basedOn w:val="DefaultParagraphFont"/>
    <w:uiPriority w:val="99"/>
    <w:semiHidden/>
    <w:unhideWhenUsed/>
    <w:rsid w:val="00533119"/>
    <w:rPr>
      <w:color w:val="954F72" w:themeColor="followedHyperlink"/>
      <w:u w:val="single"/>
    </w:rPr>
  </w:style>
  <w:style w:type="paragraph" w:styleId="Bibliography">
    <w:name w:val="Bibliography"/>
    <w:basedOn w:val="Normal"/>
    <w:next w:val="Normal"/>
    <w:uiPriority w:val="37"/>
    <w:unhideWhenUsed/>
    <w:rsid w:val="004404E0"/>
    <w:pPr>
      <w:spacing w:after="160" w:line="259" w:lineRule="auto"/>
    </w:pPr>
    <w:rPr>
      <w:rFonts w:asciiTheme="minorHAnsi" w:eastAsiaTheme="minorHAnsi" w:hAnsiTheme="minorHAnsi" w:cstheme="minorBidi"/>
      <w:sz w:val="22"/>
      <w:szCs w:val="22"/>
      <w:lang w:val="en-GB" w:eastAsia="en-US"/>
    </w:rPr>
  </w:style>
  <w:style w:type="character" w:customStyle="1" w:styleId="c-bibliographic-informationvalue">
    <w:name w:val="c-bibliographic-information__value"/>
    <w:basedOn w:val="DefaultParagraphFont"/>
    <w:rsid w:val="0061774E"/>
  </w:style>
  <w:style w:type="character" w:customStyle="1" w:styleId="epub-sectionitem">
    <w:name w:val="epub-section__item"/>
    <w:basedOn w:val="DefaultParagraphFont"/>
    <w:rsid w:val="00004841"/>
  </w:style>
  <w:style w:type="character" w:customStyle="1" w:styleId="Menzionenonrisolta1">
    <w:name w:val="Menzione non risolta1"/>
    <w:basedOn w:val="DefaultParagraphFont"/>
    <w:uiPriority w:val="99"/>
    <w:semiHidden/>
    <w:unhideWhenUsed/>
    <w:rsid w:val="0048013C"/>
    <w:rPr>
      <w:color w:val="605E5C"/>
      <w:shd w:val="clear" w:color="auto" w:fill="E1DFDD"/>
    </w:rPr>
  </w:style>
  <w:style w:type="character" w:customStyle="1" w:styleId="Menzionenonrisolta2">
    <w:name w:val="Menzione non risolta2"/>
    <w:basedOn w:val="DefaultParagraphFont"/>
    <w:uiPriority w:val="99"/>
    <w:semiHidden/>
    <w:unhideWhenUsed/>
    <w:rsid w:val="00713335"/>
    <w:rPr>
      <w:color w:val="605E5C"/>
      <w:shd w:val="clear" w:color="auto" w:fill="E1DFDD"/>
    </w:rPr>
  </w:style>
  <w:style w:type="character" w:customStyle="1" w:styleId="Menzionenonrisolta3">
    <w:name w:val="Menzione non risolta3"/>
    <w:basedOn w:val="DefaultParagraphFont"/>
    <w:uiPriority w:val="99"/>
    <w:semiHidden/>
    <w:unhideWhenUsed/>
    <w:rsid w:val="00091368"/>
    <w:rPr>
      <w:color w:val="605E5C"/>
      <w:shd w:val="clear" w:color="auto" w:fill="E1DFDD"/>
    </w:rPr>
  </w:style>
  <w:style w:type="character" w:styleId="LineNumber">
    <w:name w:val="line number"/>
    <w:basedOn w:val="DefaultParagraphFont"/>
    <w:uiPriority w:val="99"/>
    <w:semiHidden/>
    <w:unhideWhenUsed/>
    <w:rsid w:val="00AA1444"/>
  </w:style>
  <w:style w:type="character" w:customStyle="1" w:styleId="normaltextrun">
    <w:name w:val="normaltextrun"/>
    <w:basedOn w:val="DefaultParagraphFont"/>
    <w:rsid w:val="004E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07">
      <w:bodyDiv w:val="1"/>
      <w:marLeft w:val="0"/>
      <w:marRight w:val="0"/>
      <w:marTop w:val="0"/>
      <w:marBottom w:val="0"/>
      <w:divBdr>
        <w:top w:val="none" w:sz="0" w:space="0" w:color="auto"/>
        <w:left w:val="none" w:sz="0" w:space="0" w:color="auto"/>
        <w:bottom w:val="none" w:sz="0" w:space="0" w:color="auto"/>
        <w:right w:val="none" w:sz="0" w:space="0" w:color="auto"/>
      </w:divBdr>
    </w:div>
    <w:div w:id="23212398">
      <w:bodyDiv w:val="1"/>
      <w:marLeft w:val="0"/>
      <w:marRight w:val="0"/>
      <w:marTop w:val="0"/>
      <w:marBottom w:val="0"/>
      <w:divBdr>
        <w:top w:val="none" w:sz="0" w:space="0" w:color="auto"/>
        <w:left w:val="none" w:sz="0" w:space="0" w:color="auto"/>
        <w:bottom w:val="none" w:sz="0" w:space="0" w:color="auto"/>
        <w:right w:val="none" w:sz="0" w:space="0" w:color="auto"/>
      </w:divBdr>
    </w:div>
    <w:div w:id="56130796">
      <w:bodyDiv w:val="1"/>
      <w:marLeft w:val="0"/>
      <w:marRight w:val="0"/>
      <w:marTop w:val="0"/>
      <w:marBottom w:val="0"/>
      <w:divBdr>
        <w:top w:val="none" w:sz="0" w:space="0" w:color="auto"/>
        <w:left w:val="none" w:sz="0" w:space="0" w:color="auto"/>
        <w:bottom w:val="none" w:sz="0" w:space="0" w:color="auto"/>
        <w:right w:val="none" w:sz="0" w:space="0" w:color="auto"/>
      </w:divBdr>
    </w:div>
    <w:div w:id="76099967">
      <w:bodyDiv w:val="1"/>
      <w:marLeft w:val="0"/>
      <w:marRight w:val="0"/>
      <w:marTop w:val="0"/>
      <w:marBottom w:val="0"/>
      <w:divBdr>
        <w:top w:val="none" w:sz="0" w:space="0" w:color="auto"/>
        <w:left w:val="none" w:sz="0" w:space="0" w:color="auto"/>
        <w:bottom w:val="none" w:sz="0" w:space="0" w:color="auto"/>
        <w:right w:val="none" w:sz="0" w:space="0" w:color="auto"/>
      </w:divBdr>
    </w:div>
    <w:div w:id="85075081">
      <w:bodyDiv w:val="1"/>
      <w:marLeft w:val="0"/>
      <w:marRight w:val="0"/>
      <w:marTop w:val="0"/>
      <w:marBottom w:val="0"/>
      <w:divBdr>
        <w:top w:val="none" w:sz="0" w:space="0" w:color="auto"/>
        <w:left w:val="none" w:sz="0" w:space="0" w:color="auto"/>
        <w:bottom w:val="none" w:sz="0" w:space="0" w:color="auto"/>
        <w:right w:val="none" w:sz="0" w:space="0" w:color="auto"/>
      </w:divBdr>
    </w:div>
    <w:div w:id="99300189">
      <w:bodyDiv w:val="1"/>
      <w:marLeft w:val="0"/>
      <w:marRight w:val="0"/>
      <w:marTop w:val="0"/>
      <w:marBottom w:val="0"/>
      <w:divBdr>
        <w:top w:val="none" w:sz="0" w:space="0" w:color="auto"/>
        <w:left w:val="none" w:sz="0" w:space="0" w:color="auto"/>
        <w:bottom w:val="none" w:sz="0" w:space="0" w:color="auto"/>
        <w:right w:val="none" w:sz="0" w:space="0" w:color="auto"/>
      </w:divBdr>
    </w:div>
    <w:div w:id="114367769">
      <w:bodyDiv w:val="1"/>
      <w:marLeft w:val="0"/>
      <w:marRight w:val="0"/>
      <w:marTop w:val="0"/>
      <w:marBottom w:val="0"/>
      <w:divBdr>
        <w:top w:val="none" w:sz="0" w:space="0" w:color="auto"/>
        <w:left w:val="none" w:sz="0" w:space="0" w:color="auto"/>
        <w:bottom w:val="none" w:sz="0" w:space="0" w:color="auto"/>
        <w:right w:val="none" w:sz="0" w:space="0" w:color="auto"/>
      </w:divBdr>
    </w:div>
    <w:div w:id="144589760">
      <w:bodyDiv w:val="1"/>
      <w:marLeft w:val="0"/>
      <w:marRight w:val="0"/>
      <w:marTop w:val="0"/>
      <w:marBottom w:val="0"/>
      <w:divBdr>
        <w:top w:val="none" w:sz="0" w:space="0" w:color="auto"/>
        <w:left w:val="none" w:sz="0" w:space="0" w:color="auto"/>
        <w:bottom w:val="none" w:sz="0" w:space="0" w:color="auto"/>
        <w:right w:val="none" w:sz="0" w:space="0" w:color="auto"/>
      </w:divBdr>
    </w:div>
    <w:div w:id="144979435">
      <w:bodyDiv w:val="1"/>
      <w:marLeft w:val="0"/>
      <w:marRight w:val="0"/>
      <w:marTop w:val="0"/>
      <w:marBottom w:val="0"/>
      <w:divBdr>
        <w:top w:val="none" w:sz="0" w:space="0" w:color="auto"/>
        <w:left w:val="none" w:sz="0" w:space="0" w:color="auto"/>
        <w:bottom w:val="none" w:sz="0" w:space="0" w:color="auto"/>
        <w:right w:val="none" w:sz="0" w:space="0" w:color="auto"/>
      </w:divBdr>
    </w:div>
    <w:div w:id="156921377">
      <w:bodyDiv w:val="1"/>
      <w:marLeft w:val="0"/>
      <w:marRight w:val="0"/>
      <w:marTop w:val="0"/>
      <w:marBottom w:val="0"/>
      <w:divBdr>
        <w:top w:val="none" w:sz="0" w:space="0" w:color="auto"/>
        <w:left w:val="none" w:sz="0" w:space="0" w:color="auto"/>
        <w:bottom w:val="none" w:sz="0" w:space="0" w:color="auto"/>
        <w:right w:val="none" w:sz="0" w:space="0" w:color="auto"/>
      </w:divBdr>
    </w:div>
    <w:div w:id="158077524">
      <w:bodyDiv w:val="1"/>
      <w:marLeft w:val="0"/>
      <w:marRight w:val="0"/>
      <w:marTop w:val="0"/>
      <w:marBottom w:val="0"/>
      <w:divBdr>
        <w:top w:val="none" w:sz="0" w:space="0" w:color="auto"/>
        <w:left w:val="none" w:sz="0" w:space="0" w:color="auto"/>
        <w:bottom w:val="none" w:sz="0" w:space="0" w:color="auto"/>
        <w:right w:val="none" w:sz="0" w:space="0" w:color="auto"/>
      </w:divBdr>
    </w:div>
    <w:div w:id="159927309">
      <w:bodyDiv w:val="1"/>
      <w:marLeft w:val="0"/>
      <w:marRight w:val="0"/>
      <w:marTop w:val="0"/>
      <w:marBottom w:val="0"/>
      <w:divBdr>
        <w:top w:val="none" w:sz="0" w:space="0" w:color="auto"/>
        <w:left w:val="none" w:sz="0" w:space="0" w:color="auto"/>
        <w:bottom w:val="none" w:sz="0" w:space="0" w:color="auto"/>
        <w:right w:val="none" w:sz="0" w:space="0" w:color="auto"/>
      </w:divBdr>
    </w:div>
    <w:div w:id="167989287">
      <w:bodyDiv w:val="1"/>
      <w:marLeft w:val="0"/>
      <w:marRight w:val="0"/>
      <w:marTop w:val="0"/>
      <w:marBottom w:val="0"/>
      <w:divBdr>
        <w:top w:val="none" w:sz="0" w:space="0" w:color="auto"/>
        <w:left w:val="none" w:sz="0" w:space="0" w:color="auto"/>
        <w:bottom w:val="none" w:sz="0" w:space="0" w:color="auto"/>
        <w:right w:val="none" w:sz="0" w:space="0" w:color="auto"/>
      </w:divBdr>
    </w:div>
    <w:div w:id="168181998">
      <w:bodyDiv w:val="1"/>
      <w:marLeft w:val="0"/>
      <w:marRight w:val="0"/>
      <w:marTop w:val="0"/>
      <w:marBottom w:val="0"/>
      <w:divBdr>
        <w:top w:val="none" w:sz="0" w:space="0" w:color="auto"/>
        <w:left w:val="none" w:sz="0" w:space="0" w:color="auto"/>
        <w:bottom w:val="none" w:sz="0" w:space="0" w:color="auto"/>
        <w:right w:val="none" w:sz="0" w:space="0" w:color="auto"/>
      </w:divBdr>
    </w:div>
    <w:div w:id="184636771">
      <w:bodyDiv w:val="1"/>
      <w:marLeft w:val="0"/>
      <w:marRight w:val="0"/>
      <w:marTop w:val="0"/>
      <w:marBottom w:val="0"/>
      <w:divBdr>
        <w:top w:val="none" w:sz="0" w:space="0" w:color="auto"/>
        <w:left w:val="none" w:sz="0" w:space="0" w:color="auto"/>
        <w:bottom w:val="none" w:sz="0" w:space="0" w:color="auto"/>
        <w:right w:val="none" w:sz="0" w:space="0" w:color="auto"/>
      </w:divBdr>
    </w:div>
    <w:div w:id="197008396">
      <w:bodyDiv w:val="1"/>
      <w:marLeft w:val="0"/>
      <w:marRight w:val="0"/>
      <w:marTop w:val="0"/>
      <w:marBottom w:val="0"/>
      <w:divBdr>
        <w:top w:val="none" w:sz="0" w:space="0" w:color="auto"/>
        <w:left w:val="none" w:sz="0" w:space="0" w:color="auto"/>
        <w:bottom w:val="none" w:sz="0" w:space="0" w:color="auto"/>
        <w:right w:val="none" w:sz="0" w:space="0" w:color="auto"/>
      </w:divBdr>
    </w:div>
    <w:div w:id="240914725">
      <w:bodyDiv w:val="1"/>
      <w:marLeft w:val="0"/>
      <w:marRight w:val="0"/>
      <w:marTop w:val="0"/>
      <w:marBottom w:val="0"/>
      <w:divBdr>
        <w:top w:val="none" w:sz="0" w:space="0" w:color="auto"/>
        <w:left w:val="none" w:sz="0" w:space="0" w:color="auto"/>
        <w:bottom w:val="none" w:sz="0" w:space="0" w:color="auto"/>
        <w:right w:val="none" w:sz="0" w:space="0" w:color="auto"/>
      </w:divBdr>
      <w:divsChild>
        <w:div w:id="1147478076">
          <w:marLeft w:val="0"/>
          <w:marRight w:val="0"/>
          <w:marTop w:val="0"/>
          <w:marBottom w:val="0"/>
          <w:divBdr>
            <w:top w:val="none" w:sz="0" w:space="0" w:color="auto"/>
            <w:left w:val="none" w:sz="0" w:space="0" w:color="auto"/>
            <w:bottom w:val="none" w:sz="0" w:space="0" w:color="auto"/>
            <w:right w:val="none" w:sz="0" w:space="0" w:color="auto"/>
          </w:divBdr>
        </w:div>
      </w:divsChild>
    </w:div>
    <w:div w:id="242299875">
      <w:bodyDiv w:val="1"/>
      <w:marLeft w:val="0"/>
      <w:marRight w:val="0"/>
      <w:marTop w:val="0"/>
      <w:marBottom w:val="0"/>
      <w:divBdr>
        <w:top w:val="none" w:sz="0" w:space="0" w:color="auto"/>
        <w:left w:val="none" w:sz="0" w:space="0" w:color="auto"/>
        <w:bottom w:val="none" w:sz="0" w:space="0" w:color="auto"/>
        <w:right w:val="none" w:sz="0" w:space="0" w:color="auto"/>
      </w:divBdr>
    </w:div>
    <w:div w:id="246815002">
      <w:bodyDiv w:val="1"/>
      <w:marLeft w:val="0"/>
      <w:marRight w:val="0"/>
      <w:marTop w:val="0"/>
      <w:marBottom w:val="0"/>
      <w:divBdr>
        <w:top w:val="none" w:sz="0" w:space="0" w:color="auto"/>
        <w:left w:val="none" w:sz="0" w:space="0" w:color="auto"/>
        <w:bottom w:val="none" w:sz="0" w:space="0" w:color="auto"/>
        <w:right w:val="none" w:sz="0" w:space="0" w:color="auto"/>
      </w:divBdr>
    </w:div>
    <w:div w:id="289214686">
      <w:bodyDiv w:val="1"/>
      <w:marLeft w:val="0"/>
      <w:marRight w:val="0"/>
      <w:marTop w:val="0"/>
      <w:marBottom w:val="0"/>
      <w:divBdr>
        <w:top w:val="none" w:sz="0" w:space="0" w:color="auto"/>
        <w:left w:val="none" w:sz="0" w:space="0" w:color="auto"/>
        <w:bottom w:val="none" w:sz="0" w:space="0" w:color="auto"/>
        <w:right w:val="none" w:sz="0" w:space="0" w:color="auto"/>
      </w:divBdr>
      <w:divsChild>
        <w:div w:id="1007944452">
          <w:marLeft w:val="0"/>
          <w:marRight w:val="0"/>
          <w:marTop w:val="0"/>
          <w:marBottom w:val="0"/>
          <w:divBdr>
            <w:top w:val="none" w:sz="0" w:space="0" w:color="auto"/>
            <w:left w:val="none" w:sz="0" w:space="0" w:color="auto"/>
            <w:bottom w:val="none" w:sz="0" w:space="0" w:color="auto"/>
            <w:right w:val="none" w:sz="0" w:space="0" w:color="auto"/>
          </w:divBdr>
        </w:div>
      </w:divsChild>
    </w:div>
    <w:div w:id="307632977">
      <w:bodyDiv w:val="1"/>
      <w:marLeft w:val="0"/>
      <w:marRight w:val="0"/>
      <w:marTop w:val="0"/>
      <w:marBottom w:val="0"/>
      <w:divBdr>
        <w:top w:val="none" w:sz="0" w:space="0" w:color="auto"/>
        <w:left w:val="none" w:sz="0" w:space="0" w:color="auto"/>
        <w:bottom w:val="none" w:sz="0" w:space="0" w:color="auto"/>
        <w:right w:val="none" w:sz="0" w:space="0" w:color="auto"/>
      </w:divBdr>
    </w:div>
    <w:div w:id="312637326">
      <w:bodyDiv w:val="1"/>
      <w:marLeft w:val="0"/>
      <w:marRight w:val="0"/>
      <w:marTop w:val="0"/>
      <w:marBottom w:val="0"/>
      <w:divBdr>
        <w:top w:val="none" w:sz="0" w:space="0" w:color="auto"/>
        <w:left w:val="none" w:sz="0" w:space="0" w:color="auto"/>
        <w:bottom w:val="none" w:sz="0" w:space="0" w:color="auto"/>
        <w:right w:val="none" w:sz="0" w:space="0" w:color="auto"/>
      </w:divBdr>
    </w:div>
    <w:div w:id="335420088">
      <w:bodyDiv w:val="1"/>
      <w:marLeft w:val="0"/>
      <w:marRight w:val="0"/>
      <w:marTop w:val="0"/>
      <w:marBottom w:val="0"/>
      <w:divBdr>
        <w:top w:val="none" w:sz="0" w:space="0" w:color="auto"/>
        <w:left w:val="none" w:sz="0" w:space="0" w:color="auto"/>
        <w:bottom w:val="none" w:sz="0" w:space="0" w:color="auto"/>
        <w:right w:val="none" w:sz="0" w:space="0" w:color="auto"/>
      </w:divBdr>
    </w:div>
    <w:div w:id="353769022">
      <w:bodyDiv w:val="1"/>
      <w:marLeft w:val="0"/>
      <w:marRight w:val="0"/>
      <w:marTop w:val="0"/>
      <w:marBottom w:val="0"/>
      <w:divBdr>
        <w:top w:val="none" w:sz="0" w:space="0" w:color="auto"/>
        <w:left w:val="none" w:sz="0" w:space="0" w:color="auto"/>
        <w:bottom w:val="none" w:sz="0" w:space="0" w:color="auto"/>
        <w:right w:val="none" w:sz="0" w:space="0" w:color="auto"/>
      </w:divBdr>
      <w:divsChild>
        <w:div w:id="726032821">
          <w:marLeft w:val="0"/>
          <w:marRight w:val="0"/>
          <w:marTop w:val="0"/>
          <w:marBottom w:val="0"/>
          <w:divBdr>
            <w:top w:val="none" w:sz="0" w:space="0" w:color="auto"/>
            <w:left w:val="none" w:sz="0" w:space="0" w:color="auto"/>
            <w:bottom w:val="none" w:sz="0" w:space="0" w:color="auto"/>
            <w:right w:val="none" w:sz="0" w:space="0" w:color="auto"/>
          </w:divBdr>
        </w:div>
      </w:divsChild>
    </w:div>
    <w:div w:id="373504853">
      <w:bodyDiv w:val="1"/>
      <w:marLeft w:val="0"/>
      <w:marRight w:val="0"/>
      <w:marTop w:val="0"/>
      <w:marBottom w:val="0"/>
      <w:divBdr>
        <w:top w:val="none" w:sz="0" w:space="0" w:color="auto"/>
        <w:left w:val="none" w:sz="0" w:space="0" w:color="auto"/>
        <w:bottom w:val="none" w:sz="0" w:space="0" w:color="auto"/>
        <w:right w:val="none" w:sz="0" w:space="0" w:color="auto"/>
      </w:divBdr>
    </w:div>
    <w:div w:id="387386758">
      <w:bodyDiv w:val="1"/>
      <w:marLeft w:val="0"/>
      <w:marRight w:val="0"/>
      <w:marTop w:val="0"/>
      <w:marBottom w:val="0"/>
      <w:divBdr>
        <w:top w:val="none" w:sz="0" w:space="0" w:color="auto"/>
        <w:left w:val="none" w:sz="0" w:space="0" w:color="auto"/>
        <w:bottom w:val="none" w:sz="0" w:space="0" w:color="auto"/>
        <w:right w:val="none" w:sz="0" w:space="0" w:color="auto"/>
      </w:divBdr>
    </w:div>
    <w:div w:id="402024277">
      <w:bodyDiv w:val="1"/>
      <w:marLeft w:val="0"/>
      <w:marRight w:val="0"/>
      <w:marTop w:val="0"/>
      <w:marBottom w:val="0"/>
      <w:divBdr>
        <w:top w:val="none" w:sz="0" w:space="0" w:color="auto"/>
        <w:left w:val="none" w:sz="0" w:space="0" w:color="auto"/>
        <w:bottom w:val="none" w:sz="0" w:space="0" w:color="auto"/>
        <w:right w:val="none" w:sz="0" w:space="0" w:color="auto"/>
      </w:divBdr>
      <w:divsChild>
        <w:div w:id="214464542">
          <w:marLeft w:val="0"/>
          <w:marRight w:val="0"/>
          <w:marTop w:val="0"/>
          <w:marBottom w:val="0"/>
          <w:divBdr>
            <w:top w:val="none" w:sz="0" w:space="0" w:color="auto"/>
            <w:left w:val="none" w:sz="0" w:space="0" w:color="auto"/>
            <w:bottom w:val="none" w:sz="0" w:space="0" w:color="auto"/>
            <w:right w:val="none" w:sz="0" w:space="0" w:color="auto"/>
          </w:divBdr>
        </w:div>
        <w:div w:id="730350778">
          <w:marLeft w:val="0"/>
          <w:marRight w:val="0"/>
          <w:marTop w:val="0"/>
          <w:marBottom w:val="0"/>
          <w:divBdr>
            <w:top w:val="none" w:sz="0" w:space="0" w:color="auto"/>
            <w:left w:val="none" w:sz="0" w:space="0" w:color="auto"/>
            <w:bottom w:val="none" w:sz="0" w:space="0" w:color="auto"/>
            <w:right w:val="none" w:sz="0" w:space="0" w:color="auto"/>
          </w:divBdr>
        </w:div>
        <w:div w:id="780952434">
          <w:marLeft w:val="0"/>
          <w:marRight w:val="0"/>
          <w:marTop w:val="0"/>
          <w:marBottom w:val="0"/>
          <w:divBdr>
            <w:top w:val="none" w:sz="0" w:space="0" w:color="auto"/>
            <w:left w:val="none" w:sz="0" w:space="0" w:color="auto"/>
            <w:bottom w:val="none" w:sz="0" w:space="0" w:color="auto"/>
            <w:right w:val="none" w:sz="0" w:space="0" w:color="auto"/>
          </w:divBdr>
        </w:div>
        <w:div w:id="1012336607">
          <w:marLeft w:val="0"/>
          <w:marRight w:val="0"/>
          <w:marTop w:val="0"/>
          <w:marBottom w:val="0"/>
          <w:divBdr>
            <w:top w:val="none" w:sz="0" w:space="0" w:color="auto"/>
            <w:left w:val="none" w:sz="0" w:space="0" w:color="auto"/>
            <w:bottom w:val="none" w:sz="0" w:space="0" w:color="auto"/>
            <w:right w:val="none" w:sz="0" w:space="0" w:color="auto"/>
          </w:divBdr>
        </w:div>
        <w:div w:id="1014264152">
          <w:marLeft w:val="0"/>
          <w:marRight w:val="0"/>
          <w:marTop w:val="0"/>
          <w:marBottom w:val="0"/>
          <w:divBdr>
            <w:top w:val="none" w:sz="0" w:space="0" w:color="auto"/>
            <w:left w:val="none" w:sz="0" w:space="0" w:color="auto"/>
            <w:bottom w:val="none" w:sz="0" w:space="0" w:color="auto"/>
            <w:right w:val="none" w:sz="0" w:space="0" w:color="auto"/>
          </w:divBdr>
        </w:div>
        <w:div w:id="1055471710">
          <w:marLeft w:val="0"/>
          <w:marRight w:val="0"/>
          <w:marTop w:val="0"/>
          <w:marBottom w:val="0"/>
          <w:divBdr>
            <w:top w:val="none" w:sz="0" w:space="0" w:color="auto"/>
            <w:left w:val="none" w:sz="0" w:space="0" w:color="auto"/>
            <w:bottom w:val="none" w:sz="0" w:space="0" w:color="auto"/>
            <w:right w:val="none" w:sz="0" w:space="0" w:color="auto"/>
          </w:divBdr>
        </w:div>
        <w:div w:id="1077243637">
          <w:marLeft w:val="0"/>
          <w:marRight w:val="0"/>
          <w:marTop w:val="0"/>
          <w:marBottom w:val="0"/>
          <w:divBdr>
            <w:top w:val="none" w:sz="0" w:space="0" w:color="auto"/>
            <w:left w:val="none" w:sz="0" w:space="0" w:color="auto"/>
            <w:bottom w:val="none" w:sz="0" w:space="0" w:color="auto"/>
            <w:right w:val="none" w:sz="0" w:space="0" w:color="auto"/>
          </w:divBdr>
        </w:div>
        <w:div w:id="1103964179">
          <w:marLeft w:val="0"/>
          <w:marRight w:val="0"/>
          <w:marTop w:val="0"/>
          <w:marBottom w:val="0"/>
          <w:divBdr>
            <w:top w:val="none" w:sz="0" w:space="0" w:color="auto"/>
            <w:left w:val="none" w:sz="0" w:space="0" w:color="auto"/>
            <w:bottom w:val="none" w:sz="0" w:space="0" w:color="auto"/>
            <w:right w:val="none" w:sz="0" w:space="0" w:color="auto"/>
          </w:divBdr>
        </w:div>
        <w:div w:id="1577662775">
          <w:marLeft w:val="0"/>
          <w:marRight w:val="0"/>
          <w:marTop w:val="0"/>
          <w:marBottom w:val="0"/>
          <w:divBdr>
            <w:top w:val="none" w:sz="0" w:space="0" w:color="auto"/>
            <w:left w:val="none" w:sz="0" w:space="0" w:color="auto"/>
            <w:bottom w:val="none" w:sz="0" w:space="0" w:color="auto"/>
            <w:right w:val="none" w:sz="0" w:space="0" w:color="auto"/>
          </w:divBdr>
        </w:div>
        <w:div w:id="1578707378">
          <w:marLeft w:val="0"/>
          <w:marRight w:val="0"/>
          <w:marTop w:val="0"/>
          <w:marBottom w:val="0"/>
          <w:divBdr>
            <w:top w:val="none" w:sz="0" w:space="0" w:color="auto"/>
            <w:left w:val="none" w:sz="0" w:space="0" w:color="auto"/>
            <w:bottom w:val="none" w:sz="0" w:space="0" w:color="auto"/>
            <w:right w:val="none" w:sz="0" w:space="0" w:color="auto"/>
          </w:divBdr>
        </w:div>
        <w:div w:id="1720981364">
          <w:marLeft w:val="0"/>
          <w:marRight w:val="0"/>
          <w:marTop w:val="0"/>
          <w:marBottom w:val="0"/>
          <w:divBdr>
            <w:top w:val="none" w:sz="0" w:space="0" w:color="auto"/>
            <w:left w:val="none" w:sz="0" w:space="0" w:color="auto"/>
            <w:bottom w:val="none" w:sz="0" w:space="0" w:color="auto"/>
            <w:right w:val="none" w:sz="0" w:space="0" w:color="auto"/>
          </w:divBdr>
        </w:div>
        <w:div w:id="1949660710">
          <w:marLeft w:val="0"/>
          <w:marRight w:val="0"/>
          <w:marTop w:val="0"/>
          <w:marBottom w:val="0"/>
          <w:divBdr>
            <w:top w:val="none" w:sz="0" w:space="0" w:color="auto"/>
            <w:left w:val="none" w:sz="0" w:space="0" w:color="auto"/>
            <w:bottom w:val="none" w:sz="0" w:space="0" w:color="auto"/>
            <w:right w:val="none" w:sz="0" w:space="0" w:color="auto"/>
          </w:divBdr>
        </w:div>
        <w:div w:id="2091612683">
          <w:marLeft w:val="0"/>
          <w:marRight w:val="0"/>
          <w:marTop w:val="0"/>
          <w:marBottom w:val="0"/>
          <w:divBdr>
            <w:top w:val="none" w:sz="0" w:space="0" w:color="auto"/>
            <w:left w:val="none" w:sz="0" w:space="0" w:color="auto"/>
            <w:bottom w:val="none" w:sz="0" w:space="0" w:color="auto"/>
            <w:right w:val="none" w:sz="0" w:space="0" w:color="auto"/>
          </w:divBdr>
        </w:div>
      </w:divsChild>
    </w:div>
    <w:div w:id="403844888">
      <w:bodyDiv w:val="1"/>
      <w:marLeft w:val="0"/>
      <w:marRight w:val="0"/>
      <w:marTop w:val="0"/>
      <w:marBottom w:val="0"/>
      <w:divBdr>
        <w:top w:val="none" w:sz="0" w:space="0" w:color="auto"/>
        <w:left w:val="none" w:sz="0" w:space="0" w:color="auto"/>
        <w:bottom w:val="none" w:sz="0" w:space="0" w:color="auto"/>
        <w:right w:val="none" w:sz="0" w:space="0" w:color="auto"/>
      </w:divBdr>
      <w:divsChild>
        <w:div w:id="2035107839">
          <w:marLeft w:val="0"/>
          <w:marRight w:val="0"/>
          <w:marTop w:val="0"/>
          <w:marBottom w:val="0"/>
          <w:divBdr>
            <w:top w:val="none" w:sz="0" w:space="0" w:color="auto"/>
            <w:left w:val="none" w:sz="0" w:space="0" w:color="auto"/>
            <w:bottom w:val="none" w:sz="0" w:space="0" w:color="auto"/>
            <w:right w:val="none" w:sz="0" w:space="0" w:color="auto"/>
          </w:divBdr>
        </w:div>
      </w:divsChild>
    </w:div>
    <w:div w:id="405229108">
      <w:bodyDiv w:val="1"/>
      <w:marLeft w:val="0"/>
      <w:marRight w:val="0"/>
      <w:marTop w:val="0"/>
      <w:marBottom w:val="0"/>
      <w:divBdr>
        <w:top w:val="none" w:sz="0" w:space="0" w:color="auto"/>
        <w:left w:val="none" w:sz="0" w:space="0" w:color="auto"/>
        <w:bottom w:val="none" w:sz="0" w:space="0" w:color="auto"/>
        <w:right w:val="none" w:sz="0" w:space="0" w:color="auto"/>
      </w:divBdr>
      <w:divsChild>
        <w:div w:id="664436021">
          <w:marLeft w:val="0"/>
          <w:marRight w:val="0"/>
          <w:marTop w:val="0"/>
          <w:marBottom w:val="0"/>
          <w:divBdr>
            <w:top w:val="none" w:sz="0" w:space="0" w:color="auto"/>
            <w:left w:val="none" w:sz="0" w:space="0" w:color="auto"/>
            <w:bottom w:val="none" w:sz="0" w:space="0" w:color="auto"/>
            <w:right w:val="none" w:sz="0" w:space="0" w:color="auto"/>
          </w:divBdr>
        </w:div>
      </w:divsChild>
    </w:div>
    <w:div w:id="410125109">
      <w:bodyDiv w:val="1"/>
      <w:marLeft w:val="0"/>
      <w:marRight w:val="0"/>
      <w:marTop w:val="0"/>
      <w:marBottom w:val="0"/>
      <w:divBdr>
        <w:top w:val="none" w:sz="0" w:space="0" w:color="auto"/>
        <w:left w:val="none" w:sz="0" w:space="0" w:color="auto"/>
        <w:bottom w:val="none" w:sz="0" w:space="0" w:color="auto"/>
        <w:right w:val="none" w:sz="0" w:space="0" w:color="auto"/>
      </w:divBdr>
    </w:div>
    <w:div w:id="421492998">
      <w:bodyDiv w:val="1"/>
      <w:marLeft w:val="0"/>
      <w:marRight w:val="0"/>
      <w:marTop w:val="0"/>
      <w:marBottom w:val="0"/>
      <w:divBdr>
        <w:top w:val="none" w:sz="0" w:space="0" w:color="auto"/>
        <w:left w:val="none" w:sz="0" w:space="0" w:color="auto"/>
        <w:bottom w:val="none" w:sz="0" w:space="0" w:color="auto"/>
        <w:right w:val="none" w:sz="0" w:space="0" w:color="auto"/>
      </w:divBdr>
    </w:div>
    <w:div w:id="438378917">
      <w:bodyDiv w:val="1"/>
      <w:marLeft w:val="0"/>
      <w:marRight w:val="0"/>
      <w:marTop w:val="0"/>
      <w:marBottom w:val="0"/>
      <w:divBdr>
        <w:top w:val="none" w:sz="0" w:space="0" w:color="auto"/>
        <w:left w:val="none" w:sz="0" w:space="0" w:color="auto"/>
        <w:bottom w:val="none" w:sz="0" w:space="0" w:color="auto"/>
        <w:right w:val="none" w:sz="0" w:space="0" w:color="auto"/>
      </w:divBdr>
      <w:divsChild>
        <w:div w:id="1221136372">
          <w:marLeft w:val="0"/>
          <w:marRight w:val="0"/>
          <w:marTop w:val="0"/>
          <w:marBottom w:val="0"/>
          <w:divBdr>
            <w:top w:val="none" w:sz="0" w:space="0" w:color="auto"/>
            <w:left w:val="none" w:sz="0" w:space="0" w:color="auto"/>
            <w:bottom w:val="none" w:sz="0" w:space="0" w:color="auto"/>
            <w:right w:val="none" w:sz="0" w:space="0" w:color="auto"/>
          </w:divBdr>
        </w:div>
      </w:divsChild>
    </w:div>
    <w:div w:id="481390257">
      <w:bodyDiv w:val="1"/>
      <w:marLeft w:val="0"/>
      <w:marRight w:val="0"/>
      <w:marTop w:val="0"/>
      <w:marBottom w:val="0"/>
      <w:divBdr>
        <w:top w:val="none" w:sz="0" w:space="0" w:color="auto"/>
        <w:left w:val="none" w:sz="0" w:space="0" w:color="auto"/>
        <w:bottom w:val="none" w:sz="0" w:space="0" w:color="auto"/>
        <w:right w:val="none" w:sz="0" w:space="0" w:color="auto"/>
      </w:divBdr>
    </w:div>
    <w:div w:id="481704699">
      <w:bodyDiv w:val="1"/>
      <w:marLeft w:val="0"/>
      <w:marRight w:val="0"/>
      <w:marTop w:val="0"/>
      <w:marBottom w:val="0"/>
      <w:divBdr>
        <w:top w:val="none" w:sz="0" w:space="0" w:color="auto"/>
        <w:left w:val="none" w:sz="0" w:space="0" w:color="auto"/>
        <w:bottom w:val="none" w:sz="0" w:space="0" w:color="auto"/>
        <w:right w:val="none" w:sz="0" w:space="0" w:color="auto"/>
      </w:divBdr>
      <w:divsChild>
        <w:div w:id="47346380">
          <w:marLeft w:val="0"/>
          <w:marRight w:val="0"/>
          <w:marTop w:val="0"/>
          <w:marBottom w:val="0"/>
          <w:divBdr>
            <w:top w:val="none" w:sz="0" w:space="0" w:color="auto"/>
            <w:left w:val="none" w:sz="0" w:space="0" w:color="auto"/>
            <w:bottom w:val="none" w:sz="0" w:space="0" w:color="auto"/>
            <w:right w:val="none" w:sz="0" w:space="0" w:color="auto"/>
          </w:divBdr>
        </w:div>
      </w:divsChild>
    </w:div>
    <w:div w:id="490953171">
      <w:bodyDiv w:val="1"/>
      <w:marLeft w:val="0"/>
      <w:marRight w:val="0"/>
      <w:marTop w:val="0"/>
      <w:marBottom w:val="0"/>
      <w:divBdr>
        <w:top w:val="none" w:sz="0" w:space="0" w:color="auto"/>
        <w:left w:val="none" w:sz="0" w:space="0" w:color="auto"/>
        <w:bottom w:val="none" w:sz="0" w:space="0" w:color="auto"/>
        <w:right w:val="none" w:sz="0" w:space="0" w:color="auto"/>
      </w:divBdr>
    </w:div>
    <w:div w:id="502358012">
      <w:bodyDiv w:val="1"/>
      <w:marLeft w:val="0"/>
      <w:marRight w:val="0"/>
      <w:marTop w:val="0"/>
      <w:marBottom w:val="0"/>
      <w:divBdr>
        <w:top w:val="none" w:sz="0" w:space="0" w:color="auto"/>
        <w:left w:val="none" w:sz="0" w:space="0" w:color="auto"/>
        <w:bottom w:val="none" w:sz="0" w:space="0" w:color="auto"/>
        <w:right w:val="none" w:sz="0" w:space="0" w:color="auto"/>
      </w:divBdr>
    </w:div>
    <w:div w:id="521166158">
      <w:bodyDiv w:val="1"/>
      <w:marLeft w:val="0"/>
      <w:marRight w:val="0"/>
      <w:marTop w:val="0"/>
      <w:marBottom w:val="0"/>
      <w:divBdr>
        <w:top w:val="none" w:sz="0" w:space="0" w:color="auto"/>
        <w:left w:val="none" w:sz="0" w:space="0" w:color="auto"/>
        <w:bottom w:val="none" w:sz="0" w:space="0" w:color="auto"/>
        <w:right w:val="none" w:sz="0" w:space="0" w:color="auto"/>
      </w:divBdr>
      <w:divsChild>
        <w:div w:id="120392533">
          <w:marLeft w:val="0"/>
          <w:marRight w:val="0"/>
          <w:marTop w:val="0"/>
          <w:marBottom w:val="0"/>
          <w:divBdr>
            <w:top w:val="none" w:sz="0" w:space="0" w:color="auto"/>
            <w:left w:val="none" w:sz="0" w:space="0" w:color="auto"/>
            <w:bottom w:val="none" w:sz="0" w:space="0" w:color="auto"/>
            <w:right w:val="none" w:sz="0" w:space="0" w:color="auto"/>
          </w:divBdr>
        </w:div>
      </w:divsChild>
    </w:div>
    <w:div w:id="533810395">
      <w:bodyDiv w:val="1"/>
      <w:marLeft w:val="0"/>
      <w:marRight w:val="0"/>
      <w:marTop w:val="0"/>
      <w:marBottom w:val="0"/>
      <w:divBdr>
        <w:top w:val="none" w:sz="0" w:space="0" w:color="auto"/>
        <w:left w:val="none" w:sz="0" w:space="0" w:color="auto"/>
        <w:bottom w:val="none" w:sz="0" w:space="0" w:color="auto"/>
        <w:right w:val="none" w:sz="0" w:space="0" w:color="auto"/>
      </w:divBdr>
    </w:div>
    <w:div w:id="545532349">
      <w:bodyDiv w:val="1"/>
      <w:marLeft w:val="0"/>
      <w:marRight w:val="0"/>
      <w:marTop w:val="0"/>
      <w:marBottom w:val="0"/>
      <w:divBdr>
        <w:top w:val="none" w:sz="0" w:space="0" w:color="auto"/>
        <w:left w:val="none" w:sz="0" w:space="0" w:color="auto"/>
        <w:bottom w:val="none" w:sz="0" w:space="0" w:color="auto"/>
        <w:right w:val="none" w:sz="0" w:space="0" w:color="auto"/>
      </w:divBdr>
    </w:div>
    <w:div w:id="579100545">
      <w:bodyDiv w:val="1"/>
      <w:marLeft w:val="0"/>
      <w:marRight w:val="0"/>
      <w:marTop w:val="0"/>
      <w:marBottom w:val="0"/>
      <w:divBdr>
        <w:top w:val="none" w:sz="0" w:space="0" w:color="auto"/>
        <w:left w:val="none" w:sz="0" w:space="0" w:color="auto"/>
        <w:bottom w:val="none" w:sz="0" w:space="0" w:color="auto"/>
        <w:right w:val="none" w:sz="0" w:space="0" w:color="auto"/>
      </w:divBdr>
      <w:divsChild>
        <w:div w:id="65736909">
          <w:marLeft w:val="0"/>
          <w:marRight w:val="0"/>
          <w:marTop w:val="0"/>
          <w:marBottom w:val="0"/>
          <w:divBdr>
            <w:top w:val="none" w:sz="0" w:space="0" w:color="auto"/>
            <w:left w:val="none" w:sz="0" w:space="0" w:color="auto"/>
            <w:bottom w:val="none" w:sz="0" w:space="0" w:color="auto"/>
            <w:right w:val="none" w:sz="0" w:space="0" w:color="auto"/>
          </w:divBdr>
        </w:div>
      </w:divsChild>
    </w:div>
    <w:div w:id="580408299">
      <w:bodyDiv w:val="1"/>
      <w:marLeft w:val="0"/>
      <w:marRight w:val="0"/>
      <w:marTop w:val="0"/>
      <w:marBottom w:val="0"/>
      <w:divBdr>
        <w:top w:val="none" w:sz="0" w:space="0" w:color="auto"/>
        <w:left w:val="none" w:sz="0" w:space="0" w:color="auto"/>
        <w:bottom w:val="none" w:sz="0" w:space="0" w:color="auto"/>
        <w:right w:val="none" w:sz="0" w:space="0" w:color="auto"/>
      </w:divBdr>
      <w:divsChild>
        <w:div w:id="437874975">
          <w:marLeft w:val="0"/>
          <w:marRight w:val="0"/>
          <w:marTop w:val="0"/>
          <w:marBottom w:val="0"/>
          <w:divBdr>
            <w:top w:val="none" w:sz="0" w:space="0" w:color="auto"/>
            <w:left w:val="none" w:sz="0" w:space="0" w:color="auto"/>
            <w:bottom w:val="none" w:sz="0" w:space="0" w:color="auto"/>
            <w:right w:val="none" w:sz="0" w:space="0" w:color="auto"/>
          </w:divBdr>
        </w:div>
      </w:divsChild>
    </w:div>
    <w:div w:id="598610553">
      <w:bodyDiv w:val="1"/>
      <w:marLeft w:val="0"/>
      <w:marRight w:val="0"/>
      <w:marTop w:val="0"/>
      <w:marBottom w:val="0"/>
      <w:divBdr>
        <w:top w:val="none" w:sz="0" w:space="0" w:color="auto"/>
        <w:left w:val="none" w:sz="0" w:space="0" w:color="auto"/>
        <w:bottom w:val="none" w:sz="0" w:space="0" w:color="auto"/>
        <w:right w:val="none" w:sz="0" w:space="0" w:color="auto"/>
      </w:divBdr>
      <w:divsChild>
        <w:div w:id="78255894">
          <w:marLeft w:val="0"/>
          <w:marRight w:val="0"/>
          <w:marTop w:val="0"/>
          <w:marBottom w:val="0"/>
          <w:divBdr>
            <w:top w:val="none" w:sz="0" w:space="0" w:color="auto"/>
            <w:left w:val="none" w:sz="0" w:space="0" w:color="auto"/>
            <w:bottom w:val="none" w:sz="0" w:space="0" w:color="auto"/>
            <w:right w:val="none" w:sz="0" w:space="0" w:color="auto"/>
          </w:divBdr>
        </w:div>
        <w:div w:id="293290716">
          <w:marLeft w:val="0"/>
          <w:marRight w:val="0"/>
          <w:marTop w:val="0"/>
          <w:marBottom w:val="0"/>
          <w:divBdr>
            <w:top w:val="none" w:sz="0" w:space="0" w:color="auto"/>
            <w:left w:val="none" w:sz="0" w:space="0" w:color="auto"/>
            <w:bottom w:val="none" w:sz="0" w:space="0" w:color="auto"/>
            <w:right w:val="none" w:sz="0" w:space="0" w:color="auto"/>
          </w:divBdr>
        </w:div>
        <w:div w:id="1212577764">
          <w:marLeft w:val="0"/>
          <w:marRight w:val="0"/>
          <w:marTop w:val="0"/>
          <w:marBottom w:val="0"/>
          <w:divBdr>
            <w:top w:val="none" w:sz="0" w:space="0" w:color="auto"/>
            <w:left w:val="none" w:sz="0" w:space="0" w:color="auto"/>
            <w:bottom w:val="none" w:sz="0" w:space="0" w:color="auto"/>
            <w:right w:val="none" w:sz="0" w:space="0" w:color="auto"/>
          </w:divBdr>
        </w:div>
        <w:div w:id="1961186083">
          <w:marLeft w:val="0"/>
          <w:marRight w:val="0"/>
          <w:marTop w:val="0"/>
          <w:marBottom w:val="0"/>
          <w:divBdr>
            <w:top w:val="none" w:sz="0" w:space="0" w:color="auto"/>
            <w:left w:val="none" w:sz="0" w:space="0" w:color="auto"/>
            <w:bottom w:val="none" w:sz="0" w:space="0" w:color="auto"/>
            <w:right w:val="none" w:sz="0" w:space="0" w:color="auto"/>
          </w:divBdr>
        </w:div>
      </w:divsChild>
    </w:div>
    <w:div w:id="627971215">
      <w:bodyDiv w:val="1"/>
      <w:marLeft w:val="0"/>
      <w:marRight w:val="0"/>
      <w:marTop w:val="0"/>
      <w:marBottom w:val="0"/>
      <w:divBdr>
        <w:top w:val="none" w:sz="0" w:space="0" w:color="auto"/>
        <w:left w:val="none" w:sz="0" w:space="0" w:color="auto"/>
        <w:bottom w:val="none" w:sz="0" w:space="0" w:color="auto"/>
        <w:right w:val="none" w:sz="0" w:space="0" w:color="auto"/>
      </w:divBdr>
    </w:div>
    <w:div w:id="640573479">
      <w:bodyDiv w:val="1"/>
      <w:marLeft w:val="0"/>
      <w:marRight w:val="0"/>
      <w:marTop w:val="0"/>
      <w:marBottom w:val="0"/>
      <w:divBdr>
        <w:top w:val="none" w:sz="0" w:space="0" w:color="auto"/>
        <w:left w:val="none" w:sz="0" w:space="0" w:color="auto"/>
        <w:bottom w:val="none" w:sz="0" w:space="0" w:color="auto"/>
        <w:right w:val="none" w:sz="0" w:space="0" w:color="auto"/>
      </w:divBdr>
      <w:divsChild>
        <w:div w:id="2055612390">
          <w:marLeft w:val="0"/>
          <w:marRight w:val="0"/>
          <w:marTop w:val="0"/>
          <w:marBottom w:val="0"/>
          <w:divBdr>
            <w:top w:val="none" w:sz="0" w:space="0" w:color="auto"/>
            <w:left w:val="none" w:sz="0" w:space="0" w:color="auto"/>
            <w:bottom w:val="none" w:sz="0" w:space="0" w:color="auto"/>
            <w:right w:val="none" w:sz="0" w:space="0" w:color="auto"/>
          </w:divBdr>
        </w:div>
      </w:divsChild>
    </w:div>
    <w:div w:id="643118395">
      <w:bodyDiv w:val="1"/>
      <w:marLeft w:val="0"/>
      <w:marRight w:val="0"/>
      <w:marTop w:val="0"/>
      <w:marBottom w:val="0"/>
      <w:divBdr>
        <w:top w:val="none" w:sz="0" w:space="0" w:color="auto"/>
        <w:left w:val="none" w:sz="0" w:space="0" w:color="auto"/>
        <w:bottom w:val="none" w:sz="0" w:space="0" w:color="auto"/>
        <w:right w:val="none" w:sz="0" w:space="0" w:color="auto"/>
      </w:divBdr>
      <w:divsChild>
        <w:div w:id="30304154">
          <w:marLeft w:val="0"/>
          <w:marRight w:val="0"/>
          <w:marTop w:val="0"/>
          <w:marBottom w:val="0"/>
          <w:divBdr>
            <w:top w:val="none" w:sz="0" w:space="0" w:color="auto"/>
            <w:left w:val="none" w:sz="0" w:space="0" w:color="auto"/>
            <w:bottom w:val="none" w:sz="0" w:space="0" w:color="auto"/>
            <w:right w:val="none" w:sz="0" w:space="0" w:color="auto"/>
          </w:divBdr>
        </w:div>
      </w:divsChild>
    </w:div>
    <w:div w:id="665866390">
      <w:bodyDiv w:val="1"/>
      <w:marLeft w:val="0"/>
      <w:marRight w:val="0"/>
      <w:marTop w:val="0"/>
      <w:marBottom w:val="0"/>
      <w:divBdr>
        <w:top w:val="none" w:sz="0" w:space="0" w:color="auto"/>
        <w:left w:val="none" w:sz="0" w:space="0" w:color="auto"/>
        <w:bottom w:val="none" w:sz="0" w:space="0" w:color="auto"/>
        <w:right w:val="none" w:sz="0" w:space="0" w:color="auto"/>
      </w:divBdr>
    </w:div>
    <w:div w:id="679742756">
      <w:bodyDiv w:val="1"/>
      <w:marLeft w:val="0"/>
      <w:marRight w:val="0"/>
      <w:marTop w:val="0"/>
      <w:marBottom w:val="0"/>
      <w:divBdr>
        <w:top w:val="none" w:sz="0" w:space="0" w:color="auto"/>
        <w:left w:val="none" w:sz="0" w:space="0" w:color="auto"/>
        <w:bottom w:val="none" w:sz="0" w:space="0" w:color="auto"/>
        <w:right w:val="none" w:sz="0" w:space="0" w:color="auto"/>
      </w:divBdr>
    </w:div>
    <w:div w:id="681276470">
      <w:bodyDiv w:val="1"/>
      <w:marLeft w:val="0"/>
      <w:marRight w:val="0"/>
      <w:marTop w:val="0"/>
      <w:marBottom w:val="0"/>
      <w:divBdr>
        <w:top w:val="none" w:sz="0" w:space="0" w:color="auto"/>
        <w:left w:val="none" w:sz="0" w:space="0" w:color="auto"/>
        <w:bottom w:val="none" w:sz="0" w:space="0" w:color="auto"/>
        <w:right w:val="none" w:sz="0" w:space="0" w:color="auto"/>
      </w:divBdr>
    </w:div>
    <w:div w:id="712315020">
      <w:bodyDiv w:val="1"/>
      <w:marLeft w:val="0"/>
      <w:marRight w:val="0"/>
      <w:marTop w:val="0"/>
      <w:marBottom w:val="0"/>
      <w:divBdr>
        <w:top w:val="none" w:sz="0" w:space="0" w:color="auto"/>
        <w:left w:val="none" w:sz="0" w:space="0" w:color="auto"/>
        <w:bottom w:val="none" w:sz="0" w:space="0" w:color="auto"/>
        <w:right w:val="none" w:sz="0" w:space="0" w:color="auto"/>
      </w:divBdr>
    </w:div>
    <w:div w:id="718818228">
      <w:bodyDiv w:val="1"/>
      <w:marLeft w:val="0"/>
      <w:marRight w:val="0"/>
      <w:marTop w:val="0"/>
      <w:marBottom w:val="0"/>
      <w:divBdr>
        <w:top w:val="none" w:sz="0" w:space="0" w:color="auto"/>
        <w:left w:val="none" w:sz="0" w:space="0" w:color="auto"/>
        <w:bottom w:val="none" w:sz="0" w:space="0" w:color="auto"/>
        <w:right w:val="none" w:sz="0" w:space="0" w:color="auto"/>
      </w:divBdr>
      <w:divsChild>
        <w:div w:id="236324528">
          <w:marLeft w:val="0"/>
          <w:marRight w:val="0"/>
          <w:marTop w:val="0"/>
          <w:marBottom w:val="0"/>
          <w:divBdr>
            <w:top w:val="none" w:sz="0" w:space="0" w:color="auto"/>
            <w:left w:val="none" w:sz="0" w:space="0" w:color="auto"/>
            <w:bottom w:val="none" w:sz="0" w:space="0" w:color="auto"/>
            <w:right w:val="none" w:sz="0" w:space="0" w:color="auto"/>
          </w:divBdr>
        </w:div>
      </w:divsChild>
    </w:div>
    <w:div w:id="730886367">
      <w:bodyDiv w:val="1"/>
      <w:marLeft w:val="0"/>
      <w:marRight w:val="0"/>
      <w:marTop w:val="0"/>
      <w:marBottom w:val="0"/>
      <w:divBdr>
        <w:top w:val="none" w:sz="0" w:space="0" w:color="auto"/>
        <w:left w:val="none" w:sz="0" w:space="0" w:color="auto"/>
        <w:bottom w:val="none" w:sz="0" w:space="0" w:color="auto"/>
        <w:right w:val="none" w:sz="0" w:space="0" w:color="auto"/>
      </w:divBdr>
    </w:div>
    <w:div w:id="754323778">
      <w:bodyDiv w:val="1"/>
      <w:marLeft w:val="0"/>
      <w:marRight w:val="0"/>
      <w:marTop w:val="0"/>
      <w:marBottom w:val="0"/>
      <w:divBdr>
        <w:top w:val="none" w:sz="0" w:space="0" w:color="auto"/>
        <w:left w:val="none" w:sz="0" w:space="0" w:color="auto"/>
        <w:bottom w:val="none" w:sz="0" w:space="0" w:color="auto"/>
        <w:right w:val="none" w:sz="0" w:space="0" w:color="auto"/>
      </w:divBdr>
    </w:div>
    <w:div w:id="762459562">
      <w:bodyDiv w:val="1"/>
      <w:marLeft w:val="0"/>
      <w:marRight w:val="0"/>
      <w:marTop w:val="0"/>
      <w:marBottom w:val="0"/>
      <w:divBdr>
        <w:top w:val="none" w:sz="0" w:space="0" w:color="auto"/>
        <w:left w:val="none" w:sz="0" w:space="0" w:color="auto"/>
        <w:bottom w:val="none" w:sz="0" w:space="0" w:color="auto"/>
        <w:right w:val="none" w:sz="0" w:space="0" w:color="auto"/>
      </w:divBdr>
    </w:div>
    <w:div w:id="776413222">
      <w:bodyDiv w:val="1"/>
      <w:marLeft w:val="0"/>
      <w:marRight w:val="0"/>
      <w:marTop w:val="0"/>
      <w:marBottom w:val="0"/>
      <w:divBdr>
        <w:top w:val="none" w:sz="0" w:space="0" w:color="auto"/>
        <w:left w:val="none" w:sz="0" w:space="0" w:color="auto"/>
        <w:bottom w:val="none" w:sz="0" w:space="0" w:color="auto"/>
        <w:right w:val="none" w:sz="0" w:space="0" w:color="auto"/>
      </w:divBdr>
    </w:div>
    <w:div w:id="794757073">
      <w:bodyDiv w:val="1"/>
      <w:marLeft w:val="0"/>
      <w:marRight w:val="0"/>
      <w:marTop w:val="0"/>
      <w:marBottom w:val="0"/>
      <w:divBdr>
        <w:top w:val="none" w:sz="0" w:space="0" w:color="auto"/>
        <w:left w:val="none" w:sz="0" w:space="0" w:color="auto"/>
        <w:bottom w:val="none" w:sz="0" w:space="0" w:color="auto"/>
        <w:right w:val="none" w:sz="0" w:space="0" w:color="auto"/>
      </w:divBdr>
    </w:div>
    <w:div w:id="804085323">
      <w:bodyDiv w:val="1"/>
      <w:marLeft w:val="0"/>
      <w:marRight w:val="0"/>
      <w:marTop w:val="0"/>
      <w:marBottom w:val="0"/>
      <w:divBdr>
        <w:top w:val="none" w:sz="0" w:space="0" w:color="auto"/>
        <w:left w:val="none" w:sz="0" w:space="0" w:color="auto"/>
        <w:bottom w:val="none" w:sz="0" w:space="0" w:color="auto"/>
        <w:right w:val="none" w:sz="0" w:space="0" w:color="auto"/>
      </w:divBdr>
      <w:divsChild>
        <w:div w:id="1070271240">
          <w:marLeft w:val="0"/>
          <w:marRight w:val="0"/>
          <w:marTop w:val="0"/>
          <w:marBottom w:val="0"/>
          <w:divBdr>
            <w:top w:val="none" w:sz="0" w:space="0" w:color="auto"/>
            <w:left w:val="none" w:sz="0" w:space="0" w:color="auto"/>
            <w:bottom w:val="none" w:sz="0" w:space="0" w:color="auto"/>
            <w:right w:val="none" w:sz="0" w:space="0" w:color="auto"/>
          </w:divBdr>
        </w:div>
      </w:divsChild>
    </w:div>
    <w:div w:id="807741123">
      <w:bodyDiv w:val="1"/>
      <w:marLeft w:val="0"/>
      <w:marRight w:val="0"/>
      <w:marTop w:val="0"/>
      <w:marBottom w:val="0"/>
      <w:divBdr>
        <w:top w:val="none" w:sz="0" w:space="0" w:color="auto"/>
        <w:left w:val="none" w:sz="0" w:space="0" w:color="auto"/>
        <w:bottom w:val="none" w:sz="0" w:space="0" w:color="auto"/>
        <w:right w:val="none" w:sz="0" w:space="0" w:color="auto"/>
      </w:divBdr>
    </w:div>
    <w:div w:id="808548976">
      <w:bodyDiv w:val="1"/>
      <w:marLeft w:val="0"/>
      <w:marRight w:val="0"/>
      <w:marTop w:val="0"/>
      <w:marBottom w:val="0"/>
      <w:divBdr>
        <w:top w:val="none" w:sz="0" w:space="0" w:color="auto"/>
        <w:left w:val="none" w:sz="0" w:space="0" w:color="auto"/>
        <w:bottom w:val="none" w:sz="0" w:space="0" w:color="auto"/>
        <w:right w:val="none" w:sz="0" w:space="0" w:color="auto"/>
      </w:divBdr>
      <w:divsChild>
        <w:div w:id="1018045687">
          <w:marLeft w:val="0"/>
          <w:marRight w:val="0"/>
          <w:marTop w:val="0"/>
          <w:marBottom w:val="0"/>
          <w:divBdr>
            <w:top w:val="none" w:sz="0" w:space="0" w:color="auto"/>
            <w:left w:val="none" w:sz="0" w:space="0" w:color="auto"/>
            <w:bottom w:val="none" w:sz="0" w:space="0" w:color="auto"/>
            <w:right w:val="none" w:sz="0" w:space="0" w:color="auto"/>
          </w:divBdr>
        </w:div>
      </w:divsChild>
    </w:div>
    <w:div w:id="809253392">
      <w:bodyDiv w:val="1"/>
      <w:marLeft w:val="0"/>
      <w:marRight w:val="0"/>
      <w:marTop w:val="0"/>
      <w:marBottom w:val="0"/>
      <w:divBdr>
        <w:top w:val="none" w:sz="0" w:space="0" w:color="auto"/>
        <w:left w:val="none" w:sz="0" w:space="0" w:color="auto"/>
        <w:bottom w:val="none" w:sz="0" w:space="0" w:color="auto"/>
        <w:right w:val="none" w:sz="0" w:space="0" w:color="auto"/>
      </w:divBdr>
      <w:divsChild>
        <w:div w:id="918489450">
          <w:marLeft w:val="0"/>
          <w:marRight w:val="0"/>
          <w:marTop w:val="48"/>
          <w:marBottom w:val="120"/>
          <w:divBdr>
            <w:top w:val="none" w:sz="0" w:space="0" w:color="auto"/>
            <w:left w:val="none" w:sz="0" w:space="0" w:color="auto"/>
            <w:bottom w:val="none" w:sz="0" w:space="0" w:color="auto"/>
            <w:right w:val="none" w:sz="0" w:space="0" w:color="auto"/>
          </w:divBdr>
        </w:div>
      </w:divsChild>
    </w:div>
    <w:div w:id="817962500">
      <w:bodyDiv w:val="1"/>
      <w:marLeft w:val="0"/>
      <w:marRight w:val="0"/>
      <w:marTop w:val="0"/>
      <w:marBottom w:val="0"/>
      <w:divBdr>
        <w:top w:val="none" w:sz="0" w:space="0" w:color="auto"/>
        <w:left w:val="none" w:sz="0" w:space="0" w:color="auto"/>
        <w:bottom w:val="none" w:sz="0" w:space="0" w:color="auto"/>
        <w:right w:val="none" w:sz="0" w:space="0" w:color="auto"/>
      </w:divBdr>
    </w:div>
    <w:div w:id="818613450">
      <w:bodyDiv w:val="1"/>
      <w:marLeft w:val="0"/>
      <w:marRight w:val="0"/>
      <w:marTop w:val="0"/>
      <w:marBottom w:val="0"/>
      <w:divBdr>
        <w:top w:val="none" w:sz="0" w:space="0" w:color="auto"/>
        <w:left w:val="none" w:sz="0" w:space="0" w:color="auto"/>
        <w:bottom w:val="none" w:sz="0" w:space="0" w:color="auto"/>
        <w:right w:val="none" w:sz="0" w:space="0" w:color="auto"/>
      </w:divBdr>
      <w:divsChild>
        <w:div w:id="210964239">
          <w:marLeft w:val="0"/>
          <w:marRight w:val="0"/>
          <w:marTop w:val="0"/>
          <w:marBottom w:val="0"/>
          <w:divBdr>
            <w:top w:val="none" w:sz="0" w:space="0" w:color="auto"/>
            <w:left w:val="none" w:sz="0" w:space="0" w:color="auto"/>
            <w:bottom w:val="none" w:sz="0" w:space="0" w:color="auto"/>
            <w:right w:val="none" w:sz="0" w:space="0" w:color="auto"/>
          </w:divBdr>
        </w:div>
      </w:divsChild>
    </w:div>
    <w:div w:id="832184133">
      <w:bodyDiv w:val="1"/>
      <w:marLeft w:val="0"/>
      <w:marRight w:val="0"/>
      <w:marTop w:val="0"/>
      <w:marBottom w:val="0"/>
      <w:divBdr>
        <w:top w:val="none" w:sz="0" w:space="0" w:color="auto"/>
        <w:left w:val="none" w:sz="0" w:space="0" w:color="auto"/>
        <w:bottom w:val="none" w:sz="0" w:space="0" w:color="auto"/>
        <w:right w:val="none" w:sz="0" w:space="0" w:color="auto"/>
      </w:divBdr>
    </w:div>
    <w:div w:id="833448025">
      <w:bodyDiv w:val="1"/>
      <w:marLeft w:val="0"/>
      <w:marRight w:val="0"/>
      <w:marTop w:val="0"/>
      <w:marBottom w:val="0"/>
      <w:divBdr>
        <w:top w:val="none" w:sz="0" w:space="0" w:color="auto"/>
        <w:left w:val="none" w:sz="0" w:space="0" w:color="auto"/>
        <w:bottom w:val="none" w:sz="0" w:space="0" w:color="auto"/>
        <w:right w:val="none" w:sz="0" w:space="0" w:color="auto"/>
      </w:divBdr>
    </w:div>
    <w:div w:id="857504808">
      <w:bodyDiv w:val="1"/>
      <w:marLeft w:val="0"/>
      <w:marRight w:val="0"/>
      <w:marTop w:val="0"/>
      <w:marBottom w:val="0"/>
      <w:divBdr>
        <w:top w:val="none" w:sz="0" w:space="0" w:color="auto"/>
        <w:left w:val="none" w:sz="0" w:space="0" w:color="auto"/>
        <w:bottom w:val="none" w:sz="0" w:space="0" w:color="auto"/>
        <w:right w:val="none" w:sz="0" w:space="0" w:color="auto"/>
      </w:divBdr>
    </w:div>
    <w:div w:id="910045554">
      <w:bodyDiv w:val="1"/>
      <w:marLeft w:val="0"/>
      <w:marRight w:val="0"/>
      <w:marTop w:val="0"/>
      <w:marBottom w:val="0"/>
      <w:divBdr>
        <w:top w:val="none" w:sz="0" w:space="0" w:color="auto"/>
        <w:left w:val="none" w:sz="0" w:space="0" w:color="auto"/>
        <w:bottom w:val="none" w:sz="0" w:space="0" w:color="auto"/>
        <w:right w:val="none" w:sz="0" w:space="0" w:color="auto"/>
      </w:divBdr>
    </w:div>
    <w:div w:id="919994598">
      <w:bodyDiv w:val="1"/>
      <w:marLeft w:val="0"/>
      <w:marRight w:val="0"/>
      <w:marTop w:val="0"/>
      <w:marBottom w:val="0"/>
      <w:divBdr>
        <w:top w:val="none" w:sz="0" w:space="0" w:color="auto"/>
        <w:left w:val="none" w:sz="0" w:space="0" w:color="auto"/>
        <w:bottom w:val="none" w:sz="0" w:space="0" w:color="auto"/>
        <w:right w:val="none" w:sz="0" w:space="0" w:color="auto"/>
      </w:divBdr>
    </w:div>
    <w:div w:id="921448492">
      <w:bodyDiv w:val="1"/>
      <w:marLeft w:val="0"/>
      <w:marRight w:val="0"/>
      <w:marTop w:val="0"/>
      <w:marBottom w:val="0"/>
      <w:divBdr>
        <w:top w:val="none" w:sz="0" w:space="0" w:color="auto"/>
        <w:left w:val="none" w:sz="0" w:space="0" w:color="auto"/>
        <w:bottom w:val="none" w:sz="0" w:space="0" w:color="auto"/>
        <w:right w:val="none" w:sz="0" w:space="0" w:color="auto"/>
      </w:divBdr>
    </w:div>
    <w:div w:id="944193170">
      <w:bodyDiv w:val="1"/>
      <w:marLeft w:val="0"/>
      <w:marRight w:val="0"/>
      <w:marTop w:val="0"/>
      <w:marBottom w:val="0"/>
      <w:divBdr>
        <w:top w:val="none" w:sz="0" w:space="0" w:color="auto"/>
        <w:left w:val="none" w:sz="0" w:space="0" w:color="auto"/>
        <w:bottom w:val="none" w:sz="0" w:space="0" w:color="auto"/>
        <w:right w:val="none" w:sz="0" w:space="0" w:color="auto"/>
      </w:divBdr>
    </w:div>
    <w:div w:id="952588673">
      <w:bodyDiv w:val="1"/>
      <w:marLeft w:val="0"/>
      <w:marRight w:val="0"/>
      <w:marTop w:val="0"/>
      <w:marBottom w:val="0"/>
      <w:divBdr>
        <w:top w:val="none" w:sz="0" w:space="0" w:color="auto"/>
        <w:left w:val="none" w:sz="0" w:space="0" w:color="auto"/>
        <w:bottom w:val="none" w:sz="0" w:space="0" w:color="auto"/>
        <w:right w:val="none" w:sz="0" w:space="0" w:color="auto"/>
      </w:divBdr>
      <w:divsChild>
        <w:div w:id="2031830209">
          <w:marLeft w:val="0"/>
          <w:marRight w:val="0"/>
          <w:marTop w:val="0"/>
          <w:marBottom w:val="0"/>
          <w:divBdr>
            <w:top w:val="none" w:sz="0" w:space="0" w:color="auto"/>
            <w:left w:val="none" w:sz="0" w:space="0" w:color="auto"/>
            <w:bottom w:val="none" w:sz="0" w:space="0" w:color="auto"/>
            <w:right w:val="none" w:sz="0" w:space="0" w:color="auto"/>
          </w:divBdr>
        </w:div>
      </w:divsChild>
    </w:div>
    <w:div w:id="960376666">
      <w:bodyDiv w:val="1"/>
      <w:marLeft w:val="0"/>
      <w:marRight w:val="0"/>
      <w:marTop w:val="0"/>
      <w:marBottom w:val="0"/>
      <w:divBdr>
        <w:top w:val="none" w:sz="0" w:space="0" w:color="auto"/>
        <w:left w:val="none" w:sz="0" w:space="0" w:color="auto"/>
        <w:bottom w:val="none" w:sz="0" w:space="0" w:color="auto"/>
        <w:right w:val="none" w:sz="0" w:space="0" w:color="auto"/>
      </w:divBdr>
    </w:div>
    <w:div w:id="966080628">
      <w:bodyDiv w:val="1"/>
      <w:marLeft w:val="0"/>
      <w:marRight w:val="0"/>
      <w:marTop w:val="0"/>
      <w:marBottom w:val="0"/>
      <w:divBdr>
        <w:top w:val="none" w:sz="0" w:space="0" w:color="auto"/>
        <w:left w:val="none" w:sz="0" w:space="0" w:color="auto"/>
        <w:bottom w:val="none" w:sz="0" w:space="0" w:color="auto"/>
        <w:right w:val="none" w:sz="0" w:space="0" w:color="auto"/>
      </w:divBdr>
    </w:div>
    <w:div w:id="966814036">
      <w:bodyDiv w:val="1"/>
      <w:marLeft w:val="0"/>
      <w:marRight w:val="0"/>
      <w:marTop w:val="0"/>
      <w:marBottom w:val="0"/>
      <w:divBdr>
        <w:top w:val="none" w:sz="0" w:space="0" w:color="auto"/>
        <w:left w:val="none" w:sz="0" w:space="0" w:color="auto"/>
        <w:bottom w:val="none" w:sz="0" w:space="0" w:color="auto"/>
        <w:right w:val="none" w:sz="0" w:space="0" w:color="auto"/>
      </w:divBdr>
    </w:div>
    <w:div w:id="969436270">
      <w:bodyDiv w:val="1"/>
      <w:marLeft w:val="0"/>
      <w:marRight w:val="0"/>
      <w:marTop w:val="0"/>
      <w:marBottom w:val="0"/>
      <w:divBdr>
        <w:top w:val="none" w:sz="0" w:space="0" w:color="auto"/>
        <w:left w:val="none" w:sz="0" w:space="0" w:color="auto"/>
        <w:bottom w:val="none" w:sz="0" w:space="0" w:color="auto"/>
        <w:right w:val="none" w:sz="0" w:space="0" w:color="auto"/>
      </w:divBdr>
    </w:div>
    <w:div w:id="969898052">
      <w:bodyDiv w:val="1"/>
      <w:marLeft w:val="0"/>
      <w:marRight w:val="0"/>
      <w:marTop w:val="0"/>
      <w:marBottom w:val="0"/>
      <w:divBdr>
        <w:top w:val="none" w:sz="0" w:space="0" w:color="auto"/>
        <w:left w:val="none" w:sz="0" w:space="0" w:color="auto"/>
        <w:bottom w:val="none" w:sz="0" w:space="0" w:color="auto"/>
        <w:right w:val="none" w:sz="0" w:space="0" w:color="auto"/>
      </w:divBdr>
    </w:div>
    <w:div w:id="970401797">
      <w:bodyDiv w:val="1"/>
      <w:marLeft w:val="0"/>
      <w:marRight w:val="0"/>
      <w:marTop w:val="0"/>
      <w:marBottom w:val="0"/>
      <w:divBdr>
        <w:top w:val="none" w:sz="0" w:space="0" w:color="auto"/>
        <w:left w:val="none" w:sz="0" w:space="0" w:color="auto"/>
        <w:bottom w:val="none" w:sz="0" w:space="0" w:color="auto"/>
        <w:right w:val="none" w:sz="0" w:space="0" w:color="auto"/>
      </w:divBdr>
    </w:div>
    <w:div w:id="983512313">
      <w:bodyDiv w:val="1"/>
      <w:marLeft w:val="0"/>
      <w:marRight w:val="0"/>
      <w:marTop w:val="0"/>
      <w:marBottom w:val="0"/>
      <w:divBdr>
        <w:top w:val="none" w:sz="0" w:space="0" w:color="auto"/>
        <w:left w:val="none" w:sz="0" w:space="0" w:color="auto"/>
        <w:bottom w:val="none" w:sz="0" w:space="0" w:color="auto"/>
        <w:right w:val="none" w:sz="0" w:space="0" w:color="auto"/>
      </w:divBdr>
    </w:div>
    <w:div w:id="990131717">
      <w:bodyDiv w:val="1"/>
      <w:marLeft w:val="0"/>
      <w:marRight w:val="0"/>
      <w:marTop w:val="0"/>
      <w:marBottom w:val="0"/>
      <w:divBdr>
        <w:top w:val="none" w:sz="0" w:space="0" w:color="auto"/>
        <w:left w:val="none" w:sz="0" w:space="0" w:color="auto"/>
        <w:bottom w:val="none" w:sz="0" w:space="0" w:color="auto"/>
        <w:right w:val="none" w:sz="0" w:space="0" w:color="auto"/>
      </w:divBdr>
    </w:div>
    <w:div w:id="1010521236">
      <w:bodyDiv w:val="1"/>
      <w:marLeft w:val="0"/>
      <w:marRight w:val="0"/>
      <w:marTop w:val="0"/>
      <w:marBottom w:val="0"/>
      <w:divBdr>
        <w:top w:val="none" w:sz="0" w:space="0" w:color="auto"/>
        <w:left w:val="none" w:sz="0" w:space="0" w:color="auto"/>
        <w:bottom w:val="none" w:sz="0" w:space="0" w:color="auto"/>
        <w:right w:val="none" w:sz="0" w:space="0" w:color="auto"/>
      </w:divBdr>
    </w:div>
    <w:div w:id="1027759187">
      <w:bodyDiv w:val="1"/>
      <w:marLeft w:val="0"/>
      <w:marRight w:val="0"/>
      <w:marTop w:val="0"/>
      <w:marBottom w:val="0"/>
      <w:divBdr>
        <w:top w:val="none" w:sz="0" w:space="0" w:color="auto"/>
        <w:left w:val="none" w:sz="0" w:space="0" w:color="auto"/>
        <w:bottom w:val="none" w:sz="0" w:space="0" w:color="auto"/>
        <w:right w:val="none" w:sz="0" w:space="0" w:color="auto"/>
      </w:divBdr>
    </w:div>
    <w:div w:id="1042943874">
      <w:bodyDiv w:val="1"/>
      <w:marLeft w:val="0"/>
      <w:marRight w:val="0"/>
      <w:marTop w:val="0"/>
      <w:marBottom w:val="0"/>
      <w:divBdr>
        <w:top w:val="none" w:sz="0" w:space="0" w:color="auto"/>
        <w:left w:val="none" w:sz="0" w:space="0" w:color="auto"/>
        <w:bottom w:val="none" w:sz="0" w:space="0" w:color="auto"/>
        <w:right w:val="none" w:sz="0" w:space="0" w:color="auto"/>
      </w:divBdr>
    </w:div>
    <w:div w:id="1051688056">
      <w:bodyDiv w:val="1"/>
      <w:marLeft w:val="0"/>
      <w:marRight w:val="0"/>
      <w:marTop w:val="0"/>
      <w:marBottom w:val="0"/>
      <w:divBdr>
        <w:top w:val="none" w:sz="0" w:space="0" w:color="auto"/>
        <w:left w:val="none" w:sz="0" w:space="0" w:color="auto"/>
        <w:bottom w:val="none" w:sz="0" w:space="0" w:color="auto"/>
        <w:right w:val="none" w:sz="0" w:space="0" w:color="auto"/>
      </w:divBdr>
    </w:div>
    <w:div w:id="1053381390">
      <w:bodyDiv w:val="1"/>
      <w:marLeft w:val="0"/>
      <w:marRight w:val="0"/>
      <w:marTop w:val="0"/>
      <w:marBottom w:val="0"/>
      <w:divBdr>
        <w:top w:val="none" w:sz="0" w:space="0" w:color="auto"/>
        <w:left w:val="none" w:sz="0" w:space="0" w:color="auto"/>
        <w:bottom w:val="none" w:sz="0" w:space="0" w:color="auto"/>
        <w:right w:val="none" w:sz="0" w:space="0" w:color="auto"/>
      </w:divBdr>
    </w:div>
    <w:div w:id="1056975629">
      <w:bodyDiv w:val="1"/>
      <w:marLeft w:val="0"/>
      <w:marRight w:val="0"/>
      <w:marTop w:val="0"/>
      <w:marBottom w:val="0"/>
      <w:divBdr>
        <w:top w:val="none" w:sz="0" w:space="0" w:color="auto"/>
        <w:left w:val="none" w:sz="0" w:space="0" w:color="auto"/>
        <w:bottom w:val="none" w:sz="0" w:space="0" w:color="auto"/>
        <w:right w:val="none" w:sz="0" w:space="0" w:color="auto"/>
      </w:divBdr>
    </w:div>
    <w:div w:id="1071075165">
      <w:bodyDiv w:val="1"/>
      <w:marLeft w:val="0"/>
      <w:marRight w:val="0"/>
      <w:marTop w:val="0"/>
      <w:marBottom w:val="0"/>
      <w:divBdr>
        <w:top w:val="none" w:sz="0" w:space="0" w:color="auto"/>
        <w:left w:val="none" w:sz="0" w:space="0" w:color="auto"/>
        <w:bottom w:val="none" w:sz="0" w:space="0" w:color="auto"/>
        <w:right w:val="none" w:sz="0" w:space="0" w:color="auto"/>
      </w:divBdr>
    </w:div>
    <w:div w:id="1094009006">
      <w:bodyDiv w:val="1"/>
      <w:marLeft w:val="0"/>
      <w:marRight w:val="0"/>
      <w:marTop w:val="0"/>
      <w:marBottom w:val="0"/>
      <w:divBdr>
        <w:top w:val="none" w:sz="0" w:space="0" w:color="auto"/>
        <w:left w:val="none" w:sz="0" w:space="0" w:color="auto"/>
        <w:bottom w:val="none" w:sz="0" w:space="0" w:color="auto"/>
        <w:right w:val="none" w:sz="0" w:space="0" w:color="auto"/>
      </w:divBdr>
    </w:div>
    <w:div w:id="1096363518">
      <w:bodyDiv w:val="1"/>
      <w:marLeft w:val="0"/>
      <w:marRight w:val="0"/>
      <w:marTop w:val="0"/>
      <w:marBottom w:val="0"/>
      <w:divBdr>
        <w:top w:val="none" w:sz="0" w:space="0" w:color="auto"/>
        <w:left w:val="none" w:sz="0" w:space="0" w:color="auto"/>
        <w:bottom w:val="none" w:sz="0" w:space="0" w:color="auto"/>
        <w:right w:val="none" w:sz="0" w:space="0" w:color="auto"/>
      </w:divBdr>
    </w:div>
    <w:div w:id="1099839520">
      <w:bodyDiv w:val="1"/>
      <w:marLeft w:val="0"/>
      <w:marRight w:val="0"/>
      <w:marTop w:val="0"/>
      <w:marBottom w:val="0"/>
      <w:divBdr>
        <w:top w:val="none" w:sz="0" w:space="0" w:color="auto"/>
        <w:left w:val="none" w:sz="0" w:space="0" w:color="auto"/>
        <w:bottom w:val="none" w:sz="0" w:space="0" w:color="auto"/>
        <w:right w:val="none" w:sz="0" w:space="0" w:color="auto"/>
      </w:divBdr>
    </w:div>
    <w:div w:id="1107653429">
      <w:bodyDiv w:val="1"/>
      <w:marLeft w:val="0"/>
      <w:marRight w:val="0"/>
      <w:marTop w:val="0"/>
      <w:marBottom w:val="0"/>
      <w:divBdr>
        <w:top w:val="none" w:sz="0" w:space="0" w:color="auto"/>
        <w:left w:val="none" w:sz="0" w:space="0" w:color="auto"/>
        <w:bottom w:val="none" w:sz="0" w:space="0" w:color="auto"/>
        <w:right w:val="none" w:sz="0" w:space="0" w:color="auto"/>
      </w:divBdr>
    </w:div>
    <w:div w:id="1108617425">
      <w:bodyDiv w:val="1"/>
      <w:marLeft w:val="0"/>
      <w:marRight w:val="0"/>
      <w:marTop w:val="0"/>
      <w:marBottom w:val="0"/>
      <w:divBdr>
        <w:top w:val="none" w:sz="0" w:space="0" w:color="auto"/>
        <w:left w:val="none" w:sz="0" w:space="0" w:color="auto"/>
        <w:bottom w:val="none" w:sz="0" w:space="0" w:color="auto"/>
        <w:right w:val="none" w:sz="0" w:space="0" w:color="auto"/>
      </w:divBdr>
    </w:div>
    <w:div w:id="1126006772">
      <w:bodyDiv w:val="1"/>
      <w:marLeft w:val="0"/>
      <w:marRight w:val="0"/>
      <w:marTop w:val="0"/>
      <w:marBottom w:val="0"/>
      <w:divBdr>
        <w:top w:val="none" w:sz="0" w:space="0" w:color="auto"/>
        <w:left w:val="none" w:sz="0" w:space="0" w:color="auto"/>
        <w:bottom w:val="none" w:sz="0" w:space="0" w:color="auto"/>
        <w:right w:val="none" w:sz="0" w:space="0" w:color="auto"/>
      </w:divBdr>
    </w:div>
    <w:div w:id="1166556751">
      <w:bodyDiv w:val="1"/>
      <w:marLeft w:val="0"/>
      <w:marRight w:val="0"/>
      <w:marTop w:val="0"/>
      <w:marBottom w:val="0"/>
      <w:divBdr>
        <w:top w:val="none" w:sz="0" w:space="0" w:color="auto"/>
        <w:left w:val="none" w:sz="0" w:space="0" w:color="auto"/>
        <w:bottom w:val="none" w:sz="0" w:space="0" w:color="auto"/>
        <w:right w:val="none" w:sz="0" w:space="0" w:color="auto"/>
      </w:divBdr>
    </w:div>
    <w:div w:id="1174493525">
      <w:bodyDiv w:val="1"/>
      <w:marLeft w:val="0"/>
      <w:marRight w:val="0"/>
      <w:marTop w:val="0"/>
      <w:marBottom w:val="0"/>
      <w:divBdr>
        <w:top w:val="none" w:sz="0" w:space="0" w:color="auto"/>
        <w:left w:val="none" w:sz="0" w:space="0" w:color="auto"/>
        <w:bottom w:val="none" w:sz="0" w:space="0" w:color="auto"/>
        <w:right w:val="none" w:sz="0" w:space="0" w:color="auto"/>
      </w:divBdr>
      <w:divsChild>
        <w:div w:id="701126070">
          <w:marLeft w:val="0"/>
          <w:marRight w:val="0"/>
          <w:marTop w:val="0"/>
          <w:marBottom w:val="0"/>
          <w:divBdr>
            <w:top w:val="none" w:sz="0" w:space="0" w:color="auto"/>
            <w:left w:val="none" w:sz="0" w:space="0" w:color="auto"/>
            <w:bottom w:val="none" w:sz="0" w:space="0" w:color="auto"/>
            <w:right w:val="none" w:sz="0" w:space="0" w:color="auto"/>
          </w:divBdr>
        </w:div>
      </w:divsChild>
    </w:div>
    <w:div w:id="1182469698">
      <w:bodyDiv w:val="1"/>
      <w:marLeft w:val="0"/>
      <w:marRight w:val="0"/>
      <w:marTop w:val="0"/>
      <w:marBottom w:val="0"/>
      <w:divBdr>
        <w:top w:val="none" w:sz="0" w:space="0" w:color="auto"/>
        <w:left w:val="none" w:sz="0" w:space="0" w:color="auto"/>
        <w:bottom w:val="none" w:sz="0" w:space="0" w:color="auto"/>
        <w:right w:val="none" w:sz="0" w:space="0" w:color="auto"/>
      </w:divBdr>
    </w:div>
    <w:div w:id="1185511485">
      <w:bodyDiv w:val="1"/>
      <w:marLeft w:val="0"/>
      <w:marRight w:val="0"/>
      <w:marTop w:val="0"/>
      <w:marBottom w:val="0"/>
      <w:divBdr>
        <w:top w:val="none" w:sz="0" w:space="0" w:color="auto"/>
        <w:left w:val="none" w:sz="0" w:space="0" w:color="auto"/>
        <w:bottom w:val="none" w:sz="0" w:space="0" w:color="auto"/>
        <w:right w:val="none" w:sz="0" w:space="0" w:color="auto"/>
      </w:divBdr>
    </w:div>
    <w:div w:id="1188830685">
      <w:bodyDiv w:val="1"/>
      <w:marLeft w:val="0"/>
      <w:marRight w:val="0"/>
      <w:marTop w:val="0"/>
      <w:marBottom w:val="0"/>
      <w:divBdr>
        <w:top w:val="none" w:sz="0" w:space="0" w:color="auto"/>
        <w:left w:val="none" w:sz="0" w:space="0" w:color="auto"/>
        <w:bottom w:val="none" w:sz="0" w:space="0" w:color="auto"/>
        <w:right w:val="none" w:sz="0" w:space="0" w:color="auto"/>
      </w:divBdr>
    </w:div>
    <w:div w:id="1189179811">
      <w:bodyDiv w:val="1"/>
      <w:marLeft w:val="0"/>
      <w:marRight w:val="0"/>
      <w:marTop w:val="0"/>
      <w:marBottom w:val="0"/>
      <w:divBdr>
        <w:top w:val="none" w:sz="0" w:space="0" w:color="auto"/>
        <w:left w:val="none" w:sz="0" w:space="0" w:color="auto"/>
        <w:bottom w:val="none" w:sz="0" w:space="0" w:color="auto"/>
        <w:right w:val="none" w:sz="0" w:space="0" w:color="auto"/>
      </w:divBdr>
      <w:divsChild>
        <w:div w:id="272051979">
          <w:marLeft w:val="0"/>
          <w:marRight w:val="0"/>
          <w:marTop w:val="0"/>
          <w:marBottom w:val="0"/>
          <w:divBdr>
            <w:top w:val="none" w:sz="0" w:space="0" w:color="auto"/>
            <w:left w:val="none" w:sz="0" w:space="0" w:color="auto"/>
            <w:bottom w:val="none" w:sz="0" w:space="0" w:color="auto"/>
            <w:right w:val="none" w:sz="0" w:space="0" w:color="auto"/>
          </w:divBdr>
        </w:div>
      </w:divsChild>
    </w:div>
    <w:div w:id="1191842839">
      <w:bodyDiv w:val="1"/>
      <w:marLeft w:val="0"/>
      <w:marRight w:val="0"/>
      <w:marTop w:val="0"/>
      <w:marBottom w:val="0"/>
      <w:divBdr>
        <w:top w:val="none" w:sz="0" w:space="0" w:color="auto"/>
        <w:left w:val="none" w:sz="0" w:space="0" w:color="auto"/>
        <w:bottom w:val="none" w:sz="0" w:space="0" w:color="auto"/>
        <w:right w:val="none" w:sz="0" w:space="0" w:color="auto"/>
      </w:divBdr>
      <w:divsChild>
        <w:div w:id="873345866">
          <w:marLeft w:val="0"/>
          <w:marRight w:val="0"/>
          <w:marTop w:val="0"/>
          <w:marBottom w:val="0"/>
          <w:divBdr>
            <w:top w:val="none" w:sz="0" w:space="0" w:color="auto"/>
            <w:left w:val="none" w:sz="0" w:space="0" w:color="auto"/>
            <w:bottom w:val="none" w:sz="0" w:space="0" w:color="auto"/>
            <w:right w:val="none" w:sz="0" w:space="0" w:color="auto"/>
          </w:divBdr>
        </w:div>
      </w:divsChild>
    </w:div>
    <w:div w:id="1229222207">
      <w:bodyDiv w:val="1"/>
      <w:marLeft w:val="0"/>
      <w:marRight w:val="0"/>
      <w:marTop w:val="0"/>
      <w:marBottom w:val="0"/>
      <w:divBdr>
        <w:top w:val="none" w:sz="0" w:space="0" w:color="auto"/>
        <w:left w:val="none" w:sz="0" w:space="0" w:color="auto"/>
        <w:bottom w:val="none" w:sz="0" w:space="0" w:color="auto"/>
        <w:right w:val="none" w:sz="0" w:space="0" w:color="auto"/>
      </w:divBdr>
    </w:div>
    <w:div w:id="1233782077">
      <w:bodyDiv w:val="1"/>
      <w:marLeft w:val="0"/>
      <w:marRight w:val="0"/>
      <w:marTop w:val="0"/>
      <w:marBottom w:val="0"/>
      <w:divBdr>
        <w:top w:val="none" w:sz="0" w:space="0" w:color="auto"/>
        <w:left w:val="none" w:sz="0" w:space="0" w:color="auto"/>
        <w:bottom w:val="none" w:sz="0" w:space="0" w:color="auto"/>
        <w:right w:val="none" w:sz="0" w:space="0" w:color="auto"/>
      </w:divBdr>
    </w:div>
    <w:div w:id="1243678469">
      <w:bodyDiv w:val="1"/>
      <w:marLeft w:val="0"/>
      <w:marRight w:val="0"/>
      <w:marTop w:val="0"/>
      <w:marBottom w:val="0"/>
      <w:divBdr>
        <w:top w:val="none" w:sz="0" w:space="0" w:color="auto"/>
        <w:left w:val="none" w:sz="0" w:space="0" w:color="auto"/>
        <w:bottom w:val="none" w:sz="0" w:space="0" w:color="auto"/>
        <w:right w:val="none" w:sz="0" w:space="0" w:color="auto"/>
      </w:divBdr>
    </w:div>
    <w:div w:id="1265529511">
      <w:bodyDiv w:val="1"/>
      <w:marLeft w:val="0"/>
      <w:marRight w:val="0"/>
      <w:marTop w:val="0"/>
      <w:marBottom w:val="0"/>
      <w:divBdr>
        <w:top w:val="none" w:sz="0" w:space="0" w:color="auto"/>
        <w:left w:val="none" w:sz="0" w:space="0" w:color="auto"/>
        <w:bottom w:val="none" w:sz="0" w:space="0" w:color="auto"/>
        <w:right w:val="none" w:sz="0" w:space="0" w:color="auto"/>
      </w:divBdr>
      <w:divsChild>
        <w:div w:id="1990936343">
          <w:marLeft w:val="0"/>
          <w:marRight w:val="0"/>
          <w:marTop w:val="0"/>
          <w:marBottom w:val="0"/>
          <w:divBdr>
            <w:top w:val="none" w:sz="0" w:space="0" w:color="auto"/>
            <w:left w:val="none" w:sz="0" w:space="0" w:color="auto"/>
            <w:bottom w:val="none" w:sz="0" w:space="0" w:color="auto"/>
            <w:right w:val="none" w:sz="0" w:space="0" w:color="auto"/>
          </w:divBdr>
        </w:div>
      </w:divsChild>
    </w:div>
    <w:div w:id="1265770623">
      <w:bodyDiv w:val="1"/>
      <w:marLeft w:val="0"/>
      <w:marRight w:val="0"/>
      <w:marTop w:val="0"/>
      <w:marBottom w:val="0"/>
      <w:divBdr>
        <w:top w:val="none" w:sz="0" w:space="0" w:color="auto"/>
        <w:left w:val="none" w:sz="0" w:space="0" w:color="auto"/>
        <w:bottom w:val="none" w:sz="0" w:space="0" w:color="auto"/>
        <w:right w:val="none" w:sz="0" w:space="0" w:color="auto"/>
      </w:divBdr>
    </w:div>
    <w:div w:id="1283460988">
      <w:bodyDiv w:val="1"/>
      <w:marLeft w:val="0"/>
      <w:marRight w:val="0"/>
      <w:marTop w:val="0"/>
      <w:marBottom w:val="0"/>
      <w:divBdr>
        <w:top w:val="none" w:sz="0" w:space="0" w:color="auto"/>
        <w:left w:val="none" w:sz="0" w:space="0" w:color="auto"/>
        <w:bottom w:val="none" w:sz="0" w:space="0" w:color="auto"/>
        <w:right w:val="none" w:sz="0" w:space="0" w:color="auto"/>
      </w:divBdr>
    </w:div>
    <w:div w:id="1283850605">
      <w:bodyDiv w:val="1"/>
      <w:marLeft w:val="0"/>
      <w:marRight w:val="0"/>
      <w:marTop w:val="0"/>
      <w:marBottom w:val="0"/>
      <w:divBdr>
        <w:top w:val="none" w:sz="0" w:space="0" w:color="auto"/>
        <w:left w:val="none" w:sz="0" w:space="0" w:color="auto"/>
        <w:bottom w:val="none" w:sz="0" w:space="0" w:color="auto"/>
        <w:right w:val="none" w:sz="0" w:space="0" w:color="auto"/>
      </w:divBdr>
    </w:div>
    <w:div w:id="1307051689">
      <w:bodyDiv w:val="1"/>
      <w:marLeft w:val="0"/>
      <w:marRight w:val="0"/>
      <w:marTop w:val="0"/>
      <w:marBottom w:val="0"/>
      <w:divBdr>
        <w:top w:val="none" w:sz="0" w:space="0" w:color="auto"/>
        <w:left w:val="none" w:sz="0" w:space="0" w:color="auto"/>
        <w:bottom w:val="none" w:sz="0" w:space="0" w:color="auto"/>
        <w:right w:val="none" w:sz="0" w:space="0" w:color="auto"/>
      </w:divBdr>
    </w:div>
    <w:div w:id="1332175664">
      <w:bodyDiv w:val="1"/>
      <w:marLeft w:val="0"/>
      <w:marRight w:val="0"/>
      <w:marTop w:val="0"/>
      <w:marBottom w:val="0"/>
      <w:divBdr>
        <w:top w:val="none" w:sz="0" w:space="0" w:color="auto"/>
        <w:left w:val="none" w:sz="0" w:space="0" w:color="auto"/>
        <w:bottom w:val="none" w:sz="0" w:space="0" w:color="auto"/>
        <w:right w:val="none" w:sz="0" w:space="0" w:color="auto"/>
      </w:divBdr>
    </w:div>
    <w:div w:id="1337727995">
      <w:bodyDiv w:val="1"/>
      <w:marLeft w:val="0"/>
      <w:marRight w:val="0"/>
      <w:marTop w:val="0"/>
      <w:marBottom w:val="0"/>
      <w:divBdr>
        <w:top w:val="none" w:sz="0" w:space="0" w:color="auto"/>
        <w:left w:val="none" w:sz="0" w:space="0" w:color="auto"/>
        <w:bottom w:val="none" w:sz="0" w:space="0" w:color="auto"/>
        <w:right w:val="none" w:sz="0" w:space="0" w:color="auto"/>
      </w:divBdr>
    </w:div>
    <w:div w:id="1339111516">
      <w:bodyDiv w:val="1"/>
      <w:marLeft w:val="0"/>
      <w:marRight w:val="0"/>
      <w:marTop w:val="0"/>
      <w:marBottom w:val="0"/>
      <w:divBdr>
        <w:top w:val="none" w:sz="0" w:space="0" w:color="auto"/>
        <w:left w:val="none" w:sz="0" w:space="0" w:color="auto"/>
        <w:bottom w:val="none" w:sz="0" w:space="0" w:color="auto"/>
        <w:right w:val="none" w:sz="0" w:space="0" w:color="auto"/>
      </w:divBdr>
      <w:divsChild>
        <w:div w:id="1325207131">
          <w:marLeft w:val="0"/>
          <w:marRight w:val="0"/>
          <w:marTop w:val="0"/>
          <w:marBottom w:val="0"/>
          <w:divBdr>
            <w:top w:val="none" w:sz="0" w:space="0" w:color="auto"/>
            <w:left w:val="none" w:sz="0" w:space="0" w:color="auto"/>
            <w:bottom w:val="none" w:sz="0" w:space="0" w:color="auto"/>
            <w:right w:val="none" w:sz="0" w:space="0" w:color="auto"/>
          </w:divBdr>
        </w:div>
      </w:divsChild>
    </w:div>
    <w:div w:id="1350108983">
      <w:bodyDiv w:val="1"/>
      <w:marLeft w:val="0"/>
      <w:marRight w:val="0"/>
      <w:marTop w:val="0"/>
      <w:marBottom w:val="0"/>
      <w:divBdr>
        <w:top w:val="none" w:sz="0" w:space="0" w:color="auto"/>
        <w:left w:val="none" w:sz="0" w:space="0" w:color="auto"/>
        <w:bottom w:val="none" w:sz="0" w:space="0" w:color="auto"/>
        <w:right w:val="none" w:sz="0" w:space="0" w:color="auto"/>
      </w:divBdr>
    </w:div>
    <w:div w:id="1350136649">
      <w:bodyDiv w:val="1"/>
      <w:marLeft w:val="0"/>
      <w:marRight w:val="0"/>
      <w:marTop w:val="0"/>
      <w:marBottom w:val="0"/>
      <w:divBdr>
        <w:top w:val="none" w:sz="0" w:space="0" w:color="auto"/>
        <w:left w:val="none" w:sz="0" w:space="0" w:color="auto"/>
        <w:bottom w:val="none" w:sz="0" w:space="0" w:color="auto"/>
        <w:right w:val="none" w:sz="0" w:space="0" w:color="auto"/>
      </w:divBdr>
    </w:div>
    <w:div w:id="1352295146">
      <w:bodyDiv w:val="1"/>
      <w:marLeft w:val="0"/>
      <w:marRight w:val="0"/>
      <w:marTop w:val="0"/>
      <w:marBottom w:val="0"/>
      <w:divBdr>
        <w:top w:val="none" w:sz="0" w:space="0" w:color="auto"/>
        <w:left w:val="none" w:sz="0" w:space="0" w:color="auto"/>
        <w:bottom w:val="none" w:sz="0" w:space="0" w:color="auto"/>
        <w:right w:val="none" w:sz="0" w:space="0" w:color="auto"/>
      </w:divBdr>
    </w:div>
    <w:div w:id="1354961813">
      <w:bodyDiv w:val="1"/>
      <w:marLeft w:val="0"/>
      <w:marRight w:val="0"/>
      <w:marTop w:val="0"/>
      <w:marBottom w:val="0"/>
      <w:divBdr>
        <w:top w:val="none" w:sz="0" w:space="0" w:color="auto"/>
        <w:left w:val="none" w:sz="0" w:space="0" w:color="auto"/>
        <w:bottom w:val="none" w:sz="0" w:space="0" w:color="auto"/>
        <w:right w:val="none" w:sz="0" w:space="0" w:color="auto"/>
      </w:divBdr>
    </w:div>
    <w:div w:id="1398091924">
      <w:bodyDiv w:val="1"/>
      <w:marLeft w:val="0"/>
      <w:marRight w:val="0"/>
      <w:marTop w:val="0"/>
      <w:marBottom w:val="0"/>
      <w:divBdr>
        <w:top w:val="none" w:sz="0" w:space="0" w:color="auto"/>
        <w:left w:val="none" w:sz="0" w:space="0" w:color="auto"/>
        <w:bottom w:val="none" w:sz="0" w:space="0" w:color="auto"/>
        <w:right w:val="none" w:sz="0" w:space="0" w:color="auto"/>
      </w:divBdr>
      <w:divsChild>
        <w:div w:id="1797605533">
          <w:marLeft w:val="0"/>
          <w:marRight w:val="0"/>
          <w:marTop w:val="0"/>
          <w:marBottom w:val="0"/>
          <w:divBdr>
            <w:top w:val="none" w:sz="0" w:space="0" w:color="auto"/>
            <w:left w:val="none" w:sz="0" w:space="0" w:color="auto"/>
            <w:bottom w:val="none" w:sz="0" w:space="0" w:color="auto"/>
            <w:right w:val="none" w:sz="0" w:space="0" w:color="auto"/>
          </w:divBdr>
        </w:div>
      </w:divsChild>
    </w:div>
    <w:div w:id="1414468529">
      <w:bodyDiv w:val="1"/>
      <w:marLeft w:val="0"/>
      <w:marRight w:val="0"/>
      <w:marTop w:val="0"/>
      <w:marBottom w:val="0"/>
      <w:divBdr>
        <w:top w:val="none" w:sz="0" w:space="0" w:color="auto"/>
        <w:left w:val="none" w:sz="0" w:space="0" w:color="auto"/>
        <w:bottom w:val="none" w:sz="0" w:space="0" w:color="auto"/>
        <w:right w:val="none" w:sz="0" w:space="0" w:color="auto"/>
      </w:divBdr>
    </w:div>
    <w:div w:id="1435174599">
      <w:bodyDiv w:val="1"/>
      <w:marLeft w:val="0"/>
      <w:marRight w:val="0"/>
      <w:marTop w:val="0"/>
      <w:marBottom w:val="0"/>
      <w:divBdr>
        <w:top w:val="none" w:sz="0" w:space="0" w:color="auto"/>
        <w:left w:val="none" w:sz="0" w:space="0" w:color="auto"/>
        <w:bottom w:val="none" w:sz="0" w:space="0" w:color="auto"/>
        <w:right w:val="none" w:sz="0" w:space="0" w:color="auto"/>
      </w:divBdr>
      <w:divsChild>
        <w:div w:id="718747184">
          <w:marLeft w:val="0"/>
          <w:marRight w:val="0"/>
          <w:marTop w:val="0"/>
          <w:marBottom w:val="0"/>
          <w:divBdr>
            <w:top w:val="none" w:sz="0" w:space="0" w:color="auto"/>
            <w:left w:val="none" w:sz="0" w:space="0" w:color="auto"/>
            <w:bottom w:val="none" w:sz="0" w:space="0" w:color="auto"/>
            <w:right w:val="none" w:sz="0" w:space="0" w:color="auto"/>
          </w:divBdr>
        </w:div>
      </w:divsChild>
    </w:div>
    <w:div w:id="1435515384">
      <w:bodyDiv w:val="1"/>
      <w:marLeft w:val="0"/>
      <w:marRight w:val="0"/>
      <w:marTop w:val="0"/>
      <w:marBottom w:val="0"/>
      <w:divBdr>
        <w:top w:val="none" w:sz="0" w:space="0" w:color="auto"/>
        <w:left w:val="none" w:sz="0" w:space="0" w:color="auto"/>
        <w:bottom w:val="none" w:sz="0" w:space="0" w:color="auto"/>
        <w:right w:val="none" w:sz="0" w:space="0" w:color="auto"/>
      </w:divBdr>
    </w:div>
    <w:div w:id="1441990654">
      <w:bodyDiv w:val="1"/>
      <w:marLeft w:val="0"/>
      <w:marRight w:val="0"/>
      <w:marTop w:val="0"/>
      <w:marBottom w:val="0"/>
      <w:divBdr>
        <w:top w:val="none" w:sz="0" w:space="0" w:color="auto"/>
        <w:left w:val="none" w:sz="0" w:space="0" w:color="auto"/>
        <w:bottom w:val="none" w:sz="0" w:space="0" w:color="auto"/>
        <w:right w:val="none" w:sz="0" w:space="0" w:color="auto"/>
      </w:divBdr>
    </w:div>
    <w:div w:id="1463381956">
      <w:bodyDiv w:val="1"/>
      <w:marLeft w:val="0"/>
      <w:marRight w:val="0"/>
      <w:marTop w:val="0"/>
      <w:marBottom w:val="0"/>
      <w:divBdr>
        <w:top w:val="none" w:sz="0" w:space="0" w:color="auto"/>
        <w:left w:val="none" w:sz="0" w:space="0" w:color="auto"/>
        <w:bottom w:val="none" w:sz="0" w:space="0" w:color="auto"/>
        <w:right w:val="none" w:sz="0" w:space="0" w:color="auto"/>
      </w:divBdr>
      <w:divsChild>
        <w:div w:id="686909296">
          <w:marLeft w:val="0"/>
          <w:marRight w:val="0"/>
          <w:marTop w:val="0"/>
          <w:marBottom w:val="0"/>
          <w:divBdr>
            <w:top w:val="none" w:sz="0" w:space="0" w:color="auto"/>
            <w:left w:val="none" w:sz="0" w:space="0" w:color="auto"/>
            <w:bottom w:val="none" w:sz="0" w:space="0" w:color="auto"/>
            <w:right w:val="none" w:sz="0" w:space="0" w:color="auto"/>
          </w:divBdr>
        </w:div>
      </w:divsChild>
    </w:div>
    <w:div w:id="1469206694">
      <w:bodyDiv w:val="1"/>
      <w:marLeft w:val="0"/>
      <w:marRight w:val="0"/>
      <w:marTop w:val="0"/>
      <w:marBottom w:val="0"/>
      <w:divBdr>
        <w:top w:val="none" w:sz="0" w:space="0" w:color="auto"/>
        <w:left w:val="none" w:sz="0" w:space="0" w:color="auto"/>
        <w:bottom w:val="none" w:sz="0" w:space="0" w:color="auto"/>
        <w:right w:val="none" w:sz="0" w:space="0" w:color="auto"/>
      </w:divBdr>
    </w:div>
    <w:div w:id="1482380135">
      <w:bodyDiv w:val="1"/>
      <w:marLeft w:val="0"/>
      <w:marRight w:val="0"/>
      <w:marTop w:val="0"/>
      <w:marBottom w:val="0"/>
      <w:divBdr>
        <w:top w:val="none" w:sz="0" w:space="0" w:color="auto"/>
        <w:left w:val="none" w:sz="0" w:space="0" w:color="auto"/>
        <w:bottom w:val="none" w:sz="0" w:space="0" w:color="auto"/>
        <w:right w:val="none" w:sz="0" w:space="0" w:color="auto"/>
      </w:divBdr>
    </w:div>
    <w:div w:id="1501967662">
      <w:bodyDiv w:val="1"/>
      <w:marLeft w:val="0"/>
      <w:marRight w:val="0"/>
      <w:marTop w:val="0"/>
      <w:marBottom w:val="0"/>
      <w:divBdr>
        <w:top w:val="none" w:sz="0" w:space="0" w:color="auto"/>
        <w:left w:val="none" w:sz="0" w:space="0" w:color="auto"/>
        <w:bottom w:val="none" w:sz="0" w:space="0" w:color="auto"/>
        <w:right w:val="none" w:sz="0" w:space="0" w:color="auto"/>
      </w:divBdr>
      <w:divsChild>
        <w:div w:id="740057173">
          <w:marLeft w:val="0"/>
          <w:marRight w:val="0"/>
          <w:marTop w:val="0"/>
          <w:marBottom w:val="0"/>
          <w:divBdr>
            <w:top w:val="none" w:sz="0" w:space="0" w:color="auto"/>
            <w:left w:val="none" w:sz="0" w:space="0" w:color="auto"/>
            <w:bottom w:val="none" w:sz="0" w:space="0" w:color="auto"/>
            <w:right w:val="none" w:sz="0" w:space="0" w:color="auto"/>
          </w:divBdr>
        </w:div>
      </w:divsChild>
    </w:div>
    <w:div w:id="1507670336">
      <w:bodyDiv w:val="1"/>
      <w:marLeft w:val="0"/>
      <w:marRight w:val="0"/>
      <w:marTop w:val="0"/>
      <w:marBottom w:val="0"/>
      <w:divBdr>
        <w:top w:val="none" w:sz="0" w:space="0" w:color="auto"/>
        <w:left w:val="none" w:sz="0" w:space="0" w:color="auto"/>
        <w:bottom w:val="none" w:sz="0" w:space="0" w:color="auto"/>
        <w:right w:val="none" w:sz="0" w:space="0" w:color="auto"/>
      </w:divBdr>
    </w:div>
    <w:div w:id="1515340149">
      <w:bodyDiv w:val="1"/>
      <w:marLeft w:val="0"/>
      <w:marRight w:val="0"/>
      <w:marTop w:val="0"/>
      <w:marBottom w:val="0"/>
      <w:divBdr>
        <w:top w:val="none" w:sz="0" w:space="0" w:color="auto"/>
        <w:left w:val="none" w:sz="0" w:space="0" w:color="auto"/>
        <w:bottom w:val="none" w:sz="0" w:space="0" w:color="auto"/>
        <w:right w:val="none" w:sz="0" w:space="0" w:color="auto"/>
      </w:divBdr>
    </w:div>
    <w:div w:id="1518736146">
      <w:bodyDiv w:val="1"/>
      <w:marLeft w:val="0"/>
      <w:marRight w:val="0"/>
      <w:marTop w:val="0"/>
      <w:marBottom w:val="0"/>
      <w:divBdr>
        <w:top w:val="none" w:sz="0" w:space="0" w:color="auto"/>
        <w:left w:val="none" w:sz="0" w:space="0" w:color="auto"/>
        <w:bottom w:val="none" w:sz="0" w:space="0" w:color="auto"/>
        <w:right w:val="none" w:sz="0" w:space="0" w:color="auto"/>
      </w:divBdr>
    </w:div>
    <w:div w:id="1530997003">
      <w:bodyDiv w:val="1"/>
      <w:marLeft w:val="0"/>
      <w:marRight w:val="0"/>
      <w:marTop w:val="0"/>
      <w:marBottom w:val="0"/>
      <w:divBdr>
        <w:top w:val="none" w:sz="0" w:space="0" w:color="auto"/>
        <w:left w:val="none" w:sz="0" w:space="0" w:color="auto"/>
        <w:bottom w:val="none" w:sz="0" w:space="0" w:color="auto"/>
        <w:right w:val="none" w:sz="0" w:space="0" w:color="auto"/>
      </w:divBdr>
    </w:div>
    <w:div w:id="1538542419">
      <w:bodyDiv w:val="1"/>
      <w:marLeft w:val="0"/>
      <w:marRight w:val="0"/>
      <w:marTop w:val="0"/>
      <w:marBottom w:val="0"/>
      <w:divBdr>
        <w:top w:val="none" w:sz="0" w:space="0" w:color="auto"/>
        <w:left w:val="none" w:sz="0" w:space="0" w:color="auto"/>
        <w:bottom w:val="none" w:sz="0" w:space="0" w:color="auto"/>
        <w:right w:val="none" w:sz="0" w:space="0" w:color="auto"/>
      </w:divBdr>
    </w:div>
    <w:div w:id="1547647037">
      <w:bodyDiv w:val="1"/>
      <w:marLeft w:val="0"/>
      <w:marRight w:val="0"/>
      <w:marTop w:val="0"/>
      <w:marBottom w:val="0"/>
      <w:divBdr>
        <w:top w:val="none" w:sz="0" w:space="0" w:color="auto"/>
        <w:left w:val="none" w:sz="0" w:space="0" w:color="auto"/>
        <w:bottom w:val="none" w:sz="0" w:space="0" w:color="auto"/>
        <w:right w:val="none" w:sz="0" w:space="0" w:color="auto"/>
      </w:divBdr>
    </w:div>
    <w:div w:id="1549106143">
      <w:bodyDiv w:val="1"/>
      <w:marLeft w:val="0"/>
      <w:marRight w:val="0"/>
      <w:marTop w:val="0"/>
      <w:marBottom w:val="0"/>
      <w:divBdr>
        <w:top w:val="none" w:sz="0" w:space="0" w:color="auto"/>
        <w:left w:val="none" w:sz="0" w:space="0" w:color="auto"/>
        <w:bottom w:val="none" w:sz="0" w:space="0" w:color="auto"/>
        <w:right w:val="none" w:sz="0" w:space="0" w:color="auto"/>
      </w:divBdr>
    </w:div>
    <w:div w:id="1571041183">
      <w:bodyDiv w:val="1"/>
      <w:marLeft w:val="0"/>
      <w:marRight w:val="0"/>
      <w:marTop w:val="0"/>
      <w:marBottom w:val="0"/>
      <w:divBdr>
        <w:top w:val="none" w:sz="0" w:space="0" w:color="auto"/>
        <w:left w:val="none" w:sz="0" w:space="0" w:color="auto"/>
        <w:bottom w:val="none" w:sz="0" w:space="0" w:color="auto"/>
        <w:right w:val="none" w:sz="0" w:space="0" w:color="auto"/>
      </w:divBdr>
      <w:divsChild>
        <w:div w:id="1461798719">
          <w:marLeft w:val="0"/>
          <w:marRight w:val="0"/>
          <w:marTop w:val="0"/>
          <w:marBottom w:val="0"/>
          <w:divBdr>
            <w:top w:val="none" w:sz="0" w:space="0" w:color="auto"/>
            <w:left w:val="none" w:sz="0" w:space="0" w:color="auto"/>
            <w:bottom w:val="none" w:sz="0" w:space="0" w:color="auto"/>
            <w:right w:val="none" w:sz="0" w:space="0" w:color="auto"/>
          </w:divBdr>
        </w:div>
      </w:divsChild>
    </w:div>
    <w:div w:id="1571112654">
      <w:bodyDiv w:val="1"/>
      <w:marLeft w:val="0"/>
      <w:marRight w:val="0"/>
      <w:marTop w:val="0"/>
      <w:marBottom w:val="0"/>
      <w:divBdr>
        <w:top w:val="none" w:sz="0" w:space="0" w:color="auto"/>
        <w:left w:val="none" w:sz="0" w:space="0" w:color="auto"/>
        <w:bottom w:val="none" w:sz="0" w:space="0" w:color="auto"/>
        <w:right w:val="none" w:sz="0" w:space="0" w:color="auto"/>
      </w:divBdr>
      <w:divsChild>
        <w:div w:id="135151689">
          <w:marLeft w:val="0"/>
          <w:marRight w:val="0"/>
          <w:marTop w:val="0"/>
          <w:marBottom w:val="0"/>
          <w:divBdr>
            <w:top w:val="none" w:sz="0" w:space="0" w:color="auto"/>
            <w:left w:val="none" w:sz="0" w:space="0" w:color="auto"/>
            <w:bottom w:val="none" w:sz="0" w:space="0" w:color="auto"/>
            <w:right w:val="none" w:sz="0" w:space="0" w:color="auto"/>
          </w:divBdr>
        </w:div>
      </w:divsChild>
    </w:div>
    <w:div w:id="1575771664">
      <w:bodyDiv w:val="1"/>
      <w:marLeft w:val="0"/>
      <w:marRight w:val="0"/>
      <w:marTop w:val="0"/>
      <w:marBottom w:val="0"/>
      <w:divBdr>
        <w:top w:val="none" w:sz="0" w:space="0" w:color="auto"/>
        <w:left w:val="none" w:sz="0" w:space="0" w:color="auto"/>
        <w:bottom w:val="none" w:sz="0" w:space="0" w:color="auto"/>
        <w:right w:val="none" w:sz="0" w:space="0" w:color="auto"/>
      </w:divBdr>
      <w:divsChild>
        <w:div w:id="889421220">
          <w:marLeft w:val="0"/>
          <w:marRight w:val="0"/>
          <w:marTop w:val="0"/>
          <w:marBottom w:val="0"/>
          <w:divBdr>
            <w:top w:val="none" w:sz="0" w:space="0" w:color="auto"/>
            <w:left w:val="none" w:sz="0" w:space="0" w:color="auto"/>
            <w:bottom w:val="none" w:sz="0" w:space="0" w:color="auto"/>
            <w:right w:val="none" w:sz="0" w:space="0" w:color="auto"/>
          </w:divBdr>
        </w:div>
      </w:divsChild>
    </w:div>
    <w:div w:id="1579094401">
      <w:bodyDiv w:val="1"/>
      <w:marLeft w:val="0"/>
      <w:marRight w:val="0"/>
      <w:marTop w:val="0"/>
      <w:marBottom w:val="0"/>
      <w:divBdr>
        <w:top w:val="none" w:sz="0" w:space="0" w:color="auto"/>
        <w:left w:val="none" w:sz="0" w:space="0" w:color="auto"/>
        <w:bottom w:val="none" w:sz="0" w:space="0" w:color="auto"/>
        <w:right w:val="none" w:sz="0" w:space="0" w:color="auto"/>
      </w:divBdr>
      <w:divsChild>
        <w:div w:id="2034719235">
          <w:marLeft w:val="0"/>
          <w:marRight w:val="0"/>
          <w:marTop w:val="0"/>
          <w:marBottom w:val="0"/>
          <w:divBdr>
            <w:top w:val="none" w:sz="0" w:space="0" w:color="auto"/>
            <w:left w:val="none" w:sz="0" w:space="0" w:color="auto"/>
            <w:bottom w:val="none" w:sz="0" w:space="0" w:color="auto"/>
            <w:right w:val="none" w:sz="0" w:space="0" w:color="auto"/>
          </w:divBdr>
        </w:div>
      </w:divsChild>
    </w:div>
    <w:div w:id="1581596049">
      <w:bodyDiv w:val="1"/>
      <w:marLeft w:val="0"/>
      <w:marRight w:val="0"/>
      <w:marTop w:val="0"/>
      <w:marBottom w:val="0"/>
      <w:divBdr>
        <w:top w:val="none" w:sz="0" w:space="0" w:color="auto"/>
        <w:left w:val="none" w:sz="0" w:space="0" w:color="auto"/>
        <w:bottom w:val="none" w:sz="0" w:space="0" w:color="auto"/>
        <w:right w:val="none" w:sz="0" w:space="0" w:color="auto"/>
      </w:divBdr>
    </w:div>
    <w:div w:id="1586186612">
      <w:bodyDiv w:val="1"/>
      <w:marLeft w:val="0"/>
      <w:marRight w:val="0"/>
      <w:marTop w:val="0"/>
      <w:marBottom w:val="0"/>
      <w:divBdr>
        <w:top w:val="none" w:sz="0" w:space="0" w:color="auto"/>
        <w:left w:val="none" w:sz="0" w:space="0" w:color="auto"/>
        <w:bottom w:val="none" w:sz="0" w:space="0" w:color="auto"/>
        <w:right w:val="none" w:sz="0" w:space="0" w:color="auto"/>
      </w:divBdr>
    </w:div>
    <w:div w:id="1601453276">
      <w:bodyDiv w:val="1"/>
      <w:marLeft w:val="0"/>
      <w:marRight w:val="0"/>
      <w:marTop w:val="0"/>
      <w:marBottom w:val="0"/>
      <w:divBdr>
        <w:top w:val="none" w:sz="0" w:space="0" w:color="auto"/>
        <w:left w:val="none" w:sz="0" w:space="0" w:color="auto"/>
        <w:bottom w:val="none" w:sz="0" w:space="0" w:color="auto"/>
        <w:right w:val="none" w:sz="0" w:space="0" w:color="auto"/>
      </w:divBdr>
    </w:div>
    <w:div w:id="1626424694">
      <w:bodyDiv w:val="1"/>
      <w:marLeft w:val="0"/>
      <w:marRight w:val="0"/>
      <w:marTop w:val="0"/>
      <w:marBottom w:val="0"/>
      <w:divBdr>
        <w:top w:val="none" w:sz="0" w:space="0" w:color="auto"/>
        <w:left w:val="none" w:sz="0" w:space="0" w:color="auto"/>
        <w:bottom w:val="none" w:sz="0" w:space="0" w:color="auto"/>
        <w:right w:val="none" w:sz="0" w:space="0" w:color="auto"/>
      </w:divBdr>
    </w:div>
    <w:div w:id="1637220478">
      <w:bodyDiv w:val="1"/>
      <w:marLeft w:val="0"/>
      <w:marRight w:val="0"/>
      <w:marTop w:val="0"/>
      <w:marBottom w:val="0"/>
      <w:divBdr>
        <w:top w:val="none" w:sz="0" w:space="0" w:color="auto"/>
        <w:left w:val="none" w:sz="0" w:space="0" w:color="auto"/>
        <w:bottom w:val="none" w:sz="0" w:space="0" w:color="auto"/>
        <w:right w:val="none" w:sz="0" w:space="0" w:color="auto"/>
      </w:divBdr>
    </w:div>
    <w:div w:id="1637878594">
      <w:bodyDiv w:val="1"/>
      <w:marLeft w:val="0"/>
      <w:marRight w:val="0"/>
      <w:marTop w:val="0"/>
      <w:marBottom w:val="0"/>
      <w:divBdr>
        <w:top w:val="none" w:sz="0" w:space="0" w:color="auto"/>
        <w:left w:val="none" w:sz="0" w:space="0" w:color="auto"/>
        <w:bottom w:val="none" w:sz="0" w:space="0" w:color="auto"/>
        <w:right w:val="none" w:sz="0" w:space="0" w:color="auto"/>
      </w:divBdr>
    </w:div>
    <w:div w:id="1685790468">
      <w:bodyDiv w:val="1"/>
      <w:marLeft w:val="0"/>
      <w:marRight w:val="0"/>
      <w:marTop w:val="0"/>
      <w:marBottom w:val="0"/>
      <w:divBdr>
        <w:top w:val="none" w:sz="0" w:space="0" w:color="auto"/>
        <w:left w:val="none" w:sz="0" w:space="0" w:color="auto"/>
        <w:bottom w:val="none" w:sz="0" w:space="0" w:color="auto"/>
        <w:right w:val="none" w:sz="0" w:space="0" w:color="auto"/>
      </w:divBdr>
    </w:div>
    <w:div w:id="1690914405">
      <w:bodyDiv w:val="1"/>
      <w:marLeft w:val="0"/>
      <w:marRight w:val="0"/>
      <w:marTop w:val="0"/>
      <w:marBottom w:val="0"/>
      <w:divBdr>
        <w:top w:val="none" w:sz="0" w:space="0" w:color="auto"/>
        <w:left w:val="none" w:sz="0" w:space="0" w:color="auto"/>
        <w:bottom w:val="none" w:sz="0" w:space="0" w:color="auto"/>
        <w:right w:val="none" w:sz="0" w:space="0" w:color="auto"/>
      </w:divBdr>
    </w:div>
    <w:div w:id="1721708578">
      <w:bodyDiv w:val="1"/>
      <w:marLeft w:val="0"/>
      <w:marRight w:val="0"/>
      <w:marTop w:val="0"/>
      <w:marBottom w:val="0"/>
      <w:divBdr>
        <w:top w:val="none" w:sz="0" w:space="0" w:color="auto"/>
        <w:left w:val="none" w:sz="0" w:space="0" w:color="auto"/>
        <w:bottom w:val="none" w:sz="0" w:space="0" w:color="auto"/>
        <w:right w:val="none" w:sz="0" w:space="0" w:color="auto"/>
      </w:divBdr>
    </w:div>
    <w:div w:id="1756902175">
      <w:bodyDiv w:val="1"/>
      <w:marLeft w:val="0"/>
      <w:marRight w:val="0"/>
      <w:marTop w:val="0"/>
      <w:marBottom w:val="0"/>
      <w:divBdr>
        <w:top w:val="none" w:sz="0" w:space="0" w:color="auto"/>
        <w:left w:val="none" w:sz="0" w:space="0" w:color="auto"/>
        <w:bottom w:val="none" w:sz="0" w:space="0" w:color="auto"/>
        <w:right w:val="none" w:sz="0" w:space="0" w:color="auto"/>
      </w:divBdr>
    </w:div>
    <w:div w:id="1813597082">
      <w:bodyDiv w:val="1"/>
      <w:marLeft w:val="0"/>
      <w:marRight w:val="0"/>
      <w:marTop w:val="0"/>
      <w:marBottom w:val="0"/>
      <w:divBdr>
        <w:top w:val="none" w:sz="0" w:space="0" w:color="auto"/>
        <w:left w:val="none" w:sz="0" w:space="0" w:color="auto"/>
        <w:bottom w:val="none" w:sz="0" w:space="0" w:color="auto"/>
        <w:right w:val="none" w:sz="0" w:space="0" w:color="auto"/>
      </w:divBdr>
    </w:div>
    <w:div w:id="1834904780">
      <w:bodyDiv w:val="1"/>
      <w:marLeft w:val="0"/>
      <w:marRight w:val="0"/>
      <w:marTop w:val="0"/>
      <w:marBottom w:val="0"/>
      <w:divBdr>
        <w:top w:val="none" w:sz="0" w:space="0" w:color="auto"/>
        <w:left w:val="none" w:sz="0" w:space="0" w:color="auto"/>
        <w:bottom w:val="none" w:sz="0" w:space="0" w:color="auto"/>
        <w:right w:val="none" w:sz="0" w:space="0" w:color="auto"/>
      </w:divBdr>
      <w:divsChild>
        <w:div w:id="1766146042">
          <w:marLeft w:val="0"/>
          <w:marRight w:val="0"/>
          <w:marTop w:val="0"/>
          <w:marBottom w:val="0"/>
          <w:divBdr>
            <w:top w:val="none" w:sz="0" w:space="0" w:color="auto"/>
            <w:left w:val="none" w:sz="0" w:space="0" w:color="auto"/>
            <w:bottom w:val="none" w:sz="0" w:space="0" w:color="auto"/>
            <w:right w:val="none" w:sz="0" w:space="0" w:color="auto"/>
          </w:divBdr>
        </w:div>
      </w:divsChild>
    </w:div>
    <w:div w:id="1835803577">
      <w:bodyDiv w:val="1"/>
      <w:marLeft w:val="0"/>
      <w:marRight w:val="0"/>
      <w:marTop w:val="0"/>
      <w:marBottom w:val="0"/>
      <w:divBdr>
        <w:top w:val="none" w:sz="0" w:space="0" w:color="auto"/>
        <w:left w:val="none" w:sz="0" w:space="0" w:color="auto"/>
        <w:bottom w:val="none" w:sz="0" w:space="0" w:color="auto"/>
        <w:right w:val="none" w:sz="0" w:space="0" w:color="auto"/>
      </w:divBdr>
    </w:div>
    <w:div w:id="1836918829">
      <w:bodyDiv w:val="1"/>
      <w:marLeft w:val="0"/>
      <w:marRight w:val="0"/>
      <w:marTop w:val="0"/>
      <w:marBottom w:val="0"/>
      <w:divBdr>
        <w:top w:val="none" w:sz="0" w:space="0" w:color="auto"/>
        <w:left w:val="none" w:sz="0" w:space="0" w:color="auto"/>
        <w:bottom w:val="none" w:sz="0" w:space="0" w:color="auto"/>
        <w:right w:val="none" w:sz="0" w:space="0" w:color="auto"/>
      </w:divBdr>
      <w:divsChild>
        <w:div w:id="178665328">
          <w:marLeft w:val="0"/>
          <w:marRight w:val="0"/>
          <w:marTop w:val="0"/>
          <w:marBottom w:val="0"/>
          <w:divBdr>
            <w:top w:val="none" w:sz="0" w:space="0" w:color="auto"/>
            <w:left w:val="none" w:sz="0" w:space="0" w:color="auto"/>
            <w:bottom w:val="none" w:sz="0" w:space="0" w:color="auto"/>
            <w:right w:val="none" w:sz="0" w:space="0" w:color="auto"/>
          </w:divBdr>
        </w:div>
      </w:divsChild>
    </w:div>
    <w:div w:id="1843929473">
      <w:bodyDiv w:val="1"/>
      <w:marLeft w:val="0"/>
      <w:marRight w:val="0"/>
      <w:marTop w:val="0"/>
      <w:marBottom w:val="0"/>
      <w:divBdr>
        <w:top w:val="none" w:sz="0" w:space="0" w:color="auto"/>
        <w:left w:val="none" w:sz="0" w:space="0" w:color="auto"/>
        <w:bottom w:val="none" w:sz="0" w:space="0" w:color="auto"/>
        <w:right w:val="none" w:sz="0" w:space="0" w:color="auto"/>
      </w:divBdr>
    </w:div>
    <w:div w:id="1865169583">
      <w:bodyDiv w:val="1"/>
      <w:marLeft w:val="0"/>
      <w:marRight w:val="0"/>
      <w:marTop w:val="0"/>
      <w:marBottom w:val="0"/>
      <w:divBdr>
        <w:top w:val="none" w:sz="0" w:space="0" w:color="auto"/>
        <w:left w:val="none" w:sz="0" w:space="0" w:color="auto"/>
        <w:bottom w:val="none" w:sz="0" w:space="0" w:color="auto"/>
        <w:right w:val="none" w:sz="0" w:space="0" w:color="auto"/>
      </w:divBdr>
    </w:div>
    <w:div w:id="1870143476">
      <w:bodyDiv w:val="1"/>
      <w:marLeft w:val="0"/>
      <w:marRight w:val="0"/>
      <w:marTop w:val="0"/>
      <w:marBottom w:val="0"/>
      <w:divBdr>
        <w:top w:val="none" w:sz="0" w:space="0" w:color="auto"/>
        <w:left w:val="none" w:sz="0" w:space="0" w:color="auto"/>
        <w:bottom w:val="none" w:sz="0" w:space="0" w:color="auto"/>
        <w:right w:val="none" w:sz="0" w:space="0" w:color="auto"/>
      </w:divBdr>
    </w:div>
    <w:div w:id="1899903488">
      <w:bodyDiv w:val="1"/>
      <w:marLeft w:val="0"/>
      <w:marRight w:val="0"/>
      <w:marTop w:val="0"/>
      <w:marBottom w:val="0"/>
      <w:divBdr>
        <w:top w:val="none" w:sz="0" w:space="0" w:color="auto"/>
        <w:left w:val="none" w:sz="0" w:space="0" w:color="auto"/>
        <w:bottom w:val="none" w:sz="0" w:space="0" w:color="auto"/>
        <w:right w:val="none" w:sz="0" w:space="0" w:color="auto"/>
      </w:divBdr>
    </w:div>
    <w:div w:id="19187100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588">
          <w:marLeft w:val="0"/>
          <w:marRight w:val="0"/>
          <w:marTop w:val="0"/>
          <w:marBottom w:val="0"/>
          <w:divBdr>
            <w:top w:val="none" w:sz="0" w:space="0" w:color="auto"/>
            <w:left w:val="none" w:sz="0" w:space="0" w:color="auto"/>
            <w:bottom w:val="none" w:sz="0" w:space="0" w:color="auto"/>
            <w:right w:val="none" w:sz="0" w:space="0" w:color="auto"/>
          </w:divBdr>
        </w:div>
      </w:divsChild>
    </w:div>
    <w:div w:id="1943300340">
      <w:bodyDiv w:val="1"/>
      <w:marLeft w:val="0"/>
      <w:marRight w:val="0"/>
      <w:marTop w:val="0"/>
      <w:marBottom w:val="0"/>
      <w:divBdr>
        <w:top w:val="none" w:sz="0" w:space="0" w:color="auto"/>
        <w:left w:val="none" w:sz="0" w:space="0" w:color="auto"/>
        <w:bottom w:val="none" w:sz="0" w:space="0" w:color="auto"/>
        <w:right w:val="none" w:sz="0" w:space="0" w:color="auto"/>
      </w:divBdr>
    </w:div>
    <w:div w:id="1944218787">
      <w:bodyDiv w:val="1"/>
      <w:marLeft w:val="0"/>
      <w:marRight w:val="0"/>
      <w:marTop w:val="0"/>
      <w:marBottom w:val="0"/>
      <w:divBdr>
        <w:top w:val="none" w:sz="0" w:space="0" w:color="auto"/>
        <w:left w:val="none" w:sz="0" w:space="0" w:color="auto"/>
        <w:bottom w:val="none" w:sz="0" w:space="0" w:color="auto"/>
        <w:right w:val="none" w:sz="0" w:space="0" w:color="auto"/>
      </w:divBdr>
    </w:div>
    <w:div w:id="1944534647">
      <w:bodyDiv w:val="1"/>
      <w:marLeft w:val="0"/>
      <w:marRight w:val="0"/>
      <w:marTop w:val="0"/>
      <w:marBottom w:val="0"/>
      <w:divBdr>
        <w:top w:val="none" w:sz="0" w:space="0" w:color="auto"/>
        <w:left w:val="none" w:sz="0" w:space="0" w:color="auto"/>
        <w:bottom w:val="none" w:sz="0" w:space="0" w:color="auto"/>
        <w:right w:val="none" w:sz="0" w:space="0" w:color="auto"/>
      </w:divBdr>
    </w:div>
    <w:div w:id="1954244784">
      <w:bodyDiv w:val="1"/>
      <w:marLeft w:val="0"/>
      <w:marRight w:val="0"/>
      <w:marTop w:val="0"/>
      <w:marBottom w:val="0"/>
      <w:divBdr>
        <w:top w:val="none" w:sz="0" w:space="0" w:color="auto"/>
        <w:left w:val="none" w:sz="0" w:space="0" w:color="auto"/>
        <w:bottom w:val="none" w:sz="0" w:space="0" w:color="auto"/>
        <w:right w:val="none" w:sz="0" w:space="0" w:color="auto"/>
      </w:divBdr>
    </w:div>
    <w:div w:id="1954748404">
      <w:bodyDiv w:val="1"/>
      <w:marLeft w:val="0"/>
      <w:marRight w:val="0"/>
      <w:marTop w:val="0"/>
      <w:marBottom w:val="0"/>
      <w:divBdr>
        <w:top w:val="none" w:sz="0" w:space="0" w:color="auto"/>
        <w:left w:val="none" w:sz="0" w:space="0" w:color="auto"/>
        <w:bottom w:val="none" w:sz="0" w:space="0" w:color="auto"/>
        <w:right w:val="none" w:sz="0" w:space="0" w:color="auto"/>
      </w:divBdr>
    </w:div>
    <w:div w:id="1968000676">
      <w:bodyDiv w:val="1"/>
      <w:marLeft w:val="0"/>
      <w:marRight w:val="0"/>
      <w:marTop w:val="0"/>
      <w:marBottom w:val="0"/>
      <w:divBdr>
        <w:top w:val="none" w:sz="0" w:space="0" w:color="auto"/>
        <w:left w:val="none" w:sz="0" w:space="0" w:color="auto"/>
        <w:bottom w:val="none" w:sz="0" w:space="0" w:color="auto"/>
        <w:right w:val="none" w:sz="0" w:space="0" w:color="auto"/>
      </w:divBdr>
    </w:div>
    <w:div w:id="1971281631">
      <w:bodyDiv w:val="1"/>
      <w:marLeft w:val="0"/>
      <w:marRight w:val="0"/>
      <w:marTop w:val="0"/>
      <w:marBottom w:val="0"/>
      <w:divBdr>
        <w:top w:val="none" w:sz="0" w:space="0" w:color="auto"/>
        <w:left w:val="none" w:sz="0" w:space="0" w:color="auto"/>
        <w:bottom w:val="none" w:sz="0" w:space="0" w:color="auto"/>
        <w:right w:val="none" w:sz="0" w:space="0" w:color="auto"/>
      </w:divBdr>
    </w:div>
    <w:div w:id="1986813535">
      <w:bodyDiv w:val="1"/>
      <w:marLeft w:val="0"/>
      <w:marRight w:val="0"/>
      <w:marTop w:val="0"/>
      <w:marBottom w:val="0"/>
      <w:divBdr>
        <w:top w:val="none" w:sz="0" w:space="0" w:color="auto"/>
        <w:left w:val="none" w:sz="0" w:space="0" w:color="auto"/>
        <w:bottom w:val="none" w:sz="0" w:space="0" w:color="auto"/>
        <w:right w:val="none" w:sz="0" w:space="0" w:color="auto"/>
      </w:divBdr>
    </w:div>
    <w:div w:id="1991712234">
      <w:bodyDiv w:val="1"/>
      <w:marLeft w:val="0"/>
      <w:marRight w:val="0"/>
      <w:marTop w:val="0"/>
      <w:marBottom w:val="0"/>
      <w:divBdr>
        <w:top w:val="none" w:sz="0" w:space="0" w:color="auto"/>
        <w:left w:val="none" w:sz="0" w:space="0" w:color="auto"/>
        <w:bottom w:val="none" w:sz="0" w:space="0" w:color="auto"/>
        <w:right w:val="none" w:sz="0" w:space="0" w:color="auto"/>
      </w:divBdr>
    </w:div>
    <w:div w:id="1992055673">
      <w:bodyDiv w:val="1"/>
      <w:marLeft w:val="0"/>
      <w:marRight w:val="0"/>
      <w:marTop w:val="0"/>
      <w:marBottom w:val="0"/>
      <w:divBdr>
        <w:top w:val="none" w:sz="0" w:space="0" w:color="auto"/>
        <w:left w:val="none" w:sz="0" w:space="0" w:color="auto"/>
        <w:bottom w:val="none" w:sz="0" w:space="0" w:color="auto"/>
        <w:right w:val="none" w:sz="0" w:space="0" w:color="auto"/>
      </w:divBdr>
    </w:div>
    <w:div w:id="2001274585">
      <w:bodyDiv w:val="1"/>
      <w:marLeft w:val="0"/>
      <w:marRight w:val="0"/>
      <w:marTop w:val="0"/>
      <w:marBottom w:val="0"/>
      <w:divBdr>
        <w:top w:val="none" w:sz="0" w:space="0" w:color="auto"/>
        <w:left w:val="none" w:sz="0" w:space="0" w:color="auto"/>
        <w:bottom w:val="none" w:sz="0" w:space="0" w:color="auto"/>
        <w:right w:val="none" w:sz="0" w:space="0" w:color="auto"/>
      </w:divBdr>
    </w:div>
    <w:div w:id="2031564909">
      <w:bodyDiv w:val="1"/>
      <w:marLeft w:val="0"/>
      <w:marRight w:val="0"/>
      <w:marTop w:val="0"/>
      <w:marBottom w:val="0"/>
      <w:divBdr>
        <w:top w:val="none" w:sz="0" w:space="0" w:color="auto"/>
        <w:left w:val="none" w:sz="0" w:space="0" w:color="auto"/>
        <w:bottom w:val="none" w:sz="0" w:space="0" w:color="auto"/>
        <w:right w:val="none" w:sz="0" w:space="0" w:color="auto"/>
      </w:divBdr>
    </w:div>
    <w:div w:id="2032146753">
      <w:bodyDiv w:val="1"/>
      <w:marLeft w:val="0"/>
      <w:marRight w:val="0"/>
      <w:marTop w:val="0"/>
      <w:marBottom w:val="0"/>
      <w:divBdr>
        <w:top w:val="none" w:sz="0" w:space="0" w:color="auto"/>
        <w:left w:val="none" w:sz="0" w:space="0" w:color="auto"/>
        <w:bottom w:val="none" w:sz="0" w:space="0" w:color="auto"/>
        <w:right w:val="none" w:sz="0" w:space="0" w:color="auto"/>
      </w:divBdr>
    </w:div>
    <w:div w:id="2036997623">
      <w:bodyDiv w:val="1"/>
      <w:marLeft w:val="0"/>
      <w:marRight w:val="0"/>
      <w:marTop w:val="0"/>
      <w:marBottom w:val="0"/>
      <w:divBdr>
        <w:top w:val="none" w:sz="0" w:space="0" w:color="auto"/>
        <w:left w:val="none" w:sz="0" w:space="0" w:color="auto"/>
        <w:bottom w:val="none" w:sz="0" w:space="0" w:color="auto"/>
        <w:right w:val="none" w:sz="0" w:space="0" w:color="auto"/>
      </w:divBdr>
    </w:div>
    <w:div w:id="2044208045">
      <w:bodyDiv w:val="1"/>
      <w:marLeft w:val="0"/>
      <w:marRight w:val="0"/>
      <w:marTop w:val="0"/>
      <w:marBottom w:val="0"/>
      <w:divBdr>
        <w:top w:val="none" w:sz="0" w:space="0" w:color="auto"/>
        <w:left w:val="none" w:sz="0" w:space="0" w:color="auto"/>
        <w:bottom w:val="none" w:sz="0" w:space="0" w:color="auto"/>
        <w:right w:val="none" w:sz="0" w:space="0" w:color="auto"/>
      </w:divBdr>
    </w:div>
    <w:div w:id="2050643760">
      <w:bodyDiv w:val="1"/>
      <w:marLeft w:val="0"/>
      <w:marRight w:val="0"/>
      <w:marTop w:val="0"/>
      <w:marBottom w:val="0"/>
      <w:divBdr>
        <w:top w:val="none" w:sz="0" w:space="0" w:color="auto"/>
        <w:left w:val="none" w:sz="0" w:space="0" w:color="auto"/>
        <w:bottom w:val="none" w:sz="0" w:space="0" w:color="auto"/>
        <w:right w:val="none" w:sz="0" w:space="0" w:color="auto"/>
      </w:divBdr>
    </w:div>
    <w:div w:id="2051877689">
      <w:bodyDiv w:val="1"/>
      <w:marLeft w:val="0"/>
      <w:marRight w:val="0"/>
      <w:marTop w:val="0"/>
      <w:marBottom w:val="0"/>
      <w:divBdr>
        <w:top w:val="none" w:sz="0" w:space="0" w:color="auto"/>
        <w:left w:val="none" w:sz="0" w:space="0" w:color="auto"/>
        <w:bottom w:val="none" w:sz="0" w:space="0" w:color="auto"/>
        <w:right w:val="none" w:sz="0" w:space="0" w:color="auto"/>
      </w:divBdr>
    </w:div>
    <w:div w:id="2077892187">
      <w:bodyDiv w:val="1"/>
      <w:marLeft w:val="0"/>
      <w:marRight w:val="0"/>
      <w:marTop w:val="0"/>
      <w:marBottom w:val="0"/>
      <w:divBdr>
        <w:top w:val="none" w:sz="0" w:space="0" w:color="auto"/>
        <w:left w:val="none" w:sz="0" w:space="0" w:color="auto"/>
        <w:bottom w:val="none" w:sz="0" w:space="0" w:color="auto"/>
        <w:right w:val="none" w:sz="0" w:space="0" w:color="auto"/>
      </w:divBdr>
    </w:div>
    <w:div w:id="2077971915">
      <w:bodyDiv w:val="1"/>
      <w:marLeft w:val="0"/>
      <w:marRight w:val="0"/>
      <w:marTop w:val="0"/>
      <w:marBottom w:val="0"/>
      <w:divBdr>
        <w:top w:val="none" w:sz="0" w:space="0" w:color="auto"/>
        <w:left w:val="none" w:sz="0" w:space="0" w:color="auto"/>
        <w:bottom w:val="none" w:sz="0" w:space="0" w:color="auto"/>
        <w:right w:val="none" w:sz="0" w:space="0" w:color="auto"/>
      </w:divBdr>
    </w:div>
    <w:div w:id="2089770535">
      <w:bodyDiv w:val="1"/>
      <w:marLeft w:val="0"/>
      <w:marRight w:val="0"/>
      <w:marTop w:val="0"/>
      <w:marBottom w:val="0"/>
      <w:divBdr>
        <w:top w:val="none" w:sz="0" w:space="0" w:color="auto"/>
        <w:left w:val="none" w:sz="0" w:space="0" w:color="auto"/>
        <w:bottom w:val="none" w:sz="0" w:space="0" w:color="auto"/>
        <w:right w:val="none" w:sz="0" w:space="0" w:color="auto"/>
      </w:divBdr>
    </w:div>
    <w:div w:id="21149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ia.bottesi@unip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C330-4D4B-4A04-810E-C6712A453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8683</Words>
  <Characters>49668</Characters>
  <Application>Microsoft Office Word</Application>
  <DocSecurity>0</DocSecurity>
  <Lines>1552</Lines>
  <Paragraphs>821</Paragraphs>
  <ScaleCrop>false</ScaleCrop>
  <HeadingPairs>
    <vt:vector size="2" baseType="variant">
      <vt:variant>
        <vt:lpstr>Titolo</vt:lpstr>
      </vt:variant>
      <vt:variant>
        <vt:i4>1</vt:i4>
      </vt:variant>
    </vt:vector>
  </HeadingPairs>
  <TitlesOfParts>
    <vt:vector size="1" baseType="lpstr">
      <vt:lpstr>Bottesi, G. et al. Psychological distress in the context of the COVID-19 pandemic</vt:lpstr>
    </vt:vector>
  </TitlesOfParts>
  <Company>Hewlett-Packard Company</Company>
  <LinksUpToDate>false</LinksUpToDate>
  <CharactersWithSpaces>57530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Bottesi, G. et al. Psychological distress in the context of the COVID-19 pandemic</dc:title>
  <dc:creator>utente</dc:creator>
  <cp:lastModifiedBy>Spada, Marcantonio</cp:lastModifiedBy>
  <cp:revision>2</cp:revision>
  <cp:lastPrinted>2019-07-06T08:23:00Z</cp:lastPrinted>
  <dcterms:created xsi:type="dcterms:W3CDTF">2021-06-22T12:24:00Z</dcterms:created>
  <dcterms:modified xsi:type="dcterms:W3CDTF">2021-06-22T12:24:00Z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