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F5" w:rsidRPr="00A84276" w:rsidRDefault="008534F5" w:rsidP="00BB3B0A">
      <w:pPr>
        <w:autoSpaceDE w:val="0"/>
        <w:autoSpaceDN w:val="0"/>
        <w:adjustRightInd w:val="0"/>
        <w:spacing w:after="0" w:line="240" w:lineRule="auto"/>
        <w:rPr>
          <w:rFonts w:ascii="Arial,Bold" w:hAnsi="Arial,Bold" w:cs="Arial,Bold"/>
          <w:b/>
          <w:bCs/>
          <w:sz w:val="23"/>
          <w:szCs w:val="23"/>
        </w:rPr>
      </w:pPr>
      <w:bookmarkStart w:id="0" w:name="_GoBack"/>
      <w:bookmarkEnd w:id="0"/>
    </w:p>
    <w:p w:rsidR="008534F5" w:rsidRPr="00A84276" w:rsidRDefault="008534F5" w:rsidP="00BB3B0A">
      <w:pPr>
        <w:autoSpaceDE w:val="0"/>
        <w:autoSpaceDN w:val="0"/>
        <w:adjustRightInd w:val="0"/>
        <w:spacing w:after="0" w:line="240" w:lineRule="auto"/>
        <w:rPr>
          <w:rFonts w:ascii="Arial,Bold" w:hAnsi="Arial,Bold" w:cs="Arial,Bold"/>
          <w:b/>
          <w:bCs/>
          <w:sz w:val="23"/>
          <w:szCs w:val="23"/>
        </w:rPr>
      </w:pPr>
    </w:p>
    <w:p w:rsidR="008534F5" w:rsidRPr="00A84276" w:rsidRDefault="008534F5" w:rsidP="00BB3B0A">
      <w:pPr>
        <w:autoSpaceDE w:val="0"/>
        <w:autoSpaceDN w:val="0"/>
        <w:adjustRightInd w:val="0"/>
        <w:spacing w:after="0" w:line="240" w:lineRule="auto"/>
        <w:rPr>
          <w:rFonts w:ascii="Arial,Bold" w:hAnsi="Arial,Bold" w:cs="Arial,Bold"/>
          <w:b/>
          <w:bCs/>
          <w:sz w:val="23"/>
          <w:szCs w:val="23"/>
        </w:rPr>
      </w:pPr>
    </w:p>
    <w:p w:rsidR="008534F5" w:rsidRPr="00A84276" w:rsidRDefault="008534F5" w:rsidP="00BB3B0A">
      <w:pPr>
        <w:autoSpaceDE w:val="0"/>
        <w:autoSpaceDN w:val="0"/>
        <w:adjustRightInd w:val="0"/>
        <w:spacing w:after="0" w:line="240" w:lineRule="auto"/>
        <w:rPr>
          <w:rFonts w:ascii="Arial,Bold" w:hAnsi="Arial,Bold" w:cs="Arial,Bold"/>
          <w:b/>
          <w:bCs/>
          <w:sz w:val="23"/>
          <w:szCs w:val="23"/>
        </w:rPr>
      </w:pPr>
    </w:p>
    <w:p w:rsidR="00B05201" w:rsidRPr="00A84276" w:rsidRDefault="00B05201" w:rsidP="00B05201">
      <w:pPr>
        <w:autoSpaceDE w:val="0"/>
        <w:autoSpaceDN w:val="0"/>
        <w:adjustRightInd w:val="0"/>
        <w:spacing w:after="0" w:line="240" w:lineRule="auto"/>
        <w:jc w:val="center"/>
        <w:rPr>
          <w:rFonts w:ascii="Arial,Bold" w:hAnsi="Arial,Bold" w:cs="Arial,Bold"/>
          <w:b/>
          <w:bCs/>
          <w:sz w:val="23"/>
          <w:szCs w:val="23"/>
        </w:rPr>
      </w:pPr>
      <w:r w:rsidRPr="00A84276">
        <w:rPr>
          <w:rFonts w:ascii="Arial,Bold" w:hAnsi="Arial,Bold" w:cs="Arial,Bold"/>
          <w:b/>
          <w:bCs/>
          <w:sz w:val="23"/>
          <w:szCs w:val="23"/>
        </w:rPr>
        <w:t>National Survey of Nurse Prescribing in Mental Health Services;</w:t>
      </w:r>
    </w:p>
    <w:p w:rsidR="008534F5" w:rsidRPr="00A84276" w:rsidRDefault="00B05201" w:rsidP="00B05201">
      <w:pPr>
        <w:autoSpaceDE w:val="0"/>
        <w:autoSpaceDN w:val="0"/>
        <w:adjustRightInd w:val="0"/>
        <w:spacing w:after="0" w:line="240" w:lineRule="auto"/>
        <w:jc w:val="center"/>
        <w:rPr>
          <w:rFonts w:ascii="Arial,Bold" w:hAnsi="Arial,Bold" w:cs="Arial,Bold"/>
          <w:b/>
          <w:bCs/>
          <w:sz w:val="23"/>
          <w:szCs w:val="23"/>
        </w:rPr>
      </w:pPr>
      <w:proofErr w:type="gramStart"/>
      <w:r w:rsidRPr="00A84276">
        <w:rPr>
          <w:rFonts w:ascii="Arial,Bold" w:hAnsi="Arial,Bold" w:cs="Arial,Bold"/>
          <w:b/>
          <w:bCs/>
          <w:sz w:val="23"/>
          <w:szCs w:val="23"/>
        </w:rPr>
        <w:t>a</w:t>
      </w:r>
      <w:proofErr w:type="gramEnd"/>
      <w:r w:rsidRPr="00A84276">
        <w:rPr>
          <w:rFonts w:ascii="Arial,Bold" w:hAnsi="Arial,Bold" w:cs="Arial,Bold"/>
          <w:b/>
          <w:bCs/>
          <w:sz w:val="23"/>
          <w:szCs w:val="23"/>
        </w:rPr>
        <w:t xml:space="preserve"> follow up six years on.</w:t>
      </w:r>
    </w:p>
    <w:p w:rsidR="008534F5" w:rsidRPr="00A84276" w:rsidRDefault="008534F5" w:rsidP="00BB3B0A">
      <w:pPr>
        <w:autoSpaceDE w:val="0"/>
        <w:autoSpaceDN w:val="0"/>
        <w:adjustRightInd w:val="0"/>
        <w:spacing w:after="0" w:line="240" w:lineRule="auto"/>
        <w:rPr>
          <w:rFonts w:ascii="Arial,Bold" w:hAnsi="Arial,Bold" w:cs="Arial,Bold"/>
          <w:b/>
          <w:bCs/>
          <w:sz w:val="23"/>
          <w:szCs w:val="23"/>
        </w:rPr>
      </w:pPr>
    </w:p>
    <w:p w:rsidR="00BB3B0A" w:rsidRPr="00A84276" w:rsidRDefault="00BB3B0A" w:rsidP="00BB3B0A">
      <w:pPr>
        <w:autoSpaceDE w:val="0"/>
        <w:autoSpaceDN w:val="0"/>
        <w:adjustRightInd w:val="0"/>
        <w:spacing w:after="0" w:line="240" w:lineRule="auto"/>
        <w:rPr>
          <w:rFonts w:ascii="Arial,Bold" w:hAnsi="Arial,Bold" w:cs="Arial,Bold"/>
          <w:b/>
          <w:bCs/>
          <w:sz w:val="23"/>
          <w:szCs w:val="23"/>
        </w:rPr>
      </w:pPr>
      <w:r w:rsidRPr="00A84276">
        <w:rPr>
          <w:rFonts w:ascii="Arial,Bold" w:hAnsi="Arial,Bold" w:cs="Arial,Bold"/>
          <w:b/>
          <w:bCs/>
          <w:sz w:val="23"/>
          <w:szCs w:val="23"/>
        </w:rPr>
        <w:t>Introduction</w:t>
      </w:r>
    </w:p>
    <w:p w:rsidR="00490C15" w:rsidRPr="00A84276" w:rsidRDefault="00490C15"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This paper describes the process and outcomes from a national survey of nurse prescribing in mental health Trust across England in 2014, and follows on from two previous surveys – in 2005 (Brimblecombe et al. 2005; Gray et al. 2005) and 2008</w:t>
      </w:r>
      <w:r w:rsidR="0080319D" w:rsidRPr="00A84276">
        <w:rPr>
          <w:rFonts w:ascii="Arial" w:hAnsi="Arial" w:cs="Arial"/>
          <w:sz w:val="23"/>
          <w:szCs w:val="23"/>
        </w:rPr>
        <w:t xml:space="preserve"> </w:t>
      </w:r>
      <w:r w:rsidR="00BB3B0A" w:rsidRPr="00A84276">
        <w:rPr>
          <w:rFonts w:ascii="Arial" w:hAnsi="Arial" w:cs="Arial"/>
          <w:sz w:val="23"/>
          <w:szCs w:val="23"/>
        </w:rPr>
        <w:t xml:space="preserve">(Dobel-Ober </w:t>
      </w:r>
      <w:r w:rsidR="00BB3B0A" w:rsidRPr="00A84276">
        <w:rPr>
          <w:rFonts w:ascii="Arial,Italic" w:hAnsi="Arial,Italic" w:cs="Arial,Italic"/>
          <w:i/>
          <w:iCs/>
          <w:sz w:val="23"/>
          <w:szCs w:val="23"/>
        </w:rPr>
        <w:t xml:space="preserve">et al. </w:t>
      </w:r>
      <w:r w:rsidR="00BB3B0A" w:rsidRPr="00A84276">
        <w:rPr>
          <w:rFonts w:ascii="Arial" w:hAnsi="Arial" w:cs="Arial"/>
          <w:sz w:val="23"/>
          <w:szCs w:val="23"/>
        </w:rPr>
        <w:t xml:space="preserve">2010). </w:t>
      </w:r>
      <w:r w:rsidRPr="00A84276">
        <w:rPr>
          <w:rFonts w:ascii="Arial" w:hAnsi="Arial" w:cs="Arial"/>
          <w:sz w:val="23"/>
          <w:szCs w:val="23"/>
        </w:rPr>
        <w:t xml:space="preserve">The two previous surveys both showed great variability between organisations as to uptake of nurse prescribing, although there was a large proportional increase in total numbers of nurse prescribers identified between 2004 and 2008. </w:t>
      </w:r>
      <w:r w:rsidR="00D402D9" w:rsidRPr="00A84276">
        <w:rPr>
          <w:rFonts w:ascii="Arial" w:hAnsi="Arial" w:cs="Arial"/>
          <w:sz w:val="23"/>
          <w:szCs w:val="23"/>
        </w:rPr>
        <w:t xml:space="preserve">In 2008, the majority of prescribers were supplementary prescribers, prescribing within the limits of a medically defined plan, rather than independent prescribers. </w:t>
      </w:r>
    </w:p>
    <w:p w:rsidR="00490C15" w:rsidRPr="00A84276" w:rsidRDefault="00490C15"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NP provides a useful case study of the challenges of</w:t>
      </w:r>
      <w:r w:rsidR="0080319D" w:rsidRPr="00A84276">
        <w:rPr>
          <w:rFonts w:ascii="Arial" w:hAnsi="Arial" w:cs="Arial"/>
          <w:sz w:val="23"/>
          <w:szCs w:val="23"/>
        </w:rPr>
        <w:t xml:space="preserve"> </w:t>
      </w:r>
      <w:r w:rsidRPr="00A84276">
        <w:rPr>
          <w:rFonts w:ascii="Arial" w:hAnsi="Arial" w:cs="Arial"/>
          <w:sz w:val="23"/>
          <w:szCs w:val="23"/>
        </w:rPr>
        <w:t>developing, introducing and sustaining new roles and models in mental health</w:t>
      </w:r>
      <w:r w:rsidR="0080319D" w:rsidRPr="00A84276">
        <w:rPr>
          <w:rFonts w:ascii="Arial" w:hAnsi="Arial" w:cs="Arial"/>
          <w:sz w:val="23"/>
          <w:szCs w:val="23"/>
        </w:rPr>
        <w:t xml:space="preserve"> </w:t>
      </w:r>
      <w:r w:rsidRPr="00A84276">
        <w:rPr>
          <w:rFonts w:ascii="Arial" w:hAnsi="Arial" w:cs="Arial"/>
          <w:sz w:val="23"/>
          <w:szCs w:val="23"/>
        </w:rPr>
        <w:t>services, particularly where such changes mark deviation from</w:t>
      </w:r>
      <w:r w:rsidR="004176F7" w:rsidRPr="00A84276">
        <w:rPr>
          <w:rFonts w:ascii="Arial" w:hAnsi="Arial" w:cs="Arial"/>
          <w:sz w:val="23"/>
          <w:szCs w:val="23"/>
        </w:rPr>
        <w:t xml:space="preserve"> traditional</w:t>
      </w:r>
      <w:r w:rsidRPr="00A84276">
        <w:rPr>
          <w:rFonts w:ascii="Arial" w:hAnsi="Arial" w:cs="Arial"/>
          <w:sz w:val="23"/>
          <w:szCs w:val="23"/>
        </w:rPr>
        <w:t xml:space="preserve"> </w:t>
      </w:r>
      <w:r w:rsidR="006621E2" w:rsidRPr="00A84276">
        <w:rPr>
          <w:rFonts w:ascii="Arial" w:hAnsi="Arial" w:cs="Arial"/>
          <w:sz w:val="23"/>
          <w:szCs w:val="23"/>
        </w:rPr>
        <w:t xml:space="preserve">role boundaries of specific professions </w:t>
      </w:r>
      <w:r w:rsidRPr="00A84276">
        <w:rPr>
          <w:rFonts w:ascii="Arial" w:hAnsi="Arial" w:cs="Arial"/>
          <w:sz w:val="23"/>
          <w:szCs w:val="23"/>
        </w:rPr>
        <w:t>(Brimblecombe 2005). This article reports the current position</w:t>
      </w:r>
      <w:r w:rsidR="008534F5" w:rsidRPr="00A84276">
        <w:rPr>
          <w:rFonts w:ascii="Arial" w:hAnsi="Arial" w:cs="Arial"/>
          <w:sz w:val="23"/>
          <w:szCs w:val="23"/>
        </w:rPr>
        <w:t xml:space="preserve"> and provides a detailed insight into the nature of the spread of nurse prescribing in mental health settings over a ten year period</w:t>
      </w:r>
      <w:r w:rsidR="00D402D9" w:rsidRPr="00A84276">
        <w:rPr>
          <w:rFonts w:ascii="Arial" w:hAnsi="Arial" w:cs="Arial"/>
          <w:sz w:val="23"/>
          <w:szCs w:val="23"/>
        </w:rPr>
        <w:t xml:space="preserve">. It </w:t>
      </w:r>
      <w:r w:rsidR="008534F5" w:rsidRPr="00A84276">
        <w:rPr>
          <w:rFonts w:ascii="Arial" w:hAnsi="Arial" w:cs="Arial"/>
          <w:sz w:val="23"/>
          <w:szCs w:val="23"/>
        </w:rPr>
        <w:t xml:space="preserve">provides </w:t>
      </w:r>
      <w:r w:rsidR="00D402D9" w:rsidRPr="00A84276">
        <w:rPr>
          <w:rFonts w:ascii="Arial" w:hAnsi="Arial" w:cs="Arial"/>
          <w:sz w:val="23"/>
          <w:szCs w:val="23"/>
        </w:rPr>
        <w:t>information regarding patterns of development and usage that may be of particular value in those countries</w:t>
      </w:r>
      <w:r w:rsidR="008534F5" w:rsidRPr="00A84276">
        <w:rPr>
          <w:rFonts w:ascii="Arial" w:hAnsi="Arial" w:cs="Arial"/>
          <w:sz w:val="23"/>
          <w:szCs w:val="23"/>
        </w:rPr>
        <w:t xml:space="preserve"> </w:t>
      </w:r>
      <w:r w:rsidR="00D402D9" w:rsidRPr="00A84276">
        <w:rPr>
          <w:rFonts w:ascii="Arial" w:hAnsi="Arial" w:cs="Arial"/>
          <w:sz w:val="23"/>
          <w:szCs w:val="23"/>
        </w:rPr>
        <w:t>currently developing similar</w:t>
      </w:r>
      <w:r w:rsidR="008534F5" w:rsidRPr="00A84276">
        <w:rPr>
          <w:rFonts w:ascii="Arial" w:hAnsi="Arial" w:cs="Arial"/>
          <w:sz w:val="23"/>
          <w:szCs w:val="23"/>
        </w:rPr>
        <w:t xml:space="preserve"> </w:t>
      </w:r>
      <w:r w:rsidR="00D402D9" w:rsidRPr="00A84276">
        <w:rPr>
          <w:rFonts w:ascii="Arial" w:hAnsi="Arial" w:cs="Arial"/>
          <w:sz w:val="23"/>
          <w:szCs w:val="23"/>
        </w:rPr>
        <w:t>roles</w:t>
      </w:r>
      <w:r w:rsidR="008534F5" w:rsidRPr="00A84276">
        <w:rPr>
          <w:rFonts w:ascii="Arial" w:hAnsi="Arial" w:cs="Arial"/>
          <w:sz w:val="23"/>
          <w:szCs w:val="23"/>
        </w:rPr>
        <w:t xml:space="preserve">. </w:t>
      </w:r>
    </w:p>
    <w:p w:rsidR="0080319D" w:rsidRPr="00A84276" w:rsidRDefault="0080319D" w:rsidP="00BB3B0A">
      <w:pPr>
        <w:autoSpaceDE w:val="0"/>
        <w:autoSpaceDN w:val="0"/>
        <w:adjustRightInd w:val="0"/>
        <w:spacing w:after="0" w:line="240" w:lineRule="auto"/>
        <w:rPr>
          <w:rFonts w:ascii="Arial" w:hAnsi="Arial" w:cs="Arial"/>
          <w:sz w:val="23"/>
          <w:szCs w:val="23"/>
        </w:rPr>
      </w:pPr>
    </w:p>
    <w:p w:rsidR="00BB3B0A" w:rsidRPr="00A84276" w:rsidRDefault="00ED705D"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Nurse prescribing has spread massively since its introduction </w:t>
      </w:r>
      <w:r w:rsidR="00BB3B0A" w:rsidRPr="00A84276">
        <w:rPr>
          <w:rFonts w:ascii="Arial" w:hAnsi="Arial" w:cs="Arial"/>
          <w:sz w:val="23"/>
          <w:szCs w:val="23"/>
        </w:rPr>
        <w:t>to the UK with pilot schemes for community nurses</w:t>
      </w:r>
      <w:r w:rsidR="0080319D" w:rsidRPr="00A84276">
        <w:rPr>
          <w:rFonts w:ascii="Arial" w:hAnsi="Arial" w:cs="Arial"/>
          <w:sz w:val="23"/>
          <w:szCs w:val="23"/>
        </w:rPr>
        <w:t xml:space="preserve"> </w:t>
      </w:r>
      <w:r w:rsidR="00BB3B0A" w:rsidRPr="00A84276">
        <w:rPr>
          <w:rFonts w:ascii="Arial" w:hAnsi="Arial" w:cs="Arial"/>
          <w:sz w:val="23"/>
          <w:szCs w:val="23"/>
        </w:rPr>
        <w:t>in 1994 (</w:t>
      </w:r>
      <w:proofErr w:type="spellStart"/>
      <w:r w:rsidR="00BB3B0A" w:rsidRPr="00A84276">
        <w:rPr>
          <w:rFonts w:ascii="Arial" w:hAnsi="Arial" w:cs="Arial"/>
          <w:sz w:val="23"/>
          <w:szCs w:val="23"/>
        </w:rPr>
        <w:t>Luker</w:t>
      </w:r>
      <w:proofErr w:type="spellEnd"/>
      <w:r w:rsidR="00BB3B0A" w:rsidRPr="00A84276">
        <w:rPr>
          <w:rFonts w:ascii="Arial" w:hAnsi="Arial" w:cs="Arial"/>
          <w:sz w:val="23"/>
          <w:szCs w:val="23"/>
        </w:rPr>
        <w:t xml:space="preserve"> </w:t>
      </w:r>
      <w:r w:rsidR="00BB3B0A" w:rsidRPr="00A84276">
        <w:rPr>
          <w:rFonts w:ascii="Arial,Italic" w:hAnsi="Arial,Italic" w:cs="Arial,Italic"/>
          <w:i/>
          <w:iCs/>
          <w:sz w:val="23"/>
          <w:szCs w:val="23"/>
        </w:rPr>
        <w:t xml:space="preserve">et al. </w:t>
      </w:r>
      <w:r w:rsidR="00BB3B0A" w:rsidRPr="00A84276">
        <w:rPr>
          <w:rFonts w:ascii="Arial" w:hAnsi="Arial" w:cs="Arial"/>
          <w:sz w:val="23"/>
          <w:szCs w:val="23"/>
        </w:rPr>
        <w:t>1998). It has since progressively developed in scope and in the</w:t>
      </w:r>
      <w:r w:rsidR="0080319D" w:rsidRPr="00A84276">
        <w:rPr>
          <w:rFonts w:ascii="Arial" w:hAnsi="Arial" w:cs="Arial"/>
          <w:sz w:val="23"/>
          <w:szCs w:val="23"/>
        </w:rPr>
        <w:t xml:space="preserve"> </w:t>
      </w:r>
      <w:r w:rsidRPr="00A84276">
        <w:rPr>
          <w:rFonts w:ascii="Arial" w:hAnsi="Arial" w:cs="Arial"/>
          <w:sz w:val="23"/>
          <w:szCs w:val="23"/>
        </w:rPr>
        <w:t xml:space="preserve">number of prescribers. Generally, the breadth of the model of prescribing in the UK is wider than in the rest of the world. </w:t>
      </w:r>
      <w:r w:rsidR="00BB3B0A" w:rsidRPr="00A84276">
        <w:rPr>
          <w:rFonts w:ascii="Arial" w:hAnsi="Arial" w:cs="Arial"/>
          <w:sz w:val="23"/>
          <w:szCs w:val="23"/>
        </w:rPr>
        <w:t>As well as within the UK, NP has been advancing in other</w:t>
      </w:r>
      <w:r w:rsidR="0080319D" w:rsidRPr="00A84276">
        <w:rPr>
          <w:rFonts w:ascii="Arial" w:hAnsi="Arial" w:cs="Arial"/>
          <w:sz w:val="23"/>
          <w:szCs w:val="23"/>
        </w:rPr>
        <w:t xml:space="preserve"> </w:t>
      </w:r>
      <w:r w:rsidR="00BB3B0A" w:rsidRPr="00A84276">
        <w:rPr>
          <w:rFonts w:ascii="Arial" w:hAnsi="Arial" w:cs="Arial"/>
          <w:sz w:val="23"/>
          <w:szCs w:val="23"/>
        </w:rPr>
        <w:t>countries including Australia (Fisher 2005), New Zealand (Hughes &amp; Lockyer 2004)</w:t>
      </w:r>
      <w:r w:rsidR="0080319D" w:rsidRPr="00A84276">
        <w:rPr>
          <w:rFonts w:ascii="Arial" w:hAnsi="Arial" w:cs="Arial"/>
          <w:sz w:val="23"/>
          <w:szCs w:val="23"/>
        </w:rPr>
        <w:t xml:space="preserve"> </w:t>
      </w:r>
      <w:r w:rsidR="00BB3B0A" w:rsidRPr="00A84276">
        <w:rPr>
          <w:rFonts w:ascii="Arial" w:hAnsi="Arial" w:cs="Arial"/>
          <w:sz w:val="23"/>
          <w:szCs w:val="23"/>
        </w:rPr>
        <w:t>and the USA where nurse practitioners have been prescribing for four decades</w:t>
      </w:r>
      <w:r w:rsidR="0080319D" w:rsidRPr="00A84276">
        <w:rPr>
          <w:rFonts w:ascii="Arial" w:hAnsi="Arial" w:cs="Arial"/>
          <w:sz w:val="23"/>
          <w:szCs w:val="23"/>
        </w:rPr>
        <w:t xml:space="preserve"> </w:t>
      </w:r>
      <w:r w:rsidR="00BB3B0A" w:rsidRPr="00A84276">
        <w:rPr>
          <w:rFonts w:ascii="Arial" w:hAnsi="Arial" w:cs="Arial"/>
          <w:sz w:val="23"/>
          <w:szCs w:val="23"/>
        </w:rPr>
        <w:t xml:space="preserve">(Cipher </w:t>
      </w:r>
      <w:r w:rsidR="00BB3B0A" w:rsidRPr="00A84276">
        <w:rPr>
          <w:rFonts w:ascii="Arial,Italic" w:hAnsi="Arial,Italic" w:cs="Arial,Italic"/>
          <w:i/>
          <w:iCs/>
          <w:sz w:val="23"/>
          <w:szCs w:val="23"/>
        </w:rPr>
        <w:t>et al</w:t>
      </w:r>
      <w:r w:rsidR="00BB3B0A" w:rsidRPr="00A84276">
        <w:rPr>
          <w:rFonts w:ascii="Arial" w:hAnsi="Arial" w:cs="Arial"/>
          <w:sz w:val="23"/>
          <w:szCs w:val="23"/>
        </w:rPr>
        <w:t>. 2006), although different models exist across individual states. In 2011</w:t>
      </w:r>
      <w:r w:rsidR="0080319D" w:rsidRPr="00A84276">
        <w:rPr>
          <w:rFonts w:ascii="Arial" w:hAnsi="Arial" w:cs="Arial"/>
          <w:sz w:val="23"/>
          <w:szCs w:val="23"/>
        </w:rPr>
        <w:t xml:space="preserve"> </w:t>
      </w:r>
      <w:proofErr w:type="spellStart"/>
      <w:r w:rsidR="00BB3B0A" w:rsidRPr="00A84276">
        <w:rPr>
          <w:rFonts w:ascii="Arial" w:hAnsi="Arial" w:cs="Arial"/>
          <w:sz w:val="23"/>
          <w:szCs w:val="23"/>
        </w:rPr>
        <w:t>Kroezen</w:t>
      </w:r>
      <w:proofErr w:type="spellEnd"/>
      <w:r w:rsidR="00BB3B0A" w:rsidRPr="00A84276">
        <w:rPr>
          <w:rFonts w:ascii="Arial" w:hAnsi="Arial" w:cs="Arial"/>
          <w:sz w:val="23"/>
          <w:szCs w:val="23"/>
        </w:rPr>
        <w:t xml:space="preserve"> </w:t>
      </w:r>
      <w:r w:rsidR="00BB3B0A" w:rsidRPr="00A84276">
        <w:rPr>
          <w:rFonts w:ascii="Arial,Italic" w:hAnsi="Arial,Italic" w:cs="Arial,Italic"/>
          <w:i/>
          <w:iCs/>
          <w:sz w:val="23"/>
          <w:szCs w:val="23"/>
        </w:rPr>
        <w:t>et al</w:t>
      </w:r>
      <w:r w:rsidR="00BB3B0A" w:rsidRPr="00A84276">
        <w:rPr>
          <w:rFonts w:ascii="Arial" w:hAnsi="Arial" w:cs="Arial"/>
          <w:sz w:val="23"/>
          <w:szCs w:val="23"/>
        </w:rPr>
        <w:t>. (2011) reported that seven Western European and Anglo-Saxon</w:t>
      </w:r>
      <w:r w:rsidR="0080319D" w:rsidRPr="00A84276">
        <w:rPr>
          <w:rFonts w:ascii="Arial" w:hAnsi="Arial" w:cs="Arial"/>
          <w:sz w:val="23"/>
          <w:szCs w:val="23"/>
        </w:rPr>
        <w:t xml:space="preserve"> </w:t>
      </w:r>
      <w:r w:rsidR="00BB3B0A" w:rsidRPr="00A84276">
        <w:rPr>
          <w:rFonts w:ascii="Arial" w:hAnsi="Arial" w:cs="Arial"/>
          <w:sz w:val="23"/>
          <w:szCs w:val="23"/>
        </w:rPr>
        <w:t>countries had implemented nurse prescribing of medicines: Australia, Canada,</w:t>
      </w:r>
      <w:r w:rsidR="0080319D" w:rsidRPr="00A84276">
        <w:rPr>
          <w:rFonts w:ascii="Arial" w:hAnsi="Arial" w:cs="Arial"/>
          <w:sz w:val="23"/>
          <w:szCs w:val="23"/>
        </w:rPr>
        <w:t xml:space="preserve"> </w:t>
      </w:r>
      <w:r w:rsidR="00BB3B0A" w:rsidRPr="00A84276">
        <w:rPr>
          <w:rFonts w:ascii="Arial" w:hAnsi="Arial" w:cs="Arial"/>
          <w:sz w:val="23"/>
          <w:szCs w:val="23"/>
        </w:rPr>
        <w:t>Ireland, New Zealand, Sweden, the UK and the USA. Since that time Finland, the</w:t>
      </w:r>
      <w:r w:rsidR="0080319D" w:rsidRPr="00A84276">
        <w:rPr>
          <w:rFonts w:ascii="Arial" w:hAnsi="Arial" w:cs="Arial"/>
          <w:sz w:val="23"/>
          <w:szCs w:val="23"/>
        </w:rPr>
        <w:t xml:space="preserve"> </w:t>
      </w:r>
      <w:r w:rsidR="00BB3B0A" w:rsidRPr="00A84276">
        <w:rPr>
          <w:rFonts w:ascii="Arial" w:hAnsi="Arial" w:cs="Arial"/>
          <w:sz w:val="23"/>
          <w:szCs w:val="23"/>
        </w:rPr>
        <w:t xml:space="preserve">Netherlands and Spain have also now introduced </w:t>
      </w:r>
      <w:r w:rsidR="000E2DED" w:rsidRPr="00A84276">
        <w:rPr>
          <w:rFonts w:ascii="Arial" w:hAnsi="Arial" w:cs="Arial"/>
          <w:sz w:val="23"/>
          <w:szCs w:val="23"/>
        </w:rPr>
        <w:t xml:space="preserve">models of </w:t>
      </w:r>
      <w:r w:rsidR="00BB3B0A" w:rsidRPr="00A84276">
        <w:rPr>
          <w:rFonts w:ascii="Arial" w:hAnsi="Arial" w:cs="Arial"/>
          <w:sz w:val="23"/>
          <w:szCs w:val="23"/>
        </w:rPr>
        <w:t>NP.</w:t>
      </w:r>
      <w:r w:rsidRPr="00A84276">
        <w:rPr>
          <w:rFonts w:ascii="Arial" w:hAnsi="Arial" w:cs="Arial"/>
          <w:sz w:val="23"/>
          <w:szCs w:val="23"/>
        </w:rPr>
        <w:t xml:space="preserve"> </w:t>
      </w:r>
      <w:r w:rsidR="002E61FA" w:rsidRPr="00A84276">
        <w:rPr>
          <w:rFonts w:ascii="Arial" w:hAnsi="Arial" w:cs="Arial"/>
          <w:sz w:val="23"/>
          <w:szCs w:val="23"/>
        </w:rPr>
        <w:t xml:space="preserve">To date, </w:t>
      </w:r>
      <w:r w:rsidR="00681BCE" w:rsidRPr="00A84276">
        <w:rPr>
          <w:rFonts w:ascii="Arial" w:hAnsi="Arial" w:cs="Arial"/>
          <w:sz w:val="23"/>
          <w:szCs w:val="23"/>
        </w:rPr>
        <w:t>t</w:t>
      </w:r>
      <w:r w:rsidRPr="00A84276">
        <w:rPr>
          <w:rFonts w:ascii="Arial" w:hAnsi="Arial" w:cs="Arial"/>
          <w:sz w:val="23"/>
          <w:szCs w:val="23"/>
        </w:rPr>
        <w:t xml:space="preserve">here is no summative published evidence as the </w:t>
      </w:r>
      <w:r w:rsidR="002E61FA" w:rsidRPr="00A84276">
        <w:rPr>
          <w:rFonts w:ascii="Arial" w:hAnsi="Arial" w:cs="Arial"/>
          <w:sz w:val="23"/>
          <w:szCs w:val="23"/>
        </w:rPr>
        <w:t>number or proportion</w:t>
      </w:r>
      <w:r w:rsidRPr="00A84276">
        <w:rPr>
          <w:rFonts w:ascii="Arial" w:hAnsi="Arial" w:cs="Arial"/>
          <w:sz w:val="23"/>
          <w:szCs w:val="23"/>
        </w:rPr>
        <w:t xml:space="preserve"> of nurse</w:t>
      </w:r>
      <w:r w:rsidR="002E61FA" w:rsidRPr="00A84276">
        <w:rPr>
          <w:rFonts w:ascii="Arial" w:hAnsi="Arial" w:cs="Arial"/>
          <w:sz w:val="23"/>
          <w:szCs w:val="23"/>
        </w:rPr>
        <w:t>s</w:t>
      </w:r>
      <w:r w:rsidRPr="00A84276">
        <w:rPr>
          <w:rFonts w:ascii="Arial" w:hAnsi="Arial" w:cs="Arial"/>
          <w:sz w:val="23"/>
          <w:szCs w:val="23"/>
        </w:rPr>
        <w:t xml:space="preserve"> prescribing in mental health settings internationally</w:t>
      </w:r>
      <w:r w:rsidR="002E61FA" w:rsidRPr="00A84276">
        <w:rPr>
          <w:rFonts w:ascii="Arial" w:hAnsi="Arial" w:cs="Arial"/>
          <w:sz w:val="23"/>
          <w:szCs w:val="23"/>
        </w:rPr>
        <w:t xml:space="preserve"> and how their levels of </w:t>
      </w:r>
      <w:r w:rsidR="00681BCE" w:rsidRPr="00A84276">
        <w:rPr>
          <w:rFonts w:ascii="Arial" w:hAnsi="Arial" w:cs="Arial"/>
          <w:sz w:val="23"/>
          <w:szCs w:val="23"/>
        </w:rPr>
        <w:t xml:space="preserve">prescribing </w:t>
      </w:r>
      <w:r w:rsidR="002E61FA" w:rsidRPr="00A84276">
        <w:rPr>
          <w:rFonts w:ascii="Arial" w:hAnsi="Arial" w:cs="Arial"/>
          <w:sz w:val="23"/>
          <w:szCs w:val="23"/>
        </w:rPr>
        <w:t>activities compare with medical practitioners</w:t>
      </w:r>
      <w:r w:rsidR="00681BCE" w:rsidRPr="00A84276">
        <w:rPr>
          <w:rFonts w:ascii="Arial" w:hAnsi="Arial" w:cs="Arial"/>
          <w:sz w:val="23"/>
          <w:szCs w:val="23"/>
        </w:rPr>
        <w:t>’</w:t>
      </w:r>
      <w:r w:rsidRPr="00A84276">
        <w:rPr>
          <w:rFonts w:ascii="Arial" w:hAnsi="Arial" w:cs="Arial"/>
          <w:sz w:val="23"/>
          <w:szCs w:val="23"/>
        </w:rPr>
        <w:t xml:space="preserve">. </w:t>
      </w:r>
    </w:p>
    <w:p w:rsidR="0080319D" w:rsidRPr="00A84276" w:rsidRDefault="0080319D" w:rsidP="00BB3B0A">
      <w:pPr>
        <w:autoSpaceDE w:val="0"/>
        <w:autoSpaceDN w:val="0"/>
        <w:adjustRightInd w:val="0"/>
        <w:spacing w:after="0" w:line="240" w:lineRule="auto"/>
        <w:rPr>
          <w:rFonts w:ascii="Arial" w:hAnsi="Arial" w:cs="Arial"/>
          <w:sz w:val="23"/>
          <w:szCs w:val="23"/>
        </w:rPr>
      </w:pPr>
    </w:p>
    <w:p w:rsidR="00BB3B0A" w:rsidRPr="00A84276" w:rsidRDefault="00490C15"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Prescribing opportunities for </w:t>
      </w:r>
      <w:r w:rsidR="00BB3B0A" w:rsidRPr="00A84276">
        <w:rPr>
          <w:rFonts w:ascii="Arial" w:hAnsi="Arial" w:cs="Arial"/>
          <w:sz w:val="23"/>
          <w:szCs w:val="23"/>
        </w:rPr>
        <w:t>mental health nurses</w:t>
      </w:r>
      <w:r w:rsidR="0080319D" w:rsidRPr="00A84276">
        <w:rPr>
          <w:rFonts w:ascii="Arial" w:hAnsi="Arial" w:cs="Arial"/>
          <w:sz w:val="23"/>
          <w:szCs w:val="23"/>
        </w:rPr>
        <w:t xml:space="preserve"> </w:t>
      </w:r>
      <w:r w:rsidR="00BB3B0A" w:rsidRPr="00A84276">
        <w:rPr>
          <w:rFonts w:ascii="Arial" w:hAnsi="Arial" w:cs="Arial"/>
          <w:sz w:val="23"/>
          <w:szCs w:val="23"/>
        </w:rPr>
        <w:t xml:space="preserve">(MHNs) </w:t>
      </w:r>
      <w:r w:rsidRPr="00A84276">
        <w:rPr>
          <w:rFonts w:ascii="Arial" w:hAnsi="Arial" w:cs="Arial"/>
          <w:sz w:val="23"/>
          <w:szCs w:val="23"/>
        </w:rPr>
        <w:t xml:space="preserve">were made available later in the UK than for most other nursing </w:t>
      </w:r>
      <w:r w:rsidR="00D402D9" w:rsidRPr="00A84276">
        <w:rPr>
          <w:rFonts w:ascii="Arial" w:hAnsi="Arial" w:cs="Arial"/>
          <w:sz w:val="23"/>
          <w:szCs w:val="23"/>
        </w:rPr>
        <w:t>specialities</w:t>
      </w:r>
      <w:r w:rsidR="00BB3B0A" w:rsidRPr="00A84276">
        <w:rPr>
          <w:rFonts w:ascii="Arial" w:hAnsi="Arial" w:cs="Arial"/>
          <w:sz w:val="23"/>
          <w:szCs w:val="23"/>
        </w:rPr>
        <w:t>. The introduction of supplementary prescribing (SP)</w:t>
      </w:r>
      <w:r w:rsidR="0080319D" w:rsidRPr="00A84276">
        <w:rPr>
          <w:rFonts w:ascii="Arial" w:hAnsi="Arial" w:cs="Arial"/>
          <w:sz w:val="23"/>
          <w:szCs w:val="23"/>
        </w:rPr>
        <w:t xml:space="preserve"> </w:t>
      </w:r>
      <w:r w:rsidR="00BB3B0A" w:rsidRPr="00A84276">
        <w:rPr>
          <w:rFonts w:ascii="Arial" w:hAnsi="Arial" w:cs="Arial"/>
          <w:sz w:val="23"/>
          <w:szCs w:val="23"/>
        </w:rPr>
        <w:t>in April 2003 represented the first specific opportunity for MHNs to prescribe. Nurse</w:t>
      </w:r>
      <w:r w:rsidR="0080319D" w:rsidRPr="00A84276">
        <w:rPr>
          <w:rFonts w:ascii="Arial" w:hAnsi="Arial" w:cs="Arial"/>
          <w:sz w:val="23"/>
          <w:szCs w:val="23"/>
        </w:rPr>
        <w:t xml:space="preserve"> </w:t>
      </w:r>
      <w:r w:rsidR="00BB3B0A" w:rsidRPr="00A84276">
        <w:rPr>
          <w:rFonts w:ascii="Arial" w:hAnsi="Arial" w:cs="Arial"/>
          <w:sz w:val="23"/>
          <w:szCs w:val="23"/>
        </w:rPr>
        <w:t>SP is a voluntary partnership between an independent prescriber (a doctor) and a</w:t>
      </w:r>
      <w:r w:rsidR="0080319D" w:rsidRPr="00A84276">
        <w:rPr>
          <w:rFonts w:ascii="Arial" w:hAnsi="Arial" w:cs="Arial"/>
          <w:sz w:val="23"/>
          <w:szCs w:val="23"/>
        </w:rPr>
        <w:t xml:space="preserve"> </w:t>
      </w:r>
      <w:r w:rsidR="00BB3B0A" w:rsidRPr="00A84276">
        <w:rPr>
          <w:rFonts w:ascii="Arial" w:hAnsi="Arial" w:cs="Arial"/>
          <w:sz w:val="23"/>
          <w:szCs w:val="23"/>
        </w:rPr>
        <w:t>NP to implement an agreed patient-specific clinical management plan (Department</w:t>
      </w:r>
      <w:r w:rsidR="0080319D" w:rsidRPr="00A84276">
        <w:rPr>
          <w:rFonts w:ascii="Arial" w:hAnsi="Arial" w:cs="Arial"/>
          <w:sz w:val="23"/>
          <w:szCs w:val="23"/>
        </w:rPr>
        <w:t xml:space="preserve"> </w:t>
      </w:r>
      <w:r w:rsidR="00BB3B0A" w:rsidRPr="00A84276">
        <w:rPr>
          <w:rFonts w:ascii="Arial" w:hAnsi="Arial" w:cs="Arial"/>
          <w:sz w:val="23"/>
          <w:szCs w:val="23"/>
        </w:rPr>
        <w:t xml:space="preserve">of Health 2005). If appropriate, and indicated in the clinical management plan, </w:t>
      </w:r>
      <w:r w:rsidR="00D402D9" w:rsidRPr="00A84276">
        <w:rPr>
          <w:rFonts w:ascii="Arial" w:hAnsi="Arial" w:cs="Arial"/>
          <w:sz w:val="23"/>
          <w:szCs w:val="23"/>
        </w:rPr>
        <w:t>a supplementary prescriber can</w:t>
      </w:r>
      <w:r w:rsidR="00BB3B0A" w:rsidRPr="00A84276">
        <w:rPr>
          <w:rFonts w:ascii="Arial" w:hAnsi="Arial" w:cs="Arial"/>
          <w:sz w:val="23"/>
          <w:szCs w:val="23"/>
        </w:rPr>
        <w:t xml:space="preserve"> prescribe repeat prescriptions, adjust dosage, switch and stop medicines</w:t>
      </w:r>
      <w:r w:rsidR="0080319D" w:rsidRPr="00A84276">
        <w:rPr>
          <w:rFonts w:ascii="Arial" w:hAnsi="Arial" w:cs="Arial"/>
          <w:sz w:val="23"/>
          <w:szCs w:val="23"/>
        </w:rPr>
        <w:t xml:space="preserve"> </w:t>
      </w:r>
      <w:r w:rsidR="00BB3B0A" w:rsidRPr="00A84276">
        <w:rPr>
          <w:rFonts w:ascii="Arial" w:hAnsi="Arial" w:cs="Arial"/>
          <w:sz w:val="23"/>
          <w:szCs w:val="23"/>
        </w:rPr>
        <w:t>(Department of Health 2006).</w:t>
      </w:r>
    </w:p>
    <w:p w:rsidR="0080319D" w:rsidRPr="00A84276" w:rsidRDefault="0080319D" w:rsidP="00BB3B0A">
      <w:pPr>
        <w:autoSpaceDE w:val="0"/>
        <w:autoSpaceDN w:val="0"/>
        <w:adjustRightInd w:val="0"/>
        <w:spacing w:after="0" w:line="240" w:lineRule="auto"/>
        <w:rPr>
          <w:rFonts w:ascii="Arial" w:hAnsi="Arial" w:cs="Arial"/>
          <w:sz w:val="23"/>
          <w:szCs w:val="23"/>
        </w:rPr>
      </w:pPr>
    </w:p>
    <w:p w:rsidR="000E0189" w:rsidRPr="00A84276" w:rsidRDefault="00BB3B0A" w:rsidP="0080319D">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Since May 2006, it has become possible for MHNs to become independent</w:t>
      </w:r>
      <w:r w:rsidR="0080319D" w:rsidRPr="00A84276">
        <w:rPr>
          <w:rFonts w:ascii="Arial" w:hAnsi="Arial" w:cs="Arial"/>
          <w:sz w:val="23"/>
          <w:szCs w:val="23"/>
        </w:rPr>
        <w:t xml:space="preserve"> </w:t>
      </w:r>
      <w:r w:rsidRPr="00A84276">
        <w:rPr>
          <w:rFonts w:ascii="Arial" w:hAnsi="Arial" w:cs="Arial"/>
          <w:sz w:val="23"/>
          <w:szCs w:val="23"/>
        </w:rPr>
        <w:t>prescribers (IP), i.e. to diagnose and prescribe medicines without the direct</w:t>
      </w:r>
      <w:r w:rsidR="0080319D" w:rsidRPr="00A84276">
        <w:rPr>
          <w:rFonts w:ascii="Arial" w:hAnsi="Arial" w:cs="Arial"/>
          <w:sz w:val="23"/>
          <w:szCs w:val="23"/>
        </w:rPr>
        <w:t xml:space="preserve"> </w:t>
      </w:r>
      <w:r w:rsidRPr="00A84276">
        <w:rPr>
          <w:rFonts w:ascii="Arial" w:hAnsi="Arial" w:cs="Arial"/>
          <w:sz w:val="23"/>
          <w:szCs w:val="23"/>
        </w:rPr>
        <w:t>involvement of a medical practitioner. In 2011, a government commissioned</w:t>
      </w:r>
      <w:r w:rsidR="0080319D" w:rsidRPr="00A84276">
        <w:rPr>
          <w:rFonts w:ascii="Arial" w:hAnsi="Arial" w:cs="Arial"/>
          <w:sz w:val="23"/>
          <w:szCs w:val="23"/>
        </w:rPr>
        <w:t xml:space="preserve"> </w:t>
      </w:r>
      <w:r w:rsidRPr="00A84276">
        <w:rPr>
          <w:rFonts w:ascii="Arial" w:hAnsi="Arial" w:cs="Arial"/>
          <w:sz w:val="23"/>
          <w:szCs w:val="23"/>
        </w:rPr>
        <w:t xml:space="preserve">evaluation of IP by nurses across a </w:t>
      </w:r>
      <w:r w:rsidRPr="00A84276">
        <w:rPr>
          <w:rFonts w:ascii="Arial" w:hAnsi="Arial" w:cs="Arial"/>
          <w:sz w:val="23"/>
          <w:szCs w:val="23"/>
        </w:rPr>
        <w:lastRenderedPageBreak/>
        <w:t>range of health specialities (not specifically</w:t>
      </w:r>
      <w:r w:rsidR="0080319D" w:rsidRPr="00A84276">
        <w:rPr>
          <w:rFonts w:ascii="Arial" w:hAnsi="Arial" w:cs="Arial"/>
          <w:sz w:val="23"/>
          <w:szCs w:val="23"/>
        </w:rPr>
        <w:t xml:space="preserve"> </w:t>
      </w:r>
      <w:r w:rsidRPr="00A84276">
        <w:rPr>
          <w:rFonts w:ascii="Arial" w:hAnsi="Arial" w:cs="Arial"/>
          <w:sz w:val="23"/>
          <w:szCs w:val="23"/>
        </w:rPr>
        <w:t>mental health) concluded that, overall, nurse and pharmacist prescribing is currently</w:t>
      </w:r>
      <w:r w:rsidR="0080319D" w:rsidRPr="00A84276">
        <w:rPr>
          <w:rFonts w:ascii="Arial" w:hAnsi="Arial" w:cs="Arial"/>
          <w:sz w:val="23"/>
          <w:szCs w:val="23"/>
        </w:rPr>
        <w:t xml:space="preserve"> </w:t>
      </w:r>
      <w:r w:rsidRPr="00A84276">
        <w:rPr>
          <w:rFonts w:ascii="Arial" w:hAnsi="Arial" w:cs="Arial"/>
          <w:sz w:val="23"/>
          <w:szCs w:val="23"/>
        </w:rPr>
        <w:t xml:space="preserve">safe and clinically appropriate (Latter </w:t>
      </w:r>
      <w:r w:rsidRPr="00A84276">
        <w:rPr>
          <w:rFonts w:ascii="Arial,Italic" w:hAnsi="Arial,Italic" w:cs="Arial,Italic"/>
          <w:i/>
          <w:iCs/>
          <w:sz w:val="23"/>
          <w:szCs w:val="23"/>
        </w:rPr>
        <w:t xml:space="preserve">et al. </w:t>
      </w:r>
      <w:r w:rsidRPr="00A84276">
        <w:rPr>
          <w:rFonts w:ascii="Arial" w:hAnsi="Arial" w:cs="Arial"/>
          <w:sz w:val="23"/>
          <w:szCs w:val="23"/>
        </w:rPr>
        <w:t>2011).</w:t>
      </w:r>
      <w:r w:rsidR="00ED705D" w:rsidRPr="00A84276">
        <w:rPr>
          <w:rFonts w:ascii="Arial" w:hAnsi="Arial" w:cs="Arial"/>
          <w:sz w:val="23"/>
          <w:szCs w:val="23"/>
        </w:rPr>
        <w:t xml:space="preserve"> </w:t>
      </w:r>
      <w:r w:rsidRPr="00A84276">
        <w:rPr>
          <w:rFonts w:ascii="Arial" w:hAnsi="Arial" w:cs="Arial"/>
          <w:sz w:val="23"/>
          <w:szCs w:val="23"/>
        </w:rPr>
        <w:t>From 2012, NPs have been able to prescribe controlled drugs (Department of Health</w:t>
      </w:r>
      <w:r w:rsidR="0080319D" w:rsidRPr="00A84276">
        <w:rPr>
          <w:rFonts w:ascii="Arial" w:hAnsi="Arial" w:cs="Arial"/>
          <w:sz w:val="23"/>
          <w:szCs w:val="23"/>
        </w:rPr>
        <w:t xml:space="preserve"> </w:t>
      </w:r>
      <w:r w:rsidRPr="00A84276">
        <w:rPr>
          <w:rFonts w:ascii="Arial" w:hAnsi="Arial" w:cs="Arial"/>
          <w:sz w:val="23"/>
          <w:szCs w:val="23"/>
        </w:rPr>
        <w:t>2012) with consequent implications for potential new roles in substance misuse</w:t>
      </w:r>
      <w:r w:rsidR="0080319D" w:rsidRPr="00A84276">
        <w:rPr>
          <w:rFonts w:ascii="Arial" w:hAnsi="Arial" w:cs="Arial"/>
          <w:sz w:val="23"/>
          <w:szCs w:val="23"/>
        </w:rPr>
        <w:t xml:space="preserve"> </w:t>
      </w:r>
      <w:r w:rsidRPr="00A84276">
        <w:rPr>
          <w:rFonts w:ascii="Arial" w:hAnsi="Arial" w:cs="Arial"/>
          <w:sz w:val="23"/>
          <w:szCs w:val="23"/>
        </w:rPr>
        <w:t>services (Public Health England 2014).</w:t>
      </w:r>
    </w:p>
    <w:p w:rsidR="0080319D" w:rsidRPr="00A84276" w:rsidRDefault="0080319D" w:rsidP="0080319D">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In order to be able to legally prescribe (supplementary or independent),</w:t>
      </w:r>
      <w:r w:rsidR="00B343AF" w:rsidRPr="00A84276">
        <w:rPr>
          <w:rFonts w:ascii="Arial" w:hAnsi="Arial" w:cs="Arial"/>
          <w:sz w:val="23"/>
          <w:szCs w:val="23"/>
        </w:rPr>
        <w:t xml:space="preserve"> </w:t>
      </w:r>
      <w:r w:rsidRPr="00A84276">
        <w:rPr>
          <w:rFonts w:ascii="Arial" w:hAnsi="Arial" w:cs="Arial"/>
          <w:sz w:val="23"/>
          <w:szCs w:val="23"/>
        </w:rPr>
        <w:t>registered</w:t>
      </w:r>
      <w:r w:rsidR="00445BE6" w:rsidRPr="00A84276">
        <w:rPr>
          <w:rFonts w:ascii="Arial" w:hAnsi="Arial" w:cs="Arial"/>
          <w:sz w:val="23"/>
          <w:szCs w:val="23"/>
        </w:rPr>
        <w:t xml:space="preserve"> </w:t>
      </w:r>
      <w:r w:rsidRPr="00A84276">
        <w:rPr>
          <w:rFonts w:ascii="Arial" w:hAnsi="Arial" w:cs="Arial"/>
          <w:sz w:val="23"/>
          <w:szCs w:val="23"/>
        </w:rPr>
        <w:t>nurses in the UK are required to attend a generic 26-day university-based training</w:t>
      </w:r>
      <w:r w:rsidR="00445BE6" w:rsidRPr="00A84276">
        <w:rPr>
          <w:rFonts w:ascii="Arial" w:hAnsi="Arial" w:cs="Arial"/>
          <w:sz w:val="23"/>
          <w:szCs w:val="23"/>
        </w:rPr>
        <w:t xml:space="preserve"> </w:t>
      </w:r>
      <w:r w:rsidRPr="00A84276">
        <w:rPr>
          <w:rFonts w:ascii="Arial" w:hAnsi="Arial" w:cs="Arial"/>
          <w:sz w:val="23"/>
          <w:szCs w:val="23"/>
        </w:rPr>
        <w:t>programme and undergo a period of supervised practice with an experienced doctor</w:t>
      </w:r>
      <w:r w:rsidR="00445BE6" w:rsidRPr="00A84276">
        <w:rPr>
          <w:rFonts w:ascii="Arial" w:hAnsi="Arial" w:cs="Arial"/>
          <w:sz w:val="23"/>
          <w:szCs w:val="23"/>
        </w:rPr>
        <w:t xml:space="preserve"> </w:t>
      </w:r>
      <w:r w:rsidRPr="00A84276">
        <w:rPr>
          <w:rFonts w:ascii="Arial" w:hAnsi="Arial" w:cs="Arial"/>
          <w:sz w:val="23"/>
          <w:szCs w:val="23"/>
        </w:rPr>
        <w:t>(Nursing and Midwifery Council 2003). Nurses must ensure that prescribing practice</w:t>
      </w:r>
      <w:r w:rsidR="00445BE6" w:rsidRPr="00A84276">
        <w:rPr>
          <w:rFonts w:ascii="Arial" w:hAnsi="Arial" w:cs="Arial"/>
          <w:sz w:val="23"/>
          <w:szCs w:val="23"/>
        </w:rPr>
        <w:t xml:space="preserve"> </w:t>
      </w:r>
      <w:r w:rsidRPr="00A84276">
        <w:rPr>
          <w:rFonts w:ascii="Arial" w:hAnsi="Arial" w:cs="Arial"/>
          <w:sz w:val="23"/>
          <w:szCs w:val="23"/>
        </w:rPr>
        <w:t>remains within their area of competence and the limits of their knowledge</w:t>
      </w:r>
      <w:r w:rsidR="00445BE6" w:rsidRPr="00A84276">
        <w:rPr>
          <w:rFonts w:ascii="Arial" w:hAnsi="Arial" w:cs="Arial"/>
          <w:sz w:val="23"/>
          <w:szCs w:val="23"/>
        </w:rPr>
        <w:t xml:space="preserve"> </w:t>
      </w:r>
      <w:r w:rsidRPr="00A84276">
        <w:rPr>
          <w:rFonts w:ascii="Arial" w:hAnsi="Arial" w:cs="Arial"/>
          <w:sz w:val="23"/>
          <w:szCs w:val="23"/>
        </w:rPr>
        <w:t>(Department of Health 2007) and must be supported to prescribe by their employers.</w:t>
      </w:r>
      <w:r w:rsidR="00445BE6" w:rsidRPr="00A84276">
        <w:rPr>
          <w:rFonts w:ascii="Arial" w:hAnsi="Arial" w:cs="Arial"/>
          <w:sz w:val="23"/>
          <w:szCs w:val="23"/>
        </w:rPr>
        <w:t xml:space="preserve"> </w:t>
      </w:r>
      <w:r w:rsidRPr="00A84276">
        <w:rPr>
          <w:rFonts w:ascii="Arial" w:hAnsi="Arial" w:cs="Arial"/>
          <w:sz w:val="23"/>
          <w:szCs w:val="23"/>
        </w:rPr>
        <w:t>Take up of the prescribing role is, therefore, dependent on organisational ownership</w:t>
      </w:r>
      <w:r w:rsidR="00445BE6" w:rsidRPr="00A84276">
        <w:rPr>
          <w:rFonts w:ascii="Arial" w:hAnsi="Arial" w:cs="Arial"/>
          <w:sz w:val="23"/>
          <w:szCs w:val="23"/>
        </w:rPr>
        <w:t xml:space="preserve"> </w:t>
      </w:r>
      <w:r w:rsidRPr="00A84276">
        <w:rPr>
          <w:rFonts w:ascii="Arial" w:hAnsi="Arial" w:cs="Arial"/>
          <w:sz w:val="23"/>
          <w:szCs w:val="23"/>
        </w:rPr>
        <w:t>and support.</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Nationally, programmes of work have taken place to improve mental health services</w:t>
      </w:r>
      <w:r w:rsidR="00445BE6" w:rsidRPr="00A84276">
        <w:rPr>
          <w:rFonts w:ascii="Arial" w:hAnsi="Arial" w:cs="Arial"/>
          <w:sz w:val="23"/>
          <w:szCs w:val="23"/>
        </w:rPr>
        <w:t xml:space="preserve"> </w:t>
      </w:r>
      <w:r w:rsidRPr="00A84276">
        <w:rPr>
          <w:rFonts w:ascii="Arial" w:hAnsi="Arial" w:cs="Arial"/>
          <w:sz w:val="23"/>
          <w:szCs w:val="23"/>
        </w:rPr>
        <w:t>by creating new roles and developing new skills (Department of Health 2007). It was</w:t>
      </w:r>
      <w:r w:rsidR="00445BE6" w:rsidRPr="00A84276">
        <w:rPr>
          <w:rFonts w:ascii="Arial" w:hAnsi="Arial" w:cs="Arial"/>
          <w:sz w:val="23"/>
          <w:szCs w:val="23"/>
        </w:rPr>
        <w:t xml:space="preserve"> </w:t>
      </w:r>
      <w:r w:rsidRPr="00A84276">
        <w:rPr>
          <w:rFonts w:ascii="Arial" w:hAnsi="Arial" w:cs="Arial"/>
          <w:sz w:val="23"/>
          <w:szCs w:val="23"/>
        </w:rPr>
        <w:t>envisaged that nurse prescribing could contribute to this agenda in the following</w:t>
      </w:r>
      <w:r w:rsidR="00445BE6" w:rsidRPr="00A84276">
        <w:rPr>
          <w:rFonts w:ascii="Arial" w:hAnsi="Arial" w:cs="Arial"/>
          <w:sz w:val="23"/>
          <w:szCs w:val="23"/>
        </w:rPr>
        <w:t xml:space="preserve"> </w:t>
      </w:r>
      <w:r w:rsidRPr="00A84276">
        <w:rPr>
          <w:rFonts w:ascii="Arial" w:hAnsi="Arial" w:cs="Arial"/>
          <w:sz w:val="23"/>
          <w:szCs w:val="23"/>
        </w:rPr>
        <w:t>ways: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enable redesign and streamlining of mental health services;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increase service user access to medicines;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improve information and education provided to service users;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address difficulties with concordance and adherence.</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806E2A" w:rsidRPr="00A84276" w:rsidRDefault="00BB3B0A" w:rsidP="002C7A16">
      <w:pPr>
        <w:shd w:val="clear" w:color="auto" w:fill="FFFFFF" w:themeFill="background1"/>
        <w:autoSpaceDE w:val="0"/>
        <w:autoSpaceDN w:val="0"/>
        <w:adjustRightInd w:val="0"/>
        <w:spacing w:after="0" w:line="240" w:lineRule="auto"/>
        <w:rPr>
          <w:rFonts w:ascii="Arial" w:hAnsi="Arial" w:cs="Arial"/>
          <w:sz w:val="23"/>
          <w:szCs w:val="23"/>
        </w:rPr>
      </w:pPr>
      <w:r w:rsidRPr="00A84276">
        <w:rPr>
          <w:rFonts w:ascii="Arial" w:hAnsi="Arial" w:cs="Arial"/>
          <w:sz w:val="23"/>
          <w:szCs w:val="23"/>
        </w:rPr>
        <w:t>Research evidencing that NP is safe and therapeutic specifically in mental health</w:t>
      </w:r>
      <w:r w:rsidR="00445BE6" w:rsidRPr="00A84276">
        <w:rPr>
          <w:rFonts w:ascii="Arial" w:hAnsi="Arial" w:cs="Arial"/>
          <w:sz w:val="23"/>
          <w:szCs w:val="23"/>
        </w:rPr>
        <w:t xml:space="preserve"> </w:t>
      </w:r>
      <w:r w:rsidRPr="00A84276">
        <w:rPr>
          <w:rFonts w:ascii="Arial" w:hAnsi="Arial" w:cs="Arial"/>
          <w:sz w:val="23"/>
          <w:szCs w:val="23"/>
        </w:rPr>
        <w:t>settings has lagged behind service developments. Only one empirical study has</w:t>
      </w:r>
      <w:r w:rsidR="00445BE6" w:rsidRPr="00A84276">
        <w:rPr>
          <w:rFonts w:ascii="Arial" w:hAnsi="Arial" w:cs="Arial"/>
          <w:sz w:val="23"/>
          <w:szCs w:val="23"/>
        </w:rPr>
        <w:t xml:space="preserve"> </w:t>
      </w:r>
      <w:r w:rsidRPr="00A84276">
        <w:rPr>
          <w:rFonts w:ascii="Arial" w:hAnsi="Arial" w:cs="Arial"/>
          <w:sz w:val="23"/>
          <w:szCs w:val="23"/>
        </w:rPr>
        <w:t>been conducted to date comparing outcomes between those patients treated by</w:t>
      </w:r>
      <w:r w:rsidR="00445BE6" w:rsidRPr="00A84276">
        <w:rPr>
          <w:rFonts w:ascii="Arial" w:hAnsi="Arial" w:cs="Arial"/>
          <w:sz w:val="23"/>
          <w:szCs w:val="23"/>
        </w:rPr>
        <w:t xml:space="preserve"> </w:t>
      </w:r>
      <w:r w:rsidRPr="00A84276">
        <w:rPr>
          <w:rFonts w:ascii="Arial" w:hAnsi="Arial" w:cs="Arial"/>
          <w:sz w:val="23"/>
          <w:szCs w:val="23"/>
        </w:rPr>
        <w:t>nurses using supplementary prescribing and those treated by psychiatrists (Norman</w:t>
      </w:r>
      <w:r w:rsidR="00445BE6" w:rsidRPr="00A84276">
        <w:rPr>
          <w:rFonts w:ascii="Arial" w:hAnsi="Arial" w:cs="Arial"/>
          <w:sz w:val="23"/>
          <w:szCs w:val="23"/>
        </w:rPr>
        <w:t xml:space="preserve"> </w:t>
      </w:r>
      <w:r w:rsidRPr="00A84276">
        <w:rPr>
          <w:rFonts w:ascii="Arial,Italic" w:hAnsi="Arial,Italic" w:cs="Arial,Italic"/>
          <w:i/>
          <w:iCs/>
          <w:sz w:val="23"/>
          <w:szCs w:val="23"/>
        </w:rPr>
        <w:t xml:space="preserve">et al. </w:t>
      </w:r>
      <w:r w:rsidRPr="00A84276">
        <w:rPr>
          <w:rFonts w:ascii="Arial" w:hAnsi="Arial" w:cs="Arial"/>
          <w:sz w:val="23"/>
          <w:szCs w:val="23"/>
        </w:rPr>
        <w:t>2010). All participants in this study had a diagnosis of psychosis. Medication</w:t>
      </w:r>
      <w:r w:rsidR="00445BE6" w:rsidRPr="00A84276">
        <w:rPr>
          <w:rFonts w:ascii="Arial" w:hAnsi="Arial" w:cs="Arial"/>
          <w:sz w:val="23"/>
          <w:szCs w:val="23"/>
        </w:rPr>
        <w:t xml:space="preserve"> </w:t>
      </w:r>
      <w:r w:rsidRPr="00A84276">
        <w:rPr>
          <w:rFonts w:ascii="Arial" w:hAnsi="Arial" w:cs="Arial"/>
          <w:sz w:val="23"/>
          <w:szCs w:val="23"/>
        </w:rPr>
        <w:t>adherence, the primary outcome measures was equivocal across all participants.</w:t>
      </w:r>
      <w:r w:rsidR="00445BE6" w:rsidRPr="00A84276">
        <w:rPr>
          <w:rFonts w:ascii="Arial" w:hAnsi="Arial" w:cs="Arial"/>
          <w:sz w:val="23"/>
          <w:szCs w:val="23"/>
        </w:rPr>
        <w:t xml:space="preserve"> </w:t>
      </w:r>
      <w:r w:rsidRPr="00A84276">
        <w:rPr>
          <w:rFonts w:ascii="Arial" w:hAnsi="Arial" w:cs="Arial"/>
          <w:sz w:val="23"/>
          <w:szCs w:val="23"/>
        </w:rPr>
        <w:t>Participants treated by NPs were more satisfied with their treatment by health care</w:t>
      </w:r>
      <w:r w:rsidR="00445BE6" w:rsidRPr="00A84276">
        <w:rPr>
          <w:rFonts w:ascii="Arial" w:hAnsi="Arial" w:cs="Arial"/>
          <w:sz w:val="23"/>
          <w:szCs w:val="23"/>
        </w:rPr>
        <w:t xml:space="preserve"> </w:t>
      </w:r>
      <w:r w:rsidRPr="00A84276">
        <w:rPr>
          <w:rFonts w:ascii="Arial" w:hAnsi="Arial" w:cs="Arial"/>
          <w:sz w:val="23"/>
          <w:szCs w:val="23"/>
        </w:rPr>
        <w:t xml:space="preserve">services generally. No differences in clinical or cost outcomes were elicited. Jones </w:t>
      </w:r>
      <w:r w:rsidRPr="00A84276">
        <w:rPr>
          <w:rFonts w:ascii="Arial,Italic" w:hAnsi="Arial,Italic" w:cs="Arial,Italic"/>
          <w:i/>
          <w:iCs/>
          <w:sz w:val="23"/>
          <w:szCs w:val="23"/>
        </w:rPr>
        <w:t>et</w:t>
      </w:r>
      <w:r w:rsidR="00445BE6" w:rsidRPr="00A84276">
        <w:rPr>
          <w:rFonts w:ascii="Arial,Italic" w:hAnsi="Arial,Italic" w:cs="Arial,Italic"/>
          <w:i/>
          <w:iCs/>
          <w:sz w:val="23"/>
          <w:szCs w:val="23"/>
        </w:rPr>
        <w:t xml:space="preserve"> </w:t>
      </w:r>
      <w:r w:rsidRPr="00A84276">
        <w:rPr>
          <w:rFonts w:ascii="Arial,Italic" w:hAnsi="Arial,Italic" w:cs="Arial,Italic"/>
          <w:i/>
          <w:iCs/>
          <w:sz w:val="23"/>
          <w:szCs w:val="23"/>
        </w:rPr>
        <w:t xml:space="preserve">al. </w:t>
      </w:r>
      <w:r w:rsidRPr="00A84276">
        <w:rPr>
          <w:rFonts w:ascii="Arial" w:hAnsi="Arial" w:cs="Arial"/>
          <w:sz w:val="23"/>
          <w:szCs w:val="23"/>
        </w:rPr>
        <w:t>(2007) have reported positive views of service users to the idea of NP in a small</w:t>
      </w:r>
      <w:r w:rsidR="00445BE6" w:rsidRPr="00A84276">
        <w:rPr>
          <w:rFonts w:ascii="Arial" w:hAnsi="Arial" w:cs="Arial"/>
          <w:sz w:val="23"/>
          <w:szCs w:val="23"/>
        </w:rPr>
        <w:t xml:space="preserve"> </w:t>
      </w:r>
      <w:r w:rsidRPr="00A84276">
        <w:rPr>
          <w:rFonts w:ascii="Arial" w:hAnsi="Arial" w:cs="Arial"/>
          <w:sz w:val="23"/>
          <w:szCs w:val="23"/>
        </w:rPr>
        <w:t>scale qualitative study.</w:t>
      </w:r>
      <w:r w:rsidR="00E23C80" w:rsidRPr="00A84276">
        <w:rPr>
          <w:rFonts w:ascii="Arial" w:hAnsi="Arial" w:cs="Arial"/>
          <w:sz w:val="23"/>
          <w:szCs w:val="23"/>
        </w:rPr>
        <w:t xml:space="preserve"> Ross et al (2014) carried out </w:t>
      </w:r>
      <w:r w:rsidR="00CD1052" w:rsidRPr="00A84276">
        <w:rPr>
          <w:rFonts w:ascii="Arial" w:hAnsi="Arial" w:cs="Arial"/>
          <w:sz w:val="23"/>
          <w:szCs w:val="23"/>
        </w:rPr>
        <w:t>interviews and</w:t>
      </w:r>
      <w:r w:rsidR="00E23C80" w:rsidRPr="00A84276">
        <w:rPr>
          <w:rFonts w:ascii="Arial" w:hAnsi="Arial" w:cs="Arial"/>
          <w:sz w:val="23"/>
          <w:szCs w:val="23"/>
        </w:rPr>
        <w:t xml:space="preserve"> focus group</w:t>
      </w:r>
      <w:r w:rsidR="00CD1052" w:rsidRPr="00A84276">
        <w:rPr>
          <w:rFonts w:ascii="Arial" w:hAnsi="Arial" w:cs="Arial"/>
          <w:sz w:val="23"/>
          <w:szCs w:val="23"/>
        </w:rPr>
        <w:t>s</w:t>
      </w:r>
      <w:r w:rsidR="00E23C80" w:rsidRPr="00A84276">
        <w:rPr>
          <w:rFonts w:ascii="Arial" w:hAnsi="Arial" w:cs="Arial"/>
          <w:sz w:val="23"/>
          <w:szCs w:val="23"/>
        </w:rPr>
        <w:t xml:space="preserve"> with </w:t>
      </w:r>
      <w:r w:rsidR="00CD1052" w:rsidRPr="00A84276">
        <w:rPr>
          <w:rFonts w:ascii="Arial" w:hAnsi="Arial" w:cs="Arial"/>
          <w:sz w:val="23"/>
          <w:szCs w:val="23"/>
        </w:rPr>
        <w:t xml:space="preserve">57 </w:t>
      </w:r>
      <w:r w:rsidR="00806E2A" w:rsidRPr="00A84276">
        <w:rPr>
          <w:rFonts w:ascii="Arial" w:hAnsi="Arial" w:cs="Arial"/>
          <w:sz w:val="23"/>
          <w:szCs w:val="23"/>
        </w:rPr>
        <w:t>key stakeholders.</w:t>
      </w:r>
      <w:r w:rsidR="00E23C80" w:rsidRPr="00A84276">
        <w:rPr>
          <w:rFonts w:ascii="Arial" w:hAnsi="Arial" w:cs="Arial"/>
          <w:sz w:val="23"/>
          <w:szCs w:val="23"/>
        </w:rPr>
        <w:t xml:space="preserve"> The researchers concluded that</w:t>
      </w:r>
      <w:r w:rsidR="00806E2A" w:rsidRPr="00A84276">
        <w:rPr>
          <w:rFonts w:ascii="Arial" w:hAnsi="Arial" w:cs="Arial"/>
          <w:sz w:val="23"/>
          <w:szCs w:val="23"/>
        </w:rPr>
        <w:t xml:space="preserve"> nurse prescribing was well received by </w:t>
      </w:r>
      <w:r w:rsidR="00BE3850" w:rsidRPr="00A84276">
        <w:rPr>
          <w:rFonts w:ascii="Arial" w:hAnsi="Arial" w:cs="Arial"/>
          <w:sz w:val="23"/>
          <w:szCs w:val="23"/>
        </w:rPr>
        <w:t>service users</w:t>
      </w:r>
      <w:r w:rsidR="00806E2A" w:rsidRPr="00A84276">
        <w:rPr>
          <w:rFonts w:ascii="Arial" w:hAnsi="Arial" w:cs="Arial"/>
          <w:sz w:val="23"/>
          <w:szCs w:val="23"/>
        </w:rPr>
        <w:t xml:space="preserve"> who ha</w:t>
      </w:r>
      <w:r w:rsidR="00BE3850" w:rsidRPr="00A84276">
        <w:rPr>
          <w:rFonts w:ascii="Arial" w:hAnsi="Arial" w:cs="Arial"/>
          <w:sz w:val="23"/>
          <w:szCs w:val="23"/>
        </w:rPr>
        <w:t>d</w:t>
      </w:r>
      <w:r w:rsidR="00806E2A" w:rsidRPr="00A84276">
        <w:rPr>
          <w:rFonts w:ascii="Arial" w:hAnsi="Arial" w:cs="Arial"/>
          <w:sz w:val="23"/>
          <w:szCs w:val="23"/>
        </w:rPr>
        <w:t xml:space="preserve"> experienced it; </w:t>
      </w:r>
      <w:r w:rsidR="00CD1052" w:rsidRPr="00A84276">
        <w:rPr>
          <w:rFonts w:ascii="Arial" w:hAnsi="Arial" w:cs="Arial"/>
          <w:sz w:val="23"/>
          <w:szCs w:val="23"/>
        </w:rPr>
        <w:t>service users</w:t>
      </w:r>
      <w:r w:rsidR="00806E2A" w:rsidRPr="00A84276">
        <w:rPr>
          <w:rFonts w:ascii="Arial" w:hAnsi="Arial" w:cs="Arial"/>
          <w:sz w:val="23"/>
          <w:szCs w:val="23"/>
        </w:rPr>
        <w:t xml:space="preserve"> valued the continuity of care offered by </w:t>
      </w:r>
      <w:r w:rsidR="00BE3850" w:rsidRPr="00A84276">
        <w:rPr>
          <w:rFonts w:ascii="Arial" w:hAnsi="Arial" w:cs="Arial"/>
          <w:sz w:val="23"/>
          <w:szCs w:val="23"/>
        </w:rPr>
        <w:t xml:space="preserve">nurse prescribers who </w:t>
      </w:r>
      <w:r w:rsidR="00A8204A" w:rsidRPr="00A84276">
        <w:rPr>
          <w:rFonts w:ascii="Arial" w:hAnsi="Arial" w:cs="Arial"/>
          <w:sz w:val="23"/>
          <w:szCs w:val="23"/>
        </w:rPr>
        <w:t xml:space="preserve">were also involved in their therapeutic treatment. </w:t>
      </w:r>
    </w:p>
    <w:p w:rsidR="00445BE6" w:rsidRPr="00A84276" w:rsidRDefault="00445BE6" w:rsidP="002C7A16">
      <w:pPr>
        <w:shd w:val="clear" w:color="auto" w:fill="FFFFFF" w:themeFill="background1"/>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To date, a number of barriers to the introduction of NP have been identified,</w:t>
      </w:r>
      <w:r w:rsidR="00445BE6" w:rsidRPr="00A84276">
        <w:rPr>
          <w:rFonts w:ascii="Arial" w:hAnsi="Arial" w:cs="Arial"/>
          <w:sz w:val="23"/>
          <w:szCs w:val="23"/>
        </w:rPr>
        <w:t xml:space="preserve"> </w:t>
      </w:r>
      <w:r w:rsidRPr="00A84276">
        <w:rPr>
          <w:rFonts w:ascii="Arial" w:hAnsi="Arial" w:cs="Arial"/>
          <w:sz w:val="23"/>
          <w:szCs w:val="23"/>
        </w:rPr>
        <w:t>including:</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 </w:t>
      </w:r>
      <w:proofErr w:type="gramStart"/>
      <w:r w:rsidRPr="00A84276">
        <w:rPr>
          <w:rFonts w:ascii="Arial" w:hAnsi="Arial" w:cs="Arial"/>
          <w:sz w:val="23"/>
          <w:szCs w:val="23"/>
        </w:rPr>
        <w:t>generic</w:t>
      </w:r>
      <w:proofErr w:type="gramEnd"/>
      <w:r w:rsidRPr="00A84276">
        <w:rPr>
          <w:rFonts w:ascii="Arial" w:hAnsi="Arial" w:cs="Arial"/>
          <w:sz w:val="23"/>
          <w:szCs w:val="23"/>
        </w:rPr>
        <w:t xml:space="preserve"> prescribing training course which does not meet the needs of MHNs</w:t>
      </w:r>
      <w:r w:rsidR="00445BE6" w:rsidRPr="00A84276">
        <w:rPr>
          <w:rFonts w:ascii="Arial" w:hAnsi="Arial" w:cs="Arial"/>
          <w:sz w:val="23"/>
          <w:szCs w:val="23"/>
        </w:rPr>
        <w:t xml:space="preserve"> </w:t>
      </w:r>
      <w:r w:rsidRPr="00A84276">
        <w:rPr>
          <w:rFonts w:ascii="Arial" w:hAnsi="Arial" w:cs="Arial"/>
          <w:sz w:val="23"/>
          <w:szCs w:val="23"/>
        </w:rPr>
        <w:t>(</w:t>
      </w:r>
      <w:proofErr w:type="spellStart"/>
      <w:r w:rsidRPr="00A84276">
        <w:rPr>
          <w:rFonts w:ascii="Arial" w:hAnsi="Arial" w:cs="Arial"/>
          <w:sz w:val="23"/>
          <w:szCs w:val="23"/>
        </w:rPr>
        <w:t>Skingsley</w:t>
      </w:r>
      <w:proofErr w:type="spellEnd"/>
      <w:r w:rsidRPr="00A84276">
        <w:rPr>
          <w:rFonts w:ascii="Arial" w:hAnsi="Arial" w:cs="Arial"/>
          <w:sz w:val="23"/>
          <w:szCs w:val="23"/>
        </w:rPr>
        <w:t xml:space="preserve"> </w:t>
      </w:r>
      <w:r w:rsidRPr="00A84276">
        <w:rPr>
          <w:rFonts w:ascii="Arial,Italic" w:hAnsi="Arial,Italic" w:cs="Arial,Italic"/>
          <w:i/>
          <w:iCs/>
          <w:sz w:val="23"/>
          <w:szCs w:val="23"/>
        </w:rPr>
        <w:t>et al</w:t>
      </w:r>
      <w:r w:rsidRPr="00A84276">
        <w:rPr>
          <w:rFonts w:ascii="Arial" w:hAnsi="Arial" w:cs="Arial"/>
          <w:sz w:val="23"/>
          <w:szCs w:val="23"/>
        </w:rPr>
        <w:t>. 2006);</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 </w:t>
      </w:r>
      <w:proofErr w:type="gramStart"/>
      <w:r w:rsidRPr="00A84276">
        <w:rPr>
          <w:rFonts w:ascii="Arial" w:hAnsi="Arial" w:cs="Arial"/>
          <w:sz w:val="23"/>
          <w:szCs w:val="23"/>
        </w:rPr>
        <w:t>support</w:t>
      </w:r>
      <w:proofErr w:type="gramEnd"/>
      <w:r w:rsidRPr="00A84276">
        <w:rPr>
          <w:rFonts w:ascii="Arial" w:hAnsi="Arial" w:cs="Arial"/>
          <w:sz w:val="23"/>
          <w:szCs w:val="23"/>
        </w:rPr>
        <w:t xml:space="preserve"> during and after training (Bradley </w:t>
      </w:r>
      <w:r w:rsidRPr="00A84276">
        <w:rPr>
          <w:rFonts w:ascii="Arial,Italic" w:hAnsi="Arial,Italic" w:cs="Arial,Italic"/>
          <w:i/>
          <w:iCs/>
          <w:sz w:val="23"/>
          <w:szCs w:val="23"/>
        </w:rPr>
        <w:t>et al</w:t>
      </w:r>
      <w:r w:rsidRPr="00A84276">
        <w:rPr>
          <w:rFonts w:ascii="Arial" w:hAnsi="Arial" w:cs="Arial"/>
          <w:sz w:val="23"/>
          <w:szCs w:val="23"/>
        </w:rPr>
        <w:t>. 2008);</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 </w:t>
      </w:r>
      <w:proofErr w:type="gramStart"/>
      <w:r w:rsidRPr="00A84276">
        <w:rPr>
          <w:rFonts w:ascii="Arial" w:hAnsi="Arial" w:cs="Arial"/>
          <w:sz w:val="23"/>
          <w:szCs w:val="23"/>
        </w:rPr>
        <w:t>concerns</w:t>
      </w:r>
      <w:proofErr w:type="gramEnd"/>
      <w:r w:rsidRPr="00A84276">
        <w:rPr>
          <w:rFonts w:ascii="Arial" w:hAnsi="Arial" w:cs="Arial"/>
          <w:sz w:val="23"/>
          <w:szCs w:val="23"/>
        </w:rPr>
        <w:t xml:space="preserve"> about keeping prescribing practice within competency (Bradley </w:t>
      </w:r>
      <w:r w:rsidRPr="00A84276">
        <w:rPr>
          <w:rFonts w:ascii="Arial,Italic" w:hAnsi="Arial,Italic" w:cs="Arial,Italic"/>
          <w:i/>
          <w:iCs/>
          <w:sz w:val="23"/>
          <w:szCs w:val="23"/>
        </w:rPr>
        <w:t>et al</w:t>
      </w:r>
      <w:r w:rsidRPr="00A84276">
        <w:rPr>
          <w:rFonts w:ascii="Arial" w:hAnsi="Arial" w:cs="Arial"/>
          <w:sz w:val="23"/>
          <w:szCs w:val="23"/>
        </w:rPr>
        <w:t>.</w:t>
      </w:r>
    </w:p>
    <w:p w:rsidR="00BB3B0A" w:rsidRPr="00A84276" w:rsidRDefault="00BB3B0A" w:rsidP="00BB3B0A">
      <w:pPr>
        <w:rPr>
          <w:rFonts w:ascii="Arial" w:hAnsi="Arial" w:cs="Arial"/>
          <w:sz w:val="23"/>
          <w:szCs w:val="23"/>
        </w:rPr>
      </w:pPr>
      <w:r w:rsidRPr="00A84276">
        <w:rPr>
          <w:rFonts w:ascii="Arial" w:hAnsi="Arial" w:cs="Arial"/>
          <w:sz w:val="23"/>
          <w:szCs w:val="23"/>
        </w:rPr>
        <w:t>2007).</w:t>
      </w:r>
    </w:p>
    <w:p w:rsidR="00BB3B0A" w:rsidRPr="00A84276" w:rsidRDefault="00BB3B0A" w:rsidP="00BB3B0A">
      <w:pPr>
        <w:autoSpaceDE w:val="0"/>
        <w:autoSpaceDN w:val="0"/>
        <w:adjustRightInd w:val="0"/>
        <w:spacing w:after="0" w:line="240" w:lineRule="auto"/>
        <w:rPr>
          <w:rFonts w:ascii="Arial,Bold" w:hAnsi="Arial,Bold" w:cs="Arial,Bold"/>
          <w:b/>
          <w:bCs/>
          <w:sz w:val="23"/>
          <w:szCs w:val="23"/>
        </w:rPr>
      </w:pPr>
      <w:r w:rsidRPr="00A84276">
        <w:rPr>
          <w:rFonts w:ascii="Arial,Bold" w:hAnsi="Arial,Bold" w:cs="Arial,Bold"/>
          <w:b/>
          <w:bCs/>
          <w:sz w:val="23"/>
          <w:szCs w:val="23"/>
        </w:rPr>
        <w:t>Aim</w:t>
      </w:r>
      <w:r w:rsidR="006032EA" w:rsidRPr="00A84276">
        <w:rPr>
          <w:rFonts w:ascii="Arial,Bold" w:hAnsi="Arial,Bold" w:cs="Arial,Bold"/>
          <w:b/>
          <w:bCs/>
          <w:sz w:val="23"/>
          <w:szCs w:val="23"/>
        </w:rPr>
        <w:t>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aim</w:t>
      </w:r>
      <w:r w:rsidR="006032EA" w:rsidRPr="00A84276">
        <w:rPr>
          <w:rFonts w:ascii="Arial" w:hAnsi="Arial" w:cs="Arial"/>
          <w:sz w:val="23"/>
          <w:szCs w:val="23"/>
        </w:rPr>
        <w:t>s</w:t>
      </w:r>
      <w:r w:rsidR="00FE1C37" w:rsidRPr="00A84276">
        <w:rPr>
          <w:rFonts w:ascii="Arial" w:hAnsi="Arial" w:cs="Arial"/>
          <w:sz w:val="23"/>
          <w:szCs w:val="23"/>
        </w:rPr>
        <w:t xml:space="preserve"> of the survey were</w:t>
      </w:r>
      <w:r w:rsidRPr="00A84276">
        <w:rPr>
          <w:rFonts w:ascii="Arial" w:hAnsi="Arial" w:cs="Arial"/>
          <w:sz w:val="23"/>
          <w:szCs w:val="23"/>
        </w:rPr>
        <w:t xml:space="preserve"> to collect information about the numbers of mental health</w:t>
      </w:r>
      <w:r w:rsidR="00445BE6" w:rsidRPr="00A84276">
        <w:rPr>
          <w:rFonts w:ascii="Arial" w:hAnsi="Arial" w:cs="Arial"/>
          <w:sz w:val="23"/>
          <w:szCs w:val="23"/>
        </w:rPr>
        <w:t xml:space="preserve"> </w:t>
      </w:r>
      <w:r w:rsidRPr="00A84276">
        <w:rPr>
          <w:rFonts w:ascii="Arial" w:hAnsi="Arial" w:cs="Arial"/>
          <w:sz w:val="23"/>
          <w:szCs w:val="23"/>
        </w:rPr>
        <w:t>nurse prescribers currently working in mental health Trusts in England</w:t>
      </w:r>
      <w:r w:rsidR="000D70E1" w:rsidRPr="00A84276">
        <w:rPr>
          <w:rFonts w:ascii="Arial" w:hAnsi="Arial" w:cs="Arial"/>
          <w:sz w:val="23"/>
          <w:szCs w:val="23"/>
        </w:rPr>
        <w:t xml:space="preserve"> and</w:t>
      </w:r>
      <w:r w:rsidRPr="00A84276">
        <w:rPr>
          <w:rFonts w:ascii="Arial" w:hAnsi="Arial" w:cs="Arial"/>
          <w:sz w:val="23"/>
          <w:szCs w:val="23"/>
        </w:rPr>
        <w:t xml:space="preserve"> </w:t>
      </w:r>
      <w:r w:rsidR="000D70E1" w:rsidRPr="00A84276">
        <w:rPr>
          <w:rFonts w:ascii="Arial" w:hAnsi="Arial" w:cs="Arial"/>
          <w:sz w:val="23"/>
          <w:szCs w:val="23"/>
        </w:rPr>
        <w:t xml:space="preserve">to monitor developments in this area; </w:t>
      </w:r>
      <w:r w:rsidR="006032EA" w:rsidRPr="00A84276">
        <w:rPr>
          <w:rFonts w:ascii="Arial" w:hAnsi="Arial" w:cs="Arial"/>
          <w:sz w:val="23"/>
          <w:szCs w:val="23"/>
        </w:rPr>
        <w:t xml:space="preserve">to monitor changes in governance and strategic approaches; </w:t>
      </w:r>
      <w:r w:rsidRPr="00A84276">
        <w:rPr>
          <w:rFonts w:ascii="Arial" w:hAnsi="Arial" w:cs="Arial"/>
          <w:sz w:val="23"/>
          <w:szCs w:val="23"/>
        </w:rPr>
        <w:t>to gather</w:t>
      </w:r>
      <w:r w:rsidR="00445BE6" w:rsidRPr="00A84276">
        <w:rPr>
          <w:rFonts w:ascii="Arial" w:hAnsi="Arial" w:cs="Arial"/>
          <w:sz w:val="23"/>
          <w:szCs w:val="23"/>
        </w:rPr>
        <w:t xml:space="preserve"> </w:t>
      </w:r>
      <w:r w:rsidRPr="00A84276">
        <w:rPr>
          <w:rFonts w:ascii="Arial" w:hAnsi="Arial" w:cs="Arial"/>
          <w:sz w:val="23"/>
          <w:szCs w:val="23"/>
        </w:rPr>
        <w:t xml:space="preserve">views from NP leads about </w:t>
      </w:r>
      <w:r w:rsidR="006032EA" w:rsidRPr="00A84276">
        <w:rPr>
          <w:rFonts w:ascii="Arial" w:hAnsi="Arial" w:cs="Arial"/>
          <w:sz w:val="23"/>
          <w:szCs w:val="23"/>
        </w:rPr>
        <w:t>structures and sources of</w:t>
      </w:r>
      <w:r w:rsidRPr="00A84276">
        <w:rPr>
          <w:rFonts w:ascii="Arial" w:hAnsi="Arial" w:cs="Arial"/>
          <w:sz w:val="23"/>
          <w:szCs w:val="23"/>
        </w:rPr>
        <w:t xml:space="preserve"> support </w:t>
      </w:r>
      <w:r w:rsidR="006032EA" w:rsidRPr="00A84276">
        <w:rPr>
          <w:rFonts w:ascii="Arial" w:hAnsi="Arial" w:cs="Arial"/>
          <w:sz w:val="23"/>
          <w:szCs w:val="23"/>
        </w:rPr>
        <w:t xml:space="preserve">for mental health </w:t>
      </w:r>
      <w:r w:rsidRPr="00A84276">
        <w:rPr>
          <w:rFonts w:ascii="Arial" w:hAnsi="Arial" w:cs="Arial"/>
          <w:sz w:val="23"/>
          <w:szCs w:val="23"/>
        </w:rPr>
        <w:t>nurse prescribing; and to elicit future intentions with regard to</w:t>
      </w:r>
      <w:r w:rsidR="00445BE6" w:rsidRPr="00A84276">
        <w:rPr>
          <w:rFonts w:ascii="Arial" w:hAnsi="Arial" w:cs="Arial"/>
          <w:sz w:val="23"/>
          <w:szCs w:val="23"/>
        </w:rPr>
        <w:t xml:space="preserve"> </w:t>
      </w:r>
      <w:r w:rsidRPr="00A84276">
        <w:rPr>
          <w:rFonts w:ascii="Arial" w:hAnsi="Arial" w:cs="Arial"/>
          <w:sz w:val="23"/>
          <w:szCs w:val="23"/>
        </w:rPr>
        <w:t>the development of NP.</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Bold" w:hAnsi="Arial,Bold" w:cs="Arial,Bold"/>
          <w:b/>
          <w:bCs/>
          <w:sz w:val="23"/>
          <w:szCs w:val="23"/>
        </w:rPr>
      </w:pPr>
      <w:r w:rsidRPr="00A84276">
        <w:rPr>
          <w:rFonts w:ascii="Arial,Bold" w:hAnsi="Arial,Bold" w:cs="Arial,Bold"/>
          <w:b/>
          <w:bCs/>
          <w:sz w:val="23"/>
          <w:szCs w:val="23"/>
        </w:rPr>
        <w:t>Methods</w:t>
      </w:r>
    </w:p>
    <w:p w:rsidR="00BB3B0A" w:rsidRPr="00A84276" w:rsidRDefault="00BB3B0A" w:rsidP="00837510">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lastRenderedPageBreak/>
        <w:t xml:space="preserve">A mixed methods questionnaire </w:t>
      </w:r>
      <w:r w:rsidR="009E4F78" w:rsidRPr="00A84276">
        <w:rPr>
          <w:rFonts w:ascii="Arial" w:hAnsi="Arial" w:cs="Arial"/>
          <w:sz w:val="23"/>
          <w:szCs w:val="23"/>
        </w:rPr>
        <w:t xml:space="preserve">(i.e. including both open and closed questions) </w:t>
      </w:r>
      <w:r w:rsidRPr="00A84276">
        <w:rPr>
          <w:rFonts w:ascii="Arial" w:hAnsi="Arial" w:cs="Arial"/>
          <w:sz w:val="23"/>
          <w:szCs w:val="23"/>
        </w:rPr>
        <w:t>was designed specifically for this project. Some of</w:t>
      </w:r>
      <w:r w:rsidR="00445BE6" w:rsidRPr="00A84276">
        <w:rPr>
          <w:rFonts w:ascii="Arial" w:hAnsi="Arial" w:cs="Arial"/>
          <w:sz w:val="23"/>
          <w:szCs w:val="23"/>
        </w:rPr>
        <w:t xml:space="preserve"> </w:t>
      </w:r>
      <w:r w:rsidRPr="00A84276">
        <w:rPr>
          <w:rFonts w:ascii="Arial" w:hAnsi="Arial" w:cs="Arial"/>
          <w:sz w:val="23"/>
          <w:szCs w:val="23"/>
        </w:rPr>
        <w:t xml:space="preserve">the questions replicated those used in two previous surveys of NP activity (Gray </w:t>
      </w:r>
      <w:r w:rsidRPr="00A84276">
        <w:rPr>
          <w:rFonts w:ascii="Arial,Italic" w:hAnsi="Arial,Italic" w:cs="Arial,Italic"/>
          <w:i/>
          <w:iCs/>
          <w:sz w:val="23"/>
          <w:szCs w:val="23"/>
        </w:rPr>
        <w:t>et</w:t>
      </w:r>
      <w:r w:rsidR="00445BE6" w:rsidRPr="00A84276">
        <w:rPr>
          <w:rFonts w:ascii="Arial,Italic" w:hAnsi="Arial,Italic" w:cs="Arial,Italic"/>
          <w:i/>
          <w:iCs/>
          <w:sz w:val="23"/>
          <w:szCs w:val="23"/>
        </w:rPr>
        <w:t xml:space="preserve"> </w:t>
      </w:r>
      <w:r w:rsidRPr="00A84276">
        <w:rPr>
          <w:rFonts w:ascii="Arial,Italic" w:hAnsi="Arial,Italic" w:cs="Arial,Italic"/>
          <w:i/>
          <w:iCs/>
          <w:sz w:val="23"/>
          <w:szCs w:val="23"/>
        </w:rPr>
        <w:t>al</w:t>
      </w:r>
      <w:r w:rsidRPr="00A84276">
        <w:rPr>
          <w:rFonts w:ascii="Arial" w:hAnsi="Arial" w:cs="Arial"/>
          <w:sz w:val="23"/>
          <w:szCs w:val="23"/>
        </w:rPr>
        <w:t xml:space="preserve">. 2005; Dobel-Ober </w:t>
      </w:r>
      <w:r w:rsidRPr="00A84276">
        <w:rPr>
          <w:rFonts w:ascii="Arial,Italic" w:hAnsi="Arial,Italic" w:cs="Arial,Italic"/>
          <w:i/>
          <w:iCs/>
          <w:sz w:val="23"/>
          <w:szCs w:val="23"/>
        </w:rPr>
        <w:t>et al</w:t>
      </w:r>
      <w:r w:rsidRPr="00A84276">
        <w:rPr>
          <w:rFonts w:ascii="Arial" w:hAnsi="Arial" w:cs="Arial"/>
          <w:sz w:val="23"/>
          <w:szCs w:val="23"/>
        </w:rPr>
        <w:t>. 2010) in order to</w:t>
      </w:r>
      <w:r w:rsidR="00140400" w:rsidRPr="00A84276">
        <w:rPr>
          <w:rFonts w:ascii="Arial" w:hAnsi="Arial" w:cs="Arial"/>
          <w:sz w:val="23"/>
          <w:szCs w:val="23"/>
        </w:rPr>
        <w:t xml:space="preserve"> allow comparison of</w:t>
      </w:r>
      <w:r w:rsidRPr="00A84276">
        <w:rPr>
          <w:rFonts w:ascii="Arial" w:hAnsi="Arial" w:cs="Arial"/>
          <w:sz w:val="23"/>
          <w:szCs w:val="23"/>
        </w:rPr>
        <w:t xml:space="preserve"> data</w:t>
      </w:r>
      <w:r w:rsidR="00837510" w:rsidRPr="00A84276">
        <w:rPr>
          <w:rFonts w:ascii="Arial" w:hAnsi="Arial" w:cs="Arial"/>
          <w:sz w:val="23"/>
          <w:szCs w:val="23"/>
        </w:rPr>
        <w:t>.</w:t>
      </w:r>
    </w:p>
    <w:p w:rsidR="00837510" w:rsidRPr="00A84276" w:rsidRDefault="00837510" w:rsidP="00837510">
      <w:pPr>
        <w:autoSpaceDE w:val="0"/>
        <w:autoSpaceDN w:val="0"/>
        <w:adjustRightInd w:val="0"/>
        <w:spacing w:after="0" w:line="240" w:lineRule="auto"/>
        <w:rPr>
          <w:rFonts w:ascii="Arial" w:hAnsi="Arial" w:cs="Arial"/>
          <w:sz w:val="23"/>
          <w:szCs w:val="23"/>
        </w:rPr>
      </w:pPr>
    </w:p>
    <w:p w:rsidR="00BB3B0A" w:rsidRPr="00A84276" w:rsidRDefault="007C4179" w:rsidP="00BB3B0A">
      <w:pPr>
        <w:rPr>
          <w:rFonts w:ascii="Arial" w:hAnsi="Arial" w:cs="Arial"/>
          <w:sz w:val="23"/>
          <w:szCs w:val="23"/>
        </w:rPr>
      </w:pPr>
      <w:r w:rsidRPr="00A84276">
        <w:rPr>
          <w:rFonts w:ascii="Arial" w:hAnsi="Arial" w:cs="Arial"/>
          <w:sz w:val="23"/>
          <w:szCs w:val="23"/>
        </w:rPr>
        <w:t xml:space="preserve">The questionnaire included 16 questions and 1 table </w:t>
      </w:r>
      <w:r w:rsidR="00BC75E2" w:rsidRPr="00A84276">
        <w:rPr>
          <w:rFonts w:ascii="Arial" w:hAnsi="Arial" w:cs="Arial"/>
          <w:sz w:val="23"/>
          <w:szCs w:val="23"/>
        </w:rPr>
        <w:t>(</w:t>
      </w:r>
      <w:r w:rsidRPr="00A84276">
        <w:rPr>
          <w:rFonts w:ascii="Arial" w:hAnsi="Arial" w:cs="Arial"/>
          <w:sz w:val="23"/>
          <w:szCs w:val="23"/>
        </w:rPr>
        <w:t>collat</w:t>
      </w:r>
      <w:r w:rsidR="00BC75E2" w:rsidRPr="00A84276">
        <w:rPr>
          <w:rFonts w:ascii="Arial" w:hAnsi="Arial" w:cs="Arial"/>
          <w:sz w:val="23"/>
          <w:szCs w:val="23"/>
        </w:rPr>
        <w:t>ing</w:t>
      </w:r>
      <w:r w:rsidRPr="00A84276">
        <w:rPr>
          <w:rFonts w:ascii="Arial" w:hAnsi="Arial" w:cs="Arial"/>
          <w:sz w:val="23"/>
          <w:szCs w:val="23"/>
        </w:rPr>
        <w:t xml:space="preserve"> numbers of NP by area of practice, status and level of activity); questions were grouped under </w:t>
      </w:r>
      <w:r w:rsidR="00BC75E2" w:rsidRPr="00A84276">
        <w:rPr>
          <w:rFonts w:ascii="Arial" w:hAnsi="Arial" w:cs="Arial"/>
          <w:sz w:val="23"/>
          <w:szCs w:val="23"/>
        </w:rPr>
        <w:t>4</w:t>
      </w:r>
      <w:r w:rsidRPr="00A84276">
        <w:rPr>
          <w:rFonts w:ascii="Arial" w:hAnsi="Arial" w:cs="Arial"/>
          <w:sz w:val="23"/>
          <w:szCs w:val="23"/>
        </w:rPr>
        <w:t xml:space="preserve"> main headings: Your organisation, Strategic development, Workforce development, </w:t>
      </w:r>
      <w:r w:rsidR="00BC75E2" w:rsidRPr="00A84276">
        <w:rPr>
          <w:rFonts w:ascii="Arial" w:hAnsi="Arial" w:cs="Arial"/>
          <w:sz w:val="23"/>
          <w:szCs w:val="23"/>
        </w:rPr>
        <w:t>and Governance</w:t>
      </w:r>
      <w:r w:rsidRPr="00A84276">
        <w:rPr>
          <w:rFonts w:ascii="Arial" w:hAnsi="Arial" w:cs="Arial"/>
          <w:sz w:val="23"/>
          <w:szCs w:val="23"/>
        </w:rPr>
        <w:t xml:space="preserve">). </w:t>
      </w:r>
      <w:r w:rsidR="00BC75E2" w:rsidRPr="00A84276">
        <w:rPr>
          <w:rFonts w:ascii="Arial" w:hAnsi="Arial" w:cs="Arial"/>
          <w:sz w:val="23"/>
          <w:szCs w:val="23"/>
        </w:rPr>
        <w:t>Each</w:t>
      </w:r>
      <w:r w:rsidRPr="00A84276">
        <w:rPr>
          <w:rFonts w:ascii="Arial" w:hAnsi="Arial" w:cs="Arial"/>
          <w:sz w:val="23"/>
          <w:szCs w:val="23"/>
        </w:rPr>
        <w:t xml:space="preserve"> question included a range of </w:t>
      </w:r>
      <w:r w:rsidR="00C20D9C" w:rsidRPr="00A84276">
        <w:rPr>
          <w:rFonts w:ascii="Arial" w:hAnsi="Arial" w:cs="Arial"/>
          <w:sz w:val="23"/>
          <w:szCs w:val="23"/>
        </w:rPr>
        <w:t xml:space="preserve">fixed choice answer (e.g. </w:t>
      </w:r>
      <w:r w:rsidR="00E966AC" w:rsidRPr="00A84276">
        <w:rPr>
          <w:rFonts w:ascii="Arial" w:hAnsi="Arial" w:cs="Arial"/>
          <w:sz w:val="23"/>
          <w:szCs w:val="23"/>
        </w:rPr>
        <w:t xml:space="preserve">Do you have any strategies to promote transition from supplementary to independent prescribing? Formal strategies: Yes / No; Informal strategies: Yes / No); </w:t>
      </w:r>
      <w:r w:rsidRPr="00A84276">
        <w:rPr>
          <w:rFonts w:ascii="Arial" w:hAnsi="Arial" w:cs="Arial"/>
          <w:sz w:val="23"/>
          <w:szCs w:val="23"/>
        </w:rPr>
        <w:t>13 questions also included space for additional comment</w:t>
      </w:r>
      <w:r w:rsidR="00BC75E2" w:rsidRPr="00A84276">
        <w:rPr>
          <w:rFonts w:ascii="Arial" w:hAnsi="Arial" w:cs="Arial"/>
          <w:sz w:val="23"/>
          <w:szCs w:val="23"/>
        </w:rPr>
        <w:t>s and information in free text</w:t>
      </w:r>
      <w:r w:rsidR="00E966AC" w:rsidRPr="00A84276">
        <w:rPr>
          <w:rFonts w:ascii="Arial" w:hAnsi="Arial" w:cs="Arial"/>
          <w:sz w:val="23"/>
          <w:szCs w:val="23"/>
        </w:rPr>
        <w:t xml:space="preserve"> to specify their response or describe process in more depth. R</w:t>
      </w:r>
      <w:r w:rsidR="00BC75E2" w:rsidRPr="00A84276">
        <w:rPr>
          <w:rFonts w:ascii="Arial" w:hAnsi="Arial" w:cs="Arial"/>
          <w:sz w:val="23"/>
          <w:szCs w:val="23"/>
        </w:rPr>
        <w:t xml:space="preserve">espondents were </w:t>
      </w:r>
      <w:r w:rsidR="00E966AC" w:rsidRPr="00A84276">
        <w:rPr>
          <w:rFonts w:ascii="Arial" w:hAnsi="Arial" w:cs="Arial"/>
          <w:sz w:val="23"/>
          <w:szCs w:val="23"/>
        </w:rPr>
        <w:t xml:space="preserve">also </w:t>
      </w:r>
      <w:r w:rsidR="00BC75E2" w:rsidRPr="00A84276">
        <w:rPr>
          <w:rFonts w:ascii="Arial" w:hAnsi="Arial" w:cs="Arial"/>
          <w:sz w:val="23"/>
          <w:szCs w:val="23"/>
        </w:rPr>
        <w:t xml:space="preserve">asked </w:t>
      </w:r>
      <w:r w:rsidR="00E966AC" w:rsidRPr="00A84276">
        <w:rPr>
          <w:rFonts w:ascii="Arial" w:hAnsi="Arial" w:cs="Arial"/>
          <w:sz w:val="23"/>
          <w:szCs w:val="23"/>
        </w:rPr>
        <w:t xml:space="preserve">to use an empty page </w:t>
      </w:r>
      <w:r w:rsidR="00BC75E2" w:rsidRPr="00A84276">
        <w:rPr>
          <w:rFonts w:ascii="Arial" w:hAnsi="Arial" w:cs="Arial"/>
          <w:sz w:val="23"/>
          <w:szCs w:val="23"/>
        </w:rPr>
        <w:t>to add any information about barriers to implementation, examples of good practice and areas where NP had been particularly effective.</w:t>
      </w:r>
      <w:r w:rsidR="00E966AC" w:rsidRPr="00A84276">
        <w:rPr>
          <w:rFonts w:ascii="Arial" w:hAnsi="Arial" w:cs="Arial"/>
          <w:sz w:val="23"/>
          <w:szCs w:val="23"/>
        </w:rPr>
        <w:t xml:space="preserve"> The Questionnaire is available from the corresponding author on request.</w:t>
      </w:r>
    </w:p>
    <w:p w:rsidR="00445BE6"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Directors of Nursing were selected as the most appropriate group of respondents</w:t>
      </w:r>
      <w:r w:rsidR="00445BE6" w:rsidRPr="00A84276">
        <w:rPr>
          <w:rFonts w:ascii="Arial" w:hAnsi="Arial" w:cs="Arial"/>
          <w:sz w:val="23"/>
          <w:szCs w:val="23"/>
        </w:rPr>
        <w:t xml:space="preserve"> </w:t>
      </w:r>
      <w:r w:rsidRPr="00A84276">
        <w:rPr>
          <w:rFonts w:ascii="Arial" w:hAnsi="Arial" w:cs="Arial"/>
          <w:sz w:val="23"/>
          <w:szCs w:val="23"/>
        </w:rPr>
        <w:t>because they have access to strategic information, are likely to have a significant</w:t>
      </w:r>
      <w:r w:rsidR="00445BE6" w:rsidRPr="00A84276">
        <w:rPr>
          <w:rFonts w:ascii="Arial" w:hAnsi="Arial" w:cs="Arial"/>
          <w:sz w:val="23"/>
          <w:szCs w:val="23"/>
        </w:rPr>
        <w:t xml:space="preserve"> </w:t>
      </w:r>
      <w:r w:rsidRPr="00A84276">
        <w:rPr>
          <w:rFonts w:ascii="Arial" w:hAnsi="Arial" w:cs="Arial"/>
          <w:sz w:val="23"/>
          <w:szCs w:val="23"/>
        </w:rPr>
        <w:t>role in NP implementation, should have access to the views of NP in their trust, and</w:t>
      </w:r>
      <w:r w:rsidR="00445BE6" w:rsidRPr="00A84276">
        <w:rPr>
          <w:rFonts w:ascii="Arial" w:hAnsi="Arial" w:cs="Arial"/>
          <w:sz w:val="23"/>
          <w:szCs w:val="23"/>
        </w:rPr>
        <w:t xml:space="preserve"> </w:t>
      </w:r>
      <w:r w:rsidRPr="00A84276">
        <w:rPr>
          <w:rFonts w:ascii="Arial" w:hAnsi="Arial" w:cs="Arial"/>
          <w:sz w:val="23"/>
          <w:szCs w:val="23"/>
        </w:rPr>
        <w:t>were the respondents for the earlier surveys of NP activity.</w:t>
      </w:r>
      <w:r w:rsidR="00445BE6" w:rsidRPr="00A84276">
        <w:rPr>
          <w:rFonts w:ascii="Arial" w:hAnsi="Arial" w:cs="Arial"/>
          <w:sz w:val="23"/>
          <w:szCs w:val="23"/>
        </w:rPr>
        <w:t xml:space="preserve"> </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Fifty-three Trusts providing mental health services in England were identified and</w:t>
      </w:r>
      <w:r w:rsidR="00445BE6" w:rsidRPr="00A84276">
        <w:rPr>
          <w:rFonts w:ascii="Arial" w:hAnsi="Arial" w:cs="Arial"/>
          <w:sz w:val="23"/>
          <w:szCs w:val="23"/>
        </w:rPr>
        <w:t xml:space="preserve"> </w:t>
      </w:r>
      <w:r w:rsidRPr="00A84276">
        <w:rPr>
          <w:rFonts w:ascii="Arial" w:hAnsi="Arial" w:cs="Arial"/>
          <w:sz w:val="23"/>
          <w:szCs w:val="23"/>
        </w:rPr>
        <w:t>contacted. This was a smaller number than in previous surveys, due to the merging</w:t>
      </w:r>
      <w:r w:rsidR="00445BE6" w:rsidRPr="00A84276">
        <w:rPr>
          <w:rFonts w:ascii="Arial" w:hAnsi="Arial" w:cs="Arial"/>
          <w:sz w:val="23"/>
          <w:szCs w:val="23"/>
        </w:rPr>
        <w:t xml:space="preserve"> </w:t>
      </w:r>
      <w:r w:rsidRPr="00A84276">
        <w:rPr>
          <w:rFonts w:ascii="Arial" w:hAnsi="Arial" w:cs="Arial"/>
          <w:sz w:val="23"/>
          <w:szCs w:val="23"/>
        </w:rPr>
        <w:t>of some organisations over the last few years.</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data collection period ran for approximately six months in 2014. Postal</w:t>
      </w:r>
      <w:r w:rsidR="00445BE6" w:rsidRPr="00A84276">
        <w:rPr>
          <w:rFonts w:ascii="Arial" w:hAnsi="Arial" w:cs="Arial"/>
          <w:sz w:val="23"/>
          <w:szCs w:val="23"/>
        </w:rPr>
        <w:t xml:space="preserve"> </w:t>
      </w:r>
      <w:r w:rsidRPr="00A84276">
        <w:rPr>
          <w:rFonts w:ascii="Arial" w:hAnsi="Arial" w:cs="Arial"/>
          <w:sz w:val="23"/>
          <w:szCs w:val="23"/>
        </w:rPr>
        <w:t>questionnaires were addressed personally to Directors of Nursing. An information</w:t>
      </w:r>
      <w:r w:rsidR="00445BE6" w:rsidRPr="00A84276">
        <w:rPr>
          <w:rFonts w:ascii="Arial" w:hAnsi="Arial" w:cs="Arial"/>
          <w:sz w:val="23"/>
          <w:szCs w:val="23"/>
        </w:rPr>
        <w:t xml:space="preserve"> </w:t>
      </w:r>
      <w:r w:rsidRPr="00A84276">
        <w:rPr>
          <w:rFonts w:ascii="Arial" w:hAnsi="Arial" w:cs="Arial"/>
          <w:sz w:val="23"/>
          <w:szCs w:val="23"/>
        </w:rPr>
        <w:t>sheet and freepost envelope for return of the questionnaire was included with the</w:t>
      </w:r>
      <w:r w:rsidR="00445BE6" w:rsidRPr="00A84276">
        <w:rPr>
          <w:rFonts w:ascii="Arial" w:hAnsi="Arial" w:cs="Arial"/>
          <w:sz w:val="23"/>
          <w:szCs w:val="23"/>
        </w:rPr>
        <w:t xml:space="preserve"> </w:t>
      </w:r>
      <w:r w:rsidR="00CC2055" w:rsidRPr="00A84276">
        <w:rPr>
          <w:rFonts w:ascii="Arial" w:hAnsi="Arial" w:cs="Arial"/>
          <w:sz w:val="23"/>
          <w:szCs w:val="23"/>
        </w:rPr>
        <w:t>questionnaire package. Formal r</w:t>
      </w:r>
      <w:r w:rsidRPr="00A84276">
        <w:rPr>
          <w:rFonts w:ascii="Arial" w:hAnsi="Arial" w:cs="Arial"/>
          <w:sz w:val="23"/>
          <w:szCs w:val="23"/>
        </w:rPr>
        <w:t>eminder letters and emails were sent after 6 and 12 weeks respectively.</w:t>
      </w:r>
      <w:r w:rsidR="00E966AC" w:rsidRPr="00A84276">
        <w:rPr>
          <w:rFonts w:ascii="Arial" w:hAnsi="Arial" w:cs="Arial"/>
          <w:sz w:val="23"/>
          <w:szCs w:val="23"/>
        </w:rPr>
        <w:t xml:space="preserve"> Directors of nursing were also </w:t>
      </w:r>
      <w:r w:rsidR="00E313A1" w:rsidRPr="00A84276">
        <w:rPr>
          <w:rFonts w:ascii="Arial" w:hAnsi="Arial" w:cs="Arial"/>
          <w:sz w:val="23"/>
          <w:szCs w:val="23"/>
        </w:rPr>
        <w:t xml:space="preserve">reminded informally </w:t>
      </w:r>
      <w:r w:rsidR="00CC2055" w:rsidRPr="00A84276">
        <w:rPr>
          <w:rFonts w:ascii="Arial" w:hAnsi="Arial" w:cs="Arial"/>
          <w:sz w:val="23"/>
          <w:szCs w:val="23"/>
        </w:rPr>
        <w:t xml:space="preserve">(phone or email) </w:t>
      </w:r>
      <w:r w:rsidR="00E313A1" w:rsidRPr="00A84276">
        <w:rPr>
          <w:rFonts w:ascii="Arial" w:hAnsi="Arial" w:cs="Arial"/>
          <w:sz w:val="23"/>
          <w:szCs w:val="23"/>
        </w:rPr>
        <w:t xml:space="preserve">about the survey via personal communication </w:t>
      </w:r>
      <w:r w:rsidR="00837510" w:rsidRPr="00A84276">
        <w:rPr>
          <w:rFonts w:ascii="Arial" w:hAnsi="Arial" w:cs="Arial"/>
          <w:sz w:val="23"/>
          <w:szCs w:val="23"/>
        </w:rPr>
        <w:t xml:space="preserve">where there were </w:t>
      </w:r>
      <w:r w:rsidR="00CC2055" w:rsidRPr="00A84276">
        <w:rPr>
          <w:rFonts w:ascii="Arial" w:hAnsi="Arial" w:cs="Arial"/>
          <w:sz w:val="23"/>
          <w:szCs w:val="23"/>
        </w:rPr>
        <w:t xml:space="preserve">further </w:t>
      </w:r>
      <w:r w:rsidR="00837510" w:rsidRPr="00A84276">
        <w:rPr>
          <w:rFonts w:ascii="Arial" w:hAnsi="Arial" w:cs="Arial"/>
          <w:sz w:val="23"/>
          <w:szCs w:val="23"/>
        </w:rPr>
        <w:t>delays in response</w:t>
      </w:r>
      <w:r w:rsidR="00E313A1" w:rsidRPr="00A84276">
        <w:rPr>
          <w:rFonts w:ascii="Arial" w:hAnsi="Arial" w:cs="Arial"/>
          <w:sz w:val="23"/>
          <w:szCs w:val="23"/>
        </w:rPr>
        <w:t>.</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process was not anonymous, but confidentiality was guaranteed. Consent to</w:t>
      </w:r>
      <w:r w:rsidR="00445BE6" w:rsidRPr="00A84276">
        <w:rPr>
          <w:rFonts w:ascii="Arial" w:hAnsi="Arial" w:cs="Arial"/>
          <w:sz w:val="23"/>
          <w:szCs w:val="23"/>
        </w:rPr>
        <w:t xml:space="preserve"> </w:t>
      </w:r>
      <w:r w:rsidRPr="00A84276">
        <w:rPr>
          <w:rFonts w:ascii="Arial" w:hAnsi="Arial" w:cs="Arial"/>
          <w:sz w:val="23"/>
          <w:szCs w:val="23"/>
        </w:rPr>
        <w:t>participate in the study was assumed with return of t</w:t>
      </w:r>
      <w:r w:rsidR="00445BE6" w:rsidRPr="00A84276">
        <w:rPr>
          <w:rFonts w:ascii="Arial" w:hAnsi="Arial" w:cs="Arial"/>
          <w:sz w:val="23"/>
          <w:szCs w:val="23"/>
        </w:rPr>
        <w:t xml:space="preserve">he questionnaire, so a separate </w:t>
      </w:r>
      <w:r w:rsidRPr="00A84276">
        <w:rPr>
          <w:rFonts w:ascii="Arial" w:hAnsi="Arial" w:cs="Arial"/>
          <w:sz w:val="23"/>
          <w:szCs w:val="23"/>
        </w:rPr>
        <w:t>consent form was not included with the questionnaire package.</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5122D4"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Quantitative data were entered into SPSS (V17) before carrying out descriptive</w:t>
      </w:r>
      <w:r w:rsidR="00445BE6" w:rsidRPr="00A84276">
        <w:rPr>
          <w:rFonts w:ascii="Arial" w:hAnsi="Arial" w:cs="Arial"/>
          <w:sz w:val="23"/>
          <w:szCs w:val="23"/>
        </w:rPr>
        <w:t xml:space="preserve"> </w:t>
      </w:r>
      <w:r w:rsidRPr="00A84276">
        <w:rPr>
          <w:rFonts w:ascii="Arial" w:hAnsi="Arial" w:cs="Arial"/>
          <w:sz w:val="23"/>
          <w:szCs w:val="23"/>
        </w:rPr>
        <w:t>statistics. All qualitative data were entered into NVivo8 and analysed using thematic</w:t>
      </w:r>
      <w:r w:rsidR="00445BE6" w:rsidRPr="00A84276">
        <w:rPr>
          <w:rFonts w:ascii="Arial" w:hAnsi="Arial" w:cs="Arial"/>
          <w:sz w:val="23"/>
          <w:szCs w:val="23"/>
        </w:rPr>
        <w:t xml:space="preserve"> </w:t>
      </w:r>
      <w:r w:rsidRPr="00A84276">
        <w:rPr>
          <w:rFonts w:ascii="Arial" w:hAnsi="Arial" w:cs="Arial"/>
          <w:sz w:val="23"/>
          <w:szCs w:val="23"/>
        </w:rPr>
        <w:t>content a</w:t>
      </w:r>
      <w:r w:rsidR="00E313A1" w:rsidRPr="00A84276">
        <w:rPr>
          <w:rFonts w:ascii="Arial" w:hAnsi="Arial" w:cs="Arial"/>
          <w:sz w:val="23"/>
          <w:szCs w:val="23"/>
        </w:rPr>
        <w:t>nalysis (Miles &amp; Huberman 1994); this approach to qualitati</w:t>
      </w:r>
      <w:r w:rsidR="00935A13" w:rsidRPr="00A84276">
        <w:rPr>
          <w:rFonts w:ascii="Arial" w:hAnsi="Arial" w:cs="Arial"/>
          <w:sz w:val="23"/>
          <w:szCs w:val="23"/>
        </w:rPr>
        <w:t>ve</w:t>
      </w:r>
      <w:r w:rsidR="005122D4" w:rsidRPr="00A84276">
        <w:rPr>
          <w:rFonts w:ascii="Arial" w:hAnsi="Arial" w:cs="Arial"/>
          <w:sz w:val="23"/>
          <w:szCs w:val="23"/>
        </w:rPr>
        <w:t xml:space="preserve"> data</w:t>
      </w:r>
      <w:r w:rsidR="00935A13" w:rsidRPr="00A84276">
        <w:rPr>
          <w:rFonts w:ascii="Arial" w:hAnsi="Arial" w:cs="Arial"/>
          <w:sz w:val="23"/>
          <w:szCs w:val="23"/>
        </w:rPr>
        <w:t xml:space="preserve"> analysis allowed </w:t>
      </w:r>
      <w:r w:rsidR="000D66A7" w:rsidRPr="00A84276">
        <w:rPr>
          <w:rFonts w:ascii="Arial" w:hAnsi="Arial" w:cs="Arial"/>
          <w:sz w:val="23"/>
          <w:szCs w:val="23"/>
        </w:rPr>
        <w:t>identifying and considering themes</w:t>
      </w:r>
      <w:r w:rsidR="005122D4" w:rsidRPr="00A84276">
        <w:rPr>
          <w:rFonts w:ascii="Arial" w:hAnsi="Arial" w:cs="Arial"/>
          <w:sz w:val="23"/>
          <w:szCs w:val="23"/>
        </w:rPr>
        <w:t xml:space="preserve"> emerging through whole questionnaires rather than within individual questions only. </w:t>
      </w:r>
    </w:p>
    <w:p w:rsidR="00BB3B0A" w:rsidRPr="00A84276" w:rsidRDefault="00BB3B0A"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Bold" w:hAnsi="Arial,Bold" w:cs="Arial,Bold"/>
          <w:b/>
          <w:bCs/>
          <w:sz w:val="23"/>
          <w:szCs w:val="23"/>
        </w:rPr>
      </w:pPr>
      <w:r w:rsidRPr="00A84276">
        <w:rPr>
          <w:rFonts w:ascii="Arial,Bold" w:hAnsi="Arial,Bold" w:cs="Arial,Bold"/>
          <w:b/>
          <w:bCs/>
          <w:sz w:val="23"/>
          <w:szCs w:val="23"/>
        </w:rPr>
        <w:t>Findings</w:t>
      </w:r>
    </w:p>
    <w:p w:rsidR="00BB3B0A" w:rsidRPr="00A84276" w:rsidRDefault="00BB3B0A" w:rsidP="00BB3B0A">
      <w:pPr>
        <w:autoSpaceDE w:val="0"/>
        <w:autoSpaceDN w:val="0"/>
        <w:adjustRightInd w:val="0"/>
        <w:spacing w:after="0" w:line="240" w:lineRule="auto"/>
        <w:rPr>
          <w:rFonts w:ascii="Arial,BoldItalic" w:hAnsi="Arial,BoldItalic" w:cs="Arial,BoldItalic"/>
          <w:b/>
          <w:bCs/>
          <w:i/>
          <w:iCs/>
          <w:sz w:val="23"/>
          <w:szCs w:val="23"/>
        </w:rPr>
      </w:pPr>
      <w:r w:rsidRPr="00A84276">
        <w:rPr>
          <w:rFonts w:ascii="Arial,BoldItalic" w:hAnsi="Arial,BoldItalic" w:cs="Arial,BoldItalic"/>
          <w:b/>
          <w:bCs/>
          <w:i/>
          <w:iCs/>
          <w:sz w:val="23"/>
          <w:szCs w:val="23"/>
        </w:rPr>
        <w:t>Current number of nurse prescribers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Re-organisations in the NHS have led to significant changes in the number and sizes</w:t>
      </w:r>
      <w:r w:rsidR="00445BE6" w:rsidRPr="00A84276">
        <w:rPr>
          <w:rFonts w:ascii="Arial" w:hAnsi="Arial" w:cs="Arial"/>
          <w:sz w:val="23"/>
          <w:szCs w:val="23"/>
        </w:rPr>
        <w:t xml:space="preserve"> </w:t>
      </w:r>
      <w:r w:rsidRPr="00A84276">
        <w:rPr>
          <w:rFonts w:ascii="Arial" w:hAnsi="Arial" w:cs="Arial"/>
          <w:sz w:val="23"/>
          <w:szCs w:val="23"/>
        </w:rPr>
        <w:t>of organisations providing mental health care in England; this has made it complex to</w:t>
      </w:r>
      <w:r w:rsidR="00445BE6" w:rsidRPr="00A84276">
        <w:rPr>
          <w:rFonts w:ascii="Arial" w:hAnsi="Arial" w:cs="Arial"/>
          <w:sz w:val="23"/>
          <w:szCs w:val="23"/>
        </w:rPr>
        <w:t xml:space="preserve"> </w:t>
      </w:r>
      <w:r w:rsidRPr="00A84276">
        <w:rPr>
          <w:rFonts w:ascii="Arial" w:hAnsi="Arial" w:cs="Arial"/>
          <w:sz w:val="23"/>
          <w:szCs w:val="23"/>
        </w:rPr>
        <w:t>monitor the development of NP.</w:t>
      </w:r>
    </w:p>
    <w:p w:rsidR="00445BE6" w:rsidRPr="00A84276" w:rsidRDefault="00445BE6"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lastRenderedPageBreak/>
        <w:t>Table 1 shows th</w:t>
      </w:r>
      <w:r w:rsidR="00310734" w:rsidRPr="00A84276">
        <w:rPr>
          <w:rFonts w:ascii="Arial" w:hAnsi="Arial" w:cs="Arial"/>
          <w:sz w:val="23"/>
          <w:szCs w:val="23"/>
        </w:rPr>
        <w:t xml:space="preserve">at the number of </w:t>
      </w:r>
      <w:r w:rsidRPr="00A84276">
        <w:rPr>
          <w:rFonts w:ascii="Arial" w:hAnsi="Arial" w:cs="Arial"/>
          <w:sz w:val="23"/>
          <w:szCs w:val="23"/>
        </w:rPr>
        <w:t>Trusts identified as providing mental health</w:t>
      </w:r>
      <w:r w:rsidR="00445BE6" w:rsidRPr="00A84276">
        <w:rPr>
          <w:rFonts w:ascii="Arial" w:hAnsi="Arial" w:cs="Arial"/>
          <w:sz w:val="23"/>
          <w:szCs w:val="23"/>
        </w:rPr>
        <w:t xml:space="preserve"> </w:t>
      </w:r>
      <w:r w:rsidRPr="00A84276">
        <w:rPr>
          <w:rFonts w:ascii="Arial" w:hAnsi="Arial" w:cs="Arial"/>
          <w:sz w:val="23"/>
          <w:szCs w:val="23"/>
        </w:rPr>
        <w:t xml:space="preserve">services </w:t>
      </w:r>
      <w:r w:rsidR="00310734" w:rsidRPr="00A84276">
        <w:rPr>
          <w:rFonts w:ascii="Arial" w:hAnsi="Arial" w:cs="Arial"/>
          <w:sz w:val="23"/>
          <w:szCs w:val="23"/>
        </w:rPr>
        <w:t xml:space="preserve">has reduced between </w:t>
      </w:r>
      <w:r w:rsidRPr="00A84276">
        <w:rPr>
          <w:rFonts w:ascii="Arial" w:hAnsi="Arial" w:cs="Arial"/>
          <w:sz w:val="23"/>
          <w:szCs w:val="23"/>
        </w:rPr>
        <w:t xml:space="preserve">previous </w:t>
      </w:r>
      <w:r w:rsidR="00310734" w:rsidRPr="00A84276">
        <w:rPr>
          <w:rFonts w:ascii="Arial" w:hAnsi="Arial" w:cs="Arial"/>
          <w:sz w:val="23"/>
          <w:szCs w:val="23"/>
        </w:rPr>
        <w:t xml:space="preserve">and present </w:t>
      </w:r>
      <w:r w:rsidR="00B0727C" w:rsidRPr="00A84276">
        <w:rPr>
          <w:rFonts w:ascii="Arial" w:hAnsi="Arial" w:cs="Arial"/>
          <w:sz w:val="23"/>
          <w:szCs w:val="23"/>
        </w:rPr>
        <w:t>surveys, whereas t</w:t>
      </w:r>
      <w:r w:rsidRPr="00A84276">
        <w:rPr>
          <w:rFonts w:ascii="Arial" w:hAnsi="Arial" w:cs="Arial"/>
          <w:sz w:val="23"/>
          <w:szCs w:val="23"/>
        </w:rPr>
        <w:t>he average number</w:t>
      </w:r>
      <w:r w:rsidR="00445BE6" w:rsidRPr="00A84276">
        <w:rPr>
          <w:rFonts w:ascii="Arial" w:hAnsi="Arial" w:cs="Arial"/>
          <w:sz w:val="23"/>
          <w:szCs w:val="23"/>
        </w:rPr>
        <w:t xml:space="preserve"> </w:t>
      </w:r>
      <w:r w:rsidRPr="00A84276">
        <w:rPr>
          <w:rFonts w:ascii="Arial" w:hAnsi="Arial" w:cs="Arial"/>
          <w:sz w:val="23"/>
          <w:szCs w:val="23"/>
        </w:rPr>
        <w:t>of mental health nurses (MHNs) working in responding trusts</w:t>
      </w:r>
      <w:r w:rsidR="00B0727C" w:rsidRPr="00A84276">
        <w:rPr>
          <w:rFonts w:ascii="Arial" w:hAnsi="Arial" w:cs="Arial"/>
          <w:sz w:val="23"/>
          <w:szCs w:val="23"/>
        </w:rPr>
        <w:t xml:space="preserve"> has</w:t>
      </w:r>
      <w:r w:rsidRPr="00A84276">
        <w:rPr>
          <w:rFonts w:ascii="Arial" w:hAnsi="Arial" w:cs="Arial"/>
          <w:sz w:val="23"/>
          <w:szCs w:val="23"/>
        </w:rPr>
        <w:t xml:space="preserve"> </w:t>
      </w:r>
      <w:r w:rsidR="00310734" w:rsidRPr="00A84276">
        <w:rPr>
          <w:rFonts w:ascii="Arial" w:hAnsi="Arial" w:cs="Arial"/>
          <w:sz w:val="23"/>
          <w:szCs w:val="23"/>
        </w:rPr>
        <w:t>increased</w:t>
      </w:r>
      <w:r w:rsidRPr="00A84276">
        <w:rPr>
          <w:rFonts w:ascii="Arial" w:hAnsi="Arial" w:cs="Arial"/>
          <w:sz w:val="23"/>
          <w:szCs w:val="23"/>
        </w:rPr>
        <w:t xml:space="preserve"> </w:t>
      </w:r>
      <w:r w:rsidR="00310734" w:rsidRPr="00A84276">
        <w:rPr>
          <w:rFonts w:ascii="Arial" w:hAnsi="Arial" w:cs="Arial"/>
          <w:sz w:val="23"/>
          <w:szCs w:val="23"/>
        </w:rPr>
        <w:t>(n=</w:t>
      </w:r>
      <w:r w:rsidRPr="00A84276">
        <w:rPr>
          <w:rFonts w:ascii="Arial" w:hAnsi="Arial" w:cs="Arial"/>
          <w:sz w:val="23"/>
          <w:szCs w:val="23"/>
        </w:rPr>
        <w:t>659 in</w:t>
      </w:r>
      <w:r w:rsidR="00445BE6" w:rsidRPr="00A84276">
        <w:rPr>
          <w:rFonts w:ascii="Arial" w:hAnsi="Arial" w:cs="Arial"/>
          <w:sz w:val="23"/>
          <w:szCs w:val="23"/>
        </w:rPr>
        <w:t xml:space="preserve"> </w:t>
      </w:r>
      <w:r w:rsidRPr="00A84276">
        <w:rPr>
          <w:rFonts w:ascii="Arial" w:hAnsi="Arial" w:cs="Arial"/>
          <w:sz w:val="23"/>
          <w:szCs w:val="23"/>
        </w:rPr>
        <w:t>2008</w:t>
      </w:r>
      <w:r w:rsidR="00310734" w:rsidRPr="00A84276">
        <w:rPr>
          <w:rFonts w:ascii="Arial" w:hAnsi="Arial" w:cs="Arial"/>
          <w:sz w:val="23"/>
          <w:szCs w:val="23"/>
        </w:rPr>
        <w:t>; n=</w:t>
      </w:r>
      <w:r w:rsidRPr="00A84276">
        <w:rPr>
          <w:rFonts w:ascii="Arial" w:hAnsi="Arial" w:cs="Arial"/>
          <w:sz w:val="23"/>
          <w:szCs w:val="23"/>
        </w:rPr>
        <w:t>840 in 2014</w:t>
      </w:r>
      <w:r w:rsidR="00310734" w:rsidRPr="00A84276">
        <w:rPr>
          <w:rFonts w:ascii="Arial" w:hAnsi="Arial" w:cs="Arial"/>
          <w:sz w:val="23"/>
          <w:szCs w:val="23"/>
        </w:rPr>
        <w:t>); this reflects mergers of provider units in the sector.</w:t>
      </w:r>
    </w:p>
    <w:p w:rsidR="00BB3B0A" w:rsidRPr="00A84276" w:rsidRDefault="00BB3B0A" w:rsidP="00BB3B0A">
      <w:pPr>
        <w:autoSpaceDE w:val="0"/>
        <w:autoSpaceDN w:val="0"/>
        <w:adjustRightInd w:val="0"/>
        <w:spacing w:after="0" w:line="240" w:lineRule="auto"/>
        <w:rPr>
          <w:rFonts w:ascii="Arial" w:hAnsi="Arial" w:cs="Arial"/>
          <w:sz w:val="23"/>
          <w:szCs w:val="23"/>
        </w:rPr>
      </w:pPr>
    </w:p>
    <w:p w:rsidR="00BB3B0A" w:rsidRPr="00A84276" w:rsidRDefault="00BB3B0A" w:rsidP="005F09C3">
      <w:pPr>
        <w:autoSpaceDE w:val="0"/>
        <w:autoSpaceDN w:val="0"/>
        <w:adjustRightInd w:val="0"/>
        <w:spacing w:after="0" w:line="240" w:lineRule="auto"/>
        <w:jc w:val="center"/>
        <w:rPr>
          <w:rFonts w:ascii="Arial" w:hAnsi="Arial" w:cs="Arial"/>
          <w:sz w:val="23"/>
          <w:szCs w:val="23"/>
        </w:rPr>
      </w:pPr>
      <w:r w:rsidRPr="00A84276">
        <w:rPr>
          <w:rFonts w:ascii="Arial" w:hAnsi="Arial" w:cs="Arial"/>
          <w:sz w:val="23"/>
          <w:szCs w:val="23"/>
        </w:rPr>
        <w:t>[Table 1 here]</w:t>
      </w:r>
    </w:p>
    <w:p w:rsidR="00BB3B0A" w:rsidRPr="00A84276" w:rsidRDefault="00BB3B0A"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Bold" w:hAnsi="Arial,Bold" w:cs="Arial,Bold"/>
          <w:b/>
          <w:bCs/>
          <w:sz w:val="23"/>
          <w:szCs w:val="23"/>
        </w:rPr>
      </w:pPr>
      <w:r w:rsidRPr="00A84276">
        <w:rPr>
          <w:rFonts w:ascii="Arial" w:hAnsi="Arial" w:cs="Arial"/>
          <w:sz w:val="23"/>
          <w:szCs w:val="23"/>
        </w:rPr>
        <w:t>Amongst the responding trusts in 2014, 16 had also provided a full set of responses</w:t>
      </w:r>
      <w:r w:rsidR="00F03ABF" w:rsidRPr="00A84276">
        <w:rPr>
          <w:rFonts w:ascii="Arial" w:hAnsi="Arial" w:cs="Arial"/>
          <w:sz w:val="23"/>
          <w:szCs w:val="23"/>
        </w:rPr>
        <w:t xml:space="preserve"> </w:t>
      </w:r>
      <w:r w:rsidRPr="00A84276">
        <w:rPr>
          <w:rFonts w:ascii="Arial" w:hAnsi="Arial" w:cs="Arial"/>
          <w:sz w:val="23"/>
          <w:szCs w:val="23"/>
        </w:rPr>
        <w:t>in 2008 and had not merged with other organisations and therefore, provide a good</w:t>
      </w:r>
      <w:r w:rsidR="00F03ABF" w:rsidRPr="00A84276">
        <w:rPr>
          <w:rFonts w:ascii="Arial" w:hAnsi="Arial" w:cs="Arial"/>
          <w:sz w:val="23"/>
          <w:szCs w:val="23"/>
        </w:rPr>
        <w:t xml:space="preserve"> </w:t>
      </w:r>
      <w:r w:rsidRPr="00A84276">
        <w:rPr>
          <w:rFonts w:ascii="Arial" w:hAnsi="Arial" w:cs="Arial"/>
          <w:sz w:val="23"/>
          <w:szCs w:val="23"/>
        </w:rPr>
        <w:t>basis for direct comparison. In this sub-sample, the average number of MHNs employed in these 16 tr</w:t>
      </w:r>
      <w:r w:rsidR="00935A13" w:rsidRPr="00A84276">
        <w:rPr>
          <w:rFonts w:ascii="Arial" w:hAnsi="Arial" w:cs="Arial"/>
          <w:sz w:val="23"/>
          <w:szCs w:val="23"/>
        </w:rPr>
        <w:t>usts went down from 904 to 852</w:t>
      </w:r>
    </w:p>
    <w:p w:rsidR="00BB3B0A" w:rsidRPr="00A84276" w:rsidRDefault="00BB3B0A" w:rsidP="00BB3B0A">
      <w:pPr>
        <w:autoSpaceDE w:val="0"/>
        <w:autoSpaceDN w:val="0"/>
        <w:adjustRightInd w:val="0"/>
        <w:spacing w:after="0" w:line="240" w:lineRule="auto"/>
        <w:rPr>
          <w:rFonts w:ascii="Arial,Bold" w:hAnsi="Arial,Bold" w:cs="Arial,Bold"/>
          <w:b/>
          <w:bCs/>
          <w:sz w:val="23"/>
          <w:szCs w:val="23"/>
        </w:rPr>
      </w:pPr>
    </w:p>
    <w:p w:rsidR="005F09C3" w:rsidRPr="00A84276" w:rsidRDefault="005F09C3" w:rsidP="005F09C3">
      <w:pPr>
        <w:autoSpaceDE w:val="0"/>
        <w:autoSpaceDN w:val="0"/>
        <w:adjustRightInd w:val="0"/>
        <w:spacing w:after="0" w:line="240" w:lineRule="auto"/>
        <w:jc w:val="center"/>
        <w:rPr>
          <w:rFonts w:ascii="Arial" w:hAnsi="Arial" w:cs="Arial"/>
          <w:sz w:val="23"/>
          <w:szCs w:val="23"/>
        </w:rPr>
      </w:pPr>
      <w:r w:rsidRPr="00A84276">
        <w:rPr>
          <w:rFonts w:ascii="Arial" w:hAnsi="Arial" w:cs="Arial"/>
          <w:sz w:val="23"/>
          <w:szCs w:val="23"/>
        </w:rPr>
        <w:t>[Table 2 here]</w:t>
      </w:r>
    </w:p>
    <w:p w:rsidR="005F09C3" w:rsidRPr="00A84276" w:rsidRDefault="005F09C3" w:rsidP="00BB3B0A">
      <w:pPr>
        <w:autoSpaceDE w:val="0"/>
        <w:autoSpaceDN w:val="0"/>
        <w:adjustRightInd w:val="0"/>
        <w:spacing w:after="0" w:line="240" w:lineRule="auto"/>
        <w:rPr>
          <w:rFonts w:ascii="Arial" w:hAnsi="Arial" w:cs="Arial"/>
          <w:sz w:val="23"/>
          <w:szCs w:val="23"/>
        </w:rPr>
      </w:pPr>
    </w:p>
    <w:p w:rsidR="00700735"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Over the last 6 years, the mean number of trained NPs has increased by 19 per trust</w:t>
      </w:r>
      <w:r w:rsidR="005F09C3" w:rsidRPr="00A84276">
        <w:rPr>
          <w:rFonts w:ascii="Arial" w:hAnsi="Arial" w:cs="Arial"/>
          <w:sz w:val="23"/>
          <w:szCs w:val="23"/>
        </w:rPr>
        <w:t xml:space="preserve"> </w:t>
      </w:r>
      <w:r w:rsidRPr="00A84276">
        <w:rPr>
          <w:rFonts w:ascii="Arial" w:hAnsi="Arial" w:cs="Arial"/>
          <w:sz w:val="23"/>
          <w:szCs w:val="23"/>
        </w:rPr>
        <w:t>amongst all responding organisations and by</w:t>
      </w:r>
      <w:r w:rsidR="005F09C3" w:rsidRPr="00A84276">
        <w:rPr>
          <w:rFonts w:ascii="Arial" w:hAnsi="Arial" w:cs="Arial"/>
          <w:sz w:val="23"/>
          <w:szCs w:val="23"/>
        </w:rPr>
        <w:t xml:space="preserve"> </w:t>
      </w:r>
      <w:r w:rsidRPr="00A84276">
        <w:rPr>
          <w:rFonts w:ascii="Arial" w:hAnsi="Arial" w:cs="Arial"/>
          <w:sz w:val="23"/>
          <w:szCs w:val="23"/>
        </w:rPr>
        <w:t>21 amongst th</w:t>
      </w:r>
      <w:r w:rsidR="00F03ABF" w:rsidRPr="00A84276">
        <w:rPr>
          <w:rFonts w:ascii="Arial" w:hAnsi="Arial" w:cs="Arial"/>
          <w:sz w:val="23"/>
          <w:szCs w:val="23"/>
        </w:rPr>
        <w:t>e more stable sub-sample</w:t>
      </w:r>
      <w:r w:rsidRPr="00A84276">
        <w:rPr>
          <w:rFonts w:ascii="Arial" w:hAnsi="Arial" w:cs="Arial"/>
          <w:sz w:val="23"/>
          <w:szCs w:val="23"/>
        </w:rPr>
        <w:t>.</w:t>
      </w:r>
      <w:r w:rsidR="005F09C3" w:rsidRPr="00A84276">
        <w:rPr>
          <w:rFonts w:ascii="Arial" w:hAnsi="Arial" w:cs="Arial"/>
          <w:sz w:val="23"/>
          <w:szCs w:val="23"/>
        </w:rPr>
        <w:t xml:space="preserve"> </w:t>
      </w:r>
    </w:p>
    <w:p w:rsidR="00BB3B0A" w:rsidRPr="00A84276" w:rsidRDefault="00512844"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The distribution of NPs was extremely varied across organisations, </w:t>
      </w:r>
      <w:r w:rsidR="00700735" w:rsidRPr="00A84276">
        <w:rPr>
          <w:rFonts w:ascii="Arial" w:hAnsi="Arial" w:cs="Arial"/>
          <w:sz w:val="23"/>
          <w:szCs w:val="23"/>
        </w:rPr>
        <w:t>with the number of trained NP</w:t>
      </w:r>
      <w:r w:rsidRPr="00A84276">
        <w:rPr>
          <w:rFonts w:ascii="Arial" w:hAnsi="Arial" w:cs="Arial"/>
          <w:sz w:val="23"/>
          <w:szCs w:val="23"/>
        </w:rPr>
        <w:t>s</w:t>
      </w:r>
      <w:r w:rsidR="00700735" w:rsidRPr="00A84276">
        <w:rPr>
          <w:rFonts w:ascii="Arial" w:hAnsi="Arial" w:cs="Arial"/>
          <w:sz w:val="23"/>
          <w:szCs w:val="23"/>
        </w:rPr>
        <w:t xml:space="preserve"> ranging from 3 to 146. </w:t>
      </w:r>
    </w:p>
    <w:p w:rsidR="00700735" w:rsidRPr="00A84276" w:rsidRDefault="00700735" w:rsidP="00BB3B0A">
      <w:pPr>
        <w:autoSpaceDE w:val="0"/>
        <w:autoSpaceDN w:val="0"/>
        <w:adjustRightInd w:val="0"/>
        <w:spacing w:after="0" w:line="240" w:lineRule="auto"/>
        <w:rPr>
          <w:rFonts w:ascii="Arial" w:hAnsi="Arial" w:cs="Arial"/>
          <w:sz w:val="23"/>
          <w:szCs w:val="23"/>
        </w:rPr>
      </w:pPr>
    </w:p>
    <w:p w:rsidR="005F09C3" w:rsidRPr="00A84276" w:rsidRDefault="005F09C3" w:rsidP="005F09C3">
      <w:pPr>
        <w:autoSpaceDE w:val="0"/>
        <w:autoSpaceDN w:val="0"/>
        <w:adjustRightInd w:val="0"/>
        <w:spacing w:after="0" w:line="240" w:lineRule="auto"/>
        <w:jc w:val="center"/>
        <w:rPr>
          <w:rFonts w:ascii="Arial" w:hAnsi="Arial" w:cs="Arial"/>
          <w:sz w:val="23"/>
          <w:szCs w:val="23"/>
        </w:rPr>
      </w:pPr>
      <w:r w:rsidRPr="00A84276">
        <w:rPr>
          <w:rFonts w:ascii="Arial" w:hAnsi="Arial" w:cs="Arial"/>
          <w:sz w:val="23"/>
          <w:szCs w:val="23"/>
        </w:rPr>
        <w:t>[Figure 1 here]</w:t>
      </w:r>
    </w:p>
    <w:p w:rsidR="005F09C3" w:rsidRPr="00A84276" w:rsidRDefault="005F09C3" w:rsidP="00BB3B0A">
      <w:pPr>
        <w:autoSpaceDE w:val="0"/>
        <w:autoSpaceDN w:val="0"/>
        <w:adjustRightInd w:val="0"/>
        <w:spacing w:after="0" w:line="240" w:lineRule="auto"/>
        <w:rPr>
          <w:rFonts w:ascii="Arial" w:hAnsi="Arial" w:cs="Arial"/>
          <w:sz w:val="23"/>
          <w:szCs w:val="23"/>
        </w:rPr>
      </w:pPr>
    </w:p>
    <w:p w:rsidR="005F09C3" w:rsidRPr="00A84276" w:rsidRDefault="005F09C3"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overall proportion of trained but non-active NPs went down from 28%</w:t>
      </w:r>
      <w:r w:rsidR="000A2267" w:rsidRPr="00A84276">
        <w:rPr>
          <w:rFonts w:ascii="Arial" w:hAnsi="Arial" w:cs="Arial"/>
          <w:sz w:val="23"/>
          <w:szCs w:val="23"/>
        </w:rPr>
        <w:t xml:space="preserve"> (n=166)</w:t>
      </w:r>
      <w:r w:rsidRPr="00A84276">
        <w:rPr>
          <w:rFonts w:ascii="Arial" w:hAnsi="Arial" w:cs="Arial"/>
          <w:sz w:val="23"/>
          <w:szCs w:val="23"/>
        </w:rPr>
        <w:t xml:space="preserve"> in 2008 to</w:t>
      </w:r>
      <w:r w:rsidR="005F09C3" w:rsidRPr="00A84276">
        <w:rPr>
          <w:rFonts w:ascii="Arial" w:hAnsi="Arial" w:cs="Arial"/>
          <w:sz w:val="23"/>
          <w:szCs w:val="23"/>
        </w:rPr>
        <w:t xml:space="preserve"> </w:t>
      </w:r>
      <w:r w:rsidRPr="00A84276">
        <w:rPr>
          <w:rFonts w:ascii="Arial" w:hAnsi="Arial" w:cs="Arial"/>
          <w:sz w:val="23"/>
          <w:szCs w:val="23"/>
        </w:rPr>
        <w:t xml:space="preserve">23% </w:t>
      </w:r>
      <w:r w:rsidR="00FD468F" w:rsidRPr="00A84276">
        <w:rPr>
          <w:rFonts w:ascii="Arial" w:hAnsi="Arial" w:cs="Arial"/>
          <w:sz w:val="23"/>
          <w:szCs w:val="23"/>
        </w:rPr>
        <w:t xml:space="preserve">(n=256) </w:t>
      </w:r>
      <w:r w:rsidRPr="00A84276">
        <w:rPr>
          <w:rFonts w:ascii="Arial" w:hAnsi="Arial" w:cs="Arial"/>
          <w:sz w:val="23"/>
          <w:szCs w:val="23"/>
        </w:rPr>
        <w:t>in 2014.</w:t>
      </w:r>
    </w:p>
    <w:p w:rsidR="00BB3B0A" w:rsidRPr="00A84276" w:rsidRDefault="00BB3B0A"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BoldItalic" w:hAnsi="Arial,BoldItalic" w:cs="Arial,BoldItalic"/>
          <w:b/>
          <w:bCs/>
          <w:i/>
          <w:iCs/>
          <w:sz w:val="23"/>
          <w:szCs w:val="23"/>
        </w:rPr>
      </w:pPr>
      <w:r w:rsidRPr="00A84276">
        <w:rPr>
          <w:rFonts w:ascii="Arial,BoldItalic" w:hAnsi="Arial,BoldItalic" w:cs="Arial,BoldItalic"/>
          <w:b/>
          <w:bCs/>
          <w:i/>
          <w:iCs/>
          <w:sz w:val="23"/>
          <w:szCs w:val="23"/>
        </w:rPr>
        <w:t>Area of practice and prescribing status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2005 survey provided a breakdown of the number of active NPs within 7 main</w:t>
      </w:r>
      <w:r w:rsidR="005F09C3" w:rsidRPr="00A84276">
        <w:rPr>
          <w:rFonts w:ascii="Arial" w:hAnsi="Arial" w:cs="Arial"/>
          <w:sz w:val="23"/>
          <w:szCs w:val="23"/>
        </w:rPr>
        <w:t xml:space="preserve"> </w:t>
      </w:r>
      <w:r w:rsidRPr="00A84276">
        <w:rPr>
          <w:rFonts w:ascii="Arial" w:hAnsi="Arial" w:cs="Arial"/>
          <w:sz w:val="23"/>
          <w:szCs w:val="23"/>
        </w:rPr>
        <w:t>clinical areas. The 2014 study included additional categories based on information</w:t>
      </w:r>
      <w:r w:rsidR="005F09C3" w:rsidRPr="00A84276">
        <w:rPr>
          <w:rFonts w:ascii="Arial" w:hAnsi="Arial" w:cs="Arial"/>
          <w:sz w:val="23"/>
          <w:szCs w:val="23"/>
        </w:rPr>
        <w:t xml:space="preserve"> </w:t>
      </w:r>
      <w:r w:rsidRPr="00A84276">
        <w:rPr>
          <w:rFonts w:ascii="Arial" w:hAnsi="Arial" w:cs="Arial"/>
          <w:sz w:val="23"/>
          <w:szCs w:val="23"/>
        </w:rPr>
        <w:t>received regarding other areas of practice.</w:t>
      </w:r>
    </w:p>
    <w:p w:rsidR="005F09C3" w:rsidRPr="00A84276" w:rsidRDefault="005F09C3" w:rsidP="00BB3B0A">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Table 3 includes the original 7 categories and provides direct comparison between</w:t>
      </w:r>
      <w:r w:rsidR="005F09C3" w:rsidRPr="00A84276">
        <w:rPr>
          <w:rFonts w:ascii="Arial" w:hAnsi="Arial" w:cs="Arial"/>
          <w:sz w:val="23"/>
          <w:szCs w:val="23"/>
        </w:rPr>
        <w:t xml:space="preserve"> </w:t>
      </w:r>
      <w:r w:rsidRPr="00A84276">
        <w:rPr>
          <w:rFonts w:ascii="Arial" w:hAnsi="Arial" w:cs="Arial"/>
          <w:sz w:val="23"/>
          <w:szCs w:val="23"/>
        </w:rPr>
        <w:t>successive surveys. Despite the overall increase in the number of NPs, the general</w:t>
      </w:r>
      <w:r w:rsidR="005F09C3" w:rsidRPr="00A84276">
        <w:rPr>
          <w:rFonts w:ascii="Arial" w:hAnsi="Arial" w:cs="Arial"/>
          <w:sz w:val="23"/>
          <w:szCs w:val="23"/>
        </w:rPr>
        <w:t xml:space="preserve"> </w:t>
      </w:r>
      <w:r w:rsidRPr="00A84276">
        <w:rPr>
          <w:rFonts w:ascii="Arial" w:hAnsi="Arial" w:cs="Arial"/>
          <w:sz w:val="23"/>
          <w:szCs w:val="23"/>
        </w:rPr>
        <w:t>distribution has remained relatively constant. Community mental health teams</w:t>
      </w:r>
      <w:r w:rsidR="005F09C3" w:rsidRPr="00A84276">
        <w:rPr>
          <w:rFonts w:ascii="Arial" w:hAnsi="Arial" w:cs="Arial"/>
          <w:sz w:val="23"/>
          <w:szCs w:val="23"/>
        </w:rPr>
        <w:t xml:space="preserve"> </w:t>
      </w:r>
      <w:r w:rsidRPr="00A84276">
        <w:rPr>
          <w:rFonts w:ascii="Arial" w:hAnsi="Arial" w:cs="Arial"/>
          <w:sz w:val="23"/>
          <w:szCs w:val="23"/>
        </w:rPr>
        <w:t>(CMHT) remain the service making the largest use of NP with nearly a third of all</w:t>
      </w:r>
      <w:r w:rsidR="005F09C3" w:rsidRPr="00A84276">
        <w:rPr>
          <w:rFonts w:ascii="Arial" w:hAnsi="Arial" w:cs="Arial"/>
          <w:sz w:val="23"/>
          <w:szCs w:val="23"/>
        </w:rPr>
        <w:t xml:space="preserve"> </w:t>
      </w:r>
      <w:r w:rsidRPr="00A84276">
        <w:rPr>
          <w:rFonts w:ascii="Arial" w:hAnsi="Arial" w:cs="Arial"/>
          <w:sz w:val="23"/>
          <w:szCs w:val="23"/>
        </w:rPr>
        <w:t>NPs. Since 2005, the proportion of NPs working in older people community services</w:t>
      </w:r>
      <w:r w:rsidR="005F09C3" w:rsidRPr="00A84276">
        <w:rPr>
          <w:rFonts w:ascii="Arial" w:hAnsi="Arial" w:cs="Arial"/>
          <w:sz w:val="23"/>
          <w:szCs w:val="23"/>
        </w:rPr>
        <w:t xml:space="preserve"> </w:t>
      </w:r>
      <w:r w:rsidRPr="00A84276">
        <w:rPr>
          <w:rFonts w:ascii="Arial" w:hAnsi="Arial" w:cs="Arial"/>
          <w:sz w:val="23"/>
          <w:szCs w:val="23"/>
        </w:rPr>
        <w:t>has reduced by 6 percentage points whilst it has increased by the same number in</w:t>
      </w:r>
      <w:r w:rsidR="005F09C3" w:rsidRPr="00A84276">
        <w:rPr>
          <w:rFonts w:ascii="Arial" w:hAnsi="Arial" w:cs="Arial"/>
          <w:sz w:val="23"/>
          <w:szCs w:val="23"/>
        </w:rPr>
        <w:t xml:space="preserve"> </w:t>
      </w:r>
      <w:r w:rsidRPr="00A84276">
        <w:rPr>
          <w:rFonts w:ascii="Arial" w:hAnsi="Arial" w:cs="Arial"/>
          <w:sz w:val="23"/>
          <w:szCs w:val="23"/>
        </w:rPr>
        <w:t>drugs &amp; alcohol (substance misuse) services.</w:t>
      </w:r>
    </w:p>
    <w:p w:rsidR="00BB3B0A" w:rsidRPr="00A84276" w:rsidRDefault="00BB3B0A" w:rsidP="00BB3B0A">
      <w:pPr>
        <w:autoSpaceDE w:val="0"/>
        <w:autoSpaceDN w:val="0"/>
        <w:adjustRightInd w:val="0"/>
        <w:spacing w:after="0" w:line="240" w:lineRule="auto"/>
        <w:rPr>
          <w:rFonts w:ascii="Arial" w:hAnsi="Arial" w:cs="Arial"/>
          <w:sz w:val="23"/>
          <w:szCs w:val="23"/>
        </w:rPr>
      </w:pPr>
    </w:p>
    <w:p w:rsidR="00BB3B0A" w:rsidRPr="00A84276" w:rsidRDefault="00BB3B0A" w:rsidP="005F09C3">
      <w:pPr>
        <w:autoSpaceDE w:val="0"/>
        <w:autoSpaceDN w:val="0"/>
        <w:adjustRightInd w:val="0"/>
        <w:spacing w:after="0" w:line="240" w:lineRule="auto"/>
        <w:jc w:val="center"/>
        <w:rPr>
          <w:rFonts w:ascii="Arial" w:hAnsi="Arial" w:cs="Arial"/>
          <w:sz w:val="23"/>
          <w:szCs w:val="23"/>
        </w:rPr>
      </w:pPr>
      <w:r w:rsidRPr="00A84276">
        <w:rPr>
          <w:rFonts w:ascii="Arial" w:hAnsi="Arial" w:cs="Arial"/>
          <w:sz w:val="23"/>
          <w:szCs w:val="23"/>
        </w:rPr>
        <w:t>[Table 3 here]</w:t>
      </w:r>
    </w:p>
    <w:p w:rsidR="00BB3B0A" w:rsidRPr="00A84276" w:rsidRDefault="00BB3B0A" w:rsidP="00BB3B0A">
      <w:pPr>
        <w:rPr>
          <w:rFonts w:ascii="Arial" w:hAnsi="Arial" w:cs="Arial"/>
          <w:sz w:val="23"/>
          <w:szCs w:val="23"/>
        </w:rPr>
      </w:pPr>
    </w:p>
    <w:p w:rsidR="00BB3B0A" w:rsidRPr="00A84276" w:rsidRDefault="00BB3B0A" w:rsidP="005F09C3">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Figure 2 displays information from the additional service categories included in the</w:t>
      </w:r>
      <w:r w:rsidR="005F09C3" w:rsidRPr="00A84276">
        <w:rPr>
          <w:rFonts w:ascii="Arial" w:hAnsi="Arial" w:cs="Arial"/>
          <w:sz w:val="23"/>
          <w:szCs w:val="23"/>
        </w:rPr>
        <w:t xml:space="preserve"> </w:t>
      </w:r>
      <w:r w:rsidRPr="00A84276">
        <w:rPr>
          <w:rFonts w:ascii="Arial" w:hAnsi="Arial" w:cs="Arial"/>
          <w:sz w:val="23"/>
          <w:szCs w:val="23"/>
        </w:rPr>
        <w:t>2008 and 2014 surveys. It reveals that the vast majority of prescribers (76%</w:t>
      </w:r>
      <w:r w:rsidR="00422D52" w:rsidRPr="00A84276">
        <w:rPr>
          <w:rFonts w:ascii="Arial" w:hAnsi="Arial" w:cs="Arial"/>
          <w:sz w:val="23"/>
          <w:szCs w:val="23"/>
        </w:rPr>
        <w:t>, n=623</w:t>
      </w:r>
      <w:r w:rsidRPr="00A84276">
        <w:rPr>
          <w:rFonts w:ascii="Arial" w:hAnsi="Arial" w:cs="Arial"/>
          <w:sz w:val="23"/>
          <w:szCs w:val="23"/>
        </w:rPr>
        <w:t>) are</w:t>
      </w:r>
      <w:r w:rsidR="005F09C3" w:rsidRPr="00A84276">
        <w:rPr>
          <w:rFonts w:ascii="Arial" w:hAnsi="Arial" w:cs="Arial"/>
          <w:sz w:val="23"/>
          <w:szCs w:val="23"/>
        </w:rPr>
        <w:t xml:space="preserve"> </w:t>
      </w:r>
      <w:r w:rsidRPr="00A84276">
        <w:rPr>
          <w:rFonts w:ascii="Arial" w:hAnsi="Arial" w:cs="Arial"/>
          <w:sz w:val="23"/>
          <w:szCs w:val="23"/>
        </w:rPr>
        <w:t xml:space="preserve">now working independently; compared to 2008, when 75% </w:t>
      </w:r>
      <w:r w:rsidR="00422D52" w:rsidRPr="00A84276">
        <w:rPr>
          <w:rFonts w:ascii="Arial" w:hAnsi="Arial" w:cs="Arial"/>
          <w:sz w:val="23"/>
          <w:szCs w:val="23"/>
        </w:rPr>
        <w:t xml:space="preserve">(n=267) </w:t>
      </w:r>
      <w:r w:rsidRPr="00A84276">
        <w:rPr>
          <w:rFonts w:ascii="Arial" w:hAnsi="Arial" w:cs="Arial"/>
          <w:sz w:val="23"/>
          <w:szCs w:val="23"/>
        </w:rPr>
        <w:t>of NPs were</w:t>
      </w:r>
      <w:r w:rsidR="005F09C3" w:rsidRPr="00A84276">
        <w:rPr>
          <w:rFonts w:ascii="Arial" w:hAnsi="Arial" w:cs="Arial"/>
          <w:sz w:val="23"/>
          <w:szCs w:val="23"/>
        </w:rPr>
        <w:t xml:space="preserve"> </w:t>
      </w:r>
      <w:r w:rsidRPr="00A84276">
        <w:rPr>
          <w:rFonts w:ascii="Arial" w:hAnsi="Arial" w:cs="Arial"/>
          <w:sz w:val="23"/>
          <w:szCs w:val="23"/>
        </w:rPr>
        <w:t>supplementary only. CAMHS and older people community services are the two</w:t>
      </w:r>
      <w:r w:rsidR="005F09C3" w:rsidRPr="00A84276">
        <w:rPr>
          <w:rFonts w:ascii="Arial" w:hAnsi="Arial" w:cs="Arial"/>
          <w:sz w:val="23"/>
          <w:szCs w:val="23"/>
        </w:rPr>
        <w:t xml:space="preserve"> </w:t>
      </w:r>
      <w:r w:rsidRPr="00A84276">
        <w:rPr>
          <w:rFonts w:ascii="Arial" w:hAnsi="Arial" w:cs="Arial"/>
          <w:sz w:val="23"/>
          <w:szCs w:val="23"/>
        </w:rPr>
        <w:t>areas where over a third of active NPs have maintained supplementary status only.</w:t>
      </w:r>
      <w:r w:rsidR="005F09C3" w:rsidRPr="00A84276">
        <w:rPr>
          <w:rFonts w:ascii="Arial" w:hAnsi="Arial" w:cs="Arial"/>
          <w:sz w:val="23"/>
          <w:szCs w:val="23"/>
        </w:rPr>
        <w:t xml:space="preserve"> </w:t>
      </w:r>
      <w:r w:rsidRPr="00A84276">
        <w:rPr>
          <w:rFonts w:ascii="Arial" w:hAnsi="Arial" w:cs="Arial"/>
          <w:sz w:val="23"/>
          <w:szCs w:val="23"/>
        </w:rPr>
        <w:t>Twelve trusts indicated that all their NPs were independent.</w:t>
      </w:r>
    </w:p>
    <w:p w:rsidR="00422D52" w:rsidRPr="00A84276" w:rsidRDefault="00422D52" w:rsidP="005F09C3">
      <w:pPr>
        <w:autoSpaceDE w:val="0"/>
        <w:autoSpaceDN w:val="0"/>
        <w:adjustRightInd w:val="0"/>
        <w:spacing w:after="0" w:line="240" w:lineRule="auto"/>
        <w:rPr>
          <w:rFonts w:ascii="Arial" w:hAnsi="Arial" w:cs="Arial"/>
          <w:sz w:val="23"/>
          <w:szCs w:val="23"/>
        </w:rPr>
      </w:pPr>
    </w:p>
    <w:p w:rsidR="00BB3B0A" w:rsidRPr="00A84276" w:rsidRDefault="00BB3B0A" w:rsidP="00BB3B0A">
      <w:pPr>
        <w:autoSpaceDE w:val="0"/>
        <w:autoSpaceDN w:val="0"/>
        <w:adjustRightInd w:val="0"/>
        <w:spacing w:after="0" w:line="240" w:lineRule="auto"/>
        <w:jc w:val="center"/>
        <w:rPr>
          <w:rFonts w:ascii="Arial" w:hAnsi="Arial" w:cs="Arial"/>
          <w:sz w:val="23"/>
          <w:szCs w:val="23"/>
        </w:rPr>
      </w:pPr>
      <w:r w:rsidRPr="00A84276">
        <w:rPr>
          <w:rFonts w:ascii="Arial" w:hAnsi="Arial" w:cs="Arial"/>
          <w:sz w:val="23"/>
          <w:szCs w:val="23"/>
        </w:rPr>
        <w:t>[</w:t>
      </w:r>
      <w:r w:rsidR="005F09C3" w:rsidRPr="00A84276">
        <w:rPr>
          <w:rFonts w:ascii="Arial" w:hAnsi="Arial" w:cs="Arial"/>
          <w:sz w:val="23"/>
          <w:szCs w:val="23"/>
        </w:rPr>
        <w:t>Figure</w:t>
      </w:r>
      <w:r w:rsidRPr="00A84276">
        <w:rPr>
          <w:rFonts w:ascii="Arial" w:hAnsi="Arial" w:cs="Arial"/>
          <w:sz w:val="23"/>
          <w:szCs w:val="23"/>
        </w:rPr>
        <w:t xml:space="preserve"> 2 here]</w:t>
      </w:r>
    </w:p>
    <w:p w:rsidR="00BB3B0A" w:rsidRPr="00A84276" w:rsidRDefault="00BB3B0A" w:rsidP="00BB3B0A">
      <w:pPr>
        <w:rPr>
          <w:rFonts w:ascii="Arial" w:hAnsi="Arial" w:cs="Arial"/>
          <w:sz w:val="23"/>
          <w:szCs w:val="23"/>
        </w:rPr>
      </w:pPr>
    </w:p>
    <w:p w:rsidR="00BB3B0A" w:rsidRPr="00A84276" w:rsidRDefault="00BB3B0A" w:rsidP="00BB3B0A">
      <w:pPr>
        <w:rPr>
          <w:rFonts w:ascii="Arial" w:hAnsi="Arial" w:cs="Arial"/>
          <w:sz w:val="23"/>
          <w:szCs w:val="23"/>
        </w:rPr>
      </w:pPr>
    </w:p>
    <w:p w:rsidR="00BB3B0A" w:rsidRPr="00A84276" w:rsidRDefault="00BB3B0A" w:rsidP="00BB3B0A">
      <w:pPr>
        <w:autoSpaceDE w:val="0"/>
        <w:autoSpaceDN w:val="0"/>
        <w:adjustRightInd w:val="0"/>
        <w:spacing w:after="0" w:line="240" w:lineRule="auto"/>
        <w:rPr>
          <w:rFonts w:ascii="Arial,BoldItalic" w:hAnsi="Arial,BoldItalic" w:cs="Arial,BoldItalic"/>
          <w:b/>
          <w:bCs/>
          <w:i/>
          <w:iCs/>
          <w:sz w:val="23"/>
          <w:szCs w:val="23"/>
        </w:rPr>
      </w:pPr>
      <w:r w:rsidRPr="00A84276">
        <w:rPr>
          <w:rFonts w:ascii="Arial,BoldItalic" w:hAnsi="Arial,BoldItalic" w:cs="Arial,BoldItalic"/>
          <w:b/>
          <w:bCs/>
          <w:i/>
          <w:iCs/>
          <w:sz w:val="23"/>
          <w:szCs w:val="23"/>
        </w:rPr>
        <w:lastRenderedPageBreak/>
        <w:t>Strategic development</w:t>
      </w:r>
    </w:p>
    <w:p w:rsidR="00BB3B0A" w:rsidRPr="00A84276" w:rsidRDefault="00BB3B0A" w:rsidP="00BB3B0A">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Identifying NP roles</w:t>
      </w:r>
    </w:p>
    <w:p w:rsidR="00BB3B0A" w:rsidRPr="00A84276" w:rsidRDefault="00BB3B0A" w:rsidP="00BB3B0A">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vast majority of respondents (n=29, 74%) indicated that their organisation had</w:t>
      </w:r>
      <w:r w:rsidR="005F09C3" w:rsidRPr="00A84276">
        <w:rPr>
          <w:rFonts w:ascii="Arial" w:hAnsi="Arial" w:cs="Arial"/>
          <w:sz w:val="23"/>
          <w:szCs w:val="23"/>
        </w:rPr>
        <w:t xml:space="preserve"> </w:t>
      </w:r>
      <w:r w:rsidRPr="00A84276">
        <w:rPr>
          <w:rFonts w:ascii="Arial" w:hAnsi="Arial" w:cs="Arial"/>
          <w:sz w:val="23"/>
          <w:szCs w:val="23"/>
        </w:rPr>
        <w:t>formal policies or processes to identify roles that would benefit from the inclusion of</w:t>
      </w:r>
      <w:r w:rsidR="005F09C3" w:rsidRPr="00A84276">
        <w:rPr>
          <w:rFonts w:ascii="Arial" w:hAnsi="Arial" w:cs="Arial"/>
          <w:sz w:val="23"/>
          <w:szCs w:val="23"/>
        </w:rPr>
        <w:t xml:space="preserve"> </w:t>
      </w:r>
      <w:r w:rsidRPr="00A84276">
        <w:rPr>
          <w:rFonts w:ascii="Arial" w:hAnsi="Arial" w:cs="Arial"/>
          <w:sz w:val="23"/>
          <w:szCs w:val="23"/>
        </w:rPr>
        <w:t>NP. Organisations without formal policies had fewer trained NPs (mean=29.6</w:t>
      </w:r>
      <w:r w:rsidR="00136917" w:rsidRPr="00A84276">
        <w:rPr>
          <w:rFonts w:ascii="Arial" w:hAnsi="Arial" w:cs="Arial"/>
          <w:sz w:val="23"/>
          <w:szCs w:val="23"/>
        </w:rPr>
        <w:t>, SD=14.7</w:t>
      </w:r>
      <w:r w:rsidRPr="00A84276">
        <w:rPr>
          <w:rFonts w:ascii="Arial" w:hAnsi="Arial" w:cs="Arial"/>
          <w:sz w:val="23"/>
          <w:szCs w:val="23"/>
        </w:rPr>
        <w:t>) than</w:t>
      </w:r>
      <w:r w:rsidR="005F09C3" w:rsidRPr="00A84276">
        <w:rPr>
          <w:rFonts w:ascii="Arial" w:hAnsi="Arial" w:cs="Arial"/>
          <w:sz w:val="23"/>
          <w:szCs w:val="23"/>
        </w:rPr>
        <w:t xml:space="preserve"> </w:t>
      </w:r>
      <w:r w:rsidRPr="00A84276">
        <w:rPr>
          <w:rFonts w:ascii="Arial" w:hAnsi="Arial" w:cs="Arial"/>
          <w:sz w:val="23"/>
          <w:szCs w:val="23"/>
        </w:rPr>
        <w:t>the others (mean=36.8</w:t>
      </w:r>
      <w:r w:rsidR="00136917" w:rsidRPr="00A84276">
        <w:rPr>
          <w:rFonts w:ascii="Arial" w:hAnsi="Arial" w:cs="Arial"/>
          <w:sz w:val="23"/>
          <w:szCs w:val="23"/>
        </w:rPr>
        <w:t>, SD=32.1</w:t>
      </w:r>
      <w:r w:rsidRPr="00A84276">
        <w:rPr>
          <w:rFonts w:ascii="Arial" w:hAnsi="Arial" w:cs="Arial"/>
          <w:sz w:val="23"/>
          <w:szCs w:val="23"/>
        </w:rPr>
        <w:t>). Relatively few organisations provided detailed information</w:t>
      </w:r>
      <w:r w:rsidR="005F09C3" w:rsidRPr="00A84276">
        <w:rPr>
          <w:rFonts w:ascii="Arial" w:hAnsi="Arial" w:cs="Arial"/>
          <w:sz w:val="23"/>
          <w:szCs w:val="23"/>
        </w:rPr>
        <w:t xml:space="preserve"> </w:t>
      </w:r>
      <w:r w:rsidRPr="00A84276">
        <w:rPr>
          <w:rFonts w:ascii="Arial" w:hAnsi="Arial" w:cs="Arial"/>
          <w:sz w:val="23"/>
          <w:szCs w:val="23"/>
        </w:rPr>
        <w:t>about actual policies and processes. Amongst those</w:t>
      </w:r>
      <w:r w:rsidR="003A20B6" w:rsidRPr="00A84276">
        <w:rPr>
          <w:rFonts w:ascii="Arial" w:hAnsi="Arial" w:cs="Arial"/>
          <w:sz w:val="23"/>
          <w:szCs w:val="23"/>
        </w:rPr>
        <w:t xml:space="preserve"> that</w:t>
      </w:r>
      <w:r w:rsidRPr="00A84276">
        <w:rPr>
          <w:rFonts w:ascii="Arial" w:hAnsi="Arial" w:cs="Arial"/>
          <w:sz w:val="23"/>
          <w:szCs w:val="23"/>
        </w:rPr>
        <w:t xml:space="preserve"> did, half of the organisations</w:t>
      </w:r>
      <w:r w:rsidR="005F09C3" w:rsidRPr="00A84276">
        <w:rPr>
          <w:rFonts w:ascii="Arial" w:hAnsi="Arial" w:cs="Arial"/>
          <w:sz w:val="23"/>
          <w:szCs w:val="23"/>
        </w:rPr>
        <w:t xml:space="preserve"> </w:t>
      </w:r>
      <w:r w:rsidRPr="00A84276">
        <w:rPr>
          <w:rFonts w:ascii="Arial" w:hAnsi="Arial" w:cs="Arial"/>
          <w:sz w:val="23"/>
          <w:szCs w:val="23"/>
        </w:rPr>
        <w:t>(n=15) seemed to have integrated NP into processes of service re-design.</w:t>
      </w:r>
    </w:p>
    <w:p w:rsidR="00A1658B" w:rsidRPr="00A84276" w:rsidRDefault="00A1658B" w:rsidP="00BB3B0A">
      <w:pPr>
        <w:autoSpaceDE w:val="0"/>
        <w:autoSpaceDN w:val="0"/>
        <w:adjustRightInd w:val="0"/>
        <w:spacing w:after="0" w:line="240" w:lineRule="auto"/>
        <w:rPr>
          <w:rFonts w:ascii="Arial" w:hAnsi="Arial" w:cs="Arial"/>
          <w:sz w:val="23"/>
          <w:szCs w:val="23"/>
        </w:rPr>
      </w:pPr>
    </w:p>
    <w:p w:rsidR="00BB3B0A" w:rsidRPr="00A84276" w:rsidRDefault="00BB3B0A" w:rsidP="005F09C3">
      <w:pPr>
        <w:autoSpaceDE w:val="0"/>
        <w:autoSpaceDN w:val="0"/>
        <w:adjustRightInd w:val="0"/>
        <w:spacing w:after="0" w:line="240" w:lineRule="auto"/>
        <w:ind w:left="720"/>
        <w:rPr>
          <w:rFonts w:ascii="Arial,Italic" w:hAnsi="Arial,Italic" w:cs="Arial,Italic"/>
          <w:i/>
          <w:iCs/>
          <w:sz w:val="23"/>
          <w:szCs w:val="23"/>
        </w:rPr>
      </w:pPr>
      <w:r w:rsidRPr="00A84276">
        <w:rPr>
          <w:rFonts w:ascii="Arial,Italic" w:hAnsi="Arial,Italic" w:cs="Arial,Italic"/>
          <w:i/>
          <w:iCs/>
          <w:sz w:val="23"/>
          <w:szCs w:val="23"/>
        </w:rPr>
        <w:t>‘We have a comprehensive programme of strategic business planning; as part</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of this, there is explicit requirement to consider new roles as part of strategic</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and business plans. NMP is specifically referenced as potential for new roles.’</w:t>
      </w:r>
    </w:p>
    <w:p w:rsidR="005F09C3" w:rsidRPr="00A84276" w:rsidRDefault="005F09C3" w:rsidP="005F09C3">
      <w:pPr>
        <w:autoSpaceDE w:val="0"/>
        <w:autoSpaceDN w:val="0"/>
        <w:adjustRightInd w:val="0"/>
        <w:spacing w:after="0" w:line="240" w:lineRule="auto"/>
        <w:ind w:left="720"/>
        <w:rPr>
          <w:rFonts w:ascii="Arial" w:hAnsi="Arial" w:cs="Arial"/>
          <w:sz w:val="23"/>
          <w:szCs w:val="23"/>
        </w:rPr>
      </w:pPr>
    </w:p>
    <w:p w:rsidR="00BB3B0A" w:rsidRPr="00A84276" w:rsidRDefault="00A1658B" w:rsidP="005F09C3">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In 5 other cases, the formal processes or policies related to governance and</w:t>
      </w:r>
      <w:r w:rsidR="005F09C3" w:rsidRPr="00A84276">
        <w:rPr>
          <w:rFonts w:ascii="Arial" w:hAnsi="Arial" w:cs="Arial"/>
          <w:sz w:val="23"/>
          <w:szCs w:val="23"/>
        </w:rPr>
        <w:t xml:space="preserve"> </w:t>
      </w:r>
      <w:r w:rsidRPr="00A84276">
        <w:rPr>
          <w:rFonts w:ascii="Arial" w:hAnsi="Arial" w:cs="Arial"/>
          <w:sz w:val="23"/>
          <w:szCs w:val="23"/>
        </w:rPr>
        <w:t>approval of individual candidates for training, rather than for actual NP roles; a</w:t>
      </w:r>
      <w:r w:rsidR="005F09C3" w:rsidRPr="00A84276">
        <w:rPr>
          <w:rFonts w:ascii="Arial" w:hAnsi="Arial" w:cs="Arial"/>
          <w:sz w:val="23"/>
          <w:szCs w:val="23"/>
        </w:rPr>
        <w:t xml:space="preserve"> </w:t>
      </w:r>
      <w:r w:rsidRPr="00A84276">
        <w:rPr>
          <w:rFonts w:ascii="Arial" w:hAnsi="Arial" w:cs="Arial"/>
          <w:sz w:val="23"/>
          <w:szCs w:val="23"/>
        </w:rPr>
        <w:t>further 3 respondents described a process driven by individual teams or services:</w:t>
      </w:r>
    </w:p>
    <w:p w:rsidR="005F09C3" w:rsidRPr="00A84276" w:rsidRDefault="005F09C3" w:rsidP="005F09C3">
      <w:pPr>
        <w:autoSpaceDE w:val="0"/>
        <w:autoSpaceDN w:val="0"/>
        <w:adjustRightInd w:val="0"/>
        <w:spacing w:after="0" w:line="240" w:lineRule="auto"/>
        <w:rPr>
          <w:rFonts w:ascii="Arial" w:hAnsi="Arial" w:cs="Arial"/>
          <w:sz w:val="23"/>
          <w:szCs w:val="23"/>
        </w:rPr>
      </w:pPr>
    </w:p>
    <w:p w:rsidR="00BB3B0A" w:rsidRPr="00A84276" w:rsidRDefault="00A1658B" w:rsidP="005F09C3">
      <w:pPr>
        <w:autoSpaceDE w:val="0"/>
        <w:autoSpaceDN w:val="0"/>
        <w:adjustRightInd w:val="0"/>
        <w:spacing w:after="0" w:line="240" w:lineRule="auto"/>
        <w:ind w:left="720"/>
        <w:rPr>
          <w:rFonts w:ascii="Arial,Italic" w:hAnsi="Arial,Italic" w:cs="Arial,Italic"/>
          <w:i/>
          <w:iCs/>
          <w:sz w:val="23"/>
          <w:szCs w:val="23"/>
        </w:rPr>
      </w:pPr>
      <w:r w:rsidRPr="00A84276">
        <w:rPr>
          <w:rFonts w:ascii="Arial,Italic" w:hAnsi="Arial,Italic" w:cs="Arial,Italic"/>
          <w:i/>
          <w:iCs/>
          <w:sz w:val="23"/>
          <w:szCs w:val="23"/>
        </w:rPr>
        <w:t xml:space="preserve">‘We have a number of </w:t>
      </w:r>
      <w:r w:rsidRPr="00A84276">
        <w:rPr>
          <w:rFonts w:ascii="Arial" w:hAnsi="Arial" w:cs="Arial"/>
          <w:sz w:val="23"/>
          <w:szCs w:val="23"/>
        </w:rPr>
        <w:t xml:space="preserve">[training] </w:t>
      </w:r>
      <w:r w:rsidRPr="00A84276">
        <w:rPr>
          <w:rFonts w:ascii="Arial,Italic" w:hAnsi="Arial,Italic" w:cs="Arial,Italic"/>
          <w:i/>
          <w:iCs/>
          <w:sz w:val="23"/>
          <w:szCs w:val="23"/>
        </w:rPr>
        <w:t>places and then a process whereby nurses</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are asked to identify: improvements in patients’ outcomes; impact on service</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delivery in terms of productivity &amp; efficiency.’</w:t>
      </w:r>
    </w:p>
    <w:p w:rsidR="005F09C3" w:rsidRPr="00A84276" w:rsidRDefault="005F09C3" w:rsidP="005F09C3">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Embedding NP roles</w:t>
      </w:r>
    </w:p>
    <w:p w:rsidR="00A1658B" w:rsidRPr="00A84276" w:rsidRDefault="00140400"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Over three-quarters</w:t>
      </w:r>
      <w:r w:rsidR="00A1658B" w:rsidRPr="00A84276">
        <w:rPr>
          <w:rFonts w:ascii="Arial" w:hAnsi="Arial" w:cs="Arial"/>
          <w:sz w:val="23"/>
          <w:szCs w:val="23"/>
        </w:rPr>
        <w:t xml:space="preserve"> of respondents (n=30, 77%) indicated that job descriptions were routinely</w:t>
      </w:r>
      <w:r w:rsidR="005F09C3" w:rsidRPr="00A84276">
        <w:rPr>
          <w:rFonts w:ascii="Arial" w:hAnsi="Arial" w:cs="Arial"/>
          <w:sz w:val="23"/>
          <w:szCs w:val="23"/>
        </w:rPr>
        <w:t xml:space="preserve"> </w:t>
      </w:r>
      <w:r w:rsidR="00A1658B" w:rsidRPr="00A84276">
        <w:rPr>
          <w:rFonts w:ascii="Arial" w:hAnsi="Arial" w:cs="Arial"/>
          <w:sz w:val="23"/>
          <w:szCs w:val="23"/>
        </w:rPr>
        <w:t xml:space="preserve">amended in their organisation to reflect NP practice in a role. However, </w:t>
      </w:r>
      <w:r w:rsidR="00FD468F" w:rsidRPr="00A84276">
        <w:rPr>
          <w:rFonts w:ascii="Arial" w:hAnsi="Arial" w:cs="Arial"/>
          <w:sz w:val="23"/>
          <w:szCs w:val="23"/>
        </w:rPr>
        <w:t xml:space="preserve">22 </w:t>
      </w:r>
      <w:r w:rsidR="00A1658B" w:rsidRPr="00A84276">
        <w:rPr>
          <w:rFonts w:ascii="Arial" w:hAnsi="Arial" w:cs="Arial"/>
          <w:sz w:val="23"/>
          <w:szCs w:val="23"/>
        </w:rPr>
        <w:t xml:space="preserve">organisations </w:t>
      </w:r>
      <w:r w:rsidR="00FD468F" w:rsidRPr="00A84276">
        <w:rPr>
          <w:rFonts w:ascii="Arial" w:hAnsi="Arial" w:cs="Arial"/>
          <w:sz w:val="23"/>
          <w:szCs w:val="23"/>
        </w:rPr>
        <w:t xml:space="preserve">(58% of respondents) </w:t>
      </w:r>
      <w:r w:rsidR="00A1658B" w:rsidRPr="00A84276">
        <w:rPr>
          <w:rFonts w:ascii="Arial" w:hAnsi="Arial" w:cs="Arial"/>
          <w:sz w:val="23"/>
          <w:szCs w:val="23"/>
        </w:rPr>
        <w:t>reported evaluating each case individually or only including NP</w:t>
      </w:r>
      <w:r w:rsidR="005F09C3" w:rsidRPr="00A84276">
        <w:rPr>
          <w:rFonts w:ascii="Arial" w:hAnsi="Arial" w:cs="Arial"/>
          <w:sz w:val="23"/>
          <w:szCs w:val="23"/>
        </w:rPr>
        <w:t xml:space="preserve"> </w:t>
      </w:r>
      <w:r w:rsidR="00A1658B" w:rsidRPr="00A84276">
        <w:rPr>
          <w:rFonts w:ascii="Arial" w:hAnsi="Arial" w:cs="Arial"/>
          <w:sz w:val="23"/>
          <w:szCs w:val="23"/>
        </w:rPr>
        <w:t>qualification as a desirable criterion when recruiting to a position vacated by a NP.</w:t>
      </w:r>
    </w:p>
    <w:p w:rsidR="00A1658B" w:rsidRPr="00A84276" w:rsidRDefault="00A1658B"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BoldItalic" w:hAnsi="Arial,BoldItalic" w:cs="Arial,BoldItalic"/>
          <w:b/>
          <w:bCs/>
          <w:i/>
          <w:iCs/>
          <w:sz w:val="23"/>
          <w:szCs w:val="23"/>
        </w:rPr>
      </w:pPr>
      <w:r w:rsidRPr="00A84276">
        <w:rPr>
          <w:rFonts w:ascii="Arial,BoldItalic" w:hAnsi="Arial,BoldItalic" w:cs="Arial,BoldItalic"/>
          <w:b/>
          <w:bCs/>
          <w:i/>
          <w:iCs/>
          <w:sz w:val="23"/>
          <w:szCs w:val="23"/>
        </w:rPr>
        <w:t>Governance</w:t>
      </w: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Non-medical Prescribing (NMP) Lead</w:t>
      </w: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All responding trusts had a senior staff member as NMP lead; post holders generally</w:t>
      </w:r>
      <w:r w:rsidR="005F09C3" w:rsidRPr="00A84276">
        <w:rPr>
          <w:rFonts w:ascii="Arial" w:hAnsi="Arial" w:cs="Arial"/>
          <w:sz w:val="23"/>
          <w:szCs w:val="23"/>
        </w:rPr>
        <w:t xml:space="preserve"> </w:t>
      </w:r>
      <w:r w:rsidRPr="00A84276">
        <w:rPr>
          <w:rFonts w:ascii="Arial" w:hAnsi="Arial" w:cs="Arial"/>
          <w:sz w:val="23"/>
          <w:szCs w:val="23"/>
        </w:rPr>
        <w:t>had a nursing background, excepting four instances where the role was held by</w:t>
      </w:r>
      <w:r w:rsidR="005F09C3" w:rsidRPr="00A84276">
        <w:rPr>
          <w:rFonts w:ascii="Arial" w:hAnsi="Arial" w:cs="Arial"/>
          <w:sz w:val="23"/>
          <w:szCs w:val="23"/>
        </w:rPr>
        <w:t xml:space="preserve"> </w:t>
      </w:r>
      <w:r w:rsidRPr="00A84276">
        <w:rPr>
          <w:rFonts w:ascii="Arial" w:hAnsi="Arial" w:cs="Arial"/>
          <w:sz w:val="23"/>
          <w:szCs w:val="23"/>
        </w:rPr>
        <w:t>pharmacists. The majority of NMP leads (62%</w:t>
      </w:r>
      <w:r w:rsidR="00422D52" w:rsidRPr="00A84276">
        <w:rPr>
          <w:rFonts w:ascii="Arial" w:hAnsi="Arial" w:cs="Arial"/>
          <w:sz w:val="23"/>
          <w:szCs w:val="23"/>
        </w:rPr>
        <w:t>, n=24</w:t>
      </w:r>
      <w:r w:rsidRPr="00A84276">
        <w:rPr>
          <w:rFonts w:ascii="Arial" w:hAnsi="Arial" w:cs="Arial"/>
          <w:sz w:val="23"/>
          <w:szCs w:val="23"/>
        </w:rPr>
        <w:t>) dedicate less than 1 day a week to</w:t>
      </w:r>
      <w:r w:rsidR="005F09C3" w:rsidRPr="00A84276">
        <w:rPr>
          <w:rFonts w:ascii="Arial" w:hAnsi="Arial" w:cs="Arial"/>
          <w:sz w:val="23"/>
          <w:szCs w:val="23"/>
        </w:rPr>
        <w:t xml:space="preserve"> </w:t>
      </w:r>
      <w:r w:rsidRPr="00A84276">
        <w:rPr>
          <w:rFonts w:ascii="Arial" w:hAnsi="Arial" w:cs="Arial"/>
          <w:sz w:val="23"/>
          <w:szCs w:val="23"/>
        </w:rPr>
        <w:t>the role; the role is full-time in two trusts.</w:t>
      </w:r>
    </w:p>
    <w:p w:rsidR="005F09C3" w:rsidRPr="00A84276" w:rsidRDefault="005F09C3"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Register</w:t>
      </w: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All trusts reported having a local NP register but the amount of information kept by</w:t>
      </w:r>
      <w:r w:rsidR="005F09C3" w:rsidRPr="00A84276">
        <w:rPr>
          <w:rFonts w:ascii="Arial" w:hAnsi="Arial" w:cs="Arial"/>
          <w:sz w:val="23"/>
          <w:szCs w:val="23"/>
        </w:rPr>
        <w:t xml:space="preserve"> </w:t>
      </w:r>
      <w:r w:rsidRPr="00A84276">
        <w:rPr>
          <w:rFonts w:ascii="Arial" w:hAnsi="Arial" w:cs="Arial"/>
          <w:sz w:val="23"/>
          <w:szCs w:val="23"/>
        </w:rPr>
        <w:t>each organi</w:t>
      </w:r>
      <w:r w:rsidR="00837510" w:rsidRPr="00A84276">
        <w:rPr>
          <w:rFonts w:ascii="Arial" w:hAnsi="Arial" w:cs="Arial"/>
          <w:sz w:val="23"/>
          <w:szCs w:val="23"/>
        </w:rPr>
        <w:t>s</w:t>
      </w:r>
      <w:r w:rsidRPr="00A84276">
        <w:rPr>
          <w:rFonts w:ascii="Arial" w:hAnsi="Arial" w:cs="Arial"/>
          <w:sz w:val="23"/>
          <w:szCs w:val="23"/>
        </w:rPr>
        <w:t>ation varied</w:t>
      </w:r>
      <w:r w:rsidR="00DF5D3F" w:rsidRPr="00A84276">
        <w:rPr>
          <w:rFonts w:ascii="Arial" w:hAnsi="Arial" w:cs="Arial"/>
          <w:sz w:val="23"/>
          <w:szCs w:val="23"/>
        </w:rPr>
        <w:t xml:space="preserve"> widely</w:t>
      </w:r>
      <w:r w:rsidRPr="00A84276">
        <w:rPr>
          <w:rFonts w:ascii="Arial" w:hAnsi="Arial" w:cs="Arial"/>
          <w:sz w:val="23"/>
          <w:szCs w:val="23"/>
        </w:rPr>
        <w:t>. The most complex registers included</w:t>
      </w:r>
      <w:r w:rsidR="005F09C3" w:rsidRPr="00A84276">
        <w:rPr>
          <w:rFonts w:ascii="Arial" w:hAnsi="Arial" w:cs="Arial"/>
          <w:sz w:val="23"/>
          <w:szCs w:val="23"/>
        </w:rPr>
        <w:t xml:space="preserve"> </w:t>
      </w:r>
      <w:r w:rsidRPr="00A84276">
        <w:rPr>
          <w:rFonts w:ascii="Arial" w:hAnsi="Arial" w:cs="Arial"/>
          <w:sz w:val="23"/>
          <w:szCs w:val="23"/>
        </w:rPr>
        <w:t>detailed information about qualifications, professional registration, continued</w:t>
      </w:r>
      <w:r w:rsidR="005F09C3" w:rsidRPr="00A84276">
        <w:rPr>
          <w:rFonts w:ascii="Arial" w:hAnsi="Arial" w:cs="Arial"/>
          <w:sz w:val="23"/>
          <w:szCs w:val="23"/>
        </w:rPr>
        <w:t xml:space="preserve"> </w:t>
      </w:r>
      <w:r w:rsidRPr="00A84276">
        <w:rPr>
          <w:rFonts w:ascii="Arial" w:hAnsi="Arial" w:cs="Arial"/>
          <w:sz w:val="23"/>
          <w:szCs w:val="23"/>
        </w:rPr>
        <w:t>professional development (CPD), access to support and supervision, scope of</w:t>
      </w:r>
      <w:r w:rsidR="005F09C3" w:rsidRPr="00A84276">
        <w:rPr>
          <w:rFonts w:ascii="Arial" w:hAnsi="Arial" w:cs="Arial"/>
          <w:sz w:val="23"/>
          <w:szCs w:val="23"/>
        </w:rPr>
        <w:t xml:space="preserve"> </w:t>
      </w:r>
      <w:r w:rsidRPr="00A84276">
        <w:rPr>
          <w:rFonts w:ascii="Arial" w:hAnsi="Arial" w:cs="Arial"/>
          <w:sz w:val="23"/>
          <w:szCs w:val="23"/>
        </w:rPr>
        <w:t>practice, portfolio and audit of practice.</w:t>
      </w:r>
    </w:p>
    <w:p w:rsidR="005F09C3" w:rsidRPr="00A84276" w:rsidRDefault="005F09C3" w:rsidP="00A1658B">
      <w:pPr>
        <w:autoSpaceDE w:val="0"/>
        <w:autoSpaceDN w:val="0"/>
        <w:adjustRightInd w:val="0"/>
        <w:spacing w:after="0" w:line="240" w:lineRule="auto"/>
        <w:rPr>
          <w:rFonts w:ascii="Arial" w:hAnsi="Arial" w:cs="Arial"/>
          <w:sz w:val="23"/>
          <w:szCs w:val="23"/>
        </w:rPr>
      </w:pPr>
    </w:p>
    <w:p w:rsidR="00BB3B0A" w:rsidRPr="00A84276" w:rsidRDefault="00A1658B" w:rsidP="005F09C3">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Criteria to remain on local registers are extremely varied. Five organisations</w:t>
      </w:r>
      <w:r w:rsidR="005F09C3" w:rsidRPr="00A84276">
        <w:rPr>
          <w:rFonts w:ascii="Arial" w:hAnsi="Arial" w:cs="Arial"/>
          <w:sz w:val="23"/>
          <w:szCs w:val="23"/>
        </w:rPr>
        <w:t xml:space="preserve"> </w:t>
      </w:r>
      <w:r w:rsidRPr="00A84276">
        <w:rPr>
          <w:rFonts w:ascii="Arial" w:hAnsi="Arial" w:cs="Arial"/>
          <w:sz w:val="23"/>
          <w:szCs w:val="23"/>
        </w:rPr>
        <w:t>provided no information at all, which may reflect a lack of clarity in this area. The</w:t>
      </w:r>
      <w:r w:rsidR="005F09C3" w:rsidRPr="00A84276">
        <w:rPr>
          <w:rFonts w:ascii="Arial" w:hAnsi="Arial" w:cs="Arial"/>
          <w:sz w:val="23"/>
          <w:szCs w:val="23"/>
        </w:rPr>
        <w:t xml:space="preserve"> </w:t>
      </w:r>
      <w:r w:rsidRPr="00A84276">
        <w:rPr>
          <w:rFonts w:ascii="Arial" w:hAnsi="Arial" w:cs="Arial"/>
          <w:sz w:val="23"/>
          <w:szCs w:val="23"/>
        </w:rPr>
        <w:t>lowest requirements for remaining on the register were described by 3 respondents</w:t>
      </w:r>
      <w:r w:rsidR="005F09C3" w:rsidRPr="00A84276">
        <w:rPr>
          <w:rFonts w:ascii="Arial" w:hAnsi="Arial" w:cs="Arial"/>
          <w:sz w:val="23"/>
          <w:szCs w:val="23"/>
        </w:rPr>
        <w:t xml:space="preserve"> </w:t>
      </w:r>
      <w:r w:rsidRPr="00A84276">
        <w:rPr>
          <w:rFonts w:ascii="Arial" w:hAnsi="Arial" w:cs="Arial"/>
          <w:sz w:val="23"/>
          <w:szCs w:val="23"/>
        </w:rPr>
        <w:t>who indicated that staff would remain on the register as long as they are employed</w:t>
      </w:r>
      <w:r w:rsidR="005F09C3" w:rsidRPr="00A84276">
        <w:rPr>
          <w:rFonts w:ascii="Arial" w:hAnsi="Arial" w:cs="Arial"/>
          <w:sz w:val="23"/>
          <w:szCs w:val="23"/>
        </w:rPr>
        <w:t xml:space="preserve"> </w:t>
      </w:r>
      <w:r w:rsidRPr="00A84276">
        <w:rPr>
          <w:rFonts w:ascii="Arial" w:hAnsi="Arial" w:cs="Arial"/>
          <w:sz w:val="23"/>
          <w:szCs w:val="23"/>
        </w:rPr>
        <w:t>by the Trust; a further 5 respondents indicated that staff only need to be currently</w:t>
      </w:r>
      <w:r w:rsidR="005F09C3" w:rsidRPr="00A84276">
        <w:rPr>
          <w:rFonts w:ascii="Arial" w:hAnsi="Arial" w:cs="Arial"/>
          <w:sz w:val="23"/>
          <w:szCs w:val="23"/>
        </w:rPr>
        <w:t xml:space="preserve"> </w:t>
      </w:r>
      <w:r w:rsidRPr="00A84276">
        <w:rPr>
          <w:rFonts w:ascii="Arial" w:hAnsi="Arial" w:cs="Arial"/>
          <w:sz w:val="23"/>
          <w:szCs w:val="23"/>
        </w:rPr>
        <w:t>prescribing in order to maintain their registration. The remaining 26 organisations</w:t>
      </w:r>
      <w:r w:rsidR="005F09C3" w:rsidRPr="00A84276">
        <w:rPr>
          <w:rFonts w:ascii="Arial" w:hAnsi="Arial" w:cs="Arial"/>
          <w:sz w:val="23"/>
          <w:szCs w:val="23"/>
        </w:rPr>
        <w:t xml:space="preserve"> </w:t>
      </w:r>
      <w:r w:rsidRPr="00A84276">
        <w:rPr>
          <w:rFonts w:ascii="Arial" w:hAnsi="Arial" w:cs="Arial"/>
          <w:sz w:val="23"/>
          <w:szCs w:val="23"/>
        </w:rPr>
        <w:t>use various combinations of criteria (Table 4); CPD was the most common criteria,</w:t>
      </w:r>
      <w:r w:rsidR="005F09C3" w:rsidRPr="00A84276">
        <w:rPr>
          <w:rFonts w:ascii="Arial" w:hAnsi="Arial" w:cs="Arial"/>
          <w:sz w:val="23"/>
          <w:szCs w:val="23"/>
        </w:rPr>
        <w:t xml:space="preserve"> </w:t>
      </w:r>
      <w:r w:rsidRPr="00A84276">
        <w:rPr>
          <w:rFonts w:ascii="Arial" w:hAnsi="Arial" w:cs="Arial"/>
          <w:sz w:val="23"/>
          <w:szCs w:val="23"/>
        </w:rPr>
        <w:t>and requirements varied from ‘</w:t>
      </w:r>
      <w:r w:rsidRPr="00A84276">
        <w:rPr>
          <w:rFonts w:ascii="Arial,Italic" w:hAnsi="Arial,Italic" w:cs="Arial,Italic"/>
          <w:i/>
          <w:iCs/>
          <w:sz w:val="23"/>
          <w:szCs w:val="23"/>
        </w:rPr>
        <w:t>evidence of CPD</w:t>
      </w:r>
      <w:r w:rsidRPr="00A84276">
        <w:rPr>
          <w:rFonts w:ascii="Arial" w:hAnsi="Arial" w:cs="Arial"/>
          <w:sz w:val="23"/>
          <w:szCs w:val="23"/>
        </w:rPr>
        <w:t>’ to more clearly defined standards</w:t>
      </w:r>
      <w:r w:rsidR="005F09C3" w:rsidRPr="00A84276">
        <w:rPr>
          <w:rFonts w:ascii="Arial" w:hAnsi="Arial" w:cs="Arial"/>
          <w:sz w:val="23"/>
          <w:szCs w:val="23"/>
        </w:rPr>
        <w:t xml:space="preserve"> </w:t>
      </w:r>
      <w:r w:rsidRPr="00A84276">
        <w:rPr>
          <w:rFonts w:ascii="Arial" w:hAnsi="Arial" w:cs="Arial"/>
          <w:sz w:val="23"/>
          <w:szCs w:val="23"/>
        </w:rPr>
        <w:t>such as ‘</w:t>
      </w:r>
      <w:r w:rsidRPr="00A84276">
        <w:rPr>
          <w:rFonts w:ascii="Arial,Italic" w:hAnsi="Arial,Italic" w:cs="Arial,Italic"/>
          <w:i/>
          <w:iCs/>
          <w:sz w:val="23"/>
          <w:szCs w:val="23"/>
        </w:rPr>
        <w:t>attendance to at least two approved events</w:t>
      </w:r>
      <w:r w:rsidRPr="00A84276">
        <w:rPr>
          <w:rFonts w:ascii="Arial" w:hAnsi="Arial" w:cs="Arial"/>
          <w:sz w:val="23"/>
          <w:szCs w:val="23"/>
        </w:rPr>
        <w:t>’ or ‘</w:t>
      </w:r>
      <w:r w:rsidRPr="00A84276">
        <w:rPr>
          <w:rFonts w:ascii="Arial,Italic" w:hAnsi="Arial,Italic" w:cs="Arial,Italic"/>
          <w:i/>
          <w:iCs/>
          <w:sz w:val="23"/>
          <w:szCs w:val="23"/>
        </w:rPr>
        <w:t>a minimum of 12</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hours/year</w:t>
      </w:r>
      <w:r w:rsidRPr="00A84276">
        <w:rPr>
          <w:rFonts w:ascii="Arial" w:hAnsi="Arial" w:cs="Arial"/>
          <w:sz w:val="23"/>
          <w:szCs w:val="23"/>
        </w:rPr>
        <w:t>’.</w:t>
      </w:r>
    </w:p>
    <w:p w:rsidR="005F09C3" w:rsidRPr="00A84276" w:rsidRDefault="005F09C3" w:rsidP="005F09C3">
      <w:pPr>
        <w:autoSpaceDE w:val="0"/>
        <w:autoSpaceDN w:val="0"/>
        <w:adjustRightInd w:val="0"/>
        <w:spacing w:after="0" w:line="240" w:lineRule="auto"/>
        <w:rPr>
          <w:rFonts w:ascii="Arial" w:hAnsi="Arial" w:cs="Arial"/>
          <w:sz w:val="23"/>
          <w:szCs w:val="23"/>
        </w:rPr>
      </w:pPr>
    </w:p>
    <w:p w:rsidR="00BB3B0A" w:rsidRPr="00A84276" w:rsidRDefault="00A1658B" w:rsidP="005F09C3">
      <w:pPr>
        <w:jc w:val="center"/>
        <w:rPr>
          <w:rFonts w:ascii="Arial" w:hAnsi="Arial" w:cs="Arial"/>
          <w:sz w:val="23"/>
          <w:szCs w:val="23"/>
        </w:rPr>
      </w:pPr>
      <w:r w:rsidRPr="00A84276">
        <w:rPr>
          <w:rFonts w:ascii="Arial" w:hAnsi="Arial" w:cs="Arial"/>
          <w:sz w:val="23"/>
          <w:szCs w:val="23"/>
        </w:rPr>
        <w:lastRenderedPageBreak/>
        <w:t>[Table 4 here]</w:t>
      </w:r>
    </w:p>
    <w:p w:rsidR="005F09C3" w:rsidRPr="00A84276" w:rsidRDefault="005F09C3" w:rsidP="005F09C3">
      <w:pPr>
        <w:jc w:val="center"/>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Terminology issues</w:t>
      </w:r>
    </w:p>
    <w:p w:rsidR="005F09C3"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Fifteen respondents indicated that the </w:t>
      </w:r>
      <w:r w:rsidRPr="00A84276">
        <w:rPr>
          <w:rFonts w:ascii="Arial,Italic" w:hAnsi="Arial,Italic" w:cs="Arial,Italic"/>
          <w:i/>
          <w:iCs/>
          <w:sz w:val="23"/>
          <w:szCs w:val="23"/>
        </w:rPr>
        <w:t xml:space="preserve">active status </w:t>
      </w:r>
      <w:r w:rsidRPr="00A84276">
        <w:rPr>
          <w:rFonts w:ascii="Arial" w:hAnsi="Arial" w:cs="Arial"/>
          <w:sz w:val="23"/>
          <w:szCs w:val="23"/>
        </w:rPr>
        <w:t>of each NP was either recorded</w:t>
      </w:r>
      <w:r w:rsidR="005F09C3" w:rsidRPr="00A84276">
        <w:rPr>
          <w:rFonts w:ascii="Arial" w:hAnsi="Arial" w:cs="Arial"/>
          <w:sz w:val="23"/>
          <w:szCs w:val="23"/>
        </w:rPr>
        <w:t xml:space="preserve"> </w:t>
      </w:r>
      <w:r w:rsidRPr="00A84276">
        <w:rPr>
          <w:rFonts w:ascii="Arial" w:hAnsi="Arial" w:cs="Arial"/>
          <w:sz w:val="23"/>
          <w:szCs w:val="23"/>
        </w:rPr>
        <w:t>on the register or used as a criterion for remaining on the register. Overall, 21</w:t>
      </w:r>
      <w:r w:rsidR="005F09C3" w:rsidRPr="00A84276">
        <w:rPr>
          <w:rFonts w:ascii="Arial" w:hAnsi="Arial" w:cs="Arial"/>
          <w:sz w:val="23"/>
          <w:szCs w:val="23"/>
        </w:rPr>
        <w:t xml:space="preserve"> </w:t>
      </w:r>
      <w:r w:rsidRPr="00A84276">
        <w:rPr>
          <w:rFonts w:ascii="Arial" w:hAnsi="Arial" w:cs="Arial"/>
          <w:sz w:val="23"/>
          <w:szCs w:val="23"/>
        </w:rPr>
        <w:t xml:space="preserve">respondents indicated that their organisation had an operational definition of </w:t>
      </w:r>
      <w:r w:rsidRPr="00A84276">
        <w:rPr>
          <w:rFonts w:ascii="Arial,Italic" w:hAnsi="Arial,Italic" w:cs="Arial,Italic"/>
          <w:i/>
          <w:iCs/>
          <w:sz w:val="23"/>
          <w:szCs w:val="23"/>
        </w:rPr>
        <w:t>active</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 xml:space="preserve">prescriber </w:t>
      </w:r>
      <w:r w:rsidRPr="00A84276">
        <w:rPr>
          <w:rFonts w:ascii="Arial" w:hAnsi="Arial" w:cs="Arial"/>
          <w:sz w:val="23"/>
          <w:szCs w:val="23"/>
        </w:rPr>
        <w:t>but only 5 provided a clearly operationalised definition.</w:t>
      </w:r>
      <w:r w:rsidR="005F09C3" w:rsidRPr="00A84276">
        <w:rPr>
          <w:rFonts w:ascii="Arial" w:hAnsi="Arial" w:cs="Arial"/>
          <w:sz w:val="23"/>
          <w:szCs w:val="23"/>
        </w:rPr>
        <w:t xml:space="preserve"> </w:t>
      </w:r>
    </w:p>
    <w:p w:rsidR="005F09C3" w:rsidRPr="00A84276" w:rsidRDefault="005F09C3" w:rsidP="00A1658B">
      <w:pPr>
        <w:autoSpaceDE w:val="0"/>
        <w:autoSpaceDN w:val="0"/>
        <w:adjustRightInd w:val="0"/>
        <w:spacing w:after="0" w:line="240" w:lineRule="auto"/>
        <w:rPr>
          <w:rFonts w:ascii="Arial" w:hAnsi="Arial" w:cs="Arial"/>
          <w:sz w:val="23"/>
          <w:szCs w:val="23"/>
        </w:rPr>
      </w:pPr>
    </w:p>
    <w:p w:rsidR="00A1658B" w:rsidRPr="00A84276" w:rsidRDefault="00A1658B" w:rsidP="005F09C3">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All 5 definitions were based on writing at least one prescription over a specific</w:t>
      </w:r>
      <w:r w:rsidR="005F09C3" w:rsidRPr="00A84276">
        <w:rPr>
          <w:rFonts w:ascii="Arial" w:hAnsi="Arial" w:cs="Arial"/>
          <w:sz w:val="23"/>
          <w:szCs w:val="23"/>
        </w:rPr>
        <w:t xml:space="preserve"> </w:t>
      </w:r>
      <w:r w:rsidRPr="00A84276">
        <w:rPr>
          <w:rFonts w:ascii="Arial" w:hAnsi="Arial" w:cs="Arial"/>
          <w:sz w:val="23"/>
          <w:szCs w:val="23"/>
        </w:rPr>
        <w:t>period of time (once every 3 months, n=2; every 12 months, n=1; monthly, n=1; or</w:t>
      </w:r>
      <w:r w:rsidR="005F09C3" w:rsidRPr="00A84276">
        <w:rPr>
          <w:rFonts w:ascii="Arial" w:hAnsi="Arial" w:cs="Arial"/>
          <w:sz w:val="23"/>
          <w:szCs w:val="23"/>
        </w:rPr>
        <w:t xml:space="preserve"> </w:t>
      </w:r>
      <w:r w:rsidRPr="00A84276">
        <w:rPr>
          <w:rFonts w:ascii="Arial" w:hAnsi="Arial" w:cs="Arial"/>
          <w:sz w:val="23"/>
          <w:szCs w:val="23"/>
        </w:rPr>
        <w:t>weekly, n=1). Two other respondents specified that providing advice and guidance</w:t>
      </w:r>
      <w:r w:rsidR="005F09C3" w:rsidRPr="00A84276">
        <w:rPr>
          <w:rFonts w:ascii="Arial" w:hAnsi="Arial" w:cs="Arial"/>
          <w:sz w:val="23"/>
          <w:szCs w:val="23"/>
        </w:rPr>
        <w:t xml:space="preserve"> </w:t>
      </w:r>
      <w:r w:rsidRPr="00A84276">
        <w:rPr>
          <w:rFonts w:ascii="Arial" w:hAnsi="Arial" w:cs="Arial"/>
          <w:sz w:val="23"/>
          <w:szCs w:val="23"/>
        </w:rPr>
        <w:t>could be considered as active prescribing.</w:t>
      </w:r>
    </w:p>
    <w:p w:rsidR="005F09C3" w:rsidRPr="00A84276" w:rsidRDefault="005F09C3" w:rsidP="005F09C3">
      <w:pPr>
        <w:autoSpaceDE w:val="0"/>
        <w:autoSpaceDN w:val="0"/>
        <w:adjustRightInd w:val="0"/>
        <w:spacing w:after="0" w:line="240" w:lineRule="auto"/>
        <w:rPr>
          <w:rFonts w:ascii="Arial" w:hAnsi="Arial" w:cs="Arial"/>
          <w:sz w:val="23"/>
          <w:szCs w:val="23"/>
        </w:rPr>
      </w:pPr>
    </w:p>
    <w:p w:rsidR="00A1658B" w:rsidRPr="00A84276" w:rsidRDefault="00A1658B" w:rsidP="005F09C3">
      <w:pPr>
        <w:autoSpaceDE w:val="0"/>
        <w:autoSpaceDN w:val="0"/>
        <w:adjustRightInd w:val="0"/>
        <w:spacing w:after="0" w:line="240" w:lineRule="auto"/>
        <w:ind w:left="720"/>
        <w:rPr>
          <w:rFonts w:ascii="Arial,Italic" w:hAnsi="Arial,Italic" w:cs="Arial,Italic"/>
          <w:i/>
          <w:iCs/>
          <w:sz w:val="23"/>
          <w:szCs w:val="23"/>
        </w:rPr>
      </w:pPr>
      <w:r w:rsidRPr="00A84276">
        <w:rPr>
          <w:rFonts w:ascii="Arial,Italic" w:hAnsi="Arial,Italic" w:cs="Arial,Italic"/>
          <w:i/>
          <w:iCs/>
          <w:sz w:val="23"/>
          <w:szCs w:val="23"/>
        </w:rPr>
        <w:t>‘Where no prescription has occurred they must supply evidence of how they</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are continuing to use their prescribing skills and knowledge.’</w:t>
      </w:r>
    </w:p>
    <w:p w:rsidR="005F09C3" w:rsidRPr="00A84276" w:rsidRDefault="005F09C3" w:rsidP="005F09C3">
      <w:pPr>
        <w:autoSpaceDE w:val="0"/>
        <w:autoSpaceDN w:val="0"/>
        <w:adjustRightInd w:val="0"/>
        <w:spacing w:after="0" w:line="240" w:lineRule="auto"/>
        <w:ind w:left="720"/>
        <w:rPr>
          <w:rFonts w:ascii="Arial,Italic" w:hAnsi="Arial,Italic" w:cs="Arial,Italic"/>
          <w:i/>
          <w:iCs/>
          <w:sz w:val="23"/>
          <w:szCs w:val="23"/>
        </w:rPr>
      </w:pPr>
    </w:p>
    <w:p w:rsidR="00A1658B" w:rsidRPr="00A84276" w:rsidRDefault="00A1658B" w:rsidP="005F09C3">
      <w:pPr>
        <w:autoSpaceDE w:val="0"/>
        <w:autoSpaceDN w:val="0"/>
        <w:adjustRightInd w:val="0"/>
        <w:spacing w:after="0" w:line="240" w:lineRule="auto"/>
        <w:ind w:left="720"/>
        <w:rPr>
          <w:rFonts w:ascii="Arial,Italic" w:hAnsi="Arial,Italic" w:cs="Arial,Italic"/>
          <w:i/>
          <w:iCs/>
          <w:sz w:val="23"/>
          <w:szCs w:val="23"/>
        </w:rPr>
      </w:pPr>
      <w:r w:rsidRPr="00A84276">
        <w:rPr>
          <w:rFonts w:ascii="Arial,Italic" w:hAnsi="Arial,Italic" w:cs="Arial,Italic"/>
          <w:i/>
          <w:iCs/>
          <w:sz w:val="23"/>
          <w:szCs w:val="23"/>
        </w:rPr>
        <w:t>‘Not written in any policy but an understanding that advice and guidance given</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in a change of prescription can be seen as active prescribing; does not always</w:t>
      </w:r>
      <w:r w:rsidR="005F09C3" w:rsidRPr="00A84276">
        <w:rPr>
          <w:rFonts w:ascii="Arial,Italic" w:hAnsi="Arial,Italic" w:cs="Arial,Italic"/>
          <w:i/>
          <w:iCs/>
          <w:sz w:val="23"/>
          <w:szCs w:val="23"/>
        </w:rPr>
        <w:t xml:space="preserve"> </w:t>
      </w:r>
      <w:r w:rsidRPr="00A84276">
        <w:rPr>
          <w:rFonts w:ascii="Arial,Italic" w:hAnsi="Arial,Italic" w:cs="Arial,Italic"/>
          <w:i/>
          <w:iCs/>
          <w:sz w:val="23"/>
          <w:szCs w:val="23"/>
        </w:rPr>
        <w:t>involve putting pen to paper.’</w:t>
      </w:r>
    </w:p>
    <w:p w:rsidR="005F09C3" w:rsidRPr="00A84276" w:rsidRDefault="005F09C3" w:rsidP="005F09C3">
      <w:pPr>
        <w:pStyle w:val="ListParagraph"/>
        <w:rPr>
          <w:rFonts w:ascii="Arial,Italic" w:hAnsi="Arial,Italic" w:cs="Arial,Italic"/>
          <w:i/>
          <w:iCs/>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Out of the 5 organisations stating that being an active prescriber was the unique</w:t>
      </w:r>
      <w:r w:rsidR="00685560" w:rsidRPr="00A84276">
        <w:rPr>
          <w:rFonts w:ascii="Arial" w:hAnsi="Arial" w:cs="Arial"/>
          <w:sz w:val="23"/>
          <w:szCs w:val="23"/>
        </w:rPr>
        <w:t xml:space="preserve"> </w:t>
      </w:r>
      <w:r w:rsidRPr="00A84276">
        <w:rPr>
          <w:rFonts w:ascii="Arial" w:hAnsi="Arial" w:cs="Arial"/>
          <w:sz w:val="23"/>
          <w:szCs w:val="23"/>
        </w:rPr>
        <w:t>criteria for remaining on the local register, only 2 had a clearly operationalised</w:t>
      </w:r>
      <w:r w:rsidR="00685560" w:rsidRPr="00A84276">
        <w:rPr>
          <w:rFonts w:ascii="Arial" w:hAnsi="Arial" w:cs="Arial"/>
          <w:sz w:val="23"/>
          <w:szCs w:val="23"/>
        </w:rPr>
        <w:t xml:space="preserve"> </w:t>
      </w:r>
      <w:r w:rsidRPr="00A84276">
        <w:rPr>
          <w:rFonts w:ascii="Arial" w:hAnsi="Arial" w:cs="Arial"/>
          <w:sz w:val="23"/>
          <w:szCs w:val="23"/>
        </w:rPr>
        <w:t xml:space="preserve">definition of </w:t>
      </w:r>
      <w:r w:rsidRPr="00A84276">
        <w:rPr>
          <w:rFonts w:ascii="Arial,Italic" w:hAnsi="Arial,Italic" w:cs="Arial,Italic"/>
          <w:i/>
          <w:iCs/>
          <w:sz w:val="23"/>
          <w:szCs w:val="23"/>
        </w:rPr>
        <w:t>active prescribing</w:t>
      </w:r>
      <w:r w:rsidRPr="00A84276">
        <w:rPr>
          <w:rFonts w:ascii="Arial" w:hAnsi="Arial" w:cs="Arial"/>
          <w:sz w:val="23"/>
          <w:szCs w:val="23"/>
        </w:rPr>
        <w:t>. The other 3 described a somewhat circular argument</w:t>
      </w:r>
      <w:r w:rsidR="00685560" w:rsidRPr="00A84276">
        <w:rPr>
          <w:rFonts w:ascii="Arial" w:hAnsi="Arial" w:cs="Arial"/>
          <w:sz w:val="23"/>
          <w:szCs w:val="23"/>
        </w:rPr>
        <w:t xml:space="preserve"> </w:t>
      </w:r>
      <w:r w:rsidRPr="00A84276">
        <w:rPr>
          <w:rFonts w:ascii="Arial" w:hAnsi="Arial" w:cs="Arial"/>
          <w:sz w:val="23"/>
          <w:szCs w:val="23"/>
        </w:rPr>
        <w:t>by defining an active prescriber as someone who is on the register whilst also</w:t>
      </w:r>
      <w:r w:rsidR="00685560" w:rsidRPr="00A84276">
        <w:rPr>
          <w:rFonts w:ascii="Arial" w:hAnsi="Arial" w:cs="Arial"/>
          <w:sz w:val="23"/>
          <w:szCs w:val="23"/>
        </w:rPr>
        <w:t xml:space="preserve"> </w:t>
      </w:r>
      <w:r w:rsidRPr="00A84276">
        <w:rPr>
          <w:rFonts w:ascii="Arial" w:hAnsi="Arial" w:cs="Arial"/>
          <w:sz w:val="23"/>
          <w:szCs w:val="23"/>
        </w:rPr>
        <w:t>requiring to be actively prescribing in order to be on the register.</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BoldItalic" w:hAnsi="Arial,BoldItalic" w:cs="Arial,BoldItalic"/>
          <w:b/>
          <w:bCs/>
          <w:i/>
          <w:iCs/>
          <w:sz w:val="23"/>
          <w:szCs w:val="23"/>
        </w:rPr>
      </w:pPr>
      <w:r w:rsidRPr="00A84276">
        <w:rPr>
          <w:rFonts w:ascii="Arial,BoldItalic" w:hAnsi="Arial,BoldItalic" w:cs="Arial,BoldItalic"/>
          <w:b/>
          <w:bCs/>
          <w:i/>
          <w:iCs/>
          <w:sz w:val="23"/>
          <w:szCs w:val="23"/>
        </w:rPr>
        <w:t>Workforce development</w:t>
      </w: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Identifying and selecting candidates for NP training</w:t>
      </w: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Several Trusts have set additional training requirements before allowing candidates</w:t>
      </w:r>
      <w:r w:rsidR="00685560" w:rsidRPr="00A84276">
        <w:rPr>
          <w:rFonts w:ascii="Arial" w:hAnsi="Arial" w:cs="Arial"/>
          <w:sz w:val="23"/>
          <w:szCs w:val="23"/>
        </w:rPr>
        <w:t xml:space="preserve"> </w:t>
      </w:r>
      <w:r w:rsidRPr="00A84276">
        <w:rPr>
          <w:rFonts w:ascii="Arial" w:hAnsi="Arial" w:cs="Arial"/>
          <w:sz w:val="23"/>
          <w:szCs w:val="23"/>
        </w:rPr>
        <w:t>to undertake NP training; such training includes: medication management (n=4),</w:t>
      </w:r>
      <w:r w:rsidR="00685560" w:rsidRPr="00A84276">
        <w:rPr>
          <w:rFonts w:ascii="Arial" w:hAnsi="Arial" w:cs="Arial"/>
          <w:sz w:val="23"/>
          <w:szCs w:val="23"/>
        </w:rPr>
        <w:t xml:space="preserve"> </w:t>
      </w:r>
      <w:r w:rsidRPr="00A84276">
        <w:rPr>
          <w:rFonts w:ascii="Arial" w:hAnsi="Arial" w:cs="Arial"/>
          <w:sz w:val="23"/>
          <w:szCs w:val="23"/>
        </w:rPr>
        <w:t>diagnosis and assessment (n=3), numeracy skills (n=4), psycho pharmacology</w:t>
      </w:r>
      <w:r w:rsidR="00685560" w:rsidRPr="00A84276">
        <w:rPr>
          <w:rFonts w:ascii="Arial" w:hAnsi="Arial" w:cs="Arial"/>
          <w:sz w:val="23"/>
          <w:szCs w:val="23"/>
        </w:rPr>
        <w:t xml:space="preserve"> </w:t>
      </w:r>
      <w:r w:rsidRPr="00A84276">
        <w:rPr>
          <w:rFonts w:ascii="Arial" w:hAnsi="Arial" w:cs="Arial"/>
          <w:sz w:val="23"/>
          <w:szCs w:val="23"/>
        </w:rPr>
        <w:t xml:space="preserve">(n=5). One organisation expected candidates to have studied at academic level 6 </w:t>
      </w:r>
      <w:r w:rsidR="00EB5646" w:rsidRPr="00A84276">
        <w:rPr>
          <w:rFonts w:ascii="Arial" w:hAnsi="Arial" w:cs="Arial"/>
          <w:sz w:val="23"/>
          <w:szCs w:val="23"/>
        </w:rPr>
        <w:t xml:space="preserve">(i.e. graduate level) </w:t>
      </w:r>
      <w:r w:rsidRPr="00A84276">
        <w:rPr>
          <w:rFonts w:ascii="Arial" w:hAnsi="Arial" w:cs="Arial"/>
          <w:sz w:val="23"/>
          <w:szCs w:val="23"/>
        </w:rPr>
        <w:t>in</w:t>
      </w:r>
      <w:r w:rsidR="00685560" w:rsidRPr="00A84276">
        <w:rPr>
          <w:rFonts w:ascii="Arial" w:hAnsi="Arial" w:cs="Arial"/>
          <w:sz w:val="23"/>
          <w:szCs w:val="23"/>
        </w:rPr>
        <w:t xml:space="preserve"> </w:t>
      </w:r>
      <w:r w:rsidRPr="00A84276">
        <w:rPr>
          <w:rFonts w:ascii="Arial" w:hAnsi="Arial" w:cs="Arial"/>
          <w:sz w:val="23"/>
          <w:szCs w:val="23"/>
        </w:rPr>
        <w:t>the last 2 years to make sure they are prepared for the demands of the course.</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Continued professional development</w:t>
      </w:r>
    </w:p>
    <w:p w:rsidR="00A1658B" w:rsidRPr="00A84276" w:rsidRDefault="00A1658B" w:rsidP="00685560">
      <w:pPr>
        <w:autoSpaceDE w:val="0"/>
        <w:autoSpaceDN w:val="0"/>
        <w:adjustRightInd w:val="0"/>
        <w:spacing w:after="0" w:line="240" w:lineRule="auto"/>
      </w:pPr>
      <w:r w:rsidRPr="00A84276">
        <w:rPr>
          <w:rFonts w:ascii="Arial" w:hAnsi="Arial" w:cs="Arial"/>
          <w:sz w:val="23"/>
          <w:szCs w:val="23"/>
        </w:rPr>
        <w:t>The vast majority of respondents (87%</w:t>
      </w:r>
      <w:r w:rsidR="00BD7A78" w:rsidRPr="00A84276">
        <w:rPr>
          <w:rFonts w:ascii="Arial" w:hAnsi="Arial" w:cs="Arial"/>
          <w:sz w:val="23"/>
          <w:szCs w:val="23"/>
        </w:rPr>
        <w:t>, n=34</w:t>
      </w:r>
      <w:r w:rsidRPr="00A84276">
        <w:rPr>
          <w:rFonts w:ascii="Arial" w:hAnsi="Arial" w:cs="Arial"/>
          <w:sz w:val="23"/>
          <w:szCs w:val="23"/>
        </w:rPr>
        <w:t>) indicated that they had a formal programme</w:t>
      </w:r>
      <w:r w:rsidR="00685560" w:rsidRPr="00A84276">
        <w:rPr>
          <w:rFonts w:ascii="Arial" w:hAnsi="Arial" w:cs="Arial"/>
          <w:sz w:val="23"/>
          <w:szCs w:val="23"/>
        </w:rPr>
        <w:t xml:space="preserve"> </w:t>
      </w:r>
      <w:r w:rsidRPr="00A84276">
        <w:rPr>
          <w:rFonts w:ascii="Arial" w:hAnsi="Arial" w:cs="Arial"/>
          <w:sz w:val="23"/>
          <w:szCs w:val="23"/>
        </w:rPr>
        <w:t>of CPD in place. Table 5 presents key CPD elements provided; NPs are expecting to</w:t>
      </w:r>
      <w:r w:rsidR="00685560" w:rsidRPr="00A84276">
        <w:rPr>
          <w:rFonts w:ascii="Arial" w:hAnsi="Arial" w:cs="Arial"/>
          <w:sz w:val="23"/>
          <w:szCs w:val="23"/>
        </w:rPr>
        <w:t xml:space="preserve"> </w:t>
      </w:r>
      <w:r w:rsidRPr="00A84276">
        <w:rPr>
          <w:rFonts w:ascii="Arial" w:hAnsi="Arial" w:cs="Arial"/>
          <w:sz w:val="23"/>
          <w:szCs w:val="23"/>
        </w:rPr>
        <w:t>attend regular forums in 15 organisations; the occurrence of such forums vary from</w:t>
      </w:r>
      <w:r w:rsidR="00685560" w:rsidRPr="00A84276">
        <w:rPr>
          <w:rFonts w:ascii="Arial" w:hAnsi="Arial" w:cs="Arial"/>
          <w:sz w:val="23"/>
          <w:szCs w:val="23"/>
        </w:rPr>
        <w:t xml:space="preserve"> </w:t>
      </w:r>
      <w:r w:rsidRPr="00A84276">
        <w:rPr>
          <w:rFonts w:ascii="Arial" w:hAnsi="Arial" w:cs="Arial"/>
          <w:sz w:val="23"/>
          <w:szCs w:val="23"/>
        </w:rPr>
        <w:t>annual to monthly in different Trusts. Five respondents stated that education</w:t>
      </w:r>
      <w:r w:rsidR="00685560" w:rsidRPr="00A84276">
        <w:rPr>
          <w:rFonts w:ascii="Arial" w:hAnsi="Arial" w:cs="Arial"/>
          <w:sz w:val="23"/>
          <w:szCs w:val="23"/>
        </w:rPr>
        <w:t xml:space="preserve"> </w:t>
      </w:r>
      <w:r w:rsidRPr="00A84276">
        <w:rPr>
          <w:rFonts w:ascii="Arial" w:hAnsi="Arial" w:cs="Arial"/>
          <w:sz w:val="23"/>
          <w:szCs w:val="23"/>
        </w:rPr>
        <w:t>sessions are provided by higher education institutions. Eight Trusts expect NPs to</w:t>
      </w:r>
      <w:r w:rsidR="00685560" w:rsidRPr="00A84276">
        <w:rPr>
          <w:rFonts w:ascii="Arial" w:hAnsi="Arial" w:cs="Arial"/>
          <w:sz w:val="23"/>
          <w:szCs w:val="23"/>
        </w:rPr>
        <w:t xml:space="preserve"> </w:t>
      </w:r>
      <w:r w:rsidRPr="00A84276">
        <w:rPr>
          <w:rFonts w:ascii="Arial" w:hAnsi="Arial" w:cs="Arial"/>
          <w:sz w:val="23"/>
          <w:szCs w:val="23"/>
        </w:rPr>
        <w:t>attend a local annual conference.</w:t>
      </w:r>
    </w:p>
    <w:p w:rsidR="00A1658B" w:rsidRPr="00A84276" w:rsidRDefault="00A1658B" w:rsidP="00A1658B">
      <w:pPr>
        <w:jc w:val="center"/>
      </w:pPr>
      <w:r w:rsidRPr="00A84276">
        <w:rPr>
          <w:rFonts w:ascii="Arial" w:hAnsi="Arial" w:cs="Arial"/>
          <w:sz w:val="23"/>
          <w:szCs w:val="23"/>
        </w:rPr>
        <w:t>[Table 5 here]</w:t>
      </w: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Transition from supplementary to independent prescribing</w:t>
      </w: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Most organisations indicated that they had either formal (n=17, 44%) or informal</w:t>
      </w:r>
      <w:r w:rsidR="00685560" w:rsidRPr="00A84276">
        <w:rPr>
          <w:rFonts w:ascii="Arial" w:hAnsi="Arial" w:cs="Arial"/>
          <w:sz w:val="23"/>
          <w:szCs w:val="23"/>
        </w:rPr>
        <w:t xml:space="preserve"> </w:t>
      </w:r>
      <w:r w:rsidRPr="00A84276">
        <w:rPr>
          <w:rFonts w:ascii="Arial" w:hAnsi="Arial" w:cs="Arial"/>
          <w:sz w:val="23"/>
          <w:szCs w:val="23"/>
        </w:rPr>
        <w:t>(n=14, 36%) strategies to support transition from SP to IP (Table 6). A common</w:t>
      </w:r>
      <w:r w:rsidR="00685560" w:rsidRPr="00A84276">
        <w:rPr>
          <w:rFonts w:ascii="Arial" w:hAnsi="Arial" w:cs="Arial"/>
          <w:sz w:val="23"/>
          <w:szCs w:val="23"/>
        </w:rPr>
        <w:t xml:space="preserve"> </w:t>
      </w:r>
      <w:r w:rsidRPr="00A84276">
        <w:rPr>
          <w:rFonts w:ascii="Arial" w:hAnsi="Arial" w:cs="Arial"/>
          <w:sz w:val="23"/>
          <w:szCs w:val="23"/>
        </w:rPr>
        <w:t>strategy requires NPs to prescribe by supplementary processes for a minimum</w:t>
      </w:r>
      <w:r w:rsidR="00685560" w:rsidRPr="00A84276">
        <w:rPr>
          <w:rFonts w:ascii="Arial" w:hAnsi="Arial" w:cs="Arial"/>
          <w:sz w:val="23"/>
          <w:szCs w:val="23"/>
        </w:rPr>
        <w:t xml:space="preserve"> </w:t>
      </w:r>
      <w:r w:rsidRPr="00A84276">
        <w:rPr>
          <w:rFonts w:ascii="Arial" w:hAnsi="Arial" w:cs="Arial"/>
          <w:sz w:val="23"/>
          <w:szCs w:val="23"/>
        </w:rPr>
        <w:t>period of time before gaining independent status; this varies between 6 and 12</w:t>
      </w:r>
      <w:r w:rsidR="00685560" w:rsidRPr="00A84276">
        <w:rPr>
          <w:rFonts w:ascii="Arial" w:hAnsi="Arial" w:cs="Arial"/>
          <w:sz w:val="23"/>
          <w:szCs w:val="23"/>
        </w:rPr>
        <w:t xml:space="preserve"> </w:t>
      </w:r>
      <w:r w:rsidRPr="00A84276">
        <w:rPr>
          <w:rFonts w:ascii="Arial" w:hAnsi="Arial" w:cs="Arial"/>
          <w:sz w:val="23"/>
          <w:szCs w:val="23"/>
        </w:rPr>
        <w:t>months. The other most common strategy is to provide mentorship for NPs when</w:t>
      </w:r>
      <w:r w:rsidR="00685560" w:rsidRPr="00A84276">
        <w:rPr>
          <w:rFonts w:ascii="Arial" w:hAnsi="Arial" w:cs="Arial"/>
          <w:sz w:val="23"/>
          <w:szCs w:val="23"/>
        </w:rPr>
        <w:t xml:space="preserve"> </w:t>
      </w:r>
      <w:r w:rsidRPr="00A84276">
        <w:rPr>
          <w:rFonts w:ascii="Arial" w:hAnsi="Arial" w:cs="Arial"/>
          <w:sz w:val="23"/>
          <w:szCs w:val="23"/>
        </w:rPr>
        <w:t xml:space="preserve">they start prescribing </w:t>
      </w:r>
      <w:r w:rsidRPr="00A84276">
        <w:rPr>
          <w:rFonts w:ascii="Arial" w:hAnsi="Arial" w:cs="Arial"/>
          <w:sz w:val="23"/>
          <w:szCs w:val="23"/>
        </w:rPr>
        <w:lastRenderedPageBreak/>
        <w:t>independently; NPs become truly independent once they have</w:t>
      </w:r>
      <w:r w:rsidR="00685560" w:rsidRPr="00A84276">
        <w:rPr>
          <w:rFonts w:ascii="Arial" w:hAnsi="Arial" w:cs="Arial"/>
          <w:sz w:val="23"/>
          <w:szCs w:val="23"/>
        </w:rPr>
        <w:t xml:space="preserve"> </w:t>
      </w:r>
      <w:r w:rsidRPr="00A84276">
        <w:rPr>
          <w:rFonts w:ascii="Arial" w:hAnsi="Arial" w:cs="Arial"/>
          <w:sz w:val="23"/>
          <w:szCs w:val="23"/>
        </w:rPr>
        <w:t>completed this mentorship period.</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1658B" w:rsidRPr="00A84276" w:rsidRDefault="00A1658B" w:rsidP="00685560">
      <w:pPr>
        <w:autoSpaceDE w:val="0"/>
        <w:autoSpaceDN w:val="0"/>
        <w:adjustRightInd w:val="0"/>
        <w:spacing w:after="0" w:line="240" w:lineRule="auto"/>
        <w:jc w:val="center"/>
        <w:rPr>
          <w:rFonts w:ascii="Arial" w:hAnsi="Arial" w:cs="Arial"/>
          <w:sz w:val="23"/>
          <w:szCs w:val="23"/>
        </w:rPr>
      </w:pPr>
      <w:r w:rsidRPr="00A84276">
        <w:rPr>
          <w:rFonts w:ascii="Arial" w:hAnsi="Arial" w:cs="Arial"/>
          <w:sz w:val="23"/>
          <w:szCs w:val="23"/>
        </w:rPr>
        <w:t>[Table 6 here]</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1658B" w:rsidRPr="00A84276" w:rsidRDefault="00A1658B" w:rsidP="00C94B9D">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One respondent specified that no transition strategies were in place because all NPs</w:t>
      </w:r>
      <w:r w:rsidR="00685560" w:rsidRPr="00A84276">
        <w:rPr>
          <w:rFonts w:ascii="Arial" w:hAnsi="Arial" w:cs="Arial"/>
          <w:sz w:val="23"/>
          <w:szCs w:val="23"/>
        </w:rPr>
        <w:t xml:space="preserve"> </w:t>
      </w:r>
      <w:r w:rsidRPr="00A84276">
        <w:rPr>
          <w:rFonts w:ascii="Arial" w:hAnsi="Arial" w:cs="Arial"/>
          <w:sz w:val="23"/>
          <w:szCs w:val="23"/>
        </w:rPr>
        <w:t>in the Trust are expected to prescribe independently from the start: once qualified,</w:t>
      </w:r>
      <w:r w:rsidR="00685560" w:rsidRPr="00A84276">
        <w:rPr>
          <w:rFonts w:ascii="Arial" w:hAnsi="Arial" w:cs="Arial"/>
          <w:sz w:val="23"/>
          <w:szCs w:val="23"/>
        </w:rPr>
        <w:t xml:space="preserve"> </w:t>
      </w:r>
      <w:r w:rsidRPr="00A84276">
        <w:rPr>
          <w:rFonts w:ascii="Arial" w:hAnsi="Arial" w:cs="Arial"/>
          <w:sz w:val="23"/>
          <w:szCs w:val="23"/>
        </w:rPr>
        <w:t>NPs define their scope of practice with their supervisor and identify developmental</w:t>
      </w:r>
      <w:r w:rsidR="00685560" w:rsidRPr="00A84276">
        <w:rPr>
          <w:rFonts w:ascii="Arial" w:hAnsi="Arial" w:cs="Arial"/>
          <w:sz w:val="23"/>
          <w:szCs w:val="23"/>
        </w:rPr>
        <w:t xml:space="preserve"> </w:t>
      </w:r>
      <w:r w:rsidRPr="00A84276">
        <w:rPr>
          <w:rFonts w:ascii="Arial" w:hAnsi="Arial" w:cs="Arial"/>
          <w:sz w:val="23"/>
          <w:szCs w:val="23"/>
        </w:rPr>
        <w:t xml:space="preserve">needs; this Trust also maintains a directory of </w:t>
      </w:r>
      <w:r w:rsidR="00C95E16" w:rsidRPr="00A84276">
        <w:rPr>
          <w:rFonts w:ascii="Arial" w:hAnsi="Arial" w:cs="Arial"/>
          <w:sz w:val="23"/>
          <w:szCs w:val="23"/>
        </w:rPr>
        <w:t xml:space="preserve">who needs to be under the supervision of a consultant and </w:t>
      </w:r>
      <w:r w:rsidRPr="00A84276">
        <w:rPr>
          <w:rFonts w:ascii="Arial" w:hAnsi="Arial" w:cs="Arial"/>
          <w:sz w:val="23"/>
          <w:szCs w:val="23"/>
        </w:rPr>
        <w:t>who can prescribe off-licence</w:t>
      </w:r>
      <w:r w:rsidR="00685560" w:rsidRPr="00A84276">
        <w:rPr>
          <w:rFonts w:ascii="Arial" w:hAnsi="Arial" w:cs="Arial"/>
          <w:sz w:val="23"/>
          <w:szCs w:val="23"/>
        </w:rPr>
        <w:t xml:space="preserve"> </w:t>
      </w:r>
      <w:r w:rsidRPr="00A84276">
        <w:rPr>
          <w:rFonts w:ascii="Arial" w:hAnsi="Arial" w:cs="Arial"/>
          <w:sz w:val="23"/>
          <w:szCs w:val="23"/>
        </w:rPr>
        <w:t xml:space="preserve">medications </w:t>
      </w:r>
      <w:r w:rsidR="0002163F" w:rsidRPr="00A84276">
        <w:rPr>
          <w:rFonts w:ascii="Arial" w:hAnsi="Arial" w:cs="Arial"/>
          <w:sz w:val="23"/>
          <w:szCs w:val="23"/>
        </w:rPr>
        <w:t>(</w:t>
      </w:r>
      <w:r w:rsidR="00C94B9D" w:rsidRPr="00A84276">
        <w:rPr>
          <w:rFonts w:ascii="Arial" w:hAnsi="Arial" w:cs="Arial"/>
          <w:sz w:val="23"/>
          <w:szCs w:val="23"/>
        </w:rPr>
        <w:t xml:space="preserve">in this context, </w:t>
      </w:r>
      <w:r w:rsidR="00C94B9D" w:rsidRPr="00A84276">
        <w:rPr>
          <w:rFonts w:ascii="Arial" w:hAnsi="Arial" w:cs="Arial"/>
          <w:i/>
          <w:sz w:val="23"/>
          <w:szCs w:val="23"/>
        </w:rPr>
        <w:t>off-licence</w:t>
      </w:r>
      <w:r w:rsidR="00C94B9D" w:rsidRPr="00A84276">
        <w:rPr>
          <w:rFonts w:ascii="Arial" w:hAnsi="Arial" w:cs="Arial"/>
          <w:sz w:val="23"/>
          <w:szCs w:val="23"/>
        </w:rPr>
        <w:t xml:space="preserve"> or </w:t>
      </w:r>
      <w:r w:rsidR="00C94B9D" w:rsidRPr="00A84276">
        <w:rPr>
          <w:rFonts w:ascii="Arial" w:hAnsi="Arial" w:cs="Arial"/>
          <w:i/>
          <w:sz w:val="23"/>
          <w:szCs w:val="23"/>
        </w:rPr>
        <w:t>off-label</w:t>
      </w:r>
      <w:r w:rsidR="00C94B9D" w:rsidRPr="00A84276">
        <w:rPr>
          <w:rFonts w:ascii="Arial" w:hAnsi="Arial" w:cs="Arial"/>
          <w:sz w:val="23"/>
          <w:szCs w:val="23"/>
        </w:rPr>
        <w:t xml:space="preserve"> refers to </w:t>
      </w:r>
      <w:r w:rsidR="00A255A6" w:rsidRPr="00A84276">
        <w:rPr>
          <w:rFonts w:ascii="Arial" w:hAnsi="Arial" w:cs="Arial"/>
          <w:sz w:val="23"/>
          <w:szCs w:val="23"/>
        </w:rPr>
        <w:t xml:space="preserve">prescribing </w:t>
      </w:r>
      <w:r w:rsidR="00C94B9D" w:rsidRPr="00A84276">
        <w:rPr>
          <w:rFonts w:ascii="Arial" w:hAnsi="Arial" w:cs="Arial"/>
          <w:sz w:val="23"/>
          <w:szCs w:val="23"/>
        </w:rPr>
        <w:t xml:space="preserve">a medicine </w:t>
      </w:r>
      <w:r w:rsidR="00A255A6" w:rsidRPr="00A84276">
        <w:rPr>
          <w:rFonts w:ascii="Arial" w:hAnsi="Arial" w:cs="Arial"/>
          <w:sz w:val="23"/>
          <w:szCs w:val="23"/>
        </w:rPr>
        <w:t>which</w:t>
      </w:r>
      <w:r w:rsidR="00C94B9D" w:rsidRPr="00A84276">
        <w:rPr>
          <w:rFonts w:ascii="Arial" w:hAnsi="Arial" w:cs="Arial"/>
          <w:sz w:val="23"/>
          <w:szCs w:val="23"/>
        </w:rPr>
        <w:t xml:space="preserve"> product licence does not cover the indication for which</w:t>
      </w:r>
      <w:r w:rsidR="00C95E16" w:rsidRPr="00A84276">
        <w:rPr>
          <w:rFonts w:ascii="Arial" w:hAnsi="Arial" w:cs="Arial"/>
          <w:sz w:val="23"/>
          <w:szCs w:val="23"/>
        </w:rPr>
        <w:t xml:space="preserve"> it</w:t>
      </w:r>
      <w:r w:rsidR="00C94B9D" w:rsidRPr="00A84276">
        <w:rPr>
          <w:rFonts w:ascii="Arial" w:hAnsi="Arial" w:cs="Arial"/>
          <w:sz w:val="23"/>
          <w:szCs w:val="23"/>
        </w:rPr>
        <w:t xml:space="preserve"> is being prescribed)</w:t>
      </w:r>
      <w:r w:rsidR="0002163F" w:rsidRPr="00A84276">
        <w:rPr>
          <w:rFonts w:ascii="Arial" w:hAnsi="Arial" w:cs="Arial"/>
          <w:sz w:val="23"/>
          <w:szCs w:val="23"/>
        </w:rPr>
        <w:t xml:space="preserve"> </w:t>
      </w:r>
      <w:r w:rsidRPr="00A84276">
        <w:rPr>
          <w:rFonts w:ascii="Arial" w:hAnsi="Arial" w:cs="Arial"/>
          <w:sz w:val="23"/>
          <w:szCs w:val="23"/>
        </w:rPr>
        <w:t>.</w:t>
      </w:r>
    </w:p>
    <w:p w:rsidR="00685560" w:rsidRPr="00A84276" w:rsidRDefault="00685560" w:rsidP="00685560">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Italic" w:hAnsi="Arial,Italic" w:cs="Arial,Italic"/>
          <w:i/>
          <w:iCs/>
          <w:sz w:val="23"/>
          <w:szCs w:val="23"/>
        </w:rPr>
      </w:pPr>
      <w:r w:rsidRPr="00A84276">
        <w:rPr>
          <w:rFonts w:ascii="Arial,Italic" w:hAnsi="Arial,Italic" w:cs="Arial,Italic"/>
          <w:i/>
          <w:iCs/>
          <w:sz w:val="23"/>
          <w:szCs w:val="23"/>
        </w:rPr>
        <w:t>Career progression and remuneration</w:t>
      </w: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Most respondents (64%</w:t>
      </w:r>
      <w:r w:rsidR="00422D52" w:rsidRPr="00A84276">
        <w:rPr>
          <w:rFonts w:ascii="Arial" w:hAnsi="Arial" w:cs="Arial"/>
          <w:sz w:val="23"/>
          <w:szCs w:val="23"/>
        </w:rPr>
        <w:t>, n=</w:t>
      </w:r>
      <w:r w:rsidR="00744D45" w:rsidRPr="00A84276">
        <w:rPr>
          <w:rFonts w:ascii="Arial" w:hAnsi="Arial" w:cs="Arial"/>
          <w:sz w:val="23"/>
          <w:szCs w:val="23"/>
        </w:rPr>
        <w:t>25</w:t>
      </w:r>
      <w:r w:rsidRPr="00A84276">
        <w:rPr>
          <w:rFonts w:ascii="Arial" w:hAnsi="Arial" w:cs="Arial"/>
          <w:sz w:val="23"/>
          <w:szCs w:val="23"/>
        </w:rPr>
        <w:t xml:space="preserve">) expected NPs to be employed in a post at Band 6 </w:t>
      </w:r>
      <w:r w:rsidR="00423BFF" w:rsidRPr="00A84276">
        <w:rPr>
          <w:rFonts w:ascii="Arial" w:hAnsi="Arial" w:cs="Arial"/>
          <w:sz w:val="23"/>
          <w:szCs w:val="23"/>
        </w:rPr>
        <w:t>(</w:t>
      </w:r>
      <w:r w:rsidRPr="00A84276">
        <w:rPr>
          <w:rFonts w:ascii="Arial" w:hAnsi="Arial" w:cs="Arial"/>
          <w:sz w:val="23"/>
          <w:szCs w:val="23"/>
        </w:rPr>
        <w:t>This is a</w:t>
      </w:r>
      <w:r w:rsidR="00685560" w:rsidRPr="00A84276">
        <w:rPr>
          <w:rFonts w:ascii="Arial" w:hAnsi="Arial" w:cs="Arial"/>
          <w:sz w:val="23"/>
          <w:szCs w:val="23"/>
        </w:rPr>
        <w:t xml:space="preserve"> </w:t>
      </w:r>
      <w:r w:rsidRPr="00A84276">
        <w:rPr>
          <w:rFonts w:ascii="Arial" w:hAnsi="Arial" w:cs="Arial"/>
          <w:sz w:val="23"/>
          <w:szCs w:val="23"/>
        </w:rPr>
        <w:t>level of NHS pay scales that is received by the majority of mental health community</w:t>
      </w:r>
      <w:r w:rsidR="00685560" w:rsidRPr="00A84276">
        <w:rPr>
          <w:rFonts w:ascii="Arial" w:hAnsi="Arial" w:cs="Arial"/>
          <w:sz w:val="23"/>
          <w:szCs w:val="23"/>
        </w:rPr>
        <w:t xml:space="preserve"> </w:t>
      </w:r>
      <w:r w:rsidRPr="00A84276">
        <w:rPr>
          <w:rFonts w:ascii="Arial" w:hAnsi="Arial" w:cs="Arial"/>
          <w:sz w:val="23"/>
          <w:szCs w:val="23"/>
        </w:rPr>
        <w:t>nurses as well as junior ward sisters/charge nurses in inpatient care settings</w:t>
      </w:r>
      <w:r w:rsidR="00423BFF" w:rsidRPr="00A84276">
        <w:rPr>
          <w:rFonts w:ascii="Arial" w:hAnsi="Arial" w:cs="Arial"/>
          <w:sz w:val="23"/>
          <w:szCs w:val="23"/>
        </w:rPr>
        <w:t>)</w:t>
      </w:r>
      <w:r w:rsidRPr="00A84276">
        <w:rPr>
          <w:rFonts w:ascii="Arial" w:hAnsi="Arial" w:cs="Arial"/>
          <w:sz w:val="23"/>
          <w:szCs w:val="23"/>
        </w:rPr>
        <w:t>. The</w:t>
      </w:r>
      <w:r w:rsidR="00685560" w:rsidRPr="00A84276">
        <w:rPr>
          <w:rFonts w:ascii="Arial" w:hAnsi="Arial" w:cs="Arial"/>
          <w:sz w:val="23"/>
          <w:szCs w:val="23"/>
        </w:rPr>
        <w:t xml:space="preserve"> </w:t>
      </w:r>
      <w:r w:rsidRPr="00A84276">
        <w:rPr>
          <w:rFonts w:ascii="Arial" w:hAnsi="Arial" w:cs="Arial"/>
          <w:sz w:val="23"/>
          <w:szCs w:val="23"/>
        </w:rPr>
        <w:t>survey found that em</w:t>
      </w:r>
      <w:r w:rsidR="0002163F" w:rsidRPr="00A84276">
        <w:rPr>
          <w:rFonts w:ascii="Arial" w:hAnsi="Arial" w:cs="Arial"/>
          <w:sz w:val="23"/>
          <w:szCs w:val="23"/>
        </w:rPr>
        <w:t>ployment at a minimum level of B</w:t>
      </w:r>
      <w:r w:rsidRPr="00A84276">
        <w:rPr>
          <w:rFonts w:ascii="Arial" w:hAnsi="Arial" w:cs="Arial"/>
          <w:sz w:val="23"/>
          <w:szCs w:val="23"/>
        </w:rPr>
        <w:t>and 6 for NPs was clearly</w:t>
      </w:r>
      <w:r w:rsidR="00685560" w:rsidRPr="00A84276">
        <w:rPr>
          <w:rFonts w:ascii="Arial" w:hAnsi="Arial" w:cs="Arial"/>
          <w:sz w:val="23"/>
          <w:szCs w:val="23"/>
        </w:rPr>
        <w:t xml:space="preserve"> </w:t>
      </w:r>
      <w:r w:rsidRPr="00A84276">
        <w:rPr>
          <w:rFonts w:ascii="Arial" w:hAnsi="Arial" w:cs="Arial"/>
          <w:sz w:val="23"/>
          <w:szCs w:val="23"/>
        </w:rPr>
        <w:t>stated policy in 16 cases; in 9 other cases, there was no strict policy but, all NPs</w:t>
      </w:r>
      <w:r w:rsidR="00685560" w:rsidRPr="00A84276">
        <w:rPr>
          <w:rFonts w:ascii="Arial" w:hAnsi="Arial" w:cs="Arial"/>
          <w:sz w:val="23"/>
          <w:szCs w:val="23"/>
        </w:rPr>
        <w:t xml:space="preserve"> </w:t>
      </w:r>
      <w:r w:rsidRPr="00A84276">
        <w:rPr>
          <w:rFonts w:ascii="Arial" w:hAnsi="Arial" w:cs="Arial"/>
          <w:sz w:val="23"/>
          <w:szCs w:val="23"/>
        </w:rPr>
        <w:t>were expected to be at least in a Band 6 post in all but exceptional cases:</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1658B" w:rsidRPr="00A84276" w:rsidRDefault="00A1658B" w:rsidP="00685560">
      <w:pPr>
        <w:autoSpaceDE w:val="0"/>
        <w:autoSpaceDN w:val="0"/>
        <w:adjustRightInd w:val="0"/>
        <w:spacing w:after="0" w:line="240" w:lineRule="auto"/>
        <w:ind w:left="720"/>
        <w:rPr>
          <w:rFonts w:ascii="Arial,Italic" w:hAnsi="Arial,Italic" w:cs="Arial,Italic"/>
          <w:i/>
          <w:iCs/>
          <w:sz w:val="23"/>
          <w:szCs w:val="23"/>
        </w:rPr>
      </w:pPr>
      <w:r w:rsidRPr="00A84276">
        <w:rPr>
          <w:rFonts w:ascii="Arial,Italic" w:hAnsi="Arial,Italic" w:cs="Arial,Italic"/>
          <w:i/>
          <w:iCs/>
          <w:sz w:val="23"/>
          <w:szCs w:val="23"/>
        </w:rPr>
        <w:t>‘I would be very reluctant to have anyone below B6</w:t>
      </w:r>
      <w:r w:rsidR="0002163F" w:rsidRPr="00A84276">
        <w:rPr>
          <w:rFonts w:ascii="Arial,Italic" w:hAnsi="Arial,Italic" w:cs="Arial,Italic"/>
          <w:i/>
          <w:iCs/>
          <w:sz w:val="23"/>
          <w:szCs w:val="23"/>
        </w:rPr>
        <w:t xml:space="preserve"> </w:t>
      </w:r>
      <w:r w:rsidR="0002163F" w:rsidRPr="00A84276">
        <w:rPr>
          <w:rFonts w:ascii="Arial,Italic" w:hAnsi="Arial,Italic" w:cs="Arial,Italic"/>
          <w:iCs/>
          <w:sz w:val="23"/>
          <w:szCs w:val="23"/>
        </w:rPr>
        <w:t>[Band 6]</w:t>
      </w:r>
      <w:r w:rsidRPr="00A84276">
        <w:rPr>
          <w:rFonts w:ascii="Arial,Italic" w:hAnsi="Arial,Italic" w:cs="Arial,Italic"/>
          <w:iCs/>
          <w:sz w:val="23"/>
          <w:szCs w:val="23"/>
        </w:rPr>
        <w:t>.</w:t>
      </w:r>
      <w:r w:rsidRPr="00A84276">
        <w:rPr>
          <w:rFonts w:ascii="Arial,Italic" w:hAnsi="Arial,Italic" w:cs="Arial,Italic"/>
          <w:i/>
          <w:iCs/>
          <w:sz w:val="23"/>
          <w:szCs w:val="23"/>
        </w:rPr>
        <w:t xml:space="preserve"> The circumstances would</w:t>
      </w:r>
      <w:r w:rsidR="00685560" w:rsidRPr="00A84276">
        <w:rPr>
          <w:rFonts w:ascii="Arial,Italic" w:hAnsi="Arial,Italic" w:cs="Arial,Italic"/>
          <w:i/>
          <w:iCs/>
          <w:sz w:val="23"/>
          <w:szCs w:val="23"/>
        </w:rPr>
        <w:t xml:space="preserve"> </w:t>
      </w:r>
      <w:r w:rsidRPr="00A84276">
        <w:rPr>
          <w:rFonts w:ascii="Arial,Italic" w:hAnsi="Arial,Italic" w:cs="Arial,Italic"/>
          <w:i/>
          <w:iCs/>
          <w:sz w:val="23"/>
          <w:szCs w:val="23"/>
        </w:rPr>
        <w:t>need to be truly exceptional, e.g. previous NP who is in a step-down role after</w:t>
      </w:r>
      <w:r w:rsidR="00685560" w:rsidRPr="00A84276">
        <w:rPr>
          <w:rFonts w:ascii="Arial,Italic" w:hAnsi="Arial,Italic" w:cs="Arial,Italic"/>
          <w:i/>
          <w:iCs/>
          <w:sz w:val="23"/>
          <w:szCs w:val="23"/>
        </w:rPr>
        <w:t xml:space="preserve"> </w:t>
      </w:r>
      <w:r w:rsidRPr="00A84276">
        <w:rPr>
          <w:rFonts w:ascii="Arial,Italic" w:hAnsi="Arial,Italic" w:cs="Arial,Italic"/>
          <w:i/>
          <w:iCs/>
          <w:sz w:val="23"/>
          <w:szCs w:val="23"/>
        </w:rPr>
        <w:t>retirement.’</w:t>
      </w:r>
    </w:p>
    <w:p w:rsidR="00685560" w:rsidRPr="00A84276" w:rsidRDefault="00685560" w:rsidP="00A1658B">
      <w:pPr>
        <w:autoSpaceDE w:val="0"/>
        <w:autoSpaceDN w:val="0"/>
        <w:adjustRightInd w:val="0"/>
        <w:spacing w:after="0" w:line="240" w:lineRule="auto"/>
        <w:rPr>
          <w:rFonts w:ascii="Arial,Italic" w:hAnsi="Arial,Italic" w:cs="Arial,Italic"/>
          <w:i/>
          <w:iCs/>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Nine other respondents stated that approval to train and prescribe were based on</w:t>
      </w:r>
    </w:p>
    <w:p w:rsidR="00A1658B" w:rsidRPr="00A84276" w:rsidRDefault="00A1658B" w:rsidP="00A1658B">
      <w:pPr>
        <w:autoSpaceDE w:val="0"/>
        <w:autoSpaceDN w:val="0"/>
        <w:adjustRightInd w:val="0"/>
        <w:spacing w:after="0" w:line="240" w:lineRule="auto"/>
        <w:rPr>
          <w:rFonts w:ascii="Arial" w:hAnsi="Arial" w:cs="Arial"/>
          <w:sz w:val="23"/>
          <w:szCs w:val="23"/>
        </w:rPr>
      </w:pPr>
      <w:proofErr w:type="gramStart"/>
      <w:r w:rsidRPr="00A84276">
        <w:rPr>
          <w:rFonts w:ascii="Arial" w:hAnsi="Arial" w:cs="Arial"/>
          <w:sz w:val="23"/>
          <w:szCs w:val="23"/>
        </w:rPr>
        <w:t>skills</w:t>
      </w:r>
      <w:proofErr w:type="gramEnd"/>
      <w:r w:rsidRPr="00A84276">
        <w:rPr>
          <w:rFonts w:ascii="Arial" w:hAnsi="Arial" w:cs="Arial"/>
          <w:sz w:val="23"/>
          <w:szCs w:val="23"/>
        </w:rPr>
        <w:t xml:space="preserve"> and experience rather than banding:</w:t>
      </w:r>
    </w:p>
    <w:p w:rsidR="00685560" w:rsidRPr="00A84276" w:rsidRDefault="00685560" w:rsidP="00A1658B">
      <w:pPr>
        <w:autoSpaceDE w:val="0"/>
        <w:autoSpaceDN w:val="0"/>
        <w:adjustRightInd w:val="0"/>
        <w:spacing w:after="0" w:line="240" w:lineRule="auto"/>
        <w:rPr>
          <w:rFonts w:ascii="Arial,Italic" w:hAnsi="Arial,Italic" w:cs="Arial,Italic"/>
          <w:i/>
          <w:iCs/>
          <w:sz w:val="23"/>
          <w:szCs w:val="23"/>
        </w:rPr>
      </w:pPr>
    </w:p>
    <w:p w:rsidR="00A1658B" w:rsidRPr="00A84276" w:rsidRDefault="00A1658B" w:rsidP="00685560">
      <w:pPr>
        <w:autoSpaceDE w:val="0"/>
        <w:autoSpaceDN w:val="0"/>
        <w:adjustRightInd w:val="0"/>
        <w:spacing w:after="0" w:line="240" w:lineRule="auto"/>
        <w:ind w:left="720"/>
        <w:rPr>
          <w:rFonts w:ascii="Arial,Italic" w:hAnsi="Arial,Italic" w:cs="Arial,Italic"/>
          <w:i/>
          <w:iCs/>
          <w:sz w:val="23"/>
          <w:szCs w:val="23"/>
        </w:rPr>
      </w:pPr>
      <w:r w:rsidRPr="00A84276">
        <w:rPr>
          <w:rFonts w:ascii="Arial,Italic" w:hAnsi="Arial,Italic" w:cs="Arial,Italic"/>
          <w:i/>
          <w:iCs/>
          <w:sz w:val="23"/>
          <w:szCs w:val="23"/>
        </w:rPr>
        <w:t>‘Training and practice are based on service need, competence and skills and</w:t>
      </w:r>
      <w:r w:rsidR="00685560" w:rsidRPr="00A84276">
        <w:rPr>
          <w:rFonts w:ascii="Arial,Italic" w:hAnsi="Arial,Italic" w:cs="Arial,Italic"/>
          <w:i/>
          <w:iCs/>
          <w:sz w:val="23"/>
          <w:szCs w:val="23"/>
        </w:rPr>
        <w:t xml:space="preserve"> </w:t>
      </w:r>
      <w:r w:rsidRPr="00A84276">
        <w:rPr>
          <w:rFonts w:ascii="Arial,Italic" w:hAnsi="Arial,Italic" w:cs="Arial,Italic"/>
          <w:i/>
          <w:iCs/>
          <w:sz w:val="23"/>
          <w:szCs w:val="23"/>
        </w:rPr>
        <w:t>not grade.’</w:t>
      </w:r>
    </w:p>
    <w:p w:rsidR="00685560" w:rsidRPr="00A84276" w:rsidRDefault="00685560" w:rsidP="00A1658B">
      <w:pPr>
        <w:autoSpaceDE w:val="0"/>
        <w:autoSpaceDN w:val="0"/>
        <w:adjustRightInd w:val="0"/>
        <w:spacing w:after="0" w:line="240" w:lineRule="auto"/>
        <w:rPr>
          <w:rFonts w:ascii="Arial,Italic" w:hAnsi="Arial,Italic" w:cs="Arial,Italic"/>
          <w:i/>
          <w:iCs/>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Finally, one Trust requires supplementary prescribers to be at Band 6, whilst</w:t>
      </w:r>
      <w:r w:rsidR="00685560" w:rsidRPr="00A84276">
        <w:rPr>
          <w:rFonts w:ascii="Arial" w:hAnsi="Arial" w:cs="Arial"/>
          <w:sz w:val="23"/>
          <w:szCs w:val="23"/>
        </w:rPr>
        <w:t xml:space="preserve"> </w:t>
      </w:r>
      <w:r w:rsidRPr="00A84276">
        <w:rPr>
          <w:rFonts w:ascii="Arial" w:hAnsi="Arial" w:cs="Arial"/>
          <w:sz w:val="23"/>
          <w:szCs w:val="23"/>
        </w:rPr>
        <w:t>independent prescribers need to be at Band 7.</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Only 2 organisations reported providing a specific pay award for being an NP: one of</w:t>
      </w:r>
      <w:r w:rsidR="00685560" w:rsidRPr="00A84276">
        <w:rPr>
          <w:rFonts w:ascii="Arial" w:hAnsi="Arial" w:cs="Arial"/>
          <w:sz w:val="23"/>
          <w:szCs w:val="23"/>
        </w:rPr>
        <w:t xml:space="preserve"> </w:t>
      </w:r>
      <w:r w:rsidRPr="00A84276">
        <w:rPr>
          <w:rFonts w:ascii="Arial" w:hAnsi="Arial" w:cs="Arial"/>
          <w:sz w:val="23"/>
          <w:szCs w:val="23"/>
        </w:rPr>
        <w:t>them stated that remuneration reflected the number of prescriptions written (no</w:t>
      </w:r>
      <w:r w:rsidR="00685560" w:rsidRPr="00A84276">
        <w:rPr>
          <w:rFonts w:ascii="Arial" w:hAnsi="Arial" w:cs="Arial"/>
          <w:sz w:val="23"/>
          <w:szCs w:val="23"/>
        </w:rPr>
        <w:t xml:space="preserve"> </w:t>
      </w:r>
      <w:r w:rsidRPr="00A84276">
        <w:rPr>
          <w:rFonts w:ascii="Arial" w:hAnsi="Arial" w:cs="Arial"/>
          <w:sz w:val="23"/>
          <w:szCs w:val="23"/>
        </w:rPr>
        <w:t>further information provided); the other Trust had negotiated an agreement with</w:t>
      </w:r>
      <w:r w:rsidR="00685560" w:rsidRPr="00A84276">
        <w:rPr>
          <w:rFonts w:ascii="Arial" w:hAnsi="Arial" w:cs="Arial"/>
          <w:sz w:val="23"/>
          <w:szCs w:val="23"/>
        </w:rPr>
        <w:t xml:space="preserve"> </w:t>
      </w:r>
      <w:r w:rsidRPr="00A84276">
        <w:rPr>
          <w:rFonts w:ascii="Arial" w:hAnsi="Arial" w:cs="Arial"/>
          <w:sz w:val="23"/>
          <w:szCs w:val="23"/>
        </w:rPr>
        <w:t>commissioners for one service (substance misuse) where NPs are paid at Band 7 to</w:t>
      </w:r>
      <w:r w:rsidR="00685560" w:rsidRPr="00A84276">
        <w:rPr>
          <w:rFonts w:ascii="Arial" w:hAnsi="Arial" w:cs="Arial"/>
          <w:sz w:val="23"/>
          <w:szCs w:val="23"/>
        </w:rPr>
        <w:t xml:space="preserve"> </w:t>
      </w:r>
      <w:r w:rsidRPr="00A84276">
        <w:rPr>
          <w:rFonts w:ascii="Arial" w:hAnsi="Arial" w:cs="Arial"/>
          <w:sz w:val="23"/>
          <w:szCs w:val="23"/>
        </w:rPr>
        <w:t>provide an incentive and reflect their level of responsibility. Another organisation was</w:t>
      </w:r>
      <w:r w:rsidR="00685560" w:rsidRPr="00A84276">
        <w:rPr>
          <w:rFonts w:ascii="Arial" w:hAnsi="Arial" w:cs="Arial"/>
          <w:sz w:val="23"/>
          <w:szCs w:val="23"/>
        </w:rPr>
        <w:t xml:space="preserve"> </w:t>
      </w:r>
      <w:r w:rsidRPr="00A84276">
        <w:rPr>
          <w:rFonts w:ascii="Arial" w:hAnsi="Arial" w:cs="Arial"/>
          <w:sz w:val="23"/>
          <w:szCs w:val="23"/>
        </w:rPr>
        <w:t>considering offering an annual retainer or a sessional payment for NP running clinics</w:t>
      </w:r>
      <w:r w:rsidR="00685560" w:rsidRPr="00A84276">
        <w:rPr>
          <w:rFonts w:ascii="Arial" w:hAnsi="Arial" w:cs="Arial"/>
          <w:sz w:val="23"/>
          <w:szCs w:val="23"/>
        </w:rPr>
        <w:t xml:space="preserve"> </w:t>
      </w:r>
      <w:r w:rsidRPr="00A84276">
        <w:rPr>
          <w:rFonts w:ascii="Arial" w:hAnsi="Arial" w:cs="Arial"/>
          <w:sz w:val="23"/>
          <w:szCs w:val="23"/>
        </w:rPr>
        <w:t>(e.g. memory clinics).</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1658B" w:rsidRPr="00A84276" w:rsidRDefault="00A1658B" w:rsidP="00685560">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Most trusts indicated having no direct link between NP and career progression; only</w:t>
      </w:r>
      <w:r w:rsidR="00685560" w:rsidRPr="00A84276">
        <w:rPr>
          <w:rFonts w:ascii="Arial" w:hAnsi="Arial" w:cs="Arial"/>
          <w:sz w:val="23"/>
          <w:szCs w:val="23"/>
        </w:rPr>
        <w:t xml:space="preserve"> </w:t>
      </w:r>
      <w:r w:rsidRPr="00A84276">
        <w:rPr>
          <w:rFonts w:ascii="Arial" w:hAnsi="Arial" w:cs="Arial"/>
          <w:sz w:val="23"/>
          <w:szCs w:val="23"/>
        </w:rPr>
        <w:t>2 reported a link: in both cases, candidates to senior nursing roles (e.g. clinical nurse</w:t>
      </w:r>
      <w:r w:rsidR="00685560" w:rsidRPr="00A84276">
        <w:rPr>
          <w:rFonts w:ascii="Arial" w:hAnsi="Arial" w:cs="Arial"/>
          <w:sz w:val="23"/>
          <w:szCs w:val="23"/>
        </w:rPr>
        <w:t xml:space="preserve"> </w:t>
      </w:r>
      <w:r w:rsidRPr="00A84276">
        <w:rPr>
          <w:rFonts w:ascii="Arial" w:hAnsi="Arial" w:cs="Arial"/>
          <w:sz w:val="23"/>
          <w:szCs w:val="23"/>
        </w:rPr>
        <w:t>specialist, nurse consultant or advanced practitioner) were expected to be active</w:t>
      </w:r>
      <w:r w:rsidR="00685560" w:rsidRPr="00A84276">
        <w:rPr>
          <w:rFonts w:ascii="Arial" w:hAnsi="Arial" w:cs="Arial"/>
          <w:sz w:val="23"/>
          <w:szCs w:val="23"/>
        </w:rPr>
        <w:t xml:space="preserve"> </w:t>
      </w:r>
      <w:r w:rsidRPr="00A84276">
        <w:rPr>
          <w:rFonts w:ascii="Arial" w:hAnsi="Arial" w:cs="Arial"/>
          <w:sz w:val="23"/>
          <w:szCs w:val="23"/>
        </w:rPr>
        <w:t>NPs.</w:t>
      </w:r>
    </w:p>
    <w:p w:rsidR="00685560" w:rsidRPr="00A84276" w:rsidRDefault="00685560" w:rsidP="00685560">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Bold" w:hAnsi="Arial,Bold" w:cs="Arial,Bold"/>
          <w:b/>
          <w:bCs/>
          <w:sz w:val="23"/>
          <w:szCs w:val="23"/>
        </w:rPr>
      </w:pPr>
      <w:r w:rsidRPr="00A84276">
        <w:rPr>
          <w:rFonts w:ascii="Arial,Bold" w:hAnsi="Arial,Bold" w:cs="Arial,Bold"/>
          <w:b/>
          <w:bCs/>
          <w:sz w:val="23"/>
          <w:szCs w:val="23"/>
        </w:rPr>
        <w:t>Discussion</w:t>
      </w:r>
    </w:p>
    <w:p w:rsidR="00490C15"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This survey</w:t>
      </w:r>
      <w:r w:rsidR="00F03ABF" w:rsidRPr="00A84276">
        <w:rPr>
          <w:rFonts w:ascii="Arial" w:hAnsi="Arial" w:cs="Arial"/>
          <w:sz w:val="23"/>
          <w:szCs w:val="23"/>
        </w:rPr>
        <w:t xml:space="preserve"> follows two similar project</w:t>
      </w:r>
      <w:r w:rsidR="00B16500" w:rsidRPr="00A84276">
        <w:rPr>
          <w:rFonts w:ascii="Arial" w:hAnsi="Arial" w:cs="Arial"/>
          <w:sz w:val="23"/>
          <w:szCs w:val="23"/>
        </w:rPr>
        <w:t>s</w:t>
      </w:r>
      <w:r w:rsidR="00F03ABF" w:rsidRPr="00A84276">
        <w:rPr>
          <w:rFonts w:ascii="Arial" w:hAnsi="Arial" w:cs="Arial"/>
          <w:sz w:val="23"/>
          <w:szCs w:val="23"/>
        </w:rPr>
        <w:t xml:space="preserve"> undertaken in </w:t>
      </w:r>
      <w:r w:rsidR="00B16500" w:rsidRPr="00A84276">
        <w:rPr>
          <w:rFonts w:ascii="Arial" w:hAnsi="Arial" w:cs="Arial"/>
          <w:sz w:val="23"/>
          <w:szCs w:val="23"/>
        </w:rPr>
        <w:t xml:space="preserve">2005 (Gray </w:t>
      </w:r>
      <w:r w:rsidR="00B16500" w:rsidRPr="00A84276">
        <w:rPr>
          <w:rFonts w:ascii="Arial,Italic" w:hAnsi="Arial,Italic" w:cs="Arial,Italic"/>
          <w:i/>
          <w:iCs/>
          <w:sz w:val="23"/>
          <w:szCs w:val="23"/>
        </w:rPr>
        <w:t>et al</w:t>
      </w:r>
      <w:r w:rsidR="00B16500" w:rsidRPr="00A84276">
        <w:rPr>
          <w:rFonts w:ascii="Arial" w:hAnsi="Arial" w:cs="Arial"/>
          <w:sz w:val="23"/>
          <w:szCs w:val="23"/>
        </w:rPr>
        <w:t xml:space="preserve">. 2005) and 2008 (Dobel-Ober </w:t>
      </w:r>
      <w:r w:rsidR="00B16500" w:rsidRPr="00A84276">
        <w:rPr>
          <w:rFonts w:ascii="Arial,Italic" w:hAnsi="Arial,Italic" w:cs="Arial,Italic"/>
          <w:i/>
          <w:iCs/>
          <w:sz w:val="23"/>
          <w:szCs w:val="23"/>
        </w:rPr>
        <w:t>et al</w:t>
      </w:r>
      <w:r w:rsidR="00B16500" w:rsidRPr="00A84276">
        <w:rPr>
          <w:rFonts w:ascii="Arial" w:hAnsi="Arial" w:cs="Arial"/>
          <w:sz w:val="23"/>
          <w:szCs w:val="23"/>
        </w:rPr>
        <w:t xml:space="preserve">. 2010); it </w:t>
      </w:r>
      <w:r w:rsidRPr="00A84276">
        <w:rPr>
          <w:rFonts w:ascii="Arial" w:hAnsi="Arial" w:cs="Arial"/>
          <w:sz w:val="23"/>
          <w:szCs w:val="23"/>
        </w:rPr>
        <w:t>demonstrates a continued increase in the number of trained NPs in</w:t>
      </w:r>
      <w:r w:rsidR="00685560" w:rsidRPr="00A84276">
        <w:rPr>
          <w:rFonts w:ascii="Arial" w:hAnsi="Arial" w:cs="Arial"/>
          <w:sz w:val="23"/>
          <w:szCs w:val="23"/>
        </w:rPr>
        <w:t xml:space="preserve"> </w:t>
      </w:r>
      <w:r w:rsidRPr="00A84276">
        <w:rPr>
          <w:rFonts w:ascii="Arial" w:hAnsi="Arial" w:cs="Arial"/>
          <w:sz w:val="23"/>
          <w:szCs w:val="23"/>
        </w:rPr>
        <w:t>mental health services in England. This development is however not taking place</w:t>
      </w:r>
      <w:r w:rsidR="00685560" w:rsidRPr="00A84276">
        <w:rPr>
          <w:rFonts w:ascii="Arial" w:hAnsi="Arial" w:cs="Arial"/>
          <w:sz w:val="23"/>
          <w:szCs w:val="23"/>
        </w:rPr>
        <w:t xml:space="preserve"> </w:t>
      </w:r>
      <w:r w:rsidRPr="00A84276">
        <w:rPr>
          <w:rFonts w:ascii="Arial" w:hAnsi="Arial" w:cs="Arial"/>
          <w:sz w:val="23"/>
          <w:szCs w:val="23"/>
        </w:rPr>
        <w:t>consistently across all Trusts. In a small number of organisations, NP seems to have</w:t>
      </w:r>
      <w:r w:rsidR="00685560" w:rsidRPr="00A84276">
        <w:rPr>
          <w:rFonts w:ascii="Arial" w:hAnsi="Arial" w:cs="Arial"/>
          <w:sz w:val="23"/>
          <w:szCs w:val="23"/>
        </w:rPr>
        <w:t xml:space="preserve"> </w:t>
      </w:r>
      <w:r w:rsidRPr="00A84276">
        <w:rPr>
          <w:rFonts w:ascii="Arial" w:hAnsi="Arial" w:cs="Arial"/>
          <w:sz w:val="23"/>
          <w:szCs w:val="23"/>
        </w:rPr>
        <w:lastRenderedPageBreak/>
        <w:t>been implemen</w:t>
      </w:r>
      <w:r w:rsidR="00A90F3C" w:rsidRPr="00A84276">
        <w:rPr>
          <w:rFonts w:ascii="Arial" w:hAnsi="Arial" w:cs="Arial"/>
          <w:sz w:val="23"/>
          <w:szCs w:val="23"/>
        </w:rPr>
        <w:t>ted on a large scale, whilst</w:t>
      </w:r>
      <w:r w:rsidRPr="00A84276">
        <w:rPr>
          <w:rFonts w:ascii="Arial" w:hAnsi="Arial" w:cs="Arial"/>
          <w:sz w:val="23"/>
          <w:szCs w:val="23"/>
        </w:rPr>
        <w:t xml:space="preserve"> in others it has remained a role for just a</w:t>
      </w:r>
      <w:r w:rsidR="00685560" w:rsidRPr="00A84276">
        <w:rPr>
          <w:rFonts w:ascii="Arial" w:hAnsi="Arial" w:cs="Arial"/>
          <w:sz w:val="23"/>
          <w:szCs w:val="23"/>
        </w:rPr>
        <w:t xml:space="preserve"> </w:t>
      </w:r>
      <w:r w:rsidRPr="00A84276">
        <w:rPr>
          <w:rFonts w:ascii="Arial" w:hAnsi="Arial" w:cs="Arial"/>
          <w:sz w:val="23"/>
          <w:szCs w:val="23"/>
        </w:rPr>
        <w:t>few individuals, led by individual nurses with a personal interest in developing their</w:t>
      </w:r>
      <w:r w:rsidR="00685560" w:rsidRPr="00A84276">
        <w:rPr>
          <w:rFonts w:ascii="Arial" w:hAnsi="Arial" w:cs="Arial"/>
          <w:sz w:val="23"/>
          <w:szCs w:val="23"/>
        </w:rPr>
        <w:t xml:space="preserve"> </w:t>
      </w:r>
      <w:r w:rsidRPr="00A84276">
        <w:rPr>
          <w:rFonts w:ascii="Arial" w:hAnsi="Arial" w:cs="Arial"/>
          <w:sz w:val="23"/>
          <w:szCs w:val="23"/>
        </w:rPr>
        <w:t xml:space="preserve">practice. </w:t>
      </w:r>
    </w:p>
    <w:p w:rsidR="0019510B" w:rsidRPr="00A84276" w:rsidRDefault="0019510B"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Increasing variations in the use of NP between Trusts </w:t>
      </w:r>
      <w:r w:rsidR="00490C15" w:rsidRPr="00A84276">
        <w:rPr>
          <w:rFonts w:ascii="Arial" w:hAnsi="Arial" w:cs="Arial"/>
          <w:sz w:val="23"/>
          <w:szCs w:val="23"/>
        </w:rPr>
        <w:t xml:space="preserve">may lead </w:t>
      </w:r>
      <w:r w:rsidRPr="00A84276">
        <w:rPr>
          <w:rFonts w:ascii="Arial" w:hAnsi="Arial" w:cs="Arial"/>
          <w:sz w:val="23"/>
          <w:szCs w:val="23"/>
        </w:rPr>
        <w:t>to</w:t>
      </w:r>
      <w:r w:rsidR="00685560" w:rsidRPr="00A84276">
        <w:rPr>
          <w:rFonts w:ascii="Arial" w:hAnsi="Arial" w:cs="Arial"/>
          <w:sz w:val="23"/>
          <w:szCs w:val="23"/>
        </w:rPr>
        <w:t xml:space="preserve"> </w:t>
      </w:r>
      <w:r w:rsidRPr="00A84276">
        <w:rPr>
          <w:rFonts w:ascii="Arial" w:hAnsi="Arial" w:cs="Arial"/>
          <w:sz w:val="23"/>
          <w:szCs w:val="23"/>
        </w:rPr>
        <w:t>significant differences in the care experience of service users in various geographical</w:t>
      </w:r>
      <w:r w:rsidR="00685560" w:rsidRPr="00A84276">
        <w:rPr>
          <w:rFonts w:ascii="Arial" w:hAnsi="Arial" w:cs="Arial"/>
          <w:sz w:val="23"/>
          <w:szCs w:val="23"/>
        </w:rPr>
        <w:t xml:space="preserve"> </w:t>
      </w:r>
      <w:r w:rsidRPr="00A84276">
        <w:rPr>
          <w:rFonts w:ascii="Arial" w:hAnsi="Arial" w:cs="Arial"/>
          <w:sz w:val="23"/>
          <w:szCs w:val="23"/>
        </w:rPr>
        <w:t>areas. There is also a differential effect on the workforce; with some nurses expected</w:t>
      </w:r>
      <w:r w:rsidR="00685560" w:rsidRPr="00A84276">
        <w:rPr>
          <w:rFonts w:ascii="Arial" w:hAnsi="Arial" w:cs="Arial"/>
          <w:sz w:val="23"/>
          <w:szCs w:val="23"/>
        </w:rPr>
        <w:t xml:space="preserve"> </w:t>
      </w:r>
      <w:r w:rsidRPr="00A84276">
        <w:rPr>
          <w:rFonts w:ascii="Arial" w:hAnsi="Arial" w:cs="Arial"/>
          <w:sz w:val="23"/>
          <w:szCs w:val="23"/>
        </w:rPr>
        <w:t>to routinely integrate prescribing to their practice in some Trusts, whilst this remain</w:t>
      </w:r>
      <w:r w:rsidR="00140400" w:rsidRPr="00A84276">
        <w:rPr>
          <w:rFonts w:ascii="Arial" w:hAnsi="Arial" w:cs="Arial"/>
          <w:sz w:val="23"/>
          <w:szCs w:val="23"/>
        </w:rPr>
        <w:t>s</w:t>
      </w:r>
      <w:r w:rsidR="00685560" w:rsidRPr="00A84276">
        <w:rPr>
          <w:rFonts w:ascii="Arial" w:hAnsi="Arial" w:cs="Arial"/>
          <w:sz w:val="23"/>
          <w:szCs w:val="23"/>
        </w:rPr>
        <w:t xml:space="preserve"> </w:t>
      </w:r>
      <w:r w:rsidRPr="00A84276">
        <w:rPr>
          <w:rFonts w:ascii="Arial" w:hAnsi="Arial" w:cs="Arial"/>
          <w:sz w:val="23"/>
          <w:szCs w:val="23"/>
        </w:rPr>
        <w:t xml:space="preserve">the domain of </w:t>
      </w:r>
      <w:r w:rsidR="00C95E16" w:rsidRPr="00A84276">
        <w:rPr>
          <w:rFonts w:ascii="Arial" w:hAnsi="Arial" w:cs="Arial"/>
          <w:sz w:val="23"/>
          <w:szCs w:val="23"/>
        </w:rPr>
        <w:t>medical practitioners</w:t>
      </w:r>
      <w:r w:rsidRPr="00A84276">
        <w:rPr>
          <w:rFonts w:ascii="Arial" w:hAnsi="Arial" w:cs="Arial"/>
          <w:sz w:val="23"/>
          <w:szCs w:val="23"/>
        </w:rPr>
        <w:t xml:space="preserve"> and of a minority of nurse specialists in other organisations.</w:t>
      </w:r>
    </w:p>
    <w:p w:rsidR="00685560" w:rsidRPr="00A84276" w:rsidRDefault="00685560" w:rsidP="00A1658B">
      <w:pPr>
        <w:autoSpaceDE w:val="0"/>
        <w:autoSpaceDN w:val="0"/>
        <w:adjustRightInd w:val="0"/>
        <w:spacing w:after="0" w:line="240" w:lineRule="auto"/>
        <w:rPr>
          <w:rFonts w:ascii="Arial" w:hAnsi="Arial" w:cs="Arial"/>
          <w:sz w:val="23"/>
          <w:szCs w:val="23"/>
        </w:rPr>
      </w:pPr>
    </w:p>
    <w:p w:rsidR="00A44A88"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response rate to this survey (75%</w:t>
      </w:r>
      <w:r w:rsidR="00744D45" w:rsidRPr="00A84276">
        <w:rPr>
          <w:rFonts w:ascii="Arial" w:hAnsi="Arial" w:cs="Arial"/>
          <w:sz w:val="23"/>
          <w:szCs w:val="23"/>
        </w:rPr>
        <w:t>, n=39</w:t>
      </w:r>
      <w:r w:rsidRPr="00A84276">
        <w:rPr>
          <w:rFonts w:ascii="Arial" w:hAnsi="Arial" w:cs="Arial"/>
          <w:sz w:val="23"/>
          <w:szCs w:val="23"/>
        </w:rPr>
        <w:t xml:space="preserve">) was higher than </w:t>
      </w:r>
      <w:r w:rsidR="00A44A88" w:rsidRPr="00A84276">
        <w:rPr>
          <w:rFonts w:ascii="Arial" w:hAnsi="Arial" w:cs="Arial"/>
          <w:sz w:val="23"/>
          <w:szCs w:val="23"/>
        </w:rPr>
        <w:t xml:space="preserve">for </w:t>
      </w:r>
      <w:r w:rsidRPr="00A84276">
        <w:rPr>
          <w:rFonts w:ascii="Arial" w:hAnsi="Arial" w:cs="Arial"/>
          <w:sz w:val="23"/>
          <w:szCs w:val="23"/>
        </w:rPr>
        <w:t>previous</w:t>
      </w:r>
      <w:r w:rsidR="00685560" w:rsidRPr="00A84276">
        <w:rPr>
          <w:rFonts w:ascii="Arial" w:hAnsi="Arial" w:cs="Arial"/>
          <w:sz w:val="23"/>
          <w:szCs w:val="23"/>
        </w:rPr>
        <w:t xml:space="preserve"> </w:t>
      </w:r>
      <w:r w:rsidR="00A44A88" w:rsidRPr="00A84276">
        <w:rPr>
          <w:rFonts w:ascii="Arial" w:hAnsi="Arial" w:cs="Arial"/>
          <w:sz w:val="23"/>
          <w:szCs w:val="23"/>
        </w:rPr>
        <w:t>ones</w:t>
      </w:r>
      <w:r w:rsidRPr="00A84276">
        <w:rPr>
          <w:rFonts w:ascii="Arial" w:hAnsi="Arial" w:cs="Arial"/>
          <w:sz w:val="23"/>
          <w:szCs w:val="23"/>
        </w:rPr>
        <w:t xml:space="preserve">. This </w:t>
      </w:r>
      <w:r w:rsidR="00A44A88" w:rsidRPr="00A84276">
        <w:rPr>
          <w:rFonts w:ascii="Arial" w:hAnsi="Arial" w:cs="Arial"/>
          <w:sz w:val="23"/>
          <w:szCs w:val="23"/>
        </w:rPr>
        <w:t>may have been a result of the informal processes used to improve initial non response</w:t>
      </w:r>
      <w:r w:rsidR="006621E2" w:rsidRPr="00A84276">
        <w:rPr>
          <w:rFonts w:ascii="Arial" w:hAnsi="Arial" w:cs="Arial"/>
          <w:sz w:val="23"/>
          <w:szCs w:val="23"/>
        </w:rPr>
        <w:t xml:space="preserve"> and/or simply that more Trusts ha</w:t>
      </w:r>
      <w:r w:rsidR="00A90F3C" w:rsidRPr="00A84276">
        <w:rPr>
          <w:rFonts w:ascii="Arial" w:hAnsi="Arial" w:cs="Arial"/>
          <w:sz w:val="23"/>
          <w:szCs w:val="23"/>
        </w:rPr>
        <w:t>d</w:t>
      </w:r>
      <w:r w:rsidR="006621E2" w:rsidRPr="00A84276">
        <w:rPr>
          <w:rFonts w:ascii="Arial" w:hAnsi="Arial" w:cs="Arial"/>
          <w:sz w:val="23"/>
          <w:szCs w:val="23"/>
        </w:rPr>
        <w:t xml:space="preserve"> </w:t>
      </w:r>
      <w:r w:rsidR="00DD1FB0" w:rsidRPr="00A84276">
        <w:rPr>
          <w:rFonts w:ascii="Arial" w:hAnsi="Arial" w:cs="Arial"/>
          <w:sz w:val="23"/>
          <w:szCs w:val="23"/>
        </w:rPr>
        <w:t xml:space="preserve">a greater population of </w:t>
      </w:r>
      <w:r w:rsidR="006621E2" w:rsidRPr="00A84276">
        <w:rPr>
          <w:rFonts w:ascii="Arial" w:hAnsi="Arial" w:cs="Arial"/>
          <w:sz w:val="23"/>
          <w:szCs w:val="23"/>
        </w:rPr>
        <w:t xml:space="preserve">nurse prescribers and </w:t>
      </w:r>
      <w:r w:rsidR="00DD1FB0" w:rsidRPr="00A84276">
        <w:rPr>
          <w:rFonts w:ascii="Arial" w:hAnsi="Arial" w:cs="Arial"/>
          <w:sz w:val="23"/>
          <w:szCs w:val="23"/>
        </w:rPr>
        <w:t>ha</w:t>
      </w:r>
      <w:r w:rsidR="00A90F3C" w:rsidRPr="00A84276">
        <w:rPr>
          <w:rFonts w:ascii="Arial" w:hAnsi="Arial" w:cs="Arial"/>
          <w:sz w:val="23"/>
          <w:szCs w:val="23"/>
        </w:rPr>
        <w:t>d</w:t>
      </w:r>
      <w:r w:rsidR="00DD1FB0" w:rsidRPr="00A84276">
        <w:rPr>
          <w:rFonts w:ascii="Arial" w:hAnsi="Arial" w:cs="Arial"/>
          <w:sz w:val="23"/>
          <w:szCs w:val="23"/>
        </w:rPr>
        <w:t xml:space="preserve"> more information to contribute.</w:t>
      </w:r>
    </w:p>
    <w:p w:rsidR="00A44A88" w:rsidRPr="00A84276" w:rsidRDefault="00A44A88"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CMHTs, Drug /Alcohol services and Older People Community services remain the</w:t>
      </w:r>
      <w:r w:rsidR="00685560" w:rsidRPr="00A84276">
        <w:rPr>
          <w:rFonts w:ascii="Arial" w:hAnsi="Arial" w:cs="Arial"/>
          <w:sz w:val="23"/>
          <w:szCs w:val="23"/>
        </w:rPr>
        <w:t xml:space="preserve"> </w:t>
      </w:r>
      <w:r w:rsidRPr="00A84276">
        <w:rPr>
          <w:rFonts w:ascii="Arial" w:hAnsi="Arial" w:cs="Arial"/>
          <w:sz w:val="23"/>
          <w:szCs w:val="23"/>
        </w:rPr>
        <w:t>areas employing most NPs. A growth in NP in Drug/Alcohol services appears to be</w:t>
      </w:r>
      <w:r w:rsidR="00685560" w:rsidRPr="00A84276">
        <w:rPr>
          <w:rFonts w:ascii="Arial" w:hAnsi="Arial" w:cs="Arial"/>
          <w:sz w:val="23"/>
          <w:szCs w:val="23"/>
        </w:rPr>
        <w:t xml:space="preserve"> </w:t>
      </w:r>
      <w:r w:rsidRPr="00A84276">
        <w:rPr>
          <w:rFonts w:ascii="Arial" w:hAnsi="Arial" w:cs="Arial"/>
          <w:sz w:val="23"/>
          <w:szCs w:val="23"/>
        </w:rPr>
        <w:t>directly related to the removal of some restrictions on the use of controlled drugs by</w:t>
      </w:r>
      <w:r w:rsidR="00685560" w:rsidRPr="00A84276">
        <w:rPr>
          <w:rFonts w:ascii="Arial" w:hAnsi="Arial" w:cs="Arial"/>
          <w:sz w:val="23"/>
          <w:szCs w:val="23"/>
        </w:rPr>
        <w:t xml:space="preserve"> </w:t>
      </w:r>
      <w:r w:rsidRPr="00A84276">
        <w:rPr>
          <w:rFonts w:ascii="Arial" w:hAnsi="Arial" w:cs="Arial"/>
          <w:sz w:val="23"/>
          <w:szCs w:val="23"/>
        </w:rPr>
        <w:t>independent non-medical prescriber (Home Office, 2012). It is likely that the true</w:t>
      </w:r>
      <w:r w:rsidR="00685560" w:rsidRPr="00A84276">
        <w:rPr>
          <w:rFonts w:ascii="Arial" w:hAnsi="Arial" w:cs="Arial"/>
          <w:sz w:val="23"/>
          <w:szCs w:val="23"/>
        </w:rPr>
        <w:t xml:space="preserve"> </w:t>
      </w:r>
      <w:r w:rsidRPr="00A84276">
        <w:rPr>
          <w:rFonts w:ascii="Arial" w:hAnsi="Arial" w:cs="Arial"/>
          <w:sz w:val="23"/>
          <w:szCs w:val="23"/>
        </w:rPr>
        <w:t>level of NP in Substance Misuse services is underestimated in this current survey as</w:t>
      </w:r>
      <w:r w:rsidR="00685560" w:rsidRPr="00A84276">
        <w:rPr>
          <w:rFonts w:ascii="Arial" w:hAnsi="Arial" w:cs="Arial"/>
          <w:sz w:val="23"/>
          <w:szCs w:val="23"/>
        </w:rPr>
        <w:t xml:space="preserve"> </w:t>
      </w:r>
      <w:r w:rsidRPr="00A84276">
        <w:rPr>
          <w:rFonts w:ascii="Arial" w:hAnsi="Arial" w:cs="Arial"/>
          <w:sz w:val="23"/>
          <w:szCs w:val="23"/>
        </w:rPr>
        <w:t>the changing provision of Substance Misuse services from NHS to independent</w:t>
      </w:r>
      <w:r w:rsidR="00685560" w:rsidRPr="00A84276">
        <w:rPr>
          <w:rFonts w:ascii="Arial" w:hAnsi="Arial" w:cs="Arial"/>
          <w:sz w:val="23"/>
          <w:szCs w:val="23"/>
        </w:rPr>
        <w:t xml:space="preserve"> </w:t>
      </w:r>
      <w:r w:rsidRPr="00A84276">
        <w:rPr>
          <w:rFonts w:ascii="Arial" w:hAnsi="Arial" w:cs="Arial"/>
          <w:sz w:val="23"/>
          <w:szCs w:val="23"/>
        </w:rPr>
        <w:t>sector providers makes it likely that this survey would miss many NPs in the sector</w:t>
      </w:r>
      <w:r w:rsidR="00685560" w:rsidRPr="00A84276">
        <w:rPr>
          <w:rFonts w:ascii="Arial" w:hAnsi="Arial" w:cs="Arial"/>
          <w:sz w:val="23"/>
          <w:szCs w:val="23"/>
        </w:rPr>
        <w:t xml:space="preserve"> </w:t>
      </w:r>
      <w:r w:rsidRPr="00A84276">
        <w:rPr>
          <w:rFonts w:ascii="Arial" w:hAnsi="Arial" w:cs="Arial"/>
          <w:sz w:val="23"/>
          <w:szCs w:val="23"/>
        </w:rPr>
        <w:t>(Mundt-Leach and Atkinson 2014).Crisis Resolution &amp; Home Treatment (CRHT) also</w:t>
      </w:r>
      <w:r w:rsidR="00685560" w:rsidRPr="00A84276">
        <w:rPr>
          <w:rFonts w:ascii="Arial" w:hAnsi="Arial" w:cs="Arial"/>
          <w:sz w:val="23"/>
          <w:szCs w:val="23"/>
        </w:rPr>
        <w:t xml:space="preserve"> </w:t>
      </w:r>
      <w:r w:rsidRPr="00A84276">
        <w:rPr>
          <w:rFonts w:ascii="Arial" w:hAnsi="Arial" w:cs="Arial"/>
          <w:sz w:val="23"/>
          <w:szCs w:val="23"/>
        </w:rPr>
        <w:t>increased their use of NP in the last 6 years. Services with short periods of treatment</w:t>
      </w:r>
      <w:r w:rsidR="00685560" w:rsidRPr="00A84276">
        <w:rPr>
          <w:rFonts w:ascii="Arial" w:hAnsi="Arial" w:cs="Arial"/>
          <w:sz w:val="23"/>
          <w:szCs w:val="23"/>
        </w:rPr>
        <w:t xml:space="preserve"> </w:t>
      </w:r>
      <w:r w:rsidRPr="00A84276">
        <w:rPr>
          <w:rFonts w:ascii="Arial" w:hAnsi="Arial" w:cs="Arial"/>
          <w:sz w:val="23"/>
          <w:szCs w:val="23"/>
        </w:rPr>
        <w:t>such as CRHT are unlikely to be able to make major use of SP arrangements, so the</w:t>
      </w:r>
      <w:r w:rsidR="00685560" w:rsidRPr="00A84276">
        <w:rPr>
          <w:rFonts w:ascii="Arial" w:hAnsi="Arial" w:cs="Arial"/>
          <w:sz w:val="23"/>
          <w:szCs w:val="23"/>
        </w:rPr>
        <w:t xml:space="preserve"> </w:t>
      </w:r>
      <w:r w:rsidRPr="00A84276">
        <w:rPr>
          <w:rFonts w:ascii="Arial" w:hAnsi="Arial" w:cs="Arial"/>
          <w:sz w:val="23"/>
          <w:szCs w:val="23"/>
        </w:rPr>
        <w:t>growth in IP offers a more responsive approach in this context.</w:t>
      </w:r>
    </w:p>
    <w:p w:rsidR="002D0357" w:rsidRPr="00A84276" w:rsidRDefault="002D0357" w:rsidP="00A1658B">
      <w:pPr>
        <w:autoSpaceDE w:val="0"/>
        <w:autoSpaceDN w:val="0"/>
        <w:adjustRightInd w:val="0"/>
        <w:spacing w:after="0" w:line="240" w:lineRule="auto"/>
        <w:rPr>
          <w:rFonts w:ascii="Arial" w:hAnsi="Arial" w:cs="Arial"/>
          <w:sz w:val="23"/>
          <w:szCs w:val="23"/>
        </w:rPr>
      </w:pPr>
    </w:p>
    <w:p w:rsidR="0019510B" w:rsidRPr="00A84276" w:rsidRDefault="00A1658B" w:rsidP="0019510B">
      <w:pPr>
        <w:autoSpaceDE w:val="0"/>
        <w:autoSpaceDN w:val="0"/>
        <w:adjustRightInd w:val="0"/>
        <w:spacing w:after="0" w:line="240" w:lineRule="auto"/>
        <w:rPr>
          <w:rFonts w:ascii="Arial" w:hAnsi="Arial" w:cs="Arial"/>
          <w:sz w:val="24"/>
          <w:szCs w:val="24"/>
        </w:rPr>
      </w:pPr>
      <w:r w:rsidRPr="00A84276">
        <w:rPr>
          <w:rFonts w:ascii="Arial" w:hAnsi="Arial" w:cs="Arial"/>
          <w:sz w:val="23"/>
          <w:szCs w:val="23"/>
        </w:rPr>
        <w:t>Indeed, one of the most striking findings emerging from his survey is the</w:t>
      </w:r>
      <w:r w:rsidR="002D0357" w:rsidRPr="00A84276">
        <w:rPr>
          <w:rFonts w:ascii="Arial" w:hAnsi="Arial" w:cs="Arial"/>
          <w:sz w:val="23"/>
          <w:szCs w:val="23"/>
        </w:rPr>
        <w:t xml:space="preserve"> </w:t>
      </w:r>
      <w:r w:rsidRPr="00A84276">
        <w:rPr>
          <w:rFonts w:ascii="Arial" w:hAnsi="Arial" w:cs="Arial"/>
          <w:sz w:val="23"/>
          <w:szCs w:val="23"/>
        </w:rPr>
        <w:t xml:space="preserve">development of </w:t>
      </w:r>
      <w:r w:rsidRPr="00A84276">
        <w:rPr>
          <w:rFonts w:ascii="Arial" w:hAnsi="Arial" w:cs="Arial"/>
          <w:sz w:val="24"/>
          <w:szCs w:val="24"/>
        </w:rPr>
        <w:t>independent over supplementary prescribing. In 2008, only 25% of</w:t>
      </w:r>
      <w:r w:rsidR="002D0357" w:rsidRPr="00A84276">
        <w:rPr>
          <w:rFonts w:ascii="Arial" w:hAnsi="Arial" w:cs="Arial"/>
          <w:sz w:val="24"/>
          <w:szCs w:val="24"/>
        </w:rPr>
        <w:t xml:space="preserve"> </w:t>
      </w:r>
      <w:r w:rsidRPr="00A84276">
        <w:rPr>
          <w:rFonts w:ascii="Arial" w:hAnsi="Arial" w:cs="Arial"/>
          <w:sz w:val="24"/>
          <w:szCs w:val="24"/>
        </w:rPr>
        <w:t>NPs were independent against 76% in 2014; this change is apparent in all clinical</w:t>
      </w:r>
      <w:r w:rsidR="002D0357" w:rsidRPr="00A84276">
        <w:rPr>
          <w:rFonts w:ascii="Arial" w:hAnsi="Arial" w:cs="Arial"/>
          <w:sz w:val="24"/>
          <w:szCs w:val="24"/>
        </w:rPr>
        <w:t xml:space="preserve"> </w:t>
      </w:r>
      <w:r w:rsidRPr="00A84276">
        <w:rPr>
          <w:rFonts w:ascii="Arial" w:hAnsi="Arial" w:cs="Arial"/>
          <w:sz w:val="24"/>
          <w:szCs w:val="24"/>
        </w:rPr>
        <w:t xml:space="preserve">areas. </w:t>
      </w:r>
      <w:r w:rsidR="0019510B" w:rsidRPr="00A84276">
        <w:rPr>
          <w:rFonts w:ascii="Arial" w:hAnsi="Arial" w:cs="Arial"/>
          <w:sz w:val="24"/>
          <w:szCs w:val="24"/>
        </w:rPr>
        <w:t xml:space="preserve">Nearly one in three responding Trusts also indicated that all their NPs were independent. The 2008 </w:t>
      </w:r>
      <w:r w:rsidR="00EE0ACC" w:rsidRPr="00A84276">
        <w:rPr>
          <w:rFonts w:ascii="Arial" w:hAnsi="Arial" w:cs="Arial"/>
          <w:sz w:val="24"/>
          <w:szCs w:val="24"/>
        </w:rPr>
        <w:t xml:space="preserve">survey </w:t>
      </w:r>
      <w:r w:rsidR="0019510B" w:rsidRPr="00A84276">
        <w:rPr>
          <w:rFonts w:ascii="Arial" w:hAnsi="Arial" w:cs="Arial"/>
          <w:sz w:val="24"/>
          <w:szCs w:val="24"/>
        </w:rPr>
        <w:t xml:space="preserve">reported that respondents were significantly more likely to rate IP as more useful than SP in the majority of areas of practice (Dobel-Ober et al 2010). </w:t>
      </w:r>
      <w:r w:rsidR="00EE0ACC" w:rsidRPr="00A84276">
        <w:rPr>
          <w:rFonts w:ascii="Arial" w:hAnsi="Arial" w:cs="Arial"/>
          <w:sz w:val="24"/>
          <w:szCs w:val="24"/>
        </w:rPr>
        <w:t xml:space="preserve">This view has now been translated into practice. </w:t>
      </w:r>
    </w:p>
    <w:p w:rsidR="002D0357" w:rsidRPr="00A84276" w:rsidRDefault="002D0357"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Governance arrangements for NP seem to have been strengthened significantly. In</w:t>
      </w:r>
      <w:r w:rsidR="002D0357" w:rsidRPr="00A84276">
        <w:rPr>
          <w:rFonts w:ascii="Arial" w:hAnsi="Arial" w:cs="Arial"/>
          <w:sz w:val="23"/>
          <w:szCs w:val="23"/>
        </w:rPr>
        <w:t xml:space="preserve"> </w:t>
      </w:r>
      <w:r w:rsidRPr="00A84276">
        <w:rPr>
          <w:rFonts w:ascii="Arial" w:hAnsi="Arial" w:cs="Arial"/>
          <w:sz w:val="23"/>
          <w:szCs w:val="23"/>
        </w:rPr>
        <w:t>2008, 21% of responding Trusts had no strategies in place to audit, register or</w:t>
      </w:r>
      <w:r w:rsidR="002D0357" w:rsidRPr="00A84276">
        <w:rPr>
          <w:rFonts w:ascii="Arial" w:hAnsi="Arial" w:cs="Arial"/>
          <w:sz w:val="23"/>
          <w:szCs w:val="23"/>
        </w:rPr>
        <w:t xml:space="preserve"> </w:t>
      </w:r>
      <w:r w:rsidRPr="00A84276">
        <w:rPr>
          <w:rFonts w:ascii="Arial" w:hAnsi="Arial" w:cs="Arial"/>
          <w:sz w:val="23"/>
          <w:szCs w:val="23"/>
        </w:rPr>
        <w:t>support NP; in 2014, every organisation surveyed had a dedicated NMP lead,</w:t>
      </w:r>
      <w:r w:rsidR="002D0357" w:rsidRPr="00A84276">
        <w:rPr>
          <w:rFonts w:ascii="Arial" w:hAnsi="Arial" w:cs="Arial"/>
          <w:sz w:val="23"/>
          <w:szCs w:val="23"/>
        </w:rPr>
        <w:t xml:space="preserve"> </w:t>
      </w:r>
      <w:r w:rsidRPr="00A84276">
        <w:rPr>
          <w:rFonts w:ascii="Arial" w:hAnsi="Arial" w:cs="Arial"/>
          <w:sz w:val="23"/>
          <w:szCs w:val="23"/>
        </w:rPr>
        <w:t>maintained a register, and the vast majority provided a formal CPD programme</w:t>
      </w:r>
      <w:r w:rsidR="002D0357" w:rsidRPr="00A84276">
        <w:rPr>
          <w:rFonts w:ascii="Arial" w:hAnsi="Arial" w:cs="Arial"/>
          <w:sz w:val="23"/>
          <w:szCs w:val="23"/>
        </w:rPr>
        <w:t xml:space="preserve"> </w:t>
      </w:r>
      <w:r w:rsidRPr="00A84276">
        <w:rPr>
          <w:rFonts w:ascii="Arial" w:hAnsi="Arial" w:cs="Arial"/>
          <w:sz w:val="23"/>
          <w:szCs w:val="23"/>
        </w:rPr>
        <w:t xml:space="preserve">despite </w:t>
      </w:r>
      <w:r w:rsidR="00D729F5" w:rsidRPr="00A84276">
        <w:rPr>
          <w:rFonts w:ascii="Arial" w:hAnsi="Arial" w:cs="Arial"/>
          <w:sz w:val="23"/>
          <w:szCs w:val="23"/>
        </w:rPr>
        <w:t xml:space="preserve">the </w:t>
      </w:r>
      <w:r w:rsidRPr="00A84276">
        <w:rPr>
          <w:rFonts w:ascii="Arial" w:hAnsi="Arial" w:cs="Arial"/>
          <w:sz w:val="23"/>
          <w:szCs w:val="23"/>
        </w:rPr>
        <w:t>diverse numbers of NPs employed in each Trust (varying from 3 to 146).</w:t>
      </w:r>
      <w:r w:rsidR="00750051" w:rsidRPr="00A84276">
        <w:rPr>
          <w:rFonts w:ascii="Arial" w:hAnsi="Arial" w:cs="Arial"/>
          <w:sz w:val="23"/>
          <w:szCs w:val="23"/>
        </w:rPr>
        <w:t xml:space="preserve"> </w:t>
      </w:r>
      <w:r w:rsidR="00D729F5" w:rsidRPr="00A84276">
        <w:rPr>
          <w:rFonts w:ascii="Arial" w:hAnsi="Arial" w:cs="Arial"/>
          <w:sz w:val="23"/>
          <w:szCs w:val="23"/>
        </w:rPr>
        <w:t>NPs working in Trusts with no formal CPD may require to access events delivered by other organisations in order to meet the requirements for revalidation of their professional registration.</w:t>
      </w:r>
    </w:p>
    <w:p w:rsidR="002D0357" w:rsidRPr="00A84276" w:rsidRDefault="002D0357"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2008 survey found little evidence of formal strategies to maximize the expansion</w:t>
      </w:r>
      <w:r w:rsidR="002D0357" w:rsidRPr="00A84276">
        <w:rPr>
          <w:rFonts w:ascii="Arial" w:hAnsi="Arial" w:cs="Arial"/>
          <w:sz w:val="23"/>
          <w:szCs w:val="23"/>
        </w:rPr>
        <w:t xml:space="preserve"> </w:t>
      </w:r>
      <w:r w:rsidRPr="00A84276">
        <w:rPr>
          <w:rFonts w:ascii="Arial" w:hAnsi="Arial" w:cs="Arial"/>
          <w:sz w:val="23"/>
          <w:szCs w:val="23"/>
        </w:rPr>
        <w:t>of NP; development often seemed to occur on an ad hoc basis, under the leadership</w:t>
      </w:r>
      <w:r w:rsidR="002D0357" w:rsidRPr="00A84276">
        <w:rPr>
          <w:rFonts w:ascii="Arial" w:hAnsi="Arial" w:cs="Arial"/>
          <w:sz w:val="23"/>
          <w:szCs w:val="23"/>
        </w:rPr>
        <w:t xml:space="preserve"> </w:t>
      </w:r>
      <w:r w:rsidRPr="00A84276">
        <w:rPr>
          <w:rFonts w:ascii="Arial" w:hAnsi="Arial" w:cs="Arial"/>
          <w:sz w:val="23"/>
          <w:szCs w:val="23"/>
        </w:rPr>
        <w:t>of individual nurses who expressed a personal interest in prescribing. An increasing</w:t>
      </w:r>
      <w:r w:rsidR="002D0357" w:rsidRPr="00A84276">
        <w:rPr>
          <w:rFonts w:ascii="Arial" w:hAnsi="Arial" w:cs="Arial"/>
          <w:sz w:val="23"/>
          <w:szCs w:val="23"/>
        </w:rPr>
        <w:t xml:space="preserve"> </w:t>
      </w:r>
      <w:r w:rsidRPr="00A84276">
        <w:rPr>
          <w:rFonts w:ascii="Arial" w:hAnsi="Arial" w:cs="Arial"/>
          <w:sz w:val="23"/>
          <w:szCs w:val="23"/>
        </w:rPr>
        <w:t>number of Trusts now seem to be applying a more strategic approach, often integrating implementation to service re-design. However, in half the organisations surveyed, needs for NP were still identified at service or team level, or by individual nurses themselves.</w:t>
      </w:r>
    </w:p>
    <w:p w:rsidR="00A1658B" w:rsidRPr="00A84276" w:rsidRDefault="00A1658B"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Very few Trusts have a clear definition of </w:t>
      </w:r>
      <w:r w:rsidRPr="00A84276">
        <w:rPr>
          <w:rFonts w:ascii="Arial,Italic" w:hAnsi="Arial,Italic" w:cs="Arial,Italic"/>
          <w:i/>
          <w:iCs/>
          <w:sz w:val="23"/>
          <w:szCs w:val="23"/>
        </w:rPr>
        <w:t xml:space="preserve">active prescriber, </w:t>
      </w:r>
      <w:r w:rsidRPr="00A84276">
        <w:rPr>
          <w:rFonts w:ascii="Arial" w:hAnsi="Arial" w:cs="Arial"/>
          <w:sz w:val="23"/>
          <w:szCs w:val="23"/>
        </w:rPr>
        <w:t xml:space="preserve">despite the fact that this is often described as key criteria to maintain staff on local NP registers. Non-active NPs </w:t>
      </w:r>
      <w:r w:rsidRPr="00A84276">
        <w:rPr>
          <w:rFonts w:ascii="Arial" w:hAnsi="Arial" w:cs="Arial"/>
          <w:sz w:val="23"/>
          <w:szCs w:val="23"/>
        </w:rPr>
        <w:lastRenderedPageBreak/>
        <w:t>are likely to be under-reported and although their proportion has reduced slightly, it remains an issue.</w:t>
      </w:r>
    </w:p>
    <w:p w:rsidR="002D0357" w:rsidRPr="00A84276" w:rsidRDefault="002D0357"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 xml:space="preserve">Despite the significant growth of NP in many organisations, links between prescribing and career progression or remuneration are weak. Being a prescriber is a condition to advancement in some cases, an essential part of some senior roles, but is not in itself sufficient to progress a career. This may be significant if it suggests that organisations see NP as one amongst several skills that nurses may need to possess, rather than being a nurse’s </w:t>
      </w:r>
      <w:r w:rsidRPr="00A84276">
        <w:rPr>
          <w:rFonts w:ascii="Arial,Italic" w:hAnsi="Arial,Italic" w:cs="Arial,Italic"/>
          <w:i/>
          <w:iCs/>
          <w:sz w:val="23"/>
          <w:szCs w:val="23"/>
        </w:rPr>
        <w:t xml:space="preserve">main </w:t>
      </w:r>
      <w:r w:rsidRPr="00A84276">
        <w:rPr>
          <w:rFonts w:ascii="Arial" w:hAnsi="Arial" w:cs="Arial"/>
          <w:sz w:val="23"/>
          <w:szCs w:val="23"/>
        </w:rPr>
        <w:t>role.</w:t>
      </w:r>
    </w:p>
    <w:p w:rsidR="002D0357" w:rsidRPr="00A84276" w:rsidRDefault="002D0357"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Overall, NP is still a minority practice in mental health nursing. This survey suggests that 4.2% of MHNs are trained to prescribe (in those Trusts providing sufficient data) and although NP has the potential to positively change ways of working and delivering care, it has not been embraced universally. There is currently little definitive evidence regarding clinical outcomes and financial value from NP. This lack of evidence may have helped to stall development in organisations facing significant financial pressure: the initial investment in training and support structure for a relatively unproven practice might have been considered too much of a risk.</w:t>
      </w:r>
    </w:p>
    <w:p w:rsidR="00A1658B" w:rsidRPr="00A84276" w:rsidRDefault="00A1658B" w:rsidP="00A1658B">
      <w:pPr>
        <w:autoSpaceDE w:val="0"/>
        <w:autoSpaceDN w:val="0"/>
        <w:adjustRightInd w:val="0"/>
        <w:spacing w:after="0" w:line="240" w:lineRule="auto"/>
        <w:rPr>
          <w:rFonts w:ascii="Arial" w:hAnsi="Arial" w:cs="Arial"/>
          <w:sz w:val="23"/>
          <w:szCs w:val="23"/>
        </w:rPr>
      </w:pPr>
    </w:p>
    <w:p w:rsidR="00A1658B" w:rsidRPr="00A84276" w:rsidRDefault="00A1658B" w:rsidP="00A1658B">
      <w:pPr>
        <w:autoSpaceDE w:val="0"/>
        <w:autoSpaceDN w:val="0"/>
        <w:adjustRightInd w:val="0"/>
        <w:spacing w:after="0" w:line="240" w:lineRule="auto"/>
        <w:rPr>
          <w:rFonts w:ascii="Arial" w:hAnsi="Arial" w:cs="Arial"/>
          <w:sz w:val="23"/>
          <w:szCs w:val="23"/>
        </w:rPr>
      </w:pPr>
      <w:r w:rsidRPr="00A84276">
        <w:rPr>
          <w:rFonts w:ascii="Arial" w:hAnsi="Arial" w:cs="Arial"/>
          <w:sz w:val="23"/>
          <w:szCs w:val="23"/>
        </w:rPr>
        <w:t>The authors of the 2008 survey (Dobel-Ober et al 2010) concluded that NP may have been at a crossroads, with Trusts opting to prioritise the development of either independent or supplementary prescribing. Recent developments seem to indicate that IP is currently the main direction of travel</w:t>
      </w:r>
      <w:r w:rsidR="0044770A" w:rsidRPr="00A84276">
        <w:rPr>
          <w:rFonts w:ascii="Arial" w:hAnsi="Arial" w:cs="Arial"/>
          <w:sz w:val="23"/>
          <w:szCs w:val="23"/>
        </w:rPr>
        <w:t xml:space="preserve"> for </w:t>
      </w:r>
      <w:r w:rsidR="00FC62C2" w:rsidRPr="00A84276">
        <w:rPr>
          <w:rFonts w:ascii="Arial" w:hAnsi="Arial" w:cs="Arial"/>
          <w:sz w:val="23"/>
          <w:szCs w:val="23"/>
        </w:rPr>
        <w:t xml:space="preserve">most </w:t>
      </w:r>
      <w:r w:rsidR="0044770A" w:rsidRPr="00A84276">
        <w:rPr>
          <w:rFonts w:ascii="Arial" w:hAnsi="Arial" w:cs="Arial"/>
          <w:sz w:val="23"/>
          <w:szCs w:val="23"/>
        </w:rPr>
        <w:t xml:space="preserve">Trusts </w:t>
      </w:r>
      <w:r w:rsidR="00FC62C2" w:rsidRPr="00A84276">
        <w:rPr>
          <w:rFonts w:ascii="Arial" w:hAnsi="Arial" w:cs="Arial"/>
          <w:sz w:val="23"/>
          <w:szCs w:val="23"/>
        </w:rPr>
        <w:t>actively promoting NP.</w:t>
      </w:r>
    </w:p>
    <w:p w:rsidR="002D0357" w:rsidRPr="00A84276" w:rsidRDefault="002D0357" w:rsidP="00A1658B">
      <w:pPr>
        <w:autoSpaceDE w:val="0"/>
        <w:autoSpaceDN w:val="0"/>
        <w:adjustRightInd w:val="0"/>
        <w:spacing w:after="0" w:line="240" w:lineRule="auto"/>
        <w:rPr>
          <w:rFonts w:ascii="Arial" w:hAnsi="Arial" w:cs="Arial"/>
          <w:sz w:val="23"/>
          <w:szCs w:val="23"/>
        </w:rPr>
      </w:pPr>
    </w:p>
    <w:p w:rsidR="00A1658B" w:rsidRPr="00A84276" w:rsidRDefault="00FC6D20" w:rsidP="00A1658B">
      <w:pPr>
        <w:autoSpaceDE w:val="0"/>
        <w:autoSpaceDN w:val="0"/>
        <w:adjustRightInd w:val="0"/>
        <w:spacing w:after="0" w:line="240" w:lineRule="auto"/>
        <w:rPr>
          <w:rFonts w:ascii="Arial" w:hAnsi="Arial" w:cs="Arial"/>
          <w:sz w:val="24"/>
          <w:szCs w:val="24"/>
        </w:rPr>
      </w:pPr>
      <w:r w:rsidRPr="00A84276">
        <w:rPr>
          <w:rFonts w:ascii="Arial" w:hAnsi="Arial" w:cs="Arial"/>
          <w:sz w:val="24"/>
          <w:szCs w:val="24"/>
        </w:rPr>
        <w:t>Although the acceptability of NP in mental hea</w:t>
      </w:r>
      <w:r w:rsidR="0019510B" w:rsidRPr="00A84276">
        <w:rPr>
          <w:rFonts w:ascii="Arial" w:hAnsi="Arial" w:cs="Arial"/>
          <w:sz w:val="24"/>
          <w:szCs w:val="24"/>
        </w:rPr>
        <w:t>l</w:t>
      </w:r>
      <w:r w:rsidRPr="00A84276">
        <w:rPr>
          <w:rFonts w:ascii="Arial" w:hAnsi="Arial" w:cs="Arial"/>
          <w:sz w:val="24"/>
          <w:szCs w:val="24"/>
        </w:rPr>
        <w:t xml:space="preserve">th settings </w:t>
      </w:r>
      <w:r w:rsidR="0019510B" w:rsidRPr="00A84276">
        <w:rPr>
          <w:rFonts w:ascii="Arial" w:hAnsi="Arial" w:cs="Arial"/>
          <w:sz w:val="24"/>
          <w:szCs w:val="24"/>
        </w:rPr>
        <w:t xml:space="preserve">to service users </w:t>
      </w:r>
      <w:r w:rsidRPr="00A84276">
        <w:rPr>
          <w:rFonts w:ascii="Arial" w:hAnsi="Arial" w:cs="Arial"/>
          <w:sz w:val="24"/>
          <w:szCs w:val="24"/>
        </w:rPr>
        <w:t xml:space="preserve">has been increasingly well evidenced (Jones et al. 2007; Norman et al 2010; Ross et al 2014) it is noteworthy that since the last survey in 2008 no significant new research has provided evidence as to issues of the safety, effectiveness and cost of independent NP in this setting. </w:t>
      </w:r>
      <w:r w:rsidR="00A1658B" w:rsidRPr="00A84276">
        <w:rPr>
          <w:rFonts w:ascii="Arial" w:hAnsi="Arial" w:cs="Arial"/>
          <w:sz w:val="24"/>
          <w:szCs w:val="24"/>
        </w:rPr>
        <w:t xml:space="preserve">A future research priority </w:t>
      </w:r>
      <w:r w:rsidRPr="00A84276">
        <w:rPr>
          <w:rFonts w:ascii="Arial" w:hAnsi="Arial" w:cs="Arial"/>
          <w:sz w:val="24"/>
          <w:szCs w:val="24"/>
        </w:rPr>
        <w:t>is to address this lack of knowledge, in the context of which, bo</w:t>
      </w:r>
      <w:r w:rsidR="00A1658B" w:rsidRPr="00A84276">
        <w:rPr>
          <w:rFonts w:ascii="Arial" w:hAnsi="Arial" w:cs="Arial"/>
          <w:sz w:val="24"/>
          <w:szCs w:val="24"/>
        </w:rPr>
        <w:t xml:space="preserve">th nurses and medical practitioners are reported as seeing both potential benefits in NP and risks </w:t>
      </w:r>
      <w:r w:rsidRPr="00A84276">
        <w:rPr>
          <w:rFonts w:ascii="Arial" w:hAnsi="Arial" w:cs="Arial"/>
          <w:sz w:val="24"/>
          <w:szCs w:val="24"/>
        </w:rPr>
        <w:t>as well (</w:t>
      </w:r>
      <w:proofErr w:type="spellStart"/>
      <w:r w:rsidRPr="00A84276">
        <w:rPr>
          <w:rFonts w:ascii="Arial" w:hAnsi="Arial" w:cs="Arial"/>
          <w:sz w:val="24"/>
          <w:szCs w:val="24"/>
        </w:rPr>
        <w:t>Devane</w:t>
      </w:r>
      <w:proofErr w:type="spellEnd"/>
      <w:r w:rsidRPr="00A84276">
        <w:rPr>
          <w:rFonts w:ascii="Arial" w:hAnsi="Arial" w:cs="Arial"/>
          <w:sz w:val="24"/>
          <w:szCs w:val="24"/>
        </w:rPr>
        <w:t xml:space="preserve"> &amp; Leahy-Warren </w:t>
      </w:r>
      <w:proofErr w:type="gramStart"/>
      <w:r w:rsidRPr="00A84276">
        <w:rPr>
          <w:rFonts w:ascii="Arial" w:hAnsi="Arial" w:cs="Arial"/>
          <w:sz w:val="24"/>
          <w:szCs w:val="24"/>
        </w:rPr>
        <w:t>2015</w:t>
      </w:r>
      <w:r w:rsidR="00A1658B" w:rsidRPr="00A84276">
        <w:rPr>
          <w:rFonts w:ascii="Arial" w:hAnsi="Arial" w:cs="Arial"/>
          <w:sz w:val="24"/>
          <w:szCs w:val="24"/>
        </w:rPr>
        <w:t xml:space="preserve"> ;</w:t>
      </w:r>
      <w:proofErr w:type="gramEnd"/>
      <w:r w:rsidR="00A1658B" w:rsidRPr="00A84276">
        <w:rPr>
          <w:rFonts w:ascii="Arial" w:hAnsi="Arial" w:cs="Arial"/>
          <w:sz w:val="24"/>
          <w:szCs w:val="24"/>
        </w:rPr>
        <w:t xml:space="preserve"> Earle </w:t>
      </w:r>
      <w:r w:rsidR="00A1658B" w:rsidRPr="00A84276">
        <w:rPr>
          <w:rFonts w:ascii="Arial,Italic" w:hAnsi="Arial,Italic" w:cs="Arial,Italic"/>
          <w:i/>
          <w:iCs/>
          <w:sz w:val="24"/>
          <w:szCs w:val="24"/>
        </w:rPr>
        <w:t xml:space="preserve">et al. </w:t>
      </w:r>
      <w:r w:rsidRPr="00A84276">
        <w:rPr>
          <w:rFonts w:ascii="Arial" w:hAnsi="Arial" w:cs="Arial"/>
          <w:sz w:val="24"/>
          <w:szCs w:val="24"/>
        </w:rPr>
        <w:t>2011</w:t>
      </w:r>
      <w:r w:rsidR="00A1658B" w:rsidRPr="00A84276">
        <w:rPr>
          <w:rFonts w:ascii="Arial" w:hAnsi="Arial" w:cs="Arial"/>
          <w:sz w:val="24"/>
          <w:szCs w:val="24"/>
        </w:rPr>
        <w:t xml:space="preserve">; </w:t>
      </w:r>
      <w:proofErr w:type="spellStart"/>
      <w:r w:rsidR="00A1658B" w:rsidRPr="00A84276">
        <w:rPr>
          <w:rFonts w:ascii="Arial" w:hAnsi="Arial" w:cs="Arial"/>
          <w:sz w:val="24"/>
          <w:szCs w:val="24"/>
        </w:rPr>
        <w:t>Gumber</w:t>
      </w:r>
      <w:proofErr w:type="spellEnd"/>
      <w:r w:rsidR="00A1658B" w:rsidRPr="00A84276">
        <w:rPr>
          <w:rFonts w:ascii="Arial" w:hAnsi="Arial" w:cs="Arial"/>
          <w:sz w:val="24"/>
          <w:szCs w:val="24"/>
        </w:rPr>
        <w:t xml:space="preserve"> </w:t>
      </w:r>
      <w:r w:rsidR="00A1658B" w:rsidRPr="00A84276">
        <w:rPr>
          <w:rFonts w:ascii="Arial,Italic" w:hAnsi="Arial,Italic" w:cs="Arial,Italic"/>
          <w:i/>
          <w:iCs/>
          <w:sz w:val="24"/>
          <w:szCs w:val="24"/>
        </w:rPr>
        <w:t xml:space="preserve">et al. </w:t>
      </w:r>
      <w:r w:rsidRPr="00A84276">
        <w:rPr>
          <w:rFonts w:ascii="Arial" w:hAnsi="Arial" w:cs="Arial"/>
          <w:sz w:val="24"/>
          <w:szCs w:val="24"/>
        </w:rPr>
        <w:t>2012)</w:t>
      </w:r>
      <w:r w:rsidR="00A1658B" w:rsidRPr="00A84276">
        <w:rPr>
          <w:rFonts w:ascii="Arial" w:hAnsi="Arial" w:cs="Arial"/>
          <w:sz w:val="24"/>
          <w:szCs w:val="24"/>
        </w:rPr>
        <w:t>. With the large scale growth of NP in several Trusts in England, these services have also now reached a scale that may provide opportunities for researchers to undertake comparative studies of different care delivery systems with and without NPs, as well as looking at outcomes with individual practitioners.</w:t>
      </w:r>
      <w:r w:rsidR="008E3E87" w:rsidRPr="00A84276">
        <w:rPr>
          <w:rFonts w:ascii="Arial" w:hAnsi="Arial" w:cs="Arial"/>
          <w:sz w:val="24"/>
          <w:szCs w:val="24"/>
        </w:rPr>
        <w:t xml:space="preserve"> It would also be of great interest to track the development of non-medical prescribing within othe</w:t>
      </w:r>
      <w:r w:rsidR="00D01A76" w:rsidRPr="00A84276">
        <w:rPr>
          <w:rFonts w:ascii="Arial" w:hAnsi="Arial" w:cs="Arial"/>
          <w:sz w:val="24"/>
          <w:szCs w:val="24"/>
        </w:rPr>
        <w:t xml:space="preserve">r professions (e.g. pharmacists or occupational therapists) and get a better understanding of its impact on service delivery and patient’s experience. </w:t>
      </w:r>
    </w:p>
    <w:p w:rsidR="00A41684" w:rsidRPr="00A84276" w:rsidRDefault="00A41684" w:rsidP="00A1658B">
      <w:pPr>
        <w:autoSpaceDE w:val="0"/>
        <w:autoSpaceDN w:val="0"/>
        <w:adjustRightInd w:val="0"/>
        <w:spacing w:after="0" w:line="240" w:lineRule="auto"/>
        <w:rPr>
          <w:rFonts w:ascii="Arial" w:hAnsi="Arial" w:cs="Arial"/>
          <w:sz w:val="24"/>
          <w:szCs w:val="24"/>
        </w:rPr>
      </w:pPr>
    </w:p>
    <w:p w:rsidR="00A41684" w:rsidRPr="00A84276" w:rsidRDefault="00A41684" w:rsidP="00A41684">
      <w:pPr>
        <w:autoSpaceDE w:val="0"/>
        <w:autoSpaceDN w:val="0"/>
        <w:adjustRightInd w:val="0"/>
        <w:spacing w:after="0" w:line="240" w:lineRule="auto"/>
        <w:rPr>
          <w:rFonts w:ascii="Arial" w:hAnsi="Arial" w:cs="Arial"/>
          <w:sz w:val="24"/>
          <w:szCs w:val="24"/>
        </w:rPr>
      </w:pPr>
      <w:r w:rsidRPr="00A84276">
        <w:rPr>
          <w:rFonts w:ascii="Arial" w:hAnsi="Arial" w:cs="Arial"/>
          <w:sz w:val="24"/>
          <w:szCs w:val="24"/>
        </w:rPr>
        <w:t xml:space="preserve">This study confirms international evidence that the introduction of nurse prescribing can </w:t>
      </w:r>
      <w:r w:rsidR="00FC62C2" w:rsidRPr="00A84276">
        <w:rPr>
          <w:rFonts w:ascii="Arial" w:hAnsi="Arial" w:cs="Arial"/>
          <w:sz w:val="24"/>
          <w:szCs w:val="24"/>
        </w:rPr>
        <w:t xml:space="preserve">present difficulties </w:t>
      </w:r>
      <w:r w:rsidR="007822BF" w:rsidRPr="00A84276">
        <w:rPr>
          <w:rFonts w:ascii="Arial" w:hAnsi="Arial" w:cs="Arial"/>
          <w:sz w:val="24"/>
          <w:szCs w:val="24"/>
        </w:rPr>
        <w:t xml:space="preserve"> and </w:t>
      </w:r>
      <w:r w:rsidRPr="00A84276">
        <w:rPr>
          <w:rFonts w:ascii="Arial" w:hAnsi="Arial" w:cs="Arial"/>
          <w:sz w:val="24"/>
          <w:szCs w:val="24"/>
        </w:rPr>
        <w:t>take many years to reach numbers which can make a major differ</w:t>
      </w:r>
      <w:r w:rsidR="00A209BB" w:rsidRPr="00A84276">
        <w:rPr>
          <w:rFonts w:ascii="Arial" w:hAnsi="Arial" w:cs="Arial"/>
          <w:sz w:val="24"/>
          <w:szCs w:val="24"/>
        </w:rPr>
        <w:t>ence to service delivery models</w:t>
      </w:r>
      <w:r w:rsidRPr="00A84276">
        <w:rPr>
          <w:rFonts w:ascii="Arial" w:hAnsi="Arial" w:cs="Arial"/>
          <w:sz w:val="24"/>
          <w:szCs w:val="24"/>
        </w:rPr>
        <w:t xml:space="preserve"> (</w:t>
      </w:r>
      <w:r w:rsidR="007822BF" w:rsidRPr="00A84276">
        <w:rPr>
          <w:rFonts w:ascii="Arial" w:hAnsi="Arial" w:cs="Arial"/>
          <w:sz w:val="24"/>
          <w:szCs w:val="24"/>
        </w:rPr>
        <w:t xml:space="preserve">Fisher 2005; </w:t>
      </w:r>
      <w:proofErr w:type="spellStart"/>
      <w:r w:rsidRPr="00A84276">
        <w:rPr>
          <w:rFonts w:ascii="Arial" w:hAnsi="Arial" w:cs="Arial"/>
          <w:sz w:val="24"/>
          <w:szCs w:val="24"/>
        </w:rPr>
        <w:t>Chaston</w:t>
      </w:r>
      <w:proofErr w:type="spellEnd"/>
      <w:r w:rsidRPr="00A84276">
        <w:rPr>
          <w:rFonts w:ascii="Arial" w:hAnsi="Arial" w:cs="Arial"/>
          <w:sz w:val="24"/>
          <w:szCs w:val="24"/>
        </w:rPr>
        <w:t xml:space="preserve"> and </w:t>
      </w:r>
      <w:proofErr w:type="spellStart"/>
      <w:r w:rsidRPr="00A84276">
        <w:rPr>
          <w:rFonts w:ascii="Arial" w:hAnsi="Arial" w:cs="Arial"/>
          <w:sz w:val="24"/>
          <w:szCs w:val="24"/>
        </w:rPr>
        <w:t>Seccombe</w:t>
      </w:r>
      <w:proofErr w:type="spellEnd"/>
      <w:r w:rsidR="00FC6D20" w:rsidRPr="00A84276">
        <w:rPr>
          <w:rFonts w:ascii="Arial" w:hAnsi="Arial" w:cs="Arial"/>
          <w:sz w:val="24"/>
          <w:szCs w:val="24"/>
        </w:rPr>
        <w:t xml:space="preserve"> </w:t>
      </w:r>
      <w:r w:rsidRPr="00A84276">
        <w:rPr>
          <w:rFonts w:ascii="Arial" w:hAnsi="Arial" w:cs="Arial"/>
          <w:sz w:val="24"/>
          <w:szCs w:val="24"/>
        </w:rPr>
        <w:t>2009</w:t>
      </w:r>
      <w:r w:rsidR="007822BF" w:rsidRPr="00A84276">
        <w:rPr>
          <w:rFonts w:ascii="Arial" w:hAnsi="Arial" w:cs="Arial"/>
          <w:sz w:val="24"/>
          <w:szCs w:val="24"/>
        </w:rPr>
        <w:t xml:space="preserve">; </w:t>
      </w:r>
      <w:proofErr w:type="spellStart"/>
      <w:r w:rsidR="007822BF" w:rsidRPr="00A84276">
        <w:rPr>
          <w:rFonts w:ascii="Arial" w:hAnsi="Arial" w:cs="Arial"/>
          <w:sz w:val="24"/>
          <w:szCs w:val="24"/>
        </w:rPr>
        <w:t>McBrien</w:t>
      </w:r>
      <w:proofErr w:type="spellEnd"/>
      <w:r w:rsidR="007822BF" w:rsidRPr="00A84276">
        <w:rPr>
          <w:rFonts w:ascii="Arial" w:hAnsi="Arial" w:cs="Arial"/>
          <w:sz w:val="24"/>
          <w:szCs w:val="24"/>
        </w:rPr>
        <w:t xml:space="preserve"> 2015</w:t>
      </w:r>
      <w:r w:rsidRPr="00A84276">
        <w:rPr>
          <w:rFonts w:ascii="Arial" w:hAnsi="Arial" w:cs="Arial"/>
          <w:sz w:val="24"/>
          <w:szCs w:val="24"/>
        </w:rPr>
        <w:t>).</w:t>
      </w:r>
      <w:r w:rsidR="00A209BB" w:rsidRPr="00A84276">
        <w:rPr>
          <w:rFonts w:ascii="Arial" w:hAnsi="Arial" w:cs="Arial"/>
          <w:sz w:val="24"/>
          <w:szCs w:val="24"/>
        </w:rPr>
        <w:t xml:space="preserve"> The conditions under which nurses prescribe medicines vary considerably, from countries where nurses prescribe independently to countries in which prescribing by nurses is only allowed under strict conditions and the supervision of physicians (</w:t>
      </w:r>
      <w:proofErr w:type="spellStart"/>
      <w:r w:rsidR="00A209BB" w:rsidRPr="00A84276">
        <w:rPr>
          <w:rFonts w:ascii="Arial" w:hAnsi="Arial" w:cs="Arial"/>
          <w:sz w:val="24"/>
          <w:szCs w:val="24"/>
        </w:rPr>
        <w:t>Kroezen</w:t>
      </w:r>
      <w:proofErr w:type="spellEnd"/>
      <w:r w:rsidR="00A209BB" w:rsidRPr="00A84276">
        <w:rPr>
          <w:rFonts w:ascii="Arial" w:hAnsi="Arial" w:cs="Arial"/>
          <w:sz w:val="24"/>
          <w:szCs w:val="24"/>
        </w:rPr>
        <w:t xml:space="preserve"> et al 2012). This current survey </w:t>
      </w:r>
      <w:r w:rsidR="007822BF" w:rsidRPr="00A84276">
        <w:rPr>
          <w:rFonts w:ascii="Arial" w:hAnsi="Arial" w:cs="Arial"/>
          <w:sz w:val="24"/>
          <w:szCs w:val="24"/>
        </w:rPr>
        <w:t xml:space="preserve">confirms other perceptions that </w:t>
      </w:r>
      <w:r w:rsidR="00A209BB" w:rsidRPr="00A84276">
        <w:rPr>
          <w:rFonts w:ascii="Arial" w:hAnsi="Arial" w:cs="Arial"/>
          <w:sz w:val="24"/>
          <w:szCs w:val="24"/>
        </w:rPr>
        <w:t>the model of nurse prescribing adopted is liable to influence its applicability in different clinical settings</w:t>
      </w:r>
      <w:r w:rsidR="007822BF" w:rsidRPr="00A84276">
        <w:rPr>
          <w:rFonts w:ascii="Arial" w:hAnsi="Arial" w:cs="Arial"/>
          <w:sz w:val="24"/>
          <w:szCs w:val="24"/>
        </w:rPr>
        <w:t xml:space="preserve"> (Fisher 2005)</w:t>
      </w:r>
      <w:r w:rsidR="00A209BB" w:rsidRPr="00A84276">
        <w:rPr>
          <w:rFonts w:ascii="Arial" w:hAnsi="Arial" w:cs="Arial"/>
          <w:sz w:val="24"/>
          <w:szCs w:val="24"/>
        </w:rPr>
        <w:t xml:space="preserve">. </w:t>
      </w:r>
      <w:r w:rsidR="003004B3" w:rsidRPr="00A84276">
        <w:rPr>
          <w:rFonts w:ascii="Arial" w:hAnsi="Arial" w:cs="Arial"/>
          <w:sz w:val="24"/>
          <w:szCs w:val="24"/>
        </w:rPr>
        <w:t xml:space="preserve">This survey </w:t>
      </w:r>
      <w:r w:rsidR="00C521C0" w:rsidRPr="00A84276">
        <w:rPr>
          <w:rFonts w:ascii="Arial" w:hAnsi="Arial" w:cs="Arial"/>
          <w:sz w:val="24"/>
          <w:szCs w:val="24"/>
        </w:rPr>
        <w:t xml:space="preserve">also </w:t>
      </w:r>
      <w:r w:rsidR="003004B3" w:rsidRPr="00A84276">
        <w:rPr>
          <w:rFonts w:ascii="Arial" w:hAnsi="Arial" w:cs="Arial"/>
          <w:sz w:val="24"/>
          <w:szCs w:val="24"/>
        </w:rPr>
        <w:t xml:space="preserve">reveals </w:t>
      </w:r>
      <w:r w:rsidR="005D2F53" w:rsidRPr="00A84276">
        <w:rPr>
          <w:rFonts w:ascii="Arial" w:hAnsi="Arial" w:cs="Arial"/>
          <w:sz w:val="24"/>
          <w:szCs w:val="24"/>
        </w:rPr>
        <w:t xml:space="preserve">that there has been a stark change in the type of non-medical prescribing practiced by mental health nurses in </w:t>
      </w:r>
      <w:r w:rsidR="00A209BB" w:rsidRPr="00A84276">
        <w:rPr>
          <w:rFonts w:ascii="Arial" w:hAnsi="Arial" w:cs="Arial"/>
          <w:sz w:val="24"/>
          <w:szCs w:val="24"/>
        </w:rPr>
        <w:t>England</w:t>
      </w:r>
      <w:r w:rsidR="005D2F53" w:rsidRPr="00A84276">
        <w:rPr>
          <w:rFonts w:ascii="Arial" w:hAnsi="Arial" w:cs="Arial"/>
          <w:sz w:val="24"/>
          <w:szCs w:val="24"/>
        </w:rPr>
        <w:t>:</w:t>
      </w:r>
      <w:r w:rsidR="00C521C0" w:rsidRPr="00A84276">
        <w:rPr>
          <w:rFonts w:ascii="Arial" w:hAnsi="Arial" w:cs="Arial"/>
          <w:sz w:val="24"/>
          <w:szCs w:val="24"/>
        </w:rPr>
        <w:t xml:space="preserve"> in most services, </w:t>
      </w:r>
      <w:r w:rsidR="00A209BB" w:rsidRPr="00A84276">
        <w:rPr>
          <w:rFonts w:ascii="Arial" w:hAnsi="Arial" w:cs="Arial"/>
          <w:sz w:val="24"/>
          <w:szCs w:val="24"/>
        </w:rPr>
        <w:t xml:space="preserve">organisations find Independent </w:t>
      </w:r>
      <w:r w:rsidR="00A209BB" w:rsidRPr="00A84276">
        <w:rPr>
          <w:rFonts w:ascii="Arial" w:hAnsi="Arial" w:cs="Arial"/>
          <w:sz w:val="24"/>
          <w:szCs w:val="24"/>
        </w:rPr>
        <w:lastRenderedPageBreak/>
        <w:t>Prescribing more appropriate as a model than Supplementary Prescribing, where nurse prescribing takes place only within the parameters laid out initial</w:t>
      </w:r>
      <w:r w:rsidR="00C521C0" w:rsidRPr="00A84276">
        <w:rPr>
          <w:rFonts w:ascii="Arial" w:hAnsi="Arial" w:cs="Arial"/>
          <w:sz w:val="24"/>
          <w:szCs w:val="24"/>
        </w:rPr>
        <w:t xml:space="preserve">ly by a medical practitioner; Independent Prescribing has gradually transitioned from a minority to a majority practice amongst mental health nurse prescribers. </w:t>
      </w:r>
      <w:r w:rsidR="008E3B27" w:rsidRPr="00A84276">
        <w:rPr>
          <w:rFonts w:ascii="Arial" w:hAnsi="Arial" w:cs="Arial"/>
          <w:sz w:val="24"/>
          <w:szCs w:val="24"/>
        </w:rPr>
        <w:t>Organisati</w:t>
      </w:r>
      <w:r w:rsidR="00C521C0" w:rsidRPr="00A84276">
        <w:rPr>
          <w:rFonts w:ascii="Arial" w:hAnsi="Arial" w:cs="Arial"/>
          <w:sz w:val="24"/>
          <w:szCs w:val="24"/>
        </w:rPr>
        <w:t xml:space="preserve">ons </w:t>
      </w:r>
      <w:r w:rsidR="008E3B27" w:rsidRPr="00A84276">
        <w:rPr>
          <w:rFonts w:ascii="Arial" w:hAnsi="Arial" w:cs="Arial"/>
          <w:sz w:val="24"/>
          <w:szCs w:val="24"/>
        </w:rPr>
        <w:t>employing the highest number of nurse prescribers are also those making the highest and sometime exclusive use of Independent Prescribing.</w:t>
      </w:r>
    </w:p>
    <w:p w:rsidR="00A1658B" w:rsidRPr="00A84276" w:rsidRDefault="00A1658B" w:rsidP="00A1658B">
      <w:pPr>
        <w:rPr>
          <w:rFonts w:ascii="Arial" w:hAnsi="Arial" w:cs="Arial"/>
          <w:sz w:val="24"/>
          <w:szCs w:val="24"/>
        </w:rPr>
      </w:pPr>
    </w:p>
    <w:p w:rsidR="00A1658B" w:rsidRPr="00A84276" w:rsidRDefault="00A1658B" w:rsidP="00A1658B">
      <w:pPr>
        <w:autoSpaceDE w:val="0"/>
        <w:autoSpaceDN w:val="0"/>
        <w:adjustRightInd w:val="0"/>
        <w:spacing w:after="0" w:line="240" w:lineRule="auto"/>
        <w:rPr>
          <w:rFonts w:ascii="Arial" w:hAnsi="Arial" w:cs="Arial"/>
          <w:b/>
          <w:bCs/>
          <w:sz w:val="24"/>
          <w:szCs w:val="24"/>
        </w:rPr>
      </w:pPr>
      <w:r w:rsidRPr="00A84276">
        <w:rPr>
          <w:rFonts w:ascii="Arial" w:hAnsi="Arial" w:cs="Arial"/>
          <w:b/>
          <w:bCs/>
          <w:sz w:val="24"/>
          <w:szCs w:val="24"/>
        </w:rPr>
        <w:t>Conclusions</w:t>
      </w:r>
    </w:p>
    <w:p w:rsidR="00A1658B" w:rsidRPr="00A84276" w:rsidRDefault="00A1658B" w:rsidP="002D0357">
      <w:pPr>
        <w:autoSpaceDE w:val="0"/>
        <w:autoSpaceDN w:val="0"/>
        <w:adjustRightInd w:val="0"/>
        <w:spacing w:after="0" w:line="240" w:lineRule="auto"/>
        <w:rPr>
          <w:rFonts w:ascii="Arial" w:hAnsi="Arial" w:cs="Arial"/>
          <w:sz w:val="24"/>
          <w:szCs w:val="24"/>
        </w:rPr>
      </w:pPr>
      <w:r w:rsidRPr="00A84276">
        <w:rPr>
          <w:rFonts w:ascii="Arial" w:hAnsi="Arial" w:cs="Arial"/>
          <w:sz w:val="24"/>
          <w:szCs w:val="24"/>
        </w:rPr>
        <w:t>Nurse prescribing continues to grow in mental health organisations although is still characterised by wide variations in the level of usage. Such variation is likely to continue in the absence of a definitive evidence base demonstrating clear advantages of nurse prescribing either in terms of clinical, experiential or financial</w:t>
      </w:r>
      <w:r w:rsidR="002D0357" w:rsidRPr="00A84276">
        <w:rPr>
          <w:rFonts w:ascii="Arial" w:hAnsi="Arial" w:cs="Arial"/>
          <w:sz w:val="24"/>
          <w:szCs w:val="24"/>
        </w:rPr>
        <w:t xml:space="preserve"> </w:t>
      </w:r>
      <w:r w:rsidRPr="00A84276">
        <w:rPr>
          <w:rFonts w:ascii="Arial" w:hAnsi="Arial" w:cs="Arial"/>
          <w:sz w:val="24"/>
          <w:szCs w:val="24"/>
        </w:rPr>
        <w:t xml:space="preserve">outcomes. </w:t>
      </w:r>
    </w:p>
    <w:p w:rsidR="00A1658B" w:rsidRPr="00A84276" w:rsidRDefault="00A1658B" w:rsidP="00A1658B">
      <w:pPr>
        <w:rPr>
          <w:rFonts w:ascii="Arial" w:hAnsi="Arial" w:cs="Arial"/>
          <w:sz w:val="24"/>
          <w:szCs w:val="24"/>
        </w:rPr>
      </w:pPr>
    </w:p>
    <w:p w:rsidR="002D0357" w:rsidRPr="00A84276" w:rsidRDefault="002D0357" w:rsidP="002D0357">
      <w:pPr>
        <w:autoSpaceDE w:val="0"/>
        <w:autoSpaceDN w:val="0"/>
        <w:adjustRightInd w:val="0"/>
        <w:spacing w:after="0" w:line="240" w:lineRule="auto"/>
        <w:rPr>
          <w:rFonts w:ascii="Arial" w:hAnsi="Arial" w:cs="Arial"/>
          <w:b/>
          <w:bCs/>
          <w:sz w:val="24"/>
          <w:szCs w:val="24"/>
        </w:rPr>
      </w:pPr>
      <w:r w:rsidRPr="00A84276">
        <w:rPr>
          <w:rFonts w:ascii="Arial" w:hAnsi="Arial" w:cs="Arial"/>
          <w:b/>
          <w:bCs/>
          <w:sz w:val="24"/>
          <w:szCs w:val="24"/>
        </w:rPr>
        <w:t>References</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Bradley E., </w:t>
      </w:r>
      <w:proofErr w:type="spellStart"/>
      <w:r w:rsidRPr="00A84276">
        <w:rPr>
          <w:rFonts w:ascii="Arial" w:hAnsi="Arial" w:cs="Arial"/>
          <w:sz w:val="24"/>
          <w:szCs w:val="24"/>
        </w:rPr>
        <w:t>Hynam</w:t>
      </w:r>
      <w:proofErr w:type="spellEnd"/>
      <w:r w:rsidRPr="00A84276">
        <w:rPr>
          <w:rFonts w:ascii="Arial" w:hAnsi="Arial" w:cs="Arial"/>
          <w:sz w:val="24"/>
          <w:szCs w:val="24"/>
        </w:rPr>
        <w:t xml:space="preserve"> B. &amp; Nolan P. (2007) Nurse prescribing: reflections on safety in practice. Social Science &amp; Medicine 65, 599–609.</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Bradley </w:t>
      </w:r>
      <w:proofErr w:type="spellStart"/>
      <w:r w:rsidRPr="00A84276">
        <w:rPr>
          <w:rFonts w:ascii="Arial" w:hAnsi="Arial" w:cs="Arial"/>
          <w:sz w:val="24"/>
          <w:szCs w:val="24"/>
        </w:rPr>
        <w:t>E.</w:t>
      </w:r>
      <w:proofErr w:type="gramStart"/>
      <w:r w:rsidRPr="00A84276">
        <w:rPr>
          <w:rFonts w:ascii="Arial" w:hAnsi="Arial" w:cs="Arial"/>
          <w:sz w:val="24"/>
          <w:szCs w:val="24"/>
        </w:rPr>
        <w:t>,Wain</w:t>
      </w:r>
      <w:proofErr w:type="spellEnd"/>
      <w:proofErr w:type="gramEnd"/>
      <w:r w:rsidRPr="00A84276">
        <w:rPr>
          <w:rFonts w:ascii="Arial" w:hAnsi="Arial" w:cs="Arial"/>
          <w:sz w:val="24"/>
          <w:szCs w:val="24"/>
        </w:rPr>
        <w:t xml:space="preserve"> P.&amp; Nolan P. (2008) Putting mental health nurse prescribing into practice. Nurse Prescribing 6, 15–19.</w:t>
      </w:r>
    </w:p>
    <w:p w:rsidR="00E23C80" w:rsidRPr="00A84276" w:rsidRDefault="00E23C80" w:rsidP="00E23C80">
      <w:pPr>
        <w:rPr>
          <w:rFonts w:ascii="Arial" w:hAnsi="Arial" w:cs="Arial"/>
          <w:sz w:val="24"/>
          <w:szCs w:val="24"/>
        </w:rPr>
      </w:pPr>
      <w:r w:rsidRPr="00A84276">
        <w:rPr>
          <w:rFonts w:ascii="Arial" w:hAnsi="Arial" w:cs="Arial"/>
          <w:sz w:val="24"/>
          <w:szCs w:val="24"/>
        </w:rPr>
        <w:t>Brimblecombe, N. R. (2005). The changing relationship between mental health nurses and psychiatrists in the United Kingdom. Journal of Advanced Nursing 49(4), 344-353.</w:t>
      </w:r>
    </w:p>
    <w:p w:rsidR="00E23C80" w:rsidRPr="00A84276" w:rsidRDefault="00E23C80" w:rsidP="00E23C80">
      <w:pPr>
        <w:rPr>
          <w:rFonts w:ascii="Arial" w:hAnsi="Arial" w:cs="Arial"/>
          <w:sz w:val="24"/>
          <w:szCs w:val="24"/>
        </w:rPr>
      </w:pPr>
      <w:r w:rsidRPr="00A84276">
        <w:rPr>
          <w:rFonts w:ascii="Arial" w:hAnsi="Arial" w:cs="Arial"/>
          <w:sz w:val="24"/>
          <w:szCs w:val="24"/>
        </w:rPr>
        <w:t>Brimblecombe N., Parr A. &amp; Gray R. (2005) Medication and mental health nurses: developing new ways of working. Mental Health Practice 8(5), 12-14.</w:t>
      </w:r>
    </w:p>
    <w:p w:rsidR="00E23C80" w:rsidRPr="00A84276" w:rsidRDefault="000410FA" w:rsidP="000410FA">
      <w:pPr>
        <w:rPr>
          <w:rFonts w:ascii="Arial" w:hAnsi="Arial" w:cs="Arial"/>
          <w:sz w:val="24"/>
          <w:szCs w:val="24"/>
        </w:rPr>
      </w:pPr>
      <w:proofErr w:type="spellStart"/>
      <w:r w:rsidRPr="00A84276">
        <w:rPr>
          <w:rFonts w:ascii="Arial" w:hAnsi="Arial" w:cs="Arial"/>
          <w:sz w:val="24"/>
          <w:szCs w:val="24"/>
        </w:rPr>
        <w:t>Chaston</w:t>
      </w:r>
      <w:proofErr w:type="spellEnd"/>
      <w:r w:rsidRPr="00A84276">
        <w:rPr>
          <w:rFonts w:ascii="Arial" w:hAnsi="Arial" w:cs="Arial"/>
          <w:sz w:val="24"/>
          <w:szCs w:val="24"/>
        </w:rPr>
        <w:t xml:space="preserve"> D, </w:t>
      </w:r>
      <w:proofErr w:type="spellStart"/>
      <w:r w:rsidRPr="00A84276">
        <w:rPr>
          <w:rFonts w:ascii="Arial" w:hAnsi="Arial" w:cs="Arial"/>
          <w:sz w:val="24"/>
          <w:szCs w:val="24"/>
        </w:rPr>
        <w:t>Seccombe</w:t>
      </w:r>
      <w:proofErr w:type="spellEnd"/>
      <w:r w:rsidRPr="00A84276">
        <w:rPr>
          <w:rFonts w:ascii="Arial" w:hAnsi="Arial" w:cs="Arial"/>
          <w:sz w:val="24"/>
          <w:szCs w:val="24"/>
        </w:rPr>
        <w:t xml:space="preserve"> J. (2009) </w:t>
      </w:r>
      <w:proofErr w:type="gramStart"/>
      <w:r w:rsidRPr="00A84276">
        <w:rPr>
          <w:rFonts w:ascii="Arial" w:hAnsi="Arial" w:cs="Arial"/>
          <w:sz w:val="24"/>
          <w:szCs w:val="24"/>
        </w:rPr>
        <w:t>Mental</w:t>
      </w:r>
      <w:proofErr w:type="gramEnd"/>
      <w:r w:rsidRPr="00A84276">
        <w:rPr>
          <w:rFonts w:ascii="Arial" w:hAnsi="Arial" w:cs="Arial"/>
          <w:sz w:val="24"/>
          <w:szCs w:val="24"/>
        </w:rPr>
        <w:t xml:space="preserve"> health nurse prescribing in New Zealand and the United kingdom: comparing the pathways. Perspectives </w:t>
      </w:r>
      <w:proofErr w:type="gramStart"/>
      <w:r w:rsidRPr="00A84276">
        <w:rPr>
          <w:rFonts w:ascii="Arial" w:hAnsi="Arial" w:cs="Arial"/>
          <w:sz w:val="24"/>
          <w:szCs w:val="24"/>
        </w:rPr>
        <w:t>In</w:t>
      </w:r>
      <w:proofErr w:type="gramEnd"/>
      <w:r w:rsidRPr="00A84276">
        <w:rPr>
          <w:rFonts w:ascii="Arial" w:hAnsi="Arial" w:cs="Arial"/>
          <w:sz w:val="24"/>
          <w:szCs w:val="24"/>
        </w:rPr>
        <w:t xml:space="preserve"> Psychiatric Care 45, 17-23.</w:t>
      </w:r>
    </w:p>
    <w:p w:rsidR="00E23C80" w:rsidRPr="00A84276" w:rsidRDefault="00E23C80" w:rsidP="00E23C80">
      <w:pPr>
        <w:rPr>
          <w:rFonts w:ascii="Arial" w:hAnsi="Arial" w:cs="Arial"/>
          <w:sz w:val="24"/>
          <w:szCs w:val="24"/>
        </w:rPr>
      </w:pPr>
      <w:r w:rsidRPr="00A84276">
        <w:rPr>
          <w:rFonts w:ascii="Arial" w:hAnsi="Arial" w:cs="Arial"/>
          <w:sz w:val="24"/>
          <w:szCs w:val="24"/>
        </w:rPr>
        <w:t>Cipher D., Hooker R.S. &amp; Guerra P. (2006) Prescribing trends by nurse practitioners and physician assistants in the United States. Journal of the American Academy of Nurse Practitioners 18,291-296.</w:t>
      </w:r>
    </w:p>
    <w:p w:rsidR="00E23C80" w:rsidRPr="00A84276" w:rsidRDefault="00E23C80" w:rsidP="00E23C80">
      <w:pPr>
        <w:rPr>
          <w:rFonts w:ascii="Arial" w:hAnsi="Arial" w:cs="Arial"/>
          <w:sz w:val="24"/>
          <w:szCs w:val="24"/>
        </w:rPr>
      </w:pPr>
      <w:r w:rsidRPr="00A84276">
        <w:rPr>
          <w:rFonts w:ascii="Arial" w:hAnsi="Arial" w:cs="Arial"/>
          <w:sz w:val="24"/>
          <w:szCs w:val="24"/>
        </w:rPr>
        <w:t>Department of Health (2005) Nurse and pharmacist prescribing</w:t>
      </w:r>
    </w:p>
    <w:p w:rsidR="00E23C80" w:rsidRPr="00A84276" w:rsidRDefault="00E23C80" w:rsidP="00E23C80">
      <w:pPr>
        <w:rPr>
          <w:rFonts w:ascii="Arial" w:hAnsi="Arial" w:cs="Arial"/>
          <w:sz w:val="24"/>
          <w:szCs w:val="24"/>
        </w:rPr>
      </w:pPr>
      <w:proofErr w:type="gramStart"/>
      <w:r w:rsidRPr="00A84276">
        <w:rPr>
          <w:rFonts w:ascii="Arial" w:hAnsi="Arial" w:cs="Arial"/>
          <w:sz w:val="24"/>
          <w:szCs w:val="24"/>
        </w:rPr>
        <w:t>powers</w:t>
      </w:r>
      <w:proofErr w:type="gramEnd"/>
      <w:r w:rsidRPr="00A84276">
        <w:rPr>
          <w:rFonts w:ascii="Arial" w:hAnsi="Arial" w:cs="Arial"/>
          <w:sz w:val="24"/>
          <w:szCs w:val="24"/>
        </w:rPr>
        <w:t xml:space="preserve"> extended, Press Release Ref: 2005/0395. Department of Health, London.</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Department of Health (2006) Improving patients’ access to medicines. </w:t>
      </w:r>
      <w:proofErr w:type="gramStart"/>
      <w:r w:rsidRPr="00A84276">
        <w:rPr>
          <w:rFonts w:ascii="Arial" w:hAnsi="Arial" w:cs="Arial"/>
          <w:sz w:val="24"/>
          <w:szCs w:val="24"/>
        </w:rPr>
        <w:t>a</w:t>
      </w:r>
      <w:proofErr w:type="gramEnd"/>
      <w:r w:rsidRPr="00A84276">
        <w:rPr>
          <w:rFonts w:ascii="Arial" w:hAnsi="Arial" w:cs="Arial"/>
          <w:sz w:val="24"/>
          <w:szCs w:val="24"/>
        </w:rPr>
        <w:t xml:space="preserve"> guide to implementing nurse and pharmacist independent prescribing within the NHS in England. Department of Health, London.</w:t>
      </w:r>
    </w:p>
    <w:p w:rsidR="00E23C80" w:rsidRPr="00A84276" w:rsidRDefault="00E23C80" w:rsidP="00E23C80">
      <w:pPr>
        <w:rPr>
          <w:rFonts w:ascii="Arial" w:hAnsi="Arial" w:cs="Arial"/>
          <w:sz w:val="24"/>
          <w:szCs w:val="24"/>
        </w:rPr>
      </w:pPr>
      <w:r w:rsidRPr="00A84276">
        <w:rPr>
          <w:rFonts w:ascii="Arial" w:hAnsi="Arial" w:cs="Arial"/>
          <w:sz w:val="24"/>
          <w:szCs w:val="24"/>
        </w:rPr>
        <w:t>Department of Health (2007) Mental Health: New Ways of Working for Everyone; developing and sustaining a capable and flexible workforce. Department of Health, London.</w:t>
      </w:r>
    </w:p>
    <w:p w:rsidR="00E23C80" w:rsidRPr="00A84276" w:rsidRDefault="00E23C80" w:rsidP="00E23C80">
      <w:pPr>
        <w:rPr>
          <w:rFonts w:ascii="Arial" w:hAnsi="Arial" w:cs="Arial"/>
          <w:sz w:val="24"/>
          <w:szCs w:val="24"/>
        </w:rPr>
      </w:pPr>
      <w:r w:rsidRPr="00A84276">
        <w:rPr>
          <w:rFonts w:ascii="Arial" w:hAnsi="Arial" w:cs="Arial"/>
          <w:sz w:val="24"/>
          <w:szCs w:val="24"/>
        </w:rPr>
        <w:lastRenderedPageBreak/>
        <w:t>Department of Health (2012) Nurse and pharmacist independent prescribing changes announced. https://www.gov.uk/government/news/nurse-and-pharmacist-independent-prescribing-changes-announced. Last accessed 15 November 2015.</w:t>
      </w:r>
    </w:p>
    <w:p w:rsidR="00E23C80" w:rsidRPr="00A84276" w:rsidRDefault="00E23C80" w:rsidP="00E23C80">
      <w:pPr>
        <w:rPr>
          <w:rFonts w:ascii="Arial" w:hAnsi="Arial" w:cs="Arial"/>
          <w:sz w:val="24"/>
          <w:szCs w:val="24"/>
        </w:rPr>
      </w:pPr>
      <w:proofErr w:type="spellStart"/>
      <w:r w:rsidRPr="00A84276">
        <w:rPr>
          <w:rFonts w:ascii="Arial" w:hAnsi="Arial" w:cs="Arial"/>
          <w:sz w:val="24"/>
          <w:szCs w:val="24"/>
        </w:rPr>
        <w:t>Devane</w:t>
      </w:r>
      <w:proofErr w:type="spellEnd"/>
      <w:r w:rsidRPr="00A84276">
        <w:rPr>
          <w:rFonts w:ascii="Arial" w:hAnsi="Arial" w:cs="Arial"/>
          <w:sz w:val="24"/>
          <w:szCs w:val="24"/>
        </w:rPr>
        <w:t xml:space="preserve"> M. &amp; Leahy-Warren P. (2015) </w:t>
      </w:r>
      <w:proofErr w:type="gramStart"/>
      <w:r w:rsidRPr="00A84276">
        <w:rPr>
          <w:rFonts w:ascii="Arial" w:hAnsi="Arial" w:cs="Arial"/>
          <w:sz w:val="24"/>
          <w:szCs w:val="24"/>
        </w:rPr>
        <w:t>Mental</w:t>
      </w:r>
      <w:proofErr w:type="gramEnd"/>
      <w:r w:rsidRPr="00A84276">
        <w:rPr>
          <w:rFonts w:ascii="Arial" w:hAnsi="Arial" w:cs="Arial"/>
          <w:sz w:val="24"/>
          <w:szCs w:val="24"/>
        </w:rPr>
        <w:t xml:space="preserve"> health nurses on prescribing in Ireland. Mental Health Practice 19(3), 14-22.</w:t>
      </w:r>
    </w:p>
    <w:p w:rsidR="00E23C80" w:rsidRPr="00A84276" w:rsidRDefault="00E23C80" w:rsidP="00E23C80">
      <w:pPr>
        <w:rPr>
          <w:rFonts w:ascii="Arial" w:hAnsi="Arial" w:cs="Arial"/>
          <w:sz w:val="24"/>
          <w:szCs w:val="24"/>
        </w:rPr>
      </w:pPr>
      <w:r w:rsidRPr="00A84276">
        <w:rPr>
          <w:rFonts w:ascii="Arial" w:hAnsi="Arial" w:cs="Arial"/>
          <w:sz w:val="24"/>
          <w:szCs w:val="24"/>
        </w:rPr>
        <w:t>Dobel-Ober D., Brimblecombe N., &amp;</w:t>
      </w:r>
      <w:r w:rsidR="00614A08" w:rsidRPr="00A84276">
        <w:rPr>
          <w:rFonts w:ascii="Arial" w:hAnsi="Arial" w:cs="Arial"/>
          <w:sz w:val="24"/>
          <w:szCs w:val="24"/>
        </w:rPr>
        <w:t xml:space="preserve"> </w:t>
      </w:r>
      <w:r w:rsidRPr="00A84276">
        <w:rPr>
          <w:rFonts w:ascii="Arial" w:hAnsi="Arial" w:cs="Arial"/>
          <w:sz w:val="24"/>
          <w:szCs w:val="24"/>
        </w:rPr>
        <w:t>Bradley E. (2010) Nurse prescribing in mental health: national sur</w:t>
      </w:r>
      <w:r w:rsidR="00614A08" w:rsidRPr="00A84276">
        <w:rPr>
          <w:rFonts w:ascii="Arial" w:hAnsi="Arial" w:cs="Arial"/>
          <w:sz w:val="24"/>
          <w:szCs w:val="24"/>
        </w:rPr>
        <w:t>vey. Journal of Psychiatric and</w:t>
      </w:r>
      <w:r w:rsidRPr="00A84276">
        <w:rPr>
          <w:rFonts w:ascii="Arial" w:hAnsi="Arial" w:cs="Arial"/>
          <w:sz w:val="24"/>
          <w:szCs w:val="24"/>
        </w:rPr>
        <w:t xml:space="preserve"> Mental Health Nursing 17(6), 487–493.</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Earle, E. A., Taylor, J., </w:t>
      </w:r>
      <w:proofErr w:type="spellStart"/>
      <w:r w:rsidRPr="00A84276">
        <w:rPr>
          <w:rFonts w:ascii="Arial" w:hAnsi="Arial" w:cs="Arial"/>
          <w:sz w:val="24"/>
          <w:szCs w:val="24"/>
        </w:rPr>
        <w:t>Peet</w:t>
      </w:r>
      <w:proofErr w:type="spellEnd"/>
      <w:r w:rsidRPr="00A84276">
        <w:rPr>
          <w:rFonts w:ascii="Arial" w:hAnsi="Arial" w:cs="Arial"/>
          <w:sz w:val="24"/>
          <w:szCs w:val="24"/>
        </w:rPr>
        <w:t>, M., &amp; Grant, G. (2011) Nurse prescribing in specialist mental health (part 2): the views and experiences of psychiatrists and health professionals. Journal of psychiatric and mental health nursing 18(4), 281-287.</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Fisher J.E. (2005) </w:t>
      </w:r>
      <w:proofErr w:type="gramStart"/>
      <w:r w:rsidRPr="00A84276">
        <w:rPr>
          <w:rFonts w:ascii="Arial" w:hAnsi="Arial" w:cs="Arial"/>
          <w:sz w:val="24"/>
          <w:szCs w:val="24"/>
        </w:rPr>
        <w:t>Mental</w:t>
      </w:r>
      <w:proofErr w:type="gramEnd"/>
      <w:r w:rsidRPr="00A84276">
        <w:rPr>
          <w:rFonts w:ascii="Arial" w:hAnsi="Arial" w:cs="Arial"/>
          <w:sz w:val="24"/>
          <w:szCs w:val="24"/>
        </w:rPr>
        <w:t xml:space="preserve"> health nurse practitioners in Australia: improving access to quality mental health care. International Journal of Mental Health Nursing 14, 222–</w:t>
      </w:r>
    </w:p>
    <w:p w:rsidR="00E23C80" w:rsidRPr="00A84276" w:rsidRDefault="00E23C80" w:rsidP="00E23C80">
      <w:pPr>
        <w:rPr>
          <w:rFonts w:ascii="Arial" w:hAnsi="Arial" w:cs="Arial"/>
          <w:sz w:val="24"/>
          <w:szCs w:val="24"/>
        </w:rPr>
      </w:pPr>
      <w:r w:rsidRPr="00A84276">
        <w:rPr>
          <w:rFonts w:ascii="Arial" w:hAnsi="Arial" w:cs="Arial"/>
          <w:sz w:val="24"/>
          <w:szCs w:val="24"/>
        </w:rPr>
        <w:t>229.</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Gray R., Parr A. &amp; Brimblecombe N. (2005) </w:t>
      </w:r>
      <w:proofErr w:type="gramStart"/>
      <w:r w:rsidRPr="00A84276">
        <w:rPr>
          <w:rFonts w:ascii="Arial" w:hAnsi="Arial" w:cs="Arial"/>
          <w:sz w:val="24"/>
          <w:szCs w:val="24"/>
        </w:rPr>
        <w:t>Mental</w:t>
      </w:r>
      <w:proofErr w:type="gramEnd"/>
      <w:r w:rsidRPr="00A84276">
        <w:rPr>
          <w:rFonts w:ascii="Arial" w:hAnsi="Arial" w:cs="Arial"/>
          <w:sz w:val="24"/>
          <w:szCs w:val="24"/>
        </w:rPr>
        <w:t xml:space="preserve"> health nurse supplementary prescribing: mapping progress 1 year after implementation. Psychiatric Bulletin 29, 295–297.</w:t>
      </w:r>
    </w:p>
    <w:p w:rsidR="00E23C80" w:rsidRPr="00A84276" w:rsidRDefault="00E23C80" w:rsidP="00E23C80">
      <w:pPr>
        <w:rPr>
          <w:rFonts w:ascii="Arial" w:hAnsi="Arial" w:cs="Arial"/>
          <w:sz w:val="24"/>
          <w:szCs w:val="24"/>
        </w:rPr>
      </w:pPr>
      <w:proofErr w:type="spellStart"/>
      <w:r w:rsidRPr="00A84276">
        <w:rPr>
          <w:rFonts w:ascii="Arial" w:hAnsi="Arial" w:cs="Arial"/>
          <w:sz w:val="24"/>
          <w:szCs w:val="24"/>
        </w:rPr>
        <w:t>Gumber</w:t>
      </w:r>
      <w:proofErr w:type="spellEnd"/>
      <w:r w:rsidRPr="00A84276">
        <w:rPr>
          <w:rFonts w:ascii="Arial" w:hAnsi="Arial" w:cs="Arial"/>
          <w:sz w:val="24"/>
          <w:szCs w:val="24"/>
        </w:rPr>
        <w:t xml:space="preserve">, R., </w:t>
      </w:r>
      <w:proofErr w:type="spellStart"/>
      <w:r w:rsidRPr="00A84276">
        <w:rPr>
          <w:rFonts w:ascii="Arial" w:hAnsi="Arial" w:cs="Arial"/>
          <w:sz w:val="24"/>
          <w:szCs w:val="24"/>
        </w:rPr>
        <w:t>Khoosal</w:t>
      </w:r>
      <w:proofErr w:type="spellEnd"/>
      <w:r w:rsidRPr="00A84276">
        <w:rPr>
          <w:rFonts w:ascii="Arial" w:hAnsi="Arial" w:cs="Arial"/>
          <w:sz w:val="24"/>
          <w:szCs w:val="24"/>
        </w:rPr>
        <w:t xml:space="preserve">, D., &amp; </w:t>
      </w:r>
      <w:proofErr w:type="spellStart"/>
      <w:r w:rsidRPr="00A84276">
        <w:rPr>
          <w:rFonts w:ascii="Arial" w:hAnsi="Arial" w:cs="Arial"/>
          <w:sz w:val="24"/>
          <w:szCs w:val="24"/>
        </w:rPr>
        <w:t>Gajebasia</w:t>
      </w:r>
      <w:proofErr w:type="spellEnd"/>
      <w:r w:rsidRPr="00A84276">
        <w:rPr>
          <w:rFonts w:ascii="Arial" w:hAnsi="Arial" w:cs="Arial"/>
          <w:sz w:val="24"/>
          <w:szCs w:val="24"/>
        </w:rPr>
        <w:t>, N. (2012) Non</w:t>
      </w:r>
      <w:r w:rsidRPr="00A84276">
        <w:rPr>
          <w:rFonts w:ascii="Cambria Math" w:hAnsi="Cambria Math" w:cs="Cambria Math"/>
          <w:sz w:val="24"/>
          <w:szCs w:val="24"/>
        </w:rPr>
        <w:t>‐</w:t>
      </w:r>
      <w:r w:rsidRPr="00A84276">
        <w:rPr>
          <w:rFonts w:ascii="Arial" w:hAnsi="Arial" w:cs="Arial"/>
          <w:sz w:val="24"/>
          <w:szCs w:val="24"/>
        </w:rPr>
        <w:t>medical prescribing: audit, practice and views. Journal of psychiatric and mental health nursing 19(6), 475-481.</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Home Office (2012) Circular: Nurse provisions pharmacist independent prescribing for schedule 4 Part II drug. London: Home Office  </w:t>
      </w:r>
    </w:p>
    <w:p w:rsidR="00E23C80" w:rsidRPr="00A84276" w:rsidRDefault="00E23C80" w:rsidP="00E23C80">
      <w:pPr>
        <w:rPr>
          <w:rFonts w:ascii="Arial" w:hAnsi="Arial" w:cs="Arial"/>
          <w:sz w:val="24"/>
          <w:szCs w:val="24"/>
        </w:rPr>
      </w:pPr>
      <w:r w:rsidRPr="00A84276">
        <w:rPr>
          <w:rFonts w:ascii="Arial" w:hAnsi="Arial" w:cs="Arial"/>
          <w:sz w:val="24"/>
          <w:szCs w:val="24"/>
        </w:rPr>
        <w:t>Hughes F. &amp; Lockyer H. (2004) Evidence and engagement in the introduction of nurse prescribing in New Zealand. Nurse Prescribing 2, 131–136.</w:t>
      </w:r>
    </w:p>
    <w:p w:rsidR="00E23C80" w:rsidRPr="00A84276" w:rsidRDefault="00E23C80" w:rsidP="00E23C80">
      <w:pPr>
        <w:rPr>
          <w:rFonts w:ascii="Arial" w:hAnsi="Arial" w:cs="Arial"/>
          <w:sz w:val="24"/>
          <w:szCs w:val="24"/>
        </w:rPr>
      </w:pPr>
      <w:r w:rsidRPr="00A84276">
        <w:rPr>
          <w:rFonts w:ascii="Arial" w:hAnsi="Arial" w:cs="Arial"/>
          <w:sz w:val="24"/>
          <w:szCs w:val="24"/>
        </w:rPr>
        <w:t>Jones M., Bennett,  J., Lucas, B., Miller, D., &amp; Gray R. (2007) Mental health nurse supplementary prescribing: experiences of mental health nurses, psychiatrists and patients. Journal of Advance Nursing 59(5), 488–96. doi:10.1111/j.1365-2648.2007.04332.x.</w:t>
      </w:r>
    </w:p>
    <w:p w:rsidR="00E23C80" w:rsidRPr="00A84276" w:rsidRDefault="00E23C80" w:rsidP="00E23C80">
      <w:pPr>
        <w:rPr>
          <w:rFonts w:ascii="Arial" w:hAnsi="Arial" w:cs="Arial"/>
          <w:sz w:val="24"/>
          <w:szCs w:val="24"/>
        </w:rPr>
      </w:pPr>
      <w:proofErr w:type="spellStart"/>
      <w:r w:rsidRPr="00A84276">
        <w:rPr>
          <w:rFonts w:ascii="Arial" w:hAnsi="Arial" w:cs="Arial"/>
          <w:sz w:val="24"/>
          <w:szCs w:val="24"/>
        </w:rPr>
        <w:t>Kroezen</w:t>
      </w:r>
      <w:proofErr w:type="spellEnd"/>
      <w:r w:rsidRPr="00A84276">
        <w:rPr>
          <w:rFonts w:ascii="Arial" w:hAnsi="Arial" w:cs="Arial"/>
          <w:sz w:val="24"/>
          <w:szCs w:val="24"/>
        </w:rPr>
        <w:t xml:space="preserve">, M., van </w:t>
      </w:r>
      <w:proofErr w:type="spellStart"/>
      <w:r w:rsidRPr="00A84276">
        <w:rPr>
          <w:rFonts w:ascii="Arial" w:hAnsi="Arial" w:cs="Arial"/>
          <w:sz w:val="24"/>
          <w:szCs w:val="24"/>
        </w:rPr>
        <w:t>Dijk</w:t>
      </w:r>
      <w:proofErr w:type="spellEnd"/>
      <w:r w:rsidRPr="00A84276">
        <w:rPr>
          <w:rFonts w:ascii="Arial" w:hAnsi="Arial" w:cs="Arial"/>
          <w:sz w:val="24"/>
          <w:szCs w:val="24"/>
        </w:rPr>
        <w:t xml:space="preserve"> L., </w:t>
      </w:r>
      <w:proofErr w:type="spellStart"/>
      <w:r w:rsidRPr="00A84276">
        <w:rPr>
          <w:rFonts w:ascii="Arial" w:hAnsi="Arial" w:cs="Arial"/>
          <w:sz w:val="24"/>
          <w:szCs w:val="24"/>
        </w:rPr>
        <w:t>Groenewegen</w:t>
      </w:r>
      <w:proofErr w:type="spellEnd"/>
      <w:r w:rsidRPr="00A84276">
        <w:rPr>
          <w:rFonts w:ascii="Arial" w:hAnsi="Arial" w:cs="Arial"/>
          <w:sz w:val="24"/>
          <w:szCs w:val="24"/>
        </w:rPr>
        <w:t xml:space="preserve"> P.P., &amp; </w:t>
      </w:r>
      <w:proofErr w:type="spellStart"/>
      <w:r w:rsidRPr="00A84276">
        <w:rPr>
          <w:rFonts w:ascii="Arial" w:hAnsi="Arial" w:cs="Arial"/>
          <w:sz w:val="24"/>
          <w:szCs w:val="24"/>
        </w:rPr>
        <w:t>Francke</w:t>
      </w:r>
      <w:proofErr w:type="spellEnd"/>
      <w:r w:rsidRPr="00A84276">
        <w:rPr>
          <w:rFonts w:ascii="Arial" w:hAnsi="Arial" w:cs="Arial"/>
          <w:sz w:val="24"/>
          <w:szCs w:val="24"/>
        </w:rPr>
        <w:t xml:space="preserve"> A.L. (2011) Nurse prescribing of medicines in Western European and Anglo-Saxon countries: a systematic review of the literature. BMC Health Services Research 11:127. </w:t>
      </w:r>
      <w:hyperlink r:id="rId5" w:history="1">
        <w:r w:rsidR="00A209BB" w:rsidRPr="00A84276">
          <w:rPr>
            <w:rStyle w:val="Hyperlink"/>
            <w:rFonts w:ascii="Arial" w:hAnsi="Arial" w:cs="Arial"/>
            <w:color w:val="auto"/>
            <w:sz w:val="24"/>
            <w:szCs w:val="24"/>
          </w:rPr>
          <w:t>http://www.biomedcentral.com/1472-6963/11/127</w:t>
        </w:r>
      </w:hyperlink>
    </w:p>
    <w:p w:rsidR="00A209BB" w:rsidRPr="00A84276" w:rsidRDefault="00A209BB" w:rsidP="00A209BB">
      <w:pPr>
        <w:rPr>
          <w:rFonts w:ascii="Arial" w:hAnsi="Arial" w:cs="Arial"/>
          <w:sz w:val="24"/>
          <w:szCs w:val="24"/>
        </w:rPr>
      </w:pPr>
      <w:proofErr w:type="spellStart"/>
      <w:r w:rsidRPr="00A84276">
        <w:rPr>
          <w:rFonts w:ascii="Arial" w:hAnsi="Arial" w:cs="Arial"/>
          <w:sz w:val="24"/>
          <w:szCs w:val="24"/>
        </w:rPr>
        <w:t>Kroezen</w:t>
      </w:r>
      <w:proofErr w:type="spellEnd"/>
      <w:r w:rsidRPr="00A84276">
        <w:rPr>
          <w:rFonts w:ascii="Arial" w:hAnsi="Arial" w:cs="Arial"/>
          <w:sz w:val="24"/>
          <w:szCs w:val="24"/>
        </w:rPr>
        <w:t xml:space="preserve"> M, </w:t>
      </w:r>
      <w:proofErr w:type="spellStart"/>
      <w:r w:rsidRPr="00A84276">
        <w:rPr>
          <w:rFonts w:ascii="Arial" w:hAnsi="Arial" w:cs="Arial"/>
          <w:sz w:val="24"/>
          <w:szCs w:val="24"/>
        </w:rPr>
        <w:t>Francke</w:t>
      </w:r>
      <w:proofErr w:type="spellEnd"/>
      <w:r w:rsidRPr="00A84276">
        <w:rPr>
          <w:rFonts w:ascii="Arial" w:hAnsi="Arial" w:cs="Arial"/>
          <w:sz w:val="24"/>
          <w:szCs w:val="24"/>
        </w:rPr>
        <w:t xml:space="preserve"> A, </w:t>
      </w:r>
      <w:proofErr w:type="spellStart"/>
      <w:r w:rsidRPr="00A84276">
        <w:rPr>
          <w:rFonts w:ascii="Arial" w:hAnsi="Arial" w:cs="Arial"/>
          <w:sz w:val="24"/>
          <w:szCs w:val="24"/>
        </w:rPr>
        <w:t>Groenewegen</w:t>
      </w:r>
      <w:proofErr w:type="spellEnd"/>
      <w:r w:rsidRPr="00A84276">
        <w:rPr>
          <w:rFonts w:ascii="Arial" w:hAnsi="Arial" w:cs="Arial"/>
          <w:sz w:val="24"/>
          <w:szCs w:val="24"/>
        </w:rPr>
        <w:t xml:space="preserve"> P, van </w:t>
      </w:r>
      <w:proofErr w:type="spellStart"/>
      <w:r w:rsidRPr="00A84276">
        <w:rPr>
          <w:rFonts w:ascii="Arial" w:hAnsi="Arial" w:cs="Arial"/>
          <w:sz w:val="24"/>
          <w:szCs w:val="24"/>
        </w:rPr>
        <w:t>Dijk</w:t>
      </w:r>
      <w:proofErr w:type="spellEnd"/>
      <w:r w:rsidRPr="00A84276">
        <w:rPr>
          <w:rFonts w:ascii="Arial" w:hAnsi="Arial" w:cs="Arial"/>
          <w:sz w:val="24"/>
          <w:szCs w:val="24"/>
        </w:rPr>
        <w:t xml:space="preserve"> L. (2012) Nurse prescribing of medicines in Western European and Anglo-Saxon countries: a survey on forces, conditions and jurisdictional control. International Journal of Nursing Studies 49, 1002-12. </w:t>
      </w:r>
    </w:p>
    <w:p w:rsidR="00E23C80" w:rsidRPr="00A84276" w:rsidRDefault="00E23C80" w:rsidP="00E23C80">
      <w:pPr>
        <w:rPr>
          <w:rFonts w:ascii="Arial" w:hAnsi="Arial" w:cs="Arial"/>
          <w:sz w:val="24"/>
          <w:szCs w:val="24"/>
        </w:rPr>
      </w:pPr>
      <w:r w:rsidRPr="00A84276">
        <w:rPr>
          <w:rFonts w:ascii="Arial" w:hAnsi="Arial" w:cs="Arial"/>
          <w:sz w:val="24"/>
          <w:szCs w:val="24"/>
        </w:rPr>
        <w:lastRenderedPageBreak/>
        <w:t xml:space="preserve">Latter S., Blenkinsopp A., Smith A., Chapman S., </w:t>
      </w:r>
      <w:proofErr w:type="spellStart"/>
      <w:r w:rsidRPr="00A84276">
        <w:rPr>
          <w:rFonts w:ascii="Arial" w:hAnsi="Arial" w:cs="Arial"/>
          <w:sz w:val="24"/>
          <w:szCs w:val="24"/>
        </w:rPr>
        <w:t>Tinelli</w:t>
      </w:r>
      <w:proofErr w:type="spellEnd"/>
      <w:r w:rsidRPr="00A84276">
        <w:rPr>
          <w:rFonts w:ascii="Arial" w:hAnsi="Arial" w:cs="Arial"/>
          <w:sz w:val="24"/>
          <w:szCs w:val="24"/>
        </w:rPr>
        <w:t xml:space="preserve"> M., Gerard K., Little P., </w:t>
      </w:r>
      <w:proofErr w:type="spellStart"/>
      <w:r w:rsidRPr="00A84276">
        <w:rPr>
          <w:rFonts w:ascii="Arial" w:hAnsi="Arial" w:cs="Arial"/>
          <w:sz w:val="24"/>
          <w:szCs w:val="24"/>
        </w:rPr>
        <w:t>Celino</w:t>
      </w:r>
      <w:proofErr w:type="spellEnd"/>
      <w:r w:rsidRPr="00A84276">
        <w:rPr>
          <w:rFonts w:ascii="Arial" w:hAnsi="Arial" w:cs="Arial"/>
          <w:sz w:val="24"/>
          <w:szCs w:val="24"/>
        </w:rPr>
        <w:t xml:space="preserve"> N., Granby T., Nicholls P. &amp; </w:t>
      </w:r>
      <w:proofErr w:type="spellStart"/>
      <w:r w:rsidRPr="00A84276">
        <w:rPr>
          <w:rFonts w:ascii="Arial" w:hAnsi="Arial" w:cs="Arial"/>
          <w:sz w:val="24"/>
          <w:szCs w:val="24"/>
        </w:rPr>
        <w:t>Dorer</w:t>
      </w:r>
      <w:proofErr w:type="spellEnd"/>
      <w:r w:rsidRPr="00A84276">
        <w:rPr>
          <w:rFonts w:ascii="Arial" w:hAnsi="Arial" w:cs="Arial"/>
          <w:sz w:val="24"/>
          <w:szCs w:val="24"/>
        </w:rPr>
        <w:t xml:space="preserve"> G. (2010) Evaluation of nurse and pharmacist independent prescribing. Department of Health, London</w:t>
      </w:r>
    </w:p>
    <w:p w:rsidR="00E23C80" w:rsidRPr="00A84276" w:rsidRDefault="00E23C80" w:rsidP="00E23C80">
      <w:pPr>
        <w:rPr>
          <w:rFonts w:ascii="Arial" w:hAnsi="Arial" w:cs="Arial"/>
          <w:sz w:val="24"/>
          <w:szCs w:val="24"/>
        </w:rPr>
      </w:pPr>
      <w:proofErr w:type="spellStart"/>
      <w:r w:rsidRPr="00A84276">
        <w:rPr>
          <w:rFonts w:ascii="Arial" w:hAnsi="Arial" w:cs="Arial"/>
          <w:sz w:val="24"/>
          <w:szCs w:val="24"/>
        </w:rPr>
        <w:t>Luker</w:t>
      </w:r>
      <w:proofErr w:type="spellEnd"/>
      <w:r w:rsidRPr="00A84276">
        <w:rPr>
          <w:rFonts w:ascii="Arial" w:hAnsi="Arial" w:cs="Arial"/>
          <w:sz w:val="24"/>
          <w:szCs w:val="24"/>
        </w:rPr>
        <w:t xml:space="preserve"> K., Austin L., Hogg C., et al. (1998) Nurse-patient relationships: the context of nurse prescribing. Journal of Advanced Nursing 28, 235–242.</w:t>
      </w:r>
    </w:p>
    <w:p w:rsidR="007822BF" w:rsidRPr="00A84276" w:rsidRDefault="007822BF" w:rsidP="007822BF">
      <w:pPr>
        <w:rPr>
          <w:rFonts w:ascii="Arial" w:hAnsi="Arial" w:cs="Arial"/>
          <w:sz w:val="24"/>
          <w:szCs w:val="24"/>
        </w:rPr>
      </w:pPr>
      <w:proofErr w:type="spellStart"/>
      <w:r w:rsidRPr="00A84276">
        <w:rPr>
          <w:rFonts w:ascii="Arial" w:hAnsi="Arial" w:cs="Arial"/>
          <w:sz w:val="24"/>
          <w:szCs w:val="24"/>
        </w:rPr>
        <w:t>McBrien</w:t>
      </w:r>
      <w:proofErr w:type="spellEnd"/>
      <w:r w:rsidRPr="00A84276">
        <w:rPr>
          <w:rFonts w:ascii="Arial" w:hAnsi="Arial" w:cs="Arial"/>
          <w:sz w:val="24"/>
          <w:szCs w:val="24"/>
        </w:rPr>
        <w:t xml:space="preserve"> B. (2015</w:t>
      </w:r>
      <w:proofErr w:type="gramStart"/>
      <w:r w:rsidRPr="00A84276">
        <w:rPr>
          <w:rFonts w:ascii="Arial" w:hAnsi="Arial" w:cs="Arial"/>
          <w:sz w:val="24"/>
          <w:szCs w:val="24"/>
        </w:rPr>
        <w:t>)  Personal</w:t>
      </w:r>
      <w:proofErr w:type="gramEnd"/>
      <w:r w:rsidRPr="00A84276">
        <w:rPr>
          <w:rFonts w:ascii="Arial" w:hAnsi="Arial" w:cs="Arial"/>
          <w:sz w:val="24"/>
          <w:szCs w:val="24"/>
        </w:rPr>
        <w:t xml:space="preserve"> and professional challenges of nurse prescribing in Ireland. British Journal of Nursing 24, 524-8.</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Miles, M. B., &amp; Huberman, A. M. (1994). Qualitative data analysis: an expanded sourcebook. </w:t>
      </w:r>
      <w:proofErr w:type="spellStart"/>
      <w:r w:rsidRPr="00A84276">
        <w:rPr>
          <w:rFonts w:ascii="Arial" w:hAnsi="Arial" w:cs="Arial"/>
          <w:sz w:val="24"/>
          <w:szCs w:val="24"/>
        </w:rPr>
        <w:t>Thousands</w:t>
      </w:r>
      <w:proofErr w:type="spellEnd"/>
      <w:r w:rsidRPr="00A84276">
        <w:rPr>
          <w:rFonts w:ascii="Arial" w:hAnsi="Arial" w:cs="Arial"/>
          <w:sz w:val="24"/>
          <w:szCs w:val="24"/>
        </w:rPr>
        <w:t xml:space="preserve"> Oaks. </w:t>
      </w:r>
    </w:p>
    <w:p w:rsidR="00E23C80" w:rsidRPr="00A84276" w:rsidRDefault="00E23C80" w:rsidP="00E23C80">
      <w:pPr>
        <w:rPr>
          <w:rFonts w:ascii="Arial" w:hAnsi="Arial" w:cs="Arial"/>
          <w:sz w:val="24"/>
          <w:szCs w:val="24"/>
        </w:rPr>
      </w:pPr>
      <w:r w:rsidRPr="00A84276">
        <w:rPr>
          <w:rFonts w:ascii="Arial" w:hAnsi="Arial" w:cs="Arial"/>
          <w:sz w:val="24"/>
          <w:szCs w:val="24"/>
        </w:rPr>
        <w:t>Mundt-Leach, R., &amp; Hill, D. (2014) Non-medical prescribers in substance misuse services in England and Scotland: a mapping exercise. Mental Health Practice 17, 28-35.</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Norman I.J., </w:t>
      </w:r>
      <w:proofErr w:type="spellStart"/>
      <w:r w:rsidRPr="00A84276">
        <w:rPr>
          <w:rFonts w:ascii="Arial" w:hAnsi="Arial" w:cs="Arial"/>
          <w:sz w:val="24"/>
          <w:szCs w:val="24"/>
        </w:rPr>
        <w:t>Coster</w:t>
      </w:r>
      <w:proofErr w:type="spellEnd"/>
      <w:r w:rsidRPr="00A84276">
        <w:rPr>
          <w:rFonts w:ascii="Arial" w:hAnsi="Arial" w:cs="Arial"/>
          <w:sz w:val="24"/>
          <w:szCs w:val="24"/>
        </w:rPr>
        <w:t xml:space="preserve"> S., </w:t>
      </w:r>
      <w:proofErr w:type="spellStart"/>
      <w:r w:rsidRPr="00A84276">
        <w:rPr>
          <w:rFonts w:ascii="Arial" w:hAnsi="Arial" w:cs="Arial"/>
          <w:sz w:val="24"/>
          <w:szCs w:val="24"/>
        </w:rPr>
        <w:t>McCrone</w:t>
      </w:r>
      <w:proofErr w:type="spellEnd"/>
      <w:r w:rsidRPr="00A84276">
        <w:rPr>
          <w:rFonts w:ascii="Arial" w:hAnsi="Arial" w:cs="Arial"/>
          <w:sz w:val="24"/>
          <w:szCs w:val="24"/>
        </w:rPr>
        <w:t xml:space="preserve"> P., Sibley, A., &amp; Whittlesea, C. (2010) </w:t>
      </w:r>
      <w:proofErr w:type="gramStart"/>
      <w:r w:rsidRPr="00A84276">
        <w:rPr>
          <w:rFonts w:ascii="Arial" w:hAnsi="Arial" w:cs="Arial"/>
          <w:sz w:val="24"/>
          <w:szCs w:val="24"/>
        </w:rPr>
        <w:t>A</w:t>
      </w:r>
      <w:proofErr w:type="gramEnd"/>
      <w:r w:rsidRPr="00A84276">
        <w:rPr>
          <w:rFonts w:ascii="Arial" w:hAnsi="Arial" w:cs="Arial"/>
          <w:sz w:val="24"/>
          <w:szCs w:val="24"/>
        </w:rPr>
        <w:t xml:space="preserve"> comparison of the clinical effectiveness and costs of mental health nurse supplementary prescribing and independent medical prescribing: a post-test control group study. BMC Health Service Research. 10:4. doi</w:t>
      </w:r>
      <w:proofErr w:type="gramStart"/>
      <w:r w:rsidRPr="00A84276">
        <w:rPr>
          <w:rFonts w:ascii="Arial" w:hAnsi="Arial" w:cs="Arial"/>
          <w:sz w:val="24"/>
          <w:szCs w:val="24"/>
        </w:rPr>
        <w:t>:10.1186</w:t>
      </w:r>
      <w:proofErr w:type="gramEnd"/>
      <w:r w:rsidRPr="00A84276">
        <w:rPr>
          <w:rFonts w:ascii="Arial" w:hAnsi="Arial" w:cs="Arial"/>
          <w:sz w:val="24"/>
          <w:szCs w:val="24"/>
        </w:rPr>
        <w:t>/1472-6963-10-4</w:t>
      </w:r>
    </w:p>
    <w:p w:rsidR="00E23C80" w:rsidRPr="00A84276" w:rsidRDefault="00E23C80" w:rsidP="00E23C80">
      <w:pPr>
        <w:rPr>
          <w:rFonts w:ascii="Arial" w:hAnsi="Arial" w:cs="Arial"/>
          <w:sz w:val="24"/>
          <w:szCs w:val="24"/>
        </w:rPr>
      </w:pPr>
      <w:r w:rsidRPr="00A84276">
        <w:rPr>
          <w:rFonts w:ascii="Arial" w:hAnsi="Arial" w:cs="Arial"/>
          <w:sz w:val="24"/>
          <w:szCs w:val="24"/>
        </w:rPr>
        <w:t>Nursing and Midwifery Council (2003) The Council’s Requirements for ‘Extended Independent Nurse Prescribing’ and ‘Supplementary Prescribing’. Nursing and Midwifery Council, London.</w:t>
      </w:r>
    </w:p>
    <w:p w:rsidR="00E23C80" w:rsidRPr="00A84276" w:rsidRDefault="00E23C80" w:rsidP="00E23C80">
      <w:pPr>
        <w:rPr>
          <w:rFonts w:ascii="Arial" w:hAnsi="Arial" w:cs="Arial"/>
          <w:sz w:val="24"/>
          <w:szCs w:val="24"/>
        </w:rPr>
      </w:pPr>
      <w:r w:rsidRPr="00A84276">
        <w:rPr>
          <w:rFonts w:ascii="Arial" w:hAnsi="Arial" w:cs="Arial"/>
          <w:sz w:val="24"/>
          <w:szCs w:val="24"/>
        </w:rPr>
        <w:t xml:space="preserve">Public Health England (2014) Non-medical prescribing in the management of substance misuse. </w:t>
      </w:r>
      <w:hyperlink r:id="rId6" w:history="1">
        <w:r w:rsidRPr="00A84276">
          <w:rPr>
            <w:rStyle w:val="Hyperlink"/>
            <w:rFonts w:ascii="Arial" w:hAnsi="Arial" w:cs="Arial"/>
            <w:color w:val="auto"/>
            <w:sz w:val="24"/>
            <w:szCs w:val="24"/>
          </w:rPr>
          <w:t>http://www.nta.nhs.uk/uploads/nmp-in-the-management-of-substance-misuse.pdf. Last accessed on 28/12/2015</w:t>
        </w:r>
      </w:hyperlink>
      <w:r w:rsidRPr="00A84276">
        <w:rPr>
          <w:rFonts w:ascii="Arial" w:hAnsi="Arial" w:cs="Arial"/>
          <w:sz w:val="24"/>
          <w:szCs w:val="24"/>
        </w:rPr>
        <w:t xml:space="preserve">. </w:t>
      </w:r>
    </w:p>
    <w:p w:rsidR="00E23C80" w:rsidRPr="00A84276" w:rsidRDefault="00E23C80" w:rsidP="00E23C80">
      <w:pPr>
        <w:rPr>
          <w:rFonts w:ascii="Arial" w:hAnsi="Arial" w:cs="Arial"/>
          <w:sz w:val="24"/>
          <w:szCs w:val="24"/>
        </w:rPr>
      </w:pPr>
      <w:r w:rsidRPr="00A84276">
        <w:rPr>
          <w:rFonts w:ascii="Arial" w:hAnsi="Arial" w:cs="Arial"/>
          <w:sz w:val="24"/>
          <w:szCs w:val="24"/>
        </w:rPr>
        <w:t>Ross J.D., Clarke A.</w:t>
      </w:r>
      <w:proofErr w:type="gramStart"/>
      <w:r w:rsidRPr="00A84276">
        <w:rPr>
          <w:rFonts w:ascii="Arial" w:hAnsi="Arial" w:cs="Arial"/>
          <w:sz w:val="24"/>
          <w:szCs w:val="24"/>
        </w:rPr>
        <w:t>,  Kettles</w:t>
      </w:r>
      <w:proofErr w:type="gramEnd"/>
      <w:r w:rsidRPr="00A84276">
        <w:rPr>
          <w:rFonts w:ascii="Arial" w:hAnsi="Arial" w:cs="Arial"/>
          <w:sz w:val="24"/>
          <w:szCs w:val="24"/>
        </w:rPr>
        <w:t xml:space="preserve"> A. (2014) Mental health nurse prescribing: using a constructivist approach to investigate the nurse–patient relationship. Journal of Psychiatric and Mental Health Nursing 21, 1–10.</w:t>
      </w:r>
    </w:p>
    <w:p w:rsidR="00E23C80" w:rsidRPr="00A84276" w:rsidRDefault="00E23C80" w:rsidP="00E23C80">
      <w:pPr>
        <w:rPr>
          <w:rFonts w:ascii="Arial" w:hAnsi="Arial" w:cs="Arial"/>
          <w:sz w:val="24"/>
          <w:szCs w:val="24"/>
        </w:rPr>
      </w:pPr>
      <w:proofErr w:type="spellStart"/>
      <w:r w:rsidRPr="00A84276">
        <w:rPr>
          <w:rFonts w:ascii="Arial" w:hAnsi="Arial" w:cs="Arial"/>
          <w:sz w:val="24"/>
          <w:szCs w:val="24"/>
        </w:rPr>
        <w:t>Skingsley</w:t>
      </w:r>
      <w:proofErr w:type="spellEnd"/>
      <w:r w:rsidRPr="00A84276">
        <w:rPr>
          <w:rFonts w:ascii="Arial" w:hAnsi="Arial" w:cs="Arial"/>
          <w:sz w:val="24"/>
          <w:szCs w:val="24"/>
        </w:rPr>
        <w:t xml:space="preserve"> D., Bradley E. &amp; Nolan P. (2006) Neuropharmacology and mental health nurse prescribers. Journal of Clinical Nursing 15, 989–997.</w:t>
      </w:r>
    </w:p>
    <w:p w:rsidR="00E23C80" w:rsidRDefault="00E23C80" w:rsidP="002D0357">
      <w:pPr>
        <w:rPr>
          <w:rFonts w:ascii="Arial" w:hAnsi="Arial" w:cs="Arial"/>
          <w:sz w:val="24"/>
          <w:szCs w:val="24"/>
        </w:rPr>
      </w:pPr>
    </w:p>
    <w:p w:rsidR="00060FED" w:rsidRDefault="00060FED" w:rsidP="002D0357">
      <w:pPr>
        <w:rPr>
          <w:rFonts w:ascii="Arial" w:hAnsi="Arial" w:cs="Arial"/>
          <w:sz w:val="24"/>
          <w:szCs w:val="24"/>
        </w:rPr>
      </w:pPr>
    </w:p>
    <w:p w:rsidR="00060FED" w:rsidRDefault="00060FED">
      <w:pPr>
        <w:rPr>
          <w:rFonts w:ascii="Arial" w:hAnsi="Arial" w:cs="Arial"/>
          <w:sz w:val="24"/>
          <w:szCs w:val="24"/>
        </w:rPr>
      </w:pPr>
      <w:r>
        <w:rPr>
          <w:rFonts w:ascii="Arial" w:hAnsi="Arial" w:cs="Arial"/>
          <w:sz w:val="24"/>
          <w:szCs w:val="24"/>
        </w:rPr>
        <w:br w:type="page"/>
      </w:r>
    </w:p>
    <w:p w:rsidR="00060FED" w:rsidRPr="00600F6A" w:rsidRDefault="00060FED" w:rsidP="00060FED"/>
    <w:p w:rsidR="00060FED" w:rsidRPr="00600F6A" w:rsidRDefault="00060FED" w:rsidP="00060FED">
      <w:pPr>
        <w:pStyle w:val="Caption"/>
        <w:keepNext/>
        <w:spacing w:after="0"/>
        <w:rPr>
          <w:rFonts w:ascii="Arial" w:hAnsi="Arial" w:cs="Arial"/>
          <w:color w:val="auto"/>
          <w:sz w:val="22"/>
          <w:szCs w:val="22"/>
        </w:rPr>
      </w:pPr>
      <w:bookmarkStart w:id="1" w:name="_Ref391388603"/>
      <w:r w:rsidRPr="00600F6A">
        <w:rPr>
          <w:rFonts w:ascii="Arial" w:hAnsi="Arial" w:cs="Arial"/>
          <w:color w:val="auto"/>
          <w:sz w:val="22"/>
          <w:szCs w:val="22"/>
        </w:rPr>
        <w:t xml:space="preserve">Table </w:t>
      </w:r>
      <w:r w:rsidRPr="00600F6A">
        <w:rPr>
          <w:rFonts w:ascii="Arial" w:hAnsi="Arial" w:cs="Arial"/>
          <w:color w:val="auto"/>
          <w:sz w:val="22"/>
          <w:szCs w:val="22"/>
        </w:rPr>
        <w:fldChar w:fldCharType="begin"/>
      </w:r>
      <w:r w:rsidRPr="00600F6A">
        <w:rPr>
          <w:rFonts w:ascii="Arial" w:hAnsi="Arial" w:cs="Arial"/>
          <w:color w:val="auto"/>
          <w:sz w:val="22"/>
          <w:szCs w:val="22"/>
        </w:rPr>
        <w:instrText xml:space="preserve"> SEQ Table \* ARABIC </w:instrText>
      </w:r>
      <w:r w:rsidRPr="00600F6A">
        <w:rPr>
          <w:rFonts w:ascii="Arial" w:hAnsi="Arial" w:cs="Arial"/>
          <w:color w:val="auto"/>
          <w:sz w:val="22"/>
          <w:szCs w:val="22"/>
        </w:rPr>
        <w:fldChar w:fldCharType="separate"/>
      </w:r>
      <w:r w:rsidRPr="00600F6A">
        <w:rPr>
          <w:rFonts w:ascii="Arial" w:hAnsi="Arial" w:cs="Arial"/>
          <w:noProof/>
          <w:color w:val="auto"/>
          <w:sz w:val="22"/>
          <w:szCs w:val="22"/>
        </w:rPr>
        <w:t>1</w:t>
      </w:r>
      <w:r w:rsidRPr="00600F6A">
        <w:rPr>
          <w:rFonts w:ascii="Arial" w:hAnsi="Arial" w:cs="Arial"/>
          <w:color w:val="auto"/>
          <w:sz w:val="22"/>
          <w:szCs w:val="22"/>
        </w:rPr>
        <w:fldChar w:fldCharType="end"/>
      </w:r>
      <w:bookmarkEnd w:id="1"/>
      <w:r w:rsidRPr="00600F6A">
        <w:rPr>
          <w:rFonts w:ascii="Arial" w:hAnsi="Arial" w:cs="Arial"/>
          <w:color w:val="auto"/>
          <w:sz w:val="22"/>
          <w:szCs w:val="22"/>
        </w:rPr>
        <w:t>: Mental Health Nurses and Nurse Prescribers (all responding trusts)</w:t>
      </w:r>
    </w:p>
    <w:tbl>
      <w:tblPr>
        <w:tblStyle w:val="LightShading"/>
        <w:tblW w:w="9868" w:type="dxa"/>
        <w:tblInd w:w="-97" w:type="dxa"/>
        <w:tblLook w:val="04A0" w:firstRow="1" w:lastRow="0" w:firstColumn="1" w:lastColumn="0" w:noHBand="0" w:noVBand="1"/>
      </w:tblPr>
      <w:tblGrid>
        <w:gridCol w:w="5401"/>
        <w:gridCol w:w="1511"/>
        <w:gridCol w:w="1663"/>
        <w:gridCol w:w="1293"/>
      </w:tblGrid>
      <w:tr w:rsidR="00060FED" w:rsidRPr="00600F6A" w:rsidTr="0060780B">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413" w:type="dxa"/>
            <w:shd w:val="clear" w:color="auto" w:fill="FFFFFF" w:themeFill="background1"/>
          </w:tcPr>
          <w:p w:rsidR="00060FED" w:rsidRPr="00600F6A" w:rsidRDefault="00060FED" w:rsidP="0060780B">
            <w:pPr>
              <w:rPr>
                <w:rFonts w:ascii="Arial" w:hAnsi="Arial" w:cs="Arial"/>
              </w:rPr>
            </w:pPr>
          </w:p>
        </w:tc>
        <w:tc>
          <w:tcPr>
            <w:tcW w:w="1513" w:type="dxa"/>
            <w:shd w:val="clear" w:color="auto" w:fill="FFFFFF" w:themeFill="background1"/>
          </w:tcPr>
          <w:p w:rsidR="00060FED" w:rsidRPr="00600F6A" w:rsidRDefault="00060FED" w:rsidP="0060780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 xml:space="preserve">   2005</w:t>
            </w:r>
          </w:p>
        </w:tc>
        <w:tc>
          <w:tcPr>
            <w:tcW w:w="1665" w:type="dxa"/>
            <w:shd w:val="clear" w:color="auto" w:fill="FFFFFF" w:themeFill="background1"/>
          </w:tcPr>
          <w:p w:rsidR="00060FED" w:rsidRPr="00600F6A" w:rsidRDefault="00060FED" w:rsidP="0060780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2008</w:t>
            </w:r>
          </w:p>
        </w:tc>
        <w:tc>
          <w:tcPr>
            <w:tcW w:w="1277" w:type="dxa"/>
            <w:shd w:val="clear" w:color="auto" w:fill="FFFFFF" w:themeFill="background1"/>
          </w:tcPr>
          <w:p w:rsidR="00060FED" w:rsidRPr="00600F6A" w:rsidRDefault="00060FED" w:rsidP="0060780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2014</w:t>
            </w:r>
          </w:p>
        </w:tc>
      </w:tr>
      <w:tr w:rsidR="00060FED" w:rsidRPr="00600F6A" w:rsidTr="0060780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41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 xml:space="preserve">Trusts providing MH services in England </w:t>
            </w:r>
          </w:p>
        </w:tc>
        <w:tc>
          <w:tcPr>
            <w:tcW w:w="1513"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83</w:t>
            </w:r>
          </w:p>
        </w:tc>
        <w:tc>
          <w:tcPr>
            <w:tcW w:w="1665"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66</w:t>
            </w:r>
          </w:p>
        </w:tc>
        <w:tc>
          <w:tcPr>
            <w:tcW w:w="1277"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 xml:space="preserve">52 </w:t>
            </w:r>
          </w:p>
        </w:tc>
      </w:tr>
      <w:tr w:rsidR="00060FED" w:rsidRPr="00600F6A" w:rsidTr="0060780B">
        <w:trPr>
          <w:trHeight w:val="291"/>
        </w:trPr>
        <w:tc>
          <w:tcPr>
            <w:cnfStyle w:val="001000000000" w:firstRow="0" w:lastRow="0" w:firstColumn="1" w:lastColumn="0" w:oddVBand="0" w:evenVBand="0" w:oddHBand="0" w:evenHBand="0" w:firstRowFirstColumn="0" w:firstRowLastColumn="0" w:lastRowFirstColumn="0" w:lastRowLastColumn="0"/>
            <w:tcW w:w="541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Responding Trusts (response rate)</w:t>
            </w:r>
          </w:p>
        </w:tc>
        <w:tc>
          <w:tcPr>
            <w:tcW w:w="1513"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45 (54%)</w:t>
            </w:r>
          </w:p>
        </w:tc>
        <w:tc>
          <w:tcPr>
            <w:tcW w:w="1665"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39 (59%)</w:t>
            </w:r>
          </w:p>
        </w:tc>
        <w:tc>
          <w:tcPr>
            <w:tcW w:w="1277"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39 (75%)</w:t>
            </w:r>
          </w:p>
        </w:tc>
      </w:tr>
      <w:tr w:rsidR="00060FED" w:rsidRPr="00600F6A" w:rsidTr="00607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1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MHN (mean per Trust)*</w:t>
            </w:r>
          </w:p>
        </w:tc>
        <w:tc>
          <w:tcPr>
            <w:tcW w:w="1513"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524</w:t>
            </w:r>
          </w:p>
        </w:tc>
        <w:tc>
          <w:tcPr>
            <w:tcW w:w="1665"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659</w:t>
            </w:r>
          </w:p>
        </w:tc>
        <w:tc>
          <w:tcPr>
            <w:tcW w:w="1277"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840</w:t>
            </w:r>
          </w:p>
        </w:tc>
      </w:tr>
      <w:tr w:rsidR="00060FED" w:rsidRPr="00600F6A" w:rsidTr="0060780B">
        <w:trPr>
          <w:trHeight w:val="329"/>
        </w:trPr>
        <w:tc>
          <w:tcPr>
            <w:cnfStyle w:val="001000000000" w:firstRow="0" w:lastRow="0" w:firstColumn="1" w:lastColumn="0" w:oddVBand="0" w:evenVBand="0" w:oddHBand="0" w:evenHBand="0" w:firstRowFirstColumn="0" w:firstRowLastColumn="0" w:lastRowFirstColumn="0" w:lastRowLastColumn="0"/>
            <w:tcW w:w="541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 xml:space="preserve">Mean number trained NPs** </w:t>
            </w:r>
          </w:p>
        </w:tc>
        <w:tc>
          <w:tcPr>
            <w:tcW w:w="1513"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 xml:space="preserve">4.0 </w:t>
            </w:r>
            <w:r w:rsidRPr="00600F6A">
              <w:rPr>
                <w:rFonts w:ascii="Arial" w:hAnsi="Arial" w:cs="Arial"/>
                <w:i/>
              </w:rPr>
              <w:t>(0.8%)</w:t>
            </w:r>
          </w:p>
        </w:tc>
        <w:tc>
          <w:tcPr>
            <w:tcW w:w="1665"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 xml:space="preserve">15.9 </w:t>
            </w:r>
            <w:r w:rsidRPr="00600F6A">
              <w:rPr>
                <w:rFonts w:ascii="Arial" w:hAnsi="Arial" w:cs="Arial"/>
                <w:i/>
              </w:rPr>
              <w:t>(2.4%)</w:t>
            </w:r>
          </w:p>
        </w:tc>
        <w:tc>
          <w:tcPr>
            <w:tcW w:w="1277"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35.0(</w:t>
            </w:r>
            <w:r w:rsidRPr="00600F6A">
              <w:rPr>
                <w:rFonts w:ascii="Arial" w:hAnsi="Arial" w:cs="Arial"/>
                <w:i/>
              </w:rPr>
              <w:t>4.2%)</w:t>
            </w:r>
          </w:p>
        </w:tc>
      </w:tr>
      <w:tr w:rsidR="00060FED" w:rsidRPr="00600F6A" w:rsidTr="0060780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41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 xml:space="preserve">Active NPs**(mean) </w:t>
            </w:r>
          </w:p>
        </w:tc>
        <w:tc>
          <w:tcPr>
            <w:tcW w:w="1513"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1.8</w:t>
            </w:r>
          </w:p>
        </w:tc>
        <w:tc>
          <w:tcPr>
            <w:tcW w:w="1665"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11.5</w:t>
            </w:r>
          </w:p>
        </w:tc>
        <w:tc>
          <w:tcPr>
            <w:tcW w:w="1277"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27</w:t>
            </w:r>
          </w:p>
        </w:tc>
      </w:tr>
      <w:tr w:rsidR="00060FED" w:rsidRPr="00600F6A" w:rsidTr="0060780B">
        <w:trPr>
          <w:trHeight w:val="291"/>
        </w:trPr>
        <w:tc>
          <w:tcPr>
            <w:cnfStyle w:val="001000000000" w:firstRow="0" w:lastRow="0" w:firstColumn="1" w:lastColumn="0" w:oddVBand="0" w:evenVBand="0" w:oddHBand="0" w:evenHBand="0" w:firstRowFirstColumn="0" w:firstRowLastColumn="0" w:lastRowFirstColumn="0" w:lastRowLastColumn="0"/>
            <w:tcW w:w="541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NPs in training</w:t>
            </w:r>
          </w:p>
        </w:tc>
        <w:tc>
          <w:tcPr>
            <w:tcW w:w="1513"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2.4</w:t>
            </w:r>
          </w:p>
        </w:tc>
        <w:tc>
          <w:tcPr>
            <w:tcW w:w="1665"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3.2</w:t>
            </w:r>
          </w:p>
        </w:tc>
        <w:tc>
          <w:tcPr>
            <w:tcW w:w="1277"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4.2</w:t>
            </w:r>
          </w:p>
        </w:tc>
      </w:tr>
    </w:tbl>
    <w:p w:rsidR="00060FED" w:rsidRPr="00600F6A" w:rsidRDefault="00060FED" w:rsidP="00060FED">
      <w:pPr>
        <w:rPr>
          <w:rFonts w:ascii="Arial" w:hAnsi="Arial" w:cs="Arial"/>
        </w:rPr>
      </w:pPr>
    </w:p>
    <w:p w:rsidR="00060FED" w:rsidRPr="00600F6A" w:rsidRDefault="00060FED" w:rsidP="00060FED">
      <w:pPr>
        <w:rPr>
          <w:rFonts w:ascii="Arial" w:hAnsi="Arial" w:cs="Arial"/>
        </w:rPr>
      </w:pPr>
    </w:p>
    <w:p w:rsidR="00060FED" w:rsidRPr="00600F6A" w:rsidRDefault="00060FED" w:rsidP="00060FED"/>
    <w:p w:rsidR="00060FED" w:rsidRPr="00600F6A" w:rsidRDefault="00060FED" w:rsidP="00060FED">
      <w:pPr>
        <w:pStyle w:val="Caption"/>
        <w:keepNext/>
        <w:spacing w:after="0"/>
        <w:rPr>
          <w:rFonts w:ascii="Arial" w:hAnsi="Arial" w:cs="Arial"/>
          <w:color w:val="auto"/>
          <w:sz w:val="22"/>
          <w:szCs w:val="22"/>
        </w:rPr>
      </w:pPr>
      <w:bookmarkStart w:id="2" w:name="_Ref391458768"/>
      <w:r w:rsidRPr="00600F6A">
        <w:rPr>
          <w:rFonts w:ascii="Arial" w:hAnsi="Arial" w:cs="Arial"/>
          <w:color w:val="auto"/>
          <w:sz w:val="22"/>
          <w:szCs w:val="22"/>
        </w:rPr>
        <w:t xml:space="preserve">Table </w:t>
      </w:r>
      <w:r w:rsidRPr="00600F6A">
        <w:rPr>
          <w:rFonts w:ascii="Arial" w:hAnsi="Arial" w:cs="Arial"/>
          <w:color w:val="auto"/>
          <w:sz w:val="22"/>
          <w:szCs w:val="22"/>
        </w:rPr>
        <w:fldChar w:fldCharType="begin"/>
      </w:r>
      <w:r w:rsidRPr="00600F6A">
        <w:rPr>
          <w:rFonts w:ascii="Arial" w:hAnsi="Arial" w:cs="Arial"/>
          <w:color w:val="auto"/>
          <w:sz w:val="22"/>
          <w:szCs w:val="22"/>
        </w:rPr>
        <w:instrText xml:space="preserve"> SEQ Table \* ARABIC </w:instrText>
      </w:r>
      <w:r w:rsidRPr="00600F6A">
        <w:rPr>
          <w:rFonts w:ascii="Arial" w:hAnsi="Arial" w:cs="Arial"/>
          <w:color w:val="auto"/>
          <w:sz w:val="22"/>
          <w:szCs w:val="22"/>
        </w:rPr>
        <w:fldChar w:fldCharType="separate"/>
      </w:r>
      <w:r w:rsidRPr="00600F6A">
        <w:rPr>
          <w:rFonts w:ascii="Arial" w:hAnsi="Arial" w:cs="Arial"/>
          <w:noProof/>
          <w:color w:val="auto"/>
          <w:sz w:val="22"/>
          <w:szCs w:val="22"/>
        </w:rPr>
        <w:t>2</w:t>
      </w:r>
      <w:r w:rsidRPr="00600F6A">
        <w:rPr>
          <w:rFonts w:ascii="Arial" w:hAnsi="Arial" w:cs="Arial"/>
          <w:color w:val="auto"/>
          <w:sz w:val="22"/>
          <w:szCs w:val="22"/>
        </w:rPr>
        <w:fldChar w:fldCharType="end"/>
      </w:r>
      <w:bookmarkEnd w:id="2"/>
      <w:r w:rsidRPr="00600F6A">
        <w:rPr>
          <w:rFonts w:ascii="Arial" w:hAnsi="Arial" w:cs="Arial"/>
          <w:color w:val="auto"/>
          <w:sz w:val="22"/>
          <w:szCs w:val="22"/>
        </w:rPr>
        <w:t>: Mental Health Nurses and Nurse Prescribers (16 trusts who responded to survey in 2008 and 2014)</w:t>
      </w:r>
    </w:p>
    <w:tbl>
      <w:tblPr>
        <w:tblStyle w:val="LightShading"/>
        <w:tblW w:w="0" w:type="auto"/>
        <w:tblLook w:val="04A0" w:firstRow="1" w:lastRow="0" w:firstColumn="1" w:lastColumn="0" w:noHBand="0" w:noVBand="1"/>
      </w:tblPr>
      <w:tblGrid>
        <w:gridCol w:w="2943"/>
        <w:gridCol w:w="2299"/>
        <w:gridCol w:w="2299"/>
      </w:tblGrid>
      <w:tr w:rsidR="00060FED" w:rsidRPr="00600F6A" w:rsidTr="00607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060FED" w:rsidRPr="00600F6A" w:rsidRDefault="00060FED" w:rsidP="0060780B">
            <w:pPr>
              <w:rPr>
                <w:rFonts w:ascii="Arial" w:hAnsi="Arial" w:cs="Arial"/>
              </w:rPr>
            </w:pPr>
          </w:p>
        </w:tc>
        <w:tc>
          <w:tcPr>
            <w:tcW w:w="2299" w:type="dxa"/>
            <w:shd w:val="clear" w:color="auto" w:fill="FFFFFF" w:themeFill="background1"/>
          </w:tcPr>
          <w:p w:rsidR="00060FED" w:rsidRPr="00600F6A" w:rsidRDefault="00060FED" w:rsidP="0060780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2008</w:t>
            </w:r>
          </w:p>
        </w:tc>
        <w:tc>
          <w:tcPr>
            <w:tcW w:w="2299" w:type="dxa"/>
            <w:shd w:val="clear" w:color="auto" w:fill="FFFFFF" w:themeFill="background1"/>
          </w:tcPr>
          <w:p w:rsidR="00060FED" w:rsidRPr="00600F6A" w:rsidRDefault="00060FED" w:rsidP="0060780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2014</w:t>
            </w:r>
          </w:p>
        </w:tc>
      </w:tr>
      <w:tr w:rsidR="00060FED" w:rsidRPr="00600F6A" w:rsidTr="0060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 xml:space="preserve">MHNs* </w:t>
            </w:r>
          </w:p>
        </w:tc>
        <w:tc>
          <w:tcPr>
            <w:tcW w:w="2299"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 xml:space="preserve">904 </w:t>
            </w:r>
          </w:p>
        </w:tc>
        <w:tc>
          <w:tcPr>
            <w:tcW w:w="2299"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 xml:space="preserve">852 </w:t>
            </w:r>
          </w:p>
        </w:tc>
      </w:tr>
      <w:tr w:rsidR="00060FED" w:rsidRPr="00600F6A" w:rsidTr="0060780B">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Trained NPs*</w:t>
            </w:r>
          </w:p>
        </w:tc>
        <w:tc>
          <w:tcPr>
            <w:tcW w:w="2299"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 xml:space="preserve">15.1 </w:t>
            </w:r>
            <w:r w:rsidRPr="00600F6A">
              <w:rPr>
                <w:rFonts w:ascii="Arial" w:hAnsi="Arial" w:cs="Arial"/>
                <w:i/>
              </w:rPr>
              <w:t>(1.7%)</w:t>
            </w:r>
          </w:p>
        </w:tc>
        <w:tc>
          <w:tcPr>
            <w:tcW w:w="2299" w:type="dxa"/>
            <w:shd w:val="clear" w:color="auto" w:fill="FFFFFF" w:themeFill="background1"/>
          </w:tcPr>
          <w:p w:rsidR="00060FED" w:rsidRPr="00600F6A" w:rsidRDefault="00060FED" w:rsidP="006078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00F6A">
              <w:rPr>
                <w:rFonts w:ascii="Arial" w:hAnsi="Arial" w:cs="Arial"/>
              </w:rPr>
              <w:t xml:space="preserve">36.1 </w:t>
            </w:r>
            <w:r w:rsidRPr="00600F6A">
              <w:rPr>
                <w:rFonts w:ascii="Arial" w:hAnsi="Arial" w:cs="Arial"/>
                <w:i/>
              </w:rPr>
              <w:t>(4.3%)</w:t>
            </w:r>
          </w:p>
        </w:tc>
      </w:tr>
      <w:tr w:rsidR="00060FED" w:rsidRPr="00600F6A" w:rsidTr="0060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060FED" w:rsidRPr="00600F6A" w:rsidRDefault="00060FED" w:rsidP="0060780B">
            <w:pPr>
              <w:rPr>
                <w:rFonts w:ascii="Arial" w:hAnsi="Arial" w:cs="Arial"/>
              </w:rPr>
            </w:pPr>
            <w:r w:rsidRPr="00600F6A">
              <w:rPr>
                <w:rFonts w:ascii="Arial" w:hAnsi="Arial" w:cs="Arial"/>
              </w:rPr>
              <w:t>In training*</w:t>
            </w:r>
          </w:p>
        </w:tc>
        <w:tc>
          <w:tcPr>
            <w:tcW w:w="2299"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5.1</w:t>
            </w:r>
          </w:p>
        </w:tc>
        <w:tc>
          <w:tcPr>
            <w:tcW w:w="2299" w:type="dxa"/>
            <w:shd w:val="clear" w:color="auto" w:fill="FFFFFF" w:themeFill="background1"/>
          </w:tcPr>
          <w:p w:rsidR="00060FED" w:rsidRPr="00600F6A" w:rsidRDefault="00060FED" w:rsidP="0060780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00F6A">
              <w:rPr>
                <w:rFonts w:ascii="Arial" w:hAnsi="Arial" w:cs="Arial"/>
              </w:rPr>
              <w:t>4.7</w:t>
            </w:r>
          </w:p>
        </w:tc>
      </w:tr>
    </w:tbl>
    <w:p w:rsidR="00060FED" w:rsidRPr="00600F6A" w:rsidRDefault="00060FED" w:rsidP="00060FED">
      <w:pPr>
        <w:rPr>
          <w:rFonts w:ascii="Arial" w:hAnsi="Arial" w:cs="Arial"/>
        </w:rPr>
      </w:pPr>
      <w:r w:rsidRPr="00600F6A">
        <w:rPr>
          <w:rFonts w:ascii="Arial" w:hAnsi="Arial" w:cs="Arial"/>
        </w:rPr>
        <w:t xml:space="preserve">* Mean per trust, head count </w:t>
      </w:r>
      <w:r w:rsidRPr="00600F6A">
        <w:rPr>
          <w:rFonts w:ascii="Arial" w:hAnsi="Arial" w:cs="Arial"/>
          <w:i/>
        </w:rPr>
        <w:t>(average % of NP trained</w:t>
      </w:r>
      <w:r w:rsidRPr="00600F6A">
        <w:rPr>
          <w:rFonts w:ascii="Arial" w:hAnsi="Arial" w:cs="Arial"/>
        </w:rPr>
        <w:t>)</w:t>
      </w:r>
    </w:p>
    <w:p w:rsidR="00060FED" w:rsidRPr="00600F6A" w:rsidRDefault="00060FED" w:rsidP="00060FED">
      <w:pPr>
        <w:rPr>
          <w:rFonts w:ascii="Arial" w:hAnsi="Arial" w:cs="Arial"/>
        </w:rPr>
      </w:pPr>
    </w:p>
    <w:p w:rsidR="00060FED" w:rsidRPr="00600F6A" w:rsidRDefault="00060FED" w:rsidP="00060FED"/>
    <w:p w:rsidR="00060FED" w:rsidRPr="00600F6A" w:rsidRDefault="00060FED" w:rsidP="00060FED"/>
    <w:p w:rsidR="00060FED" w:rsidRPr="00600F6A" w:rsidRDefault="00060FED" w:rsidP="00060FED">
      <w:pPr>
        <w:pStyle w:val="Caption"/>
        <w:keepNext/>
        <w:spacing w:after="0"/>
        <w:rPr>
          <w:rFonts w:ascii="Arial" w:hAnsi="Arial" w:cs="Arial"/>
          <w:color w:val="auto"/>
          <w:sz w:val="22"/>
          <w:szCs w:val="22"/>
        </w:rPr>
      </w:pPr>
      <w:bookmarkStart w:id="3" w:name="_Ref415744063"/>
      <w:r w:rsidRPr="00600F6A">
        <w:rPr>
          <w:rFonts w:ascii="Arial" w:hAnsi="Arial" w:cs="Arial"/>
          <w:color w:val="auto"/>
          <w:sz w:val="22"/>
          <w:szCs w:val="22"/>
        </w:rPr>
        <w:t xml:space="preserve">Figure </w:t>
      </w:r>
      <w:r w:rsidRPr="00600F6A">
        <w:rPr>
          <w:rFonts w:ascii="Arial" w:hAnsi="Arial" w:cs="Arial"/>
          <w:color w:val="auto"/>
          <w:sz w:val="22"/>
          <w:szCs w:val="22"/>
        </w:rPr>
        <w:fldChar w:fldCharType="begin"/>
      </w:r>
      <w:r w:rsidRPr="00600F6A">
        <w:rPr>
          <w:rFonts w:ascii="Arial" w:hAnsi="Arial" w:cs="Arial"/>
          <w:color w:val="auto"/>
          <w:sz w:val="22"/>
          <w:szCs w:val="22"/>
        </w:rPr>
        <w:instrText xml:space="preserve"> SEQ Figure \* ARABIC </w:instrText>
      </w:r>
      <w:r w:rsidRPr="00600F6A">
        <w:rPr>
          <w:rFonts w:ascii="Arial" w:hAnsi="Arial" w:cs="Arial"/>
          <w:color w:val="auto"/>
          <w:sz w:val="22"/>
          <w:szCs w:val="22"/>
        </w:rPr>
        <w:fldChar w:fldCharType="separate"/>
      </w:r>
      <w:r w:rsidRPr="00600F6A">
        <w:rPr>
          <w:rFonts w:ascii="Arial" w:hAnsi="Arial" w:cs="Arial"/>
          <w:noProof/>
          <w:color w:val="auto"/>
          <w:sz w:val="22"/>
          <w:szCs w:val="22"/>
        </w:rPr>
        <w:t>1</w:t>
      </w:r>
      <w:r w:rsidRPr="00600F6A">
        <w:rPr>
          <w:rFonts w:ascii="Arial" w:hAnsi="Arial" w:cs="Arial"/>
          <w:color w:val="auto"/>
          <w:sz w:val="22"/>
          <w:szCs w:val="22"/>
        </w:rPr>
        <w:fldChar w:fldCharType="end"/>
      </w:r>
      <w:bookmarkEnd w:id="3"/>
      <w:r w:rsidRPr="00600F6A">
        <w:rPr>
          <w:rFonts w:ascii="Arial" w:hAnsi="Arial" w:cs="Arial"/>
          <w:color w:val="auto"/>
          <w:sz w:val="22"/>
          <w:szCs w:val="22"/>
        </w:rPr>
        <w:t xml:space="preserve">: Nurse </w:t>
      </w:r>
      <w:proofErr w:type="gramStart"/>
      <w:r w:rsidRPr="00600F6A">
        <w:rPr>
          <w:rFonts w:ascii="Arial" w:hAnsi="Arial" w:cs="Arial"/>
          <w:color w:val="auto"/>
          <w:sz w:val="22"/>
          <w:szCs w:val="22"/>
        </w:rPr>
        <w:t>prescribers</w:t>
      </w:r>
      <w:proofErr w:type="gramEnd"/>
      <w:r w:rsidRPr="00600F6A">
        <w:rPr>
          <w:rFonts w:ascii="Arial" w:hAnsi="Arial" w:cs="Arial"/>
          <w:color w:val="auto"/>
          <w:sz w:val="22"/>
          <w:szCs w:val="22"/>
        </w:rPr>
        <w:t xml:space="preserve"> by status in each Trust (frequencies)*</w:t>
      </w:r>
    </w:p>
    <w:p w:rsidR="00060FED" w:rsidRPr="00600F6A" w:rsidRDefault="00060FED" w:rsidP="00060FED">
      <w:pPr>
        <w:keepNext/>
        <w:rPr>
          <w:rFonts w:ascii="Arial" w:hAnsi="Arial" w:cs="Arial"/>
        </w:rPr>
      </w:pPr>
      <w:r w:rsidRPr="00600F6A">
        <w:rPr>
          <w:rFonts w:ascii="Arial" w:hAnsi="Arial" w:cs="Arial"/>
          <w:noProof/>
          <w:lang w:eastAsia="en-GB"/>
        </w:rPr>
        <w:drawing>
          <wp:inline distT="0" distB="0" distL="0" distR="0" wp14:anchorId="264245C6" wp14:editId="577B8A41">
            <wp:extent cx="5279390" cy="2280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2280285"/>
                    </a:xfrm>
                    <a:prstGeom prst="rect">
                      <a:avLst/>
                    </a:prstGeom>
                    <a:noFill/>
                  </pic:spPr>
                </pic:pic>
              </a:graphicData>
            </a:graphic>
          </wp:inline>
        </w:drawing>
      </w:r>
    </w:p>
    <w:p w:rsidR="00060FED" w:rsidRPr="00600F6A" w:rsidRDefault="00060FED" w:rsidP="00060FED">
      <w:pPr>
        <w:rPr>
          <w:rFonts w:ascii="Arial" w:hAnsi="Arial" w:cs="Arial"/>
        </w:rPr>
      </w:pPr>
      <w:r w:rsidRPr="00600F6A">
        <w:rPr>
          <w:rFonts w:ascii="Arial" w:hAnsi="Arial" w:cs="Arial"/>
        </w:rPr>
        <w:t>*Full set of data available for 32 Trusts</w:t>
      </w:r>
    </w:p>
    <w:p w:rsidR="00060FED" w:rsidRPr="00600F6A" w:rsidRDefault="00060FED" w:rsidP="00060FED"/>
    <w:p w:rsidR="00060FED" w:rsidRPr="00600F6A" w:rsidRDefault="00060FED" w:rsidP="00060FED"/>
    <w:p w:rsidR="00060FED" w:rsidRPr="00600F6A" w:rsidRDefault="00060FED" w:rsidP="00060FED"/>
    <w:p w:rsidR="00060FED" w:rsidRPr="00600F6A" w:rsidRDefault="00060FED" w:rsidP="00060FED"/>
    <w:p w:rsidR="00060FED" w:rsidRPr="00600F6A" w:rsidRDefault="00060FED" w:rsidP="00060FED">
      <w:pPr>
        <w:pStyle w:val="Caption"/>
        <w:keepNext/>
        <w:spacing w:after="0"/>
        <w:rPr>
          <w:rFonts w:ascii="Arial" w:hAnsi="Arial" w:cs="Arial"/>
          <w:color w:val="auto"/>
          <w:sz w:val="22"/>
          <w:szCs w:val="22"/>
        </w:rPr>
      </w:pPr>
      <w:bookmarkStart w:id="4" w:name="_Ref391536577"/>
      <w:r w:rsidRPr="00600F6A">
        <w:rPr>
          <w:rFonts w:ascii="Arial" w:hAnsi="Arial" w:cs="Arial"/>
          <w:color w:val="auto"/>
          <w:sz w:val="22"/>
          <w:szCs w:val="22"/>
        </w:rPr>
        <w:t>Table</w:t>
      </w:r>
      <w:bookmarkEnd w:id="4"/>
      <w:r w:rsidRPr="00600F6A">
        <w:rPr>
          <w:rFonts w:ascii="Arial" w:hAnsi="Arial" w:cs="Arial"/>
          <w:color w:val="auto"/>
          <w:sz w:val="22"/>
          <w:szCs w:val="22"/>
        </w:rPr>
        <w:t xml:space="preserve"> 3: Number of mental health nurse prescribers by service setting (2005, 2008 &amp; 2014)</w:t>
      </w:r>
    </w:p>
    <w:tbl>
      <w:tblPr>
        <w:tblW w:w="8379" w:type="dxa"/>
        <w:tblInd w:w="93" w:type="dxa"/>
        <w:tblLook w:val="04A0" w:firstRow="1" w:lastRow="0" w:firstColumn="1" w:lastColumn="0" w:noHBand="0" w:noVBand="1"/>
      </w:tblPr>
      <w:tblGrid>
        <w:gridCol w:w="3559"/>
        <w:gridCol w:w="1843"/>
        <w:gridCol w:w="1559"/>
        <w:gridCol w:w="1418"/>
      </w:tblGrid>
      <w:tr w:rsidR="00060FED" w:rsidRPr="00600F6A" w:rsidTr="0060780B">
        <w:trPr>
          <w:trHeight w:val="469"/>
        </w:trPr>
        <w:tc>
          <w:tcPr>
            <w:tcW w:w="3559" w:type="dxa"/>
            <w:vMerge w:val="restart"/>
            <w:tcBorders>
              <w:top w:val="single" w:sz="8" w:space="0" w:color="auto"/>
              <w:left w:val="single" w:sz="8" w:space="0" w:color="auto"/>
              <w:bottom w:val="nil"/>
              <w:right w:val="single" w:sz="8" w:space="0" w:color="auto"/>
            </w:tcBorders>
            <w:shd w:val="clear" w:color="auto" w:fill="auto"/>
            <w:vAlign w:val="center"/>
            <w:hideMark/>
          </w:tcPr>
          <w:p w:rsidR="00060FED" w:rsidRPr="00600F6A" w:rsidRDefault="00060FED" w:rsidP="0060780B">
            <w:pPr>
              <w:jc w:val="center"/>
              <w:rPr>
                <w:rFonts w:ascii="Arial" w:eastAsia="Times New Roman" w:hAnsi="Arial" w:cs="Arial"/>
                <w:i/>
                <w:iCs/>
                <w:color w:val="000000"/>
                <w:lang w:eastAsia="en-GB"/>
              </w:rPr>
            </w:pPr>
            <w:r w:rsidRPr="00600F6A">
              <w:rPr>
                <w:rFonts w:ascii="Arial" w:eastAsia="Times New Roman" w:hAnsi="Arial" w:cs="Arial"/>
                <w:i/>
                <w:iCs/>
                <w:color w:val="000000"/>
                <w:lang w:eastAsia="en-GB"/>
              </w:rPr>
              <w:t>Service type</w:t>
            </w:r>
          </w:p>
        </w:tc>
        <w:tc>
          <w:tcPr>
            <w:tcW w:w="4820" w:type="dxa"/>
            <w:gridSpan w:val="3"/>
            <w:tcBorders>
              <w:top w:val="single" w:sz="8" w:space="0" w:color="auto"/>
              <w:left w:val="nil"/>
              <w:bottom w:val="single" w:sz="8" w:space="0" w:color="auto"/>
              <w:right w:val="single" w:sz="8" w:space="0" w:color="000000"/>
            </w:tcBorders>
            <w:shd w:val="clear" w:color="auto" w:fill="auto"/>
            <w:vAlign w:val="center"/>
            <w:hideMark/>
          </w:tcPr>
          <w:p w:rsidR="00060FED" w:rsidRPr="00600F6A" w:rsidRDefault="00060FED" w:rsidP="0060780B">
            <w:pPr>
              <w:jc w:val="center"/>
              <w:rPr>
                <w:rFonts w:ascii="Arial" w:eastAsia="Times New Roman" w:hAnsi="Arial" w:cs="Arial"/>
                <w:i/>
                <w:iCs/>
                <w:color w:val="000000"/>
                <w:lang w:eastAsia="en-GB"/>
              </w:rPr>
            </w:pPr>
            <w:r w:rsidRPr="00600F6A">
              <w:rPr>
                <w:rFonts w:ascii="Arial" w:eastAsia="Times New Roman" w:hAnsi="Arial" w:cs="Arial"/>
                <w:i/>
                <w:iCs/>
                <w:color w:val="000000"/>
                <w:lang w:eastAsia="en-GB"/>
              </w:rPr>
              <w:t>Frequency (and % of total) of MHN prescribers</w:t>
            </w:r>
          </w:p>
        </w:tc>
      </w:tr>
      <w:tr w:rsidR="00060FED" w:rsidRPr="00600F6A" w:rsidTr="0060780B">
        <w:trPr>
          <w:trHeight w:val="163"/>
        </w:trPr>
        <w:tc>
          <w:tcPr>
            <w:tcW w:w="3559" w:type="dxa"/>
            <w:vMerge/>
            <w:tcBorders>
              <w:top w:val="single" w:sz="8" w:space="0" w:color="auto"/>
              <w:left w:val="single" w:sz="8" w:space="0" w:color="auto"/>
              <w:bottom w:val="nil"/>
              <w:right w:val="single" w:sz="8" w:space="0" w:color="auto"/>
            </w:tcBorders>
            <w:vAlign w:val="center"/>
            <w:hideMark/>
          </w:tcPr>
          <w:p w:rsidR="00060FED" w:rsidRPr="00600F6A" w:rsidRDefault="00060FED" w:rsidP="0060780B">
            <w:pPr>
              <w:rPr>
                <w:rFonts w:ascii="Arial" w:eastAsia="Times New Roman" w:hAnsi="Arial" w:cs="Arial"/>
                <w:i/>
                <w:iCs/>
                <w:color w:val="000000"/>
                <w:lang w:eastAsia="en-GB"/>
              </w:rPr>
            </w:pPr>
          </w:p>
        </w:tc>
        <w:tc>
          <w:tcPr>
            <w:tcW w:w="1843" w:type="dxa"/>
            <w:tcBorders>
              <w:top w:val="nil"/>
              <w:left w:val="nil"/>
              <w:bottom w:val="single" w:sz="8" w:space="0" w:color="auto"/>
              <w:right w:val="nil"/>
            </w:tcBorders>
            <w:shd w:val="clear" w:color="auto" w:fill="auto"/>
            <w:vAlign w:val="center"/>
            <w:hideMark/>
          </w:tcPr>
          <w:p w:rsidR="00060FED" w:rsidRPr="00600F6A" w:rsidRDefault="00060FED" w:rsidP="0060780B">
            <w:pPr>
              <w:jc w:val="center"/>
              <w:rPr>
                <w:rFonts w:ascii="Arial" w:eastAsia="Times New Roman" w:hAnsi="Arial" w:cs="Arial"/>
                <w:b/>
                <w:bCs/>
                <w:color w:val="000000"/>
                <w:lang w:eastAsia="en-GB"/>
              </w:rPr>
            </w:pPr>
            <w:r w:rsidRPr="00600F6A">
              <w:rPr>
                <w:rFonts w:ascii="Arial" w:eastAsia="Times New Roman" w:hAnsi="Arial" w:cs="Arial"/>
                <w:b/>
                <w:bCs/>
                <w:color w:val="000000"/>
                <w:lang w:eastAsia="en-GB"/>
              </w:rPr>
              <w:t>2005</w:t>
            </w:r>
          </w:p>
        </w:tc>
        <w:tc>
          <w:tcPr>
            <w:tcW w:w="1559" w:type="dxa"/>
            <w:tcBorders>
              <w:top w:val="nil"/>
              <w:left w:val="nil"/>
              <w:bottom w:val="single" w:sz="8" w:space="0" w:color="auto"/>
              <w:right w:val="nil"/>
            </w:tcBorders>
            <w:shd w:val="clear" w:color="auto" w:fill="auto"/>
            <w:vAlign w:val="center"/>
            <w:hideMark/>
          </w:tcPr>
          <w:p w:rsidR="00060FED" w:rsidRPr="00600F6A" w:rsidRDefault="00060FED" w:rsidP="0060780B">
            <w:pPr>
              <w:jc w:val="center"/>
              <w:rPr>
                <w:rFonts w:ascii="Arial" w:eastAsia="Times New Roman" w:hAnsi="Arial" w:cs="Arial"/>
                <w:b/>
                <w:bCs/>
                <w:color w:val="000000"/>
                <w:lang w:eastAsia="en-GB"/>
              </w:rPr>
            </w:pPr>
            <w:r w:rsidRPr="00600F6A">
              <w:rPr>
                <w:rFonts w:ascii="Arial" w:eastAsia="Times New Roman" w:hAnsi="Arial" w:cs="Arial"/>
                <w:b/>
                <w:bCs/>
                <w:color w:val="000000"/>
                <w:lang w:eastAsia="en-GB"/>
              </w:rPr>
              <w:t>2008*</w:t>
            </w:r>
          </w:p>
        </w:tc>
        <w:tc>
          <w:tcPr>
            <w:tcW w:w="1418" w:type="dxa"/>
            <w:tcBorders>
              <w:top w:val="nil"/>
              <w:left w:val="nil"/>
              <w:bottom w:val="single" w:sz="8" w:space="0" w:color="auto"/>
              <w:right w:val="single" w:sz="8" w:space="0" w:color="auto"/>
            </w:tcBorders>
            <w:shd w:val="clear" w:color="auto" w:fill="auto"/>
            <w:vAlign w:val="center"/>
            <w:hideMark/>
          </w:tcPr>
          <w:p w:rsidR="00060FED" w:rsidRPr="00600F6A" w:rsidRDefault="00060FED" w:rsidP="0060780B">
            <w:pPr>
              <w:jc w:val="center"/>
              <w:rPr>
                <w:rFonts w:ascii="Arial" w:eastAsia="Times New Roman" w:hAnsi="Arial" w:cs="Arial"/>
                <w:b/>
                <w:bCs/>
                <w:color w:val="000000"/>
                <w:lang w:eastAsia="en-GB"/>
              </w:rPr>
            </w:pPr>
            <w:r w:rsidRPr="00600F6A">
              <w:rPr>
                <w:rFonts w:ascii="Arial" w:eastAsia="Times New Roman" w:hAnsi="Arial" w:cs="Arial"/>
                <w:b/>
                <w:bCs/>
                <w:color w:val="000000"/>
                <w:lang w:eastAsia="en-GB"/>
              </w:rPr>
              <w:t>2014</w:t>
            </w:r>
          </w:p>
        </w:tc>
      </w:tr>
      <w:tr w:rsidR="00060FED" w:rsidRPr="00600F6A" w:rsidTr="0060780B">
        <w:trPr>
          <w:trHeight w:val="156"/>
        </w:trPr>
        <w:tc>
          <w:tcPr>
            <w:tcW w:w="3559" w:type="dxa"/>
            <w:tcBorders>
              <w:top w:val="nil"/>
              <w:left w:val="single" w:sz="8" w:space="0" w:color="auto"/>
              <w:bottom w:val="nil"/>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CMHT</w:t>
            </w:r>
          </w:p>
        </w:tc>
        <w:tc>
          <w:tcPr>
            <w:tcW w:w="1843" w:type="dxa"/>
            <w:tcBorders>
              <w:top w:val="nil"/>
              <w:left w:val="nil"/>
              <w:bottom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61 (</w:t>
            </w:r>
            <w:r w:rsidRPr="00600F6A">
              <w:rPr>
                <w:rFonts w:ascii="Arial" w:eastAsia="Times New Roman" w:hAnsi="Arial" w:cs="Arial"/>
                <w:i/>
                <w:color w:val="000000"/>
                <w:lang w:eastAsia="en-GB"/>
              </w:rPr>
              <w:t>29%</w:t>
            </w:r>
            <w:r w:rsidRPr="00600F6A">
              <w:rPr>
                <w:rFonts w:ascii="Arial" w:eastAsia="Times New Roman" w:hAnsi="Arial" w:cs="Arial"/>
                <w:bCs/>
                <w:color w:val="000000"/>
                <w:lang w:eastAsia="en-GB"/>
              </w:rPr>
              <w:t>)</w:t>
            </w:r>
          </w:p>
        </w:tc>
        <w:tc>
          <w:tcPr>
            <w:tcW w:w="1559" w:type="dxa"/>
            <w:tcBorders>
              <w:top w:val="nil"/>
              <w:left w:val="nil"/>
              <w:bottom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97 (</w:t>
            </w:r>
            <w:r w:rsidRPr="00600F6A">
              <w:rPr>
                <w:rFonts w:ascii="Arial" w:eastAsia="Times New Roman" w:hAnsi="Arial" w:cs="Arial"/>
                <w:i/>
                <w:color w:val="000000"/>
                <w:lang w:eastAsia="en-GB"/>
              </w:rPr>
              <w:t>27%</w:t>
            </w:r>
            <w:r w:rsidRPr="00600F6A">
              <w:rPr>
                <w:rFonts w:ascii="Arial" w:eastAsia="Times New Roman" w:hAnsi="Arial" w:cs="Arial"/>
                <w:bCs/>
                <w:color w:val="000000"/>
                <w:lang w:eastAsia="en-GB"/>
              </w:rPr>
              <w:t>)</w:t>
            </w:r>
          </w:p>
        </w:tc>
        <w:tc>
          <w:tcPr>
            <w:tcW w:w="1418" w:type="dxa"/>
            <w:tcBorders>
              <w:top w:val="nil"/>
              <w:left w:val="nil"/>
              <w:bottom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243 (30</w:t>
            </w:r>
            <w:r w:rsidRPr="00600F6A">
              <w:rPr>
                <w:rFonts w:ascii="Arial" w:hAnsi="Arial" w:cs="Arial"/>
                <w:i/>
                <w:iCs/>
              </w:rPr>
              <w:t>%</w:t>
            </w:r>
            <w:r w:rsidRPr="00600F6A">
              <w:rPr>
                <w:rFonts w:ascii="Arial" w:hAnsi="Arial" w:cs="Arial"/>
              </w:rPr>
              <w:t>)</w:t>
            </w:r>
          </w:p>
        </w:tc>
      </w:tr>
      <w:tr w:rsidR="00060FED" w:rsidRPr="00600F6A" w:rsidTr="0060780B">
        <w:trPr>
          <w:trHeight w:val="313"/>
        </w:trPr>
        <w:tc>
          <w:tcPr>
            <w:tcW w:w="3559" w:type="dxa"/>
            <w:tcBorders>
              <w:top w:val="nil"/>
              <w:left w:val="single" w:sz="8" w:space="0" w:color="auto"/>
              <w:bottom w:val="nil"/>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Older people community</w:t>
            </w:r>
          </w:p>
        </w:tc>
        <w:tc>
          <w:tcPr>
            <w:tcW w:w="1843"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42 (</w:t>
            </w:r>
            <w:r w:rsidRPr="00600F6A">
              <w:rPr>
                <w:rFonts w:ascii="Arial" w:eastAsia="Times New Roman" w:hAnsi="Arial" w:cs="Arial"/>
                <w:i/>
                <w:color w:val="000000"/>
                <w:lang w:eastAsia="en-GB"/>
              </w:rPr>
              <w:t>20%</w:t>
            </w:r>
            <w:r w:rsidRPr="00600F6A">
              <w:rPr>
                <w:rFonts w:ascii="Arial" w:eastAsia="Times New Roman" w:hAnsi="Arial" w:cs="Arial"/>
                <w:bCs/>
                <w:color w:val="000000"/>
                <w:lang w:eastAsia="en-GB"/>
              </w:rPr>
              <w:t>)</w:t>
            </w:r>
          </w:p>
        </w:tc>
        <w:tc>
          <w:tcPr>
            <w:tcW w:w="1559"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53 (</w:t>
            </w:r>
            <w:r w:rsidRPr="00600F6A">
              <w:rPr>
                <w:rFonts w:ascii="Arial" w:eastAsia="Times New Roman" w:hAnsi="Arial" w:cs="Arial"/>
                <w:i/>
                <w:color w:val="000000"/>
                <w:lang w:eastAsia="en-GB"/>
              </w:rPr>
              <w:t>15%</w:t>
            </w:r>
            <w:r w:rsidRPr="00600F6A">
              <w:rPr>
                <w:rFonts w:ascii="Arial" w:eastAsia="Times New Roman" w:hAnsi="Arial" w:cs="Arial"/>
                <w:bCs/>
                <w:color w:val="000000"/>
                <w:lang w:eastAsia="en-GB"/>
              </w:rPr>
              <w:t>)</w:t>
            </w:r>
          </w:p>
        </w:tc>
        <w:tc>
          <w:tcPr>
            <w:tcW w:w="1418" w:type="dxa"/>
            <w:tcBorders>
              <w:top w:val="nil"/>
              <w:left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113 (14</w:t>
            </w:r>
            <w:r w:rsidRPr="00600F6A">
              <w:rPr>
                <w:rFonts w:ascii="Arial" w:hAnsi="Arial" w:cs="Arial"/>
                <w:i/>
                <w:iCs/>
              </w:rPr>
              <w:t>%</w:t>
            </w:r>
            <w:r w:rsidRPr="00600F6A">
              <w:rPr>
                <w:rFonts w:ascii="Arial" w:hAnsi="Arial" w:cs="Arial"/>
              </w:rPr>
              <w:t>)</w:t>
            </w:r>
          </w:p>
        </w:tc>
      </w:tr>
      <w:tr w:rsidR="00060FED" w:rsidRPr="00600F6A" w:rsidTr="0060780B">
        <w:trPr>
          <w:trHeight w:val="313"/>
        </w:trPr>
        <w:tc>
          <w:tcPr>
            <w:tcW w:w="3559" w:type="dxa"/>
            <w:tcBorders>
              <w:top w:val="nil"/>
              <w:left w:val="single" w:sz="8" w:space="0" w:color="auto"/>
              <w:bottom w:val="nil"/>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Drugs and alcohol</w:t>
            </w:r>
          </w:p>
        </w:tc>
        <w:tc>
          <w:tcPr>
            <w:tcW w:w="1843"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29 (</w:t>
            </w:r>
            <w:r w:rsidRPr="00600F6A">
              <w:rPr>
                <w:rFonts w:ascii="Arial" w:eastAsia="Times New Roman" w:hAnsi="Arial" w:cs="Arial"/>
                <w:i/>
                <w:color w:val="000000"/>
                <w:lang w:eastAsia="en-GB"/>
              </w:rPr>
              <w:t>14%</w:t>
            </w:r>
            <w:r w:rsidRPr="00600F6A">
              <w:rPr>
                <w:rFonts w:ascii="Arial" w:eastAsia="Times New Roman" w:hAnsi="Arial" w:cs="Arial"/>
                <w:bCs/>
                <w:color w:val="000000"/>
                <w:lang w:eastAsia="en-GB"/>
              </w:rPr>
              <w:t>)</w:t>
            </w:r>
          </w:p>
        </w:tc>
        <w:tc>
          <w:tcPr>
            <w:tcW w:w="1559"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67 (</w:t>
            </w:r>
            <w:r w:rsidRPr="00600F6A">
              <w:rPr>
                <w:rFonts w:ascii="Arial" w:eastAsia="Times New Roman" w:hAnsi="Arial" w:cs="Arial"/>
                <w:i/>
                <w:color w:val="000000"/>
                <w:lang w:eastAsia="en-GB"/>
              </w:rPr>
              <w:t>19%</w:t>
            </w:r>
            <w:r w:rsidRPr="00600F6A">
              <w:rPr>
                <w:rFonts w:ascii="Arial" w:eastAsia="Times New Roman" w:hAnsi="Arial" w:cs="Arial"/>
                <w:bCs/>
                <w:color w:val="000000"/>
                <w:lang w:eastAsia="en-GB"/>
              </w:rPr>
              <w:t>)</w:t>
            </w:r>
          </w:p>
        </w:tc>
        <w:tc>
          <w:tcPr>
            <w:tcW w:w="1418" w:type="dxa"/>
            <w:tcBorders>
              <w:top w:val="nil"/>
              <w:left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163 (20</w:t>
            </w:r>
            <w:r w:rsidRPr="00600F6A">
              <w:rPr>
                <w:rFonts w:ascii="Arial" w:hAnsi="Arial" w:cs="Arial"/>
                <w:i/>
                <w:iCs/>
              </w:rPr>
              <w:t>%</w:t>
            </w:r>
            <w:r w:rsidRPr="00600F6A">
              <w:rPr>
                <w:rFonts w:ascii="Arial" w:hAnsi="Arial" w:cs="Arial"/>
              </w:rPr>
              <w:t>)</w:t>
            </w:r>
          </w:p>
        </w:tc>
      </w:tr>
      <w:tr w:rsidR="00060FED" w:rsidRPr="00600F6A" w:rsidTr="0060780B">
        <w:trPr>
          <w:trHeight w:val="313"/>
        </w:trPr>
        <w:tc>
          <w:tcPr>
            <w:tcW w:w="3559" w:type="dxa"/>
            <w:tcBorders>
              <w:top w:val="nil"/>
              <w:left w:val="single" w:sz="8" w:space="0" w:color="auto"/>
              <w:bottom w:val="nil"/>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Assertive outreach teams</w:t>
            </w:r>
          </w:p>
        </w:tc>
        <w:tc>
          <w:tcPr>
            <w:tcW w:w="1843"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18 (</w:t>
            </w:r>
            <w:r w:rsidRPr="00600F6A">
              <w:rPr>
                <w:rFonts w:ascii="Arial" w:eastAsia="Times New Roman" w:hAnsi="Arial" w:cs="Arial"/>
                <w:i/>
                <w:color w:val="000000"/>
                <w:lang w:eastAsia="en-GB"/>
              </w:rPr>
              <w:t>8%</w:t>
            </w:r>
            <w:r w:rsidRPr="00600F6A">
              <w:rPr>
                <w:rFonts w:ascii="Arial" w:eastAsia="Times New Roman" w:hAnsi="Arial" w:cs="Arial"/>
                <w:bCs/>
                <w:color w:val="000000"/>
                <w:lang w:eastAsia="en-GB"/>
              </w:rPr>
              <w:t>)</w:t>
            </w:r>
          </w:p>
        </w:tc>
        <w:tc>
          <w:tcPr>
            <w:tcW w:w="1559"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25 (</w:t>
            </w:r>
            <w:r w:rsidRPr="00600F6A">
              <w:rPr>
                <w:rFonts w:ascii="Arial" w:eastAsia="Times New Roman" w:hAnsi="Arial" w:cs="Arial"/>
                <w:i/>
                <w:color w:val="000000"/>
                <w:lang w:eastAsia="en-GB"/>
              </w:rPr>
              <w:t>7%</w:t>
            </w:r>
            <w:r w:rsidRPr="00600F6A">
              <w:rPr>
                <w:rFonts w:ascii="Arial" w:eastAsia="Times New Roman" w:hAnsi="Arial" w:cs="Arial"/>
                <w:bCs/>
                <w:color w:val="000000"/>
                <w:lang w:eastAsia="en-GB"/>
              </w:rPr>
              <w:t>)</w:t>
            </w:r>
          </w:p>
        </w:tc>
        <w:tc>
          <w:tcPr>
            <w:tcW w:w="1418" w:type="dxa"/>
            <w:tcBorders>
              <w:top w:val="nil"/>
              <w:left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44 (5</w:t>
            </w:r>
            <w:r w:rsidRPr="00600F6A">
              <w:rPr>
                <w:rFonts w:ascii="Arial" w:hAnsi="Arial" w:cs="Arial"/>
                <w:i/>
                <w:iCs/>
              </w:rPr>
              <w:t>%</w:t>
            </w:r>
            <w:r w:rsidRPr="00600F6A">
              <w:rPr>
                <w:rFonts w:ascii="Arial" w:hAnsi="Arial" w:cs="Arial"/>
              </w:rPr>
              <w:t>)</w:t>
            </w:r>
          </w:p>
        </w:tc>
      </w:tr>
      <w:tr w:rsidR="00060FED" w:rsidRPr="00600F6A" w:rsidTr="0060780B">
        <w:trPr>
          <w:trHeight w:val="313"/>
        </w:trPr>
        <w:tc>
          <w:tcPr>
            <w:tcW w:w="3559" w:type="dxa"/>
            <w:tcBorders>
              <w:top w:val="nil"/>
              <w:left w:val="single" w:sz="8" w:space="0" w:color="auto"/>
              <w:bottom w:val="nil"/>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Crisis/home treatment</w:t>
            </w:r>
          </w:p>
        </w:tc>
        <w:tc>
          <w:tcPr>
            <w:tcW w:w="1843"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12 (</w:t>
            </w:r>
            <w:r w:rsidRPr="00600F6A">
              <w:rPr>
                <w:rFonts w:ascii="Arial" w:eastAsia="Times New Roman" w:hAnsi="Arial" w:cs="Arial"/>
                <w:i/>
                <w:color w:val="000000"/>
                <w:lang w:eastAsia="en-GB"/>
              </w:rPr>
              <w:t>6%</w:t>
            </w:r>
            <w:r w:rsidRPr="00600F6A">
              <w:rPr>
                <w:rFonts w:ascii="Arial" w:eastAsia="Times New Roman" w:hAnsi="Arial" w:cs="Arial"/>
                <w:bCs/>
                <w:color w:val="000000"/>
                <w:lang w:eastAsia="en-GB"/>
              </w:rPr>
              <w:t>)</w:t>
            </w:r>
          </w:p>
        </w:tc>
        <w:tc>
          <w:tcPr>
            <w:tcW w:w="1559"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26 (</w:t>
            </w:r>
            <w:r w:rsidRPr="00600F6A">
              <w:rPr>
                <w:rFonts w:ascii="Arial" w:eastAsia="Times New Roman" w:hAnsi="Arial" w:cs="Arial"/>
                <w:i/>
                <w:color w:val="000000"/>
                <w:lang w:eastAsia="en-GB"/>
              </w:rPr>
              <w:t>7%</w:t>
            </w:r>
            <w:r w:rsidRPr="00600F6A">
              <w:rPr>
                <w:rFonts w:ascii="Arial" w:eastAsia="Times New Roman" w:hAnsi="Arial" w:cs="Arial"/>
                <w:bCs/>
                <w:color w:val="000000"/>
                <w:lang w:eastAsia="en-GB"/>
              </w:rPr>
              <w:t>)</w:t>
            </w:r>
          </w:p>
        </w:tc>
        <w:tc>
          <w:tcPr>
            <w:tcW w:w="1418" w:type="dxa"/>
            <w:tcBorders>
              <w:top w:val="nil"/>
              <w:left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66 (8</w:t>
            </w:r>
            <w:r w:rsidRPr="00600F6A">
              <w:rPr>
                <w:rFonts w:ascii="Arial" w:hAnsi="Arial" w:cs="Arial"/>
                <w:i/>
                <w:iCs/>
              </w:rPr>
              <w:t>%</w:t>
            </w:r>
            <w:r w:rsidRPr="00600F6A">
              <w:rPr>
                <w:rFonts w:ascii="Arial" w:hAnsi="Arial" w:cs="Arial"/>
              </w:rPr>
              <w:t>)</w:t>
            </w:r>
          </w:p>
        </w:tc>
      </w:tr>
      <w:tr w:rsidR="00060FED" w:rsidRPr="00600F6A" w:rsidTr="0060780B">
        <w:trPr>
          <w:trHeight w:val="313"/>
        </w:trPr>
        <w:tc>
          <w:tcPr>
            <w:tcW w:w="3559" w:type="dxa"/>
            <w:tcBorders>
              <w:top w:val="nil"/>
              <w:left w:val="single" w:sz="8" w:space="0" w:color="auto"/>
              <w:bottom w:val="nil"/>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Acute inpatient</w:t>
            </w:r>
          </w:p>
        </w:tc>
        <w:tc>
          <w:tcPr>
            <w:tcW w:w="1843"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8 (</w:t>
            </w:r>
            <w:r w:rsidRPr="00600F6A">
              <w:rPr>
                <w:rFonts w:ascii="Arial" w:eastAsia="Times New Roman" w:hAnsi="Arial" w:cs="Arial"/>
                <w:i/>
                <w:color w:val="000000"/>
                <w:lang w:eastAsia="en-GB"/>
              </w:rPr>
              <w:t>4%</w:t>
            </w:r>
            <w:r w:rsidRPr="00600F6A">
              <w:rPr>
                <w:rFonts w:ascii="Arial" w:eastAsia="Times New Roman" w:hAnsi="Arial" w:cs="Arial"/>
                <w:bCs/>
                <w:color w:val="000000"/>
                <w:lang w:eastAsia="en-GB"/>
              </w:rPr>
              <w:t>)</w:t>
            </w:r>
          </w:p>
        </w:tc>
        <w:tc>
          <w:tcPr>
            <w:tcW w:w="1559"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17 (</w:t>
            </w:r>
            <w:r w:rsidRPr="00600F6A">
              <w:rPr>
                <w:rFonts w:ascii="Arial" w:eastAsia="Times New Roman" w:hAnsi="Arial" w:cs="Arial"/>
                <w:i/>
                <w:color w:val="000000"/>
                <w:lang w:eastAsia="en-GB"/>
              </w:rPr>
              <w:t>5%</w:t>
            </w:r>
            <w:r w:rsidRPr="00600F6A">
              <w:rPr>
                <w:rFonts w:ascii="Arial" w:eastAsia="Times New Roman" w:hAnsi="Arial" w:cs="Arial"/>
                <w:bCs/>
                <w:color w:val="000000"/>
                <w:lang w:eastAsia="en-GB"/>
              </w:rPr>
              <w:t>)</w:t>
            </w:r>
          </w:p>
        </w:tc>
        <w:tc>
          <w:tcPr>
            <w:tcW w:w="1418" w:type="dxa"/>
            <w:tcBorders>
              <w:top w:val="nil"/>
              <w:left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31 (4</w:t>
            </w:r>
            <w:r w:rsidRPr="00600F6A">
              <w:rPr>
                <w:rFonts w:ascii="Arial" w:hAnsi="Arial" w:cs="Arial"/>
                <w:i/>
                <w:iCs/>
              </w:rPr>
              <w:t>%</w:t>
            </w:r>
            <w:r w:rsidRPr="00600F6A">
              <w:rPr>
                <w:rFonts w:ascii="Arial" w:hAnsi="Arial" w:cs="Arial"/>
              </w:rPr>
              <w:t>)</w:t>
            </w:r>
          </w:p>
        </w:tc>
      </w:tr>
      <w:tr w:rsidR="00060FED" w:rsidRPr="00600F6A" w:rsidTr="0060780B">
        <w:trPr>
          <w:trHeight w:val="313"/>
        </w:trPr>
        <w:tc>
          <w:tcPr>
            <w:tcW w:w="3559" w:type="dxa"/>
            <w:tcBorders>
              <w:top w:val="nil"/>
              <w:left w:val="single" w:sz="8" w:space="0" w:color="auto"/>
              <w:bottom w:val="nil"/>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Older people inpatient</w:t>
            </w:r>
          </w:p>
        </w:tc>
        <w:tc>
          <w:tcPr>
            <w:tcW w:w="1843"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8 (</w:t>
            </w:r>
            <w:r w:rsidRPr="00600F6A">
              <w:rPr>
                <w:rFonts w:ascii="Arial" w:eastAsia="Times New Roman" w:hAnsi="Arial" w:cs="Arial"/>
                <w:i/>
                <w:color w:val="000000"/>
                <w:lang w:eastAsia="en-GB"/>
              </w:rPr>
              <w:t>4%</w:t>
            </w:r>
            <w:r w:rsidRPr="00600F6A">
              <w:rPr>
                <w:rFonts w:ascii="Arial" w:eastAsia="Times New Roman" w:hAnsi="Arial" w:cs="Arial"/>
                <w:bCs/>
                <w:color w:val="000000"/>
                <w:lang w:eastAsia="en-GB"/>
              </w:rPr>
              <w:t>)</w:t>
            </w:r>
          </w:p>
        </w:tc>
        <w:tc>
          <w:tcPr>
            <w:tcW w:w="1559"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12 (</w:t>
            </w:r>
            <w:r w:rsidRPr="00600F6A">
              <w:rPr>
                <w:rFonts w:ascii="Arial" w:eastAsia="Times New Roman" w:hAnsi="Arial" w:cs="Arial"/>
                <w:i/>
                <w:color w:val="000000"/>
                <w:lang w:eastAsia="en-GB"/>
              </w:rPr>
              <w:t>3%</w:t>
            </w:r>
            <w:r w:rsidRPr="00600F6A">
              <w:rPr>
                <w:rFonts w:ascii="Arial" w:eastAsia="Times New Roman" w:hAnsi="Arial" w:cs="Arial"/>
                <w:bCs/>
                <w:color w:val="000000"/>
                <w:lang w:eastAsia="en-GB"/>
              </w:rPr>
              <w:t>)</w:t>
            </w:r>
          </w:p>
        </w:tc>
        <w:tc>
          <w:tcPr>
            <w:tcW w:w="1418" w:type="dxa"/>
            <w:tcBorders>
              <w:top w:val="nil"/>
              <w:left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30 (4</w:t>
            </w:r>
            <w:r w:rsidRPr="00600F6A">
              <w:rPr>
                <w:rFonts w:ascii="Arial" w:hAnsi="Arial" w:cs="Arial"/>
                <w:i/>
                <w:iCs/>
              </w:rPr>
              <w:t>%</w:t>
            </w:r>
            <w:r w:rsidRPr="00600F6A">
              <w:rPr>
                <w:rFonts w:ascii="Arial" w:hAnsi="Arial" w:cs="Arial"/>
              </w:rPr>
              <w:t>)</w:t>
            </w:r>
          </w:p>
        </w:tc>
      </w:tr>
      <w:tr w:rsidR="00060FED" w:rsidRPr="00600F6A" w:rsidTr="0060780B">
        <w:trPr>
          <w:trHeight w:val="319"/>
        </w:trPr>
        <w:tc>
          <w:tcPr>
            <w:tcW w:w="3559" w:type="dxa"/>
            <w:tcBorders>
              <w:top w:val="nil"/>
              <w:left w:val="single" w:sz="8" w:space="0" w:color="auto"/>
              <w:bottom w:val="single" w:sz="8" w:space="0" w:color="000000"/>
              <w:right w:val="single" w:sz="8" w:space="0" w:color="auto"/>
            </w:tcBorders>
            <w:shd w:val="clear" w:color="auto" w:fill="auto"/>
            <w:vAlign w:val="center"/>
            <w:hideMark/>
          </w:tcPr>
          <w:p w:rsidR="00060FED" w:rsidRPr="00600F6A" w:rsidRDefault="00060FED" w:rsidP="0060780B">
            <w:pPr>
              <w:rPr>
                <w:rFonts w:ascii="Arial" w:eastAsia="Times New Roman" w:hAnsi="Arial" w:cs="Arial"/>
                <w:color w:val="000000"/>
                <w:lang w:eastAsia="en-GB"/>
              </w:rPr>
            </w:pPr>
            <w:r w:rsidRPr="00600F6A">
              <w:rPr>
                <w:rFonts w:ascii="Arial" w:eastAsia="Times New Roman" w:hAnsi="Arial" w:cs="Arial"/>
                <w:color w:val="000000"/>
                <w:lang w:eastAsia="en-GB"/>
              </w:rPr>
              <w:t>Other</w:t>
            </w:r>
          </w:p>
        </w:tc>
        <w:tc>
          <w:tcPr>
            <w:tcW w:w="1843"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35 (</w:t>
            </w:r>
            <w:r w:rsidRPr="00600F6A">
              <w:rPr>
                <w:rFonts w:ascii="Arial" w:eastAsia="Times New Roman" w:hAnsi="Arial" w:cs="Arial"/>
                <w:i/>
                <w:color w:val="000000"/>
                <w:lang w:eastAsia="en-GB"/>
              </w:rPr>
              <w:t>16%</w:t>
            </w:r>
            <w:r w:rsidRPr="00600F6A">
              <w:rPr>
                <w:rFonts w:ascii="Arial" w:eastAsia="Times New Roman" w:hAnsi="Arial" w:cs="Arial"/>
                <w:bCs/>
                <w:color w:val="000000"/>
                <w:lang w:eastAsia="en-GB"/>
              </w:rPr>
              <w:t>)</w:t>
            </w:r>
          </w:p>
        </w:tc>
        <w:tc>
          <w:tcPr>
            <w:tcW w:w="1559" w:type="dxa"/>
            <w:tcBorders>
              <w:top w:val="nil"/>
              <w:left w:val="nil"/>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Cs/>
                <w:color w:val="000000"/>
                <w:lang w:eastAsia="en-GB"/>
              </w:rPr>
              <w:t>59 (</w:t>
            </w:r>
            <w:r w:rsidRPr="00600F6A">
              <w:rPr>
                <w:rFonts w:ascii="Arial" w:eastAsia="Times New Roman" w:hAnsi="Arial" w:cs="Arial"/>
                <w:i/>
                <w:color w:val="000000"/>
                <w:lang w:eastAsia="en-GB"/>
              </w:rPr>
              <w:t>17%</w:t>
            </w:r>
            <w:r w:rsidRPr="00600F6A">
              <w:rPr>
                <w:rFonts w:ascii="Arial" w:eastAsia="Times New Roman" w:hAnsi="Arial" w:cs="Arial"/>
                <w:bCs/>
                <w:color w:val="000000"/>
                <w:lang w:eastAsia="en-GB"/>
              </w:rPr>
              <w:t>)</w:t>
            </w:r>
          </w:p>
        </w:tc>
        <w:tc>
          <w:tcPr>
            <w:tcW w:w="1418" w:type="dxa"/>
            <w:tcBorders>
              <w:top w:val="nil"/>
              <w:left w:val="nil"/>
              <w:right w:val="single" w:sz="8" w:space="0" w:color="auto"/>
            </w:tcBorders>
            <w:shd w:val="clear" w:color="auto" w:fill="auto"/>
            <w:vAlign w:val="center"/>
            <w:hideMark/>
          </w:tcPr>
          <w:p w:rsidR="00060FED" w:rsidRPr="00600F6A" w:rsidRDefault="00060FED" w:rsidP="0060780B">
            <w:pPr>
              <w:jc w:val="center"/>
              <w:rPr>
                <w:rFonts w:ascii="Arial" w:hAnsi="Arial" w:cs="Arial"/>
              </w:rPr>
            </w:pPr>
            <w:r w:rsidRPr="00600F6A">
              <w:rPr>
                <w:rFonts w:ascii="Arial" w:hAnsi="Arial" w:cs="Arial"/>
              </w:rPr>
              <w:t>127(16</w:t>
            </w:r>
            <w:r w:rsidRPr="00600F6A">
              <w:rPr>
                <w:rFonts w:ascii="Arial" w:hAnsi="Arial" w:cs="Arial"/>
                <w:i/>
                <w:iCs/>
              </w:rPr>
              <w:t>%</w:t>
            </w:r>
            <w:r w:rsidRPr="00600F6A">
              <w:rPr>
                <w:rFonts w:ascii="Arial" w:hAnsi="Arial" w:cs="Arial"/>
              </w:rPr>
              <w:t>)</w:t>
            </w:r>
          </w:p>
        </w:tc>
      </w:tr>
      <w:tr w:rsidR="00060FED" w:rsidRPr="00600F6A" w:rsidTr="0060780B">
        <w:trPr>
          <w:trHeight w:val="163"/>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060FED" w:rsidRPr="00600F6A" w:rsidRDefault="00060FED" w:rsidP="0060780B">
            <w:pPr>
              <w:jc w:val="center"/>
              <w:rPr>
                <w:rFonts w:ascii="Arial" w:eastAsia="Times New Roman" w:hAnsi="Arial" w:cs="Arial"/>
                <w:b/>
                <w:bCs/>
                <w:color w:val="000000"/>
                <w:lang w:eastAsia="en-GB"/>
              </w:rPr>
            </w:pPr>
            <w:r w:rsidRPr="00600F6A">
              <w:rPr>
                <w:rFonts w:ascii="Arial" w:eastAsia="Times New Roman" w:hAnsi="Arial" w:cs="Arial"/>
                <w:b/>
                <w:bCs/>
                <w:color w:val="000000"/>
                <w:lang w:eastAsia="en-GB"/>
              </w:rPr>
              <w:t>Total</w:t>
            </w:r>
          </w:p>
        </w:tc>
        <w:tc>
          <w:tcPr>
            <w:tcW w:w="1843" w:type="dxa"/>
            <w:tcBorders>
              <w:top w:val="single" w:sz="8" w:space="0" w:color="000000"/>
              <w:left w:val="nil"/>
              <w:bottom w:val="single" w:sz="8" w:space="0" w:color="auto"/>
              <w:right w:val="nil"/>
            </w:tcBorders>
            <w:shd w:val="clear" w:color="auto" w:fill="auto"/>
            <w:vAlign w:val="center"/>
            <w:hideMark/>
          </w:tcPr>
          <w:p w:rsidR="00060FED" w:rsidRPr="00600F6A" w:rsidRDefault="00060FED" w:rsidP="0060780B">
            <w:pPr>
              <w:jc w:val="center"/>
              <w:rPr>
                <w:rFonts w:ascii="Arial" w:eastAsia="Times New Roman" w:hAnsi="Arial" w:cs="Arial"/>
                <w:b/>
                <w:bCs/>
                <w:color w:val="000000"/>
                <w:lang w:eastAsia="en-GB"/>
              </w:rPr>
            </w:pPr>
            <w:r w:rsidRPr="00600F6A">
              <w:rPr>
                <w:rFonts w:ascii="Arial" w:eastAsia="Times New Roman" w:hAnsi="Arial" w:cs="Arial"/>
                <w:b/>
                <w:bCs/>
                <w:color w:val="000000"/>
                <w:lang w:eastAsia="en-GB"/>
              </w:rPr>
              <w:t>213</w:t>
            </w:r>
          </w:p>
        </w:tc>
        <w:tc>
          <w:tcPr>
            <w:tcW w:w="1559" w:type="dxa"/>
            <w:tcBorders>
              <w:top w:val="single" w:sz="8" w:space="0" w:color="000000"/>
              <w:left w:val="nil"/>
              <w:bottom w:val="single" w:sz="8" w:space="0" w:color="auto"/>
              <w:right w:val="nil"/>
            </w:tcBorders>
            <w:shd w:val="clear" w:color="auto" w:fill="auto"/>
            <w:vAlign w:val="center"/>
            <w:hideMark/>
          </w:tcPr>
          <w:p w:rsidR="00060FED" w:rsidRPr="00600F6A" w:rsidRDefault="00060FED" w:rsidP="0060780B">
            <w:pPr>
              <w:jc w:val="center"/>
              <w:rPr>
                <w:rFonts w:ascii="Arial" w:eastAsia="Times New Roman" w:hAnsi="Arial" w:cs="Arial"/>
                <w:bCs/>
                <w:color w:val="000000"/>
                <w:lang w:eastAsia="en-GB"/>
              </w:rPr>
            </w:pPr>
            <w:r w:rsidRPr="00600F6A">
              <w:rPr>
                <w:rFonts w:ascii="Arial" w:eastAsia="Times New Roman" w:hAnsi="Arial" w:cs="Arial"/>
                <w:b/>
                <w:bCs/>
                <w:color w:val="000000"/>
                <w:lang w:eastAsia="en-GB"/>
              </w:rPr>
              <w:t>356</w:t>
            </w:r>
          </w:p>
        </w:tc>
        <w:tc>
          <w:tcPr>
            <w:tcW w:w="1418" w:type="dxa"/>
            <w:tcBorders>
              <w:top w:val="single" w:sz="8" w:space="0" w:color="000000"/>
              <w:left w:val="nil"/>
              <w:bottom w:val="single" w:sz="8" w:space="0" w:color="auto"/>
              <w:right w:val="single" w:sz="8" w:space="0" w:color="auto"/>
            </w:tcBorders>
            <w:shd w:val="clear" w:color="auto" w:fill="auto"/>
            <w:vAlign w:val="bottom"/>
            <w:hideMark/>
          </w:tcPr>
          <w:p w:rsidR="00060FED" w:rsidRPr="00600F6A" w:rsidRDefault="00060FED" w:rsidP="0060780B">
            <w:pPr>
              <w:jc w:val="center"/>
              <w:rPr>
                <w:rFonts w:ascii="Arial" w:hAnsi="Arial" w:cs="Arial"/>
                <w:b/>
                <w:color w:val="000000"/>
              </w:rPr>
            </w:pPr>
            <w:r w:rsidRPr="00600F6A">
              <w:rPr>
                <w:rFonts w:ascii="Arial" w:eastAsia="Times New Roman" w:hAnsi="Arial" w:cs="Arial"/>
                <w:b/>
                <w:bCs/>
                <w:color w:val="000000"/>
                <w:lang w:eastAsia="en-GB"/>
              </w:rPr>
              <w:t>817</w:t>
            </w:r>
          </w:p>
        </w:tc>
      </w:tr>
    </w:tbl>
    <w:p w:rsidR="00060FED" w:rsidRPr="00600F6A" w:rsidRDefault="00060FED" w:rsidP="00060FED">
      <w:pPr>
        <w:rPr>
          <w:rFonts w:ascii="Arial" w:hAnsi="Arial" w:cs="Arial"/>
        </w:rPr>
      </w:pPr>
      <w:r w:rsidRPr="00600F6A">
        <w:rPr>
          <w:rFonts w:ascii="Arial" w:hAnsi="Arial" w:cs="Arial"/>
        </w:rPr>
        <w:t>*Information only available for 356 out of 437 prescribers.</w:t>
      </w:r>
    </w:p>
    <w:p w:rsidR="00060FED" w:rsidRDefault="00060FED" w:rsidP="00060FED"/>
    <w:p w:rsidR="00060FED" w:rsidRPr="00600F6A" w:rsidRDefault="00060FED" w:rsidP="00060FED">
      <w:pPr>
        <w:pStyle w:val="Caption"/>
        <w:keepNext/>
        <w:spacing w:after="0"/>
        <w:rPr>
          <w:rFonts w:ascii="Arial" w:hAnsi="Arial" w:cs="Arial"/>
          <w:color w:val="auto"/>
          <w:sz w:val="22"/>
          <w:szCs w:val="22"/>
        </w:rPr>
      </w:pPr>
      <w:bookmarkStart w:id="5" w:name="_Ref391648692"/>
      <w:r w:rsidRPr="00600F6A">
        <w:rPr>
          <w:rFonts w:ascii="Arial" w:hAnsi="Arial" w:cs="Arial"/>
          <w:color w:val="auto"/>
          <w:sz w:val="22"/>
          <w:szCs w:val="22"/>
        </w:rPr>
        <w:t>Figure</w:t>
      </w:r>
      <w:bookmarkEnd w:id="5"/>
      <w:r w:rsidRPr="00600F6A">
        <w:rPr>
          <w:rFonts w:ascii="Arial" w:hAnsi="Arial" w:cs="Arial"/>
          <w:color w:val="auto"/>
          <w:sz w:val="22"/>
          <w:szCs w:val="22"/>
        </w:rPr>
        <w:t xml:space="preserve"> 2: Distribution of NPs by status and service in 2008 (left) and 2014 (right)</w:t>
      </w:r>
    </w:p>
    <w:p w:rsidR="00060FED" w:rsidRPr="00600F6A" w:rsidRDefault="00060FED" w:rsidP="00060FED">
      <w:r w:rsidRPr="00600F6A">
        <w:rPr>
          <w:rFonts w:ascii="Arial" w:hAnsi="Arial" w:cs="Arial"/>
          <w:noProof/>
          <w:lang w:eastAsia="en-GB"/>
        </w:rPr>
        <w:drawing>
          <wp:inline distT="0" distB="0" distL="0" distR="0" wp14:anchorId="3973CAD6" wp14:editId="2A394ACF">
            <wp:extent cx="5731510" cy="339322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93228"/>
                    </a:xfrm>
                    <a:prstGeom prst="rect">
                      <a:avLst/>
                    </a:prstGeom>
                    <a:noFill/>
                  </pic:spPr>
                </pic:pic>
              </a:graphicData>
            </a:graphic>
          </wp:inline>
        </w:drawing>
      </w:r>
    </w:p>
    <w:p w:rsidR="00060FED" w:rsidRPr="00600F6A" w:rsidRDefault="00060FED" w:rsidP="00060FED"/>
    <w:p w:rsidR="00060FED" w:rsidRPr="00600F6A" w:rsidRDefault="00060FED" w:rsidP="00060FED"/>
    <w:p w:rsidR="00060FED" w:rsidRPr="00600F6A" w:rsidRDefault="00060FED" w:rsidP="00060FED"/>
    <w:p w:rsidR="00060FED" w:rsidRPr="00600F6A" w:rsidRDefault="00060FED" w:rsidP="00060FED">
      <w:pPr>
        <w:pStyle w:val="Caption"/>
        <w:keepNext/>
        <w:spacing w:after="0"/>
        <w:rPr>
          <w:rFonts w:ascii="Arial" w:hAnsi="Arial" w:cs="Arial"/>
          <w:color w:val="auto"/>
          <w:sz w:val="22"/>
          <w:szCs w:val="22"/>
        </w:rPr>
      </w:pPr>
      <w:r w:rsidRPr="00600F6A">
        <w:rPr>
          <w:rFonts w:ascii="Arial" w:hAnsi="Arial" w:cs="Arial"/>
          <w:color w:val="auto"/>
          <w:sz w:val="22"/>
          <w:szCs w:val="22"/>
        </w:rPr>
        <w:t>Table 4: Criteria to remain on register (number of organisations)</w:t>
      </w:r>
    </w:p>
    <w:tbl>
      <w:tblPr>
        <w:tblStyle w:val="LightShading"/>
        <w:tblpPr w:leftFromText="180" w:rightFromText="180" w:vertAnchor="text" w:tblpY="1"/>
        <w:tblOverlap w:val="never"/>
        <w:tblW w:w="4503" w:type="dxa"/>
        <w:tblLook w:val="0600" w:firstRow="0" w:lastRow="0" w:firstColumn="0" w:lastColumn="0" w:noHBand="1" w:noVBand="1"/>
      </w:tblPr>
      <w:tblGrid>
        <w:gridCol w:w="3794"/>
        <w:gridCol w:w="709"/>
      </w:tblGrid>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Evidence of CPD</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15</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Active status</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10</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Receives clinical supervision</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9</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NMC registration</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8</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Submit scope of practice</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7</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Employed by Trust</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5</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Regular audit</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5</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Annual competency framework</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2</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In a clinical role</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2</w:t>
            </w:r>
          </w:p>
        </w:tc>
      </w:tr>
      <w:tr w:rsidR="00060FED" w:rsidRPr="00600F6A" w:rsidTr="0060780B">
        <w:trPr>
          <w:trHeight w:val="333"/>
        </w:trPr>
        <w:tc>
          <w:tcPr>
            <w:tcW w:w="3794" w:type="dxa"/>
            <w:hideMark/>
          </w:tcPr>
          <w:p w:rsidR="00060FED" w:rsidRPr="00600F6A" w:rsidRDefault="00060FED" w:rsidP="0060780B">
            <w:pPr>
              <w:autoSpaceDE w:val="0"/>
              <w:autoSpaceDN w:val="0"/>
              <w:adjustRightInd w:val="0"/>
              <w:rPr>
                <w:rFonts w:ascii="Arial" w:hAnsi="Arial" w:cs="Arial"/>
                <w:color w:val="auto"/>
              </w:rPr>
            </w:pPr>
            <w:r w:rsidRPr="00600F6A">
              <w:rPr>
                <w:rFonts w:ascii="Arial" w:hAnsi="Arial" w:cs="Arial"/>
                <w:color w:val="auto"/>
              </w:rPr>
              <w:t>Portfolio</w:t>
            </w:r>
          </w:p>
        </w:tc>
        <w:tc>
          <w:tcPr>
            <w:tcW w:w="709" w:type="dxa"/>
            <w:hideMark/>
          </w:tcPr>
          <w:p w:rsidR="00060FED" w:rsidRPr="00600F6A" w:rsidRDefault="00060FED" w:rsidP="0060780B">
            <w:pPr>
              <w:autoSpaceDE w:val="0"/>
              <w:autoSpaceDN w:val="0"/>
              <w:adjustRightInd w:val="0"/>
              <w:jc w:val="center"/>
              <w:rPr>
                <w:rFonts w:ascii="Arial" w:hAnsi="Arial" w:cs="Arial"/>
                <w:color w:val="auto"/>
              </w:rPr>
            </w:pPr>
            <w:r w:rsidRPr="00600F6A">
              <w:rPr>
                <w:rFonts w:ascii="Arial" w:hAnsi="Arial" w:cs="Arial"/>
                <w:color w:val="auto"/>
              </w:rPr>
              <w:t>2</w:t>
            </w:r>
          </w:p>
        </w:tc>
      </w:tr>
    </w:tbl>
    <w:p w:rsidR="00060FED" w:rsidRPr="00600F6A" w:rsidRDefault="00060FED" w:rsidP="00060FED">
      <w:pPr>
        <w:autoSpaceDE w:val="0"/>
        <w:autoSpaceDN w:val="0"/>
        <w:adjustRightInd w:val="0"/>
        <w:rPr>
          <w:rFonts w:ascii="Arial" w:hAnsi="Arial" w:cs="Arial"/>
          <w:lang w:val="en-US"/>
        </w:rPr>
      </w:pPr>
      <w:r w:rsidRPr="00600F6A">
        <w:rPr>
          <w:rFonts w:ascii="Arial" w:hAnsi="Arial" w:cs="Arial"/>
          <w:color w:val="FF0000"/>
        </w:rPr>
        <w:br w:type="textWrapping" w:clear="all"/>
      </w:r>
    </w:p>
    <w:p w:rsidR="00060FED" w:rsidRPr="00600F6A" w:rsidRDefault="00060FED" w:rsidP="00060FED"/>
    <w:p w:rsidR="00060FED" w:rsidRPr="00600F6A" w:rsidRDefault="00060FED" w:rsidP="00060FED"/>
    <w:p w:rsidR="00060FED" w:rsidRPr="00600F6A" w:rsidRDefault="00060FED" w:rsidP="00060FED">
      <w:pPr>
        <w:pStyle w:val="Caption"/>
        <w:keepNext/>
        <w:spacing w:after="0"/>
        <w:rPr>
          <w:rFonts w:ascii="Arial" w:hAnsi="Arial" w:cs="Arial"/>
          <w:color w:val="auto"/>
          <w:sz w:val="22"/>
          <w:szCs w:val="22"/>
        </w:rPr>
      </w:pPr>
      <w:bookmarkStart w:id="6" w:name="_Ref415660041"/>
      <w:r w:rsidRPr="00600F6A">
        <w:rPr>
          <w:rFonts w:ascii="Arial" w:hAnsi="Arial" w:cs="Arial"/>
          <w:color w:val="auto"/>
          <w:sz w:val="22"/>
          <w:szCs w:val="22"/>
        </w:rPr>
        <w:t xml:space="preserve">Table </w:t>
      </w:r>
      <w:bookmarkEnd w:id="6"/>
      <w:r w:rsidRPr="00600F6A">
        <w:rPr>
          <w:rFonts w:ascii="Arial" w:hAnsi="Arial" w:cs="Arial"/>
          <w:color w:val="auto"/>
          <w:sz w:val="22"/>
          <w:szCs w:val="22"/>
        </w:rPr>
        <w:t>5: Elements of CPD provided (number of organisations)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
      </w:tblGrid>
      <w:tr w:rsidR="00060FED" w:rsidRPr="00600F6A" w:rsidTr="0060780B">
        <w:tc>
          <w:tcPr>
            <w:tcW w:w="3652" w:type="dxa"/>
            <w:tcBorders>
              <w:top w:val="single" w:sz="4" w:space="0" w:color="auto"/>
            </w:tcBorders>
          </w:tcPr>
          <w:p w:rsidR="00060FED" w:rsidRPr="00600F6A" w:rsidRDefault="00060FED" w:rsidP="0060780B">
            <w:pPr>
              <w:rPr>
                <w:rFonts w:ascii="Arial" w:hAnsi="Arial" w:cs="Arial"/>
              </w:rPr>
            </w:pPr>
            <w:r w:rsidRPr="00600F6A">
              <w:rPr>
                <w:rFonts w:ascii="Arial" w:hAnsi="Arial" w:cs="Arial"/>
              </w:rPr>
              <w:t>Forum</w:t>
            </w:r>
          </w:p>
        </w:tc>
        <w:tc>
          <w:tcPr>
            <w:tcW w:w="567" w:type="dxa"/>
            <w:tcBorders>
              <w:top w:val="single" w:sz="4" w:space="0" w:color="auto"/>
            </w:tcBorders>
          </w:tcPr>
          <w:p w:rsidR="00060FED" w:rsidRPr="00600F6A" w:rsidRDefault="00060FED" w:rsidP="0060780B">
            <w:pPr>
              <w:jc w:val="center"/>
              <w:rPr>
                <w:rFonts w:ascii="Arial" w:hAnsi="Arial" w:cs="Arial"/>
              </w:rPr>
            </w:pPr>
            <w:r w:rsidRPr="00600F6A">
              <w:rPr>
                <w:rFonts w:ascii="Arial" w:hAnsi="Arial" w:cs="Arial"/>
              </w:rPr>
              <w:t>15</w:t>
            </w:r>
          </w:p>
        </w:tc>
      </w:tr>
      <w:tr w:rsidR="00060FED" w:rsidRPr="00600F6A" w:rsidTr="0060780B">
        <w:tc>
          <w:tcPr>
            <w:tcW w:w="3652" w:type="dxa"/>
          </w:tcPr>
          <w:p w:rsidR="00060FED" w:rsidRPr="00600F6A" w:rsidRDefault="00060FED" w:rsidP="0060780B">
            <w:pPr>
              <w:rPr>
                <w:rFonts w:ascii="Arial" w:hAnsi="Arial" w:cs="Arial"/>
              </w:rPr>
            </w:pPr>
            <w:r w:rsidRPr="00600F6A">
              <w:rPr>
                <w:rFonts w:ascii="Arial" w:hAnsi="Arial" w:cs="Arial"/>
              </w:rPr>
              <w:t>Education sessions</w:t>
            </w:r>
          </w:p>
        </w:tc>
        <w:tc>
          <w:tcPr>
            <w:tcW w:w="567" w:type="dxa"/>
          </w:tcPr>
          <w:p w:rsidR="00060FED" w:rsidRPr="00600F6A" w:rsidRDefault="00060FED" w:rsidP="0060780B">
            <w:pPr>
              <w:jc w:val="center"/>
              <w:rPr>
                <w:rFonts w:ascii="Arial" w:hAnsi="Arial" w:cs="Arial"/>
              </w:rPr>
            </w:pPr>
            <w:r w:rsidRPr="00600F6A">
              <w:rPr>
                <w:rFonts w:ascii="Arial" w:hAnsi="Arial" w:cs="Arial"/>
              </w:rPr>
              <w:t>11</w:t>
            </w:r>
          </w:p>
        </w:tc>
      </w:tr>
      <w:tr w:rsidR="00060FED" w:rsidRPr="00600F6A" w:rsidTr="0060780B">
        <w:tc>
          <w:tcPr>
            <w:tcW w:w="3652" w:type="dxa"/>
          </w:tcPr>
          <w:p w:rsidR="00060FED" w:rsidRPr="00600F6A" w:rsidRDefault="00060FED" w:rsidP="0060780B">
            <w:pPr>
              <w:rPr>
                <w:rFonts w:ascii="Arial" w:hAnsi="Arial" w:cs="Arial"/>
              </w:rPr>
            </w:pPr>
            <w:r w:rsidRPr="00600F6A">
              <w:rPr>
                <w:rFonts w:ascii="Arial" w:hAnsi="Arial" w:cs="Arial"/>
              </w:rPr>
              <w:t>Local conference</w:t>
            </w:r>
          </w:p>
        </w:tc>
        <w:tc>
          <w:tcPr>
            <w:tcW w:w="567" w:type="dxa"/>
          </w:tcPr>
          <w:p w:rsidR="00060FED" w:rsidRPr="00600F6A" w:rsidRDefault="00060FED" w:rsidP="0060780B">
            <w:pPr>
              <w:jc w:val="center"/>
              <w:rPr>
                <w:rFonts w:ascii="Arial" w:hAnsi="Arial" w:cs="Arial"/>
              </w:rPr>
            </w:pPr>
            <w:r w:rsidRPr="00600F6A">
              <w:rPr>
                <w:rFonts w:ascii="Arial" w:hAnsi="Arial" w:cs="Arial"/>
              </w:rPr>
              <w:t>8</w:t>
            </w:r>
          </w:p>
        </w:tc>
      </w:tr>
      <w:tr w:rsidR="00060FED" w:rsidRPr="00600F6A" w:rsidTr="0060780B">
        <w:tc>
          <w:tcPr>
            <w:tcW w:w="3652" w:type="dxa"/>
          </w:tcPr>
          <w:p w:rsidR="00060FED" w:rsidRPr="00600F6A" w:rsidRDefault="00060FED" w:rsidP="0060780B">
            <w:pPr>
              <w:rPr>
                <w:rFonts w:ascii="Arial" w:hAnsi="Arial" w:cs="Arial"/>
              </w:rPr>
            </w:pPr>
            <w:r w:rsidRPr="00600F6A">
              <w:rPr>
                <w:rFonts w:ascii="Arial" w:hAnsi="Arial" w:cs="Arial"/>
              </w:rPr>
              <w:t>Group supervision</w:t>
            </w:r>
          </w:p>
        </w:tc>
        <w:tc>
          <w:tcPr>
            <w:tcW w:w="567" w:type="dxa"/>
          </w:tcPr>
          <w:p w:rsidR="00060FED" w:rsidRPr="00600F6A" w:rsidRDefault="00060FED" w:rsidP="0060780B">
            <w:pPr>
              <w:jc w:val="center"/>
              <w:rPr>
                <w:rFonts w:ascii="Arial" w:hAnsi="Arial" w:cs="Arial"/>
              </w:rPr>
            </w:pPr>
            <w:r w:rsidRPr="00600F6A">
              <w:rPr>
                <w:rFonts w:ascii="Arial" w:hAnsi="Arial" w:cs="Arial"/>
              </w:rPr>
              <w:t>5</w:t>
            </w:r>
          </w:p>
        </w:tc>
      </w:tr>
      <w:tr w:rsidR="00060FED" w:rsidRPr="00600F6A" w:rsidTr="0060780B">
        <w:tc>
          <w:tcPr>
            <w:tcW w:w="3652" w:type="dxa"/>
          </w:tcPr>
          <w:p w:rsidR="00060FED" w:rsidRPr="00600F6A" w:rsidRDefault="00060FED" w:rsidP="0060780B">
            <w:pPr>
              <w:rPr>
                <w:rFonts w:ascii="Arial" w:hAnsi="Arial" w:cs="Arial"/>
              </w:rPr>
            </w:pPr>
            <w:r w:rsidRPr="00600F6A">
              <w:rPr>
                <w:rFonts w:ascii="Arial" w:hAnsi="Arial" w:cs="Arial"/>
              </w:rPr>
              <w:t>Competency framework</w:t>
            </w:r>
          </w:p>
        </w:tc>
        <w:tc>
          <w:tcPr>
            <w:tcW w:w="567" w:type="dxa"/>
          </w:tcPr>
          <w:p w:rsidR="00060FED" w:rsidRPr="00600F6A" w:rsidRDefault="00060FED" w:rsidP="0060780B">
            <w:pPr>
              <w:jc w:val="center"/>
              <w:rPr>
                <w:rFonts w:ascii="Arial" w:hAnsi="Arial" w:cs="Arial"/>
              </w:rPr>
            </w:pPr>
            <w:r w:rsidRPr="00600F6A">
              <w:rPr>
                <w:rFonts w:ascii="Arial" w:hAnsi="Arial" w:cs="Arial"/>
              </w:rPr>
              <w:t>3</w:t>
            </w:r>
          </w:p>
        </w:tc>
      </w:tr>
      <w:tr w:rsidR="00060FED" w:rsidRPr="00600F6A" w:rsidTr="0060780B">
        <w:tc>
          <w:tcPr>
            <w:tcW w:w="3652" w:type="dxa"/>
            <w:tcBorders>
              <w:bottom w:val="single" w:sz="4" w:space="0" w:color="auto"/>
            </w:tcBorders>
          </w:tcPr>
          <w:p w:rsidR="00060FED" w:rsidRPr="00600F6A" w:rsidRDefault="00060FED" w:rsidP="0060780B">
            <w:pPr>
              <w:rPr>
                <w:rFonts w:ascii="Arial" w:hAnsi="Arial" w:cs="Arial"/>
              </w:rPr>
            </w:pPr>
            <w:r w:rsidRPr="00600F6A">
              <w:rPr>
                <w:rFonts w:ascii="Arial" w:hAnsi="Arial" w:cs="Arial"/>
              </w:rPr>
              <w:t>Portfolio / audit of practice</w:t>
            </w:r>
          </w:p>
        </w:tc>
        <w:tc>
          <w:tcPr>
            <w:tcW w:w="567" w:type="dxa"/>
            <w:tcBorders>
              <w:bottom w:val="single" w:sz="4" w:space="0" w:color="auto"/>
            </w:tcBorders>
          </w:tcPr>
          <w:p w:rsidR="00060FED" w:rsidRPr="00600F6A" w:rsidRDefault="00060FED" w:rsidP="0060780B">
            <w:pPr>
              <w:jc w:val="center"/>
              <w:rPr>
                <w:rFonts w:ascii="Arial" w:hAnsi="Arial" w:cs="Arial"/>
              </w:rPr>
            </w:pPr>
            <w:r w:rsidRPr="00600F6A">
              <w:rPr>
                <w:rFonts w:ascii="Arial" w:hAnsi="Arial" w:cs="Arial"/>
              </w:rPr>
              <w:t>3</w:t>
            </w:r>
          </w:p>
        </w:tc>
      </w:tr>
    </w:tbl>
    <w:p w:rsidR="00060FED" w:rsidRPr="00600F6A" w:rsidRDefault="00060FED" w:rsidP="00060FED">
      <w:pPr>
        <w:rPr>
          <w:rFonts w:ascii="Arial" w:hAnsi="Arial" w:cs="Arial"/>
        </w:rPr>
      </w:pPr>
    </w:p>
    <w:p w:rsidR="00060FED" w:rsidRDefault="00060FED" w:rsidP="00060FED"/>
    <w:p w:rsidR="00060FED" w:rsidRPr="00600F6A" w:rsidRDefault="00060FED" w:rsidP="00060FED"/>
    <w:p w:rsidR="00060FED" w:rsidRPr="00600F6A" w:rsidRDefault="00060FED" w:rsidP="00060FED">
      <w:pPr>
        <w:rPr>
          <w:rFonts w:ascii="Arial" w:hAnsi="Arial" w:cs="Arial"/>
        </w:rPr>
      </w:pPr>
    </w:p>
    <w:p w:rsidR="00060FED" w:rsidRPr="00600F6A" w:rsidRDefault="00060FED" w:rsidP="00060FED">
      <w:pPr>
        <w:pStyle w:val="Caption"/>
        <w:keepNext/>
        <w:spacing w:after="0"/>
        <w:rPr>
          <w:rFonts w:ascii="Arial" w:hAnsi="Arial" w:cs="Arial"/>
          <w:color w:val="auto"/>
          <w:sz w:val="22"/>
          <w:szCs w:val="22"/>
        </w:rPr>
      </w:pPr>
      <w:bookmarkStart w:id="7" w:name="_Ref415663435"/>
      <w:r w:rsidRPr="00600F6A">
        <w:rPr>
          <w:rFonts w:ascii="Arial" w:hAnsi="Arial" w:cs="Arial"/>
          <w:color w:val="auto"/>
          <w:sz w:val="22"/>
          <w:szCs w:val="22"/>
        </w:rPr>
        <w:t xml:space="preserve">Table </w:t>
      </w:r>
      <w:bookmarkEnd w:id="7"/>
      <w:r w:rsidRPr="00600F6A">
        <w:rPr>
          <w:rFonts w:ascii="Arial" w:hAnsi="Arial" w:cs="Arial"/>
          <w:color w:val="auto"/>
          <w:sz w:val="22"/>
          <w:szCs w:val="22"/>
        </w:rPr>
        <w:t>6: Key strategies to promote transition from SP to 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67"/>
      </w:tblGrid>
      <w:tr w:rsidR="00060FED" w:rsidRPr="00600F6A" w:rsidTr="0060780B">
        <w:tc>
          <w:tcPr>
            <w:tcW w:w="6204" w:type="dxa"/>
            <w:tcBorders>
              <w:top w:val="single" w:sz="4" w:space="0" w:color="auto"/>
            </w:tcBorders>
          </w:tcPr>
          <w:p w:rsidR="00060FED" w:rsidRPr="00600F6A" w:rsidRDefault="00060FED" w:rsidP="0060780B">
            <w:pPr>
              <w:rPr>
                <w:rFonts w:ascii="Arial" w:hAnsi="Arial" w:cs="Arial"/>
              </w:rPr>
            </w:pPr>
            <w:r w:rsidRPr="00600F6A">
              <w:rPr>
                <w:rFonts w:ascii="Arial" w:hAnsi="Arial" w:cs="Arial"/>
              </w:rPr>
              <w:t>6 to 12 months SP practice</w:t>
            </w:r>
          </w:p>
        </w:tc>
        <w:tc>
          <w:tcPr>
            <w:tcW w:w="567" w:type="dxa"/>
            <w:tcBorders>
              <w:top w:val="single" w:sz="4" w:space="0" w:color="auto"/>
            </w:tcBorders>
          </w:tcPr>
          <w:p w:rsidR="00060FED" w:rsidRPr="00600F6A" w:rsidRDefault="00060FED" w:rsidP="0060780B">
            <w:pPr>
              <w:jc w:val="center"/>
              <w:rPr>
                <w:rFonts w:ascii="Arial" w:hAnsi="Arial" w:cs="Arial"/>
              </w:rPr>
            </w:pPr>
            <w:r w:rsidRPr="00600F6A">
              <w:rPr>
                <w:rFonts w:ascii="Arial" w:hAnsi="Arial" w:cs="Arial"/>
              </w:rPr>
              <w:t>8</w:t>
            </w:r>
          </w:p>
        </w:tc>
      </w:tr>
      <w:tr w:rsidR="00060FED" w:rsidRPr="00600F6A" w:rsidTr="0060780B">
        <w:tc>
          <w:tcPr>
            <w:tcW w:w="6204" w:type="dxa"/>
          </w:tcPr>
          <w:p w:rsidR="00060FED" w:rsidRPr="00600F6A" w:rsidRDefault="00060FED" w:rsidP="0060780B">
            <w:pPr>
              <w:rPr>
                <w:rFonts w:ascii="Arial" w:hAnsi="Arial" w:cs="Arial"/>
              </w:rPr>
            </w:pPr>
            <w:r w:rsidRPr="00600F6A">
              <w:rPr>
                <w:rFonts w:ascii="Arial" w:hAnsi="Arial" w:cs="Arial"/>
              </w:rPr>
              <w:t>Probationary period IP with mentorship</w:t>
            </w:r>
          </w:p>
        </w:tc>
        <w:tc>
          <w:tcPr>
            <w:tcW w:w="567" w:type="dxa"/>
          </w:tcPr>
          <w:p w:rsidR="00060FED" w:rsidRPr="00600F6A" w:rsidRDefault="00060FED" w:rsidP="0060780B">
            <w:pPr>
              <w:jc w:val="center"/>
              <w:rPr>
                <w:rFonts w:ascii="Arial" w:hAnsi="Arial" w:cs="Arial"/>
              </w:rPr>
            </w:pPr>
            <w:r w:rsidRPr="00600F6A">
              <w:rPr>
                <w:rFonts w:ascii="Arial" w:hAnsi="Arial" w:cs="Arial"/>
              </w:rPr>
              <w:t>8</w:t>
            </w:r>
          </w:p>
        </w:tc>
      </w:tr>
      <w:tr w:rsidR="00060FED" w:rsidRPr="00600F6A" w:rsidTr="0060780B">
        <w:tc>
          <w:tcPr>
            <w:tcW w:w="6204" w:type="dxa"/>
          </w:tcPr>
          <w:p w:rsidR="00060FED" w:rsidRPr="00600F6A" w:rsidRDefault="00060FED" w:rsidP="0060780B">
            <w:pPr>
              <w:rPr>
                <w:rFonts w:ascii="Arial" w:hAnsi="Arial" w:cs="Arial"/>
              </w:rPr>
            </w:pPr>
            <w:r w:rsidRPr="00600F6A">
              <w:rPr>
                <w:rFonts w:ascii="Arial" w:hAnsi="Arial" w:cs="Arial"/>
              </w:rPr>
              <w:t>Individual review</w:t>
            </w:r>
          </w:p>
        </w:tc>
        <w:tc>
          <w:tcPr>
            <w:tcW w:w="567" w:type="dxa"/>
          </w:tcPr>
          <w:p w:rsidR="00060FED" w:rsidRPr="00600F6A" w:rsidRDefault="00060FED" w:rsidP="0060780B">
            <w:pPr>
              <w:jc w:val="center"/>
              <w:rPr>
                <w:rFonts w:ascii="Arial" w:hAnsi="Arial" w:cs="Arial"/>
              </w:rPr>
            </w:pPr>
            <w:r w:rsidRPr="00600F6A">
              <w:rPr>
                <w:rFonts w:ascii="Arial" w:hAnsi="Arial" w:cs="Arial"/>
              </w:rPr>
              <w:t>6</w:t>
            </w:r>
          </w:p>
        </w:tc>
      </w:tr>
      <w:tr w:rsidR="00060FED" w:rsidRPr="00600F6A" w:rsidTr="0060780B">
        <w:tc>
          <w:tcPr>
            <w:tcW w:w="6204" w:type="dxa"/>
          </w:tcPr>
          <w:p w:rsidR="00060FED" w:rsidRPr="00600F6A" w:rsidRDefault="00060FED" w:rsidP="0060780B">
            <w:pPr>
              <w:rPr>
                <w:rFonts w:ascii="Arial" w:hAnsi="Arial" w:cs="Arial"/>
              </w:rPr>
            </w:pPr>
            <w:r w:rsidRPr="00600F6A">
              <w:rPr>
                <w:rFonts w:ascii="Arial" w:hAnsi="Arial" w:cs="Arial"/>
              </w:rPr>
              <w:t>Formal competency assessment</w:t>
            </w:r>
          </w:p>
        </w:tc>
        <w:tc>
          <w:tcPr>
            <w:tcW w:w="567" w:type="dxa"/>
          </w:tcPr>
          <w:p w:rsidR="00060FED" w:rsidRPr="00600F6A" w:rsidRDefault="00060FED" w:rsidP="0060780B">
            <w:pPr>
              <w:jc w:val="center"/>
              <w:rPr>
                <w:rFonts w:ascii="Arial" w:hAnsi="Arial" w:cs="Arial"/>
              </w:rPr>
            </w:pPr>
            <w:r w:rsidRPr="00600F6A">
              <w:rPr>
                <w:rFonts w:ascii="Arial" w:hAnsi="Arial" w:cs="Arial"/>
              </w:rPr>
              <w:t>2</w:t>
            </w:r>
          </w:p>
        </w:tc>
      </w:tr>
      <w:tr w:rsidR="00060FED" w:rsidRPr="00600F6A" w:rsidTr="0060780B">
        <w:tc>
          <w:tcPr>
            <w:tcW w:w="6204" w:type="dxa"/>
          </w:tcPr>
          <w:p w:rsidR="00060FED" w:rsidRPr="00600F6A" w:rsidRDefault="00060FED" w:rsidP="0060780B">
            <w:pPr>
              <w:rPr>
                <w:rFonts w:ascii="Arial" w:hAnsi="Arial" w:cs="Arial"/>
              </w:rPr>
            </w:pPr>
            <w:r w:rsidRPr="00600F6A">
              <w:rPr>
                <w:rFonts w:ascii="Arial" w:hAnsi="Arial" w:cs="Arial"/>
              </w:rPr>
              <w:t>Individual formulary</w:t>
            </w:r>
          </w:p>
        </w:tc>
        <w:tc>
          <w:tcPr>
            <w:tcW w:w="567" w:type="dxa"/>
          </w:tcPr>
          <w:p w:rsidR="00060FED" w:rsidRPr="00600F6A" w:rsidRDefault="00060FED" w:rsidP="0060780B">
            <w:pPr>
              <w:jc w:val="center"/>
              <w:rPr>
                <w:rFonts w:ascii="Arial" w:hAnsi="Arial" w:cs="Arial"/>
              </w:rPr>
            </w:pPr>
            <w:r w:rsidRPr="00600F6A">
              <w:rPr>
                <w:rFonts w:ascii="Arial" w:hAnsi="Arial" w:cs="Arial"/>
              </w:rPr>
              <w:t>2</w:t>
            </w:r>
          </w:p>
        </w:tc>
      </w:tr>
      <w:tr w:rsidR="00060FED" w:rsidRPr="00600F6A" w:rsidTr="0060780B">
        <w:tc>
          <w:tcPr>
            <w:tcW w:w="6204" w:type="dxa"/>
          </w:tcPr>
          <w:p w:rsidR="00060FED" w:rsidRPr="00600F6A" w:rsidRDefault="00060FED" w:rsidP="0060780B">
            <w:pPr>
              <w:rPr>
                <w:rFonts w:ascii="Arial" w:hAnsi="Arial" w:cs="Arial"/>
              </w:rPr>
            </w:pPr>
            <w:r w:rsidRPr="00600F6A">
              <w:rPr>
                <w:rFonts w:ascii="Arial" w:hAnsi="Arial" w:cs="Arial"/>
              </w:rPr>
              <w:t>Psychopharmacology course</w:t>
            </w:r>
          </w:p>
        </w:tc>
        <w:tc>
          <w:tcPr>
            <w:tcW w:w="567" w:type="dxa"/>
          </w:tcPr>
          <w:p w:rsidR="00060FED" w:rsidRPr="00600F6A" w:rsidRDefault="00060FED" w:rsidP="0060780B">
            <w:pPr>
              <w:jc w:val="center"/>
              <w:rPr>
                <w:rFonts w:ascii="Arial" w:hAnsi="Arial" w:cs="Arial"/>
              </w:rPr>
            </w:pPr>
            <w:r w:rsidRPr="00600F6A">
              <w:rPr>
                <w:rFonts w:ascii="Arial" w:hAnsi="Arial" w:cs="Arial"/>
              </w:rPr>
              <w:t>1</w:t>
            </w:r>
          </w:p>
        </w:tc>
      </w:tr>
      <w:tr w:rsidR="00060FED" w:rsidRPr="00600F6A" w:rsidTr="0060780B">
        <w:tc>
          <w:tcPr>
            <w:tcW w:w="6204" w:type="dxa"/>
            <w:tcBorders>
              <w:bottom w:val="single" w:sz="4" w:space="0" w:color="auto"/>
            </w:tcBorders>
          </w:tcPr>
          <w:p w:rsidR="00060FED" w:rsidRPr="00600F6A" w:rsidRDefault="00060FED" w:rsidP="0060780B">
            <w:pPr>
              <w:rPr>
                <w:rFonts w:ascii="Arial" w:hAnsi="Arial" w:cs="Arial"/>
              </w:rPr>
            </w:pPr>
            <w:r w:rsidRPr="00600F6A">
              <w:rPr>
                <w:rFonts w:ascii="Arial" w:hAnsi="Arial" w:cs="Arial"/>
              </w:rPr>
              <w:t>Minimum number of prescriptions &amp; competency review</w:t>
            </w:r>
          </w:p>
        </w:tc>
        <w:tc>
          <w:tcPr>
            <w:tcW w:w="567" w:type="dxa"/>
            <w:tcBorders>
              <w:bottom w:val="single" w:sz="4" w:space="0" w:color="auto"/>
            </w:tcBorders>
          </w:tcPr>
          <w:p w:rsidR="00060FED" w:rsidRPr="00600F6A" w:rsidRDefault="00060FED" w:rsidP="0060780B">
            <w:pPr>
              <w:jc w:val="center"/>
              <w:rPr>
                <w:rFonts w:ascii="Arial" w:hAnsi="Arial" w:cs="Arial"/>
              </w:rPr>
            </w:pPr>
            <w:r w:rsidRPr="00600F6A">
              <w:rPr>
                <w:rFonts w:ascii="Arial" w:hAnsi="Arial" w:cs="Arial"/>
              </w:rPr>
              <w:t>1</w:t>
            </w:r>
          </w:p>
        </w:tc>
      </w:tr>
    </w:tbl>
    <w:p w:rsidR="00060FED" w:rsidRPr="00600F6A" w:rsidRDefault="00060FED" w:rsidP="00060FED">
      <w:pPr>
        <w:rPr>
          <w:rFonts w:ascii="Arial" w:hAnsi="Arial" w:cs="Arial"/>
        </w:rPr>
      </w:pPr>
    </w:p>
    <w:p w:rsidR="00060FED" w:rsidRPr="00A84276" w:rsidRDefault="00060FED" w:rsidP="002D0357">
      <w:pPr>
        <w:rPr>
          <w:rFonts w:ascii="Arial" w:hAnsi="Arial" w:cs="Arial"/>
          <w:sz w:val="24"/>
          <w:szCs w:val="24"/>
        </w:rPr>
      </w:pPr>
    </w:p>
    <w:sectPr w:rsidR="00060FED" w:rsidRPr="00A84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71156"/>
    <w:multiLevelType w:val="hybridMultilevel"/>
    <w:tmpl w:val="8C76F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A6"/>
    <w:rsid w:val="0002163F"/>
    <w:rsid w:val="000410FA"/>
    <w:rsid w:val="00060FED"/>
    <w:rsid w:val="0008100D"/>
    <w:rsid w:val="000A2267"/>
    <w:rsid w:val="000A3878"/>
    <w:rsid w:val="000D66A7"/>
    <w:rsid w:val="000D70E1"/>
    <w:rsid w:val="000E0189"/>
    <w:rsid w:val="000E2DED"/>
    <w:rsid w:val="00136917"/>
    <w:rsid w:val="00140400"/>
    <w:rsid w:val="0014698C"/>
    <w:rsid w:val="0019510B"/>
    <w:rsid w:val="002C7A16"/>
    <w:rsid w:val="002D0357"/>
    <w:rsid w:val="002E58DF"/>
    <w:rsid w:val="002E61FA"/>
    <w:rsid w:val="003004B3"/>
    <w:rsid w:val="00310734"/>
    <w:rsid w:val="003A20B6"/>
    <w:rsid w:val="003D2AA6"/>
    <w:rsid w:val="00407CDB"/>
    <w:rsid w:val="004176F7"/>
    <w:rsid w:val="00422D52"/>
    <w:rsid w:val="00423BFF"/>
    <w:rsid w:val="00430A89"/>
    <w:rsid w:val="00445BE6"/>
    <w:rsid w:val="0044770A"/>
    <w:rsid w:val="00490C15"/>
    <w:rsid w:val="005122D4"/>
    <w:rsid w:val="00512844"/>
    <w:rsid w:val="005D2F53"/>
    <w:rsid w:val="005F09C3"/>
    <w:rsid w:val="006032EA"/>
    <w:rsid w:val="00614A08"/>
    <w:rsid w:val="006621E2"/>
    <w:rsid w:val="00681BCE"/>
    <w:rsid w:val="00685560"/>
    <w:rsid w:val="00700735"/>
    <w:rsid w:val="007215F7"/>
    <w:rsid w:val="00744D45"/>
    <w:rsid w:val="00750051"/>
    <w:rsid w:val="007651B7"/>
    <w:rsid w:val="007822BF"/>
    <w:rsid w:val="007B77B2"/>
    <w:rsid w:val="007C4179"/>
    <w:rsid w:val="0080319D"/>
    <w:rsid w:val="00806E2A"/>
    <w:rsid w:val="008104A2"/>
    <w:rsid w:val="008253F6"/>
    <w:rsid w:val="00837510"/>
    <w:rsid w:val="008534F5"/>
    <w:rsid w:val="008B1386"/>
    <w:rsid w:val="008E3B27"/>
    <w:rsid w:val="008E3E87"/>
    <w:rsid w:val="00935A13"/>
    <w:rsid w:val="00935F54"/>
    <w:rsid w:val="009A3AC8"/>
    <w:rsid w:val="009E4F78"/>
    <w:rsid w:val="00A1658B"/>
    <w:rsid w:val="00A209BB"/>
    <w:rsid w:val="00A255A6"/>
    <w:rsid w:val="00A41684"/>
    <w:rsid w:val="00A44A88"/>
    <w:rsid w:val="00A8204A"/>
    <w:rsid w:val="00A84276"/>
    <w:rsid w:val="00A90F3C"/>
    <w:rsid w:val="00AE706E"/>
    <w:rsid w:val="00B05201"/>
    <w:rsid w:val="00B0727C"/>
    <w:rsid w:val="00B16500"/>
    <w:rsid w:val="00B343AF"/>
    <w:rsid w:val="00BB3B0A"/>
    <w:rsid w:val="00BC75E2"/>
    <w:rsid w:val="00BD7A78"/>
    <w:rsid w:val="00BE1154"/>
    <w:rsid w:val="00BE3850"/>
    <w:rsid w:val="00C20D9C"/>
    <w:rsid w:val="00C521C0"/>
    <w:rsid w:val="00C94B9D"/>
    <w:rsid w:val="00C95E16"/>
    <w:rsid w:val="00CC2055"/>
    <w:rsid w:val="00CD1052"/>
    <w:rsid w:val="00D01A76"/>
    <w:rsid w:val="00D402D9"/>
    <w:rsid w:val="00D729F5"/>
    <w:rsid w:val="00DD1FB0"/>
    <w:rsid w:val="00DF5D3F"/>
    <w:rsid w:val="00E23C80"/>
    <w:rsid w:val="00E313A1"/>
    <w:rsid w:val="00E966AC"/>
    <w:rsid w:val="00EA6E2E"/>
    <w:rsid w:val="00EA707F"/>
    <w:rsid w:val="00EB5646"/>
    <w:rsid w:val="00ED705D"/>
    <w:rsid w:val="00EE0ACC"/>
    <w:rsid w:val="00F03ABF"/>
    <w:rsid w:val="00F76BBC"/>
    <w:rsid w:val="00F831E0"/>
    <w:rsid w:val="00F83C25"/>
    <w:rsid w:val="00FC62C2"/>
    <w:rsid w:val="00FC6D20"/>
    <w:rsid w:val="00FD468F"/>
    <w:rsid w:val="00FE1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E3C58-4D40-4057-BE97-49D4D2B0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9C3"/>
    <w:pPr>
      <w:ind w:left="720"/>
      <w:contextualSpacing/>
    </w:pPr>
  </w:style>
  <w:style w:type="character" w:styleId="CommentReference">
    <w:name w:val="annotation reference"/>
    <w:basedOn w:val="DefaultParagraphFont"/>
    <w:uiPriority w:val="99"/>
    <w:semiHidden/>
    <w:unhideWhenUsed/>
    <w:rsid w:val="00BC75E2"/>
    <w:rPr>
      <w:sz w:val="16"/>
      <w:szCs w:val="16"/>
    </w:rPr>
  </w:style>
  <w:style w:type="paragraph" w:styleId="CommentText">
    <w:name w:val="annotation text"/>
    <w:basedOn w:val="Normal"/>
    <w:link w:val="CommentTextChar"/>
    <w:uiPriority w:val="99"/>
    <w:semiHidden/>
    <w:unhideWhenUsed/>
    <w:rsid w:val="00BC75E2"/>
    <w:pPr>
      <w:spacing w:line="240" w:lineRule="auto"/>
    </w:pPr>
    <w:rPr>
      <w:sz w:val="20"/>
      <w:szCs w:val="20"/>
    </w:rPr>
  </w:style>
  <w:style w:type="character" w:customStyle="1" w:styleId="CommentTextChar">
    <w:name w:val="Comment Text Char"/>
    <w:basedOn w:val="DefaultParagraphFont"/>
    <w:link w:val="CommentText"/>
    <w:uiPriority w:val="99"/>
    <w:semiHidden/>
    <w:rsid w:val="00BC75E2"/>
    <w:rPr>
      <w:sz w:val="20"/>
      <w:szCs w:val="20"/>
    </w:rPr>
  </w:style>
  <w:style w:type="paragraph" w:styleId="CommentSubject">
    <w:name w:val="annotation subject"/>
    <w:basedOn w:val="CommentText"/>
    <w:next w:val="CommentText"/>
    <w:link w:val="CommentSubjectChar"/>
    <w:uiPriority w:val="99"/>
    <w:semiHidden/>
    <w:unhideWhenUsed/>
    <w:rsid w:val="00BC75E2"/>
    <w:rPr>
      <w:b/>
      <w:bCs/>
    </w:rPr>
  </w:style>
  <w:style w:type="character" w:customStyle="1" w:styleId="CommentSubjectChar">
    <w:name w:val="Comment Subject Char"/>
    <w:basedOn w:val="CommentTextChar"/>
    <w:link w:val="CommentSubject"/>
    <w:uiPriority w:val="99"/>
    <w:semiHidden/>
    <w:rsid w:val="00BC75E2"/>
    <w:rPr>
      <w:b/>
      <w:bCs/>
      <w:sz w:val="20"/>
      <w:szCs w:val="20"/>
    </w:rPr>
  </w:style>
  <w:style w:type="paragraph" w:styleId="BalloonText">
    <w:name w:val="Balloon Text"/>
    <w:basedOn w:val="Normal"/>
    <w:link w:val="BalloonTextChar"/>
    <w:uiPriority w:val="99"/>
    <w:semiHidden/>
    <w:unhideWhenUsed/>
    <w:rsid w:val="00BC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E2"/>
    <w:rPr>
      <w:rFonts w:ascii="Tahoma" w:hAnsi="Tahoma" w:cs="Tahoma"/>
      <w:sz w:val="16"/>
      <w:szCs w:val="16"/>
    </w:rPr>
  </w:style>
  <w:style w:type="character" w:styleId="Hyperlink">
    <w:name w:val="Hyperlink"/>
    <w:basedOn w:val="DefaultParagraphFont"/>
    <w:uiPriority w:val="99"/>
    <w:unhideWhenUsed/>
    <w:rsid w:val="00E23C80"/>
    <w:rPr>
      <w:color w:val="0000FF" w:themeColor="hyperlink"/>
      <w:u w:val="single"/>
    </w:rPr>
  </w:style>
  <w:style w:type="table" w:styleId="LightShading">
    <w:name w:val="Light Shading"/>
    <w:basedOn w:val="TableNormal"/>
    <w:uiPriority w:val="60"/>
    <w:rsid w:val="00060FED"/>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rsid w:val="00060FED"/>
    <w:pPr>
      <w:spacing w:line="240" w:lineRule="auto"/>
    </w:pPr>
    <w:rPr>
      <w:rFonts w:cs="Times New Roman"/>
      <w:b/>
      <w:bCs/>
      <w:color w:val="4F81BD" w:themeColor="accent1"/>
      <w:sz w:val="18"/>
      <w:szCs w:val="18"/>
    </w:rPr>
  </w:style>
  <w:style w:type="table" w:styleId="TableGrid">
    <w:name w:val="Table Grid"/>
    <w:basedOn w:val="TableNormal"/>
    <w:uiPriority w:val="59"/>
    <w:rsid w:val="00060F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a.nhs.uk/uploads/nmp-in-the-management-of-substance-misuse.pdf.%20Last%20accessed%20on%2028/12/2015" TargetMode="External"/><Relationship Id="rId5" Type="http://schemas.openxmlformats.org/officeDocument/2006/relationships/hyperlink" Target="http://www.biomedcentral.com/1472-6963/11/1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5533</Words>
  <Characters>31543</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Dobel-Ober David (RRE) SSSFT</dc:creator>
  <cp:lastModifiedBy>Neil Brimblecombe</cp:lastModifiedBy>
  <cp:revision>2</cp:revision>
  <dcterms:created xsi:type="dcterms:W3CDTF">2017-12-08T11:13:00Z</dcterms:created>
  <dcterms:modified xsi:type="dcterms:W3CDTF">2017-12-08T11:13:00Z</dcterms:modified>
</cp:coreProperties>
</file>