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3576" w14:textId="60A7AA13" w:rsidR="0058292C" w:rsidRPr="00B82351" w:rsidRDefault="00B82351" w:rsidP="00581EC1">
      <w:pPr>
        <w:pStyle w:val="Titleofthepaper"/>
        <w:rPr>
          <w:lang w:val="tr-TR"/>
        </w:rPr>
      </w:pPr>
      <w:r w:rsidRPr="00B82351">
        <w:t>A study of the properties of alkali activated cement concrete with potassium carbonate activator.</w:t>
      </w:r>
    </w:p>
    <w:p w14:paraId="0383E595" w14:textId="5CE3B41E" w:rsidR="00631A78" w:rsidRPr="00992AD1" w:rsidRDefault="00B82351" w:rsidP="00581EC1">
      <w:pPr>
        <w:pStyle w:val="AUTHORSNAMES"/>
        <w:rPr>
          <w:bCs/>
        </w:rPr>
      </w:pPr>
      <w:r>
        <w:t>MAVROULIDOU</w:t>
      </w:r>
      <w:r w:rsidR="00C7601B" w:rsidRPr="00992AD1">
        <w:t xml:space="preserve"> </w:t>
      </w:r>
      <w:r>
        <w:t>M</w:t>
      </w:r>
      <w:r w:rsidR="00C7601B" w:rsidRPr="00992AD1">
        <w:t>.</w:t>
      </w:r>
      <w:r w:rsidR="00C7601B" w:rsidRPr="00992AD1">
        <w:rPr>
          <w:vertAlign w:val="superscript"/>
        </w:rPr>
        <w:t>1</w:t>
      </w:r>
      <w:r>
        <w:rPr>
          <w:vertAlign w:val="superscript"/>
        </w:rPr>
        <w:t>*</w:t>
      </w:r>
    </w:p>
    <w:p w14:paraId="6FE9ABB1" w14:textId="77777777" w:rsidR="00B82351" w:rsidRDefault="00C7601B" w:rsidP="00B82351">
      <w:pPr>
        <w:pStyle w:val="AFFILIATIONS"/>
        <w:rPr>
          <w:vertAlign w:val="baseline"/>
        </w:rPr>
      </w:pPr>
      <w:r w:rsidRPr="00606435">
        <w:t>1</w:t>
      </w:r>
      <w:r w:rsidR="00B82351" w:rsidRPr="00B82351">
        <w:t xml:space="preserve"> </w:t>
      </w:r>
      <w:r w:rsidR="00B82351" w:rsidRPr="00B82351">
        <w:rPr>
          <w:vertAlign w:val="baseline"/>
        </w:rPr>
        <w:t>Division of Civil and Building Services Engineering, London South Bank University, SE1 0AA</w:t>
      </w:r>
    </w:p>
    <w:p w14:paraId="4B2C781F" w14:textId="77777777" w:rsidR="00B82351" w:rsidRDefault="00B82351" w:rsidP="00B82351">
      <w:pPr>
        <w:pStyle w:val="AFFILIATIONS"/>
        <w:rPr>
          <w:vertAlign w:val="baseline"/>
        </w:rPr>
      </w:pPr>
    </w:p>
    <w:p w14:paraId="0C4B81EC" w14:textId="1B34945D" w:rsidR="00C7601B" w:rsidRPr="00A72311" w:rsidRDefault="00C7601B" w:rsidP="00B82351">
      <w:pPr>
        <w:pStyle w:val="AFFILIATIONS"/>
        <w:rPr>
          <w:vertAlign w:val="baseline"/>
        </w:rPr>
      </w:pPr>
      <w:r w:rsidRPr="00A72311">
        <w:rPr>
          <w:vertAlign w:val="baseline"/>
        </w:rPr>
        <w:t>*</w:t>
      </w:r>
      <w:proofErr w:type="gramStart"/>
      <w:r w:rsidR="004D1062" w:rsidRPr="00A72311">
        <w:rPr>
          <w:vertAlign w:val="baseline"/>
        </w:rPr>
        <w:t>corres</w:t>
      </w:r>
      <w:r w:rsidR="00E427A3" w:rsidRPr="00A72311">
        <w:rPr>
          <w:vertAlign w:val="baseline"/>
        </w:rPr>
        <w:t>ponding</w:t>
      </w:r>
      <w:proofErr w:type="gramEnd"/>
      <w:r w:rsidR="00E427A3" w:rsidRPr="00A72311">
        <w:rPr>
          <w:vertAlign w:val="baseline"/>
        </w:rPr>
        <w:t xml:space="preserve"> author</w:t>
      </w:r>
      <w:r w:rsidRPr="00A72311">
        <w:rPr>
          <w:vertAlign w:val="baseline"/>
        </w:rPr>
        <w:t>:</w:t>
      </w:r>
    </w:p>
    <w:p w14:paraId="47C3E7B1" w14:textId="7CF40415" w:rsidR="00C7601B" w:rsidRPr="006C3F3F" w:rsidRDefault="00C7601B" w:rsidP="00BC5C28">
      <w:pPr>
        <w:pBdr>
          <w:bottom w:val="single" w:sz="4" w:space="1" w:color="auto"/>
        </w:pBdr>
        <w:spacing w:line="240" w:lineRule="atLeast"/>
        <w:rPr>
          <w:b/>
          <w:sz w:val="18"/>
          <w:szCs w:val="20"/>
          <w:lang w:val="en-US"/>
        </w:rPr>
      </w:pPr>
      <w:r w:rsidRPr="006C3F3F">
        <w:rPr>
          <w:sz w:val="18"/>
          <w:szCs w:val="20"/>
        </w:rPr>
        <w:t>e-mail:</w:t>
      </w:r>
      <w:r w:rsidRPr="006C3F3F">
        <w:rPr>
          <w:sz w:val="18"/>
          <w:szCs w:val="20"/>
          <w:shd w:val="clear" w:color="auto" w:fill="FFFFFF"/>
        </w:rPr>
        <w:t xml:space="preserve"> </w:t>
      </w:r>
      <w:r w:rsidR="00B82351">
        <w:rPr>
          <w:sz w:val="18"/>
          <w:szCs w:val="20"/>
        </w:rPr>
        <w:t>mavroum@lsbu.ac.uk</w:t>
      </w:r>
    </w:p>
    <w:p w14:paraId="419C4A8A" w14:textId="77777777" w:rsidR="00D66B5B" w:rsidRPr="00992AD1" w:rsidRDefault="00D66B5B" w:rsidP="00C7601B">
      <w:pPr>
        <w:spacing w:after="80" w:line="240" w:lineRule="atLeast"/>
        <w:jc w:val="both"/>
        <w:rPr>
          <w:b/>
          <w:sz w:val="22"/>
          <w:szCs w:val="22"/>
          <w:lang w:val="en-US"/>
        </w:rPr>
      </w:pPr>
    </w:p>
    <w:p w14:paraId="23E476C9" w14:textId="77777777" w:rsidR="00D66B5B" w:rsidRPr="00992AD1" w:rsidRDefault="00D66B5B" w:rsidP="00C7601B">
      <w:pPr>
        <w:spacing w:after="80" w:line="240" w:lineRule="atLeast"/>
        <w:jc w:val="both"/>
        <w:rPr>
          <w:b/>
          <w:sz w:val="22"/>
          <w:szCs w:val="22"/>
          <w:lang w:val="en-US"/>
        </w:rPr>
        <w:sectPr w:rsidR="00D66B5B" w:rsidRPr="00992AD1" w:rsidSect="001A505F">
          <w:headerReference w:type="first" r:id="rId8"/>
          <w:type w:val="continuous"/>
          <w:pgSz w:w="11906" w:h="16838" w:code="9"/>
          <w:pgMar w:top="1021" w:right="1021" w:bottom="1021" w:left="1134" w:header="720" w:footer="720" w:gutter="0"/>
          <w:pgNumType w:start="1"/>
          <w:cols w:space="708"/>
          <w:titlePg/>
          <w:docGrid w:linePitch="360"/>
        </w:sectPr>
      </w:pPr>
    </w:p>
    <w:p w14:paraId="71A55045" w14:textId="6E9ED389" w:rsidR="009F0B6E" w:rsidRDefault="00BC5C28" w:rsidP="00C5630E">
      <w:pPr>
        <w:pStyle w:val="TEXT"/>
      </w:pPr>
      <w:r w:rsidRPr="00992AD1">
        <w:rPr>
          <w:b/>
        </w:rPr>
        <w:t>Abstract</w:t>
      </w:r>
      <w:r w:rsidR="00753345">
        <w:rPr>
          <w:b/>
        </w:rPr>
        <w:t>.</w:t>
      </w:r>
      <w:r w:rsidR="00C5630E">
        <w:rPr>
          <w:b/>
          <w:i/>
          <w:color w:val="FF0000"/>
        </w:rPr>
        <w:t xml:space="preserve"> </w:t>
      </w:r>
      <w:r w:rsidR="00C5630E">
        <w:t>Al</w:t>
      </w:r>
      <w:r w:rsidR="00C5630E" w:rsidRPr="00C5630E">
        <w:t xml:space="preserve">kali-activated cements (AAC) have </w:t>
      </w:r>
      <w:r w:rsidR="00C5630E">
        <w:t xml:space="preserve">recently </w:t>
      </w:r>
      <w:r w:rsidR="009F0B6E">
        <w:t>a</w:t>
      </w:r>
      <w:r w:rsidR="00C5630E">
        <w:t>ttracted the vivid interest of the civil engineering industry</w:t>
      </w:r>
      <w:r w:rsidR="00C5630E" w:rsidRPr="00C5630E">
        <w:t xml:space="preserve"> as promising </w:t>
      </w:r>
      <w:r w:rsidR="00C5630E">
        <w:t xml:space="preserve">innovative </w:t>
      </w:r>
      <w:r w:rsidR="00C5630E" w:rsidRPr="00C5630E">
        <w:t>alternatives to P</w:t>
      </w:r>
      <w:r w:rsidR="00C5630E">
        <w:t>ortland Cement (P</w:t>
      </w:r>
      <w:r w:rsidR="00C5630E" w:rsidRPr="00C5630E">
        <w:t>C</w:t>
      </w:r>
      <w:r w:rsidR="00C5630E">
        <w:t>)</w:t>
      </w:r>
      <w:r w:rsidR="00C5630E" w:rsidRPr="00C5630E">
        <w:t xml:space="preserve"> </w:t>
      </w:r>
      <w:r w:rsidR="00C5630E">
        <w:t xml:space="preserve">which is responsible </w:t>
      </w:r>
      <w:r w:rsidR="00C5630E" w:rsidRPr="00C5630E">
        <w:t>for 8% of anthropogenic CO</w:t>
      </w:r>
      <w:r w:rsidR="00C5630E" w:rsidRPr="00C5630E">
        <w:rPr>
          <w:vertAlign w:val="subscript"/>
        </w:rPr>
        <w:t>2</w:t>
      </w:r>
      <w:r w:rsidR="00C5630E" w:rsidRPr="00C5630E">
        <w:t xml:space="preserve"> emissions.</w:t>
      </w:r>
      <w:r w:rsidR="00C5630E">
        <w:t xml:space="preserve"> In this </w:t>
      </w:r>
      <w:r w:rsidR="009F0B6E">
        <w:t>context</w:t>
      </w:r>
      <w:r w:rsidR="00C5630E" w:rsidRPr="00C5630E">
        <w:t xml:space="preserve">, this paper studies concrete produced using </w:t>
      </w:r>
      <w:r w:rsidR="009F0B6E">
        <w:t>potassium carbonate (</w:t>
      </w:r>
      <w:r w:rsidR="009F0B6E" w:rsidRPr="00C5630E">
        <w:t>K</w:t>
      </w:r>
      <w:r w:rsidR="009F0B6E" w:rsidRPr="009F0B6E">
        <w:rPr>
          <w:vertAlign w:val="subscript"/>
        </w:rPr>
        <w:t>2</w:t>
      </w:r>
      <w:r w:rsidR="009F0B6E" w:rsidRPr="00C5630E">
        <w:t>CO</w:t>
      </w:r>
      <w:r w:rsidR="009F0B6E" w:rsidRPr="009F0B6E">
        <w:rPr>
          <w:vertAlign w:val="subscript"/>
        </w:rPr>
        <w:t>3</w:t>
      </w:r>
      <w:r w:rsidR="009F0B6E">
        <w:t>)</w:t>
      </w:r>
      <w:r w:rsidR="00C5630E" w:rsidRPr="00C5630E">
        <w:t xml:space="preserve">-activated slag cements, on which there is paucity of information. A preliminary study included one-part versus two-part cements and different liquid/solid ratios. Following this, mechanical property </w:t>
      </w:r>
      <w:r w:rsidR="009F0B6E">
        <w:t xml:space="preserve">and durability </w:t>
      </w:r>
      <w:r w:rsidR="00C5630E" w:rsidRPr="00C5630E">
        <w:t xml:space="preserve">testing of the resulting concrete was performed for different curing conditions. The results indicated </w:t>
      </w:r>
      <w:bookmarkStart w:id="0" w:name="_Hlk132522424"/>
      <w:r w:rsidR="00C5630E" w:rsidRPr="00C5630E">
        <w:t xml:space="preserve">that strengths would </w:t>
      </w:r>
      <w:r w:rsidR="009F0B6E">
        <w:t>be</w:t>
      </w:r>
      <w:r w:rsidR="00C5630E" w:rsidRPr="00C5630E">
        <w:t xml:space="preserve"> suitable for C20/25 concrete (i.e., suitable for domestic uses)</w:t>
      </w:r>
      <w:r w:rsidR="009F0B6E">
        <w:t xml:space="preserve">; these </w:t>
      </w:r>
      <w:r w:rsidR="009F0B6E" w:rsidRPr="00C5630E">
        <w:t xml:space="preserve">strengths were gained early in the curing process </w:t>
      </w:r>
      <w:r w:rsidR="00C5630E" w:rsidRPr="00C5630E">
        <w:t>(already at 7 days)</w:t>
      </w:r>
      <w:r w:rsidR="009F0B6E">
        <w:t xml:space="preserve"> i</w:t>
      </w:r>
      <w:r w:rsidR="009F0B6E" w:rsidRPr="00C5630E">
        <w:t>n most cases</w:t>
      </w:r>
      <w:r w:rsidR="009F0B6E">
        <w:t>. However</w:t>
      </w:r>
      <w:r w:rsidR="00997FCE">
        <w:t xml:space="preserve">, </w:t>
      </w:r>
      <w:r w:rsidR="009F0B6E">
        <w:t xml:space="preserve">by lowering the liquid/solid ratio of the mixes, higher 28-day strengths of </w:t>
      </w:r>
      <w:r w:rsidR="00661147">
        <w:t xml:space="preserve">up to </w:t>
      </w:r>
      <w:r w:rsidR="009F0B6E">
        <w:t>C</w:t>
      </w:r>
      <w:r w:rsidR="00661147">
        <w:t xml:space="preserve">30/37 concrete </w:t>
      </w:r>
      <w:r w:rsidR="009F0B6E">
        <w:t>were achieved</w:t>
      </w:r>
      <w:r w:rsidR="00C5630E" w:rsidRPr="00C5630E">
        <w:t xml:space="preserve">.  </w:t>
      </w:r>
      <w:bookmarkEnd w:id="0"/>
      <w:r w:rsidR="009F0B6E">
        <w:t>Ongoing work is investigating durability of this type of concrete with results so far showing good promise</w:t>
      </w:r>
      <w:r w:rsidR="00C5630E" w:rsidRPr="00C5630E">
        <w:t>.</w:t>
      </w:r>
    </w:p>
    <w:p w14:paraId="3D3851AE" w14:textId="67659B38" w:rsidR="003740C3" w:rsidRPr="00A663F6" w:rsidRDefault="00631A78" w:rsidP="00C5630E">
      <w:pPr>
        <w:pStyle w:val="TEXT"/>
        <w:rPr>
          <w:bCs/>
          <w:color w:val="FF0000"/>
        </w:rPr>
      </w:pPr>
      <w:r w:rsidRPr="006C3F3F">
        <w:rPr>
          <w:b/>
        </w:rPr>
        <w:t xml:space="preserve">Keywords: </w:t>
      </w:r>
      <w:r w:rsidR="00857D13" w:rsidRPr="006C28DB">
        <w:rPr>
          <w:b/>
        </w:rPr>
        <w:t>concrete sustainability; alkali-activated cements; potassium carbonate; ground granulated blast furnace slag; waste management</w:t>
      </w:r>
    </w:p>
    <w:p w14:paraId="34A26823" w14:textId="77777777" w:rsidR="0058292C" w:rsidRPr="006C3F3F" w:rsidRDefault="00C7601B" w:rsidP="00581EC1">
      <w:pPr>
        <w:pStyle w:val="Maintitle"/>
      </w:pPr>
      <w:r w:rsidRPr="006C3F3F">
        <w:t>I</w:t>
      </w:r>
      <w:r w:rsidR="0058292C" w:rsidRPr="006C3F3F">
        <w:t>ntroduction</w:t>
      </w:r>
    </w:p>
    <w:p w14:paraId="22EE0013" w14:textId="6A61AA6A" w:rsidR="00BA5390" w:rsidRDefault="00C5630E" w:rsidP="000C5670">
      <w:pPr>
        <w:pStyle w:val="CommentText"/>
        <w:spacing w:after="80"/>
        <w:jc w:val="both"/>
        <w:rPr>
          <w:lang w:val="en-US"/>
        </w:rPr>
      </w:pPr>
      <w:r w:rsidRPr="00C5630E">
        <w:rPr>
          <w:lang w:val="en-US"/>
        </w:rPr>
        <w:t>To mitigate climate change and achieve net zero carbon, novel cements are actively researched to replace partly or fully Portland Cement (PC), which accounts for 8% of anthropogenic CO</w:t>
      </w:r>
      <w:r w:rsidRPr="00C5630E">
        <w:rPr>
          <w:vertAlign w:val="subscript"/>
          <w:lang w:val="en-US"/>
        </w:rPr>
        <w:t>2</w:t>
      </w:r>
      <w:r w:rsidRPr="00C5630E">
        <w:rPr>
          <w:lang w:val="en-US"/>
        </w:rPr>
        <w:t xml:space="preserve"> emissions</w:t>
      </w:r>
      <w:r w:rsidR="00667FF5">
        <w:rPr>
          <w:lang w:val="en-US"/>
        </w:rPr>
        <w:t xml:space="preserve"> (Mavroulidou et al, 2015)</w:t>
      </w:r>
      <w:r w:rsidRPr="00C5630E">
        <w:rPr>
          <w:lang w:val="en-US"/>
        </w:rPr>
        <w:t xml:space="preserve">. Amongst these cements, alkali-activated cements (AAC) have been </w:t>
      </w:r>
      <w:r w:rsidR="00753345">
        <w:rPr>
          <w:lang w:val="en-US"/>
        </w:rPr>
        <w:t>introduced</w:t>
      </w:r>
      <w:r w:rsidRPr="00C5630E">
        <w:rPr>
          <w:lang w:val="en-US"/>
        </w:rPr>
        <w:t xml:space="preserve"> as promising alternatives to PC towards potentially lower</w:t>
      </w:r>
      <w:r w:rsidR="00F627EF">
        <w:rPr>
          <w:lang w:val="en-US"/>
        </w:rPr>
        <w:t>ing</w:t>
      </w:r>
      <w:r w:rsidRPr="00C5630E">
        <w:rPr>
          <w:lang w:val="en-US"/>
        </w:rPr>
        <w:t xml:space="preserve"> CO</w:t>
      </w:r>
      <w:r w:rsidRPr="00C5630E">
        <w:rPr>
          <w:vertAlign w:val="subscript"/>
          <w:lang w:val="en-US"/>
        </w:rPr>
        <w:t>2</w:t>
      </w:r>
      <w:r w:rsidRPr="00C5630E">
        <w:rPr>
          <w:lang w:val="en-US"/>
        </w:rPr>
        <w:t xml:space="preserve"> emissions; moreover, in many cases AAC were shown to enhance concrete mechanical properties and durability. </w:t>
      </w:r>
      <w:r w:rsidR="00BA5390">
        <w:rPr>
          <w:lang w:val="en-US"/>
        </w:rPr>
        <w:t xml:space="preserve">AAC are produced by the </w:t>
      </w:r>
      <w:r w:rsidR="00BA5390" w:rsidRPr="00BA5390">
        <w:rPr>
          <w:lang w:val="en-US"/>
        </w:rPr>
        <w:t>activat</w:t>
      </w:r>
      <w:r w:rsidR="00BA5390">
        <w:rPr>
          <w:lang w:val="en-US"/>
        </w:rPr>
        <w:t>ion of</w:t>
      </w:r>
      <w:r w:rsidR="00BA5390" w:rsidRPr="00BA5390">
        <w:rPr>
          <w:lang w:val="en-US"/>
        </w:rPr>
        <w:t xml:space="preserve"> an aluminosilicate precursor </w:t>
      </w:r>
      <w:proofErr w:type="gramStart"/>
      <w:r w:rsidR="00BA5390">
        <w:rPr>
          <w:lang w:val="en-US"/>
        </w:rPr>
        <w:t xml:space="preserve">by </w:t>
      </w:r>
      <w:r w:rsidR="00B87F5F">
        <w:rPr>
          <w:lang w:val="en-US"/>
        </w:rPr>
        <w:t xml:space="preserve">the </w:t>
      </w:r>
      <w:r w:rsidR="00BA5390">
        <w:rPr>
          <w:lang w:val="en-US"/>
        </w:rPr>
        <w:t>use of</w:t>
      </w:r>
      <w:proofErr w:type="gramEnd"/>
      <w:r w:rsidR="00BA5390">
        <w:rPr>
          <w:lang w:val="en-US"/>
        </w:rPr>
        <w:t xml:space="preserve"> a </w:t>
      </w:r>
      <w:r w:rsidR="00BA5390" w:rsidRPr="00BA5390">
        <w:rPr>
          <w:lang w:val="en-US"/>
        </w:rPr>
        <w:t xml:space="preserve">soluble </w:t>
      </w:r>
      <w:r w:rsidR="00BA5390">
        <w:rPr>
          <w:lang w:val="en-US"/>
        </w:rPr>
        <w:t xml:space="preserve">alkaline </w:t>
      </w:r>
      <w:r w:rsidR="00BA5390" w:rsidRPr="00BA5390">
        <w:rPr>
          <w:lang w:val="en-US"/>
        </w:rPr>
        <w:t>substance</w:t>
      </w:r>
      <w:r w:rsidR="00B87F5F">
        <w:rPr>
          <w:lang w:val="en-US"/>
        </w:rPr>
        <w:t>,</w:t>
      </w:r>
      <w:r w:rsidR="00BA5390" w:rsidRPr="00BA5390">
        <w:rPr>
          <w:lang w:val="en-US"/>
        </w:rPr>
        <w:t xml:space="preserve"> supplying alkali metal ions (hydroxides, carbonates, sulphates, aluminates or oxides)</w:t>
      </w:r>
      <w:r w:rsidR="00BA5390">
        <w:rPr>
          <w:lang w:val="en-US"/>
        </w:rPr>
        <w:t xml:space="preserve">, which is commonly referred to as the ‘activator’. </w:t>
      </w:r>
      <w:r w:rsidR="00F627EF" w:rsidRPr="00BA5390">
        <w:rPr>
          <w:lang w:val="en-US"/>
        </w:rPr>
        <w:t>The activator raises the pH of the mixture and accelerates the dissolution of the solid precursor.</w:t>
      </w:r>
      <w:r w:rsidR="00F627EF">
        <w:rPr>
          <w:lang w:val="en-US"/>
        </w:rPr>
        <w:t xml:space="preserve"> </w:t>
      </w:r>
      <w:r w:rsidR="00BA5390">
        <w:rPr>
          <w:lang w:val="en-US"/>
        </w:rPr>
        <w:t>The precursor may</w:t>
      </w:r>
      <w:r w:rsidR="00BA5390" w:rsidRPr="00BA5390">
        <w:rPr>
          <w:lang w:val="en-US"/>
        </w:rPr>
        <w:t xml:space="preserve"> be a natural or </w:t>
      </w:r>
      <w:r w:rsidR="00BA5390">
        <w:rPr>
          <w:lang w:val="en-US"/>
        </w:rPr>
        <w:t>a</w:t>
      </w:r>
      <w:r w:rsidR="00BA5390" w:rsidRPr="00BA5390">
        <w:rPr>
          <w:lang w:val="en-US"/>
        </w:rPr>
        <w:t xml:space="preserve"> waste material, </w:t>
      </w:r>
      <w:r w:rsidR="00BA5390">
        <w:rPr>
          <w:lang w:val="en-US"/>
        </w:rPr>
        <w:t>of high aluminosilicate content.</w:t>
      </w:r>
      <w:r w:rsidR="00BA5390" w:rsidRPr="00BA5390">
        <w:rPr>
          <w:lang w:val="en-US"/>
        </w:rPr>
        <w:t xml:space="preserve"> </w:t>
      </w:r>
    </w:p>
    <w:p w14:paraId="199A4B23" w14:textId="631EAA21" w:rsidR="00BA5390" w:rsidRDefault="00C5630E" w:rsidP="00A45F17">
      <w:pPr>
        <w:pStyle w:val="CommentText"/>
        <w:spacing w:after="80"/>
        <w:jc w:val="both"/>
        <w:rPr>
          <w:lang w:val="en-US"/>
        </w:rPr>
      </w:pPr>
      <w:r w:rsidRPr="00C5630E">
        <w:rPr>
          <w:lang w:val="en-US"/>
        </w:rPr>
        <w:t>Following on previous work on AAC for concrete carried out at London South Bank University, using different alkaline activators</w:t>
      </w:r>
      <w:r w:rsidR="00F627EF">
        <w:rPr>
          <w:lang w:val="en-US"/>
        </w:rPr>
        <w:t xml:space="preserve"> (</w:t>
      </w:r>
      <w:r w:rsidR="00F627EF" w:rsidRPr="006C28DB">
        <w:rPr>
          <w:lang w:val="en-US"/>
        </w:rPr>
        <w:t>Mavroulidou</w:t>
      </w:r>
      <w:r w:rsidR="00F627EF">
        <w:rPr>
          <w:lang w:val="en-US"/>
        </w:rPr>
        <w:t xml:space="preserve"> </w:t>
      </w:r>
      <w:r w:rsidR="00F627EF" w:rsidRPr="006C28DB">
        <w:rPr>
          <w:lang w:val="en-US"/>
        </w:rPr>
        <w:t xml:space="preserve">and </w:t>
      </w:r>
      <w:proofErr w:type="spellStart"/>
      <w:r w:rsidR="00F627EF" w:rsidRPr="006C28DB">
        <w:rPr>
          <w:lang w:val="en-US"/>
        </w:rPr>
        <w:t>Martynková</w:t>
      </w:r>
      <w:proofErr w:type="spellEnd"/>
      <w:r w:rsidR="00F627EF" w:rsidRPr="006C28DB">
        <w:rPr>
          <w:lang w:val="en-US"/>
        </w:rPr>
        <w:t>, 2018</w:t>
      </w:r>
      <w:r w:rsidR="00F627EF">
        <w:rPr>
          <w:lang w:val="en-US"/>
        </w:rPr>
        <w:t xml:space="preserve">; </w:t>
      </w:r>
      <w:r w:rsidR="00F627EF">
        <w:rPr>
          <w:lang w:val="en-US"/>
        </w:rPr>
        <w:t>Mavroulidou and Shah, 2021; Mavroulidou et al, 2023)</w:t>
      </w:r>
      <w:r w:rsidRPr="00C5630E">
        <w:rPr>
          <w:lang w:val="en-US"/>
        </w:rPr>
        <w:t xml:space="preserve">, this paper studies </w:t>
      </w:r>
      <w:r w:rsidR="00B62786" w:rsidRPr="00BA5390">
        <w:rPr>
          <w:lang w:val="en-US"/>
        </w:rPr>
        <w:t xml:space="preserve">the feasibility of </w:t>
      </w:r>
      <w:r w:rsidR="00B62786">
        <w:rPr>
          <w:lang w:val="en-US"/>
        </w:rPr>
        <w:t xml:space="preserve">producing AAC </w:t>
      </w:r>
      <w:r w:rsidRPr="00C5630E">
        <w:rPr>
          <w:lang w:val="en-US"/>
        </w:rPr>
        <w:t>concrete using</w:t>
      </w:r>
      <w:r w:rsidR="00F92880">
        <w:rPr>
          <w:lang w:val="en-US"/>
        </w:rPr>
        <w:t xml:space="preserve"> </w:t>
      </w:r>
      <w:r w:rsidR="00F92880">
        <w:t>potassium carbonate (</w:t>
      </w:r>
      <w:r w:rsidRPr="00C5630E">
        <w:rPr>
          <w:lang w:val="en-US"/>
        </w:rPr>
        <w:t>K</w:t>
      </w:r>
      <w:r w:rsidRPr="00C5630E">
        <w:rPr>
          <w:vertAlign w:val="subscript"/>
          <w:lang w:val="en-US"/>
        </w:rPr>
        <w:t>2</w:t>
      </w:r>
      <w:r w:rsidRPr="00C5630E">
        <w:rPr>
          <w:lang w:val="en-US"/>
        </w:rPr>
        <w:t>CO</w:t>
      </w:r>
      <w:r w:rsidRPr="00C5630E">
        <w:rPr>
          <w:vertAlign w:val="subscript"/>
          <w:lang w:val="en-US"/>
        </w:rPr>
        <w:t>3</w:t>
      </w:r>
      <w:r w:rsidR="00F92880">
        <w:rPr>
          <w:lang w:val="en-US"/>
        </w:rPr>
        <w:t xml:space="preserve">) </w:t>
      </w:r>
      <w:r w:rsidR="00B62786">
        <w:rPr>
          <w:lang w:val="en-US"/>
        </w:rPr>
        <w:t xml:space="preserve">as an </w:t>
      </w:r>
      <w:r w:rsidRPr="00C5630E">
        <w:rPr>
          <w:lang w:val="en-US"/>
        </w:rPr>
        <w:t>activat</w:t>
      </w:r>
      <w:r w:rsidR="00B62786">
        <w:rPr>
          <w:lang w:val="en-US"/>
        </w:rPr>
        <w:t>or of</w:t>
      </w:r>
      <w:r w:rsidRPr="00C5630E">
        <w:rPr>
          <w:lang w:val="en-US"/>
        </w:rPr>
        <w:t xml:space="preserve"> </w:t>
      </w:r>
      <w:r w:rsidR="00B62786" w:rsidRPr="00BA5390">
        <w:rPr>
          <w:lang w:val="en-US"/>
        </w:rPr>
        <w:t>Ground Granulated Blast Furnace Slag (GGBS)</w:t>
      </w:r>
      <w:r w:rsidRPr="00C5630E">
        <w:rPr>
          <w:lang w:val="en-US"/>
        </w:rPr>
        <w:t xml:space="preserve">, </w:t>
      </w:r>
      <w:r w:rsidR="00B62786">
        <w:rPr>
          <w:lang w:val="en-US"/>
        </w:rPr>
        <w:t xml:space="preserve">an </w:t>
      </w:r>
      <w:r w:rsidR="00B62786" w:rsidRPr="00BA5390">
        <w:rPr>
          <w:lang w:val="en-US"/>
        </w:rPr>
        <w:t xml:space="preserve">industrial by-product of </w:t>
      </w:r>
      <w:r w:rsidR="00B62786">
        <w:rPr>
          <w:lang w:val="en-US"/>
        </w:rPr>
        <w:t xml:space="preserve">the </w:t>
      </w:r>
      <w:r w:rsidR="00B62786" w:rsidRPr="00BA5390">
        <w:rPr>
          <w:lang w:val="en-US"/>
        </w:rPr>
        <w:t>steel production</w:t>
      </w:r>
      <w:r w:rsidR="00B62786" w:rsidRPr="00C5630E">
        <w:rPr>
          <w:lang w:val="en-US"/>
        </w:rPr>
        <w:t xml:space="preserve"> </w:t>
      </w:r>
      <w:r w:rsidR="00B62786">
        <w:rPr>
          <w:lang w:val="en-US"/>
        </w:rPr>
        <w:t>industry</w:t>
      </w:r>
      <w:r w:rsidR="007B5DEE">
        <w:rPr>
          <w:lang w:val="en-US"/>
        </w:rPr>
        <w:t>,</w:t>
      </w:r>
      <w:r w:rsidR="00B62786">
        <w:rPr>
          <w:lang w:val="en-US"/>
        </w:rPr>
        <w:t xml:space="preserve"> </w:t>
      </w:r>
      <w:r w:rsidR="007B5DEE">
        <w:rPr>
          <w:lang w:val="en-US"/>
        </w:rPr>
        <w:t xml:space="preserve">which is </w:t>
      </w:r>
      <w:r w:rsidR="00B62786" w:rsidRPr="00BA5390">
        <w:rPr>
          <w:lang w:val="en-US"/>
        </w:rPr>
        <w:t xml:space="preserve">used as </w:t>
      </w:r>
      <w:r w:rsidR="00B62786">
        <w:rPr>
          <w:lang w:val="en-US"/>
        </w:rPr>
        <w:t>the</w:t>
      </w:r>
      <w:r w:rsidR="00B62786" w:rsidRPr="00BA5390">
        <w:rPr>
          <w:lang w:val="en-US"/>
        </w:rPr>
        <w:t xml:space="preserve"> precursor</w:t>
      </w:r>
      <w:r w:rsidR="00B62786">
        <w:rPr>
          <w:lang w:val="en-US"/>
        </w:rPr>
        <w:t xml:space="preserve">. Whilst </w:t>
      </w:r>
      <w:proofErr w:type="gramStart"/>
      <w:r w:rsidR="00B62786">
        <w:rPr>
          <w:lang w:val="en-US"/>
        </w:rPr>
        <w:t>a number of</w:t>
      </w:r>
      <w:proofErr w:type="gramEnd"/>
      <w:r w:rsidR="00B62786">
        <w:rPr>
          <w:lang w:val="en-US"/>
        </w:rPr>
        <w:t xml:space="preserve"> other activators </w:t>
      </w:r>
      <w:r w:rsidR="00F92880">
        <w:rPr>
          <w:lang w:val="en-US"/>
        </w:rPr>
        <w:t>such as Na</w:t>
      </w:r>
      <w:r w:rsidR="00F92880" w:rsidRPr="00F92880">
        <w:rPr>
          <w:vertAlign w:val="subscript"/>
          <w:lang w:val="en-US"/>
        </w:rPr>
        <w:t>2</w:t>
      </w:r>
      <w:r w:rsidR="00F92880">
        <w:rPr>
          <w:lang w:val="en-US"/>
        </w:rPr>
        <w:t>SiO</w:t>
      </w:r>
      <w:r w:rsidR="00F92880" w:rsidRPr="00F92880">
        <w:rPr>
          <w:vertAlign w:val="subscript"/>
          <w:lang w:val="en-US"/>
        </w:rPr>
        <w:t>3</w:t>
      </w:r>
      <w:r w:rsidR="00F92880">
        <w:rPr>
          <w:lang w:val="en-US"/>
        </w:rPr>
        <w:t xml:space="preserve">, NaOH, KOH, </w:t>
      </w:r>
      <w:r w:rsidR="00B62786">
        <w:rPr>
          <w:lang w:val="en-US"/>
        </w:rPr>
        <w:t>have been widely used in the production of AAC</w:t>
      </w:r>
      <w:r w:rsidR="006C28DB">
        <w:rPr>
          <w:lang w:val="en-US"/>
        </w:rPr>
        <w:t xml:space="preserve"> (</w:t>
      </w:r>
      <w:r w:rsidR="006C28DB" w:rsidRPr="006C28DB">
        <w:rPr>
          <w:lang w:val="en-US"/>
        </w:rPr>
        <w:t>Mavroulidou</w:t>
      </w:r>
      <w:r w:rsidR="006C28DB">
        <w:rPr>
          <w:lang w:val="en-US"/>
        </w:rPr>
        <w:t xml:space="preserve"> </w:t>
      </w:r>
      <w:r w:rsidR="006C28DB" w:rsidRPr="006C28DB">
        <w:rPr>
          <w:lang w:val="en-US"/>
        </w:rPr>
        <w:t xml:space="preserve">and </w:t>
      </w:r>
      <w:proofErr w:type="spellStart"/>
      <w:r w:rsidR="006C28DB" w:rsidRPr="006C28DB">
        <w:rPr>
          <w:lang w:val="en-US"/>
        </w:rPr>
        <w:t>Martynková</w:t>
      </w:r>
      <w:proofErr w:type="spellEnd"/>
      <w:r w:rsidR="006C28DB" w:rsidRPr="006C28DB">
        <w:rPr>
          <w:lang w:val="en-US"/>
        </w:rPr>
        <w:t>, 2018</w:t>
      </w:r>
      <w:r w:rsidR="006C28DB">
        <w:rPr>
          <w:lang w:val="en-US"/>
        </w:rPr>
        <w:t>; Mavroulidou et al, 2023)</w:t>
      </w:r>
      <w:r w:rsidR="00B62786">
        <w:rPr>
          <w:lang w:val="en-US"/>
        </w:rPr>
        <w:t xml:space="preserve">, </w:t>
      </w:r>
      <w:r w:rsidRPr="00C5630E">
        <w:rPr>
          <w:lang w:val="en-US"/>
        </w:rPr>
        <w:t>there is paucity of information</w:t>
      </w:r>
      <w:r w:rsidR="00B62786">
        <w:rPr>
          <w:lang w:val="en-US"/>
        </w:rPr>
        <w:t xml:space="preserve"> on the potential of using </w:t>
      </w:r>
      <w:r w:rsidR="00B62786" w:rsidRPr="00C5630E">
        <w:rPr>
          <w:lang w:val="en-US"/>
        </w:rPr>
        <w:t>K</w:t>
      </w:r>
      <w:r w:rsidR="00B62786" w:rsidRPr="00C5630E">
        <w:rPr>
          <w:vertAlign w:val="subscript"/>
          <w:lang w:val="en-US"/>
        </w:rPr>
        <w:t>2</w:t>
      </w:r>
      <w:r w:rsidR="00B62786" w:rsidRPr="00C5630E">
        <w:rPr>
          <w:lang w:val="en-US"/>
        </w:rPr>
        <w:t>CO</w:t>
      </w:r>
      <w:r w:rsidR="00B62786" w:rsidRPr="00C5630E">
        <w:rPr>
          <w:vertAlign w:val="subscript"/>
          <w:lang w:val="en-US"/>
        </w:rPr>
        <w:t>3</w:t>
      </w:r>
      <w:r w:rsidR="00B62786">
        <w:rPr>
          <w:lang w:val="en-US"/>
        </w:rPr>
        <w:t xml:space="preserve"> as an activator in AAC. However, there are </w:t>
      </w:r>
      <w:r w:rsidRPr="00C5630E">
        <w:rPr>
          <w:lang w:val="en-US"/>
        </w:rPr>
        <w:t>advantage</w:t>
      </w:r>
      <w:r w:rsidR="00B62786">
        <w:rPr>
          <w:lang w:val="en-US"/>
        </w:rPr>
        <w:t>s</w:t>
      </w:r>
      <w:r w:rsidRPr="00C5630E">
        <w:rPr>
          <w:lang w:val="en-US"/>
        </w:rPr>
        <w:t xml:space="preserve"> of using K</w:t>
      </w:r>
      <w:r w:rsidRPr="00C5630E">
        <w:rPr>
          <w:vertAlign w:val="subscript"/>
          <w:lang w:val="en-US"/>
        </w:rPr>
        <w:t>2</w:t>
      </w:r>
      <w:r w:rsidRPr="00C5630E">
        <w:rPr>
          <w:lang w:val="en-US"/>
        </w:rPr>
        <w:t>CO</w:t>
      </w:r>
      <w:r w:rsidRPr="00C5630E">
        <w:rPr>
          <w:vertAlign w:val="subscript"/>
          <w:lang w:val="en-US"/>
        </w:rPr>
        <w:t>3</w:t>
      </w:r>
      <w:r w:rsidRPr="00C5630E">
        <w:rPr>
          <w:lang w:val="en-US"/>
        </w:rPr>
        <w:t xml:space="preserve"> in the context of </w:t>
      </w:r>
      <w:r w:rsidR="00A45F17">
        <w:rPr>
          <w:lang w:val="en-US"/>
        </w:rPr>
        <w:t xml:space="preserve">sustainability and </w:t>
      </w:r>
      <w:r w:rsidRPr="00C5630E">
        <w:rPr>
          <w:lang w:val="en-US"/>
        </w:rPr>
        <w:t>circular economy</w:t>
      </w:r>
      <w:r w:rsidR="00F627EF">
        <w:rPr>
          <w:lang w:val="en-US"/>
        </w:rPr>
        <w:t>,</w:t>
      </w:r>
      <w:r w:rsidRPr="00C5630E">
        <w:rPr>
          <w:lang w:val="en-US"/>
        </w:rPr>
        <w:t xml:space="preserve"> </w:t>
      </w:r>
      <w:r w:rsidR="00A45F17">
        <w:rPr>
          <w:lang w:val="en-US"/>
        </w:rPr>
        <w:t>as it</w:t>
      </w:r>
      <w:r w:rsidRPr="00C5630E">
        <w:rPr>
          <w:lang w:val="en-US"/>
        </w:rPr>
        <w:t xml:space="preserve"> can be </w:t>
      </w:r>
      <w:r w:rsidR="00A45F17">
        <w:rPr>
          <w:lang w:val="en-US"/>
        </w:rPr>
        <w:t xml:space="preserve">potentially </w:t>
      </w:r>
      <w:r w:rsidRPr="00C5630E">
        <w:rPr>
          <w:lang w:val="en-US"/>
        </w:rPr>
        <w:t>obtained from various waste material sources, in particular food/plant waste</w:t>
      </w:r>
      <w:r w:rsidR="007B5DEE">
        <w:rPr>
          <w:lang w:val="en-US"/>
        </w:rPr>
        <w:t>, which can be found in any part of the world</w:t>
      </w:r>
      <w:r w:rsidR="00A45F17">
        <w:rPr>
          <w:lang w:val="en-US"/>
        </w:rPr>
        <w:t>. Additionally</w:t>
      </w:r>
      <w:r w:rsidR="00A45F17" w:rsidRPr="00A45F17">
        <w:rPr>
          <w:lang w:val="en-US"/>
        </w:rPr>
        <w:t>,</w:t>
      </w:r>
      <w:r w:rsidR="00A45F17">
        <w:rPr>
          <w:lang w:val="en-US"/>
        </w:rPr>
        <w:t xml:space="preserve"> activator systems with </w:t>
      </w:r>
      <w:r w:rsidR="00A45F17" w:rsidRPr="00C5630E">
        <w:rPr>
          <w:lang w:val="en-US"/>
        </w:rPr>
        <w:t>K</w:t>
      </w:r>
      <w:r w:rsidR="00A45F17" w:rsidRPr="00C5630E">
        <w:rPr>
          <w:vertAlign w:val="subscript"/>
          <w:lang w:val="en-US"/>
        </w:rPr>
        <w:t>2</w:t>
      </w:r>
      <w:r w:rsidR="00A45F17" w:rsidRPr="00C5630E">
        <w:rPr>
          <w:lang w:val="en-US"/>
        </w:rPr>
        <w:t>CO</w:t>
      </w:r>
      <w:r w:rsidR="00A45F17" w:rsidRPr="00C5630E">
        <w:rPr>
          <w:vertAlign w:val="subscript"/>
          <w:lang w:val="en-US"/>
        </w:rPr>
        <w:t>3</w:t>
      </w:r>
      <w:r w:rsidR="00A45F17">
        <w:rPr>
          <w:vertAlign w:val="subscript"/>
          <w:lang w:val="en-US"/>
        </w:rPr>
        <w:t xml:space="preserve"> </w:t>
      </w:r>
      <w:r w:rsidR="00A45F17">
        <w:rPr>
          <w:lang w:val="en-US"/>
        </w:rPr>
        <w:t>would have</w:t>
      </w:r>
      <w:r w:rsidR="00A45F17" w:rsidRPr="00A45F17">
        <w:rPr>
          <w:lang w:val="en-US"/>
        </w:rPr>
        <w:t xml:space="preserve"> a lower pH compared to other alkaline activators such as sodium hydroxide</w:t>
      </w:r>
      <w:r w:rsidR="00A45F17">
        <w:rPr>
          <w:lang w:val="en-US"/>
        </w:rPr>
        <w:t xml:space="preserve">, making the material safer for handling on site.  </w:t>
      </w:r>
    </w:p>
    <w:p w14:paraId="47BB1965" w14:textId="2F1BEBF5" w:rsidR="00A45F17" w:rsidRDefault="00635700" w:rsidP="000C5670">
      <w:pPr>
        <w:pStyle w:val="CommentText"/>
        <w:spacing w:after="80"/>
        <w:jc w:val="both"/>
        <w:rPr>
          <w:lang w:val="en-US"/>
        </w:rPr>
      </w:pPr>
      <w:r>
        <w:t>The following sections of the paper present indicative results of salient mechanical and durability properties</w:t>
      </w:r>
      <w:r w:rsidRPr="00635700">
        <w:t xml:space="preserve"> </w:t>
      </w:r>
      <w:r>
        <w:t xml:space="preserve">of these little researched systems, considering the effect of mixing and curing conditions, as </w:t>
      </w:r>
      <w:r w:rsidR="00F627EF">
        <w:t>AAC properties</w:t>
      </w:r>
      <w:r w:rsidRPr="00CE0891">
        <w:t xml:space="preserve"> are </w:t>
      </w:r>
      <w:r>
        <w:t>highly</w:t>
      </w:r>
      <w:r w:rsidRPr="00CE0891">
        <w:t xml:space="preserve"> dependent on </w:t>
      </w:r>
      <w:r>
        <w:t>these conditions</w:t>
      </w:r>
      <w:r w:rsidR="00F627EF">
        <w:t xml:space="preserve"> (Bernal et al, 2014; Mavroulidou et al, 2023)</w:t>
      </w:r>
      <w:r>
        <w:t xml:space="preserve">. </w:t>
      </w:r>
    </w:p>
    <w:p w14:paraId="6B7E32E9" w14:textId="143773AF" w:rsidR="0058292C" w:rsidRDefault="00A45F17" w:rsidP="00BC5C28">
      <w:pPr>
        <w:pStyle w:val="ListParagraph"/>
        <w:numPr>
          <w:ilvl w:val="0"/>
          <w:numId w:val="2"/>
        </w:numPr>
        <w:spacing w:before="240" w:after="240" w:line="240" w:lineRule="atLeast"/>
        <w:ind w:left="426" w:hanging="426"/>
        <w:contextualSpacing w:val="0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Materials and methods</w:t>
      </w:r>
    </w:p>
    <w:p w14:paraId="5B05B27D" w14:textId="2C95E5ED" w:rsidR="007A4E7D" w:rsidRDefault="007A4E7D" w:rsidP="007A4E7D">
      <w:pPr>
        <w:pStyle w:val="CommentText"/>
        <w:spacing w:after="80"/>
        <w:jc w:val="both"/>
        <w:rPr>
          <w:lang w:val="en-US"/>
        </w:rPr>
      </w:pPr>
      <w:r>
        <w:rPr>
          <w:lang w:val="en-US"/>
        </w:rPr>
        <w:t xml:space="preserve">To make the alkaline binder (AAC), </w:t>
      </w:r>
      <w:r w:rsidRPr="004B3B82">
        <w:rPr>
          <w:lang w:val="en-US"/>
        </w:rPr>
        <w:t xml:space="preserve">analytical grade </w:t>
      </w:r>
      <w:r>
        <w:rPr>
          <w:lang w:val="en-US"/>
        </w:rPr>
        <w:t>K</w:t>
      </w:r>
      <w:r w:rsidRPr="004B3B82">
        <w:rPr>
          <w:vertAlign w:val="subscript"/>
          <w:lang w:val="en-US"/>
        </w:rPr>
        <w:t>2</w:t>
      </w:r>
      <w:r>
        <w:rPr>
          <w:lang w:val="en-US"/>
        </w:rPr>
        <w:t>C</w:t>
      </w:r>
      <w:r w:rsidRPr="004B3B82">
        <w:rPr>
          <w:lang w:val="en-US"/>
        </w:rPr>
        <w:t>O</w:t>
      </w:r>
      <w:r w:rsidRPr="004B3B82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4B3B82">
        <w:rPr>
          <w:lang w:val="en-US"/>
        </w:rPr>
        <w:t>activator</w:t>
      </w:r>
      <w:r>
        <w:rPr>
          <w:lang w:val="en-US"/>
        </w:rPr>
        <w:t xml:space="preserve"> was</w:t>
      </w:r>
      <w:r w:rsidRPr="004B3B82">
        <w:rPr>
          <w:lang w:val="en-US"/>
        </w:rPr>
        <w:t xml:space="preserve"> </w:t>
      </w:r>
      <w:r>
        <w:rPr>
          <w:lang w:val="en-US"/>
        </w:rPr>
        <w:t>used (</w:t>
      </w:r>
      <w:r w:rsidRPr="004B3B82">
        <w:rPr>
          <w:lang w:val="en-US"/>
        </w:rPr>
        <w:t>Fisher Scientific</w:t>
      </w:r>
      <w:r>
        <w:rPr>
          <w:lang w:val="en-US"/>
        </w:rPr>
        <w:t>) supplied</w:t>
      </w:r>
      <w:r w:rsidRPr="004B3B82">
        <w:rPr>
          <w:lang w:val="en-US"/>
        </w:rPr>
        <w:t xml:space="preserve"> </w:t>
      </w:r>
      <w:r>
        <w:rPr>
          <w:lang w:val="en-US"/>
        </w:rPr>
        <w:t>in the form of</w:t>
      </w:r>
      <w:r w:rsidRPr="004B3B82">
        <w:rPr>
          <w:lang w:val="en-US"/>
        </w:rPr>
        <w:t xml:space="preserve"> anhydrous </w:t>
      </w:r>
      <w:r>
        <w:rPr>
          <w:lang w:val="en-US"/>
        </w:rPr>
        <w:t>potass</w:t>
      </w:r>
      <w:r w:rsidRPr="004B3B82">
        <w:rPr>
          <w:lang w:val="en-US"/>
        </w:rPr>
        <w:t>ium carbonate pellets (≥99% purity)</w:t>
      </w:r>
      <w:r>
        <w:rPr>
          <w:lang w:val="en-US"/>
        </w:rPr>
        <w:t xml:space="preserve"> and</w:t>
      </w:r>
      <w:r w:rsidRPr="004B3B82">
        <w:rPr>
          <w:lang w:val="en-US"/>
        </w:rPr>
        <w:t xml:space="preserve"> GGBS</w:t>
      </w:r>
      <w:r>
        <w:rPr>
          <w:lang w:val="en-US"/>
        </w:rPr>
        <w:t xml:space="preserve"> precursor </w:t>
      </w:r>
      <w:r w:rsidRPr="004B3B82">
        <w:rPr>
          <w:lang w:val="en-US"/>
        </w:rPr>
        <w:t xml:space="preserve">provided by Hanson Regen; </w:t>
      </w:r>
      <w:r>
        <w:rPr>
          <w:lang w:val="en-US"/>
        </w:rPr>
        <w:t>the</w:t>
      </w:r>
      <w:r w:rsidRPr="004B3B82">
        <w:rPr>
          <w:lang w:val="en-US"/>
        </w:rPr>
        <w:t xml:space="preserve"> suitability </w:t>
      </w:r>
      <w:r>
        <w:rPr>
          <w:lang w:val="en-US"/>
        </w:rPr>
        <w:t xml:space="preserve">of this GGBS </w:t>
      </w:r>
      <w:r w:rsidRPr="004B3B82">
        <w:rPr>
          <w:lang w:val="en-US"/>
        </w:rPr>
        <w:t xml:space="preserve">for AAC and </w:t>
      </w:r>
      <w:r>
        <w:rPr>
          <w:lang w:val="en-US"/>
        </w:rPr>
        <w:t xml:space="preserve">its </w:t>
      </w:r>
      <w:r w:rsidRPr="004B3B82">
        <w:rPr>
          <w:lang w:val="en-US"/>
        </w:rPr>
        <w:t xml:space="preserve">chemical composition were discussed in Mavroulidou and </w:t>
      </w:r>
      <w:proofErr w:type="spellStart"/>
      <w:r w:rsidRPr="004B3B82">
        <w:rPr>
          <w:lang w:val="en-US"/>
        </w:rPr>
        <w:t>Martynková</w:t>
      </w:r>
      <w:proofErr w:type="spellEnd"/>
      <w:r w:rsidRPr="004B3B82">
        <w:rPr>
          <w:lang w:val="en-US"/>
        </w:rPr>
        <w:t xml:space="preserve"> (2018). </w:t>
      </w:r>
      <w:r>
        <w:rPr>
          <w:lang w:val="en-US"/>
        </w:rPr>
        <w:t>In addition to the AAC</w:t>
      </w:r>
      <w:r w:rsidR="00F627EF">
        <w:rPr>
          <w:lang w:val="en-US"/>
        </w:rPr>
        <w:t xml:space="preserve"> binder</w:t>
      </w:r>
      <w:r>
        <w:rPr>
          <w:lang w:val="en-US"/>
        </w:rPr>
        <w:t xml:space="preserve">, </w:t>
      </w:r>
      <w:r w:rsidR="00F627EF">
        <w:rPr>
          <w:lang w:val="en-US"/>
        </w:rPr>
        <w:t>the other</w:t>
      </w:r>
      <w:r>
        <w:rPr>
          <w:lang w:val="en-US"/>
        </w:rPr>
        <w:t xml:space="preserve"> concrete </w:t>
      </w:r>
      <w:r w:rsidR="00F627EF">
        <w:rPr>
          <w:lang w:val="en-US"/>
        </w:rPr>
        <w:t xml:space="preserve">mix ingredients were </w:t>
      </w:r>
      <w:r w:rsidRPr="004B3B82">
        <w:rPr>
          <w:lang w:val="en-US"/>
        </w:rPr>
        <w:t xml:space="preserve">river sand of 5mm maximum size and gravel of 10 mm maximum size </w:t>
      </w:r>
      <w:r w:rsidR="0079285F">
        <w:rPr>
          <w:lang w:val="en-US"/>
        </w:rPr>
        <w:t xml:space="preserve">(used </w:t>
      </w:r>
      <w:r>
        <w:rPr>
          <w:lang w:val="en-US"/>
        </w:rPr>
        <w:t xml:space="preserve">as </w:t>
      </w:r>
      <w:r w:rsidR="0079285F">
        <w:rPr>
          <w:lang w:val="en-US"/>
        </w:rPr>
        <w:t xml:space="preserve">fine and coarse </w:t>
      </w:r>
      <w:r>
        <w:rPr>
          <w:lang w:val="en-US"/>
        </w:rPr>
        <w:t>aggregate</w:t>
      </w:r>
      <w:r w:rsidR="0079285F">
        <w:rPr>
          <w:lang w:val="en-US"/>
        </w:rPr>
        <w:t xml:space="preserve"> respectively)</w:t>
      </w:r>
      <w:r w:rsidRPr="004B3B82">
        <w:rPr>
          <w:lang w:val="en-US"/>
        </w:rPr>
        <w:t>. The concrete mixes used are shown in Table 1.</w:t>
      </w:r>
    </w:p>
    <w:p w14:paraId="049D53EF" w14:textId="173B2D83" w:rsidR="007A4E7D" w:rsidRDefault="007A4E7D" w:rsidP="007A4E7D">
      <w:pPr>
        <w:pStyle w:val="CommentText"/>
        <w:spacing w:after="80"/>
        <w:jc w:val="both"/>
        <w:rPr>
          <w:lang w:val="en-US"/>
        </w:rPr>
      </w:pPr>
      <w:r w:rsidRPr="00C5630E">
        <w:rPr>
          <w:lang w:val="en-US"/>
        </w:rPr>
        <w:t xml:space="preserve">A preliminary study </w:t>
      </w:r>
      <w:r>
        <w:rPr>
          <w:lang w:val="en-US"/>
        </w:rPr>
        <w:t xml:space="preserve">on 7-day cubes performed in duplicate </w:t>
      </w:r>
      <w:r w:rsidRPr="00C5630E">
        <w:rPr>
          <w:lang w:val="en-US"/>
        </w:rPr>
        <w:t xml:space="preserve">included one-part </w:t>
      </w:r>
      <w:r>
        <w:rPr>
          <w:lang w:val="en-US"/>
        </w:rPr>
        <w:t>(K</w:t>
      </w:r>
      <w:r w:rsidRPr="004B3B82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4B3B82">
        <w:rPr>
          <w:vertAlign w:val="subscript"/>
          <w:lang w:val="en-US"/>
        </w:rPr>
        <w:t>3</w:t>
      </w:r>
      <w:r>
        <w:rPr>
          <w:lang w:val="en-US"/>
        </w:rPr>
        <w:t xml:space="preserve"> supplied in powder form in the concrete mix) </w:t>
      </w:r>
      <w:r w:rsidRPr="00C5630E">
        <w:rPr>
          <w:lang w:val="en-US"/>
        </w:rPr>
        <w:t xml:space="preserve">versus two-part </w:t>
      </w:r>
      <w:r>
        <w:rPr>
          <w:lang w:val="en-US"/>
        </w:rPr>
        <w:t>(K</w:t>
      </w:r>
      <w:r w:rsidRPr="004B3B82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4B3B82">
        <w:rPr>
          <w:vertAlign w:val="subscript"/>
          <w:lang w:val="en-US"/>
        </w:rPr>
        <w:t>3</w:t>
      </w:r>
      <w:r>
        <w:rPr>
          <w:lang w:val="en-US"/>
        </w:rPr>
        <w:t xml:space="preserve"> supplied in solution form in the concrete mix) AAC</w:t>
      </w:r>
      <w:r w:rsidRPr="00C5630E">
        <w:rPr>
          <w:lang w:val="en-US"/>
        </w:rPr>
        <w:t xml:space="preserve"> and </w:t>
      </w:r>
      <w:r>
        <w:rPr>
          <w:lang w:val="en-US"/>
        </w:rPr>
        <w:t xml:space="preserve">two </w:t>
      </w:r>
      <w:r w:rsidRPr="00C5630E">
        <w:rPr>
          <w:lang w:val="en-US"/>
        </w:rPr>
        <w:t xml:space="preserve">different </w:t>
      </w:r>
      <w:r>
        <w:rPr>
          <w:lang w:val="en-US"/>
        </w:rPr>
        <w:t xml:space="preserve">sequences of mixing as these can affect the results. </w:t>
      </w:r>
      <w:r w:rsidRPr="00C5630E">
        <w:rPr>
          <w:lang w:val="en-US"/>
        </w:rPr>
        <w:t xml:space="preserve">Following this, mechanical property testing of the resulting </w:t>
      </w:r>
      <w:r w:rsidRPr="00C5630E">
        <w:rPr>
          <w:lang w:val="en-US"/>
        </w:rPr>
        <w:lastRenderedPageBreak/>
        <w:t xml:space="preserve">concrete was performed </w:t>
      </w:r>
      <w:r>
        <w:rPr>
          <w:lang w:val="en-US"/>
        </w:rPr>
        <w:t xml:space="preserve">using the best mixing procedure for the one-part and two-part systems </w:t>
      </w:r>
      <w:r w:rsidR="007B5DEE">
        <w:rPr>
          <w:lang w:val="en-US"/>
        </w:rPr>
        <w:t xml:space="preserve">respectively </w:t>
      </w:r>
      <w:r>
        <w:rPr>
          <w:lang w:val="en-US"/>
        </w:rPr>
        <w:t xml:space="preserve">(based on mixes giving the best 7-day strengths and </w:t>
      </w:r>
      <w:r w:rsidR="007B5DEE">
        <w:rPr>
          <w:lang w:val="en-US"/>
        </w:rPr>
        <w:t xml:space="preserve">good </w:t>
      </w:r>
      <w:r>
        <w:rPr>
          <w:lang w:val="en-US"/>
        </w:rPr>
        <w:t>concrete finish). This was done using</w:t>
      </w:r>
      <w:r w:rsidRPr="00C5630E">
        <w:rPr>
          <w:lang w:val="en-US"/>
        </w:rPr>
        <w:t xml:space="preserve"> different curing conditions</w:t>
      </w:r>
      <w:r>
        <w:rPr>
          <w:lang w:val="en-US"/>
        </w:rPr>
        <w:t xml:space="preserve"> and times and two different </w:t>
      </w:r>
      <w:r w:rsidRPr="00C5630E">
        <w:rPr>
          <w:lang w:val="en-US"/>
        </w:rPr>
        <w:t>liquid/solid ratios</w:t>
      </w:r>
      <w:r>
        <w:rPr>
          <w:lang w:val="en-US"/>
        </w:rPr>
        <w:t xml:space="preserve"> in the mixes (see Table 1)</w:t>
      </w:r>
      <w:r w:rsidRPr="00C5630E">
        <w:rPr>
          <w:lang w:val="en-US"/>
        </w:rPr>
        <w:t>.</w:t>
      </w:r>
      <w:r>
        <w:rPr>
          <w:lang w:val="en-US"/>
        </w:rPr>
        <w:t xml:space="preserve"> Note that for the two-part mixes part of the total water in the concrete mix mentioned in Table 1 was used to make the K</w:t>
      </w:r>
      <w:r w:rsidRPr="00F35B66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F35B66">
        <w:rPr>
          <w:vertAlign w:val="subscript"/>
          <w:lang w:val="en-US"/>
        </w:rPr>
        <w:t>3</w:t>
      </w:r>
      <w:r>
        <w:rPr>
          <w:lang w:val="en-US"/>
        </w:rPr>
        <w:t xml:space="preserve"> solution</w:t>
      </w:r>
      <w:r w:rsidRPr="00F35B66">
        <w:t xml:space="preserve"> </w:t>
      </w:r>
      <w:r>
        <w:t xml:space="preserve">considering the </w:t>
      </w:r>
      <w:r w:rsidR="004653EC">
        <w:t>solubility</w:t>
      </w:r>
      <w:r w:rsidRPr="00F35B66">
        <w:rPr>
          <w:lang w:val="en-US"/>
        </w:rPr>
        <w:t xml:space="preserve"> in water of K</w:t>
      </w:r>
      <w:r w:rsidRPr="00F35B66">
        <w:rPr>
          <w:vertAlign w:val="subscript"/>
          <w:lang w:val="en-US"/>
        </w:rPr>
        <w:t>2</w:t>
      </w:r>
      <w:r w:rsidRPr="00F35B66">
        <w:rPr>
          <w:lang w:val="en-US"/>
        </w:rPr>
        <w:t>CO</w:t>
      </w:r>
      <w:r w:rsidRPr="00F35B66">
        <w:rPr>
          <w:vertAlign w:val="subscript"/>
          <w:lang w:val="en-US"/>
        </w:rPr>
        <w:t>3</w:t>
      </w:r>
      <w:r w:rsidRPr="00F35B66">
        <w:rPr>
          <w:lang w:val="en-US"/>
        </w:rPr>
        <w:t xml:space="preserve"> </w:t>
      </w:r>
      <w:r>
        <w:rPr>
          <w:lang w:val="en-US"/>
        </w:rPr>
        <w:t>(</w:t>
      </w:r>
      <w:r w:rsidRPr="00F35B66">
        <w:rPr>
          <w:lang w:val="en-US"/>
        </w:rPr>
        <w:t xml:space="preserve">111 g/100 g </w:t>
      </w:r>
      <w:r>
        <w:rPr>
          <w:lang w:val="en-US"/>
        </w:rPr>
        <w:t xml:space="preserve">at </w:t>
      </w:r>
      <w:r w:rsidRPr="00F35B66">
        <w:rPr>
          <w:lang w:val="en-US"/>
        </w:rPr>
        <w:t>20 °C)</w:t>
      </w:r>
      <w:r>
        <w:rPr>
          <w:lang w:val="en-US"/>
        </w:rPr>
        <w:t xml:space="preserve">.  For example, to dissolve 37 g of </w:t>
      </w:r>
      <w:r w:rsidRPr="00F35B66">
        <w:rPr>
          <w:lang w:val="en-US"/>
        </w:rPr>
        <w:t>K</w:t>
      </w:r>
      <w:r w:rsidRPr="00F35B66">
        <w:rPr>
          <w:vertAlign w:val="subscript"/>
          <w:lang w:val="en-US"/>
        </w:rPr>
        <w:t>2</w:t>
      </w:r>
      <w:r w:rsidRPr="00F35B66">
        <w:rPr>
          <w:lang w:val="en-US"/>
        </w:rPr>
        <w:t>CO</w:t>
      </w:r>
      <w:r w:rsidRPr="00F35B66"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33.5 g of water would be required as a minimum.</w:t>
      </w:r>
    </w:p>
    <w:p w14:paraId="3A775CAA" w14:textId="77777777" w:rsidR="00F02B5F" w:rsidRPr="006C3F3F" w:rsidRDefault="00F02B5F" w:rsidP="00F02B5F">
      <w:pPr>
        <w:spacing w:before="120" w:after="80" w:line="240" w:lineRule="atLeast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</w:t>
      </w:r>
      <w:r w:rsidRPr="006C3F3F">
        <w:rPr>
          <w:b/>
          <w:sz w:val="20"/>
          <w:szCs w:val="20"/>
          <w:lang w:val="en-US"/>
        </w:rPr>
        <w:t>able 1.</w:t>
      </w:r>
      <w:r w:rsidRPr="006C3F3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</w:t>
      </w:r>
      <w:r w:rsidRPr="00A94A6A">
        <w:rPr>
          <w:sz w:val="20"/>
          <w:szCs w:val="20"/>
          <w:lang w:val="en-US"/>
        </w:rPr>
        <w:t>ix design (kg/m</w:t>
      </w:r>
      <w:r w:rsidRPr="00A94A6A">
        <w:rPr>
          <w:sz w:val="20"/>
          <w:szCs w:val="20"/>
          <w:vertAlign w:val="superscript"/>
          <w:lang w:val="en-US"/>
        </w:rPr>
        <w:t>3</w:t>
      </w:r>
      <w:r w:rsidRPr="00A94A6A">
        <w:rPr>
          <w:sz w:val="20"/>
          <w:szCs w:val="20"/>
          <w:lang w:val="en-US"/>
        </w:rPr>
        <w:t>)</w:t>
      </w:r>
    </w:p>
    <w:tbl>
      <w:tblPr>
        <w:tblW w:w="4721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83"/>
        <w:gridCol w:w="516"/>
        <w:gridCol w:w="616"/>
        <w:gridCol w:w="702"/>
        <w:gridCol w:w="666"/>
        <w:gridCol w:w="566"/>
      </w:tblGrid>
      <w:tr w:rsidR="00F02B5F" w:rsidRPr="006C3F3F" w14:paraId="14F84DD1" w14:textId="77777777" w:rsidTr="00F82B3B">
        <w:trPr>
          <w:cantSplit/>
          <w:trHeight w:val="1279"/>
          <w:jc w:val="center"/>
        </w:trPr>
        <w:tc>
          <w:tcPr>
            <w:tcW w:w="852" w:type="pct"/>
          </w:tcPr>
          <w:p w14:paraId="102AC7B1" w14:textId="77777777" w:rsidR="00F02B5F" w:rsidRPr="006C3F3F" w:rsidRDefault="00F02B5F" w:rsidP="00B760BE">
            <w:pPr>
              <w:spacing w:line="24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MIX ID</w:t>
            </w:r>
          </w:p>
        </w:tc>
        <w:tc>
          <w:tcPr>
            <w:tcW w:w="663" w:type="pct"/>
            <w:textDirection w:val="btLr"/>
          </w:tcPr>
          <w:p w14:paraId="543B9449" w14:textId="77777777" w:rsidR="00F02B5F" w:rsidRPr="006C3F3F" w:rsidRDefault="00F02B5F" w:rsidP="00B760BE">
            <w:pPr>
              <w:spacing w:line="240" w:lineRule="atLeast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GGBS</w:t>
            </w:r>
          </w:p>
        </w:tc>
        <w:tc>
          <w:tcPr>
            <w:tcW w:w="586" w:type="pct"/>
            <w:textDirection w:val="btLr"/>
          </w:tcPr>
          <w:p w14:paraId="0CB49D33" w14:textId="77777777" w:rsidR="00F02B5F" w:rsidRDefault="00F02B5F" w:rsidP="00B760BE">
            <w:pPr>
              <w:spacing w:line="240" w:lineRule="atLeast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River sand</w:t>
            </w:r>
          </w:p>
        </w:tc>
        <w:tc>
          <w:tcPr>
            <w:tcW w:w="700" w:type="pct"/>
            <w:textDirection w:val="btLr"/>
          </w:tcPr>
          <w:p w14:paraId="07FF577E" w14:textId="77777777" w:rsidR="00F02B5F" w:rsidRDefault="00F02B5F" w:rsidP="00B760BE">
            <w:pPr>
              <w:spacing w:line="240" w:lineRule="atLeast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Coarse aggregate</w:t>
            </w:r>
          </w:p>
        </w:tc>
        <w:tc>
          <w:tcPr>
            <w:tcW w:w="798" w:type="pct"/>
            <w:textDirection w:val="btLr"/>
          </w:tcPr>
          <w:p w14:paraId="69CC2575" w14:textId="77777777" w:rsidR="00F02B5F" w:rsidRDefault="00F02B5F" w:rsidP="00B760BE">
            <w:pPr>
              <w:spacing w:line="240" w:lineRule="atLeast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</w:t>
            </w:r>
            <w:r w:rsidRPr="00000698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CO</w:t>
            </w:r>
            <w:r w:rsidRPr="00000698">
              <w:rPr>
                <w:b/>
                <w:sz w:val="20"/>
                <w:szCs w:val="20"/>
                <w:vertAlign w:val="subscript"/>
                <w:lang w:val="en-US"/>
              </w:rPr>
              <w:t>3</w:t>
            </w:r>
          </w:p>
          <w:p w14:paraId="57C5EB8B" w14:textId="77777777" w:rsidR="00F02B5F" w:rsidRDefault="00F02B5F" w:rsidP="00B760BE">
            <w:pPr>
              <w:spacing w:line="240" w:lineRule="atLeast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powder</w:t>
            </w:r>
          </w:p>
        </w:tc>
        <w:tc>
          <w:tcPr>
            <w:tcW w:w="757" w:type="pct"/>
            <w:textDirection w:val="btLr"/>
          </w:tcPr>
          <w:p w14:paraId="5EEA1EDE" w14:textId="77777777" w:rsidR="00F02B5F" w:rsidRDefault="00F02B5F" w:rsidP="00B760BE">
            <w:pPr>
              <w:spacing w:line="240" w:lineRule="atLeast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Water (total)</w:t>
            </w:r>
          </w:p>
        </w:tc>
        <w:tc>
          <w:tcPr>
            <w:tcW w:w="643" w:type="pct"/>
            <w:textDirection w:val="btLr"/>
          </w:tcPr>
          <w:p w14:paraId="56AF0FA7" w14:textId="77777777" w:rsidR="00F02B5F" w:rsidRDefault="00F02B5F" w:rsidP="00B760BE">
            <w:pPr>
              <w:spacing w:line="240" w:lineRule="atLeast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 w:rsidRPr="00000698">
              <w:rPr>
                <w:b/>
                <w:sz w:val="20"/>
                <w:szCs w:val="20"/>
                <w:lang w:val="en-US"/>
              </w:rPr>
              <w:t>liquid/solid</w:t>
            </w:r>
          </w:p>
        </w:tc>
      </w:tr>
      <w:tr w:rsidR="00F02B5F" w:rsidRPr="006C3F3F" w14:paraId="2F4AC08C" w14:textId="77777777" w:rsidTr="00B760BE">
        <w:trPr>
          <w:jc w:val="center"/>
        </w:trPr>
        <w:tc>
          <w:tcPr>
            <w:tcW w:w="852" w:type="pct"/>
          </w:tcPr>
          <w:p w14:paraId="14CDFDBB" w14:textId="77777777" w:rsidR="00F02B5F" w:rsidRPr="006C3F3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Mix1</w:t>
            </w:r>
          </w:p>
        </w:tc>
        <w:tc>
          <w:tcPr>
            <w:tcW w:w="663" w:type="pct"/>
          </w:tcPr>
          <w:p w14:paraId="3D8BA841" w14:textId="77777777" w:rsidR="00F02B5F" w:rsidRPr="006C3F3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415</w:t>
            </w:r>
          </w:p>
        </w:tc>
        <w:tc>
          <w:tcPr>
            <w:tcW w:w="586" w:type="pct"/>
          </w:tcPr>
          <w:p w14:paraId="31C29DBB" w14:textId="77777777" w:rsidR="00F02B5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784</w:t>
            </w:r>
          </w:p>
        </w:tc>
        <w:tc>
          <w:tcPr>
            <w:tcW w:w="700" w:type="pct"/>
          </w:tcPr>
          <w:p w14:paraId="1229D9CA" w14:textId="77777777" w:rsidR="00F02B5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1039</w:t>
            </w:r>
          </w:p>
        </w:tc>
        <w:tc>
          <w:tcPr>
            <w:tcW w:w="798" w:type="pct"/>
          </w:tcPr>
          <w:p w14:paraId="6A94DF77" w14:textId="77777777" w:rsidR="00F02B5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757" w:type="pct"/>
          </w:tcPr>
          <w:p w14:paraId="6C4DC433" w14:textId="77777777" w:rsidR="00F02B5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</w:t>
            </w:r>
          </w:p>
        </w:tc>
        <w:tc>
          <w:tcPr>
            <w:tcW w:w="643" w:type="pct"/>
          </w:tcPr>
          <w:p w14:paraId="7E6CCEE9" w14:textId="77777777" w:rsidR="00F02B5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0.55</w:t>
            </w:r>
          </w:p>
        </w:tc>
      </w:tr>
      <w:tr w:rsidR="00F02B5F" w:rsidRPr="006C3F3F" w14:paraId="7AD23AB3" w14:textId="77777777" w:rsidTr="00B760BE">
        <w:trPr>
          <w:jc w:val="center"/>
        </w:trPr>
        <w:tc>
          <w:tcPr>
            <w:tcW w:w="852" w:type="pct"/>
          </w:tcPr>
          <w:p w14:paraId="61C99718" w14:textId="77777777" w:rsidR="00F02B5F" w:rsidRPr="006C3F3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Mix2</w:t>
            </w:r>
          </w:p>
        </w:tc>
        <w:tc>
          <w:tcPr>
            <w:tcW w:w="663" w:type="pct"/>
          </w:tcPr>
          <w:p w14:paraId="0DB66490" w14:textId="77777777" w:rsidR="00F02B5F" w:rsidRPr="006C3F3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415</w:t>
            </w:r>
          </w:p>
        </w:tc>
        <w:tc>
          <w:tcPr>
            <w:tcW w:w="586" w:type="pct"/>
          </w:tcPr>
          <w:p w14:paraId="293CB0EB" w14:textId="77777777" w:rsidR="00F02B5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784</w:t>
            </w:r>
          </w:p>
        </w:tc>
        <w:tc>
          <w:tcPr>
            <w:tcW w:w="700" w:type="pct"/>
          </w:tcPr>
          <w:p w14:paraId="185C0196" w14:textId="77777777" w:rsidR="00F02B5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1039</w:t>
            </w:r>
          </w:p>
        </w:tc>
        <w:tc>
          <w:tcPr>
            <w:tcW w:w="798" w:type="pct"/>
          </w:tcPr>
          <w:p w14:paraId="1CB5A5A5" w14:textId="77777777" w:rsidR="00F02B5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757" w:type="pct"/>
          </w:tcPr>
          <w:p w14:paraId="7FA06FB9" w14:textId="77777777" w:rsidR="00F02B5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203.5</w:t>
            </w:r>
          </w:p>
        </w:tc>
        <w:tc>
          <w:tcPr>
            <w:tcW w:w="643" w:type="pct"/>
          </w:tcPr>
          <w:p w14:paraId="48EB02AB" w14:textId="77777777" w:rsidR="00F02B5F" w:rsidRDefault="00F02B5F" w:rsidP="00B760BE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0.45</w:t>
            </w:r>
          </w:p>
        </w:tc>
      </w:tr>
    </w:tbl>
    <w:p w14:paraId="4C87312E" w14:textId="77777777" w:rsidR="00F02B5F" w:rsidRPr="00F82B3B" w:rsidRDefault="00F02B5F" w:rsidP="007A4E7D">
      <w:pPr>
        <w:pStyle w:val="CommentText"/>
        <w:spacing w:after="80"/>
        <w:jc w:val="both"/>
        <w:rPr>
          <w:sz w:val="16"/>
          <w:szCs w:val="16"/>
          <w:lang w:val="en-US"/>
        </w:rPr>
      </w:pPr>
    </w:p>
    <w:p w14:paraId="61A79FF2" w14:textId="5266D003" w:rsidR="007A4E7D" w:rsidRDefault="007A4E7D" w:rsidP="007A4E7D">
      <w:pPr>
        <w:pStyle w:val="CommentText"/>
        <w:spacing w:after="80"/>
        <w:jc w:val="both"/>
        <w:rPr>
          <w:lang w:val="en-US"/>
        </w:rPr>
      </w:pPr>
      <w:r>
        <w:rPr>
          <w:lang w:val="en-US"/>
        </w:rPr>
        <w:t>Curing conditions followed the protocol of previous works at LSBU (</w:t>
      </w:r>
      <w:r w:rsidRPr="00A94A6A">
        <w:rPr>
          <w:lang w:val="en-US"/>
        </w:rPr>
        <w:t>Mavroulidou and Shah, 2021</w:t>
      </w:r>
      <w:r>
        <w:rPr>
          <w:lang w:val="en-US"/>
        </w:rPr>
        <w:t>; Mavroulidou et al, 2023). Namely</w:t>
      </w:r>
      <w:r w:rsidRPr="00A94A6A">
        <w:rPr>
          <w:lang w:val="en-US"/>
        </w:rPr>
        <w:t xml:space="preserve"> four different curing methods were studied: (a) Method 1: curing in </w:t>
      </w:r>
      <w:proofErr w:type="spellStart"/>
      <w:r w:rsidRPr="00A94A6A">
        <w:rPr>
          <w:lang w:val="en-US"/>
        </w:rPr>
        <w:t>moulds</w:t>
      </w:r>
      <w:proofErr w:type="spellEnd"/>
      <w:r w:rsidRPr="00A94A6A">
        <w:rPr>
          <w:lang w:val="en-US"/>
        </w:rPr>
        <w:t xml:space="preserve"> at room temperature for 72h, </w:t>
      </w:r>
      <w:proofErr w:type="spellStart"/>
      <w:r w:rsidRPr="00A94A6A">
        <w:rPr>
          <w:lang w:val="en-US"/>
        </w:rPr>
        <w:t>demoulding</w:t>
      </w:r>
      <w:proofErr w:type="spellEnd"/>
      <w:r w:rsidRPr="00A94A6A">
        <w:rPr>
          <w:lang w:val="en-US"/>
        </w:rPr>
        <w:t xml:space="preserve"> and water-curing at 20</w:t>
      </w:r>
      <w:r w:rsidRPr="00020FE6">
        <w:rPr>
          <w:vertAlign w:val="superscript"/>
          <w:lang w:val="en-US"/>
        </w:rPr>
        <w:t>o</w:t>
      </w:r>
      <w:r w:rsidRPr="00A94A6A">
        <w:rPr>
          <w:lang w:val="en-US"/>
        </w:rPr>
        <w:t xml:space="preserve">C, until required for testing; (b) Method 2: constant humidity curing, where samples were kept in </w:t>
      </w:r>
      <w:proofErr w:type="spellStart"/>
      <w:r w:rsidRPr="00A94A6A">
        <w:rPr>
          <w:lang w:val="en-US"/>
        </w:rPr>
        <w:t>moulds</w:t>
      </w:r>
      <w:proofErr w:type="spellEnd"/>
      <w:r w:rsidRPr="00A94A6A">
        <w:rPr>
          <w:lang w:val="en-US"/>
        </w:rPr>
        <w:t xml:space="preserve"> and covered by an impermeable membrane to preserve their original moisture content; (c) Method 3: curing at 65°C for 5.5 hours, then, after cooling overnight,  </w:t>
      </w:r>
      <w:proofErr w:type="spellStart"/>
      <w:r w:rsidRPr="00A94A6A">
        <w:rPr>
          <w:lang w:val="en-US"/>
        </w:rPr>
        <w:t>demoulding</w:t>
      </w:r>
      <w:proofErr w:type="spellEnd"/>
      <w:r w:rsidRPr="00A94A6A">
        <w:rPr>
          <w:lang w:val="en-US"/>
        </w:rPr>
        <w:t xml:space="preserve"> and water-curing at 20</w:t>
      </w:r>
      <w:r w:rsidRPr="00E660ED">
        <w:rPr>
          <w:vertAlign w:val="superscript"/>
          <w:lang w:val="en-US"/>
        </w:rPr>
        <w:t>o</w:t>
      </w:r>
      <w:r w:rsidRPr="00A94A6A">
        <w:rPr>
          <w:lang w:val="en-US"/>
        </w:rPr>
        <w:t>C; (d) Method 4: high humidity curing i.e., at a relative humidity of 95% and a temperature of 25°C</w:t>
      </w:r>
      <w:r>
        <w:rPr>
          <w:lang w:val="en-US"/>
        </w:rPr>
        <w:t>.</w:t>
      </w:r>
      <w:r w:rsidR="00245645" w:rsidRPr="00245645">
        <w:rPr>
          <w:sz w:val="24"/>
          <w:szCs w:val="24"/>
          <w:lang w:val="en-US"/>
        </w:rPr>
        <w:t xml:space="preserve"> </w:t>
      </w:r>
      <w:r w:rsidR="00245645" w:rsidRPr="00245645">
        <w:rPr>
          <w:lang w:val="en-US"/>
        </w:rPr>
        <w:t>The cube compressive strength of 100 mm cube</w:t>
      </w:r>
      <w:r w:rsidR="00245645">
        <w:rPr>
          <w:lang w:val="en-US"/>
        </w:rPr>
        <w:t xml:space="preserve">s and the </w:t>
      </w:r>
      <w:r w:rsidR="00AA05FE">
        <w:rPr>
          <w:lang w:val="en-US"/>
        </w:rPr>
        <w:t>tensile/</w:t>
      </w:r>
      <w:r w:rsidR="00245645">
        <w:rPr>
          <w:lang w:val="en-US"/>
        </w:rPr>
        <w:t xml:space="preserve">splitting </w:t>
      </w:r>
      <w:r w:rsidR="00AA05FE">
        <w:rPr>
          <w:lang w:val="en-US"/>
        </w:rPr>
        <w:t xml:space="preserve">cylinder </w:t>
      </w:r>
      <w:r w:rsidR="00245645">
        <w:rPr>
          <w:lang w:val="en-US"/>
        </w:rPr>
        <w:t xml:space="preserve">strength </w:t>
      </w:r>
      <w:r w:rsidR="00245645" w:rsidRPr="00245645">
        <w:rPr>
          <w:lang w:val="en-US"/>
        </w:rPr>
        <w:t>w</w:t>
      </w:r>
      <w:r w:rsidR="007B5DEE">
        <w:rPr>
          <w:lang w:val="en-US"/>
        </w:rPr>
        <w:t>ere</w:t>
      </w:r>
      <w:r w:rsidR="00245645" w:rsidRPr="00245645">
        <w:rPr>
          <w:lang w:val="en-US"/>
        </w:rPr>
        <w:t xml:space="preserve"> determined </w:t>
      </w:r>
      <w:r w:rsidR="00E7418B" w:rsidRPr="00245645">
        <w:rPr>
          <w:lang w:val="en-US"/>
        </w:rPr>
        <w:t xml:space="preserve">using a Zwick </w:t>
      </w:r>
      <w:proofErr w:type="spellStart"/>
      <w:r w:rsidR="00E7418B" w:rsidRPr="00245645">
        <w:rPr>
          <w:lang w:val="en-US"/>
        </w:rPr>
        <w:t>Roell</w:t>
      </w:r>
      <w:proofErr w:type="spellEnd"/>
      <w:r w:rsidR="00E7418B" w:rsidRPr="00245645">
        <w:rPr>
          <w:lang w:val="en-US"/>
        </w:rPr>
        <w:t xml:space="preserve"> </w:t>
      </w:r>
      <w:proofErr w:type="spellStart"/>
      <w:r w:rsidR="00E7418B" w:rsidRPr="00245645">
        <w:rPr>
          <w:lang w:val="en-US"/>
        </w:rPr>
        <w:t>ToniPACT</w:t>
      </w:r>
      <w:proofErr w:type="spellEnd"/>
      <w:r w:rsidR="00E7418B" w:rsidRPr="00245645">
        <w:rPr>
          <w:lang w:val="en-US"/>
        </w:rPr>
        <w:t xml:space="preserve"> II 2000kN compression test plant </w:t>
      </w:r>
      <w:r w:rsidR="00245645" w:rsidRPr="00245645">
        <w:rPr>
          <w:lang w:val="en-US"/>
        </w:rPr>
        <w:t>according to BS EN 12390-3:2019 (BSI, 2019</w:t>
      </w:r>
      <w:proofErr w:type="gramStart"/>
      <w:r w:rsidR="00E7418B">
        <w:rPr>
          <w:lang w:val="en-US"/>
        </w:rPr>
        <w:t>a,</w:t>
      </w:r>
      <w:r w:rsidR="00245645" w:rsidRPr="00245645">
        <w:rPr>
          <w:lang w:val="en-US"/>
        </w:rPr>
        <w:t>b</w:t>
      </w:r>
      <w:proofErr w:type="gramEnd"/>
      <w:r w:rsidR="007B5DEE">
        <w:rPr>
          <w:lang w:val="en-US"/>
        </w:rPr>
        <w:t xml:space="preserve"> respectively</w:t>
      </w:r>
      <w:r w:rsidR="00245645" w:rsidRPr="00245645">
        <w:rPr>
          <w:lang w:val="en-US"/>
        </w:rPr>
        <w:t xml:space="preserve">). </w:t>
      </w:r>
      <w:r w:rsidR="00E7418B">
        <w:rPr>
          <w:lang w:val="en-US"/>
        </w:rPr>
        <w:t xml:space="preserve">Water </w:t>
      </w:r>
      <w:r w:rsidR="00245645" w:rsidRPr="00245645">
        <w:rPr>
          <w:lang w:val="en-US"/>
        </w:rPr>
        <w:t xml:space="preserve">absorption by immersion </w:t>
      </w:r>
      <w:r w:rsidR="00E7418B" w:rsidRPr="00E7418B">
        <w:rPr>
          <w:lang w:val="en-US"/>
        </w:rPr>
        <w:t xml:space="preserve">of 70 mm cube specimens </w:t>
      </w:r>
      <w:r w:rsidR="00E7418B">
        <w:rPr>
          <w:lang w:val="en-US"/>
        </w:rPr>
        <w:t xml:space="preserve">was conducted </w:t>
      </w:r>
      <w:r w:rsidR="00E7418B" w:rsidRPr="00E7418B">
        <w:rPr>
          <w:lang w:val="en-US"/>
        </w:rPr>
        <w:t>according to BS1881-122:2011 (BSI, 2011)</w:t>
      </w:r>
      <w:r w:rsidR="00245645" w:rsidRPr="00245645">
        <w:rPr>
          <w:lang w:val="en-US"/>
        </w:rPr>
        <w:t>.</w:t>
      </w:r>
      <w:r w:rsidR="00D37826" w:rsidRPr="00D37826">
        <w:rPr>
          <w:szCs w:val="22"/>
          <w:lang w:val="en-GB" w:eastAsia="en-US"/>
        </w:rPr>
        <w:t xml:space="preserve"> </w:t>
      </w:r>
      <w:r w:rsidR="00D37826" w:rsidRPr="00D37826">
        <w:rPr>
          <w:lang w:val="en-GB"/>
        </w:rPr>
        <w:t xml:space="preserve">Accelerated corrosion tests </w:t>
      </w:r>
      <w:r w:rsidR="00D37826">
        <w:rPr>
          <w:lang w:val="en-GB"/>
        </w:rPr>
        <w:t>by the i</w:t>
      </w:r>
      <w:r w:rsidR="00D37826" w:rsidRPr="00D37826">
        <w:rPr>
          <w:lang w:val="en-GB"/>
        </w:rPr>
        <w:t xml:space="preserve">mpressed current density </w:t>
      </w:r>
      <w:r w:rsidR="00D37826">
        <w:rPr>
          <w:lang w:val="en-GB"/>
        </w:rPr>
        <w:t>method and equipment described in Mengasini et al (2021)</w:t>
      </w:r>
      <w:r w:rsidR="00D37826" w:rsidRPr="00D37826">
        <w:rPr>
          <w:lang w:val="en-GB"/>
        </w:rPr>
        <w:t xml:space="preserve"> w</w:t>
      </w:r>
      <w:r w:rsidR="00D37826">
        <w:rPr>
          <w:lang w:val="en-GB"/>
        </w:rPr>
        <w:t>ere</w:t>
      </w:r>
      <w:r w:rsidR="00D37826" w:rsidRPr="00D37826">
        <w:rPr>
          <w:lang w:val="en-GB"/>
        </w:rPr>
        <w:t xml:space="preserve"> performed on 100mm cube specimens with a pre-weighed standard carbon steel rebar (8 mm diameter), </w:t>
      </w:r>
      <w:r w:rsidR="007B5DEE" w:rsidRPr="00D37826">
        <w:rPr>
          <w:lang w:val="en-GB"/>
        </w:rPr>
        <w:t xml:space="preserve">embedded </w:t>
      </w:r>
      <w:r w:rsidR="00D37826" w:rsidRPr="00D37826">
        <w:rPr>
          <w:lang w:val="en-GB"/>
        </w:rPr>
        <w:t>at the centre of the cubes</w:t>
      </w:r>
      <w:r w:rsidR="007B5DEE">
        <w:rPr>
          <w:lang w:val="en-GB"/>
        </w:rPr>
        <w:t xml:space="preserve"> (see Fig. 1)</w:t>
      </w:r>
      <w:r w:rsidR="00D37826">
        <w:rPr>
          <w:lang w:val="en-GB"/>
        </w:rPr>
        <w:t xml:space="preserve">, which were cured for 7 days and then </w:t>
      </w:r>
      <w:r w:rsidR="00D37826" w:rsidRPr="00D37826">
        <w:rPr>
          <w:lang w:val="en-GB"/>
        </w:rPr>
        <w:t>immersed into the NaCl solution and subjected to accelerated corrosion testing for 21 days</w:t>
      </w:r>
      <w:r w:rsidR="00D37826">
        <w:rPr>
          <w:lang w:val="en-GB"/>
        </w:rPr>
        <w:t>.</w:t>
      </w:r>
      <w:r w:rsidR="00D37826" w:rsidRPr="00D37826">
        <w:rPr>
          <w:szCs w:val="22"/>
          <w:lang w:val="en-GB" w:eastAsia="en-US"/>
        </w:rPr>
        <w:t xml:space="preserve"> </w:t>
      </w:r>
      <w:r w:rsidR="00D37826">
        <w:rPr>
          <w:szCs w:val="22"/>
          <w:lang w:val="en-GB" w:eastAsia="en-US"/>
        </w:rPr>
        <w:t>At the end of the testing</w:t>
      </w:r>
      <w:r w:rsidR="001A6521">
        <w:rPr>
          <w:szCs w:val="22"/>
          <w:lang w:val="en-GB" w:eastAsia="en-US"/>
        </w:rPr>
        <w:t>,</w:t>
      </w:r>
      <w:r w:rsidR="00D37826">
        <w:rPr>
          <w:szCs w:val="22"/>
          <w:lang w:val="en-GB" w:eastAsia="en-US"/>
        </w:rPr>
        <w:t xml:space="preserve"> </w:t>
      </w:r>
      <w:r w:rsidR="00D37826" w:rsidRPr="00D37826">
        <w:rPr>
          <w:lang w:val="en-GB"/>
        </w:rPr>
        <w:t xml:space="preserve">embedded rebar corrosion </w:t>
      </w:r>
      <w:r w:rsidR="00D37826">
        <w:rPr>
          <w:lang w:val="en-GB"/>
        </w:rPr>
        <w:t>was</w:t>
      </w:r>
      <w:r w:rsidR="00D37826" w:rsidRPr="00D37826">
        <w:rPr>
          <w:lang w:val="en-GB"/>
        </w:rPr>
        <w:t xml:space="preserve"> assess</w:t>
      </w:r>
      <w:r w:rsidR="00D37826">
        <w:rPr>
          <w:lang w:val="en-GB"/>
        </w:rPr>
        <w:t>ed.</w:t>
      </w:r>
    </w:p>
    <w:p w14:paraId="3FF2DD47" w14:textId="669DCA83" w:rsidR="00621112" w:rsidRDefault="00621112" w:rsidP="00E535E7">
      <w:pPr>
        <w:pStyle w:val="ListParagraph"/>
        <w:numPr>
          <w:ilvl w:val="0"/>
          <w:numId w:val="2"/>
        </w:numPr>
        <w:spacing w:before="240" w:after="240" w:line="240" w:lineRule="atLeast"/>
        <w:ind w:left="425" w:hanging="425"/>
        <w:contextualSpacing w:val="0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Results</w:t>
      </w:r>
    </w:p>
    <w:p w14:paraId="12217A65" w14:textId="77777777" w:rsidR="006D4213" w:rsidRDefault="00F707A9" w:rsidP="007B3A82">
      <w:pPr>
        <w:pStyle w:val="Maintitle"/>
        <w:numPr>
          <w:ilvl w:val="0"/>
          <w:numId w:val="0"/>
        </w:numPr>
        <w:spacing w:after="0"/>
        <w:rPr>
          <w:b w:val="0"/>
          <w:bCs/>
        </w:rPr>
      </w:pPr>
      <w:bookmarkStart w:id="1" w:name="_Hlk131961692"/>
      <w:r w:rsidRPr="00F707A9">
        <w:rPr>
          <w:b w:val="0"/>
          <w:bCs/>
        </w:rPr>
        <w:t xml:space="preserve">Table </w:t>
      </w:r>
      <w:r w:rsidR="0076074D">
        <w:rPr>
          <w:b w:val="0"/>
          <w:bCs/>
        </w:rPr>
        <w:t>2</w:t>
      </w:r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summarises</w:t>
      </w:r>
      <w:proofErr w:type="spellEnd"/>
      <w:r>
        <w:rPr>
          <w:b w:val="0"/>
          <w:bCs/>
        </w:rPr>
        <w:t xml:space="preserve"> indicative results from different mixes (solution vs powder and different liquid/solid ratios). Th</w:t>
      </w:r>
      <w:r w:rsidR="00E7418B">
        <w:rPr>
          <w:b w:val="0"/>
          <w:bCs/>
        </w:rPr>
        <w:t>e</w:t>
      </w:r>
      <w:r>
        <w:rPr>
          <w:b w:val="0"/>
          <w:bCs/>
        </w:rPr>
        <w:t>se refer to compressive and tensile strengths as well as indicative water absorption results</w:t>
      </w:r>
      <w:r w:rsidR="001A6521">
        <w:rPr>
          <w:b w:val="0"/>
          <w:bCs/>
        </w:rPr>
        <w:t>,</w:t>
      </w:r>
      <w:r>
        <w:rPr>
          <w:b w:val="0"/>
          <w:bCs/>
        </w:rPr>
        <w:t xml:space="preserve"> which usually </w:t>
      </w:r>
      <w:r w:rsidR="007B5DEE">
        <w:rPr>
          <w:b w:val="0"/>
          <w:bCs/>
        </w:rPr>
        <w:t xml:space="preserve">give </w:t>
      </w:r>
      <w:r>
        <w:rPr>
          <w:b w:val="0"/>
          <w:bCs/>
        </w:rPr>
        <w:t xml:space="preserve">an indication of concrete porosity and hence an indication of </w:t>
      </w:r>
      <w:r w:rsidR="007B5DEE">
        <w:rPr>
          <w:b w:val="0"/>
          <w:bCs/>
        </w:rPr>
        <w:t xml:space="preserve">the </w:t>
      </w:r>
      <w:r>
        <w:rPr>
          <w:b w:val="0"/>
          <w:bCs/>
        </w:rPr>
        <w:t>durability of conventional PC concrete.</w:t>
      </w:r>
      <w:r w:rsidR="00DE1AF9">
        <w:rPr>
          <w:b w:val="0"/>
          <w:bCs/>
        </w:rPr>
        <w:t xml:space="preserve"> Indicatively, concrete with CEM-II (</w:t>
      </w:r>
      <w:r w:rsidR="00DE1AF9" w:rsidRPr="00DE1AF9">
        <w:rPr>
          <w:b w:val="0"/>
          <w:bCs/>
        </w:rPr>
        <w:t>CEM-II/A-L 32,5R</w:t>
      </w:r>
      <w:r w:rsidR="00DE1AF9">
        <w:rPr>
          <w:b w:val="0"/>
          <w:bCs/>
        </w:rPr>
        <w:t>)</w:t>
      </w:r>
      <w:r>
        <w:rPr>
          <w:b w:val="0"/>
          <w:bCs/>
        </w:rPr>
        <w:t xml:space="preserve"> </w:t>
      </w:r>
      <w:r w:rsidR="00DE1AF9">
        <w:rPr>
          <w:b w:val="0"/>
          <w:bCs/>
        </w:rPr>
        <w:t xml:space="preserve">results </w:t>
      </w:r>
      <w:r w:rsidR="00E3669D">
        <w:rPr>
          <w:b w:val="0"/>
          <w:bCs/>
        </w:rPr>
        <w:t xml:space="preserve">of a water/cement ratio (w/c) of 0.55 </w:t>
      </w:r>
      <w:r w:rsidR="009A43D5">
        <w:rPr>
          <w:b w:val="0"/>
          <w:bCs/>
        </w:rPr>
        <w:t xml:space="preserve">from tests at LSBU </w:t>
      </w:r>
      <w:r w:rsidR="00BB6D88">
        <w:rPr>
          <w:b w:val="0"/>
          <w:bCs/>
        </w:rPr>
        <w:t xml:space="preserve">and </w:t>
      </w:r>
      <w:r w:rsidR="00BB6D88">
        <w:rPr>
          <w:b w:val="0"/>
          <w:bCs/>
        </w:rPr>
        <w:t xml:space="preserve">the literature </w:t>
      </w:r>
      <w:r w:rsidR="00DE1AF9">
        <w:rPr>
          <w:b w:val="0"/>
          <w:bCs/>
        </w:rPr>
        <w:t xml:space="preserve">are also shown in Table 2. </w:t>
      </w:r>
      <w:proofErr w:type="gramStart"/>
      <w:r>
        <w:rPr>
          <w:b w:val="0"/>
          <w:bCs/>
        </w:rPr>
        <w:t>It can be seen that 28-day</w:t>
      </w:r>
      <w:proofErr w:type="gramEnd"/>
      <w:r>
        <w:rPr>
          <w:b w:val="0"/>
          <w:bCs/>
        </w:rPr>
        <w:t xml:space="preserve"> </w:t>
      </w:r>
      <w:r w:rsidRPr="00F707A9">
        <w:rPr>
          <w:b w:val="0"/>
          <w:bCs/>
        </w:rPr>
        <w:t xml:space="preserve">strengths </w:t>
      </w:r>
      <w:r>
        <w:rPr>
          <w:b w:val="0"/>
          <w:bCs/>
        </w:rPr>
        <w:t xml:space="preserve">(the design strength for concrete) </w:t>
      </w:r>
      <w:r w:rsidR="00DE1AF9">
        <w:rPr>
          <w:b w:val="0"/>
          <w:bCs/>
        </w:rPr>
        <w:t xml:space="preserve">may not reach CEM-II results but </w:t>
      </w:r>
      <w:r w:rsidRPr="00F707A9">
        <w:rPr>
          <w:b w:val="0"/>
          <w:bCs/>
        </w:rPr>
        <w:t xml:space="preserve">would be suitable for </w:t>
      </w:r>
      <w:r w:rsidR="00ED76A0">
        <w:rPr>
          <w:b w:val="0"/>
          <w:bCs/>
        </w:rPr>
        <w:t xml:space="preserve">C16/20 and in most cases </w:t>
      </w:r>
      <w:r w:rsidRPr="00F707A9">
        <w:rPr>
          <w:b w:val="0"/>
          <w:bCs/>
        </w:rPr>
        <w:t xml:space="preserve">C20/25 concrete (i.e., suitable for domestic uses); these strengths were gained early in the curing process (already at 7 days) in most cases. However, by lowering the liquid/solid ratio of the mixes, higher 28-day strengths of </w:t>
      </w:r>
      <w:r w:rsidR="001A6521">
        <w:rPr>
          <w:b w:val="0"/>
          <w:bCs/>
        </w:rPr>
        <w:t>higher-grade concrete, i.e.,</w:t>
      </w:r>
      <w:r w:rsidRPr="00F707A9">
        <w:rPr>
          <w:b w:val="0"/>
          <w:bCs/>
        </w:rPr>
        <w:t xml:space="preserve"> of </w:t>
      </w:r>
      <w:r w:rsidR="00661147">
        <w:rPr>
          <w:b w:val="0"/>
          <w:bCs/>
        </w:rPr>
        <w:t xml:space="preserve">up to </w:t>
      </w:r>
      <w:r w:rsidRPr="00F707A9">
        <w:rPr>
          <w:b w:val="0"/>
          <w:bCs/>
        </w:rPr>
        <w:t>C3</w:t>
      </w:r>
      <w:r w:rsidR="00661147">
        <w:rPr>
          <w:b w:val="0"/>
          <w:bCs/>
        </w:rPr>
        <w:t>0/37</w:t>
      </w:r>
      <w:r w:rsidRPr="00F707A9">
        <w:rPr>
          <w:b w:val="0"/>
          <w:bCs/>
        </w:rPr>
        <w:t xml:space="preserve"> were achieved</w:t>
      </w:r>
      <w:r w:rsidR="007B5DEE">
        <w:rPr>
          <w:b w:val="0"/>
          <w:bCs/>
        </w:rPr>
        <w:t xml:space="preserve"> (depending on the curing method)</w:t>
      </w:r>
      <w:r w:rsidRPr="00F707A9">
        <w:rPr>
          <w:b w:val="0"/>
          <w:bCs/>
        </w:rPr>
        <w:t xml:space="preserve">. </w:t>
      </w:r>
      <w:r w:rsidR="00661147">
        <w:rPr>
          <w:b w:val="0"/>
          <w:bCs/>
        </w:rPr>
        <w:t>However</w:t>
      </w:r>
      <w:r w:rsidR="001A6521">
        <w:rPr>
          <w:b w:val="0"/>
          <w:bCs/>
        </w:rPr>
        <w:t>,</w:t>
      </w:r>
      <w:r w:rsidR="00661147">
        <w:rPr>
          <w:b w:val="0"/>
          <w:bCs/>
        </w:rPr>
        <w:t xml:space="preserve"> </w:t>
      </w:r>
      <w:r w:rsidR="007F6DB8">
        <w:rPr>
          <w:b w:val="0"/>
          <w:bCs/>
        </w:rPr>
        <w:t xml:space="preserve">as </w:t>
      </w:r>
      <w:r w:rsidR="00661147">
        <w:rPr>
          <w:b w:val="0"/>
          <w:bCs/>
        </w:rPr>
        <w:t xml:space="preserve">in most cases </w:t>
      </w:r>
      <w:r w:rsidR="007F6DB8">
        <w:rPr>
          <w:b w:val="0"/>
          <w:bCs/>
        </w:rPr>
        <w:t xml:space="preserve">C20/25 was achieved </w:t>
      </w:r>
      <w:r w:rsidR="00661147">
        <w:rPr>
          <w:b w:val="0"/>
          <w:bCs/>
        </w:rPr>
        <w:t xml:space="preserve">one could safely consider that concrete </w:t>
      </w:r>
      <w:r w:rsidR="007B5DEE">
        <w:rPr>
          <w:b w:val="0"/>
          <w:bCs/>
        </w:rPr>
        <w:t>of</w:t>
      </w:r>
      <w:r w:rsidR="00661147">
        <w:rPr>
          <w:b w:val="0"/>
          <w:bCs/>
        </w:rPr>
        <w:t xml:space="preserve"> C20/25 will be </w:t>
      </w:r>
      <w:r w:rsidR="007F6DB8">
        <w:rPr>
          <w:b w:val="0"/>
          <w:bCs/>
        </w:rPr>
        <w:t>produced</w:t>
      </w:r>
      <w:r w:rsidR="00661147">
        <w:rPr>
          <w:b w:val="0"/>
          <w:bCs/>
        </w:rPr>
        <w:t>.</w:t>
      </w:r>
      <w:r w:rsidR="005D5D64">
        <w:rPr>
          <w:b w:val="0"/>
          <w:bCs/>
        </w:rPr>
        <w:t xml:space="preserve"> </w:t>
      </w:r>
      <w:bookmarkEnd w:id="1"/>
    </w:p>
    <w:p w14:paraId="1B08265E" w14:textId="77777777" w:rsidR="006D4213" w:rsidRDefault="006D4213" w:rsidP="006D4213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</w:p>
    <w:p w14:paraId="07BC4047" w14:textId="77777777" w:rsidR="006D4213" w:rsidRDefault="006D4213" w:rsidP="006D4213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  <w:r w:rsidRPr="006D4213">
        <w:rPr>
          <w:bCs/>
          <w:sz w:val="20"/>
          <w:szCs w:val="20"/>
          <w:lang w:val="en-US"/>
        </w:rPr>
        <w:t>Concerning the effect of curing method on the strength, for early strengths, generally the two best curing methods for the K</w:t>
      </w:r>
      <w:r w:rsidRPr="006D4213">
        <w:rPr>
          <w:bCs/>
          <w:sz w:val="20"/>
          <w:szCs w:val="20"/>
          <w:vertAlign w:val="subscript"/>
          <w:lang w:val="en-US"/>
        </w:rPr>
        <w:t>2</w:t>
      </w:r>
      <w:r w:rsidRPr="006D4213">
        <w:rPr>
          <w:bCs/>
          <w:sz w:val="20"/>
          <w:szCs w:val="20"/>
          <w:lang w:val="en-US"/>
        </w:rPr>
        <w:t>CO</w:t>
      </w:r>
      <w:r w:rsidRPr="006D4213">
        <w:rPr>
          <w:bCs/>
          <w:sz w:val="20"/>
          <w:szCs w:val="20"/>
          <w:vertAlign w:val="subscript"/>
          <w:lang w:val="en-US"/>
        </w:rPr>
        <w:t>3</w:t>
      </w:r>
      <w:r w:rsidRPr="006D4213">
        <w:rPr>
          <w:bCs/>
          <w:sz w:val="20"/>
          <w:szCs w:val="20"/>
          <w:lang w:val="en-US"/>
        </w:rPr>
        <w:t xml:space="preserve"> solution were 3 (temperature) and 4 (high humidity); this is very  consistent with observations that we have made on different AAC mixes without K</w:t>
      </w:r>
      <w:r w:rsidRPr="006D4213">
        <w:rPr>
          <w:bCs/>
          <w:sz w:val="20"/>
          <w:szCs w:val="20"/>
          <w:vertAlign w:val="subscript"/>
          <w:lang w:val="en-US"/>
        </w:rPr>
        <w:t>2</w:t>
      </w:r>
      <w:r w:rsidRPr="006D4213">
        <w:rPr>
          <w:bCs/>
          <w:sz w:val="20"/>
          <w:szCs w:val="20"/>
          <w:lang w:val="en-US"/>
        </w:rPr>
        <w:t>CO</w:t>
      </w:r>
      <w:r w:rsidRPr="006D4213">
        <w:rPr>
          <w:bCs/>
          <w:sz w:val="20"/>
          <w:szCs w:val="20"/>
          <w:vertAlign w:val="subscript"/>
          <w:lang w:val="en-US"/>
        </w:rPr>
        <w:t>3</w:t>
      </w:r>
      <w:r w:rsidRPr="006D4213">
        <w:rPr>
          <w:bCs/>
          <w:sz w:val="20"/>
          <w:szCs w:val="20"/>
          <w:lang w:val="en-US"/>
        </w:rPr>
        <w:t xml:space="preserve"> </w:t>
      </w:r>
      <w:r w:rsidRPr="006D4213">
        <w:rPr>
          <w:bCs/>
          <w:sz w:val="20"/>
          <w:szCs w:val="20"/>
          <w:lang w:val="en-US"/>
        </w:rPr>
        <w:t>activator (see e.g., Mavroulidou and Shah, 2021 or Mavroulidou</w:t>
      </w:r>
      <w:r w:rsidRPr="00ED76A0">
        <w:rPr>
          <w:bCs/>
          <w:sz w:val="20"/>
          <w:szCs w:val="20"/>
          <w:lang w:val="en-US"/>
        </w:rPr>
        <w:t xml:space="preserve"> and </w:t>
      </w:r>
      <w:proofErr w:type="spellStart"/>
      <w:r w:rsidRPr="00ED76A0">
        <w:rPr>
          <w:bCs/>
          <w:sz w:val="20"/>
          <w:szCs w:val="20"/>
          <w:lang w:val="en-US"/>
        </w:rPr>
        <w:t>Martynková</w:t>
      </w:r>
      <w:proofErr w:type="spellEnd"/>
      <w:r w:rsidRPr="00ED76A0">
        <w:rPr>
          <w:bCs/>
          <w:sz w:val="20"/>
          <w:szCs w:val="20"/>
          <w:lang w:val="en-US"/>
        </w:rPr>
        <w:t>, 2018 for NaOH, KOH and Na</w:t>
      </w:r>
      <w:r w:rsidRPr="00ED76A0">
        <w:rPr>
          <w:bCs/>
          <w:sz w:val="20"/>
          <w:szCs w:val="20"/>
          <w:vertAlign w:val="subscript"/>
          <w:lang w:val="en-US"/>
        </w:rPr>
        <w:t>2</w:t>
      </w:r>
      <w:r w:rsidRPr="00ED76A0">
        <w:rPr>
          <w:bCs/>
          <w:sz w:val="20"/>
          <w:szCs w:val="20"/>
          <w:lang w:val="en-US"/>
        </w:rPr>
        <w:t>SiO</w:t>
      </w:r>
      <w:r w:rsidRPr="00ED76A0">
        <w:rPr>
          <w:bCs/>
          <w:sz w:val="20"/>
          <w:szCs w:val="20"/>
          <w:vertAlign w:val="subscript"/>
          <w:lang w:val="en-US"/>
        </w:rPr>
        <w:t>3</w:t>
      </w:r>
      <w:r w:rsidRPr="00ED76A0">
        <w:rPr>
          <w:bCs/>
          <w:sz w:val="20"/>
          <w:szCs w:val="20"/>
          <w:lang w:val="en-US"/>
        </w:rPr>
        <w:t xml:space="preserve"> activators or Mavroulidou et al, 2023 for AAC mixes with Na</w:t>
      </w:r>
      <w:r w:rsidRPr="00ED76A0">
        <w:rPr>
          <w:bCs/>
          <w:sz w:val="20"/>
          <w:szCs w:val="20"/>
          <w:vertAlign w:val="subscript"/>
          <w:lang w:val="en-US"/>
        </w:rPr>
        <w:t>2</w:t>
      </w:r>
      <w:r w:rsidRPr="00ED76A0">
        <w:rPr>
          <w:bCs/>
          <w:sz w:val="20"/>
          <w:szCs w:val="20"/>
          <w:lang w:val="en-US"/>
        </w:rPr>
        <w:t>CO</w:t>
      </w:r>
      <w:r w:rsidRPr="00ED76A0">
        <w:rPr>
          <w:bCs/>
          <w:sz w:val="20"/>
          <w:szCs w:val="20"/>
          <w:vertAlign w:val="subscript"/>
          <w:lang w:val="en-US"/>
        </w:rPr>
        <w:t>3</w:t>
      </w:r>
      <w:r w:rsidRPr="00ED76A0">
        <w:rPr>
          <w:bCs/>
          <w:sz w:val="20"/>
          <w:szCs w:val="20"/>
          <w:lang w:val="en-US"/>
        </w:rPr>
        <w:t xml:space="preserve"> activator). </w:t>
      </w:r>
    </w:p>
    <w:p w14:paraId="260DC17F" w14:textId="77777777" w:rsidR="006D4213" w:rsidRDefault="006D4213" w:rsidP="006D4213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</w:p>
    <w:p w14:paraId="5BFA9C96" w14:textId="77777777" w:rsidR="006D4213" w:rsidRDefault="006D4213" w:rsidP="006D4213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</w:rPr>
      </w:pPr>
      <w:r w:rsidRPr="00E3669D">
        <w:rPr>
          <w:bCs/>
          <w:sz w:val="20"/>
          <w:szCs w:val="20"/>
        </w:rPr>
        <w:t xml:space="preserve">For the powder mix of lower liquid/solid ratio, all methods except method 1 had a similar performance (considering concrete batch variability, +/-1MPa cannot be considered a significant difference). </w:t>
      </w:r>
    </w:p>
    <w:p w14:paraId="38561A8F" w14:textId="77777777" w:rsidR="006D4213" w:rsidRDefault="006D4213" w:rsidP="006D4213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</w:rPr>
      </w:pPr>
    </w:p>
    <w:p w14:paraId="5A45A149" w14:textId="77777777" w:rsidR="006D4213" w:rsidRDefault="006D4213" w:rsidP="006D4213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  <w:r w:rsidRPr="00DE1AF9">
        <w:rPr>
          <w:bCs/>
          <w:sz w:val="20"/>
          <w:szCs w:val="20"/>
        </w:rPr>
        <w:t xml:space="preserve">Regarding method 1, it was generally difficult to obtain 7-day compressive strength results, as the concrete had not hardened sufficiently within this period of curing; consequently, during demoulding, handling and </w:t>
      </w:r>
      <w:r w:rsidRPr="007B5DEE">
        <w:rPr>
          <w:bCs/>
          <w:sz w:val="20"/>
          <w:szCs w:val="20"/>
          <w:lang w:val="en-US"/>
        </w:rPr>
        <w:t>placement in</w:t>
      </w:r>
      <w:r w:rsidRPr="007B5DEE">
        <w:rPr>
          <w:b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  <w:lang w:val="en-US"/>
        </w:rPr>
        <w:t>water, specimens</w:t>
      </w:r>
      <w:r w:rsidRPr="00D37826">
        <w:rPr>
          <w:bCs/>
          <w:sz w:val="20"/>
          <w:szCs w:val="20"/>
          <w:lang w:val="en-US"/>
        </w:rPr>
        <w:t xml:space="preserve"> could get damaged. For this reason, the curing method had to be subsequently adjusted for the mixes with lower liquid/solid ratio which were problematic</w:t>
      </w:r>
      <w:r>
        <w:rPr>
          <w:bCs/>
          <w:sz w:val="20"/>
          <w:szCs w:val="20"/>
          <w:lang w:val="en-US"/>
        </w:rPr>
        <w:t xml:space="preserve"> in this respect</w:t>
      </w:r>
      <w:r w:rsidRPr="00D37826">
        <w:rPr>
          <w:bCs/>
          <w:sz w:val="20"/>
          <w:szCs w:val="20"/>
          <w:lang w:val="en-US"/>
        </w:rPr>
        <w:t xml:space="preserve">, and </w:t>
      </w:r>
      <w:r>
        <w:rPr>
          <w:bCs/>
          <w:sz w:val="20"/>
          <w:szCs w:val="20"/>
          <w:lang w:val="en-US"/>
        </w:rPr>
        <w:t xml:space="preserve">all </w:t>
      </w:r>
      <w:r w:rsidRPr="00D37826">
        <w:rPr>
          <w:bCs/>
          <w:sz w:val="20"/>
          <w:szCs w:val="20"/>
          <w:lang w:val="en-US"/>
        </w:rPr>
        <w:t xml:space="preserve">new </w:t>
      </w:r>
      <w:r>
        <w:rPr>
          <w:bCs/>
          <w:sz w:val="20"/>
          <w:szCs w:val="20"/>
          <w:lang w:val="en-US"/>
        </w:rPr>
        <w:t xml:space="preserve">method 1 </w:t>
      </w:r>
      <w:r w:rsidRPr="00D37826">
        <w:rPr>
          <w:bCs/>
          <w:sz w:val="20"/>
          <w:szCs w:val="20"/>
          <w:lang w:val="en-US"/>
        </w:rPr>
        <w:t xml:space="preserve">samples were </w:t>
      </w:r>
      <w:proofErr w:type="spellStart"/>
      <w:r w:rsidRPr="00D37826">
        <w:rPr>
          <w:bCs/>
          <w:sz w:val="20"/>
          <w:szCs w:val="20"/>
          <w:lang w:val="en-US"/>
        </w:rPr>
        <w:t>demoulded</w:t>
      </w:r>
      <w:proofErr w:type="spellEnd"/>
      <w:r w:rsidRPr="00D37826">
        <w:rPr>
          <w:bCs/>
          <w:sz w:val="20"/>
          <w:szCs w:val="20"/>
          <w:lang w:val="en-US"/>
        </w:rPr>
        <w:t xml:space="preserve"> and placed in water after 7 days.</w:t>
      </w:r>
      <w:r>
        <w:rPr>
          <w:bCs/>
          <w:sz w:val="20"/>
          <w:szCs w:val="20"/>
          <w:lang w:val="en-US"/>
        </w:rPr>
        <w:t xml:space="preserve"> This is why no 7-day strength value is reported for method 4 for mix 2 (see Table 1).</w:t>
      </w:r>
    </w:p>
    <w:p w14:paraId="3C495658" w14:textId="77777777" w:rsidR="006D4213" w:rsidRDefault="006D4213" w:rsidP="006D4213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</w:p>
    <w:p w14:paraId="64824C3A" w14:textId="77777777" w:rsidR="006D4213" w:rsidRDefault="006D4213" w:rsidP="006D4213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  <w:r w:rsidRPr="00E7418B">
        <w:rPr>
          <w:bCs/>
          <w:sz w:val="20"/>
          <w:szCs w:val="20"/>
          <w:lang w:val="en-US"/>
        </w:rPr>
        <w:t xml:space="preserve">For the 28-day strength, i.e., the nominal strength used for concrete design, method 3 led to </w:t>
      </w:r>
      <w:r>
        <w:rPr>
          <w:bCs/>
          <w:sz w:val="20"/>
          <w:szCs w:val="20"/>
          <w:lang w:val="en-US"/>
        </w:rPr>
        <w:t xml:space="preserve">a </w:t>
      </w:r>
      <w:r w:rsidRPr="00E7418B">
        <w:rPr>
          <w:bCs/>
          <w:sz w:val="20"/>
          <w:szCs w:val="20"/>
          <w:lang w:val="en-US"/>
        </w:rPr>
        <w:t xml:space="preserve">limited further strength development if any at all (in fact for mix 1 an apparent slight reversal in strength is seen </w:t>
      </w:r>
      <w:r>
        <w:rPr>
          <w:bCs/>
          <w:sz w:val="20"/>
          <w:szCs w:val="20"/>
          <w:lang w:val="en-US"/>
        </w:rPr>
        <w:t xml:space="preserve">at 28 days of curing for method 3 </w:t>
      </w:r>
      <w:r w:rsidRPr="00E7418B">
        <w:rPr>
          <w:bCs/>
          <w:sz w:val="20"/>
          <w:szCs w:val="20"/>
          <w:lang w:val="en-US"/>
        </w:rPr>
        <w:t>but as noted earlier</w:t>
      </w:r>
      <w:r>
        <w:rPr>
          <w:bCs/>
          <w:sz w:val="20"/>
          <w:szCs w:val="20"/>
          <w:lang w:val="en-US"/>
        </w:rPr>
        <w:t>,</w:t>
      </w:r>
      <w:r w:rsidRPr="00E7418B">
        <w:rPr>
          <w:bCs/>
          <w:sz w:val="20"/>
          <w:szCs w:val="20"/>
          <w:lang w:val="en-US"/>
        </w:rPr>
        <w:t xml:space="preserve"> +/-1 MPa is not a significant difference for concrete). This is again consistent with previous observations we made for the different alkali-activator systems listed above (i.e., in Mavroulidou and Shah, 2021, Mavroulidou and </w:t>
      </w:r>
      <w:proofErr w:type="spellStart"/>
      <w:r w:rsidRPr="00E7418B">
        <w:rPr>
          <w:bCs/>
          <w:sz w:val="20"/>
          <w:szCs w:val="20"/>
          <w:lang w:val="en-US"/>
        </w:rPr>
        <w:t>Martynková</w:t>
      </w:r>
      <w:proofErr w:type="spellEnd"/>
      <w:r w:rsidRPr="00E7418B">
        <w:rPr>
          <w:bCs/>
          <w:sz w:val="20"/>
          <w:szCs w:val="20"/>
          <w:lang w:val="en-US"/>
        </w:rPr>
        <w:t>, 2018 and Mavroulidou et al, 2023). For 28-day strength method 2 was generally the best overall</w:t>
      </w:r>
      <w:r>
        <w:rPr>
          <w:bCs/>
          <w:sz w:val="20"/>
          <w:szCs w:val="20"/>
          <w:lang w:val="en-US"/>
        </w:rPr>
        <w:t xml:space="preserve"> in terms of strength evolution/gain followed by method 4. </w:t>
      </w:r>
      <w:r w:rsidRPr="00E7418B">
        <w:rPr>
          <w:bCs/>
          <w:sz w:val="20"/>
          <w:szCs w:val="20"/>
          <w:lang w:val="en-US"/>
        </w:rPr>
        <w:t>Note that for mix 1 there was an apparent reversal in the 28-day strength of the triplicate cubes</w:t>
      </w:r>
      <w:r>
        <w:rPr>
          <w:bCs/>
          <w:sz w:val="20"/>
          <w:szCs w:val="20"/>
          <w:lang w:val="en-US"/>
        </w:rPr>
        <w:t xml:space="preserve"> in method 4</w:t>
      </w:r>
      <w:r w:rsidRPr="00E7418B">
        <w:rPr>
          <w:bCs/>
          <w:sz w:val="20"/>
          <w:szCs w:val="20"/>
          <w:lang w:val="en-US"/>
        </w:rPr>
        <w:t xml:space="preserve">. This </w:t>
      </w:r>
      <w:r w:rsidRPr="00633A99">
        <w:rPr>
          <w:bCs/>
          <w:sz w:val="20"/>
          <w:szCs w:val="20"/>
          <w:lang w:val="en-US"/>
        </w:rPr>
        <w:t>is why the value is marked as N/</w:t>
      </w:r>
      <w:proofErr w:type="gramStart"/>
      <w:r w:rsidRPr="00633A99">
        <w:rPr>
          <w:bCs/>
          <w:sz w:val="20"/>
          <w:szCs w:val="20"/>
          <w:lang w:val="en-US"/>
        </w:rPr>
        <w:t>A</w:t>
      </w:r>
      <w:r>
        <w:rPr>
          <w:bCs/>
          <w:sz w:val="20"/>
          <w:szCs w:val="20"/>
          <w:lang w:val="en-US"/>
        </w:rPr>
        <w:t>,</w:t>
      </w:r>
      <w:r w:rsidRPr="00633A99">
        <w:rPr>
          <w:bCs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  <w:lang w:val="en-US"/>
        </w:rPr>
        <w:t>because</w:t>
      </w:r>
      <w:proofErr w:type="gramEnd"/>
      <w:r w:rsidRPr="00633A99">
        <w:rPr>
          <w:bCs/>
          <w:sz w:val="20"/>
          <w:szCs w:val="20"/>
          <w:lang w:val="en-US"/>
        </w:rPr>
        <w:t xml:space="preserve"> we intend to repeat the tests to have some </w:t>
      </w:r>
      <w:r>
        <w:rPr>
          <w:bCs/>
          <w:sz w:val="20"/>
          <w:szCs w:val="20"/>
          <w:lang w:val="en-US"/>
        </w:rPr>
        <w:t>further</w:t>
      </w:r>
      <w:r w:rsidRPr="00633A99">
        <w:rPr>
          <w:bCs/>
          <w:sz w:val="20"/>
          <w:szCs w:val="20"/>
          <w:lang w:val="en-US"/>
        </w:rPr>
        <w:t xml:space="preserve"> evidence</w:t>
      </w:r>
      <w:r>
        <w:rPr>
          <w:bCs/>
          <w:sz w:val="20"/>
          <w:szCs w:val="20"/>
          <w:lang w:val="en-US"/>
        </w:rPr>
        <w:t xml:space="preserve"> and confirmation</w:t>
      </w:r>
      <w:r w:rsidRPr="00633A99">
        <w:rPr>
          <w:bCs/>
          <w:sz w:val="20"/>
          <w:szCs w:val="20"/>
          <w:lang w:val="en-US"/>
        </w:rPr>
        <w:t xml:space="preserve">, as this reversal would be difficult to explain, especially for curing method 4. </w:t>
      </w:r>
    </w:p>
    <w:p w14:paraId="4261574B" w14:textId="1BB8C91D" w:rsidR="006D4213" w:rsidRPr="00ED76A0" w:rsidRDefault="006D4213" w:rsidP="006D4213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  <w:sectPr w:rsidR="006D4213" w:rsidRPr="00ED76A0" w:rsidSect="001A505F">
          <w:headerReference w:type="first" r:id="rId9"/>
          <w:type w:val="continuous"/>
          <w:pgSz w:w="11906" w:h="16838" w:code="9"/>
          <w:pgMar w:top="1021" w:right="1021" w:bottom="1021" w:left="1134" w:header="720" w:footer="720" w:gutter="0"/>
          <w:pgNumType w:start="1"/>
          <w:cols w:num="2" w:space="432"/>
          <w:titlePg/>
          <w:docGrid w:linePitch="360"/>
        </w:sectPr>
      </w:pPr>
    </w:p>
    <w:p w14:paraId="5500BBF8" w14:textId="2B5EA63F" w:rsidR="002D37CA" w:rsidRPr="005D5D64" w:rsidRDefault="002D37CA" w:rsidP="007B3A82">
      <w:pPr>
        <w:pStyle w:val="Maintitle"/>
        <w:numPr>
          <w:ilvl w:val="0"/>
          <w:numId w:val="0"/>
        </w:numPr>
        <w:spacing w:after="0"/>
        <w:rPr>
          <w:b w:val="0"/>
          <w:bCs/>
        </w:rPr>
        <w:sectPr w:rsidR="002D37CA" w:rsidRPr="005D5D64" w:rsidSect="001A505F">
          <w:headerReference w:type="first" r:id="rId10"/>
          <w:type w:val="continuous"/>
          <w:pgSz w:w="11906" w:h="16838" w:code="9"/>
          <w:pgMar w:top="1021" w:right="1021" w:bottom="1021" w:left="1134" w:header="720" w:footer="720" w:gutter="0"/>
          <w:pgNumType w:start="1"/>
          <w:cols w:num="2" w:space="432"/>
          <w:titlePg/>
          <w:docGrid w:linePitch="360"/>
        </w:sectPr>
      </w:pPr>
    </w:p>
    <w:p w14:paraId="64CA0253" w14:textId="22B4ACE8" w:rsidR="006D4213" w:rsidRDefault="006D4213">
      <w:pPr>
        <w:rPr>
          <w:i/>
          <w:sz w:val="16"/>
          <w:szCs w:val="16"/>
          <w:lang w:val="en-US"/>
        </w:rPr>
      </w:pPr>
      <w:r>
        <w:rPr>
          <w:sz w:val="16"/>
          <w:szCs w:val="16"/>
        </w:rPr>
        <w:br w:type="page"/>
      </w:r>
    </w:p>
    <w:p w14:paraId="085A0212" w14:textId="77777777" w:rsidR="00D97BD0" w:rsidRPr="00F82B3B" w:rsidRDefault="00D97BD0" w:rsidP="00F82B3B">
      <w:pPr>
        <w:pStyle w:val="Subtitleparagraph"/>
        <w:spacing w:after="0"/>
        <w:rPr>
          <w:sz w:val="16"/>
          <w:szCs w:val="16"/>
        </w:rPr>
      </w:pPr>
    </w:p>
    <w:p w14:paraId="7990B839" w14:textId="4DD7C514" w:rsidR="00335345" w:rsidRPr="006C3F3F" w:rsidRDefault="00295EA5" w:rsidP="007B3A82">
      <w:pPr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</w:t>
      </w:r>
      <w:r w:rsidR="00335345">
        <w:rPr>
          <w:b/>
          <w:sz w:val="20"/>
          <w:szCs w:val="20"/>
          <w:lang w:val="en-US"/>
        </w:rPr>
        <w:t>T</w:t>
      </w:r>
      <w:r w:rsidR="00335345" w:rsidRPr="006C3F3F">
        <w:rPr>
          <w:b/>
          <w:sz w:val="20"/>
          <w:szCs w:val="20"/>
          <w:lang w:val="en-US"/>
        </w:rPr>
        <w:t xml:space="preserve">able </w:t>
      </w:r>
      <w:r w:rsidR="00335345">
        <w:rPr>
          <w:b/>
          <w:sz w:val="20"/>
          <w:szCs w:val="20"/>
          <w:lang w:val="en-US"/>
        </w:rPr>
        <w:t>2</w:t>
      </w:r>
      <w:r w:rsidR="00335345" w:rsidRPr="006C3F3F">
        <w:rPr>
          <w:b/>
          <w:sz w:val="20"/>
          <w:szCs w:val="20"/>
          <w:lang w:val="en-US"/>
        </w:rPr>
        <w:t>.</w:t>
      </w:r>
      <w:r w:rsidR="00335345" w:rsidRPr="006C3F3F">
        <w:rPr>
          <w:sz w:val="20"/>
          <w:szCs w:val="20"/>
          <w:lang w:val="en-US"/>
        </w:rPr>
        <w:t xml:space="preserve"> </w:t>
      </w:r>
      <w:r w:rsidR="00335345">
        <w:rPr>
          <w:sz w:val="20"/>
          <w:szCs w:val="20"/>
          <w:lang w:val="en-US"/>
        </w:rPr>
        <w:t>Indicative results</w:t>
      </w:r>
    </w:p>
    <w:tbl>
      <w:tblPr>
        <w:tblStyle w:val="TableGrid"/>
        <w:tblpPr w:leftFromText="180" w:rightFromText="180" w:vertAnchor="text" w:horzAnchor="margin" w:tblpXSpec="center" w:tblpY="11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871"/>
        <w:gridCol w:w="972"/>
        <w:gridCol w:w="992"/>
        <w:gridCol w:w="1418"/>
        <w:gridCol w:w="1417"/>
      </w:tblGrid>
      <w:tr w:rsidR="007B3A82" w:rsidRPr="00335345" w14:paraId="4E7A51D8" w14:textId="77777777" w:rsidTr="007B3A82">
        <w:trPr>
          <w:trHeight w:val="300"/>
        </w:trPr>
        <w:tc>
          <w:tcPr>
            <w:tcW w:w="1129" w:type="dxa"/>
            <w:tcBorders>
              <w:top w:val="single" w:sz="4" w:space="0" w:color="auto"/>
            </w:tcBorders>
            <w:noWrap/>
          </w:tcPr>
          <w:p w14:paraId="30FA3789" w14:textId="77777777" w:rsidR="007B3A82" w:rsidRPr="00335345" w:rsidRDefault="007B3A82" w:rsidP="007B3A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315798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noWrap/>
            <w:hideMark/>
          </w:tcPr>
          <w:p w14:paraId="21FA0703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Average </w:t>
            </w:r>
            <w:r w:rsidRPr="00335345">
              <w:rPr>
                <w:b/>
                <w:bCs/>
                <w:sz w:val="20"/>
                <w:szCs w:val="20"/>
              </w:rPr>
              <w:t xml:space="preserve">Compressive Strength </w:t>
            </w:r>
          </w:p>
          <w:p w14:paraId="0FEBB8B0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(MPa)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18ED0F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Average </w:t>
            </w:r>
            <w:r w:rsidRPr="00335345">
              <w:rPr>
                <w:b/>
                <w:bCs/>
                <w:sz w:val="20"/>
                <w:szCs w:val="20"/>
              </w:rPr>
              <w:t>Tensile strength</w:t>
            </w:r>
          </w:p>
          <w:p w14:paraId="144B5056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(M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335345">
              <w:rPr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855BEB2" w14:textId="77777777" w:rsidR="007B3A82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Tensile/</w:t>
            </w:r>
          </w:p>
          <w:p w14:paraId="7C818921" w14:textId="77777777" w:rsidR="007B3A82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Compressive</w:t>
            </w:r>
          </w:p>
          <w:p w14:paraId="1076A85C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33257E28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 xml:space="preserve">Absorption  </w:t>
            </w:r>
          </w:p>
          <w:p w14:paraId="406588DE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by immersion (%)</w:t>
            </w:r>
          </w:p>
          <w:p w14:paraId="1240794E" w14:textId="77777777" w:rsidR="007B3A82" w:rsidRPr="00335345" w:rsidRDefault="007B3A82" w:rsidP="007B3A8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3A82" w:rsidRPr="00335345" w14:paraId="7A987FA9" w14:textId="77777777" w:rsidTr="007B3A82">
        <w:trPr>
          <w:trHeight w:val="300"/>
        </w:trPr>
        <w:tc>
          <w:tcPr>
            <w:tcW w:w="1129" w:type="dxa"/>
            <w:tcBorders>
              <w:bottom w:val="single" w:sz="4" w:space="0" w:color="auto"/>
            </w:tcBorders>
            <w:noWrap/>
            <w:hideMark/>
          </w:tcPr>
          <w:p w14:paraId="45A2A143" w14:textId="77777777" w:rsidR="007B3A82" w:rsidRPr="00335345" w:rsidRDefault="007B3A82" w:rsidP="007B3A82">
            <w:pPr>
              <w:jc w:val="center"/>
              <w:rPr>
                <w:b/>
                <w:sz w:val="20"/>
                <w:szCs w:val="20"/>
              </w:rPr>
            </w:pPr>
            <w:r w:rsidRPr="00335345">
              <w:rPr>
                <w:b/>
                <w:sz w:val="20"/>
                <w:szCs w:val="20"/>
              </w:rPr>
              <w:t>MIX</w:t>
            </w:r>
          </w:p>
          <w:p w14:paraId="0B11605C" w14:textId="77777777" w:rsidR="007B3A82" w:rsidRPr="00335345" w:rsidRDefault="007B3A82" w:rsidP="007B3A82">
            <w:pPr>
              <w:jc w:val="center"/>
              <w:rPr>
                <w:b/>
                <w:sz w:val="20"/>
                <w:szCs w:val="20"/>
              </w:rPr>
            </w:pPr>
            <w:r w:rsidRPr="00335345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AA54CE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Curing</w:t>
            </w:r>
          </w:p>
          <w:p w14:paraId="05844333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3E129F45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7</w:t>
            </w:r>
          </w:p>
          <w:p w14:paraId="6B74E631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hideMark/>
          </w:tcPr>
          <w:p w14:paraId="7EAFD49E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28</w:t>
            </w:r>
          </w:p>
          <w:p w14:paraId="3A7CA41D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5AB0C9F8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7/28 day strength ratio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411C57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28 days</w:t>
            </w:r>
          </w:p>
          <w:p w14:paraId="1BE90901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0B2535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28 days</w:t>
            </w:r>
          </w:p>
          <w:p w14:paraId="049F44CA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6D1EA763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  <w:r w:rsidRPr="00335345">
              <w:rPr>
                <w:b/>
                <w:bCs/>
                <w:sz w:val="20"/>
                <w:szCs w:val="20"/>
              </w:rPr>
              <w:t>28 days</w:t>
            </w:r>
          </w:p>
          <w:p w14:paraId="4C086F09" w14:textId="77777777" w:rsidR="007B3A82" w:rsidRPr="00335345" w:rsidRDefault="007B3A82" w:rsidP="007B3A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3A82" w:rsidRPr="00335345" w14:paraId="3621B81D" w14:textId="77777777" w:rsidTr="007B3A82">
        <w:trPr>
          <w:trHeight w:val="146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667CF7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Mix1</w:t>
            </w:r>
          </w:p>
          <w:p w14:paraId="41D4F243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(solution)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5EC8B6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46B5D3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BA32F9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17.5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354253B3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91BA51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A5896C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95BF77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2.7</w:t>
            </w:r>
          </w:p>
          <w:p w14:paraId="65DEF9CA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</w:p>
        </w:tc>
      </w:tr>
      <w:tr w:rsidR="007B3A82" w:rsidRPr="00335345" w14:paraId="5EFF0419" w14:textId="77777777" w:rsidTr="007B3A82">
        <w:trPr>
          <w:trHeight w:val="252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A1026F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E72442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66B9D7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14.5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36F439FC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</w:t>
            </w:r>
            <w:r w:rsidRPr="00335345">
              <w:rPr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526139F5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0.5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F95BCB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437B3F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DC0D82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10</w:t>
            </w:r>
          </w:p>
        </w:tc>
      </w:tr>
      <w:tr w:rsidR="007B3A82" w:rsidRPr="00335345" w14:paraId="504C0FBF" w14:textId="77777777" w:rsidTr="007B3A82">
        <w:trPr>
          <w:trHeight w:val="216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4D250B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9321C3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831EF7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3E47BD80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613DB42F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⁓1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36635E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8EBD08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F69202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3.95</w:t>
            </w:r>
          </w:p>
        </w:tc>
      </w:tr>
      <w:tr w:rsidR="007B3A82" w:rsidRPr="00335345" w14:paraId="12134B40" w14:textId="77777777" w:rsidTr="007B3A82">
        <w:trPr>
          <w:trHeight w:val="208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04F4FF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378F9D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8D3D9F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7181D074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N/A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1C26EE39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8DD2C2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DB0BFC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677C2A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6.03</w:t>
            </w:r>
          </w:p>
        </w:tc>
      </w:tr>
      <w:tr w:rsidR="007B3A82" w:rsidRPr="00335345" w14:paraId="74F5803B" w14:textId="77777777" w:rsidTr="007B3A82">
        <w:trPr>
          <w:trHeight w:val="186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3A909F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Mix2</w:t>
            </w:r>
          </w:p>
          <w:p w14:paraId="26CAEA59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(powder)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8D0FDA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A60EE4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1C95FB80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40DE1998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88A99F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E00497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CE7CD" w14:textId="551F5008" w:rsidR="007B3A82" w:rsidRPr="00335345" w:rsidRDefault="00840699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9.56</w:t>
            </w:r>
          </w:p>
        </w:tc>
      </w:tr>
      <w:tr w:rsidR="007B3A82" w:rsidRPr="00335345" w14:paraId="5F8D835A" w14:textId="77777777" w:rsidTr="007B3A82">
        <w:trPr>
          <w:trHeight w:val="232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4552B2" w14:textId="77777777" w:rsidR="007B3A82" w:rsidRPr="00335345" w:rsidRDefault="007B3A82" w:rsidP="007B3A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82227F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7245F0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23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24F2064B" w14:textId="77777777" w:rsidR="007B3A82" w:rsidRPr="00335345" w:rsidRDefault="007B3A82" w:rsidP="007B3A82">
            <w:pPr>
              <w:jc w:val="center"/>
              <w:rPr>
                <w:sz w:val="20"/>
                <w:szCs w:val="20"/>
                <w:lang w:val="en-GB"/>
              </w:rPr>
            </w:pPr>
            <w:r w:rsidRPr="00335345">
              <w:rPr>
                <w:sz w:val="20"/>
                <w:szCs w:val="20"/>
                <w:lang w:val="en-GB"/>
              </w:rPr>
              <w:t>3</w:t>
            </w:r>
            <w:r>
              <w:rPr>
                <w:sz w:val="20"/>
                <w:szCs w:val="20"/>
                <w:lang w:val="en-GB"/>
              </w:rPr>
              <w:t>8.5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73E839B1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FA4253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CF29EA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87E5F4" w14:textId="56BCD9F2" w:rsidR="007B3A82" w:rsidRPr="00335345" w:rsidRDefault="00840699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9.61</w:t>
            </w:r>
          </w:p>
        </w:tc>
      </w:tr>
      <w:tr w:rsidR="007B3A82" w:rsidRPr="00335345" w14:paraId="7DA616A6" w14:textId="77777777" w:rsidTr="007B3A82">
        <w:trPr>
          <w:trHeight w:val="142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F4F8FF" w14:textId="77777777" w:rsidR="007B3A82" w:rsidRPr="00335345" w:rsidRDefault="007B3A82" w:rsidP="007B3A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013EA8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CD7BB7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22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7B0FD64C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299D1201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C87587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516241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3349E1" w14:textId="5D015A15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6.</w:t>
            </w:r>
            <w:r w:rsidR="00840699">
              <w:rPr>
                <w:sz w:val="20"/>
                <w:szCs w:val="20"/>
              </w:rPr>
              <w:t>91</w:t>
            </w:r>
          </w:p>
        </w:tc>
      </w:tr>
      <w:tr w:rsidR="007B3A82" w:rsidRPr="00335345" w14:paraId="6FE6B46A" w14:textId="77777777" w:rsidTr="007B3A82">
        <w:trPr>
          <w:trHeight w:val="262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BFDD4E" w14:textId="77777777" w:rsidR="007B3A82" w:rsidRPr="00335345" w:rsidRDefault="007B3A82" w:rsidP="007B3A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99F50B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5A7C91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21.5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79698AC8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60FE1F21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 w:rsidRPr="00335345">
              <w:rPr>
                <w:sz w:val="20"/>
                <w:szCs w:val="20"/>
              </w:rPr>
              <w:t>0.6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FD143A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FDA35F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717D74" w14:textId="009FC809" w:rsidR="007B3A82" w:rsidRPr="00335345" w:rsidRDefault="00840699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8.47</w:t>
            </w:r>
          </w:p>
        </w:tc>
      </w:tr>
      <w:tr w:rsidR="007B3A82" w:rsidRPr="00335345" w14:paraId="24C99E4A" w14:textId="77777777" w:rsidTr="007B3A82">
        <w:trPr>
          <w:trHeight w:val="26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A4284B" w14:textId="77777777" w:rsidR="007B3A82" w:rsidRPr="00335345" w:rsidRDefault="007B3A82" w:rsidP="007B3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CEM-II   32,5R (w/c=0.55)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AA7A5F" w14:textId="77777777" w:rsidR="007B3A82" w:rsidRPr="00335345" w:rsidRDefault="007B3A82" w:rsidP="007B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25600A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33E2103A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02953FD4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BE4D12" w14:textId="77777777" w:rsidR="007B3A82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9F6B58" w14:textId="77777777" w:rsidR="007B3A82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E5DFDC" w14:textId="77777777" w:rsidR="007B3A82" w:rsidRPr="00335345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3A82" w:rsidRPr="00335345" w14:paraId="476E5244" w14:textId="77777777" w:rsidTr="007B3A82">
        <w:trPr>
          <w:trHeight w:val="26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CA4C88" w14:textId="77777777" w:rsidR="007B3A82" w:rsidRDefault="007B3A82" w:rsidP="007B3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C20* w/c=0.55)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E6DA78" w14:textId="77777777" w:rsidR="007B3A82" w:rsidRDefault="007B3A82" w:rsidP="007B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57F7FF" w14:textId="77777777" w:rsidR="007B3A82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4CD1D9A3" w14:textId="77777777" w:rsidR="007B3A82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2997208D" w14:textId="77777777" w:rsidR="007B3A82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C88F00" w14:textId="77777777" w:rsidR="007B3A82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22BB4F" w14:textId="77777777" w:rsidR="007B3A82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78840A" w14:textId="77777777" w:rsidR="007B3A82" w:rsidRDefault="007B3A82" w:rsidP="007B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80F6B30" w14:textId="33DFF687" w:rsidR="00DF58D8" w:rsidRPr="006C3F3F" w:rsidRDefault="00DF58D8" w:rsidP="007B3A82">
      <w:pPr>
        <w:jc w:val="center"/>
        <w:rPr>
          <w:sz w:val="20"/>
          <w:szCs w:val="20"/>
          <w:lang w:val="en-US"/>
        </w:rPr>
      </w:pPr>
    </w:p>
    <w:p w14:paraId="0137AAF2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249AB96F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5072F5C5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1A114CAF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3464379B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7850AEEA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798C0104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7E5C7E03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71864EFC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00ACD70D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27C82FB6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01B97438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66CCFE73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7FEB2890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7BE1508F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5FFFE2FB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6444E887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13393CFF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2AF52C46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783B1DF6" w14:textId="77777777" w:rsidR="007B3A82" w:rsidRDefault="007B3A82" w:rsidP="00F82B3B">
      <w:pPr>
        <w:rPr>
          <w:b/>
          <w:sz w:val="20"/>
          <w:szCs w:val="20"/>
          <w:lang w:val="en-US"/>
        </w:rPr>
      </w:pPr>
    </w:p>
    <w:p w14:paraId="6D67E37A" w14:textId="537A42FE" w:rsidR="007F03BD" w:rsidRPr="007B3A82" w:rsidRDefault="007B3A82" w:rsidP="00F82B3B">
      <w:pPr>
        <w:rPr>
          <w:bCs/>
          <w:sz w:val="18"/>
          <w:szCs w:val="18"/>
          <w:lang w:val="en-US"/>
        </w:rPr>
        <w:sectPr w:rsidR="007F03BD" w:rsidRPr="007B3A82" w:rsidSect="001A505F">
          <w:type w:val="continuous"/>
          <w:pgSz w:w="11906" w:h="16838" w:code="9"/>
          <w:pgMar w:top="1021" w:right="1021" w:bottom="1021" w:left="1134" w:header="720" w:footer="720" w:gutter="0"/>
          <w:pgNumType w:start="1"/>
          <w:cols w:space="708"/>
          <w:titlePg/>
          <w:docGrid w:linePitch="360"/>
        </w:sectPr>
      </w:pPr>
      <w:r>
        <w:rPr>
          <w:b/>
          <w:sz w:val="20"/>
          <w:szCs w:val="20"/>
          <w:lang w:val="en-US"/>
        </w:rPr>
        <w:t xml:space="preserve">            </w:t>
      </w:r>
      <w:r w:rsidRPr="007B3A82">
        <w:rPr>
          <w:bCs/>
          <w:sz w:val="18"/>
          <w:szCs w:val="18"/>
          <w:lang w:val="en-US"/>
        </w:rPr>
        <w:t>*Results from</w:t>
      </w:r>
      <w:r w:rsidRPr="007B3A82">
        <w:rPr>
          <w:bCs/>
          <w:sz w:val="18"/>
          <w:szCs w:val="18"/>
        </w:rPr>
        <w:t xml:space="preserve"> Keykha and Najmaddini</w:t>
      </w:r>
      <w:r w:rsidRPr="007B3A82">
        <w:rPr>
          <w:bCs/>
          <w:sz w:val="18"/>
          <w:szCs w:val="18"/>
          <w:lang w:val="en-US"/>
        </w:rPr>
        <w:t xml:space="preserve"> (2020)</w:t>
      </w:r>
    </w:p>
    <w:p w14:paraId="17883843" w14:textId="77777777" w:rsidR="006D4213" w:rsidRDefault="006D4213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</w:p>
    <w:p w14:paraId="3BA25C6A" w14:textId="1468E790" w:rsidR="00633A99" w:rsidRDefault="00E470FC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It is also observed that tensile strengths are generally higher than expected for regular PC concrete</w:t>
      </w:r>
      <w:r w:rsidR="00376A1F">
        <w:rPr>
          <w:bCs/>
          <w:sz w:val="20"/>
          <w:szCs w:val="20"/>
          <w:lang w:val="en-US"/>
        </w:rPr>
        <w:t>, considering the respective cube compressive strengths obtained</w:t>
      </w:r>
      <w:r>
        <w:rPr>
          <w:bCs/>
          <w:sz w:val="20"/>
          <w:szCs w:val="20"/>
          <w:lang w:val="en-US"/>
        </w:rPr>
        <w:t xml:space="preserve">. </w:t>
      </w:r>
      <w:r w:rsidR="00257ADF">
        <w:rPr>
          <w:bCs/>
          <w:sz w:val="20"/>
          <w:szCs w:val="20"/>
          <w:lang w:val="en-US"/>
        </w:rPr>
        <w:t xml:space="preserve">Tensile strengths are linked to the initiation of cracking in concrete. </w:t>
      </w:r>
      <w:r>
        <w:rPr>
          <w:bCs/>
          <w:sz w:val="20"/>
          <w:szCs w:val="20"/>
          <w:lang w:val="en-US"/>
        </w:rPr>
        <w:t>For regular concrete (not AAC concrete) there is a rule of thumb that tensile strength is about 10% of the compressive strength; however</w:t>
      </w:r>
      <w:r w:rsidR="00933E1D">
        <w:rPr>
          <w:bCs/>
          <w:sz w:val="20"/>
          <w:szCs w:val="20"/>
          <w:lang w:val="en-US"/>
        </w:rPr>
        <w:t>,</w:t>
      </w:r>
      <w:r>
        <w:rPr>
          <w:bCs/>
          <w:sz w:val="20"/>
          <w:szCs w:val="20"/>
          <w:lang w:val="en-US"/>
        </w:rPr>
        <w:t xml:space="preserve"> the percentage depends on the testing method</w:t>
      </w:r>
      <w:r w:rsidR="001A6521">
        <w:rPr>
          <w:bCs/>
          <w:sz w:val="20"/>
          <w:szCs w:val="20"/>
          <w:lang w:val="en-US"/>
        </w:rPr>
        <w:t>,</w:t>
      </w:r>
      <w:r>
        <w:rPr>
          <w:bCs/>
          <w:sz w:val="20"/>
          <w:szCs w:val="20"/>
          <w:lang w:val="en-US"/>
        </w:rPr>
        <w:t xml:space="preserve"> and for indirect tensile strength measurements (i.e.</w:t>
      </w:r>
      <w:r w:rsidR="00376A1F">
        <w:rPr>
          <w:bCs/>
          <w:sz w:val="20"/>
          <w:szCs w:val="20"/>
          <w:lang w:val="en-US"/>
        </w:rPr>
        <w:t>,</w:t>
      </w:r>
      <w:r>
        <w:rPr>
          <w:bCs/>
          <w:sz w:val="20"/>
          <w:szCs w:val="20"/>
          <w:lang w:val="en-US"/>
        </w:rPr>
        <w:t xml:space="preserve"> flexural strength or splitting </w:t>
      </w:r>
      <w:r w:rsidR="00AA05FE">
        <w:rPr>
          <w:bCs/>
          <w:sz w:val="20"/>
          <w:szCs w:val="20"/>
          <w:lang w:val="en-US"/>
        </w:rPr>
        <w:t xml:space="preserve">cylinder </w:t>
      </w:r>
      <w:r>
        <w:rPr>
          <w:bCs/>
          <w:sz w:val="20"/>
          <w:szCs w:val="20"/>
          <w:lang w:val="en-US"/>
        </w:rPr>
        <w:t>strength) usually the 10% is seen in flexural strength testing</w:t>
      </w:r>
      <w:r w:rsidR="00376A1F">
        <w:rPr>
          <w:bCs/>
          <w:sz w:val="20"/>
          <w:szCs w:val="20"/>
          <w:lang w:val="en-US"/>
        </w:rPr>
        <w:t>,</w:t>
      </w:r>
      <w:r>
        <w:rPr>
          <w:bCs/>
          <w:sz w:val="20"/>
          <w:szCs w:val="20"/>
          <w:lang w:val="en-US"/>
        </w:rPr>
        <w:t xml:space="preserve"> whereas in </w:t>
      </w:r>
      <w:r w:rsidR="00AA05FE">
        <w:rPr>
          <w:bCs/>
          <w:sz w:val="20"/>
          <w:szCs w:val="20"/>
          <w:lang w:val="en-US"/>
        </w:rPr>
        <w:t>splitting cylinder</w:t>
      </w:r>
      <w:r>
        <w:rPr>
          <w:bCs/>
          <w:sz w:val="20"/>
          <w:szCs w:val="20"/>
          <w:lang w:val="en-US"/>
        </w:rPr>
        <w:t xml:space="preserve"> strength testing </w:t>
      </w:r>
      <w:r w:rsidR="00257ADF">
        <w:rPr>
          <w:bCs/>
          <w:sz w:val="20"/>
          <w:szCs w:val="20"/>
          <w:lang w:val="en-US"/>
        </w:rPr>
        <w:t xml:space="preserve">lower </w:t>
      </w:r>
      <w:r w:rsidR="001A6521">
        <w:rPr>
          <w:bCs/>
          <w:sz w:val="20"/>
          <w:szCs w:val="20"/>
          <w:lang w:val="en-US"/>
        </w:rPr>
        <w:t>percentages</w:t>
      </w:r>
      <w:r w:rsidR="00257ADF">
        <w:rPr>
          <w:bCs/>
          <w:sz w:val="20"/>
          <w:szCs w:val="20"/>
          <w:lang w:val="en-US"/>
        </w:rPr>
        <w:t xml:space="preserve"> (around 6</w:t>
      </w:r>
      <w:r w:rsidR="00933E1D">
        <w:rPr>
          <w:bCs/>
          <w:sz w:val="20"/>
          <w:szCs w:val="20"/>
          <w:lang w:val="en-US"/>
        </w:rPr>
        <w:t>-7</w:t>
      </w:r>
      <w:r w:rsidR="00257ADF">
        <w:rPr>
          <w:bCs/>
          <w:sz w:val="20"/>
          <w:szCs w:val="20"/>
          <w:lang w:val="en-US"/>
        </w:rPr>
        <w:t xml:space="preserve">%) </w:t>
      </w:r>
      <w:r w:rsidR="001A6521">
        <w:rPr>
          <w:bCs/>
          <w:sz w:val="20"/>
          <w:szCs w:val="20"/>
          <w:lang w:val="en-US"/>
        </w:rPr>
        <w:t xml:space="preserve">of the compressive strength </w:t>
      </w:r>
      <w:r w:rsidR="00257ADF">
        <w:rPr>
          <w:bCs/>
          <w:sz w:val="20"/>
          <w:szCs w:val="20"/>
          <w:lang w:val="en-US"/>
        </w:rPr>
        <w:t xml:space="preserve">are usually achieved. Moreover, the </w:t>
      </w:r>
      <w:r w:rsidR="001A6521">
        <w:rPr>
          <w:bCs/>
          <w:sz w:val="20"/>
          <w:szCs w:val="20"/>
          <w:lang w:val="en-US"/>
        </w:rPr>
        <w:t xml:space="preserve">trends of the splitting </w:t>
      </w:r>
      <w:r w:rsidR="00AA05FE">
        <w:rPr>
          <w:bCs/>
          <w:sz w:val="20"/>
          <w:szCs w:val="20"/>
          <w:lang w:val="en-US"/>
        </w:rPr>
        <w:t>cylinder</w:t>
      </w:r>
      <w:r w:rsidR="001A6521">
        <w:rPr>
          <w:bCs/>
          <w:sz w:val="20"/>
          <w:szCs w:val="20"/>
          <w:lang w:val="en-US"/>
        </w:rPr>
        <w:t xml:space="preserve"> strength </w:t>
      </w:r>
      <w:r w:rsidR="00257ADF">
        <w:rPr>
          <w:bCs/>
          <w:sz w:val="20"/>
          <w:szCs w:val="20"/>
          <w:lang w:val="en-US"/>
        </w:rPr>
        <w:t>values are generally not consistent with the compressive strength trends</w:t>
      </w:r>
      <w:r w:rsidR="00376A1F">
        <w:rPr>
          <w:bCs/>
          <w:sz w:val="20"/>
          <w:szCs w:val="20"/>
          <w:lang w:val="en-US"/>
        </w:rPr>
        <w:t>,</w:t>
      </w:r>
      <w:r w:rsidR="00257ADF">
        <w:rPr>
          <w:bCs/>
          <w:sz w:val="20"/>
          <w:szCs w:val="20"/>
          <w:lang w:val="en-US"/>
        </w:rPr>
        <w:t xml:space="preserve"> especially for specimens with lower solid/liquid ratio</w:t>
      </w:r>
      <w:r w:rsidR="00933E1D">
        <w:rPr>
          <w:bCs/>
          <w:sz w:val="20"/>
          <w:szCs w:val="20"/>
          <w:lang w:val="en-US"/>
        </w:rPr>
        <w:t>, unlike what was expected</w:t>
      </w:r>
      <w:r w:rsidR="00376A1F">
        <w:rPr>
          <w:bCs/>
          <w:sz w:val="20"/>
          <w:szCs w:val="20"/>
          <w:lang w:val="en-US"/>
        </w:rPr>
        <w:t>. I</w:t>
      </w:r>
      <w:r w:rsidR="00933E1D">
        <w:rPr>
          <w:bCs/>
          <w:sz w:val="20"/>
          <w:szCs w:val="20"/>
          <w:lang w:val="en-US"/>
        </w:rPr>
        <w:t xml:space="preserve">n some </w:t>
      </w:r>
      <w:r w:rsidR="00376A1F">
        <w:rPr>
          <w:bCs/>
          <w:sz w:val="20"/>
          <w:szCs w:val="20"/>
          <w:lang w:val="en-US"/>
        </w:rPr>
        <w:t>cases</w:t>
      </w:r>
      <w:r w:rsidR="00AA05FE">
        <w:rPr>
          <w:bCs/>
          <w:sz w:val="20"/>
          <w:szCs w:val="20"/>
          <w:lang w:val="en-US"/>
        </w:rPr>
        <w:t>,</w:t>
      </w:r>
      <w:r w:rsidR="00933E1D">
        <w:rPr>
          <w:bCs/>
          <w:sz w:val="20"/>
          <w:szCs w:val="20"/>
          <w:lang w:val="en-US"/>
        </w:rPr>
        <w:t xml:space="preserve"> there was </w:t>
      </w:r>
      <w:r w:rsidR="00376A1F">
        <w:rPr>
          <w:bCs/>
          <w:sz w:val="20"/>
          <w:szCs w:val="20"/>
          <w:lang w:val="en-US"/>
        </w:rPr>
        <w:t xml:space="preserve">however </w:t>
      </w:r>
      <w:r w:rsidR="00933E1D">
        <w:rPr>
          <w:bCs/>
          <w:sz w:val="20"/>
          <w:szCs w:val="20"/>
          <w:lang w:val="en-US"/>
        </w:rPr>
        <w:t xml:space="preserve">a discrepancy between </w:t>
      </w:r>
      <w:r w:rsidR="00AA05FE">
        <w:rPr>
          <w:bCs/>
          <w:sz w:val="20"/>
          <w:szCs w:val="20"/>
          <w:lang w:val="en-US"/>
        </w:rPr>
        <w:t xml:space="preserve">the values of </w:t>
      </w:r>
      <w:r w:rsidR="00933E1D">
        <w:rPr>
          <w:bCs/>
          <w:sz w:val="20"/>
          <w:szCs w:val="20"/>
          <w:lang w:val="en-US"/>
        </w:rPr>
        <w:t>duplicate specimen results, especially in the drier mix</w:t>
      </w:r>
      <w:r w:rsidR="00AA05FE">
        <w:rPr>
          <w:bCs/>
          <w:sz w:val="20"/>
          <w:szCs w:val="20"/>
          <w:lang w:val="en-US"/>
        </w:rPr>
        <w:t>es</w:t>
      </w:r>
      <w:r w:rsidR="00376A1F">
        <w:rPr>
          <w:bCs/>
          <w:sz w:val="20"/>
          <w:szCs w:val="20"/>
          <w:lang w:val="en-US"/>
        </w:rPr>
        <w:t xml:space="preserve"> of 0.45 solid/liquid ratio</w:t>
      </w:r>
      <w:r w:rsidR="00933E1D">
        <w:rPr>
          <w:bCs/>
          <w:sz w:val="20"/>
          <w:szCs w:val="20"/>
          <w:lang w:val="en-US"/>
        </w:rPr>
        <w:t xml:space="preserve"> for which samples could occasionally suffer more damage when they were taken out of the </w:t>
      </w:r>
      <w:proofErr w:type="spellStart"/>
      <w:r w:rsidR="00933E1D">
        <w:rPr>
          <w:bCs/>
          <w:sz w:val="20"/>
          <w:szCs w:val="20"/>
          <w:lang w:val="en-US"/>
        </w:rPr>
        <w:t>moulds</w:t>
      </w:r>
      <w:proofErr w:type="spellEnd"/>
      <w:r w:rsidR="00257ADF">
        <w:rPr>
          <w:bCs/>
          <w:sz w:val="20"/>
          <w:szCs w:val="20"/>
          <w:lang w:val="en-US"/>
        </w:rPr>
        <w:t xml:space="preserve">. </w:t>
      </w:r>
      <w:r w:rsidR="00933E1D">
        <w:rPr>
          <w:bCs/>
          <w:sz w:val="20"/>
          <w:szCs w:val="20"/>
          <w:lang w:val="en-US"/>
        </w:rPr>
        <w:t xml:space="preserve">This will be further investigated by replicating the </w:t>
      </w:r>
      <w:r w:rsidR="002C0CA9">
        <w:rPr>
          <w:bCs/>
          <w:sz w:val="20"/>
          <w:szCs w:val="20"/>
          <w:lang w:val="en-US"/>
        </w:rPr>
        <w:t>se</w:t>
      </w:r>
      <w:r w:rsidR="00376A1F">
        <w:rPr>
          <w:bCs/>
          <w:sz w:val="20"/>
          <w:szCs w:val="20"/>
          <w:lang w:val="en-US"/>
        </w:rPr>
        <w:t>r</w:t>
      </w:r>
      <w:r w:rsidR="002C0CA9">
        <w:rPr>
          <w:bCs/>
          <w:sz w:val="20"/>
          <w:szCs w:val="20"/>
          <w:lang w:val="en-US"/>
        </w:rPr>
        <w:t xml:space="preserve">ies of </w:t>
      </w:r>
      <w:r w:rsidR="00933E1D">
        <w:rPr>
          <w:bCs/>
          <w:sz w:val="20"/>
          <w:szCs w:val="20"/>
          <w:lang w:val="en-US"/>
        </w:rPr>
        <w:t xml:space="preserve">tests. </w:t>
      </w:r>
      <w:r w:rsidR="00257ADF">
        <w:rPr>
          <w:bCs/>
          <w:sz w:val="20"/>
          <w:szCs w:val="20"/>
          <w:lang w:val="en-US"/>
        </w:rPr>
        <w:t xml:space="preserve">There is also an indication that exposure to water (method 1) may </w:t>
      </w:r>
      <w:proofErr w:type="spellStart"/>
      <w:r w:rsidR="00257ADF">
        <w:rPr>
          <w:bCs/>
          <w:sz w:val="20"/>
          <w:szCs w:val="20"/>
          <w:lang w:val="en-US"/>
        </w:rPr>
        <w:t>favour</w:t>
      </w:r>
      <w:proofErr w:type="spellEnd"/>
      <w:r w:rsidR="00257ADF">
        <w:rPr>
          <w:bCs/>
          <w:sz w:val="20"/>
          <w:szCs w:val="20"/>
          <w:lang w:val="en-US"/>
        </w:rPr>
        <w:t xml:space="preserve"> the development of tensile strength</w:t>
      </w:r>
      <w:r w:rsidR="00376A1F">
        <w:rPr>
          <w:bCs/>
          <w:sz w:val="20"/>
          <w:szCs w:val="20"/>
          <w:lang w:val="en-US"/>
        </w:rPr>
        <w:t>, which will need to be further investigated and the reason for this understood, for example by supporting the mechanical testing by material analysis</w:t>
      </w:r>
      <w:r w:rsidR="00257ADF">
        <w:rPr>
          <w:bCs/>
          <w:sz w:val="20"/>
          <w:szCs w:val="20"/>
          <w:lang w:val="en-US"/>
        </w:rPr>
        <w:t>.</w:t>
      </w:r>
    </w:p>
    <w:p w14:paraId="38CBDA67" w14:textId="77777777" w:rsidR="00933E1D" w:rsidRDefault="00933E1D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</w:p>
    <w:p w14:paraId="01FE4176" w14:textId="45960288" w:rsidR="00933E1D" w:rsidRDefault="00933E1D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The water absorption results </w:t>
      </w:r>
      <w:r w:rsidR="00C44C05">
        <w:rPr>
          <w:bCs/>
          <w:sz w:val="20"/>
          <w:szCs w:val="20"/>
          <w:lang w:val="en-US"/>
        </w:rPr>
        <w:t>we</w:t>
      </w:r>
      <w:r>
        <w:rPr>
          <w:bCs/>
          <w:sz w:val="20"/>
          <w:szCs w:val="20"/>
          <w:lang w:val="en-US"/>
        </w:rPr>
        <w:t>re variable. Generally</w:t>
      </w:r>
      <w:r w:rsidR="002C0CA9">
        <w:rPr>
          <w:bCs/>
          <w:sz w:val="20"/>
          <w:szCs w:val="20"/>
          <w:lang w:val="en-US"/>
        </w:rPr>
        <w:t>,</w:t>
      </w:r>
      <w:r>
        <w:rPr>
          <w:bCs/>
          <w:sz w:val="20"/>
          <w:szCs w:val="20"/>
          <w:lang w:val="en-US"/>
        </w:rPr>
        <w:t xml:space="preserve"> </w:t>
      </w:r>
      <w:r w:rsidR="00AA05FE">
        <w:rPr>
          <w:bCs/>
          <w:sz w:val="20"/>
          <w:szCs w:val="20"/>
          <w:lang w:val="en-US"/>
        </w:rPr>
        <w:t>absorption was</w:t>
      </w:r>
      <w:r>
        <w:rPr>
          <w:bCs/>
          <w:sz w:val="20"/>
          <w:szCs w:val="20"/>
          <w:lang w:val="en-US"/>
        </w:rPr>
        <w:t xml:space="preserve"> lower than 10% </w:t>
      </w:r>
      <w:r w:rsidR="002C0CA9">
        <w:rPr>
          <w:bCs/>
          <w:sz w:val="20"/>
          <w:szCs w:val="20"/>
          <w:lang w:val="en-US"/>
        </w:rPr>
        <w:t xml:space="preserve">(except in one case where values equaled 10%) </w:t>
      </w:r>
      <w:r>
        <w:rPr>
          <w:bCs/>
          <w:sz w:val="20"/>
          <w:szCs w:val="20"/>
          <w:lang w:val="en-US"/>
        </w:rPr>
        <w:t>which is acceptable for concrete quality (Neville, 1995).</w:t>
      </w:r>
    </w:p>
    <w:p w14:paraId="6A8F04DB" w14:textId="77777777" w:rsidR="002C0CA9" w:rsidRDefault="002C0CA9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</w:p>
    <w:p w14:paraId="0127BD24" w14:textId="596C1E4D" w:rsidR="002C0CA9" w:rsidRDefault="00C44C05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As for the accelerated corrosion testing</w:t>
      </w:r>
      <w:r w:rsidR="00AA05FE">
        <w:rPr>
          <w:bCs/>
          <w:sz w:val="20"/>
          <w:szCs w:val="20"/>
          <w:lang w:val="en-US"/>
        </w:rPr>
        <w:t>,</w:t>
      </w:r>
      <w:r>
        <w:rPr>
          <w:bCs/>
          <w:sz w:val="20"/>
          <w:szCs w:val="20"/>
          <w:lang w:val="en-US"/>
        </w:rPr>
        <w:t xml:space="preserve"> indications are that rebars did not suffer high mass losses (see the clean area around the steel rod</w:t>
      </w:r>
      <w:r w:rsidR="00E93F6E">
        <w:rPr>
          <w:bCs/>
          <w:sz w:val="20"/>
          <w:szCs w:val="20"/>
          <w:lang w:val="en-US"/>
        </w:rPr>
        <w:t xml:space="preserve"> in Figure 1</w:t>
      </w:r>
      <w:r>
        <w:rPr>
          <w:bCs/>
          <w:sz w:val="20"/>
          <w:szCs w:val="20"/>
          <w:lang w:val="en-US"/>
        </w:rPr>
        <w:t xml:space="preserve">, showing no signs </w:t>
      </w:r>
      <w:r>
        <w:rPr>
          <w:bCs/>
          <w:sz w:val="20"/>
          <w:szCs w:val="20"/>
          <w:lang w:val="en-US"/>
        </w:rPr>
        <w:t>of corrosion</w:t>
      </w:r>
      <w:r w:rsidR="00E93F6E">
        <w:rPr>
          <w:bCs/>
          <w:sz w:val="20"/>
          <w:szCs w:val="20"/>
          <w:lang w:val="en-US"/>
        </w:rPr>
        <w:t xml:space="preserve"> of the rod</w:t>
      </w:r>
      <w:r>
        <w:rPr>
          <w:bCs/>
          <w:sz w:val="20"/>
          <w:szCs w:val="20"/>
          <w:lang w:val="en-US"/>
        </w:rPr>
        <w:t xml:space="preserve"> or concrete damage</w:t>
      </w:r>
      <w:r w:rsidR="00E93F6E"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  <w:lang w:val="en-US"/>
        </w:rPr>
        <w:t xml:space="preserve">. </w:t>
      </w:r>
      <w:r w:rsidR="00B42811">
        <w:rPr>
          <w:bCs/>
          <w:sz w:val="20"/>
          <w:szCs w:val="20"/>
          <w:lang w:val="en-US"/>
        </w:rPr>
        <w:t xml:space="preserve">In </w:t>
      </w:r>
      <w:r w:rsidR="0000415D">
        <w:rPr>
          <w:bCs/>
          <w:sz w:val="20"/>
          <w:szCs w:val="20"/>
          <w:lang w:val="en-US"/>
        </w:rPr>
        <w:t>a few</w:t>
      </w:r>
      <w:r w:rsidR="00B42811">
        <w:rPr>
          <w:bCs/>
          <w:sz w:val="20"/>
          <w:szCs w:val="20"/>
          <w:lang w:val="en-US"/>
        </w:rPr>
        <w:t xml:space="preserve"> cases </w:t>
      </w:r>
      <w:r w:rsidR="0000415D">
        <w:rPr>
          <w:bCs/>
          <w:sz w:val="20"/>
          <w:szCs w:val="20"/>
          <w:lang w:val="en-US"/>
        </w:rPr>
        <w:t>where</w:t>
      </w:r>
      <w:r w:rsidR="00B42811">
        <w:rPr>
          <w:bCs/>
          <w:sz w:val="20"/>
          <w:szCs w:val="20"/>
          <w:lang w:val="en-US"/>
        </w:rPr>
        <w:t xml:space="preserve"> the rod was not firmly embedded in the concrete</w:t>
      </w:r>
      <w:r w:rsidR="00AA05FE">
        <w:rPr>
          <w:bCs/>
          <w:sz w:val="20"/>
          <w:szCs w:val="20"/>
          <w:lang w:val="en-US"/>
        </w:rPr>
        <w:t>,</w:t>
      </w:r>
      <w:r w:rsidR="00B42811">
        <w:rPr>
          <w:bCs/>
          <w:sz w:val="20"/>
          <w:szCs w:val="20"/>
          <w:lang w:val="en-US"/>
        </w:rPr>
        <w:t xml:space="preserve"> some </w:t>
      </w:r>
      <w:r w:rsidR="00AA05FE">
        <w:rPr>
          <w:bCs/>
          <w:sz w:val="20"/>
          <w:szCs w:val="20"/>
          <w:lang w:val="en-US"/>
        </w:rPr>
        <w:t xml:space="preserve">higher </w:t>
      </w:r>
      <w:r w:rsidR="00B42811">
        <w:rPr>
          <w:bCs/>
          <w:sz w:val="20"/>
          <w:szCs w:val="20"/>
          <w:lang w:val="en-US"/>
        </w:rPr>
        <w:t>mass loss of the rod was observed</w:t>
      </w:r>
      <w:r w:rsidR="00376A1F">
        <w:rPr>
          <w:bCs/>
          <w:sz w:val="20"/>
          <w:szCs w:val="20"/>
          <w:lang w:val="en-US"/>
        </w:rPr>
        <w:t xml:space="preserve">. It </w:t>
      </w:r>
      <w:r w:rsidR="0000415D">
        <w:rPr>
          <w:bCs/>
          <w:sz w:val="20"/>
          <w:szCs w:val="20"/>
          <w:lang w:val="en-US"/>
        </w:rPr>
        <w:t xml:space="preserve">is suspected </w:t>
      </w:r>
      <w:r w:rsidR="00376A1F">
        <w:rPr>
          <w:bCs/>
          <w:sz w:val="20"/>
          <w:szCs w:val="20"/>
          <w:lang w:val="en-US"/>
        </w:rPr>
        <w:t xml:space="preserve">that this </w:t>
      </w:r>
      <w:r w:rsidR="00AA05FE">
        <w:rPr>
          <w:bCs/>
          <w:sz w:val="20"/>
          <w:szCs w:val="20"/>
          <w:lang w:val="en-US"/>
        </w:rPr>
        <w:t>wa</w:t>
      </w:r>
      <w:r w:rsidR="00376A1F">
        <w:rPr>
          <w:bCs/>
          <w:sz w:val="20"/>
          <w:szCs w:val="20"/>
          <w:lang w:val="en-US"/>
        </w:rPr>
        <w:t>s</w:t>
      </w:r>
      <w:r w:rsidR="0000415D">
        <w:rPr>
          <w:bCs/>
          <w:sz w:val="20"/>
          <w:szCs w:val="20"/>
          <w:lang w:val="en-US"/>
        </w:rPr>
        <w:t xml:space="preserve"> due to ingress of water from the top of the sample in the unsealed area of the poorly fitted steel rod. O</w:t>
      </w:r>
      <w:r w:rsidR="00B42811">
        <w:rPr>
          <w:bCs/>
          <w:sz w:val="20"/>
          <w:szCs w:val="20"/>
          <w:lang w:val="en-US"/>
        </w:rPr>
        <w:t>verall</w:t>
      </w:r>
      <w:r w:rsidR="0000415D">
        <w:rPr>
          <w:bCs/>
          <w:sz w:val="20"/>
          <w:szCs w:val="20"/>
          <w:lang w:val="en-US"/>
        </w:rPr>
        <w:t>,</w:t>
      </w:r>
      <w:r w:rsidR="00B42811">
        <w:rPr>
          <w:bCs/>
          <w:sz w:val="20"/>
          <w:szCs w:val="20"/>
          <w:lang w:val="en-US"/>
        </w:rPr>
        <w:t xml:space="preserve"> </w:t>
      </w:r>
      <w:r w:rsidR="0000415D">
        <w:rPr>
          <w:bCs/>
          <w:sz w:val="20"/>
          <w:szCs w:val="20"/>
          <w:lang w:val="en-US"/>
        </w:rPr>
        <w:t xml:space="preserve">however, </w:t>
      </w:r>
      <w:r w:rsidR="00B42811">
        <w:rPr>
          <w:bCs/>
          <w:sz w:val="20"/>
          <w:szCs w:val="20"/>
          <w:lang w:val="en-US"/>
        </w:rPr>
        <w:t>there was no visible negative effect on the concrete</w:t>
      </w:r>
      <w:r w:rsidR="00376A1F">
        <w:rPr>
          <w:bCs/>
          <w:sz w:val="20"/>
          <w:szCs w:val="20"/>
          <w:lang w:val="en-US"/>
        </w:rPr>
        <w:t xml:space="preserve"> (e.g.</w:t>
      </w:r>
      <w:r w:rsidR="00E93F6E">
        <w:rPr>
          <w:bCs/>
          <w:sz w:val="20"/>
          <w:szCs w:val="20"/>
          <w:lang w:val="en-US"/>
        </w:rPr>
        <w:t>,</w:t>
      </w:r>
      <w:r w:rsidR="00376A1F">
        <w:rPr>
          <w:bCs/>
          <w:sz w:val="20"/>
          <w:szCs w:val="20"/>
          <w:lang w:val="en-US"/>
        </w:rPr>
        <w:t xml:space="preserve"> crac</w:t>
      </w:r>
      <w:r w:rsidR="00E93F6E">
        <w:rPr>
          <w:bCs/>
          <w:sz w:val="20"/>
          <w:szCs w:val="20"/>
          <w:lang w:val="en-US"/>
        </w:rPr>
        <w:t>ked concrete due to expansive rust forming)</w:t>
      </w:r>
      <w:r w:rsidR="00B42811">
        <w:rPr>
          <w:bCs/>
          <w:sz w:val="20"/>
          <w:szCs w:val="20"/>
          <w:lang w:val="en-US"/>
        </w:rPr>
        <w:t xml:space="preserve">. </w:t>
      </w:r>
      <w:r>
        <w:rPr>
          <w:bCs/>
          <w:sz w:val="20"/>
          <w:szCs w:val="20"/>
          <w:lang w:val="en-US"/>
        </w:rPr>
        <w:t>The tests are ongoing for firm conclusions.</w:t>
      </w:r>
    </w:p>
    <w:p w14:paraId="323C580C" w14:textId="77777777" w:rsidR="00376A1F" w:rsidRPr="00633A99" w:rsidRDefault="00376A1F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</w:p>
    <w:p w14:paraId="52242764" w14:textId="6C4368B7" w:rsidR="007A2FDF" w:rsidRPr="00633A99" w:rsidRDefault="00C44C05" w:rsidP="007F03BD">
      <w:pPr>
        <w:autoSpaceDE w:val="0"/>
        <w:autoSpaceDN w:val="0"/>
        <w:adjustRightInd w:val="0"/>
        <w:spacing w:line="240" w:lineRule="atLeast"/>
        <w:jc w:val="both"/>
        <w:rPr>
          <w:b/>
          <w:sz w:val="20"/>
          <w:szCs w:val="20"/>
          <w:lang w:val="en-US"/>
        </w:rPr>
      </w:pPr>
      <w:r w:rsidRPr="00C44C05">
        <w:rPr>
          <w:b/>
          <w:noProof/>
          <w:sz w:val="20"/>
          <w:szCs w:val="20"/>
          <w:lang w:val="en-US"/>
        </w:rPr>
        <w:drawing>
          <wp:inline distT="0" distB="0" distL="0" distR="0" wp14:anchorId="71152E9C" wp14:editId="54AA19DF">
            <wp:extent cx="1568531" cy="1092256"/>
            <wp:effectExtent l="0" t="0" r="0" b="0"/>
            <wp:docPr id="1681501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50142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8531" cy="109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2704" w14:textId="36A6CD4E" w:rsidR="007A2FDF" w:rsidRPr="00B42811" w:rsidRDefault="00B42811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Figure 1. </w:t>
      </w:r>
      <w:r>
        <w:rPr>
          <w:bCs/>
          <w:sz w:val="20"/>
          <w:szCs w:val="20"/>
          <w:lang w:val="en-US"/>
        </w:rPr>
        <w:t>Example of steel reinforcement embedded in the concrete, after accelerated corrosion testing.</w:t>
      </w:r>
    </w:p>
    <w:p w14:paraId="762F8EE5" w14:textId="77777777" w:rsidR="007A2FDF" w:rsidRDefault="007A2FDF" w:rsidP="007F03BD">
      <w:pPr>
        <w:autoSpaceDE w:val="0"/>
        <w:autoSpaceDN w:val="0"/>
        <w:adjustRightInd w:val="0"/>
        <w:spacing w:line="240" w:lineRule="atLeast"/>
        <w:jc w:val="both"/>
        <w:rPr>
          <w:b/>
          <w:sz w:val="18"/>
          <w:szCs w:val="20"/>
          <w:lang w:val="en-US"/>
        </w:rPr>
      </w:pPr>
    </w:p>
    <w:p w14:paraId="5786C9B4" w14:textId="4E0F5AEA" w:rsidR="00B42811" w:rsidRPr="00B42811" w:rsidRDefault="00B42811" w:rsidP="00D37826">
      <w:pPr>
        <w:pStyle w:val="Maintitle"/>
      </w:pPr>
      <w:r w:rsidRPr="00B42811">
        <w:t>Conclusion</w:t>
      </w:r>
    </w:p>
    <w:p w14:paraId="0C6E7724" w14:textId="269C4A2A" w:rsidR="00B42811" w:rsidRDefault="00087D31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</w:rPr>
      </w:pPr>
      <w:r w:rsidRPr="00087D31">
        <w:rPr>
          <w:bCs/>
          <w:sz w:val="20"/>
          <w:szCs w:val="20"/>
          <w:lang w:val="en-US"/>
        </w:rPr>
        <w:t xml:space="preserve">The paper assessed the feasibility of </w:t>
      </w:r>
      <w:r>
        <w:rPr>
          <w:bCs/>
          <w:sz w:val="20"/>
          <w:szCs w:val="20"/>
          <w:lang w:val="en-US"/>
        </w:rPr>
        <w:t>K</w:t>
      </w:r>
      <w:r w:rsidRPr="00087D31">
        <w:rPr>
          <w:bCs/>
          <w:sz w:val="20"/>
          <w:szCs w:val="20"/>
          <w:vertAlign w:val="subscript"/>
          <w:lang w:val="en-US"/>
        </w:rPr>
        <w:t>2</w:t>
      </w:r>
      <w:r>
        <w:rPr>
          <w:bCs/>
          <w:sz w:val="20"/>
          <w:szCs w:val="20"/>
          <w:lang w:val="en-US"/>
        </w:rPr>
        <w:t>CO</w:t>
      </w:r>
      <w:r w:rsidRPr="00087D31">
        <w:rPr>
          <w:bCs/>
          <w:sz w:val="20"/>
          <w:szCs w:val="20"/>
          <w:vertAlign w:val="subscript"/>
          <w:lang w:val="en-US"/>
        </w:rPr>
        <w:t>3</w:t>
      </w:r>
      <w:r>
        <w:rPr>
          <w:bCs/>
          <w:sz w:val="20"/>
          <w:szCs w:val="20"/>
          <w:lang w:val="en-US"/>
        </w:rPr>
        <w:t xml:space="preserve">-activated GGBS AAC concrete, on which there is paucity of information. The results indicate that good concrete of </w:t>
      </w:r>
      <w:r w:rsidRPr="00087D31">
        <w:rPr>
          <w:bCs/>
          <w:sz w:val="20"/>
          <w:szCs w:val="20"/>
          <w:lang w:val="en-US"/>
        </w:rPr>
        <w:t xml:space="preserve">C20/25 </w:t>
      </w:r>
      <w:r>
        <w:rPr>
          <w:bCs/>
          <w:sz w:val="20"/>
          <w:szCs w:val="20"/>
          <w:lang w:val="en-US"/>
        </w:rPr>
        <w:t>grades</w:t>
      </w:r>
      <w:r w:rsidRPr="00087D31">
        <w:rPr>
          <w:bCs/>
          <w:sz w:val="20"/>
          <w:szCs w:val="20"/>
          <w:lang w:val="en-US"/>
        </w:rPr>
        <w:t xml:space="preserve"> (i.e., suitable for domestic uses)</w:t>
      </w:r>
      <w:r>
        <w:rPr>
          <w:bCs/>
          <w:sz w:val="20"/>
          <w:szCs w:val="20"/>
          <w:lang w:val="en-US"/>
        </w:rPr>
        <w:t xml:space="preserve"> could be safely obtained</w:t>
      </w:r>
      <w:r w:rsidR="00D75191">
        <w:rPr>
          <w:bCs/>
          <w:sz w:val="20"/>
          <w:szCs w:val="20"/>
          <w:lang w:val="en-US"/>
        </w:rPr>
        <w:t xml:space="preserve">; </w:t>
      </w:r>
      <w:r w:rsidR="00D75191" w:rsidRPr="00D75191">
        <w:rPr>
          <w:bCs/>
          <w:sz w:val="20"/>
          <w:szCs w:val="20"/>
          <w:lang w:val="en-US"/>
        </w:rPr>
        <w:t>these strengths were gained early in the curing process</w:t>
      </w:r>
      <w:r w:rsidR="00D75191">
        <w:rPr>
          <w:bCs/>
          <w:sz w:val="20"/>
          <w:szCs w:val="20"/>
          <w:lang w:val="en-US"/>
        </w:rPr>
        <w:t>,</w:t>
      </w:r>
      <w:r w:rsidR="00D75191" w:rsidRPr="00D75191">
        <w:rPr>
          <w:bCs/>
          <w:sz w:val="20"/>
          <w:szCs w:val="20"/>
          <w:lang w:val="en-US"/>
        </w:rPr>
        <w:t xml:space="preserve"> </w:t>
      </w:r>
      <w:r w:rsidR="00D75191">
        <w:rPr>
          <w:bCs/>
          <w:sz w:val="20"/>
          <w:szCs w:val="20"/>
          <w:lang w:val="en-US"/>
        </w:rPr>
        <w:t>a</w:t>
      </w:r>
      <w:r w:rsidR="00D75191" w:rsidRPr="00D75191">
        <w:rPr>
          <w:bCs/>
          <w:sz w:val="20"/>
          <w:szCs w:val="20"/>
          <w:lang w:val="en-US"/>
        </w:rPr>
        <w:t>lready at 7 days in most cases</w:t>
      </w:r>
      <w:r w:rsidR="00D75191">
        <w:rPr>
          <w:bCs/>
          <w:sz w:val="20"/>
          <w:szCs w:val="20"/>
          <w:lang w:val="en-US"/>
        </w:rPr>
        <w:t>. I</w:t>
      </w:r>
      <w:r>
        <w:rPr>
          <w:bCs/>
          <w:sz w:val="20"/>
          <w:szCs w:val="20"/>
          <w:lang w:val="en-US"/>
        </w:rPr>
        <w:t xml:space="preserve">ndications </w:t>
      </w:r>
      <w:r w:rsidR="00E93F6E">
        <w:rPr>
          <w:bCs/>
          <w:sz w:val="20"/>
          <w:szCs w:val="20"/>
          <w:lang w:val="en-US"/>
        </w:rPr>
        <w:t xml:space="preserve">so far </w:t>
      </w:r>
      <w:r w:rsidR="00D75191">
        <w:rPr>
          <w:bCs/>
          <w:sz w:val="20"/>
          <w:szCs w:val="20"/>
          <w:lang w:val="en-US"/>
        </w:rPr>
        <w:t xml:space="preserve">are </w:t>
      </w:r>
      <w:r w:rsidR="00E93F6E">
        <w:rPr>
          <w:bCs/>
          <w:sz w:val="20"/>
          <w:szCs w:val="20"/>
          <w:lang w:val="en-US"/>
        </w:rPr>
        <w:t>that this concrete</w:t>
      </w:r>
      <w:r>
        <w:rPr>
          <w:bCs/>
          <w:sz w:val="20"/>
          <w:szCs w:val="20"/>
          <w:lang w:val="en-US"/>
        </w:rPr>
        <w:t xml:space="preserve"> </w:t>
      </w:r>
      <w:r w:rsidR="00E93F6E">
        <w:rPr>
          <w:bCs/>
          <w:sz w:val="20"/>
          <w:szCs w:val="20"/>
          <w:lang w:val="en-US"/>
        </w:rPr>
        <w:t xml:space="preserve">would have </w:t>
      </w:r>
      <w:r w:rsidR="00AA05FE">
        <w:rPr>
          <w:bCs/>
          <w:sz w:val="20"/>
          <w:szCs w:val="20"/>
          <w:lang w:val="en-US"/>
        </w:rPr>
        <w:t>appropriate</w:t>
      </w:r>
      <w:r>
        <w:rPr>
          <w:bCs/>
          <w:sz w:val="20"/>
          <w:szCs w:val="20"/>
          <w:lang w:val="en-US"/>
        </w:rPr>
        <w:t xml:space="preserve"> durability. Upon further mix optimization it appears possible to obtain higher grades of such </w:t>
      </w:r>
      <w:r w:rsidR="00D75191">
        <w:rPr>
          <w:bCs/>
          <w:sz w:val="20"/>
          <w:szCs w:val="20"/>
          <w:lang w:val="en-US"/>
        </w:rPr>
        <w:t xml:space="preserve">AAC </w:t>
      </w:r>
      <w:r>
        <w:rPr>
          <w:bCs/>
          <w:sz w:val="20"/>
          <w:szCs w:val="20"/>
          <w:lang w:val="en-US"/>
        </w:rPr>
        <w:t>concrete</w:t>
      </w:r>
      <w:r w:rsidR="00E93F6E">
        <w:rPr>
          <w:bCs/>
          <w:sz w:val="20"/>
          <w:szCs w:val="20"/>
          <w:lang w:val="en-US"/>
        </w:rPr>
        <w:t>,</w:t>
      </w:r>
      <w:r>
        <w:rPr>
          <w:bCs/>
          <w:sz w:val="20"/>
          <w:szCs w:val="20"/>
          <w:lang w:val="en-US"/>
        </w:rPr>
        <w:t xml:space="preserve"> as with lowering the liquid/solid ratios</w:t>
      </w:r>
      <w:r w:rsidR="00E93F6E">
        <w:rPr>
          <w:bCs/>
          <w:sz w:val="20"/>
          <w:szCs w:val="20"/>
          <w:lang w:val="en-US"/>
        </w:rPr>
        <w:t>,</w:t>
      </w:r>
      <w:r>
        <w:rPr>
          <w:bCs/>
          <w:sz w:val="20"/>
          <w:szCs w:val="20"/>
          <w:lang w:val="en-US"/>
        </w:rPr>
        <w:t xml:space="preserve"> strengths </w:t>
      </w:r>
      <w:r w:rsidRPr="00087D31">
        <w:rPr>
          <w:bCs/>
          <w:sz w:val="20"/>
          <w:szCs w:val="20"/>
        </w:rPr>
        <w:t>of up to C30/37 were achieved</w:t>
      </w:r>
      <w:r>
        <w:rPr>
          <w:bCs/>
          <w:sz w:val="20"/>
          <w:szCs w:val="20"/>
        </w:rPr>
        <w:t>.</w:t>
      </w:r>
      <w:r w:rsidRPr="00087D31">
        <w:t xml:space="preserve"> </w:t>
      </w:r>
      <w:r>
        <w:rPr>
          <w:bCs/>
          <w:sz w:val="20"/>
          <w:szCs w:val="20"/>
        </w:rPr>
        <w:t>This is encouraging, as</w:t>
      </w:r>
      <w:r w:rsidRPr="00087D31">
        <w:rPr>
          <w:bCs/>
          <w:sz w:val="20"/>
          <w:szCs w:val="20"/>
        </w:rPr>
        <w:t xml:space="preserve"> there are advantages of using K</w:t>
      </w:r>
      <w:r w:rsidRPr="00087D31">
        <w:rPr>
          <w:bCs/>
          <w:sz w:val="20"/>
          <w:szCs w:val="20"/>
          <w:vertAlign w:val="subscript"/>
        </w:rPr>
        <w:t>2</w:t>
      </w:r>
      <w:r w:rsidRPr="00087D31">
        <w:rPr>
          <w:bCs/>
          <w:sz w:val="20"/>
          <w:szCs w:val="20"/>
        </w:rPr>
        <w:t>CO</w:t>
      </w:r>
      <w:r w:rsidRPr="00087D31">
        <w:rPr>
          <w:bCs/>
          <w:sz w:val="20"/>
          <w:szCs w:val="20"/>
          <w:vertAlign w:val="subscript"/>
        </w:rPr>
        <w:t>3</w:t>
      </w:r>
      <w:r w:rsidRPr="00087D31">
        <w:rPr>
          <w:bCs/>
          <w:sz w:val="20"/>
          <w:szCs w:val="20"/>
        </w:rPr>
        <w:t xml:space="preserve"> in the context of sustainability and circular economy</w:t>
      </w:r>
      <w:r>
        <w:rPr>
          <w:bCs/>
          <w:sz w:val="20"/>
          <w:szCs w:val="20"/>
        </w:rPr>
        <w:t xml:space="preserve">; </w:t>
      </w:r>
      <w:r w:rsidRPr="00087D31">
        <w:rPr>
          <w:bCs/>
          <w:sz w:val="20"/>
          <w:szCs w:val="20"/>
        </w:rPr>
        <w:t>K</w:t>
      </w:r>
      <w:r w:rsidRPr="00087D31">
        <w:rPr>
          <w:bCs/>
          <w:sz w:val="20"/>
          <w:szCs w:val="20"/>
          <w:vertAlign w:val="subscript"/>
        </w:rPr>
        <w:t>2</w:t>
      </w:r>
      <w:r w:rsidRPr="00087D31">
        <w:rPr>
          <w:bCs/>
          <w:sz w:val="20"/>
          <w:szCs w:val="20"/>
        </w:rPr>
        <w:t>CO</w:t>
      </w:r>
      <w:r w:rsidRPr="00087D31">
        <w:rPr>
          <w:bCs/>
          <w:sz w:val="20"/>
          <w:szCs w:val="20"/>
          <w:vertAlign w:val="subscript"/>
        </w:rPr>
        <w:t>3</w:t>
      </w:r>
      <w:r w:rsidRPr="00087D31">
        <w:rPr>
          <w:bCs/>
          <w:sz w:val="20"/>
          <w:szCs w:val="20"/>
        </w:rPr>
        <w:t xml:space="preserve"> can be potentially obtained from various waste material sources, in particular food/plant waste</w:t>
      </w:r>
      <w:r w:rsidR="00D75191">
        <w:rPr>
          <w:bCs/>
          <w:sz w:val="20"/>
          <w:szCs w:val="20"/>
        </w:rPr>
        <w:t>, thus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lastRenderedPageBreak/>
        <w:t xml:space="preserve">reducing AAC production costs, especially </w:t>
      </w:r>
      <w:r w:rsidR="00D75191">
        <w:rPr>
          <w:bCs/>
          <w:sz w:val="20"/>
          <w:szCs w:val="20"/>
        </w:rPr>
        <w:t xml:space="preserve">important </w:t>
      </w:r>
      <w:r>
        <w:rPr>
          <w:bCs/>
          <w:sz w:val="20"/>
          <w:szCs w:val="20"/>
        </w:rPr>
        <w:t xml:space="preserve">for lower income countries and providing a waste management solution. Ongoing and future work is planned to replicate the tests shown here, extend the durability investigations with further testing (sulphate resistance, effective porosity </w:t>
      </w:r>
      <w:r w:rsidR="00D75191">
        <w:rPr>
          <w:bCs/>
          <w:sz w:val="20"/>
          <w:szCs w:val="20"/>
        </w:rPr>
        <w:t xml:space="preserve">testing </w:t>
      </w:r>
      <w:r>
        <w:rPr>
          <w:bCs/>
          <w:sz w:val="20"/>
          <w:szCs w:val="20"/>
        </w:rPr>
        <w:t xml:space="preserve">etc) and </w:t>
      </w:r>
      <w:r w:rsidR="00E93F6E">
        <w:rPr>
          <w:bCs/>
          <w:sz w:val="20"/>
          <w:szCs w:val="20"/>
        </w:rPr>
        <w:t xml:space="preserve">perform material analysis to interpret the findings. We </w:t>
      </w:r>
      <w:r>
        <w:rPr>
          <w:bCs/>
          <w:sz w:val="20"/>
          <w:szCs w:val="20"/>
        </w:rPr>
        <w:t xml:space="preserve">also intend to specifically </w:t>
      </w:r>
      <w:r w:rsidR="00824CD4">
        <w:rPr>
          <w:bCs/>
          <w:sz w:val="20"/>
          <w:szCs w:val="20"/>
        </w:rPr>
        <w:t>test AAC with</w:t>
      </w:r>
      <w:r>
        <w:rPr>
          <w:bCs/>
          <w:sz w:val="20"/>
          <w:szCs w:val="20"/>
        </w:rPr>
        <w:t xml:space="preserve"> K</w:t>
      </w:r>
      <w:r w:rsidRPr="00824CD4">
        <w:rPr>
          <w:bCs/>
          <w:sz w:val="20"/>
          <w:szCs w:val="20"/>
          <w:vertAlign w:val="subscript"/>
        </w:rPr>
        <w:t>2</w:t>
      </w:r>
      <w:r>
        <w:rPr>
          <w:bCs/>
          <w:sz w:val="20"/>
          <w:szCs w:val="20"/>
        </w:rPr>
        <w:t>CO</w:t>
      </w:r>
      <w:r w:rsidRPr="00824CD4">
        <w:rPr>
          <w:bCs/>
          <w:sz w:val="20"/>
          <w:szCs w:val="20"/>
          <w:vertAlign w:val="subscript"/>
        </w:rPr>
        <w:t>3</w:t>
      </w:r>
      <w:r>
        <w:rPr>
          <w:bCs/>
          <w:sz w:val="20"/>
          <w:szCs w:val="20"/>
        </w:rPr>
        <w:t xml:space="preserve"> obtained from plant waste.</w:t>
      </w:r>
    </w:p>
    <w:p w14:paraId="3B38BA64" w14:textId="77777777" w:rsidR="00601436" w:rsidRDefault="00601436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</w:rPr>
      </w:pPr>
    </w:p>
    <w:p w14:paraId="1DBA2018" w14:textId="77777777" w:rsidR="00601436" w:rsidRPr="004C57FE" w:rsidRDefault="00601436" w:rsidP="00601436">
      <w:pPr>
        <w:autoSpaceDE w:val="0"/>
        <w:autoSpaceDN w:val="0"/>
        <w:adjustRightInd w:val="0"/>
        <w:spacing w:line="240" w:lineRule="atLeast"/>
        <w:jc w:val="both"/>
        <w:rPr>
          <w:b/>
          <w:sz w:val="20"/>
          <w:szCs w:val="20"/>
        </w:rPr>
      </w:pPr>
      <w:r w:rsidRPr="004C57FE">
        <w:rPr>
          <w:b/>
          <w:sz w:val="20"/>
          <w:szCs w:val="20"/>
        </w:rPr>
        <w:t xml:space="preserve">Acknowledgement </w:t>
      </w:r>
    </w:p>
    <w:p w14:paraId="3B601BD9" w14:textId="4031A2D9" w:rsidR="00601436" w:rsidRPr="00087D31" w:rsidRDefault="00601436" w:rsidP="00601436">
      <w:pPr>
        <w:autoSpaceDE w:val="0"/>
        <w:autoSpaceDN w:val="0"/>
        <w:adjustRightInd w:val="0"/>
        <w:spacing w:line="240" w:lineRule="atLeas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The contribution of </w:t>
      </w:r>
      <w:r w:rsidR="004C57FE">
        <w:rPr>
          <w:bCs/>
          <w:sz w:val="20"/>
          <w:szCs w:val="20"/>
        </w:rPr>
        <w:t>A. H. Zanki, K. Patel and M. Jennings in carrying out the tests with the assistance</w:t>
      </w:r>
      <w:r w:rsidRPr="00601436">
        <w:rPr>
          <w:bCs/>
          <w:sz w:val="20"/>
          <w:szCs w:val="20"/>
        </w:rPr>
        <w:t xml:space="preserve"> </w:t>
      </w:r>
      <w:r w:rsidR="004C57FE">
        <w:rPr>
          <w:bCs/>
          <w:sz w:val="20"/>
          <w:szCs w:val="20"/>
        </w:rPr>
        <w:t xml:space="preserve">of </w:t>
      </w:r>
      <w:r w:rsidRPr="00601436">
        <w:rPr>
          <w:bCs/>
          <w:sz w:val="20"/>
          <w:szCs w:val="20"/>
        </w:rPr>
        <w:t>Graham Bird</w:t>
      </w:r>
      <w:r w:rsidR="004C57FE">
        <w:rPr>
          <w:bCs/>
          <w:sz w:val="20"/>
          <w:szCs w:val="20"/>
        </w:rPr>
        <w:t xml:space="preserve"> </w:t>
      </w:r>
      <w:r w:rsidRPr="00601436">
        <w:rPr>
          <w:bCs/>
          <w:sz w:val="20"/>
          <w:szCs w:val="20"/>
        </w:rPr>
        <w:t xml:space="preserve">and Paul Elsdon </w:t>
      </w:r>
      <w:r w:rsidR="004C57FE">
        <w:rPr>
          <w:bCs/>
          <w:sz w:val="20"/>
          <w:szCs w:val="20"/>
        </w:rPr>
        <w:t>is gratefully acknowledged</w:t>
      </w:r>
      <w:r w:rsidRPr="00601436">
        <w:rPr>
          <w:bCs/>
          <w:sz w:val="20"/>
          <w:szCs w:val="20"/>
        </w:rPr>
        <w:t>.</w:t>
      </w:r>
    </w:p>
    <w:p w14:paraId="029F5586" w14:textId="77777777" w:rsidR="00087D31" w:rsidRPr="00087D31" w:rsidRDefault="00087D31" w:rsidP="007F03BD">
      <w:pPr>
        <w:autoSpaceDE w:val="0"/>
        <w:autoSpaceDN w:val="0"/>
        <w:adjustRightInd w:val="0"/>
        <w:spacing w:line="240" w:lineRule="atLeast"/>
        <w:jc w:val="both"/>
        <w:rPr>
          <w:bCs/>
          <w:sz w:val="18"/>
          <w:szCs w:val="20"/>
          <w:lang w:val="en-US"/>
        </w:rPr>
      </w:pPr>
    </w:p>
    <w:p w14:paraId="3297EF1F" w14:textId="7CEA3513" w:rsidR="00A94A6A" w:rsidRDefault="007F03BD" w:rsidP="00E7418B">
      <w:pPr>
        <w:autoSpaceDE w:val="0"/>
        <w:autoSpaceDN w:val="0"/>
        <w:adjustRightInd w:val="0"/>
        <w:spacing w:line="240" w:lineRule="atLeast"/>
        <w:jc w:val="both"/>
        <w:rPr>
          <w:sz w:val="18"/>
          <w:szCs w:val="20"/>
          <w:lang w:val="en-US"/>
        </w:rPr>
      </w:pPr>
      <w:r w:rsidRPr="004D1062">
        <w:rPr>
          <w:b/>
          <w:sz w:val="18"/>
          <w:szCs w:val="20"/>
          <w:lang w:val="en-US"/>
        </w:rPr>
        <w:t>References</w:t>
      </w:r>
      <w:r w:rsidR="00D02261">
        <w:rPr>
          <w:b/>
          <w:sz w:val="18"/>
          <w:szCs w:val="20"/>
          <w:lang w:val="en-US"/>
        </w:rPr>
        <w:t xml:space="preserve"> </w:t>
      </w:r>
      <w:r w:rsidR="00A94A6A" w:rsidRPr="00A94A6A">
        <w:rPr>
          <w:sz w:val="18"/>
          <w:szCs w:val="20"/>
          <w:lang w:val="en-US"/>
        </w:rPr>
        <w:t xml:space="preserve"> </w:t>
      </w:r>
    </w:p>
    <w:p w14:paraId="36A90D86" w14:textId="120DB2FB" w:rsidR="00A94A6A" w:rsidRDefault="00A94A6A" w:rsidP="00A94A6A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>
        <w:rPr>
          <w:sz w:val="18"/>
          <w:szCs w:val="20"/>
          <w:lang w:val="en-US"/>
        </w:rPr>
        <w:t>Bernal S.A. et al.</w:t>
      </w:r>
      <w:r w:rsidRPr="00D61530">
        <w:rPr>
          <w:sz w:val="18"/>
          <w:szCs w:val="20"/>
          <w:lang w:val="en-US"/>
        </w:rPr>
        <w:t xml:space="preserve"> (2014) </w:t>
      </w:r>
      <w:r>
        <w:rPr>
          <w:sz w:val="18"/>
          <w:szCs w:val="20"/>
          <w:lang w:val="en-US"/>
        </w:rPr>
        <w:t>Binder chemistry -High-calcium alkali-activated materials</w:t>
      </w:r>
      <w:r w:rsidRPr="00D61530">
        <w:rPr>
          <w:sz w:val="18"/>
          <w:szCs w:val="20"/>
          <w:lang w:val="en-US"/>
        </w:rPr>
        <w:t xml:space="preserve">. In: </w:t>
      </w:r>
      <w:proofErr w:type="spellStart"/>
      <w:r w:rsidRPr="00D61530">
        <w:rPr>
          <w:sz w:val="18"/>
          <w:szCs w:val="20"/>
          <w:lang w:val="en-US"/>
        </w:rPr>
        <w:t>Provis</w:t>
      </w:r>
      <w:proofErr w:type="spellEnd"/>
      <w:r w:rsidRPr="00D61530">
        <w:rPr>
          <w:sz w:val="18"/>
          <w:szCs w:val="20"/>
          <w:lang w:val="en-US"/>
        </w:rPr>
        <w:t xml:space="preserve"> JL, van Deventer JSJ (eds) </w:t>
      </w:r>
      <w:r w:rsidRPr="006B0A36">
        <w:rPr>
          <w:i/>
          <w:iCs/>
          <w:sz w:val="18"/>
          <w:szCs w:val="20"/>
          <w:lang w:val="en-US"/>
        </w:rPr>
        <w:t>Alkali-activated materials: state-of-the-art report, RILEM TC 224-AAM</w:t>
      </w:r>
      <w:r w:rsidRPr="00D61530">
        <w:rPr>
          <w:sz w:val="18"/>
          <w:szCs w:val="20"/>
          <w:lang w:val="en-US"/>
        </w:rPr>
        <w:t>. Springer, Dordrecht</w:t>
      </w:r>
      <w:r>
        <w:rPr>
          <w:sz w:val="18"/>
          <w:szCs w:val="20"/>
          <w:lang w:val="en-US"/>
        </w:rPr>
        <w:t>.</w:t>
      </w:r>
    </w:p>
    <w:p w14:paraId="68DB83BE" w14:textId="77777777" w:rsidR="00E7418B" w:rsidRPr="00E7418B" w:rsidRDefault="00E7418B" w:rsidP="00E7418B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E7418B">
        <w:rPr>
          <w:sz w:val="18"/>
          <w:szCs w:val="20"/>
          <w:lang w:val="en-US"/>
        </w:rPr>
        <w:t>British Standards Institution (2011) BS EN 1881-122:2011: Testing concrete Part 122: Method for determination of water absorption. BSI, London</w:t>
      </w:r>
    </w:p>
    <w:p w14:paraId="485A0656" w14:textId="77777777" w:rsidR="00E7418B" w:rsidRPr="00E7418B" w:rsidRDefault="00E7418B" w:rsidP="00E7418B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E7418B">
        <w:rPr>
          <w:sz w:val="18"/>
          <w:szCs w:val="20"/>
          <w:lang w:val="en-US"/>
        </w:rPr>
        <w:t>British</w:t>
      </w:r>
      <w:r w:rsidRPr="00E7418B">
        <w:rPr>
          <w:sz w:val="18"/>
          <w:szCs w:val="20"/>
          <w:lang w:val="en-GB"/>
        </w:rPr>
        <w:t xml:space="preserve"> </w:t>
      </w:r>
      <w:r w:rsidRPr="00E7418B">
        <w:rPr>
          <w:sz w:val="18"/>
          <w:szCs w:val="20"/>
          <w:lang w:val="en-US"/>
        </w:rPr>
        <w:t xml:space="preserve">Standards </w:t>
      </w:r>
      <w:r w:rsidRPr="00E7418B">
        <w:rPr>
          <w:sz w:val="18"/>
          <w:szCs w:val="20"/>
          <w:lang w:val="en-GB"/>
        </w:rPr>
        <w:t xml:space="preserve">Institution (BSI) </w:t>
      </w:r>
      <w:r w:rsidRPr="00E7418B">
        <w:rPr>
          <w:sz w:val="18"/>
          <w:szCs w:val="20"/>
          <w:lang w:val="en-US"/>
        </w:rPr>
        <w:t xml:space="preserve">(2019a), </w:t>
      </w:r>
      <w:bookmarkStart w:id="2" w:name="_Hlk101175983"/>
      <w:r w:rsidRPr="00E7418B">
        <w:rPr>
          <w:i/>
          <w:sz w:val="18"/>
          <w:szCs w:val="20"/>
          <w:lang w:val="en-US"/>
        </w:rPr>
        <w:t>BS EN 12390-3:2019</w:t>
      </w:r>
      <w:bookmarkEnd w:id="2"/>
      <w:r w:rsidRPr="00E7418B">
        <w:rPr>
          <w:i/>
          <w:sz w:val="18"/>
          <w:szCs w:val="20"/>
          <w:lang w:val="en-US"/>
        </w:rPr>
        <w:t>: Testing hardened concrete</w:t>
      </w:r>
      <w:r w:rsidRPr="00E7418B">
        <w:rPr>
          <w:i/>
          <w:sz w:val="18"/>
          <w:szCs w:val="20"/>
          <w:lang w:val="en-GB"/>
        </w:rPr>
        <w:t xml:space="preserve">. </w:t>
      </w:r>
      <w:r w:rsidRPr="00E7418B">
        <w:rPr>
          <w:i/>
          <w:sz w:val="18"/>
          <w:szCs w:val="20"/>
          <w:lang w:val="en-US"/>
        </w:rPr>
        <w:t>Part 3:</w:t>
      </w:r>
      <w:r w:rsidRPr="00E7418B">
        <w:rPr>
          <w:sz w:val="18"/>
          <w:szCs w:val="20"/>
          <w:lang w:val="en-US"/>
        </w:rPr>
        <w:t xml:space="preserve"> </w:t>
      </w:r>
      <w:r w:rsidRPr="00E7418B">
        <w:rPr>
          <w:i/>
          <w:iCs/>
          <w:sz w:val="18"/>
          <w:szCs w:val="20"/>
          <w:lang w:val="en-US"/>
        </w:rPr>
        <w:t>Compressive strength of test specimens</w:t>
      </w:r>
      <w:r w:rsidRPr="00E7418B">
        <w:rPr>
          <w:sz w:val="18"/>
          <w:szCs w:val="20"/>
          <w:lang w:val="en-US"/>
        </w:rPr>
        <w:t>, BSI, London.</w:t>
      </w:r>
    </w:p>
    <w:p w14:paraId="40B1E3D0" w14:textId="77777777" w:rsidR="00E7418B" w:rsidRDefault="00E7418B" w:rsidP="00E7418B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E7418B">
        <w:rPr>
          <w:sz w:val="18"/>
          <w:szCs w:val="20"/>
          <w:lang w:val="en-US"/>
        </w:rPr>
        <w:t xml:space="preserve">British Standards Institution (BSI) (2019b): </w:t>
      </w:r>
      <w:r w:rsidRPr="00E7418B">
        <w:rPr>
          <w:i/>
          <w:iCs/>
          <w:sz w:val="18"/>
          <w:szCs w:val="20"/>
          <w:lang w:val="en-US"/>
        </w:rPr>
        <w:t>BS EN 12390-6:2019: Testing hardened concrete —Part 6: Tensile splitting strength of test specimens</w:t>
      </w:r>
      <w:r w:rsidRPr="00E7418B">
        <w:rPr>
          <w:sz w:val="18"/>
          <w:szCs w:val="20"/>
          <w:lang w:val="en-US"/>
        </w:rPr>
        <w:t xml:space="preserve">. BSI, London </w:t>
      </w:r>
    </w:p>
    <w:p w14:paraId="3BCC9F87" w14:textId="0E4161F1" w:rsidR="007B3A82" w:rsidRPr="00E7418B" w:rsidRDefault="007B3A82" w:rsidP="00E7418B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7B3A82">
        <w:rPr>
          <w:sz w:val="18"/>
          <w:szCs w:val="20"/>
        </w:rPr>
        <w:t>Keykha A</w:t>
      </w:r>
      <w:r>
        <w:rPr>
          <w:sz w:val="18"/>
          <w:szCs w:val="20"/>
        </w:rPr>
        <w:t xml:space="preserve">. </w:t>
      </w:r>
      <w:r w:rsidRPr="007B3A82">
        <w:rPr>
          <w:sz w:val="18"/>
          <w:szCs w:val="20"/>
        </w:rPr>
        <w:t>H</w:t>
      </w:r>
      <w:r>
        <w:rPr>
          <w:sz w:val="18"/>
          <w:szCs w:val="20"/>
        </w:rPr>
        <w:t>.</w:t>
      </w:r>
      <w:r w:rsidRPr="007B3A82">
        <w:rPr>
          <w:sz w:val="18"/>
          <w:szCs w:val="20"/>
        </w:rPr>
        <w:t>, Najmaddini</w:t>
      </w:r>
      <w:r>
        <w:rPr>
          <w:sz w:val="18"/>
          <w:szCs w:val="20"/>
        </w:rPr>
        <w:t xml:space="preserve"> J. (2020)</w:t>
      </w:r>
      <w:r w:rsidRPr="007B3A82">
        <w:t xml:space="preserve"> </w:t>
      </w:r>
      <w:r w:rsidRPr="007B3A82">
        <w:rPr>
          <w:sz w:val="18"/>
          <w:szCs w:val="20"/>
        </w:rPr>
        <w:t>Experimental Investigation of Strength and Water Absorption of Concrete Containing Desert Sand</w:t>
      </w:r>
      <w:r w:rsidRPr="007B3A82">
        <w:t xml:space="preserve"> </w:t>
      </w:r>
      <w:r w:rsidRPr="007B3A82">
        <w:rPr>
          <w:i/>
          <w:iCs/>
          <w:sz w:val="18"/>
          <w:szCs w:val="20"/>
        </w:rPr>
        <w:t>Journal of Geotechnical Geology</w:t>
      </w:r>
      <w:r w:rsidRPr="007B3A82">
        <w:t xml:space="preserve"> </w:t>
      </w:r>
      <w:r w:rsidRPr="007B3A82">
        <w:rPr>
          <w:sz w:val="18"/>
          <w:szCs w:val="20"/>
        </w:rPr>
        <w:t>16 (1) 365–373</w:t>
      </w:r>
    </w:p>
    <w:p w14:paraId="7EEF4F92" w14:textId="70A84B5F" w:rsidR="007F03BD" w:rsidRDefault="006C28DB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6C28DB">
        <w:rPr>
          <w:sz w:val="18"/>
          <w:szCs w:val="20"/>
          <w:lang w:val="en-US"/>
        </w:rPr>
        <w:t xml:space="preserve">Mavroulidou, M. and </w:t>
      </w:r>
      <w:proofErr w:type="spellStart"/>
      <w:r w:rsidRPr="006C28DB">
        <w:rPr>
          <w:sz w:val="18"/>
          <w:szCs w:val="20"/>
          <w:lang w:val="en-US"/>
        </w:rPr>
        <w:t>Martynková</w:t>
      </w:r>
      <w:proofErr w:type="spellEnd"/>
      <w:r w:rsidRPr="006C28DB">
        <w:rPr>
          <w:sz w:val="18"/>
          <w:szCs w:val="20"/>
          <w:lang w:val="en-US"/>
        </w:rPr>
        <w:t xml:space="preserve">, R (2018), A study of alkali-activated concrete mixes with ground granulated blast furnace slag Journal of the Global Network </w:t>
      </w:r>
      <w:proofErr w:type="gramStart"/>
      <w:r w:rsidRPr="006C28DB">
        <w:rPr>
          <w:sz w:val="18"/>
          <w:szCs w:val="20"/>
          <w:lang w:val="en-US"/>
        </w:rPr>
        <w:t>For</w:t>
      </w:r>
      <w:proofErr w:type="gramEnd"/>
      <w:r w:rsidRPr="006C28DB">
        <w:rPr>
          <w:sz w:val="18"/>
          <w:szCs w:val="20"/>
          <w:lang w:val="en-US"/>
        </w:rPr>
        <w:t xml:space="preserve"> Environmental Science and Technology 20, 216-225.</w:t>
      </w:r>
    </w:p>
    <w:p w14:paraId="54C5558A" w14:textId="77777777" w:rsidR="00EE66AD" w:rsidRDefault="00EE66AD" w:rsidP="00EE66AD">
      <w:pPr>
        <w:spacing w:after="80" w:line="240" w:lineRule="atLeast"/>
        <w:ind w:left="426" w:hanging="426"/>
        <w:jc w:val="both"/>
        <w:rPr>
          <w:sz w:val="18"/>
          <w:szCs w:val="20"/>
        </w:rPr>
      </w:pPr>
      <w:r w:rsidRPr="00876B78">
        <w:rPr>
          <w:sz w:val="18"/>
          <w:szCs w:val="20"/>
          <w:lang w:val="en-US"/>
        </w:rPr>
        <w:t xml:space="preserve">Mavroulidou, M., Shah S. (2021) Alkali-activated slag concrete with paper industry waste, </w:t>
      </w:r>
      <w:r w:rsidRPr="00876B78">
        <w:rPr>
          <w:i/>
          <w:iCs/>
          <w:sz w:val="18"/>
          <w:szCs w:val="20"/>
          <w:lang w:val="en-US"/>
        </w:rPr>
        <w:t>Waste Management and Research</w:t>
      </w:r>
      <w:r w:rsidRPr="00876B78">
        <w:rPr>
          <w:sz w:val="18"/>
          <w:szCs w:val="20"/>
          <w:lang w:val="en-US"/>
        </w:rPr>
        <w:t xml:space="preserve">, </w:t>
      </w:r>
      <w:r w:rsidRPr="00876B78">
        <w:rPr>
          <w:b/>
          <w:bCs/>
          <w:sz w:val="18"/>
          <w:szCs w:val="20"/>
        </w:rPr>
        <w:t>39</w:t>
      </w:r>
      <w:r w:rsidRPr="00876B78">
        <w:rPr>
          <w:sz w:val="18"/>
          <w:szCs w:val="20"/>
        </w:rPr>
        <w:t>(3):466-472</w:t>
      </w:r>
      <w:r>
        <w:rPr>
          <w:sz w:val="18"/>
          <w:szCs w:val="20"/>
        </w:rPr>
        <w:t>.</w:t>
      </w:r>
    </w:p>
    <w:p w14:paraId="56383009" w14:textId="672D6D41" w:rsidR="00EE66AD" w:rsidRPr="00EE66AD" w:rsidRDefault="00EE66AD" w:rsidP="00EE66AD">
      <w:pPr>
        <w:spacing w:after="80" w:line="240" w:lineRule="atLeast"/>
        <w:ind w:left="426" w:hanging="426"/>
        <w:jc w:val="both"/>
        <w:rPr>
          <w:sz w:val="18"/>
          <w:szCs w:val="20"/>
        </w:rPr>
      </w:pPr>
      <w:r w:rsidRPr="00EE66AD">
        <w:rPr>
          <w:sz w:val="18"/>
          <w:szCs w:val="20"/>
          <w:lang w:val="en-GB"/>
        </w:rPr>
        <w:t>Mavroulidou, M, Morrison, T., Unsworth C., Gunn, M. (2015)</w:t>
      </w:r>
      <w:r>
        <w:rPr>
          <w:sz w:val="18"/>
          <w:szCs w:val="20"/>
          <w:lang w:val="en-GB"/>
        </w:rPr>
        <w:t xml:space="preserve"> Pr</w:t>
      </w:r>
      <w:r w:rsidRPr="00EE66AD">
        <w:rPr>
          <w:sz w:val="18"/>
          <w:szCs w:val="20"/>
          <w:lang w:val="en-GB"/>
        </w:rPr>
        <w:t xml:space="preserve">operties of concrete made of multi-component mixes of low energy binders, </w:t>
      </w:r>
      <w:r w:rsidRPr="00EE66AD">
        <w:rPr>
          <w:i/>
          <w:iCs/>
          <w:sz w:val="18"/>
          <w:szCs w:val="20"/>
          <w:lang w:val="en-GB"/>
        </w:rPr>
        <w:t>Construction and Building Materials</w:t>
      </w:r>
      <w:r w:rsidRPr="00EE66AD">
        <w:rPr>
          <w:sz w:val="18"/>
          <w:szCs w:val="20"/>
          <w:lang w:val="en-GB"/>
        </w:rPr>
        <w:t xml:space="preserve">, </w:t>
      </w:r>
      <w:r w:rsidRPr="00EE66AD">
        <w:rPr>
          <w:b/>
          <w:bCs/>
          <w:sz w:val="18"/>
          <w:szCs w:val="20"/>
          <w:lang w:val="en-GB"/>
        </w:rPr>
        <w:t>101</w:t>
      </w:r>
      <w:r w:rsidRPr="00EE66AD">
        <w:rPr>
          <w:sz w:val="18"/>
          <w:szCs w:val="20"/>
          <w:lang w:val="en-GB"/>
        </w:rPr>
        <w:t xml:space="preserve"> (1), 1122-1141</w:t>
      </w:r>
      <w:r>
        <w:rPr>
          <w:sz w:val="18"/>
          <w:szCs w:val="20"/>
          <w:lang w:val="en-GB"/>
        </w:rPr>
        <w:t xml:space="preserve"> </w:t>
      </w:r>
      <w:hyperlink r:id="rId12" w:history="1">
        <w:r w:rsidRPr="00EE66AD">
          <w:rPr>
            <w:rStyle w:val="Hyperlink"/>
            <w:sz w:val="18"/>
            <w:szCs w:val="20"/>
            <w:lang w:val="en-GB"/>
          </w:rPr>
          <w:t>http://dx.doi.org/10.1016/j.conbuildmat.2015.10.091</w:t>
        </w:r>
      </w:hyperlink>
    </w:p>
    <w:p w14:paraId="002672C9" w14:textId="77777777" w:rsidR="00794F4C" w:rsidRDefault="006C28DB" w:rsidP="00A94A6A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6C28DB">
        <w:rPr>
          <w:sz w:val="18"/>
          <w:szCs w:val="20"/>
          <w:lang w:val="en-US"/>
        </w:rPr>
        <w:t>Mavroulidou, M.</w:t>
      </w:r>
      <w:r>
        <w:rPr>
          <w:sz w:val="18"/>
          <w:szCs w:val="20"/>
          <w:lang w:val="en-US"/>
        </w:rPr>
        <w:t xml:space="preserve">, Sanam I., Mengasini L. </w:t>
      </w:r>
      <w:r w:rsidRPr="006C28DB">
        <w:rPr>
          <w:sz w:val="18"/>
          <w:szCs w:val="20"/>
          <w:lang w:val="en-US"/>
        </w:rPr>
        <w:t>(20</w:t>
      </w:r>
      <w:r>
        <w:rPr>
          <w:sz w:val="18"/>
          <w:szCs w:val="20"/>
          <w:lang w:val="en-US"/>
        </w:rPr>
        <w:t>23</w:t>
      </w:r>
      <w:r w:rsidRPr="006C28DB">
        <w:rPr>
          <w:sz w:val="18"/>
          <w:szCs w:val="20"/>
          <w:lang w:val="en-US"/>
        </w:rPr>
        <w:t>), Mechanical and durability performance of alkali-activated slag cement concretes with carbonate and silicate activators</w:t>
      </w:r>
      <w:r>
        <w:rPr>
          <w:sz w:val="18"/>
          <w:szCs w:val="20"/>
          <w:lang w:val="en-US"/>
        </w:rPr>
        <w:t>.</w:t>
      </w:r>
      <w:r w:rsidRPr="006C28DB">
        <w:t xml:space="preserve"> </w:t>
      </w:r>
      <w:r w:rsidRPr="006C28DB">
        <w:rPr>
          <w:sz w:val="18"/>
          <w:szCs w:val="20"/>
          <w:lang w:val="en-US"/>
        </w:rPr>
        <w:t xml:space="preserve">Sustainable Chemistry and Pharmacy </w:t>
      </w:r>
      <w:r w:rsidRPr="006C28DB">
        <w:rPr>
          <w:b/>
          <w:bCs/>
          <w:sz w:val="18"/>
          <w:szCs w:val="20"/>
          <w:lang w:val="en-US"/>
        </w:rPr>
        <w:t>31</w:t>
      </w:r>
      <w:r w:rsidRPr="006C28DB">
        <w:rPr>
          <w:sz w:val="18"/>
          <w:szCs w:val="20"/>
          <w:lang w:val="en-US"/>
        </w:rPr>
        <w:t>(4):100896</w:t>
      </w:r>
      <w:r>
        <w:rPr>
          <w:sz w:val="18"/>
          <w:szCs w:val="20"/>
          <w:lang w:val="en-US"/>
        </w:rPr>
        <w:t xml:space="preserve"> </w:t>
      </w:r>
      <w:proofErr w:type="gramStart"/>
      <w:r w:rsidRPr="006C28DB">
        <w:rPr>
          <w:sz w:val="18"/>
          <w:szCs w:val="20"/>
          <w:lang w:val="en-US"/>
        </w:rPr>
        <w:t>DOI:10.1016/j.scp</w:t>
      </w:r>
      <w:proofErr w:type="gramEnd"/>
      <w:r w:rsidRPr="006C28DB">
        <w:rPr>
          <w:sz w:val="18"/>
          <w:szCs w:val="20"/>
          <w:lang w:val="en-US"/>
        </w:rPr>
        <w:t>.2022.100896</w:t>
      </w:r>
      <w:r w:rsidR="00A94A6A" w:rsidRPr="00A94A6A">
        <w:rPr>
          <w:sz w:val="18"/>
          <w:szCs w:val="20"/>
          <w:lang w:val="en-US"/>
        </w:rPr>
        <w:t xml:space="preserve"> </w:t>
      </w:r>
    </w:p>
    <w:p w14:paraId="1180F31C" w14:textId="63E01E0C" w:rsidR="00933E1D" w:rsidRDefault="00794F4C" w:rsidP="00A94A6A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794F4C">
        <w:rPr>
          <w:sz w:val="18"/>
          <w:szCs w:val="20"/>
          <w:lang w:val="en-US"/>
        </w:rPr>
        <w:t xml:space="preserve">Mengasini L., Mavroulidou M., Gunn MJ (2021) Alkali-activated concrete mixes with ground granulated blast furnace slag and paper sludge ash in seawater environments, </w:t>
      </w:r>
      <w:r w:rsidRPr="00794F4C">
        <w:rPr>
          <w:i/>
          <w:iCs/>
          <w:sz w:val="18"/>
          <w:szCs w:val="20"/>
          <w:lang w:val="en-US"/>
        </w:rPr>
        <w:t>Sustainable Chemistry and Pharmacy</w:t>
      </w:r>
      <w:r w:rsidRPr="00794F4C">
        <w:rPr>
          <w:sz w:val="18"/>
          <w:szCs w:val="20"/>
          <w:lang w:val="en-US"/>
        </w:rPr>
        <w:t xml:space="preserve"> </w:t>
      </w:r>
      <w:r w:rsidRPr="00794F4C">
        <w:rPr>
          <w:b/>
          <w:bCs/>
          <w:sz w:val="18"/>
          <w:szCs w:val="20"/>
          <w:lang w:val="en-US"/>
        </w:rPr>
        <w:t>20</w:t>
      </w:r>
      <w:r>
        <w:rPr>
          <w:sz w:val="18"/>
          <w:szCs w:val="20"/>
          <w:lang w:val="en-US"/>
        </w:rPr>
        <w:t>,</w:t>
      </w:r>
      <w:r w:rsidRPr="00794F4C">
        <w:rPr>
          <w:sz w:val="18"/>
          <w:szCs w:val="20"/>
          <w:lang w:val="en-US"/>
        </w:rPr>
        <w:t xml:space="preserve"> 100380</w:t>
      </w:r>
    </w:p>
    <w:p w14:paraId="64C72178" w14:textId="5AC2FBDC" w:rsidR="00A94A6A" w:rsidRDefault="00933E1D" w:rsidP="00A94A6A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933E1D">
        <w:rPr>
          <w:sz w:val="18"/>
          <w:szCs w:val="20"/>
          <w:lang w:val="en-US"/>
        </w:rPr>
        <w:t xml:space="preserve">Neville A.M. (1995), </w:t>
      </w:r>
      <w:r w:rsidRPr="00933E1D">
        <w:rPr>
          <w:i/>
          <w:iCs/>
          <w:sz w:val="18"/>
          <w:szCs w:val="20"/>
          <w:lang w:val="en-US"/>
        </w:rPr>
        <w:t>Properties of concrete</w:t>
      </w:r>
      <w:r w:rsidRPr="00933E1D">
        <w:rPr>
          <w:sz w:val="18"/>
          <w:szCs w:val="20"/>
          <w:lang w:val="en-US"/>
        </w:rPr>
        <w:t xml:space="preserve"> (4</w:t>
      </w:r>
      <w:r w:rsidRPr="00933E1D">
        <w:rPr>
          <w:sz w:val="18"/>
          <w:szCs w:val="20"/>
          <w:vertAlign w:val="superscript"/>
          <w:lang w:val="en-US"/>
        </w:rPr>
        <w:t>th</w:t>
      </w:r>
      <w:r w:rsidRPr="00933E1D">
        <w:rPr>
          <w:sz w:val="18"/>
          <w:szCs w:val="20"/>
          <w:lang w:val="en-US"/>
        </w:rPr>
        <w:t xml:space="preserve"> Ed), Longman, Harlow</w:t>
      </w:r>
      <w:r>
        <w:rPr>
          <w:sz w:val="18"/>
          <w:szCs w:val="20"/>
          <w:lang w:val="en-US"/>
        </w:rPr>
        <w:t>.</w:t>
      </w:r>
    </w:p>
    <w:p w14:paraId="4B86E52A" w14:textId="77777777" w:rsidR="00933E1D" w:rsidRDefault="00933E1D" w:rsidP="00A94A6A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</w:p>
    <w:p w14:paraId="4B78A860" w14:textId="794309DD" w:rsidR="006C28DB" w:rsidRPr="00A94A6A" w:rsidRDefault="006C28DB" w:rsidP="007F03BD">
      <w:pPr>
        <w:spacing w:after="80" w:line="240" w:lineRule="atLeast"/>
        <w:ind w:left="426" w:hanging="426"/>
        <w:jc w:val="both"/>
        <w:rPr>
          <w:sz w:val="18"/>
          <w:szCs w:val="20"/>
        </w:rPr>
      </w:pPr>
    </w:p>
    <w:p w14:paraId="185BE9AD" w14:textId="77777777" w:rsidR="00A94A6A" w:rsidRDefault="00A94A6A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</w:p>
    <w:p w14:paraId="65346A48" w14:textId="77777777" w:rsidR="006C28DB" w:rsidRDefault="006C28DB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</w:p>
    <w:p w14:paraId="507ABB25" w14:textId="77777777" w:rsidR="006C28DB" w:rsidRPr="004D1062" w:rsidRDefault="006C28DB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</w:p>
    <w:p w14:paraId="3DCC942B" w14:textId="77777777" w:rsidR="007F03BD" w:rsidRPr="004D1062" w:rsidRDefault="007F03BD" w:rsidP="007F03BD">
      <w:pPr>
        <w:spacing w:before="240" w:after="240" w:line="240" w:lineRule="atLeast"/>
        <w:jc w:val="both"/>
        <w:rPr>
          <w:sz w:val="18"/>
          <w:szCs w:val="20"/>
          <w:lang w:val="en-US"/>
        </w:rPr>
      </w:pPr>
    </w:p>
    <w:sectPr w:rsidR="007F03BD" w:rsidRPr="004D1062" w:rsidSect="001A505F">
      <w:headerReference w:type="first" r:id="rId13"/>
      <w:type w:val="continuous"/>
      <w:pgSz w:w="11906" w:h="16838" w:code="9"/>
      <w:pgMar w:top="1021" w:right="1021" w:bottom="1021" w:left="1134" w:header="720" w:footer="72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8C48" w14:textId="77777777" w:rsidR="00531B62" w:rsidRDefault="00531B62">
      <w:r>
        <w:separator/>
      </w:r>
    </w:p>
  </w:endnote>
  <w:endnote w:type="continuationSeparator" w:id="0">
    <w:p w14:paraId="26D35C20" w14:textId="77777777" w:rsidR="00531B62" w:rsidRDefault="0053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D79B" w14:textId="77777777" w:rsidR="00531B62" w:rsidRDefault="00531B62">
      <w:r>
        <w:separator/>
      </w:r>
    </w:p>
  </w:footnote>
  <w:footnote w:type="continuationSeparator" w:id="0">
    <w:p w14:paraId="2BC4733F" w14:textId="77777777" w:rsidR="00531B62" w:rsidRDefault="0053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2671"/>
      <w:gridCol w:w="7080"/>
    </w:tblGrid>
    <w:tr w:rsidR="000C5670" w:rsidRPr="00C4604B" w14:paraId="676FF2BE" w14:textId="77777777" w:rsidTr="006C3F3F">
      <w:trPr>
        <w:trHeight w:val="345"/>
        <w:jc w:val="center"/>
      </w:trPr>
      <w:tc>
        <w:tcPr>
          <w:tcW w:w="1179" w:type="pct"/>
          <w:vMerge w:val="restart"/>
          <w:vAlign w:val="center"/>
        </w:tcPr>
        <w:p w14:paraId="40744DCF" w14:textId="77777777" w:rsidR="000C5670" w:rsidRPr="00860F40" w:rsidRDefault="00606435" w:rsidP="00992AD1">
          <w:pPr>
            <w:ind w:left="-96"/>
            <w:jc w:val="right"/>
            <w:rPr>
              <w:rFonts w:ascii="Arial" w:hAnsi="Arial"/>
              <w:i/>
              <w:sz w:val="18"/>
              <w:szCs w:val="18"/>
              <w:highlight w:val="yellow"/>
            </w:rPr>
          </w:pPr>
          <w:r>
            <w:rPr>
              <w:rFonts w:ascii="Arial" w:hAnsi="Arial"/>
              <w:i/>
              <w:noProof/>
              <w:sz w:val="18"/>
              <w:szCs w:val="18"/>
            </w:rPr>
            <w:drawing>
              <wp:inline distT="0" distB="0" distL="0" distR="0" wp14:anchorId="445A0391" wp14:editId="4C479A81">
                <wp:extent cx="1620000" cy="516187"/>
                <wp:effectExtent l="0" t="0" r="0" b="0"/>
                <wp:docPr id="2" name="Picture 2" descr="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516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1" w:type="pct"/>
          <w:vAlign w:val="center"/>
        </w:tcPr>
        <w:p w14:paraId="48D9D291" w14:textId="77777777" w:rsidR="000C5670" w:rsidRPr="00992AD1" w:rsidRDefault="000C5670" w:rsidP="00992AD1">
          <w:pPr>
            <w:jc w:val="right"/>
            <w:rPr>
              <w:i/>
              <w:sz w:val="18"/>
              <w:szCs w:val="18"/>
              <w:lang w:val="en-GB"/>
            </w:rPr>
          </w:pPr>
          <w:r w:rsidRPr="00992AD1">
            <w:rPr>
              <w:i/>
              <w:sz w:val="18"/>
              <w:szCs w:val="18"/>
              <w:lang w:val="en-GB"/>
            </w:rPr>
            <w:t>1</w:t>
          </w:r>
          <w:r w:rsidR="00606435">
            <w:rPr>
              <w:i/>
              <w:sz w:val="18"/>
              <w:szCs w:val="18"/>
              <w:lang w:val="en-GB"/>
            </w:rPr>
            <w:t>8</w:t>
          </w:r>
          <w:r w:rsidRPr="00992AD1">
            <w:rPr>
              <w:i/>
              <w:sz w:val="18"/>
              <w:szCs w:val="18"/>
              <w:vertAlign w:val="superscript"/>
              <w:lang w:val="en-GB"/>
            </w:rPr>
            <w:t>th</w:t>
          </w:r>
          <w:r w:rsidRPr="00992AD1">
            <w:rPr>
              <w:i/>
              <w:sz w:val="18"/>
              <w:szCs w:val="18"/>
              <w:lang w:val="en-GB"/>
            </w:rPr>
            <w:t xml:space="preserve"> International Conference on Environmental Science and Technology</w:t>
          </w:r>
        </w:p>
      </w:tc>
    </w:tr>
    <w:tr w:rsidR="000C5670" w:rsidRPr="00DC4FA9" w14:paraId="527C4AED" w14:textId="77777777" w:rsidTr="006C3F3F">
      <w:trPr>
        <w:trHeight w:val="345"/>
        <w:jc w:val="center"/>
      </w:trPr>
      <w:tc>
        <w:tcPr>
          <w:tcW w:w="1179" w:type="pct"/>
          <w:vMerge/>
          <w:vAlign w:val="center"/>
        </w:tcPr>
        <w:p w14:paraId="4CC05CB5" w14:textId="77777777" w:rsidR="000C5670" w:rsidRPr="00C4604B" w:rsidRDefault="000C5670" w:rsidP="00992AD1">
          <w:pPr>
            <w:ind w:firstLine="360"/>
            <w:jc w:val="right"/>
            <w:rPr>
              <w:rFonts w:ascii="Arial" w:hAnsi="Arial"/>
              <w:i/>
              <w:sz w:val="18"/>
              <w:szCs w:val="18"/>
              <w:lang w:val="en-GB"/>
            </w:rPr>
          </w:pPr>
        </w:p>
      </w:tc>
      <w:tc>
        <w:tcPr>
          <w:tcW w:w="3821" w:type="pct"/>
          <w:vAlign w:val="center"/>
        </w:tcPr>
        <w:p w14:paraId="0AB164FF" w14:textId="77777777" w:rsidR="000C5670" w:rsidRPr="00992AD1" w:rsidRDefault="00FE4361" w:rsidP="00992AD1">
          <w:pPr>
            <w:ind w:firstLine="360"/>
            <w:jc w:val="right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Athens</w:t>
          </w:r>
          <w:r w:rsidR="000C5670" w:rsidRPr="00992AD1">
            <w:rPr>
              <w:i/>
              <w:sz w:val="18"/>
              <w:szCs w:val="18"/>
            </w:rPr>
            <w:t xml:space="preserve">, Greece, </w:t>
          </w:r>
          <w:r w:rsidR="00606435">
            <w:rPr>
              <w:i/>
              <w:sz w:val="18"/>
              <w:szCs w:val="18"/>
            </w:rPr>
            <w:t>30 August</w:t>
          </w:r>
          <w:r w:rsidR="000C5670" w:rsidRPr="00992AD1">
            <w:rPr>
              <w:i/>
              <w:sz w:val="18"/>
              <w:szCs w:val="18"/>
            </w:rPr>
            <w:t xml:space="preserve"> to </w:t>
          </w:r>
          <w:r w:rsidR="00606435">
            <w:rPr>
              <w:i/>
              <w:sz w:val="18"/>
              <w:szCs w:val="18"/>
            </w:rPr>
            <w:t>2</w:t>
          </w:r>
          <w:r w:rsidR="000C5670" w:rsidRPr="00992AD1">
            <w:rPr>
              <w:i/>
              <w:sz w:val="18"/>
              <w:szCs w:val="18"/>
            </w:rPr>
            <w:t xml:space="preserve"> September 20</w:t>
          </w:r>
          <w:r>
            <w:rPr>
              <w:i/>
              <w:sz w:val="18"/>
              <w:szCs w:val="18"/>
            </w:rPr>
            <w:t>2</w:t>
          </w:r>
          <w:r w:rsidR="00606435">
            <w:rPr>
              <w:i/>
              <w:sz w:val="18"/>
              <w:szCs w:val="18"/>
            </w:rPr>
            <w:t>3</w:t>
          </w:r>
        </w:p>
      </w:tc>
    </w:tr>
  </w:tbl>
  <w:p w14:paraId="05533A19" w14:textId="77777777" w:rsidR="000C5670" w:rsidRDefault="00000000">
    <w:pPr>
      <w:pStyle w:val="Header"/>
    </w:pPr>
    <w:r>
      <w:rPr>
        <w:noProof/>
      </w:rPr>
      <w:pict w14:anchorId="71FF3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355000" o:spid="_x0000_s1025" type="#_x0000_t136" style="position:absolute;margin-left:0;margin-top:0;width:651pt;height:8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PER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65FD" w14:textId="77777777" w:rsidR="006D4213" w:rsidRDefault="006D42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00A5B03C" wp14:editId="6F6693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267700" cy="1102360"/>
              <wp:effectExtent l="0" t="2619375" r="0" b="2583815"/>
              <wp:wrapNone/>
              <wp:docPr id="4071131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267700" cy="11023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C9C18" w14:textId="77777777" w:rsidR="006D4213" w:rsidRDefault="006D4213" w:rsidP="00ED76A0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PAPER TEMPLATE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5B0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51pt;height:86.8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91C9C18" w14:textId="77777777" w:rsidR="006D4213" w:rsidRDefault="006D4213" w:rsidP="00ED76A0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PAPER TEMPLATE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ACD7" w14:textId="77777777" w:rsidR="000C5670" w:rsidRDefault="00000000">
    <w:pPr>
      <w:pStyle w:val="Header"/>
    </w:pPr>
    <w:r>
      <w:rPr>
        <w:noProof/>
      </w:rPr>
      <w:pict w14:anchorId="66C6C6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651pt;height:86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PER TEMPLAT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B90F" w14:textId="3A613919" w:rsidR="00ED76A0" w:rsidRDefault="00ED76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CFA29B4" wp14:editId="6FA2248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267700" cy="1102360"/>
              <wp:effectExtent l="0" t="2619375" r="0" b="2583815"/>
              <wp:wrapNone/>
              <wp:docPr id="16752989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267700" cy="11023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7BE06" w14:textId="77777777" w:rsidR="00ED76A0" w:rsidRDefault="00ED76A0" w:rsidP="00ED76A0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PAPER TEMPLATE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A29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651pt;height:86.8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897BE06" w14:textId="77777777" w:rsidR="00ED76A0" w:rsidRDefault="00ED76A0" w:rsidP="00ED76A0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PAPER TEMPLATE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D8F"/>
    <w:multiLevelType w:val="hybridMultilevel"/>
    <w:tmpl w:val="CDF82A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71392"/>
    <w:multiLevelType w:val="hybridMultilevel"/>
    <w:tmpl w:val="296EAF32"/>
    <w:lvl w:ilvl="0" w:tplc="851CFC2C">
      <w:start w:val="1"/>
      <w:numFmt w:val="decimal"/>
      <w:pStyle w:val="Maintitl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24F2B"/>
    <w:multiLevelType w:val="singleLevel"/>
    <w:tmpl w:val="1396BE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351712479">
    <w:abstractNumId w:val="0"/>
  </w:num>
  <w:num w:numId="2" w16cid:durableId="645084838">
    <w:abstractNumId w:val="1"/>
  </w:num>
  <w:num w:numId="3" w16cid:durableId="912469043">
    <w:abstractNumId w:val="2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425" w:hanging="283"/>
        </w:pPr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A7"/>
    <w:rsid w:val="00000698"/>
    <w:rsid w:val="0000415D"/>
    <w:rsid w:val="000064B4"/>
    <w:rsid w:val="00014F21"/>
    <w:rsid w:val="00020FE6"/>
    <w:rsid w:val="00021A98"/>
    <w:rsid w:val="00035F63"/>
    <w:rsid w:val="000469B1"/>
    <w:rsid w:val="00053E68"/>
    <w:rsid w:val="0007506E"/>
    <w:rsid w:val="00076BDD"/>
    <w:rsid w:val="0007747A"/>
    <w:rsid w:val="00080E03"/>
    <w:rsid w:val="0008182E"/>
    <w:rsid w:val="00087637"/>
    <w:rsid w:val="00087D31"/>
    <w:rsid w:val="000A7DEE"/>
    <w:rsid w:val="000B40EA"/>
    <w:rsid w:val="000C5670"/>
    <w:rsid w:val="000C5BFA"/>
    <w:rsid w:val="000D409B"/>
    <w:rsid w:val="000F7F61"/>
    <w:rsid w:val="001207C5"/>
    <w:rsid w:val="00134E74"/>
    <w:rsid w:val="001477D2"/>
    <w:rsid w:val="001570DE"/>
    <w:rsid w:val="001741FB"/>
    <w:rsid w:val="00184961"/>
    <w:rsid w:val="00191B01"/>
    <w:rsid w:val="001A3227"/>
    <w:rsid w:val="001A363D"/>
    <w:rsid w:val="001A369C"/>
    <w:rsid w:val="001A4D73"/>
    <w:rsid w:val="001A505F"/>
    <w:rsid w:val="001A6521"/>
    <w:rsid w:val="001C04A1"/>
    <w:rsid w:val="001C0A29"/>
    <w:rsid w:val="001C45BB"/>
    <w:rsid w:val="001D5FB8"/>
    <w:rsid w:val="001F2235"/>
    <w:rsid w:val="0020695F"/>
    <w:rsid w:val="002160E4"/>
    <w:rsid w:val="0022110C"/>
    <w:rsid w:val="00221D5B"/>
    <w:rsid w:val="00221F7E"/>
    <w:rsid w:val="0022532F"/>
    <w:rsid w:val="00227DB6"/>
    <w:rsid w:val="0024206A"/>
    <w:rsid w:val="00245645"/>
    <w:rsid w:val="00255B6B"/>
    <w:rsid w:val="00257ADF"/>
    <w:rsid w:val="00280DC4"/>
    <w:rsid w:val="00286271"/>
    <w:rsid w:val="00295EA5"/>
    <w:rsid w:val="002A22B3"/>
    <w:rsid w:val="002A57FE"/>
    <w:rsid w:val="002A6999"/>
    <w:rsid w:val="002B7A85"/>
    <w:rsid w:val="002C0CA9"/>
    <w:rsid w:val="002C5707"/>
    <w:rsid w:val="002C5C1D"/>
    <w:rsid w:val="002D0FA1"/>
    <w:rsid w:val="002D14E9"/>
    <w:rsid w:val="002D37CA"/>
    <w:rsid w:val="002E510D"/>
    <w:rsid w:val="002F4BD5"/>
    <w:rsid w:val="002F5FF9"/>
    <w:rsid w:val="003315A2"/>
    <w:rsid w:val="00335345"/>
    <w:rsid w:val="00343018"/>
    <w:rsid w:val="003462C5"/>
    <w:rsid w:val="0034760C"/>
    <w:rsid w:val="00352177"/>
    <w:rsid w:val="003625AD"/>
    <w:rsid w:val="00370CAD"/>
    <w:rsid w:val="00372F9C"/>
    <w:rsid w:val="003740C3"/>
    <w:rsid w:val="00376A1F"/>
    <w:rsid w:val="003941CD"/>
    <w:rsid w:val="003A39EF"/>
    <w:rsid w:val="003B5563"/>
    <w:rsid w:val="003B6925"/>
    <w:rsid w:val="003C1716"/>
    <w:rsid w:val="0040446C"/>
    <w:rsid w:val="004121EB"/>
    <w:rsid w:val="00440937"/>
    <w:rsid w:val="00442546"/>
    <w:rsid w:val="0045109A"/>
    <w:rsid w:val="00454E34"/>
    <w:rsid w:val="004653EC"/>
    <w:rsid w:val="004858D2"/>
    <w:rsid w:val="004878C1"/>
    <w:rsid w:val="004A18AF"/>
    <w:rsid w:val="004A53B9"/>
    <w:rsid w:val="004A6949"/>
    <w:rsid w:val="004B00CB"/>
    <w:rsid w:val="004B3B82"/>
    <w:rsid w:val="004B49DE"/>
    <w:rsid w:val="004B52E0"/>
    <w:rsid w:val="004B74C7"/>
    <w:rsid w:val="004C57FE"/>
    <w:rsid w:val="004D1062"/>
    <w:rsid w:val="004D70C4"/>
    <w:rsid w:val="004E5F12"/>
    <w:rsid w:val="004F2264"/>
    <w:rsid w:val="00500981"/>
    <w:rsid w:val="00525632"/>
    <w:rsid w:val="0052657C"/>
    <w:rsid w:val="005302A5"/>
    <w:rsid w:val="00531B62"/>
    <w:rsid w:val="00535FBC"/>
    <w:rsid w:val="00536D70"/>
    <w:rsid w:val="00536E1E"/>
    <w:rsid w:val="00541E35"/>
    <w:rsid w:val="005621DC"/>
    <w:rsid w:val="00563147"/>
    <w:rsid w:val="00567E13"/>
    <w:rsid w:val="00574FD1"/>
    <w:rsid w:val="00581EC1"/>
    <w:rsid w:val="0058292C"/>
    <w:rsid w:val="00586E01"/>
    <w:rsid w:val="005A1818"/>
    <w:rsid w:val="005A7464"/>
    <w:rsid w:val="005A7FB7"/>
    <w:rsid w:val="005B128A"/>
    <w:rsid w:val="005B6BC2"/>
    <w:rsid w:val="005D5D64"/>
    <w:rsid w:val="005D7789"/>
    <w:rsid w:val="005E1504"/>
    <w:rsid w:val="005E7D10"/>
    <w:rsid w:val="005F4DAC"/>
    <w:rsid w:val="00601436"/>
    <w:rsid w:val="00606435"/>
    <w:rsid w:val="00607025"/>
    <w:rsid w:val="00621112"/>
    <w:rsid w:val="006213B4"/>
    <w:rsid w:val="00631A78"/>
    <w:rsid w:val="00633A99"/>
    <w:rsid w:val="006346F7"/>
    <w:rsid w:val="00635700"/>
    <w:rsid w:val="00642C74"/>
    <w:rsid w:val="006442BB"/>
    <w:rsid w:val="00646592"/>
    <w:rsid w:val="00646D94"/>
    <w:rsid w:val="00655911"/>
    <w:rsid w:val="00661147"/>
    <w:rsid w:val="00662B3B"/>
    <w:rsid w:val="00667FF5"/>
    <w:rsid w:val="006703F2"/>
    <w:rsid w:val="00673DB8"/>
    <w:rsid w:val="006B464A"/>
    <w:rsid w:val="006B76E5"/>
    <w:rsid w:val="006C28DB"/>
    <w:rsid w:val="006C3F3F"/>
    <w:rsid w:val="006C3FA5"/>
    <w:rsid w:val="006D4213"/>
    <w:rsid w:val="006D50E1"/>
    <w:rsid w:val="006D7224"/>
    <w:rsid w:val="006E24D1"/>
    <w:rsid w:val="006E2C1A"/>
    <w:rsid w:val="006E599E"/>
    <w:rsid w:val="006F2252"/>
    <w:rsid w:val="006F3AA7"/>
    <w:rsid w:val="00703075"/>
    <w:rsid w:val="00703645"/>
    <w:rsid w:val="00706CFD"/>
    <w:rsid w:val="007179B8"/>
    <w:rsid w:val="00732746"/>
    <w:rsid w:val="00736B5E"/>
    <w:rsid w:val="00746D03"/>
    <w:rsid w:val="00753345"/>
    <w:rsid w:val="0076035C"/>
    <w:rsid w:val="0076074D"/>
    <w:rsid w:val="007622EB"/>
    <w:rsid w:val="007704A4"/>
    <w:rsid w:val="00775148"/>
    <w:rsid w:val="0079285F"/>
    <w:rsid w:val="00793309"/>
    <w:rsid w:val="00794F4C"/>
    <w:rsid w:val="007963D0"/>
    <w:rsid w:val="007968AA"/>
    <w:rsid w:val="007A0894"/>
    <w:rsid w:val="007A2FDF"/>
    <w:rsid w:val="007A4E7D"/>
    <w:rsid w:val="007B3A82"/>
    <w:rsid w:val="007B5DEE"/>
    <w:rsid w:val="007E7A35"/>
    <w:rsid w:val="007F03BD"/>
    <w:rsid w:val="007F2560"/>
    <w:rsid w:val="007F3095"/>
    <w:rsid w:val="007F395F"/>
    <w:rsid w:val="007F6DB8"/>
    <w:rsid w:val="007F7A38"/>
    <w:rsid w:val="00801216"/>
    <w:rsid w:val="00820450"/>
    <w:rsid w:val="00824CD4"/>
    <w:rsid w:val="00827B86"/>
    <w:rsid w:val="00840699"/>
    <w:rsid w:val="00841A6A"/>
    <w:rsid w:val="00843B9E"/>
    <w:rsid w:val="00843F09"/>
    <w:rsid w:val="00857D13"/>
    <w:rsid w:val="008639E6"/>
    <w:rsid w:val="0088058B"/>
    <w:rsid w:val="00886AE0"/>
    <w:rsid w:val="008B0BA6"/>
    <w:rsid w:val="008D52D2"/>
    <w:rsid w:val="008E3D2C"/>
    <w:rsid w:val="00927B24"/>
    <w:rsid w:val="00933D01"/>
    <w:rsid w:val="00933E1D"/>
    <w:rsid w:val="00935BBC"/>
    <w:rsid w:val="0093776C"/>
    <w:rsid w:val="00945D56"/>
    <w:rsid w:val="00976ADA"/>
    <w:rsid w:val="009858BD"/>
    <w:rsid w:val="009911A7"/>
    <w:rsid w:val="009925A5"/>
    <w:rsid w:val="00992AD1"/>
    <w:rsid w:val="00997FCE"/>
    <w:rsid w:val="009A43D5"/>
    <w:rsid w:val="009A4DC8"/>
    <w:rsid w:val="009B43E0"/>
    <w:rsid w:val="009C1A96"/>
    <w:rsid w:val="009C1D32"/>
    <w:rsid w:val="009E4188"/>
    <w:rsid w:val="009E58BA"/>
    <w:rsid w:val="009E5ED7"/>
    <w:rsid w:val="009F0B6E"/>
    <w:rsid w:val="009F6AA4"/>
    <w:rsid w:val="00A00B41"/>
    <w:rsid w:val="00A105B1"/>
    <w:rsid w:val="00A105C0"/>
    <w:rsid w:val="00A2097C"/>
    <w:rsid w:val="00A221FB"/>
    <w:rsid w:val="00A23E96"/>
    <w:rsid w:val="00A25B0F"/>
    <w:rsid w:val="00A30761"/>
    <w:rsid w:val="00A40909"/>
    <w:rsid w:val="00A45F17"/>
    <w:rsid w:val="00A47A05"/>
    <w:rsid w:val="00A50BAE"/>
    <w:rsid w:val="00A53057"/>
    <w:rsid w:val="00A5581F"/>
    <w:rsid w:val="00A663F6"/>
    <w:rsid w:val="00A70C9D"/>
    <w:rsid w:val="00A72311"/>
    <w:rsid w:val="00A93BFA"/>
    <w:rsid w:val="00A94A6A"/>
    <w:rsid w:val="00AA05FE"/>
    <w:rsid w:val="00AA0F27"/>
    <w:rsid w:val="00AB66E9"/>
    <w:rsid w:val="00AC7B57"/>
    <w:rsid w:val="00AD5FC1"/>
    <w:rsid w:val="00B10CCE"/>
    <w:rsid w:val="00B14C56"/>
    <w:rsid w:val="00B20D15"/>
    <w:rsid w:val="00B26AB1"/>
    <w:rsid w:val="00B302ED"/>
    <w:rsid w:val="00B32608"/>
    <w:rsid w:val="00B40FEE"/>
    <w:rsid w:val="00B42811"/>
    <w:rsid w:val="00B47B94"/>
    <w:rsid w:val="00B51CC8"/>
    <w:rsid w:val="00B62786"/>
    <w:rsid w:val="00B667D9"/>
    <w:rsid w:val="00B7041C"/>
    <w:rsid w:val="00B7076D"/>
    <w:rsid w:val="00B70CCA"/>
    <w:rsid w:val="00B71424"/>
    <w:rsid w:val="00B77569"/>
    <w:rsid w:val="00B82351"/>
    <w:rsid w:val="00B85862"/>
    <w:rsid w:val="00B86F2A"/>
    <w:rsid w:val="00B87F5F"/>
    <w:rsid w:val="00B9173B"/>
    <w:rsid w:val="00BA082D"/>
    <w:rsid w:val="00BA5390"/>
    <w:rsid w:val="00BA54F4"/>
    <w:rsid w:val="00BB231E"/>
    <w:rsid w:val="00BB6D88"/>
    <w:rsid w:val="00BC09FB"/>
    <w:rsid w:val="00BC5931"/>
    <w:rsid w:val="00BC5C28"/>
    <w:rsid w:val="00BD2E64"/>
    <w:rsid w:val="00BF467D"/>
    <w:rsid w:val="00C00A94"/>
    <w:rsid w:val="00C0230F"/>
    <w:rsid w:val="00C22314"/>
    <w:rsid w:val="00C36DC6"/>
    <w:rsid w:val="00C44C05"/>
    <w:rsid w:val="00C47059"/>
    <w:rsid w:val="00C536E5"/>
    <w:rsid w:val="00C5630E"/>
    <w:rsid w:val="00C60C21"/>
    <w:rsid w:val="00C666EC"/>
    <w:rsid w:val="00C7601B"/>
    <w:rsid w:val="00C83D61"/>
    <w:rsid w:val="00C860B2"/>
    <w:rsid w:val="00C976CA"/>
    <w:rsid w:val="00CB6A2F"/>
    <w:rsid w:val="00CC2C06"/>
    <w:rsid w:val="00CC504A"/>
    <w:rsid w:val="00CC5890"/>
    <w:rsid w:val="00CC67DA"/>
    <w:rsid w:val="00CC68D7"/>
    <w:rsid w:val="00CE1744"/>
    <w:rsid w:val="00CE6DFA"/>
    <w:rsid w:val="00CF5203"/>
    <w:rsid w:val="00CF761D"/>
    <w:rsid w:val="00D02261"/>
    <w:rsid w:val="00D20582"/>
    <w:rsid w:val="00D21666"/>
    <w:rsid w:val="00D23ACA"/>
    <w:rsid w:val="00D37826"/>
    <w:rsid w:val="00D4177F"/>
    <w:rsid w:val="00D4363A"/>
    <w:rsid w:val="00D46495"/>
    <w:rsid w:val="00D52574"/>
    <w:rsid w:val="00D5349B"/>
    <w:rsid w:val="00D637FE"/>
    <w:rsid w:val="00D66B5B"/>
    <w:rsid w:val="00D66EBE"/>
    <w:rsid w:val="00D71D6C"/>
    <w:rsid w:val="00D75191"/>
    <w:rsid w:val="00D76FE1"/>
    <w:rsid w:val="00D97BD0"/>
    <w:rsid w:val="00DA7CAE"/>
    <w:rsid w:val="00DD6031"/>
    <w:rsid w:val="00DD6C4A"/>
    <w:rsid w:val="00DE1AF9"/>
    <w:rsid w:val="00DF58D8"/>
    <w:rsid w:val="00E000EE"/>
    <w:rsid w:val="00E01524"/>
    <w:rsid w:val="00E15B65"/>
    <w:rsid w:val="00E30DA5"/>
    <w:rsid w:val="00E322DE"/>
    <w:rsid w:val="00E3669D"/>
    <w:rsid w:val="00E427A3"/>
    <w:rsid w:val="00E433A6"/>
    <w:rsid w:val="00E43C0B"/>
    <w:rsid w:val="00E470FC"/>
    <w:rsid w:val="00E535E7"/>
    <w:rsid w:val="00E60CE4"/>
    <w:rsid w:val="00E660ED"/>
    <w:rsid w:val="00E73779"/>
    <w:rsid w:val="00E7418B"/>
    <w:rsid w:val="00E849BB"/>
    <w:rsid w:val="00E861D4"/>
    <w:rsid w:val="00E93F6E"/>
    <w:rsid w:val="00E94329"/>
    <w:rsid w:val="00E958BD"/>
    <w:rsid w:val="00EA4E4C"/>
    <w:rsid w:val="00EB4A59"/>
    <w:rsid w:val="00ED76A0"/>
    <w:rsid w:val="00EE1BB1"/>
    <w:rsid w:val="00EE327E"/>
    <w:rsid w:val="00EE66AD"/>
    <w:rsid w:val="00F02A55"/>
    <w:rsid w:val="00F02B5F"/>
    <w:rsid w:val="00F06FDC"/>
    <w:rsid w:val="00F10EB1"/>
    <w:rsid w:val="00F11EED"/>
    <w:rsid w:val="00F15AA7"/>
    <w:rsid w:val="00F31232"/>
    <w:rsid w:val="00F35B66"/>
    <w:rsid w:val="00F40ABD"/>
    <w:rsid w:val="00F41C17"/>
    <w:rsid w:val="00F627EF"/>
    <w:rsid w:val="00F62EC1"/>
    <w:rsid w:val="00F707A9"/>
    <w:rsid w:val="00F75133"/>
    <w:rsid w:val="00F81B4D"/>
    <w:rsid w:val="00F824F0"/>
    <w:rsid w:val="00F82B3B"/>
    <w:rsid w:val="00F862DB"/>
    <w:rsid w:val="00F92880"/>
    <w:rsid w:val="00F97722"/>
    <w:rsid w:val="00FB017E"/>
    <w:rsid w:val="00FC0591"/>
    <w:rsid w:val="00FC0C1D"/>
    <w:rsid w:val="00FC26B7"/>
    <w:rsid w:val="00FD4099"/>
    <w:rsid w:val="00FD779D"/>
    <w:rsid w:val="00FE4361"/>
    <w:rsid w:val="00FF18EB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03871"/>
  <w15:chartTrackingRefBased/>
  <w15:docId w15:val="{C4DCCB55-E07F-428D-A9CD-685071ED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6A0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292C"/>
    <w:pPr>
      <w:spacing w:before="100" w:beforeAutospacing="1" w:after="100" w:afterAutospacing="1" w:line="360" w:lineRule="auto"/>
    </w:pPr>
    <w:rPr>
      <w:color w:val="000000"/>
    </w:rPr>
  </w:style>
  <w:style w:type="paragraph" w:styleId="Footer">
    <w:name w:val="footer"/>
    <w:basedOn w:val="Normal"/>
    <w:rsid w:val="0058292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8292C"/>
  </w:style>
  <w:style w:type="table" w:styleId="TableGrid">
    <w:name w:val="Table Grid"/>
    <w:basedOn w:val="TableNormal"/>
    <w:rsid w:val="00C3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1A96"/>
    <w:rPr>
      <w:rFonts w:ascii="Tahoma" w:hAnsi="Tahoma" w:cs="Tahoma"/>
      <w:sz w:val="16"/>
      <w:szCs w:val="16"/>
      <w:lang w:val="tr-TR" w:eastAsia="tr-TR"/>
    </w:rPr>
  </w:style>
  <w:style w:type="character" w:styleId="CommentReference">
    <w:name w:val="annotation reference"/>
    <w:basedOn w:val="DefaultParagraphFont"/>
    <w:rsid w:val="00C470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7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7059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C47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7059"/>
    <w:rPr>
      <w:b/>
      <w:bCs/>
      <w:lang w:val="tr-TR" w:eastAsia="tr-TR"/>
    </w:rPr>
  </w:style>
  <w:style w:type="paragraph" w:styleId="Header">
    <w:name w:val="header"/>
    <w:basedOn w:val="Normal"/>
    <w:link w:val="HeaderChar"/>
    <w:uiPriority w:val="99"/>
    <w:rsid w:val="00631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A78"/>
    <w:rPr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31A7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31A78"/>
    <w:rPr>
      <w:rFonts w:ascii="Calibri" w:eastAsia="Calibri" w:hAnsi="Calibri"/>
      <w:sz w:val="22"/>
      <w:szCs w:val="22"/>
      <w:lang w:val="el-GR" w:eastAsia="en-US"/>
    </w:rPr>
  </w:style>
  <w:style w:type="paragraph" w:customStyle="1" w:styleId="Style2">
    <w:name w:val="Style2"/>
    <w:basedOn w:val="Normal"/>
    <w:autoRedefine/>
    <w:rsid w:val="00631A78"/>
    <w:pPr>
      <w:spacing w:line="240" w:lineRule="atLeast"/>
      <w:jc w:val="right"/>
    </w:pPr>
    <w:rPr>
      <w:rFonts w:ascii="Arial" w:eastAsia="SimSun" w:hAnsi="Arial" w:cs="Arial"/>
      <w:iCs/>
      <w:sz w:val="20"/>
      <w:szCs w:val="20"/>
      <w:lang w:val="de-DE" w:eastAsia="en-US"/>
    </w:rPr>
  </w:style>
  <w:style w:type="paragraph" w:customStyle="1" w:styleId="Style3">
    <w:name w:val="Style3"/>
    <w:basedOn w:val="Normal"/>
    <w:autoRedefine/>
    <w:rsid w:val="00631A78"/>
    <w:pPr>
      <w:spacing w:line="240" w:lineRule="atLeast"/>
      <w:ind w:left="-108"/>
    </w:pPr>
    <w:rPr>
      <w:rFonts w:asciiTheme="minorHAnsi" w:eastAsia="SimSun" w:hAnsiTheme="minorHAnsi" w:cs="Arial"/>
      <w:iCs/>
      <w:sz w:val="20"/>
      <w:szCs w:val="20"/>
      <w:lang w:val="de-DE" w:eastAsia="en-US"/>
    </w:rPr>
  </w:style>
  <w:style w:type="paragraph" w:styleId="ListParagraph">
    <w:name w:val="List Paragraph"/>
    <w:basedOn w:val="Normal"/>
    <w:uiPriority w:val="34"/>
    <w:qFormat/>
    <w:rsid w:val="00631A78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C7601B"/>
    <w:pPr>
      <w:spacing w:before="720" w:after="360"/>
    </w:pPr>
    <w:rPr>
      <w:rFonts w:asciiTheme="minorHAnsi" w:eastAsiaTheme="majorEastAsia" w:hAnsiTheme="minorHAnsi" w:cstheme="majorBidi"/>
      <w:b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C7601B"/>
    <w:rPr>
      <w:rFonts w:asciiTheme="minorHAnsi" w:eastAsiaTheme="majorEastAsia" w:hAnsiTheme="minorHAnsi" w:cstheme="majorBidi"/>
      <w:b/>
      <w:sz w:val="32"/>
      <w:szCs w:val="56"/>
      <w:lang w:val="tr-TR" w:eastAsia="tr-TR"/>
    </w:rPr>
  </w:style>
  <w:style w:type="paragraph" w:customStyle="1" w:styleId="Titleofthepaper">
    <w:name w:val="Title of the paper"/>
    <w:basedOn w:val="Title"/>
    <w:qFormat/>
    <w:rsid w:val="00581EC1"/>
    <w:pPr>
      <w:jc w:val="both"/>
    </w:pPr>
    <w:rPr>
      <w:rFonts w:ascii="Times New Roman" w:hAnsi="Times New Roman" w:cs="Times New Roman"/>
      <w:sz w:val="36"/>
      <w:lang w:val="en-US"/>
    </w:rPr>
  </w:style>
  <w:style w:type="paragraph" w:customStyle="1" w:styleId="AUTHORSNAMES">
    <w:name w:val="AUTHORS NAMES"/>
    <w:basedOn w:val="Normal"/>
    <w:qFormat/>
    <w:rsid w:val="00581EC1"/>
    <w:pPr>
      <w:spacing w:before="120" w:after="120" w:line="240" w:lineRule="atLeast"/>
    </w:pPr>
    <w:rPr>
      <w:b/>
      <w:sz w:val="22"/>
      <w:szCs w:val="20"/>
    </w:rPr>
  </w:style>
  <w:style w:type="paragraph" w:customStyle="1" w:styleId="AFFILIATIONS">
    <w:name w:val="AFFILIATIONS"/>
    <w:basedOn w:val="Normal"/>
    <w:qFormat/>
    <w:rsid w:val="00581EC1"/>
    <w:pPr>
      <w:spacing w:line="240" w:lineRule="atLeast"/>
    </w:pPr>
    <w:rPr>
      <w:sz w:val="18"/>
      <w:szCs w:val="20"/>
      <w:vertAlign w:val="superscript"/>
      <w:lang w:val="en-US"/>
    </w:rPr>
  </w:style>
  <w:style w:type="paragraph" w:customStyle="1" w:styleId="TEXT">
    <w:name w:val="TEXT"/>
    <w:basedOn w:val="CommentText"/>
    <w:qFormat/>
    <w:rsid w:val="00581EC1"/>
    <w:pPr>
      <w:jc w:val="both"/>
    </w:pPr>
    <w:rPr>
      <w:lang w:val="en-US"/>
    </w:rPr>
  </w:style>
  <w:style w:type="paragraph" w:customStyle="1" w:styleId="Maintitle">
    <w:name w:val="Main title"/>
    <w:basedOn w:val="ListParagraph"/>
    <w:qFormat/>
    <w:rsid w:val="00581EC1"/>
    <w:pPr>
      <w:numPr>
        <w:numId w:val="2"/>
      </w:numPr>
      <w:spacing w:before="240" w:after="240" w:line="240" w:lineRule="atLeast"/>
      <w:ind w:left="425" w:hanging="425"/>
      <w:contextualSpacing w:val="0"/>
      <w:jc w:val="both"/>
    </w:pPr>
    <w:rPr>
      <w:b/>
      <w:sz w:val="20"/>
      <w:szCs w:val="20"/>
      <w:lang w:val="en-US"/>
    </w:rPr>
  </w:style>
  <w:style w:type="paragraph" w:customStyle="1" w:styleId="Subtitleparagraph">
    <w:name w:val="Subtitle paragraph"/>
    <w:basedOn w:val="Normal"/>
    <w:qFormat/>
    <w:rsid w:val="00581EC1"/>
    <w:pPr>
      <w:spacing w:before="240" w:after="240" w:line="240" w:lineRule="atLeast"/>
      <w:jc w:val="both"/>
    </w:pPr>
    <w:rPr>
      <w:i/>
      <w:sz w:val="20"/>
      <w:szCs w:val="20"/>
      <w:lang w:val="en-US"/>
    </w:rPr>
  </w:style>
  <w:style w:type="paragraph" w:customStyle="1" w:styleId="References">
    <w:name w:val="References"/>
    <w:basedOn w:val="Normal"/>
    <w:qFormat/>
    <w:rsid w:val="00581EC1"/>
    <w:pPr>
      <w:spacing w:after="80" w:line="240" w:lineRule="atLeast"/>
      <w:ind w:left="426" w:hanging="426"/>
      <w:jc w:val="both"/>
    </w:pPr>
    <w:rPr>
      <w:sz w:val="18"/>
      <w:szCs w:val="20"/>
      <w:lang w:val="en-US"/>
    </w:rPr>
  </w:style>
  <w:style w:type="character" w:styleId="Hyperlink">
    <w:name w:val="Hyperlink"/>
    <w:basedOn w:val="DefaultParagraphFont"/>
    <w:rsid w:val="00EE6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AD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E74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418B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016/j.conbuildmat.2015.10.0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nt\OneDrive%20-%20aegean.gr\CEST\CEST\CEST2023\TEMPLATES\CEST2023_FULL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24CA-DB8C-465D-8D21-262C343E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CEST2023_FULL PAPER TEMPLATE</Template>
  <TotalTime>128</TotalTime>
  <Pages>4</Pages>
  <Words>2539</Words>
  <Characters>14478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Adsorption of lead (II) ions onto diatomite  from aqueous solution: Mechanism, isotherm and kinetic studies</vt:lpstr>
      <vt:lpstr>Adsorption of lead (II) ions onto diatomite  from aqueous solution: Mechanism, isotherm and kinetic studies</vt:lpstr>
    </vt:vector>
  </TitlesOfParts>
  <Company>F_s_M</Company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Adsorption of lead (II) ions onto diatomite  from aqueous solution: Mechanism, isotherm and kinetic studies</dc:title>
  <dc:subject/>
  <dc:creator>EKlontza</dc:creator>
  <cp:keywords/>
  <cp:lastModifiedBy>Mavroulidou, Maria</cp:lastModifiedBy>
  <cp:revision>5</cp:revision>
  <cp:lastPrinted>2016-08-29T09:20:00Z</cp:lastPrinted>
  <dcterms:created xsi:type="dcterms:W3CDTF">2023-05-21T18:22:00Z</dcterms:created>
  <dcterms:modified xsi:type="dcterms:W3CDTF">2023-05-21T18:49:00Z</dcterms:modified>
</cp:coreProperties>
</file>