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3BB" w:rsidRDefault="0075656F">
      <w:pPr>
        <w:pStyle w:val="Title"/>
        <w:jc w:val="both"/>
        <w:rPr>
          <w:i/>
        </w:rPr>
      </w:pPr>
      <w:r>
        <w:rPr>
          <w:snapToGrid w:val="0"/>
        </w:rPr>
        <w:t>A NEW KIND OF LOW FREQueNCY ABSORBER DESIGN SUITABLE FOR MUSIC RECITAL HALLS</w:t>
      </w:r>
    </w:p>
    <w:p w:rsidR="009733BB" w:rsidRDefault="009733BB">
      <w:pPr>
        <w:pStyle w:val="Authors"/>
        <w:tabs>
          <w:tab w:val="left" w:pos="1418"/>
        </w:tabs>
      </w:pPr>
    </w:p>
    <w:p w:rsidR="009733BB" w:rsidRDefault="0075656F">
      <w:pPr>
        <w:pStyle w:val="Authors"/>
        <w:tabs>
          <w:tab w:val="left" w:pos="1418"/>
        </w:tabs>
      </w:pPr>
      <w:r>
        <w:t>S Dance</w:t>
      </w:r>
      <w:r w:rsidR="009733BB">
        <w:tab/>
      </w:r>
      <w:r>
        <w:t>Acoustics Group, London South Bank University, UK</w:t>
      </w:r>
    </w:p>
    <w:p w:rsidR="009733BB" w:rsidRDefault="0075656F">
      <w:pPr>
        <w:pStyle w:val="Authors"/>
        <w:tabs>
          <w:tab w:val="left" w:pos="1418"/>
        </w:tabs>
      </w:pPr>
      <w:r>
        <w:t>D Shearer</w:t>
      </w:r>
      <w:r w:rsidR="009733BB">
        <w:tab/>
      </w:r>
      <w:r>
        <w:t>Acoustics Group, London South Bank University, UK</w:t>
      </w:r>
    </w:p>
    <w:p w:rsidR="009733BB" w:rsidRDefault="0075656F">
      <w:pPr>
        <w:pStyle w:val="Authors"/>
        <w:tabs>
          <w:tab w:val="left" w:pos="1418"/>
        </w:tabs>
      </w:pPr>
      <w:r>
        <w:t>P Menin</w:t>
      </w:r>
      <w:r w:rsidR="009733BB">
        <w:tab/>
      </w:r>
      <w:r>
        <w:t>Acoustics Group, London South Bank University, UK</w:t>
      </w:r>
    </w:p>
    <w:p w:rsidR="009733BB" w:rsidRDefault="009733BB">
      <w:pPr>
        <w:pStyle w:val="Authors"/>
      </w:pPr>
    </w:p>
    <w:p w:rsidR="009733BB" w:rsidRDefault="009733BB">
      <w:pPr>
        <w:pStyle w:val="Authors"/>
      </w:pPr>
    </w:p>
    <w:p w:rsidR="009733BB" w:rsidRDefault="009733BB">
      <w:pPr>
        <w:jc w:val="both"/>
      </w:pPr>
    </w:p>
    <w:p w:rsidR="009733BB" w:rsidRDefault="009733BB">
      <w:pPr>
        <w:pStyle w:val="Heading1"/>
        <w:jc w:val="both"/>
      </w:pPr>
      <w:r>
        <w:t xml:space="preserve">INTRODUCTION </w:t>
      </w:r>
    </w:p>
    <w:p w:rsidR="009733BB" w:rsidRDefault="0075656F">
      <w:pPr>
        <w:jc w:val="both"/>
        <w:rPr>
          <w:sz w:val="20"/>
        </w:rPr>
      </w:pPr>
      <w:r w:rsidRPr="0075656F">
        <w:rPr>
          <w:sz w:val="20"/>
        </w:rPr>
        <w:t>A recital hall of light weight construction had been commissioned. The newly built hall was reported to be loud with an unusual balance by professional musicians. Hence, the Acoustics Group was asked to independently assess the room acoustics of the hall. The hall had a volume of approximately 800m</w:t>
      </w:r>
      <w:r w:rsidRPr="0075656F">
        <w:rPr>
          <w:sz w:val="20"/>
          <w:vertAlign w:val="superscript"/>
        </w:rPr>
        <w:t>3</w:t>
      </w:r>
      <w:r w:rsidRPr="0075656F">
        <w:rPr>
          <w:sz w:val="20"/>
        </w:rPr>
        <w:t xml:space="preserve"> with flexible seating for up to 100 people.  The hall had a beautiful traditional wood finish and a floor</w:t>
      </w:r>
      <w:r w:rsidR="00213B44">
        <w:rPr>
          <w:sz w:val="20"/>
        </w:rPr>
        <w:t xml:space="preserve"> comprising a single continuous area with no raised elements</w:t>
      </w:r>
      <w:r w:rsidRPr="0075656F">
        <w:rPr>
          <w:sz w:val="20"/>
        </w:rPr>
        <w:t xml:space="preserve">. To give a flexible acoustic curtain rails run down either side of the hall, see Figure 1. The curtain rail then runs behind a fake rear wall </w:t>
      </w:r>
      <w:r w:rsidR="008C6962">
        <w:rPr>
          <w:sz w:val="20"/>
        </w:rPr>
        <w:t>which</w:t>
      </w:r>
      <w:r w:rsidR="002E3CEF">
        <w:rPr>
          <w:sz w:val="20"/>
        </w:rPr>
        <w:t xml:space="preserve"> </w:t>
      </w:r>
      <w:r w:rsidRPr="0075656F">
        <w:rPr>
          <w:sz w:val="20"/>
        </w:rPr>
        <w:t>hide</w:t>
      </w:r>
      <w:r w:rsidR="008C6962">
        <w:rPr>
          <w:sz w:val="20"/>
        </w:rPr>
        <w:t>s</w:t>
      </w:r>
      <w:r w:rsidRPr="0075656F">
        <w:rPr>
          <w:sz w:val="20"/>
        </w:rPr>
        <w:t xml:space="preserve"> the curtain when not in </w:t>
      </w:r>
      <w:proofErr w:type="gramStart"/>
      <w:r w:rsidRPr="0075656F">
        <w:rPr>
          <w:sz w:val="20"/>
        </w:rPr>
        <w:t>use,</w:t>
      </w:r>
      <w:proofErr w:type="gramEnd"/>
      <w:r w:rsidRPr="0075656F">
        <w:rPr>
          <w:sz w:val="20"/>
        </w:rPr>
        <w:t xml:space="preserve"> see Figure 2. The hall is now always configured with the curtains fully extended, as this is the subjectively preferred condition by the performers.  This paper reports on the effect on the acoustics of the hall of the fake rear wall and the curtains through sets of room acoustic measurements</w:t>
      </w:r>
      <w:r>
        <w:rPr>
          <w:sz w:val="20"/>
        </w:rPr>
        <w:t>.</w:t>
      </w:r>
    </w:p>
    <w:p w:rsidR="009733BB" w:rsidRDefault="009733BB">
      <w:pPr>
        <w:jc w:val="both"/>
        <w:rPr>
          <w:sz w:val="20"/>
        </w:rPr>
      </w:pPr>
    </w:p>
    <w:p w:rsidR="009733BB" w:rsidRDefault="0075656F" w:rsidP="003C2567">
      <w:pPr>
        <w:jc w:val="center"/>
      </w:pPr>
      <w:r>
        <w:rPr>
          <w:noProof/>
          <w:lang w:val="en-GB" w:eastAsia="en-GB"/>
        </w:rPr>
        <w:drawing>
          <wp:inline distT="0" distB="0" distL="0" distR="0">
            <wp:extent cx="3340008" cy="44534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tial hall 90.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3228" cy="4471094"/>
                    </a:xfrm>
                    <a:prstGeom prst="rect">
                      <a:avLst/>
                    </a:prstGeom>
                  </pic:spPr>
                </pic:pic>
              </a:graphicData>
            </a:graphic>
          </wp:inline>
        </w:drawing>
      </w:r>
    </w:p>
    <w:p w:rsidR="003C2567" w:rsidRDefault="003C2567" w:rsidP="003C2567">
      <w:pPr>
        <w:jc w:val="center"/>
        <w:rPr>
          <w:sz w:val="20"/>
        </w:rPr>
      </w:pPr>
      <w:proofErr w:type="gramStart"/>
      <w:r w:rsidRPr="003C2567">
        <w:rPr>
          <w:sz w:val="20"/>
        </w:rPr>
        <w:t>Figure 1.</w:t>
      </w:r>
      <w:proofErr w:type="gramEnd"/>
      <w:r w:rsidRPr="003C2567">
        <w:rPr>
          <w:sz w:val="20"/>
        </w:rPr>
        <w:t xml:space="preserve"> Recital Hall showing the curtain and curtain rail</w:t>
      </w:r>
    </w:p>
    <w:p w:rsidR="003C2567" w:rsidRDefault="003C2567" w:rsidP="003C2567">
      <w:pPr>
        <w:jc w:val="center"/>
        <w:rPr>
          <w:sz w:val="20"/>
        </w:rPr>
      </w:pPr>
    </w:p>
    <w:p w:rsidR="003C2567" w:rsidRDefault="003C2567" w:rsidP="003C2567">
      <w:pPr>
        <w:jc w:val="center"/>
        <w:rPr>
          <w:sz w:val="20"/>
        </w:rPr>
      </w:pPr>
    </w:p>
    <w:p w:rsidR="009733BB" w:rsidRDefault="003C2567" w:rsidP="003C2567">
      <w:pPr>
        <w:pStyle w:val="Authors"/>
        <w:jc w:val="center"/>
        <w:rPr>
          <w:snapToGrid/>
        </w:rPr>
      </w:pPr>
      <w:r>
        <w:rPr>
          <w:noProof/>
          <w:lang w:eastAsia="en-GB"/>
        </w:rPr>
        <w:lastRenderedPageBreak/>
        <w:drawing>
          <wp:inline distT="0" distB="0" distL="0" distR="0">
            <wp:extent cx="3526014" cy="264470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ar Wall Recital Hall.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47890" cy="2661116"/>
                    </a:xfrm>
                    <a:prstGeom prst="rect">
                      <a:avLst/>
                    </a:prstGeom>
                  </pic:spPr>
                </pic:pic>
              </a:graphicData>
            </a:graphic>
          </wp:inline>
        </w:drawing>
      </w:r>
    </w:p>
    <w:p w:rsidR="00011654" w:rsidRDefault="003C2567" w:rsidP="00011654">
      <w:pPr>
        <w:pStyle w:val="Authors"/>
        <w:jc w:val="center"/>
      </w:pPr>
      <w:proofErr w:type="gramStart"/>
      <w:r>
        <w:rPr>
          <w:snapToGrid/>
        </w:rPr>
        <w:t>Figure 2.</w:t>
      </w:r>
      <w:proofErr w:type="gramEnd"/>
      <w:r>
        <w:rPr>
          <w:snapToGrid/>
        </w:rPr>
        <w:t xml:space="preserve"> </w:t>
      </w:r>
      <w:r>
        <w:t>The fake rear wall and curtain rail (curtains were completely hidden during measurements)</w:t>
      </w:r>
    </w:p>
    <w:p w:rsidR="003C2567" w:rsidRDefault="003C2567">
      <w:pPr>
        <w:pStyle w:val="Authors"/>
        <w:rPr>
          <w:snapToGrid/>
        </w:rPr>
      </w:pPr>
    </w:p>
    <w:p w:rsidR="003C2567" w:rsidRDefault="003C2567">
      <w:pPr>
        <w:pStyle w:val="Authors"/>
        <w:rPr>
          <w:snapToGrid/>
        </w:rPr>
      </w:pPr>
    </w:p>
    <w:p w:rsidR="009733BB" w:rsidRDefault="003C2567">
      <w:pPr>
        <w:pStyle w:val="Heading1"/>
        <w:jc w:val="both"/>
      </w:pPr>
      <w:r>
        <w:t>ROOM ACOUSTICS MEASURMENTS IN THE HAll</w:t>
      </w:r>
    </w:p>
    <w:p w:rsidR="003C2567" w:rsidRDefault="003C2567" w:rsidP="003C2567">
      <w:pPr>
        <w:rPr>
          <w:sz w:val="20"/>
        </w:rPr>
      </w:pPr>
      <w:r w:rsidRPr="003C2567">
        <w:rPr>
          <w:sz w:val="20"/>
        </w:rPr>
        <w:t xml:space="preserve">Room acoustics measurements were undertaken in the recital hall to 3382-1 [1].  The measurement system used was winMLS using a 4 second exponential sine sweep outputting to an </w:t>
      </w:r>
      <w:r w:rsidR="00857AD8" w:rsidRPr="003C2567">
        <w:rPr>
          <w:sz w:val="20"/>
        </w:rPr>
        <w:t>Omni</w:t>
      </w:r>
      <w:r w:rsidRPr="003C2567">
        <w:rPr>
          <w:sz w:val="20"/>
        </w:rPr>
        <w:t>-directional loudspeaker through a Nor 280 power amplifier or to a subwoofer through a Class D music amplifier. A ¼” omnidirectional measurement microphone was used, a Class 1 Earthworks M30BX, see Figure 1.   Two source positions and six receiver positions were used in the measurements, see Figure 3, and each combination’s result is an average of three separate sweeps. The room was configured with 18 seats set against the walls, see Figure 2 and either the curtains fully extended or hidden behind the fake wall.</w:t>
      </w:r>
    </w:p>
    <w:p w:rsidR="003C2567" w:rsidRDefault="003C2567" w:rsidP="003C2567">
      <w:pPr>
        <w:rPr>
          <w:sz w:val="20"/>
        </w:rPr>
      </w:pPr>
    </w:p>
    <w:p w:rsidR="003C2567" w:rsidRDefault="003C2567" w:rsidP="003C2567">
      <w:pPr>
        <w:jc w:val="center"/>
        <w:rPr>
          <w:sz w:val="20"/>
        </w:rPr>
      </w:pPr>
      <w:r>
        <w:rPr>
          <w:noProof/>
          <w:lang w:val="en-GB" w:eastAsia="en-GB"/>
        </w:rPr>
        <w:drawing>
          <wp:inline distT="0" distB="0" distL="0" distR="0">
            <wp:extent cx="2935821" cy="333022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3674" cy="3373161"/>
                    </a:xfrm>
                    <a:prstGeom prst="rect">
                      <a:avLst/>
                    </a:prstGeom>
                    <a:noFill/>
                    <a:ln>
                      <a:noFill/>
                    </a:ln>
                  </pic:spPr>
                </pic:pic>
              </a:graphicData>
            </a:graphic>
          </wp:inline>
        </w:drawing>
      </w:r>
    </w:p>
    <w:p w:rsidR="00011654" w:rsidRDefault="003C2567" w:rsidP="00011654">
      <w:pPr>
        <w:jc w:val="center"/>
        <w:rPr>
          <w:sz w:val="20"/>
        </w:rPr>
      </w:pPr>
      <w:r>
        <w:rPr>
          <w:sz w:val="20"/>
        </w:rPr>
        <w:t>Figure 3.</w:t>
      </w:r>
      <w:r w:rsidRPr="003C2567">
        <w:rPr>
          <w:sz w:val="20"/>
        </w:rPr>
        <w:t>Shows the fake rear wall and the source and receiver measurement positions in the hall</w:t>
      </w:r>
    </w:p>
    <w:p w:rsidR="009733BB" w:rsidRDefault="003C2567">
      <w:pPr>
        <w:pStyle w:val="Heading2"/>
      </w:pPr>
      <w:r>
        <w:lastRenderedPageBreak/>
        <w:t>Reverberation Time in the Hall with Hidden Curtains</w:t>
      </w:r>
    </w:p>
    <w:p w:rsidR="009733BB" w:rsidRDefault="00D83774">
      <w:pPr>
        <w:jc w:val="both"/>
        <w:rPr>
          <w:sz w:val="20"/>
        </w:rPr>
      </w:pPr>
      <w:r w:rsidRPr="00D83774">
        <w:rPr>
          <w:sz w:val="20"/>
        </w:rPr>
        <w:t xml:space="preserve">One set of room acoustic measurements, T20, were taken in the hall using a </w:t>
      </w:r>
      <w:proofErr w:type="spellStart"/>
      <w:r w:rsidRPr="00D83774">
        <w:rPr>
          <w:sz w:val="20"/>
        </w:rPr>
        <w:t>Rion</w:t>
      </w:r>
      <w:proofErr w:type="spellEnd"/>
      <w:r w:rsidRPr="00D83774">
        <w:rPr>
          <w:sz w:val="20"/>
        </w:rPr>
        <w:t xml:space="preserve"> dodecahedron loudspeaker set at 1.5m from the floor and a microphone set to 1.2 m</w:t>
      </w:r>
      <w:r>
        <w:rPr>
          <w:sz w:val="20"/>
        </w:rPr>
        <w:t>.</w:t>
      </w:r>
    </w:p>
    <w:p w:rsidR="00D83774" w:rsidRDefault="00D83774">
      <w:pPr>
        <w:jc w:val="both"/>
        <w:rPr>
          <w:sz w:val="20"/>
        </w:rPr>
      </w:pPr>
    </w:p>
    <w:p w:rsidR="00D83774" w:rsidRDefault="00D83774">
      <w:pPr>
        <w:jc w:val="both"/>
        <w:rPr>
          <w:sz w:val="20"/>
        </w:rPr>
      </w:pPr>
      <w:r>
        <w:rPr>
          <w:noProof/>
          <w:lang w:val="en-GB" w:eastAsia="en-GB"/>
        </w:rPr>
        <w:drawing>
          <wp:inline distT="0" distB="0" distL="0" distR="0">
            <wp:extent cx="5616575" cy="2260693"/>
            <wp:effectExtent l="0" t="0" r="3175" b="63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83774" w:rsidRDefault="00D83774">
      <w:pPr>
        <w:jc w:val="both"/>
        <w:rPr>
          <w:i/>
          <w:sz w:val="20"/>
        </w:rPr>
      </w:pPr>
    </w:p>
    <w:p w:rsidR="00011654" w:rsidRDefault="00D83774" w:rsidP="00011654">
      <w:pPr>
        <w:pStyle w:val="Authors"/>
        <w:jc w:val="center"/>
      </w:pPr>
      <w:proofErr w:type="gramStart"/>
      <w:r>
        <w:rPr>
          <w:snapToGrid/>
        </w:rPr>
        <w:t>Figure 4.</w:t>
      </w:r>
      <w:proofErr w:type="gramEnd"/>
      <w:r>
        <w:rPr>
          <w:snapToGrid/>
        </w:rPr>
        <w:t xml:space="preserve"> </w:t>
      </w:r>
      <w:r>
        <w:t>Reverberation time measurements, T20, in the empty hall with curtain hidden</w:t>
      </w:r>
    </w:p>
    <w:p w:rsidR="00D83774" w:rsidRDefault="00D83774">
      <w:pPr>
        <w:pStyle w:val="Authors"/>
      </w:pPr>
    </w:p>
    <w:p w:rsidR="00D83774" w:rsidRDefault="00D83774" w:rsidP="00D83774">
      <w:pPr>
        <w:rPr>
          <w:sz w:val="20"/>
        </w:rPr>
      </w:pPr>
      <w:r w:rsidRPr="00D83774">
        <w:rPr>
          <w:sz w:val="20"/>
        </w:rPr>
        <w:t>From Figure 4 it can be seen that there is a significant dip in the reverberation time in the hall between 50 Hz and 200 Hz. This is the objective data to support the performers and audience account of the unbalanced nature of the hall. Normally the reverberation time should be flat compared to the mid frequency or rise by up to 20% [</w:t>
      </w:r>
      <w:r>
        <w:rPr>
          <w:sz w:val="20"/>
        </w:rPr>
        <w:t>2</w:t>
      </w:r>
      <w:r w:rsidRPr="00D83774">
        <w:rPr>
          <w:sz w:val="20"/>
        </w:rPr>
        <w:t xml:space="preserve">], as given by the Bass Ratio, BR, </w:t>
      </w:r>
      <w:proofErr w:type="gramStart"/>
      <w:r w:rsidRPr="00D83774">
        <w:rPr>
          <w:sz w:val="20"/>
        </w:rPr>
        <w:t>parameter</w:t>
      </w:r>
      <w:proofErr w:type="gramEnd"/>
      <w:r w:rsidRPr="00D83774">
        <w:rPr>
          <w:sz w:val="20"/>
        </w:rPr>
        <w:t>.</w:t>
      </w:r>
    </w:p>
    <w:p w:rsidR="00D83774" w:rsidRPr="00D83774" w:rsidRDefault="00D83774" w:rsidP="00D83774">
      <w:pPr>
        <w:rPr>
          <w:sz w:val="20"/>
        </w:rPr>
      </w:pPr>
    </w:p>
    <w:p w:rsidR="00D83774" w:rsidRPr="00D83774" w:rsidRDefault="00D83774" w:rsidP="00D83774">
      <w:pPr>
        <w:rPr>
          <w:sz w:val="20"/>
        </w:rPr>
      </w:pPr>
      <m:oMathPara>
        <m:oMath>
          <m:r>
            <w:rPr>
              <w:rFonts w:ascii="Cambria Math" w:hAnsi="Cambria Math" w:cs="Cambria Math"/>
              <w:sz w:val="20"/>
            </w:rPr>
            <m:t>BR</m:t>
          </m:r>
          <m:r>
            <m:rPr>
              <m:sty m:val="p"/>
            </m:rPr>
            <w:rPr>
              <w:rFonts w:ascii="Cambria Math" w:hAnsi="Cambria Math" w:cs="Cambria Math"/>
              <w:sz w:val="20"/>
            </w:rPr>
            <m:t>=</m:t>
          </m:r>
          <m:f>
            <m:fPr>
              <m:ctrlPr>
                <w:rPr>
                  <w:rFonts w:ascii="Cambria Math" w:hAnsi="Cambria Math"/>
                  <w:sz w:val="20"/>
                </w:rPr>
              </m:ctrlPr>
            </m:fPr>
            <m:num>
              <m:sSub>
                <m:sSubPr>
                  <m:ctrlPr>
                    <w:rPr>
                      <w:rFonts w:ascii="Cambria Math" w:hAnsi="Cambria Math" w:cs="Cambria Math"/>
                      <w:i/>
                      <w:sz w:val="20"/>
                    </w:rPr>
                  </m:ctrlPr>
                </m:sSubPr>
                <m:e>
                  <m:r>
                    <w:rPr>
                      <w:rFonts w:ascii="Cambria Math" w:hAnsi="Cambria Math" w:cs="Cambria Math"/>
                      <w:sz w:val="20"/>
                    </w:rPr>
                    <m:t>T</m:t>
                  </m:r>
                </m:e>
                <m:sub>
                  <m:r>
                    <w:rPr>
                      <w:rFonts w:ascii="Cambria Math" w:hAnsi="Cambria Math" w:cs="Cambria Math"/>
                      <w:sz w:val="20"/>
                    </w:rPr>
                    <m:t>125</m:t>
                  </m:r>
                </m:sub>
              </m:sSub>
              <m:r>
                <m:rPr>
                  <m:sty m:val="p"/>
                </m:rPr>
                <w:rPr>
                  <w:rFonts w:ascii="Cambria Math" w:hAnsi="Cambria Math" w:cs="Cambria Math"/>
                  <w:sz w:val="20"/>
                </w:rPr>
                <m:t>+</m:t>
              </m:r>
              <m:sSub>
                <m:sSubPr>
                  <m:ctrlPr>
                    <w:rPr>
                      <w:rFonts w:ascii="Cambria Math" w:hAnsi="Cambria Math" w:cs="Cambria Math"/>
                      <w:sz w:val="20"/>
                    </w:rPr>
                  </m:ctrlPr>
                </m:sSubPr>
                <m:e>
                  <m:r>
                    <w:rPr>
                      <w:rFonts w:ascii="Cambria Math" w:hAnsi="Cambria Math" w:cs="Cambria Math"/>
                      <w:sz w:val="20"/>
                    </w:rPr>
                    <m:t>T</m:t>
                  </m:r>
                </m:e>
                <m:sub>
                  <m:r>
                    <w:rPr>
                      <w:rFonts w:ascii="Cambria Math" w:hAnsi="Cambria Math" w:cs="Cambria Math"/>
                      <w:sz w:val="20"/>
                    </w:rPr>
                    <m:t>250</m:t>
                  </m:r>
                </m:sub>
              </m:sSub>
            </m:num>
            <m:den>
              <m:sSub>
                <m:sSubPr>
                  <m:ctrlPr>
                    <w:rPr>
                      <w:rFonts w:ascii="Cambria Math" w:hAnsi="Cambria Math" w:cs="Cambria Math"/>
                      <w:sz w:val="20"/>
                    </w:rPr>
                  </m:ctrlPr>
                </m:sSubPr>
                <m:e>
                  <m:r>
                    <w:rPr>
                      <w:rFonts w:ascii="Cambria Math" w:hAnsi="Cambria Math" w:cs="Cambria Math"/>
                      <w:sz w:val="20"/>
                    </w:rPr>
                    <m:t>T</m:t>
                  </m:r>
                </m:e>
                <m:sub>
                  <m:r>
                    <w:rPr>
                      <w:rFonts w:ascii="Cambria Math" w:hAnsi="Cambria Math" w:cs="Cambria Math"/>
                      <w:sz w:val="20"/>
                    </w:rPr>
                    <m:t>500</m:t>
                  </m:r>
                </m:sub>
              </m:sSub>
              <m:r>
                <m:rPr>
                  <m:sty m:val="p"/>
                </m:rPr>
                <w:rPr>
                  <w:rFonts w:ascii="Cambria Math" w:hAnsi="Cambria Math" w:cs="Cambria Math"/>
                  <w:sz w:val="20"/>
                </w:rPr>
                <m:t>+</m:t>
              </m:r>
              <m:sSub>
                <m:sSubPr>
                  <m:ctrlPr>
                    <w:rPr>
                      <w:rFonts w:ascii="Cambria Math" w:hAnsi="Cambria Math" w:cs="Cambria Math"/>
                      <w:sz w:val="20"/>
                    </w:rPr>
                  </m:ctrlPr>
                </m:sSubPr>
                <m:e>
                  <m:r>
                    <w:rPr>
                      <w:rFonts w:ascii="Cambria Math" w:hAnsi="Cambria Math" w:cs="Cambria Math"/>
                      <w:sz w:val="20"/>
                    </w:rPr>
                    <m:t>T</m:t>
                  </m:r>
                </m:e>
                <m:sub>
                  <m:r>
                    <w:rPr>
                      <w:rFonts w:ascii="Cambria Math" w:hAnsi="Cambria Math" w:cs="Cambria Math"/>
                      <w:sz w:val="20"/>
                    </w:rPr>
                    <m:t>1000</m:t>
                  </m:r>
                </m:sub>
              </m:sSub>
            </m:den>
          </m:f>
        </m:oMath>
      </m:oMathPara>
    </w:p>
    <w:p w:rsidR="00D83774" w:rsidRDefault="00D83774" w:rsidP="00D83774">
      <w:pPr>
        <w:rPr>
          <w:sz w:val="20"/>
        </w:rPr>
      </w:pPr>
    </w:p>
    <w:p w:rsidR="00D83774" w:rsidRDefault="00D83774" w:rsidP="00D83774">
      <w:pPr>
        <w:rPr>
          <w:sz w:val="20"/>
        </w:rPr>
      </w:pPr>
      <w:proofErr w:type="gramStart"/>
      <w:r w:rsidRPr="00D83774">
        <w:rPr>
          <w:sz w:val="20"/>
        </w:rPr>
        <w:t>where</w:t>
      </w:r>
      <w:proofErr w:type="gramEnd"/>
      <w:r w:rsidRPr="00D83774">
        <w:rPr>
          <w:sz w:val="20"/>
        </w:rPr>
        <w:t xml:space="preserve"> </w:t>
      </w:r>
      <w:proofErr w:type="spellStart"/>
      <w:r w:rsidRPr="00D83774">
        <w:rPr>
          <w:i/>
          <w:sz w:val="20"/>
        </w:rPr>
        <w:t>T</w:t>
      </w:r>
      <w:r w:rsidRPr="00D83774">
        <w:rPr>
          <w:i/>
          <w:sz w:val="20"/>
          <w:vertAlign w:val="subscript"/>
        </w:rPr>
        <w:t>f</w:t>
      </w:r>
      <w:r w:rsidRPr="00D83774">
        <w:rPr>
          <w:sz w:val="20"/>
        </w:rPr>
        <w:t>is</w:t>
      </w:r>
      <w:proofErr w:type="spellEnd"/>
      <w:r w:rsidRPr="00D83774">
        <w:rPr>
          <w:sz w:val="20"/>
        </w:rPr>
        <w:t xml:space="preserve"> the reverberation time by octave band frequency (Hz).</w:t>
      </w:r>
    </w:p>
    <w:p w:rsidR="00D83774" w:rsidRPr="00D83774" w:rsidRDefault="00D83774" w:rsidP="00D83774">
      <w:pPr>
        <w:rPr>
          <w:sz w:val="20"/>
        </w:rPr>
      </w:pPr>
    </w:p>
    <w:p w:rsidR="00D83774" w:rsidRDefault="00D83774" w:rsidP="00D83774">
      <w:r w:rsidRPr="00D83774">
        <w:rPr>
          <w:sz w:val="20"/>
        </w:rPr>
        <w:t xml:space="preserve">In the case above the Bass Ratio is 0.66 much less than is deemed suitable for musical performance [2] with a </w:t>
      </w:r>
      <w:proofErr w:type="spellStart"/>
      <w:r w:rsidRPr="00D83774">
        <w:rPr>
          <w:sz w:val="20"/>
        </w:rPr>
        <w:t>T</w:t>
      </w:r>
      <w:r w:rsidRPr="00D83774">
        <w:rPr>
          <w:sz w:val="20"/>
          <w:vertAlign w:val="subscript"/>
        </w:rPr>
        <w:t>mf</w:t>
      </w:r>
      <w:proofErr w:type="spellEnd"/>
      <w:r w:rsidRPr="00D83774">
        <w:rPr>
          <w:sz w:val="20"/>
        </w:rPr>
        <w:t xml:space="preserve"> of 1.44 seconds. Hence, the musicians always extend the curtains to their full extent. As low frequency performance was identified as critical</w:t>
      </w:r>
      <w:r w:rsidR="00EC69A3">
        <w:rPr>
          <w:sz w:val="20"/>
        </w:rPr>
        <w:t>ly</w:t>
      </w:r>
      <w:r w:rsidRPr="00D83774">
        <w:rPr>
          <w:sz w:val="20"/>
        </w:rPr>
        <w:t xml:space="preserve"> important to the hall a subwoofer was used in addition to the omni-source to ensure the hall was responding as thought</w:t>
      </w:r>
      <w:r>
        <w:t>.</w:t>
      </w:r>
    </w:p>
    <w:p w:rsidR="00D83774" w:rsidRDefault="00D83774">
      <w:pPr>
        <w:pStyle w:val="Authors"/>
        <w:rPr>
          <w:snapToGrid/>
        </w:rPr>
      </w:pPr>
    </w:p>
    <w:p w:rsidR="005C66BC" w:rsidRDefault="005C66BC">
      <w:pPr>
        <w:pStyle w:val="Authors"/>
        <w:rPr>
          <w:snapToGrid/>
        </w:rPr>
      </w:pPr>
    </w:p>
    <w:p w:rsidR="009733BB" w:rsidRDefault="00EC69A3" w:rsidP="00EC69A3">
      <w:pPr>
        <w:pStyle w:val="Heading2"/>
      </w:pPr>
      <w:r w:rsidRPr="00EC69A3">
        <w:t>Comparison of the Omni-Speaker and Subwoofer RT Measurements</w:t>
      </w:r>
    </w:p>
    <w:p w:rsidR="00EC69A3" w:rsidRDefault="00EC69A3" w:rsidP="00EC69A3">
      <w:pPr>
        <w:rPr>
          <w:sz w:val="20"/>
        </w:rPr>
      </w:pPr>
      <w:r w:rsidRPr="00EC69A3">
        <w:rPr>
          <w:sz w:val="20"/>
        </w:rPr>
        <w:t xml:space="preserve">Two sets of room acoustics measurements, T20, were undertaken in the hall each using a different type of sound source. The sound source chosen was a </w:t>
      </w:r>
      <w:proofErr w:type="spellStart"/>
      <w:r w:rsidRPr="00EC69A3">
        <w:rPr>
          <w:sz w:val="20"/>
        </w:rPr>
        <w:t>Rion</w:t>
      </w:r>
      <w:proofErr w:type="spellEnd"/>
      <w:r w:rsidRPr="00EC69A3">
        <w:rPr>
          <w:sz w:val="20"/>
        </w:rPr>
        <w:t xml:space="preserve"> dodecahedron loudspeaker set at 1.5m from the floor and a JBL 6112 subwoofer on the floor facing the corner of the room. All microphones were set to 1.2m from the floor.</w:t>
      </w:r>
    </w:p>
    <w:p w:rsidR="00EC69A3" w:rsidRDefault="00EC69A3" w:rsidP="00EC69A3">
      <w:pPr>
        <w:rPr>
          <w:sz w:val="20"/>
        </w:rPr>
      </w:pPr>
    </w:p>
    <w:p w:rsidR="00EC69A3" w:rsidRDefault="00EC69A3" w:rsidP="00EC69A3">
      <w:pPr>
        <w:rPr>
          <w:sz w:val="20"/>
        </w:rPr>
      </w:pPr>
    </w:p>
    <w:p w:rsidR="00EC69A3" w:rsidRDefault="00EC69A3" w:rsidP="00EC69A3">
      <w:pPr>
        <w:rPr>
          <w:sz w:val="20"/>
        </w:rPr>
      </w:pPr>
    </w:p>
    <w:p w:rsidR="00EC69A3" w:rsidRDefault="00EC69A3" w:rsidP="00EC69A3">
      <w:pPr>
        <w:rPr>
          <w:sz w:val="20"/>
        </w:rPr>
      </w:pPr>
    </w:p>
    <w:p w:rsidR="00EC69A3" w:rsidRDefault="00EC69A3" w:rsidP="00EC69A3">
      <w:pPr>
        <w:rPr>
          <w:sz w:val="20"/>
        </w:rPr>
      </w:pPr>
    </w:p>
    <w:p w:rsidR="00EC69A3" w:rsidRDefault="00EC69A3" w:rsidP="00EC69A3">
      <w:pPr>
        <w:rPr>
          <w:sz w:val="20"/>
        </w:rPr>
      </w:pPr>
    </w:p>
    <w:p w:rsidR="00EC69A3" w:rsidRDefault="00EC69A3" w:rsidP="00EC69A3">
      <w:pPr>
        <w:rPr>
          <w:sz w:val="20"/>
        </w:rPr>
      </w:pPr>
    </w:p>
    <w:p w:rsidR="00EC69A3" w:rsidRDefault="00EC69A3" w:rsidP="00EC69A3">
      <w:pPr>
        <w:rPr>
          <w:sz w:val="20"/>
        </w:rPr>
      </w:pPr>
    </w:p>
    <w:p w:rsidR="00EC69A3" w:rsidRDefault="00EC69A3" w:rsidP="00EC69A3">
      <w:pPr>
        <w:rPr>
          <w:sz w:val="20"/>
        </w:rPr>
      </w:pPr>
    </w:p>
    <w:p w:rsidR="00EC69A3" w:rsidRDefault="00EC69A3" w:rsidP="00EC69A3">
      <w:pPr>
        <w:rPr>
          <w:sz w:val="20"/>
        </w:rPr>
      </w:pPr>
    </w:p>
    <w:p w:rsidR="00011654" w:rsidRDefault="00EC69A3" w:rsidP="00011654">
      <w:pPr>
        <w:jc w:val="center"/>
      </w:pPr>
      <w:r>
        <w:rPr>
          <w:noProof/>
          <w:lang w:val="en-GB" w:eastAsia="en-GB"/>
        </w:rPr>
        <w:lastRenderedPageBreak/>
        <w:drawing>
          <wp:inline distT="0" distB="0" distL="0" distR="0">
            <wp:extent cx="5407660" cy="2743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7660" cy="2743200"/>
                    </a:xfrm>
                    <a:prstGeom prst="rect">
                      <a:avLst/>
                    </a:prstGeom>
                    <a:noFill/>
                  </pic:spPr>
                </pic:pic>
              </a:graphicData>
            </a:graphic>
          </wp:inline>
        </w:drawing>
      </w:r>
    </w:p>
    <w:p w:rsidR="00011654" w:rsidRDefault="00EC69A3" w:rsidP="00011654">
      <w:pPr>
        <w:jc w:val="center"/>
        <w:rPr>
          <w:sz w:val="20"/>
        </w:rPr>
      </w:pPr>
      <w:proofErr w:type="gramStart"/>
      <w:r w:rsidRPr="00EC69A3">
        <w:rPr>
          <w:sz w:val="20"/>
        </w:rPr>
        <w:t>Figure 5.</w:t>
      </w:r>
      <w:proofErr w:type="gramEnd"/>
      <w:r w:rsidRPr="00EC69A3">
        <w:rPr>
          <w:sz w:val="20"/>
        </w:rPr>
        <w:t xml:space="preserve"> Reverberation time measured in the hall using omni and subwoofer as the sound source</w:t>
      </w:r>
    </w:p>
    <w:p w:rsidR="00EC69A3" w:rsidRDefault="00EC69A3">
      <w:pPr>
        <w:jc w:val="both"/>
        <w:rPr>
          <w:sz w:val="20"/>
        </w:rPr>
      </w:pPr>
    </w:p>
    <w:p w:rsidR="00EC69A3" w:rsidRPr="00EC69A3" w:rsidRDefault="00EC69A3" w:rsidP="00EC69A3">
      <w:pPr>
        <w:rPr>
          <w:sz w:val="20"/>
        </w:rPr>
      </w:pPr>
      <w:r w:rsidRPr="00EC69A3">
        <w:rPr>
          <w:sz w:val="20"/>
        </w:rPr>
        <w:t>It can be seen from Figure 5 that the standard deviation of the 12 measurement positions taken was smaller at low frequency using the subwoofer, below 100 Hz. This is likely due to the high pass filter in the Nor 280 amplifier, 100 Hz, and the size of the drivers in the dodecahedron loudspeakers, 5” compared to the JBL 12” driver. This of course has the opposite effect at high frequency when the subwoofer is seen to be less consistent, see Figure 5.</w:t>
      </w:r>
    </w:p>
    <w:p w:rsidR="00EC69A3" w:rsidRPr="00EC69A3" w:rsidRDefault="00EC69A3" w:rsidP="00EC69A3">
      <w:pPr>
        <w:rPr>
          <w:sz w:val="20"/>
        </w:rPr>
      </w:pPr>
    </w:p>
    <w:p w:rsidR="00EC69A3" w:rsidRDefault="00EC69A3" w:rsidP="00EC69A3">
      <w:pPr>
        <w:rPr>
          <w:sz w:val="20"/>
        </w:rPr>
      </w:pPr>
      <w:r w:rsidRPr="00EC69A3">
        <w:rPr>
          <w:sz w:val="20"/>
        </w:rPr>
        <w:t>Again T20 measurements show a significant drop in the reverberation time</w:t>
      </w:r>
      <w:r w:rsidR="002E3CEF">
        <w:rPr>
          <w:sz w:val="20"/>
        </w:rPr>
        <w:t xml:space="preserve"> </w:t>
      </w:r>
      <w:r>
        <w:rPr>
          <w:sz w:val="20"/>
        </w:rPr>
        <w:t>centred</w:t>
      </w:r>
      <w:r w:rsidRPr="00EC69A3">
        <w:rPr>
          <w:sz w:val="20"/>
        </w:rPr>
        <w:t xml:space="preserve"> around 125 Hz, see Figure 5. However, the Bass Ratio was improved to 0.82 with a </w:t>
      </w:r>
      <w:proofErr w:type="spellStart"/>
      <w:r w:rsidRPr="00EC69A3">
        <w:rPr>
          <w:sz w:val="20"/>
        </w:rPr>
        <w:t>T</w:t>
      </w:r>
      <w:r w:rsidRPr="00EC69A3">
        <w:rPr>
          <w:sz w:val="20"/>
          <w:vertAlign w:val="subscript"/>
        </w:rPr>
        <w:t>mf</w:t>
      </w:r>
      <w:proofErr w:type="spellEnd"/>
      <w:r w:rsidRPr="00EC69A3">
        <w:rPr>
          <w:sz w:val="20"/>
        </w:rPr>
        <w:t>=0.9</w:t>
      </w:r>
      <w:r w:rsidR="00265430">
        <w:rPr>
          <w:sz w:val="20"/>
        </w:rPr>
        <w:t>0</w:t>
      </w:r>
      <w:r w:rsidRPr="00EC69A3">
        <w:rPr>
          <w:sz w:val="20"/>
        </w:rPr>
        <w:t xml:space="preserve"> seconds for the omni-source. So the room acoustic parameters are in agreement with the musicians. </w:t>
      </w:r>
    </w:p>
    <w:p w:rsidR="00EC69A3" w:rsidRDefault="00EC69A3" w:rsidP="00EC69A3">
      <w:pPr>
        <w:rPr>
          <w:sz w:val="20"/>
        </w:rPr>
      </w:pPr>
    </w:p>
    <w:p w:rsidR="00EC69A3" w:rsidRDefault="00EC69A3" w:rsidP="00EC69A3">
      <w:pPr>
        <w:pStyle w:val="Heading1"/>
      </w:pPr>
      <w:r w:rsidRPr="00EC69A3">
        <w:t>ASSESSMENT OF THE ROOM ACOUSTICS OF THE HALL</w:t>
      </w:r>
    </w:p>
    <w:p w:rsidR="00EC69A3" w:rsidRDefault="00EC69A3" w:rsidP="00EC69A3">
      <w:pPr>
        <w:rPr>
          <w:sz w:val="20"/>
        </w:rPr>
      </w:pPr>
      <w:r w:rsidRPr="00EC69A3">
        <w:rPr>
          <w:sz w:val="20"/>
        </w:rPr>
        <w:t xml:space="preserve">Assessing the room acoustics of the hall </w:t>
      </w:r>
      <w:r w:rsidR="00C84B1B">
        <w:rPr>
          <w:sz w:val="20"/>
        </w:rPr>
        <w:t>using</w:t>
      </w:r>
      <w:r w:rsidR="002E3CEF">
        <w:rPr>
          <w:sz w:val="20"/>
        </w:rPr>
        <w:t xml:space="preserve"> </w:t>
      </w:r>
      <w:r w:rsidRPr="00EC69A3">
        <w:rPr>
          <w:sz w:val="20"/>
        </w:rPr>
        <w:t xml:space="preserve">the </w:t>
      </w:r>
      <w:proofErr w:type="gramStart"/>
      <w:r w:rsidRPr="00EC69A3">
        <w:rPr>
          <w:sz w:val="20"/>
        </w:rPr>
        <w:t>new</w:t>
      </w:r>
      <w:proofErr w:type="gramEnd"/>
      <w:r w:rsidRPr="00EC69A3">
        <w:rPr>
          <w:sz w:val="20"/>
        </w:rPr>
        <w:t xml:space="preserve"> Norwegian Standard 8178 [3]. It can be seen that the hall fails to meet the criteria </w:t>
      </w:r>
      <w:r w:rsidR="00601049">
        <w:rPr>
          <w:sz w:val="20"/>
        </w:rPr>
        <w:t xml:space="preserve">for frequency dependency </w:t>
      </w:r>
      <w:r w:rsidR="002B1A34">
        <w:rPr>
          <w:sz w:val="20"/>
        </w:rPr>
        <w:t>below 500 Hz</w:t>
      </w:r>
      <w:r w:rsidRPr="00EC69A3">
        <w:rPr>
          <w:sz w:val="20"/>
        </w:rPr>
        <w:t xml:space="preserve">, either with the curtains extended or with the curtains hidden. </w:t>
      </w:r>
    </w:p>
    <w:p w:rsidR="00EC69A3" w:rsidRDefault="00EC69A3" w:rsidP="00A614D7">
      <w:pPr>
        <w:jc w:val="center"/>
        <w:rPr>
          <w:sz w:val="20"/>
        </w:rPr>
      </w:pPr>
      <w:r>
        <w:rPr>
          <w:noProof/>
          <w:lang w:val="en-GB" w:eastAsia="en-GB"/>
        </w:rPr>
        <w:drawing>
          <wp:inline distT="0" distB="0" distL="0" distR="0">
            <wp:extent cx="4261260" cy="2670723"/>
            <wp:effectExtent l="0" t="0" r="6350" b="0"/>
            <wp:docPr id="2" name="Picture 1" descr="ns8178 - recital 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8178 - recital hall.png"/>
                    <pic:cNvPicPr/>
                  </pic:nvPicPr>
                  <pic:blipFill>
                    <a:blip r:embed="rId16" cstate="print"/>
                    <a:stretch>
                      <a:fillRect/>
                    </a:stretch>
                  </pic:blipFill>
                  <pic:spPr>
                    <a:xfrm>
                      <a:off x="0" y="0"/>
                      <a:ext cx="4285010" cy="2685608"/>
                    </a:xfrm>
                    <a:prstGeom prst="rect">
                      <a:avLst/>
                    </a:prstGeom>
                  </pic:spPr>
                </pic:pic>
              </a:graphicData>
            </a:graphic>
          </wp:inline>
        </w:drawing>
      </w:r>
    </w:p>
    <w:p w:rsidR="00011654" w:rsidRDefault="00EC69A3" w:rsidP="00011654">
      <w:pPr>
        <w:jc w:val="center"/>
        <w:rPr>
          <w:sz w:val="20"/>
        </w:rPr>
      </w:pPr>
      <w:proofErr w:type="gramStart"/>
      <w:r w:rsidRPr="00EC69A3">
        <w:rPr>
          <w:sz w:val="20"/>
        </w:rPr>
        <w:t>Figure 6.</w:t>
      </w:r>
      <w:proofErr w:type="gramEnd"/>
      <w:r w:rsidRPr="00EC69A3">
        <w:rPr>
          <w:sz w:val="20"/>
        </w:rPr>
        <w:t xml:space="preserve"> </w:t>
      </w:r>
      <w:r w:rsidR="00C84B1B">
        <w:rPr>
          <w:sz w:val="20"/>
        </w:rPr>
        <w:t>Frequency dependency</w:t>
      </w:r>
      <w:r w:rsidRPr="00EC69A3">
        <w:rPr>
          <w:sz w:val="20"/>
        </w:rPr>
        <w:t xml:space="preserve">of the hall </w:t>
      </w:r>
      <w:r w:rsidR="00C84B1B">
        <w:rPr>
          <w:sz w:val="20"/>
        </w:rPr>
        <w:t>in comparison</w:t>
      </w:r>
      <w:r w:rsidR="002B1A34">
        <w:rPr>
          <w:sz w:val="20"/>
        </w:rPr>
        <w:t>,</w:t>
      </w:r>
      <w:r w:rsidR="002E3CEF">
        <w:rPr>
          <w:sz w:val="20"/>
        </w:rPr>
        <w:t xml:space="preserve"> </w:t>
      </w:r>
      <w:r w:rsidR="002B1A34">
        <w:rPr>
          <w:sz w:val="20"/>
        </w:rPr>
        <w:t>T</w:t>
      </w:r>
      <w:r w:rsidR="00011654" w:rsidRPr="00011654">
        <w:rPr>
          <w:sz w:val="20"/>
          <w:vertAlign w:val="subscript"/>
        </w:rPr>
        <w:t>mid</w:t>
      </w:r>
      <w:proofErr w:type="gramStart"/>
      <w:r w:rsidR="002B1A34">
        <w:rPr>
          <w:sz w:val="20"/>
        </w:rPr>
        <w:t>,w</w:t>
      </w:r>
      <w:r w:rsidRPr="00EC69A3">
        <w:rPr>
          <w:sz w:val="20"/>
        </w:rPr>
        <w:t>ith</w:t>
      </w:r>
      <w:proofErr w:type="gramEnd"/>
      <w:r w:rsidRPr="00EC69A3">
        <w:rPr>
          <w:sz w:val="20"/>
        </w:rPr>
        <w:t xml:space="preserve"> curtains</w:t>
      </w:r>
      <w:r w:rsidR="00C84B1B">
        <w:rPr>
          <w:sz w:val="20"/>
        </w:rPr>
        <w:t xml:space="preserve"> deployed</w:t>
      </w:r>
      <w:r w:rsidRPr="00EC69A3">
        <w:rPr>
          <w:sz w:val="20"/>
        </w:rPr>
        <w:t xml:space="preserve"> and with hidden curtain</w:t>
      </w:r>
      <w:r w:rsidR="002B1A34">
        <w:rPr>
          <w:sz w:val="20"/>
        </w:rPr>
        <w:t>s</w:t>
      </w:r>
      <w:r w:rsidRPr="00EC69A3">
        <w:rPr>
          <w:sz w:val="20"/>
        </w:rPr>
        <w:t xml:space="preserve"> according to NS8178:2014</w:t>
      </w:r>
    </w:p>
    <w:p w:rsidR="00011654" w:rsidRDefault="00011654" w:rsidP="00011654"/>
    <w:p w:rsidR="00263D26" w:rsidRDefault="00C12C77" w:rsidP="00263D26">
      <w:pPr>
        <w:jc w:val="center"/>
      </w:pPr>
      <w:r>
        <w:rPr>
          <w:noProof/>
          <w:lang w:val="en-GB" w:eastAsia="en-GB"/>
        </w:rPr>
        <w:drawing>
          <wp:inline distT="0" distB="0" distL="0" distR="0">
            <wp:extent cx="4572000" cy="29070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3-27 at 15.24.57.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0914" cy="2919084"/>
                    </a:xfrm>
                    <a:prstGeom prst="rect">
                      <a:avLst/>
                    </a:prstGeom>
                  </pic:spPr>
                </pic:pic>
              </a:graphicData>
            </a:graphic>
          </wp:inline>
        </w:drawing>
      </w:r>
    </w:p>
    <w:p w:rsidR="00011654" w:rsidRDefault="00EC69A3" w:rsidP="00011654">
      <w:pPr>
        <w:jc w:val="center"/>
        <w:rPr>
          <w:sz w:val="20"/>
        </w:rPr>
      </w:pPr>
      <w:proofErr w:type="gramStart"/>
      <w:r w:rsidRPr="00EC69A3">
        <w:rPr>
          <w:sz w:val="20"/>
        </w:rPr>
        <w:t>Figure 7.</w:t>
      </w:r>
      <w:proofErr w:type="gramEnd"/>
      <w:r w:rsidRPr="00EC69A3">
        <w:rPr>
          <w:sz w:val="20"/>
        </w:rPr>
        <w:t xml:space="preserve"> </w:t>
      </w:r>
      <w:proofErr w:type="spellStart"/>
      <w:r w:rsidRPr="00EC69A3">
        <w:rPr>
          <w:sz w:val="20"/>
        </w:rPr>
        <w:t>T</w:t>
      </w:r>
      <w:r w:rsidRPr="00EC69A3">
        <w:rPr>
          <w:sz w:val="20"/>
          <w:vertAlign w:val="subscript"/>
        </w:rPr>
        <w:t>mid</w:t>
      </w:r>
      <w:proofErr w:type="spellEnd"/>
      <w:r w:rsidRPr="00EC69A3">
        <w:rPr>
          <w:sz w:val="20"/>
        </w:rPr>
        <w:t xml:space="preserve"> re</w:t>
      </w:r>
      <w:r>
        <w:rPr>
          <w:sz w:val="20"/>
        </w:rPr>
        <w:t xml:space="preserve">verberation time of the </w:t>
      </w:r>
      <w:r w:rsidRPr="00EC69A3">
        <w:rPr>
          <w:sz w:val="20"/>
        </w:rPr>
        <w:t>hall, O with curtain hidden and X with curtains extended</w:t>
      </w:r>
    </w:p>
    <w:p w:rsidR="00EC69A3" w:rsidRDefault="00EC69A3" w:rsidP="00EC69A3"/>
    <w:p w:rsidR="00EC69A3" w:rsidRDefault="00EC69A3" w:rsidP="00EC69A3">
      <w:pPr>
        <w:rPr>
          <w:sz w:val="20"/>
        </w:rPr>
      </w:pPr>
      <w:r w:rsidRPr="00EC69A3">
        <w:rPr>
          <w:sz w:val="20"/>
        </w:rPr>
        <w:t xml:space="preserve">However, when you focus on the mid frequency performance of the hall, </w:t>
      </w:r>
      <w:proofErr w:type="spellStart"/>
      <w:r w:rsidRPr="00EC69A3">
        <w:rPr>
          <w:sz w:val="20"/>
        </w:rPr>
        <w:t>T</w:t>
      </w:r>
      <w:r w:rsidRPr="00EC69A3">
        <w:rPr>
          <w:sz w:val="20"/>
          <w:vertAlign w:val="subscript"/>
        </w:rPr>
        <w:t>mid</w:t>
      </w:r>
      <w:proofErr w:type="spellEnd"/>
      <w:r w:rsidRPr="00EC69A3">
        <w:rPr>
          <w:sz w:val="20"/>
        </w:rPr>
        <w:t>=T</w:t>
      </w:r>
      <w:r w:rsidRPr="00EC69A3">
        <w:rPr>
          <w:sz w:val="20"/>
          <w:vertAlign w:val="subscript"/>
        </w:rPr>
        <w:t>500</w:t>
      </w:r>
      <w:r w:rsidRPr="00EC69A3">
        <w:rPr>
          <w:sz w:val="20"/>
        </w:rPr>
        <w:t xml:space="preserve"> and T</w:t>
      </w:r>
      <w:r w:rsidRPr="00EC69A3">
        <w:rPr>
          <w:sz w:val="20"/>
          <w:vertAlign w:val="subscript"/>
        </w:rPr>
        <w:t>1000</w:t>
      </w:r>
      <w:r w:rsidRPr="00EC69A3">
        <w:rPr>
          <w:sz w:val="20"/>
        </w:rPr>
        <w:t xml:space="preserve"> averaged then the hall behaves well for large ensembles when the curtain is extended, such as brass or operatic styles of performance, or with curtains hidden for small ensembles for instance chamber music</w:t>
      </w:r>
      <w:r>
        <w:rPr>
          <w:sz w:val="20"/>
        </w:rPr>
        <w:t>, see Figure 7.</w:t>
      </w:r>
    </w:p>
    <w:p w:rsidR="00EC69A3" w:rsidRDefault="007A38DF" w:rsidP="007A38DF">
      <w:pPr>
        <w:tabs>
          <w:tab w:val="left" w:pos="2724"/>
        </w:tabs>
        <w:rPr>
          <w:sz w:val="20"/>
        </w:rPr>
      </w:pPr>
      <w:r>
        <w:rPr>
          <w:sz w:val="20"/>
        </w:rPr>
        <w:tab/>
      </w:r>
    </w:p>
    <w:p w:rsidR="007A38DF" w:rsidRDefault="007A38DF" w:rsidP="007A38DF">
      <w:pPr>
        <w:tabs>
          <w:tab w:val="left" w:pos="2724"/>
        </w:tabs>
        <w:rPr>
          <w:sz w:val="20"/>
        </w:rPr>
      </w:pPr>
    </w:p>
    <w:p w:rsidR="00EC69A3" w:rsidRDefault="00EC69A3" w:rsidP="00EC69A3">
      <w:pPr>
        <w:pStyle w:val="Heading1"/>
      </w:pPr>
      <w:r>
        <w:t>DISCUSSION</w:t>
      </w:r>
      <w:bookmarkStart w:id="0" w:name="_GoBack"/>
      <w:bookmarkEnd w:id="0"/>
    </w:p>
    <w:p w:rsidR="00EC69A3" w:rsidRDefault="00EC69A3" w:rsidP="00EC69A3">
      <w:pPr>
        <w:rPr>
          <w:sz w:val="20"/>
        </w:rPr>
      </w:pPr>
      <w:r w:rsidRPr="00EC69A3">
        <w:rPr>
          <w:sz w:val="20"/>
        </w:rPr>
        <w:t>From the room acoustic measurements, the hall can be said to have an unusual acoustic. So some analysis of the acoustic may help explain the low frequency dip in the reverberation time. Low frequency sound has a lo</w:t>
      </w:r>
      <w:r w:rsidR="00C84B1B">
        <w:rPr>
          <w:sz w:val="20"/>
        </w:rPr>
        <w:t>ng</w:t>
      </w:r>
      <w:r w:rsidRPr="00EC69A3">
        <w:rPr>
          <w:sz w:val="20"/>
        </w:rPr>
        <w:t xml:space="preserve"> wavelength </w:t>
      </w:r>
      <w:r w:rsidR="00C84B1B">
        <w:rPr>
          <w:sz w:val="20"/>
        </w:rPr>
        <w:t>so</w:t>
      </w:r>
      <w:r w:rsidRPr="00EC69A3">
        <w:rPr>
          <w:sz w:val="20"/>
        </w:rPr>
        <w:t xml:space="preserve"> a change to the acoustic must be due to a physically significant construction. The most obvious would be the fake rear wall which is an unusual design feature. Each wall creates a gap of approximately 3.25m by </w:t>
      </w:r>
      <w:r w:rsidR="00013932">
        <w:rPr>
          <w:sz w:val="20"/>
        </w:rPr>
        <w:t>3.6</w:t>
      </w:r>
      <w:r w:rsidRPr="00EC69A3">
        <w:rPr>
          <w:sz w:val="20"/>
        </w:rPr>
        <w:t>m by 0.2m with a slit opening of 0.31m running the full height of the wall</w:t>
      </w:r>
      <w:r w:rsidR="00C84B1B">
        <w:rPr>
          <w:sz w:val="20"/>
        </w:rPr>
        <w:t>, and continuing along the top of the fake wall over the doorway.</w:t>
      </w:r>
    </w:p>
    <w:p w:rsidR="00EC69A3" w:rsidRPr="00EC69A3" w:rsidRDefault="00EC69A3" w:rsidP="00EC69A3">
      <w:pPr>
        <w:rPr>
          <w:sz w:val="20"/>
        </w:rPr>
      </w:pPr>
    </w:p>
    <w:p w:rsidR="00EC69A3" w:rsidRDefault="00EC69A3" w:rsidP="00EC69A3">
      <w:pPr>
        <w:rPr>
          <w:sz w:val="20"/>
        </w:rPr>
      </w:pPr>
      <w:r w:rsidRPr="00EC69A3">
        <w:rPr>
          <w:sz w:val="20"/>
        </w:rPr>
        <w:t xml:space="preserve">Fuchs and Lamprecht [4] produced many reverberation and noise control designs which had similar characteristics to reduce the reverberation in too reverberant </w:t>
      </w:r>
      <w:r w:rsidR="001C4BBD">
        <w:rPr>
          <w:sz w:val="20"/>
        </w:rPr>
        <w:t>rooms</w:t>
      </w:r>
      <w:r w:rsidRPr="00EC69A3">
        <w:rPr>
          <w:sz w:val="20"/>
        </w:rPr>
        <w:t>. These were all based on ¼ wavelength resonators filled with porous absorption (fibreglass). They were placed high up in the corner of the room and had a small opening at one end.</w:t>
      </w:r>
    </w:p>
    <w:p w:rsidR="00EC69A3" w:rsidRPr="00EC69A3" w:rsidRDefault="00EC69A3" w:rsidP="00EC69A3">
      <w:pPr>
        <w:rPr>
          <w:sz w:val="20"/>
        </w:rPr>
      </w:pPr>
    </w:p>
    <w:p w:rsidR="00EC69A3" w:rsidRDefault="00EC69A3" w:rsidP="00EC69A3">
      <w:pPr>
        <w:rPr>
          <w:sz w:val="20"/>
        </w:rPr>
      </w:pPr>
      <w:r w:rsidRPr="00EC69A3">
        <w:rPr>
          <w:sz w:val="20"/>
        </w:rPr>
        <w:t>Comparing the two omni-source room acoustic measurements for the hall, see Figure 8, it can be seen that between 50 and 160 Hz the reverberation times are very similar. However, across the full frequency range the average</w:t>
      </w:r>
      <w:r w:rsidR="00E62DDE">
        <w:rPr>
          <w:sz w:val="20"/>
        </w:rPr>
        <w:t>d</w:t>
      </w:r>
      <w:r w:rsidRPr="00EC69A3">
        <w:rPr>
          <w:sz w:val="20"/>
        </w:rPr>
        <w:t xml:space="preserve"> T20 </w:t>
      </w:r>
      <w:r w:rsidR="00E62DDE">
        <w:rPr>
          <w:sz w:val="20"/>
        </w:rPr>
        <w:t>was reduced from</w:t>
      </w:r>
      <w:r w:rsidRPr="00EC69A3">
        <w:rPr>
          <w:sz w:val="20"/>
        </w:rPr>
        <w:t xml:space="preserve">1.14 seconds </w:t>
      </w:r>
      <w:r w:rsidR="00E62DDE">
        <w:rPr>
          <w:sz w:val="20"/>
        </w:rPr>
        <w:t>to</w:t>
      </w:r>
      <w:r w:rsidRPr="00EC69A3">
        <w:rPr>
          <w:sz w:val="20"/>
        </w:rPr>
        <w:t xml:space="preserve"> 0.84 seconds, for curtains hidden and curtains extended respectively</w:t>
      </w:r>
      <w:r w:rsidR="003F2C66">
        <w:rPr>
          <w:sz w:val="20"/>
        </w:rPr>
        <w:t>.</w:t>
      </w:r>
    </w:p>
    <w:p w:rsidR="00EC69A3" w:rsidRPr="00EC69A3" w:rsidRDefault="00EC69A3" w:rsidP="00EC69A3">
      <w:pPr>
        <w:rPr>
          <w:sz w:val="20"/>
        </w:rPr>
      </w:pPr>
    </w:p>
    <w:p w:rsidR="00EC69A3" w:rsidRPr="00EC69A3" w:rsidRDefault="00EC69A3" w:rsidP="00EC69A3">
      <w:pPr>
        <w:rPr>
          <w:sz w:val="20"/>
        </w:rPr>
      </w:pPr>
      <w:r w:rsidRPr="00EC69A3">
        <w:rPr>
          <w:sz w:val="20"/>
        </w:rPr>
        <w:t xml:space="preserve">The similarity in the curves at low frequencies would indicate that the curtains in the fake wall were not </w:t>
      </w:r>
      <w:r w:rsidR="001A71B8" w:rsidRPr="00EC69A3">
        <w:rPr>
          <w:sz w:val="20"/>
        </w:rPr>
        <w:t>affecting</w:t>
      </w:r>
      <w:r w:rsidRPr="00EC69A3">
        <w:rPr>
          <w:sz w:val="20"/>
        </w:rPr>
        <w:t xml:space="preserve"> the absorptive properties. This would mean the fake wall was perhaps acting as a resonator. The dimensions of the fake wall would suggest a resonance between 113 Hz and 126 Hz. </w:t>
      </w:r>
    </w:p>
    <w:p w:rsidR="00EC69A3" w:rsidRDefault="00EC69A3" w:rsidP="00EC69A3"/>
    <w:p w:rsidR="00EC69A3" w:rsidRDefault="00EC69A3" w:rsidP="00EC69A3"/>
    <w:p w:rsidR="00EC69A3" w:rsidRDefault="004F4D6E" w:rsidP="004F4D6E">
      <w:pPr>
        <w:jc w:val="center"/>
      </w:pPr>
      <w:r>
        <w:rPr>
          <w:noProof/>
          <w:lang w:val="en-GB" w:eastAsia="en-GB"/>
        </w:rPr>
        <w:lastRenderedPageBreak/>
        <w:drawing>
          <wp:inline distT="0" distB="0" distL="0" distR="0">
            <wp:extent cx="4572000" cy="24509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F43B0">
        <w:tab/>
      </w:r>
    </w:p>
    <w:p w:rsidR="00011654" w:rsidRDefault="004F4D6E" w:rsidP="00011654">
      <w:pPr>
        <w:jc w:val="center"/>
        <w:rPr>
          <w:sz w:val="20"/>
        </w:rPr>
      </w:pPr>
      <w:proofErr w:type="gramStart"/>
      <w:r w:rsidRPr="004F4D6E">
        <w:rPr>
          <w:sz w:val="20"/>
        </w:rPr>
        <w:t>Figure 8.</w:t>
      </w:r>
      <w:proofErr w:type="gramEnd"/>
      <w:r w:rsidRPr="004F4D6E">
        <w:rPr>
          <w:sz w:val="20"/>
        </w:rPr>
        <w:t xml:space="preserve"> Measured Reverberation Time, T20, with curtain extended and with curtain hidden</w:t>
      </w:r>
      <w:r>
        <w:rPr>
          <w:sz w:val="20"/>
        </w:rPr>
        <w:t>.</w:t>
      </w:r>
    </w:p>
    <w:p w:rsidR="004F4D6E" w:rsidRDefault="004F4D6E" w:rsidP="004F4D6E">
      <w:pPr>
        <w:rPr>
          <w:sz w:val="20"/>
        </w:rPr>
      </w:pPr>
    </w:p>
    <w:p w:rsidR="004F4D6E" w:rsidRDefault="001A71B8" w:rsidP="004F4D6E">
      <w:pPr>
        <w:pStyle w:val="Heading1"/>
      </w:pPr>
      <w:r>
        <w:t>VERIFICATION</w:t>
      </w:r>
      <w:r w:rsidR="004F4D6E">
        <w:t xml:space="preserve"> WORK</w:t>
      </w:r>
    </w:p>
    <w:p w:rsidR="004F4D6E" w:rsidRDefault="00164E93" w:rsidP="004F4D6E">
      <w:pPr>
        <w:rPr>
          <w:sz w:val="20"/>
        </w:rPr>
      </w:pPr>
      <w:r>
        <w:rPr>
          <w:sz w:val="20"/>
        </w:rPr>
        <w:t xml:space="preserve">As a geometric based model would not be able to simulate the effect of the fake wall other possible solutions will need to be </w:t>
      </w:r>
      <w:r w:rsidR="00093727">
        <w:rPr>
          <w:sz w:val="20"/>
        </w:rPr>
        <w:t>found</w:t>
      </w:r>
      <w:r>
        <w:t xml:space="preserve">. </w:t>
      </w:r>
      <w:r w:rsidR="004F4D6E" w:rsidRPr="004F4D6E">
        <w:rPr>
          <w:sz w:val="20"/>
        </w:rPr>
        <w:t xml:space="preserve">Conclusions can only be drawn when a suitable model has been developed to recreate the effect of the fake wall. There are several possible options to simulate or measure a room with a fake wall. Firstly, it would be conceivable to run a wave based computer simulation of the recital hall either in COMSOL a Finite Element Model [5], or a Finite Difference Time Difference Model [6]. Secondly through recreating the space using </w:t>
      </w:r>
      <w:r w:rsidR="001A71B8">
        <w:rPr>
          <w:sz w:val="20"/>
        </w:rPr>
        <w:t>either</w:t>
      </w:r>
      <w:r w:rsidR="004F4D6E" w:rsidRPr="004F4D6E">
        <w:rPr>
          <w:sz w:val="20"/>
        </w:rPr>
        <w:t xml:space="preserve"> physical scale model [7]</w:t>
      </w:r>
      <w:r w:rsidR="001A71B8">
        <w:rPr>
          <w:sz w:val="20"/>
        </w:rPr>
        <w:t xml:space="preserve"> or by recreation of the room with a similar geometry</w:t>
      </w:r>
      <w:r w:rsidR="004F4D6E" w:rsidRPr="004F4D6E">
        <w:rPr>
          <w:sz w:val="20"/>
        </w:rPr>
        <w:t xml:space="preserve">. Through either method it would be possible to determine if this </w:t>
      </w:r>
      <w:r w:rsidR="0042221A">
        <w:rPr>
          <w:sz w:val="20"/>
        </w:rPr>
        <w:t>geometry</w:t>
      </w:r>
      <w:r w:rsidR="007E1F3B">
        <w:rPr>
          <w:sz w:val="20"/>
        </w:rPr>
        <w:t xml:space="preserve"> </w:t>
      </w:r>
      <w:r w:rsidR="004F4D6E" w:rsidRPr="004F4D6E">
        <w:rPr>
          <w:sz w:val="20"/>
        </w:rPr>
        <w:t xml:space="preserve">is </w:t>
      </w:r>
      <w:r w:rsidR="0042221A">
        <w:rPr>
          <w:sz w:val="20"/>
        </w:rPr>
        <w:t xml:space="preserve">useable as </w:t>
      </w:r>
      <w:r w:rsidR="004F4D6E" w:rsidRPr="004F4D6E">
        <w:rPr>
          <w:sz w:val="20"/>
        </w:rPr>
        <w:t>a new form of simple low frequency absorber that’s effective over two octave band</w:t>
      </w:r>
      <w:r>
        <w:rPr>
          <w:sz w:val="20"/>
        </w:rPr>
        <w:t xml:space="preserve">s. </w:t>
      </w:r>
    </w:p>
    <w:p w:rsidR="00416A05" w:rsidRDefault="00416A05" w:rsidP="004F4D6E">
      <w:pPr>
        <w:rPr>
          <w:sz w:val="20"/>
        </w:rPr>
      </w:pPr>
    </w:p>
    <w:p w:rsidR="00416A05" w:rsidRDefault="00416A05" w:rsidP="00416A05">
      <w:pPr>
        <w:pStyle w:val="Heading2"/>
      </w:pPr>
      <w:r>
        <w:t>Computer Simulation</w:t>
      </w:r>
    </w:p>
    <w:p w:rsidR="004F4D6E" w:rsidRDefault="00164E93" w:rsidP="004F4D6E">
      <w:pPr>
        <w:rPr>
          <w:sz w:val="20"/>
        </w:rPr>
      </w:pPr>
      <w:r>
        <w:rPr>
          <w:sz w:val="20"/>
        </w:rPr>
        <w:t xml:space="preserve">A preliminary study using a simple COMSOL model has been undertaken. A simplified version of the hall has been </w:t>
      </w:r>
      <w:r w:rsidR="00F07678">
        <w:rPr>
          <w:sz w:val="20"/>
        </w:rPr>
        <w:t>simulated;</w:t>
      </w:r>
      <w:r>
        <w:rPr>
          <w:sz w:val="20"/>
        </w:rPr>
        <w:t xml:space="preserve"> see Figure 9</w:t>
      </w:r>
      <w:r w:rsidR="00416A05">
        <w:rPr>
          <w:sz w:val="20"/>
        </w:rPr>
        <w:t xml:space="preserve"> and Figure 10</w:t>
      </w:r>
      <w:r>
        <w:rPr>
          <w:sz w:val="20"/>
        </w:rPr>
        <w:t>.</w:t>
      </w:r>
    </w:p>
    <w:p w:rsidR="00416A05" w:rsidRDefault="00416A05" w:rsidP="00416A05">
      <w:pPr>
        <w:rPr>
          <w:sz w:val="20"/>
        </w:rPr>
      </w:pPr>
    </w:p>
    <w:p w:rsidR="00416A05" w:rsidRDefault="00416A05" w:rsidP="00416A05">
      <w:pPr>
        <w:jc w:val="center"/>
        <w:rPr>
          <w:sz w:val="20"/>
        </w:rPr>
      </w:pPr>
      <w:r>
        <w:rPr>
          <w:rFonts w:ascii="Bodoni 72 Book" w:hAnsi="Bodoni 72 Book"/>
          <w:b/>
          <w:noProof/>
          <w:lang w:val="en-GB" w:eastAsia="en-GB"/>
        </w:rPr>
        <w:drawing>
          <wp:inline distT="0" distB="0" distL="0" distR="0">
            <wp:extent cx="4017519" cy="2514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0.71 Panel.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25147" cy="2644556"/>
                    </a:xfrm>
                    <a:prstGeom prst="rect">
                      <a:avLst/>
                    </a:prstGeom>
                  </pic:spPr>
                </pic:pic>
              </a:graphicData>
            </a:graphic>
          </wp:inline>
        </w:drawing>
      </w:r>
    </w:p>
    <w:p w:rsidR="00416A05" w:rsidRDefault="00416A05" w:rsidP="00F07678">
      <w:pPr>
        <w:jc w:val="center"/>
        <w:rPr>
          <w:sz w:val="20"/>
        </w:rPr>
      </w:pPr>
      <w:proofErr w:type="gramStart"/>
      <w:r>
        <w:rPr>
          <w:sz w:val="20"/>
        </w:rPr>
        <w:t>Figure 9.</w:t>
      </w:r>
      <w:proofErr w:type="gramEnd"/>
      <w:r>
        <w:rPr>
          <w:sz w:val="20"/>
        </w:rPr>
        <w:t xml:space="preserve"> An example COMSOL Modal Analysis at 160 Hz with the fake wall</w:t>
      </w:r>
    </w:p>
    <w:p w:rsidR="00416A05" w:rsidRDefault="00416A05" w:rsidP="00416A05">
      <w:pPr>
        <w:rPr>
          <w:sz w:val="20"/>
        </w:rPr>
      </w:pPr>
    </w:p>
    <w:p w:rsidR="00416A05" w:rsidRDefault="00416A05" w:rsidP="00F07678">
      <w:pPr>
        <w:jc w:val="center"/>
        <w:rPr>
          <w:sz w:val="20"/>
        </w:rPr>
      </w:pPr>
      <w:r>
        <w:rPr>
          <w:rFonts w:ascii="Bodoni 72 Book" w:hAnsi="Bodoni 72 Book"/>
          <w:b/>
          <w:noProof/>
          <w:lang w:val="en-GB" w:eastAsia="en-GB"/>
        </w:rPr>
        <w:lastRenderedPageBreak/>
        <w:drawing>
          <wp:inline distT="0" distB="0" distL="0" distR="0">
            <wp:extent cx="4112521" cy="2660951"/>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0.6 No Panel.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14158" cy="2726714"/>
                    </a:xfrm>
                    <a:prstGeom prst="rect">
                      <a:avLst/>
                    </a:prstGeom>
                  </pic:spPr>
                </pic:pic>
              </a:graphicData>
            </a:graphic>
          </wp:inline>
        </w:drawing>
      </w:r>
    </w:p>
    <w:p w:rsidR="00416A05" w:rsidRDefault="00416A05" w:rsidP="00416A05">
      <w:pPr>
        <w:jc w:val="center"/>
        <w:rPr>
          <w:sz w:val="20"/>
        </w:rPr>
      </w:pPr>
    </w:p>
    <w:p w:rsidR="00416A05" w:rsidRDefault="00416A05" w:rsidP="00F07678">
      <w:pPr>
        <w:jc w:val="center"/>
        <w:rPr>
          <w:sz w:val="20"/>
        </w:rPr>
      </w:pPr>
      <w:proofErr w:type="gramStart"/>
      <w:r>
        <w:rPr>
          <w:sz w:val="20"/>
        </w:rPr>
        <w:t>Figure 10.</w:t>
      </w:r>
      <w:proofErr w:type="gramEnd"/>
      <w:r>
        <w:rPr>
          <w:sz w:val="20"/>
        </w:rPr>
        <w:t xml:space="preserve"> An example COMSOL Modal Analysis at 160 Hz without the fake wall</w:t>
      </w:r>
    </w:p>
    <w:p w:rsidR="00164E93" w:rsidRDefault="00164E93" w:rsidP="004F4D6E">
      <w:pPr>
        <w:rPr>
          <w:sz w:val="20"/>
        </w:rPr>
      </w:pPr>
    </w:p>
    <w:p w:rsidR="00164E93" w:rsidRDefault="00164E93" w:rsidP="004F4D6E">
      <w:pPr>
        <w:rPr>
          <w:sz w:val="20"/>
        </w:rPr>
      </w:pPr>
      <w:r>
        <w:rPr>
          <w:sz w:val="20"/>
        </w:rPr>
        <w:t xml:space="preserve">The preliminary results do seem to predict a </w:t>
      </w:r>
      <w:r w:rsidR="0090440D">
        <w:rPr>
          <w:sz w:val="20"/>
        </w:rPr>
        <w:t>density of</w:t>
      </w:r>
      <w:r>
        <w:rPr>
          <w:sz w:val="20"/>
        </w:rPr>
        <w:t xml:space="preserve"> trapped</w:t>
      </w:r>
      <w:r w:rsidR="0090440D">
        <w:rPr>
          <w:sz w:val="20"/>
        </w:rPr>
        <w:t xml:space="preserve"> modes </w:t>
      </w:r>
      <w:r>
        <w:rPr>
          <w:sz w:val="20"/>
        </w:rPr>
        <w:t xml:space="preserve">behind the wall </w:t>
      </w:r>
      <w:r w:rsidR="0090440D">
        <w:rPr>
          <w:sz w:val="20"/>
        </w:rPr>
        <w:t xml:space="preserve">around 150 Hz </w:t>
      </w:r>
      <w:r>
        <w:rPr>
          <w:sz w:val="20"/>
        </w:rPr>
        <w:t>which would suggest it is possible to simulate the low frequency behaviour of the room.</w:t>
      </w:r>
    </w:p>
    <w:p w:rsidR="00416A05" w:rsidRDefault="00416A05" w:rsidP="004F4D6E">
      <w:pPr>
        <w:rPr>
          <w:sz w:val="20"/>
        </w:rPr>
      </w:pPr>
    </w:p>
    <w:p w:rsidR="00416A05" w:rsidRDefault="00416A05" w:rsidP="00416A05">
      <w:pPr>
        <w:pStyle w:val="Heading2"/>
      </w:pPr>
      <w:r>
        <w:t>Reconstruction</w:t>
      </w:r>
    </w:p>
    <w:p w:rsidR="003E4E3D" w:rsidRDefault="00982DAF" w:rsidP="004F4D6E">
      <w:pPr>
        <w:rPr>
          <w:sz w:val="20"/>
        </w:rPr>
      </w:pPr>
      <w:r>
        <w:rPr>
          <w:sz w:val="20"/>
        </w:rPr>
        <w:t>The LSBU reverberation chamber was</w:t>
      </w:r>
      <w:r w:rsidR="003E4E3D">
        <w:rPr>
          <w:sz w:val="20"/>
        </w:rPr>
        <w:t xml:space="preserve"> redesigned to temporarily align with that of the empty recital hall, see Figure 11. </w:t>
      </w:r>
    </w:p>
    <w:p w:rsidR="003E4E3D" w:rsidRDefault="003E4E3D" w:rsidP="003E4E3D">
      <w:pPr>
        <w:jc w:val="center"/>
        <w:rPr>
          <w:sz w:val="20"/>
        </w:rPr>
      </w:pPr>
      <w:r>
        <w:rPr>
          <w:noProof/>
          <w:lang w:val="en-GB" w:eastAsia="en-GB"/>
        </w:rPr>
        <w:drawing>
          <wp:inline distT="0" distB="0" distL="0" distR="0">
            <wp:extent cx="3832860" cy="3357661"/>
            <wp:effectExtent l="19050" t="0" r="0" b="0"/>
            <wp:docPr id="11" name="Picture 1" descr="C:\Users\peter\AppData\Local\Microsoft\Windows\INetCache\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New Picture (3).bmp"/>
                    <pic:cNvPicPr>
                      <a:picLocks noChangeAspect="1" noChangeArrowheads="1"/>
                    </pic:cNvPicPr>
                  </pic:nvPicPr>
                  <pic:blipFill>
                    <a:blip r:embed="rId21"/>
                    <a:srcRect/>
                    <a:stretch>
                      <a:fillRect/>
                    </a:stretch>
                  </pic:blipFill>
                  <pic:spPr bwMode="auto">
                    <a:xfrm>
                      <a:off x="0" y="0"/>
                      <a:ext cx="3833383" cy="3358119"/>
                    </a:xfrm>
                    <a:prstGeom prst="rect">
                      <a:avLst/>
                    </a:prstGeom>
                    <a:noFill/>
                    <a:ln w="9525">
                      <a:noFill/>
                      <a:miter lim="800000"/>
                      <a:headEnd/>
                      <a:tailEnd/>
                    </a:ln>
                  </pic:spPr>
                </pic:pic>
              </a:graphicData>
            </a:graphic>
          </wp:inline>
        </w:drawing>
      </w:r>
    </w:p>
    <w:p w:rsidR="003E4E3D" w:rsidRDefault="003E4E3D" w:rsidP="003E4E3D">
      <w:pPr>
        <w:jc w:val="center"/>
        <w:rPr>
          <w:sz w:val="20"/>
        </w:rPr>
      </w:pPr>
      <w:proofErr w:type="gramStart"/>
      <w:r>
        <w:rPr>
          <w:sz w:val="20"/>
        </w:rPr>
        <w:t>Figure 11.</w:t>
      </w:r>
      <w:proofErr w:type="gramEnd"/>
      <w:r>
        <w:rPr>
          <w:sz w:val="20"/>
        </w:rPr>
        <w:t xml:space="preserve"> The redesign of the reverberation chamber to reconstruct the recital hall</w:t>
      </w:r>
    </w:p>
    <w:p w:rsidR="003E4E3D" w:rsidRDefault="003E4E3D" w:rsidP="004F4D6E">
      <w:pPr>
        <w:rPr>
          <w:sz w:val="20"/>
        </w:rPr>
      </w:pPr>
    </w:p>
    <w:p w:rsidR="00164E93" w:rsidRDefault="003E4E3D" w:rsidP="004F4D6E">
      <w:pPr>
        <w:rPr>
          <w:sz w:val="20"/>
        </w:rPr>
      </w:pPr>
      <w:r>
        <w:rPr>
          <w:sz w:val="20"/>
        </w:rPr>
        <w:t>To achieve the design two fake rear walls were installed</w:t>
      </w:r>
      <w:r w:rsidR="00982DAF">
        <w:rPr>
          <w:sz w:val="20"/>
        </w:rPr>
        <w:t>, see Figure 1</w:t>
      </w:r>
      <w:r>
        <w:rPr>
          <w:sz w:val="20"/>
        </w:rPr>
        <w:t>2</w:t>
      </w:r>
      <w:r w:rsidR="00982DAF">
        <w:rPr>
          <w:sz w:val="20"/>
        </w:rPr>
        <w:t>. The height of the walls was 2.4m in a room 4.2m tall, in the same proportion as the recital hall. The panels were not a</w:t>
      </w:r>
      <w:r w:rsidR="00BA46F6">
        <w:rPr>
          <w:sz w:val="20"/>
        </w:rPr>
        <w:t>s</w:t>
      </w:r>
      <w:r w:rsidR="00982DAF">
        <w:rPr>
          <w:sz w:val="20"/>
        </w:rPr>
        <w:t xml:space="preserve"> wide of those in the recital hall but did leave a similar air gap at the side, 0.12m and 0.40m compared to </w:t>
      </w:r>
      <w:r w:rsidR="00982DAF">
        <w:rPr>
          <w:sz w:val="20"/>
        </w:rPr>
        <w:lastRenderedPageBreak/>
        <w:t>0.31m. The spacing behind the walls was 0.15m compared to 0.21m</w:t>
      </w:r>
      <w:r>
        <w:rPr>
          <w:sz w:val="20"/>
        </w:rPr>
        <w:t xml:space="preserve"> in the hall</w:t>
      </w:r>
      <w:r w:rsidR="00982DAF">
        <w:rPr>
          <w:sz w:val="20"/>
        </w:rPr>
        <w:t>. The reverberation time, T</w:t>
      </w:r>
      <w:r w:rsidR="00982DAF" w:rsidRPr="00BA46F6">
        <w:rPr>
          <w:sz w:val="20"/>
          <w:vertAlign w:val="subscript"/>
        </w:rPr>
        <w:t>20</w:t>
      </w:r>
      <w:r w:rsidR="00982DAF">
        <w:rPr>
          <w:sz w:val="20"/>
        </w:rPr>
        <w:t>, was measured in accordance to ISO 354:2003</w:t>
      </w:r>
      <w:r w:rsidR="00C12C77">
        <w:rPr>
          <w:sz w:val="20"/>
        </w:rPr>
        <w:t xml:space="preserve"> [8]</w:t>
      </w:r>
      <w:r w:rsidR="00BA46F6">
        <w:rPr>
          <w:sz w:val="20"/>
        </w:rPr>
        <w:t xml:space="preserve"> using a Nor 121 sound analyser using interrupted pink noise through a</w:t>
      </w:r>
      <w:r>
        <w:rPr>
          <w:sz w:val="20"/>
        </w:rPr>
        <w:t>n audio amplifier and</w:t>
      </w:r>
      <w:r w:rsidR="00BA46F6">
        <w:rPr>
          <w:sz w:val="20"/>
        </w:rPr>
        <w:t xml:space="preserve"> subwoofer </w:t>
      </w:r>
      <w:r w:rsidR="00982DAF">
        <w:rPr>
          <w:sz w:val="20"/>
        </w:rPr>
        <w:t xml:space="preserve"> in the chamber, see Figure 12, and again with the panels in the middle of the room flat on the floor. </w:t>
      </w:r>
    </w:p>
    <w:p w:rsidR="00982DAF" w:rsidRDefault="00982DAF" w:rsidP="004F4D6E">
      <w:pPr>
        <w:rPr>
          <w:sz w:val="20"/>
        </w:rPr>
      </w:pPr>
    </w:p>
    <w:p w:rsidR="00982DAF" w:rsidRDefault="00BA46F6" w:rsidP="004F4D6E">
      <w:pPr>
        <w:rPr>
          <w:sz w:val="20"/>
        </w:rPr>
      </w:pPr>
      <w:r w:rsidRPr="00BA46F6">
        <w:rPr>
          <w:noProof/>
          <w:sz w:val="20"/>
          <w:lang w:val="en-GB" w:eastAsia="en-GB"/>
        </w:rPr>
        <w:drawing>
          <wp:inline distT="0" distB="0" distL="0" distR="0">
            <wp:extent cx="2533650" cy="2495550"/>
            <wp:effectExtent l="19050" t="0" r="0" b="0"/>
            <wp:docPr id="7" name="Picture 2" descr="20190328_163719.jpg"/>
            <wp:cNvGraphicFramePr/>
            <a:graphic xmlns:a="http://schemas.openxmlformats.org/drawingml/2006/main">
              <a:graphicData uri="http://schemas.openxmlformats.org/drawingml/2006/picture">
                <pic:pic xmlns:pic="http://schemas.openxmlformats.org/drawingml/2006/picture">
                  <pic:nvPicPr>
                    <pic:cNvPr id="13" name="Picture 12" descr="20190328_163719.jpg"/>
                    <pic:cNvPicPr>
                      <a:picLocks noChangeAspect="1"/>
                    </pic:cNvPicPr>
                  </pic:nvPicPr>
                  <pic:blipFill>
                    <a:blip r:embed="rId22" cstate="print"/>
                    <a:stretch>
                      <a:fillRect/>
                    </a:stretch>
                  </pic:blipFill>
                  <pic:spPr>
                    <a:xfrm>
                      <a:off x="0" y="0"/>
                      <a:ext cx="2533363" cy="2495267"/>
                    </a:xfrm>
                    <a:prstGeom prst="rect">
                      <a:avLst/>
                    </a:prstGeom>
                  </pic:spPr>
                </pic:pic>
              </a:graphicData>
            </a:graphic>
          </wp:inline>
        </w:drawing>
      </w:r>
      <w:r w:rsidRPr="00BA46F6">
        <w:rPr>
          <w:noProof/>
          <w:lang w:val="en-GB" w:eastAsia="en-GB"/>
        </w:rPr>
        <w:t xml:space="preserve"> </w:t>
      </w:r>
      <w:r w:rsidRPr="00BA46F6">
        <w:rPr>
          <w:noProof/>
          <w:sz w:val="20"/>
          <w:lang w:val="en-GB" w:eastAsia="en-GB"/>
        </w:rPr>
        <w:drawing>
          <wp:inline distT="0" distB="0" distL="0" distR="0">
            <wp:extent cx="2714625" cy="2495550"/>
            <wp:effectExtent l="19050" t="0" r="9525" b="0"/>
            <wp:docPr id="8" name="Picture 3" descr="20190328_141408.jpg"/>
            <wp:cNvGraphicFramePr/>
            <a:graphic xmlns:a="http://schemas.openxmlformats.org/drawingml/2006/main">
              <a:graphicData uri="http://schemas.openxmlformats.org/drawingml/2006/picture">
                <pic:pic xmlns:pic="http://schemas.openxmlformats.org/drawingml/2006/picture">
                  <pic:nvPicPr>
                    <pic:cNvPr id="9" name="Picture 8" descr="20190328_141408.jpg"/>
                    <pic:cNvPicPr>
                      <a:picLocks noChangeAspect="1"/>
                    </pic:cNvPicPr>
                  </pic:nvPicPr>
                  <pic:blipFill>
                    <a:blip r:embed="rId23" cstate="print"/>
                    <a:stretch>
                      <a:fillRect/>
                    </a:stretch>
                  </pic:blipFill>
                  <pic:spPr>
                    <a:xfrm>
                      <a:off x="0" y="0"/>
                      <a:ext cx="2714318" cy="2495268"/>
                    </a:xfrm>
                    <a:prstGeom prst="rect">
                      <a:avLst/>
                    </a:prstGeom>
                  </pic:spPr>
                </pic:pic>
              </a:graphicData>
            </a:graphic>
          </wp:inline>
        </w:drawing>
      </w:r>
    </w:p>
    <w:p w:rsidR="00982DAF" w:rsidRDefault="00982DAF" w:rsidP="004F4D6E">
      <w:pPr>
        <w:rPr>
          <w:sz w:val="20"/>
        </w:rPr>
      </w:pPr>
    </w:p>
    <w:p w:rsidR="00982DAF" w:rsidRDefault="00BA46F6" w:rsidP="004F4D6E">
      <w:pPr>
        <w:rPr>
          <w:sz w:val="20"/>
        </w:rPr>
      </w:pPr>
      <w:proofErr w:type="gramStart"/>
      <w:r>
        <w:rPr>
          <w:sz w:val="20"/>
        </w:rPr>
        <w:t>Figure 1</w:t>
      </w:r>
      <w:r w:rsidR="00F07678">
        <w:rPr>
          <w:sz w:val="20"/>
        </w:rPr>
        <w:t>2</w:t>
      </w:r>
      <w:r>
        <w:rPr>
          <w:sz w:val="20"/>
        </w:rPr>
        <w:t>.</w:t>
      </w:r>
      <w:proofErr w:type="gramEnd"/>
      <w:r>
        <w:rPr>
          <w:sz w:val="20"/>
        </w:rPr>
        <w:t xml:space="preserve"> Rev chamber, 203m</w:t>
      </w:r>
      <w:r w:rsidRPr="00BA46F6">
        <w:rPr>
          <w:sz w:val="20"/>
          <w:vertAlign w:val="superscript"/>
        </w:rPr>
        <w:t>3</w:t>
      </w:r>
      <w:r>
        <w:rPr>
          <w:sz w:val="20"/>
        </w:rPr>
        <w:t>, with panels on the floor and up as a fake rear wall, 0.15m spacing</w:t>
      </w:r>
    </w:p>
    <w:p w:rsidR="00982DAF" w:rsidRDefault="00BA46F6" w:rsidP="004F4D6E">
      <w:pPr>
        <w:rPr>
          <w:sz w:val="20"/>
        </w:rPr>
      </w:pPr>
      <w:r w:rsidRPr="00BA46F6">
        <w:rPr>
          <w:noProof/>
          <w:sz w:val="20"/>
          <w:lang w:val="en-GB" w:eastAsia="en-GB"/>
        </w:rPr>
        <w:drawing>
          <wp:inline distT="0" distB="0" distL="0" distR="0">
            <wp:extent cx="5616575" cy="3294337"/>
            <wp:effectExtent l="0" t="0" r="0" b="0"/>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2DAF" w:rsidRDefault="00BA46F6" w:rsidP="004F4D6E">
      <w:pPr>
        <w:rPr>
          <w:sz w:val="20"/>
        </w:rPr>
      </w:pPr>
      <w:r>
        <w:rPr>
          <w:sz w:val="20"/>
        </w:rPr>
        <w:t>Figure 1</w:t>
      </w:r>
      <w:r w:rsidR="00F07678">
        <w:rPr>
          <w:sz w:val="20"/>
        </w:rPr>
        <w:t>3</w:t>
      </w:r>
      <w:r>
        <w:rPr>
          <w:sz w:val="20"/>
        </w:rPr>
        <w:t>, Reverberation time empty, in recital hall configuration and with panels on the floor</w:t>
      </w:r>
    </w:p>
    <w:p w:rsidR="00982DAF" w:rsidRDefault="00982DAF" w:rsidP="004F4D6E">
      <w:pPr>
        <w:rPr>
          <w:sz w:val="20"/>
        </w:rPr>
      </w:pPr>
    </w:p>
    <w:p w:rsidR="00982DAF" w:rsidRDefault="005C43F2" w:rsidP="004F4D6E">
      <w:pPr>
        <w:rPr>
          <w:sz w:val="20"/>
        </w:rPr>
      </w:pPr>
      <w:r>
        <w:rPr>
          <w:sz w:val="20"/>
        </w:rPr>
        <w:t>As can be seen from Figure 1</w:t>
      </w:r>
      <w:r w:rsidR="00F07678">
        <w:rPr>
          <w:sz w:val="20"/>
        </w:rPr>
        <w:t>3</w:t>
      </w:r>
      <w:r>
        <w:rPr>
          <w:sz w:val="20"/>
        </w:rPr>
        <w:t xml:space="preserve"> t</w:t>
      </w:r>
      <w:r w:rsidR="00BA46F6">
        <w:rPr>
          <w:sz w:val="20"/>
        </w:rPr>
        <w:t>he reverberation time was significantly reduced at frequencies</w:t>
      </w:r>
      <w:r>
        <w:rPr>
          <w:sz w:val="20"/>
        </w:rPr>
        <w:t xml:space="preserve"> 80-160 Hz when the fake rear wall was in place compared to the empty chamber, </w:t>
      </w:r>
      <w:proofErr w:type="gramStart"/>
      <w:r>
        <w:rPr>
          <w:sz w:val="20"/>
        </w:rPr>
        <w:t>This</w:t>
      </w:r>
      <w:proofErr w:type="gramEnd"/>
      <w:r>
        <w:rPr>
          <w:sz w:val="20"/>
        </w:rPr>
        <w:t xml:space="preserve"> clearly shows that the geometry of the fake wall was attenuating the low frequency sound which is not achieved when the panels were located on the floor. </w:t>
      </w:r>
    </w:p>
    <w:p w:rsidR="00982DAF" w:rsidRDefault="00982DAF" w:rsidP="004F4D6E">
      <w:pPr>
        <w:rPr>
          <w:sz w:val="20"/>
        </w:rPr>
      </w:pPr>
    </w:p>
    <w:p w:rsidR="00982DAF" w:rsidRDefault="00982DAF" w:rsidP="004F4D6E">
      <w:pPr>
        <w:rPr>
          <w:sz w:val="20"/>
        </w:rPr>
      </w:pPr>
    </w:p>
    <w:p w:rsidR="007A38DF" w:rsidRDefault="007A38DF" w:rsidP="004F4D6E">
      <w:pPr>
        <w:rPr>
          <w:sz w:val="20"/>
        </w:rPr>
      </w:pPr>
    </w:p>
    <w:p w:rsidR="00416A05" w:rsidRDefault="00416A05" w:rsidP="008E45F4">
      <w:pPr>
        <w:pStyle w:val="Heading1"/>
      </w:pPr>
      <w:r>
        <w:lastRenderedPageBreak/>
        <w:t>CONCLUSIONS</w:t>
      </w:r>
    </w:p>
    <w:p w:rsidR="005C43F2" w:rsidRDefault="005C43F2" w:rsidP="004F4D6E">
      <w:pPr>
        <w:rPr>
          <w:sz w:val="20"/>
        </w:rPr>
      </w:pPr>
      <w:r>
        <w:rPr>
          <w:sz w:val="20"/>
        </w:rPr>
        <w:t xml:space="preserve">A recital hall has been measured, assessed and compared to current guidance. The hall was found to have a significant low frequency dip which produced a Bass Ratio of 0.66 and 0.82 with curtains extended. This is much lower than the recommended 1.2 for music performance spaces. It was hypothesized that the fake rear wall was acting as a low frequency absorber effective over 2 octave bands. </w:t>
      </w:r>
    </w:p>
    <w:p w:rsidR="005C43F2" w:rsidRDefault="005C43F2" w:rsidP="004F4D6E">
      <w:pPr>
        <w:rPr>
          <w:sz w:val="20"/>
        </w:rPr>
      </w:pPr>
    </w:p>
    <w:p w:rsidR="005C43F2" w:rsidRDefault="005C43F2" w:rsidP="004F4D6E">
      <w:pPr>
        <w:rPr>
          <w:sz w:val="20"/>
        </w:rPr>
      </w:pPr>
      <w:r>
        <w:rPr>
          <w:sz w:val="20"/>
        </w:rPr>
        <w:t xml:space="preserve">This theory was tested using computer simulation which demonstrated modes being trapped behind the non structural wall. A further tested was undertaken building a similar fake wall in a reverberation chamber where a similar result was found, although only over one octave band. </w:t>
      </w:r>
    </w:p>
    <w:p w:rsidR="005C43F2" w:rsidRDefault="005C43F2" w:rsidP="004F4D6E">
      <w:pPr>
        <w:rPr>
          <w:sz w:val="20"/>
        </w:rPr>
      </w:pPr>
    </w:p>
    <w:p w:rsidR="00416A05" w:rsidRDefault="005C43F2" w:rsidP="004F4D6E">
      <w:pPr>
        <w:rPr>
          <w:sz w:val="20"/>
        </w:rPr>
      </w:pPr>
      <w:r>
        <w:rPr>
          <w:sz w:val="20"/>
        </w:rPr>
        <w:t xml:space="preserve"> It is proposed that this geometry could be used in heavy weight buildings where boominess is know</w:t>
      </w:r>
      <w:r w:rsidR="00C12C77">
        <w:rPr>
          <w:sz w:val="20"/>
        </w:rPr>
        <w:t>n</w:t>
      </w:r>
      <w:r>
        <w:rPr>
          <w:sz w:val="20"/>
        </w:rPr>
        <w:t xml:space="preserve"> to exist</w:t>
      </w:r>
      <w:r w:rsidR="00C12C77">
        <w:rPr>
          <w:sz w:val="20"/>
        </w:rPr>
        <w:t xml:space="preserve"> and has been difficult to remove usually involving many purpose built Helmholtz resonators [9].</w:t>
      </w:r>
    </w:p>
    <w:p w:rsidR="00C12C77" w:rsidRDefault="00C12C77" w:rsidP="004F4D6E">
      <w:pPr>
        <w:rPr>
          <w:sz w:val="20"/>
        </w:rPr>
      </w:pPr>
    </w:p>
    <w:p w:rsidR="00F07678" w:rsidRPr="004F4D6E" w:rsidRDefault="00F07678" w:rsidP="004F4D6E">
      <w:pPr>
        <w:rPr>
          <w:sz w:val="20"/>
        </w:rPr>
      </w:pPr>
    </w:p>
    <w:p w:rsidR="00EC69A3" w:rsidRDefault="004F4D6E" w:rsidP="004F4D6E">
      <w:pPr>
        <w:pStyle w:val="Heading1"/>
      </w:pPr>
      <w:r>
        <w:t>ACKNOWLEDGEMENTS</w:t>
      </w:r>
    </w:p>
    <w:p w:rsidR="004F4D6E" w:rsidRDefault="004F4D6E" w:rsidP="004F4D6E">
      <w:pPr>
        <w:rPr>
          <w:sz w:val="20"/>
        </w:rPr>
      </w:pPr>
      <w:r w:rsidRPr="004F4D6E">
        <w:rPr>
          <w:sz w:val="20"/>
        </w:rPr>
        <w:t>This work was partially funded by the EPRSC UK Acoustics Network (</w:t>
      </w:r>
      <w:r w:rsidRPr="004F4D6E">
        <w:rPr>
          <w:rFonts w:cs="Arial"/>
          <w:sz w:val="20"/>
        </w:rPr>
        <w:t>EP/R005001/1)</w:t>
      </w:r>
      <w:r w:rsidRPr="004F4D6E">
        <w:rPr>
          <w:sz w:val="20"/>
        </w:rPr>
        <w:t xml:space="preserve"> and London South Bank University.</w:t>
      </w:r>
    </w:p>
    <w:p w:rsidR="004F4D6E" w:rsidRDefault="004F4D6E" w:rsidP="004F4D6E">
      <w:pPr>
        <w:rPr>
          <w:sz w:val="20"/>
        </w:rPr>
      </w:pPr>
    </w:p>
    <w:p w:rsidR="00F07678" w:rsidRDefault="00F07678" w:rsidP="004F4D6E">
      <w:pPr>
        <w:rPr>
          <w:sz w:val="20"/>
        </w:rPr>
      </w:pPr>
    </w:p>
    <w:p w:rsidR="004F4D6E" w:rsidRDefault="004F4D6E" w:rsidP="004F4D6E">
      <w:pPr>
        <w:pStyle w:val="Heading1"/>
      </w:pPr>
      <w:r>
        <w:t>REFERENCES</w:t>
      </w:r>
    </w:p>
    <w:p w:rsidR="004F4D6E" w:rsidRPr="004F4D6E" w:rsidRDefault="004F4D6E" w:rsidP="004F4D6E">
      <w:pPr>
        <w:rPr>
          <w:sz w:val="20"/>
        </w:rPr>
      </w:pPr>
      <w:r w:rsidRPr="004F4D6E">
        <w:rPr>
          <w:sz w:val="20"/>
        </w:rPr>
        <w:t>1</w:t>
      </w:r>
      <w:r>
        <w:rPr>
          <w:sz w:val="20"/>
        </w:rPr>
        <w:t>.</w:t>
      </w:r>
      <w:r w:rsidRPr="004F4D6E">
        <w:rPr>
          <w:sz w:val="20"/>
        </w:rPr>
        <w:t xml:space="preserve"> ISO 3382-1 Acoustics – Measurement of room acoustics parameter Part 1: Performance Space, 2009</w:t>
      </w:r>
    </w:p>
    <w:p w:rsidR="004F4D6E" w:rsidRPr="004F4D6E" w:rsidRDefault="004F4D6E" w:rsidP="004F4D6E">
      <w:pPr>
        <w:shd w:val="clear" w:color="auto" w:fill="FFFFFF"/>
        <w:rPr>
          <w:sz w:val="20"/>
        </w:rPr>
      </w:pPr>
      <w:r>
        <w:rPr>
          <w:sz w:val="20"/>
        </w:rPr>
        <w:t>2.</w:t>
      </w:r>
      <w:r w:rsidRPr="004F4D6E">
        <w:rPr>
          <w:sz w:val="20"/>
        </w:rPr>
        <w:t xml:space="preserve"> M. Barron.</w:t>
      </w:r>
      <w:r w:rsidR="00C12C77">
        <w:rPr>
          <w:sz w:val="20"/>
        </w:rPr>
        <w:t xml:space="preserve"> </w:t>
      </w:r>
      <w:r w:rsidRPr="004F4D6E">
        <w:rPr>
          <w:sz w:val="20"/>
        </w:rPr>
        <w:t xml:space="preserve">Auditorium acoustics and architectural design. E &amp; FN </w:t>
      </w:r>
      <w:proofErr w:type="spellStart"/>
      <w:r w:rsidRPr="004F4D6E">
        <w:rPr>
          <w:sz w:val="20"/>
        </w:rPr>
        <w:t>Spon</w:t>
      </w:r>
      <w:proofErr w:type="spellEnd"/>
      <w:r w:rsidRPr="004F4D6E">
        <w:rPr>
          <w:sz w:val="20"/>
        </w:rPr>
        <w:t>, London</w:t>
      </w:r>
      <w:r w:rsidR="00462EB2">
        <w:rPr>
          <w:sz w:val="20"/>
        </w:rPr>
        <w:t xml:space="preserve">, </w:t>
      </w:r>
      <w:r w:rsidRPr="004F4D6E">
        <w:rPr>
          <w:sz w:val="20"/>
        </w:rPr>
        <w:t xml:space="preserve">1993 </w:t>
      </w:r>
    </w:p>
    <w:p w:rsidR="004F4D6E" w:rsidRPr="004F4D6E" w:rsidRDefault="004F4D6E" w:rsidP="004F4D6E">
      <w:pPr>
        <w:shd w:val="clear" w:color="auto" w:fill="FFFFFF"/>
        <w:rPr>
          <w:sz w:val="20"/>
        </w:rPr>
      </w:pPr>
      <w:r w:rsidRPr="004F4D6E">
        <w:rPr>
          <w:sz w:val="20"/>
        </w:rPr>
        <w:t>3</w:t>
      </w:r>
      <w:r>
        <w:rPr>
          <w:sz w:val="20"/>
        </w:rPr>
        <w:t>.</w:t>
      </w:r>
      <w:r w:rsidRPr="004F4D6E">
        <w:rPr>
          <w:sz w:val="20"/>
        </w:rPr>
        <w:t xml:space="preserve"> NS8178:2014 Acoustic criteria for room and spaces for music rehearsal and performance</w:t>
      </w:r>
    </w:p>
    <w:p w:rsidR="004F4D6E" w:rsidRPr="00982DAF" w:rsidRDefault="004F4D6E" w:rsidP="00462EB2">
      <w:pPr>
        <w:pStyle w:val="NoSpacing"/>
        <w:rPr>
          <w:rStyle w:val="title-text"/>
          <w:rFonts w:cs="Arial"/>
          <w:b/>
          <w:sz w:val="20"/>
        </w:rPr>
      </w:pPr>
      <w:r w:rsidRPr="00462EB2">
        <w:rPr>
          <w:sz w:val="20"/>
        </w:rPr>
        <w:t xml:space="preserve">4. H. Fuchs, </w:t>
      </w:r>
      <w:proofErr w:type="spellStart"/>
      <w:r w:rsidRPr="00462EB2">
        <w:rPr>
          <w:sz w:val="20"/>
        </w:rPr>
        <w:t>Lamprecht</w:t>
      </w:r>
      <w:proofErr w:type="spellEnd"/>
      <w:r w:rsidRPr="00462EB2">
        <w:rPr>
          <w:sz w:val="20"/>
        </w:rPr>
        <w:t>.</w:t>
      </w:r>
      <w:r w:rsidR="00C12C77">
        <w:rPr>
          <w:sz w:val="20"/>
        </w:rPr>
        <w:t xml:space="preserve"> </w:t>
      </w:r>
      <w:r w:rsidRPr="00982DAF">
        <w:rPr>
          <w:rStyle w:val="title-text"/>
          <w:rFonts w:cs="Arial"/>
          <w:sz w:val="20"/>
        </w:rPr>
        <w:t>Covered broadband absorbers improving functional acoust</w:t>
      </w:r>
      <w:r w:rsidR="00462EB2" w:rsidRPr="00982DAF">
        <w:rPr>
          <w:rStyle w:val="title-text"/>
          <w:rFonts w:cs="Arial"/>
          <w:sz w:val="20"/>
        </w:rPr>
        <w:t>ics in</w:t>
      </w:r>
      <w:r w:rsidRPr="00982DAF">
        <w:rPr>
          <w:rStyle w:val="title-text"/>
          <w:rFonts w:cs="Arial"/>
          <w:sz w:val="20"/>
        </w:rPr>
        <w:t xml:space="preserve">communication rooms, Applied Acoustics, 74(1), 18-27, 2013 </w:t>
      </w:r>
    </w:p>
    <w:p w:rsidR="004F4D6E" w:rsidRPr="00982DAF" w:rsidRDefault="004F4D6E" w:rsidP="00462EB2">
      <w:pPr>
        <w:pStyle w:val="NoSpacing"/>
        <w:rPr>
          <w:rStyle w:val="title-text"/>
          <w:rFonts w:cs="Arial"/>
          <w:b/>
          <w:sz w:val="20"/>
        </w:rPr>
      </w:pPr>
      <w:proofErr w:type="gramStart"/>
      <w:r w:rsidRPr="00982DAF">
        <w:rPr>
          <w:rStyle w:val="title-text"/>
          <w:rFonts w:cs="Arial"/>
          <w:sz w:val="20"/>
        </w:rPr>
        <w:t>5</w:t>
      </w:r>
      <w:r w:rsidR="00462EB2" w:rsidRPr="00982DAF">
        <w:rPr>
          <w:rStyle w:val="title-text"/>
          <w:rFonts w:cs="Arial"/>
          <w:sz w:val="20"/>
        </w:rPr>
        <w:t>.</w:t>
      </w:r>
      <w:r w:rsidRPr="00982DAF">
        <w:rPr>
          <w:rStyle w:val="title-text"/>
          <w:rFonts w:cs="Arial"/>
          <w:sz w:val="20"/>
        </w:rPr>
        <w:t>Comsol</w:t>
      </w:r>
      <w:proofErr w:type="gramEnd"/>
      <w:r w:rsidRPr="00982DAF">
        <w:rPr>
          <w:rStyle w:val="title-text"/>
          <w:rFonts w:cs="Arial"/>
          <w:sz w:val="20"/>
        </w:rPr>
        <w:t xml:space="preserve"> website uk.comsol.com [accessed 5/3/2019]</w:t>
      </w:r>
    </w:p>
    <w:p w:rsidR="004F4D6E" w:rsidRPr="00982DAF" w:rsidRDefault="004F4D6E" w:rsidP="00462EB2">
      <w:pPr>
        <w:pStyle w:val="NoSpacing"/>
        <w:rPr>
          <w:rStyle w:val="title-text"/>
          <w:rFonts w:cs="Arial"/>
          <w:b/>
          <w:sz w:val="20"/>
        </w:rPr>
      </w:pPr>
      <w:r w:rsidRPr="00982DAF">
        <w:rPr>
          <w:rStyle w:val="title-text"/>
          <w:rFonts w:cs="Arial"/>
          <w:sz w:val="20"/>
        </w:rPr>
        <w:t>6</w:t>
      </w:r>
      <w:r w:rsidR="00462EB2" w:rsidRPr="00982DAF">
        <w:rPr>
          <w:rStyle w:val="title-text"/>
          <w:rFonts w:cs="Arial"/>
          <w:sz w:val="20"/>
        </w:rPr>
        <w:t>.</w:t>
      </w:r>
      <w:r w:rsidRPr="00982DAF">
        <w:rPr>
          <w:rStyle w:val="title-text"/>
          <w:rFonts w:cs="Arial"/>
          <w:sz w:val="20"/>
        </w:rPr>
        <w:t xml:space="preserve"> S. Bilbao, B. Hamilton. Higher-order accurate two-step finite difference schemes for the many-dimensional wave equation, Journal of Computational Physics, 367, 134-165, 2018</w:t>
      </w:r>
    </w:p>
    <w:p w:rsidR="004F4D6E" w:rsidRDefault="004F4D6E" w:rsidP="00462EB2">
      <w:pPr>
        <w:pStyle w:val="NoSpacing"/>
        <w:rPr>
          <w:color w:val="000000"/>
          <w:sz w:val="20"/>
        </w:rPr>
      </w:pPr>
      <w:r w:rsidRPr="00462EB2">
        <w:rPr>
          <w:rStyle w:val="title-text"/>
          <w:rFonts w:cs="Arial"/>
          <w:color w:val="505050"/>
          <w:sz w:val="20"/>
        </w:rPr>
        <w:t>7</w:t>
      </w:r>
      <w:r w:rsidR="00462EB2">
        <w:rPr>
          <w:rStyle w:val="title-text"/>
          <w:rFonts w:cs="Arial"/>
          <w:color w:val="505050"/>
          <w:sz w:val="20"/>
        </w:rPr>
        <w:t>.</w:t>
      </w:r>
      <w:r w:rsidRPr="00462EB2">
        <w:rPr>
          <w:rStyle w:val="title-text"/>
          <w:rFonts w:cs="Arial"/>
          <w:color w:val="505050"/>
          <w:sz w:val="20"/>
        </w:rPr>
        <w:t xml:space="preserve"> </w:t>
      </w:r>
      <w:r w:rsidRPr="00C12C77">
        <w:rPr>
          <w:rStyle w:val="title-text"/>
          <w:rFonts w:cs="Arial"/>
          <w:sz w:val="20"/>
        </w:rPr>
        <w:t>S. Brown</w:t>
      </w:r>
      <w:r w:rsidRPr="00462EB2">
        <w:rPr>
          <w:rStyle w:val="title-text"/>
          <w:rFonts w:cs="Arial"/>
          <w:color w:val="505050"/>
          <w:sz w:val="20"/>
        </w:rPr>
        <w:t xml:space="preserve">. </w:t>
      </w:r>
      <w:r w:rsidRPr="00462EB2">
        <w:rPr>
          <w:color w:val="000000"/>
          <w:sz w:val="20"/>
        </w:rPr>
        <w:t xml:space="preserve">The suitability of additive manufacturing materials in a 1:10 scale reverberation chamber, Proceedings of Inter-noise 2016, 468-478, Hamburg, 2016 </w:t>
      </w:r>
    </w:p>
    <w:p w:rsidR="00C12C77" w:rsidRDefault="00C12C77" w:rsidP="00462EB2">
      <w:pPr>
        <w:pStyle w:val="NoSpacing"/>
        <w:rPr>
          <w:color w:val="000000"/>
          <w:sz w:val="20"/>
        </w:rPr>
      </w:pPr>
      <w:r>
        <w:rPr>
          <w:color w:val="000000"/>
          <w:sz w:val="20"/>
        </w:rPr>
        <w:t>8. ISO 354:2003. Measurement of sound absorption in a reverberation room</w:t>
      </w:r>
    </w:p>
    <w:p w:rsidR="00C12C77" w:rsidRPr="00C12C77" w:rsidRDefault="00D62B9B" w:rsidP="00462EB2">
      <w:pPr>
        <w:pStyle w:val="NoSpacing"/>
        <w:rPr>
          <w:b/>
          <w:bCs/>
          <w:color w:val="000000"/>
          <w:sz w:val="20"/>
        </w:rPr>
      </w:pPr>
      <w:r>
        <w:rPr>
          <w:color w:val="000000"/>
          <w:sz w:val="20"/>
        </w:rPr>
        <w:t>9</w:t>
      </w:r>
      <w:r w:rsidR="00C12C77">
        <w:rPr>
          <w:color w:val="000000"/>
          <w:sz w:val="20"/>
        </w:rPr>
        <w:t>. C. Higgins</w:t>
      </w:r>
      <w:r w:rsidR="00C12C77" w:rsidRPr="00C12C77">
        <w:rPr>
          <w:color w:val="000000"/>
          <w:sz w:val="20"/>
        </w:rPr>
        <w:t xml:space="preserve">. </w:t>
      </w:r>
      <w:r w:rsidR="00C12C77" w:rsidRPr="00C12C77">
        <w:rPr>
          <w:sz w:val="20"/>
        </w:rPr>
        <w:t>An investigation into the Helmholtz resonators of the Queen Elizabeth Hall</w:t>
      </w:r>
      <w:r w:rsidR="00C12C77">
        <w:rPr>
          <w:sz w:val="20"/>
        </w:rPr>
        <w:t>,</w:t>
      </w:r>
      <w:r w:rsidR="00C12C77" w:rsidRPr="00C12C77">
        <w:rPr>
          <w:color w:val="000000"/>
          <w:sz w:val="20"/>
        </w:rPr>
        <w:t xml:space="preserve"> </w:t>
      </w:r>
      <w:proofErr w:type="spellStart"/>
      <w:r w:rsidR="00C12C77" w:rsidRPr="00C12C77">
        <w:rPr>
          <w:color w:val="000000"/>
          <w:sz w:val="20"/>
        </w:rPr>
        <w:t>MSc</w:t>
      </w:r>
      <w:proofErr w:type="spellEnd"/>
      <w:r w:rsidR="00C12C77" w:rsidRPr="00C12C77">
        <w:rPr>
          <w:color w:val="000000"/>
          <w:sz w:val="20"/>
        </w:rPr>
        <w:t xml:space="preserve"> Thesis</w:t>
      </w:r>
      <w:r w:rsidR="00C12C77">
        <w:rPr>
          <w:color w:val="000000"/>
          <w:sz w:val="20"/>
        </w:rPr>
        <w:t>, London South Bank University, 2014</w:t>
      </w:r>
      <w:r w:rsidR="00C12C77" w:rsidRPr="00C12C77">
        <w:rPr>
          <w:color w:val="000000"/>
          <w:sz w:val="20"/>
        </w:rPr>
        <w:t xml:space="preserve">, </w:t>
      </w:r>
    </w:p>
    <w:p w:rsidR="004F4D6E" w:rsidRPr="004F4D6E" w:rsidRDefault="004F4D6E" w:rsidP="00462EB2">
      <w:pPr>
        <w:pStyle w:val="NoSpacing"/>
        <w:rPr>
          <w:rFonts w:asciiTheme="minorHAnsi" w:hAnsiTheme="minorHAnsi" w:cstheme="minorHAnsi"/>
          <w:b/>
          <w:sz w:val="22"/>
          <w:szCs w:val="22"/>
        </w:rPr>
      </w:pPr>
    </w:p>
    <w:p w:rsidR="004F4D6E" w:rsidRDefault="004F4D6E" w:rsidP="004F4D6E">
      <w:pPr>
        <w:shd w:val="clear" w:color="auto" w:fill="FFFFFF"/>
      </w:pPr>
    </w:p>
    <w:p w:rsidR="009733BB" w:rsidRDefault="009733BB">
      <w:pPr>
        <w:jc w:val="both"/>
      </w:pPr>
    </w:p>
    <w:p w:rsidR="009733BB" w:rsidRDefault="009733BB">
      <w:pPr>
        <w:jc w:val="both"/>
      </w:pPr>
    </w:p>
    <w:sectPr w:rsidR="009733BB" w:rsidSect="00105EB2">
      <w:headerReference w:type="default" r:id="rId25"/>
      <w:footerReference w:type="default" r:id="rId26"/>
      <w:headerReference w:type="first" r:id="rId27"/>
      <w:footerReference w:type="first" r:id="rId28"/>
      <w:pgSz w:w="11907" w:h="16840" w:code="9"/>
      <w:pgMar w:top="2268" w:right="1531" w:bottom="1418" w:left="1531" w:header="851" w:footer="851"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EB3" w:rsidRDefault="00B27EB3">
      <w:r>
        <w:separator/>
      </w:r>
    </w:p>
  </w:endnote>
  <w:endnote w:type="continuationSeparator" w:id="1">
    <w:p w:rsidR="00B27EB3" w:rsidRDefault="00B27E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doni 72 Book">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09B" w:rsidRDefault="0098109B" w:rsidP="0098109B">
    <w:pPr>
      <w:pStyle w:val="Footer"/>
      <w:rPr>
        <w:b/>
        <w:sz w:val="20"/>
      </w:rPr>
    </w:pPr>
    <w:r>
      <w:rPr>
        <w:b/>
        <w:sz w:val="20"/>
      </w:rPr>
      <w:t>Vol. 41. Pt. 1. 2019</w:t>
    </w:r>
  </w:p>
  <w:p w:rsidR="00DF78B6" w:rsidRDefault="00DF78B6" w:rsidP="00DF78B6">
    <w:pPr>
      <w:pStyle w:val="Footer"/>
      <w:rPr>
        <w:b/>
        <w:sz w:val="20"/>
      </w:rPr>
    </w:pPr>
  </w:p>
  <w:p w:rsidR="00790736" w:rsidRDefault="007907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736" w:rsidRDefault="00790736">
    <w:pPr>
      <w:pStyle w:val="Footer"/>
      <w:rPr>
        <w:b/>
        <w:sz w:val="20"/>
      </w:rPr>
    </w:pPr>
    <w:r>
      <w:rPr>
        <w:b/>
        <w:sz w:val="20"/>
      </w:rPr>
      <w:t>V</w:t>
    </w:r>
    <w:r w:rsidR="0095333E">
      <w:rPr>
        <w:b/>
        <w:sz w:val="20"/>
      </w:rPr>
      <w:t>ol. 41. Pt. 1. 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EB3" w:rsidRDefault="00B27EB3">
      <w:r>
        <w:separator/>
      </w:r>
    </w:p>
  </w:footnote>
  <w:footnote w:type="continuationSeparator" w:id="1">
    <w:p w:rsidR="00B27EB3" w:rsidRDefault="00B27E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736" w:rsidRDefault="00790736">
    <w:pPr>
      <w:pStyle w:val="Header"/>
    </w:pPr>
    <w:r>
      <w:rPr>
        <w:b/>
      </w:rPr>
      <w:t>Proceedings of the Institute of Acoustics</w:t>
    </w:r>
  </w:p>
  <w:p w:rsidR="00790736" w:rsidRDefault="00790736">
    <w:pPr>
      <w:pStyle w:val="Header"/>
    </w:pPr>
  </w:p>
  <w:p w:rsidR="00790736" w:rsidRDefault="0079073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736" w:rsidRDefault="00790736">
    <w:pPr>
      <w:pStyle w:val="Header"/>
      <w:rPr>
        <w:b/>
      </w:rPr>
    </w:pPr>
    <w:r>
      <w:rPr>
        <w:b/>
      </w:rPr>
      <w:t>Proceedings of the Institute of Acoustics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B0074B4"/>
    <w:lvl w:ilvl="0">
      <w:start w:val="1"/>
      <w:numFmt w:val="decimal"/>
      <w:pStyle w:val="ListNumber"/>
      <w:lvlText w:val="%1."/>
      <w:lvlJc w:val="left"/>
      <w:pPr>
        <w:tabs>
          <w:tab w:val="num" w:pos="360"/>
        </w:tabs>
        <w:ind w:left="360" w:hanging="360"/>
      </w:pPr>
    </w:lvl>
  </w:abstractNum>
  <w:abstractNum w:abstractNumId="1">
    <w:nsid w:val="668D6F2C"/>
    <w:multiLevelType w:val="multilevel"/>
    <w:tmpl w:val="46C08534"/>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elvetdoug@gmail.com">
    <w15:presenceInfo w15:providerId="Windows Live" w15:userId="d8124f13a122e24b"/>
  </w15:person>
  <w15:person w15:author="Dance, Stephen">
    <w15:presenceInfo w15:providerId="AD" w15:userId="S-1-5-21-2088055530-544594425-1827673623-23723"/>
  </w15:person>
  <w15:person w15:author="Menin, Paula">
    <w15:presenceInfo w15:providerId="AD" w15:userId="S::meninp@lsbu.ac.uk::ea2d0d0d-592f-4543-9373-1f76e495caf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trackRevisions/>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0"/>
    <w:footnote w:id="1"/>
  </w:footnotePr>
  <w:endnotePr>
    <w:endnote w:id="0"/>
    <w:endnote w:id="1"/>
  </w:endnotePr>
  <w:compat/>
  <w:rsids>
    <w:rsidRoot w:val="00D35C8A"/>
    <w:rsid w:val="00005EF0"/>
    <w:rsid w:val="00011654"/>
    <w:rsid w:val="00013932"/>
    <w:rsid w:val="0009366F"/>
    <w:rsid w:val="00093727"/>
    <w:rsid w:val="000A6D12"/>
    <w:rsid w:val="000C42CC"/>
    <w:rsid w:val="00105EB2"/>
    <w:rsid w:val="00124513"/>
    <w:rsid w:val="00164E93"/>
    <w:rsid w:val="001A71B8"/>
    <w:rsid w:val="001C20A5"/>
    <w:rsid w:val="001C4BBD"/>
    <w:rsid w:val="00213B44"/>
    <w:rsid w:val="00247BCC"/>
    <w:rsid w:val="002631C2"/>
    <w:rsid w:val="00263D26"/>
    <w:rsid w:val="00265430"/>
    <w:rsid w:val="002933A2"/>
    <w:rsid w:val="002B1A34"/>
    <w:rsid w:val="002E3CEF"/>
    <w:rsid w:val="002F133E"/>
    <w:rsid w:val="00356C31"/>
    <w:rsid w:val="003572F2"/>
    <w:rsid w:val="003C2567"/>
    <w:rsid w:val="003C5B9C"/>
    <w:rsid w:val="003E4E3D"/>
    <w:rsid w:val="003F2C66"/>
    <w:rsid w:val="00416A05"/>
    <w:rsid w:val="0042221A"/>
    <w:rsid w:val="00462EB2"/>
    <w:rsid w:val="004B5DF7"/>
    <w:rsid w:val="004F4D6E"/>
    <w:rsid w:val="00510441"/>
    <w:rsid w:val="00522069"/>
    <w:rsid w:val="00552295"/>
    <w:rsid w:val="0056470E"/>
    <w:rsid w:val="005C43F2"/>
    <w:rsid w:val="005C66BC"/>
    <w:rsid w:val="005C6FA3"/>
    <w:rsid w:val="00601049"/>
    <w:rsid w:val="00640774"/>
    <w:rsid w:val="00644277"/>
    <w:rsid w:val="00655351"/>
    <w:rsid w:val="007131DA"/>
    <w:rsid w:val="007459A4"/>
    <w:rsid w:val="00752B87"/>
    <w:rsid w:val="00755979"/>
    <w:rsid w:val="0075656F"/>
    <w:rsid w:val="007646A6"/>
    <w:rsid w:val="00790736"/>
    <w:rsid w:val="007A38DF"/>
    <w:rsid w:val="007E1F3B"/>
    <w:rsid w:val="007E7DC8"/>
    <w:rsid w:val="00801F4B"/>
    <w:rsid w:val="008272FD"/>
    <w:rsid w:val="00857AD8"/>
    <w:rsid w:val="00864C2A"/>
    <w:rsid w:val="008C6962"/>
    <w:rsid w:val="008E45F4"/>
    <w:rsid w:val="00901697"/>
    <w:rsid w:val="0090440D"/>
    <w:rsid w:val="00905ECF"/>
    <w:rsid w:val="0091032B"/>
    <w:rsid w:val="009324F3"/>
    <w:rsid w:val="0095333E"/>
    <w:rsid w:val="009733BB"/>
    <w:rsid w:val="0098109B"/>
    <w:rsid w:val="00982DAF"/>
    <w:rsid w:val="009E57FE"/>
    <w:rsid w:val="00A329E6"/>
    <w:rsid w:val="00A614D7"/>
    <w:rsid w:val="00AE4500"/>
    <w:rsid w:val="00B27EB3"/>
    <w:rsid w:val="00B4040B"/>
    <w:rsid w:val="00B75643"/>
    <w:rsid w:val="00B94DAB"/>
    <w:rsid w:val="00B95660"/>
    <w:rsid w:val="00BA46F6"/>
    <w:rsid w:val="00BC63A5"/>
    <w:rsid w:val="00BD2E96"/>
    <w:rsid w:val="00C12C77"/>
    <w:rsid w:val="00C6421F"/>
    <w:rsid w:val="00C84B1B"/>
    <w:rsid w:val="00D2314A"/>
    <w:rsid w:val="00D35C8A"/>
    <w:rsid w:val="00D62B9B"/>
    <w:rsid w:val="00D64600"/>
    <w:rsid w:val="00D83279"/>
    <w:rsid w:val="00D83774"/>
    <w:rsid w:val="00DE73AF"/>
    <w:rsid w:val="00DF78B6"/>
    <w:rsid w:val="00E04C75"/>
    <w:rsid w:val="00E168E3"/>
    <w:rsid w:val="00E337DE"/>
    <w:rsid w:val="00E62DDE"/>
    <w:rsid w:val="00EC69A3"/>
    <w:rsid w:val="00EF43B0"/>
    <w:rsid w:val="00F0252F"/>
    <w:rsid w:val="00F07678"/>
    <w:rsid w:val="00F211FA"/>
    <w:rsid w:val="00FA3AAF"/>
    <w:rsid w:val="00FA3B5B"/>
    <w:rsid w:val="00FC38E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05EB2"/>
    <w:rPr>
      <w:rFonts w:ascii="Arial" w:hAnsi="Arial"/>
      <w:sz w:val="24"/>
      <w:lang w:val="en-US" w:eastAsia="en-US"/>
    </w:rPr>
  </w:style>
  <w:style w:type="paragraph" w:styleId="Heading1">
    <w:name w:val="heading 1"/>
    <w:basedOn w:val="Normal"/>
    <w:next w:val="Normal"/>
    <w:qFormat/>
    <w:rsid w:val="00105EB2"/>
    <w:pPr>
      <w:numPr>
        <w:numId w:val="2"/>
      </w:numPr>
      <w:spacing w:after="200"/>
      <w:outlineLvl w:val="0"/>
    </w:pPr>
    <w:rPr>
      <w:b/>
      <w:caps/>
      <w:sz w:val="28"/>
      <w:lang w:val="en-GB"/>
    </w:rPr>
  </w:style>
  <w:style w:type="paragraph" w:styleId="Heading2">
    <w:name w:val="heading 2"/>
    <w:basedOn w:val="Normal"/>
    <w:next w:val="Normal"/>
    <w:qFormat/>
    <w:rsid w:val="00105EB2"/>
    <w:pPr>
      <w:keepNext/>
      <w:numPr>
        <w:ilvl w:val="1"/>
        <w:numId w:val="2"/>
      </w:numPr>
      <w:spacing w:after="200"/>
      <w:jc w:val="both"/>
      <w:outlineLvl w:val="1"/>
    </w:pPr>
    <w:rPr>
      <w:b/>
      <w:lang w:val="en-GB"/>
    </w:rPr>
  </w:style>
  <w:style w:type="paragraph" w:styleId="Heading3">
    <w:name w:val="heading 3"/>
    <w:basedOn w:val="Normal"/>
    <w:next w:val="Normal"/>
    <w:qFormat/>
    <w:rsid w:val="00105EB2"/>
    <w:pPr>
      <w:keepNext/>
      <w:numPr>
        <w:ilvl w:val="2"/>
        <w:numId w:val="2"/>
      </w:numPr>
      <w:spacing w:after="200"/>
      <w:jc w:val="both"/>
      <w:outlineLvl w:val="2"/>
    </w:pPr>
    <w:rPr>
      <w:b/>
      <w:snapToGrid w:val="0"/>
      <w:lang w:val="en-GB"/>
    </w:rPr>
  </w:style>
  <w:style w:type="paragraph" w:styleId="Heading4">
    <w:name w:val="heading 4"/>
    <w:basedOn w:val="Normal"/>
    <w:next w:val="Normal"/>
    <w:qFormat/>
    <w:rsid w:val="00105EB2"/>
    <w:pPr>
      <w:keepNext/>
      <w:numPr>
        <w:ilvl w:val="3"/>
        <w:numId w:val="2"/>
      </w:numPr>
      <w:jc w:val="both"/>
      <w:outlineLvl w:val="3"/>
    </w:pPr>
    <w:rPr>
      <w:b/>
      <w:caps/>
      <w:lang w:val="en-GB"/>
    </w:rPr>
  </w:style>
  <w:style w:type="paragraph" w:styleId="Heading5">
    <w:name w:val="heading 5"/>
    <w:basedOn w:val="Normal"/>
    <w:next w:val="Normal"/>
    <w:qFormat/>
    <w:rsid w:val="00105EB2"/>
    <w:pPr>
      <w:numPr>
        <w:ilvl w:val="4"/>
        <w:numId w:val="2"/>
      </w:numPr>
      <w:jc w:val="both"/>
      <w:outlineLvl w:val="4"/>
    </w:pPr>
    <w:rPr>
      <w:b/>
      <w:caps/>
      <w:lang w:val="en-GB"/>
    </w:rPr>
  </w:style>
  <w:style w:type="paragraph" w:styleId="Heading6">
    <w:name w:val="heading 6"/>
    <w:basedOn w:val="Normal"/>
    <w:next w:val="Normal"/>
    <w:qFormat/>
    <w:rsid w:val="00105EB2"/>
    <w:pPr>
      <w:numPr>
        <w:ilvl w:val="5"/>
        <w:numId w:val="2"/>
      </w:numPr>
      <w:spacing w:before="240" w:after="60"/>
      <w:jc w:val="both"/>
      <w:outlineLvl w:val="5"/>
    </w:pPr>
    <w:rPr>
      <w:rFonts w:ascii="Times New Roman" w:hAnsi="Times New Roman"/>
      <w:b/>
      <w:sz w:val="22"/>
      <w:lang w:val="en-GB"/>
    </w:rPr>
  </w:style>
  <w:style w:type="paragraph" w:styleId="Heading7">
    <w:name w:val="heading 7"/>
    <w:basedOn w:val="Normal"/>
    <w:next w:val="Normal"/>
    <w:qFormat/>
    <w:rsid w:val="00105EB2"/>
    <w:pPr>
      <w:numPr>
        <w:ilvl w:val="6"/>
        <w:numId w:val="2"/>
      </w:numPr>
      <w:spacing w:before="240" w:after="60"/>
      <w:jc w:val="both"/>
      <w:outlineLvl w:val="6"/>
    </w:pPr>
    <w:rPr>
      <w:rFonts w:ascii="Times New Roman" w:hAnsi="Times New Roman"/>
      <w:lang w:val="en-GB"/>
    </w:rPr>
  </w:style>
  <w:style w:type="paragraph" w:styleId="Heading8">
    <w:name w:val="heading 8"/>
    <w:basedOn w:val="Normal"/>
    <w:next w:val="Normal"/>
    <w:qFormat/>
    <w:rsid w:val="00105EB2"/>
    <w:pPr>
      <w:numPr>
        <w:ilvl w:val="7"/>
        <w:numId w:val="2"/>
      </w:numPr>
      <w:spacing w:before="240" w:after="60"/>
      <w:jc w:val="both"/>
      <w:outlineLvl w:val="7"/>
    </w:pPr>
    <w:rPr>
      <w:rFonts w:ascii="Times New Roman" w:hAnsi="Times New Roman"/>
      <w:i/>
      <w:lang w:val="en-GB"/>
    </w:rPr>
  </w:style>
  <w:style w:type="paragraph" w:styleId="Heading9">
    <w:name w:val="heading 9"/>
    <w:basedOn w:val="Normal"/>
    <w:next w:val="Normal"/>
    <w:qFormat/>
    <w:rsid w:val="00105EB2"/>
    <w:pPr>
      <w:numPr>
        <w:ilvl w:val="8"/>
        <w:numId w:val="2"/>
      </w:numPr>
      <w:spacing w:before="240" w:after="60"/>
      <w:jc w:val="both"/>
      <w:outlineLvl w:val="8"/>
    </w:pPr>
    <w:rPr>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5EB2"/>
    <w:pPr>
      <w:tabs>
        <w:tab w:val="center" w:pos="4253"/>
        <w:tab w:val="right" w:pos="8505"/>
      </w:tabs>
    </w:pPr>
    <w:rPr>
      <w:sz w:val="20"/>
      <w:lang w:val="en-GB"/>
    </w:rPr>
  </w:style>
  <w:style w:type="paragraph" w:styleId="Title">
    <w:name w:val="Title"/>
    <w:basedOn w:val="Normal"/>
    <w:next w:val="Normal"/>
    <w:qFormat/>
    <w:rsid w:val="00105EB2"/>
    <w:pPr>
      <w:jc w:val="center"/>
    </w:pPr>
    <w:rPr>
      <w:b/>
      <w:caps/>
      <w:sz w:val="32"/>
      <w:lang w:val="en-GB"/>
    </w:rPr>
  </w:style>
  <w:style w:type="paragraph" w:customStyle="1" w:styleId="Authors">
    <w:name w:val="Authors"/>
    <w:basedOn w:val="Normal"/>
    <w:rsid w:val="00105EB2"/>
    <w:pPr>
      <w:jc w:val="both"/>
    </w:pPr>
    <w:rPr>
      <w:snapToGrid w:val="0"/>
      <w:sz w:val="20"/>
      <w:lang w:val="en-GB"/>
    </w:rPr>
  </w:style>
  <w:style w:type="paragraph" w:styleId="ListNumber">
    <w:name w:val="List Number"/>
    <w:basedOn w:val="Normal"/>
    <w:rsid w:val="00105EB2"/>
    <w:pPr>
      <w:numPr>
        <w:numId w:val="1"/>
      </w:numPr>
      <w:jc w:val="both"/>
    </w:pPr>
    <w:rPr>
      <w:sz w:val="20"/>
      <w:lang w:val="en-GB"/>
    </w:rPr>
  </w:style>
  <w:style w:type="paragraph" w:customStyle="1" w:styleId="Referencelist">
    <w:name w:val="Reference list"/>
    <w:basedOn w:val="ListNumber"/>
    <w:rsid w:val="00105EB2"/>
    <w:pPr>
      <w:tabs>
        <w:tab w:val="clear" w:pos="360"/>
        <w:tab w:val="left" w:pos="709"/>
      </w:tabs>
      <w:ind w:left="709" w:hanging="709"/>
    </w:pPr>
  </w:style>
  <w:style w:type="paragraph" w:styleId="Footer">
    <w:name w:val="footer"/>
    <w:basedOn w:val="Normal"/>
    <w:rsid w:val="00105EB2"/>
    <w:pPr>
      <w:tabs>
        <w:tab w:val="center" w:pos="4320"/>
        <w:tab w:val="right" w:pos="8640"/>
      </w:tabs>
    </w:pPr>
  </w:style>
  <w:style w:type="paragraph" w:styleId="DocumentMap">
    <w:name w:val="Document Map"/>
    <w:basedOn w:val="Normal"/>
    <w:semiHidden/>
    <w:rsid w:val="00105EB2"/>
    <w:pPr>
      <w:shd w:val="clear" w:color="auto" w:fill="000080"/>
    </w:pPr>
    <w:rPr>
      <w:rFonts w:ascii="Tahoma" w:hAnsi="Tahoma"/>
    </w:rPr>
  </w:style>
  <w:style w:type="paragraph" w:styleId="BalloonText">
    <w:name w:val="Balloon Text"/>
    <w:basedOn w:val="Normal"/>
    <w:link w:val="BalloonTextChar"/>
    <w:rsid w:val="002933A2"/>
    <w:rPr>
      <w:rFonts w:ascii="Segoe UI" w:hAnsi="Segoe UI" w:cs="Segoe UI"/>
      <w:sz w:val="18"/>
      <w:szCs w:val="18"/>
    </w:rPr>
  </w:style>
  <w:style w:type="character" w:customStyle="1" w:styleId="BalloonTextChar">
    <w:name w:val="Balloon Text Char"/>
    <w:link w:val="BalloonText"/>
    <w:rsid w:val="002933A2"/>
    <w:rPr>
      <w:rFonts w:ascii="Segoe UI" w:hAnsi="Segoe UI" w:cs="Segoe UI"/>
      <w:sz w:val="18"/>
      <w:szCs w:val="18"/>
      <w:lang w:val="en-US" w:eastAsia="en-US"/>
    </w:rPr>
  </w:style>
  <w:style w:type="character" w:customStyle="1" w:styleId="title-text">
    <w:name w:val="title-text"/>
    <w:basedOn w:val="DefaultParagraphFont"/>
    <w:rsid w:val="004F4D6E"/>
  </w:style>
  <w:style w:type="paragraph" w:styleId="Subtitle">
    <w:name w:val="Subtitle"/>
    <w:basedOn w:val="Normal"/>
    <w:next w:val="Normal"/>
    <w:link w:val="SubtitleChar"/>
    <w:qFormat/>
    <w:rsid w:val="00462EB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62EB2"/>
    <w:rPr>
      <w:rFonts w:asciiTheme="minorHAnsi" w:eastAsiaTheme="minorEastAsia" w:hAnsiTheme="minorHAnsi" w:cstheme="minorBidi"/>
      <w:color w:val="5A5A5A" w:themeColor="text1" w:themeTint="A5"/>
      <w:spacing w:val="15"/>
      <w:sz w:val="22"/>
      <w:szCs w:val="22"/>
      <w:lang w:val="en-US" w:eastAsia="en-US"/>
    </w:rPr>
  </w:style>
  <w:style w:type="paragraph" w:styleId="NoSpacing">
    <w:name w:val="No Spacing"/>
    <w:uiPriority w:val="1"/>
    <w:qFormat/>
    <w:rsid w:val="00462EB2"/>
    <w:rPr>
      <w:rFonts w:ascii="Arial" w:hAnsi="Arial"/>
      <w:sz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9.6129161606759647E-2"/>
          <c:y val="5.3403173088212512E-2"/>
          <c:w val="0.83654491634668371"/>
          <c:h val="0.66087458764624141"/>
        </c:manualLayout>
      </c:layout>
      <c:lineChart>
        <c:grouping val="standard"/>
        <c:ser>
          <c:idx val="0"/>
          <c:order val="0"/>
          <c:tx>
            <c:strRef>
              <c:f>'No Curtains 1_3'!$A$15</c:f>
              <c:strCache>
                <c:ptCount val="1"/>
                <c:pt idx="0">
                  <c:v>Omni-source No Curtains</c:v>
                </c:pt>
              </c:strCache>
            </c:strRef>
          </c:tx>
          <c:cat>
            <c:numRef>
              <c:f>'No Curtains 1_3'!$B$14:$Z$14</c:f>
              <c:numCache>
                <c:formatCode>General</c:formatCode>
                <c:ptCount val="25"/>
                <c:pt idx="0">
                  <c:v>40</c:v>
                </c:pt>
                <c:pt idx="1">
                  <c:v>50</c:v>
                </c:pt>
                <c:pt idx="2">
                  <c:v>63</c:v>
                </c:pt>
                <c:pt idx="3">
                  <c:v>80</c:v>
                </c:pt>
                <c:pt idx="4">
                  <c:v>100</c:v>
                </c:pt>
                <c:pt idx="5">
                  <c:v>125</c:v>
                </c:pt>
                <c:pt idx="6">
                  <c:v>160</c:v>
                </c:pt>
                <c:pt idx="7">
                  <c:v>200</c:v>
                </c:pt>
                <c:pt idx="8">
                  <c:v>250</c:v>
                </c:pt>
                <c:pt idx="9">
                  <c:v>315</c:v>
                </c:pt>
                <c:pt idx="10">
                  <c:v>400</c:v>
                </c:pt>
                <c:pt idx="11">
                  <c:v>500</c:v>
                </c:pt>
                <c:pt idx="12">
                  <c:v>630</c:v>
                </c:pt>
                <c:pt idx="13">
                  <c:v>800</c:v>
                </c:pt>
                <c:pt idx="14">
                  <c:v>1000</c:v>
                </c:pt>
                <c:pt idx="15">
                  <c:v>1260</c:v>
                </c:pt>
                <c:pt idx="16">
                  <c:v>1600</c:v>
                </c:pt>
                <c:pt idx="17">
                  <c:v>2000</c:v>
                </c:pt>
                <c:pt idx="18">
                  <c:v>2500</c:v>
                </c:pt>
                <c:pt idx="19">
                  <c:v>3160</c:v>
                </c:pt>
                <c:pt idx="20">
                  <c:v>4000</c:v>
                </c:pt>
                <c:pt idx="21">
                  <c:v>5000</c:v>
                </c:pt>
                <c:pt idx="22">
                  <c:v>6300</c:v>
                </c:pt>
                <c:pt idx="23">
                  <c:v>8000</c:v>
                </c:pt>
                <c:pt idx="24">
                  <c:v>10000</c:v>
                </c:pt>
              </c:numCache>
            </c:numRef>
          </c:cat>
          <c:val>
            <c:numRef>
              <c:f>'No Curtains 1_3'!$B$15:$Z$15</c:f>
              <c:numCache>
                <c:formatCode>General</c:formatCode>
                <c:ptCount val="25"/>
                <c:pt idx="0">
                  <c:v>1.226</c:v>
                </c:pt>
                <c:pt idx="1">
                  <c:v>1.1172727272727279</c:v>
                </c:pt>
                <c:pt idx="2">
                  <c:v>0.86363636363636298</c:v>
                </c:pt>
                <c:pt idx="3">
                  <c:v>0.74083333333333345</c:v>
                </c:pt>
                <c:pt idx="4">
                  <c:v>0.71833333333333305</c:v>
                </c:pt>
                <c:pt idx="5">
                  <c:v>0.69583333333333364</c:v>
                </c:pt>
                <c:pt idx="6">
                  <c:v>0.75666666666666704</c:v>
                </c:pt>
                <c:pt idx="7">
                  <c:v>0.94083333333333341</c:v>
                </c:pt>
                <c:pt idx="8">
                  <c:v>1.1641666666666679</c:v>
                </c:pt>
                <c:pt idx="9">
                  <c:v>1.3025</c:v>
                </c:pt>
                <c:pt idx="10">
                  <c:v>1.3274999999999979</c:v>
                </c:pt>
                <c:pt idx="11">
                  <c:v>1.4791666666666659</c:v>
                </c:pt>
                <c:pt idx="12">
                  <c:v>1.5183333333333331</c:v>
                </c:pt>
                <c:pt idx="13">
                  <c:v>1.49</c:v>
                </c:pt>
                <c:pt idx="14">
                  <c:v>1.5049999999999979</c:v>
                </c:pt>
                <c:pt idx="15">
                  <c:v>1.4424999999999979</c:v>
                </c:pt>
                <c:pt idx="16">
                  <c:v>1.3833333333333331</c:v>
                </c:pt>
                <c:pt idx="17">
                  <c:v>1.4116666666666662</c:v>
                </c:pt>
                <c:pt idx="18">
                  <c:v>1.4133333333333322</c:v>
                </c:pt>
                <c:pt idx="19">
                  <c:v>1.3900000000000001</c:v>
                </c:pt>
                <c:pt idx="20">
                  <c:v>1.240833333333333</c:v>
                </c:pt>
                <c:pt idx="21">
                  <c:v>1.105</c:v>
                </c:pt>
                <c:pt idx="22">
                  <c:v>0.90333333333333299</c:v>
                </c:pt>
                <c:pt idx="23">
                  <c:v>0.79416666666666558</c:v>
                </c:pt>
                <c:pt idx="24">
                  <c:v>0.61083333333333345</c:v>
                </c:pt>
              </c:numCache>
            </c:numRef>
          </c:val>
          <c:extLst xmlns:c16r2="http://schemas.microsoft.com/office/drawing/2015/06/chart">
            <c:ext xmlns:c16="http://schemas.microsoft.com/office/drawing/2014/chart" uri="{C3380CC4-5D6E-409C-BE32-E72D297353CC}">
              <c16:uniqueId val="{00000000-6B7F-43C1-B546-04FD30EAFB33}"/>
            </c:ext>
          </c:extLst>
        </c:ser>
        <c:ser>
          <c:idx val="1"/>
          <c:order val="1"/>
          <c:tx>
            <c:strRef>
              <c:f>'No Curtains 1_3'!$A$16</c:f>
              <c:strCache>
                <c:ptCount val="1"/>
                <c:pt idx="0">
                  <c:v>Stdev</c:v>
                </c:pt>
              </c:strCache>
            </c:strRef>
          </c:tx>
          <c:spPr>
            <a:ln>
              <a:solidFill>
                <a:schemeClr val="accent1"/>
              </a:solidFill>
              <a:prstDash val="sysDot"/>
            </a:ln>
          </c:spPr>
          <c:marker>
            <c:spPr>
              <a:solidFill>
                <a:schemeClr val="accent1"/>
              </a:solidFill>
              <a:ln>
                <a:solidFill>
                  <a:schemeClr val="accent1"/>
                </a:solidFill>
              </a:ln>
            </c:spPr>
          </c:marker>
          <c:cat>
            <c:numRef>
              <c:f>'No Curtains 1_3'!$B$14:$Z$14</c:f>
              <c:numCache>
                <c:formatCode>General</c:formatCode>
                <c:ptCount val="25"/>
                <c:pt idx="0">
                  <c:v>40</c:v>
                </c:pt>
                <c:pt idx="1">
                  <c:v>50</c:v>
                </c:pt>
                <c:pt idx="2">
                  <c:v>63</c:v>
                </c:pt>
                <c:pt idx="3">
                  <c:v>80</c:v>
                </c:pt>
                <c:pt idx="4">
                  <c:v>100</c:v>
                </c:pt>
                <c:pt idx="5">
                  <c:v>125</c:v>
                </c:pt>
                <c:pt idx="6">
                  <c:v>160</c:v>
                </c:pt>
                <c:pt idx="7">
                  <c:v>200</c:v>
                </c:pt>
                <c:pt idx="8">
                  <c:v>250</c:v>
                </c:pt>
                <c:pt idx="9">
                  <c:v>315</c:v>
                </c:pt>
                <c:pt idx="10">
                  <c:v>400</c:v>
                </c:pt>
                <c:pt idx="11">
                  <c:v>500</c:v>
                </c:pt>
                <c:pt idx="12">
                  <c:v>630</c:v>
                </c:pt>
                <c:pt idx="13">
                  <c:v>800</c:v>
                </c:pt>
                <c:pt idx="14">
                  <c:v>1000</c:v>
                </c:pt>
                <c:pt idx="15">
                  <c:v>1260</c:v>
                </c:pt>
                <c:pt idx="16">
                  <c:v>1600</c:v>
                </c:pt>
                <c:pt idx="17">
                  <c:v>2000</c:v>
                </c:pt>
                <c:pt idx="18">
                  <c:v>2500</c:v>
                </c:pt>
                <c:pt idx="19">
                  <c:v>3160</c:v>
                </c:pt>
                <c:pt idx="20">
                  <c:v>4000</c:v>
                </c:pt>
                <c:pt idx="21">
                  <c:v>5000</c:v>
                </c:pt>
                <c:pt idx="22">
                  <c:v>6300</c:v>
                </c:pt>
                <c:pt idx="23">
                  <c:v>8000</c:v>
                </c:pt>
                <c:pt idx="24">
                  <c:v>10000</c:v>
                </c:pt>
              </c:numCache>
            </c:numRef>
          </c:cat>
          <c:val>
            <c:numRef>
              <c:f>'No Curtains 1_3'!$B$16:$Z$16</c:f>
              <c:numCache>
                <c:formatCode>General</c:formatCode>
                <c:ptCount val="25"/>
                <c:pt idx="0">
                  <c:v>0.67782659204909501</c:v>
                </c:pt>
                <c:pt idx="1">
                  <c:v>0.33553214180137608</c:v>
                </c:pt>
                <c:pt idx="2">
                  <c:v>0.39046825036800936</c:v>
                </c:pt>
                <c:pt idx="3">
                  <c:v>0.18158185398593599</c:v>
                </c:pt>
                <c:pt idx="4">
                  <c:v>0.123717664890914</c:v>
                </c:pt>
                <c:pt idx="5">
                  <c:v>0.10891684345352111</c:v>
                </c:pt>
                <c:pt idx="6">
                  <c:v>9.9939375562781166E-2</c:v>
                </c:pt>
                <c:pt idx="7">
                  <c:v>8.9082018727721105E-2</c:v>
                </c:pt>
                <c:pt idx="8">
                  <c:v>0.13097246992703299</c:v>
                </c:pt>
                <c:pt idx="9">
                  <c:v>0.13652339126917501</c:v>
                </c:pt>
                <c:pt idx="10">
                  <c:v>0.18776799030137925</c:v>
                </c:pt>
                <c:pt idx="11">
                  <c:v>8.2181432688824996E-2</c:v>
                </c:pt>
                <c:pt idx="12">
                  <c:v>9.3500931773027166E-2</c:v>
                </c:pt>
                <c:pt idx="13">
                  <c:v>7.6515001500002996E-2</c:v>
                </c:pt>
                <c:pt idx="14">
                  <c:v>8.3720313598857107E-2</c:v>
                </c:pt>
                <c:pt idx="15">
                  <c:v>6.1809825638441514E-2</c:v>
                </c:pt>
                <c:pt idx="16">
                  <c:v>3.2286595398465921E-2</c:v>
                </c:pt>
                <c:pt idx="17">
                  <c:v>5.5894923063212351E-2</c:v>
                </c:pt>
                <c:pt idx="18">
                  <c:v>4.334498677803323E-2</c:v>
                </c:pt>
                <c:pt idx="19">
                  <c:v>5.0090826596203321E-2</c:v>
                </c:pt>
                <c:pt idx="20">
                  <c:v>2.644319239884672E-2</c:v>
                </c:pt>
                <c:pt idx="21">
                  <c:v>3.1478708533055934E-2</c:v>
                </c:pt>
                <c:pt idx="22">
                  <c:v>1.7752507291971913E-2</c:v>
                </c:pt>
                <c:pt idx="23">
                  <c:v>1.6213537179739303E-2</c:v>
                </c:pt>
                <c:pt idx="24">
                  <c:v>9.0033663737852307E-3</c:v>
                </c:pt>
              </c:numCache>
            </c:numRef>
          </c:val>
          <c:extLst xmlns:c16r2="http://schemas.microsoft.com/office/drawing/2015/06/chart">
            <c:ext xmlns:c16="http://schemas.microsoft.com/office/drawing/2014/chart" uri="{C3380CC4-5D6E-409C-BE32-E72D297353CC}">
              <c16:uniqueId val="{00000001-6B7F-43C1-B546-04FD30EAFB33}"/>
            </c:ext>
          </c:extLst>
        </c:ser>
        <c:marker val="1"/>
        <c:axId val="142443648"/>
        <c:axId val="142454784"/>
      </c:lineChart>
      <c:catAx>
        <c:axId val="142443648"/>
        <c:scaling>
          <c:orientation val="minMax"/>
        </c:scaling>
        <c:axPos val="b"/>
        <c:title>
          <c:tx>
            <c:rich>
              <a:bodyPr/>
              <a:lstStyle/>
              <a:p>
                <a:pPr>
                  <a:defRPr lang="en-US"/>
                </a:pPr>
                <a:r>
                  <a:rPr lang="en-GB"/>
                  <a:t>Frequenc</a:t>
                </a:r>
                <a:r>
                  <a:rPr lang="en-GB" baseline="0"/>
                  <a:t>y (Hz)</a:t>
                </a:r>
                <a:endParaRPr lang="en-GB"/>
              </a:p>
            </c:rich>
          </c:tx>
          <c:layout/>
        </c:title>
        <c:numFmt formatCode="General" sourceLinked="1"/>
        <c:tickLblPos val="nextTo"/>
        <c:txPr>
          <a:bodyPr/>
          <a:lstStyle/>
          <a:p>
            <a:pPr>
              <a:defRPr lang="en-US"/>
            </a:pPr>
            <a:endParaRPr lang="en-US"/>
          </a:p>
        </c:txPr>
        <c:crossAx val="142454784"/>
        <c:crosses val="autoZero"/>
        <c:auto val="1"/>
        <c:lblAlgn val="ctr"/>
        <c:lblOffset val="100"/>
      </c:catAx>
      <c:valAx>
        <c:axId val="142454784"/>
        <c:scaling>
          <c:orientation val="minMax"/>
        </c:scaling>
        <c:axPos val="l"/>
        <c:majorGridlines/>
        <c:title>
          <c:tx>
            <c:rich>
              <a:bodyPr/>
              <a:lstStyle/>
              <a:p>
                <a:pPr>
                  <a:defRPr lang="en-US"/>
                </a:pPr>
                <a:r>
                  <a:rPr lang="en-GB"/>
                  <a:t>Reverberation</a:t>
                </a:r>
                <a:r>
                  <a:rPr lang="en-GB" baseline="0"/>
                  <a:t> Time (T20 sec)</a:t>
                </a:r>
                <a:endParaRPr lang="en-GB"/>
              </a:p>
            </c:rich>
          </c:tx>
          <c:layout/>
        </c:title>
        <c:numFmt formatCode="General" sourceLinked="1"/>
        <c:tickLblPos val="nextTo"/>
        <c:txPr>
          <a:bodyPr/>
          <a:lstStyle/>
          <a:p>
            <a:pPr>
              <a:defRPr lang="en-US"/>
            </a:pPr>
            <a:endParaRPr lang="en-US"/>
          </a:p>
        </c:txPr>
        <c:crossAx val="142443648"/>
        <c:crosses val="autoZero"/>
        <c:crossBetween val="between"/>
      </c:valAx>
    </c:plotArea>
    <c:legend>
      <c:legendPos val="r"/>
      <c:layout>
        <c:manualLayout>
          <c:xMode val="edge"/>
          <c:yMode val="edge"/>
          <c:x val="0.38760679167209844"/>
          <c:y val="0.31682100343517722"/>
          <c:w val="0.35483825379350298"/>
          <c:h val="0.17395780072945399"/>
        </c:manualLayout>
      </c:layout>
      <c:txPr>
        <a:bodyPr/>
        <a:lstStyle/>
        <a:p>
          <a:pPr>
            <a:defRPr lang="en-US"/>
          </a:pPr>
          <a:endParaRPr lang="en-US"/>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3873381452318501"/>
          <c:y val="6.7374967608188632E-2"/>
          <c:w val="0.82515507436570446"/>
          <c:h val="0.60822292911753451"/>
        </c:manualLayout>
      </c:layout>
      <c:lineChart>
        <c:grouping val="standard"/>
        <c:ser>
          <c:idx val="0"/>
          <c:order val="0"/>
          <c:tx>
            <c:strRef>
              <c:f>'Omni curtain vs no curtaib'!$A$2</c:f>
              <c:strCache>
                <c:ptCount val="1"/>
                <c:pt idx="0">
                  <c:v>Hidden Curtain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'Omni curtain vs no curtaib'!$B$1:$Z$1</c:f>
              <c:numCache>
                <c:formatCode>General</c:formatCode>
                <c:ptCount val="25"/>
                <c:pt idx="0">
                  <c:v>40</c:v>
                </c:pt>
                <c:pt idx="1">
                  <c:v>50</c:v>
                </c:pt>
                <c:pt idx="2">
                  <c:v>63</c:v>
                </c:pt>
                <c:pt idx="3">
                  <c:v>80</c:v>
                </c:pt>
                <c:pt idx="4">
                  <c:v>100</c:v>
                </c:pt>
                <c:pt idx="5">
                  <c:v>125</c:v>
                </c:pt>
                <c:pt idx="6">
                  <c:v>160</c:v>
                </c:pt>
                <c:pt idx="7">
                  <c:v>200</c:v>
                </c:pt>
                <c:pt idx="8">
                  <c:v>250</c:v>
                </c:pt>
                <c:pt idx="9">
                  <c:v>315</c:v>
                </c:pt>
                <c:pt idx="10">
                  <c:v>400</c:v>
                </c:pt>
                <c:pt idx="11">
                  <c:v>500</c:v>
                </c:pt>
                <c:pt idx="12">
                  <c:v>630</c:v>
                </c:pt>
                <c:pt idx="13">
                  <c:v>800</c:v>
                </c:pt>
                <c:pt idx="14">
                  <c:v>1000</c:v>
                </c:pt>
                <c:pt idx="15">
                  <c:v>1260</c:v>
                </c:pt>
                <c:pt idx="16">
                  <c:v>1600</c:v>
                </c:pt>
                <c:pt idx="17">
                  <c:v>2000</c:v>
                </c:pt>
                <c:pt idx="18">
                  <c:v>2500</c:v>
                </c:pt>
                <c:pt idx="19">
                  <c:v>3160</c:v>
                </c:pt>
                <c:pt idx="20">
                  <c:v>4000</c:v>
                </c:pt>
                <c:pt idx="21">
                  <c:v>5000</c:v>
                </c:pt>
                <c:pt idx="22">
                  <c:v>6300</c:v>
                </c:pt>
                <c:pt idx="23">
                  <c:v>8000</c:v>
                </c:pt>
                <c:pt idx="24">
                  <c:v>10000</c:v>
                </c:pt>
              </c:numCache>
            </c:numRef>
          </c:cat>
          <c:val>
            <c:numRef>
              <c:f>'Omni curtain vs no curtaib'!$B$2:$Z$2</c:f>
              <c:numCache>
                <c:formatCode>General</c:formatCode>
                <c:ptCount val="25"/>
                <c:pt idx="0">
                  <c:v>1.226</c:v>
                </c:pt>
                <c:pt idx="1">
                  <c:v>1.1172727272727279</c:v>
                </c:pt>
                <c:pt idx="2">
                  <c:v>0.86363636363636298</c:v>
                </c:pt>
                <c:pt idx="3">
                  <c:v>0.74083333333333345</c:v>
                </c:pt>
                <c:pt idx="4">
                  <c:v>0.71833333333333305</c:v>
                </c:pt>
                <c:pt idx="5">
                  <c:v>0.69583333333333341</c:v>
                </c:pt>
                <c:pt idx="6">
                  <c:v>0.75666666666666704</c:v>
                </c:pt>
                <c:pt idx="7">
                  <c:v>0.94083333333333341</c:v>
                </c:pt>
                <c:pt idx="8">
                  <c:v>1.1641666666666679</c:v>
                </c:pt>
                <c:pt idx="9">
                  <c:v>1.3025</c:v>
                </c:pt>
                <c:pt idx="10">
                  <c:v>1.3274999999999979</c:v>
                </c:pt>
                <c:pt idx="11">
                  <c:v>1.4791666666666659</c:v>
                </c:pt>
                <c:pt idx="12">
                  <c:v>1.5183333333333331</c:v>
                </c:pt>
                <c:pt idx="13">
                  <c:v>1.49</c:v>
                </c:pt>
                <c:pt idx="14">
                  <c:v>1.5049999999999979</c:v>
                </c:pt>
                <c:pt idx="15">
                  <c:v>1.4424999999999979</c:v>
                </c:pt>
                <c:pt idx="16">
                  <c:v>1.3833333333333331</c:v>
                </c:pt>
                <c:pt idx="17">
                  <c:v>1.4116666666666662</c:v>
                </c:pt>
                <c:pt idx="18">
                  <c:v>1.4133333333333322</c:v>
                </c:pt>
                <c:pt idx="19">
                  <c:v>1.3900000000000001</c:v>
                </c:pt>
                <c:pt idx="20">
                  <c:v>1.240833333333333</c:v>
                </c:pt>
                <c:pt idx="21">
                  <c:v>1.105</c:v>
                </c:pt>
                <c:pt idx="22">
                  <c:v>0.90333333333333299</c:v>
                </c:pt>
                <c:pt idx="23">
                  <c:v>0.79416666666666558</c:v>
                </c:pt>
                <c:pt idx="24">
                  <c:v>0.61083333333333345</c:v>
                </c:pt>
              </c:numCache>
            </c:numRef>
          </c:val>
          <c:extLst xmlns:c16r2="http://schemas.microsoft.com/office/drawing/2015/06/chart">
            <c:ext xmlns:c16="http://schemas.microsoft.com/office/drawing/2014/chart" uri="{C3380CC4-5D6E-409C-BE32-E72D297353CC}">
              <c16:uniqueId val="{00000000-ACA4-452E-8769-A0B9C1B3B22C}"/>
            </c:ext>
          </c:extLst>
        </c:ser>
        <c:ser>
          <c:idx val="1"/>
          <c:order val="1"/>
          <c:tx>
            <c:strRef>
              <c:f>'Omni curtain vs no curtaib'!$A$3</c:f>
              <c:strCache>
                <c:ptCount val="1"/>
                <c:pt idx="0">
                  <c:v>Curtain Extended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'Omni curtain vs no curtaib'!$B$1:$Z$1</c:f>
              <c:numCache>
                <c:formatCode>General</c:formatCode>
                <c:ptCount val="25"/>
                <c:pt idx="0">
                  <c:v>40</c:v>
                </c:pt>
                <c:pt idx="1">
                  <c:v>50</c:v>
                </c:pt>
                <c:pt idx="2">
                  <c:v>63</c:v>
                </c:pt>
                <c:pt idx="3">
                  <c:v>80</c:v>
                </c:pt>
                <c:pt idx="4">
                  <c:v>100</c:v>
                </c:pt>
                <c:pt idx="5">
                  <c:v>125</c:v>
                </c:pt>
                <c:pt idx="6">
                  <c:v>160</c:v>
                </c:pt>
                <c:pt idx="7">
                  <c:v>200</c:v>
                </c:pt>
                <c:pt idx="8">
                  <c:v>250</c:v>
                </c:pt>
                <c:pt idx="9">
                  <c:v>315</c:v>
                </c:pt>
                <c:pt idx="10">
                  <c:v>400</c:v>
                </c:pt>
                <c:pt idx="11">
                  <c:v>500</c:v>
                </c:pt>
                <c:pt idx="12">
                  <c:v>630</c:v>
                </c:pt>
                <c:pt idx="13">
                  <c:v>800</c:v>
                </c:pt>
                <c:pt idx="14">
                  <c:v>1000</c:v>
                </c:pt>
                <c:pt idx="15">
                  <c:v>1260</c:v>
                </c:pt>
                <c:pt idx="16">
                  <c:v>1600</c:v>
                </c:pt>
                <c:pt idx="17">
                  <c:v>2000</c:v>
                </c:pt>
                <c:pt idx="18">
                  <c:v>2500</c:v>
                </c:pt>
                <c:pt idx="19">
                  <c:v>3160</c:v>
                </c:pt>
                <c:pt idx="20">
                  <c:v>4000</c:v>
                </c:pt>
                <c:pt idx="21">
                  <c:v>5000</c:v>
                </c:pt>
                <c:pt idx="22">
                  <c:v>6300</c:v>
                </c:pt>
                <c:pt idx="23">
                  <c:v>8000</c:v>
                </c:pt>
                <c:pt idx="24">
                  <c:v>10000</c:v>
                </c:pt>
              </c:numCache>
            </c:numRef>
          </c:cat>
          <c:val>
            <c:numRef>
              <c:f>'Omni curtain vs no curtaib'!$B$3:$Z$3</c:f>
              <c:numCache>
                <c:formatCode>General</c:formatCode>
                <c:ptCount val="25"/>
                <c:pt idx="0">
                  <c:v>1.1279999999999979</c:v>
                </c:pt>
                <c:pt idx="1">
                  <c:v>1.0549999999999982</c:v>
                </c:pt>
                <c:pt idx="2">
                  <c:v>0.85333333333333405</c:v>
                </c:pt>
                <c:pt idx="3">
                  <c:v>0.73083333333333345</c:v>
                </c:pt>
                <c:pt idx="4">
                  <c:v>0.67833333333333345</c:v>
                </c:pt>
                <c:pt idx="5">
                  <c:v>0.63500000000000045</c:v>
                </c:pt>
                <c:pt idx="6">
                  <c:v>0.72666666666666702</c:v>
                </c:pt>
                <c:pt idx="7">
                  <c:v>0.8250000000000004</c:v>
                </c:pt>
                <c:pt idx="8">
                  <c:v>0.81083333333333341</c:v>
                </c:pt>
                <c:pt idx="9">
                  <c:v>0.956666666666667</c:v>
                </c:pt>
                <c:pt idx="10">
                  <c:v>0.96500000000000041</c:v>
                </c:pt>
                <c:pt idx="11">
                  <c:v>1.0458333333333318</c:v>
                </c:pt>
                <c:pt idx="12">
                  <c:v>1.0074999999999992</c:v>
                </c:pt>
                <c:pt idx="13">
                  <c:v>0.91166666666666596</c:v>
                </c:pt>
                <c:pt idx="14">
                  <c:v>0.92</c:v>
                </c:pt>
                <c:pt idx="15">
                  <c:v>0.86416666666666597</c:v>
                </c:pt>
                <c:pt idx="16">
                  <c:v>0.88083333333333402</c:v>
                </c:pt>
                <c:pt idx="17">
                  <c:v>0.89083333333333303</c:v>
                </c:pt>
                <c:pt idx="18">
                  <c:v>0.88333333333333297</c:v>
                </c:pt>
                <c:pt idx="19">
                  <c:v>0.8866666666666666</c:v>
                </c:pt>
                <c:pt idx="20">
                  <c:v>0.831666666666667</c:v>
                </c:pt>
                <c:pt idx="21">
                  <c:v>0.75916666666666699</c:v>
                </c:pt>
                <c:pt idx="22">
                  <c:v>0.67000000000000071</c:v>
                </c:pt>
                <c:pt idx="23">
                  <c:v>0.61583333333333345</c:v>
                </c:pt>
                <c:pt idx="24">
                  <c:v>0.49583333333333302</c:v>
                </c:pt>
              </c:numCache>
            </c:numRef>
          </c:val>
          <c:extLst xmlns:c16r2="http://schemas.microsoft.com/office/drawing/2015/06/chart">
            <c:ext xmlns:c16="http://schemas.microsoft.com/office/drawing/2014/chart" uri="{C3380CC4-5D6E-409C-BE32-E72D297353CC}">
              <c16:uniqueId val="{00000001-ACA4-452E-8769-A0B9C1B3B22C}"/>
            </c:ext>
          </c:extLst>
        </c:ser>
        <c:marker val="1"/>
        <c:axId val="142796288"/>
        <c:axId val="142798848"/>
      </c:lineChart>
      <c:catAx>
        <c:axId val="142796288"/>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Frequency</a:t>
                </a:r>
                <a:r>
                  <a:rPr lang="en-GB" b="1" baseline="0"/>
                  <a:t> (Hz)</a:t>
                </a:r>
              </a:p>
            </c:rich>
          </c:tx>
          <c:layout>
            <c:manualLayout>
              <c:xMode val="edge"/>
              <c:yMode val="edge"/>
              <c:x val="0.43463779527559021"/>
              <c:y val="0.906296151954832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2798848"/>
        <c:crosses val="autoZero"/>
        <c:auto val="1"/>
        <c:lblAlgn val="ctr"/>
        <c:lblOffset val="100"/>
      </c:catAx>
      <c:valAx>
        <c:axId val="1427988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Reverberation Time</a:t>
                </a:r>
                <a:r>
                  <a:rPr lang="en-GB" b="1" baseline="0"/>
                  <a:t> T20 (seconds)</a:t>
                </a:r>
                <a:endParaRPr lang="en-GB" b="1"/>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42796288"/>
        <c:crosses val="autoZero"/>
        <c:crossBetween val="between"/>
      </c:valAx>
      <c:spPr>
        <a:noFill/>
        <a:ln>
          <a:noFill/>
        </a:ln>
        <a:effectLst/>
      </c:spPr>
    </c:plotArea>
    <c:legend>
      <c:legendPos val="b"/>
      <c:layout>
        <c:manualLayout>
          <c:xMode val="edge"/>
          <c:yMode val="edge"/>
          <c:x val="0.23369378827646511"/>
          <c:y val="0.80953247648915605"/>
          <c:w val="0.55483464566929142"/>
          <c:h val="7.8125546806649196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analysis!$B$1</c:f>
              <c:strCache>
                <c:ptCount val="1"/>
                <c:pt idx="0">
                  <c:v>Empty T20</c:v>
                </c:pt>
              </c:strCache>
            </c:strRef>
          </c:tx>
          <c:spPr>
            <a:ln w="28575" cap="rnd">
              <a:solidFill>
                <a:schemeClr val="accent1"/>
              </a:solidFill>
              <a:round/>
            </a:ln>
            <a:effectLst/>
          </c:spPr>
          <c:marker>
            <c:symbol val="none"/>
          </c:marker>
          <c:cat>
            <c:strRef>
              <c:f>analysis!$A$2:$A$25</c:f>
              <c:strCache>
                <c:ptCount val="24"/>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 kHz</c:v>
                </c:pt>
                <c:pt idx="15">
                  <c:v>1.25 kHz</c:v>
                </c:pt>
                <c:pt idx="16">
                  <c:v>1.6 kHz</c:v>
                </c:pt>
                <c:pt idx="17">
                  <c:v>2 kHz</c:v>
                </c:pt>
                <c:pt idx="18">
                  <c:v>2.5 kHz</c:v>
                </c:pt>
                <c:pt idx="19">
                  <c:v>3.15 kHz</c:v>
                </c:pt>
                <c:pt idx="20">
                  <c:v>4 kHz</c:v>
                </c:pt>
                <c:pt idx="21">
                  <c:v>5 kHz</c:v>
                </c:pt>
                <c:pt idx="22">
                  <c:v>6.3 kHz</c:v>
                </c:pt>
                <c:pt idx="23">
                  <c:v>8 kHz</c:v>
                </c:pt>
              </c:strCache>
            </c:strRef>
          </c:cat>
          <c:val>
            <c:numRef>
              <c:f>analysis!$B$2:$B$25</c:f>
              <c:numCache>
                <c:formatCode>General</c:formatCode>
                <c:ptCount val="24"/>
                <c:pt idx="0">
                  <c:v>1.53</c:v>
                </c:pt>
                <c:pt idx="1">
                  <c:v>1.82</c:v>
                </c:pt>
                <c:pt idx="2">
                  <c:v>2.14</c:v>
                </c:pt>
                <c:pt idx="3">
                  <c:v>2.73</c:v>
                </c:pt>
                <c:pt idx="4">
                  <c:v>3.3099999999999987</c:v>
                </c:pt>
                <c:pt idx="5">
                  <c:v>3.8499999999999988</c:v>
                </c:pt>
                <c:pt idx="6">
                  <c:v>4.01</c:v>
                </c:pt>
                <c:pt idx="7">
                  <c:v>3.7800000000000002</c:v>
                </c:pt>
                <c:pt idx="8">
                  <c:v>3.61</c:v>
                </c:pt>
                <c:pt idx="9">
                  <c:v>3.57</c:v>
                </c:pt>
                <c:pt idx="10">
                  <c:v>3.9499999999999997</c:v>
                </c:pt>
                <c:pt idx="11">
                  <c:v>4.5599999999999996</c:v>
                </c:pt>
                <c:pt idx="12">
                  <c:v>4.8599999999999985</c:v>
                </c:pt>
                <c:pt idx="13">
                  <c:v>4.74</c:v>
                </c:pt>
                <c:pt idx="14">
                  <c:v>4.8199999999999985</c:v>
                </c:pt>
                <c:pt idx="15">
                  <c:v>4.9700000000000024</c:v>
                </c:pt>
                <c:pt idx="16">
                  <c:v>4.76</c:v>
                </c:pt>
                <c:pt idx="17">
                  <c:v>4.37</c:v>
                </c:pt>
                <c:pt idx="18">
                  <c:v>3.88</c:v>
                </c:pt>
                <c:pt idx="19">
                  <c:v>3.2600000000000002</c:v>
                </c:pt>
                <c:pt idx="20">
                  <c:v>2.54</c:v>
                </c:pt>
                <c:pt idx="21">
                  <c:v>2.11</c:v>
                </c:pt>
                <c:pt idx="22">
                  <c:v>1.72</c:v>
                </c:pt>
                <c:pt idx="23">
                  <c:v>1.1499999999999977</c:v>
                </c:pt>
              </c:numCache>
            </c:numRef>
          </c:val>
          <c:extLst xmlns:c16r2="http://schemas.microsoft.com/office/drawing/2015/06/chart">
            <c:ext xmlns:c16="http://schemas.microsoft.com/office/drawing/2014/chart" uri="{C3380CC4-5D6E-409C-BE32-E72D297353CC}">
              <c16:uniqueId val="{00000000-7C8A-4BB5-A4AE-B0BEBA6675BC}"/>
            </c:ext>
          </c:extLst>
        </c:ser>
        <c:ser>
          <c:idx val="1"/>
          <c:order val="1"/>
          <c:tx>
            <c:strRef>
              <c:f>analysis!$C$1</c:f>
              <c:strCache>
                <c:ptCount val="1"/>
                <c:pt idx="0">
                  <c:v>Recital T20</c:v>
                </c:pt>
              </c:strCache>
            </c:strRef>
          </c:tx>
          <c:spPr>
            <a:ln w="28575" cap="rnd">
              <a:solidFill>
                <a:schemeClr val="accent2"/>
              </a:solidFill>
              <a:round/>
            </a:ln>
            <a:effectLst/>
          </c:spPr>
          <c:marker>
            <c:symbol val="none"/>
          </c:marker>
          <c:cat>
            <c:strRef>
              <c:f>analysis!$A$2:$A$25</c:f>
              <c:strCache>
                <c:ptCount val="24"/>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 kHz</c:v>
                </c:pt>
                <c:pt idx="15">
                  <c:v>1.25 kHz</c:v>
                </c:pt>
                <c:pt idx="16">
                  <c:v>1.6 kHz</c:v>
                </c:pt>
                <c:pt idx="17">
                  <c:v>2 kHz</c:v>
                </c:pt>
                <c:pt idx="18">
                  <c:v>2.5 kHz</c:v>
                </c:pt>
                <c:pt idx="19">
                  <c:v>3.15 kHz</c:v>
                </c:pt>
                <c:pt idx="20">
                  <c:v>4 kHz</c:v>
                </c:pt>
                <c:pt idx="21">
                  <c:v>5 kHz</c:v>
                </c:pt>
                <c:pt idx="22">
                  <c:v>6.3 kHz</c:v>
                </c:pt>
                <c:pt idx="23">
                  <c:v>8 kHz</c:v>
                </c:pt>
              </c:strCache>
            </c:strRef>
          </c:cat>
          <c:val>
            <c:numRef>
              <c:f>analysis!$C$2:$C$25</c:f>
              <c:numCache>
                <c:formatCode>General</c:formatCode>
                <c:ptCount val="24"/>
                <c:pt idx="0">
                  <c:v>1.34</c:v>
                </c:pt>
                <c:pt idx="1">
                  <c:v>1.61</c:v>
                </c:pt>
                <c:pt idx="2">
                  <c:v>1.78</c:v>
                </c:pt>
                <c:pt idx="3">
                  <c:v>2.29</c:v>
                </c:pt>
                <c:pt idx="4">
                  <c:v>2.17</c:v>
                </c:pt>
                <c:pt idx="5">
                  <c:v>3.06</c:v>
                </c:pt>
                <c:pt idx="6">
                  <c:v>2.75</c:v>
                </c:pt>
                <c:pt idx="7">
                  <c:v>2.77</c:v>
                </c:pt>
                <c:pt idx="8">
                  <c:v>2.82</c:v>
                </c:pt>
                <c:pt idx="9">
                  <c:v>2.66</c:v>
                </c:pt>
                <c:pt idx="10">
                  <c:v>3.12</c:v>
                </c:pt>
                <c:pt idx="11">
                  <c:v>3.53</c:v>
                </c:pt>
                <c:pt idx="12">
                  <c:v>3.8</c:v>
                </c:pt>
                <c:pt idx="13">
                  <c:v>3.8099999999999987</c:v>
                </c:pt>
                <c:pt idx="14">
                  <c:v>3.6</c:v>
                </c:pt>
                <c:pt idx="15">
                  <c:v>3.75</c:v>
                </c:pt>
                <c:pt idx="16">
                  <c:v>3.77</c:v>
                </c:pt>
                <c:pt idx="17">
                  <c:v>3.61</c:v>
                </c:pt>
                <c:pt idx="18">
                  <c:v>3.3899999999999997</c:v>
                </c:pt>
                <c:pt idx="19">
                  <c:v>2.8899999999999997</c:v>
                </c:pt>
                <c:pt idx="20">
                  <c:v>2.36</c:v>
                </c:pt>
                <c:pt idx="21">
                  <c:v>1.9200000000000019</c:v>
                </c:pt>
                <c:pt idx="22">
                  <c:v>1.57</c:v>
                </c:pt>
                <c:pt idx="23">
                  <c:v>1.06</c:v>
                </c:pt>
              </c:numCache>
            </c:numRef>
          </c:val>
          <c:extLst xmlns:c16r2="http://schemas.microsoft.com/office/drawing/2015/06/chart">
            <c:ext xmlns:c16="http://schemas.microsoft.com/office/drawing/2014/chart" uri="{C3380CC4-5D6E-409C-BE32-E72D297353CC}">
              <c16:uniqueId val="{00000001-7C8A-4BB5-A4AE-B0BEBA6675BC}"/>
            </c:ext>
          </c:extLst>
        </c:ser>
        <c:ser>
          <c:idx val="2"/>
          <c:order val="2"/>
          <c:tx>
            <c:strRef>
              <c:f>analysis!$D$1</c:f>
              <c:strCache>
                <c:ptCount val="1"/>
                <c:pt idx="0">
                  <c:v>Floor T20</c:v>
                </c:pt>
              </c:strCache>
            </c:strRef>
          </c:tx>
          <c:spPr>
            <a:ln w="28575" cap="rnd">
              <a:solidFill>
                <a:schemeClr val="accent3"/>
              </a:solidFill>
              <a:round/>
            </a:ln>
            <a:effectLst/>
          </c:spPr>
          <c:marker>
            <c:symbol val="none"/>
          </c:marker>
          <c:cat>
            <c:strRef>
              <c:f>analysis!$A$2:$A$25</c:f>
              <c:strCache>
                <c:ptCount val="24"/>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 kHz</c:v>
                </c:pt>
                <c:pt idx="15">
                  <c:v>1.25 kHz</c:v>
                </c:pt>
                <c:pt idx="16">
                  <c:v>1.6 kHz</c:v>
                </c:pt>
                <c:pt idx="17">
                  <c:v>2 kHz</c:v>
                </c:pt>
                <c:pt idx="18">
                  <c:v>2.5 kHz</c:v>
                </c:pt>
                <c:pt idx="19">
                  <c:v>3.15 kHz</c:v>
                </c:pt>
                <c:pt idx="20">
                  <c:v>4 kHz</c:v>
                </c:pt>
                <c:pt idx="21">
                  <c:v>5 kHz</c:v>
                </c:pt>
                <c:pt idx="22">
                  <c:v>6.3 kHz</c:v>
                </c:pt>
                <c:pt idx="23">
                  <c:v>8 kHz</c:v>
                </c:pt>
              </c:strCache>
            </c:strRef>
          </c:cat>
          <c:val>
            <c:numRef>
              <c:f>analysis!$D$2:$D$25</c:f>
              <c:numCache>
                <c:formatCode>General</c:formatCode>
                <c:ptCount val="24"/>
                <c:pt idx="0">
                  <c:v>1.52</c:v>
                </c:pt>
                <c:pt idx="1">
                  <c:v>1.75</c:v>
                </c:pt>
                <c:pt idx="2">
                  <c:v>2.0299999999999998</c:v>
                </c:pt>
                <c:pt idx="3">
                  <c:v>2.79</c:v>
                </c:pt>
                <c:pt idx="4">
                  <c:v>3.14</c:v>
                </c:pt>
                <c:pt idx="5">
                  <c:v>3.71</c:v>
                </c:pt>
                <c:pt idx="6">
                  <c:v>3.09</c:v>
                </c:pt>
                <c:pt idx="7">
                  <c:v>2.9099999999999997</c:v>
                </c:pt>
                <c:pt idx="8">
                  <c:v>2.6</c:v>
                </c:pt>
                <c:pt idx="9">
                  <c:v>2.3899999999999997</c:v>
                </c:pt>
                <c:pt idx="10">
                  <c:v>2.52</c:v>
                </c:pt>
                <c:pt idx="11">
                  <c:v>2.5499999999999998</c:v>
                </c:pt>
                <c:pt idx="12">
                  <c:v>2.71</c:v>
                </c:pt>
                <c:pt idx="13">
                  <c:v>2.5299999999999998</c:v>
                </c:pt>
                <c:pt idx="14">
                  <c:v>2.4299999999999997</c:v>
                </c:pt>
                <c:pt idx="15">
                  <c:v>2.54</c:v>
                </c:pt>
                <c:pt idx="16">
                  <c:v>2.56</c:v>
                </c:pt>
                <c:pt idx="17">
                  <c:v>2.4699999999999998</c:v>
                </c:pt>
                <c:pt idx="18">
                  <c:v>2.3699999999999997</c:v>
                </c:pt>
                <c:pt idx="19">
                  <c:v>2.11</c:v>
                </c:pt>
                <c:pt idx="20">
                  <c:v>1.76</c:v>
                </c:pt>
                <c:pt idx="21">
                  <c:v>1.52</c:v>
                </c:pt>
                <c:pt idx="22">
                  <c:v>1.29</c:v>
                </c:pt>
                <c:pt idx="23">
                  <c:v>0.92</c:v>
                </c:pt>
              </c:numCache>
            </c:numRef>
          </c:val>
          <c:extLst xmlns:c16r2="http://schemas.microsoft.com/office/drawing/2015/06/chart">
            <c:ext xmlns:c16="http://schemas.microsoft.com/office/drawing/2014/chart" uri="{C3380CC4-5D6E-409C-BE32-E72D297353CC}">
              <c16:uniqueId val="{00000002-7C8A-4BB5-A4AE-B0BEBA6675BC}"/>
            </c:ext>
          </c:extLst>
        </c:ser>
        <c:marker val="1"/>
        <c:axId val="142776576"/>
        <c:axId val="142942592"/>
      </c:lineChart>
      <c:catAx>
        <c:axId val="142776576"/>
        <c:scaling>
          <c:orientation val="minMax"/>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Frequency</a:t>
                </a:r>
                <a:r>
                  <a:rPr lang="en-GB" baseline="0"/>
                  <a:t> (Hz)</a:t>
                </a:r>
                <a:endParaRPr lang="en-GB"/>
              </a:p>
            </c:rich>
          </c:tx>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crossAx val="142942592"/>
        <c:crosses val="autoZero"/>
        <c:auto val="1"/>
        <c:lblAlgn val="ctr"/>
        <c:lblOffset val="100"/>
      </c:catAx>
      <c:valAx>
        <c:axId val="1429425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RT (sec)</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crossAx val="14277657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lang="en-US"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01594C3CAF97418643921FD54D99F8" ma:contentTypeVersion="0" ma:contentTypeDescription="Create a new document." ma:contentTypeScope="" ma:versionID="d4d5ce730d548657b8a99c622854f61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A2FAC-9EFA-47EA-9CD3-39AC62AB3201}">
  <ds:schemaRefs>
    <ds:schemaRef ds:uri="http://schemas.microsoft.com/sharepoint/v3/contenttype/forms"/>
  </ds:schemaRefs>
</ds:datastoreItem>
</file>

<file path=customXml/itemProps2.xml><?xml version="1.0" encoding="utf-8"?>
<ds:datastoreItem xmlns:ds="http://schemas.openxmlformats.org/officeDocument/2006/customXml" ds:itemID="{F2EE0638-1C05-4E16-A2A8-EB355004C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B2FADF7-538F-4175-B628-FF28C06366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E4DF71-66ED-4C42-81BD-FE7194261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Pages>
  <Words>1980</Words>
  <Characters>9983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SPEECH RESEARCH AT THE UNIVERSITY OF ATLANTIS ##[3 LINES FOR TITLE, SOME MAY BE EMPTY, TITLE STYLE, CENTRED 16 POINT ARIAL BOLD UPPERCASE]</vt:lpstr>
    </vt:vector>
  </TitlesOfParts>
  <Company/>
  <LinksUpToDate>false</LinksUpToDate>
  <CharactersWithSpaces>11940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 RESEARCH AT THE UNIVERSITY OF ATLANTIS ##[3 LINES FOR TITLE, SOME MAY BE EMPTY, TITLE STYLE, CENTRED 16 POINT ARIAL BOLD UPPERCASE]</dc:title>
  <dc:creator>velvetdoug@gmail.com</dc:creator>
  <cp:lastModifiedBy>peter dance</cp:lastModifiedBy>
  <cp:revision>9</cp:revision>
  <cp:lastPrinted>2018-01-19T11:14:00Z</cp:lastPrinted>
  <dcterms:created xsi:type="dcterms:W3CDTF">2019-03-27T19:04:00Z</dcterms:created>
  <dcterms:modified xsi:type="dcterms:W3CDTF">2019-04-02T07:03:00Z</dcterms:modified>
</cp:coreProperties>
</file>