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3CE8" w14:textId="43B3D610" w:rsidR="00F549DA" w:rsidRPr="00F549DA" w:rsidRDefault="00F549DA" w:rsidP="00150BF9">
      <w:pPr>
        <w:jc w:val="center"/>
        <w:rPr>
          <w:rFonts w:cs="Times New Roman"/>
          <w:b/>
          <w:bCs/>
          <w:kern w:val="28"/>
          <w:sz w:val="28"/>
          <w:lang w:eastAsia="en-US"/>
        </w:rPr>
      </w:pPr>
      <w:bookmarkStart w:id="0" w:name="_Toc487817608"/>
      <w:r w:rsidRPr="00F549DA">
        <w:rPr>
          <w:rFonts w:cs="Times New Roman"/>
          <w:b/>
          <w:bCs/>
          <w:kern w:val="28"/>
          <w:sz w:val="28"/>
          <w:lang w:eastAsia="en-US"/>
        </w:rPr>
        <w:t>BENCHMARKING OF SUPERMARKET ENERGY CONSUMPTION</w:t>
      </w:r>
    </w:p>
    <w:p w14:paraId="1C2C56CF" w14:textId="034173E8" w:rsidR="0030675C" w:rsidRPr="00F549DA" w:rsidRDefault="00877B1F" w:rsidP="00150BF9">
      <w:pPr>
        <w:jc w:val="center"/>
        <w:rPr>
          <w:b/>
          <w:kern w:val="28"/>
          <w:sz w:val="28"/>
          <w:szCs w:val="28"/>
        </w:rPr>
      </w:pPr>
      <w:proofErr w:type="gramStart"/>
      <w:r w:rsidRPr="00F549DA">
        <w:rPr>
          <w:sz w:val="28"/>
          <w:szCs w:val="28"/>
        </w:rPr>
        <w:t xml:space="preserve">A </w:t>
      </w:r>
      <w:r w:rsidR="0030675C" w:rsidRPr="00F549DA">
        <w:rPr>
          <w:sz w:val="28"/>
          <w:szCs w:val="28"/>
        </w:rPr>
        <w:t xml:space="preserve">Foster, </w:t>
      </w:r>
      <w:r w:rsidRPr="00F549DA">
        <w:rPr>
          <w:sz w:val="28"/>
          <w:szCs w:val="28"/>
        </w:rPr>
        <w:t xml:space="preserve">J </w:t>
      </w:r>
      <w:r w:rsidR="0030675C" w:rsidRPr="00F549DA">
        <w:rPr>
          <w:sz w:val="28"/>
          <w:szCs w:val="28"/>
        </w:rPr>
        <w:t>Evans</w:t>
      </w:r>
      <w:r w:rsidR="00BD1676">
        <w:rPr>
          <w:sz w:val="28"/>
          <w:szCs w:val="28"/>
        </w:rPr>
        <w:t xml:space="preserve"> and G Maidment.</w:t>
      </w:r>
      <w:proofErr w:type="gramEnd"/>
    </w:p>
    <w:p w14:paraId="6FA9EDEC" w14:textId="35B4738E" w:rsidR="005C584E" w:rsidRPr="00F549DA" w:rsidRDefault="0030675C" w:rsidP="00150BF9">
      <w:pPr>
        <w:pStyle w:val="address"/>
        <w:jc w:val="center"/>
        <w:rPr>
          <w:sz w:val="22"/>
          <w:szCs w:val="22"/>
        </w:rPr>
      </w:pPr>
      <w:r w:rsidRPr="00F549DA">
        <w:rPr>
          <w:sz w:val="22"/>
          <w:szCs w:val="22"/>
        </w:rPr>
        <w:t xml:space="preserve">London South Bank University, Food Processing, North Somerset, Langford, </w:t>
      </w:r>
      <w:r w:rsidR="005C584E" w:rsidRPr="00F549DA">
        <w:rPr>
          <w:sz w:val="22"/>
          <w:szCs w:val="22"/>
        </w:rPr>
        <w:t>UK</w:t>
      </w:r>
      <w:r w:rsidRPr="00F549DA">
        <w:rPr>
          <w:sz w:val="22"/>
          <w:szCs w:val="22"/>
        </w:rPr>
        <w:t xml:space="preserve">, </w:t>
      </w:r>
    </w:p>
    <w:p w14:paraId="6C0B1159" w14:textId="7D1F3489" w:rsidR="0030675C" w:rsidRPr="00F549DA" w:rsidRDefault="006A14D7" w:rsidP="00150BF9">
      <w:pPr>
        <w:pStyle w:val="address"/>
        <w:jc w:val="center"/>
        <w:rPr>
          <w:sz w:val="22"/>
          <w:szCs w:val="22"/>
        </w:rPr>
      </w:pPr>
      <w:hyperlink r:id="rId9" w:history="1">
        <w:r w:rsidR="0030675C" w:rsidRPr="00F549DA">
          <w:rPr>
            <w:rStyle w:val="Hyperlink"/>
            <w:color w:val="auto"/>
            <w:sz w:val="22"/>
            <w:szCs w:val="22"/>
          </w:rPr>
          <w:t>alan.foster@lsbu.ac.uk</w:t>
        </w:r>
      </w:hyperlink>
      <w:r w:rsidR="005C584E" w:rsidRPr="00F549DA">
        <w:rPr>
          <w:sz w:val="22"/>
          <w:szCs w:val="22"/>
        </w:rPr>
        <w:t>,</w:t>
      </w:r>
      <w:r w:rsidR="0030675C" w:rsidRPr="00F549DA">
        <w:rPr>
          <w:sz w:val="22"/>
          <w:szCs w:val="22"/>
        </w:rPr>
        <w:t xml:space="preserve"> </w:t>
      </w:r>
      <w:r w:rsidR="00630D0A" w:rsidRPr="00F549DA">
        <w:rPr>
          <w:sz w:val="22"/>
          <w:szCs w:val="22"/>
        </w:rPr>
        <w:t>Fax: +44</w:t>
      </w:r>
      <w:r w:rsidR="00980581">
        <w:rPr>
          <w:sz w:val="22"/>
          <w:szCs w:val="22"/>
        </w:rPr>
        <w:t xml:space="preserve"> </w:t>
      </w:r>
      <w:r w:rsidR="00630D0A" w:rsidRPr="00F549DA">
        <w:rPr>
          <w:sz w:val="22"/>
          <w:szCs w:val="22"/>
        </w:rPr>
        <w:t>(117) 92892314</w:t>
      </w:r>
    </w:p>
    <w:p w14:paraId="0FF6CE9B" w14:textId="0A60D300" w:rsidR="00DA1BAF" w:rsidRPr="00F549DA" w:rsidRDefault="00DA1BAF" w:rsidP="00DA1BAF">
      <w:pPr>
        <w:pStyle w:val="Heading1"/>
        <w:numPr>
          <w:ilvl w:val="0"/>
          <w:numId w:val="0"/>
        </w:numPr>
        <w:ind w:left="431" w:hanging="431"/>
        <w:rPr>
          <w:szCs w:val="22"/>
        </w:rPr>
      </w:pPr>
      <w:r w:rsidRPr="00F549DA">
        <w:t>ABSTRACT</w:t>
      </w:r>
    </w:p>
    <w:p w14:paraId="723324BD" w14:textId="21E2C9D0" w:rsidR="00F549DA" w:rsidRDefault="00F549DA" w:rsidP="0030675C">
      <w:r w:rsidRPr="00F549DA">
        <w:t xml:space="preserve">Energy consumption </w:t>
      </w:r>
      <w:r w:rsidR="00980581">
        <w:t>data for</w:t>
      </w:r>
      <w:r w:rsidR="00980581" w:rsidRPr="00F549DA">
        <w:t xml:space="preserve"> </w:t>
      </w:r>
      <w:r w:rsidRPr="00F549DA">
        <w:t xml:space="preserve">supermarket stores have been obtained and compared with data from other studies.  Correlations and trends from the data have been </w:t>
      </w:r>
      <w:r w:rsidR="00596F2C">
        <w:t>analysed</w:t>
      </w:r>
      <w:r w:rsidR="00596F2C" w:rsidRPr="00F549DA">
        <w:t xml:space="preserve"> </w:t>
      </w:r>
      <w:r w:rsidRPr="00F549DA">
        <w:t xml:space="preserve">to investigate what influences energy consumption in a retail store.  Energy consumption of the supermarkets </w:t>
      </w:r>
      <w:r w:rsidR="00980581">
        <w:t>wa</w:t>
      </w:r>
      <w:r w:rsidR="00980581" w:rsidRPr="00F549DA">
        <w:t xml:space="preserve">s </w:t>
      </w:r>
      <w:r w:rsidRPr="00F549DA">
        <w:t xml:space="preserve">well correlated with both sales floor and total floor area.  Once floor area was taken into account, there was no difference in energy consumption between different store types.  There was a positive correlation with store age and hours open, however, it was much smaller than </w:t>
      </w:r>
      <w:r w:rsidR="00023C2B">
        <w:t xml:space="preserve">those </w:t>
      </w:r>
      <w:r w:rsidRPr="00F549DA">
        <w:t xml:space="preserve">for floor area.  The mean specific energy consumption </w:t>
      </w:r>
      <w:r w:rsidR="00596F2C">
        <w:t xml:space="preserve">(SEC) </w:t>
      </w:r>
      <w:r w:rsidRPr="00F549DA">
        <w:t xml:space="preserve">of the data set was </w:t>
      </w:r>
      <w:r w:rsidR="001D418F">
        <w:t>566</w:t>
      </w:r>
      <w:r w:rsidR="001D418F" w:rsidRPr="00F549DA">
        <w:t xml:space="preserve"> </w:t>
      </w:r>
      <w:r w:rsidRPr="00F549DA">
        <w:t>kWh</w:t>
      </w:r>
      <w:r>
        <w:t>.</w:t>
      </w:r>
      <w:r w:rsidRPr="00F549DA">
        <w:t>m</w:t>
      </w:r>
      <w:r w:rsidRPr="00F549DA">
        <w:rPr>
          <w:vertAlign w:val="superscript"/>
        </w:rPr>
        <w:t>2</w:t>
      </w:r>
      <w:r>
        <w:t>.year</w:t>
      </w:r>
      <w:r w:rsidRPr="00F549DA">
        <w:rPr>
          <w:vertAlign w:val="superscript"/>
        </w:rPr>
        <w:t>-1</w:t>
      </w:r>
      <w:r w:rsidRPr="00F549DA">
        <w:t xml:space="preserve"> based on electrical energy consumption and sales floor area.  This ro</w:t>
      </w:r>
      <w:r>
        <w:t xml:space="preserve">se </w:t>
      </w:r>
      <w:proofErr w:type="gramStart"/>
      <w:r>
        <w:t>to</w:t>
      </w:r>
      <w:r>
        <w:br/>
      </w:r>
      <w:r w:rsidRPr="00F549DA">
        <w:t>759 kWh</w:t>
      </w:r>
      <w:r>
        <w:t>.</w:t>
      </w:r>
      <w:r w:rsidRPr="00F549DA">
        <w:t>m</w:t>
      </w:r>
      <w:r w:rsidRPr="00F549DA">
        <w:rPr>
          <w:vertAlign w:val="superscript"/>
        </w:rPr>
        <w:t>2</w:t>
      </w:r>
      <w:r>
        <w:t>.year</w:t>
      </w:r>
      <w:r w:rsidRPr="00F549DA">
        <w:rPr>
          <w:vertAlign w:val="superscript"/>
        </w:rPr>
        <w:t>-1</w:t>
      </w:r>
      <w:proofErr w:type="gramEnd"/>
      <w:r w:rsidRPr="00F549DA">
        <w:t xml:space="preserve"> when gas was included.  From other s</w:t>
      </w:r>
      <w:r>
        <w:t xml:space="preserve">tudies the SEC varied from 407 </w:t>
      </w:r>
      <w:r w:rsidRPr="00F549DA">
        <w:t>to 1</w:t>
      </w:r>
      <w:r w:rsidR="00CD3C5C">
        <w:t>7</w:t>
      </w:r>
      <w:r w:rsidRPr="00F549DA">
        <w:t>00 kWh</w:t>
      </w:r>
      <w:r>
        <w:t>.</w:t>
      </w:r>
      <w:r w:rsidRPr="00F549DA">
        <w:t>m</w:t>
      </w:r>
      <w:r w:rsidRPr="00F549DA">
        <w:rPr>
          <w:vertAlign w:val="superscript"/>
        </w:rPr>
        <w:t>2</w:t>
      </w:r>
      <w:r>
        <w:t>.year</w:t>
      </w:r>
      <w:r w:rsidRPr="00F549DA">
        <w:rPr>
          <w:vertAlign w:val="superscript"/>
        </w:rPr>
        <w:t>-1</w:t>
      </w:r>
      <w:r>
        <w:t xml:space="preserve"> </w:t>
      </w:r>
      <w:r w:rsidRPr="00F549DA">
        <w:t>based on electrical energy consumption.</w:t>
      </w:r>
      <w:r>
        <w:t xml:space="preserve">  </w:t>
      </w:r>
    </w:p>
    <w:p w14:paraId="46C79D45" w14:textId="2E36F969" w:rsidR="004D02F6" w:rsidRDefault="0030675C" w:rsidP="00645556">
      <w:r w:rsidRPr="00F549DA">
        <w:t>Key words</w:t>
      </w:r>
      <w:r w:rsidR="00DA1BAF" w:rsidRPr="00F549DA">
        <w:t xml:space="preserve">: </w:t>
      </w:r>
      <w:r w:rsidR="00F549DA">
        <w:t>Benchmarki</w:t>
      </w:r>
      <w:r w:rsidR="00657E84">
        <w:t>ng, supermarket, energy, retail.</w:t>
      </w:r>
    </w:p>
    <w:p w14:paraId="6002785A" w14:textId="13DE568E" w:rsidR="00CA295C" w:rsidRPr="00C31618" w:rsidRDefault="00CA295C" w:rsidP="00657E84">
      <w:pPr>
        <w:pStyle w:val="Heading1"/>
      </w:pPr>
      <w:r w:rsidRPr="00C31618">
        <w:t>INTRODUCTION</w:t>
      </w:r>
    </w:p>
    <w:p w14:paraId="38ED9E54" w14:textId="15A76135" w:rsidR="009A2B30" w:rsidRDefault="00657E84" w:rsidP="00E24B95">
      <w:r w:rsidRPr="00657E84">
        <w:t>In the UK</w:t>
      </w:r>
      <w:r w:rsidR="00921642">
        <w:t>,</w:t>
      </w:r>
      <w:r w:rsidRPr="00657E84">
        <w:t xml:space="preserve"> retail and catering account for 7.7 </w:t>
      </w:r>
      <w:r>
        <w:t>million tonnes of oil equivalent (MTOE) per year</w:t>
      </w:r>
      <w:r w:rsidRPr="00657E84">
        <w:t xml:space="preserve"> or 18 MtCO</w:t>
      </w:r>
      <w:r w:rsidRPr="00657E84">
        <w:rPr>
          <w:vertAlign w:val="subscript"/>
        </w:rPr>
        <w:t>2e</w:t>
      </w:r>
      <w:r w:rsidRPr="00657E84">
        <w:t xml:space="preserve"> emissions</w:t>
      </w:r>
      <w:r>
        <w:t xml:space="preserve"> (</w:t>
      </w:r>
      <w:r w:rsidRPr="00657E84">
        <w:t>Kolokotroni</w:t>
      </w:r>
      <w:r w:rsidR="00864B47">
        <w:t xml:space="preserve"> et al, 2015), whereas, energy consumption </w:t>
      </w:r>
      <w:r w:rsidR="008040F4" w:rsidRPr="00C31618">
        <w:t xml:space="preserve">has been estimated to </w:t>
      </w:r>
      <w:r w:rsidR="009A2B30">
        <w:t xml:space="preserve">be </w:t>
      </w:r>
      <w:r w:rsidR="008040F4" w:rsidRPr="00C31618">
        <w:t xml:space="preserve">around 12.0 </w:t>
      </w:r>
      <w:proofErr w:type="spellStart"/>
      <w:r w:rsidR="008040F4" w:rsidRPr="00C31618">
        <w:t>TWh</w:t>
      </w:r>
      <w:proofErr w:type="spellEnd"/>
      <w:r w:rsidR="008040F4" w:rsidRPr="00C31618">
        <w:t xml:space="preserve"> and approximately 3% of total electrical energy consumption</w:t>
      </w:r>
      <w:r w:rsidR="008040F4">
        <w:t xml:space="preserve"> (Tassou et al, 2011).  The UK supermarket sector is </w:t>
      </w:r>
      <w:r w:rsidR="00FD535B">
        <w:t xml:space="preserve">estimated to be </w:t>
      </w:r>
      <w:r w:rsidR="008040F4">
        <w:t xml:space="preserve">responsible for </w:t>
      </w:r>
      <w:r w:rsidR="00E24B95">
        <w:t>0.9</w:t>
      </w:r>
      <w:r w:rsidR="008040F4">
        <w:t xml:space="preserve">% of </w:t>
      </w:r>
      <w:r w:rsidR="008040F4" w:rsidRPr="008040F4">
        <w:t>UK</w:t>
      </w:r>
      <w:r w:rsidR="008040F4">
        <w:t xml:space="preserve"> </w:t>
      </w:r>
      <w:r w:rsidR="008040F4" w:rsidRPr="008040F4">
        <w:t>greenhouse</w:t>
      </w:r>
      <w:r w:rsidR="008040F4">
        <w:t xml:space="preserve"> </w:t>
      </w:r>
      <w:r w:rsidR="008040F4" w:rsidRPr="008040F4">
        <w:t>gas</w:t>
      </w:r>
      <w:r w:rsidR="008040F4">
        <w:t xml:space="preserve"> </w:t>
      </w:r>
      <w:r w:rsidR="008040F4" w:rsidRPr="008040F4">
        <w:t>emissions</w:t>
      </w:r>
      <w:r w:rsidR="008040F4">
        <w:t xml:space="preserve"> </w:t>
      </w:r>
      <w:r w:rsidR="00E24B95">
        <w:t xml:space="preserve">(through the use of lighting, heating, cold stores and on-shelf refrigeration) </w:t>
      </w:r>
      <w:r w:rsidR="003F7691" w:rsidRPr="003F7691">
        <w:t>(</w:t>
      </w:r>
      <w:r w:rsidR="003F7691" w:rsidRPr="0041027A">
        <w:t>Sustainable Development Commission, 2008</w:t>
      </w:r>
      <w:r w:rsidR="003F7691">
        <w:t>)</w:t>
      </w:r>
      <w:r w:rsidR="003F7691" w:rsidRPr="003F7691">
        <w:t xml:space="preserve"> </w:t>
      </w:r>
      <w:r w:rsidR="008040F4">
        <w:t xml:space="preserve">but it has been estimated that indirectly </w:t>
      </w:r>
      <w:r w:rsidR="00BA1A89">
        <w:t>(</w:t>
      </w:r>
      <w:r w:rsidR="00BA1A89" w:rsidRPr="00BA1A89">
        <w:t>supply</w:t>
      </w:r>
      <w:r w:rsidR="00BA1A89">
        <w:t xml:space="preserve"> </w:t>
      </w:r>
      <w:r w:rsidR="00BA1A89" w:rsidRPr="00BA1A89">
        <w:t>and</w:t>
      </w:r>
      <w:r w:rsidR="00BA1A89">
        <w:t xml:space="preserve"> </w:t>
      </w:r>
      <w:r w:rsidR="00BA1A89" w:rsidRPr="00BA1A89">
        <w:t>value</w:t>
      </w:r>
      <w:r w:rsidR="00BA1A89">
        <w:t xml:space="preserve"> </w:t>
      </w:r>
      <w:r w:rsidR="00BA1A89" w:rsidRPr="00BA1A89">
        <w:t>chains</w:t>
      </w:r>
      <w:r w:rsidR="00BA1A89">
        <w:t>)</w:t>
      </w:r>
      <w:r w:rsidR="00BA1A89" w:rsidRPr="00BA1A89">
        <w:t xml:space="preserve"> </w:t>
      </w:r>
      <w:r w:rsidR="008040F4">
        <w:t xml:space="preserve">it may </w:t>
      </w:r>
      <w:r w:rsidR="00DF209F">
        <w:t xml:space="preserve">have </w:t>
      </w:r>
      <w:r w:rsidR="008040F4">
        <w:t>be</w:t>
      </w:r>
      <w:r w:rsidR="00DF209F">
        <w:t>en</w:t>
      </w:r>
      <w:r w:rsidR="008040F4">
        <w:t xml:space="preserve"> responsible for up to 10% of emissions i</w:t>
      </w:r>
      <w:r w:rsidR="008040F4" w:rsidRPr="008040F4">
        <w:t>n</w:t>
      </w:r>
      <w:r w:rsidR="008040F4">
        <w:t xml:space="preserve"> </w:t>
      </w:r>
      <w:r w:rsidR="008040F4" w:rsidRPr="008040F4">
        <w:t>the</w:t>
      </w:r>
      <w:r w:rsidR="008040F4">
        <w:t xml:space="preserve"> </w:t>
      </w:r>
      <w:r w:rsidR="008040F4" w:rsidRPr="008040F4">
        <w:t>period</w:t>
      </w:r>
      <w:r w:rsidR="008040F4">
        <w:t xml:space="preserve"> </w:t>
      </w:r>
      <w:r w:rsidR="008040F4" w:rsidRPr="008040F4">
        <w:t>between</w:t>
      </w:r>
      <w:r w:rsidR="008040F4">
        <w:t xml:space="preserve"> </w:t>
      </w:r>
      <w:r w:rsidR="008040F4" w:rsidRPr="008040F4">
        <w:t>2000</w:t>
      </w:r>
      <w:r w:rsidR="003F7691">
        <w:t xml:space="preserve"> </w:t>
      </w:r>
      <w:r w:rsidR="008040F4" w:rsidRPr="008040F4">
        <w:t>and</w:t>
      </w:r>
      <w:r w:rsidR="008040F4">
        <w:t xml:space="preserve"> </w:t>
      </w:r>
      <w:r w:rsidR="008040F4" w:rsidRPr="008040F4">
        <w:t>2010</w:t>
      </w:r>
      <w:r w:rsidR="008040F4">
        <w:t xml:space="preserve"> (Sullivan and </w:t>
      </w:r>
      <w:proofErr w:type="spellStart"/>
      <w:r w:rsidR="008040F4">
        <w:t>Gouldson</w:t>
      </w:r>
      <w:proofErr w:type="spellEnd"/>
      <w:r w:rsidR="008040F4">
        <w:t>, 2013</w:t>
      </w:r>
      <w:r w:rsidR="008040F4" w:rsidRPr="008040F4">
        <w:t>)</w:t>
      </w:r>
      <w:r w:rsidR="008040F4">
        <w:t>.</w:t>
      </w:r>
    </w:p>
    <w:p w14:paraId="7F2C0E35" w14:textId="042D2C76" w:rsidR="00E46B97" w:rsidRDefault="00E46B97" w:rsidP="000F42E8">
      <w:r>
        <w:t xml:space="preserve">From the mid-2000s retailers started setting targets to reduce emissions; these targets were based on metrics such as greenhouse gas </w:t>
      </w:r>
      <w:r w:rsidR="00C705F5">
        <w:t xml:space="preserve">emissions </w:t>
      </w:r>
      <w:r>
        <w:t xml:space="preserve">per unit of floor area (Sullivan and </w:t>
      </w:r>
      <w:proofErr w:type="spellStart"/>
      <w:r>
        <w:t>Gouldson</w:t>
      </w:r>
      <w:proofErr w:type="spellEnd"/>
      <w:r>
        <w:t>, 2013</w:t>
      </w:r>
      <w:r w:rsidRPr="008040F4">
        <w:t>)</w:t>
      </w:r>
      <w:r>
        <w:t xml:space="preserve">.  Sullivan and </w:t>
      </w:r>
      <w:proofErr w:type="spellStart"/>
      <w:r>
        <w:t>Gouldson</w:t>
      </w:r>
      <w:proofErr w:type="spellEnd"/>
      <w:r>
        <w:t xml:space="preserve"> showed that the 7 major UK retailers all had </w:t>
      </w:r>
      <w:r w:rsidRPr="00E46B97">
        <w:t>climate change</w:t>
      </w:r>
      <w:r>
        <w:t xml:space="preserve"> </w:t>
      </w:r>
      <w:r w:rsidRPr="00E46B97">
        <w:t>commitments</w:t>
      </w:r>
      <w:r>
        <w:t>.</w:t>
      </w:r>
    </w:p>
    <w:p w14:paraId="532756BA" w14:textId="7A57EAB1" w:rsidR="00642C97" w:rsidRDefault="00E46B97" w:rsidP="00016AC2">
      <w:r w:rsidRPr="00B048C4">
        <w:t xml:space="preserve">There is evidence that UK supermarkets significantly improved their operational efficiency over the period 2000–2010. For example, Sullivan and </w:t>
      </w:r>
      <w:proofErr w:type="spellStart"/>
      <w:r w:rsidRPr="00B048C4">
        <w:t>Gouldson</w:t>
      </w:r>
      <w:proofErr w:type="spellEnd"/>
      <w:r w:rsidRPr="00B048C4">
        <w:t xml:space="preserve"> (2013) show total greenhouse gas emissions relative to a 2007 baseline for six supermarket chains with significantly improved emissions.  The energy intensity improvements were on average between 2.</w:t>
      </w:r>
      <w:r w:rsidR="00F03CF1" w:rsidRPr="00B048C4">
        <w:t>5</w:t>
      </w:r>
      <w:r w:rsidRPr="00B048C4">
        <w:t xml:space="preserve"> and 5.</w:t>
      </w:r>
      <w:r w:rsidR="00F03CF1" w:rsidRPr="00B048C4">
        <w:t>5</w:t>
      </w:r>
      <w:r w:rsidRPr="00B048C4">
        <w:t>% per year</w:t>
      </w:r>
      <w:r w:rsidR="00016AC2" w:rsidRPr="00B048C4">
        <w:t xml:space="preserve"> and over longer periods (i.e. up to 10 years) these companies have consistently achieved annual improvements of between 2 and 3%</w:t>
      </w:r>
      <w:r w:rsidRPr="00B048C4">
        <w:t xml:space="preserve">.  These efficiency gains </w:t>
      </w:r>
      <w:r w:rsidR="00016AC2" w:rsidRPr="00B048C4">
        <w:t xml:space="preserve">were found to </w:t>
      </w:r>
      <w:r w:rsidRPr="00B048C4">
        <w:t xml:space="preserve">often </w:t>
      </w:r>
      <w:r w:rsidR="00016AC2" w:rsidRPr="00B048C4">
        <w:t xml:space="preserve">have been </w:t>
      </w:r>
      <w:r w:rsidRPr="00B048C4">
        <w:t>outstripped by the impacts of business growth</w:t>
      </w:r>
      <w:r w:rsidR="00C705F5">
        <w:t xml:space="preserve"> so overall carbon use was increased.</w:t>
      </w:r>
    </w:p>
    <w:p w14:paraId="3D6C46FB" w14:textId="75B83053" w:rsidR="00B048C4" w:rsidRDefault="00B048C4" w:rsidP="00016AC2">
      <w:r w:rsidRPr="00E54BB4">
        <w:t xml:space="preserve">UK supermarkets have set themselves </w:t>
      </w:r>
      <w:r w:rsidR="00C705F5" w:rsidRPr="00E54BB4">
        <w:t xml:space="preserve">stringent </w:t>
      </w:r>
      <w:r w:rsidRPr="00E54BB4">
        <w:t xml:space="preserve">voluntary targets to further reduce energy intensity, </w:t>
      </w:r>
      <w:r w:rsidR="002919A4" w:rsidRPr="00E54BB4">
        <w:t xml:space="preserve">which </w:t>
      </w:r>
      <w:proofErr w:type="spellStart"/>
      <w:r w:rsidR="002919A4" w:rsidRPr="00E54BB4">
        <w:t>Gouldson</w:t>
      </w:r>
      <w:proofErr w:type="spellEnd"/>
      <w:r w:rsidR="002919A4" w:rsidRPr="00E54BB4">
        <w:t xml:space="preserve"> and Sullivan</w:t>
      </w:r>
      <w:r w:rsidRPr="00E54BB4">
        <w:t xml:space="preserve"> (201</w:t>
      </w:r>
      <w:r w:rsidR="002919A4" w:rsidRPr="00E54BB4">
        <w:t>3</w:t>
      </w:r>
      <w:r w:rsidRPr="00E54BB4">
        <w:t xml:space="preserve">) believe are both credible and align with </w:t>
      </w:r>
      <w:r w:rsidR="00936B47">
        <w:t>policy goals</w:t>
      </w:r>
      <w:r w:rsidRPr="00E54BB4">
        <w:t xml:space="preserve"> set by </w:t>
      </w:r>
      <w:r w:rsidR="00936B47">
        <w:t>national</w:t>
      </w:r>
      <w:r w:rsidRPr="00E54BB4">
        <w:t xml:space="preserve"> </w:t>
      </w:r>
      <w:r w:rsidR="00936B47">
        <w:t>g</w:t>
      </w:r>
      <w:r w:rsidR="002919A4" w:rsidRPr="00E54BB4">
        <w:t>overnment</w:t>
      </w:r>
      <w:r w:rsidR="00936B47">
        <w:t>s</w:t>
      </w:r>
      <w:r w:rsidRPr="00E54BB4">
        <w:t>.</w:t>
      </w:r>
    </w:p>
    <w:p w14:paraId="0436D7E1" w14:textId="1012786F" w:rsidR="00642C97" w:rsidRPr="00E7331D" w:rsidRDefault="00642C97" w:rsidP="00146814">
      <w:r w:rsidRPr="00016AC2">
        <w:t xml:space="preserve">Sullivan and </w:t>
      </w:r>
      <w:proofErr w:type="spellStart"/>
      <w:r w:rsidRPr="00016AC2">
        <w:t>Gouldson</w:t>
      </w:r>
      <w:proofErr w:type="spellEnd"/>
      <w:r w:rsidRPr="00016AC2">
        <w:t xml:space="preserve"> (2013) reported that only 7 out of the 9 </w:t>
      </w:r>
      <w:r w:rsidR="001D7FA7">
        <w:t>major UK supermarkets</w:t>
      </w:r>
      <w:r w:rsidRPr="00016AC2">
        <w:t xml:space="preserve"> were reporting on their environmental performance.</w:t>
      </w:r>
      <w:r w:rsidR="00146814" w:rsidRPr="00016AC2">
        <w:t xml:space="preserve">  </w:t>
      </w:r>
      <w:r w:rsidR="00FD2450" w:rsidRPr="00016AC2">
        <w:t>They also said that there is limited consistency in the information provided on emission sources and on the factors that influence performance, therefore i</w:t>
      </w:r>
      <w:r w:rsidR="00146814" w:rsidRPr="00016AC2">
        <w:t>t</w:t>
      </w:r>
      <w:r w:rsidR="00FD2450" w:rsidRPr="00016AC2">
        <w:t xml:space="preserve"> </w:t>
      </w:r>
      <w:r w:rsidR="00146814" w:rsidRPr="00016AC2">
        <w:t>remains</w:t>
      </w:r>
      <w:r w:rsidR="00FD2450" w:rsidRPr="00016AC2">
        <w:t xml:space="preserve"> </w:t>
      </w:r>
      <w:r w:rsidR="00146814" w:rsidRPr="00016AC2">
        <w:t>difficult to</w:t>
      </w:r>
      <w:r w:rsidR="00FD2450" w:rsidRPr="00016AC2">
        <w:t xml:space="preserve"> </w:t>
      </w:r>
      <w:r w:rsidR="00146814" w:rsidRPr="00016AC2">
        <w:t>make</w:t>
      </w:r>
      <w:r w:rsidR="00FD2450" w:rsidRPr="00016AC2">
        <w:t xml:space="preserve"> a </w:t>
      </w:r>
      <w:r w:rsidR="00146814" w:rsidRPr="00016AC2">
        <w:t>robust</w:t>
      </w:r>
      <w:r w:rsidR="00FD2450" w:rsidRPr="00016AC2">
        <w:t xml:space="preserve"> </w:t>
      </w:r>
      <w:r w:rsidR="00146814" w:rsidRPr="00016AC2">
        <w:t>comparison</w:t>
      </w:r>
      <w:r w:rsidR="00FD2450" w:rsidRPr="00016AC2">
        <w:t xml:space="preserve"> </w:t>
      </w:r>
      <w:r w:rsidR="00146814" w:rsidRPr="00016AC2">
        <w:t>of</w:t>
      </w:r>
      <w:r w:rsidR="00FD2450" w:rsidRPr="00016AC2">
        <w:t xml:space="preserve"> </w:t>
      </w:r>
      <w:r w:rsidR="00146814" w:rsidRPr="00016AC2">
        <w:t>performance</w:t>
      </w:r>
      <w:r w:rsidR="00FD2450" w:rsidRPr="00016AC2">
        <w:t xml:space="preserve"> </w:t>
      </w:r>
      <w:r w:rsidR="00146814" w:rsidRPr="00016AC2">
        <w:t>across</w:t>
      </w:r>
      <w:r w:rsidR="00FD2450" w:rsidRPr="00016AC2">
        <w:t xml:space="preserve"> </w:t>
      </w:r>
      <w:r w:rsidR="00146814" w:rsidRPr="00016AC2">
        <w:t>the</w:t>
      </w:r>
      <w:r w:rsidR="00FD2450" w:rsidRPr="00016AC2">
        <w:t xml:space="preserve"> </w:t>
      </w:r>
      <w:r w:rsidR="00146814" w:rsidRPr="00016AC2">
        <w:t>sector,</w:t>
      </w:r>
      <w:r w:rsidR="00FD2450" w:rsidRPr="00016AC2">
        <w:t xml:space="preserve"> </w:t>
      </w:r>
      <w:r w:rsidR="00146814" w:rsidRPr="00016AC2">
        <w:t>or</w:t>
      </w:r>
      <w:r w:rsidR="00FD2450" w:rsidRPr="00016AC2">
        <w:t xml:space="preserve"> </w:t>
      </w:r>
      <w:r w:rsidR="00146814" w:rsidRPr="00016AC2">
        <w:t>to</w:t>
      </w:r>
      <w:r w:rsidR="00FD2450" w:rsidRPr="00016AC2">
        <w:t xml:space="preserve"> develop </w:t>
      </w:r>
      <w:r w:rsidR="00146814" w:rsidRPr="00016AC2">
        <w:t>a robust</w:t>
      </w:r>
      <w:r w:rsidR="00FD2450" w:rsidRPr="00016AC2">
        <w:t xml:space="preserve"> </w:t>
      </w:r>
      <w:r w:rsidR="00146814" w:rsidRPr="00016AC2">
        <w:t>benchmark</w:t>
      </w:r>
      <w:r w:rsidR="00FD2450" w:rsidRPr="00016AC2">
        <w:t xml:space="preserve"> </w:t>
      </w:r>
      <w:r w:rsidR="00146814" w:rsidRPr="00016AC2">
        <w:t>(or</w:t>
      </w:r>
      <w:r w:rsidR="00FD2450" w:rsidRPr="00016AC2">
        <w:t xml:space="preserve"> </w:t>
      </w:r>
      <w:r w:rsidR="00146814" w:rsidRPr="00016AC2">
        <w:t>ranking)</w:t>
      </w:r>
      <w:r w:rsidR="00FD2450" w:rsidRPr="00016AC2">
        <w:t xml:space="preserve"> </w:t>
      </w:r>
      <w:r w:rsidR="00146814" w:rsidRPr="00016AC2">
        <w:t>of</w:t>
      </w:r>
      <w:r w:rsidR="00FD2450" w:rsidRPr="00016AC2">
        <w:t xml:space="preserve"> </w:t>
      </w:r>
      <w:r w:rsidR="00146814" w:rsidRPr="00016AC2">
        <w:t>performance</w:t>
      </w:r>
      <w:r w:rsidR="00FD2450" w:rsidRPr="00016AC2">
        <w:t>.</w:t>
      </w:r>
    </w:p>
    <w:p w14:paraId="5EEB7972" w14:textId="7BE97DC0" w:rsidR="00275C48" w:rsidRDefault="00275C48" w:rsidP="005D0C7D">
      <w:r>
        <w:t>U</w:t>
      </w:r>
      <w:r w:rsidR="00C31618" w:rsidRPr="00C31618">
        <w:t>ncertainty exist</w:t>
      </w:r>
      <w:r w:rsidR="000F42E8">
        <w:t>s</w:t>
      </w:r>
      <w:r w:rsidR="00C31618" w:rsidRPr="00C31618">
        <w:t xml:space="preserve"> on the average energy</w:t>
      </w:r>
      <w:r>
        <w:t xml:space="preserve"> use intensity of supermarkets, </w:t>
      </w:r>
      <w:r w:rsidR="00302E63">
        <w:t xml:space="preserve">and </w:t>
      </w:r>
      <w:r>
        <w:t xml:space="preserve">this is often </w:t>
      </w:r>
      <w:r w:rsidR="00302E63">
        <w:t xml:space="preserve">exacerbated </w:t>
      </w:r>
      <w:r>
        <w:t xml:space="preserve">by </w:t>
      </w:r>
      <w:r w:rsidR="0073453B">
        <w:t xml:space="preserve">different ways of calculating energy intensity.  Some </w:t>
      </w:r>
      <w:r w:rsidR="00302E63">
        <w:t xml:space="preserve">are based on </w:t>
      </w:r>
      <w:r w:rsidR="0073453B">
        <w:t xml:space="preserve">total energy consumption, </w:t>
      </w:r>
      <w:r w:rsidR="00302E63">
        <w:t xml:space="preserve">while </w:t>
      </w:r>
      <w:r w:rsidR="0073453B">
        <w:t>other</w:t>
      </w:r>
      <w:r w:rsidR="00302E63">
        <w:t>s are only</w:t>
      </w:r>
      <w:r w:rsidR="0073453B">
        <w:t xml:space="preserve"> electrical</w:t>
      </w:r>
      <w:r w:rsidR="00302E63">
        <w:t xml:space="preserve"> consumption</w:t>
      </w:r>
      <w:r w:rsidR="0073453B">
        <w:t xml:space="preserve">, ignoring </w:t>
      </w:r>
      <w:r w:rsidR="00782728">
        <w:t>g</w:t>
      </w:r>
      <w:r w:rsidR="0073453B">
        <w:t xml:space="preserve">as.  </w:t>
      </w:r>
      <w:r w:rsidR="00596F2C">
        <w:t xml:space="preserve">Some studies </w:t>
      </w:r>
      <w:r w:rsidR="0073453B">
        <w:t>div</w:t>
      </w:r>
      <w:r w:rsidR="00596F2C">
        <w:t>id</w:t>
      </w:r>
      <w:r w:rsidR="0073453B">
        <w:t>e</w:t>
      </w:r>
      <w:r w:rsidR="0019654D">
        <w:t xml:space="preserve"> total energy use</w:t>
      </w:r>
      <w:r w:rsidR="0073453B">
        <w:t xml:space="preserve"> by the total floor area and other</w:t>
      </w:r>
      <w:r w:rsidR="00302E63">
        <w:t>s</w:t>
      </w:r>
      <w:r w:rsidR="0073453B">
        <w:t xml:space="preserve"> divide </w:t>
      </w:r>
      <w:r w:rsidR="00596F2C">
        <w:t xml:space="preserve">it </w:t>
      </w:r>
      <w:r w:rsidR="0073453B">
        <w:t xml:space="preserve">by the sales floor area.  Even when these differences are taken into account there is a large </w:t>
      </w:r>
      <w:r w:rsidR="0073453B">
        <w:lastRenderedPageBreak/>
        <w:t xml:space="preserve">variability in the data.  For example </w:t>
      </w:r>
      <w:r w:rsidR="004230E7">
        <w:t>Tassou et al (2011) showed electrical energy over sales floor area of between 770 and 1480 kWh.m</w:t>
      </w:r>
      <w:r w:rsidR="004230E7" w:rsidRPr="004230E7">
        <w:rPr>
          <w:vertAlign w:val="superscript"/>
        </w:rPr>
        <w:t>-2</w:t>
      </w:r>
      <w:r w:rsidR="004230E7">
        <w:t>.year</w:t>
      </w:r>
      <w:r w:rsidR="004230E7" w:rsidRPr="004230E7">
        <w:rPr>
          <w:vertAlign w:val="superscript"/>
        </w:rPr>
        <w:t>-1</w:t>
      </w:r>
      <w:r w:rsidR="004230E7">
        <w:t xml:space="preserve"> from hypermarket to convenience size stores.  </w:t>
      </w:r>
      <w:r w:rsidR="004230E7" w:rsidRPr="004230E7">
        <w:t xml:space="preserve">Van der </w:t>
      </w:r>
      <w:proofErr w:type="spellStart"/>
      <w:r w:rsidR="004230E7" w:rsidRPr="004230E7">
        <w:t>Sluis</w:t>
      </w:r>
      <w:proofErr w:type="spellEnd"/>
      <w:r w:rsidR="004230E7" w:rsidRPr="004230E7">
        <w:t xml:space="preserve"> et al (2015)</w:t>
      </w:r>
      <w:r w:rsidR="004230E7">
        <w:t xml:space="preserve"> showed </w:t>
      </w:r>
      <w:r w:rsidR="00596F2C">
        <w:t xml:space="preserve">specific energy consumption (SEC) values </w:t>
      </w:r>
      <w:r w:rsidR="009775F5">
        <w:t>(</w:t>
      </w:r>
      <w:r w:rsidR="004230E7">
        <w:t xml:space="preserve">total energy </w:t>
      </w:r>
      <w:r w:rsidR="009775F5">
        <w:t>over</w:t>
      </w:r>
      <w:r w:rsidR="00596F2C">
        <w:t xml:space="preserve"> </w:t>
      </w:r>
      <w:r w:rsidR="004230E7">
        <w:t>gross floor area</w:t>
      </w:r>
      <w:r w:rsidR="009775F5">
        <w:t>)</w:t>
      </w:r>
      <w:r w:rsidR="004230E7">
        <w:t xml:space="preserve"> of </w:t>
      </w:r>
      <w:proofErr w:type="gramStart"/>
      <w:r w:rsidR="004230E7">
        <w:t>between</w:t>
      </w:r>
      <w:r w:rsidR="009775F5">
        <w:t xml:space="preserve"> </w:t>
      </w:r>
      <w:r w:rsidR="004230E7">
        <w:t>407 to 800 kWh.m</w:t>
      </w:r>
      <w:r w:rsidR="004230E7" w:rsidRPr="004230E7">
        <w:rPr>
          <w:vertAlign w:val="superscript"/>
        </w:rPr>
        <w:t>-2</w:t>
      </w:r>
      <w:r w:rsidR="004230E7">
        <w:t>.year</w:t>
      </w:r>
      <w:r w:rsidR="004230E7" w:rsidRPr="004230E7">
        <w:rPr>
          <w:vertAlign w:val="superscript"/>
        </w:rPr>
        <w:t>-1</w:t>
      </w:r>
      <w:r w:rsidR="004230E7">
        <w:t xml:space="preserve"> </w:t>
      </w:r>
      <w:r w:rsidR="00596F2C">
        <w:t>(lowest from a</w:t>
      </w:r>
      <w:r w:rsidR="004230E7">
        <w:t xml:space="preserve"> Dutch supermarket chain </w:t>
      </w:r>
      <w:r w:rsidR="00596F2C">
        <w:t xml:space="preserve">and </w:t>
      </w:r>
      <w:r w:rsidR="00302E63">
        <w:t xml:space="preserve">highest </w:t>
      </w:r>
      <w:r w:rsidR="00596F2C">
        <w:t xml:space="preserve">in </w:t>
      </w:r>
      <w:r w:rsidR="004230E7">
        <w:t>Canadian stores</w:t>
      </w:r>
      <w:r w:rsidR="00596F2C">
        <w:t>)</w:t>
      </w:r>
      <w:proofErr w:type="gramEnd"/>
      <w:r w:rsidR="004230E7">
        <w:t>.</w:t>
      </w:r>
      <w:r w:rsidR="005D0C7D">
        <w:t xml:space="preserve">  Even when the difference in calculation of energy intensity is taken into account, the electrical energy intensity in UK supermarkets </w:t>
      </w:r>
      <w:r w:rsidR="009775F5">
        <w:t xml:space="preserve">(Tassou et al, 2011) </w:t>
      </w:r>
      <w:r w:rsidR="005D0C7D">
        <w:t xml:space="preserve">appears to be 2.5 times as high </w:t>
      </w:r>
      <w:r w:rsidR="00302E63">
        <w:t xml:space="preserve">as </w:t>
      </w:r>
      <w:r w:rsidR="005D0C7D">
        <w:t xml:space="preserve">the value in Dutch supermarkets (Van der </w:t>
      </w:r>
      <w:proofErr w:type="spellStart"/>
      <w:r w:rsidR="005D0C7D">
        <w:t>Sluis</w:t>
      </w:r>
      <w:proofErr w:type="spellEnd"/>
      <w:r w:rsidR="005D0C7D">
        <w:t xml:space="preserve"> et al, 2015).</w:t>
      </w:r>
    </w:p>
    <w:p w14:paraId="57417599" w14:textId="7E9BD12A" w:rsidR="005D0C7D" w:rsidRDefault="00C31618" w:rsidP="000F42E8">
      <w:r w:rsidRPr="00C31618">
        <w:t>The disparity between these data sets indicate</w:t>
      </w:r>
      <w:r w:rsidR="00D86EBD">
        <w:t>s</w:t>
      </w:r>
      <w:r w:rsidRPr="00C31618">
        <w:t xml:space="preserve"> that UK supermarkets use considerably more energy than continental supermarkets. </w:t>
      </w:r>
      <w:r w:rsidR="005D0C7D" w:rsidRPr="00C31618">
        <w:t xml:space="preserve">These benchmarks </w:t>
      </w:r>
      <w:r w:rsidR="00596F2C">
        <w:t xml:space="preserve">were </w:t>
      </w:r>
      <w:r w:rsidR="005D0C7D" w:rsidRPr="00C31618">
        <w:t xml:space="preserve">based on data from </w:t>
      </w:r>
      <w:r w:rsidR="005D0C7D">
        <w:t xml:space="preserve">different time periods so </w:t>
      </w:r>
      <w:r w:rsidR="00596F2C">
        <w:t xml:space="preserve">did </w:t>
      </w:r>
      <w:r w:rsidR="005D0C7D">
        <w:t xml:space="preserve">not necessarily </w:t>
      </w:r>
      <w:r w:rsidR="00596F2C">
        <w:t xml:space="preserve">take </w:t>
      </w:r>
      <w:r w:rsidR="005D0C7D">
        <w:t xml:space="preserve">into account changes in practise and energy efficiency.  </w:t>
      </w:r>
    </w:p>
    <w:p w14:paraId="15098532" w14:textId="6079836F" w:rsidR="00351F64" w:rsidRDefault="00923052" w:rsidP="00923052">
      <w:r w:rsidRPr="00657E84">
        <w:t>Kolokotroni</w:t>
      </w:r>
      <w:r>
        <w:t xml:space="preserve"> et al</w:t>
      </w:r>
      <w:r w:rsidR="00596F2C">
        <w:t xml:space="preserve"> (</w:t>
      </w:r>
      <w:r>
        <w:t>2015</w:t>
      </w:r>
      <w:r w:rsidR="00596F2C">
        <w:t>)</w:t>
      </w:r>
      <w:r>
        <w:t xml:space="preserve"> reported on </w:t>
      </w:r>
      <w:r w:rsidRPr="00923052">
        <w:t>examples of low carbon supermarkets and guidelines on how to achieve such buildings</w:t>
      </w:r>
      <w:r>
        <w:t xml:space="preserve">.  </w:t>
      </w:r>
      <w:r w:rsidR="004D02F6">
        <w:t xml:space="preserve">They reported that </w:t>
      </w:r>
      <w:r w:rsidR="004D02F6" w:rsidRPr="004D02F6">
        <w:t>there is potential for significant energy savings w</w:t>
      </w:r>
      <w:r w:rsidR="007B1BF4">
        <w:t>ith attractive financial return</w:t>
      </w:r>
      <w:r w:rsidR="00351F64">
        <w:t>.</w:t>
      </w:r>
    </w:p>
    <w:p w14:paraId="1D05DD7D" w14:textId="6D2B955D" w:rsidR="00923052" w:rsidRDefault="00923052" w:rsidP="00923052">
      <w:r>
        <w:t>Hill et al. (</w:t>
      </w:r>
      <w:r w:rsidRPr="00923052">
        <w:t>2010) summarised l</w:t>
      </w:r>
      <w:r>
        <w:t xml:space="preserve">ow energy design initiatives as; </w:t>
      </w:r>
    </w:p>
    <w:p w14:paraId="464FBA92" w14:textId="050ED257" w:rsidR="00923052" w:rsidRDefault="00923052" w:rsidP="00923052">
      <w:pPr>
        <w:pStyle w:val="ListParagraph"/>
        <w:numPr>
          <w:ilvl w:val="0"/>
          <w:numId w:val="7"/>
        </w:numPr>
      </w:pPr>
      <w:r>
        <w:t>Enhanced utilisation of daylight.</w:t>
      </w:r>
    </w:p>
    <w:p w14:paraId="7BB53BB7" w14:textId="5C9A8882" w:rsidR="00923052" w:rsidRDefault="00923052" w:rsidP="00923052">
      <w:pPr>
        <w:pStyle w:val="ListParagraph"/>
        <w:numPr>
          <w:ilvl w:val="0"/>
          <w:numId w:val="7"/>
        </w:numPr>
      </w:pPr>
      <w:r>
        <w:t>A combination of natural and mechanical ventilation, with heat exchange.</w:t>
      </w:r>
    </w:p>
    <w:p w14:paraId="72C0E306" w14:textId="4F532821" w:rsidR="00923052" w:rsidRDefault="00923052" w:rsidP="00923052">
      <w:pPr>
        <w:pStyle w:val="ListParagraph"/>
        <w:numPr>
          <w:ilvl w:val="0"/>
          <w:numId w:val="7"/>
        </w:numPr>
      </w:pPr>
      <w:r>
        <w:t>Improved refrigeration cabinets, with doors on frozen food cabinets.</w:t>
      </w:r>
    </w:p>
    <w:p w14:paraId="5AF9A581" w14:textId="1D4D25DE" w:rsidR="00923052" w:rsidRDefault="00923052" w:rsidP="00854E77">
      <w:pPr>
        <w:pStyle w:val="ListParagraph"/>
        <w:numPr>
          <w:ilvl w:val="0"/>
          <w:numId w:val="7"/>
        </w:numPr>
      </w:pPr>
      <w:r>
        <w:t>Improved control over lighting and ventilation, and acceptance of a wider range of internal</w:t>
      </w:r>
      <w:r w:rsidR="00854E77">
        <w:t xml:space="preserve"> t</w:t>
      </w:r>
      <w:r w:rsidR="00596F2C">
        <w:t>emperatures</w:t>
      </w:r>
      <w:r>
        <w:t>.</w:t>
      </w:r>
    </w:p>
    <w:p w14:paraId="364F3BBA" w14:textId="421E7128" w:rsidR="00923052" w:rsidRDefault="00923052" w:rsidP="00923052">
      <w:pPr>
        <w:pStyle w:val="ListParagraph"/>
        <w:numPr>
          <w:ilvl w:val="0"/>
          <w:numId w:val="7"/>
        </w:numPr>
      </w:pPr>
      <w:r>
        <w:t>LED display lighting.</w:t>
      </w:r>
    </w:p>
    <w:p w14:paraId="087F0AFA" w14:textId="4A4A5B49" w:rsidR="00923052" w:rsidRDefault="00923052" w:rsidP="00923052">
      <w:pPr>
        <w:pStyle w:val="ListParagraph"/>
        <w:numPr>
          <w:ilvl w:val="0"/>
          <w:numId w:val="7"/>
        </w:numPr>
      </w:pPr>
      <w:r>
        <w:t>Renewable energy sources, such as biomass or wind power.</w:t>
      </w:r>
    </w:p>
    <w:p w14:paraId="77DD897E" w14:textId="7B72B8AA" w:rsidR="007B1BF4" w:rsidRDefault="006A6632" w:rsidP="006A6632">
      <w:r>
        <w:t xml:space="preserve">Applying doors on chilled cabinets is considered to be an important factor in reducing the energy consumption of the refrigeration system.  Lindberg et al (2010) </w:t>
      </w:r>
      <w:r w:rsidR="00CE2A71">
        <w:t xml:space="preserve">carried out laboratory measurements and field measurements in a supermarket on vertical cabinets without and with doors.  </w:t>
      </w:r>
      <w:r>
        <w:t xml:space="preserve">The main conclusion from the supermarket study </w:t>
      </w:r>
      <w:r w:rsidR="00CE2A71">
        <w:t>was</w:t>
      </w:r>
      <w:r>
        <w:t xml:space="preserve"> that the doors on the cabin</w:t>
      </w:r>
      <w:r w:rsidR="00CE2A71">
        <w:t xml:space="preserve">ets reduced the direct electric </w:t>
      </w:r>
      <w:r>
        <w:t>energy use for the refrigeration system (-26 % for a winter climate).</w:t>
      </w:r>
      <w:r w:rsidR="00976D49">
        <w:t xml:space="preserve">  Studies by Schmidt (2007), </w:t>
      </w:r>
      <w:proofErr w:type="spellStart"/>
      <w:r w:rsidR="00976D49">
        <w:t>Faramarzi</w:t>
      </w:r>
      <w:proofErr w:type="spellEnd"/>
      <w:r w:rsidR="00976D49">
        <w:t xml:space="preserve"> et al (</w:t>
      </w:r>
      <w:r w:rsidR="00976D49" w:rsidRPr="00976D49">
        <w:t>2002</w:t>
      </w:r>
      <w:r w:rsidR="00976D49">
        <w:t xml:space="preserve">), </w:t>
      </w:r>
      <w:proofErr w:type="spellStart"/>
      <w:r w:rsidR="00976D49">
        <w:t>Kröger</w:t>
      </w:r>
      <w:proofErr w:type="spellEnd"/>
      <w:r w:rsidR="00976D49">
        <w:t xml:space="preserve"> (2007), Hale et al (</w:t>
      </w:r>
      <w:r w:rsidR="00976D49" w:rsidRPr="00976D49">
        <w:t>2008</w:t>
      </w:r>
      <w:r w:rsidR="00976D49">
        <w:t>), Navigant Consulting (</w:t>
      </w:r>
      <w:r w:rsidR="00976D49" w:rsidRPr="00976D49">
        <w:t>2013</w:t>
      </w:r>
      <w:r w:rsidR="00976D49">
        <w:t>) and KWN (</w:t>
      </w:r>
      <w:r w:rsidR="00976D49" w:rsidRPr="00976D49">
        <w:t>2004</w:t>
      </w:r>
      <w:r w:rsidR="00976D49">
        <w:t>) have shown savings of 50, 68, 70, 80 (reduction in rated capacity), 50-80 and 86% respectively.</w:t>
      </w:r>
    </w:p>
    <w:p w14:paraId="3CB5132E" w14:textId="62C8A944" w:rsidR="00D01995" w:rsidRDefault="00D86EBD" w:rsidP="000F42E8">
      <w:r w:rsidRPr="00C31618">
        <w:t>Th</w:t>
      </w:r>
      <w:r>
        <w:t>is</w:t>
      </w:r>
      <w:r w:rsidRPr="00C31618">
        <w:t xml:space="preserve"> </w:t>
      </w:r>
      <w:r w:rsidR="00D14DB4">
        <w:t>paper analyses recent</w:t>
      </w:r>
      <w:r w:rsidR="00596F2C">
        <w:t>,</w:t>
      </w:r>
      <w:r w:rsidR="00D14DB4">
        <w:t xml:space="preserve"> </w:t>
      </w:r>
      <w:r w:rsidR="00860EC5">
        <w:t>so far unpublished</w:t>
      </w:r>
      <w:r w:rsidR="00596F2C">
        <w:t>,</w:t>
      </w:r>
      <w:r w:rsidR="00860EC5">
        <w:t xml:space="preserve"> </w:t>
      </w:r>
      <w:r w:rsidR="00D14DB4">
        <w:t xml:space="preserve">UK supermarket energy intensities and compares </w:t>
      </w:r>
      <w:r w:rsidR="00DC6DBA">
        <w:t xml:space="preserve">them </w:t>
      </w:r>
      <w:r w:rsidR="00D14DB4">
        <w:t xml:space="preserve">with the </w:t>
      </w:r>
      <w:r w:rsidR="00DC6DBA">
        <w:t xml:space="preserve">previous </w:t>
      </w:r>
      <w:r w:rsidR="00860EC5">
        <w:t xml:space="preserve">published </w:t>
      </w:r>
      <w:r w:rsidR="00D14DB4">
        <w:t>data</w:t>
      </w:r>
      <w:r w:rsidR="00860EC5">
        <w:t xml:space="preserve"> and looks for correlations and trends in the data which help better understand the energy consumption.</w:t>
      </w:r>
    </w:p>
    <w:p w14:paraId="5F79711B" w14:textId="57A8B5BD" w:rsidR="002D0BFA" w:rsidRPr="00860EC5" w:rsidRDefault="002D0BFA" w:rsidP="00C31618">
      <w:pPr>
        <w:pStyle w:val="Heading1"/>
      </w:pPr>
      <w:r w:rsidRPr="00860EC5">
        <w:t>Method</w:t>
      </w:r>
    </w:p>
    <w:p w14:paraId="51C6534F" w14:textId="5E1A2781" w:rsidR="003F6C55" w:rsidRDefault="00860EC5" w:rsidP="00D01995">
      <w:r>
        <w:t>Energy consumption data</w:t>
      </w:r>
      <w:r w:rsidR="00FC4FD4">
        <w:t xml:space="preserve"> </w:t>
      </w:r>
      <w:r w:rsidR="00216C03">
        <w:t xml:space="preserve">for </w:t>
      </w:r>
      <w:r w:rsidR="00FC4FD4">
        <w:t>2015</w:t>
      </w:r>
      <w:r w:rsidR="00216C03">
        <w:t xml:space="preserve"> was analysed</w:t>
      </w:r>
      <w:r w:rsidR="00FC4FD4">
        <w:t xml:space="preserve"> </w:t>
      </w:r>
      <w:r>
        <w:t xml:space="preserve">for </w:t>
      </w:r>
      <w:r w:rsidR="0098376F">
        <w:t>565</w:t>
      </w:r>
      <w:r>
        <w:t xml:space="preserve"> </w:t>
      </w:r>
      <w:r w:rsidR="00D01995">
        <w:t xml:space="preserve">retail (supermarket) </w:t>
      </w:r>
      <w:r>
        <w:t xml:space="preserve">stores </w:t>
      </w:r>
      <w:r w:rsidR="0098376F">
        <w:t>from one retailer in the UK</w:t>
      </w:r>
      <w:r>
        <w:t xml:space="preserve">.  </w:t>
      </w:r>
      <w:r w:rsidR="00D01995">
        <w:t xml:space="preserve">All of the stores considered in the analysis contained refrigerated food.  </w:t>
      </w:r>
      <w:r w:rsidR="003F6C55">
        <w:t>Electrical energy consumption (EE) and total energy consumption (TE)</w:t>
      </w:r>
      <w:r w:rsidR="00216C03">
        <w:t xml:space="preserve"> were included</w:t>
      </w:r>
      <w:r w:rsidR="003F6C55">
        <w:t>, where,</w:t>
      </w:r>
    </w:p>
    <w:p w14:paraId="6DF5FC0C" w14:textId="2D76556E" w:rsidR="00D01995" w:rsidRDefault="003F6C55" w:rsidP="00D01995">
      <w:r>
        <w:t>TE = EE + Gas consumption</w:t>
      </w:r>
    </w:p>
    <w:p w14:paraId="2FB834A1" w14:textId="6B2A74F9" w:rsidR="003F6C55" w:rsidRPr="00860EC5" w:rsidRDefault="003F6C55" w:rsidP="00D01995">
      <w:r>
        <w:t xml:space="preserve">Energy consumption related to both sales floor area (SFA) and total floor area (TFA) </w:t>
      </w:r>
      <w:proofErr w:type="gramStart"/>
      <w:r>
        <w:t>were</w:t>
      </w:r>
      <w:proofErr w:type="gramEnd"/>
      <w:r>
        <w:t xml:space="preserve"> analysed.</w:t>
      </w:r>
    </w:p>
    <w:p w14:paraId="4AC7EBB8" w14:textId="1740F58A" w:rsidR="00D01995" w:rsidRDefault="002C6546" w:rsidP="00860EC5">
      <w:r>
        <w:t>Two specific energy consumption</w:t>
      </w:r>
      <w:r w:rsidR="00D01995">
        <w:t>s (SEC)</w:t>
      </w:r>
      <w:r>
        <w:t xml:space="preserve"> were calculated. </w:t>
      </w:r>
    </w:p>
    <w:p w14:paraId="1CE14DE2" w14:textId="790A6E62" w:rsidR="00D01995" w:rsidRDefault="00D01995" w:rsidP="00860EC5">
      <w:r w:rsidRPr="00431CEB">
        <w:t>SEC</w:t>
      </w:r>
      <w:r w:rsidRPr="00431CEB">
        <w:rPr>
          <w:vertAlign w:val="subscript"/>
        </w:rPr>
        <w:t>T</w:t>
      </w:r>
      <w:r w:rsidR="003F6C55">
        <w:rPr>
          <w:vertAlign w:val="subscript"/>
        </w:rPr>
        <w:t>E</w:t>
      </w:r>
      <w:r w:rsidRPr="00431CEB">
        <w:t>/</w:t>
      </w:r>
      <w:r w:rsidRPr="00431CEB">
        <w:rPr>
          <w:vertAlign w:val="subscript"/>
        </w:rPr>
        <w:t>TF</w:t>
      </w:r>
      <w:r>
        <w:rPr>
          <w:vertAlign w:val="subscript"/>
        </w:rPr>
        <w:t>A</w:t>
      </w:r>
      <w:r>
        <w:t xml:space="preserve"> = </w:t>
      </w:r>
      <w:r w:rsidR="003F6C55">
        <w:t>TE</w:t>
      </w:r>
      <w:r>
        <w:t xml:space="preserve"> / </w:t>
      </w:r>
      <w:r w:rsidR="003F6C55">
        <w:t>TFA</w:t>
      </w:r>
    </w:p>
    <w:p w14:paraId="59AEBBF7" w14:textId="28C33BCF" w:rsidR="00D01995" w:rsidRDefault="00D01995" w:rsidP="00D01995">
      <w:r w:rsidRPr="00431CEB">
        <w:t>SEC</w:t>
      </w:r>
      <w:r w:rsidR="003F6C55">
        <w:t>E</w:t>
      </w:r>
      <w:r>
        <w:rPr>
          <w:vertAlign w:val="subscript"/>
        </w:rPr>
        <w:t>E</w:t>
      </w:r>
      <w:r w:rsidRPr="00431CEB">
        <w:t>/</w:t>
      </w:r>
      <w:r>
        <w:rPr>
          <w:vertAlign w:val="subscript"/>
        </w:rPr>
        <w:t>S</w:t>
      </w:r>
      <w:r w:rsidRPr="00431CEB">
        <w:rPr>
          <w:vertAlign w:val="subscript"/>
        </w:rPr>
        <w:t>F</w:t>
      </w:r>
      <w:r>
        <w:rPr>
          <w:vertAlign w:val="subscript"/>
        </w:rPr>
        <w:t xml:space="preserve">A </w:t>
      </w:r>
      <w:r>
        <w:t xml:space="preserve">= </w:t>
      </w:r>
      <w:r w:rsidR="003F6C55">
        <w:t>EE</w:t>
      </w:r>
      <w:r>
        <w:t xml:space="preserve"> / </w:t>
      </w:r>
      <w:r w:rsidR="003F6C55">
        <w:t>SFA</w:t>
      </w:r>
    </w:p>
    <w:p w14:paraId="7B7AF8F1" w14:textId="2C6A69E3" w:rsidR="00D01995" w:rsidRDefault="00D01995" w:rsidP="00D01995">
      <w:r>
        <w:t>These two SECs were found in the literature and therefore made comparison</w:t>
      </w:r>
      <w:r w:rsidR="00216C03" w:rsidRPr="00216C03">
        <w:t xml:space="preserve"> </w:t>
      </w:r>
      <w:r w:rsidR="00216C03">
        <w:t>easier</w:t>
      </w:r>
      <w:r>
        <w:t>.</w:t>
      </w:r>
    </w:p>
    <w:p w14:paraId="44069D7A" w14:textId="36443796" w:rsidR="00A910B9" w:rsidRDefault="002C6546" w:rsidP="00860EC5">
      <w:proofErr w:type="gramStart"/>
      <w:r>
        <w:t xml:space="preserve">Effect of store age and opening hours on specific energy consumption </w:t>
      </w:r>
      <w:r w:rsidR="00216C03">
        <w:t>were</w:t>
      </w:r>
      <w:proofErr w:type="gramEnd"/>
      <w:r w:rsidR="00216C03">
        <w:t xml:space="preserve"> </w:t>
      </w:r>
      <w:r>
        <w:t xml:space="preserve">assessed </w:t>
      </w:r>
      <w:r w:rsidR="00D01995">
        <w:t xml:space="preserve">to see if </w:t>
      </w:r>
      <w:r w:rsidR="00216C03">
        <w:t xml:space="preserve">they </w:t>
      </w:r>
      <w:r w:rsidR="00D01995">
        <w:t>had an impact on SEC.</w:t>
      </w:r>
    </w:p>
    <w:p w14:paraId="63EEFE9D" w14:textId="721547E9" w:rsidR="00D01995" w:rsidRDefault="00D01995" w:rsidP="00860EC5">
      <w:r>
        <w:t xml:space="preserve">All of the stores had sub-metering of both the electrical and gas energy consumption.  This </w:t>
      </w:r>
      <w:r w:rsidR="00216C03">
        <w:t>sub-</w:t>
      </w:r>
      <w:r>
        <w:t>metering was analysed to investigate reasons for differences between this and data in the literature.</w:t>
      </w:r>
    </w:p>
    <w:p w14:paraId="4856FE8F" w14:textId="3CD83038" w:rsidR="00CD1EFD" w:rsidRDefault="007F1BC7" w:rsidP="001E5449">
      <w:pPr>
        <w:pStyle w:val="Heading1"/>
      </w:pPr>
      <w:r w:rsidRPr="001E5449">
        <w:lastRenderedPageBreak/>
        <w:t>Results</w:t>
      </w:r>
      <w:bookmarkEnd w:id="0"/>
    </w:p>
    <w:p w14:paraId="17527851" w14:textId="51DE848E" w:rsidR="00A330DE" w:rsidRPr="00A330DE" w:rsidRDefault="00A330DE" w:rsidP="00A330DE">
      <w:pPr>
        <w:pStyle w:val="Heading2"/>
      </w:pPr>
      <w:r>
        <w:t>SEC</w:t>
      </w:r>
    </w:p>
    <w:p w14:paraId="769180FF" w14:textId="5A5B568B" w:rsidR="001E5449" w:rsidRDefault="001E5449" w:rsidP="001E5449">
      <w:r w:rsidRPr="00431CEB">
        <w:fldChar w:fldCharType="begin"/>
      </w:r>
      <w:r w:rsidRPr="00431CEB">
        <w:instrText xml:space="preserve"> REF _Ref468365123 \h </w:instrText>
      </w:r>
      <w:r w:rsidR="00431CEB">
        <w:instrText xml:space="preserve"> \* MERGEFORMAT </w:instrText>
      </w:r>
      <w:r w:rsidRPr="00431CEB">
        <w:fldChar w:fldCharType="separate"/>
      </w:r>
      <w:r w:rsidRPr="00431CEB">
        <w:t xml:space="preserve">Figure </w:t>
      </w:r>
      <w:r w:rsidRPr="00431CEB">
        <w:rPr>
          <w:noProof/>
        </w:rPr>
        <w:t>1</w:t>
      </w:r>
      <w:r w:rsidRPr="00431CEB">
        <w:fldChar w:fldCharType="end"/>
      </w:r>
      <w:r w:rsidRPr="00431CEB">
        <w:t xml:space="preserve"> shows </w:t>
      </w:r>
      <w:r w:rsidR="00774A4C">
        <w:t>TE</w:t>
      </w:r>
      <w:r w:rsidR="00D01995">
        <w:t xml:space="preserve"> plotted against </w:t>
      </w:r>
      <w:r w:rsidR="00530705">
        <w:t>TFA</w:t>
      </w:r>
      <w:r w:rsidR="00D01995">
        <w:t xml:space="preserve"> (left) </w:t>
      </w:r>
      <w:r w:rsidR="00530705">
        <w:t xml:space="preserve">and </w:t>
      </w:r>
      <w:r w:rsidR="0098376F" w:rsidRPr="00431CEB">
        <w:t>SEC</w:t>
      </w:r>
      <w:r w:rsidR="0098376F" w:rsidRPr="00431CEB">
        <w:rPr>
          <w:vertAlign w:val="subscript"/>
        </w:rPr>
        <w:t>T</w:t>
      </w:r>
      <w:r w:rsidR="0098376F" w:rsidRPr="00431CEB">
        <w:t>/</w:t>
      </w:r>
      <w:r w:rsidR="00091006" w:rsidRPr="00431CEB">
        <w:rPr>
          <w:vertAlign w:val="subscript"/>
        </w:rPr>
        <w:t>TF</w:t>
      </w:r>
      <w:r w:rsidR="00431CEB">
        <w:rPr>
          <w:vertAlign w:val="subscript"/>
        </w:rPr>
        <w:t>A</w:t>
      </w:r>
      <w:r w:rsidR="00D01995">
        <w:t xml:space="preserve"> against </w:t>
      </w:r>
      <w:r w:rsidR="00530705">
        <w:t>TFA for</w:t>
      </w:r>
      <w:r w:rsidR="00D01995">
        <w:t xml:space="preserve"> </w:t>
      </w:r>
      <w:r w:rsidR="00CE4A96">
        <w:t xml:space="preserve">the </w:t>
      </w:r>
      <w:r w:rsidR="00D01995">
        <w:t>553 stores</w:t>
      </w:r>
      <w:r w:rsidR="00CE4A96">
        <w:t xml:space="preserve"> which contained GFA data</w:t>
      </w:r>
      <w:r w:rsidR="00D01995">
        <w:t xml:space="preserve">. </w:t>
      </w:r>
      <w:r w:rsidR="00530705">
        <w:t xml:space="preserve"> Linear regression gave the following </w:t>
      </w:r>
    </w:p>
    <w:p w14:paraId="0A2D921D" w14:textId="262EF5BA" w:rsidR="00530705" w:rsidRDefault="00530705" w:rsidP="00530705">
      <w:r>
        <w:t>TE = 0.372</w:t>
      </w:r>
      <w:r>
        <w:rPr>
          <w:rFonts w:cs="Times New Roman"/>
        </w:rPr>
        <w:t>±</w:t>
      </w:r>
      <w:r>
        <w:t>0.006 * TFA (m</w:t>
      </w:r>
      <w:r w:rsidRPr="005A5FB7">
        <w:rPr>
          <w:vertAlign w:val="superscript"/>
        </w:rPr>
        <w:t>2</w:t>
      </w:r>
      <w:r>
        <w:t>) + 300</w:t>
      </w:r>
      <w:r>
        <w:rPr>
          <w:rFonts w:cs="Times New Roman"/>
        </w:rPr>
        <w:t>±</w:t>
      </w:r>
      <w:r>
        <w:t>43 MWh.year</w:t>
      </w:r>
      <w:r w:rsidRPr="005A5FB7">
        <w:rPr>
          <w:vertAlign w:val="superscript"/>
        </w:rPr>
        <w:t>-1</w:t>
      </w:r>
      <w:r>
        <w:t xml:space="preserve"> (R</w:t>
      </w:r>
      <w:r w:rsidRPr="00DC34AB">
        <w:rPr>
          <w:vertAlign w:val="superscript"/>
        </w:rPr>
        <w:t>2</w:t>
      </w:r>
      <w:r>
        <w:t xml:space="preserve"> = 0.868)</w:t>
      </w:r>
      <w:r w:rsidR="006047E1">
        <w:t xml:space="preserve"> </w:t>
      </w:r>
      <w:r>
        <w:rPr>
          <w:rFonts w:cs="Times New Roman"/>
        </w:rPr>
        <w:t>±</w:t>
      </w:r>
      <w:r>
        <w:t xml:space="preserve"> is to one standard deviation</w:t>
      </w:r>
      <w:r w:rsidR="006047E1">
        <w:t xml:space="preserve"> (SD).</w:t>
      </w:r>
    </w:p>
    <w:p w14:paraId="095EBD84" w14:textId="3574AE5B" w:rsidR="00774A4C" w:rsidRDefault="006047E1" w:rsidP="00530705">
      <w:r w:rsidRPr="00431CEB">
        <w:t>SEC</w:t>
      </w:r>
      <w:r w:rsidRPr="00431CEB">
        <w:rPr>
          <w:vertAlign w:val="subscript"/>
        </w:rPr>
        <w:t>T</w:t>
      </w:r>
      <w:r w:rsidRPr="00431CEB">
        <w:t>/</w:t>
      </w:r>
      <w:r w:rsidRPr="00431CEB">
        <w:rPr>
          <w:vertAlign w:val="subscript"/>
        </w:rPr>
        <w:t>TF</w:t>
      </w:r>
      <w:r>
        <w:rPr>
          <w:vertAlign w:val="subscript"/>
        </w:rPr>
        <w:t>A</w:t>
      </w:r>
      <w:r>
        <w:t xml:space="preserve"> </w:t>
      </w:r>
      <w:r w:rsidR="0092276C">
        <w:t>was found</w:t>
      </w:r>
      <w:r w:rsidR="00774A4C">
        <w:t xml:space="preserve"> to decrease slightly with TFA.  </w:t>
      </w:r>
    </w:p>
    <w:p w14:paraId="50129CAA" w14:textId="77777777" w:rsidR="00530705" w:rsidRPr="00431CEB" w:rsidRDefault="00530705" w:rsidP="001E5449"/>
    <w:p w14:paraId="1A162D07" w14:textId="4CDC6739" w:rsidR="001E5449" w:rsidRDefault="003E3830" w:rsidP="00091006">
      <w:pPr>
        <w:jc w:val="center"/>
      </w:pPr>
      <w:r w:rsidRPr="003E3830">
        <w:rPr>
          <w:noProof/>
          <w:lang w:eastAsia="en-GB"/>
        </w:rPr>
        <w:drawing>
          <wp:inline distT="0" distB="0" distL="0" distR="0" wp14:anchorId="123C25F4" wp14:editId="1F683F46">
            <wp:extent cx="2790000" cy="18216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90000" cy="1821600"/>
                    </a:xfrm>
                    <a:prstGeom prst="rect">
                      <a:avLst/>
                    </a:prstGeom>
                  </pic:spPr>
                </pic:pic>
              </a:graphicData>
            </a:graphic>
          </wp:inline>
        </w:drawing>
      </w:r>
      <w:r w:rsidR="00766346">
        <w:t xml:space="preserve"> </w:t>
      </w:r>
      <w:r w:rsidR="004A1A45" w:rsidRPr="004A1A45">
        <w:rPr>
          <w:noProof/>
          <w:lang w:eastAsia="en-GB"/>
        </w:rPr>
        <w:drawing>
          <wp:inline distT="0" distB="0" distL="0" distR="0" wp14:anchorId="3E70D431" wp14:editId="70238304">
            <wp:extent cx="2790000" cy="182160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90000" cy="1821600"/>
                    </a:xfrm>
                    <a:prstGeom prst="rect">
                      <a:avLst/>
                    </a:prstGeom>
                  </pic:spPr>
                </pic:pic>
              </a:graphicData>
            </a:graphic>
          </wp:inline>
        </w:drawing>
      </w:r>
    </w:p>
    <w:p w14:paraId="5FCA2AED" w14:textId="38516B40" w:rsidR="001E5449" w:rsidRDefault="001E5449" w:rsidP="00091006">
      <w:pPr>
        <w:pStyle w:val="Caption"/>
        <w:jc w:val="center"/>
      </w:pPr>
      <w:bookmarkStart w:id="1" w:name="_Ref468365123"/>
      <w:proofErr w:type="gramStart"/>
      <w:r>
        <w:t xml:space="preserve">Figure </w:t>
      </w:r>
      <w:r w:rsidR="006A14D7">
        <w:fldChar w:fldCharType="begin"/>
      </w:r>
      <w:r w:rsidR="006A14D7">
        <w:instrText xml:space="preserve"> SEQ Figure \* ARABIC </w:instrText>
      </w:r>
      <w:r w:rsidR="006A14D7">
        <w:fldChar w:fldCharType="separate"/>
      </w:r>
      <w:r w:rsidR="00BB6C02">
        <w:rPr>
          <w:noProof/>
        </w:rPr>
        <w:t>1</w:t>
      </w:r>
      <w:r w:rsidR="006A14D7">
        <w:rPr>
          <w:noProof/>
        </w:rPr>
        <w:fldChar w:fldCharType="end"/>
      </w:r>
      <w:bookmarkEnd w:id="1"/>
      <w:r>
        <w:t>.</w:t>
      </w:r>
      <w:proofErr w:type="gramEnd"/>
      <w:r>
        <w:t xml:space="preserve">  Total energy vs </w:t>
      </w:r>
      <w:r w:rsidR="00091006">
        <w:t>T</w:t>
      </w:r>
      <w:r>
        <w:t>FA.</w:t>
      </w:r>
    </w:p>
    <w:p w14:paraId="56D2ADE0" w14:textId="7D13F83F" w:rsidR="00774A4C" w:rsidRDefault="005012DB" w:rsidP="00091006">
      <w:r>
        <w:fldChar w:fldCharType="begin"/>
      </w:r>
      <w:r>
        <w:instrText xml:space="preserve"> REF _Ref500323558 \h </w:instrText>
      </w:r>
      <w:r>
        <w:fldChar w:fldCharType="separate"/>
      </w:r>
      <w:r>
        <w:t xml:space="preserve">Figure </w:t>
      </w:r>
      <w:r>
        <w:rPr>
          <w:noProof/>
        </w:rPr>
        <w:t>2</w:t>
      </w:r>
      <w:r>
        <w:fldChar w:fldCharType="end"/>
      </w:r>
      <w:r w:rsidR="00091006">
        <w:t xml:space="preserve"> </w:t>
      </w:r>
      <w:r w:rsidR="00774A4C" w:rsidRPr="00431CEB">
        <w:t xml:space="preserve">shows </w:t>
      </w:r>
      <w:r w:rsidR="00774A4C">
        <w:t xml:space="preserve">EE plotted against SFA (left) and </w:t>
      </w:r>
      <w:r w:rsidR="00774A4C" w:rsidRPr="00431CEB">
        <w:t>SEC</w:t>
      </w:r>
      <w:r w:rsidR="00774A4C">
        <w:rPr>
          <w:vertAlign w:val="subscript"/>
        </w:rPr>
        <w:t>EE</w:t>
      </w:r>
      <w:r w:rsidR="00774A4C" w:rsidRPr="00431CEB">
        <w:t>/</w:t>
      </w:r>
      <w:r w:rsidR="00774A4C">
        <w:rPr>
          <w:vertAlign w:val="subscript"/>
        </w:rPr>
        <w:t>S</w:t>
      </w:r>
      <w:r w:rsidR="00774A4C" w:rsidRPr="00431CEB">
        <w:rPr>
          <w:vertAlign w:val="subscript"/>
        </w:rPr>
        <w:t>F</w:t>
      </w:r>
      <w:r w:rsidR="00774A4C">
        <w:rPr>
          <w:vertAlign w:val="subscript"/>
        </w:rPr>
        <w:t>A</w:t>
      </w:r>
      <w:r w:rsidR="00774A4C">
        <w:t xml:space="preserve"> against SFA for 557 stores</w:t>
      </w:r>
      <w:r w:rsidR="00CE4A96">
        <w:t xml:space="preserve"> which contained SFA data</w:t>
      </w:r>
      <w:r w:rsidR="00774A4C">
        <w:t xml:space="preserve">.  A slightly better correlation was given </w:t>
      </w:r>
      <w:r w:rsidR="0092276C">
        <w:t xml:space="preserve">than </w:t>
      </w:r>
      <w:r w:rsidR="00774A4C">
        <w:t>for TE plotted against TFA.  Linear regression gave the following</w:t>
      </w:r>
    </w:p>
    <w:p w14:paraId="2686A8B3" w14:textId="5174AAE4" w:rsidR="00774A4C" w:rsidRDefault="00774A4C" w:rsidP="00091006">
      <w:r>
        <w:t>Electrical energy = 0.515</w:t>
      </w:r>
      <w:r>
        <w:rPr>
          <w:rFonts w:cs="Times New Roman"/>
        </w:rPr>
        <w:t>±</w:t>
      </w:r>
      <w:r>
        <w:t>0.007 * SFA (m</w:t>
      </w:r>
      <w:r w:rsidRPr="005A5FB7">
        <w:rPr>
          <w:vertAlign w:val="superscript"/>
        </w:rPr>
        <w:t>2</w:t>
      </w:r>
      <w:r>
        <w:t>) + 147</w:t>
      </w:r>
      <w:r>
        <w:rPr>
          <w:rFonts w:cs="Times New Roman"/>
        </w:rPr>
        <w:t>±</w:t>
      </w:r>
      <w:r>
        <w:t>28 MWh.year</w:t>
      </w:r>
      <w:r w:rsidRPr="005A5FB7">
        <w:rPr>
          <w:vertAlign w:val="superscript"/>
        </w:rPr>
        <w:t>-1</w:t>
      </w:r>
      <w:r>
        <w:t xml:space="preserve"> (R</w:t>
      </w:r>
      <w:r w:rsidRPr="00DC34AB">
        <w:rPr>
          <w:vertAlign w:val="superscript"/>
        </w:rPr>
        <w:t>2</w:t>
      </w:r>
      <w:r>
        <w:t xml:space="preserve"> = 0.903) </w:t>
      </w:r>
      <w:r>
        <w:rPr>
          <w:rFonts w:cs="Times New Roman"/>
        </w:rPr>
        <w:t>±</w:t>
      </w:r>
      <w:r>
        <w:t xml:space="preserve"> is to one standard deviation (SD).</w:t>
      </w:r>
    </w:p>
    <w:p w14:paraId="56F16D59" w14:textId="41D86674" w:rsidR="00774A4C" w:rsidRDefault="00774A4C" w:rsidP="00774A4C">
      <w:r w:rsidRPr="00431CEB">
        <w:t>SEC</w:t>
      </w:r>
      <w:r>
        <w:rPr>
          <w:vertAlign w:val="subscript"/>
        </w:rPr>
        <w:t>EE</w:t>
      </w:r>
      <w:r w:rsidRPr="00431CEB">
        <w:t>/</w:t>
      </w:r>
      <w:r>
        <w:rPr>
          <w:vertAlign w:val="subscript"/>
        </w:rPr>
        <w:t>S</w:t>
      </w:r>
      <w:r w:rsidRPr="00431CEB">
        <w:rPr>
          <w:vertAlign w:val="subscript"/>
        </w:rPr>
        <w:t>F</w:t>
      </w:r>
      <w:r>
        <w:rPr>
          <w:vertAlign w:val="subscript"/>
        </w:rPr>
        <w:t>A</w:t>
      </w:r>
      <w:r>
        <w:t xml:space="preserve"> </w:t>
      </w:r>
      <w:r w:rsidR="0092276C">
        <w:t xml:space="preserve">was </w:t>
      </w:r>
      <w:r>
        <w:t xml:space="preserve">also </w:t>
      </w:r>
      <w:r w:rsidR="0092276C">
        <w:t xml:space="preserve">found </w:t>
      </w:r>
      <w:r>
        <w:t xml:space="preserve">to decrease slightly with TFA.  </w:t>
      </w:r>
    </w:p>
    <w:p w14:paraId="1DE739BD" w14:textId="01205FA1" w:rsidR="004B129C" w:rsidRDefault="004B129C" w:rsidP="00774A4C">
      <w:r>
        <w:t xml:space="preserve">Although most of the stores were close to the best fit line, there were some results which deviated </w:t>
      </w:r>
      <w:r w:rsidR="00596F2C">
        <w:t>considerably</w:t>
      </w:r>
      <w:r>
        <w:t xml:space="preserve">.  Further analysis pointed to this being more </w:t>
      </w:r>
      <w:r w:rsidR="00596F2C">
        <w:t>related to</w:t>
      </w:r>
      <w:r>
        <w:t xml:space="preserve"> inaccurate placing of the </w:t>
      </w:r>
      <w:r w:rsidR="0092276C">
        <w:t>sub-</w:t>
      </w:r>
      <w:r>
        <w:t>meters and high levels of un-</w:t>
      </w:r>
      <w:r w:rsidR="0092276C">
        <w:t>sub-</w:t>
      </w:r>
      <w:r w:rsidR="00596F2C">
        <w:t>metered</w:t>
      </w:r>
      <w:r>
        <w:t xml:space="preserve"> energy </w:t>
      </w:r>
      <w:r w:rsidR="00596F2C">
        <w:t xml:space="preserve">rather </w:t>
      </w:r>
      <w:r>
        <w:t>than particular characteristics of the stores.</w:t>
      </w:r>
    </w:p>
    <w:p w14:paraId="733B1B49" w14:textId="77777777" w:rsidR="00091006" w:rsidRDefault="00091006" w:rsidP="00091006">
      <w:pPr>
        <w:rPr>
          <w:lang w:eastAsia="en-US"/>
        </w:rPr>
      </w:pPr>
    </w:p>
    <w:p w14:paraId="25804A0B" w14:textId="585A54F3" w:rsidR="00091006" w:rsidRDefault="003E3830" w:rsidP="00091006">
      <w:pPr>
        <w:jc w:val="center"/>
        <w:rPr>
          <w:lang w:eastAsia="en-US"/>
        </w:rPr>
      </w:pPr>
      <w:r w:rsidRPr="003E3830">
        <w:rPr>
          <w:noProof/>
          <w:lang w:eastAsia="en-GB"/>
        </w:rPr>
        <w:drawing>
          <wp:inline distT="0" distB="0" distL="0" distR="0" wp14:anchorId="3DFD8A25" wp14:editId="7B059A5A">
            <wp:extent cx="2790000" cy="182160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90000" cy="1821600"/>
                    </a:xfrm>
                    <a:prstGeom prst="rect">
                      <a:avLst/>
                    </a:prstGeom>
                  </pic:spPr>
                </pic:pic>
              </a:graphicData>
            </a:graphic>
          </wp:inline>
        </w:drawing>
      </w:r>
      <w:r w:rsidR="00E83169">
        <w:rPr>
          <w:lang w:eastAsia="en-US"/>
        </w:rPr>
        <w:t xml:space="preserve"> </w:t>
      </w:r>
      <w:r w:rsidR="004A1A45" w:rsidRPr="004A1A45">
        <w:rPr>
          <w:noProof/>
          <w:lang w:eastAsia="en-GB"/>
        </w:rPr>
        <w:drawing>
          <wp:inline distT="0" distB="0" distL="0" distR="0" wp14:anchorId="1C79C2E0" wp14:editId="5751DE15">
            <wp:extent cx="2790000" cy="18216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90000" cy="1821600"/>
                    </a:xfrm>
                    <a:prstGeom prst="rect">
                      <a:avLst/>
                    </a:prstGeom>
                  </pic:spPr>
                </pic:pic>
              </a:graphicData>
            </a:graphic>
          </wp:inline>
        </w:drawing>
      </w:r>
    </w:p>
    <w:p w14:paraId="738D01BC" w14:textId="03888D66" w:rsidR="00154D97" w:rsidRDefault="005012DB" w:rsidP="00154D97">
      <w:pPr>
        <w:pStyle w:val="Caption"/>
      </w:pPr>
      <w:bookmarkStart w:id="2" w:name="_Ref500323558"/>
      <w:proofErr w:type="gramStart"/>
      <w:r>
        <w:t xml:space="preserve">Figure </w:t>
      </w:r>
      <w:r w:rsidR="006A14D7">
        <w:fldChar w:fldCharType="begin"/>
      </w:r>
      <w:r w:rsidR="006A14D7">
        <w:instrText xml:space="preserve"> SEQ Figure \* ARABIC </w:instrText>
      </w:r>
      <w:r w:rsidR="006A14D7">
        <w:fldChar w:fldCharType="separate"/>
      </w:r>
      <w:r w:rsidR="00BB6C02">
        <w:rPr>
          <w:noProof/>
        </w:rPr>
        <w:t>2</w:t>
      </w:r>
      <w:r w:rsidR="006A14D7">
        <w:rPr>
          <w:noProof/>
        </w:rPr>
        <w:fldChar w:fldCharType="end"/>
      </w:r>
      <w:bookmarkEnd w:id="2"/>
      <w:r w:rsidR="00091006">
        <w:t>.</w:t>
      </w:r>
      <w:proofErr w:type="gramEnd"/>
      <w:r w:rsidR="00091006">
        <w:t xml:space="preserve">  </w:t>
      </w:r>
      <w:proofErr w:type="gramStart"/>
      <w:r w:rsidR="00091006">
        <w:t>Electrical energy vs SFA.</w:t>
      </w:r>
      <w:proofErr w:type="gramEnd"/>
      <w:r w:rsidR="00154D97">
        <w:br w:type="page"/>
      </w:r>
    </w:p>
    <w:p w14:paraId="4C79B415" w14:textId="7274527A" w:rsidR="00014E99" w:rsidRDefault="00774A4C" w:rsidP="00091006">
      <w:pPr>
        <w:rPr>
          <w:lang w:eastAsia="en-US"/>
        </w:rPr>
      </w:pPr>
      <w:r>
        <w:rPr>
          <w:lang w:eastAsia="en-US"/>
        </w:rPr>
        <w:lastRenderedPageBreak/>
        <w:fldChar w:fldCharType="begin"/>
      </w:r>
      <w:r>
        <w:rPr>
          <w:lang w:eastAsia="en-US"/>
        </w:rPr>
        <w:instrText xml:space="preserve"> REF _Ref500752397 \h </w:instrText>
      </w:r>
      <w:r>
        <w:rPr>
          <w:lang w:eastAsia="en-US"/>
        </w:rPr>
      </w:r>
      <w:r>
        <w:rPr>
          <w:lang w:eastAsia="en-US"/>
        </w:rPr>
        <w:fldChar w:fldCharType="separate"/>
      </w:r>
      <w:r>
        <w:t xml:space="preserve">Table </w:t>
      </w:r>
      <w:r>
        <w:rPr>
          <w:noProof/>
        </w:rPr>
        <w:t>1</w:t>
      </w:r>
      <w:r>
        <w:rPr>
          <w:lang w:eastAsia="en-US"/>
        </w:rPr>
        <w:fldChar w:fldCharType="end"/>
      </w:r>
      <w:r w:rsidR="0092276C">
        <w:rPr>
          <w:lang w:eastAsia="en-US"/>
        </w:rPr>
        <w:t xml:space="preserve"> </w:t>
      </w:r>
      <w:r>
        <w:rPr>
          <w:lang w:eastAsia="en-US"/>
        </w:rPr>
        <w:t>shows means, SD and sample sizes for the parameters analysed.</w:t>
      </w:r>
    </w:p>
    <w:p w14:paraId="18C318D3" w14:textId="28A53E86" w:rsidR="007C7708" w:rsidRDefault="007C7708">
      <w:pPr>
        <w:overflowPunct/>
        <w:autoSpaceDE/>
        <w:autoSpaceDN/>
        <w:adjustRightInd/>
        <w:spacing w:after="0"/>
        <w:jc w:val="left"/>
        <w:textAlignment w:val="auto"/>
      </w:pPr>
      <w:bookmarkStart w:id="3" w:name="_Ref500752397"/>
      <w:bookmarkStart w:id="4" w:name="_Ref500752394"/>
    </w:p>
    <w:p w14:paraId="4FCC7833" w14:textId="5EFE5307" w:rsidR="00014E99" w:rsidRPr="00A02594" w:rsidRDefault="00E31E65" w:rsidP="00645556">
      <w:pPr>
        <w:overflowPunct/>
        <w:autoSpaceDE/>
        <w:autoSpaceDN/>
        <w:adjustRightInd/>
        <w:spacing w:after="0"/>
        <w:jc w:val="left"/>
        <w:textAlignment w:val="auto"/>
        <w:rPr>
          <w:b/>
        </w:rPr>
      </w:pPr>
      <w:proofErr w:type="gramStart"/>
      <w:r w:rsidRPr="00A02594">
        <w:rPr>
          <w:b/>
        </w:rPr>
        <w:t xml:space="preserve">Table </w:t>
      </w:r>
      <w:r w:rsidR="00D4266C" w:rsidRPr="00A02594">
        <w:rPr>
          <w:b/>
        </w:rPr>
        <w:fldChar w:fldCharType="begin"/>
      </w:r>
      <w:r w:rsidR="00D4266C" w:rsidRPr="00A02594">
        <w:rPr>
          <w:b/>
        </w:rPr>
        <w:instrText xml:space="preserve"> SEQ Table \* ARABIC </w:instrText>
      </w:r>
      <w:r w:rsidR="00D4266C" w:rsidRPr="00A02594">
        <w:rPr>
          <w:b/>
        </w:rPr>
        <w:fldChar w:fldCharType="separate"/>
      </w:r>
      <w:r w:rsidRPr="00A02594">
        <w:rPr>
          <w:b/>
          <w:noProof/>
        </w:rPr>
        <w:t>1</w:t>
      </w:r>
      <w:r w:rsidR="00D4266C" w:rsidRPr="00A02594">
        <w:rPr>
          <w:b/>
          <w:noProof/>
        </w:rPr>
        <w:fldChar w:fldCharType="end"/>
      </w:r>
      <w:bookmarkEnd w:id="3"/>
      <w:r w:rsidRPr="00A02594">
        <w:rPr>
          <w:b/>
        </w:rPr>
        <w:t>.</w:t>
      </w:r>
      <w:proofErr w:type="gramEnd"/>
      <w:r w:rsidRPr="00A02594">
        <w:rPr>
          <w:b/>
        </w:rPr>
        <w:t xml:space="preserve">  </w:t>
      </w:r>
      <w:r w:rsidR="007E139A" w:rsidRPr="00A02594">
        <w:rPr>
          <w:b/>
        </w:rPr>
        <w:t>Mean standard deviation and sample size of supermarket store parameters</w:t>
      </w:r>
      <w:r w:rsidRPr="00A02594">
        <w:rPr>
          <w:b/>
        </w:rPr>
        <w:t>.</w:t>
      </w:r>
      <w:bookmarkEnd w:id="4"/>
      <w:r w:rsidRPr="00A02594">
        <w:rPr>
          <w:b/>
        </w:rPr>
        <w:t xml:space="preserve"> </w:t>
      </w:r>
    </w:p>
    <w:tbl>
      <w:tblPr>
        <w:tblStyle w:val="TableGrid"/>
        <w:tblW w:w="0" w:type="auto"/>
        <w:tblLook w:val="04A0" w:firstRow="1" w:lastRow="0" w:firstColumn="1" w:lastColumn="0" w:noHBand="0" w:noVBand="1"/>
      </w:tblPr>
      <w:tblGrid>
        <w:gridCol w:w="2802"/>
        <w:gridCol w:w="1492"/>
        <w:gridCol w:w="1969"/>
        <w:gridCol w:w="1969"/>
      </w:tblGrid>
      <w:tr w:rsidR="00123A3A" w:rsidRPr="00014E99" w14:paraId="744C4B61" w14:textId="77777777" w:rsidTr="009304D3">
        <w:tc>
          <w:tcPr>
            <w:tcW w:w="2802" w:type="dxa"/>
          </w:tcPr>
          <w:p w14:paraId="476C9E7B" w14:textId="77777777" w:rsidR="00123A3A" w:rsidRPr="00014E99" w:rsidRDefault="00123A3A" w:rsidP="0019654D">
            <w:pPr>
              <w:spacing w:before="60" w:after="60"/>
              <w:rPr>
                <w:lang w:eastAsia="en-US"/>
              </w:rPr>
            </w:pPr>
          </w:p>
        </w:tc>
        <w:tc>
          <w:tcPr>
            <w:tcW w:w="1492" w:type="dxa"/>
          </w:tcPr>
          <w:p w14:paraId="2D08B1BF" w14:textId="399E18B2" w:rsidR="00123A3A" w:rsidRPr="00014E99" w:rsidRDefault="00123A3A" w:rsidP="0019654D">
            <w:pPr>
              <w:spacing w:before="60" w:after="60"/>
              <w:jc w:val="center"/>
              <w:rPr>
                <w:lang w:eastAsia="en-US"/>
              </w:rPr>
            </w:pPr>
            <w:r w:rsidRPr="00014E99">
              <w:rPr>
                <w:lang w:eastAsia="en-US"/>
              </w:rPr>
              <w:t>Mean</w:t>
            </w:r>
          </w:p>
        </w:tc>
        <w:tc>
          <w:tcPr>
            <w:tcW w:w="1969" w:type="dxa"/>
          </w:tcPr>
          <w:p w14:paraId="2EBB8782" w14:textId="2E0394D5" w:rsidR="00123A3A" w:rsidRDefault="00774A4C" w:rsidP="0019654D">
            <w:pPr>
              <w:spacing w:before="60" w:after="60"/>
              <w:jc w:val="center"/>
              <w:rPr>
                <w:lang w:eastAsia="en-US"/>
              </w:rPr>
            </w:pPr>
            <w:r>
              <w:rPr>
                <w:lang w:eastAsia="en-US"/>
              </w:rPr>
              <w:t>SD</w:t>
            </w:r>
          </w:p>
        </w:tc>
        <w:tc>
          <w:tcPr>
            <w:tcW w:w="1969" w:type="dxa"/>
          </w:tcPr>
          <w:p w14:paraId="21CF0EC4" w14:textId="44ACA826" w:rsidR="00123A3A" w:rsidRDefault="00123A3A" w:rsidP="0019654D">
            <w:pPr>
              <w:spacing w:before="60" w:after="60"/>
              <w:jc w:val="center"/>
              <w:rPr>
                <w:lang w:eastAsia="en-US"/>
              </w:rPr>
            </w:pPr>
            <w:r>
              <w:rPr>
                <w:lang w:eastAsia="en-US"/>
              </w:rPr>
              <w:t>Sample size</w:t>
            </w:r>
          </w:p>
        </w:tc>
      </w:tr>
      <w:tr w:rsidR="00123A3A" w:rsidRPr="00014E99" w14:paraId="2DD9A3DE" w14:textId="77777777" w:rsidTr="009304D3">
        <w:tc>
          <w:tcPr>
            <w:tcW w:w="2802" w:type="dxa"/>
          </w:tcPr>
          <w:p w14:paraId="2DF4CCF0" w14:textId="1CE777A4" w:rsidR="00123A3A" w:rsidRPr="00014E99" w:rsidRDefault="00123A3A" w:rsidP="0019654D">
            <w:pPr>
              <w:spacing w:before="60" w:after="60"/>
              <w:jc w:val="left"/>
              <w:rPr>
                <w:lang w:eastAsia="en-US"/>
              </w:rPr>
            </w:pPr>
            <w:r w:rsidRPr="00014E99">
              <w:rPr>
                <w:lang w:eastAsia="en-US"/>
              </w:rPr>
              <w:t>Gross floor area</w:t>
            </w:r>
            <w:r>
              <w:rPr>
                <w:lang w:eastAsia="en-US"/>
              </w:rPr>
              <w:t xml:space="preserve"> (m</w:t>
            </w:r>
            <w:r w:rsidRPr="00014E99">
              <w:rPr>
                <w:vertAlign w:val="superscript"/>
                <w:lang w:eastAsia="en-US"/>
              </w:rPr>
              <w:t>2</w:t>
            </w:r>
            <w:r>
              <w:rPr>
                <w:lang w:eastAsia="en-US"/>
              </w:rPr>
              <w:t>)</w:t>
            </w:r>
          </w:p>
        </w:tc>
        <w:tc>
          <w:tcPr>
            <w:tcW w:w="1492" w:type="dxa"/>
          </w:tcPr>
          <w:p w14:paraId="2366E10A" w14:textId="2FC3545E" w:rsidR="00123A3A" w:rsidRPr="00014E99" w:rsidRDefault="00123A3A" w:rsidP="0019654D">
            <w:pPr>
              <w:tabs>
                <w:tab w:val="decimal" w:pos="828"/>
              </w:tabs>
              <w:spacing w:before="60" w:after="60"/>
              <w:rPr>
                <w:lang w:eastAsia="en-US"/>
              </w:rPr>
            </w:pPr>
            <w:r w:rsidRPr="00014E99">
              <w:rPr>
                <w:lang w:eastAsia="en-US"/>
              </w:rPr>
              <w:t>5845</w:t>
            </w:r>
          </w:p>
        </w:tc>
        <w:tc>
          <w:tcPr>
            <w:tcW w:w="1969" w:type="dxa"/>
          </w:tcPr>
          <w:p w14:paraId="1BA84824" w14:textId="7A4130F0" w:rsidR="00123A3A" w:rsidRDefault="00123A3A" w:rsidP="0019654D">
            <w:pPr>
              <w:tabs>
                <w:tab w:val="decimal" w:pos="828"/>
              </w:tabs>
              <w:spacing w:before="60" w:after="60"/>
              <w:rPr>
                <w:lang w:eastAsia="en-US"/>
              </w:rPr>
            </w:pPr>
            <w:r>
              <w:rPr>
                <w:lang w:eastAsia="en-US"/>
              </w:rPr>
              <w:t>3808</w:t>
            </w:r>
          </w:p>
        </w:tc>
        <w:tc>
          <w:tcPr>
            <w:tcW w:w="1969" w:type="dxa"/>
          </w:tcPr>
          <w:p w14:paraId="147EDBD1" w14:textId="6B4A4790" w:rsidR="00123A3A" w:rsidRDefault="00123A3A" w:rsidP="0019654D">
            <w:pPr>
              <w:tabs>
                <w:tab w:val="decimal" w:pos="828"/>
              </w:tabs>
              <w:spacing w:before="60" w:after="60"/>
              <w:rPr>
                <w:lang w:eastAsia="en-US"/>
              </w:rPr>
            </w:pPr>
            <w:r>
              <w:rPr>
                <w:lang w:eastAsia="en-US"/>
              </w:rPr>
              <w:t>553</w:t>
            </w:r>
          </w:p>
        </w:tc>
      </w:tr>
      <w:tr w:rsidR="00123A3A" w:rsidRPr="00014E99" w14:paraId="75842C86" w14:textId="77777777" w:rsidTr="009304D3">
        <w:tc>
          <w:tcPr>
            <w:tcW w:w="2802" w:type="dxa"/>
          </w:tcPr>
          <w:p w14:paraId="6B88C38C" w14:textId="26DD4EBD" w:rsidR="00123A3A" w:rsidRPr="00014E99" w:rsidRDefault="00123A3A" w:rsidP="0019654D">
            <w:pPr>
              <w:spacing w:before="60" w:after="60"/>
              <w:jc w:val="left"/>
              <w:rPr>
                <w:lang w:eastAsia="en-US"/>
              </w:rPr>
            </w:pPr>
            <w:r>
              <w:rPr>
                <w:lang w:eastAsia="en-US"/>
              </w:rPr>
              <w:t>Sales</w:t>
            </w:r>
            <w:r w:rsidRPr="00014E99">
              <w:rPr>
                <w:lang w:eastAsia="en-US"/>
              </w:rPr>
              <w:t xml:space="preserve"> floor area</w:t>
            </w:r>
            <w:r>
              <w:rPr>
                <w:lang w:eastAsia="en-US"/>
              </w:rPr>
              <w:t xml:space="preserve"> (m</w:t>
            </w:r>
            <w:r w:rsidRPr="00014E99">
              <w:rPr>
                <w:vertAlign w:val="superscript"/>
                <w:lang w:eastAsia="en-US"/>
              </w:rPr>
              <w:t>2</w:t>
            </w:r>
            <w:r>
              <w:rPr>
                <w:lang w:eastAsia="en-US"/>
              </w:rPr>
              <w:t>)</w:t>
            </w:r>
          </w:p>
        </w:tc>
        <w:tc>
          <w:tcPr>
            <w:tcW w:w="1492" w:type="dxa"/>
          </w:tcPr>
          <w:p w14:paraId="78C2D44F" w14:textId="5543C92B" w:rsidR="00123A3A" w:rsidRPr="00014E99" w:rsidRDefault="00123A3A" w:rsidP="0019654D">
            <w:pPr>
              <w:tabs>
                <w:tab w:val="decimal" w:pos="828"/>
              </w:tabs>
              <w:spacing w:before="60" w:after="60"/>
              <w:rPr>
                <w:lang w:eastAsia="en-US"/>
              </w:rPr>
            </w:pPr>
            <w:r>
              <w:rPr>
                <w:lang w:eastAsia="en-US"/>
              </w:rPr>
              <w:t>3306</w:t>
            </w:r>
          </w:p>
        </w:tc>
        <w:tc>
          <w:tcPr>
            <w:tcW w:w="1969" w:type="dxa"/>
          </w:tcPr>
          <w:p w14:paraId="4D39D17F" w14:textId="31FF70E8" w:rsidR="00123A3A" w:rsidRDefault="00123A3A" w:rsidP="0019654D">
            <w:pPr>
              <w:tabs>
                <w:tab w:val="decimal" w:pos="828"/>
              </w:tabs>
              <w:spacing w:before="60" w:after="60"/>
              <w:rPr>
                <w:lang w:eastAsia="en-US"/>
              </w:rPr>
            </w:pPr>
            <w:r>
              <w:rPr>
                <w:lang w:eastAsia="en-US"/>
              </w:rPr>
              <w:t>2054</w:t>
            </w:r>
          </w:p>
        </w:tc>
        <w:tc>
          <w:tcPr>
            <w:tcW w:w="1969" w:type="dxa"/>
          </w:tcPr>
          <w:p w14:paraId="260751C4" w14:textId="21E4450D" w:rsidR="00123A3A" w:rsidRDefault="00123A3A" w:rsidP="0019654D">
            <w:pPr>
              <w:tabs>
                <w:tab w:val="decimal" w:pos="828"/>
              </w:tabs>
              <w:spacing w:before="60" w:after="60"/>
              <w:rPr>
                <w:lang w:eastAsia="en-US"/>
              </w:rPr>
            </w:pPr>
            <w:r>
              <w:rPr>
                <w:lang w:eastAsia="en-US"/>
              </w:rPr>
              <w:t>557</w:t>
            </w:r>
          </w:p>
        </w:tc>
      </w:tr>
      <w:tr w:rsidR="00123A3A" w:rsidRPr="00014E99" w14:paraId="12013DD2" w14:textId="77777777" w:rsidTr="009304D3">
        <w:tc>
          <w:tcPr>
            <w:tcW w:w="2802" w:type="dxa"/>
          </w:tcPr>
          <w:p w14:paraId="38EA13F7" w14:textId="5BE5FE55" w:rsidR="00123A3A" w:rsidRPr="00014E99" w:rsidRDefault="00123A3A" w:rsidP="0019654D">
            <w:pPr>
              <w:spacing w:before="60" w:after="60"/>
              <w:jc w:val="left"/>
              <w:rPr>
                <w:lang w:eastAsia="en-US"/>
              </w:rPr>
            </w:pPr>
            <w:r>
              <w:rPr>
                <w:lang w:eastAsia="en-US"/>
              </w:rPr>
              <w:t>Total energy consumption (MW</w:t>
            </w:r>
            <w:r w:rsidR="00B6530A">
              <w:rPr>
                <w:lang w:eastAsia="en-US"/>
              </w:rPr>
              <w:t>h</w:t>
            </w:r>
            <w:r>
              <w:rPr>
                <w:lang w:eastAsia="en-US"/>
              </w:rPr>
              <w:t>.year</w:t>
            </w:r>
            <w:r w:rsidRPr="00014E99">
              <w:rPr>
                <w:vertAlign w:val="superscript"/>
                <w:lang w:eastAsia="en-US"/>
              </w:rPr>
              <w:t>-1</w:t>
            </w:r>
            <w:r>
              <w:rPr>
                <w:lang w:eastAsia="en-US"/>
              </w:rPr>
              <w:t>)</w:t>
            </w:r>
          </w:p>
        </w:tc>
        <w:tc>
          <w:tcPr>
            <w:tcW w:w="1492" w:type="dxa"/>
          </w:tcPr>
          <w:p w14:paraId="070CBEE1" w14:textId="4489FD66" w:rsidR="00123A3A" w:rsidRPr="00014E99" w:rsidRDefault="00123A3A" w:rsidP="0019654D">
            <w:pPr>
              <w:tabs>
                <w:tab w:val="decimal" w:pos="828"/>
              </w:tabs>
              <w:spacing w:before="60" w:after="60"/>
              <w:rPr>
                <w:lang w:eastAsia="en-US"/>
              </w:rPr>
            </w:pPr>
            <w:r>
              <w:rPr>
                <w:lang w:eastAsia="en-US"/>
              </w:rPr>
              <w:t>2447</w:t>
            </w:r>
          </w:p>
        </w:tc>
        <w:tc>
          <w:tcPr>
            <w:tcW w:w="1969" w:type="dxa"/>
          </w:tcPr>
          <w:p w14:paraId="74FE3A89" w14:textId="2F9B4894" w:rsidR="00123A3A" w:rsidRDefault="00123A3A" w:rsidP="0019654D">
            <w:pPr>
              <w:tabs>
                <w:tab w:val="decimal" w:pos="828"/>
              </w:tabs>
              <w:spacing w:before="60" w:after="60"/>
              <w:rPr>
                <w:lang w:eastAsia="en-US"/>
              </w:rPr>
            </w:pPr>
            <w:r>
              <w:rPr>
                <w:lang w:eastAsia="en-US"/>
              </w:rPr>
              <w:t>1514</w:t>
            </w:r>
          </w:p>
        </w:tc>
        <w:tc>
          <w:tcPr>
            <w:tcW w:w="1969" w:type="dxa"/>
          </w:tcPr>
          <w:p w14:paraId="6C9DE5BD" w14:textId="3E26E3CE" w:rsidR="00123A3A" w:rsidRDefault="00123A3A" w:rsidP="0019654D">
            <w:pPr>
              <w:tabs>
                <w:tab w:val="decimal" w:pos="828"/>
              </w:tabs>
              <w:spacing w:before="60" w:after="60"/>
              <w:rPr>
                <w:lang w:eastAsia="en-US"/>
              </w:rPr>
            </w:pPr>
            <w:r>
              <w:rPr>
                <w:lang w:eastAsia="en-US"/>
              </w:rPr>
              <w:t>565</w:t>
            </w:r>
          </w:p>
        </w:tc>
      </w:tr>
      <w:tr w:rsidR="00123A3A" w:rsidRPr="00014E99" w14:paraId="5FECE251" w14:textId="77777777" w:rsidTr="009304D3">
        <w:tc>
          <w:tcPr>
            <w:tcW w:w="2802" w:type="dxa"/>
          </w:tcPr>
          <w:p w14:paraId="21B12924" w14:textId="1DE5496A" w:rsidR="00123A3A" w:rsidRDefault="00123A3A" w:rsidP="0019654D">
            <w:pPr>
              <w:spacing w:before="60" w:after="60"/>
              <w:jc w:val="left"/>
              <w:rPr>
                <w:lang w:eastAsia="en-US"/>
              </w:rPr>
            </w:pPr>
            <w:r>
              <w:rPr>
                <w:lang w:eastAsia="en-US"/>
              </w:rPr>
              <w:t>Electrical energy consumption (MW</w:t>
            </w:r>
            <w:r w:rsidR="00583F71">
              <w:rPr>
                <w:lang w:eastAsia="en-US"/>
              </w:rPr>
              <w:t>h</w:t>
            </w:r>
            <w:r>
              <w:rPr>
                <w:lang w:eastAsia="en-US"/>
              </w:rPr>
              <w:t>.year</w:t>
            </w:r>
            <w:r w:rsidRPr="00014E99">
              <w:rPr>
                <w:vertAlign w:val="superscript"/>
                <w:lang w:eastAsia="en-US"/>
              </w:rPr>
              <w:t>-1</w:t>
            </w:r>
            <w:r>
              <w:rPr>
                <w:lang w:eastAsia="en-US"/>
              </w:rPr>
              <w:t>)</w:t>
            </w:r>
          </w:p>
        </w:tc>
        <w:tc>
          <w:tcPr>
            <w:tcW w:w="1492" w:type="dxa"/>
          </w:tcPr>
          <w:p w14:paraId="24841C6D" w14:textId="15185BEB" w:rsidR="00123A3A" w:rsidRDefault="00123A3A" w:rsidP="0019654D">
            <w:pPr>
              <w:tabs>
                <w:tab w:val="decimal" w:pos="828"/>
              </w:tabs>
              <w:spacing w:before="60" w:after="60"/>
              <w:rPr>
                <w:lang w:eastAsia="en-US"/>
              </w:rPr>
            </w:pPr>
            <w:r>
              <w:rPr>
                <w:lang w:eastAsia="en-US"/>
              </w:rPr>
              <w:t>1846</w:t>
            </w:r>
          </w:p>
        </w:tc>
        <w:tc>
          <w:tcPr>
            <w:tcW w:w="1969" w:type="dxa"/>
          </w:tcPr>
          <w:p w14:paraId="438FAEED" w14:textId="733C1680" w:rsidR="00123A3A" w:rsidRDefault="00123A3A" w:rsidP="0019654D">
            <w:pPr>
              <w:tabs>
                <w:tab w:val="decimal" w:pos="828"/>
              </w:tabs>
              <w:spacing w:before="60" w:after="60"/>
              <w:rPr>
                <w:lang w:eastAsia="en-US"/>
              </w:rPr>
            </w:pPr>
            <w:r>
              <w:rPr>
                <w:lang w:eastAsia="en-US"/>
              </w:rPr>
              <w:t>1109</w:t>
            </w:r>
          </w:p>
        </w:tc>
        <w:tc>
          <w:tcPr>
            <w:tcW w:w="1969" w:type="dxa"/>
          </w:tcPr>
          <w:p w14:paraId="4E447688" w14:textId="58189EC4" w:rsidR="00123A3A" w:rsidRDefault="00123A3A" w:rsidP="0019654D">
            <w:pPr>
              <w:tabs>
                <w:tab w:val="decimal" w:pos="828"/>
              </w:tabs>
              <w:spacing w:before="60" w:after="60"/>
              <w:rPr>
                <w:lang w:eastAsia="en-US"/>
              </w:rPr>
            </w:pPr>
            <w:r>
              <w:rPr>
                <w:lang w:eastAsia="en-US"/>
              </w:rPr>
              <w:t>565</w:t>
            </w:r>
          </w:p>
        </w:tc>
      </w:tr>
      <w:tr w:rsidR="00123A3A" w:rsidRPr="00014E99" w14:paraId="0FB31311" w14:textId="77777777" w:rsidTr="009304D3">
        <w:tc>
          <w:tcPr>
            <w:tcW w:w="2802" w:type="dxa"/>
          </w:tcPr>
          <w:p w14:paraId="235FF00A" w14:textId="3AC99DD5" w:rsidR="00123A3A" w:rsidRDefault="00123A3A" w:rsidP="006A14D7">
            <w:pPr>
              <w:spacing w:before="60" w:after="60"/>
              <w:jc w:val="left"/>
              <w:rPr>
                <w:lang w:eastAsia="en-US"/>
              </w:rPr>
            </w:pPr>
            <w:r>
              <w:rPr>
                <w:lang w:eastAsia="en-US"/>
              </w:rPr>
              <w:t>SEC</w:t>
            </w:r>
            <w:r w:rsidRPr="00504CFD">
              <w:rPr>
                <w:vertAlign w:val="subscript"/>
                <w:lang w:eastAsia="en-US"/>
              </w:rPr>
              <w:t>T/</w:t>
            </w:r>
            <w:r w:rsidR="006A14D7">
              <w:rPr>
                <w:vertAlign w:val="subscript"/>
                <w:lang w:eastAsia="en-US"/>
              </w:rPr>
              <w:t>T</w:t>
            </w:r>
            <w:bookmarkStart w:id="5" w:name="_GoBack"/>
            <w:bookmarkEnd w:id="5"/>
            <w:r w:rsidRPr="00504CFD">
              <w:rPr>
                <w:vertAlign w:val="subscript"/>
                <w:lang w:eastAsia="en-US"/>
              </w:rPr>
              <w:t>FA</w:t>
            </w:r>
            <w:r w:rsidR="006F788B">
              <w:rPr>
                <w:vertAlign w:val="subscript"/>
                <w:lang w:eastAsia="en-US"/>
              </w:rPr>
              <w:t xml:space="preserve"> </w:t>
            </w:r>
            <w:r w:rsidR="006F788B">
              <w:rPr>
                <w:lang w:eastAsia="en-US"/>
              </w:rPr>
              <w:t>(</w:t>
            </w:r>
            <w:r w:rsidR="005C51D4">
              <w:rPr>
                <w:lang w:eastAsia="en-US"/>
              </w:rPr>
              <w:t>k</w:t>
            </w:r>
            <w:r w:rsidR="006F788B">
              <w:rPr>
                <w:lang w:eastAsia="en-US"/>
              </w:rPr>
              <w:t>W</w:t>
            </w:r>
            <w:r w:rsidR="009304D3">
              <w:rPr>
                <w:lang w:eastAsia="en-US"/>
              </w:rPr>
              <w:t>h</w:t>
            </w:r>
            <w:r w:rsidR="006F788B">
              <w:rPr>
                <w:lang w:eastAsia="en-US"/>
              </w:rPr>
              <w:t>.m</w:t>
            </w:r>
            <w:r w:rsidR="006F788B" w:rsidRPr="006F788B">
              <w:rPr>
                <w:vertAlign w:val="superscript"/>
                <w:lang w:eastAsia="en-US"/>
              </w:rPr>
              <w:t>-</w:t>
            </w:r>
            <w:r w:rsidR="009304D3">
              <w:rPr>
                <w:vertAlign w:val="superscript"/>
                <w:lang w:eastAsia="en-US"/>
              </w:rPr>
              <w:t>2</w:t>
            </w:r>
            <w:r w:rsidR="006F788B">
              <w:rPr>
                <w:lang w:eastAsia="en-US"/>
              </w:rPr>
              <w:t>.year</w:t>
            </w:r>
            <w:r w:rsidR="006F788B" w:rsidRPr="00014E99">
              <w:rPr>
                <w:vertAlign w:val="superscript"/>
                <w:lang w:eastAsia="en-US"/>
              </w:rPr>
              <w:t>-1</w:t>
            </w:r>
            <w:r w:rsidR="006F788B">
              <w:rPr>
                <w:lang w:eastAsia="en-US"/>
              </w:rPr>
              <w:t>)</w:t>
            </w:r>
          </w:p>
        </w:tc>
        <w:tc>
          <w:tcPr>
            <w:tcW w:w="1492" w:type="dxa"/>
          </w:tcPr>
          <w:p w14:paraId="3288832E" w14:textId="08E4C867" w:rsidR="00123A3A" w:rsidRDefault="00123A3A" w:rsidP="0019654D">
            <w:pPr>
              <w:tabs>
                <w:tab w:val="decimal" w:pos="828"/>
              </w:tabs>
              <w:spacing w:before="60" w:after="60"/>
              <w:rPr>
                <w:lang w:eastAsia="en-US"/>
              </w:rPr>
            </w:pPr>
            <w:r>
              <w:rPr>
                <w:lang w:eastAsia="en-US"/>
              </w:rPr>
              <w:t>450</w:t>
            </w:r>
          </w:p>
        </w:tc>
        <w:tc>
          <w:tcPr>
            <w:tcW w:w="1969" w:type="dxa"/>
          </w:tcPr>
          <w:p w14:paraId="1C883C55" w14:textId="63382A4E" w:rsidR="00123A3A" w:rsidRDefault="00123A3A" w:rsidP="0019654D">
            <w:pPr>
              <w:tabs>
                <w:tab w:val="decimal" w:pos="828"/>
              </w:tabs>
              <w:spacing w:before="60" w:after="60"/>
              <w:rPr>
                <w:lang w:eastAsia="en-US"/>
              </w:rPr>
            </w:pPr>
            <w:r>
              <w:rPr>
                <w:lang w:eastAsia="en-US"/>
              </w:rPr>
              <w:t>104</w:t>
            </w:r>
          </w:p>
        </w:tc>
        <w:tc>
          <w:tcPr>
            <w:tcW w:w="1969" w:type="dxa"/>
          </w:tcPr>
          <w:p w14:paraId="6EB7F849" w14:textId="7A369F3F" w:rsidR="00123A3A" w:rsidRDefault="00123A3A" w:rsidP="0019654D">
            <w:pPr>
              <w:tabs>
                <w:tab w:val="decimal" w:pos="828"/>
              </w:tabs>
              <w:spacing w:before="60" w:after="60"/>
              <w:rPr>
                <w:lang w:eastAsia="en-US"/>
              </w:rPr>
            </w:pPr>
            <w:r>
              <w:rPr>
                <w:lang w:eastAsia="en-US"/>
              </w:rPr>
              <w:t>553</w:t>
            </w:r>
          </w:p>
        </w:tc>
      </w:tr>
      <w:tr w:rsidR="00123A3A" w:rsidRPr="00014E99" w14:paraId="7B2D0A44" w14:textId="77777777" w:rsidTr="009304D3">
        <w:tc>
          <w:tcPr>
            <w:tcW w:w="2802" w:type="dxa"/>
          </w:tcPr>
          <w:p w14:paraId="1C3D34D3" w14:textId="1243C8F9" w:rsidR="00123A3A" w:rsidRDefault="00123A3A" w:rsidP="0019654D">
            <w:pPr>
              <w:spacing w:before="60" w:after="60"/>
              <w:jc w:val="left"/>
              <w:rPr>
                <w:lang w:eastAsia="en-US"/>
              </w:rPr>
            </w:pPr>
            <w:r>
              <w:rPr>
                <w:lang w:eastAsia="en-US"/>
              </w:rPr>
              <w:t>SEC</w:t>
            </w:r>
            <w:r>
              <w:rPr>
                <w:vertAlign w:val="subscript"/>
                <w:lang w:eastAsia="en-US"/>
              </w:rPr>
              <w:t>E/S</w:t>
            </w:r>
            <w:r w:rsidRPr="00504CFD">
              <w:rPr>
                <w:vertAlign w:val="subscript"/>
                <w:lang w:eastAsia="en-US"/>
              </w:rPr>
              <w:t>FA</w:t>
            </w:r>
            <w:r w:rsidR="006F788B">
              <w:rPr>
                <w:vertAlign w:val="subscript"/>
                <w:lang w:eastAsia="en-US"/>
              </w:rPr>
              <w:t xml:space="preserve"> </w:t>
            </w:r>
            <w:r w:rsidR="006F788B">
              <w:rPr>
                <w:lang w:eastAsia="en-US"/>
              </w:rPr>
              <w:t>(</w:t>
            </w:r>
            <w:r w:rsidR="005C51D4">
              <w:rPr>
                <w:lang w:eastAsia="en-US"/>
              </w:rPr>
              <w:t>k</w:t>
            </w:r>
            <w:r w:rsidR="006F788B">
              <w:rPr>
                <w:lang w:eastAsia="en-US"/>
              </w:rPr>
              <w:t>W</w:t>
            </w:r>
            <w:r w:rsidR="009304D3">
              <w:rPr>
                <w:lang w:eastAsia="en-US"/>
              </w:rPr>
              <w:t>h</w:t>
            </w:r>
            <w:r w:rsidR="006F788B">
              <w:rPr>
                <w:lang w:eastAsia="en-US"/>
              </w:rPr>
              <w:t>.m</w:t>
            </w:r>
            <w:r w:rsidR="006F788B" w:rsidRPr="006F788B">
              <w:rPr>
                <w:vertAlign w:val="superscript"/>
                <w:lang w:eastAsia="en-US"/>
              </w:rPr>
              <w:t>-</w:t>
            </w:r>
            <w:r w:rsidR="009304D3">
              <w:rPr>
                <w:vertAlign w:val="superscript"/>
                <w:lang w:eastAsia="en-US"/>
              </w:rPr>
              <w:t>2</w:t>
            </w:r>
            <w:r w:rsidR="006F788B">
              <w:rPr>
                <w:lang w:eastAsia="en-US"/>
              </w:rPr>
              <w:t>.year</w:t>
            </w:r>
            <w:r w:rsidR="006F788B" w:rsidRPr="00014E99">
              <w:rPr>
                <w:vertAlign w:val="superscript"/>
                <w:lang w:eastAsia="en-US"/>
              </w:rPr>
              <w:t>-1</w:t>
            </w:r>
            <w:r w:rsidR="006F788B">
              <w:rPr>
                <w:lang w:eastAsia="en-US"/>
              </w:rPr>
              <w:t>)</w:t>
            </w:r>
          </w:p>
        </w:tc>
        <w:tc>
          <w:tcPr>
            <w:tcW w:w="1492" w:type="dxa"/>
          </w:tcPr>
          <w:p w14:paraId="732053F2" w14:textId="3F1829B5" w:rsidR="00123A3A" w:rsidRDefault="00123A3A" w:rsidP="0019654D">
            <w:pPr>
              <w:tabs>
                <w:tab w:val="decimal" w:pos="828"/>
              </w:tabs>
              <w:spacing w:before="60" w:after="60"/>
              <w:rPr>
                <w:lang w:eastAsia="en-US"/>
              </w:rPr>
            </w:pPr>
            <w:r>
              <w:rPr>
                <w:lang w:eastAsia="en-US"/>
              </w:rPr>
              <w:t>566</w:t>
            </w:r>
          </w:p>
        </w:tc>
        <w:tc>
          <w:tcPr>
            <w:tcW w:w="1969" w:type="dxa"/>
          </w:tcPr>
          <w:p w14:paraId="7DA7CDC6" w14:textId="7CBBCB46" w:rsidR="00123A3A" w:rsidRDefault="00123A3A" w:rsidP="0019654D">
            <w:pPr>
              <w:tabs>
                <w:tab w:val="decimal" w:pos="828"/>
              </w:tabs>
              <w:spacing w:before="60" w:after="60"/>
              <w:rPr>
                <w:lang w:eastAsia="en-US"/>
              </w:rPr>
            </w:pPr>
            <w:r>
              <w:rPr>
                <w:lang w:eastAsia="en-US"/>
              </w:rPr>
              <w:t>98</w:t>
            </w:r>
          </w:p>
        </w:tc>
        <w:tc>
          <w:tcPr>
            <w:tcW w:w="1969" w:type="dxa"/>
          </w:tcPr>
          <w:p w14:paraId="483B3C02" w14:textId="317F59E1" w:rsidR="00123A3A" w:rsidRDefault="00123A3A" w:rsidP="0019654D">
            <w:pPr>
              <w:tabs>
                <w:tab w:val="decimal" w:pos="828"/>
              </w:tabs>
              <w:spacing w:before="60" w:after="60"/>
              <w:rPr>
                <w:lang w:eastAsia="en-US"/>
              </w:rPr>
            </w:pPr>
            <w:r>
              <w:rPr>
                <w:lang w:eastAsia="en-US"/>
              </w:rPr>
              <w:t>557</w:t>
            </w:r>
          </w:p>
        </w:tc>
      </w:tr>
    </w:tbl>
    <w:p w14:paraId="23D247A3" w14:textId="77777777" w:rsidR="005A5FB7" w:rsidRPr="005A5FB7" w:rsidRDefault="005A5FB7" w:rsidP="0019654D">
      <w:pPr>
        <w:pStyle w:val="FootnoteText"/>
      </w:pPr>
    </w:p>
    <w:p w14:paraId="6FACD00B" w14:textId="2F469159" w:rsidR="001E5449" w:rsidRDefault="00091006" w:rsidP="00A330DE">
      <w:pPr>
        <w:pStyle w:val="Heading2"/>
      </w:pPr>
      <w:r>
        <w:t>S</w:t>
      </w:r>
      <w:r w:rsidR="001E5449">
        <w:t>ub metering</w:t>
      </w:r>
    </w:p>
    <w:p w14:paraId="13B9F08F" w14:textId="0D645429" w:rsidR="005012DB" w:rsidRDefault="005012DB" w:rsidP="001E5449">
      <w:r>
        <w:t xml:space="preserve">Both the gas and </w:t>
      </w:r>
      <w:r w:rsidR="004C2B6E">
        <w:t>EE</w:t>
      </w:r>
      <w:r>
        <w:t xml:space="preserve"> </w:t>
      </w:r>
      <w:proofErr w:type="gramStart"/>
      <w:r w:rsidR="004D17F2">
        <w:t>were</w:t>
      </w:r>
      <w:proofErr w:type="gramEnd"/>
      <w:r w:rsidR="004D17F2">
        <w:t xml:space="preserve"> </w:t>
      </w:r>
      <w:r>
        <w:t>sub metered</w:t>
      </w:r>
      <w:r w:rsidR="00CC68F5">
        <w:t xml:space="preserve">.  </w:t>
      </w:r>
      <w:r w:rsidR="00BB6C02">
        <w:fldChar w:fldCharType="begin"/>
      </w:r>
      <w:r w:rsidR="00BB6C02">
        <w:instrText xml:space="preserve"> REF _Ref500323702 \h </w:instrText>
      </w:r>
      <w:r w:rsidR="00BB6C02">
        <w:fldChar w:fldCharType="separate"/>
      </w:r>
      <w:r w:rsidR="00BB6C02">
        <w:t xml:space="preserve">Figure </w:t>
      </w:r>
      <w:r w:rsidR="00BB6C02">
        <w:rPr>
          <w:noProof/>
        </w:rPr>
        <w:t>3</w:t>
      </w:r>
      <w:r w:rsidR="00BB6C02">
        <w:fldChar w:fldCharType="end"/>
      </w:r>
      <w:r w:rsidR="00CC68F5">
        <w:t xml:space="preserve"> </w:t>
      </w:r>
      <w:proofErr w:type="gramStart"/>
      <w:r w:rsidR="00CC68F5">
        <w:t>shows</w:t>
      </w:r>
      <w:proofErr w:type="gramEnd"/>
      <w:r w:rsidR="00CC68F5">
        <w:t xml:space="preserve"> that </w:t>
      </w:r>
      <w:r w:rsidR="00BB6C02">
        <w:t xml:space="preserve">75% of the </w:t>
      </w:r>
      <w:r w:rsidR="00CC68F5">
        <w:t>TE</w:t>
      </w:r>
      <w:r w:rsidR="00BB6C02">
        <w:t xml:space="preserve"> was </w:t>
      </w:r>
      <w:r w:rsidR="00CC68F5">
        <w:t>EE,</w:t>
      </w:r>
      <w:r w:rsidR="00BB6C02">
        <w:t xml:space="preserve"> 33% of the </w:t>
      </w:r>
      <w:r w:rsidR="00CC68F5">
        <w:t>EE</w:t>
      </w:r>
      <w:r w:rsidR="00BB6C02">
        <w:t xml:space="preserve"> cons</w:t>
      </w:r>
      <w:r w:rsidR="00CC68F5">
        <w:t xml:space="preserve">umption was for refrigeration and </w:t>
      </w:r>
      <w:r w:rsidR="00BB6C02">
        <w:t>45% of the refrigeration was ‘other refrigeration’</w:t>
      </w:r>
      <w:r w:rsidR="00CC68F5">
        <w:t xml:space="preserve">.  Therefore </w:t>
      </w:r>
      <w:r w:rsidR="00BB6C02">
        <w:t>a large proportion of the refrigeration energy</w:t>
      </w:r>
      <w:r w:rsidR="00CC68F5">
        <w:t xml:space="preserve"> </w:t>
      </w:r>
      <w:r w:rsidR="0023117F">
        <w:t>was used by</w:t>
      </w:r>
      <w:r w:rsidR="00BB6C02">
        <w:t xml:space="preserve"> an undetermined </w:t>
      </w:r>
      <w:r w:rsidR="0023117F">
        <w:t>category</w:t>
      </w:r>
      <w:r w:rsidR="00BB6C02">
        <w:t xml:space="preserve">.  </w:t>
      </w:r>
      <w:r w:rsidR="003D291A">
        <w:t xml:space="preserve">The </w:t>
      </w:r>
      <w:r w:rsidR="00CC68F5">
        <w:t>split</w:t>
      </w:r>
      <w:r w:rsidR="003D291A">
        <w:t xml:space="preserve"> between low temperature (LT) and high temperature (HT) refrigeration </w:t>
      </w:r>
      <w:r w:rsidR="00CC68F5">
        <w:t>was</w:t>
      </w:r>
      <w:r w:rsidR="003D291A">
        <w:t xml:space="preserve"> about 50/50.  Half of the refrigeration </w:t>
      </w:r>
      <w:r w:rsidR="00596F2C">
        <w:t xml:space="preserve">was </w:t>
      </w:r>
      <w:r w:rsidR="003D291A">
        <w:t>considered as ‘other’, this cover</w:t>
      </w:r>
      <w:r w:rsidR="0019654D">
        <w:t>s</w:t>
      </w:r>
      <w:r w:rsidR="003D291A">
        <w:t xml:space="preserve"> the cold store </w:t>
      </w:r>
      <w:r w:rsidR="0019654D">
        <w:t>warehouses, h</w:t>
      </w:r>
      <w:r w:rsidR="003D291A">
        <w:t xml:space="preserve">owever, it would normally be expected that the cold store warehouses </w:t>
      </w:r>
      <w:r w:rsidR="0023117F">
        <w:t>use</w:t>
      </w:r>
      <w:r w:rsidR="003D291A">
        <w:t xml:space="preserve"> about 10% of the refri</w:t>
      </w:r>
      <w:r w:rsidR="0019654D">
        <w:t>geration (Tassou et al, 2011).  T</w:t>
      </w:r>
      <w:r w:rsidR="003D291A">
        <w:t xml:space="preserve">herefore it is likely that there </w:t>
      </w:r>
      <w:r w:rsidR="00596F2C">
        <w:t xml:space="preserve">were </w:t>
      </w:r>
      <w:r w:rsidR="003D291A">
        <w:t>other unknown consumers of energy in this category.</w:t>
      </w:r>
    </w:p>
    <w:p w14:paraId="2A56AB5C" w14:textId="6F00D2D1" w:rsidR="00053A5F" w:rsidRDefault="005012DB" w:rsidP="00BB6C02">
      <w:pPr>
        <w:overflowPunct/>
        <w:autoSpaceDE/>
        <w:autoSpaceDN/>
        <w:adjustRightInd/>
        <w:spacing w:after="0"/>
        <w:jc w:val="left"/>
        <w:textAlignment w:val="auto"/>
      </w:pPr>
      <w:r w:rsidRPr="00053A5F">
        <w:rPr>
          <w:noProof/>
          <w:lang w:eastAsia="en-GB"/>
        </w:rPr>
        <w:drawing>
          <wp:inline distT="0" distB="0" distL="0" distR="0" wp14:anchorId="4846B658" wp14:editId="5BCE1AFE">
            <wp:extent cx="2462400" cy="1990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62400" cy="1990800"/>
                    </a:xfrm>
                    <a:prstGeom prst="rect">
                      <a:avLst/>
                    </a:prstGeom>
                  </pic:spPr>
                </pic:pic>
              </a:graphicData>
            </a:graphic>
          </wp:inline>
        </w:drawing>
      </w:r>
      <w:r w:rsidR="00053A5F" w:rsidRPr="00053A5F">
        <w:rPr>
          <w:noProof/>
          <w:lang w:eastAsia="en-GB"/>
        </w:rPr>
        <w:drawing>
          <wp:inline distT="0" distB="0" distL="0" distR="0" wp14:anchorId="12B42895" wp14:editId="35B19EA6">
            <wp:extent cx="2732400" cy="2138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32400" cy="2138400"/>
                    </a:xfrm>
                    <a:prstGeom prst="rect">
                      <a:avLst/>
                    </a:prstGeom>
                  </pic:spPr>
                </pic:pic>
              </a:graphicData>
            </a:graphic>
          </wp:inline>
        </w:drawing>
      </w:r>
      <w:r w:rsidRPr="00053A5F">
        <w:rPr>
          <w:noProof/>
          <w:lang w:eastAsia="en-GB"/>
        </w:rPr>
        <w:drawing>
          <wp:inline distT="0" distB="0" distL="0" distR="0" wp14:anchorId="3358AC87" wp14:editId="6BDF754E">
            <wp:extent cx="2530800" cy="20016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30800" cy="2001600"/>
                    </a:xfrm>
                    <a:prstGeom prst="rect">
                      <a:avLst/>
                    </a:prstGeom>
                  </pic:spPr>
                </pic:pic>
              </a:graphicData>
            </a:graphic>
          </wp:inline>
        </w:drawing>
      </w:r>
      <w:r w:rsidR="00053A5F" w:rsidRPr="00053A5F">
        <w:rPr>
          <w:noProof/>
          <w:lang w:eastAsia="en-GB"/>
        </w:rPr>
        <w:drawing>
          <wp:inline distT="0" distB="0" distL="0" distR="0" wp14:anchorId="1621024A" wp14:editId="38953E48">
            <wp:extent cx="2509200" cy="2095200"/>
            <wp:effectExtent l="0" t="0" r="571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09200" cy="2095200"/>
                    </a:xfrm>
                    <a:prstGeom prst="rect">
                      <a:avLst/>
                    </a:prstGeom>
                  </pic:spPr>
                </pic:pic>
              </a:graphicData>
            </a:graphic>
          </wp:inline>
        </w:drawing>
      </w:r>
    </w:p>
    <w:p w14:paraId="53116BC1" w14:textId="1716430E" w:rsidR="00053A5F" w:rsidRPr="00D86B4D" w:rsidRDefault="00BB6C02" w:rsidP="00D86B4D">
      <w:pPr>
        <w:pStyle w:val="Caption"/>
      </w:pPr>
      <w:bookmarkStart w:id="6" w:name="_Ref500323702"/>
      <w:proofErr w:type="gramStart"/>
      <w:r>
        <w:t xml:space="preserve">Figure </w:t>
      </w:r>
      <w:r w:rsidR="006A14D7">
        <w:fldChar w:fldCharType="begin"/>
      </w:r>
      <w:r w:rsidR="006A14D7">
        <w:instrText xml:space="preserve"> SEQ Figure \* ARABIC </w:instrText>
      </w:r>
      <w:r w:rsidR="006A14D7">
        <w:fldChar w:fldCharType="separate"/>
      </w:r>
      <w:r>
        <w:rPr>
          <w:noProof/>
        </w:rPr>
        <w:t>3</w:t>
      </w:r>
      <w:r w:rsidR="006A14D7">
        <w:rPr>
          <w:noProof/>
        </w:rPr>
        <w:fldChar w:fldCharType="end"/>
      </w:r>
      <w:bookmarkEnd w:id="6"/>
      <w:r>
        <w:t>.</w:t>
      </w:r>
      <w:proofErr w:type="gramEnd"/>
      <w:r>
        <w:t xml:space="preserve">  Mean electrical and gas consumption split by sub-meters.</w:t>
      </w:r>
    </w:p>
    <w:p w14:paraId="1224FAD2" w14:textId="0DDC8F52" w:rsidR="001E5449" w:rsidRPr="000C17B2" w:rsidRDefault="0023117F" w:rsidP="00A330DE">
      <w:pPr>
        <w:pStyle w:val="Heading2"/>
      </w:pPr>
      <w:r>
        <w:lastRenderedPageBreak/>
        <w:t>O</w:t>
      </w:r>
      <w:r w:rsidR="001E5449" w:rsidRPr="000C17B2">
        <w:t>pen</w:t>
      </w:r>
      <w:r>
        <w:t>ing hours</w:t>
      </w:r>
      <w:r w:rsidR="001E5449" w:rsidRPr="000C17B2">
        <w:t xml:space="preserve"> and store age</w:t>
      </w:r>
    </w:p>
    <w:p w14:paraId="50E569C2" w14:textId="65FAA997" w:rsidR="000C17B2" w:rsidRDefault="000C17B2" w:rsidP="001E5449">
      <w:r w:rsidRPr="000C17B2">
        <w:t>Two</w:t>
      </w:r>
      <w:r w:rsidR="001E5449" w:rsidRPr="000C17B2">
        <w:t xml:space="preserve"> factors </w:t>
      </w:r>
      <w:r>
        <w:t xml:space="preserve">(hours the store was open and store age) </w:t>
      </w:r>
      <w:r w:rsidR="001E5449" w:rsidRPr="000C17B2">
        <w:t xml:space="preserve">were </w:t>
      </w:r>
      <w:r w:rsidRPr="000C17B2">
        <w:t xml:space="preserve">considered to see if they had a significant effect on </w:t>
      </w:r>
      <w:r w:rsidR="004B129C">
        <w:t>SEC</w:t>
      </w:r>
      <w:r w:rsidRPr="000C17B2">
        <w:t xml:space="preserve">.  </w:t>
      </w:r>
      <w:r>
        <w:t>Both hours open and store age had a significant (p&lt;0.05) positive slope, e.g</w:t>
      </w:r>
      <w:r w:rsidR="004D17F2">
        <w:t>.</w:t>
      </w:r>
      <w:r>
        <w:t xml:space="preserve"> an increase in the parameter increases energy consumption.</w:t>
      </w:r>
      <w:r w:rsidR="00D86B4D">
        <w:t xml:space="preserve">  A multiple regression was carried out and the results are below.</w:t>
      </w:r>
    </w:p>
    <w:p w14:paraId="1A774C32" w14:textId="4F220E3B" w:rsidR="00D86B4D" w:rsidRDefault="004B129C" w:rsidP="00DC34AB">
      <w:r>
        <w:t>TE</w:t>
      </w:r>
      <w:r w:rsidR="00D86B4D">
        <w:t xml:space="preserve"> = 0.297</w:t>
      </w:r>
      <w:r w:rsidR="00D86B4D">
        <w:rPr>
          <w:rFonts w:cs="Times New Roman"/>
        </w:rPr>
        <w:t>±</w:t>
      </w:r>
      <w:r w:rsidR="00D86B4D">
        <w:t xml:space="preserve">0.007 * </w:t>
      </w:r>
      <w:r>
        <w:t>T</w:t>
      </w:r>
      <w:r w:rsidR="00D86B4D">
        <w:t>FA (m</w:t>
      </w:r>
      <w:r w:rsidR="00D86B4D" w:rsidRPr="005A5FB7">
        <w:rPr>
          <w:vertAlign w:val="superscript"/>
        </w:rPr>
        <w:t>2</w:t>
      </w:r>
      <w:r w:rsidR="00D86B4D">
        <w:t>) + 24.6</w:t>
      </w:r>
      <w:r w:rsidR="00D86B4D">
        <w:rPr>
          <w:rFonts w:cs="Times New Roman"/>
        </w:rPr>
        <w:t>±</w:t>
      </w:r>
      <w:r w:rsidR="00D86B4D">
        <w:t>2.1 * Store age (</w:t>
      </w:r>
      <w:proofErr w:type="spellStart"/>
      <w:r w:rsidR="00D86B4D">
        <w:t>yr</w:t>
      </w:r>
      <w:proofErr w:type="spellEnd"/>
      <w:r w:rsidR="00D86B4D">
        <w:t>) + 9.03</w:t>
      </w:r>
      <w:r w:rsidR="00D86B4D">
        <w:rPr>
          <w:rFonts w:cs="Times New Roman"/>
        </w:rPr>
        <w:t>±</w:t>
      </w:r>
      <w:r w:rsidR="00D86B4D">
        <w:t>1.13 * hours open (h/</w:t>
      </w:r>
      <w:r>
        <w:t>.</w:t>
      </w:r>
      <w:r w:rsidR="00D86B4D">
        <w:t>week</w:t>
      </w:r>
      <w:r w:rsidRPr="004B129C">
        <w:rPr>
          <w:vertAlign w:val="superscript"/>
        </w:rPr>
        <w:t>-1</w:t>
      </w:r>
      <w:r w:rsidR="00D86B4D">
        <w:t>) - 681</w:t>
      </w:r>
      <w:r w:rsidR="00D86B4D">
        <w:rPr>
          <w:rFonts w:cs="Times New Roman"/>
        </w:rPr>
        <w:t>±</w:t>
      </w:r>
      <w:r w:rsidR="00D86B4D">
        <w:t>115 MWh.year</w:t>
      </w:r>
      <w:r w:rsidR="00D86B4D" w:rsidRPr="005A5FB7">
        <w:rPr>
          <w:vertAlign w:val="superscript"/>
        </w:rPr>
        <w:t>-1</w:t>
      </w:r>
      <w:r w:rsidR="00D86B4D">
        <w:t xml:space="preserve"> (R</w:t>
      </w:r>
      <w:r w:rsidR="00D86B4D" w:rsidRPr="00DC34AB">
        <w:rPr>
          <w:vertAlign w:val="superscript"/>
        </w:rPr>
        <w:t>2</w:t>
      </w:r>
      <w:r w:rsidR="00D86B4D">
        <w:t xml:space="preserve"> = 0.901)</w:t>
      </w:r>
    </w:p>
    <w:p w14:paraId="757C5351" w14:textId="4A75DAC4" w:rsidR="00DC34AB" w:rsidRPr="007904AB" w:rsidRDefault="004B129C" w:rsidP="00DC34AB">
      <w:r>
        <w:t>EE</w:t>
      </w:r>
      <w:r w:rsidR="00DC34AB">
        <w:t xml:space="preserve"> = 0.450</w:t>
      </w:r>
      <w:r w:rsidR="00DC34AB">
        <w:rPr>
          <w:rFonts w:cs="Times New Roman"/>
        </w:rPr>
        <w:t>±</w:t>
      </w:r>
      <w:r w:rsidR="00DC34AB">
        <w:t>0.010 * SFA (m</w:t>
      </w:r>
      <w:r w:rsidR="00DC34AB" w:rsidRPr="005A5FB7">
        <w:rPr>
          <w:vertAlign w:val="superscript"/>
        </w:rPr>
        <w:t>2</w:t>
      </w:r>
      <w:r w:rsidR="00DC34AB">
        <w:t>) + 13.0</w:t>
      </w:r>
      <w:r w:rsidR="00DC34AB">
        <w:rPr>
          <w:rFonts w:cs="Times New Roman"/>
        </w:rPr>
        <w:t>±</w:t>
      </w:r>
      <w:r w:rsidR="00DC34AB">
        <w:t>1.4 * Store age (</w:t>
      </w:r>
      <w:proofErr w:type="spellStart"/>
      <w:r w:rsidR="00DC34AB">
        <w:t>yr</w:t>
      </w:r>
      <w:proofErr w:type="spellEnd"/>
      <w:r w:rsidR="00DC34AB">
        <w:t>) + 3.24</w:t>
      </w:r>
      <w:r w:rsidR="00DC34AB">
        <w:rPr>
          <w:rFonts w:cs="Times New Roman"/>
        </w:rPr>
        <w:t>±</w:t>
      </w:r>
      <w:r w:rsidR="00DC34AB">
        <w:t>0.78 * hours open (</w:t>
      </w:r>
      <w:r>
        <w:t>h/.week</w:t>
      </w:r>
      <w:r w:rsidRPr="004B129C">
        <w:rPr>
          <w:vertAlign w:val="superscript"/>
        </w:rPr>
        <w:t>-1</w:t>
      </w:r>
      <w:r w:rsidR="00DC34AB">
        <w:t>) - 205</w:t>
      </w:r>
      <w:r w:rsidR="00DC34AB">
        <w:rPr>
          <w:rFonts w:cs="Times New Roman"/>
        </w:rPr>
        <w:t>±</w:t>
      </w:r>
      <w:r w:rsidR="00DC34AB">
        <w:t>79 MWh.year</w:t>
      </w:r>
      <w:r w:rsidR="00DC34AB" w:rsidRPr="005A5FB7">
        <w:rPr>
          <w:vertAlign w:val="superscript"/>
        </w:rPr>
        <w:t>-1</w:t>
      </w:r>
      <w:r w:rsidR="00DC34AB">
        <w:t xml:space="preserve"> (R</w:t>
      </w:r>
      <w:r w:rsidR="00DC34AB" w:rsidRPr="00DC34AB">
        <w:rPr>
          <w:vertAlign w:val="superscript"/>
        </w:rPr>
        <w:t>2</w:t>
      </w:r>
      <w:r w:rsidR="00DC34AB">
        <w:t xml:space="preserve"> = 0.916)</w:t>
      </w:r>
    </w:p>
    <w:p w14:paraId="0C8AE4C9" w14:textId="1B19A713" w:rsidR="001E5449" w:rsidRDefault="001E5449" w:rsidP="001E5449">
      <w:pPr>
        <w:pStyle w:val="Heading1"/>
      </w:pPr>
      <w:r>
        <w:t xml:space="preserve">Comparison with </w:t>
      </w:r>
      <w:r w:rsidR="00482412">
        <w:t>other stud</w:t>
      </w:r>
      <w:r w:rsidR="00460A31">
        <w:t>I</w:t>
      </w:r>
      <w:r w:rsidR="00482412">
        <w:t>es</w:t>
      </w:r>
    </w:p>
    <w:p w14:paraId="57168D3B" w14:textId="173502C7" w:rsidR="00A330DE" w:rsidRDefault="00A330DE" w:rsidP="00A330DE">
      <w:pPr>
        <w:pStyle w:val="Heading2"/>
      </w:pPr>
      <w:r>
        <w:t>SEC</w:t>
      </w:r>
    </w:p>
    <w:p w14:paraId="0105C752" w14:textId="305FCA1B" w:rsidR="00B26675" w:rsidRDefault="001E5449" w:rsidP="001E5449">
      <w:r>
        <w:t xml:space="preserve">Van der </w:t>
      </w:r>
      <w:proofErr w:type="spellStart"/>
      <w:r>
        <w:t>Sl</w:t>
      </w:r>
      <w:r w:rsidR="00383479">
        <w:t>uis</w:t>
      </w:r>
      <w:proofErr w:type="spellEnd"/>
      <w:r w:rsidR="00383479">
        <w:t xml:space="preserve"> et al (2015) </w:t>
      </w:r>
      <w:r w:rsidR="004D17F2">
        <w:t xml:space="preserve">reported </w:t>
      </w:r>
      <w:r w:rsidR="00383479">
        <w:t xml:space="preserve">SECs for Swedish, USA and Canadian stores which reduced with increasing floor area.  This </w:t>
      </w:r>
      <w:r w:rsidR="007C0628">
        <w:t>was shown in the data presented here, where the negative slopes of both SEC</w:t>
      </w:r>
      <w:r w:rsidR="007C0628" w:rsidRPr="007C0628">
        <w:rPr>
          <w:vertAlign w:val="subscript"/>
        </w:rPr>
        <w:t>T</w:t>
      </w:r>
      <w:r w:rsidR="007C0628">
        <w:t xml:space="preserve"> and SEC</w:t>
      </w:r>
      <w:r w:rsidR="007C0628" w:rsidRPr="007C0628">
        <w:rPr>
          <w:vertAlign w:val="subscript"/>
        </w:rPr>
        <w:t>E</w:t>
      </w:r>
      <w:r w:rsidR="007C0628">
        <w:t xml:space="preserve"> with </w:t>
      </w:r>
      <w:r w:rsidR="00647929">
        <w:t>TFA</w:t>
      </w:r>
      <w:r w:rsidR="007C0628">
        <w:t xml:space="preserve"> and </w:t>
      </w:r>
      <w:r w:rsidR="00647929">
        <w:t>SFA</w:t>
      </w:r>
      <w:r w:rsidR="007C0628">
        <w:t xml:space="preserve"> respectively were statistically significant (P&lt;0.05).  The SEC</w:t>
      </w:r>
      <w:r w:rsidR="007C0628" w:rsidRPr="007C0628">
        <w:rPr>
          <w:vertAlign w:val="subscript"/>
        </w:rPr>
        <w:t>T/TFA</w:t>
      </w:r>
      <w:r w:rsidR="007C0628">
        <w:t xml:space="preserve"> was very similar to the Swedish stores </w:t>
      </w:r>
      <w:r w:rsidR="004D17F2">
        <w:t>but lower</w:t>
      </w:r>
      <w:r w:rsidR="007C0628">
        <w:t xml:space="preserve"> than the stores in USA and Canada.</w:t>
      </w:r>
      <w:r w:rsidR="00A40C16">
        <w:t xml:space="preserve">  </w:t>
      </w:r>
    </w:p>
    <w:p w14:paraId="5C8266C4" w14:textId="65D92CF9" w:rsidR="00B26675" w:rsidRPr="006F0BF5" w:rsidRDefault="00A40C16" w:rsidP="00B26675">
      <w:r>
        <w:t>Van d</w:t>
      </w:r>
      <w:r w:rsidR="00647929">
        <w:t xml:space="preserve">er </w:t>
      </w:r>
      <w:proofErr w:type="spellStart"/>
      <w:r w:rsidR="00647929">
        <w:t>Sluis</w:t>
      </w:r>
      <w:proofErr w:type="spellEnd"/>
      <w:r w:rsidR="00647929">
        <w:t xml:space="preserve"> et al (2015) also showed</w:t>
      </w:r>
      <w:r>
        <w:t xml:space="preserve"> data for a Dutch store </w:t>
      </w:r>
      <w:r w:rsidR="00647929">
        <w:t>which resulted</w:t>
      </w:r>
      <w:r w:rsidRPr="00A40C16">
        <w:t xml:space="preserve"> in a </w:t>
      </w:r>
      <w:r w:rsidR="00B26675">
        <w:t>SEC</w:t>
      </w:r>
      <w:r w:rsidR="00B26675" w:rsidRPr="00B26675">
        <w:rPr>
          <w:vertAlign w:val="subscript"/>
        </w:rPr>
        <w:t>E</w:t>
      </w:r>
      <w:r w:rsidR="00647929">
        <w:rPr>
          <w:vertAlign w:val="subscript"/>
        </w:rPr>
        <w:t>E</w:t>
      </w:r>
      <w:r w:rsidR="006F0BF5">
        <w:rPr>
          <w:vertAlign w:val="subscript"/>
        </w:rPr>
        <w:t>/SFA</w:t>
      </w:r>
      <w:r w:rsidR="00B26675">
        <w:t xml:space="preserve"> </w:t>
      </w:r>
      <w:proofErr w:type="gramStart"/>
      <w:r w:rsidR="00B26675">
        <w:t xml:space="preserve">of </w:t>
      </w:r>
      <w:r w:rsidR="00647929">
        <w:br/>
      </w:r>
      <w:r w:rsidR="00B26675">
        <w:t>407 kWh.</w:t>
      </w:r>
      <w:r w:rsidRPr="00A40C16">
        <w:t>m</w:t>
      </w:r>
      <w:r w:rsidR="00B26675" w:rsidRPr="00261A8A">
        <w:rPr>
          <w:vertAlign w:val="superscript"/>
        </w:rPr>
        <w:t>-</w:t>
      </w:r>
      <w:r w:rsidRPr="00A40C16">
        <w:rPr>
          <w:vertAlign w:val="superscript"/>
        </w:rPr>
        <w:t>2</w:t>
      </w:r>
      <w:r w:rsidR="00B26675">
        <w:rPr>
          <w:vertAlign w:val="superscript"/>
        </w:rPr>
        <w:t>.</w:t>
      </w:r>
      <w:r w:rsidR="00B26675" w:rsidRPr="00B26675">
        <w:t>yr</w:t>
      </w:r>
      <w:r w:rsidR="00B26675">
        <w:rPr>
          <w:vertAlign w:val="superscript"/>
        </w:rPr>
        <w:t>-</w:t>
      </w:r>
      <w:r w:rsidR="00261A8A">
        <w:rPr>
          <w:vertAlign w:val="superscript"/>
        </w:rPr>
        <w:t>1</w:t>
      </w:r>
      <w:r w:rsidR="00261A8A">
        <w:t xml:space="preserve"> in the range of SFA</w:t>
      </w:r>
      <w:proofErr w:type="gramEnd"/>
      <w:r w:rsidR="00261A8A">
        <w:t xml:space="preserve"> </w:t>
      </w:r>
      <w:r w:rsidR="004D17F2">
        <w:t xml:space="preserve">from </w:t>
      </w:r>
      <w:r w:rsidR="00261A8A">
        <w:t>400 to 1000 m</w:t>
      </w:r>
      <w:r w:rsidR="00261A8A" w:rsidRPr="00261A8A">
        <w:rPr>
          <w:vertAlign w:val="superscript"/>
        </w:rPr>
        <w:t>2</w:t>
      </w:r>
      <w:r w:rsidR="00261A8A">
        <w:t xml:space="preserve">.  This is </w:t>
      </w:r>
      <w:r w:rsidR="0046558D">
        <w:t xml:space="preserve">27% </w:t>
      </w:r>
      <w:r w:rsidR="00261A8A">
        <w:t xml:space="preserve">lower than </w:t>
      </w:r>
      <w:r w:rsidR="002A7E7D">
        <w:t xml:space="preserve">the value </w:t>
      </w:r>
      <w:r w:rsidR="006F0BF5">
        <w:t xml:space="preserve">reported here </w:t>
      </w:r>
      <w:r w:rsidR="002A7E7D">
        <w:t>(</w:t>
      </w:r>
      <w:r w:rsidR="006F0BF5">
        <w:t>SEC</w:t>
      </w:r>
      <w:r w:rsidR="006F0BF5" w:rsidRPr="00B26675">
        <w:rPr>
          <w:vertAlign w:val="subscript"/>
        </w:rPr>
        <w:t>E</w:t>
      </w:r>
      <w:r w:rsidR="00647929">
        <w:rPr>
          <w:vertAlign w:val="subscript"/>
        </w:rPr>
        <w:t>E</w:t>
      </w:r>
      <w:r w:rsidR="006F0BF5">
        <w:rPr>
          <w:vertAlign w:val="subscript"/>
        </w:rPr>
        <w:t>/SFA</w:t>
      </w:r>
      <w:r w:rsidR="002A7E7D">
        <w:t xml:space="preserve"> </w:t>
      </w:r>
      <w:proofErr w:type="gramStart"/>
      <w:r w:rsidR="002A7E7D">
        <w:t>of</w:t>
      </w:r>
      <w:r w:rsidR="006F0BF5">
        <w:t xml:space="preserve">  558</w:t>
      </w:r>
      <w:proofErr w:type="gramEnd"/>
      <w:r w:rsidR="006F0BF5">
        <w:t xml:space="preserve"> kWh.</w:t>
      </w:r>
      <w:r w:rsidR="006F0BF5" w:rsidRPr="00A40C16">
        <w:t>m</w:t>
      </w:r>
      <w:r w:rsidR="006F0BF5" w:rsidRPr="00261A8A">
        <w:rPr>
          <w:vertAlign w:val="superscript"/>
        </w:rPr>
        <w:t>-</w:t>
      </w:r>
      <w:r w:rsidR="006F0BF5" w:rsidRPr="00A40C16">
        <w:rPr>
          <w:vertAlign w:val="superscript"/>
        </w:rPr>
        <w:t>2</w:t>
      </w:r>
      <w:r w:rsidR="006F0BF5">
        <w:rPr>
          <w:vertAlign w:val="superscript"/>
        </w:rPr>
        <w:t>.</w:t>
      </w:r>
      <w:r w:rsidR="006F0BF5" w:rsidRPr="00B26675">
        <w:t>yr</w:t>
      </w:r>
      <w:r w:rsidR="006F0BF5">
        <w:rPr>
          <w:vertAlign w:val="superscript"/>
        </w:rPr>
        <w:t>-1</w:t>
      </w:r>
      <w:r w:rsidR="002A7E7D">
        <w:t>)</w:t>
      </w:r>
      <w:r w:rsidR="006F0BF5">
        <w:t>.</w:t>
      </w:r>
    </w:p>
    <w:p w14:paraId="2D236778" w14:textId="706C6C4B" w:rsidR="00E31E65" w:rsidRDefault="00FE0002" w:rsidP="001E5449">
      <w:r>
        <w:t>The</w:t>
      </w:r>
      <w:r w:rsidR="007C0628">
        <w:t xml:space="preserve"> data </w:t>
      </w:r>
      <w:r>
        <w:t xml:space="preserve">presented in this paper </w:t>
      </w:r>
      <w:r w:rsidR="002A7E7D">
        <w:t>showed</w:t>
      </w:r>
      <w:r w:rsidR="007C0628">
        <w:t xml:space="preserve"> a much lower SEC</w:t>
      </w:r>
      <w:r w:rsidR="007C0628" w:rsidRPr="007C0628">
        <w:rPr>
          <w:vertAlign w:val="subscript"/>
        </w:rPr>
        <w:t>E</w:t>
      </w:r>
      <w:r w:rsidR="002A7E7D">
        <w:rPr>
          <w:vertAlign w:val="subscript"/>
        </w:rPr>
        <w:t>E</w:t>
      </w:r>
      <w:r w:rsidR="007C0628" w:rsidRPr="007C0628">
        <w:rPr>
          <w:vertAlign w:val="subscript"/>
        </w:rPr>
        <w:t xml:space="preserve">/SFA </w:t>
      </w:r>
      <w:r w:rsidR="007C0628">
        <w:t>than reported</w:t>
      </w:r>
      <w:r>
        <w:t xml:space="preserve"> by </w:t>
      </w:r>
      <w:r w:rsidRPr="009907A8">
        <w:t>Tassou et al (2011)</w:t>
      </w:r>
      <w:r w:rsidR="007C0628">
        <w:t xml:space="preserve">.  Tassou </w:t>
      </w:r>
      <w:r w:rsidR="002A7E7D">
        <w:t xml:space="preserve">et al </w:t>
      </w:r>
      <w:r w:rsidR="007C0628">
        <w:t xml:space="preserve">reported a very strong </w:t>
      </w:r>
      <w:r w:rsidR="00CC7E32">
        <w:t xml:space="preserve">inverse power relationship when all sizes of stores were </w:t>
      </w:r>
      <w:r w:rsidR="00596F2C">
        <w:t>analysed</w:t>
      </w:r>
      <w:r w:rsidR="00CC7E32">
        <w:t xml:space="preserve">.  It </w:t>
      </w:r>
      <w:r w:rsidR="002A7E7D">
        <w:t>was</w:t>
      </w:r>
      <w:r w:rsidR="00CC7E32">
        <w:t xml:space="preserve"> not possible to compare the stores with SFA below 280 m</w:t>
      </w:r>
      <w:r w:rsidR="00CC7E32" w:rsidRPr="00CC7E32">
        <w:rPr>
          <w:vertAlign w:val="superscript"/>
        </w:rPr>
        <w:t>2</w:t>
      </w:r>
      <w:r w:rsidR="00CC7E32">
        <w:t xml:space="preserve">, as this was below </w:t>
      </w:r>
      <w:r w:rsidR="004D17F2">
        <w:t>the minimum size in</w:t>
      </w:r>
      <w:r w:rsidR="00CC7E32">
        <w:t xml:space="preserve"> our study.  However, Tassou </w:t>
      </w:r>
      <w:r w:rsidR="002A7E7D">
        <w:t xml:space="preserve">et al </w:t>
      </w:r>
      <w:r w:rsidR="00CC7E32">
        <w:t>showed SEC</w:t>
      </w:r>
      <w:r w:rsidR="002A7E7D" w:rsidRPr="00B6530A">
        <w:rPr>
          <w:vertAlign w:val="subscript"/>
        </w:rPr>
        <w:t>E</w:t>
      </w:r>
      <w:r w:rsidR="00CC7E32" w:rsidRPr="007C0628">
        <w:rPr>
          <w:vertAlign w:val="subscript"/>
        </w:rPr>
        <w:t>E/SFA</w:t>
      </w:r>
      <w:r w:rsidR="00CC7E32">
        <w:t xml:space="preserve"> reducing from about 1500 </w:t>
      </w:r>
      <w:proofErr w:type="gramStart"/>
      <w:r w:rsidR="00CC7E32">
        <w:t xml:space="preserve">to </w:t>
      </w:r>
      <w:r w:rsidR="002A66C8">
        <w:t>85</w:t>
      </w:r>
      <w:r w:rsidR="00CC7E32">
        <w:t xml:space="preserve">0 </w:t>
      </w:r>
      <w:r w:rsidR="00CC7E32">
        <w:rPr>
          <w:lang w:eastAsia="en-US"/>
        </w:rPr>
        <w:t>kWh.m</w:t>
      </w:r>
      <w:r w:rsidR="00CC7E32" w:rsidRPr="006F788B">
        <w:rPr>
          <w:vertAlign w:val="superscript"/>
          <w:lang w:eastAsia="en-US"/>
        </w:rPr>
        <w:t>-</w:t>
      </w:r>
      <w:r w:rsidR="00CC7E32">
        <w:rPr>
          <w:vertAlign w:val="superscript"/>
          <w:lang w:eastAsia="en-US"/>
        </w:rPr>
        <w:t>2</w:t>
      </w:r>
      <w:r w:rsidR="00CC7E32">
        <w:rPr>
          <w:lang w:eastAsia="en-US"/>
        </w:rPr>
        <w:t>.year</w:t>
      </w:r>
      <w:r w:rsidR="00CC7E32" w:rsidRPr="00014E99">
        <w:rPr>
          <w:vertAlign w:val="superscript"/>
          <w:lang w:eastAsia="en-US"/>
        </w:rPr>
        <w:t>-1</w:t>
      </w:r>
      <w:proofErr w:type="gramEnd"/>
      <w:r w:rsidR="00CC7E32">
        <w:rPr>
          <w:lang w:eastAsia="en-US"/>
        </w:rPr>
        <w:t xml:space="preserve"> for SFA between 280 and 1400 m</w:t>
      </w:r>
      <w:r w:rsidR="00CC7E32" w:rsidRPr="00CC7E32">
        <w:rPr>
          <w:vertAlign w:val="superscript"/>
          <w:lang w:eastAsia="en-US"/>
        </w:rPr>
        <w:t>2</w:t>
      </w:r>
      <w:r w:rsidR="00CC7E32">
        <w:rPr>
          <w:lang w:eastAsia="en-US"/>
        </w:rPr>
        <w:t xml:space="preserve">.  </w:t>
      </w:r>
      <w:r w:rsidR="004D17F2">
        <w:rPr>
          <w:lang w:eastAsia="en-US"/>
        </w:rPr>
        <w:t>I</w:t>
      </w:r>
      <w:r w:rsidR="00CC7E32">
        <w:rPr>
          <w:lang w:eastAsia="en-US"/>
        </w:rPr>
        <w:t xml:space="preserve">n </w:t>
      </w:r>
      <w:r w:rsidR="004D17F2">
        <w:rPr>
          <w:lang w:eastAsia="en-US"/>
        </w:rPr>
        <w:t xml:space="preserve">the current </w:t>
      </w:r>
      <w:r w:rsidR="00CC7E32">
        <w:rPr>
          <w:lang w:eastAsia="en-US"/>
        </w:rPr>
        <w:t>study f</w:t>
      </w:r>
      <w:r w:rsidR="002A7E7D">
        <w:rPr>
          <w:lang w:eastAsia="en-US"/>
        </w:rPr>
        <w:t xml:space="preserve">or this range of SFA, we </w:t>
      </w:r>
      <w:r w:rsidR="00596F2C">
        <w:rPr>
          <w:lang w:eastAsia="en-US"/>
        </w:rPr>
        <w:t xml:space="preserve">had </w:t>
      </w:r>
      <w:r w:rsidR="002A7E7D">
        <w:rPr>
          <w:lang w:eastAsia="en-US"/>
        </w:rPr>
        <w:t>a</w:t>
      </w:r>
      <w:r w:rsidR="00CC7E32">
        <w:rPr>
          <w:lang w:eastAsia="en-US"/>
        </w:rPr>
        <w:t xml:space="preserve"> mean </w:t>
      </w:r>
      <w:r w:rsidR="00CC7E32">
        <w:t>SEC</w:t>
      </w:r>
      <w:r w:rsidR="00CC7E32" w:rsidRPr="007C0628">
        <w:rPr>
          <w:vertAlign w:val="subscript"/>
        </w:rPr>
        <w:t>E</w:t>
      </w:r>
      <w:r w:rsidR="002A7E7D">
        <w:rPr>
          <w:vertAlign w:val="subscript"/>
        </w:rPr>
        <w:t>E</w:t>
      </w:r>
      <w:r w:rsidR="00CC7E32" w:rsidRPr="007C0628">
        <w:rPr>
          <w:vertAlign w:val="subscript"/>
        </w:rPr>
        <w:t>/SFA</w:t>
      </w:r>
      <w:r w:rsidR="00CC7E32">
        <w:rPr>
          <w:lang w:eastAsia="en-US"/>
        </w:rPr>
        <w:t xml:space="preserve"> </w:t>
      </w:r>
      <w:proofErr w:type="gramStart"/>
      <w:r w:rsidR="00CC7E32">
        <w:rPr>
          <w:lang w:eastAsia="en-US"/>
        </w:rPr>
        <w:t xml:space="preserve">of </w:t>
      </w:r>
      <w:r w:rsidR="000E0AD1">
        <w:rPr>
          <w:lang w:eastAsia="en-US"/>
        </w:rPr>
        <w:br/>
      </w:r>
      <w:r w:rsidR="00CC7E32">
        <w:rPr>
          <w:lang w:eastAsia="en-US"/>
        </w:rPr>
        <w:t>554 kWh.m</w:t>
      </w:r>
      <w:r w:rsidR="00CC7E32" w:rsidRPr="006F788B">
        <w:rPr>
          <w:vertAlign w:val="superscript"/>
          <w:lang w:eastAsia="en-US"/>
        </w:rPr>
        <w:t>-</w:t>
      </w:r>
      <w:r w:rsidR="00CC7E32">
        <w:rPr>
          <w:vertAlign w:val="superscript"/>
          <w:lang w:eastAsia="en-US"/>
        </w:rPr>
        <w:t>2</w:t>
      </w:r>
      <w:r w:rsidR="00CC7E32">
        <w:rPr>
          <w:lang w:eastAsia="en-US"/>
        </w:rPr>
        <w:t>.year</w:t>
      </w:r>
      <w:r w:rsidR="00CC7E32" w:rsidRPr="00014E99">
        <w:rPr>
          <w:vertAlign w:val="superscript"/>
          <w:lang w:eastAsia="en-US"/>
        </w:rPr>
        <w:t>-1</w:t>
      </w:r>
      <w:proofErr w:type="gramEnd"/>
      <w:r w:rsidR="00CC7E32">
        <w:rPr>
          <w:lang w:eastAsia="en-US"/>
        </w:rPr>
        <w:t>.  The best fit is for the largest stores between 5000 and 10000 m</w:t>
      </w:r>
      <w:r w:rsidR="00CC7E32" w:rsidRPr="00CC7E32">
        <w:rPr>
          <w:vertAlign w:val="superscript"/>
          <w:lang w:eastAsia="en-US"/>
        </w:rPr>
        <w:t>2</w:t>
      </w:r>
      <w:r w:rsidR="00CC7E32">
        <w:rPr>
          <w:lang w:eastAsia="en-US"/>
        </w:rPr>
        <w:t xml:space="preserve"> SFA.  In this ra</w:t>
      </w:r>
      <w:r>
        <w:rPr>
          <w:lang w:eastAsia="en-US"/>
        </w:rPr>
        <w:t>n</w:t>
      </w:r>
      <w:r w:rsidR="00CC7E32">
        <w:rPr>
          <w:lang w:eastAsia="en-US"/>
        </w:rPr>
        <w:t>ge</w:t>
      </w:r>
      <w:r>
        <w:rPr>
          <w:lang w:eastAsia="en-US"/>
        </w:rPr>
        <w:t>,</w:t>
      </w:r>
      <w:r w:rsidR="00CC7E32">
        <w:rPr>
          <w:lang w:eastAsia="en-US"/>
        </w:rPr>
        <w:t xml:space="preserve"> Tassou </w:t>
      </w:r>
      <w:r w:rsidR="007C3560">
        <w:rPr>
          <w:lang w:eastAsia="en-US"/>
        </w:rPr>
        <w:t xml:space="preserve">et al </w:t>
      </w:r>
      <w:r w:rsidR="00CC7E32">
        <w:rPr>
          <w:lang w:eastAsia="en-US"/>
        </w:rPr>
        <w:t xml:space="preserve">showed </w:t>
      </w:r>
      <w:r w:rsidR="007C3560">
        <w:t>SEC</w:t>
      </w:r>
      <w:r w:rsidR="002A7E7D" w:rsidRPr="00FE0002">
        <w:rPr>
          <w:vertAlign w:val="subscript"/>
        </w:rPr>
        <w:t>E</w:t>
      </w:r>
      <w:r w:rsidR="007C3560" w:rsidRPr="007C0628">
        <w:rPr>
          <w:vertAlign w:val="subscript"/>
        </w:rPr>
        <w:t>E/SFA</w:t>
      </w:r>
      <w:r w:rsidR="007C3560">
        <w:t xml:space="preserve"> reducing from just over 8</w:t>
      </w:r>
      <w:r w:rsidR="002A66C8">
        <w:t>7</w:t>
      </w:r>
      <w:r w:rsidR="007C3560">
        <w:t xml:space="preserve">0 to </w:t>
      </w:r>
      <w:r w:rsidR="002A66C8">
        <w:t>660</w:t>
      </w:r>
      <w:r w:rsidR="007C3560">
        <w:t xml:space="preserve"> </w:t>
      </w:r>
      <w:r w:rsidR="007C3560">
        <w:rPr>
          <w:lang w:eastAsia="en-US"/>
        </w:rPr>
        <w:t>kWh.m</w:t>
      </w:r>
      <w:r w:rsidR="007C3560" w:rsidRPr="006F788B">
        <w:rPr>
          <w:vertAlign w:val="superscript"/>
          <w:lang w:eastAsia="en-US"/>
        </w:rPr>
        <w:t>-</w:t>
      </w:r>
      <w:r w:rsidR="007C3560">
        <w:rPr>
          <w:vertAlign w:val="superscript"/>
          <w:lang w:eastAsia="en-US"/>
        </w:rPr>
        <w:t>2</w:t>
      </w:r>
      <w:r w:rsidR="007C3560">
        <w:rPr>
          <w:lang w:eastAsia="en-US"/>
        </w:rPr>
        <w:t>.year</w:t>
      </w:r>
      <w:r w:rsidR="007C3560" w:rsidRPr="00014E99">
        <w:rPr>
          <w:vertAlign w:val="superscript"/>
          <w:lang w:eastAsia="en-US"/>
        </w:rPr>
        <w:t>-1</w:t>
      </w:r>
      <w:r w:rsidR="007C3560">
        <w:rPr>
          <w:lang w:eastAsia="en-US"/>
        </w:rPr>
        <w:t xml:space="preserve"> </w:t>
      </w:r>
      <w:r>
        <w:rPr>
          <w:lang w:eastAsia="en-US"/>
        </w:rPr>
        <w:t xml:space="preserve">compared </w:t>
      </w:r>
      <w:proofErr w:type="gramStart"/>
      <w:r>
        <w:rPr>
          <w:lang w:eastAsia="en-US"/>
        </w:rPr>
        <w:t xml:space="preserve">to </w:t>
      </w:r>
      <w:r w:rsidR="000E0AD1">
        <w:rPr>
          <w:lang w:eastAsia="en-US"/>
        </w:rPr>
        <w:br/>
      </w:r>
      <w:r w:rsidR="007C3560">
        <w:rPr>
          <w:lang w:eastAsia="en-US"/>
        </w:rPr>
        <w:t>523 kWh.m</w:t>
      </w:r>
      <w:r w:rsidR="007C3560" w:rsidRPr="006F788B">
        <w:rPr>
          <w:vertAlign w:val="superscript"/>
          <w:lang w:eastAsia="en-US"/>
        </w:rPr>
        <w:t>-</w:t>
      </w:r>
      <w:r w:rsidR="007C3560">
        <w:rPr>
          <w:vertAlign w:val="superscript"/>
          <w:lang w:eastAsia="en-US"/>
        </w:rPr>
        <w:t>2</w:t>
      </w:r>
      <w:r w:rsidR="007C3560">
        <w:rPr>
          <w:lang w:eastAsia="en-US"/>
        </w:rPr>
        <w:t>.year</w:t>
      </w:r>
      <w:r w:rsidR="007C3560" w:rsidRPr="00014E99">
        <w:rPr>
          <w:vertAlign w:val="superscript"/>
          <w:lang w:eastAsia="en-US"/>
        </w:rPr>
        <w:t>-1</w:t>
      </w:r>
      <w:r>
        <w:rPr>
          <w:vertAlign w:val="superscript"/>
          <w:lang w:eastAsia="en-US"/>
        </w:rPr>
        <w:t xml:space="preserve"> </w:t>
      </w:r>
      <w:r>
        <w:rPr>
          <w:lang w:eastAsia="en-US"/>
        </w:rPr>
        <w:t>for this range of SFA</w:t>
      </w:r>
      <w:proofErr w:type="gramEnd"/>
      <w:r>
        <w:rPr>
          <w:lang w:eastAsia="en-US"/>
        </w:rPr>
        <w:t xml:space="preserve"> with the data reported in this paper.</w:t>
      </w:r>
    </w:p>
    <w:p w14:paraId="28FFAB6A" w14:textId="48E46660" w:rsidR="002A7E7D" w:rsidRDefault="002A7E7D">
      <w:pPr>
        <w:overflowPunct/>
        <w:autoSpaceDE/>
        <w:autoSpaceDN/>
        <w:adjustRightInd/>
        <w:spacing w:after="0"/>
        <w:jc w:val="left"/>
        <w:textAlignment w:val="auto"/>
        <w:rPr>
          <w:rFonts w:eastAsiaTheme="minorHAnsi" w:cstheme="minorBidi"/>
          <w:b/>
          <w:bCs/>
          <w:sz w:val="20"/>
          <w:szCs w:val="18"/>
          <w:lang w:eastAsia="en-US"/>
        </w:rPr>
      </w:pPr>
    </w:p>
    <w:p w14:paraId="11F288DE" w14:textId="77777777" w:rsidR="00145FE7" w:rsidRDefault="00145FE7">
      <w:pPr>
        <w:overflowPunct/>
        <w:autoSpaceDE/>
        <w:autoSpaceDN/>
        <w:adjustRightInd/>
        <w:spacing w:after="0"/>
        <w:jc w:val="left"/>
        <w:textAlignment w:val="auto"/>
        <w:rPr>
          <w:rFonts w:eastAsiaTheme="minorHAnsi" w:cstheme="minorBidi"/>
          <w:b/>
          <w:bCs/>
          <w:sz w:val="20"/>
          <w:szCs w:val="18"/>
          <w:lang w:eastAsia="en-US"/>
        </w:rPr>
      </w:pPr>
      <w:r>
        <w:br w:type="page"/>
      </w:r>
    </w:p>
    <w:p w14:paraId="42452589" w14:textId="1FAEDA1F" w:rsidR="00E31E65" w:rsidRDefault="00E31E65" w:rsidP="00E31E65">
      <w:pPr>
        <w:pStyle w:val="Caption"/>
      </w:pPr>
      <w:proofErr w:type="gramStart"/>
      <w:r>
        <w:lastRenderedPageBreak/>
        <w:t xml:space="preserve">Table </w:t>
      </w:r>
      <w:r w:rsidR="006A14D7">
        <w:fldChar w:fldCharType="begin"/>
      </w:r>
      <w:r w:rsidR="006A14D7">
        <w:instrText xml:space="preserve"> SEQ Table \* ARABIC </w:instrText>
      </w:r>
      <w:r w:rsidR="006A14D7">
        <w:fldChar w:fldCharType="separate"/>
      </w:r>
      <w:r>
        <w:rPr>
          <w:noProof/>
        </w:rPr>
        <w:t>2</w:t>
      </w:r>
      <w:r w:rsidR="006A14D7">
        <w:rPr>
          <w:noProof/>
        </w:rPr>
        <w:fldChar w:fldCharType="end"/>
      </w:r>
      <w:r>
        <w:t>.</w:t>
      </w:r>
      <w:proofErr w:type="gramEnd"/>
      <w:r>
        <w:t xml:space="preserve">  </w:t>
      </w:r>
      <w:proofErr w:type="gramStart"/>
      <w:r w:rsidR="007945B6">
        <w:t xml:space="preserve">Specific energy consumption of </w:t>
      </w:r>
      <w:r w:rsidR="00854E77">
        <w:t>retailers</w:t>
      </w:r>
      <w:r w:rsidR="007945B6">
        <w:t xml:space="preserve"> found in the literature as well as this study.</w:t>
      </w:r>
      <w:proofErr w:type="gramEnd"/>
    </w:p>
    <w:tbl>
      <w:tblPr>
        <w:tblStyle w:val="TableGrid"/>
        <w:tblW w:w="0" w:type="auto"/>
        <w:tblLook w:val="04A0" w:firstRow="1" w:lastRow="0" w:firstColumn="1" w:lastColumn="0" w:noHBand="0" w:noVBand="1"/>
      </w:tblPr>
      <w:tblGrid>
        <w:gridCol w:w="1623"/>
        <w:gridCol w:w="1481"/>
        <w:gridCol w:w="1687"/>
        <w:gridCol w:w="1721"/>
        <w:gridCol w:w="1685"/>
        <w:gridCol w:w="1657"/>
      </w:tblGrid>
      <w:tr w:rsidR="004F142E" w:rsidRPr="0082255B" w14:paraId="6EF6F384" w14:textId="77777777" w:rsidTr="004F142E">
        <w:tc>
          <w:tcPr>
            <w:tcW w:w="1623" w:type="dxa"/>
          </w:tcPr>
          <w:p w14:paraId="5EB373D1" w14:textId="77777777" w:rsidR="004F142E" w:rsidRPr="0082255B" w:rsidRDefault="004F142E" w:rsidP="00173A13">
            <w:r w:rsidRPr="0082255B">
              <w:t>Source</w:t>
            </w:r>
          </w:p>
        </w:tc>
        <w:tc>
          <w:tcPr>
            <w:tcW w:w="1481" w:type="dxa"/>
          </w:tcPr>
          <w:p w14:paraId="4726EB56" w14:textId="22BF55F5" w:rsidR="004F142E" w:rsidRPr="0082255B" w:rsidRDefault="004F142E" w:rsidP="00173A13">
            <w:r>
              <w:t>Store location</w:t>
            </w:r>
            <w:r w:rsidR="005B52A5">
              <w:t xml:space="preserve"> and</w:t>
            </w:r>
            <w:r w:rsidR="005B52A5" w:rsidRPr="00D86B4D">
              <w:t xml:space="preserve"> date</w:t>
            </w:r>
          </w:p>
        </w:tc>
        <w:tc>
          <w:tcPr>
            <w:tcW w:w="1687" w:type="dxa"/>
          </w:tcPr>
          <w:p w14:paraId="2DB18BE0" w14:textId="74AA5FB7" w:rsidR="004F142E" w:rsidRPr="0082255B" w:rsidRDefault="004F142E" w:rsidP="00173A13">
            <w:r w:rsidRPr="0082255B">
              <w:t>Energy intensity</w:t>
            </w:r>
            <w:r>
              <w:t xml:space="preserve"> (kWh/m2)</w:t>
            </w:r>
          </w:p>
        </w:tc>
        <w:tc>
          <w:tcPr>
            <w:tcW w:w="1721" w:type="dxa"/>
          </w:tcPr>
          <w:p w14:paraId="0F4FD816" w14:textId="77777777" w:rsidR="004F142E" w:rsidRPr="0082255B" w:rsidRDefault="004F142E" w:rsidP="00173A13">
            <w:r w:rsidRPr="0082255B">
              <w:t>Basis of SEC</w:t>
            </w:r>
          </w:p>
        </w:tc>
        <w:tc>
          <w:tcPr>
            <w:tcW w:w="1685" w:type="dxa"/>
          </w:tcPr>
          <w:p w14:paraId="5A66C371" w14:textId="4114A060" w:rsidR="004F142E" w:rsidRPr="0082255B" w:rsidRDefault="004F142E" w:rsidP="00173A13">
            <w:r>
              <w:t>Floor area applicable for</w:t>
            </w:r>
          </w:p>
        </w:tc>
        <w:tc>
          <w:tcPr>
            <w:tcW w:w="1657" w:type="dxa"/>
          </w:tcPr>
          <w:p w14:paraId="052170F4" w14:textId="26D527DB" w:rsidR="004F142E" w:rsidRPr="0082255B" w:rsidRDefault="004F142E" w:rsidP="00173A13">
            <w:r w:rsidRPr="0082255B">
              <w:t>Notes</w:t>
            </w:r>
          </w:p>
        </w:tc>
      </w:tr>
      <w:tr w:rsidR="004F142E" w:rsidRPr="00CE482C" w14:paraId="0B3C1DD0" w14:textId="77777777" w:rsidTr="004F142E">
        <w:tc>
          <w:tcPr>
            <w:tcW w:w="1623" w:type="dxa"/>
          </w:tcPr>
          <w:p w14:paraId="12E8F59C" w14:textId="520405BF" w:rsidR="004F142E" w:rsidRPr="00CE482C" w:rsidRDefault="004F142E" w:rsidP="00173A13">
            <w:pPr>
              <w:rPr>
                <w:b/>
              </w:rPr>
            </w:pPr>
            <w:r>
              <w:rPr>
                <w:b/>
              </w:rPr>
              <w:t>This study</w:t>
            </w:r>
          </w:p>
        </w:tc>
        <w:tc>
          <w:tcPr>
            <w:tcW w:w="1481" w:type="dxa"/>
          </w:tcPr>
          <w:p w14:paraId="34FAD27D" w14:textId="77A331C3" w:rsidR="004F142E" w:rsidRDefault="004F142E" w:rsidP="00173A13">
            <w:pPr>
              <w:rPr>
                <w:b/>
              </w:rPr>
            </w:pPr>
            <w:r>
              <w:rPr>
                <w:b/>
              </w:rPr>
              <w:t>UK</w:t>
            </w:r>
            <w:r w:rsidR="00FC4FD4">
              <w:rPr>
                <w:b/>
              </w:rPr>
              <w:t xml:space="preserve"> (2015)</w:t>
            </w:r>
          </w:p>
        </w:tc>
        <w:tc>
          <w:tcPr>
            <w:tcW w:w="1687" w:type="dxa"/>
          </w:tcPr>
          <w:p w14:paraId="720EEE90" w14:textId="3B1F25D3" w:rsidR="004F142E" w:rsidRPr="00CE482C" w:rsidRDefault="004F142E" w:rsidP="00173A13">
            <w:pPr>
              <w:rPr>
                <w:b/>
              </w:rPr>
            </w:pPr>
            <w:r>
              <w:rPr>
                <w:b/>
              </w:rPr>
              <w:t>566</w:t>
            </w:r>
          </w:p>
        </w:tc>
        <w:tc>
          <w:tcPr>
            <w:tcW w:w="1721" w:type="dxa"/>
          </w:tcPr>
          <w:p w14:paraId="41E2F23D" w14:textId="77777777" w:rsidR="004F142E" w:rsidRPr="00CE482C" w:rsidRDefault="004F142E" w:rsidP="00173A13">
            <w:pPr>
              <w:rPr>
                <w:b/>
              </w:rPr>
            </w:pPr>
            <w:r w:rsidRPr="00CE482C">
              <w:rPr>
                <w:b/>
              </w:rPr>
              <w:t xml:space="preserve">Electrical </w:t>
            </w:r>
            <w:r>
              <w:rPr>
                <w:b/>
              </w:rPr>
              <w:t>energy</w:t>
            </w:r>
            <w:r w:rsidRPr="00CE482C">
              <w:rPr>
                <w:b/>
              </w:rPr>
              <w:t xml:space="preserve"> /SFA</w:t>
            </w:r>
          </w:p>
        </w:tc>
        <w:tc>
          <w:tcPr>
            <w:tcW w:w="1685" w:type="dxa"/>
          </w:tcPr>
          <w:p w14:paraId="355F8A9F" w14:textId="4F5952AC" w:rsidR="004F142E" w:rsidRPr="00CE482C" w:rsidRDefault="004F142E" w:rsidP="00173A13">
            <w:pPr>
              <w:rPr>
                <w:b/>
              </w:rPr>
            </w:pPr>
            <w:r>
              <w:rPr>
                <w:b/>
              </w:rPr>
              <w:t>3306</w:t>
            </w:r>
          </w:p>
        </w:tc>
        <w:tc>
          <w:tcPr>
            <w:tcW w:w="1657" w:type="dxa"/>
          </w:tcPr>
          <w:p w14:paraId="3A73E59A" w14:textId="33F52EF8" w:rsidR="004F142E" w:rsidRPr="00CE482C" w:rsidRDefault="004F142E" w:rsidP="00173A13">
            <w:pPr>
              <w:rPr>
                <w:b/>
              </w:rPr>
            </w:pPr>
            <w:r>
              <w:rPr>
                <w:b/>
              </w:rPr>
              <w:t xml:space="preserve">Reduces with larger </w:t>
            </w:r>
            <w:r w:rsidRPr="00CE482C">
              <w:rPr>
                <w:b/>
              </w:rPr>
              <w:t>FA</w:t>
            </w:r>
          </w:p>
        </w:tc>
      </w:tr>
      <w:tr w:rsidR="004F142E" w:rsidRPr="0082255B" w14:paraId="7BAD51BB" w14:textId="77777777" w:rsidTr="004F142E">
        <w:tc>
          <w:tcPr>
            <w:tcW w:w="1623" w:type="dxa"/>
          </w:tcPr>
          <w:p w14:paraId="1F36C1E6" w14:textId="77777777" w:rsidR="004F142E" w:rsidRPr="0082255B" w:rsidRDefault="004F142E" w:rsidP="00283927">
            <w:r>
              <w:t>Tassou et al (2011)</w:t>
            </w:r>
          </w:p>
        </w:tc>
        <w:tc>
          <w:tcPr>
            <w:tcW w:w="1481" w:type="dxa"/>
          </w:tcPr>
          <w:p w14:paraId="19C8EA5F" w14:textId="3C57C026" w:rsidR="004F142E" w:rsidRDefault="004F142E" w:rsidP="00283927">
            <w:r>
              <w:t>UK</w:t>
            </w:r>
          </w:p>
        </w:tc>
        <w:tc>
          <w:tcPr>
            <w:tcW w:w="1687" w:type="dxa"/>
          </w:tcPr>
          <w:p w14:paraId="12B952E6" w14:textId="1569E027" w:rsidR="004F142E" w:rsidRPr="0082255B" w:rsidRDefault="004F142E" w:rsidP="00283927">
            <w:r>
              <w:t>1700 to 1320</w:t>
            </w:r>
          </w:p>
        </w:tc>
        <w:tc>
          <w:tcPr>
            <w:tcW w:w="1721" w:type="dxa"/>
          </w:tcPr>
          <w:p w14:paraId="6AADF9D3" w14:textId="77777777" w:rsidR="004F142E" w:rsidRPr="0082255B" w:rsidRDefault="004F142E" w:rsidP="00283927">
            <w:r>
              <w:t>Electrical energy /SFA</w:t>
            </w:r>
          </w:p>
        </w:tc>
        <w:tc>
          <w:tcPr>
            <w:tcW w:w="1685" w:type="dxa"/>
          </w:tcPr>
          <w:p w14:paraId="2F55FD4D" w14:textId="77777777" w:rsidR="004F142E" w:rsidRDefault="004F142E" w:rsidP="00283927">
            <w:r>
              <w:t>80 to 280</w:t>
            </w:r>
          </w:p>
        </w:tc>
        <w:tc>
          <w:tcPr>
            <w:tcW w:w="1657" w:type="dxa"/>
          </w:tcPr>
          <w:p w14:paraId="10E35129" w14:textId="77777777" w:rsidR="004F142E" w:rsidRPr="0082255B" w:rsidRDefault="004F142E" w:rsidP="00283927">
            <w:r>
              <w:t>Reduces with larger FA</w:t>
            </w:r>
          </w:p>
        </w:tc>
      </w:tr>
      <w:tr w:rsidR="004F142E" w:rsidRPr="0082255B" w14:paraId="2177AF61" w14:textId="77777777" w:rsidTr="004F142E">
        <w:tc>
          <w:tcPr>
            <w:tcW w:w="1623" w:type="dxa"/>
          </w:tcPr>
          <w:p w14:paraId="432569D8" w14:textId="77777777" w:rsidR="004F142E" w:rsidRDefault="004F142E" w:rsidP="00283927">
            <w:r>
              <w:t>Tassou et al (2011)</w:t>
            </w:r>
          </w:p>
        </w:tc>
        <w:tc>
          <w:tcPr>
            <w:tcW w:w="1481" w:type="dxa"/>
          </w:tcPr>
          <w:p w14:paraId="20FC5A49" w14:textId="1A9CF0F4" w:rsidR="004F142E" w:rsidRDefault="004F142E" w:rsidP="00283927">
            <w:r>
              <w:t>UK</w:t>
            </w:r>
          </w:p>
        </w:tc>
        <w:tc>
          <w:tcPr>
            <w:tcW w:w="1687" w:type="dxa"/>
          </w:tcPr>
          <w:p w14:paraId="0D5A6780" w14:textId="4BD40CD0" w:rsidR="004F142E" w:rsidRDefault="004F142E" w:rsidP="00283927">
            <w:r>
              <w:t>1500 to 850</w:t>
            </w:r>
          </w:p>
        </w:tc>
        <w:tc>
          <w:tcPr>
            <w:tcW w:w="1721" w:type="dxa"/>
          </w:tcPr>
          <w:p w14:paraId="60415FC8" w14:textId="77777777" w:rsidR="004F142E" w:rsidRDefault="004F142E" w:rsidP="00283927">
            <w:r>
              <w:t>Electrical energy /SFA</w:t>
            </w:r>
          </w:p>
        </w:tc>
        <w:tc>
          <w:tcPr>
            <w:tcW w:w="1685" w:type="dxa"/>
          </w:tcPr>
          <w:p w14:paraId="47046408" w14:textId="77777777" w:rsidR="004F142E" w:rsidRDefault="004F142E" w:rsidP="00283927">
            <w:r>
              <w:t>280 to 1400</w:t>
            </w:r>
          </w:p>
        </w:tc>
        <w:tc>
          <w:tcPr>
            <w:tcW w:w="1657" w:type="dxa"/>
          </w:tcPr>
          <w:p w14:paraId="0E7E61B9" w14:textId="416AD506" w:rsidR="004F142E" w:rsidRDefault="002D7CDA" w:rsidP="00283927">
            <w:r>
              <w:t xml:space="preserve">Reduces with larger </w:t>
            </w:r>
            <w:r w:rsidR="004F142E">
              <w:t>FA</w:t>
            </w:r>
          </w:p>
        </w:tc>
      </w:tr>
      <w:tr w:rsidR="004F142E" w:rsidRPr="0082255B" w14:paraId="5074D613" w14:textId="77777777" w:rsidTr="004F142E">
        <w:tc>
          <w:tcPr>
            <w:tcW w:w="1623" w:type="dxa"/>
          </w:tcPr>
          <w:p w14:paraId="078FE66C" w14:textId="77777777" w:rsidR="004F142E" w:rsidRDefault="004F142E" w:rsidP="00283927">
            <w:r>
              <w:t>Tassou et al (2011)</w:t>
            </w:r>
          </w:p>
        </w:tc>
        <w:tc>
          <w:tcPr>
            <w:tcW w:w="1481" w:type="dxa"/>
          </w:tcPr>
          <w:p w14:paraId="529DC622" w14:textId="11D47DC9" w:rsidR="004F142E" w:rsidRDefault="004F142E" w:rsidP="00283927">
            <w:r>
              <w:t>UK</w:t>
            </w:r>
          </w:p>
        </w:tc>
        <w:tc>
          <w:tcPr>
            <w:tcW w:w="1687" w:type="dxa"/>
          </w:tcPr>
          <w:p w14:paraId="368769F8" w14:textId="0C206A61" w:rsidR="004F142E" w:rsidRDefault="004F142E" w:rsidP="00283927">
            <w:r>
              <w:t>920</w:t>
            </w:r>
          </w:p>
        </w:tc>
        <w:tc>
          <w:tcPr>
            <w:tcW w:w="1721" w:type="dxa"/>
          </w:tcPr>
          <w:p w14:paraId="03F9136F" w14:textId="77777777" w:rsidR="004F142E" w:rsidRDefault="004F142E" w:rsidP="00283927">
            <w:r>
              <w:t>Electrical energy /SFA</w:t>
            </w:r>
          </w:p>
        </w:tc>
        <w:tc>
          <w:tcPr>
            <w:tcW w:w="1685" w:type="dxa"/>
          </w:tcPr>
          <w:p w14:paraId="056B2F9E" w14:textId="77777777" w:rsidR="004F142E" w:rsidRDefault="004F142E" w:rsidP="00283927">
            <w:r>
              <w:t>1400 to 5000</w:t>
            </w:r>
          </w:p>
        </w:tc>
        <w:tc>
          <w:tcPr>
            <w:tcW w:w="1657" w:type="dxa"/>
          </w:tcPr>
          <w:p w14:paraId="7C0E6CE7" w14:textId="2035D3EC" w:rsidR="004F142E" w:rsidRDefault="002D7CDA" w:rsidP="00283927">
            <w:r>
              <w:t xml:space="preserve">Reduces with larger </w:t>
            </w:r>
            <w:r w:rsidR="004F142E">
              <w:t>FA</w:t>
            </w:r>
          </w:p>
        </w:tc>
      </w:tr>
      <w:tr w:rsidR="004F142E" w:rsidRPr="0082255B" w14:paraId="50963FD7" w14:textId="77777777" w:rsidTr="004F142E">
        <w:tc>
          <w:tcPr>
            <w:tcW w:w="1623" w:type="dxa"/>
          </w:tcPr>
          <w:p w14:paraId="2D456FFE" w14:textId="77777777" w:rsidR="004F142E" w:rsidRDefault="004F142E" w:rsidP="00283927">
            <w:r>
              <w:t>Tassou et al (2011)</w:t>
            </w:r>
          </w:p>
        </w:tc>
        <w:tc>
          <w:tcPr>
            <w:tcW w:w="1481" w:type="dxa"/>
          </w:tcPr>
          <w:p w14:paraId="2C4058BC" w14:textId="1FEA43E4" w:rsidR="004F142E" w:rsidRDefault="004F142E" w:rsidP="00283927">
            <w:r>
              <w:t>UK</w:t>
            </w:r>
          </w:p>
        </w:tc>
        <w:tc>
          <w:tcPr>
            <w:tcW w:w="1687" w:type="dxa"/>
          </w:tcPr>
          <w:p w14:paraId="5BE63BFD" w14:textId="09C6D75A" w:rsidR="004F142E" w:rsidRDefault="004F142E" w:rsidP="00283927">
            <w:r>
              <w:t>870 to 660</w:t>
            </w:r>
          </w:p>
        </w:tc>
        <w:tc>
          <w:tcPr>
            <w:tcW w:w="1721" w:type="dxa"/>
          </w:tcPr>
          <w:p w14:paraId="2A983526" w14:textId="77777777" w:rsidR="004F142E" w:rsidRDefault="004F142E" w:rsidP="00283927">
            <w:r>
              <w:t>Electrical energy /SFA</w:t>
            </w:r>
          </w:p>
        </w:tc>
        <w:tc>
          <w:tcPr>
            <w:tcW w:w="1685" w:type="dxa"/>
          </w:tcPr>
          <w:p w14:paraId="2C3BBD49" w14:textId="39B249B9" w:rsidR="004F142E" w:rsidRDefault="004F142E" w:rsidP="00283927">
            <w:r>
              <w:t>5000 to 1000</w:t>
            </w:r>
            <w:r w:rsidR="004F44D4">
              <w:t>0</w:t>
            </w:r>
          </w:p>
        </w:tc>
        <w:tc>
          <w:tcPr>
            <w:tcW w:w="1657" w:type="dxa"/>
          </w:tcPr>
          <w:p w14:paraId="0AD96221" w14:textId="14FAA02F" w:rsidR="004F142E" w:rsidRDefault="002D7CDA" w:rsidP="00283927">
            <w:r>
              <w:t xml:space="preserve">Reduces with larger </w:t>
            </w:r>
            <w:r w:rsidR="004F142E">
              <w:t>FA</w:t>
            </w:r>
          </w:p>
        </w:tc>
      </w:tr>
      <w:tr w:rsidR="000E1A43" w:rsidRPr="0082255B" w14:paraId="283420AE" w14:textId="77777777" w:rsidTr="00F92EEC">
        <w:tc>
          <w:tcPr>
            <w:tcW w:w="1623" w:type="dxa"/>
          </w:tcPr>
          <w:p w14:paraId="7843DD09" w14:textId="77777777" w:rsidR="000E1A43" w:rsidRDefault="000E1A43" w:rsidP="00F92EEC">
            <w:r>
              <w:t xml:space="preserve">Van der </w:t>
            </w:r>
            <w:proofErr w:type="spellStart"/>
            <w:r>
              <w:t>Sluis</w:t>
            </w:r>
            <w:proofErr w:type="spellEnd"/>
            <w:r>
              <w:t xml:space="preserve"> et al (2015)</w:t>
            </w:r>
          </w:p>
        </w:tc>
        <w:tc>
          <w:tcPr>
            <w:tcW w:w="1481" w:type="dxa"/>
          </w:tcPr>
          <w:p w14:paraId="5E839F8C" w14:textId="77777777" w:rsidR="000E1A43" w:rsidRDefault="000E1A43" w:rsidP="00F92EEC">
            <w:r>
              <w:t>Netherlands (2013)</w:t>
            </w:r>
          </w:p>
        </w:tc>
        <w:tc>
          <w:tcPr>
            <w:tcW w:w="1687" w:type="dxa"/>
          </w:tcPr>
          <w:p w14:paraId="7A8CB2AB" w14:textId="77777777" w:rsidR="000E1A43" w:rsidRDefault="000E1A43" w:rsidP="00F92EEC">
            <w:r>
              <w:t>407</w:t>
            </w:r>
          </w:p>
        </w:tc>
        <w:tc>
          <w:tcPr>
            <w:tcW w:w="1721" w:type="dxa"/>
          </w:tcPr>
          <w:p w14:paraId="02AF5125" w14:textId="77777777" w:rsidR="000E1A43" w:rsidRDefault="000E1A43" w:rsidP="00F92EEC">
            <w:r>
              <w:t>Electrical energy /SFA</w:t>
            </w:r>
          </w:p>
        </w:tc>
        <w:tc>
          <w:tcPr>
            <w:tcW w:w="1685" w:type="dxa"/>
          </w:tcPr>
          <w:p w14:paraId="1AC8B80F" w14:textId="77777777" w:rsidR="000E1A43" w:rsidRDefault="000E1A43" w:rsidP="00F92EEC">
            <w:r>
              <w:t>~400 to ~1000</w:t>
            </w:r>
          </w:p>
        </w:tc>
        <w:tc>
          <w:tcPr>
            <w:tcW w:w="1657" w:type="dxa"/>
          </w:tcPr>
          <w:p w14:paraId="2149D319" w14:textId="77777777" w:rsidR="000E1A43" w:rsidRDefault="000E1A43" w:rsidP="00F92EEC"/>
        </w:tc>
      </w:tr>
      <w:tr w:rsidR="004F142E" w:rsidRPr="00CE482C" w14:paraId="70BDB7BE" w14:textId="77777777" w:rsidTr="004F142E">
        <w:tc>
          <w:tcPr>
            <w:tcW w:w="1623" w:type="dxa"/>
          </w:tcPr>
          <w:p w14:paraId="304B49BB" w14:textId="77777777" w:rsidR="004F142E" w:rsidRPr="00CE482C" w:rsidRDefault="004F142E" w:rsidP="00283927">
            <w:pPr>
              <w:rPr>
                <w:b/>
              </w:rPr>
            </w:pPr>
            <w:r>
              <w:rPr>
                <w:b/>
              </w:rPr>
              <w:t>This study</w:t>
            </w:r>
          </w:p>
        </w:tc>
        <w:tc>
          <w:tcPr>
            <w:tcW w:w="1481" w:type="dxa"/>
          </w:tcPr>
          <w:p w14:paraId="756BECA1" w14:textId="742D8C7C" w:rsidR="004F142E" w:rsidRDefault="00FC4FD4" w:rsidP="00283927">
            <w:pPr>
              <w:rPr>
                <w:b/>
              </w:rPr>
            </w:pPr>
            <w:r>
              <w:rPr>
                <w:b/>
              </w:rPr>
              <w:t>UK (2015)</w:t>
            </w:r>
          </w:p>
        </w:tc>
        <w:tc>
          <w:tcPr>
            <w:tcW w:w="1687" w:type="dxa"/>
          </w:tcPr>
          <w:p w14:paraId="53585B1B" w14:textId="3B98F140" w:rsidR="004F142E" w:rsidRPr="00CE482C" w:rsidRDefault="004F142E" w:rsidP="00283927">
            <w:pPr>
              <w:rPr>
                <w:b/>
              </w:rPr>
            </w:pPr>
            <w:r>
              <w:rPr>
                <w:b/>
              </w:rPr>
              <w:t>450</w:t>
            </w:r>
          </w:p>
        </w:tc>
        <w:tc>
          <w:tcPr>
            <w:tcW w:w="1721" w:type="dxa"/>
          </w:tcPr>
          <w:p w14:paraId="7FAC0248" w14:textId="77777777" w:rsidR="004F142E" w:rsidRPr="00CE482C" w:rsidRDefault="004F142E" w:rsidP="00283927">
            <w:pPr>
              <w:rPr>
                <w:b/>
              </w:rPr>
            </w:pPr>
            <w:r>
              <w:rPr>
                <w:b/>
              </w:rPr>
              <w:t xml:space="preserve">Total energy </w:t>
            </w:r>
            <w:r w:rsidRPr="00CE482C">
              <w:rPr>
                <w:b/>
              </w:rPr>
              <w:t>/</w:t>
            </w:r>
            <w:r>
              <w:rPr>
                <w:b/>
              </w:rPr>
              <w:t>G</w:t>
            </w:r>
            <w:r w:rsidRPr="00CE482C">
              <w:rPr>
                <w:b/>
              </w:rPr>
              <w:t>FA</w:t>
            </w:r>
          </w:p>
        </w:tc>
        <w:tc>
          <w:tcPr>
            <w:tcW w:w="1685" w:type="dxa"/>
          </w:tcPr>
          <w:p w14:paraId="04E07E71" w14:textId="77777777" w:rsidR="004F142E" w:rsidRPr="00CE482C" w:rsidRDefault="004F142E" w:rsidP="00283927">
            <w:pPr>
              <w:rPr>
                <w:b/>
              </w:rPr>
            </w:pPr>
            <w:r>
              <w:rPr>
                <w:b/>
              </w:rPr>
              <w:t>5845</w:t>
            </w:r>
          </w:p>
        </w:tc>
        <w:tc>
          <w:tcPr>
            <w:tcW w:w="1657" w:type="dxa"/>
          </w:tcPr>
          <w:p w14:paraId="335F7950" w14:textId="77777777" w:rsidR="004F142E" w:rsidRPr="00CE482C" w:rsidRDefault="004F142E" w:rsidP="00283927">
            <w:pPr>
              <w:rPr>
                <w:b/>
              </w:rPr>
            </w:pPr>
            <w:r w:rsidRPr="00CE482C">
              <w:rPr>
                <w:b/>
              </w:rPr>
              <w:t>Reduces with larger FA</w:t>
            </w:r>
          </w:p>
        </w:tc>
      </w:tr>
      <w:tr w:rsidR="004F142E" w:rsidRPr="0082255B" w14:paraId="524AABA3" w14:textId="77777777" w:rsidTr="004F142E">
        <w:tc>
          <w:tcPr>
            <w:tcW w:w="1623" w:type="dxa"/>
          </w:tcPr>
          <w:p w14:paraId="2F1BE942" w14:textId="77777777" w:rsidR="004F142E" w:rsidRDefault="004F142E" w:rsidP="00283927">
            <w:r>
              <w:t xml:space="preserve">Van der </w:t>
            </w:r>
            <w:proofErr w:type="spellStart"/>
            <w:r>
              <w:t>Sluis</w:t>
            </w:r>
            <w:proofErr w:type="spellEnd"/>
            <w:r>
              <w:t xml:space="preserve"> et al (2015)</w:t>
            </w:r>
          </w:p>
        </w:tc>
        <w:tc>
          <w:tcPr>
            <w:tcW w:w="1481" w:type="dxa"/>
          </w:tcPr>
          <w:p w14:paraId="6A48A77B" w14:textId="3E000B53" w:rsidR="004F142E" w:rsidRDefault="005B52A5" w:rsidP="00283927">
            <w:r>
              <w:t>Sweden (old)</w:t>
            </w:r>
          </w:p>
        </w:tc>
        <w:tc>
          <w:tcPr>
            <w:tcW w:w="1687" w:type="dxa"/>
          </w:tcPr>
          <w:p w14:paraId="5CD04DC2" w14:textId="37CC0EC9" w:rsidR="004F142E" w:rsidRDefault="004A6A3F" w:rsidP="00283927">
            <w:r>
              <w:t>~</w:t>
            </w:r>
            <w:r w:rsidR="004F142E">
              <w:t xml:space="preserve"> 500</w:t>
            </w:r>
            <w:r>
              <w:t xml:space="preserve"> to ~250</w:t>
            </w:r>
          </w:p>
        </w:tc>
        <w:tc>
          <w:tcPr>
            <w:tcW w:w="1721" w:type="dxa"/>
          </w:tcPr>
          <w:p w14:paraId="3E4401F0" w14:textId="77777777" w:rsidR="004F142E" w:rsidRDefault="004F142E" w:rsidP="00283927">
            <w:r>
              <w:t>Total energy /GFA</w:t>
            </w:r>
          </w:p>
        </w:tc>
        <w:tc>
          <w:tcPr>
            <w:tcW w:w="1685" w:type="dxa"/>
          </w:tcPr>
          <w:p w14:paraId="520B34B2" w14:textId="56A514FD" w:rsidR="004F142E" w:rsidRDefault="004A6A3F" w:rsidP="00283927">
            <w:r>
              <w:t>~200 to ~9000</w:t>
            </w:r>
          </w:p>
        </w:tc>
        <w:tc>
          <w:tcPr>
            <w:tcW w:w="1657" w:type="dxa"/>
          </w:tcPr>
          <w:p w14:paraId="12F168B5" w14:textId="77777777" w:rsidR="004F142E" w:rsidRDefault="004F142E" w:rsidP="00283927">
            <w:r>
              <w:t>Reduces with larger FA</w:t>
            </w:r>
          </w:p>
        </w:tc>
      </w:tr>
      <w:tr w:rsidR="004F142E" w:rsidRPr="0082255B" w14:paraId="47A382D5" w14:textId="77777777" w:rsidTr="004F142E">
        <w:tc>
          <w:tcPr>
            <w:tcW w:w="1623" w:type="dxa"/>
          </w:tcPr>
          <w:p w14:paraId="15A77BC9" w14:textId="77777777" w:rsidR="004F142E" w:rsidRDefault="004F142E" w:rsidP="00283927">
            <w:r>
              <w:t xml:space="preserve">Van der </w:t>
            </w:r>
            <w:proofErr w:type="spellStart"/>
            <w:r>
              <w:t>Sluis</w:t>
            </w:r>
            <w:proofErr w:type="spellEnd"/>
            <w:r>
              <w:t xml:space="preserve"> et al (2015)</w:t>
            </w:r>
          </w:p>
        </w:tc>
        <w:tc>
          <w:tcPr>
            <w:tcW w:w="1481" w:type="dxa"/>
          </w:tcPr>
          <w:p w14:paraId="4CFC6564" w14:textId="2CA6335A" w:rsidR="004F142E" w:rsidRDefault="005B1398" w:rsidP="005B1398">
            <w:r>
              <w:t>Sweden (new)</w:t>
            </w:r>
          </w:p>
        </w:tc>
        <w:tc>
          <w:tcPr>
            <w:tcW w:w="1687" w:type="dxa"/>
          </w:tcPr>
          <w:p w14:paraId="55449341" w14:textId="63D1D6D0" w:rsidR="004F142E" w:rsidRDefault="005B52A5" w:rsidP="005B52A5">
            <w:r>
              <w:t>~ 550 to ~200</w:t>
            </w:r>
          </w:p>
        </w:tc>
        <w:tc>
          <w:tcPr>
            <w:tcW w:w="1721" w:type="dxa"/>
          </w:tcPr>
          <w:p w14:paraId="42D1F829" w14:textId="77777777" w:rsidR="004F142E" w:rsidRDefault="004F142E" w:rsidP="00283927">
            <w:r>
              <w:t>Total energy /GFA</w:t>
            </w:r>
          </w:p>
        </w:tc>
        <w:tc>
          <w:tcPr>
            <w:tcW w:w="1685" w:type="dxa"/>
          </w:tcPr>
          <w:p w14:paraId="0C2A04AE" w14:textId="4E8ABC50" w:rsidR="004F142E" w:rsidRDefault="005B52A5" w:rsidP="005B52A5">
            <w:r>
              <w:t>~1000 to ~14000</w:t>
            </w:r>
          </w:p>
        </w:tc>
        <w:tc>
          <w:tcPr>
            <w:tcW w:w="1657" w:type="dxa"/>
          </w:tcPr>
          <w:p w14:paraId="43023B23" w14:textId="77777777" w:rsidR="004F142E" w:rsidRDefault="004F142E" w:rsidP="00283927">
            <w:r>
              <w:t>Reduces with larger FA</w:t>
            </w:r>
          </w:p>
        </w:tc>
      </w:tr>
      <w:tr w:rsidR="004F142E" w:rsidRPr="0082255B" w14:paraId="53995B62" w14:textId="77777777" w:rsidTr="004F142E">
        <w:tc>
          <w:tcPr>
            <w:tcW w:w="1623" w:type="dxa"/>
          </w:tcPr>
          <w:p w14:paraId="66DF0C67" w14:textId="77777777" w:rsidR="004F142E" w:rsidRDefault="004F142E" w:rsidP="00283927">
            <w:r>
              <w:t xml:space="preserve">Van der </w:t>
            </w:r>
            <w:proofErr w:type="spellStart"/>
            <w:r>
              <w:t>Sluis</w:t>
            </w:r>
            <w:proofErr w:type="spellEnd"/>
            <w:r>
              <w:t xml:space="preserve"> et al (2015)</w:t>
            </w:r>
          </w:p>
        </w:tc>
        <w:tc>
          <w:tcPr>
            <w:tcW w:w="1481" w:type="dxa"/>
          </w:tcPr>
          <w:p w14:paraId="38828A42" w14:textId="41B3BB05" w:rsidR="004F142E" w:rsidRDefault="005B1398" w:rsidP="00283927">
            <w:r>
              <w:t>USA</w:t>
            </w:r>
          </w:p>
        </w:tc>
        <w:tc>
          <w:tcPr>
            <w:tcW w:w="1687" w:type="dxa"/>
          </w:tcPr>
          <w:p w14:paraId="15EBC242" w14:textId="71EA377B" w:rsidR="004F142E" w:rsidRDefault="005B1398" w:rsidP="005B1398">
            <w:r>
              <w:t>~ 700 to ~500</w:t>
            </w:r>
          </w:p>
        </w:tc>
        <w:tc>
          <w:tcPr>
            <w:tcW w:w="1721" w:type="dxa"/>
          </w:tcPr>
          <w:p w14:paraId="1088149A" w14:textId="77777777" w:rsidR="004F142E" w:rsidRDefault="004F142E" w:rsidP="00283927">
            <w:r>
              <w:t>Total energy /GFA</w:t>
            </w:r>
          </w:p>
        </w:tc>
        <w:tc>
          <w:tcPr>
            <w:tcW w:w="1685" w:type="dxa"/>
          </w:tcPr>
          <w:p w14:paraId="4F8B1B61" w14:textId="2FFE168C" w:rsidR="004F142E" w:rsidRDefault="005B1398" w:rsidP="00283927">
            <w:r>
              <w:t>~3000 to ~7500</w:t>
            </w:r>
          </w:p>
        </w:tc>
        <w:tc>
          <w:tcPr>
            <w:tcW w:w="1657" w:type="dxa"/>
          </w:tcPr>
          <w:p w14:paraId="26A6445D" w14:textId="77777777" w:rsidR="004F142E" w:rsidRDefault="004F142E" w:rsidP="00283927">
            <w:r>
              <w:t>Reduces with larger FA</w:t>
            </w:r>
          </w:p>
        </w:tc>
      </w:tr>
      <w:tr w:rsidR="004F142E" w:rsidRPr="0082255B" w14:paraId="17F74649" w14:textId="77777777" w:rsidTr="004F142E">
        <w:tc>
          <w:tcPr>
            <w:tcW w:w="1623" w:type="dxa"/>
          </w:tcPr>
          <w:p w14:paraId="3D538FE6" w14:textId="77777777" w:rsidR="004F142E" w:rsidRDefault="004F142E" w:rsidP="00283927">
            <w:r>
              <w:t xml:space="preserve">Van der </w:t>
            </w:r>
            <w:proofErr w:type="spellStart"/>
            <w:r>
              <w:t>Sluis</w:t>
            </w:r>
            <w:proofErr w:type="spellEnd"/>
            <w:r>
              <w:t xml:space="preserve"> et al (2015)</w:t>
            </w:r>
          </w:p>
        </w:tc>
        <w:tc>
          <w:tcPr>
            <w:tcW w:w="1481" w:type="dxa"/>
          </w:tcPr>
          <w:p w14:paraId="07AEFD29" w14:textId="789E0682" w:rsidR="004F142E" w:rsidRDefault="005B1398" w:rsidP="00283927">
            <w:r>
              <w:t>Canada</w:t>
            </w:r>
          </w:p>
        </w:tc>
        <w:tc>
          <w:tcPr>
            <w:tcW w:w="1687" w:type="dxa"/>
          </w:tcPr>
          <w:p w14:paraId="49C44777" w14:textId="5478A6E2" w:rsidR="004F142E" w:rsidRDefault="005B1398" w:rsidP="005B1398">
            <w:r>
              <w:t>~ 1000 to ~700</w:t>
            </w:r>
          </w:p>
        </w:tc>
        <w:tc>
          <w:tcPr>
            <w:tcW w:w="1721" w:type="dxa"/>
          </w:tcPr>
          <w:p w14:paraId="09F68311" w14:textId="77777777" w:rsidR="004F142E" w:rsidRDefault="004F142E" w:rsidP="00283927">
            <w:r>
              <w:t>Total energy /GFA</w:t>
            </w:r>
          </w:p>
        </w:tc>
        <w:tc>
          <w:tcPr>
            <w:tcW w:w="1685" w:type="dxa"/>
          </w:tcPr>
          <w:p w14:paraId="510EC6B1" w14:textId="768AD1C5" w:rsidR="004F142E" w:rsidRDefault="005B1398" w:rsidP="005B1398">
            <w:r>
              <w:t>~2000 to ~1100</w:t>
            </w:r>
          </w:p>
        </w:tc>
        <w:tc>
          <w:tcPr>
            <w:tcW w:w="1657" w:type="dxa"/>
          </w:tcPr>
          <w:p w14:paraId="3EE951E3" w14:textId="77777777" w:rsidR="004F142E" w:rsidRDefault="004F142E" w:rsidP="00283927">
            <w:r>
              <w:t>Reduces with larger FA</w:t>
            </w:r>
          </w:p>
        </w:tc>
      </w:tr>
    </w:tbl>
    <w:p w14:paraId="5D319E5C" w14:textId="77777777" w:rsidR="00E24F42" w:rsidRDefault="00E24F42" w:rsidP="00E24F42">
      <w:pPr>
        <w:pStyle w:val="Heading2"/>
        <w:numPr>
          <w:ilvl w:val="0"/>
          <w:numId w:val="0"/>
        </w:numPr>
        <w:ind w:left="578" w:hanging="578"/>
      </w:pPr>
    </w:p>
    <w:p w14:paraId="65E7D883" w14:textId="53952210" w:rsidR="00E24F42" w:rsidRDefault="00A330DE" w:rsidP="00E24F42">
      <w:pPr>
        <w:pStyle w:val="Heading2"/>
      </w:pPr>
      <w:r>
        <w:t>Sub metering</w:t>
      </w:r>
    </w:p>
    <w:p w14:paraId="4AB7334A" w14:textId="00A4B079" w:rsidR="00E24F42" w:rsidRDefault="00E24F42" w:rsidP="00E24F42">
      <w:r>
        <w:t xml:space="preserve">As the SEC for the stores reported here was significantly lower than that reported by Tassou et al (2011), it is worthwhile to compare the </w:t>
      </w:r>
      <w:r w:rsidR="007669DC">
        <w:t>sub-</w:t>
      </w:r>
      <w:r w:rsidR="001370EF">
        <w:t>metering</w:t>
      </w:r>
      <w:r>
        <w:t xml:space="preserve"> to assess whether this difference can be due to a particular </w:t>
      </w:r>
      <w:r w:rsidR="007669DC">
        <w:t>sub</w:t>
      </w:r>
      <w:r w:rsidR="007669DC">
        <w:noBreakHyphen/>
      </w:r>
      <w:r w:rsidR="001370EF">
        <w:t>meter</w:t>
      </w:r>
      <w:r>
        <w:t xml:space="preserve"> rather than a reduction in all </w:t>
      </w:r>
      <w:r w:rsidR="001370EF">
        <w:t>meters</w:t>
      </w:r>
      <w:r>
        <w:t>.</w:t>
      </w:r>
    </w:p>
    <w:p w14:paraId="7F9BF58F" w14:textId="4912CF66" w:rsidR="00633931" w:rsidRDefault="00E24F42" w:rsidP="00E24F42">
      <w:r>
        <w:t>Tassou et al (2011) state</w:t>
      </w:r>
      <w:r w:rsidR="00D7435A">
        <w:t>d</w:t>
      </w:r>
      <w:r>
        <w:t xml:space="preserve"> that more than 70% of the energy consumed </w:t>
      </w:r>
      <w:r w:rsidR="001370EF">
        <w:t>was</w:t>
      </w:r>
      <w:r>
        <w:t xml:space="preserve"> electricity, in this study it was 75%.  They also stated that for a hypermarket 29% of the </w:t>
      </w:r>
      <w:r w:rsidR="001370EF">
        <w:t>EE</w:t>
      </w:r>
      <w:r>
        <w:t xml:space="preserve"> was for refrigeration, this is similar to the 33% reported here.</w:t>
      </w:r>
      <w:r w:rsidR="00D7435A">
        <w:t xml:space="preserve">  A clear difference is in lighting, where Tassou et al report 23%, whereas in this study it was 14%.  During this study it was noticed that many of the stores were undergoing or had undergone changes in store lighting to more efficient (LED) lighting.  It is quite likely that the data from Tassou et </w:t>
      </w:r>
      <w:proofErr w:type="gramStart"/>
      <w:r w:rsidR="00D7435A">
        <w:t>al</w:t>
      </w:r>
      <w:r w:rsidR="00633931">
        <w:t>,</w:t>
      </w:r>
      <w:proofErr w:type="gramEnd"/>
      <w:r w:rsidR="00633931">
        <w:t xml:space="preserve"> had less efficient lights due to the date the data was recorded.</w:t>
      </w:r>
      <w:r w:rsidR="00CB13A5">
        <w:t xml:space="preserve">  Due to the different categories used by the stores and large level of unmetered energy in this study, it </w:t>
      </w:r>
      <w:r w:rsidR="001370EF">
        <w:t>was</w:t>
      </w:r>
      <w:r w:rsidR="00CB13A5">
        <w:t xml:space="preserve"> not possible to draw </w:t>
      </w:r>
      <w:r w:rsidR="007669DC">
        <w:t>further</w:t>
      </w:r>
      <w:r w:rsidR="00CB13A5">
        <w:t xml:space="preserve"> conclusions.</w:t>
      </w:r>
    </w:p>
    <w:p w14:paraId="36304DB6" w14:textId="0204F5A7" w:rsidR="00D86B4D" w:rsidRPr="00383479" w:rsidRDefault="00211ABD" w:rsidP="004F44D4">
      <w:pPr>
        <w:pStyle w:val="Heading1"/>
      </w:pPr>
      <w:r>
        <w:t xml:space="preserve">DISCUSSION AND </w:t>
      </w:r>
      <w:r w:rsidR="00D86B4D" w:rsidRPr="00383479">
        <w:t>Conclusions</w:t>
      </w:r>
    </w:p>
    <w:p w14:paraId="15471C6F" w14:textId="636CF997" w:rsidR="004F44D4" w:rsidRDefault="00D86B4D" w:rsidP="00D86B4D">
      <w:r w:rsidRPr="004F44D4">
        <w:t>Energy consumption</w:t>
      </w:r>
      <w:r w:rsidR="004F44D4" w:rsidRPr="004F44D4">
        <w:t xml:space="preserve"> (both </w:t>
      </w:r>
      <w:r w:rsidR="001370EF">
        <w:t>EE and TE</w:t>
      </w:r>
      <w:r w:rsidR="004F44D4" w:rsidRPr="004F44D4">
        <w:t>)</w:t>
      </w:r>
      <w:r w:rsidRPr="004F44D4">
        <w:t xml:space="preserve"> of supermarkets is well correlated with both </w:t>
      </w:r>
      <w:r w:rsidR="001370EF">
        <w:t>SFA</w:t>
      </w:r>
      <w:r w:rsidRPr="004F44D4">
        <w:t xml:space="preserve"> and </w:t>
      </w:r>
      <w:r w:rsidR="001370EF">
        <w:t>TFA</w:t>
      </w:r>
      <w:r w:rsidRPr="004F44D4">
        <w:t>.  There is a positive correlation with store age and hours open, however, it is much smaller than that for floor area.</w:t>
      </w:r>
      <w:r w:rsidR="004F44D4">
        <w:t xml:space="preserve">  SEC was found to reduce with increasing floor area.</w:t>
      </w:r>
    </w:p>
    <w:p w14:paraId="7A110DDE" w14:textId="1A1DAF93" w:rsidR="004F44D4" w:rsidRDefault="004F44D4" w:rsidP="00D86B4D">
      <w:r>
        <w:t xml:space="preserve">The UK stores studied had significantly lower SECs than the UK stores represented by Tassou et al (2011) and also than the USA and Canada stores shown in Van der </w:t>
      </w:r>
      <w:proofErr w:type="spellStart"/>
      <w:r>
        <w:t>Sluis</w:t>
      </w:r>
      <w:proofErr w:type="spellEnd"/>
      <w:r>
        <w:t xml:space="preserve"> et al (2015).  The stores studied ha</w:t>
      </w:r>
      <w:r w:rsidR="001370EF">
        <w:t>d</w:t>
      </w:r>
      <w:r>
        <w:t xml:space="preserve"> similar SEC to the Swedish stores presented but </w:t>
      </w:r>
      <w:r w:rsidR="001370EF">
        <w:t>higher than the Dutch stores s</w:t>
      </w:r>
      <w:r>
        <w:t xml:space="preserve">hown in Van der </w:t>
      </w:r>
      <w:proofErr w:type="spellStart"/>
      <w:r>
        <w:t>Sluis</w:t>
      </w:r>
      <w:proofErr w:type="spellEnd"/>
      <w:r>
        <w:t xml:space="preserve"> et al (2015).   </w:t>
      </w:r>
    </w:p>
    <w:p w14:paraId="42AAA02D" w14:textId="54BA92F3" w:rsidR="00B7505F" w:rsidRDefault="004F44D4" w:rsidP="00D86B4D">
      <w:r>
        <w:lastRenderedPageBreak/>
        <w:t xml:space="preserve">Some of the reduction in energy between the Tassou et al data and </w:t>
      </w:r>
      <w:r w:rsidR="007669DC">
        <w:t xml:space="preserve">the current </w:t>
      </w:r>
      <w:r>
        <w:t xml:space="preserve">data </w:t>
      </w:r>
      <w:r w:rsidR="00596F2C">
        <w:t xml:space="preserve">was </w:t>
      </w:r>
      <w:r w:rsidR="008F10DA">
        <w:t>possibly</w:t>
      </w:r>
      <w:r>
        <w:t xml:space="preserve"> due to more modern low energy lighting, however this difference </w:t>
      </w:r>
      <w:r w:rsidR="00596F2C">
        <w:t xml:space="preserve">only </w:t>
      </w:r>
      <w:r>
        <w:t>account</w:t>
      </w:r>
      <w:r w:rsidR="00596F2C">
        <w:t>s</w:t>
      </w:r>
      <w:r>
        <w:t xml:space="preserve"> for 9% of the </w:t>
      </w:r>
      <w:r w:rsidR="00581B0F">
        <w:t>electrical energy consumption</w:t>
      </w:r>
      <w:r w:rsidR="001370EF">
        <w:t xml:space="preserve">.  </w:t>
      </w:r>
      <w:r w:rsidR="008F10DA">
        <w:t>T</w:t>
      </w:r>
      <w:r w:rsidR="001370EF">
        <w:t>he Tassou SEC was</w:t>
      </w:r>
      <w:r w:rsidR="00581B0F">
        <w:t xml:space="preserve"> 32% </w:t>
      </w:r>
      <w:r w:rsidR="008F10DA">
        <w:t>higher</w:t>
      </w:r>
      <w:r w:rsidR="00581B0F">
        <w:t xml:space="preserve"> for the larger stores and </w:t>
      </w:r>
      <w:r w:rsidR="008F10DA">
        <w:t>higher</w:t>
      </w:r>
      <w:r w:rsidR="00581B0F">
        <w:t xml:space="preserve"> still for the smaller stores</w:t>
      </w:r>
      <w:r w:rsidR="008F10DA">
        <w:t xml:space="preserve"> so the difference in energy between the two sets of data cannot be easily accounted for.</w:t>
      </w:r>
      <w:r w:rsidR="00B7505F">
        <w:t xml:space="preserve">  </w:t>
      </w:r>
    </w:p>
    <w:p w14:paraId="48184AA6" w14:textId="54BA960E" w:rsidR="003F6C55" w:rsidRDefault="00C83A7F" w:rsidP="00D86B4D">
      <w:r>
        <w:t xml:space="preserve">If we assume the </w:t>
      </w:r>
      <w:r w:rsidR="00B7505F">
        <w:t>Tassou data was recorded in 20</w:t>
      </w:r>
      <w:r w:rsidR="0033128C">
        <w:t>09 (1 year before paper was submitted)</w:t>
      </w:r>
      <w:r w:rsidR="00B7505F">
        <w:t xml:space="preserve">, then there </w:t>
      </w:r>
      <w:r w:rsidR="007669DC">
        <w:t xml:space="preserve">are </w:t>
      </w:r>
      <w:r w:rsidR="0033128C">
        <w:t>6</w:t>
      </w:r>
      <w:r w:rsidR="00B7505F">
        <w:t xml:space="preserve"> years of potential energy efficiency improvements between the data</w:t>
      </w:r>
      <w:r>
        <w:t xml:space="preserve"> sets</w:t>
      </w:r>
      <w:r w:rsidR="00B7505F">
        <w:t xml:space="preserve">.   If we assume a 4% reduction in energy intensity per year over this period, this would account for </w:t>
      </w:r>
      <w:r w:rsidR="007669DC">
        <w:t xml:space="preserve">a </w:t>
      </w:r>
      <w:r w:rsidR="00B7505F">
        <w:t>2</w:t>
      </w:r>
      <w:r w:rsidR="0033128C">
        <w:t xml:space="preserve">4% reduction, therefore energy efficiency improvements with time still do not seem </w:t>
      </w:r>
      <w:r w:rsidR="00E920E6">
        <w:t xml:space="preserve">to </w:t>
      </w:r>
      <w:r w:rsidR="0033128C">
        <w:t>cover the differences in the data.</w:t>
      </w:r>
    </w:p>
    <w:p w14:paraId="3B0047A9" w14:textId="1B7C1BD1" w:rsidR="00032929" w:rsidRDefault="00596F2C" w:rsidP="00D86B4D">
      <w:r>
        <w:t>M</w:t>
      </w:r>
      <w:r w:rsidR="00032929">
        <w:t>ore SEC data for different retailers in the UK and around the world is needed to better understand the differences between the data sets with the aim of reducing overall SEC.</w:t>
      </w:r>
    </w:p>
    <w:p w14:paraId="60B28499" w14:textId="4F98E101" w:rsidR="00DA1BAF" w:rsidRPr="00834704" w:rsidRDefault="00DA1BAF" w:rsidP="00DA1BAF">
      <w:pPr>
        <w:pStyle w:val="Heading1"/>
        <w:numPr>
          <w:ilvl w:val="0"/>
          <w:numId w:val="0"/>
        </w:numPr>
        <w:ind w:left="431"/>
      </w:pPr>
      <w:r w:rsidRPr="00834704">
        <w:t>ACKNOWLEDGEMENTS</w:t>
      </w:r>
    </w:p>
    <w:p w14:paraId="5E3B47E2" w14:textId="54B89BCB" w:rsidR="00AF0D2C" w:rsidRPr="00BC33C8" w:rsidRDefault="00834704" w:rsidP="00AF0D2C">
      <w:pPr>
        <w:rPr>
          <w:rStyle w:val="Strong"/>
        </w:rPr>
      </w:pPr>
      <w:r>
        <w:t>This work is carried out as part of the EPSRC</w:t>
      </w:r>
      <w:r>
        <w:rPr>
          <w:b/>
          <w:bCs/>
        </w:rPr>
        <w:t xml:space="preserve"> </w:t>
      </w:r>
      <w:proofErr w:type="spellStart"/>
      <w:r w:rsidR="00BC33C8">
        <w:rPr>
          <w:bCs/>
        </w:rPr>
        <w:t>i</w:t>
      </w:r>
      <w:proofErr w:type="spellEnd"/>
      <w:r w:rsidR="00BC33C8" w:rsidRPr="00BC33C8">
        <w:rPr>
          <w:bCs/>
        </w:rPr>
        <w:t>-STUTE EUED energy centre and</w:t>
      </w:r>
      <w:r w:rsidR="00BC33C8">
        <w:rPr>
          <w:b/>
          <w:bCs/>
        </w:rPr>
        <w:t xml:space="preserve"> </w:t>
      </w:r>
      <w:r>
        <w:rPr>
          <w:rStyle w:val="Strong"/>
          <w:b w:val="0"/>
          <w:bCs w:val="0"/>
          <w:color w:val="000000"/>
          <w:shd w:val="clear" w:color="auto" w:fill="FFFFFF"/>
        </w:rPr>
        <w:t>End Use Energy Demand Centres Collaborative Projects (EP/P006779/1).</w:t>
      </w:r>
    </w:p>
    <w:p w14:paraId="760491B0" w14:textId="3FB07EF2" w:rsidR="008F10DA" w:rsidRDefault="008F10DA">
      <w:pPr>
        <w:overflowPunct/>
        <w:autoSpaceDE/>
        <w:autoSpaceDN/>
        <w:adjustRightInd/>
        <w:spacing w:after="0"/>
        <w:jc w:val="left"/>
        <w:textAlignment w:val="auto"/>
        <w:rPr>
          <w:b/>
          <w:bCs/>
          <w:caps/>
          <w:kern w:val="28"/>
          <w:szCs w:val="28"/>
        </w:rPr>
      </w:pPr>
    </w:p>
    <w:p w14:paraId="61705B29" w14:textId="0200DC00" w:rsidR="003F6C55" w:rsidRPr="005D705F" w:rsidRDefault="003F6C55" w:rsidP="003F6C55">
      <w:pPr>
        <w:pStyle w:val="Heading1"/>
        <w:numPr>
          <w:ilvl w:val="0"/>
          <w:numId w:val="0"/>
        </w:numPr>
        <w:ind w:left="431" w:hanging="431"/>
      </w:pPr>
      <w:r w:rsidRPr="005D705F">
        <w:t>Nomenclature</w:t>
      </w:r>
    </w:p>
    <w:p w14:paraId="411937FA" w14:textId="5C3C2CA1" w:rsidR="003F6C55" w:rsidRDefault="003F6C55" w:rsidP="003F6C55">
      <w:pPr>
        <w:pStyle w:val="Heading1"/>
        <w:numPr>
          <w:ilvl w:val="0"/>
          <w:numId w:val="0"/>
        </w:numPr>
        <w:jc w:val="both"/>
        <w:rPr>
          <w:b w:val="0"/>
          <w:caps w:val="0"/>
        </w:rPr>
      </w:pPr>
      <w:r>
        <w:rPr>
          <w:b w:val="0"/>
        </w:rPr>
        <w:t>SEC</w:t>
      </w:r>
      <w:r>
        <w:rPr>
          <w:b w:val="0"/>
        </w:rPr>
        <w:tab/>
      </w:r>
      <w:r>
        <w:rPr>
          <w:b w:val="0"/>
          <w:caps w:val="0"/>
        </w:rPr>
        <w:t>Specific Energy Consumption (kWh.m</w:t>
      </w:r>
      <w:r w:rsidRPr="003F6C55">
        <w:rPr>
          <w:b w:val="0"/>
          <w:caps w:val="0"/>
          <w:vertAlign w:val="superscript"/>
        </w:rPr>
        <w:t>-2</w:t>
      </w:r>
      <w:r>
        <w:rPr>
          <w:b w:val="0"/>
          <w:caps w:val="0"/>
        </w:rPr>
        <w:t>.yr</w:t>
      </w:r>
      <w:r w:rsidRPr="003F6C55">
        <w:rPr>
          <w:b w:val="0"/>
          <w:caps w:val="0"/>
          <w:vertAlign w:val="superscript"/>
        </w:rPr>
        <w:t>-1</w:t>
      </w:r>
      <w:r>
        <w:rPr>
          <w:b w:val="0"/>
          <w:caps w:val="0"/>
        </w:rPr>
        <w:t>)</w:t>
      </w:r>
    </w:p>
    <w:p w14:paraId="72959611" w14:textId="6FAAFE89" w:rsidR="006047E1" w:rsidRPr="006047E1" w:rsidRDefault="006047E1" w:rsidP="006047E1">
      <w:r>
        <w:t>SD</w:t>
      </w:r>
      <w:r>
        <w:tab/>
        <w:t>Standard deviation</w:t>
      </w:r>
    </w:p>
    <w:p w14:paraId="0B88F223" w14:textId="0DF3D16C" w:rsidR="003F6C55" w:rsidRDefault="003F6C55" w:rsidP="003F6C55">
      <w:r>
        <w:t>SFA</w:t>
      </w:r>
      <w:r>
        <w:tab/>
        <w:t>Sales floor area</w:t>
      </w:r>
      <w:r w:rsidR="006047E1">
        <w:t xml:space="preserve"> (m</w:t>
      </w:r>
      <w:r w:rsidR="006047E1" w:rsidRPr="006047E1">
        <w:rPr>
          <w:vertAlign w:val="superscript"/>
        </w:rPr>
        <w:t>2</w:t>
      </w:r>
      <w:r w:rsidR="006047E1">
        <w:t>)</w:t>
      </w:r>
    </w:p>
    <w:p w14:paraId="1FBDCD6F" w14:textId="6411A928" w:rsidR="003F6C55" w:rsidRPr="003F6C55" w:rsidRDefault="003F6C55" w:rsidP="003F6C55">
      <w:r>
        <w:t>TFA</w:t>
      </w:r>
      <w:r>
        <w:tab/>
        <w:t>Total floor area</w:t>
      </w:r>
      <w:r w:rsidR="006047E1">
        <w:t xml:space="preserve"> (m</w:t>
      </w:r>
      <w:r w:rsidR="006047E1" w:rsidRPr="006047E1">
        <w:rPr>
          <w:vertAlign w:val="superscript"/>
        </w:rPr>
        <w:t>2</w:t>
      </w:r>
      <w:r w:rsidR="006047E1">
        <w:t>)</w:t>
      </w:r>
    </w:p>
    <w:p w14:paraId="08E7E02B" w14:textId="77777777" w:rsidR="003F6C55" w:rsidRPr="005D705F" w:rsidRDefault="003F6C55" w:rsidP="003F6C55">
      <w:pPr>
        <w:spacing w:after="0"/>
      </w:pPr>
      <w:r w:rsidRPr="005D705F">
        <w:t>Subscripts</w:t>
      </w:r>
    </w:p>
    <w:p w14:paraId="428F894B" w14:textId="040CCA03" w:rsidR="003F6C55" w:rsidRDefault="003F6C55" w:rsidP="00AF0D2C">
      <w:pPr>
        <w:rPr>
          <w:bCs/>
          <w:color w:val="000000"/>
        </w:rPr>
      </w:pPr>
      <w:r w:rsidRPr="003F6C55">
        <w:rPr>
          <w:bCs/>
          <w:color w:val="000000"/>
        </w:rPr>
        <w:t>EE</w:t>
      </w:r>
      <w:r>
        <w:rPr>
          <w:bCs/>
          <w:color w:val="000000"/>
        </w:rPr>
        <w:tab/>
        <w:t>Electrical energy consumption</w:t>
      </w:r>
      <w:r w:rsidR="006047E1">
        <w:rPr>
          <w:bCs/>
          <w:color w:val="000000"/>
        </w:rPr>
        <w:t xml:space="preserve"> (</w:t>
      </w:r>
      <w:r w:rsidR="006047E1" w:rsidRPr="006047E1">
        <w:rPr>
          <w:bCs/>
          <w:color w:val="000000"/>
        </w:rPr>
        <w:t>kWh.yr</w:t>
      </w:r>
      <w:r w:rsidR="006047E1" w:rsidRPr="006047E1">
        <w:rPr>
          <w:bCs/>
          <w:color w:val="000000"/>
          <w:vertAlign w:val="superscript"/>
        </w:rPr>
        <w:t>-1</w:t>
      </w:r>
      <w:r w:rsidR="006047E1">
        <w:rPr>
          <w:bCs/>
          <w:color w:val="000000"/>
        </w:rPr>
        <w:t>)</w:t>
      </w:r>
    </w:p>
    <w:p w14:paraId="5B42E871" w14:textId="4E66A668" w:rsidR="003F6C55" w:rsidRPr="003F6C55" w:rsidRDefault="003F6C55" w:rsidP="00AF0D2C">
      <w:pPr>
        <w:rPr>
          <w:bCs/>
          <w:color w:val="000000"/>
        </w:rPr>
      </w:pPr>
      <w:r>
        <w:rPr>
          <w:bCs/>
          <w:color w:val="000000"/>
        </w:rPr>
        <w:t>TE</w:t>
      </w:r>
      <w:r>
        <w:rPr>
          <w:bCs/>
          <w:color w:val="000000"/>
        </w:rPr>
        <w:tab/>
        <w:t>Total energy consumption</w:t>
      </w:r>
      <w:r w:rsidR="006047E1">
        <w:rPr>
          <w:bCs/>
          <w:color w:val="000000"/>
        </w:rPr>
        <w:t xml:space="preserve"> (</w:t>
      </w:r>
      <w:r w:rsidR="006047E1" w:rsidRPr="006047E1">
        <w:rPr>
          <w:bCs/>
          <w:color w:val="000000"/>
        </w:rPr>
        <w:t>kWh.yr</w:t>
      </w:r>
      <w:r w:rsidR="006047E1" w:rsidRPr="006047E1">
        <w:rPr>
          <w:bCs/>
          <w:color w:val="000000"/>
          <w:vertAlign w:val="superscript"/>
        </w:rPr>
        <w:t>-1</w:t>
      </w:r>
      <w:r w:rsidR="006047E1">
        <w:rPr>
          <w:bCs/>
          <w:color w:val="000000"/>
        </w:rPr>
        <w:t>)</w:t>
      </w:r>
    </w:p>
    <w:p w14:paraId="64EFDDEE" w14:textId="7A0C1B6C" w:rsidR="00552878" w:rsidRPr="00782728" w:rsidRDefault="00066A61" w:rsidP="00DA1BAF">
      <w:pPr>
        <w:pStyle w:val="Heading1"/>
        <w:numPr>
          <w:ilvl w:val="0"/>
          <w:numId w:val="0"/>
        </w:numPr>
        <w:ind w:left="431" w:hanging="431"/>
      </w:pPr>
      <w:r w:rsidRPr="00782728">
        <w:t>References</w:t>
      </w:r>
    </w:p>
    <w:p w14:paraId="2EF3BEB4" w14:textId="38370F6F" w:rsidR="00E7331D" w:rsidRDefault="00E7331D" w:rsidP="00E7331D">
      <w:pPr>
        <w:jc w:val="left"/>
        <w:rPr>
          <w:rStyle w:val="Hyperlink"/>
        </w:rPr>
      </w:pPr>
      <w:proofErr w:type="gramStart"/>
      <w:r w:rsidRPr="00E24B95">
        <w:t>Deloitte, 2017.</w:t>
      </w:r>
      <w:proofErr w:type="gramEnd"/>
      <w:r w:rsidRPr="00E24B95">
        <w:t xml:space="preserve">  Global Powers of Retailing 2017 - The art and science of customers.  </w:t>
      </w:r>
      <w:r>
        <w:t xml:space="preserve">Deloitte </w:t>
      </w:r>
      <w:proofErr w:type="spellStart"/>
      <w:r>
        <w:t>Touche</w:t>
      </w:r>
      <w:proofErr w:type="spellEnd"/>
      <w:r>
        <w:t xml:space="preserve"> Tohmatsu Limited</w:t>
      </w:r>
      <w:r w:rsidR="00E24B95">
        <w:t xml:space="preserve">.  </w:t>
      </w:r>
      <w:hyperlink r:id="rId18" w:history="1">
        <w:r w:rsidR="002919A4" w:rsidRPr="002F45EE">
          <w:rPr>
            <w:rStyle w:val="Hyperlink"/>
          </w:rPr>
          <w:t>https://www2.deloitte.com/content/dam/Deloitte/global/Documents/consumer-industrial-products/gx-cip-2017-global-powers-of-retailing.pdf</w:t>
        </w:r>
      </w:hyperlink>
    </w:p>
    <w:p w14:paraId="35BD0113" w14:textId="2804AE0F" w:rsidR="000F52B2" w:rsidRDefault="000F52B2" w:rsidP="000F52B2">
      <w:pPr>
        <w:jc w:val="left"/>
      </w:pPr>
      <w:proofErr w:type="spellStart"/>
      <w:r>
        <w:t>Faramarzi</w:t>
      </w:r>
      <w:proofErr w:type="spellEnd"/>
      <w:r>
        <w:t>, R</w:t>
      </w:r>
      <w:proofErr w:type="gramStart"/>
      <w:r>
        <w:t>. .</w:t>
      </w:r>
      <w:proofErr w:type="gramEnd"/>
      <w:r>
        <w:t xml:space="preserve">T, Coburn, B. A. and </w:t>
      </w:r>
      <w:proofErr w:type="spellStart"/>
      <w:r>
        <w:t>Sarhandian</w:t>
      </w:r>
      <w:proofErr w:type="spellEnd"/>
      <w:r>
        <w:t>, R. 2002.  Performance and energy impact of installing glass doors on an open fronted vertical deli/dairy display case. ASHRAE Transactions, 108(1) 673-679.</w:t>
      </w:r>
    </w:p>
    <w:p w14:paraId="3E07B822" w14:textId="78035C38" w:rsidR="002919A4" w:rsidRDefault="002919A4" w:rsidP="002919A4">
      <w:pPr>
        <w:jc w:val="left"/>
      </w:pPr>
      <w:proofErr w:type="spellStart"/>
      <w:r w:rsidRPr="002919A4">
        <w:t>Gouldson</w:t>
      </w:r>
      <w:proofErr w:type="spellEnd"/>
      <w:r w:rsidRPr="002919A4">
        <w:t>, A.</w:t>
      </w:r>
      <w:proofErr w:type="gramStart"/>
      <w:r w:rsidRPr="002919A4">
        <w:t>,Sullivan,R</w:t>
      </w:r>
      <w:proofErr w:type="gramEnd"/>
      <w:r w:rsidRPr="002919A4">
        <w:t>.,2013.Long-term corporate climate change targets: what could they deliver? Environmental Science &amp; Policy 27</w:t>
      </w:r>
      <w:proofErr w:type="gramStart"/>
      <w:r w:rsidRPr="002919A4">
        <w:t>,1</w:t>
      </w:r>
      <w:proofErr w:type="gramEnd"/>
      <w:r w:rsidRPr="002919A4">
        <w:t>–10.</w:t>
      </w:r>
    </w:p>
    <w:p w14:paraId="533F710C" w14:textId="3D2FA8CA" w:rsidR="00AA599E" w:rsidRPr="002919A4" w:rsidRDefault="00AA599E" w:rsidP="00AA599E">
      <w:pPr>
        <w:jc w:val="left"/>
      </w:pPr>
      <w:proofErr w:type="gramStart"/>
      <w:r>
        <w:t xml:space="preserve">Hale E. T., </w:t>
      </w:r>
      <w:proofErr w:type="spellStart"/>
      <w:r>
        <w:t>Macumber</w:t>
      </w:r>
      <w:proofErr w:type="spellEnd"/>
      <w:r>
        <w:t xml:space="preserve"> D. L, Long N. L., Griffith B. T., Benne K. S., </w:t>
      </w:r>
      <w:proofErr w:type="spellStart"/>
      <w:r>
        <w:t>Pless</w:t>
      </w:r>
      <w:proofErr w:type="spellEnd"/>
      <w:r>
        <w:t xml:space="preserve"> S. D., and </w:t>
      </w:r>
      <w:proofErr w:type="spellStart"/>
      <w:r>
        <w:t>Torcellini</w:t>
      </w:r>
      <w:proofErr w:type="spellEnd"/>
      <w:r>
        <w:t xml:space="preserve"> P. A., 2008.</w:t>
      </w:r>
      <w:proofErr w:type="gramEnd"/>
      <w:r>
        <w:t xml:space="preserve">  </w:t>
      </w:r>
      <w:proofErr w:type="gramStart"/>
      <w:r>
        <w:t>Technical.</w:t>
      </w:r>
      <w:proofErr w:type="gramEnd"/>
      <w:r>
        <w:t xml:space="preserve">  Support Document: Development of the Advanced Energy Design Guide for Grocery Stores—50% Energy </w:t>
      </w:r>
      <w:r w:rsidRPr="00AA599E">
        <w:t xml:space="preserve">Savings. </w:t>
      </w:r>
      <w:proofErr w:type="gramStart"/>
      <w:r w:rsidRPr="00AA599E">
        <w:t>National Renewable Energy laboratory.</w:t>
      </w:r>
      <w:proofErr w:type="gramEnd"/>
      <w:r w:rsidRPr="00AA599E">
        <w:t xml:space="preserve"> </w:t>
      </w:r>
      <w:proofErr w:type="gramStart"/>
      <w:r w:rsidRPr="00AA599E">
        <w:t xml:space="preserve">Technical Report </w:t>
      </w:r>
      <w:r>
        <w:t>NREL/TP-550-42829</w:t>
      </w:r>
      <w:r w:rsidRPr="00AA599E">
        <w:t>.</w:t>
      </w:r>
      <w:proofErr w:type="gramEnd"/>
    </w:p>
    <w:p w14:paraId="7A7AA7B7" w14:textId="6B193812" w:rsidR="004D02F6" w:rsidRDefault="004D02F6" w:rsidP="004D02F6">
      <w:pPr>
        <w:jc w:val="left"/>
        <w:rPr>
          <w:rFonts w:cs="Times New Roman"/>
        </w:rPr>
      </w:pPr>
      <w:r w:rsidRPr="004D02F6">
        <w:rPr>
          <w:rFonts w:cs="Times New Roman"/>
        </w:rPr>
        <w:t>Hill,</w:t>
      </w:r>
      <w:r>
        <w:rPr>
          <w:rFonts w:cs="Times New Roman"/>
        </w:rPr>
        <w:t xml:space="preserve"> F.</w:t>
      </w:r>
      <w:proofErr w:type="gramStart"/>
      <w:r>
        <w:rPr>
          <w:rFonts w:cs="Times New Roman"/>
        </w:rPr>
        <w:t xml:space="preserve">,  </w:t>
      </w:r>
      <w:r w:rsidRPr="004D02F6">
        <w:rPr>
          <w:rFonts w:cs="Times New Roman"/>
        </w:rPr>
        <w:t>Courtney</w:t>
      </w:r>
      <w:proofErr w:type="gramEnd"/>
      <w:r w:rsidRPr="004D02F6">
        <w:rPr>
          <w:rFonts w:cs="Times New Roman"/>
        </w:rPr>
        <w:t xml:space="preserve">, </w:t>
      </w:r>
      <w:r>
        <w:rPr>
          <w:rFonts w:cs="Times New Roman"/>
        </w:rPr>
        <w:t xml:space="preserve">R., </w:t>
      </w:r>
      <w:proofErr w:type="spellStart"/>
      <w:r w:rsidRPr="004D02F6">
        <w:rPr>
          <w:rFonts w:cs="Times New Roman"/>
        </w:rPr>
        <w:t>Levermore</w:t>
      </w:r>
      <w:proofErr w:type="spellEnd"/>
      <w:r>
        <w:rPr>
          <w:rFonts w:cs="Times New Roman"/>
        </w:rPr>
        <w:t xml:space="preserve">, G., 2010.  </w:t>
      </w:r>
      <w:r w:rsidRPr="004D02F6">
        <w:rPr>
          <w:rFonts w:cs="Times New Roman"/>
        </w:rPr>
        <w:t>Towards a zero ener</w:t>
      </w:r>
      <w:r>
        <w:rPr>
          <w:rFonts w:cs="Times New Roman"/>
        </w:rPr>
        <w:t xml:space="preserve">gy store–a scoping study (ZEST).  </w:t>
      </w:r>
      <w:proofErr w:type="gramStart"/>
      <w:r>
        <w:rPr>
          <w:rFonts w:cs="Times New Roman"/>
        </w:rPr>
        <w:t xml:space="preserve">Sustainable Consumption Institute, </w:t>
      </w:r>
      <w:r w:rsidRPr="004D02F6">
        <w:rPr>
          <w:rFonts w:cs="Times New Roman"/>
        </w:rPr>
        <w:t>University of Manchester, Manchester, UK</w:t>
      </w:r>
      <w:r>
        <w:rPr>
          <w:rFonts w:cs="Times New Roman"/>
        </w:rPr>
        <w:t>.</w:t>
      </w:r>
      <w:proofErr w:type="gramEnd"/>
    </w:p>
    <w:p w14:paraId="59AD78F7" w14:textId="48FF8922" w:rsidR="001D4463" w:rsidRDefault="001D4463" w:rsidP="001D4463">
      <w:pPr>
        <w:jc w:val="left"/>
        <w:rPr>
          <w:rFonts w:cs="Times New Roman"/>
        </w:rPr>
      </w:pPr>
      <w:proofErr w:type="spellStart"/>
      <w:r w:rsidRPr="001D4463">
        <w:rPr>
          <w:rFonts w:cs="Times New Roman"/>
        </w:rPr>
        <w:t>Kröger</w:t>
      </w:r>
      <w:proofErr w:type="spellEnd"/>
      <w:r w:rsidRPr="001D4463">
        <w:rPr>
          <w:rFonts w:cs="Times New Roman"/>
        </w:rPr>
        <w:t>, J.</w:t>
      </w:r>
      <w:r>
        <w:rPr>
          <w:rFonts w:cs="Times New Roman"/>
        </w:rPr>
        <w:t>,</w:t>
      </w:r>
      <w:r w:rsidRPr="001D4463">
        <w:rPr>
          <w:rFonts w:cs="Times New Roman"/>
        </w:rPr>
        <w:t xml:space="preserve"> </w:t>
      </w:r>
      <w:r>
        <w:rPr>
          <w:rFonts w:cs="Times New Roman"/>
        </w:rPr>
        <w:t xml:space="preserve">2007.  </w:t>
      </w:r>
      <w:proofErr w:type="spellStart"/>
      <w:r w:rsidRPr="001D4463">
        <w:rPr>
          <w:rFonts w:cs="Times New Roman"/>
        </w:rPr>
        <w:t>Fortschritte</w:t>
      </w:r>
      <w:proofErr w:type="spellEnd"/>
      <w:r w:rsidRPr="001D4463">
        <w:rPr>
          <w:rFonts w:cs="Times New Roman"/>
        </w:rPr>
        <w:t xml:space="preserve"> in der </w:t>
      </w:r>
      <w:proofErr w:type="spellStart"/>
      <w:r w:rsidRPr="001D4463">
        <w:rPr>
          <w:rFonts w:cs="Times New Roman"/>
        </w:rPr>
        <w:t>Kältetechnik</w:t>
      </w:r>
      <w:proofErr w:type="spellEnd"/>
      <w:r w:rsidRPr="001D4463">
        <w:rPr>
          <w:rFonts w:cs="Times New Roman"/>
        </w:rPr>
        <w:t xml:space="preserve"> – </w:t>
      </w:r>
      <w:proofErr w:type="spellStart"/>
      <w:r w:rsidRPr="001D4463">
        <w:rPr>
          <w:rFonts w:cs="Times New Roman"/>
        </w:rPr>
        <w:t>geringer</w:t>
      </w:r>
      <w:proofErr w:type="spellEnd"/>
      <w:r w:rsidRPr="001D4463">
        <w:rPr>
          <w:rFonts w:cs="Times New Roman"/>
        </w:rPr>
        <w:t xml:space="preserve"> </w:t>
      </w:r>
      <w:proofErr w:type="spellStart"/>
      <w:r w:rsidRPr="001D4463">
        <w:rPr>
          <w:rFonts w:cs="Times New Roman"/>
        </w:rPr>
        <w:t>Energieverbrauch</w:t>
      </w:r>
      <w:proofErr w:type="spellEnd"/>
      <w:r w:rsidRPr="001D4463">
        <w:rPr>
          <w:rFonts w:cs="Times New Roman"/>
        </w:rPr>
        <w:t xml:space="preserve"> </w:t>
      </w:r>
      <w:proofErr w:type="spellStart"/>
      <w:proofErr w:type="gramStart"/>
      <w:r w:rsidRPr="001D4463">
        <w:rPr>
          <w:rFonts w:cs="Times New Roman"/>
        </w:rPr>
        <w:t>ist</w:t>
      </w:r>
      <w:proofErr w:type="spellEnd"/>
      <w:proofErr w:type="gramEnd"/>
      <w:r w:rsidRPr="001D4463">
        <w:rPr>
          <w:rFonts w:cs="Times New Roman"/>
        </w:rPr>
        <w:t xml:space="preserve"> </w:t>
      </w:r>
      <w:proofErr w:type="spellStart"/>
      <w:r>
        <w:rPr>
          <w:rFonts w:cs="Times New Roman"/>
        </w:rPr>
        <w:t>gefragt</w:t>
      </w:r>
      <w:proofErr w:type="spellEnd"/>
      <w:r>
        <w:rPr>
          <w:rFonts w:cs="Times New Roman"/>
        </w:rPr>
        <w:t xml:space="preserve">. </w:t>
      </w:r>
      <w:proofErr w:type="spellStart"/>
      <w:r>
        <w:rPr>
          <w:rFonts w:cs="Times New Roman"/>
        </w:rPr>
        <w:t>Kälte</w:t>
      </w:r>
      <w:proofErr w:type="spellEnd"/>
      <w:r>
        <w:rPr>
          <w:rFonts w:cs="Times New Roman"/>
        </w:rPr>
        <w:t xml:space="preserve"> </w:t>
      </w:r>
      <w:proofErr w:type="spellStart"/>
      <w:r>
        <w:rPr>
          <w:rFonts w:cs="Times New Roman"/>
        </w:rPr>
        <w:t>Klima</w:t>
      </w:r>
      <w:proofErr w:type="spellEnd"/>
      <w:r>
        <w:rPr>
          <w:rFonts w:cs="Times New Roman"/>
        </w:rPr>
        <w:t xml:space="preserve"> </w:t>
      </w:r>
      <w:proofErr w:type="spellStart"/>
      <w:r>
        <w:rPr>
          <w:rFonts w:cs="Times New Roman"/>
        </w:rPr>
        <w:t>Aktuell</w:t>
      </w:r>
      <w:proofErr w:type="spellEnd"/>
      <w:r>
        <w:rPr>
          <w:rFonts w:cs="Times New Roman"/>
        </w:rPr>
        <w:t>, 1</w:t>
      </w:r>
      <w:r w:rsidRPr="001D4463">
        <w:rPr>
          <w:rFonts w:cs="Times New Roman"/>
        </w:rPr>
        <w:t>, S. 70.</w:t>
      </w:r>
    </w:p>
    <w:p w14:paraId="197DB47E" w14:textId="5F8C0B5A" w:rsidR="00657E84" w:rsidRDefault="00657E84" w:rsidP="00657E84">
      <w:pPr>
        <w:jc w:val="left"/>
        <w:rPr>
          <w:rFonts w:cs="Times New Roman"/>
        </w:rPr>
      </w:pPr>
      <w:r w:rsidRPr="004D02F6">
        <w:rPr>
          <w:rFonts w:cs="Times New Roman"/>
        </w:rPr>
        <w:t>Kolokotroni, M., Tassou, SA.</w:t>
      </w:r>
      <w:proofErr w:type="gramStart"/>
      <w:r w:rsidRPr="004D02F6">
        <w:rPr>
          <w:rFonts w:cs="Times New Roman"/>
        </w:rPr>
        <w:t xml:space="preserve">,  </w:t>
      </w:r>
      <w:proofErr w:type="spellStart"/>
      <w:r w:rsidRPr="004D02F6">
        <w:rPr>
          <w:rFonts w:cs="Times New Roman"/>
        </w:rPr>
        <w:t>Gowreesunker</w:t>
      </w:r>
      <w:proofErr w:type="spellEnd"/>
      <w:proofErr w:type="gramEnd"/>
      <w:r w:rsidRPr="004D02F6">
        <w:rPr>
          <w:rFonts w:cs="Times New Roman"/>
        </w:rPr>
        <w:t xml:space="preserve"> , BL., 2015.  Energy aspects and ventilation of food retail buildings.  </w:t>
      </w:r>
      <w:proofErr w:type="gramStart"/>
      <w:r w:rsidRPr="004D02F6">
        <w:rPr>
          <w:rFonts w:cs="Times New Roman"/>
        </w:rPr>
        <w:t>Advances in Building Energy Research 9(1).</w:t>
      </w:r>
      <w:proofErr w:type="gramEnd"/>
    </w:p>
    <w:p w14:paraId="68496641" w14:textId="04B472F9" w:rsidR="00F85BF2" w:rsidRDefault="00F85BF2" w:rsidP="00657E84">
      <w:pPr>
        <w:jc w:val="left"/>
        <w:rPr>
          <w:rFonts w:cs="Times New Roman"/>
        </w:rPr>
      </w:pPr>
      <w:proofErr w:type="gramStart"/>
      <w:r>
        <w:rPr>
          <w:rFonts w:cs="Times New Roman"/>
        </w:rPr>
        <w:t>KWN Engineering,</w:t>
      </w:r>
      <w:r w:rsidRPr="00F85BF2">
        <w:rPr>
          <w:rFonts w:cs="Times New Roman"/>
        </w:rPr>
        <w:t xml:space="preserve"> </w:t>
      </w:r>
      <w:r>
        <w:rPr>
          <w:rFonts w:cs="Times New Roman"/>
        </w:rPr>
        <w:t>2004.</w:t>
      </w:r>
      <w:proofErr w:type="gramEnd"/>
      <w:r>
        <w:rPr>
          <w:rFonts w:cs="Times New Roman"/>
        </w:rPr>
        <w:t xml:space="preserve"> </w:t>
      </w:r>
      <w:proofErr w:type="spellStart"/>
      <w:proofErr w:type="gramStart"/>
      <w:r w:rsidRPr="00F85BF2">
        <w:rPr>
          <w:rFonts w:cs="Times New Roman"/>
        </w:rPr>
        <w:t>Testreihe</w:t>
      </w:r>
      <w:proofErr w:type="spellEnd"/>
      <w:r w:rsidRPr="00F85BF2">
        <w:rPr>
          <w:rFonts w:cs="Times New Roman"/>
        </w:rPr>
        <w:t xml:space="preserve"> </w:t>
      </w:r>
      <w:proofErr w:type="spellStart"/>
      <w:r w:rsidRPr="00F85BF2">
        <w:rPr>
          <w:rFonts w:cs="Times New Roman"/>
        </w:rPr>
        <w:t>Glasstüren</w:t>
      </w:r>
      <w:proofErr w:type="spellEnd"/>
      <w:r w:rsidRPr="00F85BF2">
        <w:rPr>
          <w:rFonts w:cs="Times New Roman"/>
        </w:rPr>
        <w:t xml:space="preserve"> </w:t>
      </w:r>
      <w:proofErr w:type="spellStart"/>
      <w:r w:rsidRPr="00F85BF2">
        <w:rPr>
          <w:rFonts w:cs="Times New Roman"/>
        </w:rPr>
        <w:t>für</w:t>
      </w:r>
      <w:proofErr w:type="spellEnd"/>
      <w:r w:rsidRPr="00F85BF2">
        <w:rPr>
          <w:rFonts w:cs="Times New Roman"/>
        </w:rPr>
        <w:t xml:space="preserve"> </w:t>
      </w:r>
      <w:proofErr w:type="spellStart"/>
      <w:r w:rsidRPr="00F85BF2">
        <w:rPr>
          <w:rFonts w:cs="Times New Roman"/>
        </w:rPr>
        <w:t>Wandkühlregal</w:t>
      </w:r>
      <w:r>
        <w:rPr>
          <w:rFonts w:cs="Times New Roman"/>
        </w:rPr>
        <w:t>e</w:t>
      </w:r>
      <w:proofErr w:type="spellEnd"/>
      <w:r>
        <w:rPr>
          <w:rFonts w:cs="Times New Roman"/>
        </w:rPr>
        <w:t xml:space="preserve"> REMIS </w:t>
      </w:r>
      <w:proofErr w:type="spellStart"/>
      <w:r>
        <w:rPr>
          <w:rFonts w:cs="Times New Roman"/>
        </w:rPr>
        <w:t>bei</w:t>
      </w:r>
      <w:proofErr w:type="spellEnd"/>
      <w:r>
        <w:rPr>
          <w:rFonts w:cs="Times New Roman"/>
        </w:rPr>
        <w:t xml:space="preserve"> AGM </w:t>
      </w:r>
      <w:proofErr w:type="spellStart"/>
      <w:r>
        <w:rPr>
          <w:rFonts w:cs="Times New Roman"/>
        </w:rPr>
        <w:t>Österreich</w:t>
      </w:r>
      <w:proofErr w:type="spellEnd"/>
      <w:r w:rsidRPr="00F85BF2">
        <w:rPr>
          <w:rFonts w:cs="Times New Roman"/>
        </w:rPr>
        <w:t>.</w:t>
      </w:r>
      <w:proofErr w:type="gramEnd"/>
    </w:p>
    <w:p w14:paraId="0271F179" w14:textId="77777777" w:rsidR="00F85BF2" w:rsidRDefault="00F85BF2" w:rsidP="00F85BF2">
      <w:pPr>
        <w:jc w:val="left"/>
        <w:rPr>
          <w:rFonts w:cs="Times New Roman"/>
        </w:rPr>
      </w:pPr>
      <w:proofErr w:type="gramStart"/>
      <w:r w:rsidRPr="00CE2A71">
        <w:rPr>
          <w:rFonts w:cs="Times New Roman"/>
        </w:rPr>
        <w:lastRenderedPageBreak/>
        <w:t xml:space="preserve">Lindberg, U., </w:t>
      </w:r>
      <w:proofErr w:type="spellStart"/>
      <w:r w:rsidRPr="00CE2A71">
        <w:rPr>
          <w:rFonts w:cs="Times New Roman"/>
        </w:rPr>
        <w:t>Axell</w:t>
      </w:r>
      <w:proofErr w:type="spellEnd"/>
      <w:r w:rsidRPr="00CE2A71">
        <w:rPr>
          <w:rFonts w:cs="Times New Roman"/>
        </w:rPr>
        <w:t xml:space="preserve">, M. and </w:t>
      </w:r>
      <w:proofErr w:type="spellStart"/>
      <w:r w:rsidRPr="00CE2A71">
        <w:rPr>
          <w:rFonts w:cs="Times New Roman"/>
        </w:rPr>
        <w:t>Fahlén</w:t>
      </w:r>
      <w:proofErr w:type="spellEnd"/>
      <w:r w:rsidRPr="00CE2A71">
        <w:rPr>
          <w:rFonts w:cs="Times New Roman"/>
        </w:rPr>
        <w:t>, P.</w:t>
      </w:r>
      <w:r>
        <w:rPr>
          <w:rFonts w:cs="Times New Roman"/>
        </w:rPr>
        <w:t>, 2010.</w:t>
      </w:r>
      <w:proofErr w:type="gramEnd"/>
      <w:r w:rsidRPr="00CE2A71">
        <w:rPr>
          <w:rFonts w:cs="Times New Roman"/>
        </w:rPr>
        <w:t xml:space="preserve"> </w:t>
      </w:r>
      <w:r>
        <w:rPr>
          <w:rFonts w:cs="Times New Roman"/>
        </w:rPr>
        <w:t xml:space="preserve"> </w:t>
      </w:r>
      <w:proofErr w:type="gramStart"/>
      <w:r w:rsidRPr="00CE2A71">
        <w:rPr>
          <w:rFonts w:cs="Times New Roman"/>
        </w:rPr>
        <w:t>Vertical display cabinets without a</w:t>
      </w:r>
      <w:r>
        <w:rPr>
          <w:rFonts w:cs="Times New Roman"/>
        </w:rPr>
        <w:t xml:space="preserve">nd with doors – a comparison of </w:t>
      </w:r>
      <w:r w:rsidRPr="00CE2A71">
        <w:rPr>
          <w:rFonts w:cs="Times New Roman"/>
        </w:rPr>
        <w:t>measurements in a laboratory and in a supermarket.</w:t>
      </w:r>
      <w:proofErr w:type="gramEnd"/>
      <w:r w:rsidRPr="00CE2A71">
        <w:rPr>
          <w:rFonts w:cs="Times New Roman"/>
        </w:rPr>
        <w:t xml:space="preserve"> </w:t>
      </w:r>
      <w:proofErr w:type="gramStart"/>
      <w:r w:rsidRPr="00CE2A71">
        <w:rPr>
          <w:rFonts w:cs="Times New Roman"/>
        </w:rPr>
        <w:t>IIR, Sustainability and</w:t>
      </w:r>
      <w:r>
        <w:rPr>
          <w:rFonts w:cs="Times New Roman"/>
        </w:rPr>
        <w:t xml:space="preserve"> the Cold Chain, Cambridge, UK.</w:t>
      </w:r>
      <w:proofErr w:type="gramEnd"/>
    </w:p>
    <w:p w14:paraId="686B1D41" w14:textId="0DE2D6CC" w:rsidR="00AA599E" w:rsidRDefault="00AA599E" w:rsidP="00AA599E">
      <w:pPr>
        <w:jc w:val="left"/>
        <w:rPr>
          <w:rFonts w:cs="Times New Roman"/>
        </w:rPr>
      </w:pPr>
      <w:proofErr w:type="gramStart"/>
      <w:r w:rsidRPr="00AA599E">
        <w:rPr>
          <w:rFonts w:cs="Times New Roman"/>
        </w:rPr>
        <w:t>Navigant Consulting Inc.</w:t>
      </w:r>
      <w:r>
        <w:rPr>
          <w:rFonts w:cs="Times New Roman"/>
        </w:rPr>
        <w:t>, 2013.</w:t>
      </w:r>
      <w:proofErr w:type="gramEnd"/>
      <w:r>
        <w:rPr>
          <w:rFonts w:cs="Times New Roman"/>
        </w:rPr>
        <w:t xml:space="preserve">  </w:t>
      </w:r>
      <w:r w:rsidRPr="00AA599E">
        <w:rPr>
          <w:rFonts w:cs="Times New Roman"/>
        </w:rPr>
        <w:t xml:space="preserve"> Guide for the Retrofitting of Open Refrige</w:t>
      </w:r>
      <w:r>
        <w:rPr>
          <w:rFonts w:cs="Times New Roman"/>
        </w:rPr>
        <w:t>rated Display Cases with Doors</w:t>
      </w:r>
      <w:r w:rsidRPr="00AA599E">
        <w:rPr>
          <w:rFonts w:cs="Times New Roman"/>
        </w:rPr>
        <w:t xml:space="preserve">. </w:t>
      </w:r>
      <w:proofErr w:type="gramStart"/>
      <w:r w:rsidRPr="00AA599E">
        <w:rPr>
          <w:rFonts w:cs="Times New Roman"/>
        </w:rPr>
        <w:t>US Department of Energy</w:t>
      </w:r>
      <w:r>
        <w:rPr>
          <w:rFonts w:cs="Times New Roman"/>
        </w:rPr>
        <w:t xml:space="preserve">, Energy Efficiency &amp; Renewable </w:t>
      </w:r>
      <w:r w:rsidRPr="00AA599E">
        <w:rPr>
          <w:rFonts w:cs="Times New Roman"/>
        </w:rPr>
        <w:t>Energy.</w:t>
      </w:r>
      <w:proofErr w:type="gramEnd"/>
    </w:p>
    <w:p w14:paraId="7B235541" w14:textId="02B19125" w:rsidR="00976D49" w:rsidRPr="004D02F6" w:rsidRDefault="00976D49" w:rsidP="00976D49">
      <w:pPr>
        <w:jc w:val="left"/>
        <w:rPr>
          <w:rFonts w:cs="Times New Roman"/>
        </w:rPr>
      </w:pPr>
      <w:r>
        <w:rPr>
          <w:rFonts w:cs="Times New Roman"/>
        </w:rPr>
        <w:t>Schmidt, R., 2007.</w:t>
      </w:r>
      <w:r w:rsidRPr="00976D49">
        <w:rPr>
          <w:rFonts w:cs="Times New Roman"/>
        </w:rPr>
        <w:t xml:space="preserve"> </w:t>
      </w:r>
      <w:proofErr w:type="spellStart"/>
      <w:proofErr w:type="gramStart"/>
      <w:r w:rsidRPr="00976D49">
        <w:rPr>
          <w:rFonts w:cs="Times New Roman"/>
        </w:rPr>
        <w:t>Technologieauswahl</w:t>
      </w:r>
      <w:proofErr w:type="spellEnd"/>
      <w:r w:rsidRPr="00976D49">
        <w:rPr>
          <w:rFonts w:cs="Times New Roman"/>
        </w:rPr>
        <w:t xml:space="preserve"> </w:t>
      </w:r>
      <w:proofErr w:type="spellStart"/>
      <w:r w:rsidRPr="00976D49">
        <w:rPr>
          <w:rFonts w:cs="Times New Roman"/>
        </w:rPr>
        <w:t>aus</w:t>
      </w:r>
      <w:proofErr w:type="spellEnd"/>
      <w:r w:rsidRPr="00976D49">
        <w:rPr>
          <w:rFonts w:cs="Times New Roman"/>
        </w:rPr>
        <w:t xml:space="preserve"> </w:t>
      </w:r>
      <w:proofErr w:type="spellStart"/>
      <w:r w:rsidRPr="00976D49">
        <w:rPr>
          <w:rFonts w:cs="Times New Roman"/>
        </w:rPr>
        <w:t>Sicht</w:t>
      </w:r>
      <w:proofErr w:type="spellEnd"/>
      <w:r w:rsidRPr="00976D49">
        <w:rPr>
          <w:rFonts w:cs="Times New Roman"/>
        </w:rPr>
        <w:t xml:space="preserve"> der REWE Group.</w:t>
      </w:r>
      <w:proofErr w:type="gramEnd"/>
      <w:r w:rsidRPr="00976D49">
        <w:rPr>
          <w:rFonts w:cs="Times New Roman"/>
        </w:rPr>
        <w:t xml:space="preserve"> </w:t>
      </w:r>
      <w:proofErr w:type="gramStart"/>
      <w:r w:rsidRPr="00976D49">
        <w:rPr>
          <w:rFonts w:cs="Times New Roman"/>
        </w:rPr>
        <w:t>De</w:t>
      </w:r>
      <w:r>
        <w:rPr>
          <w:rFonts w:cs="Times New Roman"/>
        </w:rPr>
        <w:t xml:space="preserve">utsche </w:t>
      </w:r>
      <w:proofErr w:type="spellStart"/>
      <w:r>
        <w:rPr>
          <w:rFonts w:cs="Times New Roman"/>
        </w:rPr>
        <w:t>Kälte-Klima-Tagung</w:t>
      </w:r>
      <w:proofErr w:type="spellEnd"/>
      <w:r>
        <w:rPr>
          <w:rFonts w:cs="Times New Roman"/>
        </w:rPr>
        <w:t xml:space="preserve"> 2007, Hannover, 22.</w:t>
      </w:r>
      <w:proofErr w:type="gramEnd"/>
      <w:r>
        <w:rPr>
          <w:rFonts w:cs="Times New Roman"/>
        </w:rPr>
        <w:t xml:space="preserve"> – 23</w:t>
      </w:r>
      <w:r w:rsidRPr="00976D49">
        <w:rPr>
          <w:rFonts w:cs="Times New Roman"/>
        </w:rPr>
        <w:t>.</w:t>
      </w:r>
    </w:p>
    <w:p w14:paraId="65F63954" w14:textId="6D3273DF" w:rsidR="005D0C7D" w:rsidRDefault="005D0C7D" w:rsidP="005D0C7D">
      <w:pPr>
        <w:jc w:val="left"/>
        <w:rPr>
          <w:rFonts w:cs="Times New Roman"/>
        </w:rPr>
      </w:pPr>
      <w:r w:rsidRPr="004D02F6">
        <w:rPr>
          <w:rFonts w:cs="Times New Roman"/>
        </w:rPr>
        <w:t>Sullivan, R.</w:t>
      </w:r>
      <w:proofErr w:type="gramStart"/>
      <w:r w:rsidRPr="004D02F6">
        <w:rPr>
          <w:rFonts w:cs="Times New Roman"/>
        </w:rPr>
        <w:t xml:space="preserve">,  </w:t>
      </w:r>
      <w:proofErr w:type="spellStart"/>
      <w:r w:rsidRPr="004D02F6">
        <w:rPr>
          <w:rFonts w:cs="Times New Roman"/>
        </w:rPr>
        <w:t>Gouldson</w:t>
      </w:r>
      <w:proofErr w:type="spellEnd"/>
      <w:proofErr w:type="gramEnd"/>
      <w:r w:rsidRPr="004D02F6">
        <w:rPr>
          <w:rFonts w:cs="Times New Roman"/>
        </w:rPr>
        <w:t>, A., 2013. Ten years of corporate action on cli</w:t>
      </w:r>
      <w:r w:rsidR="00D14DB4" w:rsidRPr="004D02F6">
        <w:rPr>
          <w:rFonts w:cs="Times New Roman"/>
        </w:rPr>
        <w:t xml:space="preserve">mate change: What do we have to </w:t>
      </w:r>
      <w:r w:rsidRPr="004D02F6">
        <w:rPr>
          <w:rFonts w:cs="Times New Roman"/>
        </w:rPr>
        <w:t>show for it?  Energy Policy,</w:t>
      </w:r>
      <w:r w:rsidR="00D14DB4" w:rsidRPr="004D02F6">
        <w:rPr>
          <w:rFonts w:cs="Times New Roman"/>
        </w:rPr>
        <w:t xml:space="preserve"> </w:t>
      </w:r>
      <w:r w:rsidRPr="004D02F6">
        <w:rPr>
          <w:rFonts w:cs="Times New Roman"/>
        </w:rPr>
        <w:t>60, 733–740.</w:t>
      </w:r>
    </w:p>
    <w:p w14:paraId="38E9E21F" w14:textId="56680A73" w:rsidR="0041027A" w:rsidRPr="004D02F6" w:rsidRDefault="0041027A" w:rsidP="0041027A">
      <w:pPr>
        <w:jc w:val="left"/>
        <w:rPr>
          <w:rFonts w:cs="Times New Roman"/>
        </w:rPr>
      </w:pPr>
      <w:r w:rsidRPr="0041027A">
        <w:rPr>
          <w:rFonts w:cs="Times New Roman"/>
        </w:rPr>
        <w:t>Sustainable Development</w:t>
      </w:r>
      <w:r>
        <w:rPr>
          <w:rFonts w:cs="Times New Roman"/>
        </w:rPr>
        <w:t xml:space="preserve"> </w:t>
      </w:r>
      <w:r w:rsidRPr="0041027A">
        <w:rPr>
          <w:rFonts w:cs="Times New Roman"/>
        </w:rPr>
        <w:t>Commission,</w:t>
      </w:r>
      <w:r>
        <w:rPr>
          <w:rFonts w:cs="Times New Roman"/>
        </w:rPr>
        <w:t xml:space="preserve"> </w:t>
      </w:r>
      <w:r w:rsidRPr="0041027A">
        <w:rPr>
          <w:rFonts w:cs="Times New Roman"/>
        </w:rPr>
        <w:t>2008.Green,</w:t>
      </w:r>
      <w:r>
        <w:rPr>
          <w:rFonts w:cs="Times New Roman"/>
        </w:rPr>
        <w:t xml:space="preserve"> </w:t>
      </w:r>
      <w:r w:rsidRPr="0041027A">
        <w:rPr>
          <w:rFonts w:cs="Times New Roman"/>
        </w:rPr>
        <w:t>Healthy</w:t>
      </w:r>
      <w:r>
        <w:rPr>
          <w:rFonts w:cs="Times New Roman"/>
        </w:rPr>
        <w:t xml:space="preserve"> </w:t>
      </w:r>
      <w:r w:rsidRPr="0041027A">
        <w:rPr>
          <w:rFonts w:cs="Times New Roman"/>
        </w:rPr>
        <w:t>and</w:t>
      </w:r>
      <w:r>
        <w:rPr>
          <w:rFonts w:cs="Times New Roman"/>
        </w:rPr>
        <w:t xml:space="preserve"> </w:t>
      </w:r>
      <w:r w:rsidRPr="0041027A">
        <w:rPr>
          <w:rFonts w:cs="Times New Roman"/>
        </w:rPr>
        <w:t>Fair:</w:t>
      </w:r>
      <w:r>
        <w:rPr>
          <w:rFonts w:cs="Times New Roman"/>
        </w:rPr>
        <w:t xml:space="preserve"> A </w:t>
      </w:r>
      <w:r w:rsidRPr="0041027A">
        <w:rPr>
          <w:rFonts w:cs="Times New Roman"/>
        </w:rPr>
        <w:t>Review</w:t>
      </w:r>
      <w:r>
        <w:rPr>
          <w:rFonts w:cs="Times New Roman"/>
        </w:rPr>
        <w:t xml:space="preserve"> </w:t>
      </w:r>
      <w:r w:rsidRPr="0041027A">
        <w:rPr>
          <w:rFonts w:cs="Times New Roman"/>
        </w:rPr>
        <w:t>of</w:t>
      </w:r>
      <w:r>
        <w:rPr>
          <w:rFonts w:cs="Times New Roman"/>
        </w:rPr>
        <w:t xml:space="preserve"> </w:t>
      </w:r>
      <w:r w:rsidRPr="0041027A">
        <w:rPr>
          <w:rFonts w:cs="Times New Roman"/>
        </w:rPr>
        <w:t>the</w:t>
      </w:r>
      <w:r>
        <w:rPr>
          <w:rFonts w:cs="Times New Roman"/>
        </w:rPr>
        <w:t xml:space="preserve"> </w:t>
      </w:r>
      <w:r w:rsidRPr="0041027A">
        <w:rPr>
          <w:rFonts w:cs="Times New Roman"/>
        </w:rPr>
        <w:t>Government's Role</w:t>
      </w:r>
      <w:r>
        <w:rPr>
          <w:rFonts w:cs="Times New Roman"/>
        </w:rPr>
        <w:t xml:space="preserve"> </w:t>
      </w:r>
      <w:r w:rsidRPr="0041027A">
        <w:rPr>
          <w:rFonts w:cs="Times New Roman"/>
        </w:rPr>
        <w:t>in</w:t>
      </w:r>
      <w:r>
        <w:rPr>
          <w:rFonts w:cs="Times New Roman"/>
        </w:rPr>
        <w:t xml:space="preserve"> </w:t>
      </w:r>
      <w:r w:rsidRPr="0041027A">
        <w:rPr>
          <w:rFonts w:cs="Times New Roman"/>
        </w:rPr>
        <w:t>Supporting</w:t>
      </w:r>
      <w:r>
        <w:rPr>
          <w:rFonts w:cs="Times New Roman"/>
        </w:rPr>
        <w:t xml:space="preserve"> </w:t>
      </w:r>
      <w:r w:rsidRPr="0041027A">
        <w:rPr>
          <w:rFonts w:cs="Times New Roman"/>
        </w:rPr>
        <w:t>Sustainable</w:t>
      </w:r>
      <w:r>
        <w:rPr>
          <w:rFonts w:cs="Times New Roman"/>
        </w:rPr>
        <w:t xml:space="preserve"> </w:t>
      </w:r>
      <w:r w:rsidRPr="0041027A">
        <w:rPr>
          <w:rFonts w:cs="Times New Roman"/>
        </w:rPr>
        <w:t>Supermarket</w:t>
      </w:r>
      <w:r>
        <w:rPr>
          <w:rFonts w:cs="Times New Roman"/>
        </w:rPr>
        <w:t xml:space="preserve"> Food. </w:t>
      </w:r>
      <w:r w:rsidRPr="0041027A">
        <w:rPr>
          <w:rFonts w:cs="Times New Roman"/>
        </w:rPr>
        <w:t>SDC, London.</w:t>
      </w:r>
    </w:p>
    <w:p w14:paraId="4158BADB" w14:textId="56BD9E63" w:rsidR="000F42E8" w:rsidRPr="004D02F6" w:rsidRDefault="000F42E8" w:rsidP="00657E84">
      <w:pPr>
        <w:jc w:val="left"/>
        <w:rPr>
          <w:rFonts w:cs="Times New Roman"/>
        </w:rPr>
      </w:pPr>
      <w:r w:rsidRPr="004D02F6">
        <w:rPr>
          <w:rFonts w:cs="Times New Roman"/>
        </w:rPr>
        <w:t xml:space="preserve">Tassou, </w:t>
      </w:r>
      <w:proofErr w:type="gramStart"/>
      <w:r w:rsidRPr="004D02F6">
        <w:rPr>
          <w:rFonts w:cs="Times New Roman"/>
        </w:rPr>
        <w:t>SA.,</w:t>
      </w:r>
      <w:proofErr w:type="gramEnd"/>
      <w:r w:rsidRPr="004D02F6">
        <w:rPr>
          <w:rFonts w:cs="Times New Roman"/>
        </w:rPr>
        <w:t xml:space="preserve"> Ge, YT., Hadawey, A., Marriott, D., 2011. </w:t>
      </w:r>
      <w:proofErr w:type="gramStart"/>
      <w:r w:rsidRPr="004D02F6">
        <w:rPr>
          <w:rFonts w:cs="Times New Roman"/>
        </w:rPr>
        <w:t>Energy consumption and conservation in food retailing.</w:t>
      </w:r>
      <w:proofErr w:type="gramEnd"/>
      <w:r w:rsidRPr="004D02F6">
        <w:rPr>
          <w:rFonts w:cs="Times New Roman"/>
        </w:rPr>
        <w:t xml:space="preserve"> </w:t>
      </w:r>
      <w:proofErr w:type="gramStart"/>
      <w:r w:rsidRPr="004D02F6">
        <w:rPr>
          <w:rFonts w:cs="Times New Roman"/>
        </w:rPr>
        <w:t>Applied Thermal Engineering.</w:t>
      </w:r>
      <w:proofErr w:type="gramEnd"/>
      <w:r w:rsidRPr="004D02F6">
        <w:rPr>
          <w:rFonts w:cs="Times New Roman"/>
        </w:rPr>
        <w:t xml:space="preserve">  31, 147–156.</w:t>
      </w:r>
    </w:p>
    <w:p w14:paraId="32F0EE48" w14:textId="19AB7BDF" w:rsidR="006553D1" w:rsidRPr="00F85BF2" w:rsidRDefault="005D0C7D" w:rsidP="00F85BF2">
      <w:pPr>
        <w:jc w:val="left"/>
        <w:rPr>
          <w:rFonts w:cs="Times New Roman"/>
        </w:rPr>
      </w:pPr>
      <w:proofErr w:type="gramStart"/>
      <w:r w:rsidRPr="004D02F6">
        <w:rPr>
          <w:rFonts w:cs="Times New Roman"/>
        </w:rPr>
        <w:t>van</w:t>
      </w:r>
      <w:proofErr w:type="gramEnd"/>
      <w:r w:rsidRPr="004D02F6">
        <w:rPr>
          <w:rFonts w:cs="Times New Roman"/>
        </w:rPr>
        <w:t xml:space="preserve"> der </w:t>
      </w:r>
      <w:proofErr w:type="spellStart"/>
      <w:r w:rsidRPr="004D02F6">
        <w:rPr>
          <w:rFonts w:cs="Times New Roman"/>
        </w:rPr>
        <w:t>Sluis</w:t>
      </w:r>
      <w:proofErr w:type="spellEnd"/>
      <w:r w:rsidRPr="004D02F6">
        <w:rPr>
          <w:rFonts w:cs="Times New Roman"/>
        </w:rPr>
        <w:t xml:space="preserve">, S., Lindberg, U., Lane, A-L., Arias, J., 2015.  </w:t>
      </w:r>
      <w:proofErr w:type="gramStart"/>
      <w:r w:rsidRPr="004D02F6">
        <w:rPr>
          <w:rFonts w:cs="Times New Roman"/>
        </w:rPr>
        <w:t>Performance Indicators or Energy Efficient Supermarket Buildings.</w:t>
      </w:r>
      <w:proofErr w:type="gramEnd"/>
      <w:r w:rsidRPr="004D02F6">
        <w:rPr>
          <w:rFonts w:cs="Times New Roman"/>
        </w:rPr>
        <w:t xml:space="preserve">  </w:t>
      </w:r>
      <w:proofErr w:type="gramStart"/>
      <w:r w:rsidRPr="004D02F6">
        <w:rPr>
          <w:rFonts w:cs="Times New Roman"/>
        </w:rPr>
        <w:t>Proceedings of ICR 2015, August 16 - 22 - Yokohama, Japan.</w:t>
      </w:r>
      <w:proofErr w:type="gramEnd"/>
    </w:p>
    <w:sectPr w:rsidR="006553D1" w:rsidRPr="00F85BF2" w:rsidSect="00735D97">
      <w:headerReference w:type="default" r:id="rId19"/>
      <w:footerReference w:type="default" r:id="rId20"/>
      <w:pgSz w:w="11906" w:h="16838" w:code="9"/>
      <w:pgMar w:top="1134" w:right="1134" w:bottom="1418" w:left="1134" w:header="680" w:footer="709"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BAA8A" w15:done="0"/>
  <w15:commentEx w15:paraId="4CE76576" w15:done="0"/>
  <w15:commentEx w15:paraId="73135D0E" w15:done="0"/>
  <w15:commentEx w15:paraId="50238B2C" w15:done="0"/>
  <w15:commentEx w15:paraId="6195630A" w15:done="0"/>
  <w15:commentEx w15:paraId="5B096968" w15:done="0"/>
  <w15:commentEx w15:paraId="52C2877C" w15:done="0"/>
  <w15:commentEx w15:paraId="0C3BB308" w15:done="0"/>
  <w15:commentEx w15:paraId="7D069C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39E7A" w14:textId="77777777" w:rsidR="00C31618" w:rsidRDefault="00C31618">
      <w:r>
        <w:separator/>
      </w:r>
    </w:p>
  </w:endnote>
  <w:endnote w:type="continuationSeparator" w:id="0">
    <w:p w14:paraId="6964FD16" w14:textId="77777777" w:rsidR="00C31618" w:rsidRDefault="00C3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7A9C8" w14:textId="79E70D05" w:rsidR="00C31618" w:rsidRPr="00BE59EB" w:rsidRDefault="00C31618" w:rsidP="00D4266C">
    <w:pPr>
      <w:jc w:val="center"/>
      <w:rPr>
        <w:szCs w:val="22"/>
      </w:rPr>
    </w:pPr>
    <w:r w:rsidRPr="00BE59EB">
      <w:rPr>
        <w:szCs w:val="22"/>
      </w:rPr>
      <w:t>5</w:t>
    </w:r>
    <w:r w:rsidRPr="00BE59EB">
      <w:rPr>
        <w:szCs w:val="22"/>
        <w:vertAlign w:val="superscript"/>
      </w:rPr>
      <w:t>th</w:t>
    </w:r>
    <w:r w:rsidRPr="00BE59EB">
      <w:rPr>
        <w:szCs w:val="22"/>
      </w:rPr>
      <w:t xml:space="preserve"> IIR Conference on Sustainability and the Cold Chain, Beijing, China,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0C0EB" w14:textId="77777777" w:rsidR="00C31618" w:rsidRDefault="00C31618">
      <w:r>
        <w:separator/>
      </w:r>
    </w:p>
  </w:footnote>
  <w:footnote w:type="continuationSeparator" w:id="0">
    <w:p w14:paraId="59BD8760" w14:textId="77777777" w:rsidR="00C31618" w:rsidRDefault="00C31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336B" w14:textId="13382691" w:rsidR="00C31618" w:rsidRDefault="00C31618">
    <w:pPr>
      <w:pStyle w:val="Header"/>
      <w:jc w:val="right"/>
    </w:pPr>
    <w:r>
      <w:t>NN-</w:t>
    </w:r>
    <w:sdt>
      <w:sdtPr>
        <w:id w:val="-14161630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A14D7">
          <w:rPr>
            <w:noProof/>
          </w:rPr>
          <w:t>4</w:t>
        </w:r>
        <w:r>
          <w:rPr>
            <w:noProof/>
          </w:rPr>
          <w:fldChar w:fldCharType="end"/>
        </w:r>
      </w:sdtContent>
    </w:sdt>
  </w:p>
  <w:p w14:paraId="24B2D6BB" w14:textId="5BF1C5EE" w:rsidR="00C31618" w:rsidRDefault="00C31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9F8"/>
    <w:multiLevelType w:val="hybridMultilevel"/>
    <w:tmpl w:val="1846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9C19E6"/>
    <w:multiLevelType w:val="hybridMultilevel"/>
    <w:tmpl w:val="81E2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D7785"/>
    <w:multiLevelType w:val="multilevel"/>
    <w:tmpl w:val="0194E032"/>
    <w:styleLink w:val="Alansheadings"/>
    <w:lvl w:ilvl="0">
      <w:start w:val="1"/>
      <w:numFmt w:val="decimal"/>
      <w:lvlText w:val="%1"/>
      <w:lvlJc w:val="left"/>
      <w:pPr>
        <w:ind w:left="0" w:firstLine="0"/>
      </w:pPr>
      <w:rPr>
        <w:rFonts w:hint="default"/>
      </w:rPr>
    </w:lvl>
    <w:lvl w:ilvl="1">
      <w:start w:val="1"/>
      <w:numFmt w:val="decimal"/>
      <w:lvlText w:val="%2.%1"/>
      <w:lvlJc w:val="left"/>
      <w:pPr>
        <w:ind w:left="0" w:firstLine="1080"/>
      </w:pPr>
      <w:rPr>
        <w:rFonts w:hint="default"/>
      </w:rPr>
    </w:lvl>
    <w:lvl w:ilvl="2">
      <w:start w:val="1"/>
      <w:numFmt w:val="none"/>
      <w:lvlText w:val=""/>
      <w:lvlJc w:val="right"/>
      <w:pPr>
        <w:ind w:left="0" w:firstLine="19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666F0609"/>
    <w:multiLevelType w:val="hybridMultilevel"/>
    <w:tmpl w:val="866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7E56A6"/>
    <w:multiLevelType w:val="multilevel"/>
    <w:tmpl w:val="9E72FB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A782205"/>
    <w:multiLevelType w:val="hybridMultilevel"/>
    <w:tmpl w:val="8A38F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AB26CD"/>
    <w:multiLevelType w:val="hybridMultilevel"/>
    <w:tmpl w:val="61465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rga, Liz">
    <w15:presenceInfo w15:providerId="AD" w15:userId="S-1-5-21-330784629-399117050-176895030-43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1146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A3"/>
    <w:rsid w:val="000031C0"/>
    <w:rsid w:val="00004B81"/>
    <w:rsid w:val="00005D96"/>
    <w:rsid w:val="00011D3C"/>
    <w:rsid w:val="00012D75"/>
    <w:rsid w:val="00013B45"/>
    <w:rsid w:val="00013E8F"/>
    <w:rsid w:val="00014406"/>
    <w:rsid w:val="00014E99"/>
    <w:rsid w:val="00016AC2"/>
    <w:rsid w:val="000231EF"/>
    <w:rsid w:val="00023C2B"/>
    <w:rsid w:val="00023C9F"/>
    <w:rsid w:val="00024B66"/>
    <w:rsid w:val="0002562D"/>
    <w:rsid w:val="00030708"/>
    <w:rsid w:val="00032929"/>
    <w:rsid w:val="00036CA1"/>
    <w:rsid w:val="00037901"/>
    <w:rsid w:val="00042D93"/>
    <w:rsid w:val="0004490D"/>
    <w:rsid w:val="00053A5F"/>
    <w:rsid w:val="000556F9"/>
    <w:rsid w:val="000640F4"/>
    <w:rsid w:val="00064AF7"/>
    <w:rsid w:val="00066A61"/>
    <w:rsid w:val="00067F81"/>
    <w:rsid w:val="00073841"/>
    <w:rsid w:val="00075E85"/>
    <w:rsid w:val="000803AF"/>
    <w:rsid w:val="00081C77"/>
    <w:rsid w:val="000828C9"/>
    <w:rsid w:val="00090483"/>
    <w:rsid w:val="00091006"/>
    <w:rsid w:val="0009110C"/>
    <w:rsid w:val="0009612F"/>
    <w:rsid w:val="000A0931"/>
    <w:rsid w:val="000A1947"/>
    <w:rsid w:val="000A1D4C"/>
    <w:rsid w:val="000A401B"/>
    <w:rsid w:val="000A6E16"/>
    <w:rsid w:val="000A7A7C"/>
    <w:rsid w:val="000A7C54"/>
    <w:rsid w:val="000B43B0"/>
    <w:rsid w:val="000B513B"/>
    <w:rsid w:val="000B552A"/>
    <w:rsid w:val="000C10C1"/>
    <w:rsid w:val="000C17B2"/>
    <w:rsid w:val="000C3E1F"/>
    <w:rsid w:val="000C4BEC"/>
    <w:rsid w:val="000C6F70"/>
    <w:rsid w:val="000D797C"/>
    <w:rsid w:val="000D7B2E"/>
    <w:rsid w:val="000E0AD1"/>
    <w:rsid w:val="000E1A43"/>
    <w:rsid w:val="000E6E7C"/>
    <w:rsid w:val="000E72B5"/>
    <w:rsid w:val="000F3F80"/>
    <w:rsid w:val="000F42E8"/>
    <w:rsid w:val="000F52B2"/>
    <w:rsid w:val="00104E61"/>
    <w:rsid w:val="001143E2"/>
    <w:rsid w:val="0011683E"/>
    <w:rsid w:val="00123A3A"/>
    <w:rsid w:val="00125795"/>
    <w:rsid w:val="00127845"/>
    <w:rsid w:val="00131A5F"/>
    <w:rsid w:val="00131CD3"/>
    <w:rsid w:val="00132DA9"/>
    <w:rsid w:val="001335DE"/>
    <w:rsid w:val="00134854"/>
    <w:rsid w:val="001370EF"/>
    <w:rsid w:val="0014087F"/>
    <w:rsid w:val="00145FE7"/>
    <w:rsid w:val="00146814"/>
    <w:rsid w:val="00146B34"/>
    <w:rsid w:val="00150BF9"/>
    <w:rsid w:val="00151EEE"/>
    <w:rsid w:val="0015265C"/>
    <w:rsid w:val="00154D97"/>
    <w:rsid w:val="00155178"/>
    <w:rsid w:val="00160A9B"/>
    <w:rsid w:val="00161823"/>
    <w:rsid w:val="0016271E"/>
    <w:rsid w:val="0016385B"/>
    <w:rsid w:val="001645E6"/>
    <w:rsid w:val="0016606B"/>
    <w:rsid w:val="00166689"/>
    <w:rsid w:val="0017094A"/>
    <w:rsid w:val="00173B17"/>
    <w:rsid w:val="00175A61"/>
    <w:rsid w:val="00175B38"/>
    <w:rsid w:val="0017766B"/>
    <w:rsid w:val="00182F4B"/>
    <w:rsid w:val="00184465"/>
    <w:rsid w:val="00186A39"/>
    <w:rsid w:val="00193775"/>
    <w:rsid w:val="0019654D"/>
    <w:rsid w:val="001B1243"/>
    <w:rsid w:val="001B2BDC"/>
    <w:rsid w:val="001B3BDA"/>
    <w:rsid w:val="001B5CFE"/>
    <w:rsid w:val="001B6249"/>
    <w:rsid w:val="001C60FB"/>
    <w:rsid w:val="001C719C"/>
    <w:rsid w:val="001C73FF"/>
    <w:rsid w:val="001D10A9"/>
    <w:rsid w:val="001D18F3"/>
    <w:rsid w:val="001D2C14"/>
    <w:rsid w:val="001D418F"/>
    <w:rsid w:val="001D4463"/>
    <w:rsid w:val="001D4E45"/>
    <w:rsid w:val="001D7E56"/>
    <w:rsid w:val="001D7FA7"/>
    <w:rsid w:val="001E1D03"/>
    <w:rsid w:val="001E5449"/>
    <w:rsid w:val="001E7E5B"/>
    <w:rsid w:val="001F1583"/>
    <w:rsid w:val="001F1A5F"/>
    <w:rsid w:val="001F3082"/>
    <w:rsid w:val="001F4C67"/>
    <w:rsid w:val="001F6CA7"/>
    <w:rsid w:val="001F6FAA"/>
    <w:rsid w:val="00201A16"/>
    <w:rsid w:val="0020387A"/>
    <w:rsid w:val="00205E4E"/>
    <w:rsid w:val="002078CE"/>
    <w:rsid w:val="00211556"/>
    <w:rsid w:val="00211ABD"/>
    <w:rsid w:val="002123CC"/>
    <w:rsid w:val="00216C03"/>
    <w:rsid w:val="00226BF3"/>
    <w:rsid w:val="00230C4C"/>
    <w:rsid w:val="0023117F"/>
    <w:rsid w:val="002311B4"/>
    <w:rsid w:val="002345D4"/>
    <w:rsid w:val="0023795D"/>
    <w:rsid w:val="00237A37"/>
    <w:rsid w:val="00240BE1"/>
    <w:rsid w:val="00241427"/>
    <w:rsid w:val="002415F4"/>
    <w:rsid w:val="00243260"/>
    <w:rsid w:val="00246B72"/>
    <w:rsid w:val="00252C03"/>
    <w:rsid w:val="00252E00"/>
    <w:rsid w:val="002532E2"/>
    <w:rsid w:val="002564AD"/>
    <w:rsid w:val="00257E21"/>
    <w:rsid w:val="00261A8A"/>
    <w:rsid w:val="00263674"/>
    <w:rsid w:val="00263F03"/>
    <w:rsid w:val="00266084"/>
    <w:rsid w:val="002666C3"/>
    <w:rsid w:val="00275C48"/>
    <w:rsid w:val="002772E0"/>
    <w:rsid w:val="0027794D"/>
    <w:rsid w:val="00280AD5"/>
    <w:rsid w:val="00284EEA"/>
    <w:rsid w:val="0029059B"/>
    <w:rsid w:val="002919A4"/>
    <w:rsid w:val="002934F3"/>
    <w:rsid w:val="00294B25"/>
    <w:rsid w:val="002A0D76"/>
    <w:rsid w:val="002A3170"/>
    <w:rsid w:val="002A5D1E"/>
    <w:rsid w:val="002A66C8"/>
    <w:rsid w:val="002A7E35"/>
    <w:rsid w:val="002A7E7D"/>
    <w:rsid w:val="002B2D46"/>
    <w:rsid w:val="002B30F5"/>
    <w:rsid w:val="002C09E0"/>
    <w:rsid w:val="002C2263"/>
    <w:rsid w:val="002C25D8"/>
    <w:rsid w:val="002C2CE5"/>
    <w:rsid w:val="002C6546"/>
    <w:rsid w:val="002C6961"/>
    <w:rsid w:val="002C6A63"/>
    <w:rsid w:val="002C6D2E"/>
    <w:rsid w:val="002C7E32"/>
    <w:rsid w:val="002D0BFA"/>
    <w:rsid w:val="002D2854"/>
    <w:rsid w:val="002D452F"/>
    <w:rsid w:val="002D4780"/>
    <w:rsid w:val="002D65BA"/>
    <w:rsid w:val="002D7CDA"/>
    <w:rsid w:val="002D7F87"/>
    <w:rsid w:val="002E03D8"/>
    <w:rsid w:val="002E163A"/>
    <w:rsid w:val="002E1FD7"/>
    <w:rsid w:val="002E2C75"/>
    <w:rsid w:val="002E5B2D"/>
    <w:rsid w:val="002E61F6"/>
    <w:rsid w:val="002E770C"/>
    <w:rsid w:val="002F203E"/>
    <w:rsid w:val="002F387F"/>
    <w:rsid w:val="002F3BEF"/>
    <w:rsid w:val="002F46BC"/>
    <w:rsid w:val="002F5004"/>
    <w:rsid w:val="002F6A45"/>
    <w:rsid w:val="002F743B"/>
    <w:rsid w:val="00301358"/>
    <w:rsid w:val="0030286D"/>
    <w:rsid w:val="00302B2D"/>
    <w:rsid w:val="00302E63"/>
    <w:rsid w:val="003037E7"/>
    <w:rsid w:val="00304951"/>
    <w:rsid w:val="0030675C"/>
    <w:rsid w:val="00307718"/>
    <w:rsid w:val="003127EA"/>
    <w:rsid w:val="00312F54"/>
    <w:rsid w:val="00322416"/>
    <w:rsid w:val="0033128C"/>
    <w:rsid w:val="003316E1"/>
    <w:rsid w:val="00332238"/>
    <w:rsid w:val="00333955"/>
    <w:rsid w:val="00334D9F"/>
    <w:rsid w:val="00337B0D"/>
    <w:rsid w:val="00340374"/>
    <w:rsid w:val="003403C8"/>
    <w:rsid w:val="003433F1"/>
    <w:rsid w:val="00345009"/>
    <w:rsid w:val="00351185"/>
    <w:rsid w:val="00351F64"/>
    <w:rsid w:val="0035507D"/>
    <w:rsid w:val="00362388"/>
    <w:rsid w:val="00363541"/>
    <w:rsid w:val="00364BE8"/>
    <w:rsid w:val="003654D6"/>
    <w:rsid w:val="00365556"/>
    <w:rsid w:val="00365DCB"/>
    <w:rsid w:val="00365E63"/>
    <w:rsid w:val="003663CA"/>
    <w:rsid w:val="00382D78"/>
    <w:rsid w:val="00383479"/>
    <w:rsid w:val="00390775"/>
    <w:rsid w:val="00395436"/>
    <w:rsid w:val="00396ECD"/>
    <w:rsid w:val="003A306A"/>
    <w:rsid w:val="003A47AC"/>
    <w:rsid w:val="003A6051"/>
    <w:rsid w:val="003B44C0"/>
    <w:rsid w:val="003B55BB"/>
    <w:rsid w:val="003C40F0"/>
    <w:rsid w:val="003C44A0"/>
    <w:rsid w:val="003C462B"/>
    <w:rsid w:val="003C4903"/>
    <w:rsid w:val="003C4DE7"/>
    <w:rsid w:val="003C65E8"/>
    <w:rsid w:val="003C66C9"/>
    <w:rsid w:val="003C7F3F"/>
    <w:rsid w:val="003D291A"/>
    <w:rsid w:val="003D2ACC"/>
    <w:rsid w:val="003D310D"/>
    <w:rsid w:val="003D69EC"/>
    <w:rsid w:val="003D7E54"/>
    <w:rsid w:val="003D7FD9"/>
    <w:rsid w:val="003E033A"/>
    <w:rsid w:val="003E1E2A"/>
    <w:rsid w:val="003E201D"/>
    <w:rsid w:val="003E3830"/>
    <w:rsid w:val="003E6604"/>
    <w:rsid w:val="003E68C5"/>
    <w:rsid w:val="003F6C55"/>
    <w:rsid w:val="003F7691"/>
    <w:rsid w:val="003F76DC"/>
    <w:rsid w:val="003F77CC"/>
    <w:rsid w:val="0040256A"/>
    <w:rsid w:val="00404A95"/>
    <w:rsid w:val="004078AB"/>
    <w:rsid w:val="0041027A"/>
    <w:rsid w:val="004230E7"/>
    <w:rsid w:val="004243A9"/>
    <w:rsid w:val="00424D9C"/>
    <w:rsid w:val="00427AD0"/>
    <w:rsid w:val="00431CEB"/>
    <w:rsid w:val="004430A8"/>
    <w:rsid w:val="00444FCC"/>
    <w:rsid w:val="004475C7"/>
    <w:rsid w:val="004531FA"/>
    <w:rsid w:val="0045375E"/>
    <w:rsid w:val="00457106"/>
    <w:rsid w:val="00460A31"/>
    <w:rsid w:val="0046281F"/>
    <w:rsid w:val="00463BBE"/>
    <w:rsid w:val="00464227"/>
    <w:rsid w:val="0046558D"/>
    <w:rsid w:val="0046694A"/>
    <w:rsid w:val="00482412"/>
    <w:rsid w:val="00483043"/>
    <w:rsid w:val="0048365F"/>
    <w:rsid w:val="00487F6C"/>
    <w:rsid w:val="00492F3E"/>
    <w:rsid w:val="00493578"/>
    <w:rsid w:val="00497C89"/>
    <w:rsid w:val="004A1A45"/>
    <w:rsid w:val="004A24FF"/>
    <w:rsid w:val="004A5D8B"/>
    <w:rsid w:val="004A6497"/>
    <w:rsid w:val="004A6A3F"/>
    <w:rsid w:val="004B129C"/>
    <w:rsid w:val="004B3168"/>
    <w:rsid w:val="004B373F"/>
    <w:rsid w:val="004B6E4C"/>
    <w:rsid w:val="004B7253"/>
    <w:rsid w:val="004C2B6E"/>
    <w:rsid w:val="004C4353"/>
    <w:rsid w:val="004C7F46"/>
    <w:rsid w:val="004D02F6"/>
    <w:rsid w:val="004D17F2"/>
    <w:rsid w:val="004D27E8"/>
    <w:rsid w:val="004D27EA"/>
    <w:rsid w:val="004D2C75"/>
    <w:rsid w:val="004D4CA7"/>
    <w:rsid w:val="004D683B"/>
    <w:rsid w:val="004E080F"/>
    <w:rsid w:val="004E0925"/>
    <w:rsid w:val="004F0A71"/>
    <w:rsid w:val="004F142E"/>
    <w:rsid w:val="004F44C8"/>
    <w:rsid w:val="004F44D4"/>
    <w:rsid w:val="00500808"/>
    <w:rsid w:val="005012DB"/>
    <w:rsid w:val="00502665"/>
    <w:rsid w:val="00504CFD"/>
    <w:rsid w:val="00507BBB"/>
    <w:rsid w:val="00512D3D"/>
    <w:rsid w:val="00513093"/>
    <w:rsid w:val="00514F45"/>
    <w:rsid w:val="0051523B"/>
    <w:rsid w:val="00516FB6"/>
    <w:rsid w:val="005231B6"/>
    <w:rsid w:val="00524748"/>
    <w:rsid w:val="00525315"/>
    <w:rsid w:val="005260F4"/>
    <w:rsid w:val="005269C5"/>
    <w:rsid w:val="00527371"/>
    <w:rsid w:val="00530705"/>
    <w:rsid w:val="005313E8"/>
    <w:rsid w:val="00533137"/>
    <w:rsid w:val="00534BDA"/>
    <w:rsid w:val="00535DD1"/>
    <w:rsid w:val="00536611"/>
    <w:rsid w:val="005405E3"/>
    <w:rsid w:val="00540F76"/>
    <w:rsid w:val="00541417"/>
    <w:rsid w:val="00541EEA"/>
    <w:rsid w:val="00542028"/>
    <w:rsid w:val="005420F3"/>
    <w:rsid w:val="00542165"/>
    <w:rsid w:val="00543BA3"/>
    <w:rsid w:val="00544915"/>
    <w:rsid w:val="005466B8"/>
    <w:rsid w:val="00550908"/>
    <w:rsid w:val="00552878"/>
    <w:rsid w:val="00553ADF"/>
    <w:rsid w:val="00554404"/>
    <w:rsid w:val="00557AD3"/>
    <w:rsid w:val="0056183F"/>
    <w:rsid w:val="0056255E"/>
    <w:rsid w:val="005644D9"/>
    <w:rsid w:val="00570BA6"/>
    <w:rsid w:val="00573E83"/>
    <w:rsid w:val="00574B03"/>
    <w:rsid w:val="00577AEB"/>
    <w:rsid w:val="00577B73"/>
    <w:rsid w:val="00580919"/>
    <w:rsid w:val="00581498"/>
    <w:rsid w:val="00581524"/>
    <w:rsid w:val="00581B0F"/>
    <w:rsid w:val="00581C50"/>
    <w:rsid w:val="00582237"/>
    <w:rsid w:val="00582689"/>
    <w:rsid w:val="00583F71"/>
    <w:rsid w:val="00584C64"/>
    <w:rsid w:val="0058737C"/>
    <w:rsid w:val="00590A14"/>
    <w:rsid w:val="00594519"/>
    <w:rsid w:val="00596F2C"/>
    <w:rsid w:val="005A4A75"/>
    <w:rsid w:val="005A57BA"/>
    <w:rsid w:val="005A5FB7"/>
    <w:rsid w:val="005A60A8"/>
    <w:rsid w:val="005B0DF9"/>
    <w:rsid w:val="005B1398"/>
    <w:rsid w:val="005B2071"/>
    <w:rsid w:val="005B275E"/>
    <w:rsid w:val="005B2F14"/>
    <w:rsid w:val="005B46B3"/>
    <w:rsid w:val="005B52A5"/>
    <w:rsid w:val="005B59AB"/>
    <w:rsid w:val="005B640A"/>
    <w:rsid w:val="005B6653"/>
    <w:rsid w:val="005B7924"/>
    <w:rsid w:val="005C067A"/>
    <w:rsid w:val="005C51D4"/>
    <w:rsid w:val="005C584E"/>
    <w:rsid w:val="005C5D6E"/>
    <w:rsid w:val="005D0C7D"/>
    <w:rsid w:val="005D1791"/>
    <w:rsid w:val="005D7816"/>
    <w:rsid w:val="005E5490"/>
    <w:rsid w:val="005F0694"/>
    <w:rsid w:val="005F2D90"/>
    <w:rsid w:val="005F51B4"/>
    <w:rsid w:val="005F776A"/>
    <w:rsid w:val="00601240"/>
    <w:rsid w:val="00601D87"/>
    <w:rsid w:val="00604379"/>
    <w:rsid w:val="006047E1"/>
    <w:rsid w:val="00606560"/>
    <w:rsid w:val="00613664"/>
    <w:rsid w:val="00613D2E"/>
    <w:rsid w:val="00614931"/>
    <w:rsid w:val="00616D04"/>
    <w:rsid w:val="00617B37"/>
    <w:rsid w:val="00622A70"/>
    <w:rsid w:val="006260DD"/>
    <w:rsid w:val="00630D0A"/>
    <w:rsid w:val="00632F05"/>
    <w:rsid w:val="00633931"/>
    <w:rsid w:val="00635AB2"/>
    <w:rsid w:val="0064157A"/>
    <w:rsid w:val="00642C97"/>
    <w:rsid w:val="00645556"/>
    <w:rsid w:val="00645B0D"/>
    <w:rsid w:val="00647929"/>
    <w:rsid w:val="00650C31"/>
    <w:rsid w:val="00653B26"/>
    <w:rsid w:val="006553D1"/>
    <w:rsid w:val="00655884"/>
    <w:rsid w:val="00657486"/>
    <w:rsid w:val="00657E84"/>
    <w:rsid w:val="00667607"/>
    <w:rsid w:val="00673D06"/>
    <w:rsid w:val="006742A6"/>
    <w:rsid w:val="00684D4B"/>
    <w:rsid w:val="00690B1B"/>
    <w:rsid w:val="00691003"/>
    <w:rsid w:val="00693128"/>
    <w:rsid w:val="006959C0"/>
    <w:rsid w:val="006979B1"/>
    <w:rsid w:val="006A14D7"/>
    <w:rsid w:val="006A5AF5"/>
    <w:rsid w:val="006A6632"/>
    <w:rsid w:val="006B2FE7"/>
    <w:rsid w:val="006B3950"/>
    <w:rsid w:val="006B46C1"/>
    <w:rsid w:val="006B5173"/>
    <w:rsid w:val="006B6B78"/>
    <w:rsid w:val="006D39D0"/>
    <w:rsid w:val="006D447D"/>
    <w:rsid w:val="006E7C98"/>
    <w:rsid w:val="006F0BF5"/>
    <w:rsid w:val="006F166B"/>
    <w:rsid w:val="006F788B"/>
    <w:rsid w:val="0070633E"/>
    <w:rsid w:val="0070717C"/>
    <w:rsid w:val="00711F14"/>
    <w:rsid w:val="00713061"/>
    <w:rsid w:val="007303D7"/>
    <w:rsid w:val="00732C4D"/>
    <w:rsid w:val="0073453B"/>
    <w:rsid w:val="00735A8A"/>
    <w:rsid w:val="00735D97"/>
    <w:rsid w:val="00741965"/>
    <w:rsid w:val="00742AD2"/>
    <w:rsid w:val="00754C45"/>
    <w:rsid w:val="00754DCE"/>
    <w:rsid w:val="00761AF7"/>
    <w:rsid w:val="007620D5"/>
    <w:rsid w:val="00762C02"/>
    <w:rsid w:val="00764899"/>
    <w:rsid w:val="00766346"/>
    <w:rsid w:val="007669DC"/>
    <w:rsid w:val="00774A4C"/>
    <w:rsid w:val="00777BD4"/>
    <w:rsid w:val="00780CD2"/>
    <w:rsid w:val="007818A9"/>
    <w:rsid w:val="00782728"/>
    <w:rsid w:val="00786A7B"/>
    <w:rsid w:val="007904AB"/>
    <w:rsid w:val="00790A20"/>
    <w:rsid w:val="00791EFE"/>
    <w:rsid w:val="007924F0"/>
    <w:rsid w:val="007939AB"/>
    <w:rsid w:val="007945B6"/>
    <w:rsid w:val="00794E2F"/>
    <w:rsid w:val="007A4D17"/>
    <w:rsid w:val="007A6811"/>
    <w:rsid w:val="007B043A"/>
    <w:rsid w:val="007B1BF4"/>
    <w:rsid w:val="007B2FDA"/>
    <w:rsid w:val="007B4144"/>
    <w:rsid w:val="007B6515"/>
    <w:rsid w:val="007C0628"/>
    <w:rsid w:val="007C1E89"/>
    <w:rsid w:val="007C3560"/>
    <w:rsid w:val="007C6190"/>
    <w:rsid w:val="007C7708"/>
    <w:rsid w:val="007D048D"/>
    <w:rsid w:val="007D6893"/>
    <w:rsid w:val="007E139A"/>
    <w:rsid w:val="007E6862"/>
    <w:rsid w:val="007F0052"/>
    <w:rsid w:val="007F0090"/>
    <w:rsid w:val="007F1A49"/>
    <w:rsid w:val="007F1BC7"/>
    <w:rsid w:val="007F53D2"/>
    <w:rsid w:val="008029AE"/>
    <w:rsid w:val="0080321A"/>
    <w:rsid w:val="008040F4"/>
    <w:rsid w:val="00810288"/>
    <w:rsid w:val="008114EE"/>
    <w:rsid w:val="00832B5D"/>
    <w:rsid w:val="00834704"/>
    <w:rsid w:val="00835106"/>
    <w:rsid w:val="008378A5"/>
    <w:rsid w:val="00841245"/>
    <w:rsid w:val="008429A2"/>
    <w:rsid w:val="008429DC"/>
    <w:rsid w:val="00842F69"/>
    <w:rsid w:val="008456EA"/>
    <w:rsid w:val="00846353"/>
    <w:rsid w:val="00854E77"/>
    <w:rsid w:val="008608CC"/>
    <w:rsid w:val="00860D4F"/>
    <w:rsid w:val="00860EC5"/>
    <w:rsid w:val="008615FE"/>
    <w:rsid w:val="008620C3"/>
    <w:rsid w:val="00863CF2"/>
    <w:rsid w:val="00864B47"/>
    <w:rsid w:val="00864C37"/>
    <w:rsid w:val="00865CC3"/>
    <w:rsid w:val="0087103D"/>
    <w:rsid w:val="00873453"/>
    <w:rsid w:val="00873AC8"/>
    <w:rsid w:val="00877A1B"/>
    <w:rsid w:val="00877B1F"/>
    <w:rsid w:val="0088109C"/>
    <w:rsid w:val="0088459D"/>
    <w:rsid w:val="00890B33"/>
    <w:rsid w:val="00891AB7"/>
    <w:rsid w:val="00893B8C"/>
    <w:rsid w:val="008977BF"/>
    <w:rsid w:val="008A301F"/>
    <w:rsid w:val="008A4FC5"/>
    <w:rsid w:val="008A64CE"/>
    <w:rsid w:val="008B2C0D"/>
    <w:rsid w:val="008B4FC6"/>
    <w:rsid w:val="008B66F4"/>
    <w:rsid w:val="008B7C9D"/>
    <w:rsid w:val="008C127A"/>
    <w:rsid w:val="008C2D1D"/>
    <w:rsid w:val="008C31C0"/>
    <w:rsid w:val="008C399B"/>
    <w:rsid w:val="008C7B42"/>
    <w:rsid w:val="008D08ED"/>
    <w:rsid w:val="008D2823"/>
    <w:rsid w:val="008D374C"/>
    <w:rsid w:val="008D4162"/>
    <w:rsid w:val="008D49EA"/>
    <w:rsid w:val="008E58C3"/>
    <w:rsid w:val="008E60F4"/>
    <w:rsid w:val="008F048B"/>
    <w:rsid w:val="008F10DA"/>
    <w:rsid w:val="008F6AC6"/>
    <w:rsid w:val="0090342A"/>
    <w:rsid w:val="009062E5"/>
    <w:rsid w:val="00911914"/>
    <w:rsid w:val="00913BF2"/>
    <w:rsid w:val="00916B9A"/>
    <w:rsid w:val="009177F1"/>
    <w:rsid w:val="00921642"/>
    <w:rsid w:val="0092276C"/>
    <w:rsid w:val="00922D5B"/>
    <w:rsid w:val="00923052"/>
    <w:rsid w:val="00926954"/>
    <w:rsid w:val="009304D3"/>
    <w:rsid w:val="00930768"/>
    <w:rsid w:val="00936377"/>
    <w:rsid w:val="009366E0"/>
    <w:rsid w:val="00936B47"/>
    <w:rsid w:val="00937D68"/>
    <w:rsid w:val="00937E83"/>
    <w:rsid w:val="00944309"/>
    <w:rsid w:val="009450F2"/>
    <w:rsid w:val="009465CD"/>
    <w:rsid w:val="00951F25"/>
    <w:rsid w:val="00952FF6"/>
    <w:rsid w:val="00953713"/>
    <w:rsid w:val="0095531F"/>
    <w:rsid w:val="00956645"/>
    <w:rsid w:val="00960059"/>
    <w:rsid w:val="00961CA6"/>
    <w:rsid w:val="0096680C"/>
    <w:rsid w:val="009669FE"/>
    <w:rsid w:val="009701ED"/>
    <w:rsid w:val="0097039E"/>
    <w:rsid w:val="009721B9"/>
    <w:rsid w:val="00974D12"/>
    <w:rsid w:val="0097611A"/>
    <w:rsid w:val="009763FD"/>
    <w:rsid w:val="00976609"/>
    <w:rsid w:val="00976D37"/>
    <w:rsid w:val="00976D49"/>
    <w:rsid w:val="009775F5"/>
    <w:rsid w:val="00980581"/>
    <w:rsid w:val="0098376F"/>
    <w:rsid w:val="0099005E"/>
    <w:rsid w:val="009907A8"/>
    <w:rsid w:val="00992D45"/>
    <w:rsid w:val="009934E9"/>
    <w:rsid w:val="0099484C"/>
    <w:rsid w:val="009955B9"/>
    <w:rsid w:val="009958D0"/>
    <w:rsid w:val="0099791C"/>
    <w:rsid w:val="00997F45"/>
    <w:rsid w:val="009A2B30"/>
    <w:rsid w:val="009A596E"/>
    <w:rsid w:val="009B1DAF"/>
    <w:rsid w:val="009B3BF1"/>
    <w:rsid w:val="009C1BDC"/>
    <w:rsid w:val="009C2EFA"/>
    <w:rsid w:val="009C2EFC"/>
    <w:rsid w:val="009C6624"/>
    <w:rsid w:val="009D1DE9"/>
    <w:rsid w:val="009D3504"/>
    <w:rsid w:val="009D44B9"/>
    <w:rsid w:val="009D4EDF"/>
    <w:rsid w:val="009D63C2"/>
    <w:rsid w:val="009D74F9"/>
    <w:rsid w:val="009D7D98"/>
    <w:rsid w:val="009D7E08"/>
    <w:rsid w:val="009E7CA8"/>
    <w:rsid w:val="009E7EE4"/>
    <w:rsid w:val="009F6DCC"/>
    <w:rsid w:val="00A02594"/>
    <w:rsid w:val="00A04D63"/>
    <w:rsid w:val="00A065C7"/>
    <w:rsid w:val="00A07719"/>
    <w:rsid w:val="00A11572"/>
    <w:rsid w:val="00A14D72"/>
    <w:rsid w:val="00A2099C"/>
    <w:rsid w:val="00A20D63"/>
    <w:rsid w:val="00A21A3E"/>
    <w:rsid w:val="00A230F6"/>
    <w:rsid w:val="00A24A2E"/>
    <w:rsid w:val="00A3264A"/>
    <w:rsid w:val="00A330C3"/>
    <w:rsid w:val="00A330DE"/>
    <w:rsid w:val="00A35706"/>
    <w:rsid w:val="00A359E3"/>
    <w:rsid w:val="00A36902"/>
    <w:rsid w:val="00A36D58"/>
    <w:rsid w:val="00A40C16"/>
    <w:rsid w:val="00A41F5D"/>
    <w:rsid w:val="00A46FE1"/>
    <w:rsid w:val="00A471EB"/>
    <w:rsid w:val="00A4746D"/>
    <w:rsid w:val="00A50717"/>
    <w:rsid w:val="00A52835"/>
    <w:rsid w:val="00A52E5C"/>
    <w:rsid w:val="00A55D10"/>
    <w:rsid w:val="00A619B1"/>
    <w:rsid w:val="00A646DE"/>
    <w:rsid w:val="00A675EA"/>
    <w:rsid w:val="00A743D4"/>
    <w:rsid w:val="00A75503"/>
    <w:rsid w:val="00A8460E"/>
    <w:rsid w:val="00A84AA9"/>
    <w:rsid w:val="00A910B9"/>
    <w:rsid w:val="00A944EC"/>
    <w:rsid w:val="00A97D86"/>
    <w:rsid w:val="00AA0848"/>
    <w:rsid w:val="00AA51D9"/>
    <w:rsid w:val="00AA599E"/>
    <w:rsid w:val="00AA7A0B"/>
    <w:rsid w:val="00AB3C17"/>
    <w:rsid w:val="00AB4D2D"/>
    <w:rsid w:val="00AB6EA4"/>
    <w:rsid w:val="00AB7DD6"/>
    <w:rsid w:val="00AC0844"/>
    <w:rsid w:val="00AC69BF"/>
    <w:rsid w:val="00AD5226"/>
    <w:rsid w:val="00AD5485"/>
    <w:rsid w:val="00AD5E11"/>
    <w:rsid w:val="00AE284C"/>
    <w:rsid w:val="00AE2A55"/>
    <w:rsid w:val="00AE2F86"/>
    <w:rsid w:val="00AF0D2C"/>
    <w:rsid w:val="00AF44EE"/>
    <w:rsid w:val="00AF6009"/>
    <w:rsid w:val="00AF7BCC"/>
    <w:rsid w:val="00B048C4"/>
    <w:rsid w:val="00B14B24"/>
    <w:rsid w:val="00B2145F"/>
    <w:rsid w:val="00B22A87"/>
    <w:rsid w:val="00B25EAC"/>
    <w:rsid w:val="00B261E5"/>
    <w:rsid w:val="00B264CC"/>
    <w:rsid w:val="00B26675"/>
    <w:rsid w:val="00B27CE4"/>
    <w:rsid w:val="00B3004D"/>
    <w:rsid w:val="00B305EA"/>
    <w:rsid w:val="00B317AA"/>
    <w:rsid w:val="00B32C5A"/>
    <w:rsid w:val="00B32F03"/>
    <w:rsid w:val="00B3611E"/>
    <w:rsid w:val="00B36E69"/>
    <w:rsid w:val="00B37E9C"/>
    <w:rsid w:val="00B4030A"/>
    <w:rsid w:val="00B44647"/>
    <w:rsid w:val="00B4646B"/>
    <w:rsid w:val="00B4755B"/>
    <w:rsid w:val="00B50FBF"/>
    <w:rsid w:val="00B51DB6"/>
    <w:rsid w:val="00B532B5"/>
    <w:rsid w:val="00B5487D"/>
    <w:rsid w:val="00B57058"/>
    <w:rsid w:val="00B60444"/>
    <w:rsid w:val="00B636BF"/>
    <w:rsid w:val="00B6530A"/>
    <w:rsid w:val="00B719BD"/>
    <w:rsid w:val="00B7505F"/>
    <w:rsid w:val="00B7582A"/>
    <w:rsid w:val="00B77774"/>
    <w:rsid w:val="00B80050"/>
    <w:rsid w:val="00B8638C"/>
    <w:rsid w:val="00B86BE2"/>
    <w:rsid w:val="00B93CD0"/>
    <w:rsid w:val="00B97842"/>
    <w:rsid w:val="00B97A5C"/>
    <w:rsid w:val="00BA1A89"/>
    <w:rsid w:val="00BA275C"/>
    <w:rsid w:val="00BA32C0"/>
    <w:rsid w:val="00BA47CD"/>
    <w:rsid w:val="00BA4F79"/>
    <w:rsid w:val="00BA741F"/>
    <w:rsid w:val="00BA7988"/>
    <w:rsid w:val="00BB0BAB"/>
    <w:rsid w:val="00BB11FE"/>
    <w:rsid w:val="00BB1AB6"/>
    <w:rsid w:val="00BB5DF6"/>
    <w:rsid w:val="00BB6C02"/>
    <w:rsid w:val="00BB7759"/>
    <w:rsid w:val="00BC1255"/>
    <w:rsid w:val="00BC33C8"/>
    <w:rsid w:val="00BC414E"/>
    <w:rsid w:val="00BC780F"/>
    <w:rsid w:val="00BC7B7D"/>
    <w:rsid w:val="00BD1676"/>
    <w:rsid w:val="00BD330B"/>
    <w:rsid w:val="00BD395D"/>
    <w:rsid w:val="00BD4AEE"/>
    <w:rsid w:val="00BE1033"/>
    <w:rsid w:val="00BE1C6A"/>
    <w:rsid w:val="00BE2392"/>
    <w:rsid w:val="00BE3502"/>
    <w:rsid w:val="00BE51CC"/>
    <w:rsid w:val="00BE59EB"/>
    <w:rsid w:val="00BF0284"/>
    <w:rsid w:val="00BF0A4C"/>
    <w:rsid w:val="00BF3E20"/>
    <w:rsid w:val="00BF6216"/>
    <w:rsid w:val="00BF6578"/>
    <w:rsid w:val="00BF7C99"/>
    <w:rsid w:val="00C03D31"/>
    <w:rsid w:val="00C04C66"/>
    <w:rsid w:val="00C1537F"/>
    <w:rsid w:val="00C15E72"/>
    <w:rsid w:val="00C17AFC"/>
    <w:rsid w:val="00C20ECD"/>
    <w:rsid w:val="00C30ADC"/>
    <w:rsid w:val="00C31618"/>
    <w:rsid w:val="00C433E7"/>
    <w:rsid w:val="00C522BC"/>
    <w:rsid w:val="00C53C49"/>
    <w:rsid w:val="00C6225C"/>
    <w:rsid w:val="00C63899"/>
    <w:rsid w:val="00C63AC9"/>
    <w:rsid w:val="00C654C4"/>
    <w:rsid w:val="00C66AC5"/>
    <w:rsid w:val="00C705F5"/>
    <w:rsid w:val="00C70778"/>
    <w:rsid w:val="00C723EE"/>
    <w:rsid w:val="00C73B08"/>
    <w:rsid w:val="00C7796B"/>
    <w:rsid w:val="00C821AB"/>
    <w:rsid w:val="00C83A7F"/>
    <w:rsid w:val="00C931A9"/>
    <w:rsid w:val="00C94708"/>
    <w:rsid w:val="00C94D39"/>
    <w:rsid w:val="00CA295C"/>
    <w:rsid w:val="00CA3F4E"/>
    <w:rsid w:val="00CA6F1A"/>
    <w:rsid w:val="00CB07DD"/>
    <w:rsid w:val="00CB11AD"/>
    <w:rsid w:val="00CB13A5"/>
    <w:rsid w:val="00CB3456"/>
    <w:rsid w:val="00CB3F9C"/>
    <w:rsid w:val="00CB5809"/>
    <w:rsid w:val="00CB6E46"/>
    <w:rsid w:val="00CB71FC"/>
    <w:rsid w:val="00CB74BD"/>
    <w:rsid w:val="00CB780B"/>
    <w:rsid w:val="00CC043F"/>
    <w:rsid w:val="00CC1388"/>
    <w:rsid w:val="00CC18DD"/>
    <w:rsid w:val="00CC1DDC"/>
    <w:rsid w:val="00CC3314"/>
    <w:rsid w:val="00CC3752"/>
    <w:rsid w:val="00CC51B8"/>
    <w:rsid w:val="00CC58B5"/>
    <w:rsid w:val="00CC68F5"/>
    <w:rsid w:val="00CC7252"/>
    <w:rsid w:val="00CC7E32"/>
    <w:rsid w:val="00CD0E48"/>
    <w:rsid w:val="00CD1EFD"/>
    <w:rsid w:val="00CD1F58"/>
    <w:rsid w:val="00CD3AC8"/>
    <w:rsid w:val="00CD3C5C"/>
    <w:rsid w:val="00CD6570"/>
    <w:rsid w:val="00CD7516"/>
    <w:rsid w:val="00CD760D"/>
    <w:rsid w:val="00CE293A"/>
    <w:rsid w:val="00CE2A71"/>
    <w:rsid w:val="00CE414E"/>
    <w:rsid w:val="00CE4A96"/>
    <w:rsid w:val="00CE6D69"/>
    <w:rsid w:val="00CF0356"/>
    <w:rsid w:val="00CF1310"/>
    <w:rsid w:val="00CF296F"/>
    <w:rsid w:val="00CF4A7E"/>
    <w:rsid w:val="00CF4AC8"/>
    <w:rsid w:val="00CF7389"/>
    <w:rsid w:val="00D01995"/>
    <w:rsid w:val="00D023DC"/>
    <w:rsid w:val="00D03B8F"/>
    <w:rsid w:val="00D03E10"/>
    <w:rsid w:val="00D04609"/>
    <w:rsid w:val="00D055E8"/>
    <w:rsid w:val="00D137C0"/>
    <w:rsid w:val="00D143C6"/>
    <w:rsid w:val="00D14DB4"/>
    <w:rsid w:val="00D15E53"/>
    <w:rsid w:val="00D16D97"/>
    <w:rsid w:val="00D21734"/>
    <w:rsid w:val="00D21776"/>
    <w:rsid w:val="00D23337"/>
    <w:rsid w:val="00D26095"/>
    <w:rsid w:val="00D32B71"/>
    <w:rsid w:val="00D35645"/>
    <w:rsid w:val="00D368CD"/>
    <w:rsid w:val="00D37362"/>
    <w:rsid w:val="00D37CB0"/>
    <w:rsid w:val="00D4266C"/>
    <w:rsid w:val="00D43615"/>
    <w:rsid w:val="00D43C1E"/>
    <w:rsid w:val="00D47641"/>
    <w:rsid w:val="00D5432D"/>
    <w:rsid w:val="00D63767"/>
    <w:rsid w:val="00D6415A"/>
    <w:rsid w:val="00D71C9D"/>
    <w:rsid w:val="00D7435A"/>
    <w:rsid w:val="00D7582B"/>
    <w:rsid w:val="00D759AE"/>
    <w:rsid w:val="00D7770F"/>
    <w:rsid w:val="00D77CBF"/>
    <w:rsid w:val="00D83B3A"/>
    <w:rsid w:val="00D842E0"/>
    <w:rsid w:val="00D86B4D"/>
    <w:rsid w:val="00D86EBD"/>
    <w:rsid w:val="00D87599"/>
    <w:rsid w:val="00D903E9"/>
    <w:rsid w:val="00D91E6F"/>
    <w:rsid w:val="00D96281"/>
    <w:rsid w:val="00DA1BAF"/>
    <w:rsid w:val="00DA1F6D"/>
    <w:rsid w:val="00DA6EE3"/>
    <w:rsid w:val="00DB2A50"/>
    <w:rsid w:val="00DB6DE8"/>
    <w:rsid w:val="00DC1964"/>
    <w:rsid w:val="00DC34AB"/>
    <w:rsid w:val="00DC3ADE"/>
    <w:rsid w:val="00DC6DBA"/>
    <w:rsid w:val="00DD0730"/>
    <w:rsid w:val="00DD421B"/>
    <w:rsid w:val="00DE2BB1"/>
    <w:rsid w:val="00DE7A90"/>
    <w:rsid w:val="00DF209F"/>
    <w:rsid w:val="00DF5802"/>
    <w:rsid w:val="00DF5B91"/>
    <w:rsid w:val="00E0111D"/>
    <w:rsid w:val="00E04D3B"/>
    <w:rsid w:val="00E120C7"/>
    <w:rsid w:val="00E16857"/>
    <w:rsid w:val="00E229DE"/>
    <w:rsid w:val="00E23E98"/>
    <w:rsid w:val="00E24B95"/>
    <w:rsid w:val="00E24F42"/>
    <w:rsid w:val="00E25832"/>
    <w:rsid w:val="00E25A8C"/>
    <w:rsid w:val="00E30F31"/>
    <w:rsid w:val="00E319A7"/>
    <w:rsid w:val="00E31A69"/>
    <w:rsid w:val="00E31E65"/>
    <w:rsid w:val="00E366E1"/>
    <w:rsid w:val="00E36EEE"/>
    <w:rsid w:val="00E42399"/>
    <w:rsid w:val="00E42FF3"/>
    <w:rsid w:val="00E43792"/>
    <w:rsid w:val="00E43A7B"/>
    <w:rsid w:val="00E46B97"/>
    <w:rsid w:val="00E51F06"/>
    <w:rsid w:val="00E5320E"/>
    <w:rsid w:val="00E54331"/>
    <w:rsid w:val="00E54BB4"/>
    <w:rsid w:val="00E56DC8"/>
    <w:rsid w:val="00E6039D"/>
    <w:rsid w:val="00E61C75"/>
    <w:rsid w:val="00E7331D"/>
    <w:rsid w:val="00E73329"/>
    <w:rsid w:val="00E7557A"/>
    <w:rsid w:val="00E76F77"/>
    <w:rsid w:val="00E83169"/>
    <w:rsid w:val="00E84313"/>
    <w:rsid w:val="00E84CDC"/>
    <w:rsid w:val="00E90C73"/>
    <w:rsid w:val="00E913A9"/>
    <w:rsid w:val="00E91474"/>
    <w:rsid w:val="00E91590"/>
    <w:rsid w:val="00E920E6"/>
    <w:rsid w:val="00E92FDD"/>
    <w:rsid w:val="00EA6B8D"/>
    <w:rsid w:val="00EA7E2D"/>
    <w:rsid w:val="00EB1A44"/>
    <w:rsid w:val="00EB1C67"/>
    <w:rsid w:val="00EB2081"/>
    <w:rsid w:val="00EB6A30"/>
    <w:rsid w:val="00EB6C9C"/>
    <w:rsid w:val="00EC42A2"/>
    <w:rsid w:val="00ED3407"/>
    <w:rsid w:val="00EE292C"/>
    <w:rsid w:val="00EE4FBC"/>
    <w:rsid w:val="00EF4851"/>
    <w:rsid w:val="00F0097E"/>
    <w:rsid w:val="00F02D73"/>
    <w:rsid w:val="00F03CF1"/>
    <w:rsid w:val="00F03D6D"/>
    <w:rsid w:val="00F05B8B"/>
    <w:rsid w:val="00F10B5A"/>
    <w:rsid w:val="00F12C08"/>
    <w:rsid w:val="00F12D47"/>
    <w:rsid w:val="00F14235"/>
    <w:rsid w:val="00F17500"/>
    <w:rsid w:val="00F20F76"/>
    <w:rsid w:val="00F24267"/>
    <w:rsid w:val="00F24369"/>
    <w:rsid w:val="00F30E11"/>
    <w:rsid w:val="00F32B71"/>
    <w:rsid w:val="00F350FF"/>
    <w:rsid w:val="00F35B50"/>
    <w:rsid w:val="00F42064"/>
    <w:rsid w:val="00F42D0C"/>
    <w:rsid w:val="00F43EB9"/>
    <w:rsid w:val="00F45AFA"/>
    <w:rsid w:val="00F46A6A"/>
    <w:rsid w:val="00F521BC"/>
    <w:rsid w:val="00F549DA"/>
    <w:rsid w:val="00F552CB"/>
    <w:rsid w:val="00F601BB"/>
    <w:rsid w:val="00F6035C"/>
    <w:rsid w:val="00F62498"/>
    <w:rsid w:val="00F62590"/>
    <w:rsid w:val="00F65B50"/>
    <w:rsid w:val="00F672AA"/>
    <w:rsid w:val="00F700BC"/>
    <w:rsid w:val="00F72E2F"/>
    <w:rsid w:val="00F75643"/>
    <w:rsid w:val="00F75976"/>
    <w:rsid w:val="00F76C3B"/>
    <w:rsid w:val="00F7790C"/>
    <w:rsid w:val="00F830F0"/>
    <w:rsid w:val="00F85872"/>
    <w:rsid w:val="00F85BF2"/>
    <w:rsid w:val="00F9247A"/>
    <w:rsid w:val="00FA1D54"/>
    <w:rsid w:val="00FA1E02"/>
    <w:rsid w:val="00FB0C6E"/>
    <w:rsid w:val="00FB1CC8"/>
    <w:rsid w:val="00FB3ABC"/>
    <w:rsid w:val="00FB478E"/>
    <w:rsid w:val="00FC00B4"/>
    <w:rsid w:val="00FC0FE1"/>
    <w:rsid w:val="00FC1563"/>
    <w:rsid w:val="00FC1C83"/>
    <w:rsid w:val="00FC2761"/>
    <w:rsid w:val="00FC4FD4"/>
    <w:rsid w:val="00FD2450"/>
    <w:rsid w:val="00FD2D3E"/>
    <w:rsid w:val="00FD535B"/>
    <w:rsid w:val="00FE0002"/>
    <w:rsid w:val="00FE21D8"/>
    <w:rsid w:val="00FE297C"/>
    <w:rsid w:val="00FE4FC5"/>
    <w:rsid w:val="00FE7504"/>
    <w:rsid w:val="00FF1FD5"/>
    <w:rsid w:val="00FF3679"/>
    <w:rsid w:val="00FF581D"/>
    <w:rsid w:val="00FF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379E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1DAF"/>
    <w:pPr>
      <w:overflowPunct w:val="0"/>
      <w:autoSpaceDE w:val="0"/>
      <w:autoSpaceDN w:val="0"/>
      <w:adjustRightInd w:val="0"/>
      <w:spacing w:after="120"/>
      <w:jc w:val="both"/>
      <w:textAlignment w:val="baseline"/>
    </w:pPr>
    <w:rPr>
      <w:rFonts w:cs="Arial"/>
      <w:sz w:val="22"/>
      <w:lang w:eastAsia="fr-BE"/>
    </w:rPr>
  </w:style>
  <w:style w:type="paragraph" w:styleId="Heading1">
    <w:name w:val="heading 1"/>
    <w:aliases w:val="Del Level 1"/>
    <w:next w:val="Normal"/>
    <w:link w:val="Heading1Char"/>
    <w:uiPriority w:val="9"/>
    <w:qFormat/>
    <w:rsid w:val="00CC3314"/>
    <w:pPr>
      <w:keepNext/>
      <w:numPr>
        <w:numId w:val="2"/>
      </w:numPr>
      <w:spacing w:before="240" w:after="240"/>
      <w:ind w:left="431" w:hanging="431"/>
      <w:jc w:val="center"/>
      <w:outlineLvl w:val="0"/>
    </w:pPr>
    <w:rPr>
      <w:rFonts w:cs="Arial"/>
      <w:b/>
      <w:bCs/>
      <w:caps/>
      <w:kern w:val="28"/>
      <w:sz w:val="22"/>
      <w:szCs w:val="28"/>
      <w:lang w:eastAsia="fr-BE"/>
    </w:rPr>
  </w:style>
  <w:style w:type="paragraph" w:styleId="Heading2">
    <w:name w:val="heading 2"/>
    <w:aliases w:val="Del Level 2"/>
    <w:basedOn w:val="Heading1"/>
    <w:next w:val="Normal"/>
    <w:link w:val="Heading2Char"/>
    <w:uiPriority w:val="9"/>
    <w:qFormat/>
    <w:rsid w:val="00CC3314"/>
    <w:pPr>
      <w:numPr>
        <w:ilvl w:val="1"/>
      </w:numPr>
      <w:spacing w:before="0" w:after="120"/>
      <w:ind w:left="578" w:hanging="578"/>
      <w:jc w:val="left"/>
      <w:outlineLvl w:val="1"/>
    </w:pPr>
    <w:rPr>
      <w:bCs w:val="0"/>
      <w:iCs/>
      <w:caps w:val="0"/>
      <w:szCs w:val="24"/>
    </w:rPr>
  </w:style>
  <w:style w:type="paragraph" w:styleId="Heading3">
    <w:name w:val="heading 3"/>
    <w:aliases w:val="Del Level 3"/>
    <w:basedOn w:val="Heading2"/>
    <w:next w:val="Normal"/>
    <w:link w:val="Heading3Char"/>
    <w:uiPriority w:val="9"/>
    <w:qFormat/>
    <w:rsid w:val="00CC3314"/>
    <w:pPr>
      <w:numPr>
        <w:ilvl w:val="2"/>
      </w:numPr>
      <w:spacing w:before="120"/>
      <w:outlineLvl w:val="2"/>
    </w:pPr>
    <w:rPr>
      <w:rFonts w:cs="Times New Roman"/>
      <w:b w:val="0"/>
      <w:bCs/>
    </w:rPr>
  </w:style>
  <w:style w:type="paragraph" w:styleId="Heading4">
    <w:name w:val="heading 4"/>
    <w:basedOn w:val="Normal"/>
    <w:next w:val="Normal"/>
    <w:link w:val="Heading4Char"/>
    <w:uiPriority w:val="99"/>
    <w:rsid w:val="002B7498"/>
    <w:pPr>
      <w:keepNext/>
      <w:numPr>
        <w:ilvl w:val="3"/>
        <w:numId w:val="2"/>
      </w:numPr>
      <w:spacing w:before="240" w:after="60"/>
      <w:outlineLvl w:val="3"/>
    </w:pPr>
    <w:rPr>
      <w:rFonts w:cs="Times New Roman"/>
      <w:b/>
      <w:bCs/>
      <w:i/>
      <w:iCs/>
      <w:sz w:val="24"/>
      <w:szCs w:val="24"/>
    </w:rPr>
  </w:style>
  <w:style w:type="paragraph" w:styleId="Heading5">
    <w:name w:val="heading 5"/>
    <w:basedOn w:val="Normal"/>
    <w:next w:val="Normal"/>
    <w:link w:val="Heading5Char"/>
    <w:uiPriority w:val="99"/>
    <w:rsid w:val="002B7498"/>
    <w:pPr>
      <w:numPr>
        <w:ilvl w:val="4"/>
        <w:numId w:val="2"/>
      </w:numPr>
      <w:spacing w:before="240" w:after="60"/>
      <w:outlineLvl w:val="4"/>
    </w:pPr>
    <w:rPr>
      <w:szCs w:val="22"/>
    </w:rPr>
  </w:style>
  <w:style w:type="paragraph" w:styleId="Heading6">
    <w:name w:val="heading 6"/>
    <w:basedOn w:val="Normal"/>
    <w:next w:val="Normal"/>
    <w:link w:val="Heading6Char"/>
    <w:uiPriority w:val="99"/>
    <w:rsid w:val="002B7498"/>
    <w:pPr>
      <w:numPr>
        <w:ilvl w:val="5"/>
        <w:numId w:val="2"/>
      </w:numPr>
      <w:spacing w:before="240" w:after="60"/>
      <w:outlineLvl w:val="5"/>
    </w:pPr>
    <w:rPr>
      <w:i/>
      <w:iCs/>
      <w:szCs w:val="22"/>
    </w:rPr>
  </w:style>
  <w:style w:type="paragraph" w:styleId="Heading7">
    <w:name w:val="heading 7"/>
    <w:basedOn w:val="Normal"/>
    <w:next w:val="Normal"/>
    <w:link w:val="Heading7Char"/>
    <w:uiPriority w:val="99"/>
    <w:rsid w:val="002B7498"/>
    <w:pPr>
      <w:numPr>
        <w:ilvl w:val="6"/>
        <w:numId w:val="2"/>
      </w:numPr>
      <w:spacing w:before="240" w:after="60"/>
      <w:outlineLvl w:val="6"/>
    </w:pPr>
  </w:style>
  <w:style w:type="paragraph" w:styleId="Heading8">
    <w:name w:val="heading 8"/>
    <w:basedOn w:val="Normal"/>
    <w:next w:val="Normal"/>
    <w:link w:val="Heading8Char"/>
    <w:uiPriority w:val="99"/>
    <w:rsid w:val="002B7498"/>
    <w:pPr>
      <w:numPr>
        <w:ilvl w:val="7"/>
        <w:numId w:val="2"/>
      </w:numPr>
      <w:spacing w:before="240" w:after="60"/>
      <w:outlineLvl w:val="7"/>
    </w:pPr>
    <w:rPr>
      <w:i/>
      <w:iCs/>
    </w:rPr>
  </w:style>
  <w:style w:type="paragraph" w:styleId="Heading9">
    <w:name w:val="heading 9"/>
    <w:basedOn w:val="Normal"/>
    <w:next w:val="Normal"/>
    <w:link w:val="Heading9Char"/>
    <w:uiPriority w:val="99"/>
    <w:rsid w:val="002B7498"/>
    <w:pPr>
      <w:numPr>
        <w:ilvl w:val="8"/>
        <w:numId w:val="2"/>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l Level 1 Char"/>
    <w:link w:val="Heading1"/>
    <w:uiPriority w:val="9"/>
    <w:rsid w:val="00CC3314"/>
    <w:rPr>
      <w:rFonts w:cs="Arial"/>
      <w:b/>
      <w:bCs/>
      <w:caps/>
      <w:kern w:val="28"/>
      <w:sz w:val="22"/>
      <w:szCs w:val="28"/>
      <w:lang w:eastAsia="fr-BE"/>
    </w:rPr>
  </w:style>
  <w:style w:type="character" w:customStyle="1" w:styleId="Heading2Char">
    <w:name w:val="Heading 2 Char"/>
    <w:aliases w:val="Del Level 2 Char"/>
    <w:link w:val="Heading2"/>
    <w:uiPriority w:val="9"/>
    <w:rsid w:val="00CC3314"/>
    <w:rPr>
      <w:rFonts w:cs="Arial"/>
      <w:b/>
      <w:iCs/>
      <w:kern w:val="28"/>
      <w:sz w:val="22"/>
      <w:szCs w:val="24"/>
      <w:lang w:eastAsia="fr-BE"/>
    </w:rPr>
  </w:style>
  <w:style w:type="character" w:customStyle="1" w:styleId="Heading3Char">
    <w:name w:val="Heading 3 Char"/>
    <w:aliases w:val="Del Level 3 Char"/>
    <w:link w:val="Heading3"/>
    <w:uiPriority w:val="9"/>
    <w:rsid w:val="00CC3314"/>
    <w:rPr>
      <w:bCs/>
      <w:iCs/>
      <w:kern w:val="28"/>
      <w:sz w:val="22"/>
      <w:szCs w:val="24"/>
      <w:lang w:eastAsia="fr-BE"/>
    </w:rPr>
  </w:style>
  <w:style w:type="character" w:customStyle="1" w:styleId="Heading4Char">
    <w:name w:val="Heading 4 Char"/>
    <w:link w:val="Heading4"/>
    <w:uiPriority w:val="99"/>
    <w:rsid w:val="009A4BA4"/>
    <w:rPr>
      <w:b/>
      <w:bCs/>
      <w:i/>
      <w:iCs/>
      <w:sz w:val="24"/>
      <w:szCs w:val="24"/>
      <w:lang w:eastAsia="fr-BE"/>
    </w:rPr>
  </w:style>
  <w:style w:type="character" w:customStyle="1" w:styleId="Heading5Char">
    <w:name w:val="Heading 5 Char"/>
    <w:link w:val="Heading5"/>
    <w:uiPriority w:val="99"/>
    <w:rsid w:val="009A4BA4"/>
    <w:rPr>
      <w:rFonts w:ascii="Arial" w:hAnsi="Arial" w:cs="Arial"/>
      <w:sz w:val="22"/>
      <w:szCs w:val="22"/>
      <w:lang w:eastAsia="fr-BE"/>
    </w:rPr>
  </w:style>
  <w:style w:type="character" w:customStyle="1" w:styleId="Heading6Char">
    <w:name w:val="Heading 6 Char"/>
    <w:link w:val="Heading6"/>
    <w:uiPriority w:val="99"/>
    <w:rsid w:val="009A4BA4"/>
    <w:rPr>
      <w:rFonts w:ascii="Arial" w:hAnsi="Arial" w:cs="Arial"/>
      <w:i/>
      <w:iCs/>
      <w:sz w:val="22"/>
      <w:szCs w:val="22"/>
      <w:lang w:eastAsia="fr-BE"/>
    </w:rPr>
  </w:style>
  <w:style w:type="character" w:customStyle="1" w:styleId="Heading7Char">
    <w:name w:val="Heading 7 Char"/>
    <w:link w:val="Heading7"/>
    <w:uiPriority w:val="99"/>
    <w:rsid w:val="009A4BA4"/>
    <w:rPr>
      <w:rFonts w:ascii="Arial" w:hAnsi="Arial" w:cs="Arial"/>
      <w:sz w:val="22"/>
      <w:lang w:eastAsia="fr-BE"/>
    </w:rPr>
  </w:style>
  <w:style w:type="character" w:customStyle="1" w:styleId="Heading8Char">
    <w:name w:val="Heading 8 Char"/>
    <w:link w:val="Heading8"/>
    <w:uiPriority w:val="99"/>
    <w:rsid w:val="009A4BA4"/>
    <w:rPr>
      <w:rFonts w:ascii="Arial" w:hAnsi="Arial" w:cs="Arial"/>
      <w:i/>
      <w:iCs/>
      <w:sz w:val="22"/>
      <w:lang w:eastAsia="fr-BE"/>
    </w:rPr>
  </w:style>
  <w:style w:type="character" w:customStyle="1" w:styleId="Heading9Char">
    <w:name w:val="Heading 9 Char"/>
    <w:link w:val="Heading9"/>
    <w:uiPriority w:val="99"/>
    <w:rsid w:val="009A4BA4"/>
    <w:rPr>
      <w:rFonts w:ascii="Arial" w:hAnsi="Arial" w:cs="Arial"/>
      <w:i/>
      <w:iCs/>
      <w:sz w:val="18"/>
      <w:szCs w:val="18"/>
      <w:lang w:eastAsia="fr-BE"/>
    </w:rPr>
  </w:style>
  <w:style w:type="paragraph" w:styleId="Header">
    <w:name w:val="header"/>
    <w:basedOn w:val="Normal"/>
    <w:link w:val="HeaderChar"/>
    <w:uiPriority w:val="99"/>
    <w:rsid w:val="002B7498"/>
    <w:pPr>
      <w:tabs>
        <w:tab w:val="center" w:pos="4153"/>
        <w:tab w:val="right" w:pos="8306"/>
      </w:tabs>
    </w:pPr>
  </w:style>
  <w:style w:type="character" w:customStyle="1" w:styleId="HeaderChar">
    <w:name w:val="Header Char"/>
    <w:link w:val="Header"/>
    <w:uiPriority w:val="99"/>
    <w:rsid w:val="009A4BA4"/>
    <w:rPr>
      <w:rFonts w:ascii="Arial" w:hAnsi="Arial" w:cs="Arial"/>
      <w:sz w:val="20"/>
      <w:szCs w:val="20"/>
      <w:lang w:val="en-GB"/>
    </w:rPr>
  </w:style>
  <w:style w:type="paragraph" w:styleId="Footer">
    <w:name w:val="footer"/>
    <w:basedOn w:val="Normal"/>
    <w:link w:val="FooterChar"/>
    <w:uiPriority w:val="99"/>
    <w:rsid w:val="002B7498"/>
    <w:pPr>
      <w:tabs>
        <w:tab w:val="center" w:pos="4153"/>
        <w:tab w:val="right" w:pos="8306"/>
      </w:tabs>
    </w:pPr>
  </w:style>
  <w:style w:type="character" w:customStyle="1" w:styleId="FooterChar">
    <w:name w:val="Footer Char"/>
    <w:link w:val="Footer"/>
    <w:uiPriority w:val="99"/>
    <w:rsid w:val="009A4BA4"/>
    <w:rPr>
      <w:rFonts w:ascii="Arial" w:hAnsi="Arial" w:cs="Arial"/>
      <w:sz w:val="20"/>
      <w:szCs w:val="20"/>
      <w:lang w:val="en-GB"/>
    </w:rPr>
  </w:style>
  <w:style w:type="paragraph" w:styleId="TOC1">
    <w:name w:val="toc 1"/>
    <w:basedOn w:val="Normal"/>
    <w:next w:val="Normal"/>
    <w:autoRedefine/>
    <w:uiPriority w:val="39"/>
    <w:rsid w:val="00A84AA9"/>
    <w:pPr>
      <w:tabs>
        <w:tab w:val="right" w:leader="dot" w:pos="8312"/>
      </w:tabs>
    </w:pPr>
    <w:rPr>
      <w:sz w:val="24"/>
    </w:rPr>
  </w:style>
  <w:style w:type="paragraph" w:styleId="TOC2">
    <w:name w:val="toc 2"/>
    <w:basedOn w:val="Normal"/>
    <w:next w:val="Normal"/>
    <w:autoRedefine/>
    <w:uiPriority w:val="39"/>
    <w:rsid w:val="002B7498"/>
    <w:pPr>
      <w:tabs>
        <w:tab w:val="right" w:leader="dot" w:pos="8312"/>
      </w:tabs>
      <w:ind w:left="200"/>
    </w:pPr>
  </w:style>
  <w:style w:type="paragraph" w:styleId="TOC3">
    <w:name w:val="toc 3"/>
    <w:basedOn w:val="Normal"/>
    <w:next w:val="Normal"/>
    <w:autoRedefine/>
    <w:uiPriority w:val="39"/>
    <w:rsid w:val="000E6E7C"/>
    <w:pPr>
      <w:tabs>
        <w:tab w:val="left" w:pos="1200"/>
        <w:tab w:val="right" w:leader="dot" w:pos="8312"/>
      </w:tabs>
      <w:ind w:left="200"/>
    </w:pPr>
    <w:rPr>
      <w:sz w:val="16"/>
    </w:rPr>
  </w:style>
  <w:style w:type="paragraph" w:styleId="TOC4">
    <w:name w:val="toc 4"/>
    <w:basedOn w:val="Normal"/>
    <w:next w:val="Normal"/>
    <w:autoRedefine/>
    <w:uiPriority w:val="99"/>
    <w:semiHidden/>
    <w:rsid w:val="002B7498"/>
    <w:pPr>
      <w:tabs>
        <w:tab w:val="right" w:leader="dot" w:pos="8312"/>
      </w:tabs>
      <w:ind w:left="600"/>
    </w:pPr>
  </w:style>
  <w:style w:type="paragraph" w:styleId="TOC5">
    <w:name w:val="toc 5"/>
    <w:basedOn w:val="Normal"/>
    <w:next w:val="Normal"/>
    <w:autoRedefine/>
    <w:uiPriority w:val="99"/>
    <w:semiHidden/>
    <w:rsid w:val="002B7498"/>
    <w:pPr>
      <w:tabs>
        <w:tab w:val="right" w:leader="dot" w:pos="8312"/>
      </w:tabs>
      <w:ind w:left="800"/>
    </w:pPr>
  </w:style>
  <w:style w:type="paragraph" w:styleId="TOC6">
    <w:name w:val="toc 6"/>
    <w:basedOn w:val="Normal"/>
    <w:next w:val="Normal"/>
    <w:autoRedefine/>
    <w:uiPriority w:val="99"/>
    <w:semiHidden/>
    <w:rsid w:val="002B7498"/>
    <w:pPr>
      <w:tabs>
        <w:tab w:val="right" w:leader="dot" w:pos="8312"/>
      </w:tabs>
      <w:ind w:left="1000"/>
    </w:pPr>
  </w:style>
  <w:style w:type="paragraph" w:styleId="TOC7">
    <w:name w:val="toc 7"/>
    <w:basedOn w:val="Normal"/>
    <w:next w:val="Normal"/>
    <w:autoRedefine/>
    <w:uiPriority w:val="99"/>
    <w:semiHidden/>
    <w:rsid w:val="002B7498"/>
    <w:pPr>
      <w:tabs>
        <w:tab w:val="right" w:leader="dot" w:pos="8312"/>
      </w:tabs>
      <w:ind w:left="1200"/>
    </w:pPr>
  </w:style>
  <w:style w:type="paragraph" w:styleId="TOC8">
    <w:name w:val="toc 8"/>
    <w:basedOn w:val="Normal"/>
    <w:next w:val="Normal"/>
    <w:autoRedefine/>
    <w:uiPriority w:val="99"/>
    <w:semiHidden/>
    <w:rsid w:val="002B7498"/>
    <w:pPr>
      <w:tabs>
        <w:tab w:val="right" w:leader="dot" w:pos="8312"/>
      </w:tabs>
      <w:ind w:left="1400"/>
    </w:pPr>
  </w:style>
  <w:style w:type="paragraph" w:styleId="TOC9">
    <w:name w:val="toc 9"/>
    <w:basedOn w:val="Normal"/>
    <w:next w:val="Normal"/>
    <w:autoRedefine/>
    <w:uiPriority w:val="99"/>
    <w:semiHidden/>
    <w:rsid w:val="002B7498"/>
    <w:pPr>
      <w:tabs>
        <w:tab w:val="right" w:leader="dot" w:pos="8312"/>
      </w:tabs>
      <w:ind w:left="1600"/>
    </w:pPr>
  </w:style>
  <w:style w:type="paragraph" w:styleId="BodyTextIndent2">
    <w:name w:val="Body Text Indent 2"/>
    <w:basedOn w:val="Normal"/>
    <w:link w:val="BodyTextIndent2Char"/>
    <w:uiPriority w:val="99"/>
    <w:rsid w:val="002B7498"/>
    <w:pPr>
      <w:tabs>
        <w:tab w:val="left" w:pos="0"/>
        <w:tab w:val="left" w:pos="510"/>
        <w:tab w:val="left" w:pos="1077"/>
        <w:tab w:val="left" w:pos="1588"/>
        <w:tab w:val="left" w:pos="1984"/>
        <w:tab w:val="left" w:pos="2381"/>
        <w:tab w:val="left" w:pos="2891"/>
      </w:tabs>
      <w:ind w:left="510"/>
    </w:pPr>
    <w:rPr>
      <w:rFonts w:cs="Times New Roman"/>
      <w:spacing w:val="-3"/>
      <w:szCs w:val="22"/>
    </w:rPr>
  </w:style>
  <w:style w:type="character" w:customStyle="1" w:styleId="BodyTextIndent2Char">
    <w:name w:val="Body Text Indent 2 Char"/>
    <w:link w:val="BodyTextIndent2"/>
    <w:uiPriority w:val="99"/>
    <w:semiHidden/>
    <w:rsid w:val="009A4BA4"/>
    <w:rPr>
      <w:rFonts w:ascii="Arial" w:hAnsi="Arial" w:cs="Arial"/>
      <w:sz w:val="20"/>
      <w:szCs w:val="20"/>
      <w:lang w:val="en-GB"/>
    </w:rPr>
  </w:style>
  <w:style w:type="paragraph" w:customStyle="1" w:styleId="aictextecourant">
    <w:name w:val="aic:texte courant"/>
    <w:basedOn w:val="Normal"/>
    <w:uiPriority w:val="99"/>
    <w:rsid w:val="002B7498"/>
    <w:pPr>
      <w:spacing w:line="480" w:lineRule="auto"/>
      <w:ind w:firstLine="284"/>
    </w:pPr>
    <w:rPr>
      <w:rFonts w:cs="Times New Roman"/>
      <w:szCs w:val="22"/>
      <w:lang w:val="fr-FR"/>
    </w:rPr>
  </w:style>
  <w:style w:type="paragraph" w:styleId="CommentText">
    <w:name w:val="annotation text"/>
    <w:basedOn w:val="Normal"/>
    <w:link w:val="CommentTextChar"/>
    <w:uiPriority w:val="99"/>
    <w:rsid w:val="002B7498"/>
    <w:rPr>
      <w:rFonts w:cs="Times New Roman"/>
      <w:lang w:val="en-US"/>
    </w:rPr>
  </w:style>
  <w:style w:type="character" w:customStyle="1" w:styleId="CommentTextChar">
    <w:name w:val="Comment Text Char"/>
    <w:link w:val="CommentText"/>
    <w:uiPriority w:val="99"/>
    <w:rsid w:val="009A4BA4"/>
    <w:rPr>
      <w:rFonts w:ascii="Arial" w:hAnsi="Arial" w:cs="Arial"/>
      <w:sz w:val="20"/>
      <w:szCs w:val="20"/>
      <w:lang w:val="en-GB"/>
    </w:rPr>
  </w:style>
  <w:style w:type="paragraph" w:styleId="BodyText3">
    <w:name w:val="Body Text 3"/>
    <w:basedOn w:val="Normal"/>
    <w:link w:val="BodyText3Char"/>
    <w:rsid w:val="002B7498"/>
    <w:pPr>
      <w:jc w:val="center"/>
    </w:pPr>
    <w:rPr>
      <w:rFonts w:cs="Times New Roman"/>
      <w:b/>
      <w:bCs/>
      <w:sz w:val="48"/>
      <w:szCs w:val="48"/>
    </w:rPr>
  </w:style>
  <w:style w:type="character" w:customStyle="1" w:styleId="BodyText3Char">
    <w:name w:val="Body Text 3 Char"/>
    <w:link w:val="BodyText3"/>
    <w:uiPriority w:val="99"/>
    <w:semiHidden/>
    <w:rsid w:val="009A4BA4"/>
    <w:rPr>
      <w:rFonts w:ascii="Arial" w:hAnsi="Arial" w:cs="Arial"/>
      <w:sz w:val="16"/>
      <w:szCs w:val="16"/>
      <w:lang w:val="en-GB"/>
    </w:rPr>
  </w:style>
  <w:style w:type="character" w:styleId="Hyperlink">
    <w:name w:val="Hyperlink"/>
    <w:uiPriority w:val="99"/>
    <w:rsid w:val="002B7498"/>
    <w:rPr>
      <w:color w:val="0000FF"/>
      <w:u w:val="single"/>
    </w:rPr>
  </w:style>
  <w:style w:type="paragraph" w:styleId="Title">
    <w:name w:val="Title"/>
    <w:basedOn w:val="Normal"/>
    <w:link w:val="TitleChar"/>
    <w:uiPriority w:val="99"/>
    <w:rsid w:val="002B7498"/>
    <w:pPr>
      <w:jc w:val="center"/>
    </w:pPr>
    <w:rPr>
      <w:rFonts w:cs="Times New Roman"/>
      <w:b/>
      <w:bCs/>
      <w:sz w:val="32"/>
      <w:szCs w:val="32"/>
    </w:rPr>
  </w:style>
  <w:style w:type="character" w:customStyle="1" w:styleId="TitleChar">
    <w:name w:val="Title Char"/>
    <w:link w:val="Title"/>
    <w:uiPriority w:val="10"/>
    <w:rsid w:val="009A4BA4"/>
    <w:rPr>
      <w:rFonts w:ascii="Cambria" w:eastAsia="Times New Roman" w:hAnsi="Cambria" w:cs="Times New Roman"/>
      <w:b/>
      <w:bCs/>
      <w:kern w:val="28"/>
      <w:sz w:val="32"/>
      <w:szCs w:val="32"/>
      <w:lang w:val="en-GB"/>
    </w:rPr>
  </w:style>
  <w:style w:type="character" w:styleId="FollowedHyperlink">
    <w:name w:val="FollowedHyperlink"/>
    <w:uiPriority w:val="99"/>
    <w:rsid w:val="002B7498"/>
    <w:rPr>
      <w:color w:val="800080"/>
      <w:u w:val="single"/>
    </w:rPr>
  </w:style>
  <w:style w:type="character" w:styleId="PageNumber">
    <w:name w:val="page number"/>
    <w:basedOn w:val="DefaultParagraphFont"/>
    <w:uiPriority w:val="99"/>
    <w:semiHidden/>
    <w:rsid w:val="002B7498"/>
  </w:style>
  <w:style w:type="paragraph" w:styleId="DocumentMap">
    <w:name w:val="Document Map"/>
    <w:basedOn w:val="Normal"/>
    <w:link w:val="DocumentMapChar"/>
    <w:uiPriority w:val="99"/>
    <w:semiHidden/>
    <w:unhideWhenUsed/>
    <w:rsid w:val="004C4FD4"/>
    <w:rPr>
      <w:rFonts w:ascii="Tahoma" w:hAnsi="Tahoma" w:cs="Tahoma"/>
      <w:sz w:val="16"/>
      <w:szCs w:val="16"/>
    </w:rPr>
  </w:style>
  <w:style w:type="character" w:customStyle="1" w:styleId="DocumentMapChar">
    <w:name w:val="Document Map Char"/>
    <w:link w:val="DocumentMap"/>
    <w:uiPriority w:val="99"/>
    <w:semiHidden/>
    <w:rsid w:val="004C4FD4"/>
    <w:rPr>
      <w:rFonts w:ascii="Tahoma" w:hAnsi="Tahoma" w:cs="Tahoma"/>
      <w:sz w:val="16"/>
      <w:szCs w:val="16"/>
      <w:lang w:val="en-GB"/>
    </w:rPr>
  </w:style>
  <w:style w:type="paragraph" w:styleId="BalloonText">
    <w:name w:val="Balloon Text"/>
    <w:basedOn w:val="Normal"/>
    <w:link w:val="BalloonTextChar"/>
    <w:uiPriority w:val="99"/>
    <w:semiHidden/>
    <w:unhideWhenUsed/>
    <w:rsid w:val="001B4914"/>
    <w:rPr>
      <w:rFonts w:ascii="Tahoma" w:hAnsi="Tahoma" w:cs="Tahoma"/>
      <w:sz w:val="16"/>
      <w:szCs w:val="16"/>
    </w:rPr>
  </w:style>
  <w:style w:type="character" w:customStyle="1" w:styleId="BalloonTextChar">
    <w:name w:val="Balloon Text Char"/>
    <w:link w:val="BalloonText"/>
    <w:uiPriority w:val="99"/>
    <w:semiHidden/>
    <w:rsid w:val="001B4914"/>
    <w:rPr>
      <w:rFonts w:ascii="Tahoma" w:hAnsi="Tahoma" w:cs="Tahoma"/>
      <w:sz w:val="16"/>
      <w:szCs w:val="16"/>
      <w:lang w:val="en-GB"/>
    </w:rPr>
  </w:style>
  <w:style w:type="character" w:styleId="CommentReference">
    <w:name w:val="annotation reference"/>
    <w:uiPriority w:val="99"/>
    <w:semiHidden/>
    <w:rsid w:val="00C6409A"/>
    <w:rPr>
      <w:sz w:val="16"/>
      <w:szCs w:val="16"/>
    </w:rPr>
  </w:style>
  <w:style w:type="paragraph" w:styleId="CommentSubject">
    <w:name w:val="annotation subject"/>
    <w:basedOn w:val="CommentText"/>
    <w:next w:val="CommentText"/>
    <w:link w:val="CommentSubjectChar"/>
    <w:uiPriority w:val="99"/>
    <w:semiHidden/>
    <w:rsid w:val="00C6409A"/>
    <w:rPr>
      <w:rFonts w:ascii="Arial" w:hAnsi="Arial" w:cs="Arial"/>
      <w:b/>
      <w:bCs/>
      <w:lang w:val="en-GB"/>
    </w:rPr>
  </w:style>
  <w:style w:type="table" w:styleId="TableGrid">
    <w:name w:val="Table Grid"/>
    <w:basedOn w:val="TableNormal"/>
    <w:uiPriority w:val="59"/>
    <w:rsid w:val="003A30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uiPriority w:val="99"/>
    <w:semiHidden/>
    <w:unhideWhenUsed/>
    <w:rsid w:val="00961CA6"/>
    <w:pPr>
      <w:ind w:left="200" w:hanging="200"/>
    </w:pPr>
  </w:style>
  <w:style w:type="paragraph" w:styleId="IndexHeading">
    <w:name w:val="index heading"/>
    <w:basedOn w:val="Normal"/>
    <w:next w:val="Index1"/>
    <w:uiPriority w:val="99"/>
    <w:rsid w:val="00961CA6"/>
    <w:pPr>
      <w:overflowPunct/>
      <w:autoSpaceDE/>
      <w:autoSpaceDN/>
      <w:adjustRightInd/>
      <w:textAlignment w:val="auto"/>
    </w:pPr>
    <w:rPr>
      <w:rFonts w:cs="Times New Roman"/>
      <w:lang w:eastAsia="fr-FR"/>
    </w:rPr>
  </w:style>
  <w:style w:type="paragraph" w:styleId="ListParagraph">
    <w:name w:val="List Paragraph"/>
    <w:basedOn w:val="Normal"/>
    <w:uiPriority w:val="34"/>
    <w:qFormat/>
    <w:rsid w:val="003E1E2A"/>
    <w:pPr>
      <w:ind w:left="720"/>
      <w:contextualSpacing/>
    </w:pPr>
  </w:style>
  <w:style w:type="paragraph" w:styleId="TOCHeading">
    <w:name w:val="TOC Heading"/>
    <w:basedOn w:val="Heading1"/>
    <w:next w:val="Normal"/>
    <w:uiPriority w:val="39"/>
    <w:unhideWhenUsed/>
    <w:qFormat/>
    <w:rsid w:val="00013B45"/>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apple-converted-space">
    <w:name w:val="apple-converted-space"/>
    <w:basedOn w:val="DefaultParagraphFont"/>
    <w:rsid w:val="00B532B5"/>
  </w:style>
  <w:style w:type="paragraph" w:styleId="NormalWeb">
    <w:name w:val="Normal (Web)"/>
    <w:basedOn w:val="Normal"/>
    <w:uiPriority w:val="99"/>
    <w:unhideWhenUsed/>
    <w:rsid w:val="00B532B5"/>
    <w:pPr>
      <w:overflowPunct/>
      <w:autoSpaceDE/>
      <w:autoSpaceDN/>
      <w:adjustRightInd/>
      <w:spacing w:before="100" w:beforeAutospacing="1" w:after="100" w:afterAutospacing="1"/>
      <w:jc w:val="left"/>
      <w:textAlignment w:val="auto"/>
    </w:pPr>
    <w:rPr>
      <w:rFonts w:cs="Times New Roman"/>
      <w:sz w:val="24"/>
      <w:szCs w:val="24"/>
      <w:lang w:eastAsia="en-GB"/>
    </w:rPr>
  </w:style>
  <w:style w:type="character" w:styleId="Strong">
    <w:name w:val="Strong"/>
    <w:basedOn w:val="DefaultParagraphFont"/>
    <w:uiPriority w:val="22"/>
    <w:qFormat/>
    <w:rsid w:val="00B532B5"/>
    <w:rPr>
      <w:b/>
      <w:bCs/>
    </w:rPr>
  </w:style>
  <w:style w:type="paragraph" w:styleId="BodyTextIndent">
    <w:name w:val="Body Text Indent"/>
    <w:basedOn w:val="Normal"/>
    <w:link w:val="BodyTextIndentChar"/>
    <w:unhideWhenUsed/>
    <w:rsid w:val="003C66C9"/>
    <w:pPr>
      <w:overflowPunct/>
      <w:autoSpaceDE/>
      <w:autoSpaceDN/>
      <w:adjustRightInd/>
      <w:spacing w:line="276" w:lineRule="auto"/>
      <w:ind w:left="283"/>
      <w:jc w:val="left"/>
      <w:textAlignment w:val="auto"/>
    </w:pPr>
    <w:rPr>
      <w:rFonts w:asciiTheme="minorHAnsi" w:eastAsiaTheme="minorEastAsia" w:hAnsiTheme="minorHAnsi" w:cstheme="minorBidi"/>
      <w:szCs w:val="22"/>
      <w:lang w:eastAsia="bg-BG"/>
    </w:rPr>
  </w:style>
  <w:style w:type="character" w:customStyle="1" w:styleId="BodyTextIndentChar">
    <w:name w:val="Body Text Indent Char"/>
    <w:basedOn w:val="DefaultParagraphFont"/>
    <w:link w:val="BodyTextIndent"/>
    <w:rsid w:val="003C66C9"/>
    <w:rPr>
      <w:rFonts w:asciiTheme="minorHAnsi" w:eastAsiaTheme="minorEastAsia" w:hAnsiTheme="minorHAnsi" w:cstheme="minorBidi"/>
      <w:sz w:val="22"/>
      <w:szCs w:val="22"/>
      <w:lang w:eastAsia="bg-BG"/>
    </w:rPr>
  </w:style>
  <w:style w:type="table" w:customStyle="1" w:styleId="LightList-Accent117">
    <w:name w:val="Light List - Accent 117"/>
    <w:basedOn w:val="TableNormal"/>
    <w:uiPriority w:val="61"/>
    <w:rsid w:val="003C66C9"/>
    <w:rPr>
      <w:rFonts w:asciiTheme="minorHAnsi" w:eastAsiaTheme="minorHAnsi" w:hAnsiTheme="minorHAnsi" w:cstheme="minorBidi"/>
      <w:sz w:val="22"/>
      <w:szCs w:val="22"/>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pple-tab-span">
    <w:name w:val="apple-tab-span"/>
    <w:basedOn w:val="DefaultParagraphFont"/>
    <w:rsid w:val="00F75643"/>
  </w:style>
  <w:style w:type="character" w:styleId="Emphasis">
    <w:name w:val="Emphasis"/>
    <w:basedOn w:val="DefaultParagraphFont"/>
    <w:uiPriority w:val="20"/>
    <w:qFormat/>
    <w:rsid w:val="00F75643"/>
    <w:rPr>
      <w:i/>
      <w:iCs/>
    </w:rPr>
  </w:style>
  <w:style w:type="character" w:customStyle="1" w:styleId="Mention1">
    <w:name w:val="Mention1"/>
    <w:basedOn w:val="DefaultParagraphFont"/>
    <w:uiPriority w:val="99"/>
    <w:semiHidden/>
    <w:unhideWhenUsed/>
    <w:rsid w:val="00F75643"/>
    <w:rPr>
      <w:color w:val="2B579A"/>
      <w:shd w:val="clear" w:color="auto" w:fill="E6E6E6"/>
    </w:rPr>
  </w:style>
  <w:style w:type="paragraph" w:styleId="Caption">
    <w:name w:val="caption"/>
    <w:basedOn w:val="Normal"/>
    <w:next w:val="Normal"/>
    <w:uiPriority w:val="35"/>
    <w:unhideWhenUsed/>
    <w:qFormat/>
    <w:rsid w:val="00DA1BAF"/>
    <w:pPr>
      <w:overflowPunct/>
      <w:autoSpaceDE/>
      <w:autoSpaceDN/>
      <w:adjustRightInd/>
      <w:spacing w:after="200"/>
      <w:jc w:val="left"/>
      <w:textAlignment w:val="auto"/>
    </w:pPr>
    <w:rPr>
      <w:rFonts w:eastAsiaTheme="minorHAnsi" w:cstheme="minorBidi"/>
      <w:b/>
      <w:bCs/>
      <w:sz w:val="20"/>
      <w:szCs w:val="18"/>
      <w:lang w:eastAsia="en-US"/>
    </w:rPr>
  </w:style>
  <w:style w:type="character" w:customStyle="1" w:styleId="CommentSubjectChar">
    <w:name w:val="Comment Subject Char"/>
    <w:basedOn w:val="CommentTextChar"/>
    <w:link w:val="CommentSubject"/>
    <w:uiPriority w:val="99"/>
    <w:semiHidden/>
    <w:rsid w:val="00F75643"/>
    <w:rPr>
      <w:rFonts w:ascii="Arial" w:hAnsi="Arial" w:cs="Arial"/>
      <w:b/>
      <w:bCs/>
      <w:sz w:val="20"/>
      <w:szCs w:val="20"/>
      <w:lang w:val="en-GB" w:eastAsia="fr-BE"/>
    </w:rPr>
  </w:style>
  <w:style w:type="paragraph" w:styleId="NoSpacing">
    <w:name w:val="No Spacing"/>
    <w:uiPriority w:val="1"/>
    <w:qFormat/>
    <w:rsid w:val="00F75643"/>
    <w:rPr>
      <w:rFonts w:asciiTheme="minorHAnsi" w:eastAsiaTheme="minorHAnsi" w:hAnsiTheme="minorHAnsi" w:cstheme="minorBidi"/>
      <w:sz w:val="22"/>
      <w:szCs w:val="22"/>
      <w:lang w:eastAsia="en-US"/>
    </w:rPr>
  </w:style>
  <w:style w:type="table" w:styleId="LightList-Accent3">
    <w:name w:val="Light List Accent 3"/>
    <w:basedOn w:val="TableNormal"/>
    <w:uiPriority w:val="61"/>
    <w:rsid w:val="00F75643"/>
    <w:rPr>
      <w:rFonts w:asciiTheme="minorHAnsi" w:eastAsiaTheme="minorHAnsi" w:hAnsiTheme="minorHAnsi" w:cstheme="minorBid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ibliography">
    <w:name w:val="Bibliography"/>
    <w:basedOn w:val="Normal"/>
    <w:next w:val="Normal"/>
    <w:uiPriority w:val="37"/>
    <w:unhideWhenUsed/>
    <w:rsid w:val="00CC58B5"/>
    <w:pPr>
      <w:overflowPunct/>
      <w:autoSpaceDE/>
      <w:autoSpaceDN/>
      <w:adjustRightInd/>
      <w:spacing w:after="200" w:line="276" w:lineRule="auto"/>
      <w:jc w:val="left"/>
      <w:textAlignment w:val="auto"/>
    </w:pPr>
    <w:rPr>
      <w:rFonts w:asciiTheme="minorHAnsi" w:eastAsiaTheme="minorEastAsia" w:hAnsiTheme="minorHAnsi" w:cstheme="minorBidi"/>
      <w:szCs w:val="22"/>
      <w:lang w:eastAsia="bg-BG"/>
    </w:rPr>
  </w:style>
  <w:style w:type="table" w:styleId="MediumShading1-Accent3">
    <w:name w:val="Medium Shading 1 Accent 3"/>
    <w:basedOn w:val="TableNormal"/>
    <w:uiPriority w:val="63"/>
    <w:rsid w:val="00F43EB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7F53D2"/>
  </w:style>
  <w:style w:type="character" w:customStyle="1" w:styleId="FootnoteTextChar">
    <w:name w:val="Footnote Text Char"/>
    <w:basedOn w:val="DefaultParagraphFont"/>
    <w:link w:val="FootnoteText"/>
    <w:uiPriority w:val="99"/>
    <w:rsid w:val="007F53D2"/>
    <w:rPr>
      <w:rFonts w:ascii="Arial" w:hAnsi="Arial" w:cs="Arial"/>
      <w:lang w:eastAsia="fr-BE"/>
    </w:rPr>
  </w:style>
  <w:style w:type="character" w:styleId="FootnoteReference">
    <w:name w:val="footnote reference"/>
    <w:basedOn w:val="DefaultParagraphFont"/>
    <w:uiPriority w:val="99"/>
    <w:semiHidden/>
    <w:unhideWhenUsed/>
    <w:rsid w:val="007F53D2"/>
    <w:rPr>
      <w:vertAlign w:val="superscript"/>
    </w:rPr>
  </w:style>
  <w:style w:type="paragraph" w:styleId="EndnoteText">
    <w:name w:val="endnote text"/>
    <w:basedOn w:val="Normal"/>
    <w:link w:val="EndnoteTextChar"/>
    <w:uiPriority w:val="99"/>
    <w:semiHidden/>
    <w:unhideWhenUsed/>
    <w:rsid w:val="002F203E"/>
  </w:style>
  <w:style w:type="character" w:customStyle="1" w:styleId="EndnoteTextChar">
    <w:name w:val="Endnote Text Char"/>
    <w:basedOn w:val="DefaultParagraphFont"/>
    <w:link w:val="EndnoteText"/>
    <w:uiPriority w:val="99"/>
    <w:semiHidden/>
    <w:rsid w:val="002F203E"/>
    <w:rPr>
      <w:rFonts w:ascii="Arial" w:hAnsi="Arial" w:cs="Arial"/>
      <w:lang w:eastAsia="fr-BE"/>
    </w:rPr>
  </w:style>
  <w:style w:type="character" w:styleId="EndnoteReference">
    <w:name w:val="endnote reference"/>
    <w:basedOn w:val="DefaultParagraphFont"/>
    <w:uiPriority w:val="99"/>
    <w:semiHidden/>
    <w:unhideWhenUsed/>
    <w:rsid w:val="002F203E"/>
    <w:rPr>
      <w:vertAlign w:val="superscript"/>
    </w:rPr>
  </w:style>
  <w:style w:type="paragraph" w:styleId="Revision">
    <w:name w:val="Revision"/>
    <w:hidden/>
    <w:uiPriority w:val="99"/>
    <w:semiHidden/>
    <w:rsid w:val="00573E83"/>
    <w:rPr>
      <w:rFonts w:ascii="Arial" w:hAnsi="Arial" w:cs="Arial"/>
      <w:lang w:eastAsia="fr-BE"/>
    </w:rPr>
  </w:style>
  <w:style w:type="character" w:customStyle="1" w:styleId="st">
    <w:name w:val="st"/>
    <w:basedOn w:val="DefaultParagraphFont"/>
    <w:rsid w:val="00E84CDC"/>
  </w:style>
  <w:style w:type="character" w:customStyle="1" w:styleId="sr-only">
    <w:name w:val="sr-only"/>
    <w:basedOn w:val="DefaultParagraphFont"/>
    <w:rsid w:val="00A3264A"/>
  </w:style>
  <w:style w:type="character" w:customStyle="1" w:styleId="text">
    <w:name w:val="text"/>
    <w:basedOn w:val="DefaultParagraphFont"/>
    <w:rsid w:val="00A3264A"/>
  </w:style>
  <w:style w:type="character" w:customStyle="1" w:styleId="author-ref">
    <w:name w:val="author-ref"/>
    <w:basedOn w:val="DefaultParagraphFont"/>
    <w:rsid w:val="00A3264A"/>
  </w:style>
  <w:style w:type="numbering" w:customStyle="1" w:styleId="Alansheadings">
    <w:name w:val="Alan's headings"/>
    <w:uiPriority w:val="99"/>
    <w:rsid w:val="00581524"/>
    <w:pPr>
      <w:numPr>
        <w:numId w:val="1"/>
      </w:numPr>
    </w:pPr>
  </w:style>
  <w:style w:type="character" w:styleId="PlaceholderText">
    <w:name w:val="Placeholder Text"/>
    <w:basedOn w:val="DefaultParagraphFont"/>
    <w:uiPriority w:val="99"/>
    <w:semiHidden/>
    <w:rsid w:val="00F62590"/>
    <w:rPr>
      <w:color w:val="808080"/>
    </w:rPr>
  </w:style>
  <w:style w:type="paragraph" w:customStyle="1" w:styleId="authors">
    <w:name w:val="authors"/>
    <w:basedOn w:val="Normal"/>
    <w:rsid w:val="0030675C"/>
    <w:pPr>
      <w:overflowPunct/>
      <w:autoSpaceDE/>
      <w:autoSpaceDN/>
      <w:adjustRightInd/>
      <w:spacing w:after="240"/>
      <w:jc w:val="left"/>
      <w:textAlignment w:val="auto"/>
    </w:pPr>
    <w:rPr>
      <w:rFonts w:cs="Times New Roman"/>
      <w:sz w:val="24"/>
      <w:lang w:eastAsia="en-US"/>
    </w:rPr>
  </w:style>
  <w:style w:type="paragraph" w:customStyle="1" w:styleId="address">
    <w:name w:val="address"/>
    <w:basedOn w:val="Normal"/>
    <w:rsid w:val="0030675C"/>
    <w:pPr>
      <w:overflowPunct/>
      <w:autoSpaceDE/>
      <w:autoSpaceDN/>
      <w:adjustRightInd/>
      <w:jc w:val="left"/>
      <w:textAlignment w:val="auto"/>
    </w:pPr>
    <w:rPr>
      <w:rFonts w:cs="Times New Roman"/>
      <w:sz w:val="24"/>
      <w:lang w:eastAsia="en-US"/>
    </w:rPr>
  </w:style>
  <w:style w:type="paragraph" w:customStyle="1" w:styleId="Equation">
    <w:name w:val="Equation"/>
    <w:basedOn w:val="Normal"/>
    <w:link w:val="EquationChar"/>
    <w:qFormat/>
    <w:rsid w:val="006D447D"/>
    <w:pPr>
      <w:spacing w:before="120" w:after="0"/>
    </w:pPr>
    <w:rPr>
      <w:rFonts w:ascii="Cambria Math" w:hAnsi="Cambria Math"/>
      <w:i/>
    </w:rPr>
  </w:style>
  <w:style w:type="character" w:customStyle="1" w:styleId="EquationChar">
    <w:name w:val="Equation Char"/>
    <w:basedOn w:val="DefaultParagraphFont"/>
    <w:link w:val="Equation"/>
    <w:rsid w:val="006D447D"/>
    <w:rPr>
      <w:rFonts w:ascii="Cambria Math" w:hAnsi="Cambria Math" w:cs="Arial"/>
      <w:i/>
      <w:sz w:val="22"/>
      <w:lang w:eastAsia="fr-BE"/>
    </w:rPr>
  </w:style>
  <w:style w:type="character" w:customStyle="1" w:styleId="singlerow">
    <w:name w:val="singlerow"/>
    <w:basedOn w:val="DefaultParagraphFont"/>
    <w:rsid w:val="00645B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B1DAF"/>
    <w:pPr>
      <w:overflowPunct w:val="0"/>
      <w:autoSpaceDE w:val="0"/>
      <w:autoSpaceDN w:val="0"/>
      <w:adjustRightInd w:val="0"/>
      <w:spacing w:after="120"/>
      <w:jc w:val="both"/>
      <w:textAlignment w:val="baseline"/>
    </w:pPr>
    <w:rPr>
      <w:rFonts w:cs="Arial"/>
      <w:sz w:val="22"/>
      <w:lang w:eastAsia="fr-BE"/>
    </w:rPr>
  </w:style>
  <w:style w:type="paragraph" w:styleId="Heading1">
    <w:name w:val="heading 1"/>
    <w:aliases w:val="Del Level 1"/>
    <w:next w:val="Normal"/>
    <w:link w:val="Heading1Char"/>
    <w:uiPriority w:val="9"/>
    <w:qFormat/>
    <w:rsid w:val="00CC3314"/>
    <w:pPr>
      <w:keepNext/>
      <w:numPr>
        <w:numId w:val="2"/>
      </w:numPr>
      <w:spacing w:before="240" w:after="240"/>
      <w:ind w:left="431" w:hanging="431"/>
      <w:jc w:val="center"/>
      <w:outlineLvl w:val="0"/>
    </w:pPr>
    <w:rPr>
      <w:rFonts w:cs="Arial"/>
      <w:b/>
      <w:bCs/>
      <w:caps/>
      <w:kern w:val="28"/>
      <w:sz w:val="22"/>
      <w:szCs w:val="28"/>
      <w:lang w:eastAsia="fr-BE"/>
    </w:rPr>
  </w:style>
  <w:style w:type="paragraph" w:styleId="Heading2">
    <w:name w:val="heading 2"/>
    <w:aliases w:val="Del Level 2"/>
    <w:basedOn w:val="Heading1"/>
    <w:next w:val="Normal"/>
    <w:link w:val="Heading2Char"/>
    <w:uiPriority w:val="9"/>
    <w:qFormat/>
    <w:rsid w:val="00CC3314"/>
    <w:pPr>
      <w:numPr>
        <w:ilvl w:val="1"/>
      </w:numPr>
      <w:spacing w:before="0" w:after="120"/>
      <w:ind w:left="578" w:hanging="578"/>
      <w:jc w:val="left"/>
      <w:outlineLvl w:val="1"/>
    </w:pPr>
    <w:rPr>
      <w:bCs w:val="0"/>
      <w:iCs/>
      <w:caps w:val="0"/>
      <w:szCs w:val="24"/>
    </w:rPr>
  </w:style>
  <w:style w:type="paragraph" w:styleId="Heading3">
    <w:name w:val="heading 3"/>
    <w:aliases w:val="Del Level 3"/>
    <w:basedOn w:val="Heading2"/>
    <w:next w:val="Normal"/>
    <w:link w:val="Heading3Char"/>
    <w:uiPriority w:val="9"/>
    <w:qFormat/>
    <w:rsid w:val="00CC3314"/>
    <w:pPr>
      <w:numPr>
        <w:ilvl w:val="2"/>
      </w:numPr>
      <w:spacing w:before="120"/>
      <w:outlineLvl w:val="2"/>
    </w:pPr>
    <w:rPr>
      <w:rFonts w:cs="Times New Roman"/>
      <w:b w:val="0"/>
      <w:bCs/>
    </w:rPr>
  </w:style>
  <w:style w:type="paragraph" w:styleId="Heading4">
    <w:name w:val="heading 4"/>
    <w:basedOn w:val="Normal"/>
    <w:next w:val="Normal"/>
    <w:link w:val="Heading4Char"/>
    <w:uiPriority w:val="99"/>
    <w:rsid w:val="002B7498"/>
    <w:pPr>
      <w:keepNext/>
      <w:numPr>
        <w:ilvl w:val="3"/>
        <w:numId w:val="2"/>
      </w:numPr>
      <w:spacing w:before="240" w:after="60"/>
      <w:outlineLvl w:val="3"/>
    </w:pPr>
    <w:rPr>
      <w:rFonts w:cs="Times New Roman"/>
      <w:b/>
      <w:bCs/>
      <w:i/>
      <w:iCs/>
      <w:sz w:val="24"/>
      <w:szCs w:val="24"/>
    </w:rPr>
  </w:style>
  <w:style w:type="paragraph" w:styleId="Heading5">
    <w:name w:val="heading 5"/>
    <w:basedOn w:val="Normal"/>
    <w:next w:val="Normal"/>
    <w:link w:val="Heading5Char"/>
    <w:uiPriority w:val="99"/>
    <w:rsid w:val="002B7498"/>
    <w:pPr>
      <w:numPr>
        <w:ilvl w:val="4"/>
        <w:numId w:val="2"/>
      </w:numPr>
      <w:spacing w:before="240" w:after="60"/>
      <w:outlineLvl w:val="4"/>
    </w:pPr>
    <w:rPr>
      <w:szCs w:val="22"/>
    </w:rPr>
  </w:style>
  <w:style w:type="paragraph" w:styleId="Heading6">
    <w:name w:val="heading 6"/>
    <w:basedOn w:val="Normal"/>
    <w:next w:val="Normal"/>
    <w:link w:val="Heading6Char"/>
    <w:uiPriority w:val="99"/>
    <w:rsid w:val="002B7498"/>
    <w:pPr>
      <w:numPr>
        <w:ilvl w:val="5"/>
        <w:numId w:val="2"/>
      </w:numPr>
      <w:spacing w:before="240" w:after="60"/>
      <w:outlineLvl w:val="5"/>
    </w:pPr>
    <w:rPr>
      <w:i/>
      <w:iCs/>
      <w:szCs w:val="22"/>
    </w:rPr>
  </w:style>
  <w:style w:type="paragraph" w:styleId="Heading7">
    <w:name w:val="heading 7"/>
    <w:basedOn w:val="Normal"/>
    <w:next w:val="Normal"/>
    <w:link w:val="Heading7Char"/>
    <w:uiPriority w:val="99"/>
    <w:rsid w:val="002B7498"/>
    <w:pPr>
      <w:numPr>
        <w:ilvl w:val="6"/>
        <w:numId w:val="2"/>
      </w:numPr>
      <w:spacing w:before="240" w:after="60"/>
      <w:outlineLvl w:val="6"/>
    </w:pPr>
  </w:style>
  <w:style w:type="paragraph" w:styleId="Heading8">
    <w:name w:val="heading 8"/>
    <w:basedOn w:val="Normal"/>
    <w:next w:val="Normal"/>
    <w:link w:val="Heading8Char"/>
    <w:uiPriority w:val="99"/>
    <w:rsid w:val="002B7498"/>
    <w:pPr>
      <w:numPr>
        <w:ilvl w:val="7"/>
        <w:numId w:val="2"/>
      </w:numPr>
      <w:spacing w:before="240" w:after="60"/>
      <w:outlineLvl w:val="7"/>
    </w:pPr>
    <w:rPr>
      <w:i/>
      <w:iCs/>
    </w:rPr>
  </w:style>
  <w:style w:type="paragraph" w:styleId="Heading9">
    <w:name w:val="heading 9"/>
    <w:basedOn w:val="Normal"/>
    <w:next w:val="Normal"/>
    <w:link w:val="Heading9Char"/>
    <w:uiPriority w:val="99"/>
    <w:rsid w:val="002B7498"/>
    <w:pPr>
      <w:numPr>
        <w:ilvl w:val="8"/>
        <w:numId w:val="2"/>
      </w:num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l Level 1 Char"/>
    <w:link w:val="Heading1"/>
    <w:uiPriority w:val="9"/>
    <w:rsid w:val="00CC3314"/>
    <w:rPr>
      <w:rFonts w:cs="Arial"/>
      <w:b/>
      <w:bCs/>
      <w:caps/>
      <w:kern w:val="28"/>
      <w:sz w:val="22"/>
      <w:szCs w:val="28"/>
      <w:lang w:eastAsia="fr-BE"/>
    </w:rPr>
  </w:style>
  <w:style w:type="character" w:customStyle="1" w:styleId="Heading2Char">
    <w:name w:val="Heading 2 Char"/>
    <w:aliases w:val="Del Level 2 Char"/>
    <w:link w:val="Heading2"/>
    <w:uiPriority w:val="9"/>
    <w:rsid w:val="00CC3314"/>
    <w:rPr>
      <w:rFonts w:cs="Arial"/>
      <w:b/>
      <w:iCs/>
      <w:kern w:val="28"/>
      <w:sz w:val="22"/>
      <w:szCs w:val="24"/>
      <w:lang w:eastAsia="fr-BE"/>
    </w:rPr>
  </w:style>
  <w:style w:type="character" w:customStyle="1" w:styleId="Heading3Char">
    <w:name w:val="Heading 3 Char"/>
    <w:aliases w:val="Del Level 3 Char"/>
    <w:link w:val="Heading3"/>
    <w:uiPriority w:val="9"/>
    <w:rsid w:val="00CC3314"/>
    <w:rPr>
      <w:bCs/>
      <w:iCs/>
      <w:kern w:val="28"/>
      <w:sz w:val="22"/>
      <w:szCs w:val="24"/>
      <w:lang w:eastAsia="fr-BE"/>
    </w:rPr>
  </w:style>
  <w:style w:type="character" w:customStyle="1" w:styleId="Heading4Char">
    <w:name w:val="Heading 4 Char"/>
    <w:link w:val="Heading4"/>
    <w:uiPriority w:val="99"/>
    <w:rsid w:val="009A4BA4"/>
    <w:rPr>
      <w:b/>
      <w:bCs/>
      <w:i/>
      <w:iCs/>
      <w:sz w:val="24"/>
      <w:szCs w:val="24"/>
      <w:lang w:eastAsia="fr-BE"/>
    </w:rPr>
  </w:style>
  <w:style w:type="character" w:customStyle="1" w:styleId="Heading5Char">
    <w:name w:val="Heading 5 Char"/>
    <w:link w:val="Heading5"/>
    <w:uiPriority w:val="99"/>
    <w:rsid w:val="009A4BA4"/>
    <w:rPr>
      <w:rFonts w:ascii="Arial" w:hAnsi="Arial" w:cs="Arial"/>
      <w:sz w:val="22"/>
      <w:szCs w:val="22"/>
      <w:lang w:eastAsia="fr-BE"/>
    </w:rPr>
  </w:style>
  <w:style w:type="character" w:customStyle="1" w:styleId="Heading6Char">
    <w:name w:val="Heading 6 Char"/>
    <w:link w:val="Heading6"/>
    <w:uiPriority w:val="99"/>
    <w:rsid w:val="009A4BA4"/>
    <w:rPr>
      <w:rFonts w:ascii="Arial" w:hAnsi="Arial" w:cs="Arial"/>
      <w:i/>
      <w:iCs/>
      <w:sz w:val="22"/>
      <w:szCs w:val="22"/>
      <w:lang w:eastAsia="fr-BE"/>
    </w:rPr>
  </w:style>
  <w:style w:type="character" w:customStyle="1" w:styleId="Heading7Char">
    <w:name w:val="Heading 7 Char"/>
    <w:link w:val="Heading7"/>
    <w:uiPriority w:val="99"/>
    <w:rsid w:val="009A4BA4"/>
    <w:rPr>
      <w:rFonts w:ascii="Arial" w:hAnsi="Arial" w:cs="Arial"/>
      <w:sz w:val="22"/>
      <w:lang w:eastAsia="fr-BE"/>
    </w:rPr>
  </w:style>
  <w:style w:type="character" w:customStyle="1" w:styleId="Heading8Char">
    <w:name w:val="Heading 8 Char"/>
    <w:link w:val="Heading8"/>
    <w:uiPriority w:val="99"/>
    <w:rsid w:val="009A4BA4"/>
    <w:rPr>
      <w:rFonts w:ascii="Arial" w:hAnsi="Arial" w:cs="Arial"/>
      <w:i/>
      <w:iCs/>
      <w:sz w:val="22"/>
      <w:lang w:eastAsia="fr-BE"/>
    </w:rPr>
  </w:style>
  <w:style w:type="character" w:customStyle="1" w:styleId="Heading9Char">
    <w:name w:val="Heading 9 Char"/>
    <w:link w:val="Heading9"/>
    <w:uiPriority w:val="99"/>
    <w:rsid w:val="009A4BA4"/>
    <w:rPr>
      <w:rFonts w:ascii="Arial" w:hAnsi="Arial" w:cs="Arial"/>
      <w:i/>
      <w:iCs/>
      <w:sz w:val="18"/>
      <w:szCs w:val="18"/>
      <w:lang w:eastAsia="fr-BE"/>
    </w:rPr>
  </w:style>
  <w:style w:type="paragraph" w:styleId="Header">
    <w:name w:val="header"/>
    <w:basedOn w:val="Normal"/>
    <w:link w:val="HeaderChar"/>
    <w:uiPriority w:val="99"/>
    <w:rsid w:val="002B7498"/>
    <w:pPr>
      <w:tabs>
        <w:tab w:val="center" w:pos="4153"/>
        <w:tab w:val="right" w:pos="8306"/>
      </w:tabs>
    </w:pPr>
  </w:style>
  <w:style w:type="character" w:customStyle="1" w:styleId="HeaderChar">
    <w:name w:val="Header Char"/>
    <w:link w:val="Header"/>
    <w:uiPriority w:val="99"/>
    <w:rsid w:val="009A4BA4"/>
    <w:rPr>
      <w:rFonts w:ascii="Arial" w:hAnsi="Arial" w:cs="Arial"/>
      <w:sz w:val="20"/>
      <w:szCs w:val="20"/>
      <w:lang w:val="en-GB"/>
    </w:rPr>
  </w:style>
  <w:style w:type="paragraph" w:styleId="Footer">
    <w:name w:val="footer"/>
    <w:basedOn w:val="Normal"/>
    <w:link w:val="FooterChar"/>
    <w:uiPriority w:val="99"/>
    <w:rsid w:val="002B7498"/>
    <w:pPr>
      <w:tabs>
        <w:tab w:val="center" w:pos="4153"/>
        <w:tab w:val="right" w:pos="8306"/>
      </w:tabs>
    </w:pPr>
  </w:style>
  <w:style w:type="character" w:customStyle="1" w:styleId="FooterChar">
    <w:name w:val="Footer Char"/>
    <w:link w:val="Footer"/>
    <w:uiPriority w:val="99"/>
    <w:rsid w:val="009A4BA4"/>
    <w:rPr>
      <w:rFonts w:ascii="Arial" w:hAnsi="Arial" w:cs="Arial"/>
      <w:sz w:val="20"/>
      <w:szCs w:val="20"/>
      <w:lang w:val="en-GB"/>
    </w:rPr>
  </w:style>
  <w:style w:type="paragraph" w:styleId="TOC1">
    <w:name w:val="toc 1"/>
    <w:basedOn w:val="Normal"/>
    <w:next w:val="Normal"/>
    <w:autoRedefine/>
    <w:uiPriority w:val="39"/>
    <w:rsid w:val="00A84AA9"/>
    <w:pPr>
      <w:tabs>
        <w:tab w:val="right" w:leader="dot" w:pos="8312"/>
      </w:tabs>
    </w:pPr>
    <w:rPr>
      <w:sz w:val="24"/>
    </w:rPr>
  </w:style>
  <w:style w:type="paragraph" w:styleId="TOC2">
    <w:name w:val="toc 2"/>
    <w:basedOn w:val="Normal"/>
    <w:next w:val="Normal"/>
    <w:autoRedefine/>
    <w:uiPriority w:val="39"/>
    <w:rsid w:val="002B7498"/>
    <w:pPr>
      <w:tabs>
        <w:tab w:val="right" w:leader="dot" w:pos="8312"/>
      </w:tabs>
      <w:ind w:left="200"/>
    </w:pPr>
  </w:style>
  <w:style w:type="paragraph" w:styleId="TOC3">
    <w:name w:val="toc 3"/>
    <w:basedOn w:val="Normal"/>
    <w:next w:val="Normal"/>
    <w:autoRedefine/>
    <w:uiPriority w:val="39"/>
    <w:rsid w:val="000E6E7C"/>
    <w:pPr>
      <w:tabs>
        <w:tab w:val="left" w:pos="1200"/>
        <w:tab w:val="right" w:leader="dot" w:pos="8312"/>
      </w:tabs>
      <w:ind w:left="200"/>
    </w:pPr>
    <w:rPr>
      <w:sz w:val="16"/>
    </w:rPr>
  </w:style>
  <w:style w:type="paragraph" w:styleId="TOC4">
    <w:name w:val="toc 4"/>
    <w:basedOn w:val="Normal"/>
    <w:next w:val="Normal"/>
    <w:autoRedefine/>
    <w:uiPriority w:val="99"/>
    <w:semiHidden/>
    <w:rsid w:val="002B7498"/>
    <w:pPr>
      <w:tabs>
        <w:tab w:val="right" w:leader="dot" w:pos="8312"/>
      </w:tabs>
      <w:ind w:left="600"/>
    </w:pPr>
  </w:style>
  <w:style w:type="paragraph" w:styleId="TOC5">
    <w:name w:val="toc 5"/>
    <w:basedOn w:val="Normal"/>
    <w:next w:val="Normal"/>
    <w:autoRedefine/>
    <w:uiPriority w:val="99"/>
    <w:semiHidden/>
    <w:rsid w:val="002B7498"/>
    <w:pPr>
      <w:tabs>
        <w:tab w:val="right" w:leader="dot" w:pos="8312"/>
      </w:tabs>
      <w:ind w:left="800"/>
    </w:pPr>
  </w:style>
  <w:style w:type="paragraph" w:styleId="TOC6">
    <w:name w:val="toc 6"/>
    <w:basedOn w:val="Normal"/>
    <w:next w:val="Normal"/>
    <w:autoRedefine/>
    <w:uiPriority w:val="99"/>
    <w:semiHidden/>
    <w:rsid w:val="002B7498"/>
    <w:pPr>
      <w:tabs>
        <w:tab w:val="right" w:leader="dot" w:pos="8312"/>
      </w:tabs>
      <w:ind w:left="1000"/>
    </w:pPr>
  </w:style>
  <w:style w:type="paragraph" w:styleId="TOC7">
    <w:name w:val="toc 7"/>
    <w:basedOn w:val="Normal"/>
    <w:next w:val="Normal"/>
    <w:autoRedefine/>
    <w:uiPriority w:val="99"/>
    <w:semiHidden/>
    <w:rsid w:val="002B7498"/>
    <w:pPr>
      <w:tabs>
        <w:tab w:val="right" w:leader="dot" w:pos="8312"/>
      </w:tabs>
      <w:ind w:left="1200"/>
    </w:pPr>
  </w:style>
  <w:style w:type="paragraph" w:styleId="TOC8">
    <w:name w:val="toc 8"/>
    <w:basedOn w:val="Normal"/>
    <w:next w:val="Normal"/>
    <w:autoRedefine/>
    <w:uiPriority w:val="99"/>
    <w:semiHidden/>
    <w:rsid w:val="002B7498"/>
    <w:pPr>
      <w:tabs>
        <w:tab w:val="right" w:leader="dot" w:pos="8312"/>
      </w:tabs>
      <w:ind w:left="1400"/>
    </w:pPr>
  </w:style>
  <w:style w:type="paragraph" w:styleId="TOC9">
    <w:name w:val="toc 9"/>
    <w:basedOn w:val="Normal"/>
    <w:next w:val="Normal"/>
    <w:autoRedefine/>
    <w:uiPriority w:val="99"/>
    <w:semiHidden/>
    <w:rsid w:val="002B7498"/>
    <w:pPr>
      <w:tabs>
        <w:tab w:val="right" w:leader="dot" w:pos="8312"/>
      </w:tabs>
      <w:ind w:left="1600"/>
    </w:pPr>
  </w:style>
  <w:style w:type="paragraph" w:styleId="BodyTextIndent2">
    <w:name w:val="Body Text Indent 2"/>
    <w:basedOn w:val="Normal"/>
    <w:link w:val="BodyTextIndent2Char"/>
    <w:uiPriority w:val="99"/>
    <w:rsid w:val="002B7498"/>
    <w:pPr>
      <w:tabs>
        <w:tab w:val="left" w:pos="0"/>
        <w:tab w:val="left" w:pos="510"/>
        <w:tab w:val="left" w:pos="1077"/>
        <w:tab w:val="left" w:pos="1588"/>
        <w:tab w:val="left" w:pos="1984"/>
        <w:tab w:val="left" w:pos="2381"/>
        <w:tab w:val="left" w:pos="2891"/>
      </w:tabs>
      <w:ind w:left="510"/>
    </w:pPr>
    <w:rPr>
      <w:rFonts w:cs="Times New Roman"/>
      <w:spacing w:val="-3"/>
      <w:szCs w:val="22"/>
    </w:rPr>
  </w:style>
  <w:style w:type="character" w:customStyle="1" w:styleId="BodyTextIndent2Char">
    <w:name w:val="Body Text Indent 2 Char"/>
    <w:link w:val="BodyTextIndent2"/>
    <w:uiPriority w:val="99"/>
    <w:semiHidden/>
    <w:rsid w:val="009A4BA4"/>
    <w:rPr>
      <w:rFonts w:ascii="Arial" w:hAnsi="Arial" w:cs="Arial"/>
      <w:sz w:val="20"/>
      <w:szCs w:val="20"/>
      <w:lang w:val="en-GB"/>
    </w:rPr>
  </w:style>
  <w:style w:type="paragraph" w:customStyle="1" w:styleId="aictextecourant">
    <w:name w:val="aic:texte courant"/>
    <w:basedOn w:val="Normal"/>
    <w:uiPriority w:val="99"/>
    <w:rsid w:val="002B7498"/>
    <w:pPr>
      <w:spacing w:line="480" w:lineRule="auto"/>
      <w:ind w:firstLine="284"/>
    </w:pPr>
    <w:rPr>
      <w:rFonts w:cs="Times New Roman"/>
      <w:szCs w:val="22"/>
      <w:lang w:val="fr-FR"/>
    </w:rPr>
  </w:style>
  <w:style w:type="paragraph" w:styleId="CommentText">
    <w:name w:val="annotation text"/>
    <w:basedOn w:val="Normal"/>
    <w:link w:val="CommentTextChar"/>
    <w:uiPriority w:val="99"/>
    <w:rsid w:val="002B7498"/>
    <w:rPr>
      <w:rFonts w:cs="Times New Roman"/>
      <w:lang w:val="en-US"/>
    </w:rPr>
  </w:style>
  <w:style w:type="character" w:customStyle="1" w:styleId="CommentTextChar">
    <w:name w:val="Comment Text Char"/>
    <w:link w:val="CommentText"/>
    <w:uiPriority w:val="99"/>
    <w:rsid w:val="009A4BA4"/>
    <w:rPr>
      <w:rFonts w:ascii="Arial" w:hAnsi="Arial" w:cs="Arial"/>
      <w:sz w:val="20"/>
      <w:szCs w:val="20"/>
      <w:lang w:val="en-GB"/>
    </w:rPr>
  </w:style>
  <w:style w:type="paragraph" w:styleId="BodyText3">
    <w:name w:val="Body Text 3"/>
    <w:basedOn w:val="Normal"/>
    <w:link w:val="BodyText3Char"/>
    <w:rsid w:val="002B7498"/>
    <w:pPr>
      <w:jc w:val="center"/>
    </w:pPr>
    <w:rPr>
      <w:rFonts w:cs="Times New Roman"/>
      <w:b/>
      <w:bCs/>
      <w:sz w:val="48"/>
      <w:szCs w:val="48"/>
    </w:rPr>
  </w:style>
  <w:style w:type="character" w:customStyle="1" w:styleId="BodyText3Char">
    <w:name w:val="Body Text 3 Char"/>
    <w:link w:val="BodyText3"/>
    <w:uiPriority w:val="99"/>
    <w:semiHidden/>
    <w:rsid w:val="009A4BA4"/>
    <w:rPr>
      <w:rFonts w:ascii="Arial" w:hAnsi="Arial" w:cs="Arial"/>
      <w:sz w:val="16"/>
      <w:szCs w:val="16"/>
      <w:lang w:val="en-GB"/>
    </w:rPr>
  </w:style>
  <w:style w:type="character" w:styleId="Hyperlink">
    <w:name w:val="Hyperlink"/>
    <w:uiPriority w:val="99"/>
    <w:rsid w:val="002B7498"/>
    <w:rPr>
      <w:color w:val="0000FF"/>
      <w:u w:val="single"/>
    </w:rPr>
  </w:style>
  <w:style w:type="paragraph" w:styleId="Title">
    <w:name w:val="Title"/>
    <w:basedOn w:val="Normal"/>
    <w:link w:val="TitleChar"/>
    <w:uiPriority w:val="99"/>
    <w:rsid w:val="002B7498"/>
    <w:pPr>
      <w:jc w:val="center"/>
    </w:pPr>
    <w:rPr>
      <w:rFonts w:cs="Times New Roman"/>
      <w:b/>
      <w:bCs/>
      <w:sz w:val="32"/>
      <w:szCs w:val="32"/>
    </w:rPr>
  </w:style>
  <w:style w:type="character" w:customStyle="1" w:styleId="TitleChar">
    <w:name w:val="Title Char"/>
    <w:link w:val="Title"/>
    <w:uiPriority w:val="10"/>
    <w:rsid w:val="009A4BA4"/>
    <w:rPr>
      <w:rFonts w:ascii="Cambria" w:eastAsia="Times New Roman" w:hAnsi="Cambria" w:cs="Times New Roman"/>
      <w:b/>
      <w:bCs/>
      <w:kern w:val="28"/>
      <w:sz w:val="32"/>
      <w:szCs w:val="32"/>
      <w:lang w:val="en-GB"/>
    </w:rPr>
  </w:style>
  <w:style w:type="character" w:styleId="FollowedHyperlink">
    <w:name w:val="FollowedHyperlink"/>
    <w:uiPriority w:val="99"/>
    <w:rsid w:val="002B7498"/>
    <w:rPr>
      <w:color w:val="800080"/>
      <w:u w:val="single"/>
    </w:rPr>
  </w:style>
  <w:style w:type="character" w:styleId="PageNumber">
    <w:name w:val="page number"/>
    <w:basedOn w:val="DefaultParagraphFont"/>
    <w:uiPriority w:val="99"/>
    <w:semiHidden/>
    <w:rsid w:val="002B7498"/>
  </w:style>
  <w:style w:type="paragraph" w:styleId="DocumentMap">
    <w:name w:val="Document Map"/>
    <w:basedOn w:val="Normal"/>
    <w:link w:val="DocumentMapChar"/>
    <w:uiPriority w:val="99"/>
    <w:semiHidden/>
    <w:unhideWhenUsed/>
    <w:rsid w:val="004C4FD4"/>
    <w:rPr>
      <w:rFonts w:ascii="Tahoma" w:hAnsi="Tahoma" w:cs="Tahoma"/>
      <w:sz w:val="16"/>
      <w:szCs w:val="16"/>
    </w:rPr>
  </w:style>
  <w:style w:type="character" w:customStyle="1" w:styleId="DocumentMapChar">
    <w:name w:val="Document Map Char"/>
    <w:link w:val="DocumentMap"/>
    <w:uiPriority w:val="99"/>
    <w:semiHidden/>
    <w:rsid w:val="004C4FD4"/>
    <w:rPr>
      <w:rFonts w:ascii="Tahoma" w:hAnsi="Tahoma" w:cs="Tahoma"/>
      <w:sz w:val="16"/>
      <w:szCs w:val="16"/>
      <w:lang w:val="en-GB"/>
    </w:rPr>
  </w:style>
  <w:style w:type="paragraph" w:styleId="BalloonText">
    <w:name w:val="Balloon Text"/>
    <w:basedOn w:val="Normal"/>
    <w:link w:val="BalloonTextChar"/>
    <w:uiPriority w:val="99"/>
    <w:semiHidden/>
    <w:unhideWhenUsed/>
    <w:rsid w:val="001B4914"/>
    <w:rPr>
      <w:rFonts w:ascii="Tahoma" w:hAnsi="Tahoma" w:cs="Tahoma"/>
      <w:sz w:val="16"/>
      <w:szCs w:val="16"/>
    </w:rPr>
  </w:style>
  <w:style w:type="character" w:customStyle="1" w:styleId="BalloonTextChar">
    <w:name w:val="Balloon Text Char"/>
    <w:link w:val="BalloonText"/>
    <w:uiPriority w:val="99"/>
    <w:semiHidden/>
    <w:rsid w:val="001B4914"/>
    <w:rPr>
      <w:rFonts w:ascii="Tahoma" w:hAnsi="Tahoma" w:cs="Tahoma"/>
      <w:sz w:val="16"/>
      <w:szCs w:val="16"/>
      <w:lang w:val="en-GB"/>
    </w:rPr>
  </w:style>
  <w:style w:type="character" w:styleId="CommentReference">
    <w:name w:val="annotation reference"/>
    <w:uiPriority w:val="99"/>
    <w:semiHidden/>
    <w:rsid w:val="00C6409A"/>
    <w:rPr>
      <w:sz w:val="16"/>
      <w:szCs w:val="16"/>
    </w:rPr>
  </w:style>
  <w:style w:type="paragraph" w:styleId="CommentSubject">
    <w:name w:val="annotation subject"/>
    <w:basedOn w:val="CommentText"/>
    <w:next w:val="CommentText"/>
    <w:link w:val="CommentSubjectChar"/>
    <w:uiPriority w:val="99"/>
    <w:semiHidden/>
    <w:rsid w:val="00C6409A"/>
    <w:rPr>
      <w:rFonts w:ascii="Arial" w:hAnsi="Arial" w:cs="Arial"/>
      <w:b/>
      <w:bCs/>
      <w:lang w:val="en-GB"/>
    </w:rPr>
  </w:style>
  <w:style w:type="table" w:styleId="TableGrid">
    <w:name w:val="Table Grid"/>
    <w:basedOn w:val="TableNormal"/>
    <w:uiPriority w:val="59"/>
    <w:rsid w:val="003A30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uiPriority w:val="99"/>
    <w:semiHidden/>
    <w:unhideWhenUsed/>
    <w:rsid w:val="00961CA6"/>
    <w:pPr>
      <w:ind w:left="200" w:hanging="200"/>
    </w:pPr>
  </w:style>
  <w:style w:type="paragraph" w:styleId="IndexHeading">
    <w:name w:val="index heading"/>
    <w:basedOn w:val="Normal"/>
    <w:next w:val="Index1"/>
    <w:uiPriority w:val="99"/>
    <w:rsid w:val="00961CA6"/>
    <w:pPr>
      <w:overflowPunct/>
      <w:autoSpaceDE/>
      <w:autoSpaceDN/>
      <w:adjustRightInd/>
      <w:textAlignment w:val="auto"/>
    </w:pPr>
    <w:rPr>
      <w:rFonts w:cs="Times New Roman"/>
      <w:lang w:eastAsia="fr-FR"/>
    </w:rPr>
  </w:style>
  <w:style w:type="paragraph" w:styleId="ListParagraph">
    <w:name w:val="List Paragraph"/>
    <w:basedOn w:val="Normal"/>
    <w:uiPriority w:val="34"/>
    <w:qFormat/>
    <w:rsid w:val="003E1E2A"/>
    <w:pPr>
      <w:ind w:left="720"/>
      <w:contextualSpacing/>
    </w:pPr>
  </w:style>
  <w:style w:type="paragraph" w:styleId="TOCHeading">
    <w:name w:val="TOC Heading"/>
    <w:basedOn w:val="Heading1"/>
    <w:next w:val="Normal"/>
    <w:uiPriority w:val="39"/>
    <w:unhideWhenUsed/>
    <w:qFormat/>
    <w:rsid w:val="00013B45"/>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apple-converted-space">
    <w:name w:val="apple-converted-space"/>
    <w:basedOn w:val="DefaultParagraphFont"/>
    <w:rsid w:val="00B532B5"/>
  </w:style>
  <w:style w:type="paragraph" w:styleId="NormalWeb">
    <w:name w:val="Normal (Web)"/>
    <w:basedOn w:val="Normal"/>
    <w:uiPriority w:val="99"/>
    <w:unhideWhenUsed/>
    <w:rsid w:val="00B532B5"/>
    <w:pPr>
      <w:overflowPunct/>
      <w:autoSpaceDE/>
      <w:autoSpaceDN/>
      <w:adjustRightInd/>
      <w:spacing w:before="100" w:beforeAutospacing="1" w:after="100" w:afterAutospacing="1"/>
      <w:jc w:val="left"/>
      <w:textAlignment w:val="auto"/>
    </w:pPr>
    <w:rPr>
      <w:rFonts w:cs="Times New Roman"/>
      <w:sz w:val="24"/>
      <w:szCs w:val="24"/>
      <w:lang w:eastAsia="en-GB"/>
    </w:rPr>
  </w:style>
  <w:style w:type="character" w:styleId="Strong">
    <w:name w:val="Strong"/>
    <w:basedOn w:val="DefaultParagraphFont"/>
    <w:uiPriority w:val="22"/>
    <w:qFormat/>
    <w:rsid w:val="00B532B5"/>
    <w:rPr>
      <w:b/>
      <w:bCs/>
    </w:rPr>
  </w:style>
  <w:style w:type="paragraph" w:styleId="BodyTextIndent">
    <w:name w:val="Body Text Indent"/>
    <w:basedOn w:val="Normal"/>
    <w:link w:val="BodyTextIndentChar"/>
    <w:unhideWhenUsed/>
    <w:rsid w:val="003C66C9"/>
    <w:pPr>
      <w:overflowPunct/>
      <w:autoSpaceDE/>
      <w:autoSpaceDN/>
      <w:adjustRightInd/>
      <w:spacing w:line="276" w:lineRule="auto"/>
      <w:ind w:left="283"/>
      <w:jc w:val="left"/>
      <w:textAlignment w:val="auto"/>
    </w:pPr>
    <w:rPr>
      <w:rFonts w:asciiTheme="minorHAnsi" w:eastAsiaTheme="minorEastAsia" w:hAnsiTheme="minorHAnsi" w:cstheme="minorBidi"/>
      <w:szCs w:val="22"/>
      <w:lang w:eastAsia="bg-BG"/>
    </w:rPr>
  </w:style>
  <w:style w:type="character" w:customStyle="1" w:styleId="BodyTextIndentChar">
    <w:name w:val="Body Text Indent Char"/>
    <w:basedOn w:val="DefaultParagraphFont"/>
    <w:link w:val="BodyTextIndent"/>
    <w:rsid w:val="003C66C9"/>
    <w:rPr>
      <w:rFonts w:asciiTheme="minorHAnsi" w:eastAsiaTheme="minorEastAsia" w:hAnsiTheme="minorHAnsi" w:cstheme="minorBidi"/>
      <w:sz w:val="22"/>
      <w:szCs w:val="22"/>
      <w:lang w:eastAsia="bg-BG"/>
    </w:rPr>
  </w:style>
  <w:style w:type="table" w:customStyle="1" w:styleId="LightList-Accent117">
    <w:name w:val="Light List - Accent 117"/>
    <w:basedOn w:val="TableNormal"/>
    <w:uiPriority w:val="61"/>
    <w:rsid w:val="003C66C9"/>
    <w:rPr>
      <w:rFonts w:asciiTheme="minorHAnsi" w:eastAsiaTheme="minorHAnsi" w:hAnsiTheme="minorHAnsi" w:cstheme="minorBidi"/>
      <w:sz w:val="22"/>
      <w:szCs w:val="22"/>
      <w:lang w:val="en-U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apple-tab-span">
    <w:name w:val="apple-tab-span"/>
    <w:basedOn w:val="DefaultParagraphFont"/>
    <w:rsid w:val="00F75643"/>
  </w:style>
  <w:style w:type="character" w:styleId="Emphasis">
    <w:name w:val="Emphasis"/>
    <w:basedOn w:val="DefaultParagraphFont"/>
    <w:uiPriority w:val="20"/>
    <w:qFormat/>
    <w:rsid w:val="00F75643"/>
    <w:rPr>
      <w:i/>
      <w:iCs/>
    </w:rPr>
  </w:style>
  <w:style w:type="character" w:customStyle="1" w:styleId="Mention1">
    <w:name w:val="Mention1"/>
    <w:basedOn w:val="DefaultParagraphFont"/>
    <w:uiPriority w:val="99"/>
    <w:semiHidden/>
    <w:unhideWhenUsed/>
    <w:rsid w:val="00F75643"/>
    <w:rPr>
      <w:color w:val="2B579A"/>
      <w:shd w:val="clear" w:color="auto" w:fill="E6E6E6"/>
    </w:rPr>
  </w:style>
  <w:style w:type="paragraph" w:styleId="Caption">
    <w:name w:val="caption"/>
    <w:basedOn w:val="Normal"/>
    <w:next w:val="Normal"/>
    <w:uiPriority w:val="35"/>
    <w:unhideWhenUsed/>
    <w:qFormat/>
    <w:rsid w:val="00DA1BAF"/>
    <w:pPr>
      <w:overflowPunct/>
      <w:autoSpaceDE/>
      <w:autoSpaceDN/>
      <w:adjustRightInd/>
      <w:spacing w:after="200"/>
      <w:jc w:val="left"/>
      <w:textAlignment w:val="auto"/>
    </w:pPr>
    <w:rPr>
      <w:rFonts w:eastAsiaTheme="minorHAnsi" w:cstheme="minorBidi"/>
      <w:b/>
      <w:bCs/>
      <w:sz w:val="20"/>
      <w:szCs w:val="18"/>
      <w:lang w:eastAsia="en-US"/>
    </w:rPr>
  </w:style>
  <w:style w:type="character" w:customStyle="1" w:styleId="CommentSubjectChar">
    <w:name w:val="Comment Subject Char"/>
    <w:basedOn w:val="CommentTextChar"/>
    <w:link w:val="CommentSubject"/>
    <w:uiPriority w:val="99"/>
    <w:semiHidden/>
    <w:rsid w:val="00F75643"/>
    <w:rPr>
      <w:rFonts w:ascii="Arial" w:hAnsi="Arial" w:cs="Arial"/>
      <w:b/>
      <w:bCs/>
      <w:sz w:val="20"/>
      <w:szCs w:val="20"/>
      <w:lang w:val="en-GB" w:eastAsia="fr-BE"/>
    </w:rPr>
  </w:style>
  <w:style w:type="paragraph" w:styleId="NoSpacing">
    <w:name w:val="No Spacing"/>
    <w:uiPriority w:val="1"/>
    <w:qFormat/>
    <w:rsid w:val="00F75643"/>
    <w:rPr>
      <w:rFonts w:asciiTheme="minorHAnsi" w:eastAsiaTheme="minorHAnsi" w:hAnsiTheme="minorHAnsi" w:cstheme="minorBidi"/>
      <w:sz w:val="22"/>
      <w:szCs w:val="22"/>
      <w:lang w:eastAsia="en-US"/>
    </w:rPr>
  </w:style>
  <w:style w:type="table" w:styleId="LightList-Accent3">
    <w:name w:val="Light List Accent 3"/>
    <w:basedOn w:val="TableNormal"/>
    <w:uiPriority w:val="61"/>
    <w:rsid w:val="00F75643"/>
    <w:rPr>
      <w:rFonts w:asciiTheme="minorHAnsi" w:eastAsiaTheme="minorHAnsi" w:hAnsiTheme="minorHAnsi" w:cstheme="minorBidi"/>
      <w:sz w:val="22"/>
      <w:szCs w:val="22"/>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ibliography">
    <w:name w:val="Bibliography"/>
    <w:basedOn w:val="Normal"/>
    <w:next w:val="Normal"/>
    <w:uiPriority w:val="37"/>
    <w:unhideWhenUsed/>
    <w:rsid w:val="00CC58B5"/>
    <w:pPr>
      <w:overflowPunct/>
      <w:autoSpaceDE/>
      <w:autoSpaceDN/>
      <w:adjustRightInd/>
      <w:spacing w:after="200" w:line="276" w:lineRule="auto"/>
      <w:jc w:val="left"/>
      <w:textAlignment w:val="auto"/>
    </w:pPr>
    <w:rPr>
      <w:rFonts w:asciiTheme="minorHAnsi" w:eastAsiaTheme="minorEastAsia" w:hAnsiTheme="minorHAnsi" w:cstheme="minorBidi"/>
      <w:szCs w:val="22"/>
      <w:lang w:eastAsia="bg-BG"/>
    </w:rPr>
  </w:style>
  <w:style w:type="table" w:styleId="MediumShading1-Accent3">
    <w:name w:val="Medium Shading 1 Accent 3"/>
    <w:basedOn w:val="TableNormal"/>
    <w:uiPriority w:val="63"/>
    <w:rsid w:val="00F43EB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7F53D2"/>
  </w:style>
  <w:style w:type="character" w:customStyle="1" w:styleId="FootnoteTextChar">
    <w:name w:val="Footnote Text Char"/>
    <w:basedOn w:val="DefaultParagraphFont"/>
    <w:link w:val="FootnoteText"/>
    <w:uiPriority w:val="99"/>
    <w:rsid w:val="007F53D2"/>
    <w:rPr>
      <w:rFonts w:ascii="Arial" w:hAnsi="Arial" w:cs="Arial"/>
      <w:lang w:eastAsia="fr-BE"/>
    </w:rPr>
  </w:style>
  <w:style w:type="character" w:styleId="FootnoteReference">
    <w:name w:val="footnote reference"/>
    <w:basedOn w:val="DefaultParagraphFont"/>
    <w:uiPriority w:val="99"/>
    <w:semiHidden/>
    <w:unhideWhenUsed/>
    <w:rsid w:val="007F53D2"/>
    <w:rPr>
      <w:vertAlign w:val="superscript"/>
    </w:rPr>
  </w:style>
  <w:style w:type="paragraph" w:styleId="EndnoteText">
    <w:name w:val="endnote text"/>
    <w:basedOn w:val="Normal"/>
    <w:link w:val="EndnoteTextChar"/>
    <w:uiPriority w:val="99"/>
    <w:semiHidden/>
    <w:unhideWhenUsed/>
    <w:rsid w:val="002F203E"/>
  </w:style>
  <w:style w:type="character" w:customStyle="1" w:styleId="EndnoteTextChar">
    <w:name w:val="Endnote Text Char"/>
    <w:basedOn w:val="DefaultParagraphFont"/>
    <w:link w:val="EndnoteText"/>
    <w:uiPriority w:val="99"/>
    <w:semiHidden/>
    <w:rsid w:val="002F203E"/>
    <w:rPr>
      <w:rFonts w:ascii="Arial" w:hAnsi="Arial" w:cs="Arial"/>
      <w:lang w:eastAsia="fr-BE"/>
    </w:rPr>
  </w:style>
  <w:style w:type="character" w:styleId="EndnoteReference">
    <w:name w:val="endnote reference"/>
    <w:basedOn w:val="DefaultParagraphFont"/>
    <w:uiPriority w:val="99"/>
    <w:semiHidden/>
    <w:unhideWhenUsed/>
    <w:rsid w:val="002F203E"/>
    <w:rPr>
      <w:vertAlign w:val="superscript"/>
    </w:rPr>
  </w:style>
  <w:style w:type="paragraph" w:styleId="Revision">
    <w:name w:val="Revision"/>
    <w:hidden/>
    <w:uiPriority w:val="99"/>
    <w:semiHidden/>
    <w:rsid w:val="00573E83"/>
    <w:rPr>
      <w:rFonts w:ascii="Arial" w:hAnsi="Arial" w:cs="Arial"/>
      <w:lang w:eastAsia="fr-BE"/>
    </w:rPr>
  </w:style>
  <w:style w:type="character" w:customStyle="1" w:styleId="st">
    <w:name w:val="st"/>
    <w:basedOn w:val="DefaultParagraphFont"/>
    <w:rsid w:val="00E84CDC"/>
  </w:style>
  <w:style w:type="character" w:customStyle="1" w:styleId="sr-only">
    <w:name w:val="sr-only"/>
    <w:basedOn w:val="DefaultParagraphFont"/>
    <w:rsid w:val="00A3264A"/>
  </w:style>
  <w:style w:type="character" w:customStyle="1" w:styleId="text">
    <w:name w:val="text"/>
    <w:basedOn w:val="DefaultParagraphFont"/>
    <w:rsid w:val="00A3264A"/>
  </w:style>
  <w:style w:type="character" w:customStyle="1" w:styleId="author-ref">
    <w:name w:val="author-ref"/>
    <w:basedOn w:val="DefaultParagraphFont"/>
    <w:rsid w:val="00A3264A"/>
  </w:style>
  <w:style w:type="numbering" w:customStyle="1" w:styleId="Alansheadings">
    <w:name w:val="Alan's headings"/>
    <w:uiPriority w:val="99"/>
    <w:rsid w:val="00581524"/>
    <w:pPr>
      <w:numPr>
        <w:numId w:val="1"/>
      </w:numPr>
    </w:pPr>
  </w:style>
  <w:style w:type="character" w:styleId="PlaceholderText">
    <w:name w:val="Placeholder Text"/>
    <w:basedOn w:val="DefaultParagraphFont"/>
    <w:uiPriority w:val="99"/>
    <w:semiHidden/>
    <w:rsid w:val="00F62590"/>
    <w:rPr>
      <w:color w:val="808080"/>
    </w:rPr>
  </w:style>
  <w:style w:type="paragraph" w:customStyle="1" w:styleId="authors">
    <w:name w:val="authors"/>
    <w:basedOn w:val="Normal"/>
    <w:rsid w:val="0030675C"/>
    <w:pPr>
      <w:overflowPunct/>
      <w:autoSpaceDE/>
      <w:autoSpaceDN/>
      <w:adjustRightInd/>
      <w:spacing w:after="240"/>
      <w:jc w:val="left"/>
      <w:textAlignment w:val="auto"/>
    </w:pPr>
    <w:rPr>
      <w:rFonts w:cs="Times New Roman"/>
      <w:sz w:val="24"/>
      <w:lang w:eastAsia="en-US"/>
    </w:rPr>
  </w:style>
  <w:style w:type="paragraph" w:customStyle="1" w:styleId="address">
    <w:name w:val="address"/>
    <w:basedOn w:val="Normal"/>
    <w:rsid w:val="0030675C"/>
    <w:pPr>
      <w:overflowPunct/>
      <w:autoSpaceDE/>
      <w:autoSpaceDN/>
      <w:adjustRightInd/>
      <w:jc w:val="left"/>
      <w:textAlignment w:val="auto"/>
    </w:pPr>
    <w:rPr>
      <w:rFonts w:cs="Times New Roman"/>
      <w:sz w:val="24"/>
      <w:lang w:eastAsia="en-US"/>
    </w:rPr>
  </w:style>
  <w:style w:type="paragraph" w:customStyle="1" w:styleId="Equation">
    <w:name w:val="Equation"/>
    <w:basedOn w:val="Normal"/>
    <w:link w:val="EquationChar"/>
    <w:qFormat/>
    <w:rsid w:val="006D447D"/>
    <w:pPr>
      <w:spacing w:before="120" w:after="0"/>
    </w:pPr>
    <w:rPr>
      <w:rFonts w:ascii="Cambria Math" w:hAnsi="Cambria Math"/>
      <w:i/>
    </w:rPr>
  </w:style>
  <w:style w:type="character" w:customStyle="1" w:styleId="EquationChar">
    <w:name w:val="Equation Char"/>
    <w:basedOn w:val="DefaultParagraphFont"/>
    <w:link w:val="Equation"/>
    <w:rsid w:val="006D447D"/>
    <w:rPr>
      <w:rFonts w:ascii="Cambria Math" w:hAnsi="Cambria Math" w:cs="Arial"/>
      <w:i/>
      <w:sz w:val="22"/>
      <w:lang w:eastAsia="fr-BE"/>
    </w:rPr>
  </w:style>
  <w:style w:type="character" w:customStyle="1" w:styleId="singlerow">
    <w:name w:val="singlerow"/>
    <w:basedOn w:val="DefaultParagraphFont"/>
    <w:rsid w:val="0064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0964">
      <w:bodyDiv w:val="1"/>
      <w:marLeft w:val="0"/>
      <w:marRight w:val="0"/>
      <w:marTop w:val="0"/>
      <w:marBottom w:val="0"/>
      <w:divBdr>
        <w:top w:val="none" w:sz="0" w:space="0" w:color="auto"/>
        <w:left w:val="none" w:sz="0" w:space="0" w:color="auto"/>
        <w:bottom w:val="none" w:sz="0" w:space="0" w:color="auto"/>
        <w:right w:val="none" w:sz="0" w:space="0" w:color="auto"/>
      </w:divBdr>
    </w:div>
    <w:div w:id="218326466">
      <w:bodyDiv w:val="1"/>
      <w:marLeft w:val="0"/>
      <w:marRight w:val="0"/>
      <w:marTop w:val="0"/>
      <w:marBottom w:val="0"/>
      <w:divBdr>
        <w:top w:val="none" w:sz="0" w:space="0" w:color="auto"/>
        <w:left w:val="none" w:sz="0" w:space="0" w:color="auto"/>
        <w:bottom w:val="none" w:sz="0" w:space="0" w:color="auto"/>
        <w:right w:val="none" w:sz="0" w:space="0" w:color="auto"/>
      </w:divBdr>
      <w:divsChild>
        <w:div w:id="230235067">
          <w:marLeft w:val="0"/>
          <w:marRight w:val="0"/>
          <w:marTop w:val="0"/>
          <w:marBottom w:val="0"/>
          <w:divBdr>
            <w:top w:val="none" w:sz="0" w:space="0" w:color="auto"/>
            <w:left w:val="none" w:sz="0" w:space="0" w:color="auto"/>
            <w:bottom w:val="none" w:sz="0" w:space="0" w:color="auto"/>
            <w:right w:val="none" w:sz="0" w:space="0" w:color="auto"/>
          </w:divBdr>
        </w:div>
        <w:div w:id="1493369632">
          <w:marLeft w:val="0"/>
          <w:marRight w:val="0"/>
          <w:marTop w:val="0"/>
          <w:marBottom w:val="0"/>
          <w:divBdr>
            <w:top w:val="none" w:sz="0" w:space="0" w:color="auto"/>
            <w:left w:val="none" w:sz="0" w:space="0" w:color="auto"/>
            <w:bottom w:val="none" w:sz="0" w:space="0" w:color="auto"/>
            <w:right w:val="none" w:sz="0" w:space="0" w:color="auto"/>
          </w:divBdr>
        </w:div>
        <w:div w:id="1707751252">
          <w:marLeft w:val="0"/>
          <w:marRight w:val="0"/>
          <w:marTop w:val="0"/>
          <w:marBottom w:val="0"/>
          <w:divBdr>
            <w:top w:val="none" w:sz="0" w:space="0" w:color="auto"/>
            <w:left w:val="none" w:sz="0" w:space="0" w:color="auto"/>
            <w:bottom w:val="none" w:sz="0" w:space="0" w:color="auto"/>
            <w:right w:val="none" w:sz="0" w:space="0" w:color="auto"/>
          </w:divBdr>
        </w:div>
        <w:div w:id="583148752">
          <w:marLeft w:val="0"/>
          <w:marRight w:val="0"/>
          <w:marTop w:val="0"/>
          <w:marBottom w:val="0"/>
          <w:divBdr>
            <w:top w:val="none" w:sz="0" w:space="0" w:color="auto"/>
            <w:left w:val="none" w:sz="0" w:space="0" w:color="auto"/>
            <w:bottom w:val="none" w:sz="0" w:space="0" w:color="auto"/>
            <w:right w:val="none" w:sz="0" w:space="0" w:color="auto"/>
          </w:divBdr>
        </w:div>
        <w:div w:id="1532764225">
          <w:marLeft w:val="0"/>
          <w:marRight w:val="0"/>
          <w:marTop w:val="0"/>
          <w:marBottom w:val="0"/>
          <w:divBdr>
            <w:top w:val="none" w:sz="0" w:space="0" w:color="auto"/>
            <w:left w:val="none" w:sz="0" w:space="0" w:color="auto"/>
            <w:bottom w:val="none" w:sz="0" w:space="0" w:color="auto"/>
            <w:right w:val="none" w:sz="0" w:space="0" w:color="auto"/>
          </w:divBdr>
        </w:div>
        <w:div w:id="1659529424">
          <w:marLeft w:val="0"/>
          <w:marRight w:val="0"/>
          <w:marTop w:val="0"/>
          <w:marBottom w:val="0"/>
          <w:divBdr>
            <w:top w:val="none" w:sz="0" w:space="0" w:color="auto"/>
            <w:left w:val="none" w:sz="0" w:space="0" w:color="auto"/>
            <w:bottom w:val="none" w:sz="0" w:space="0" w:color="auto"/>
            <w:right w:val="none" w:sz="0" w:space="0" w:color="auto"/>
          </w:divBdr>
        </w:div>
        <w:div w:id="657735428">
          <w:marLeft w:val="0"/>
          <w:marRight w:val="0"/>
          <w:marTop w:val="0"/>
          <w:marBottom w:val="0"/>
          <w:divBdr>
            <w:top w:val="none" w:sz="0" w:space="0" w:color="auto"/>
            <w:left w:val="none" w:sz="0" w:space="0" w:color="auto"/>
            <w:bottom w:val="none" w:sz="0" w:space="0" w:color="auto"/>
            <w:right w:val="none" w:sz="0" w:space="0" w:color="auto"/>
          </w:divBdr>
        </w:div>
        <w:div w:id="651368537">
          <w:marLeft w:val="0"/>
          <w:marRight w:val="0"/>
          <w:marTop w:val="0"/>
          <w:marBottom w:val="0"/>
          <w:divBdr>
            <w:top w:val="none" w:sz="0" w:space="0" w:color="auto"/>
            <w:left w:val="none" w:sz="0" w:space="0" w:color="auto"/>
            <w:bottom w:val="none" w:sz="0" w:space="0" w:color="auto"/>
            <w:right w:val="none" w:sz="0" w:space="0" w:color="auto"/>
          </w:divBdr>
        </w:div>
      </w:divsChild>
    </w:div>
    <w:div w:id="268899086">
      <w:bodyDiv w:val="1"/>
      <w:marLeft w:val="0"/>
      <w:marRight w:val="0"/>
      <w:marTop w:val="0"/>
      <w:marBottom w:val="0"/>
      <w:divBdr>
        <w:top w:val="none" w:sz="0" w:space="0" w:color="auto"/>
        <w:left w:val="none" w:sz="0" w:space="0" w:color="auto"/>
        <w:bottom w:val="none" w:sz="0" w:space="0" w:color="auto"/>
        <w:right w:val="none" w:sz="0" w:space="0" w:color="auto"/>
      </w:divBdr>
    </w:div>
    <w:div w:id="288751810">
      <w:bodyDiv w:val="1"/>
      <w:marLeft w:val="0"/>
      <w:marRight w:val="0"/>
      <w:marTop w:val="0"/>
      <w:marBottom w:val="0"/>
      <w:divBdr>
        <w:top w:val="none" w:sz="0" w:space="0" w:color="auto"/>
        <w:left w:val="none" w:sz="0" w:space="0" w:color="auto"/>
        <w:bottom w:val="none" w:sz="0" w:space="0" w:color="auto"/>
        <w:right w:val="none" w:sz="0" w:space="0" w:color="auto"/>
      </w:divBdr>
      <w:divsChild>
        <w:div w:id="1585066264">
          <w:marLeft w:val="0"/>
          <w:marRight w:val="0"/>
          <w:marTop w:val="0"/>
          <w:marBottom w:val="0"/>
          <w:divBdr>
            <w:top w:val="none" w:sz="0" w:space="0" w:color="auto"/>
            <w:left w:val="none" w:sz="0" w:space="0" w:color="auto"/>
            <w:bottom w:val="none" w:sz="0" w:space="0" w:color="auto"/>
            <w:right w:val="none" w:sz="0" w:space="0" w:color="auto"/>
          </w:divBdr>
        </w:div>
        <w:div w:id="1849634561">
          <w:marLeft w:val="0"/>
          <w:marRight w:val="0"/>
          <w:marTop w:val="0"/>
          <w:marBottom w:val="0"/>
          <w:divBdr>
            <w:top w:val="none" w:sz="0" w:space="0" w:color="auto"/>
            <w:left w:val="none" w:sz="0" w:space="0" w:color="auto"/>
            <w:bottom w:val="none" w:sz="0" w:space="0" w:color="auto"/>
            <w:right w:val="none" w:sz="0" w:space="0" w:color="auto"/>
          </w:divBdr>
        </w:div>
        <w:div w:id="1258563428">
          <w:marLeft w:val="0"/>
          <w:marRight w:val="0"/>
          <w:marTop w:val="0"/>
          <w:marBottom w:val="0"/>
          <w:divBdr>
            <w:top w:val="none" w:sz="0" w:space="0" w:color="auto"/>
            <w:left w:val="none" w:sz="0" w:space="0" w:color="auto"/>
            <w:bottom w:val="none" w:sz="0" w:space="0" w:color="auto"/>
            <w:right w:val="none" w:sz="0" w:space="0" w:color="auto"/>
          </w:divBdr>
        </w:div>
        <w:div w:id="1289429100">
          <w:marLeft w:val="0"/>
          <w:marRight w:val="0"/>
          <w:marTop w:val="0"/>
          <w:marBottom w:val="0"/>
          <w:divBdr>
            <w:top w:val="none" w:sz="0" w:space="0" w:color="auto"/>
            <w:left w:val="none" w:sz="0" w:space="0" w:color="auto"/>
            <w:bottom w:val="none" w:sz="0" w:space="0" w:color="auto"/>
            <w:right w:val="none" w:sz="0" w:space="0" w:color="auto"/>
          </w:divBdr>
        </w:div>
        <w:div w:id="1411199931">
          <w:marLeft w:val="0"/>
          <w:marRight w:val="0"/>
          <w:marTop w:val="0"/>
          <w:marBottom w:val="0"/>
          <w:divBdr>
            <w:top w:val="none" w:sz="0" w:space="0" w:color="auto"/>
            <w:left w:val="none" w:sz="0" w:space="0" w:color="auto"/>
            <w:bottom w:val="none" w:sz="0" w:space="0" w:color="auto"/>
            <w:right w:val="none" w:sz="0" w:space="0" w:color="auto"/>
          </w:divBdr>
        </w:div>
      </w:divsChild>
    </w:div>
    <w:div w:id="289438369">
      <w:bodyDiv w:val="1"/>
      <w:marLeft w:val="0"/>
      <w:marRight w:val="0"/>
      <w:marTop w:val="0"/>
      <w:marBottom w:val="0"/>
      <w:divBdr>
        <w:top w:val="none" w:sz="0" w:space="0" w:color="auto"/>
        <w:left w:val="none" w:sz="0" w:space="0" w:color="auto"/>
        <w:bottom w:val="none" w:sz="0" w:space="0" w:color="auto"/>
        <w:right w:val="none" w:sz="0" w:space="0" w:color="auto"/>
      </w:divBdr>
      <w:divsChild>
        <w:div w:id="481971817">
          <w:marLeft w:val="0"/>
          <w:marRight w:val="0"/>
          <w:marTop w:val="0"/>
          <w:marBottom w:val="0"/>
          <w:divBdr>
            <w:top w:val="none" w:sz="0" w:space="0" w:color="auto"/>
            <w:left w:val="none" w:sz="0" w:space="0" w:color="auto"/>
            <w:bottom w:val="none" w:sz="0" w:space="0" w:color="auto"/>
            <w:right w:val="none" w:sz="0" w:space="0" w:color="auto"/>
          </w:divBdr>
        </w:div>
        <w:div w:id="1710759932">
          <w:marLeft w:val="0"/>
          <w:marRight w:val="0"/>
          <w:marTop w:val="0"/>
          <w:marBottom w:val="0"/>
          <w:divBdr>
            <w:top w:val="none" w:sz="0" w:space="0" w:color="auto"/>
            <w:left w:val="none" w:sz="0" w:space="0" w:color="auto"/>
            <w:bottom w:val="none" w:sz="0" w:space="0" w:color="auto"/>
            <w:right w:val="none" w:sz="0" w:space="0" w:color="auto"/>
          </w:divBdr>
          <w:divsChild>
            <w:div w:id="418529734">
              <w:marLeft w:val="0"/>
              <w:marRight w:val="0"/>
              <w:marTop w:val="0"/>
              <w:marBottom w:val="0"/>
              <w:divBdr>
                <w:top w:val="none" w:sz="0" w:space="0" w:color="auto"/>
                <w:left w:val="none" w:sz="0" w:space="0" w:color="auto"/>
                <w:bottom w:val="none" w:sz="0" w:space="0" w:color="auto"/>
                <w:right w:val="none" w:sz="0" w:space="0" w:color="auto"/>
              </w:divBdr>
              <w:divsChild>
                <w:div w:id="1383795897">
                  <w:marLeft w:val="0"/>
                  <w:marRight w:val="0"/>
                  <w:marTop w:val="0"/>
                  <w:marBottom w:val="0"/>
                  <w:divBdr>
                    <w:top w:val="none" w:sz="0" w:space="0" w:color="auto"/>
                    <w:left w:val="none" w:sz="0" w:space="0" w:color="auto"/>
                    <w:bottom w:val="none" w:sz="0" w:space="0" w:color="auto"/>
                    <w:right w:val="none" w:sz="0" w:space="0" w:color="auto"/>
                  </w:divBdr>
                  <w:divsChild>
                    <w:div w:id="5524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9040">
      <w:bodyDiv w:val="1"/>
      <w:marLeft w:val="0"/>
      <w:marRight w:val="0"/>
      <w:marTop w:val="0"/>
      <w:marBottom w:val="0"/>
      <w:divBdr>
        <w:top w:val="none" w:sz="0" w:space="0" w:color="auto"/>
        <w:left w:val="none" w:sz="0" w:space="0" w:color="auto"/>
        <w:bottom w:val="none" w:sz="0" w:space="0" w:color="auto"/>
        <w:right w:val="none" w:sz="0" w:space="0" w:color="auto"/>
      </w:divBdr>
    </w:div>
    <w:div w:id="355272757">
      <w:bodyDiv w:val="1"/>
      <w:marLeft w:val="0"/>
      <w:marRight w:val="0"/>
      <w:marTop w:val="0"/>
      <w:marBottom w:val="0"/>
      <w:divBdr>
        <w:top w:val="none" w:sz="0" w:space="0" w:color="auto"/>
        <w:left w:val="none" w:sz="0" w:space="0" w:color="auto"/>
        <w:bottom w:val="none" w:sz="0" w:space="0" w:color="auto"/>
        <w:right w:val="none" w:sz="0" w:space="0" w:color="auto"/>
      </w:divBdr>
    </w:div>
    <w:div w:id="496113434">
      <w:bodyDiv w:val="1"/>
      <w:marLeft w:val="0"/>
      <w:marRight w:val="0"/>
      <w:marTop w:val="0"/>
      <w:marBottom w:val="0"/>
      <w:divBdr>
        <w:top w:val="none" w:sz="0" w:space="0" w:color="auto"/>
        <w:left w:val="none" w:sz="0" w:space="0" w:color="auto"/>
        <w:bottom w:val="none" w:sz="0" w:space="0" w:color="auto"/>
        <w:right w:val="none" w:sz="0" w:space="0" w:color="auto"/>
      </w:divBdr>
      <w:divsChild>
        <w:div w:id="1372607757">
          <w:marLeft w:val="0"/>
          <w:marRight w:val="0"/>
          <w:marTop w:val="0"/>
          <w:marBottom w:val="0"/>
          <w:divBdr>
            <w:top w:val="none" w:sz="0" w:space="0" w:color="auto"/>
            <w:left w:val="none" w:sz="0" w:space="0" w:color="auto"/>
            <w:bottom w:val="none" w:sz="0" w:space="0" w:color="auto"/>
            <w:right w:val="none" w:sz="0" w:space="0" w:color="auto"/>
          </w:divBdr>
        </w:div>
        <w:div w:id="80176459">
          <w:marLeft w:val="0"/>
          <w:marRight w:val="0"/>
          <w:marTop w:val="0"/>
          <w:marBottom w:val="0"/>
          <w:divBdr>
            <w:top w:val="none" w:sz="0" w:space="0" w:color="auto"/>
            <w:left w:val="none" w:sz="0" w:space="0" w:color="auto"/>
            <w:bottom w:val="none" w:sz="0" w:space="0" w:color="auto"/>
            <w:right w:val="none" w:sz="0" w:space="0" w:color="auto"/>
          </w:divBdr>
        </w:div>
      </w:divsChild>
    </w:div>
    <w:div w:id="692145545">
      <w:bodyDiv w:val="1"/>
      <w:marLeft w:val="0"/>
      <w:marRight w:val="0"/>
      <w:marTop w:val="0"/>
      <w:marBottom w:val="0"/>
      <w:divBdr>
        <w:top w:val="none" w:sz="0" w:space="0" w:color="auto"/>
        <w:left w:val="none" w:sz="0" w:space="0" w:color="auto"/>
        <w:bottom w:val="none" w:sz="0" w:space="0" w:color="auto"/>
        <w:right w:val="none" w:sz="0" w:space="0" w:color="auto"/>
      </w:divBdr>
      <w:divsChild>
        <w:div w:id="1258367977">
          <w:marLeft w:val="0"/>
          <w:marRight w:val="0"/>
          <w:marTop w:val="0"/>
          <w:marBottom w:val="0"/>
          <w:divBdr>
            <w:top w:val="none" w:sz="0" w:space="0" w:color="auto"/>
            <w:left w:val="none" w:sz="0" w:space="0" w:color="auto"/>
            <w:bottom w:val="none" w:sz="0" w:space="0" w:color="auto"/>
            <w:right w:val="none" w:sz="0" w:space="0" w:color="auto"/>
          </w:divBdr>
        </w:div>
        <w:div w:id="213934715">
          <w:marLeft w:val="0"/>
          <w:marRight w:val="0"/>
          <w:marTop w:val="0"/>
          <w:marBottom w:val="0"/>
          <w:divBdr>
            <w:top w:val="none" w:sz="0" w:space="0" w:color="auto"/>
            <w:left w:val="none" w:sz="0" w:space="0" w:color="auto"/>
            <w:bottom w:val="none" w:sz="0" w:space="0" w:color="auto"/>
            <w:right w:val="none" w:sz="0" w:space="0" w:color="auto"/>
          </w:divBdr>
        </w:div>
      </w:divsChild>
    </w:div>
    <w:div w:id="712004530">
      <w:bodyDiv w:val="1"/>
      <w:marLeft w:val="0"/>
      <w:marRight w:val="0"/>
      <w:marTop w:val="0"/>
      <w:marBottom w:val="0"/>
      <w:divBdr>
        <w:top w:val="none" w:sz="0" w:space="0" w:color="auto"/>
        <w:left w:val="none" w:sz="0" w:space="0" w:color="auto"/>
        <w:bottom w:val="none" w:sz="0" w:space="0" w:color="auto"/>
        <w:right w:val="none" w:sz="0" w:space="0" w:color="auto"/>
      </w:divBdr>
    </w:div>
    <w:div w:id="728919939">
      <w:bodyDiv w:val="1"/>
      <w:marLeft w:val="0"/>
      <w:marRight w:val="0"/>
      <w:marTop w:val="0"/>
      <w:marBottom w:val="0"/>
      <w:divBdr>
        <w:top w:val="none" w:sz="0" w:space="0" w:color="auto"/>
        <w:left w:val="none" w:sz="0" w:space="0" w:color="auto"/>
        <w:bottom w:val="none" w:sz="0" w:space="0" w:color="auto"/>
        <w:right w:val="none" w:sz="0" w:space="0" w:color="auto"/>
      </w:divBdr>
      <w:divsChild>
        <w:div w:id="405567659">
          <w:marLeft w:val="0"/>
          <w:marRight w:val="0"/>
          <w:marTop w:val="0"/>
          <w:marBottom w:val="0"/>
          <w:divBdr>
            <w:top w:val="none" w:sz="0" w:space="0" w:color="auto"/>
            <w:left w:val="none" w:sz="0" w:space="0" w:color="auto"/>
            <w:bottom w:val="none" w:sz="0" w:space="0" w:color="auto"/>
            <w:right w:val="none" w:sz="0" w:space="0" w:color="auto"/>
          </w:divBdr>
        </w:div>
        <w:div w:id="405961918">
          <w:marLeft w:val="0"/>
          <w:marRight w:val="0"/>
          <w:marTop w:val="0"/>
          <w:marBottom w:val="0"/>
          <w:divBdr>
            <w:top w:val="none" w:sz="0" w:space="0" w:color="auto"/>
            <w:left w:val="none" w:sz="0" w:space="0" w:color="auto"/>
            <w:bottom w:val="none" w:sz="0" w:space="0" w:color="auto"/>
            <w:right w:val="none" w:sz="0" w:space="0" w:color="auto"/>
          </w:divBdr>
          <w:divsChild>
            <w:div w:id="1645741557">
              <w:marLeft w:val="0"/>
              <w:marRight w:val="0"/>
              <w:marTop w:val="0"/>
              <w:marBottom w:val="0"/>
              <w:divBdr>
                <w:top w:val="none" w:sz="0" w:space="0" w:color="auto"/>
                <w:left w:val="none" w:sz="0" w:space="0" w:color="auto"/>
                <w:bottom w:val="none" w:sz="0" w:space="0" w:color="auto"/>
                <w:right w:val="none" w:sz="0" w:space="0" w:color="auto"/>
              </w:divBdr>
              <w:divsChild>
                <w:div w:id="714355251">
                  <w:marLeft w:val="0"/>
                  <w:marRight w:val="0"/>
                  <w:marTop w:val="0"/>
                  <w:marBottom w:val="0"/>
                  <w:divBdr>
                    <w:top w:val="none" w:sz="0" w:space="0" w:color="auto"/>
                    <w:left w:val="none" w:sz="0" w:space="0" w:color="auto"/>
                    <w:bottom w:val="none" w:sz="0" w:space="0" w:color="auto"/>
                    <w:right w:val="none" w:sz="0" w:space="0" w:color="auto"/>
                  </w:divBdr>
                  <w:divsChild>
                    <w:div w:id="17493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37476">
      <w:bodyDiv w:val="1"/>
      <w:marLeft w:val="0"/>
      <w:marRight w:val="0"/>
      <w:marTop w:val="0"/>
      <w:marBottom w:val="0"/>
      <w:divBdr>
        <w:top w:val="none" w:sz="0" w:space="0" w:color="auto"/>
        <w:left w:val="none" w:sz="0" w:space="0" w:color="auto"/>
        <w:bottom w:val="none" w:sz="0" w:space="0" w:color="auto"/>
        <w:right w:val="none" w:sz="0" w:space="0" w:color="auto"/>
      </w:divBdr>
      <w:divsChild>
        <w:div w:id="707338981">
          <w:marLeft w:val="0"/>
          <w:marRight w:val="0"/>
          <w:marTop w:val="0"/>
          <w:marBottom w:val="0"/>
          <w:divBdr>
            <w:top w:val="none" w:sz="0" w:space="0" w:color="auto"/>
            <w:left w:val="none" w:sz="0" w:space="0" w:color="auto"/>
            <w:bottom w:val="none" w:sz="0" w:space="0" w:color="auto"/>
            <w:right w:val="none" w:sz="0" w:space="0" w:color="auto"/>
          </w:divBdr>
        </w:div>
        <w:div w:id="933635651">
          <w:marLeft w:val="0"/>
          <w:marRight w:val="0"/>
          <w:marTop w:val="0"/>
          <w:marBottom w:val="0"/>
          <w:divBdr>
            <w:top w:val="none" w:sz="0" w:space="0" w:color="auto"/>
            <w:left w:val="none" w:sz="0" w:space="0" w:color="auto"/>
            <w:bottom w:val="none" w:sz="0" w:space="0" w:color="auto"/>
            <w:right w:val="none" w:sz="0" w:space="0" w:color="auto"/>
          </w:divBdr>
        </w:div>
        <w:div w:id="2033067149">
          <w:marLeft w:val="0"/>
          <w:marRight w:val="0"/>
          <w:marTop w:val="0"/>
          <w:marBottom w:val="0"/>
          <w:divBdr>
            <w:top w:val="none" w:sz="0" w:space="0" w:color="auto"/>
            <w:left w:val="none" w:sz="0" w:space="0" w:color="auto"/>
            <w:bottom w:val="none" w:sz="0" w:space="0" w:color="auto"/>
            <w:right w:val="none" w:sz="0" w:space="0" w:color="auto"/>
          </w:divBdr>
        </w:div>
      </w:divsChild>
    </w:div>
    <w:div w:id="1164007722">
      <w:bodyDiv w:val="1"/>
      <w:marLeft w:val="0"/>
      <w:marRight w:val="0"/>
      <w:marTop w:val="0"/>
      <w:marBottom w:val="0"/>
      <w:divBdr>
        <w:top w:val="none" w:sz="0" w:space="0" w:color="auto"/>
        <w:left w:val="none" w:sz="0" w:space="0" w:color="auto"/>
        <w:bottom w:val="none" w:sz="0" w:space="0" w:color="auto"/>
        <w:right w:val="none" w:sz="0" w:space="0" w:color="auto"/>
      </w:divBdr>
    </w:div>
    <w:div w:id="1216503349">
      <w:bodyDiv w:val="1"/>
      <w:marLeft w:val="0"/>
      <w:marRight w:val="0"/>
      <w:marTop w:val="0"/>
      <w:marBottom w:val="0"/>
      <w:divBdr>
        <w:top w:val="none" w:sz="0" w:space="0" w:color="auto"/>
        <w:left w:val="none" w:sz="0" w:space="0" w:color="auto"/>
        <w:bottom w:val="none" w:sz="0" w:space="0" w:color="auto"/>
        <w:right w:val="none" w:sz="0" w:space="0" w:color="auto"/>
      </w:divBdr>
    </w:div>
    <w:div w:id="1303077047">
      <w:bodyDiv w:val="1"/>
      <w:marLeft w:val="0"/>
      <w:marRight w:val="0"/>
      <w:marTop w:val="0"/>
      <w:marBottom w:val="0"/>
      <w:divBdr>
        <w:top w:val="none" w:sz="0" w:space="0" w:color="auto"/>
        <w:left w:val="none" w:sz="0" w:space="0" w:color="auto"/>
        <w:bottom w:val="none" w:sz="0" w:space="0" w:color="auto"/>
        <w:right w:val="none" w:sz="0" w:space="0" w:color="auto"/>
      </w:divBdr>
      <w:divsChild>
        <w:div w:id="325592523">
          <w:marLeft w:val="0"/>
          <w:marRight w:val="0"/>
          <w:marTop w:val="0"/>
          <w:marBottom w:val="0"/>
          <w:divBdr>
            <w:top w:val="none" w:sz="0" w:space="0" w:color="auto"/>
            <w:left w:val="none" w:sz="0" w:space="0" w:color="auto"/>
            <w:bottom w:val="none" w:sz="0" w:space="0" w:color="auto"/>
            <w:right w:val="none" w:sz="0" w:space="0" w:color="auto"/>
          </w:divBdr>
        </w:div>
        <w:div w:id="1582133600">
          <w:marLeft w:val="0"/>
          <w:marRight w:val="0"/>
          <w:marTop w:val="0"/>
          <w:marBottom w:val="0"/>
          <w:divBdr>
            <w:top w:val="none" w:sz="0" w:space="0" w:color="auto"/>
            <w:left w:val="none" w:sz="0" w:space="0" w:color="auto"/>
            <w:bottom w:val="none" w:sz="0" w:space="0" w:color="auto"/>
            <w:right w:val="none" w:sz="0" w:space="0" w:color="auto"/>
          </w:divBdr>
          <w:divsChild>
            <w:div w:id="1940481053">
              <w:marLeft w:val="0"/>
              <w:marRight w:val="0"/>
              <w:marTop w:val="0"/>
              <w:marBottom w:val="0"/>
              <w:divBdr>
                <w:top w:val="none" w:sz="0" w:space="0" w:color="auto"/>
                <w:left w:val="none" w:sz="0" w:space="0" w:color="auto"/>
                <w:bottom w:val="none" w:sz="0" w:space="0" w:color="auto"/>
                <w:right w:val="none" w:sz="0" w:space="0" w:color="auto"/>
              </w:divBdr>
            </w:div>
          </w:divsChild>
        </w:div>
        <w:div w:id="327833505">
          <w:marLeft w:val="0"/>
          <w:marRight w:val="0"/>
          <w:marTop w:val="0"/>
          <w:marBottom w:val="0"/>
          <w:divBdr>
            <w:top w:val="none" w:sz="0" w:space="0" w:color="auto"/>
            <w:left w:val="none" w:sz="0" w:space="0" w:color="auto"/>
            <w:bottom w:val="none" w:sz="0" w:space="0" w:color="auto"/>
            <w:right w:val="none" w:sz="0" w:space="0" w:color="auto"/>
          </w:divBdr>
        </w:div>
      </w:divsChild>
    </w:div>
    <w:div w:id="1318799722">
      <w:bodyDiv w:val="1"/>
      <w:marLeft w:val="0"/>
      <w:marRight w:val="0"/>
      <w:marTop w:val="0"/>
      <w:marBottom w:val="0"/>
      <w:divBdr>
        <w:top w:val="none" w:sz="0" w:space="0" w:color="auto"/>
        <w:left w:val="none" w:sz="0" w:space="0" w:color="auto"/>
        <w:bottom w:val="none" w:sz="0" w:space="0" w:color="auto"/>
        <w:right w:val="none" w:sz="0" w:space="0" w:color="auto"/>
      </w:divBdr>
    </w:div>
    <w:div w:id="1411587019">
      <w:bodyDiv w:val="1"/>
      <w:marLeft w:val="0"/>
      <w:marRight w:val="0"/>
      <w:marTop w:val="0"/>
      <w:marBottom w:val="0"/>
      <w:divBdr>
        <w:top w:val="none" w:sz="0" w:space="0" w:color="auto"/>
        <w:left w:val="none" w:sz="0" w:space="0" w:color="auto"/>
        <w:bottom w:val="none" w:sz="0" w:space="0" w:color="auto"/>
        <w:right w:val="none" w:sz="0" w:space="0" w:color="auto"/>
      </w:divBdr>
      <w:divsChild>
        <w:div w:id="908266833">
          <w:marLeft w:val="1800"/>
          <w:marRight w:val="0"/>
          <w:marTop w:val="115"/>
          <w:marBottom w:val="0"/>
          <w:divBdr>
            <w:top w:val="none" w:sz="0" w:space="0" w:color="auto"/>
            <w:left w:val="none" w:sz="0" w:space="0" w:color="auto"/>
            <w:bottom w:val="none" w:sz="0" w:space="0" w:color="auto"/>
            <w:right w:val="none" w:sz="0" w:space="0" w:color="auto"/>
          </w:divBdr>
        </w:div>
        <w:div w:id="1303464927">
          <w:marLeft w:val="1800"/>
          <w:marRight w:val="0"/>
          <w:marTop w:val="115"/>
          <w:marBottom w:val="0"/>
          <w:divBdr>
            <w:top w:val="none" w:sz="0" w:space="0" w:color="auto"/>
            <w:left w:val="none" w:sz="0" w:space="0" w:color="auto"/>
            <w:bottom w:val="none" w:sz="0" w:space="0" w:color="auto"/>
            <w:right w:val="none" w:sz="0" w:space="0" w:color="auto"/>
          </w:divBdr>
        </w:div>
        <w:div w:id="2056661988">
          <w:marLeft w:val="1800"/>
          <w:marRight w:val="0"/>
          <w:marTop w:val="115"/>
          <w:marBottom w:val="0"/>
          <w:divBdr>
            <w:top w:val="none" w:sz="0" w:space="0" w:color="auto"/>
            <w:left w:val="none" w:sz="0" w:space="0" w:color="auto"/>
            <w:bottom w:val="none" w:sz="0" w:space="0" w:color="auto"/>
            <w:right w:val="none" w:sz="0" w:space="0" w:color="auto"/>
          </w:divBdr>
        </w:div>
      </w:divsChild>
    </w:div>
    <w:div w:id="1528131278">
      <w:bodyDiv w:val="1"/>
      <w:marLeft w:val="0"/>
      <w:marRight w:val="0"/>
      <w:marTop w:val="0"/>
      <w:marBottom w:val="0"/>
      <w:divBdr>
        <w:top w:val="none" w:sz="0" w:space="0" w:color="auto"/>
        <w:left w:val="none" w:sz="0" w:space="0" w:color="auto"/>
        <w:bottom w:val="none" w:sz="0" w:space="0" w:color="auto"/>
        <w:right w:val="none" w:sz="0" w:space="0" w:color="auto"/>
      </w:divBdr>
      <w:divsChild>
        <w:div w:id="277882532">
          <w:marLeft w:val="0"/>
          <w:marRight w:val="0"/>
          <w:marTop w:val="0"/>
          <w:marBottom w:val="0"/>
          <w:divBdr>
            <w:top w:val="none" w:sz="0" w:space="0" w:color="auto"/>
            <w:left w:val="none" w:sz="0" w:space="0" w:color="auto"/>
            <w:bottom w:val="none" w:sz="0" w:space="0" w:color="auto"/>
            <w:right w:val="none" w:sz="0" w:space="0" w:color="auto"/>
          </w:divBdr>
        </w:div>
        <w:div w:id="1681158581">
          <w:marLeft w:val="0"/>
          <w:marRight w:val="0"/>
          <w:marTop w:val="0"/>
          <w:marBottom w:val="0"/>
          <w:divBdr>
            <w:top w:val="none" w:sz="0" w:space="0" w:color="auto"/>
            <w:left w:val="none" w:sz="0" w:space="0" w:color="auto"/>
            <w:bottom w:val="none" w:sz="0" w:space="0" w:color="auto"/>
            <w:right w:val="none" w:sz="0" w:space="0" w:color="auto"/>
          </w:divBdr>
        </w:div>
      </w:divsChild>
    </w:div>
    <w:div w:id="1560435748">
      <w:bodyDiv w:val="1"/>
      <w:marLeft w:val="0"/>
      <w:marRight w:val="0"/>
      <w:marTop w:val="0"/>
      <w:marBottom w:val="0"/>
      <w:divBdr>
        <w:top w:val="none" w:sz="0" w:space="0" w:color="auto"/>
        <w:left w:val="none" w:sz="0" w:space="0" w:color="auto"/>
        <w:bottom w:val="none" w:sz="0" w:space="0" w:color="auto"/>
        <w:right w:val="none" w:sz="0" w:space="0" w:color="auto"/>
      </w:divBdr>
      <w:divsChild>
        <w:div w:id="1900676753">
          <w:marLeft w:val="0"/>
          <w:marRight w:val="0"/>
          <w:marTop w:val="0"/>
          <w:marBottom w:val="0"/>
          <w:divBdr>
            <w:top w:val="none" w:sz="0" w:space="0" w:color="auto"/>
            <w:left w:val="none" w:sz="0" w:space="0" w:color="auto"/>
            <w:bottom w:val="none" w:sz="0" w:space="0" w:color="auto"/>
            <w:right w:val="none" w:sz="0" w:space="0" w:color="auto"/>
          </w:divBdr>
        </w:div>
        <w:div w:id="1743407462">
          <w:marLeft w:val="0"/>
          <w:marRight w:val="0"/>
          <w:marTop w:val="0"/>
          <w:marBottom w:val="0"/>
          <w:divBdr>
            <w:top w:val="none" w:sz="0" w:space="0" w:color="auto"/>
            <w:left w:val="none" w:sz="0" w:space="0" w:color="auto"/>
            <w:bottom w:val="none" w:sz="0" w:space="0" w:color="auto"/>
            <w:right w:val="none" w:sz="0" w:space="0" w:color="auto"/>
          </w:divBdr>
        </w:div>
      </w:divsChild>
    </w:div>
    <w:div w:id="1627469344">
      <w:bodyDiv w:val="1"/>
      <w:marLeft w:val="0"/>
      <w:marRight w:val="0"/>
      <w:marTop w:val="0"/>
      <w:marBottom w:val="0"/>
      <w:divBdr>
        <w:top w:val="none" w:sz="0" w:space="0" w:color="auto"/>
        <w:left w:val="none" w:sz="0" w:space="0" w:color="auto"/>
        <w:bottom w:val="none" w:sz="0" w:space="0" w:color="auto"/>
        <w:right w:val="none" w:sz="0" w:space="0" w:color="auto"/>
      </w:divBdr>
      <w:divsChild>
        <w:div w:id="585068965">
          <w:marLeft w:val="0"/>
          <w:marRight w:val="0"/>
          <w:marTop w:val="0"/>
          <w:marBottom w:val="0"/>
          <w:divBdr>
            <w:top w:val="none" w:sz="0" w:space="0" w:color="auto"/>
            <w:left w:val="none" w:sz="0" w:space="0" w:color="auto"/>
            <w:bottom w:val="none" w:sz="0" w:space="0" w:color="auto"/>
            <w:right w:val="none" w:sz="0" w:space="0" w:color="auto"/>
          </w:divBdr>
        </w:div>
      </w:divsChild>
    </w:div>
    <w:div w:id="1651207436">
      <w:bodyDiv w:val="1"/>
      <w:marLeft w:val="0"/>
      <w:marRight w:val="0"/>
      <w:marTop w:val="0"/>
      <w:marBottom w:val="0"/>
      <w:divBdr>
        <w:top w:val="none" w:sz="0" w:space="0" w:color="auto"/>
        <w:left w:val="none" w:sz="0" w:space="0" w:color="auto"/>
        <w:bottom w:val="none" w:sz="0" w:space="0" w:color="auto"/>
        <w:right w:val="none" w:sz="0" w:space="0" w:color="auto"/>
      </w:divBdr>
      <w:divsChild>
        <w:div w:id="1948997453">
          <w:marLeft w:val="0"/>
          <w:marRight w:val="0"/>
          <w:marTop w:val="0"/>
          <w:marBottom w:val="0"/>
          <w:divBdr>
            <w:top w:val="none" w:sz="0" w:space="0" w:color="auto"/>
            <w:left w:val="none" w:sz="0" w:space="0" w:color="auto"/>
            <w:bottom w:val="none" w:sz="0" w:space="0" w:color="auto"/>
            <w:right w:val="none" w:sz="0" w:space="0" w:color="auto"/>
          </w:divBdr>
        </w:div>
        <w:div w:id="1528787993">
          <w:marLeft w:val="0"/>
          <w:marRight w:val="0"/>
          <w:marTop w:val="0"/>
          <w:marBottom w:val="0"/>
          <w:divBdr>
            <w:top w:val="none" w:sz="0" w:space="0" w:color="auto"/>
            <w:left w:val="none" w:sz="0" w:space="0" w:color="auto"/>
            <w:bottom w:val="none" w:sz="0" w:space="0" w:color="auto"/>
            <w:right w:val="none" w:sz="0" w:space="0" w:color="auto"/>
          </w:divBdr>
          <w:divsChild>
            <w:div w:id="1316491741">
              <w:marLeft w:val="0"/>
              <w:marRight w:val="0"/>
              <w:marTop w:val="0"/>
              <w:marBottom w:val="0"/>
              <w:divBdr>
                <w:top w:val="none" w:sz="0" w:space="0" w:color="auto"/>
                <w:left w:val="none" w:sz="0" w:space="0" w:color="auto"/>
                <w:bottom w:val="none" w:sz="0" w:space="0" w:color="auto"/>
                <w:right w:val="none" w:sz="0" w:space="0" w:color="auto"/>
              </w:divBdr>
            </w:div>
          </w:divsChild>
        </w:div>
        <w:div w:id="316423645">
          <w:marLeft w:val="0"/>
          <w:marRight w:val="0"/>
          <w:marTop w:val="0"/>
          <w:marBottom w:val="0"/>
          <w:divBdr>
            <w:top w:val="none" w:sz="0" w:space="0" w:color="auto"/>
            <w:left w:val="none" w:sz="0" w:space="0" w:color="auto"/>
            <w:bottom w:val="none" w:sz="0" w:space="0" w:color="auto"/>
            <w:right w:val="none" w:sz="0" w:space="0" w:color="auto"/>
          </w:divBdr>
        </w:div>
      </w:divsChild>
    </w:div>
    <w:div w:id="1827437319">
      <w:bodyDiv w:val="1"/>
      <w:marLeft w:val="0"/>
      <w:marRight w:val="0"/>
      <w:marTop w:val="0"/>
      <w:marBottom w:val="0"/>
      <w:divBdr>
        <w:top w:val="none" w:sz="0" w:space="0" w:color="auto"/>
        <w:left w:val="none" w:sz="0" w:space="0" w:color="auto"/>
        <w:bottom w:val="none" w:sz="0" w:space="0" w:color="auto"/>
        <w:right w:val="none" w:sz="0" w:space="0" w:color="auto"/>
      </w:divBdr>
    </w:div>
    <w:div w:id="1836140713">
      <w:bodyDiv w:val="1"/>
      <w:marLeft w:val="0"/>
      <w:marRight w:val="0"/>
      <w:marTop w:val="0"/>
      <w:marBottom w:val="0"/>
      <w:divBdr>
        <w:top w:val="none" w:sz="0" w:space="0" w:color="auto"/>
        <w:left w:val="none" w:sz="0" w:space="0" w:color="auto"/>
        <w:bottom w:val="none" w:sz="0" w:space="0" w:color="auto"/>
        <w:right w:val="none" w:sz="0" w:space="0" w:color="auto"/>
      </w:divBdr>
      <w:divsChild>
        <w:div w:id="223637381">
          <w:marLeft w:val="0"/>
          <w:marRight w:val="0"/>
          <w:marTop w:val="0"/>
          <w:marBottom w:val="0"/>
          <w:divBdr>
            <w:top w:val="none" w:sz="0" w:space="0" w:color="auto"/>
            <w:left w:val="none" w:sz="0" w:space="0" w:color="auto"/>
            <w:bottom w:val="none" w:sz="0" w:space="0" w:color="auto"/>
            <w:right w:val="none" w:sz="0" w:space="0" w:color="auto"/>
          </w:divBdr>
        </w:div>
        <w:div w:id="1709380492">
          <w:marLeft w:val="0"/>
          <w:marRight w:val="0"/>
          <w:marTop w:val="0"/>
          <w:marBottom w:val="0"/>
          <w:divBdr>
            <w:top w:val="none" w:sz="0" w:space="0" w:color="auto"/>
            <w:left w:val="none" w:sz="0" w:space="0" w:color="auto"/>
            <w:bottom w:val="none" w:sz="0" w:space="0" w:color="auto"/>
            <w:right w:val="none" w:sz="0" w:space="0" w:color="auto"/>
          </w:divBdr>
        </w:div>
      </w:divsChild>
    </w:div>
    <w:div w:id="2090230032">
      <w:bodyDiv w:val="1"/>
      <w:marLeft w:val="0"/>
      <w:marRight w:val="0"/>
      <w:marTop w:val="0"/>
      <w:marBottom w:val="0"/>
      <w:divBdr>
        <w:top w:val="none" w:sz="0" w:space="0" w:color="auto"/>
        <w:left w:val="none" w:sz="0" w:space="0" w:color="auto"/>
        <w:bottom w:val="none" w:sz="0" w:space="0" w:color="auto"/>
        <w:right w:val="none" w:sz="0" w:space="0" w:color="auto"/>
      </w:divBdr>
    </w:div>
    <w:div w:id="210522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2.deloitte.com/content/dam/Deloitte/global/Documents/consumer-industrial-products/gx-cip-2017-global-powers-of-retailing.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lan.foster@lsbu.ac.uk" TargetMode="External"/><Relationship Id="rId14" Type="http://schemas.openxmlformats.org/officeDocument/2006/relationships/image" Target="media/image5.png"/><Relationship Id="rId22" Type="http://schemas.openxmlformats.org/officeDocument/2006/relationships/theme" Target="theme/theme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2635\AppData\Local\Microsoft\Windows\Temporary%20Internet%20Files\Content.IE5\7W470XHR\CryoHub+deliverable+template+V160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0E98-0040-403C-9FFB-A98A6E85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CryoHub+deliverable+template+V160610.dotx</Template>
  <TotalTime>134</TotalTime>
  <Pages>8</Pages>
  <Words>2958</Words>
  <Characters>16035</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ISO 9000-3 Contents</vt:lpstr>
      <vt:lpstr>ISO 9000-3 Contents</vt:lpstr>
    </vt:vector>
  </TitlesOfParts>
  <Company>PSUtec</Company>
  <LinksUpToDate>false</LinksUpToDate>
  <CharactersWithSpaces>18956</CharactersWithSpaces>
  <SharedDoc>false</SharedDoc>
  <HLinks>
    <vt:vector size="36" baseType="variant">
      <vt:variant>
        <vt:i4>4653162</vt:i4>
      </vt:variant>
      <vt:variant>
        <vt:i4>330</vt:i4>
      </vt:variant>
      <vt:variant>
        <vt:i4>0</vt:i4>
      </vt:variant>
      <vt:variant>
        <vt:i4>5</vt:i4>
      </vt:variant>
      <vt:variant>
        <vt:lpwstr>mailto:info@psutec.com</vt:lpwstr>
      </vt:variant>
      <vt:variant>
        <vt:lpwstr/>
      </vt:variant>
      <vt:variant>
        <vt:i4>655453</vt:i4>
      </vt:variant>
      <vt:variant>
        <vt:i4>318</vt:i4>
      </vt:variant>
      <vt:variant>
        <vt:i4>0</vt:i4>
      </vt:variant>
      <vt:variant>
        <vt:i4>5</vt:i4>
      </vt:variant>
      <vt:variant>
        <vt:lpwstr>http://www.doodle.ch/</vt:lpwstr>
      </vt:variant>
      <vt:variant>
        <vt:lpwstr/>
      </vt:variant>
      <vt:variant>
        <vt:i4>3932263</vt:i4>
      </vt:variant>
      <vt:variant>
        <vt:i4>315</vt:i4>
      </vt:variant>
      <vt:variant>
        <vt:i4>0</vt:i4>
      </vt:variant>
      <vt:variant>
        <vt:i4>5</vt:i4>
      </vt:variant>
      <vt:variant>
        <vt:lpwstr>http://www.skype.com/intl/en/home/)</vt:lpwstr>
      </vt:variant>
      <vt:variant>
        <vt:lpwstr/>
      </vt:variant>
      <vt:variant>
        <vt:i4>4718659</vt:i4>
      </vt:variant>
      <vt:variant>
        <vt:i4>309</vt:i4>
      </vt:variant>
      <vt:variant>
        <vt:i4>0</vt:i4>
      </vt:variant>
      <vt:variant>
        <vt:i4>5</vt:i4>
      </vt:variant>
      <vt:variant>
        <vt:lpwstr>http://www.projects-gateway.com/frisbee/</vt:lpwstr>
      </vt:variant>
      <vt:variant>
        <vt:lpwstr/>
      </vt:variant>
      <vt:variant>
        <vt:i4>6750265</vt:i4>
      </vt:variant>
      <vt:variant>
        <vt:i4>306</vt:i4>
      </vt:variant>
      <vt:variant>
        <vt:i4>0</vt:i4>
      </vt:variant>
      <vt:variant>
        <vt:i4>5</vt:i4>
      </vt:variant>
      <vt:variant>
        <vt:lpwstr>http://www.frisbee-project.eu/</vt:lpwstr>
      </vt:variant>
      <vt:variant>
        <vt:lpwstr/>
      </vt:variant>
      <vt:variant>
        <vt:i4>6750265</vt:i4>
      </vt:variant>
      <vt:variant>
        <vt:i4>303</vt:i4>
      </vt:variant>
      <vt:variant>
        <vt:i4>0</vt:i4>
      </vt:variant>
      <vt:variant>
        <vt:i4>5</vt:i4>
      </vt:variant>
      <vt:variant>
        <vt:lpwstr>http://www.frisbee-project.eu/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9000-3 Contents</dc:title>
  <dc:creator>Varga, Liz</dc:creator>
  <cp:lastModifiedBy>alan</cp:lastModifiedBy>
  <cp:revision>8</cp:revision>
  <cp:lastPrinted>2017-10-27T11:24:00Z</cp:lastPrinted>
  <dcterms:created xsi:type="dcterms:W3CDTF">2018-01-31T16:42:00Z</dcterms:created>
  <dcterms:modified xsi:type="dcterms:W3CDTF">2018-02-07T16:51:00Z</dcterms:modified>
</cp:coreProperties>
</file>