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ED3DE" w14:textId="77777777" w:rsidR="003010BD" w:rsidRPr="006E4DCA" w:rsidRDefault="003010BD" w:rsidP="00011661">
      <w:pPr>
        <w:jc w:val="center"/>
        <w:outlineLvl w:val="0"/>
        <w:rPr>
          <w:b/>
          <w:bCs/>
          <w:sz w:val="28"/>
          <w:szCs w:val="28"/>
        </w:rPr>
      </w:pPr>
      <w:bookmarkStart w:id="0" w:name="_Toc430523193"/>
      <w:bookmarkStart w:id="1" w:name="_Toc430686063"/>
      <w:r w:rsidRPr="006E4DCA">
        <w:rPr>
          <w:b/>
          <w:bCs/>
          <w:sz w:val="28"/>
          <w:szCs w:val="28"/>
        </w:rPr>
        <w:t>Metacognitions in smoking: Evidence from a cross-cultural validation of the metacognitions about smoking questionnaire in a Turkish sample</w:t>
      </w:r>
    </w:p>
    <w:p w14:paraId="1492CC02" w14:textId="77777777" w:rsidR="003010BD" w:rsidRPr="006E4DCA" w:rsidRDefault="003010BD" w:rsidP="00011661">
      <w:pPr>
        <w:jc w:val="center"/>
        <w:rPr>
          <w:bCs/>
        </w:rPr>
      </w:pPr>
    </w:p>
    <w:p w14:paraId="284B00AF" w14:textId="62DC3049" w:rsidR="003010BD" w:rsidRPr="006E4DCA" w:rsidRDefault="003010BD" w:rsidP="000930CD">
      <w:pPr>
        <w:jc w:val="center"/>
      </w:pPr>
      <w:r w:rsidRPr="006E4DCA">
        <w:t xml:space="preserve">Word count: </w:t>
      </w:r>
      <w:r w:rsidR="006943E9" w:rsidRPr="006E4DCA">
        <w:t>6</w:t>
      </w:r>
      <w:r w:rsidR="00FF3A61" w:rsidRPr="006E4DCA">
        <w:t>,</w:t>
      </w:r>
      <w:r w:rsidR="006943E9" w:rsidRPr="006E4DCA">
        <w:t>976</w:t>
      </w:r>
      <w:r w:rsidRPr="006E4DCA">
        <w:t xml:space="preserve"> (all sections included)</w:t>
      </w:r>
    </w:p>
    <w:p w14:paraId="606605D9" w14:textId="77777777" w:rsidR="003010BD" w:rsidRPr="006E4DCA" w:rsidRDefault="003010BD" w:rsidP="00011661">
      <w:pPr>
        <w:jc w:val="center"/>
      </w:pPr>
      <w:r w:rsidRPr="006E4DCA">
        <w:t>Date of first submission: 09/12/2016</w:t>
      </w:r>
    </w:p>
    <w:p w14:paraId="44FB5296" w14:textId="77777777" w:rsidR="003010BD" w:rsidRPr="006E4DCA" w:rsidRDefault="003010BD" w:rsidP="00011661">
      <w:pPr>
        <w:jc w:val="center"/>
      </w:pPr>
      <w:r w:rsidRPr="006E4DCA">
        <w:t>Date of second submission: 09/06/2017</w:t>
      </w:r>
    </w:p>
    <w:p w14:paraId="55EE1ECD" w14:textId="7163A5B0" w:rsidR="000930CD" w:rsidRPr="006E4DCA" w:rsidRDefault="000930CD" w:rsidP="000930CD">
      <w:pPr>
        <w:jc w:val="center"/>
      </w:pPr>
      <w:r w:rsidRPr="006E4DCA">
        <w:t>Date of third submission: 2</w:t>
      </w:r>
      <w:r w:rsidR="00FF3A61" w:rsidRPr="006E4DCA">
        <w:t>9</w:t>
      </w:r>
      <w:r w:rsidRPr="006E4DCA">
        <w:t>/09/2017</w:t>
      </w:r>
    </w:p>
    <w:p w14:paraId="39BAFFA5" w14:textId="77777777" w:rsidR="000930CD" w:rsidRPr="006E4DCA" w:rsidRDefault="000930CD" w:rsidP="00011661">
      <w:pPr>
        <w:jc w:val="center"/>
      </w:pPr>
    </w:p>
    <w:p w14:paraId="789C2EE3" w14:textId="45C3357E"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r w:rsidRPr="006E4DCA">
        <w:rPr>
          <w:rFonts w:ascii="Times New Roman" w:eastAsia="Times New Roman" w:hAnsi="Times New Roman" w:cs="Times New Roman"/>
          <w:color w:val="auto"/>
          <w:sz w:val="24"/>
          <w:szCs w:val="24"/>
          <w:bdr w:val="none" w:sz="0" w:space="0" w:color="auto"/>
          <w:lang w:val="en-GB" w:eastAsia="en-GB"/>
        </w:rPr>
        <w:t xml:space="preserve">Leyla </w:t>
      </w:r>
      <w:proofErr w:type="spellStart"/>
      <w:r w:rsidRPr="006E4DCA">
        <w:rPr>
          <w:rFonts w:ascii="Times New Roman" w:eastAsia="Times New Roman" w:hAnsi="Times New Roman" w:cs="Times New Roman"/>
          <w:color w:val="auto"/>
          <w:sz w:val="24"/>
          <w:szCs w:val="24"/>
          <w:bdr w:val="none" w:sz="0" w:space="0" w:color="auto"/>
          <w:lang w:val="en-GB" w:eastAsia="en-GB"/>
        </w:rPr>
        <w:t>Alma</w:t>
      </w:r>
      <w:r w:rsidRPr="006E4DCA">
        <w:rPr>
          <w:rFonts w:ascii="Times New Roman" w:eastAsia="Times New Roman" w:hAnsi="Times New Roman" w:cs="Times New Roman"/>
          <w:color w:val="auto"/>
          <w:sz w:val="24"/>
          <w:szCs w:val="24"/>
          <w:bdr w:val="none" w:sz="0" w:space="0" w:color="auto"/>
          <w:vertAlign w:val="superscript"/>
          <w:lang w:val="en-GB" w:eastAsia="en-GB"/>
        </w:rPr>
        <w:t>a</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Marcantonio M. </w:t>
      </w:r>
      <w:proofErr w:type="spellStart"/>
      <w:r w:rsidRPr="006E4DCA">
        <w:rPr>
          <w:rFonts w:ascii="Times New Roman" w:eastAsia="Times New Roman" w:hAnsi="Times New Roman" w:cs="Times New Roman"/>
          <w:color w:val="auto"/>
          <w:sz w:val="24"/>
          <w:szCs w:val="24"/>
          <w:bdr w:val="none" w:sz="0" w:space="0" w:color="auto"/>
          <w:lang w:val="en-GB" w:eastAsia="en-GB"/>
        </w:rPr>
        <w:t>Spada</w:t>
      </w:r>
      <w:r w:rsidRPr="006E4DCA">
        <w:rPr>
          <w:rFonts w:ascii="Times New Roman" w:eastAsia="Times New Roman" w:hAnsi="Times New Roman" w:cs="Times New Roman"/>
          <w:color w:val="auto"/>
          <w:sz w:val="24"/>
          <w:szCs w:val="24"/>
          <w:bdr w:val="none" w:sz="0" w:space="0" w:color="auto"/>
          <w:vertAlign w:val="superscript"/>
          <w:lang w:val="en-GB" w:eastAsia="en-GB"/>
        </w:rPr>
        <w:t>b</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Bruce A. </w:t>
      </w:r>
      <w:proofErr w:type="spellStart"/>
      <w:r w:rsidRPr="006E4DCA">
        <w:rPr>
          <w:rFonts w:ascii="Times New Roman" w:eastAsia="Times New Roman" w:hAnsi="Times New Roman" w:cs="Times New Roman"/>
          <w:color w:val="auto"/>
          <w:sz w:val="24"/>
          <w:szCs w:val="24"/>
          <w:bdr w:val="none" w:sz="0" w:space="0" w:color="auto"/>
          <w:lang w:val="en-GB" w:eastAsia="en-GB"/>
        </w:rPr>
        <w:t>Fernie</w:t>
      </w:r>
      <w:r w:rsidRPr="006E4DCA">
        <w:rPr>
          <w:rFonts w:ascii="Times New Roman" w:eastAsia="Times New Roman" w:hAnsi="Times New Roman" w:cs="Times New Roman"/>
          <w:color w:val="auto"/>
          <w:sz w:val="24"/>
          <w:szCs w:val="24"/>
          <w:bdr w:val="none" w:sz="0" w:space="0" w:color="auto"/>
          <w:vertAlign w:val="superscript"/>
          <w:lang w:val="en-GB" w:eastAsia="en-GB"/>
        </w:rPr>
        <w:t>c</w:t>
      </w:r>
      <w:proofErr w:type="spellEnd"/>
      <w:r w:rsidR="005953ED" w:rsidRPr="006E4DCA">
        <w:rPr>
          <w:rFonts w:ascii="Times New Roman" w:eastAsia="Times New Roman" w:hAnsi="Times New Roman" w:cs="Times New Roman"/>
          <w:color w:val="auto"/>
          <w:sz w:val="24"/>
          <w:szCs w:val="24"/>
          <w:bdr w:val="none" w:sz="0" w:space="0" w:color="auto"/>
          <w:lang w:val="en-GB" w:eastAsia="en-GB"/>
        </w:rPr>
        <w:t xml:space="preserve">, </w:t>
      </w:r>
      <w:proofErr w:type="spellStart"/>
      <w:r w:rsidR="005953ED" w:rsidRPr="006E4DCA">
        <w:rPr>
          <w:rFonts w:ascii="Times New Roman" w:eastAsia="Times New Roman" w:hAnsi="Times New Roman" w:cs="Times New Roman"/>
          <w:color w:val="auto"/>
          <w:sz w:val="24"/>
          <w:szCs w:val="24"/>
          <w:bdr w:val="none" w:sz="0" w:space="0" w:color="auto"/>
          <w:lang w:val="en-GB" w:eastAsia="en-GB"/>
        </w:rPr>
        <w:t>Adviye</w:t>
      </w:r>
      <w:proofErr w:type="spellEnd"/>
      <w:r w:rsidR="005953ED" w:rsidRPr="006E4DCA">
        <w:rPr>
          <w:rFonts w:ascii="Times New Roman" w:eastAsia="Times New Roman" w:hAnsi="Times New Roman" w:cs="Times New Roman"/>
          <w:color w:val="auto"/>
          <w:sz w:val="24"/>
          <w:szCs w:val="24"/>
          <w:bdr w:val="none" w:sz="0" w:space="0" w:color="auto"/>
          <w:lang w:val="en-GB" w:eastAsia="en-GB"/>
        </w:rPr>
        <w:t xml:space="preserve"> </w:t>
      </w:r>
      <w:proofErr w:type="spellStart"/>
      <w:r w:rsidR="005953ED" w:rsidRPr="006E4DCA">
        <w:rPr>
          <w:rFonts w:ascii="Times New Roman" w:eastAsia="Times New Roman" w:hAnsi="Times New Roman" w:cs="Times New Roman"/>
          <w:color w:val="auto"/>
          <w:sz w:val="24"/>
          <w:szCs w:val="24"/>
          <w:bdr w:val="none" w:sz="0" w:space="0" w:color="auto"/>
          <w:lang w:val="en-GB" w:eastAsia="en-GB"/>
        </w:rPr>
        <w:t>Esin</w:t>
      </w:r>
      <w:proofErr w:type="spellEnd"/>
      <w:r w:rsidR="005953ED" w:rsidRPr="006E4DCA">
        <w:rPr>
          <w:rFonts w:ascii="Times New Roman" w:eastAsia="Times New Roman" w:hAnsi="Times New Roman" w:cs="Times New Roman"/>
          <w:color w:val="auto"/>
          <w:sz w:val="24"/>
          <w:szCs w:val="24"/>
          <w:bdr w:val="none" w:sz="0" w:space="0" w:color="auto"/>
          <w:lang w:val="en-GB" w:eastAsia="en-GB"/>
        </w:rPr>
        <w:t xml:space="preserve"> Yılmaz-</w:t>
      </w:r>
      <w:proofErr w:type="spellStart"/>
      <w:r w:rsidR="005953ED" w:rsidRPr="006E4DCA">
        <w:rPr>
          <w:rFonts w:ascii="Times New Roman" w:eastAsia="Times New Roman" w:hAnsi="Times New Roman" w:cs="Times New Roman"/>
          <w:color w:val="auto"/>
          <w:sz w:val="24"/>
          <w:szCs w:val="24"/>
          <w:bdr w:val="none" w:sz="0" w:space="0" w:color="auto"/>
          <w:lang w:val="en-GB" w:eastAsia="en-GB"/>
        </w:rPr>
        <w:t>Samancı</w:t>
      </w:r>
      <w:r w:rsidRPr="006E4DCA">
        <w:rPr>
          <w:rFonts w:ascii="Times New Roman" w:eastAsia="Times New Roman" w:hAnsi="Times New Roman" w:cs="Times New Roman"/>
          <w:color w:val="auto"/>
          <w:sz w:val="24"/>
          <w:szCs w:val="24"/>
          <w:bdr w:val="none" w:sz="0" w:space="0" w:color="auto"/>
          <w:vertAlign w:val="superscript"/>
          <w:lang w:val="en-GB" w:eastAsia="en-GB"/>
        </w:rPr>
        <w:t>d</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Gabriele </w:t>
      </w:r>
      <w:proofErr w:type="spellStart"/>
      <w:r w:rsidRPr="006E4DCA">
        <w:rPr>
          <w:rFonts w:ascii="Times New Roman" w:eastAsia="Times New Roman" w:hAnsi="Times New Roman" w:cs="Times New Roman"/>
          <w:color w:val="auto"/>
          <w:sz w:val="24"/>
          <w:szCs w:val="24"/>
          <w:bdr w:val="none" w:sz="0" w:space="0" w:color="auto"/>
          <w:lang w:val="en-GB" w:eastAsia="en-GB"/>
        </w:rPr>
        <w:t>Caselli</w:t>
      </w:r>
      <w:r w:rsidRPr="006E4DCA">
        <w:rPr>
          <w:rFonts w:ascii="Times New Roman" w:eastAsia="Times New Roman" w:hAnsi="Times New Roman" w:cs="Times New Roman"/>
          <w:color w:val="auto"/>
          <w:sz w:val="24"/>
          <w:szCs w:val="24"/>
          <w:bdr w:val="none" w:sz="0" w:space="0" w:color="auto"/>
          <w:vertAlign w:val="superscript"/>
          <w:lang w:val="en-GB" w:eastAsia="en-GB"/>
        </w:rPr>
        <w:t>e,f</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and Ana V. </w:t>
      </w:r>
      <w:proofErr w:type="spellStart"/>
      <w:r w:rsidRPr="006E4DCA">
        <w:rPr>
          <w:rFonts w:ascii="Times New Roman" w:eastAsia="Times New Roman" w:hAnsi="Times New Roman" w:cs="Times New Roman"/>
          <w:color w:val="auto"/>
          <w:sz w:val="24"/>
          <w:szCs w:val="24"/>
          <w:bdr w:val="none" w:sz="0" w:space="0" w:color="auto"/>
          <w:lang w:val="en-GB" w:eastAsia="en-GB"/>
        </w:rPr>
        <w:t>Nikčević</w:t>
      </w:r>
      <w:r w:rsidRPr="006E4DCA">
        <w:rPr>
          <w:rFonts w:ascii="Times New Roman" w:eastAsia="Times New Roman" w:hAnsi="Times New Roman" w:cs="Times New Roman"/>
          <w:color w:val="auto"/>
          <w:sz w:val="24"/>
          <w:szCs w:val="24"/>
          <w:bdr w:val="none" w:sz="0" w:space="0" w:color="auto"/>
          <w:vertAlign w:val="superscript"/>
          <w:lang w:val="en-GB" w:eastAsia="en-GB"/>
        </w:rPr>
        <w:t>g</w:t>
      </w:r>
      <w:proofErr w:type="spellEnd"/>
      <w:r w:rsidRPr="006E4DCA">
        <w:rPr>
          <w:rFonts w:ascii="Times New Roman" w:eastAsia="Times New Roman" w:hAnsi="Times New Roman" w:cs="Times New Roman"/>
          <w:color w:val="auto"/>
          <w:sz w:val="24"/>
          <w:szCs w:val="24"/>
          <w:bdr w:val="none" w:sz="0" w:space="0" w:color="auto"/>
          <w:vertAlign w:val="superscript"/>
          <w:lang w:val="en-GB" w:eastAsia="en-GB"/>
        </w:rPr>
        <w:t>,*</w:t>
      </w:r>
    </w:p>
    <w:p w14:paraId="1ABFB7F9"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p>
    <w:p w14:paraId="48018886"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proofErr w:type="gramStart"/>
      <w:r w:rsidRPr="006E4DCA">
        <w:rPr>
          <w:rFonts w:ascii="Times New Roman" w:eastAsia="Times New Roman" w:hAnsi="Times New Roman" w:cs="Times New Roman"/>
          <w:color w:val="auto"/>
          <w:sz w:val="24"/>
          <w:szCs w:val="24"/>
          <w:bdr w:val="none" w:sz="0" w:space="0" w:color="auto"/>
          <w:vertAlign w:val="superscript"/>
          <w:lang w:val="en-GB" w:eastAsia="en-GB"/>
        </w:rPr>
        <w:t>a</w:t>
      </w:r>
      <w:proofErr w:type="gramEnd"/>
      <w:r w:rsidRPr="006E4DCA">
        <w:rPr>
          <w:rFonts w:ascii="Times New Roman" w:eastAsia="Times New Roman" w:hAnsi="Times New Roman" w:cs="Times New Roman"/>
          <w:color w:val="auto"/>
          <w:sz w:val="24"/>
          <w:szCs w:val="24"/>
          <w:bdr w:val="none" w:sz="0" w:space="0" w:color="auto"/>
          <w:lang w:val="en-GB" w:eastAsia="en-GB"/>
        </w:rPr>
        <w:t xml:space="preserve"> Department of Psychology, Middle East Technical University, Ankara, Turkey</w:t>
      </w:r>
    </w:p>
    <w:p w14:paraId="7DDF57F0"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proofErr w:type="gramStart"/>
      <w:r w:rsidRPr="006E4DCA">
        <w:rPr>
          <w:rFonts w:ascii="Times New Roman" w:eastAsia="Times New Roman" w:hAnsi="Times New Roman" w:cs="Times New Roman"/>
          <w:color w:val="auto"/>
          <w:sz w:val="24"/>
          <w:szCs w:val="24"/>
          <w:bdr w:val="none" w:sz="0" w:space="0" w:color="auto"/>
          <w:vertAlign w:val="superscript"/>
          <w:lang w:val="en-GB" w:eastAsia="en-GB"/>
        </w:rPr>
        <w:t>b</w:t>
      </w:r>
      <w:proofErr w:type="gramEnd"/>
      <w:r w:rsidRPr="006E4DCA">
        <w:rPr>
          <w:rFonts w:ascii="Times New Roman" w:eastAsia="Times New Roman" w:hAnsi="Times New Roman" w:cs="Times New Roman"/>
          <w:color w:val="auto"/>
          <w:sz w:val="24"/>
          <w:szCs w:val="24"/>
          <w:bdr w:val="none" w:sz="0" w:space="0" w:color="auto"/>
          <w:lang w:val="en-GB" w:eastAsia="en-GB"/>
        </w:rPr>
        <w:t xml:space="preserve"> Division of Psychology, School of Applied Sciences, London South Bank University, London, UK</w:t>
      </w:r>
    </w:p>
    <w:p w14:paraId="7C3D9B87"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r w:rsidRPr="006E4DCA">
        <w:rPr>
          <w:rFonts w:ascii="Times New Roman" w:eastAsia="Times New Roman" w:hAnsi="Times New Roman" w:cs="Times New Roman"/>
          <w:color w:val="auto"/>
          <w:sz w:val="24"/>
          <w:szCs w:val="24"/>
          <w:bdr w:val="none" w:sz="0" w:space="0" w:color="auto"/>
          <w:vertAlign w:val="superscript"/>
          <w:lang w:val="en-GB" w:eastAsia="en-GB"/>
        </w:rPr>
        <w:t>c</w:t>
      </w:r>
      <w:r w:rsidRPr="006E4DCA">
        <w:rPr>
          <w:rFonts w:ascii="Times New Roman" w:eastAsia="Times New Roman" w:hAnsi="Times New Roman" w:cs="Times New Roman"/>
          <w:color w:val="auto"/>
          <w:sz w:val="24"/>
          <w:szCs w:val="24"/>
          <w:bdr w:val="none" w:sz="0" w:space="0" w:color="auto"/>
          <w:lang w:val="en-GB" w:eastAsia="en-GB"/>
        </w:rPr>
        <w:t xml:space="preserve"> Department of Psychology, King’s College London, Institute of Psychiatry, Psychology and Neuroscience, London, UK</w:t>
      </w:r>
    </w:p>
    <w:p w14:paraId="6284884C"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proofErr w:type="gramStart"/>
      <w:r w:rsidRPr="006E4DCA">
        <w:rPr>
          <w:rFonts w:ascii="Times New Roman" w:eastAsia="Times New Roman" w:hAnsi="Times New Roman" w:cs="Times New Roman"/>
          <w:color w:val="auto"/>
          <w:sz w:val="24"/>
          <w:szCs w:val="24"/>
          <w:bdr w:val="none" w:sz="0" w:space="0" w:color="auto"/>
          <w:vertAlign w:val="superscript"/>
          <w:lang w:val="en-GB" w:eastAsia="en-GB"/>
        </w:rPr>
        <w:t>d</w:t>
      </w:r>
      <w:proofErr w:type="gramEnd"/>
      <w:r w:rsidRPr="006E4DCA">
        <w:rPr>
          <w:rFonts w:ascii="Times New Roman" w:eastAsia="Times New Roman" w:hAnsi="Times New Roman" w:cs="Times New Roman"/>
          <w:color w:val="auto"/>
          <w:sz w:val="24"/>
          <w:szCs w:val="24"/>
          <w:bdr w:val="none" w:sz="0" w:space="0" w:color="auto"/>
          <w:lang w:val="en-GB" w:eastAsia="en-GB"/>
        </w:rPr>
        <w:t xml:space="preserve"> Department of Psychology, </w:t>
      </w:r>
      <w:proofErr w:type="spellStart"/>
      <w:r w:rsidRPr="006E4DCA">
        <w:rPr>
          <w:rFonts w:ascii="Times New Roman" w:eastAsia="Times New Roman" w:hAnsi="Times New Roman" w:cs="Times New Roman"/>
          <w:color w:val="auto"/>
          <w:sz w:val="24"/>
          <w:szCs w:val="24"/>
          <w:bdr w:val="none" w:sz="0" w:space="0" w:color="auto"/>
          <w:lang w:val="en-GB" w:eastAsia="en-GB"/>
        </w:rPr>
        <w:t>Dokuz</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w:t>
      </w:r>
      <w:proofErr w:type="spellStart"/>
      <w:r w:rsidRPr="006E4DCA">
        <w:rPr>
          <w:rFonts w:ascii="Times New Roman" w:eastAsia="Times New Roman" w:hAnsi="Times New Roman" w:cs="Times New Roman"/>
          <w:color w:val="auto"/>
          <w:sz w:val="24"/>
          <w:szCs w:val="24"/>
          <w:bdr w:val="none" w:sz="0" w:space="0" w:color="auto"/>
          <w:lang w:val="en-GB" w:eastAsia="en-GB"/>
        </w:rPr>
        <w:t>Eylül</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w:t>
      </w:r>
      <w:proofErr w:type="spellStart"/>
      <w:r w:rsidRPr="006E4DCA">
        <w:rPr>
          <w:rFonts w:ascii="Times New Roman" w:eastAsia="Times New Roman" w:hAnsi="Times New Roman" w:cs="Times New Roman"/>
          <w:color w:val="auto"/>
          <w:sz w:val="24"/>
          <w:szCs w:val="24"/>
          <w:bdr w:val="none" w:sz="0" w:space="0" w:color="auto"/>
          <w:lang w:val="en-GB" w:eastAsia="en-GB"/>
        </w:rPr>
        <w:t>Üniversitesi</w:t>
      </w:r>
      <w:proofErr w:type="spellEnd"/>
      <w:r w:rsidRPr="006E4DCA">
        <w:rPr>
          <w:rFonts w:ascii="Times New Roman" w:eastAsia="Times New Roman" w:hAnsi="Times New Roman" w:cs="Times New Roman"/>
          <w:color w:val="auto"/>
          <w:sz w:val="24"/>
          <w:szCs w:val="24"/>
          <w:bdr w:val="none" w:sz="0" w:space="0" w:color="auto"/>
          <w:lang w:val="en-GB" w:eastAsia="en-GB"/>
        </w:rPr>
        <w:t>, İzmir, Turkey</w:t>
      </w:r>
    </w:p>
    <w:p w14:paraId="116DA800"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proofErr w:type="gramStart"/>
      <w:r w:rsidRPr="006E4DCA">
        <w:rPr>
          <w:rFonts w:ascii="Times New Roman" w:eastAsia="Times New Roman" w:hAnsi="Times New Roman" w:cs="Times New Roman"/>
          <w:color w:val="auto"/>
          <w:sz w:val="24"/>
          <w:szCs w:val="24"/>
          <w:bdr w:val="none" w:sz="0" w:space="0" w:color="auto"/>
          <w:vertAlign w:val="superscript"/>
          <w:lang w:val="en-GB" w:eastAsia="en-GB"/>
        </w:rPr>
        <w:t>e</w:t>
      </w:r>
      <w:proofErr w:type="gramEnd"/>
      <w:r w:rsidRPr="006E4DCA">
        <w:rPr>
          <w:rFonts w:ascii="Times New Roman" w:eastAsia="Times New Roman" w:hAnsi="Times New Roman" w:cs="Times New Roman"/>
          <w:color w:val="auto"/>
          <w:sz w:val="24"/>
          <w:szCs w:val="24"/>
          <w:bdr w:val="none" w:sz="0" w:space="0" w:color="auto"/>
          <w:lang w:val="en-GB" w:eastAsia="en-GB"/>
        </w:rPr>
        <w:t xml:space="preserve"> </w:t>
      </w:r>
      <w:proofErr w:type="spellStart"/>
      <w:r w:rsidRPr="006E4DCA">
        <w:rPr>
          <w:rFonts w:ascii="Times New Roman" w:eastAsia="Times New Roman" w:hAnsi="Times New Roman" w:cs="Times New Roman"/>
          <w:color w:val="auto"/>
          <w:sz w:val="24"/>
          <w:szCs w:val="24"/>
          <w:bdr w:val="none" w:sz="0" w:space="0" w:color="auto"/>
          <w:lang w:val="en-GB" w:eastAsia="en-GB"/>
        </w:rPr>
        <w:t>Studi</w:t>
      </w:r>
      <w:proofErr w:type="spellEnd"/>
      <w:r w:rsidRPr="006E4DCA">
        <w:rPr>
          <w:rFonts w:ascii="Times New Roman" w:eastAsia="Times New Roman" w:hAnsi="Times New Roman" w:cs="Times New Roman"/>
          <w:color w:val="auto"/>
          <w:sz w:val="24"/>
          <w:szCs w:val="24"/>
          <w:bdr w:val="none" w:sz="0" w:space="0" w:color="auto"/>
          <w:lang w:val="en-GB" w:eastAsia="en-GB"/>
        </w:rPr>
        <w:t xml:space="preserve"> </w:t>
      </w:r>
      <w:proofErr w:type="spellStart"/>
      <w:r w:rsidRPr="006E4DCA">
        <w:rPr>
          <w:rFonts w:ascii="Times New Roman" w:eastAsia="Times New Roman" w:hAnsi="Times New Roman" w:cs="Times New Roman"/>
          <w:color w:val="auto"/>
          <w:sz w:val="24"/>
          <w:szCs w:val="24"/>
          <w:bdr w:val="none" w:sz="0" w:space="0" w:color="auto"/>
          <w:lang w:val="en-GB" w:eastAsia="en-GB"/>
        </w:rPr>
        <w:t>Cognitivi</w:t>
      </w:r>
      <w:proofErr w:type="spellEnd"/>
      <w:r w:rsidRPr="006E4DCA">
        <w:rPr>
          <w:rFonts w:ascii="Times New Roman" w:eastAsia="Times New Roman" w:hAnsi="Times New Roman" w:cs="Times New Roman"/>
          <w:color w:val="auto"/>
          <w:sz w:val="24"/>
          <w:szCs w:val="24"/>
          <w:bdr w:val="none" w:sz="0" w:space="0" w:color="auto"/>
          <w:lang w:val="en-GB" w:eastAsia="en-GB"/>
        </w:rPr>
        <w:t>, Milan, Italy</w:t>
      </w:r>
    </w:p>
    <w:p w14:paraId="36D2BA0E" w14:textId="77777777" w:rsidR="003010BD" w:rsidRPr="006E4DCA" w:rsidRDefault="003010BD" w:rsidP="00011661">
      <w:pPr>
        <w:pStyle w:val="Default"/>
        <w:jc w:val="both"/>
        <w:rPr>
          <w:rFonts w:ascii="Times New Roman" w:eastAsia="Times New Roman" w:hAnsi="Times New Roman" w:cs="Times New Roman"/>
          <w:color w:val="auto"/>
          <w:sz w:val="24"/>
          <w:szCs w:val="24"/>
          <w:bdr w:val="none" w:sz="0" w:space="0" w:color="auto"/>
          <w:lang w:val="en-GB" w:eastAsia="en-GB"/>
        </w:rPr>
      </w:pPr>
      <w:proofErr w:type="gramStart"/>
      <w:r w:rsidRPr="006E4DCA">
        <w:rPr>
          <w:rFonts w:ascii="Times New Roman" w:eastAsia="Times New Roman" w:hAnsi="Times New Roman" w:cs="Times New Roman"/>
          <w:color w:val="auto"/>
          <w:sz w:val="24"/>
          <w:szCs w:val="24"/>
          <w:bdr w:val="none" w:sz="0" w:space="0" w:color="auto"/>
          <w:vertAlign w:val="superscript"/>
          <w:lang w:val="en-GB" w:eastAsia="en-GB"/>
        </w:rPr>
        <w:t>f</w:t>
      </w:r>
      <w:proofErr w:type="gramEnd"/>
      <w:r w:rsidRPr="006E4DCA">
        <w:rPr>
          <w:rFonts w:ascii="Times New Roman" w:eastAsia="Times New Roman" w:hAnsi="Times New Roman" w:cs="Times New Roman"/>
          <w:color w:val="auto"/>
          <w:sz w:val="24"/>
          <w:szCs w:val="24"/>
          <w:bdr w:val="none" w:sz="0" w:space="0" w:color="auto"/>
          <w:lang w:val="en-GB" w:eastAsia="en-GB"/>
        </w:rPr>
        <w:t xml:space="preserve"> Sigmund Freud University, Milan, Italy</w:t>
      </w:r>
    </w:p>
    <w:p w14:paraId="4D386B73" w14:textId="77777777" w:rsidR="003010BD" w:rsidRPr="006E4DCA" w:rsidRDefault="003010BD" w:rsidP="00011661">
      <w:pPr>
        <w:pStyle w:val="Default"/>
        <w:jc w:val="both"/>
        <w:rPr>
          <w:rFonts w:ascii="Times New Roman" w:hAnsi="Times New Roman" w:cs="Times New Roman"/>
          <w:color w:val="auto"/>
          <w:sz w:val="24"/>
          <w:szCs w:val="24"/>
          <w:lang w:val="en-GB"/>
        </w:rPr>
      </w:pPr>
      <w:proofErr w:type="gramStart"/>
      <w:r w:rsidRPr="006E4DCA">
        <w:rPr>
          <w:rFonts w:ascii="Times New Roman" w:eastAsia="Times New Roman" w:hAnsi="Times New Roman" w:cs="Times New Roman"/>
          <w:color w:val="auto"/>
          <w:sz w:val="24"/>
          <w:szCs w:val="24"/>
          <w:bdr w:val="none" w:sz="0" w:space="0" w:color="auto"/>
          <w:vertAlign w:val="superscript"/>
          <w:lang w:val="en-GB" w:eastAsia="en-GB"/>
        </w:rPr>
        <w:t>g</w:t>
      </w:r>
      <w:proofErr w:type="gramEnd"/>
      <w:r w:rsidRPr="006E4DCA">
        <w:rPr>
          <w:rFonts w:ascii="Times New Roman" w:eastAsia="Times New Roman" w:hAnsi="Times New Roman" w:cs="Times New Roman"/>
          <w:color w:val="auto"/>
          <w:sz w:val="24"/>
          <w:szCs w:val="24"/>
          <w:bdr w:val="none" w:sz="0" w:space="0" w:color="auto"/>
          <w:vertAlign w:val="superscript"/>
          <w:lang w:val="en-GB" w:eastAsia="en-GB"/>
        </w:rPr>
        <w:t xml:space="preserve"> </w:t>
      </w:r>
      <w:r w:rsidRPr="006E4DCA">
        <w:rPr>
          <w:rFonts w:ascii="Times New Roman" w:eastAsia="Times New Roman" w:hAnsi="Times New Roman" w:cs="Times New Roman"/>
          <w:color w:val="auto"/>
          <w:sz w:val="24"/>
          <w:szCs w:val="24"/>
          <w:bdr w:val="none" w:sz="0" w:space="0" w:color="auto"/>
          <w:lang w:val="en-GB" w:eastAsia="en-GB"/>
        </w:rPr>
        <w:t>Department of Psychology, Kingston University, Kingston-upon-Thames, UK</w:t>
      </w:r>
    </w:p>
    <w:p w14:paraId="087EF5BE" w14:textId="77777777" w:rsidR="003010BD" w:rsidRPr="006E4DCA" w:rsidRDefault="003010BD" w:rsidP="00011661">
      <w:pPr>
        <w:pStyle w:val="Default"/>
        <w:jc w:val="both"/>
        <w:rPr>
          <w:rFonts w:ascii="Times New Roman" w:hAnsi="Times New Roman" w:cs="Times New Roman"/>
          <w:color w:val="auto"/>
          <w:sz w:val="24"/>
          <w:szCs w:val="24"/>
          <w:vertAlign w:val="superscript"/>
          <w:lang w:val="en-GB"/>
        </w:rPr>
      </w:pPr>
    </w:p>
    <w:p w14:paraId="09A64122" w14:textId="77777777" w:rsidR="003010BD" w:rsidRPr="006E4DCA" w:rsidRDefault="003010BD" w:rsidP="00011661">
      <w:pPr>
        <w:pStyle w:val="Default"/>
        <w:jc w:val="both"/>
        <w:rPr>
          <w:rFonts w:ascii="Times New Roman" w:hAnsi="Times New Roman" w:cs="Times New Roman"/>
          <w:color w:val="auto"/>
          <w:sz w:val="24"/>
          <w:szCs w:val="24"/>
          <w:lang w:val="en-GB"/>
        </w:rPr>
      </w:pPr>
      <w:r w:rsidRPr="006E4DCA">
        <w:rPr>
          <w:rFonts w:ascii="Times New Roman" w:hAnsi="Times New Roman" w:cs="Times New Roman"/>
          <w:color w:val="auto"/>
          <w:sz w:val="24"/>
          <w:szCs w:val="24"/>
          <w:vertAlign w:val="superscript"/>
          <w:lang w:val="en-GB"/>
        </w:rPr>
        <w:t>*</w:t>
      </w:r>
      <w:r w:rsidRPr="006E4DCA">
        <w:rPr>
          <w:rFonts w:ascii="Times New Roman" w:hAnsi="Times New Roman" w:cs="Times New Roman"/>
          <w:color w:val="auto"/>
          <w:sz w:val="24"/>
          <w:szCs w:val="24"/>
          <w:lang w:val="en-GB"/>
        </w:rPr>
        <w:t xml:space="preserve">Ana V. </w:t>
      </w:r>
      <w:proofErr w:type="spellStart"/>
      <w:r w:rsidRPr="006E4DCA">
        <w:rPr>
          <w:rFonts w:ascii="Times New Roman" w:hAnsi="Times New Roman" w:cs="Times New Roman"/>
          <w:color w:val="auto"/>
          <w:sz w:val="24"/>
          <w:szCs w:val="24"/>
          <w:lang w:val="en-GB"/>
        </w:rPr>
        <w:t>Nikčević</w:t>
      </w:r>
      <w:proofErr w:type="spellEnd"/>
      <w:r w:rsidRPr="006E4DCA">
        <w:rPr>
          <w:rFonts w:ascii="Times New Roman" w:hAnsi="Times New Roman" w:cs="Times New Roman"/>
          <w:color w:val="auto"/>
          <w:sz w:val="24"/>
          <w:szCs w:val="24"/>
          <w:lang w:val="en-GB"/>
        </w:rPr>
        <w:t xml:space="preserve">, Department of Psychology, Kingston University, Kingston-upon-Thames, UK; </w:t>
      </w:r>
      <w:hyperlink r:id="rId9" w:history="1">
        <w:r w:rsidRPr="006E4DCA">
          <w:rPr>
            <w:rStyle w:val="Hyperlink"/>
            <w:rFonts w:ascii="Times New Roman" w:hAnsi="Times New Roman" w:cs="Times New Roman"/>
            <w:sz w:val="24"/>
            <w:szCs w:val="24"/>
            <w:lang w:val="en-GB"/>
          </w:rPr>
          <w:t>a.nikcevic@kingston.ac.uk</w:t>
        </w:r>
      </w:hyperlink>
      <w:r w:rsidRPr="006E4DCA">
        <w:rPr>
          <w:rFonts w:ascii="Times New Roman" w:hAnsi="Times New Roman" w:cs="Times New Roman"/>
          <w:color w:val="auto"/>
          <w:sz w:val="24"/>
          <w:szCs w:val="24"/>
          <w:lang w:val="en-GB"/>
        </w:rPr>
        <w:t xml:space="preserve">. </w:t>
      </w:r>
    </w:p>
    <w:p w14:paraId="4A1D774A"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outlineLvl w:val="0"/>
        <w:rPr>
          <w:rFonts w:ascii="Times New Roman" w:hAnsi="Times New Roman" w:cs="Times New Roman"/>
          <w:b/>
          <w:bCs/>
          <w:color w:val="auto"/>
          <w:sz w:val="24"/>
          <w:szCs w:val="24"/>
          <w:lang w:val="en-GB"/>
        </w:rPr>
      </w:pPr>
    </w:p>
    <w:p w14:paraId="677625BA"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3A92343A"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15EA5EE1"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B468DFE"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3CC22237"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EA762C1"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68490F4"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6B9D0CF"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318C6BE4"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313E9BC"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DFABE51"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7640E5A"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5487863C"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6E35893B"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16DE89AF"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7254ABC1" w14:textId="77777777" w:rsidR="003010BD" w:rsidRPr="006E4DCA" w:rsidRDefault="003010BD" w:rsidP="00011661">
      <w:pPr>
        <w:pStyle w:val="Defaul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en-GB"/>
        </w:rPr>
      </w:pPr>
    </w:p>
    <w:p w14:paraId="298CA607" w14:textId="77777777" w:rsidR="007E09DA" w:rsidRPr="006E4DCA" w:rsidRDefault="007E09DA" w:rsidP="00011661">
      <w:pPr>
        <w:pStyle w:val="BodyText"/>
        <w:spacing w:line="480" w:lineRule="auto"/>
        <w:rPr>
          <w:b/>
          <w:sz w:val="24"/>
          <w:szCs w:val="24"/>
          <w:lang w:val="en-GB"/>
        </w:rPr>
      </w:pPr>
    </w:p>
    <w:p w14:paraId="0B60336B" w14:textId="77777777" w:rsidR="003010BD" w:rsidRPr="006E4DCA" w:rsidRDefault="003010BD" w:rsidP="007E09DA">
      <w:pPr>
        <w:pStyle w:val="BodyText"/>
        <w:spacing w:line="480" w:lineRule="auto"/>
        <w:jc w:val="center"/>
        <w:rPr>
          <w:b/>
          <w:sz w:val="24"/>
          <w:szCs w:val="24"/>
          <w:lang w:val="en-GB"/>
        </w:rPr>
      </w:pPr>
      <w:r w:rsidRPr="006E4DCA">
        <w:rPr>
          <w:b/>
          <w:sz w:val="24"/>
          <w:szCs w:val="24"/>
          <w:lang w:val="en-GB"/>
        </w:rPr>
        <w:lastRenderedPageBreak/>
        <w:t>Abstract</w:t>
      </w:r>
    </w:p>
    <w:p w14:paraId="04A14C91" w14:textId="4394F3FF" w:rsidR="003010BD" w:rsidRPr="006E4DCA" w:rsidRDefault="003010BD" w:rsidP="007E09DA">
      <w:pPr>
        <w:pStyle w:val="BodyText"/>
        <w:spacing w:line="480" w:lineRule="auto"/>
        <w:ind w:firstLine="720"/>
        <w:jc w:val="both"/>
        <w:rPr>
          <w:sz w:val="24"/>
          <w:szCs w:val="22"/>
          <w:lang w:val="en-GB" w:eastAsia="ja-JP"/>
        </w:rPr>
      </w:pPr>
      <w:r w:rsidRPr="006E4DCA">
        <w:rPr>
          <w:sz w:val="24"/>
          <w:szCs w:val="22"/>
          <w:lang w:val="en-GB" w:eastAsia="ja-JP"/>
        </w:rPr>
        <w:t xml:space="preserve">Metacognitions about the positive and negative effects of smoking have been associated with cigarette use and nicotine dependence. The aim of the present study was to validate the Turkish version of the Metacognitions about Smoking Questionnaire (MSQ; </w:t>
      </w:r>
      <w:proofErr w:type="spellStart"/>
      <w:r w:rsidRPr="006E4DCA">
        <w:rPr>
          <w:sz w:val="24"/>
          <w:szCs w:val="22"/>
          <w:lang w:val="en-GB" w:eastAsia="ja-JP"/>
        </w:rPr>
        <w:t>Nikčević</w:t>
      </w:r>
      <w:proofErr w:type="spellEnd"/>
      <w:r w:rsidRPr="006E4DCA">
        <w:rPr>
          <w:sz w:val="24"/>
          <w:szCs w:val="22"/>
          <w:lang w:val="en-GB" w:eastAsia="ja-JP"/>
        </w:rPr>
        <w:t xml:space="preserve"> et al., 2015). The sample consisted of 859 self-declared smokers (452 female) aged between 18 and 68 years (mean = 28.3; SD = 7.9). Once the English to Turkish translation of the MDQ </w:t>
      </w:r>
      <w:r w:rsidR="00707248" w:rsidRPr="006E4DCA">
        <w:rPr>
          <w:sz w:val="24"/>
          <w:szCs w:val="22"/>
          <w:lang w:val="en-GB" w:eastAsia="ja-JP"/>
        </w:rPr>
        <w:t>was</w:t>
      </w:r>
      <w:r w:rsidRPr="006E4DCA">
        <w:rPr>
          <w:sz w:val="24"/>
          <w:szCs w:val="22"/>
          <w:lang w:val="en-GB" w:eastAsia="ja-JP"/>
        </w:rPr>
        <w:t xml:space="preserve"> completed, confirmatory factor analyses were conducted based on the four-factor structure of the original measure.</w:t>
      </w:r>
      <w:r w:rsidR="00F77848" w:rsidRPr="006E4DCA">
        <w:rPr>
          <w:sz w:val="24"/>
          <w:szCs w:val="22"/>
          <w:lang w:val="en-GB" w:eastAsia="ja-JP"/>
        </w:rPr>
        <w:t xml:space="preserve"> Initially results suggest</w:t>
      </w:r>
      <w:r w:rsidR="00707248" w:rsidRPr="006E4DCA">
        <w:rPr>
          <w:sz w:val="24"/>
          <w:szCs w:val="22"/>
          <w:lang w:val="en-GB" w:eastAsia="ja-JP"/>
        </w:rPr>
        <w:t>ed</w:t>
      </w:r>
      <w:r w:rsidR="00F77848" w:rsidRPr="006E4DCA">
        <w:rPr>
          <w:sz w:val="24"/>
          <w:szCs w:val="22"/>
          <w:lang w:val="en-GB" w:eastAsia="ja-JP"/>
        </w:rPr>
        <w:t xml:space="preserve"> that this model was</w:t>
      </w:r>
      <w:r w:rsidRPr="006E4DCA">
        <w:rPr>
          <w:sz w:val="24"/>
          <w:szCs w:val="22"/>
          <w:lang w:val="en-GB" w:eastAsia="ja-JP"/>
        </w:rPr>
        <w:t xml:space="preserve"> an inadequate fit of the data obtained. However, by allowing three pairs of items (within factor) to co-vary, a re-specified model was tested that was found to be a satisfactory fit of the data. Internal reliability and predictive validity of the translated scale were observed to be good. The Turkish version of the MSQ exhibited suitable psychometric properties. This study also showed that metacognitions about smoking predict nicotine dependence independently of demographic variables, length of cigarette use, negative affect</w:t>
      </w:r>
      <w:r w:rsidR="00F77848" w:rsidRPr="006E4DCA">
        <w:rPr>
          <w:sz w:val="24"/>
          <w:szCs w:val="22"/>
          <w:lang w:val="en-GB" w:eastAsia="ja-JP"/>
        </w:rPr>
        <w:t>,</w:t>
      </w:r>
      <w:r w:rsidRPr="006E4DCA">
        <w:rPr>
          <w:sz w:val="24"/>
          <w:szCs w:val="22"/>
          <w:lang w:val="en-GB" w:eastAsia="ja-JP"/>
        </w:rPr>
        <w:t xml:space="preserve"> and smoking outcome expectancies.</w:t>
      </w:r>
    </w:p>
    <w:p w14:paraId="3B030F19" w14:textId="77777777" w:rsidR="003010BD" w:rsidRPr="006E4DCA" w:rsidRDefault="003010BD" w:rsidP="00011661">
      <w:pPr>
        <w:tabs>
          <w:tab w:val="left" w:pos="0"/>
        </w:tabs>
      </w:pPr>
    </w:p>
    <w:p w14:paraId="400933EA" w14:textId="77777777" w:rsidR="00F77848" w:rsidRPr="006E4DCA" w:rsidRDefault="00F77848" w:rsidP="00011661">
      <w:pPr>
        <w:tabs>
          <w:tab w:val="left" w:pos="0"/>
        </w:tabs>
      </w:pPr>
    </w:p>
    <w:p w14:paraId="3C197EF6" w14:textId="77777777" w:rsidR="00F77848" w:rsidRPr="006E4DCA" w:rsidRDefault="00F77848" w:rsidP="00011661">
      <w:pPr>
        <w:tabs>
          <w:tab w:val="left" w:pos="0"/>
        </w:tabs>
      </w:pPr>
    </w:p>
    <w:p w14:paraId="39286CDF" w14:textId="77777777" w:rsidR="00F77848" w:rsidRPr="006E4DCA" w:rsidRDefault="00F77848" w:rsidP="00011661">
      <w:pPr>
        <w:tabs>
          <w:tab w:val="left" w:pos="0"/>
        </w:tabs>
      </w:pPr>
    </w:p>
    <w:p w14:paraId="5EE5881E" w14:textId="77777777" w:rsidR="00F77848" w:rsidRPr="006E4DCA" w:rsidRDefault="00F77848" w:rsidP="00011661">
      <w:pPr>
        <w:tabs>
          <w:tab w:val="left" w:pos="0"/>
        </w:tabs>
      </w:pPr>
    </w:p>
    <w:p w14:paraId="26A3D053" w14:textId="77777777" w:rsidR="00F77848" w:rsidRPr="006E4DCA" w:rsidRDefault="00F77848" w:rsidP="00011661">
      <w:pPr>
        <w:tabs>
          <w:tab w:val="left" w:pos="0"/>
        </w:tabs>
      </w:pPr>
    </w:p>
    <w:p w14:paraId="757BC96E" w14:textId="77777777" w:rsidR="00F77848" w:rsidRPr="006E4DCA" w:rsidRDefault="00F77848" w:rsidP="00011661">
      <w:pPr>
        <w:tabs>
          <w:tab w:val="left" w:pos="0"/>
        </w:tabs>
      </w:pPr>
    </w:p>
    <w:p w14:paraId="28EB7387" w14:textId="77777777" w:rsidR="00F77848" w:rsidRPr="006E4DCA" w:rsidRDefault="00F77848" w:rsidP="00011661">
      <w:pPr>
        <w:tabs>
          <w:tab w:val="left" w:pos="0"/>
        </w:tabs>
      </w:pPr>
    </w:p>
    <w:p w14:paraId="7F67034D" w14:textId="77777777" w:rsidR="003010BD" w:rsidRPr="006E4DCA" w:rsidRDefault="003010BD" w:rsidP="00011661">
      <w:pPr>
        <w:tabs>
          <w:tab w:val="left" w:pos="0"/>
        </w:tabs>
      </w:pPr>
      <w:r w:rsidRPr="006E4DCA">
        <w:t>Key words: metacognitions about smoking; nicotine use; psychometric properties; smoking; smoking outcome expectancies; Turkish sample.</w:t>
      </w:r>
    </w:p>
    <w:p w14:paraId="1F62909F" w14:textId="77777777" w:rsidR="00F77848" w:rsidRPr="006E4DCA" w:rsidRDefault="00F77848" w:rsidP="00011661">
      <w:pPr>
        <w:tabs>
          <w:tab w:val="left" w:pos="0"/>
        </w:tabs>
        <w:sectPr w:rsidR="00F77848" w:rsidRPr="006E4DCA" w:rsidSect="00011661">
          <w:headerReference w:type="even" r:id="rId10"/>
          <w:headerReference w:type="default" r:id="rId11"/>
          <w:pgSz w:w="11900" w:h="16840"/>
          <w:pgMar w:top="1440" w:right="1440" w:bottom="1440" w:left="1440" w:header="708" w:footer="708" w:gutter="0"/>
          <w:cols w:space="708"/>
          <w:docGrid w:linePitch="360"/>
        </w:sectPr>
      </w:pPr>
    </w:p>
    <w:p w14:paraId="424DF7A3" w14:textId="77777777" w:rsidR="003010BD" w:rsidRPr="006E4DCA" w:rsidRDefault="003010BD" w:rsidP="00F77848">
      <w:pPr>
        <w:pStyle w:val="BodyText"/>
        <w:spacing w:line="480" w:lineRule="auto"/>
        <w:jc w:val="center"/>
        <w:rPr>
          <w:b/>
          <w:sz w:val="24"/>
          <w:szCs w:val="24"/>
          <w:lang w:val="en-GB"/>
        </w:rPr>
      </w:pPr>
      <w:r w:rsidRPr="006E4DCA">
        <w:rPr>
          <w:b/>
          <w:sz w:val="24"/>
          <w:szCs w:val="24"/>
          <w:lang w:val="en-GB"/>
        </w:rPr>
        <w:lastRenderedPageBreak/>
        <w:t>1. Introduction</w:t>
      </w:r>
    </w:p>
    <w:p w14:paraId="44220068" w14:textId="1FCB6736" w:rsidR="003010BD" w:rsidRPr="006E4DCA" w:rsidRDefault="003B4F0C" w:rsidP="00011661">
      <w:pPr>
        <w:tabs>
          <w:tab w:val="left" w:pos="900"/>
          <w:tab w:val="left" w:pos="1080"/>
        </w:tabs>
      </w:pPr>
      <w:r w:rsidRPr="006E4DCA">
        <w:tab/>
      </w:r>
      <w:r w:rsidR="003010BD" w:rsidRPr="006E4DCA">
        <w:t xml:space="preserve">The metacognitive model of psychopathology </w:t>
      </w:r>
      <w:r w:rsidR="00E81694" w:rsidRPr="006E4DCA">
        <w:t>developed</w:t>
      </w:r>
      <w:r w:rsidR="003010BD" w:rsidRPr="006E4DCA">
        <w:t xml:space="preserve"> by Wells and Matthews (1994; 1996) advocates that the escalation and persistence of psychological distress is linked to the presence of metacognitions. Metacognitions refer to the beliefs we hold about our cognitive system and ways that we can control it (Wells, 2000)</w:t>
      </w:r>
      <w:r w:rsidR="00E81694" w:rsidRPr="006E4DCA">
        <w:t>. They</w:t>
      </w:r>
      <w:r w:rsidR="003010BD" w:rsidRPr="006E4DCA">
        <w:t xml:space="preserve"> can be </w:t>
      </w:r>
      <w:r w:rsidR="00E81694" w:rsidRPr="006E4DCA">
        <w:t xml:space="preserve">broadly </w:t>
      </w:r>
      <w:r w:rsidR="003010BD" w:rsidRPr="006E4DCA">
        <w:t>separated into two domains: (1) positive metacognitions about control strategies that impact on inner events</w:t>
      </w:r>
      <w:r w:rsidR="00DC41A5" w:rsidRPr="006E4DCA">
        <w:t xml:space="preserve"> (e.g., </w:t>
      </w:r>
      <w:r w:rsidR="003010BD" w:rsidRPr="006E4DCA">
        <w:t>“Worry will help me problem-solve” or “If I ruminate I will remember more accurately”</w:t>
      </w:r>
      <w:r w:rsidR="00DC41A5" w:rsidRPr="006E4DCA">
        <w:t>)</w:t>
      </w:r>
      <w:r w:rsidR="003010BD" w:rsidRPr="006E4DCA">
        <w:t>; and (2) negative metacognitions concerning the significance, controllability</w:t>
      </w:r>
      <w:r w:rsidR="00DC41A5" w:rsidRPr="006E4DCA">
        <w:t>,</w:t>
      </w:r>
      <w:r w:rsidR="003010BD" w:rsidRPr="006E4DCA">
        <w:t xml:space="preserve"> and danger of inner events</w:t>
      </w:r>
      <w:r w:rsidR="00DC41A5" w:rsidRPr="006E4DCA">
        <w:t xml:space="preserve"> (e.g.</w:t>
      </w:r>
      <w:r w:rsidR="003010BD" w:rsidRPr="006E4DCA">
        <w:t>, “Having certain thoughts means I am weak” or “I cannot stop worrying”</w:t>
      </w:r>
      <w:r w:rsidR="00DC41A5" w:rsidRPr="006E4DCA">
        <w:t>)</w:t>
      </w:r>
      <w:r w:rsidR="003010BD" w:rsidRPr="006E4DCA">
        <w:t>.</w:t>
      </w:r>
    </w:p>
    <w:p w14:paraId="6776679A" w14:textId="123A0C90" w:rsidR="003010BD" w:rsidRPr="006E4DCA" w:rsidRDefault="003010BD" w:rsidP="00011661">
      <w:pPr>
        <w:tabs>
          <w:tab w:val="left" w:pos="900"/>
          <w:tab w:val="left" w:pos="1080"/>
        </w:tabs>
      </w:pPr>
      <w:r w:rsidRPr="006E4DCA">
        <w:tab/>
      </w:r>
      <w:r w:rsidR="00737F96" w:rsidRPr="006E4DCA">
        <w:t>According to</w:t>
      </w:r>
      <w:r w:rsidRPr="006E4DCA">
        <w:t xml:space="preserve"> the metacognitive model, the selection and implementation of coping strategi</w:t>
      </w:r>
      <w:r w:rsidR="007269B1" w:rsidRPr="006E4DCA">
        <w:t xml:space="preserve">es for controlling cognition </w:t>
      </w:r>
      <w:r w:rsidR="00F51A77" w:rsidRPr="006E4DCA">
        <w:t>is</w:t>
      </w:r>
      <w:r w:rsidR="007269B1" w:rsidRPr="006E4DCA">
        <w:t xml:space="preserve"> partially determined by</w:t>
      </w:r>
      <w:r w:rsidRPr="006E4DCA">
        <w:t xml:space="preserve"> positive metacognitions that paradoxically focus attention towards distress congruent information (e.g.</w:t>
      </w:r>
      <w:r w:rsidR="00C96339" w:rsidRPr="006E4DCA">
        <w:t>,</w:t>
      </w:r>
      <w:r w:rsidRPr="006E4DCA">
        <w:t xml:space="preserve"> environmental threats</w:t>
      </w:r>
      <w:r w:rsidR="00A0665D" w:rsidRPr="006E4DCA">
        <w:t>, negative affect, and symptoms/bodily sensations</w:t>
      </w:r>
      <w:r w:rsidRPr="006E4DCA">
        <w:t>)</w:t>
      </w:r>
      <w:r w:rsidR="00C96339" w:rsidRPr="006E4DCA">
        <w:t>. This leads t</w:t>
      </w:r>
      <w:r w:rsidRPr="006E4DCA">
        <w:t>o the activation of unhelpful coping strategies (e.g.</w:t>
      </w:r>
      <w:r w:rsidR="00C96339" w:rsidRPr="006E4DCA">
        <w:t>,</w:t>
      </w:r>
      <w:r w:rsidRPr="006E4DCA">
        <w:t xml:space="preserve"> avoidance, thought suppression, </w:t>
      </w:r>
      <w:r w:rsidR="00C96339" w:rsidRPr="006E4DCA">
        <w:t xml:space="preserve">and </w:t>
      </w:r>
      <w:r w:rsidRPr="006E4DCA">
        <w:t xml:space="preserve">perseverative thinking) </w:t>
      </w:r>
      <w:r w:rsidR="00C96339" w:rsidRPr="006E4DCA">
        <w:t>that fail to</w:t>
      </w:r>
      <w:r w:rsidRPr="006E4DCA">
        <w:t xml:space="preserve"> result in a successful psychological resolution. Over time, the engagement in these maladaptive coping strategies leads to the development of an internal dissonance characterized by negative metacognitions towards the selected coping strategies and internal experiences more generally leading to the escalation of psychological distress. Research spanning almost thirty years has found that metacognitions are associated with, and are an important independent </w:t>
      </w:r>
      <w:r w:rsidR="004D74EB" w:rsidRPr="006E4DCA">
        <w:t>explanatory variable for</w:t>
      </w:r>
      <w:r w:rsidRPr="006E4DCA">
        <w:t>, a wide array of psychological and behavioural problems (for a review see Wells, 2013). This includes addictive behaviours such as alcohol use (e.g.</w:t>
      </w:r>
      <w:r w:rsidR="00B942D9" w:rsidRPr="006E4DCA">
        <w:t>,</w:t>
      </w:r>
      <w:r w:rsidRPr="006E4DCA">
        <w:t xml:space="preserve"> Clark et al., 2012; Spada et al., 2009; Spada &amp; Wells, 2005; 2006; 2008; 2009; 2010), gambling (e.g.</w:t>
      </w:r>
      <w:r w:rsidRPr="006E4DCA">
        <w:rPr>
          <w:color w:val="000000"/>
        </w:rPr>
        <w:t xml:space="preserve"> Lindberg et al., 2011; </w:t>
      </w:r>
      <w:r w:rsidRPr="006E4DCA">
        <w:t>Spada et al., 2014), and problematic Internet use (Spada et al.,</w:t>
      </w:r>
      <w:r w:rsidRPr="006E4DCA">
        <w:rPr>
          <w:szCs w:val="24"/>
        </w:rPr>
        <w:t xml:space="preserve"> 2008).</w:t>
      </w:r>
    </w:p>
    <w:p w14:paraId="44716645" w14:textId="71E86201" w:rsidR="003010BD" w:rsidRPr="006E4DCA" w:rsidRDefault="003010BD" w:rsidP="00EF718E">
      <w:pPr>
        <w:pStyle w:val="BodyText"/>
        <w:spacing w:line="480" w:lineRule="auto"/>
        <w:ind w:firstLine="720"/>
        <w:jc w:val="both"/>
        <w:rPr>
          <w:sz w:val="24"/>
          <w:szCs w:val="24"/>
          <w:lang w:val="en-GB"/>
        </w:rPr>
      </w:pPr>
      <w:r w:rsidRPr="006E4DCA">
        <w:rPr>
          <w:sz w:val="24"/>
          <w:szCs w:val="24"/>
          <w:lang w:val="en-GB"/>
        </w:rPr>
        <w:lastRenderedPageBreak/>
        <w:t xml:space="preserve">Five key studies have been undertaken </w:t>
      </w:r>
      <w:r w:rsidR="00985A63" w:rsidRPr="006E4DCA">
        <w:rPr>
          <w:sz w:val="24"/>
          <w:szCs w:val="24"/>
          <w:lang w:val="en-GB"/>
        </w:rPr>
        <w:t xml:space="preserve">that have </w:t>
      </w:r>
      <w:r w:rsidRPr="006E4DCA">
        <w:rPr>
          <w:sz w:val="24"/>
          <w:szCs w:val="24"/>
          <w:lang w:val="en-GB"/>
        </w:rPr>
        <w:t>investigat</w:t>
      </w:r>
      <w:r w:rsidR="00985A63" w:rsidRPr="006E4DCA">
        <w:rPr>
          <w:sz w:val="24"/>
          <w:szCs w:val="24"/>
          <w:lang w:val="en-GB"/>
        </w:rPr>
        <w:t>ed</w:t>
      </w:r>
      <w:r w:rsidRPr="006E4DCA">
        <w:rPr>
          <w:sz w:val="24"/>
          <w:szCs w:val="24"/>
          <w:lang w:val="en-GB"/>
        </w:rPr>
        <w:t xml:space="preserve"> the role of metacognitions in nicotine use. In the earliest study, Spada and </w:t>
      </w:r>
      <w:r w:rsidR="00CD01F2" w:rsidRPr="006E4DCA">
        <w:rPr>
          <w:sz w:val="24"/>
          <w:szCs w:val="24"/>
          <w:lang w:val="en-GB"/>
        </w:rPr>
        <w:t>colleagues (Spada et al., 2007)</w:t>
      </w:r>
      <w:r w:rsidRPr="006E4DCA">
        <w:rPr>
          <w:sz w:val="24"/>
          <w:szCs w:val="24"/>
          <w:lang w:val="en-GB"/>
        </w:rPr>
        <w:t xml:space="preserve"> </w:t>
      </w:r>
      <w:r w:rsidR="00CD01F2" w:rsidRPr="006E4DCA">
        <w:rPr>
          <w:sz w:val="24"/>
          <w:szCs w:val="24"/>
          <w:lang w:val="en-GB"/>
        </w:rPr>
        <w:t>employed</w:t>
      </w:r>
      <w:r w:rsidRPr="006E4DCA">
        <w:rPr>
          <w:sz w:val="24"/>
          <w:szCs w:val="24"/>
          <w:lang w:val="en-GB"/>
        </w:rPr>
        <w:t xml:space="preserve"> a generic measure of maladaptive metacognitions (the Metacognitions Questionnaire 30; Wells </w:t>
      </w:r>
      <w:r w:rsidR="00CD01F2" w:rsidRPr="006E4DCA">
        <w:rPr>
          <w:sz w:val="24"/>
          <w:szCs w:val="24"/>
          <w:lang w:val="en-GB"/>
        </w:rPr>
        <w:t>&amp;</w:t>
      </w:r>
      <w:r w:rsidRPr="006E4DCA">
        <w:rPr>
          <w:sz w:val="24"/>
          <w:szCs w:val="24"/>
          <w:lang w:val="en-GB"/>
        </w:rPr>
        <w:t xml:space="preserve"> Car</w:t>
      </w:r>
      <w:r w:rsidR="00CD01F2" w:rsidRPr="006E4DCA">
        <w:rPr>
          <w:sz w:val="24"/>
          <w:szCs w:val="24"/>
          <w:lang w:val="en-GB"/>
        </w:rPr>
        <w:t>t</w:t>
      </w:r>
      <w:r w:rsidRPr="006E4DCA">
        <w:rPr>
          <w:sz w:val="24"/>
          <w:szCs w:val="24"/>
          <w:lang w:val="en-GB"/>
        </w:rPr>
        <w:t>wright-Hatton, 2004)</w:t>
      </w:r>
      <w:r w:rsidR="00CD01F2" w:rsidRPr="006E4DCA">
        <w:rPr>
          <w:sz w:val="24"/>
          <w:szCs w:val="24"/>
          <w:lang w:val="en-GB"/>
        </w:rPr>
        <w:t xml:space="preserve"> and</w:t>
      </w:r>
      <w:r w:rsidRPr="006E4DCA">
        <w:rPr>
          <w:sz w:val="24"/>
          <w:szCs w:val="24"/>
          <w:lang w:val="en-GB"/>
        </w:rPr>
        <w:t xml:space="preserve"> found evidence that positive beliefs about worry, lack of cognitive confidence, and beliefs about the need to control thoughts </w:t>
      </w:r>
      <w:r w:rsidR="00CD01F2" w:rsidRPr="006E4DCA">
        <w:rPr>
          <w:sz w:val="24"/>
          <w:szCs w:val="24"/>
          <w:lang w:val="en-GB"/>
        </w:rPr>
        <w:t>were significantly associated with</w:t>
      </w:r>
      <w:r w:rsidRPr="006E4DCA">
        <w:rPr>
          <w:sz w:val="24"/>
          <w:szCs w:val="24"/>
          <w:lang w:val="en-GB"/>
        </w:rPr>
        <w:t xml:space="preserve"> nicotine use</w:t>
      </w:r>
      <w:r w:rsidR="00B72CFC" w:rsidRPr="006E4DCA">
        <w:rPr>
          <w:sz w:val="24"/>
          <w:szCs w:val="24"/>
          <w:lang w:val="en-GB"/>
        </w:rPr>
        <w:t>,</w:t>
      </w:r>
      <w:r w:rsidRPr="006E4DCA">
        <w:rPr>
          <w:sz w:val="24"/>
          <w:szCs w:val="24"/>
          <w:lang w:val="en-GB"/>
        </w:rPr>
        <w:t xml:space="preserve"> independently of negative emotions. The authors </w:t>
      </w:r>
      <w:r w:rsidR="00B72CFC" w:rsidRPr="006E4DCA">
        <w:rPr>
          <w:sz w:val="24"/>
          <w:szCs w:val="24"/>
          <w:lang w:val="en-GB"/>
        </w:rPr>
        <w:t>proposed</w:t>
      </w:r>
      <w:r w:rsidRPr="006E4DCA">
        <w:rPr>
          <w:sz w:val="24"/>
          <w:szCs w:val="24"/>
          <w:lang w:val="en-GB"/>
        </w:rPr>
        <w:t xml:space="preserve"> that positive beliefs about worry and beliefs about cognitive confidence represent metacognitive knowledge about</w:t>
      </w:r>
      <w:r w:rsidR="00147878" w:rsidRPr="006E4DCA">
        <w:rPr>
          <w:sz w:val="24"/>
          <w:szCs w:val="24"/>
          <w:lang w:val="en-GB"/>
        </w:rPr>
        <w:t xml:space="preserve"> a</w:t>
      </w:r>
      <w:r w:rsidRPr="006E4DCA">
        <w:rPr>
          <w:sz w:val="24"/>
          <w:szCs w:val="24"/>
          <w:lang w:val="en-GB"/>
        </w:rPr>
        <w:t xml:space="preserve"> diminished confidence in coping</w:t>
      </w:r>
      <w:r w:rsidR="00147878" w:rsidRPr="006E4DCA">
        <w:rPr>
          <w:sz w:val="24"/>
          <w:szCs w:val="24"/>
          <w:lang w:val="en-GB"/>
        </w:rPr>
        <w:t>, as well as</w:t>
      </w:r>
      <w:r w:rsidRPr="006E4DCA">
        <w:rPr>
          <w:sz w:val="24"/>
          <w:szCs w:val="24"/>
          <w:lang w:val="en-GB"/>
        </w:rPr>
        <w:t xml:space="preserve"> a need to anticipate problems and</w:t>
      </w:r>
      <w:r w:rsidR="00147878" w:rsidRPr="006E4DCA">
        <w:rPr>
          <w:sz w:val="24"/>
          <w:szCs w:val="24"/>
          <w:lang w:val="en-GB"/>
        </w:rPr>
        <w:t xml:space="preserve"> to</w:t>
      </w:r>
      <w:r w:rsidRPr="006E4DCA">
        <w:rPr>
          <w:sz w:val="24"/>
          <w:szCs w:val="24"/>
          <w:lang w:val="en-GB"/>
        </w:rPr>
        <w:t xml:space="preserve"> control cognition. They argued that these metacognitions would contribute to nicotine dependence because smoking enhances subjective cognitive confidence</w:t>
      </w:r>
      <w:r w:rsidR="0084342E" w:rsidRPr="006E4DCA">
        <w:rPr>
          <w:sz w:val="24"/>
          <w:szCs w:val="24"/>
          <w:lang w:val="en-GB"/>
        </w:rPr>
        <w:t>:</w:t>
      </w:r>
      <w:r w:rsidRPr="006E4DCA">
        <w:rPr>
          <w:sz w:val="24"/>
          <w:szCs w:val="24"/>
          <w:lang w:val="en-GB"/>
        </w:rPr>
        <w:t xml:space="preserve"> in the short-term</w:t>
      </w:r>
      <w:r w:rsidR="0084342E" w:rsidRPr="006E4DCA">
        <w:rPr>
          <w:sz w:val="24"/>
          <w:szCs w:val="24"/>
          <w:lang w:val="en-GB"/>
        </w:rPr>
        <w:t xml:space="preserve"> </w:t>
      </w:r>
      <w:r w:rsidR="00830349" w:rsidRPr="006E4DCA">
        <w:rPr>
          <w:sz w:val="24"/>
          <w:szCs w:val="24"/>
          <w:lang w:val="en-GB"/>
        </w:rPr>
        <w:t xml:space="preserve">some believe that </w:t>
      </w:r>
      <w:r w:rsidR="0084342E" w:rsidRPr="006E4DCA">
        <w:rPr>
          <w:sz w:val="24"/>
          <w:szCs w:val="24"/>
          <w:lang w:val="en-GB"/>
        </w:rPr>
        <w:t>smoking can result in</w:t>
      </w:r>
      <w:r w:rsidRPr="006E4DCA">
        <w:rPr>
          <w:sz w:val="24"/>
          <w:szCs w:val="24"/>
          <w:lang w:val="en-GB"/>
        </w:rPr>
        <w:t xml:space="preserve"> improvements in vigilance, rapid information processing, and verbal recall. The authors also reflected that beliefs about the need to control thoughts could be a marker for attitu</w:t>
      </w:r>
      <w:r w:rsidR="00830349" w:rsidRPr="006E4DCA">
        <w:rPr>
          <w:sz w:val="24"/>
          <w:szCs w:val="24"/>
          <w:lang w:val="en-GB"/>
        </w:rPr>
        <w:t>des towards intrusive thoughts, such as</w:t>
      </w:r>
      <w:r w:rsidRPr="006E4DCA">
        <w:rPr>
          <w:sz w:val="24"/>
          <w:szCs w:val="24"/>
          <w:lang w:val="en-GB"/>
        </w:rPr>
        <w:t xml:space="preserve"> </w:t>
      </w:r>
      <w:r w:rsidR="00830349" w:rsidRPr="006E4DCA">
        <w:rPr>
          <w:sz w:val="24"/>
          <w:szCs w:val="24"/>
          <w:lang w:val="en-GB"/>
        </w:rPr>
        <w:t>‘</w:t>
      </w:r>
      <w:r w:rsidRPr="006E4DCA">
        <w:rPr>
          <w:sz w:val="24"/>
          <w:szCs w:val="24"/>
          <w:lang w:val="en-GB"/>
        </w:rPr>
        <w:t>craving</w:t>
      </w:r>
      <w:r w:rsidR="00830349" w:rsidRPr="006E4DCA">
        <w:rPr>
          <w:sz w:val="24"/>
          <w:szCs w:val="24"/>
          <w:lang w:val="en-GB"/>
        </w:rPr>
        <w:t>’ thoughts about smoking</w:t>
      </w:r>
      <w:r w:rsidRPr="006E4DCA">
        <w:rPr>
          <w:sz w:val="24"/>
          <w:szCs w:val="24"/>
          <w:lang w:val="en-GB"/>
        </w:rPr>
        <w:t>. In other words, such thoughts need to be controlled otherwise they will ‘take-over’ an individual’s behaviour</w:t>
      </w:r>
      <w:r w:rsidR="00EF718E" w:rsidRPr="006E4DCA">
        <w:rPr>
          <w:sz w:val="24"/>
          <w:szCs w:val="24"/>
          <w:lang w:val="en-GB"/>
        </w:rPr>
        <w:t xml:space="preserve"> and they may not be able to stop thinking about smoking</w:t>
      </w:r>
      <w:r w:rsidRPr="006E4DCA">
        <w:rPr>
          <w:sz w:val="24"/>
          <w:szCs w:val="24"/>
          <w:lang w:val="en-GB"/>
        </w:rPr>
        <w:t>.</w:t>
      </w:r>
    </w:p>
    <w:p w14:paraId="4D6D516A" w14:textId="621534E6" w:rsidR="003010BD" w:rsidRPr="006E4DCA" w:rsidRDefault="003010BD" w:rsidP="00011661">
      <w:pPr>
        <w:tabs>
          <w:tab w:val="left" w:pos="900"/>
          <w:tab w:val="left" w:pos="1080"/>
        </w:tabs>
      </w:pPr>
      <w:r w:rsidRPr="006E4DCA">
        <w:tab/>
        <w:t xml:space="preserve">In a second study, </w:t>
      </w:r>
      <w:proofErr w:type="spellStart"/>
      <w:r w:rsidRPr="006E4DCA">
        <w:t>Nikčević</w:t>
      </w:r>
      <w:proofErr w:type="spellEnd"/>
      <w:r w:rsidRPr="006E4DCA">
        <w:t xml:space="preserve"> and Spada (2008) investigated the role of metacognitions in high-dependency smokers, low-dependency smokers, and non-smokers using the MCQ-30. They found that high-dependency smokers scored higher than non-smokers on positive beliefs about worry. Furthermore, they observed that, on beliefs about the need to control thoughts, high and low-dependency smokers scored higher than non-smokers. The results were in line with Spada and colleagues’ earlier findings (Spada et al., 2007)</w:t>
      </w:r>
      <w:r w:rsidR="0001218A" w:rsidRPr="006E4DCA">
        <w:t>,</w:t>
      </w:r>
      <w:r w:rsidRPr="006E4DCA">
        <w:t xml:space="preserve"> providing further evidence that generic metacognitions play a role in nicotine dependence.</w:t>
      </w:r>
    </w:p>
    <w:p w14:paraId="75D91C02" w14:textId="3EC1A90B" w:rsidR="003010BD" w:rsidRPr="006E4DCA" w:rsidRDefault="003010BD" w:rsidP="00011661">
      <w:pPr>
        <w:ind w:firstLine="720"/>
        <w:rPr>
          <w:szCs w:val="24"/>
        </w:rPr>
      </w:pPr>
      <w:r w:rsidRPr="006E4DCA">
        <w:lastRenderedPageBreak/>
        <w:t xml:space="preserve">In view of the findings from the above studies, </w:t>
      </w:r>
      <w:proofErr w:type="spellStart"/>
      <w:r w:rsidRPr="006E4DCA">
        <w:t>Nikčević</w:t>
      </w:r>
      <w:proofErr w:type="spellEnd"/>
      <w:r w:rsidRPr="006E4DCA">
        <w:t xml:space="preserve"> and Spada (2010) undertook a qualitative study involving 12 smokers aimed at investigating whether specific types of metacognitions played a role in explaining smoking initiation and perseveration. Results indicated that participants endorsed both positive and negative metacognitions about smoking. Positive metacognitions reflected the usefulness of smoking in the regulation of emotional and cognitive states. Negative metacognitions concerned the uncontrollability of </w:t>
      </w:r>
      <w:r w:rsidR="0001218A" w:rsidRPr="006E4DCA">
        <w:t>‘</w:t>
      </w:r>
      <w:r w:rsidRPr="006E4DCA">
        <w:t>smoking urges</w:t>
      </w:r>
      <w:r w:rsidR="0001218A" w:rsidRPr="006E4DCA">
        <w:t>’</w:t>
      </w:r>
      <w:r w:rsidRPr="006E4DCA">
        <w:t xml:space="preserve"> and the negative impact of smoking on self-appraisal. </w:t>
      </w:r>
      <w:r w:rsidRPr="006E4DCA">
        <w:rPr>
          <w:szCs w:val="24"/>
        </w:rPr>
        <w:t xml:space="preserve">A fourth study undertaken by </w:t>
      </w:r>
      <w:proofErr w:type="spellStart"/>
      <w:r w:rsidRPr="006E4DCA">
        <w:rPr>
          <w:szCs w:val="24"/>
        </w:rPr>
        <w:t>Nosen</w:t>
      </w:r>
      <w:proofErr w:type="spellEnd"/>
      <w:r w:rsidRPr="006E4DCA">
        <w:rPr>
          <w:szCs w:val="24"/>
        </w:rPr>
        <w:t xml:space="preserve"> and Woody (2014) recruited 176 adult smokers interested in quitting and found that smoking cessation outcomes and metacognitions were likely to have a bidirectional relationship </w:t>
      </w:r>
      <w:r w:rsidR="0001218A" w:rsidRPr="006E4DCA">
        <w:rPr>
          <w:szCs w:val="24"/>
        </w:rPr>
        <w:t xml:space="preserve">that is </w:t>
      </w:r>
      <w:r w:rsidRPr="006E4DCA">
        <w:rPr>
          <w:szCs w:val="24"/>
        </w:rPr>
        <w:t>strongly related to negative affect.</w:t>
      </w:r>
    </w:p>
    <w:p w14:paraId="25146407" w14:textId="26F3891A" w:rsidR="003010BD" w:rsidRPr="006E4DCA" w:rsidRDefault="003010BD" w:rsidP="00011661">
      <w:pPr>
        <w:ind w:firstLine="720"/>
      </w:pPr>
      <w:r w:rsidRPr="006E4DCA">
        <w:t>Following on from the</w:t>
      </w:r>
      <w:r w:rsidR="00BD7293" w:rsidRPr="006E4DCA">
        <w:t>se</w:t>
      </w:r>
      <w:r w:rsidRPr="006E4DCA">
        <w:t xml:space="preserve"> findings, and especially those obtained from </w:t>
      </w:r>
      <w:proofErr w:type="spellStart"/>
      <w:r w:rsidRPr="006E4DCA">
        <w:t>Nikčević</w:t>
      </w:r>
      <w:proofErr w:type="spellEnd"/>
      <w:r w:rsidRPr="006E4DCA">
        <w:t xml:space="preserve"> and </w:t>
      </w:r>
      <w:proofErr w:type="spellStart"/>
      <w:r w:rsidRPr="006E4DCA">
        <w:t>Spada’s</w:t>
      </w:r>
      <w:proofErr w:type="spellEnd"/>
      <w:r w:rsidRPr="006E4DCA">
        <w:t xml:space="preserve"> (2010) interviews, </w:t>
      </w:r>
      <w:proofErr w:type="spellStart"/>
      <w:r w:rsidRPr="006E4DCA">
        <w:t>Nikčević</w:t>
      </w:r>
      <w:proofErr w:type="spellEnd"/>
      <w:r w:rsidRPr="006E4DCA">
        <w:t xml:space="preserve"> and colleagues (</w:t>
      </w:r>
      <w:proofErr w:type="spellStart"/>
      <w:r w:rsidRPr="006E4DCA">
        <w:rPr>
          <w:szCs w:val="24"/>
        </w:rPr>
        <w:t>Nikčević</w:t>
      </w:r>
      <w:proofErr w:type="spellEnd"/>
      <w:r w:rsidRPr="006E4DCA">
        <w:rPr>
          <w:szCs w:val="24"/>
        </w:rPr>
        <w:t xml:space="preserve"> et al., 2015</w:t>
      </w:r>
      <w:r w:rsidRPr="006E4DCA">
        <w:t xml:space="preserve">) developed the Metacognitions about Smoking Questionnaire (MSQ). Exploratory and confirmatory factor analyses supported a four-factor solution for the MSQ with the following factors: positive metacognitions about cognitive regulation, positive metacognitions about emotional regulation, negative metacognitions about uncontrollability, and negative metacognitions about cognitive interference. </w:t>
      </w:r>
      <w:r w:rsidRPr="006E4DCA">
        <w:rPr>
          <w:szCs w:val="24"/>
        </w:rPr>
        <w:t>The MSQ was shown to possess convergent and predictive validity, adequate-to-good internal consistency, and temporal stability</w:t>
      </w:r>
      <w:r w:rsidRPr="006E4DCA">
        <w:t>.</w:t>
      </w:r>
    </w:p>
    <w:p w14:paraId="1A4E1838" w14:textId="7EF105AE"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 xml:space="preserve">The aim of the current study was to translate the </w:t>
      </w:r>
      <w:r w:rsidR="001C66CE" w:rsidRPr="006E4DCA">
        <w:rPr>
          <w:sz w:val="24"/>
          <w:szCs w:val="24"/>
          <w:lang w:val="en-GB"/>
        </w:rPr>
        <w:t xml:space="preserve">original English version of the </w:t>
      </w:r>
      <w:r w:rsidRPr="006E4DCA">
        <w:rPr>
          <w:sz w:val="24"/>
          <w:szCs w:val="24"/>
          <w:lang w:val="en-GB"/>
        </w:rPr>
        <w:t xml:space="preserve">MSQ into Turkish and to examine its psychometric properties in a large sample of smokers. The </w:t>
      </w:r>
      <w:r w:rsidR="00E405D2" w:rsidRPr="006E4DCA">
        <w:rPr>
          <w:sz w:val="24"/>
          <w:szCs w:val="24"/>
          <w:lang w:val="en-GB"/>
        </w:rPr>
        <w:t>translated</w:t>
      </w:r>
      <w:r w:rsidRPr="006E4DCA">
        <w:rPr>
          <w:sz w:val="24"/>
          <w:szCs w:val="24"/>
          <w:lang w:val="en-GB"/>
        </w:rPr>
        <w:t xml:space="preserve"> MSQ may be of use not only because Turkish is a language spoken by almost by 220 million people around the world (</w:t>
      </w:r>
      <w:proofErr w:type="spellStart"/>
      <w:r w:rsidRPr="006E4DCA">
        <w:rPr>
          <w:sz w:val="24"/>
          <w:szCs w:val="24"/>
          <w:lang w:val="en-GB"/>
        </w:rPr>
        <w:t>Akalın</w:t>
      </w:r>
      <w:proofErr w:type="spellEnd"/>
      <w:r w:rsidRPr="006E4DCA">
        <w:rPr>
          <w:sz w:val="24"/>
          <w:szCs w:val="24"/>
          <w:lang w:val="en-GB"/>
        </w:rPr>
        <w:t>, 2009), but also because smoking is a considerable health problem in Turkey. Indeed almost 27% of the Turkish population over the age of 15 consumes tobacco products (World Health Organization, 2015), even after reductions brought about by legal restrictions on smoking (</w:t>
      </w:r>
      <w:proofErr w:type="spellStart"/>
      <w:r w:rsidRPr="006E4DCA">
        <w:rPr>
          <w:sz w:val="24"/>
          <w:szCs w:val="24"/>
          <w:lang w:val="en-GB"/>
        </w:rPr>
        <w:t>Jakab</w:t>
      </w:r>
      <w:proofErr w:type="spellEnd"/>
      <w:r w:rsidRPr="006E4DCA">
        <w:rPr>
          <w:sz w:val="24"/>
          <w:szCs w:val="24"/>
          <w:lang w:val="en-GB"/>
        </w:rPr>
        <w:t xml:space="preserve"> et al., 2014). In addition, </w:t>
      </w:r>
      <w:r w:rsidRPr="006E4DCA">
        <w:rPr>
          <w:sz w:val="24"/>
          <w:szCs w:val="24"/>
          <w:lang w:val="en-GB"/>
        </w:rPr>
        <w:lastRenderedPageBreak/>
        <w:t>approximately 100,000 individuals die yearly of smoking-related diseases</w:t>
      </w:r>
      <w:r w:rsidR="00126FFD" w:rsidRPr="006E4DCA">
        <w:rPr>
          <w:sz w:val="24"/>
          <w:szCs w:val="24"/>
          <w:lang w:val="en-GB"/>
        </w:rPr>
        <w:t xml:space="preserve"> in Turkey</w:t>
      </w:r>
      <w:r w:rsidRPr="006E4DCA">
        <w:rPr>
          <w:sz w:val="24"/>
          <w:szCs w:val="24"/>
          <w:lang w:val="en-GB"/>
        </w:rPr>
        <w:t xml:space="preserve"> (</w:t>
      </w:r>
      <w:proofErr w:type="spellStart"/>
      <w:r w:rsidRPr="006E4DCA">
        <w:rPr>
          <w:sz w:val="24"/>
          <w:szCs w:val="24"/>
          <w:lang w:val="en-GB"/>
        </w:rPr>
        <w:t>Bilici</w:t>
      </w:r>
      <w:proofErr w:type="spellEnd"/>
      <w:r w:rsidRPr="006E4DCA">
        <w:rPr>
          <w:sz w:val="24"/>
          <w:szCs w:val="24"/>
          <w:lang w:val="en-GB"/>
        </w:rPr>
        <w:t>, 2012).</w:t>
      </w:r>
    </w:p>
    <w:p w14:paraId="4103CE3F" w14:textId="70321517"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 xml:space="preserve">We first ran a </w:t>
      </w:r>
      <w:r w:rsidR="007F45E3" w:rsidRPr="006E4DCA">
        <w:rPr>
          <w:sz w:val="24"/>
          <w:szCs w:val="24"/>
          <w:lang w:val="en-GB"/>
        </w:rPr>
        <w:t xml:space="preserve">series of </w:t>
      </w:r>
      <w:r w:rsidRPr="006E4DCA">
        <w:rPr>
          <w:sz w:val="24"/>
          <w:szCs w:val="24"/>
          <w:lang w:val="en-GB"/>
        </w:rPr>
        <w:t>confirmatory factor analys</w:t>
      </w:r>
      <w:r w:rsidR="007F45E3" w:rsidRPr="006E4DCA">
        <w:rPr>
          <w:sz w:val="24"/>
          <w:szCs w:val="24"/>
          <w:lang w:val="en-GB"/>
        </w:rPr>
        <w:t>e</w:t>
      </w:r>
      <w:r w:rsidRPr="006E4DCA">
        <w:rPr>
          <w:sz w:val="24"/>
          <w:szCs w:val="24"/>
          <w:lang w:val="en-GB"/>
        </w:rPr>
        <w:t xml:space="preserve">s </w:t>
      </w:r>
      <w:r w:rsidR="007F45E3" w:rsidRPr="006E4DCA">
        <w:rPr>
          <w:sz w:val="24"/>
          <w:szCs w:val="24"/>
          <w:lang w:val="en-GB"/>
        </w:rPr>
        <w:t>of a Turkish version of the MSQ</w:t>
      </w:r>
      <w:r w:rsidRPr="006E4DCA">
        <w:rPr>
          <w:sz w:val="24"/>
          <w:szCs w:val="24"/>
          <w:lang w:val="en-GB"/>
        </w:rPr>
        <w:t xml:space="preserve">. We then investigated </w:t>
      </w:r>
      <w:r w:rsidR="007F45E3" w:rsidRPr="006E4DCA">
        <w:rPr>
          <w:sz w:val="24"/>
          <w:szCs w:val="24"/>
          <w:lang w:val="en-GB"/>
        </w:rPr>
        <w:t>its</w:t>
      </w:r>
      <w:r w:rsidRPr="006E4DCA">
        <w:rPr>
          <w:sz w:val="24"/>
          <w:szCs w:val="24"/>
          <w:lang w:val="en-GB"/>
        </w:rPr>
        <w:t xml:space="preserve"> internal consistency and concurrent validity. When examining concurrent validity, we wanted to examine whether factors of the MSQ would be significantly associated with nicotine dependence when controlling for age, gender, negative affect, </w:t>
      </w:r>
      <w:r w:rsidR="007F45E3" w:rsidRPr="006E4DCA">
        <w:rPr>
          <w:sz w:val="24"/>
          <w:szCs w:val="24"/>
          <w:lang w:val="en-GB"/>
        </w:rPr>
        <w:t xml:space="preserve">the </w:t>
      </w:r>
      <w:r w:rsidRPr="006E4DCA">
        <w:rPr>
          <w:sz w:val="24"/>
          <w:szCs w:val="24"/>
          <w:lang w:val="en-GB"/>
        </w:rPr>
        <w:t xml:space="preserve">age </w:t>
      </w:r>
      <w:r w:rsidR="007F45E3" w:rsidRPr="006E4DCA">
        <w:rPr>
          <w:sz w:val="24"/>
          <w:szCs w:val="24"/>
          <w:lang w:val="en-GB"/>
        </w:rPr>
        <w:t xml:space="preserve">an individual </w:t>
      </w:r>
      <w:r w:rsidRPr="006E4DCA">
        <w:rPr>
          <w:sz w:val="24"/>
          <w:szCs w:val="24"/>
          <w:lang w:val="en-GB"/>
        </w:rPr>
        <w:t>started smoking, exposure to smoking cessation treatment, and smoking outcome expectancies.</w:t>
      </w:r>
    </w:p>
    <w:p w14:paraId="4A0C1FAD" w14:textId="13A64556"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 xml:space="preserve">We chose to control for smoking outcome expectancies because they are a related but separate construct from metacognitions about smoking. As postulated by </w:t>
      </w:r>
      <w:proofErr w:type="spellStart"/>
      <w:r w:rsidRPr="006E4DCA">
        <w:rPr>
          <w:sz w:val="24"/>
          <w:szCs w:val="24"/>
          <w:lang w:val="en-GB"/>
        </w:rPr>
        <w:t>Nikčević</w:t>
      </w:r>
      <w:proofErr w:type="spellEnd"/>
      <w:r w:rsidRPr="006E4DCA">
        <w:rPr>
          <w:sz w:val="24"/>
          <w:szCs w:val="24"/>
          <w:lang w:val="en-GB"/>
        </w:rPr>
        <w:t xml:space="preserve"> and colleagues (2015</w:t>
      </w:r>
      <w:r w:rsidRPr="006E4DCA">
        <w:rPr>
          <w:lang w:val="en-GB"/>
        </w:rPr>
        <w:t>),</w:t>
      </w:r>
      <w:r w:rsidRPr="006E4DCA">
        <w:rPr>
          <w:sz w:val="24"/>
          <w:szCs w:val="24"/>
          <w:lang w:val="en-GB"/>
        </w:rPr>
        <w:t xml:space="preserve"> there is an overlap between metacognitions about smoking and smoking outcome expectancies. Arguably the positive dimensions of both constructs capture what are essentially motivations for smoking. However, we argue that a nuanced but crucial difference exists between them, even in their ‘positive’ iterations: i.e., positive smoking outcome expectancies do not explicitly distinguish between cognitive and metacognitive belief domains. Furthermore, whereas negative smoking outcome expectancies mainly measure general negative outcomes arising from smoking, negative metacognitions about smoking tap into the perception of lack of executive control and presumed cognitive interference </w:t>
      </w:r>
      <w:r w:rsidR="007112A2" w:rsidRPr="006E4DCA">
        <w:rPr>
          <w:sz w:val="24"/>
          <w:szCs w:val="24"/>
          <w:lang w:val="en-GB"/>
        </w:rPr>
        <w:t>that result from</w:t>
      </w:r>
      <w:r w:rsidRPr="006E4DCA">
        <w:rPr>
          <w:sz w:val="24"/>
          <w:szCs w:val="24"/>
          <w:lang w:val="en-GB"/>
        </w:rPr>
        <w:t xml:space="preserve"> smoking and </w:t>
      </w:r>
      <w:r w:rsidR="007112A2" w:rsidRPr="006E4DCA">
        <w:rPr>
          <w:sz w:val="24"/>
          <w:szCs w:val="24"/>
          <w:lang w:val="en-GB"/>
        </w:rPr>
        <w:t xml:space="preserve">perseverative </w:t>
      </w:r>
      <w:r w:rsidRPr="006E4DCA">
        <w:rPr>
          <w:sz w:val="24"/>
          <w:szCs w:val="24"/>
          <w:lang w:val="en-GB"/>
        </w:rPr>
        <w:t>smoking-related thoughts.</w:t>
      </w:r>
    </w:p>
    <w:p w14:paraId="4E28130D" w14:textId="27FA4C31"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From a metacognitive standpoint, high scores on negative metacognitions about smoking are the key marker of the perseveration of psychopathology because they may play a role in propagating negative affect, preventing the discontinuation of maladaptive coping behaviour (</w:t>
      </w:r>
      <w:proofErr w:type="spellStart"/>
      <w:r w:rsidRPr="006E4DCA">
        <w:rPr>
          <w:sz w:val="24"/>
          <w:szCs w:val="24"/>
          <w:lang w:val="en-GB"/>
        </w:rPr>
        <w:t>Nosen</w:t>
      </w:r>
      <w:proofErr w:type="spellEnd"/>
      <w:r w:rsidRPr="006E4DCA">
        <w:rPr>
          <w:sz w:val="24"/>
          <w:szCs w:val="24"/>
          <w:lang w:val="en-GB"/>
        </w:rPr>
        <w:t xml:space="preserve"> and Woody, 2014; Wells, 2009). </w:t>
      </w:r>
      <w:r w:rsidR="00652187" w:rsidRPr="006E4DCA">
        <w:rPr>
          <w:sz w:val="24"/>
          <w:szCs w:val="24"/>
          <w:lang w:val="en-GB"/>
        </w:rPr>
        <w:t>Such</w:t>
      </w:r>
      <w:r w:rsidRPr="006E4DCA">
        <w:rPr>
          <w:sz w:val="24"/>
          <w:szCs w:val="24"/>
          <w:lang w:val="en-GB"/>
        </w:rPr>
        <w:t xml:space="preserve"> differences between smoking outcome expectancies and metacognitions are important because (according to the burgeoning evidence that has supported the metacognitive model of psychopathology) the </w:t>
      </w:r>
      <w:r w:rsidRPr="006E4DCA">
        <w:rPr>
          <w:sz w:val="24"/>
          <w:szCs w:val="24"/>
          <w:lang w:val="en-GB"/>
        </w:rPr>
        <w:lastRenderedPageBreak/>
        <w:t xml:space="preserve">key </w:t>
      </w:r>
      <w:r w:rsidR="00237DFB" w:rsidRPr="006E4DCA">
        <w:rPr>
          <w:sz w:val="24"/>
          <w:szCs w:val="24"/>
          <w:lang w:val="en-GB"/>
        </w:rPr>
        <w:t xml:space="preserve">beliefs </w:t>
      </w:r>
      <w:r w:rsidRPr="006E4DCA">
        <w:rPr>
          <w:sz w:val="24"/>
          <w:szCs w:val="24"/>
          <w:lang w:val="en-GB"/>
        </w:rPr>
        <w:t xml:space="preserve">of psychopathology are metacognitive rather than cognitive (Wells, 2009). Thus, in this study, we have hypothesized that metacognitions about smoking would </w:t>
      </w:r>
      <w:r w:rsidR="00237DFB" w:rsidRPr="006E4DCA">
        <w:rPr>
          <w:sz w:val="24"/>
          <w:szCs w:val="24"/>
          <w:lang w:val="en-GB"/>
        </w:rPr>
        <w:t>be significantly associated with</w:t>
      </w:r>
      <w:r w:rsidRPr="006E4DCA">
        <w:rPr>
          <w:sz w:val="24"/>
          <w:szCs w:val="24"/>
          <w:lang w:val="en-GB"/>
        </w:rPr>
        <w:t xml:space="preserve"> nicotine dependence independently of smoking outcome expectancies.</w:t>
      </w:r>
    </w:p>
    <w:p w14:paraId="726FC671" w14:textId="77777777" w:rsidR="003010BD" w:rsidRPr="006E4DCA" w:rsidRDefault="003010BD" w:rsidP="00D057A1">
      <w:pPr>
        <w:pStyle w:val="BodyText"/>
        <w:spacing w:line="480" w:lineRule="auto"/>
        <w:jc w:val="center"/>
        <w:rPr>
          <w:b/>
          <w:sz w:val="24"/>
          <w:szCs w:val="24"/>
          <w:lang w:val="en-GB"/>
        </w:rPr>
      </w:pPr>
      <w:r w:rsidRPr="006E4DCA">
        <w:rPr>
          <w:b/>
          <w:sz w:val="24"/>
          <w:szCs w:val="24"/>
          <w:lang w:val="en-GB"/>
        </w:rPr>
        <w:t>2. Method</w:t>
      </w:r>
    </w:p>
    <w:p w14:paraId="451CCC65" w14:textId="77777777" w:rsidR="003010BD" w:rsidRPr="006E4DCA" w:rsidRDefault="003010BD" w:rsidP="00011661">
      <w:pPr>
        <w:pStyle w:val="BodyText"/>
        <w:spacing w:line="480" w:lineRule="auto"/>
        <w:jc w:val="both"/>
        <w:rPr>
          <w:b/>
          <w:i/>
          <w:sz w:val="24"/>
          <w:szCs w:val="24"/>
          <w:lang w:val="en-GB"/>
        </w:rPr>
      </w:pPr>
      <w:r w:rsidRPr="006E4DCA">
        <w:rPr>
          <w:b/>
          <w:i/>
          <w:sz w:val="24"/>
          <w:szCs w:val="24"/>
          <w:lang w:val="en-GB"/>
        </w:rPr>
        <w:t>2.1 Participants</w:t>
      </w:r>
    </w:p>
    <w:p w14:paraId="7CDA1588" w14:textId="5BFE2D6A" w:rsidR="003010BD" w:rsidRPr="006E4DCA" w:rsidRDefault="003010BD" w:rsidP="00D057A1">
      <w:pPr>
        <w:pStyle w:val="BodyText"/>
        <w:spacing w:line="480" w:lineRule="auto"/>
        <w:ind w:firstLine="720"/>
        <w:jc w:val="both"/>
        <w:rPr>
          <w:sz w:val="24"/>
          <w:szCs w:val="24"/>
          <w:lang w:val="en-GB"/>
        </w:rPr>
      </w:pPr>
      <w:r w:rsidRPr="006E4DCA">
        <w:rPr>
          <w:sz w:val="24"/>
          <w:szCs w:val="24"/>
          <w:lang w:val="en-GB"/>
        </w:rPr>
        <w:t>The sample consisted of 859 self-declared Turkish smokers (452 female) aged between 18 and 68 years (mean = 28.3; SD = 7.9). The smoking behaviour characteristics of the sample varied widely, with some reporting that they did not smoke daily and others declaring that they smoked up to 75 cigarettes a day (mode = 20)</w:t>
      </w:r>
      <w:r w:rsidR="00D057A1" w:rsidRPr="006E4DCA">
        <w:rPr>
          <w:sz w:val="24"/>
          <w:szCs w:val="24"/>
          <w:lang w:val="en-GB"/>
        </w:rPr>
        <w:t>. M</w:t>
      </w:r>
      <w:r w:rsidRPr="006E4DCA">
        <w:rPr>
          <w:sz w:val="24"/>
          <w:szCs w:val="24"/>
          <w:lang w:val="en-GB"/>
        </w:rPr>
        <w:t>ost participants stated that they started smoking by the age 20, though this ranged from six years of age to 37. With respect to smoking cessation, only 5.1% of the sample reported that they had engaged in treatment to stop smoking.</w:t>
      </w:r>
    </w:p>
    <w:p w14:paraId="5578F040" w14:textId="2E16E427"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Just over half the participants were currently employed (55.5%) and most perceived their socio-economic status to be at least ‘moderate’ (84.3%). Participants tended to live in metropolitan areas of Turkey (84.7%), whilst fewer inhabited urban (12.5%) and rural regions (2.8%). Nearly all participants had been taught at high educational levels</w:t>
      </w:r>
      <w:r w:rsidR="007C6214" w:rsidRPr="006E4DCA">
        <w:rPr>
          <w:sz w:val="24"/>
          <w:szCs w:val="24"/>
          <w:lang w:val="en-GB"/>
        </w:rPr>
        <w:t>:</w:t>
      </w:r>
      <w:r w:rsidRPr="006E4DCA">
        <w:rPr>
          <w:sz w:val="24"/>
          <w:szCs w:val="24"/>
          <w:lang w:val="en-GB"/>
        </w:rPr>
        <w:t xml:space="preserve"> 813 (94.6%) were either current or former higher education students (i.e., associate, bachelor, graduate, or PhD degree levels). In terms of relationship status, most participants were single (75.5%) or married (22.0%).</w:t>
      </w:r>
    </w:p>
    <w:p w14:paraId="1BA5AC2E" w14:textId="77777777" w:rsidR="003010BD" w:rsidRPr="006E4DCA" w:rsidRDefault="003010BD" w:rsidP="00011661">
      <w:pPr>
        <w:pStyle w:val="BodyText"/>
        <w:spacing w:line="480" w:lineRule="auto"/>
        <w:jc w:val="both"/>
        <w:rPr>
          <w:b/>
          <w:i/>
          <w:sz w:val="24"/>
          <w:szCs w:val="24"/>
          <w:lang w:val="en-GB"/>
        </w:rPr>
      </w:pPr>
      <w:r w:rsidRPr="006E4DCA">
        <w:rPr>
          <w:b/>
          <w:i/>
          <w:sz w:val="24"/>
          <w:szCs w:val="24"/>
          <w:lang w:val="en-GB"/>
        </w:rPr>
        <w:t>2.2 Materials</w:t>
      </w:r>
    </w:p>
    <w:p w14:paraId="3DCB2DE3" w14:textId="77777777" w:rsidR="003010BD" w:rsidRPr="006E4DCA" w:rsidRDefault="003010BD" w:rsidP="006603C9">
      <w:pPr>
        <w:pStyle w:val="BodyText"/>
        <w:spacing w:line="480" w:lineRule="auto"/>
        <w:ind w:firstLine="708"/>
        <w:jc w:val="both"/>
        <w:rPr>
          <w:sz w:val="24"/>
          <w:szCs w:val="24"/>
          <w:lang w:val="en-GB"/>
        </w:rPr>
      </w:pPr>
      <w:r w:rsidRPr="006E4DCA">
        <w:rPr>
          <w:sz w:val="24"/>
          <w:szCs w:val="24"/>
          <w:lang w:val="en-GB"/>
        </w:rPr>
        <w:t>The Turkish Metacognitions about Smoking Questionnaire (MSQ) was translated from the original 20-item English language version (</w:t>
      </w:r>
      <w:proofErr w:type="spellStart"/>
      <w:r w:rsidRPr="006E4DCA">
        <w:rPr>
          <w:sz w:val="24"/>
          <w:szCs w:val="24"/>
          <w:lang w:val="en-GB"/>
        </w:rPr>
        <w:t>Nikčević</w:t>
      </w:r>
      <w:proofErr w:type="spellEnd"/>
      <w:r w:rsidRPr="006E4DCA">
        <w:rPr>
          <w:sz w:val="24"/>
          <w:szCs w:val="24"/>
          <w:lang w:val="en-GB"/>
        </w:rPr>
        <w:t xml:space="preserve"> et al., 2015) for this study. The original MSQ consisted of four-factors each comprising of five-items that were designed to measure metacognitions specifically pertaining to smoking. The factors were labelled </w:t>
      </w:r>
      <w:r w:rsidRPr="006E4DCA">
        <w:rPr>
          <w:sz w:val="24"/>
          <w:szCs w:val="24"/>
          <w:lang w:val="en-GB"/>
        </w:rPr>
        <w:lastRenderedPageBreak/>
        <w:t>‘Positive Metacognitions about Cognitive Regulation’ (PM-CR), ‘Positive Metacognitions about Emotional Regulation’ (PM-ER), ‘Negative Metacognitions about Uncontrollability’ (NM-U), and ‘Negative Metacognitions about Cognitive Interference’ (NM-CI). Endorsement of the metacognitions was indicated on a four-point Likert-type scale. The English version of the MSQ has been shown to possess convergent and predictive validity, adequate-to-good internal consistency, and temporal stability (</w:t>
      </w:r>
      <w:proofErr w:type="spellStart"/>
      <w:r w:rsidRPr="006E4DCA">
        <w:rPr>
          <w:sz w:val="24"/>
          <w:szCs w:val="24"/>
          <w:lang w:val="en-GB"/>
        </w:rPr>
        <w:t>Nikčević</w:t>
      </w:r>
      <w:proofErr w:type="spellEnd"/>
      <w:r w:rsidRPr="006E4DCA">
        <w:rPr>
          <w:sz w:val="24"/>
          <w:szCs w:val="24"/>
          <w:lang w:val="en-GB"/>
        </w:rPr>
        <w:t xml:space="preserve"> et al., 2015).</w:t>
      </w:r>
    </w:p>
    <w:p w14:paraId="36AC3AC0" w14:textId="64855A1C" w:rsidR="003010BD" w:rsidRPr="006E4DCA" w:rsidRDefault="003010BD" w:rsidP="00011661">
      <w:pPr>
        <w:pStyle w:val="BodyText"/>
        <w:spacing w:line="480" w:lineRule="auto"/>
        <w:ind w:firstLine="708"/>
        <w:jc w:val="both"/>
        <w:rPr>
          <w:sz w:val="24"/>
          <w:szCs w:val="24"/>
          <w:lang w:val="en-GB"/>
        </w:rPr>
      </w:pPr>
      <w:r w:rsidRPr="006E4DCA">
        <w:rPr>
          <w:sz w:val="24"/>
          <w:szCs w:val="24"/>
          <w:lang w:val="en-GB"/>
        </w:rPr>
        <w:t xml:space="preserve">To measure nicotine dependency, we used the Turkish version of the </w:t>
      </w:r>
      <w:proofErr w:type="spellStart"/>
      <w:r w:rsidRPr="006E4DCA">
        <w:rPr>
          <w:sz w:val="24"/>
          <w:szCs w:val="24"/>
          <w:lang w:val="en-GB"/>
        </w:rPr>
        <w:t>Fagerstrom</w:t>
      </w:r>
      <w:proofErr w:type="spellEnd"/>
      <w:r w:rsidRPr="006E4DCA">
        <w:rPr>
          <w:sz w:val="24"/>
          <w:szCs w:val="24"/>
          <w:lang w:val="en-GB"/>
        </w:rPr>
        <w:t xml:space="preserve"> Test for Nicotine Dependence (FTND: </w:t>
      </w:r>
      <w:proofErr w:type="spellStart"/>
      <w:r w:rsidRPr="006E4DCA">
        <w:rPr>
          <w:sz w:val="24"/>
          <w:szCs w:val="24"/>
          <w:lang w:val="en-GB"/>
        </w:rPr>
        <w:t>Uysal</w:t>
      </w:r>
      <w:proofErr w:type="spellEnd"/>
      <w:r w:rsidRPr="006E4DCA">
        <w:rPr>
          <w:sz w:val="24"/>
          <w:szCs w:val="24"/>
          <w:lang w:val="en-GB"/>
        </w:rPr>
        <w:t xml:space="preserve"> et al., 2004). The original English version of the measure consisted of six items that contributed to a single factor and was designed to measure dependency on nicotine (Heatherton et al., 1991). The Turkish FTND can be scored according to a two-factor structure but item responses can be summed to calculate a total measure of nicotine dependence (</w:t>
      </w:r>
      <w:proofErr w:type="spellStart"/>
      <w:r w:rsidRPr="006E4DCA">
        <w:rPr>
          <w:sz w:val="24"/>
          <w:szCs w:val="24"/>
          <w:lang w:val="en-GB"/>
        </w:rPr>
        <w:t>Uysal</w:t>
      </w:r>
      <w:proofErr w:type="spellEnd"/>
      <w:r w:rsidRPr="006E4DCA">
        <w:rPr>
          <w:sz w:val="24"/>
          <w:szCs w:val="24"/>
          <w:lang w:val="en-GB"/>
        </w:rPr>
        <w:t xml:space="preserve"> et al., 2004). However, responses to the third item on the Turkish version were found not </w:t>
      </w:r>
      <w:proofErr w:type="gramStart"/>
      <w:r w:rsidRPr="006E4DCA">
        <w:rPr>
          <w:sz w:val="24"/>
          <w:szCs w:val="24"/>
          <w:lang w:val="en-GB"/>
        </w:rPr>
        <w:t>to</w:t>
      </w:r>
      <w:proofErr w:type="gramEnd"/>
      <w:r w:rsidRPr="006E4DCA">
        <w:rPr>
          <w:sz w:val="24"/>
          <w:szCs w:val="24"/>
          <w:lang w:val="en-GB"/>
        </w:rPr>
        <w:t xml:space="preserve"> significantly correlate with the total score</w:t>
      </w:r>
      <w:r w:rsidR="00B76E2E" w:rsidRPr="006E4DCA">
        <w:rPr>
          <w:sz w:val="24"/>
          <w:szCs w:val="24"/>
          <w:lang w:val="en-GB"/>
        </w:rPr>
        <w:t>,</w:t>
      </w:r>
      <w:r w:rsidRPr="006E4DCA">
        <w:rPr>
          <w:sz w:val="24"/>
          <w:szCs w:val="24"/>
          <w:lang w:val="en-GB"/>
        </w:rPr>
        <w:t xml:space="preserve"> indicating that the translated version of this item might be poorly understood (</w:t>
      </w:r>
      <w:proofErr w:type="spellStart"/>
      <w:r w:rsidRPr="006E4DCA">
        <w:rPr>
          <w:sz w:val="24"/>
          <w:szCs w:val="24"/>
          <w:lang w:val="en-GB"/>
        </w:rPr>
        <w:t>Uysal</w:t>
      </w:r>
      <w:proofErr w:type="spellEnd"/>
      <w:r w:rsidRPr="006E4DCA">
        <w:rPr>
          <w:sz w:val="24"/>
          <w:szCs w:val="24"/>
          <w:lang w:val="en-GB"/>
        </w:rPr>
        <w:t xml:space="preserve"> et al., 2004). Additionally, removing the third item has been shown to increase the measure’s internal consistency from 0.56 to 0.61 (</w:t>
      </w:r>
      <w:proofErr w:type="spellStart"/>
      <w:r w:rsidRPr="006E4DCA">
        <w:rPr>
          <w:sz w:val="24"/>
          <w:szCs w:val="24"/>
          <w:lang w:val="en-GB"/>
        </w:rPr>
        <w:t>Uysal</w:t>
      </w:r>
      <w:proofErr w:type="spellEnd"/>
      <w:r w:rsidRPr="006E4DCA">
        <w:rPr>
          <w:sz w:val="24"/>
          <w:szCs w:val="24"/>
          <w:lang w:val="en-GB"/>
        </w:rPr>
        <w:t xml:space="preserve"> et al., 2004). For these reasons, and because we were interested in a relative (and not an absolute) measure of nicotine dependence, we decided to omit this item from all statistical analyses, meaning that FTND total scores reported in this paper are based on five and not six items. The translated FTND has been reported to possess good test-retest reliability (</w:t>
      </w:r>
      <w:proofErr w:type="spellStart"/>
      <w:r w:rsidRPr="006E4DCA">
        <w:rPr>
          <w:sz w:val="24"/>
          <w:szCs w:val="24"/>
          <w:lang w:val="en-GB"/>
        </w:rPr>
        <w:t>Uysal</w:t>
      </w:r>
      <w:proofErr w:type="spellEnd"/>
      <w:r w:rsidRPr="006E4DCA">
        <w:rPr>
          <w:sz w:val="24"/>
          <w:szCs w:val="24"/>
          <w:lang w:val="en-GB"/>
        </w:rPr>
        <w:t xml:space="preserve"> et al., 2004).</w:t>
      </w:r>
    </w:p>
    <w:p w14:paraId="0856B710" w14:textId="5BA72C91" w:rsidR="003010BD" w:rsidRPr="006E4DCA" w:rsidRDefault="003010BD" w:rsidP="00011661">
      <w:pPr>
        <w:pStyle w:val="BodyText"/>
        <w:spacing w:line="480" w:lineRule="auto"/>
        <w:ind w:firstLine="708"/>
        <w:jc w:val="both"/>
        <w:rPr>
          <w:sz w:val="24"/>
          <w:szCs w:val="24"/>
          <w:lang w:val="en-GB"/>
        </w:rPr>
      </w:pPr>
      <w:r w:rsidRPr="006E4DCA">
        <w:rPr>
          <w:sz w:val="24"/>
          <w:szCs w:val="24"/>
          <w:lang w:val="en-GB"/>
        </w:rPr>
        <w:t>Additionally, we used the Turkish version of the 14-item Hospital Anxiety and Depression Scale (HADS), which has been shown to possess good psychometric properties (</w:t>
      </w:r>
      <w:proofErr w:type="spellStart"/>
      <w:r w:rsidRPr="006E4DCA">
        <w:rPr>
          <w:sz w:val="24"/>
          <w:szCs w:val="24"/>
          <w:lang w:val="en-GB"/>
        </w:rPr>
        <w:t>Aydemir</w:t>
      </w:r>
      <w:proofErr w:type="spellEnd"/>
      <w:r w:rsidRPr="006E4DCA">
        <w:rPr>
          <w:sz w:val="24"/>
          <w:szCs w:val="24"/>
          <w:lang w:val="en-GB"/>
        </w:rPr>
        <w:t>, 1997), to control for levels of anxiety and depression. To control for beliefs that pertain to anticipated reinforcement and punishment of smoking, we used the Turkish version of the Brief Smoking Consequences Questionnaire for Adults (BSCQ;</w:t>
      </w:r>
      <w:r w:rsidRPr="006E4DCA">
        <w:rPr>
          <w:lang w:val="en-GB"/>
        </w:rPr>
        <w:t xml:space="preserve"> </w:t>
      </w:r>
      <w:proofErr w:type="spellStart"/>
      <w:r w:rsidRPr="006E4DCA">
        <w:rPr>
          <w:sz w:val="24"/>
          <w:szCs w:val="24"/>
          <w:lang w:val="en-GB"/>
        </w:rPr>
        <w:t>Süsen</w:t>
      </w:r>
      <w:proofErr w:type="spellEnd"/>
      <w:r w:rsidRPr="006E4DCA">
        <w:rPr>
          <w:sz w:val="24"/>
          <w:szCs w:val="24"/>
          <w:lang w:val="en-GB"/>
        </w:rPr>
        <w:t xml:space="preserve"> and </w:t>
      </w:r>
      <w:proofErr w:type="spellStart"/>
      <w:r w:rsidRPr="006E4DCA">
        <w:rPr>
          <w:sz w:val="24"/>
          <w:szCs w:val="24"/>
          <w:lang w:val="en-GB"/>
        </w:rPr>
        <w:t>Yalçınkaya-</w:t>
      </w:r>
      <w:r w:rsidRPr="006E4DCA">
        <w:rPr>
          <w:sz w:val="24"/>
          <w:szCs w:val="24"/>
          <w:lang w:val="en-GB"/>
        </w:rPr>
        <w:lastRenderedPageBreak/>
        <w:t>Alkar</w:t>
      </w:r>
      <w:proofErr w:type="spellEnd"/>
      <w:r w:rsidRPr="006E4DCA">
        <w:rPr>
          <w:sz w:val="24"/>
          <w:szCs w:val="24"/>
          <w:lang w:val="en-GB"/>
        </w:rPr>
        <w:t>, 2016). The BSCQ consists of 25-items that describe 10 factors, labelled: (1) ‘negative affect reduction’, (2) ‘stimulation state enhancement’, (3) ‘health risks’, (4) ‘taste and sensory motor manipulation’, (5) ‘social facilitation’, (6) ‘weight control’, (7) ‘craving addiction’, (8) ‘negative physical feelings, (9) ‘boredom reduction’, and (10) ‘negative social impression’. Respondents indicate their strength of their endorsement of the beliefs described by the items using a 10-point Likert-type format. The Turkish BSCQ has been reported to possess good psychometric properties (</w:t>
      </w:r>
      <w:proofErr w:type="spellStart"/>
      <w:r w:rsidRPr="006E4DCA">
        <w:rPr>
          <w:sz w:val="24"/>
          <w:szCs w:val="24"/>
          <w:lang w:val="en-GB"/>
        </w:rPr>
        <w:t>Süsen</w:t>
      </w:r>
      <w:proofErr w:type="spellEnd"/>
      <w:r w:rsidRPr="006E4DCA">
        <w:rPr>
          <w:sz w:val="24"/>
          <w:szCs w:val="24"/>
          <w:lang w:val="en-GB"/>
        </w:rPr>
        <w:t xml:space="preserve"> and </w:t>
      </w:r>
      <w:proofErr w:type="spellStart"/>
      <w:r w:rsidRPr="006E4DCA">
        <w:rPr>
          <w:sz w:val="24"/>
          <w:szCs w:val="24"/>
          <w:lang w:val="en-GB"/>
        </w:rPr>
        <w:t>Yalçınkaya-Alkar</w:t>
      </w:r>
      <w:proofErr w:type="spellEnd"/>
      <w:r w:rsidRPr="006E4DCA">
        <w:rPr>
          <w:sz w:val="24"/>
          <w:szCs w:val="24"/>
          <w:lang w:val="en-GB"/>
        </w:rPr>
        <w:t>, 2016).</w:t>
      </w:r>
    </w:p>
    <w:p w14:paraId="01B99617" w14:textId="77777777" w:rsidR="003010BD" w:rsidRPr="006E4DCA" w:rsidRDefault="003010BD" w:rsidP="00011661">
      <w:pPr>
        <w:pStyle w:val="BodyText"/>
        <w:spacing w:line="480" w:lineRule="auto"/>
        <w:jc w:val="both"/>
        <w:rPr>
          <w:b/>
          <w:i/>
          <w:sz w:val="24"/>
          <w:szCs w:val="24"/>
          <w:lang w:val="en-GB"/>
        </w:rPr>
      </w:pPr>
      <w:r w:rsidRPr="006E4DCA">
        <w:rPr>
          <w:b/>
          <w:i/>
          <w:sz w:val="24"/>
          <w:szCs w:val="24"/>
          <w:lang w:val="en-GB"/>
        </w:rPr>
        <w:t>2.3 Procedure</w:t>
      </w:r>
    </w:p>
    <w:p w14:paraId="47BFA973" w14:textId="77777777" w:rsidR="003010BD" w:rsidRPr="006E4DCA" w:rsidRDefault="003010BD" w:rsidP="006603C9">
      <w:pPr>
        <w:pStyle w:val="BodyText"/>
        <w:spacing w:line="480" w:lineRule="auto"/>
        <w:ind w:firstLine="720"/>
        <w:jc w:val="both"/>
        <w:rPr>
          <w:sz w:val="24"/>
          <w:szCs w:val="24"/>
          <w:lang w:val="en-GB"/>
        </w:rPr>
      </w:pPr>
      <w:r w:rsidRPr="006E4DCA">
        <w:rPr>
          <w:sz w:val="24"/>
          <w:szCs w:val="24"/>
          <w:lang w:val="en-GB"/>
        </w:rPr>
        <w:t xml:space="preserve">Ethical permission for the current study was approved from </w:t>
      </w:r>
      <w:proofErr w:type="spellStart"/>
      <w:r w:rsidRPr="006E4DCA">
        <w:rPr>
          <w:sz w:val="24"/>
          <w:szCs w:val="24"/>
          <w:lang w:val="en-GB"/>
        </w:rPr>
        <w:t>Dokuz</w:t>
      </w:r>
      <w:proofErr w:type="spellEnd"/>
      <w:r w:rsidRPr="006E4DCA">
        <w:rPr>
          <w:sz w:val="24"/>
          <w:szCs w:val="24"/>
          <w:lang w:val="en-GB"/>
        </w:rPr>
        <w:t xml:space="preserve"> </w:t>
      </w:r>
      <w:proofErr w:type="spellStart"/>
      <w:r w:rsidRPr="006E4DCA">
        <w:rPr>
          <w:sz w:val="24"/>
          <w:szCs w:val="24"/>
          <w:lang w:val="en-GB"/>
        </w:rPr>
        <w:t>Eylul</w:t>
      </w:r>
      <w:proofErr w:type="spellEnd"/>
      <w:r w:rsidRPr="006E4DCA">
        <w:rPr>
          <w:sz w:val="24"/>
          <w:szCs w:val="24"/>
          <w:lang w:val="en-GB"/>
        </w:rPr>
        <w:t xml:space="preserve"> University’s Literature Faculty’s Ethical Review Board. Then the MSQ (</w:t>
      </w:r>
      <w:proofErr w:type="spellStart"/>
      <w:r w:rsidRPr="006E4DCA">
        <w:rPr>
          <w:sz w:val="24"/>
          <w:szCs w:val="24"/>
          <w:lang w:val="en-GB"/>
        </w:rPr>
        <w:t>Nikčević</w:t>
      </w:r>
      <w:proofErr w:type="spellEnd"/>
      <w:r w:rsidRPr="006E4DCA">
        <w:rPr>
          <w:sz w:val="24"/>
          <w:szCs w:val="24"/>
          <w:lang w:val="en-GB"/>
        </w:rPr>
        <w:t xml:space="preserve"> et al., 2015) was translated into Turkish by a psychologist proficient in both English and Turkish. Following this, translated items were sent to six evaluators, all possessing doctoral degree qualifications in clinical and health psychology, to verify the content of the translated items. Once consensus had been achieved on the wording of items the Turkish version of MSQ was back-translated by a linguist. Finally, eight smokers ranked the item comprehensibility of the Turkish version of the MSQ using 5 point Likert scale (from ‘</w:t>
      </w:r>
      <w:proofErr w:type="gramStart"/>
      <w:r w:rsidRPr="006E4DCA">
        <w:rPr>
          <w:sz w:val="24"/>
          <w:szCs w:val="24"/>
          <w:lang w:val="en-GB"/>
        </w:rPr>
        <w:t>Totally</w:t>
      </w:r>
      <w:proofErr w:type="gramEnd"/>
      <w:r w:rsidRPr="006E4DCA">
        <w:rPr>
          <w:sz w:val="24"/>
          <w:szCs w:val="24"/>
          <w:lang w:val="en-GB"/>
        </w:rPr>
        <w:t xml:space="preserve"> clear’ to ‘Totally unclear’) and offered some alternatives to item presentation when the item was assessed as unclear. Items of Turkish version of the MSQ were finalised with minor changes aided by this feedback process.</w:t>
      </w:r>
    </w:p>
    <w:p w14:paraId="1ED48A5B" w14:textId="77777777" w:rsidR="003010BD" w:rsidRPr="006E4DCA" w:rsidRDefault="003010BD" w:rsidP="00011661">
      <w:pPr>
        <w:pStyle w:val="BodyText"/>
        <w:spacing w:line="480" w:lineRule="auto"/>
        <w:ind w:firstLine="720"/>
        <w:jc w:val="both"/>
        <w:rPr>
          <w:color w:val="FF0000"/>
          <w:sz w:val="24"/>
          <w:szCs w:val="24"/>
          <w:lang w:val="en-GB"/>
        </w:rPr>
      </w:pPr>
      <w:r w:rsidRPr="006E4DCA">
        <w:rPr>
          <w:sz w:val="24"/>
          <w:szCs w:val="24"/>
          <w:lang w:val="en-GB"/>
        </w:rPr>
        <w:t xml:space="preserve">The study was administered through unrestricted self-selected survey sampling by using web-survey methods. </w:t>
      </w:r>
      <w:proofErr w:type="spellStart"/>
      <w:r w:rsidRPr="006E4DCA">
        <w:rPr>
          <w:sz w:val="24"/>
          <w:szCs w:val="24"/>
          <w:lang w:val="en-GB"/>
        </w:rPr>
        <w:t>Dokuz</w:t>
      </w:r>
      <w:proofErr w:type="spellEnd"/>
      <w:r w:rsidRPr="006E4DCA">
        <w:rPr>
          <w:sz w:val="24"/>
          <w:szCs w:val="24"/>
          <w:lang w:val="en-GB"/>
        </w:rPr>
        <w:t xml:space="preserve"> </w:t>
      </w:r>
      <w:proofErr w:type="spellStart"/>
      <w:r w:rsidRPr="006E4DCA">
        <w:rPr>
          <w:sz w:val="24"/>
          <w:szCs w:val="24"/>
          <w:lang w:val="en-GB"/>
        </w:rPr>
        <w:t>Eylul</w:t>
      </w:r>
      <w:proofErr w:type="spellEnd"/>
      <w:r w:rsidRPr="006E4DCA">
        <w:rPr>
          <w:sz w:val="24"/>
          <w:szCs w:val="24"/>
          <w:lang w:val="en-GB"/>
        </w:rPr>
        <w:t xml:space="preserve"> University staff were alerted about the study by email and social media (e.g., Facebook and Twitter) and invited to take part using the Google Docs service. The identity of participants remained confidential and all participants could withdraw from the study at any time if the so wished. The web-survey was constructed such </w:t>
      </w:r>
      <w:r w:rsidRPr="006E4DCA">
        <w:rPr>
          <w:sz w:val="24"/>
          <w:szCs w:val="24"/>
          <w:lang w:val="en-GB"/>
        </w:rPr>
        <w:lastRenderedPageBreak/>
        <w:t>that participants had to answer all items before they could submit data. This meant there was no missing data.</w:t>
      </w:r>
    </w:p>
    <w:p w14:paraId="5ACC8CEA" w14:textId="77777777" w:rsidR="003010BD" w:rsidRPr="006E4DCA" w:rsidRDefault="003010BD" w:rsidP="00011661">
      <w:pPr>
        <w:pStyle w:val="BodyText"/>
        <w:spacing w:line="480" w:lineRule="auto"/>
        <w:jc w:val="both"/>
        <w:rPr>
          <w:b/>
          <w:i/>
          <w:color w:val="000000" w:themeColor="text1"/>
          <w:sz w:val="24"/>
          <w:szCs w:val="24"/>
          <w:lang w:val="en-GB"/>
        </w:rPr>
      </w:pPr>
      <w:r w:rsidRPr="006E4DCA">
        <w:rPr>
          <w:b/>
          <w:i/>
          <w:color w:val="000000" w:themeColor="text1"/>
          <w:sz w:val="24"/>
          <w:szCs w:val="24"/>
          <w:lang w:val="en-GB"/>
        </w:rPr>
        <w:t>2.4 Data analysis</w:t>
      </w:r>
    </w:p>
    <w:p w14:paraId="7446CE43" w14:textId="7F42CEEE" w:rsidR="003010BD" w:rsidRPr="006E4DCA" w:rsidRDefault="003010BD" w:rsidP="006603C9">
      <w:pPr>
        <w:ind w:firstLine="720"/>
        <w:rPr>
          <w:color w:val="000000" w:themeColor="text1"/>
          <w:szCs w:val="24"/>
        </w:rPr>
      </w:pPr>
      <w:r w:rsidRPr="006E4DCA">
        <w:rPr>
          <w:color w:val="000000" w:themeColor="text1"/>
          <w:szCs w:val="24"/>
        </w:rPr>
        <w:t xml:space="preserve">Using </w:t>
      </w:r>
      <w:proofErr w:type="spellStart"/>
      <w:r w:rsidRPr="006E4DCA">
        <w:rPr>
          <w:color w:val="000000" w:themeColor="text1"/>
          <w:szCs w:val="24"/>
        </w:rPr>
        <w:t>Mplus</w:t>
      </w:r>
      <w:proofErr w:type="spellEnd"/>
      <w:r w:rsidRPr="006E4DCA">
        <w:rPr>
          <w:color w:val="000000" w:themeColor="text1"/>
          <w:szCs w:val="24"/>
        </w:rPr>
        <w:t xml:space="preserve"> version 6.0 </w:t>
      </w:r>
      <w:r w:rsidRPr="006E4DCA">
        <w:rPr>
          <w:noProof/>
          <w:color w:val="000000" w:themeColor="text1"/>
          <w:szCs w:val="24"/>
        </w:rPr>
        <w:t>(Muthén &amp; Muthén, 2010)</w:t>
      </w:r>
      <w:r w:rsidRPr="006E4DCA">
        <w:rPr>
          <w:color w:val="000000" w:themeColor="text1"/>
          <w:szCs w:val="24"/>
        </w:rPr>
        <w:t xml:space="preserve">, we tested the fit of the translated measure using the four-factor structure of the original English-version MSQ. We used </w:t>
      </w:r>
      <w:proofErr w:type="spellStart"/>
      <w:r w:rsidRPr="006E4DCA">
        <w:rPr>
          <w:color w:val="000000" w:themeColor="text1"/>
          <w:szCs w:val="24"/>
        </w:rPr>
        <w:t>Mahalanobis</w:t>
      </w:r>
      <w:proofErr w:type="spellEnd"/>
      <w:r w:rsidRPr="006E4DCA">
        <w:rPr>
          <w:color w:val="000000" w:themeColor="text1"/>
          <w:szCs w:val="24"/>
        </w:rPr>
        <w:t xml:space="preserve"> distances to identify outliers from the MSQ data. We choose a conservative alpha of 0.001 and Bonferroni’s correction to calculate a corrected alpha of 0.0000016 to identify outliers. This lead </w:t>
      </w:r>
      <w:proofErr w:type="gramStart"/>
      <w:r w:rsidRPr="006E4DCA">
        <w:rPr>
          <w:color w:val="000000" w:themeColor="text1"/>
          <w:szCs w:val="24"/>
        </w:rPr>
        <w:t>us</w:t>
      </w:r>
      <w:proofErr w:type="gramEnd"/>
      <w:r w:rsidRPr="006E4DCA">
        <w:rPr>
          <w:color w:val="000000" w:themeColor="text1"/>
          <w:szCs w:val="24"/>
        </w:rPr>
        <w:t xml:space="preserve"> to omitting nine observations, leaving </w:t>
      </w:r>
      <w:r w:rsidR="008312FB" w:rsidRPr="006E4DCA">
        <w:rPr>
          <w:color w:val="000000" w:themeColor="text1"/>
          <w:szCs w:val="24"/>
        </w:rPr>
        <w:t>a sample size of</w:t>
      </w:r>
      <w:r w:rsidRPr="006E4DCA">
        <w:rPr>
          <w:color w:val="000000" w:themeColor="text1"/>
          <w:szCs w:val="24"/>
        </w:rPr>
        <w:t xml:space="preserve"> 850. We evaluated the data obtained from 20 translated items of the MSQ for deviations from univariate and multivariate normal distribution. The result of these analyses determined the method of estimation used in the subsequent confirmatory factor analyses</w:t>
      </w:r>
      <w:r w:rsidR="00A91F1B" w:rsidRPr="006E4DCA">
        <w:rPr>
          <w:color w:val="000000" w:themeColor="text1"/>
          <w:szCs w:val="24"/>
        </w:rPr>
        <w:t>. M</w:t>
      </w:r>
      <w:r w:rsidRPr="006E4DCA">
        <w:rPr>
          <w:color w:val="000000" w:themeColor="text1"/>
          <w:szCs w:val="24"/>
        </w:rPr>
        <w:t>odification indices, regression weights, factor loadings, and theory-driven considerations were employed to amend the initial model to improve fit.</w:t>
      </w:r>
      <w:r w:rsidR="00AD5295" w:rsidRPr="006E4DCA">
        <w:rPr>
          <w:color w:val="000000" w:themeColor="text1"/>
          <w:szCs w:val="24"/>
        </w:rPr>
        <w:t xml:space="preserve"> To assess gender invariance, the final model was fitted using data from males and females separately.</w:t>
      </w:r>
    </w:p>
    <w:p w14:paraId="5B63D7B3" w14:textId="7642D6DC" w:rsidR="003010BD" w:rsidRPr="006E4DCA" w:rsidRDefault="003010BD" w:rsidP="00011661">
      <w:pPr>
        <w:ind w:firstLine="720"/>
        <w:rPr>
          <w:color w:val="000000" w:themeColor="text1"/>
          <w:szCs w:val="24"/>
        </w:rPr>
      </w:pPr>
      <w:r w:rsidRPr="006E4DCA">
        <w:rPr>
          <w:color w:val="000000" w:themeColor="text1"/>
          <w:szCs w:val="24"/>
        </w:rPr>
        <w:t xml:space="preserve">Once a final model for the translated MSQ had been selected, we conducted a series of analyses using SPSS version 24 </w:t>
      </w:r>
      <w:r w:rsidRPr="006E4DCA">
        <w:rPr>
          <w:noProof/>
          <w:color w:val="000000" w:themeColor="text1"/>
          <w:szCs w:val="24"/>
        </w:rPr>
        <w:t>(</w:t>
      </w:r>
      <w:r w:rsidR="005A64B2" w:rsidRPr="006E4DCA">
        <w:rPr>
          <w:noProof/>
          <w:color w:val="000000" w:themeColor="text1"/>
          <w:szCs w:val="24"/>
        </w:rPr>
        <w:t>IBM</w:t>
      </w:r>
      <w:r w:rsidRPr="006E4DCA">
        <w:rPr>
          <w:noProof/>
          <w:color w:val="000000" w:themeColor="text1"/>
          <w:szCs w:val="24"/>
        </w:rPr>
        <w:t>, 2017)</w:t>
      </w:r>
      <w:r w:rsidRPr="006E4DCA">
        <w:rPr>
          <w:color w:val="000000" w:themeColor="text1"/>
          <w:szCs w:val="24"/>
        </w:rPr>
        <w:t>. The distribution of data from all experimental measures (consisting of both their total scores and subscales) were examined for non-normality. These findings were used to determine the choice of parametric and/or nonparametric difference tests and correlation analyses that were used to test whether the translated scale possessed concurrent validity.</w:t>
      </w:r>
    </w:p>
    <w:p w14:paraId="2056D581" w14:textId="18D50559" w:rsidR="003010BD" w:rsidRPr="006E4DCA" w:rsidRDefault="005D3EC7" w:rsidP="00011661">
      <w:pPr>
        <w:ind w:firstLine="720"/>
        <w:rPr>
          <w:color w:val="000000" w:themeColor="text1"/>
          <w:szCs w:val="24"/>
        </w:rPr>
      </w:pPr>
      <w:r w:rsidRPr="006E4DCA">
        <w:rPr>
          <w:color w:val="000000" w:themeColor="text1"/>
          <w:szCs w:val="24"/>
        </w:rPr>
        <w:t>Also,</w:t>
      </w:r>
      <w:r w:rsidR="003010BD" w:rsidRPr="006E4DCA">
        <w:rPr>
          <w:color w:val="000000" w:themeColor="text1"/>
          <w:szCs w:val="24"/>
        </w:rPr>
        <w:t xml:space="preserve"> using SPSS version 24 </w:t>
      </w:r>
      <w:r w:rsidR="003010BD" w:rsidRPr="006E4DCA">
        <w:rPr>
          <w:noProof/>
          <w:color w:val="000000" w:themeColor="text1"/>
          <w:szCs w:val="24"/>
        </w:rPr>
        <w:t>(</w:t>
      </w:r>
      <w:r w:rsidRPr="006E4DCA">
        <w:rPr>
          <w:noProof/>
          <w:color w:val="000000" w:themeColor="text1"/>
          <w:szCs w:val="24"/>
        </w:rPr>
        <w:t>IBM</w:t>
      </w:r>
      <w:r w:rsidR="003010BD" w:rsidRPr="006E4DCA">
        <w:rPr>
          <w:noProof/>
          <w:color w:val="000000" w:themeColor="text1"/>
          <w:szCs w:val="24"/>
        </w:rPr>
        <w:t>, 2017)</w:t>
      </w:r>
      <w:r w:rsidR="003010BD" w:rsidRPr="006E4DCA">
        <w:rPr>
          <w:color w:val="000000" w:themeColor="text1"/>
          <w:szCs w:val="24"/>
        </w:rPr>
        <w:t xml:space="preserve">, a hierarchical regression analysis was conducted using the FTND as the outcome variable. Variables that had been found in the earlier analyses to have a significant relationship with the FTND were used as independent variables to </w:t>
      </w:r>
      <w:r w:rsidR="00676475" w:rsidRPr="006E4DCA">
        <w:rPr>
          <w:color w:val="000000" w:themeColor="text1"/>
          <w:szCs w:val="24"/>
        </w:rPr>
        <w:t xml:space="preserve">further </w:t>
      </w:r>
      <w:r w:rsidR="003010BD" w:rsidRPr="006E4DCA">
        <w:rPr>
          <w:color w:val="000000" w:themeColor="text1"/>
          <w:szCs w:val="24"/>
        </w:rPr>
        <w:t xml:space="preserve">examine the concurrent validity of the translated scale. The hierarchical regression model was examined for </w:t>
      </w:r>
      <w:r w:rsidR="003010BD" w:rsidRPr="006E4DCA">
        <w:rPr>
          <w:bCs/>
          <w:szCs w:val="24"/>
        </w:rPr>
        <w:t xml:space="preserve">multicollinearity (through examining correlations and </w:t>
      </w:r>
      <w:r w:rsidR="003010BD" w:rsidRPr="006E4DCA">
        <w:rPr>
          <w:bCs/>
          <w:szCs w:val="24"/>
        </w:rPr>
        <w:lastRenderedPageBreak/>
        <w:t>Variance Inflation Factors), the distribution of residuals (by generating histograms and normality plots), linearity and homoscedasticity (with plots of the regression-standardized residuals against the regression standardized predicted values), and the independence of errors (by conducting Durbin-Watson tests).</w:t>
      </w:r>
    </w:p>
    <w:p w14:paraId="3E4989C9" w14:textId="77777777" w:rsidR="003010BD" w:rsidRPr="006E4DCA" w:rsidRDefault="003010BD" w:rsidP="00FB68F5">
      <w:pPr>
        <w:pStyle w:val="BodyText"/>
        <w:spacing w:line="480" w:lineRule="auto"/>
        <w:jc w:val="center"/>
        <w:rPr>
          <w:b/>
          <w:sz w:val="24"/>
          <w:szCs w:val="24"/>
          <w:lang w:val="en-GB"/>
        </w:rPr>
      </w:pPr>
      <w:r w:rsidRPr="006E4DCA">
        <w:rPr>
          <w:b/>
          <w:sz w:val="24"/>
          <w:szCs w:val="24"/>
          <w:lang w:val="en-GB"/>
        </w:rPr>
        <w:t>3. Results</w:t>
      </w:r>
    </w:p>
    <w:bookmarkEnd w:id="0"/>
    <w:bookmarkEnd w:id="1"/>
    <w:p w14:paraId="2637A848" w14:textId="77777777" w:rsidR="003010BD" w:rsidRPr="006E4DCA" w:rsidRDefault="003010BD" w:rsidP="00011661">
      <w:pPr>
        <w:pStyle w:val="BodyText"/>
        <w:spacing w:line="480" w:lineRule="auto"/>
        <w:jc w:val="both"/>
        <w:rPr>
          <w:b/>
          <w:i/>
          <w:sz w:val="24"/>
          <w:szCs w:val="24"/>
          <w:lang w:val="en-GB"/>
        </w:rPr>
      </w:pPr>
      <w:r w:rsidRPr="006E4DCA">
        <w:rPr>
          <w:b/>
          <w:i/>
          <w:sz w:val="24"/>
          <w:szCs w:val="24"/>
          <w:lang w:val="en-GB"/>
        </w:rPr>
        <w:t>3.1 Confirmatory factor analyses and internal reliability</w:t>
      </w:r>
    </w:p>
    <w:p w14:paraId="403F97D7" w14:textId="63F1E2CA" w:rsidR="003010BD" w:rsidRPr="006E4DCA" w:rsidRDefault="003010BD" w:rsidP="006603C9">
      <w:pPr>
        <w:pStyle w:val="BodyText"/>
        <w:spacing w:line="480" w:lineRule="auto"/>
        <w:ind w:firstLine="720"/>
        <w:jc w:val="both"/>
        <w:rPr>
          <w:sz w:val="24"/>
          <w:szCs w:val="24"/>
          <w:lang w:val="en-GB"/>
        </w:rPr>
      </w:pPr>
      <w:r w:rsidRPr="006E4DCA">
        <w:rPr>
          <w:sz w:val="24"/>
          <w:szCs w:val="24"/>
          <w:lang w:val="en-GB"/>
        </w:rPr>
        <w:t xml:space="preserve">The data obtained from responses to individual items from the translated MSQ were treated </w:t>
      </w:r>
      <w:r w:rsidR="006603C9" w:rsidRPr="006E4DCA">
        <w:rPr>
          <w:sz w:val="24"/>
          <w:szCs w:val="24"/>
          <w:lang w:val="en-GB"/>
        </w:rPr>
        <w:t xml:space="preserve">as </w:t>
      </w:r>
      <w:r w:rsidRPr="006E4DCA">
        <w:rPr>
          <w:sz w:val="24"/>
          <w:szCs w:val="24"/>
          <w:lang w:val="en-GB"/>
        </w:rPr>
        <w:t xml:space="preserve">categorical-ordered and found to be absent of univariate and multivariate normality according to </w:t>
      </w:r>
      <w:proofErr w:type="spellStart"/>
      <w:r w:rsidRPr="006E4DCA">
        <w:rPr>
          <w:sz w:val="24"/>
          <w:szCs w:val="24"/>
          <w:lang w:val="en-GB"/>
        </w:rPr>
        <w:t>Mardia’s</w:t>
      </w:r>
      <w:proofErr w:type="spellEnd"/>
      <w:r w:rsidRPr="006E4DCA">
        <w:rPr>
          <w:sz w:val="24"/>
          <w:szCs w:val="24"/>
          <w:lang w:val="en-GB"/>
        </w:rPr>
        <w:t xml:space="preserve"> tests of </w:t>
      </w:r>
      <w:proofErr w:type="spellStart"/>
      <w:r w:rsidRPr="006E4DCA">
        <w:rPr>
          <w:sz w:val="24"/>
          <w:szCs w:val="24"/>
          <w:lang w:val="en-GB"/>
        </w:rPr>
        <w:t>skewness</w:t>
      </w:r>
      <w:proofErr w:type="spellEnd"/>
      <w:r w:rsidRPr="006E4DCA">
        <w:rPr>
          <w:sz w:val="24"/>
          <w:szCs w:val="24"/>
          <w:lang w:val="en-GB"/>
        </w:rPr>
        <w:t xml:space="preserve"> and kurtosis (multivariate </w:t>
      </w:r>
      <w:r w:rsidR="00517D29" w:rsidRPr="006E4DCA">
        <w:rPr>
          <w:sz w:val="24"/>
          <w:szCs w:val="24"/>
          <w:lang w:val="en-GB"/>
        </w:rPr>
        <w:t>CR</w:t>
      </w:r>
      <w:r w:rsidRPr="006E4DCA">
        <w:rPr>
          <w:sz w:val="24"/>
          <w:szCs w:val="24"/>
          <w:lang w:val="en-GB"/>
        </w:rPr>
        <w:t xml:space="preserve"> = 51.22). A series of confirmatory factor analyses (CFA) were conducted on the data using Robust Weighted Least Squares </w:t>
      </w:r>
      <w:r w:rsidR="006603C9" w:rsidRPr="006E4DCA">
        <w:rPr>
          <w:sz w:val="24"/>
          <w:szCs w:val="24"/>
          <w:lang w:val="en-GB"/>
        </w:rPr>
        <w:t>(</w:t>
      </w:r>
      <w:r w:rsidRPr="006E4DCA">
        <w:rPr>
          <w:sz w:val="24"/>
          <w:szCs w:val="24"/>
          <w:lang w:val="en-GB"/>
        </w:rPr>
        <w:t>Means and Variances adjusted</w:t>
      </w:r>
      <w:r w:rsidR="006603C9" w:rsidRPr="006E4DCA">
        <w:rPr>
          <w:sz w:val="24"/>
          <w:szCs w:val="24"/>
          <w:lang w:val="en-GB"/>
        </w:rPr>
        <w:t>)</w:t>
      </w:r>
      <w:r w:rsidRPr="006E4DCA">
        <w:rPr>
          <w:sz w:val="24"/>
          <w:szCs w:val="24"/>
          <w:lang w:val="en-GB"/>
        </w:rPr>
        <w:t xml:space="preserve"> as the estimator to test whether the four-factor structure of the English-version of the MSQ was appropriate for the translated measure. PM-CR, PM-ER, NM-U, and NM-CI were defined as latent, continuous variables and, mirroring the structure of the original version,</w:t>
      </w:r>
      <w:r w:rsidR="008D4122" w:rsidRPr="006E4DCA">
        <w:rPr>
          <w:sz w:val="24"/>
          <w:szCs w:val="24"/>
          <w:lang w:val="en-GB"/>
        </w:rPr>
        <w:t xml:space="preserve"> and</w:t>
      </w:r>
      <w:r w:rsidRPr="006E4DCA">
        <w:rPr>
          <w:sz w:val="24"/>
          <w:szCs w:val="24"/>
          <w:lang w:val="en-GB"/>
        </w:rPr>
        <w:t xml:space="preserve"> the model proposed that each had five items observed categorical-ordered indicators. The model specified that the latent variables were correlated, mirroring the relationship between factors described in the study that developed the original MSQ (</w:t>
      </w:r>
      <w:proofErr w:type="spellStart"/>
      <w:r w:rsidRPr="006E4DCA">
        <w:rPr>
          <w:sz w:val="24"/>
          <w:szCs w:val="24"/>
          <w:lang w:val="en-GB"/>
        </w:rPr>
        <w:t>Nikčević</w:t>
      </w:r>
      <w:proofErr w:type="spellEnd"/>
      <w:r w:rsidRPr="006E4DCA">
        <w:rPr>
          <w:sz w:val="24"/>
          <w:szCs w:val="24"/>
          <w:lang w:val="en-GB"/>
        </w:rPr>
        <w:t xml:space="preserve"> et al., 2015). Absolute (i.e., the root mean square error of approximation [RMSEA]) and incremental (i.e., the comparative fit index [CFI] and the Tucker-Lewis index [TLI; also, known as the non-normed fit index]) indices were calculated to evaluate model fit. An adequate fit is indicated by threshold values of equal to or less than 0.08 for the RMSEA (Browne et al., 1993), and close to or above 0.95 for the CFI and TLI (</w:t>
      </w:r>
      <w:proofErr w:type="spellStart"/>
      <w:r w:rsidRPr="006E4DCA">
        <w:rPr>
          <w:sz w:val="24"/>
          <w:szCs w:val="24"/>
          <w:lang w:val="en-GB"/>
        </w:rPr>
        <w:t>Schermelleh</w:t>
      </w:r>
      <w:proofErr w:type="spellEnd"/>
      <w:r w:rsidRPr="006E4DCA">
        <w:rPr>
          <w:sz w:val="24"/>
          <w:szCs w:val="24"/>
          <w:lang w:val="en-GB"/>
        </w:rPr>
        <w:t>-Engel et al., 2003).</w:t>
      </w:r>
    </w:p>
    <w:p w14:paraId="5800BA7E" w14:textId="77777777" w:rsidR="00BA5765" w:rsidRPr="006E4DCA" w:rsidRDefault="00BA5765" w:rsidP="00011661">
      <w:pPr>
        <w:pStyle w:val="BodyText"/>
        <w:spacing w:line="480" w:lineRule="auto"/>
        <w:jc w:val="both"/>
        <w:rPr>
          <w:b/>
          <w:sz w:val="24"/>
          <w:szCs w:val="24"/>
          <w:lang w:val="en-GB"/>
        </w:rPr>
      </w:pPr>
    </w:p>
    <w:p w14:paraId="2EFF46DF" w14:textId="77777777" w:rsidR="00BA5765" w:rsidRPr="006E4DCA" w:rsidRDefault="00BA5765" w:rsidP="00011661">
      <w:pPr>
        <w:pStyle w:val="BodyText"/>
        <w:spacing w:line="480" w:lineRule="auto"/>
        <w:jc w:val="both"/>
        <w:rPr>
          <w:b/>
          <w:sz w:val="24"/>
          <w:szCs w:val="24"/>
          <w:lang w:val="en-GB"/>
        </w:rPr>
      </w:pPr>
    </w:p>
    <w:p w14:paraId="124E9D59" w14:textId="77777777" w:rsidR="00BA5765" w:rsidRPr="006E4DCA" w:rsidRDefault="00BA5765" w:rsidP="00011661">
      <w:pPr>
        <w:pStyle w:val="BodyText"/>
        <w:spacing w:line="480" w:lineRule="auto"/>
        <w:jc w:val="both"/>
        <w:rPr>
          <w:b/>
          <w:sz w:val="24"/>
          <w:szCs w:val="24"/>
          <w:lang w:val="en-GB"/>
        </w:rPr>
      </w:pPr>
    </w:p>
    <w:p w14:paraId="62B0EA18" w14:textId="77777777" w:rsidR="003010BD" w:rsidRPr="006E4DCA" w:rsidRDefault="003010BD" w:rsidP="00011661">
      <w:pPr>
        <w:pStyle w:val="BodyText"/>
        <w:spacing w:line="480" w:lineRule="auto"/>
        <w:jc w:val="both"/>
        <w:rPr>
          <w:sz w:val="24"/>
          <w:szCs w:val="24"/>
          <w:lang w:val="en-GB"/>
        </w:rPr>
      </w:pPr>
      <w:r w:rsidRPr="006E4DCA">
        <w:rPr>
          <w:b/>
          <w:sz w:val="24"/>
          <w:szCs w:val="24"/>
          <w:lang w:val="en-GB"/>
        </w:rPr>
        <w:lastRenderedPageBreak/>
        <w:t>Table 1</w:t>
      </w:r>
      <w:r w:rsidRPr="006E4DCA">
        <w:rPr>
          <w:sz w:val="24"/>
          <w:szCs w:val="24"/>
          <w:lang w:val="en-GB"/>
        </w:rPr>
        <w:t>: Model fit indices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9"/>
        <w:gridCol w:w="2309"/>
        <w:gridCol w:w="2309"/>
      </w:tblGrid>
      <w:tr w:rsidR="003010BD" w:rsidRPr="006E4DCA" w14:paraId="68771A99" w14:textId="77777777" w:rsidTr="00011661">
        <w:tc>
          <w:tcPr>
            <w:tcW w:w="1847" w:type="dxa"/>
            <w:tcBorders>
              <w:top w:val="single" w:sz="4" w:space="0" w:color="auto"/>
              <w:bottom w:val="single" w:sz="4" w:space="0" w:color="auto"/>
            </w:tcBorders>
          </w:tcPr>
          <w:p w14:paraId="38119680" w14:textId="77777777" w:rsidR="003010BD" w:rsidRPr="006E4DCA" w:rsidRDefault="003010BD" w:rsidP="00011661">
            <w:pPr>
              <w:pStyle w:val="BodyText"/>
              <w:spacing w:line="240" w:lineRule="auto"/>
              <w:jc w:val="center"/>
              <w:rPr>
                <w:sz w:val="24"/>
                <w:szCs w:val="24"/>
                <w:lang w:val="en-GB"/>
              </w:rPr>
            </w:pPr>
          </w:p>
        </w:tc>
        <w:tc>
          <w:tcPr>
            <w:tcW w:w="1847" w:type="dxa"/>
            <w:tcBorders>
              <w:top w:val="single" w:sz="4" w:space="0" w:color="auto"/>
              <w:bottom w:val="single" w:sz="4" w:space="0" w:color="auto"/>
            </w:tcBorders>
          </w:tcPr>
          <w:p w14:paraId="15C7890A"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RMSEA</w:t>
            </w:r>
          </w:p>
        </w:tc>
        <w:tc>
          <w:tcPr>
            <w:tcW w:w="1847" w:type="dxa"/>
            <w:tcBorders>
              <w:top w:val="single" w:sz="4" w:space="0" w:color="auto"/>
              <w:bottom w:val="single" w:sz="4" w:space="0" w:color="auto"/>
            </w:tcBorders>
          </w:tcPr>
          <w:p w14:paraId="22E104A0"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CFI</w:t>
            </w:r>
          </w:p>
        </w:tc>
        <w:tc>
          <w:tcPr>
            <w:tcW w:w="1847" w:type="dxa"/>
            <w:tcBorders>
              <w:top w:val="single" w:sz="4" w:space="0" w:color="auto"/>
              <w:bottom w:val="single" w:sz="4" w:space="0" w:color="auto"/>
            </w:tcBorders>
          </w:tcPr>
          <w:p w14:paraId="2D7B263F"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TLI</w:t>
            </w:r>
          </w:p>
        </w:tc>
      </w:tr>
      <w:tr w:rsidR="003010BD" w:rsidRPr="006E4DCA" w14:paraId="242EF9DD" w14:textId="77777777" w:rsidTr="00011661">
        <w:tc>
          <w:tcPr>
            <w:tcW w:w="1847" w:type="dxa"/>
            <w:tcBorders>
              <w:top w:val="single" w:sz="4" w:space="0" w:color="auto"/>
            </w:tcBorders>
          </w:tcPr>
          <w:p w14:paraId="3C444602" w14:textId="77777777" w:rsidR="003010BD" w:rsidRPr="006E4DCA" w:rsidRDefault="003010BD" w:rsidP="00011661">
            <w:pPr>
              <w:pStyle w:val="BodyText"/>
              <w:spacing w:line="240" w:lineRule="auto"/>
              <w:jc w:val="both"/>
              <w:rPr>
                <w:sz w:val="24"/>
                <w:szCs w:val="24"/>
                <w:lang w:val="en-GB"/>
              </w:rPr>
            </w:pPr>
            <w:r w:rsidRPr="006E4DCA">
              <w:rPr>
                <w:sz w:val="24"/>
                <w:szCs w:val="24"/>
                <w:lang w:val="en-GB"/>
              </w:rPr>
              <w:t>Model 1</w:t>
            </w:r>
          </w:p>
        </w:tc>
        <w:tc>
          <w:tcPr>
            <w:tcW w:w="1847" w:type="dxa"/>
            <w:tcBorders>
              <w:top w:val="single" w:sz="4" w:space="0" w:color="auto"/>
            </w:tcBorders>
          </w:tcPr>
          <w:p w14:paraId="223EA02E"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0.087</w:t>
            </w:r>
          </w:p>
        </w:tc>
        <w:tc>
          <w:tcPr>
            <w:tcW w:w="1847" w:type="dxa"/>
            <w:tcBorders>
              <w:top w:val="single" w:sz="4" w:space="0" w:color="auto"/>
            </w:tcBorders>
          </w:tcPr>
          <w:p w14:paraId="5793DC4D"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0.97</w:t>
            </w:r>
          </w:p>
        </w:tc>
        <w:tc>
          <w:tcPr>
            <w:tcW w:w="1847" w:type="dxa"/>
            <w:tcBorders>
              <w:top w:val="single" w:sz="4" w:space="0" w:color="auto"/>
            </w:tcBorders>
          </w:tcPr>
          <w:p w14:paraId="5E775CC6"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0.97</w:t>
            </w:r>
          </w:p>
        </w:tc>
      </w:tr>
      <w:tr w:rsidR="003010BD" w:rsidRPr="006E4DCA" w14:paraId="3A68AE48" w14:textId="77777777" w:rsidTr="00011661">
        <w:tc>
          <w:tcPr>
            <w:tcW w:w="1847" w:type="dxa"/>
          </w:tcPr>
          <w:p w14:paraId="39345646" w14:textId="77777777" w:rsidR="003010BD" w:rsidRPr="006E4DCA" w:rsidRDefault="003010BD" w:rsidP="00011661">
            <w:pPr>
              <w:pStyle w:val="BodyText"/>
              <w:spacing w:line="240" w:lineRule="auto"/>
              <w:jc w:val="both"/>
              <w:rPr>
                <w:sz w:val="24"/>
                <w:szCs w:val="24"/>
                <w:lang w:val="en-GB"/>
              </w:rPr>
            </w:pPr>
            <w:r w:rsidRPr="006E4DCA">
              <w:rPr>
                <w:sz w:val="24"/>
                <w:szCs w:val="24"/>
                <w:lang w:val="en-GB"/>
              </w:rPr>
              <w:t>Model 2</w:t>
            </w:r>
          </w:p>
        </w:tc>
        <w:tc>
          <w:tcPr>
            <w:tcW w:w="1847" w:type="dxa"/>
          </w:tcPr>
          <w:p w14:paraId="27DE7DBE"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0.067</w:t>
            </w:r>
          </w:p>
        </w:tc>
        <w:tc>
          <w:tcPr>
            <w:tcW w:w="1847" w:type="dxa"/>
          </w:tcPr>
          <w:p w14:paraId="1D8AB259"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0.98</w:t>
            </w:r>
          </w:p>
        </w:tc>
        <w:tc>
          <w:tcPr>
            <w:tcW w:w="1847" w:type="dxa"/>
          </w:tcPr>
          <w:p w14:paraId="6CE8CF61" w14:textId="77777777" w:rsidR="003010BD" w:rsidRPr="006E4DCA" w:rsidRDefault="003010BD" w:rsidP="00011661">
            <w:pPr>
              <w:pStyle w:val="BodyText"/>
              <w:spacing w:line="240" w:lineRule="auto"/>
              <w:jc w:val="center"/>
              <w:rPr>
                <w:sz w:val="24"/>
                <w:szCs w:val="24"/>
                <w:lang w:val="en-GB"/>
              </w:rPr>
            </w:pPr>
            <w:r w:rsidRPr="006E4DCA">
              <w:rPr>
                <w:sz w:val="24"/>
                <w:szCs w:val="24"/>
                <w:lang w:val="en-GB"/>
              </w:rPr>
              <w:t>0.98</w:t>
            </w:r>
          </w:p>
        </w:tc>
      </w:tr>
    </w:tbl>
    <w:p w14:paraId="5CF2C550" w14:textId="77777777" w:rsidR="003010BD" w:rsidRPr="006E4DCA" w:rsidRDefault="003010BD" w:rsidP="00011661">
      <w:pPr>
        <w:pStyle w:val="BodyText"/>
        <w:spacing w:line="240" w:lineRule="auto"/>
        <w:jc w:val="both"/>
        <w:rPr>
          <w:lang w:val="en-GB"/>
        </w:rPr>
      </w:pPr>
      <w:r w:rsidRPr="006E4DCA">
        <w:rPr>
          <w:i/>
          <w:lang w:val="en-GB"/>
        </w:rPr>
        <w:t xml:space="preserve">Note. </w:t>
      </w:r>
      <w:r w:rsidRPr="006E4DCA">
        <w:rPr>
          <w:lang w:val="en-GB"/>
        </w:rPr>
        <w:t>RMSEA= Root mean square error of approximation; CFI = comparative fit index; TFI = Tucker-Lewis index; n = 850.</w:t>
      </w:r>
    </w:p>
    <w:p w14:paraId="6CF72BFB" w14:textId="77777777" w:rsidR="00BA5765" w:rsidRPr="006E4DCA" w:rsidRDefault="00BA5765" w:rsidP="00011661">
      <w:pPr>
        <w:pStyle w:val="BodyText"/>
        <w:spacing w:line="480" w:lineRule="auto"/>
        <w:ind w:firstLine="708"/>
        <w:jc w:val="both"/>
        <w:rPr>
          <w:sz w:val="24"/>
          <w:szCs w:val="24"/>
          <w:lang w:val="en-GB"/>
        </w:rPr>
      </w:pPr>
    </w:p>
    <w:p w14:paraId="57C9CF44" w14:textId="1E538CC7" w:rsidR="003010BD" w:rsidRPr="006E4DCA" w:rsidRDefault="003010BD" w:rsidP="00011661">
      <w:pPr>
        <w:pStyle w:val="BodyText"/>
        <w:spacing w:line="480" w:lineRule="auto"/>
        <w:ind w:firstLine="708"/>
        <w:jc w:val="both"/>
        <w:rPr>
          <w:sz w:val="24"/>
          <w:szCs w:val="24"/>
          <w:lang w:val="en-GB"/>
        </w:rPr>
      </w:pPr>
      <w:r w:rsidRPr="006E4DCA">
        <w:rPr>
          <w:sz w:val="24"/>
          <w:szCs w:val="24"/>
          <w:lang w:val="en-GB"/>
        </w:rPr>
        <w:t xml:space="preserve">The initial model (Model 1) was judged as being an unsatisfactory fit of the data (see Table 1). The model was re-specified following consideration of modification indices, regression weights, factor loadings, and theory. Three pairs of indicator items of the MSQ (4 and 8, 3 and 11, and 3 and 15) were allowed to co-vary because each pair loaded on a shared factor. We thought this to be theoretically justified because indicator items might share a degree of measurement error when trying to assess the same latent concept. This lead to a model that retained the same number of items and the same structure as the English version of the MSQ, which was an acceptable fit of the data (Model 2). These items were also used to generate a Scree plot that provided further support for the four-factor solution, with these factors explaining 72.3% of the total variance. To assess for </w:t>
      </w:r>
      <w:proofErr w:type="spellStart"/>
      <w:r w:rsidRPr="006E4DCA">
        <w:rPr>
          <w:sz w:val="24"/>
          <w:szCs w:val="24"/>
          <w:lang w:val="en-GB"/>
        </w:rPr>
        <w:t>configural</w:t>
      </w:r>
      <w:proofErr w:type="spellEnd"/>
      <w:r w:rsidRPr="006E4DCA">
        <w:rPr>
          <w:sz w:val="24"/>
          <w:szCs w:val="24"/>
          <w:lang w:val="en-GB"/>
        </w:rPr>
        <w:t xml:space="preserve"> gender invariance, we ran Model 2 twice</w:t>
      </w:r>
      <w:r w:rsidR="008D4122" w:rsidRPr="006E4DCA">
        <w:rPr>
          <w:sz w:val="24"/>
          <w:szCs w:val="24"/>
          <w:lang w:val="en-GB"/>
        </w:rPr>
        <w:t>, first</w:t>
      </w:r>
      <w:r w:rsidRPr="006E4DCA">
        <w:rPr>
          <w:sz w:val="24"/>
          <w:szCs w:val="24"/>
          <w:lang w:val="en-GB"/>
        </w:rPr>
        <w:t xml:space="preserve"> with males only then females. The resulting CFIs, TLIs, and RMSEAs suggested that there was little </w:t>
      </w:r>
      <w:proofErr w:type="spellStart"/>
      <w:r w:rsidR="008172B0" w:rsidRPr="006E4DCA">
        <w:rPr>
          <w:sz w:val="24"/>
          <w:szCs w:val="24"/>
          <w:lang w:val="en-GB"/>
        </w:rPr>
        <w:t>configural</w:t>
      </w:r>
      <w:proofErr w:type="spellEnd"/>
      <w:r w:rsidR="008172B0" w:rsidRPr="006E4DCA">
        <w:rPr>
          <w:sz w:val="24"/>
          <w:szCs w:val="24"/>
          <w:lang w:val="en-GB"/>
        </w:rPr>
        <w:t xml:space="preserve"> </w:t>
      </w:r>
      <w:r w:rsidRPr="006E4DCA">
        <w:rPr>
          <w:sz w:val="24"/>
          <w:szCs w:val="24"/>
          <w:lang w:val="en-GB"/>
        </w:rPr>
        <w:t>variance in the proposed structure of the MSQ between genders (males: CFI = 0.99; TLI = 0.98; RMSEA = 0.064; females: CFI = 0.98; TLI = 0.98; RMSEA = 0.062). Cronbach's alpha coefficients were calculated for each of the four factors of the translated MSQ, which resulted in values of 0.93 for PM-CR, 0.91 for PM-ER, 0.84 for NM-CI, and 0.84 for NM-U, suggesting good internal reliability. Further calculations revealed that the internal reliability of the scale would not be significantly improved by removing any of the items.</w:t>
      </w:r>
    </w:p>
    <w:p w14:paraId="74213D9D" w14:textId="77777777" w:rsidR="003010BD" w:rsidRPr="006E4DCA" w:rsidRDefault="003010BD" w:rsidP="00011661">
      <w:pPr>
        <w:pStyle w:val="BodyText"/>
        <w:spacing w:line="480" w:lineRule="auto"/>
        <w:jc w:val="both"/>
        <w:rPr>
          <w:b/>
          <w:i/>
          <w:sz w:val="24"/>
          <w:szCs w:val="24"/>
          <w:lang w:val="en-GB"/>
        </w:rPr>
      </w:pPr>
      <w:r w:rsidRPr="006E4DCA">
        <w:rPr>
          <w:b/>
          <w:i/>
          <w:sz w:val="24"/>
          <w:szCs w:val="24"/>
          <w:lang w:val="en-GB"/>
        </w:rPr>
        <w:t>3.2 Descriptive statistics, normality tests, difference tests and FTND internal reliability</w:t>
      </w:r>
    </w:p>
    <w:p w14:paraId="3A45AF0A" w14:textId="77777777" w:rsidR="003010BD" w:rsidRPr="006E4DCA" w:rsidRDefault="003010BD" w:rsidP="009E7306">
      <w:pPr>
        <w:pStyle w:val="BodyText"/>
        <w:spacing w:line="480" w:lineRule="auto"/>
        <w:ind w:firstLine="720"/>
        <w:jc w:val="both"/>
        <w:rPr>
          <w:sz w:val="24"/>
          <w:szCs w:val="24"/>
          <w:lang w:val="en-GB"/>
        </w:rPr>
      </w:pPr>
      <w:r w:rsidRPr="006E4DCA">
        <w:rPr>
          <w:sz w:val="24"/>
          <w:szCs w:val="24"/>
          <w:lang w:val="en-GB"/>
        </w:rPr>
        <w:t xml:space="preserve">Table 2 presents the means, standard deviations, and ranges of continuous variables generated by the measures used in this study. Kolmogorov-Smirnov tests suggested that the </w:t>
      </w:r>
      <w:r w:rsidRPr="006E4DCA">
        <w:rPr>
          <w:sz w:val="24"/>
          <w:szCs w:val="24"/>
          <w:lang w:val="en-GB"/>
        </w:rPr>
        <w:lastRenderedPageBreak/>
        <w:t>distribution of all the measures’ data was significantly different than normal and, consequently, Spearman’s rho correlations were generated to investigate the relationships between the study variables (see Table 2). Significant, positive correlations were found between all four factors of the MSQ and the FTND, age, HADS-A, and HADS-D. Significant relationships between SSA and both positive and negative metacognitions were also found, although in opposite directions (i.e., the former negatively and the latter positively associated).</w:t>
      </w:r>
    </w:p>
    <w:p w14:paraId="1E58E7FB" w14:textId="303D18F5"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Mann-Whitney U differences tests were conducted using FTND as the dependent variable. Significant differences were found between gender (mean: male = 3.51 and female = 2.90; Mann Whitney U =</w:t>
      </w:r>
      <w:r w:rsidRPr="006E4DCA">
        <w:rPr>
          <w:lang w:val="en-GB"/>
        </w:rPr>
        <w:t xml:space="preserve"> </w:t>
      </w:r>
      <w:r w:rsidRPr="006E4DCA">
        <w:rPr>
          <w:sz w:val="24"/>
          <w:szCs w:val="24"/>
          <w:lang w:val="en-GB"/>
        </w:rPr>
        <w:t xml:space="preserve">78157.5, </w:t>
      </w:r>
      <w:proofErr w:type="gramStart"/>
      <w:r w:rsidRPr="006E4DCA">
        <w:rPr>
          <w:sz w:val="24"/>
          <w:szCs w:val="24"/>
          <w:lang w:val="en-GB"/>
        </w:rPr>
        <w:t>n</w:t>
      </w:r>
      <w:r w:rsidRPr="006E4DCA">
        <w:rPr>
          <w:sz w:val="24"/>
          <w:szCs w:val="24"/>
          <w:vertAlign w:val="subscript"/>
          <w:lang w:val="en-GB"/>
        </w:rPr>
        <w:t>1</w:t>
      </w:r>
      <w:r w:rsidRPr="006E4DCA">
        <w:rPr>
          <w:sz w:val="24"/>
          <w:szCs w:val="24"/>
          <w:lang w:val="en-GB"/>
        </w:rPr>
        <w:t>[</w:t>
      </w:r>
      <w:proofErr w:type="gramEnd"/>
      <w:r w:rsidRPr="006E4DCA">
        <w:rPr>
          <w:sz w:val="24"/>
          <w:szCs w:val="24"/>
          <w:lang w:val="en-GB"/>
        </w:rPr>
        <w:t>male] = 402; n</w:t>
      </w:r>
      <w:r w:rsidRPr="006E4DCA">
        <w:rPr>
          <w:sz w:val="24"/>
          <w:szCs w:val="24"/>
          <w:vertAlign w:val="subscript"/>
          <w:lang w:val="en-GB"/>
        </w:rPr>
        <w:t>2</w:t>
      </w:r>
      <w:r w:rsidRPr="006E4DCA">
        <w:rPr>
          <w:sz w:val="24"/>
          <w:szCs w:val="24"/>
          <w:lang w:val="en-GB"/>
        </w:rPr>
        <w:t>[female] = 448; p = 0.01) and whether participants had received smoking cessation treatment (mean: yes = 4.34 and no = 3.12; Mann Whitney U =</w:t>
      </w:r>
      <w:r w:rsidRPr="006E4DCA">
        <w:rPr>
          <w:lang w:val="en-GB"/>
        </w:rPr>
        <w:t xml:space="preserve"> </w:t>
      </w:r>
      <w:r w:rsidRPr="006E4DCA">
        <w:rPr>
          <w:sz w:val="24"/>
          <w:szCs w:val="24"/>
          <w:lang w:val="en-GB"/>
        </w:rPr>
        <w:t>13069.5, n</w:t>
      </w:r>
      <w:r w:rsidRPr="006E4DCA">
        <w:rPr>
          <w:sz w:val="24"/>
          <w:szCs w:val="24"/>
          <w:vertAlign w:val="subscript"/>
          <w:lang w:val="en-GB"/>
        </w:rPr>
        <w:t>1</w:t>
      </w:r>
      <w:r w:rsidRPr="006E4DCA">
        <w:rPr>
          <w:sz w:val="24"/>
          <w:szCs w:val="24"/>
          <w:lang w:val="en-GB"/>
        </w:rPr>
        <w:t>[yes] = 44; n</w:t>
      </w:r>
      <w:r w:rsidRPr="006E4DCA">
        <w:rPr>
          <w:sz w:val="24"/>
          <w:szCs w:val="24"/>
          <w:vertAlign w:val="subscript"/>
          <w:lang w:val="en-GB"/>
        </w:rPr>
        <w:t>2</w:t>
      </w:r>
      <w:r w:rsidRPr="006E4DCA">
        <w:rPr>
          <w:sz w:val="24"/>
          <w:szCs w:val="24"/>
          <w:lang w:val="en-GB"/>
        </w:rPr>
        <w:t>[no] = 806; p = 0.003). We calculated further Mann-Whitney U tests using the four sub-factors of the MSQ as dependent variables and gender as the independent. Females scored significantly higher than males on PM-ER (means: male = 13.18 and female = 14.15; Mann Whitney U =</w:t>
      </w:r>
      <w:r w:rsidRPr="006E4DCA">
        <w:rPr>
          <w:lang w:val="en-GB"/>
        </w:rPr>
        <w:t xml:space="preserve"> </w:t>
      </w:r>
      <w:r w:rsidRPr="006E4DCA">
        <w:rPr>
          <w:sz w:val="24"/>
          <w:szCs w:val="24"/>
          <w:lang w:val="en-GB"/>
        </w:rPr>
        <w:t xml:space="preserve">77827.5, </w:t>
      </w:r>
      <w:proofErr w:type="gramStart"/>
      <w:r w:rsidRPr="006E4DCA">
        <w:rPr>
          <w:sz w:val="24"/>
          <w:szCs w:val="24"/>
          <w:lang w:val="en-GB"/>
        </w:rPr>
        <w:t>n</w:t>
      </w:r>
      <w:r w:rsidRPr="006E4DCA">
        <w:rPr>
          <w:sz w:val="24"/>
          <w:szCs w:val="24"/>
          <w:vertAlign w:val="subscript"/>
          <w:lang w:val="en-GB"/>
        </w:rPr>
        <w:t>1</w:t>
      </w:r>
      <w:r w:rsidRPr="006E4DCA">
        <w:rPr>
          <w:sz w:val="24"/>
          <w:szCs w:val="24"/>
          <w:lang w:val="en-GB"/>
        </w:rPr>
        <w:t>[</w:t>
      </w:r>
      <w:proofErr w:type="gramEnd"/>
      <w:r w:rsidRPr="006E4DCA">
        <w:rPr>
          <w:sz w:val="24"/>
          <w:szCs w:val="24"/>
          <w:lang w:val="en-GB"/>
        </w:rPr>
        <w:t>male] = 402; n</w:t>
      </w:r>
      <w:r w:rsidRPr="006E4DCA">
        <w:rPr>
          <w:sz w:val="24"/>
          <w:szCs w:val="24"/>
          <w:vertAlign w:val="subscript"/>
          <w:lang w:val="en-GB"/>
        </w:rPr>
        <w:t>2</w:t>
      </w:r>
      <w:r w:rsidRPr="006E4DCA">
        <w:rPr>
          <w:sz w:val="24"/>
          <w:szCs w:val="24"/>
          <w:lang w:val="en-GB"/>
        </w:rPr>
        <w:t xml:space="preserve">[female] = 448; p = 0.01), whilst </w:t>
      </w:r>
      <w:r w:rsidR="00055AE1" w:rsidRPr="006E4DCA">
        <w:rPr>
          <w:sz w:val="24"/>
          <w:szCs w:val="24"/>
          <w:lang w:val="en-GB"/>
        </w:rPr>
        <w:t xml:space="preserve">the reverse </w:t>
      </w:r>
      <w:r w:rsidRPr="006E4DCA">
        <w:rPr>
          <w:sz w:val="24"/>
          <w:szCs w:val="24"/>
          <w:lang w:val="en-GB"/>
        </w:rPr>
        <w:t>was found on NM-CI (means: male = 13.18 and female = 14.15; Mann Whitney U =</w:t>
      </w:r>
      <w:r w:rsidRPr="006E4DCA">
        <w:rPr>
          <w:lang w:val="en-GB"/>
        </w:rPr>
        <w:t xml:space="preserve"> </w:t>
      </w:r>
      <w:r w:rsidRPr="006E4DCA">
        <w:rPr>
          <w:sz w:val="24"/>
          <w:szCs w:val="24"/>
          <w:lang w:val="en-GB"/>
        </w:rPr>
        <w:t>81593.0, n</w:t>
      </w:r>
      <w:r w:rsidRPr="006E4DCA">
        <w:rPr>
          <w:sz w:val="24"/>
          <w:szCs w:val="24"/>
          <w:vertAlign w:val="subscript"/>
          <w:lang w:val="en-GB"/>
        </w:rPr>
        <w:t>1</w:t>
      </w:r>
      <w:r w:rsidRPr="006E4DCA">
        <w:rPr>
          <w:sz w:val="24"/>
          <w:szCs w:val="24"/>
          <w:lang w:val="en-GB"/>
        </w:rPr>
        <w:t>[male] = 402; n</w:t>
      </w:r>
      <w:r w:rsidRPr="006E4DCA">
        <w:rPr>
          <w:sz w:val="24"/>
          <w:szCs w:val="24"/>
          <w:vertAlign w:val="subscript"/>
          <w:lang w:val="en-GB"/>
        </w:rPr>
        <w:t>2</w:t>
      </w:r>
      <w:r w:rsidRPr="006E4DCA">
        <w:rPr>
          <w:sz w:val="24"/>
          <w:szCs w:val="24"/>
          <w:lang w:val="en-GB"/>
        </w:rPr>
        <w:t>[female] = 448; p = 0.02). No gender difference was found using PM-CR and NM-U dependent variables.</w:t>
      </w:r>
    </w:p>
    <w:p w14:paraId="53C83763" w14:textId="77DC44F2" w:rsidR="003010BD" w:rsidRPr="006E4DCA" w:rsidRDefault="003010BD" w:rsidP="00011661">
      <w:pPr>
        <w:pStyle w:val="BodyText"/>
        <w:spacing w:line="480" w:lineRule="auto"/>
        <w:ind w:firstLine="720"/>
        <w:jc w:val="both"/>
        <w:rPr>
          <w:sz w:val="24"/>
          <w:szCs w:val="24"/>
          <w:lang w:val="en-GB"/>
        </w:rPr>
      </w:pPr>
      <w:r w:rsidRPr="006E4DCA">
        <w:rPr>
          <w:sz w:val="24"/>
          <w:szCs w:val="24"/>
          <w:lang w:val="en-GB"/>
        </w:rPr>
        <w:t>An earlier study had found the six-item version of the Turkish FTND problematic, suggesting the five-item version that has been employed in this study (</w:t>
      </w:r>
      <w:proofErr w:type="spellStart"/>
      <w:r w:rsidRPr="006E4DCA">
        <w:rPr>
          <w:sz w:val="24"/>
          <w:szCs w:val="24"/>
          <w:lang w:val="en-GB"/>
        </w:rPr>
        <w:t>Uysal</w:t>
      </w:r>
      <w:proofErr w:type="spellEnd"/>
      <w:r w:rsidRPr="006E4DCA">
        <w:rPr>
          <w:sz w:val="24"/>
          <w:szCs w:val="24"/>
          <w:lang w:val="en-GB"/>
        </w:rPr>
        <w:t xml:space="preserve"> et al., 2004). We wished to further establish some of the psychometric properties of the revised measure. We found that the five-item Turkish FTND had </w:t>
      </w:r>
      <w:r w:rsidR="00055AE1" w:rsidRPr="006E4DCA">
        <w:rPr>
          <w:sz w:val="24"/>
          <w:szCs w:val="24"/>
          <w:lang w:val="en-GB"/>
        </w:rPr>
        <w:t xml:space="preserve">a </w:t>
      </w:r>
      <w:r w:rsidRPr="006E4DCA">
        <w:rPr>
          <w:sz w:val="24"/>
          <w:szCs w:val="24"/>
          <w:lang w:val="en-GB"/>
        </w:rPr>
        <w:t xml:space="preserve">higher internal consistency (with a Cronbach’s alpha of 0.71) </w:t>
      </w:r>
      <w:r w:rsidR="00055AE1" w:rsidRPr="006E4DCA">
        <w:rPr>
          <w:sz w:val="24"/>
          <w:szCs w:val="24"/>
          <w:lang w:val="en-GB"/>
        </w:rPr>
        <w:t>than</w:t>
      </w:r>
      <w:r w:rsidRPr="006E4DCA">
        <w:rPr>
          <w:sz w:val="24"/>
          <w:szCs w:val="24"/>
          <w:lang w:val="en-GB"/>
        </w:rPr>
        <w:t xml:space="preserve"> had been reported previously (</w:t>
      </w:r>
      <w:proofErr w:type="spellStart"/>
      <w:r w:rsidRPr="006E4DCA">
        <w:rPr>
          <w:sz w:val="24"/>
          <w:szCs w:val="24"/>
          <w:lang w:val="en-GB"/>
        </w:rPr>
        <w:t>Uysal</w:t>
      </w:r>
      <w:proofErr w:type="spellEnd"/>
      <w:r w:rsidRPr="006E4DCA">
        <w:rPr>
          <w:sz w:val="24"/>
          <w:szCs w:val="24"/>
          <w:lang w:val="en-GB"/>
        </w:rPr>
        <w:t xml:space="preserve"> et al., 2004).</w:t>
      </w:r>
    </w:p>
    <w:p w14:paraId="4301BB70" w14:textId="77777777" w:rsidR="003010BD" w:rsidRPr="006E4DCA" w:rsidRDefault="003010BD" w:rsidP="00011661">
      <w:pPr>
        <w:pStyle w:val="BodyText"/>
        <w:spacing w:line="480" w:lineRule="auto"/>
        <w:jc w:val="both"/>
        <w:rPr>
          <w:lang w:val="en-GB"/>
        </w:rPr>
        <w:sectPr w:rsidR="003010BD" w:rsidRPr="006E4DCA" w:rsidSect="00011661">
          <w:pgSz w:w="11900" w:h="16840"/>
          <w:pgMar w:top="1440" w:right="1440" w:bottom="1440" w:left="1440" w:header="708" w:footer="708" w:gutter="0"/>
          <w:cols w:space="708"/>
          <w:docGrid w:linePitch="360"/>
        </w:sectPr>
      </w:pPr>
      <w:r w:rsidRPr="006E4DCA">
        <w:rPr>
          <w:lang w:val="en-GB"/>
        </w:rPr>
        <w:t xml:space="preserve"> </w:t>
      </w:r>
    </w:p>
    <w:tbl>
      <w:tblPr>
        <w:tblpPr w:rightFromText="181" w:vertAnchor="page" w:horzAnchor="page" w:tblpX="829" w:tblpY="1623"/>
        <w:tblW w:w="5000" w:type="pct"/>
        <w:tblLayout w:type="fixed"/>
        <w:tblCellMar>
          <w:left w:w="28" w:type="dxa"/>
          <w:right w:w="28" w:type="dxa"/>
        </w:tblCellMar>
        <w:tblLook w:val="04A0" w:firstRow="1" w:lastRow="0" w:firstColumn="1" w:lastColumn="0" w:noHBand="0" w:noVBand="1"/>
      </w:tblPr>
      <w:tblGrid>
        <w:gridCol w:w="1143"/>
        <w:gridCol w:w="621"/>
        <w:gridCol w:w="621"/>
        <w:gridCol w:w="621"/>
        <w:gridCol w:w="696"/>
        <w:gridCol w:w="727"/>
        <w:gridCol w:w="727"/>
        <w:gridCol w:w="672"/>
        <w:gridCol w:w="672"/>
        <w:gridCol w:w="672"/>
        <w:gridCol w:w="672"/>
        <w:gridCol w:w="55"/>
        <w:gridCol w:w="672"/>
        <w:gridCol w:w="55"/>
        <w:gridCol w:w="672"/>
        <w:gridCol w:w="55"/>
        <w:gridCol w:w="672"/>
        <w:gridCol w:w="672"/>
        <w:gridCol w:w="672"/>
        <w:gridCol w:w="672"/>
        <w:gridCol w:w="55"/>
        <w:gridCol w:w="672"/>
        <w:gridCol w:w="672"/>
        <w:gridCol w:w="672"/>
        <w:gridCol w:w="672"/>
        <w:gridCol w:w="672"/>
      </w:tblGrid>
      <w:tr w:rsidR="003010BD" w:rsidRPr="006E4DCA" w14:paraId="29B69784" w14:textId="77777777" w:rsidTr="00011661">
        <w:trPr>
          <w:trHeight w:val="220"/>
        </w:trPr>
        <w:tc>
          <w:tcPr>
            <w:tcW w:w="1166" w:type="dxa"/>
            <w:tcBorders>
              <w:top w:val="single" w:sz="4" w:space="0" w:color="auto"/>
              <w:left w:val="nil"/>
              <w:bottom w:val="single" w:sz="4" w:space="0" w:color="auto"/>
              <w:right w:val="nil"/>
            </w:tcBorders>
            <w:shd w:val="clear" w:color="auto" w:fill="auto"/>
            <w:hideMark/>
          </w:tcPr>
          <w:p w14:paraId="348095CC"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lastRenderedPageBreak/>
              <w:t>Variable</w:t>
            </w:r>
          </w:p>
        </w:tc>
        <w:tc>
          <w:tcPr>
            <w:tcW w:w="633" w:type="dxa"/>
            <w:tcBorders>
              <w:top w:val="single" w:sz="4" w:space="0" w:color="auto"/>
              <w:left w:val="nil"/>
              <w:bottom w:val="single" w:sz="4" w:space="0" w:color="auto"/>
              <w:right w:val="nil"/>
            </w:tcBorders>
            <w:shd w:val="clear" w:color="auto" w:fill="auto"/>
            <w:hideMark/>
          </w:tcPr>
          <w:p w14:paraId="43FF9258"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X</w:t>
            </w:r>
          </w:p>
        </w:tc>
        <w:tc>
          <w:tcPr>
            <w:tcW w:w="633" w:type="dxa"/>
            <w:tcBorders>
              <w:top w:val="single" w:sz="4" w:space="0" w:color="auto"/>
              <w:left w:val="nil"/>
              <w:bottom w:val="single" w:sz="4" w:space="0" w:color="auto"/>
              <w:right w:val="nil"/>
            </w:tcBorders>
            <w:shd w:val="clear" w:color="auto" w:fill="auto"/>
            <w:hideMark/>
          </w:tcPr>
          <w:p w14:paraId="3E9E0EA3"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SD</w:t>
            </w:r>
          </w:p>
        </w:tc>
        <w:tc>
          <w:tcPr>
            <w:tcW w:w="633" w:type="dxa"/>
            <w:tcBorders>
              <w:top w:val="single" w:sz="4" w:space="0" w:color="auto"/>
              <w:left w:val="nil"/>
              <w:bottom w:val="single" w:sz="4" w:space="0" w:color="auto"/>
              <w:right w:val="nil"/>
            </w:tcBorders>
            <w:shd w:val="clear" w:color="auto" w:fill="auto"/>
            <w:hideMark/>
          </w:tcPr>
          <w:p w14:paraId="50A466CB"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Range</w:t>
            </w:r>
          </w:p>
        </w:tc>
        <w:tc>
          <w:tcPr>
            <w:tcW w:w="710" w:type="dxa"/>
            <w:tcBorders>
              <w:top w:val="single" w:sz="4" w:space="0" w:color="auto"/>
              <w:left w:val="nil"/>
              <w:bottom w:val="single" w:sz="4" w:space="0" w:color="auto"/>
              <w:right w:val="nil"/>
            </w:tcBorders>
            <w:shd w:val="clear" w:color="auto" w:fill="auto"/>
            <w:hideMark/>
          </w:tcPr>
          <w:p w14:paraId="4E0862F2"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w:t>
            </w:r>
          </w:p>
        </w:tc>
        <w:tc>
          <w:tcPr>
            <w:tcW w:w="741" w:type="dxa"/>
            <w:tcBorders>
              <w:top w:val="single" w:sz="4" w:space="0" w:color="auto"/>
              <w:left w:val="nil"/>
              <w:bottom w:val="single" w:sz="4" w:space="0" w:color="auto"/>
              <w:right w:val="nil"/>
            </w:tcBorders>
            <w:shd w:val="clear" w:color="auto" w:fill="auto"/>
            <w:hideMark/>
          </w:tcPr>
          <w:p w14:paraId="32C8B8A7"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2</w:t>
            </w:r>
          </w:p>
        </w:tc>
        <w:tc>
          <w:tcPr>
            <w:tcW w:w="741" w:type="dxa"/>
            <w:tcBorders>
              <w:top w:val="single" w:sz="4" w:space="0" w:color="auto"/>
              <w:left w:val="nil"/>
              <w:bottom w:val="single" w:sz="4" w:space="0" w:color="auto"/>
              <w:right w:val="nil"/>
            </w:tcBorders>
            <w:shd w:val="clear" w:color="auto" w:fill="auto"/>
            <w:hideMark/>
          </w:tcPr>
          <w:p w14:paraId="5960B73B"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3</w:t>
            </w:r>
          </w:p>
        </w:tc>
        <w:tc>
          <w:tcPr>
            <w:tcW w:w="685" w:type="dxa"/>
            <w:tcBorders>
              <w:top w:val="single" w:sz="4" w:space="0" w:color="auto"/>
              <w:left w:val="nil"/>
              <w:bottom w:val="single" w:sz="4" w:space="0" w:color="auto"/>
              <w:right w:val="nil"/>
            </w:tcBorders>
            <w:shd w:val="clear" w:color="auto" w:fill="auto"/>
            <w:hideMark/>
          </w:tcPr>
          <w:p w14:paraId="6E624718"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4</w:t>
            </w:r>
          </w:p>
        </w:tc>
        <w:tc>
          <w:tcPr>
            <w:tcW w:w="685" w:type="dxa"/>
            <w:tcBorders>
              <w:top w:val="single" w:sz="4" w:space="0" w:color="auto"/>
              <w:left w:val="nil"/>
              <w:bottom w:val="single" w:sz="4" w:space="0" w:color="auto"/>
              <w:right w:val="nil"/>
            </w:tcBorders>
            <w:shd w:val="clear" w:color="auto" w:fill="auto"/>
            <w:hideMark/>
          </w:tcPr>
          <w:p w14:paraId="4B4E5CCD"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5</w:t>
            </w:r>
          </w:p>
        </w:tc>
        <w:tc>
          <w:tcPr>
            <w:tcW w:w="685" w:type="dxa"/>
            <w:tcBorders>
              <w:top w:val="single" w:sz="4" w:space="0" w:color="auto"/>
              <w:left w:val="nil"/>
              <w:bottom w:val="single" w:sz="4" w:space="0" w:color="auto"/>
              <w:right w:val="nil"/>
            </w:tcBorders>
            <w:shd w:val="clear" w:color="auto" w:fill="auto"/>
            <w:hideMark/>
          </w:tcPr>
          <w:p w14:paraId="184B12B2"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6</w:t>
            </w:r>
          </w:p>
        </w:tc>
        <w:tc>
          <w:tcPr>
            <w:tcW w:w="685" w:type="dxa"/>
            <w:tcBorders>
              <w:top w:val="single" w:sz="4" w:space="0" w:color="auto"/>
              <w:left w:val="nil"/>
              <w:bottom w:val="single" w:sz="4" w:space="0" w:color="auto"/>
              <w:right w:val="nil"/>
            </w:tcBorders>
            <w:shd w:val="clear" w:color="auto" w:fill="auto"/>
            <w:hideMark/>
          </w:tcPr>
          <w:p w14:paraId="1318F190"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7</w:t>
            </w:r>
          </w:p>
        </w:tc>
        <w:tc>
          <w:tcPr>
            <w:tcW w:w="741" w:type="dxa"/>
            <w:gridSpan w:val="2"/>
            <w:tcBorders>
              <w:top w:val="single" w:sz="4" w:space="0" w:color="auto"/>
              <w:left w:val="nil"/>
              <w:bottom w:val="single" w:sz="4" w:space="0" w:color="auto"/>
              <w:right w:val="nil"/>
            </w:tcBorders>
            <w:shd w:val="clear" w:color="auto" w:fill="auto"/>
            <w:hideMark/>
          </w:tcPr>
          <w:p w14:paraId="3EF7CBF2"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8</w:t>
            </w:r>
          </w:p>
        </w:tc>
        <w:tc>
          <w:tcPr>
            <w:tcW w:w="741" w:type="dxa"/>
            <w:gridSpan w:val="2"/>
            <w:tcBorders>
              <w:top w:val="single" w:sz="4" w:space="0" w:color="auto"/>
              <w:left w:val="nil"/>
              <w:bottom w:val="single" w:sz="4" w:space="0" w:color="auto"/>
              <w:right w:val="nil"/>
            </w:tcBorders>
            <w:shd w:val="clear" w:color="auto" w:fill="auto"/>
            <w:hideMark/>
          </w:tcPr>
          <w:p w14:paraId="4357EA51"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9</w:t>
            </w:r>
          </w:p>
        </w:tc>
        <w:tc>
          <w:tcPr>
            <w:tcW w:w="741" w:type="dxa"/>
            <w:gridSpan w:val="2"/>
            <w:tcBorders>
              <w:top w:val="single" w:sz="4" w:space="0" w:color="auto"/>
              <w:left w:val="nil"/>
              <w:bottom w:val="single" w:sz="4" w:space="0" w:color="auto"/>
              <w:right w:val="nil"/>
            </w:tcBorders>
            <w:shd w:val="clear" w:color="auto" w:fill="auto"/>
            <w:hideMark/>
          </w:tcPr>
          <w:p w14:paraId="1EC4F261"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10</w:t>
            </w:r>
          </w:p>
        </w:tc>
        <w:tc>
          <w:tcPr>
            <w:tcW w:w="685" w:type="dxa"/>
            <w:tcBorders>
              <w:top w:val="single" w:sz="4" w:space="0" w:color="auto"/>
              <w:left w:val="nil"/>
              <w:bottom w:val="single" w:sz="4" w:space="0" w:color="auto"/>
              <w:right w:val="nil"/>
            </w:tcBorders>
            <w:shd w:val="clear" w:color="auto" w:fill="auto"/>
            <w:hideMark/>
          </w:tcPr>
          <w:p w14:paraId="04933B9F"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11</w:t>
            </w:r>
          </w:p>
        </w:tc>
        <w:tc>
          <w:tcPr>
            <w:tcW w:w="685" w:type="dxa"/>
            <w:tcBorders>
              <w:top w:val="single" w:sz="4" w:space="0" w:color="auto"/>
              <w:left w:val="nil"/>
              <w:bottom w:val="single" w:sz="4" w:space="0" w:color="auto"/>
              <w:right w:val="nil"/>
            </w:tcBorders>
            <w:shd w:val="clear" w:color="auto" w:fill="auto"/>
            <w:hideMark/>
          </w:tcPr>
          <w:p w14:paraId="1F630813"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12</w:t>
            </w:r>
          </w:p>
        </w:tc>
        <w:tc>
          <w:tcPr>
            <w:tcW w:w="685" w:type="dxa"/>
            <w:tcBorders>
              <w:top w:val="single" w:sz="4" w:space="0" w:color="auto"/>
              <w:left w:val="nil"/>
              <w:bottom w:val="single" w:sz="4" w:space="0" w:color="auto"/>
              <w:right w:val="nil"/>
            </w:tcBorders>
            <w:shd w:val="clear" w:color="auto" w:fill="auto"/>
            <w:hideMark/>
          </w:tcPr>
          <w:p w14:paraId="3539750E"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13</w:t>
            </w:r>
          </w:p>
        </w:tc>
        <w:tc>
          <w:tcPr>
            <w:tcW w:w="741" w:type="dxa"/>
            <w:gridSpan w:val="2"/>
            <w:tcBorders>
              <w:top w:val="single" w:sz="4" w:space="0" w:color="auto"/>
              <w:left w:val="nil"/>
              <w:bottom w:val="single" w:sz="4" w:space="0" w:color="auto"/>
              <w:right w:val="nil"/>
            </w:tcBorders>
            <w:shd w:val="clear" w:color="auto" w:fill="auto"/>
            <w:hideMark/>
          </w:tcPr>
          <w:p w14:paraId="784C5DBE"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14</w:t>
            </w:r>
          </w:p>
        </w:tc>
        <w:tc>
          <w:tcPr>
            <w:tcW w:w="685" w:type="dxa"/>
            <w:tcBorders>
              <w:top w:val="single" w:sz="4" w:space="0" w:color="auto"/>
              <w:left w:val="nil"/>
              <w:bottom w:val="single" w:sz="4" w:space="0" w:color="auto"/>
              <w:right w:val="nil"/>
            </w:tcBorders>
            <w:shd w:val="clear" w:color="auto" w:fill="auto"/>
            <w:hideMark/>
          </w:tcPr>
          <w:p w14:paraId="24B5430D"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15</w:t>
            </w:r>
          </w:p>
        </w:tc>
        <w:tc>
          <w:tcPr>
            <w:tcW w:w="685" w:type="dxa"/>
            <w:tcBorders>
              <w:top w:val="single" w:sz="4" w:space="0" w:color="auto"/>
              <w:left w:val="nil"/>
              <w:bottom w:val="single" w:sz="4" w:space="0" w:color="auto"/>
              <w:right w:val="nil"/>
            </w:tcBorders>
            <w:shd w:val="clear" w:color="auto" w:fill="auto"/>
            <w:hideMark/>
          </w:tcPr>
          <w:p w14:paraId="58DA1B78"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16</w:t>
            </w:r>
          </w:p>
        </w:tc>
        <w:tc>
          <w:tcPr>
            <w:tcW w:w="685" w:type="dxa"/>
            <w:tcBorders>
              <w:top w:val="single" w:sz="4" w:space="0" w:color="auto"/>
              <w:left w:val="nil"/>
              <w:bottom w:val="single" w:sz="4" w:space="0" w:color="auto"/>
              <w:right w:val="nil"/>
            </w:tcBorders>
            <w:shd w:val="clear" w:color="auto" w:fill="auto"/>
            <w:hideMark/>
          </w:tcPr>
          <w:p w14:paraId="425CAAF4"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17</w:t>
            </w:r>
          </w:p>
        </w:tc>
        <w:tc>
          <w:tcPr>
            <w:tcW w:w="685" w:type="dxa"/>
            <w:tcBorders>
              <w:top w:val="single" w:sz="4" w:space="0" w:color="auto"/>
              <w:left w:val="nil"/>
              <w:bottom w:val="single" w:sz="4" w:space="0" w:color="auto"/>
              <w:right w:val="nil"/>
            </w:tcBorders>
            <w:shd w:val="clear" w:color="auto" w:fill="auto"/>
            <w:hideMark/>
          </w:tcPr>
          <w:p w14:paraId="78171CBE"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18</w:t>
            </w:r>
          </w:p>
        </w:tc>
      </w:tr>
      <w:tr w:rsidR="003010BD" w:rsidRPr="006E4DCA" w14:paraId="6C8C4EFD" w14:textId="77777777" w:rsidTr="00011661">
        <w:trPr>
          <w:trHeight w:val="200"/>
        </w:trPr>
        <w:tc>
          <w:tcPr>
            <w:tcW w:w="1166" w:type="dxa"/>
            <w:tcBorders>
              <w:top w:val="nil"/>
              <w:left w:val="nil"/>
              <w:bottom w:val="nil"/>
              <w:right w:val="nil"/>
            </w:tcBorders>
            <w:shd w:val="clear" w:color="auto" w:fill="auto"/>
            <w:hideMark/>
          </w:tcPr>
          <w:p w14:paraId="5CDF6B68"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 FTND</w:t>
            </w:r>
          </w:p>
        </w:tc>
        <w:tc>
          <w:tcPr>
            <w:tcW w:w="633" w:type="dxa"/>
            <w:tcBorders>
              <w:top w:val="single" w:sz="4" w:space="0" w:color="152935"/>
              <w:left w:val="single" w:sz="4" w:space="0" w:color="E0E0E0"/>
              <w:bottom w:val="single" w:sz="4" w:space="0" w:color="AEAEAE"/>
              <w:right w:val="single" w:sz="4" w:space="0" w:color="E0E0E0"/>
            </w:tcBorders>
            <w:shd w:val="clear" w:color="auto" w:fill="auto"/>
            <w:noWrap/>
            <w:hideMark/>
          </w:tcPr>
          <w:p w14:paraId="0228676D"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3.19</w:t>
            </w:r>
          </w:p>
        </w:tc>
        <w:tc>
          <w:tcPr>
            <w:tcW w:w="633" w:type="dxa"/>
            <w:tcBorders>
              <w:top w:val="single" w:sz="4" w:space="0" w:color="152935"/>
              <w:left w:val="single" w:sz="4" w:space="0" w:color="E0E0E0"/>
              <w:bottom w:val="single" w:sz="4" w:space="0" w:color="AEAEAE"/>
              <w:right w:val="nil"/>
            </w:tcBorders>
            <w:shd w:val="clear" w:color="auto" w:fill="auto"/>
            <w:noWrap/>
            <w:hideMark/>
          </w:tcPr>
          <w:p w14:paraId="631470A0"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2.47</w:t>
            </w:r>
          </w:p>
        </w:tc>
        <w:tc>
          <w:tcPr>
            <w:tcW w:w="633" w:type="dxa"/>
            <w:tcBorders>
              <w:top w:val="nil"/>
              <w:left w:val="nil"/>
              <w:bottom w:val="nil"/>
              <w:right w:val="nil"/>
            </w:tcBorders>
            <w:shd w:val="clear" w:color="auto" w:fill="auto"/>
            <w:noWrap/>
            <w:hideMark/>
          </w:tcPr>
          <w:p w14:paraId="22319487"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0-9</w:t>
            </w:r>
          </w:p>
        </w:tc>
        <w:tc>
          <w:tcPr>
            <w:tcW w:w="710" w:type="dxa"/>
            <w:tcBorders>
              <w:top w:val="single" w:sz="4" w:space="0" w:color="152935"/>
              <w:left w:val="nil"/>
              <w:bottom w:val="single" w:sz="4" w:space="0" w:color="AEAEAE"/>
              <w:right w:val="single" w:sz="4" w:space="0" w:color="E0E0E0"/>
            </w:tcBorders>
            <w:shd w:val="clear" w:color="auto" w:fill="auto"/>
            <w:noWrap/>
            <w:hideMark/>
          </w:tcPr>
          <w:p w14:paraId="631BC6D3"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 </w:t>
            </w:r>
          </w:p>
        </w:tc>
        <w:tc>
          <w:tcPr>
            <w:tcW w:w="741" w:type="dxa"/>
            <w:tcBorders>
              <w:top w:val="single" w:sz="4" w:space="0" w:color="152935"/>
              <w:left w:val="nil"/>
              <w:bottom w:val="single" w:sz="4" w:space="0" w:color="AEAEAE"/>
              <w:right w:val="single" w:sz="4" w:space="0" w:color="E0E0E0"/>
            </w:tcBorders>
            <w:shd w:val="clear" w:color="auto" w:fill="auto"/>
            <w:noWrap/>
            <w:hideMark/>
          </w:tcPr>
          <w:p w14:paraId="3BA766F1"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741" w:type="dxa"/>
            <w:tcBorders>
              <w:top w:val="single" w:sz="4" w:space="0" w:color="152935"/>
              <w:left w:val="nil"/>
              <w:bottom w:val="single" w:sz="4" w:space="0" w:color="AEAEAE"/>
              <w:right w:val="single" w:sz="4" w:space="0" w:color="E0E0E0"/>
            </w:tcBorders>
            <w:shd w:val="clear" w:color="auto" w:fill="auto"/>
            <w:noWrap/>
            <w:hideMark/>
          </w:tcPr>
          <w:p w14:paraId="202500AC"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46978726"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3E288D47"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34C0B9C8"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741" w:type="dxa"/>
            <w:gridSpan w:val="2"/>
            <w:tcBorders>
              <w:top w:val="single" w:sz="4" w:space="0" w:color="152935"/>
              <w:left w:val="nil"/>
              <w:bottom w:val="single" w:sz="4" w:space="0" w:color="AEAEAE"/>
              <w:right w:val="single" w:sz="4" w:space="0" w:color="E0E0E0"/>
            </w:tcBorders>
            <w:shd w:val="clear" w:color="auto" w:fill="auto"/>
            <w:noWrap/>
            <w:hideMark/>
          </w:tcPr>
          <w:p w14:paraId="60A3F117"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741" w:type="dxa"/>
            <w:gridSpan w:val="2"/>
            <w:tcBorders>
              <w:top w:val="single" w:sz="4" w:space="0" w:color="152935"/>
              <w:left w:val="nil"/>
              <w:bottom w:val="single" w:sz="4" w:space="0" w:color="AEAEAE"/>
              <w:right w:val="single" w:sz="4" w:space="0" w:color="E0E0E0"/>
            </w:tcBorders>
            <w:shd w:val="clear" w:color="auto" w:fill="auto"/>
            <w:noWrap/>
            <w:hideMark/>
          </w:tcPr>
          <w:p w14:paraId="0C64EB7B"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741" w:type="dxa"/>
            <w:gridSpan w:val="2"/>
            <w:tcBorders>
              <w:top w:val="single" w:sz="4" w:space="0" w:color="152935"/>
              <w:left w:val="nil"/>
              <w:bottom w:val="single" w:sz="4" w:space="0" w:color="AEAEAE"/>
              <w:right w:val="single" w:sz="4" w:space="0" w:color="E0E0E0"/>
            </w:tcBorders>
            <w:shd w:val="clear" w:color="auto" w:fill="auto"/>
            <w:noWrap/>
            <w:hideMark/>
          </w:tcPr>
          <w:p w14:paraId="16AA8549"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26C7EC75"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5EC6FB0D"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129A048E"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741" w:type="dxa"/>
            <w:gridSpan w:val="2"/>
            <w:tcBorders>
              <w:top w:val="single" w:sz="4" w:space="0" w:color="152935"/>
              <w:left w:val="nil"/>
              <w:bottom w:val="single" w:sz="4" w:space="0" w:color="AEAEAE"/>
              <w:right w:val="single" w:sz="4" w:space="0" w:color="E0E0E0"/>
            </w:tcBorders>
            <w:shd w:val="clear" w:color="auto" w:fill="auto"/>
            <w:noWrap/>
            <w:hideMark/>
          </w:tcPr>
          <w:p w14:paraId="39AD8577"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50E603D1"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232D3DBF"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19A6938B"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2676F618"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c>
          <w:tcPr>
            <w:tcW w:w="685" w:type="dxa"/>
            <w:tcBorders>
              <w:top w:val="single" w:sz="4" w:space="0" w:color="152935"/>
              <w:left w:val="nil"/>
              <w:bottom w:val="single" w:sz="4" w:space="0" w:color="AEAEAE"/>
              <w:right w:val="single" w:sz="4" w:space="0" w:color="E0E0E0"/>
            </w:tcBorders>
            <w:shd w:val="clear" w:color="auto" w:fill="auto"/>
            <w:noWrap/>
            <w:hideMark/>
          </w:tcPr>
          <w:p w14:paraId="3CCBABD8" w14:textId="77777777" w:rsidR="003010BD" w:rsidRPr="006E4DCA" w:rsidRDefault="003010BD" w:rsidP="00011661">
            <w:pPr>
              <w:spacing w:line="240" w:lineRule="auto"/>
              <w:jc w:val="center"/>
              <w:rPr>
                <w:sz w:val="18"/>
                <w:szCs w:val="20"/>
                <w:lang w:eastAsia="en-US"/>
              </w:rPr>
            </w:pPr>
            <w:r w:rsidRPr="006E4DCA">
              <w:rPr>
                <w:color w:val="010205"/>
                <w:sz w:val="18"/>
                <w:szCs w:val="20"/>
              </w:rPr>
              <w:t> </w:t>
            </w:r>
          </w:p>
        </w:tc>
      </w:tr>
      <w:tr w:rsidR="003010BD" w:rsidRPr="006E4DCA" w14:paraId="58EF7ADE" w14:textId="77777777" w:rsidTr="00011661">
        <w:trPr>
          <w:trHeight w:val="171"/>
        </w:trPr>
        <w:tc>
          <w:tcPr>
            <w:tcW w:w="1166" w:type="dxa"/>
            <w:tcBorders>
              <w:top w:val="nil"/>
              <w:left w:val="nil"/>
              <w:bottom w:val="nil"/>
              <w:right w:val="nil"/>
            </w:tcBorders>
            <w:shd w:val="clear" w:color="auto" w:fill="auto"/>
            <w:hideMark/>
          </w:tcPr>
          <w:p w14:paraId="5DBF31BA"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2. Age</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0AE3831E"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28.31</w:t>
            </w:r>
          </w:p>
        </w:tc>
        <w:tc>
          <w:tcPr>
            <w:tcW w:w="633" w:type="dxa"/>
            <w:tcBorders>
              <w:top w:val="nil"/>
              <w:left w:val="single" w:sz="4" w:space="0" w:color="E0E0E0"/>
              <w:bottom w:val="single" w:sz="4" w:space="0" w:color="AEAEAE"/>
              <w:right w:val="nil"/>
            </w:tcBorders>
            <w:shd w:val="clear" w:color="auto" w:fill="auto"/>
            <w:noWrap/>
            <w:hideMark/>
          </w:tcPr>
          <w:p w14:paraId="5529C181"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7.90</w:t>
            </w:r>
          </w:p>
        </w:tc>
        <w:tc>
          <w:tcPr>
            <w:tcW w:w="633" w:type="dxa"/>
            <w:tcBorders>
              <w:top w:val="nil"/>
              <w:left w:val="nil"/>
              <w:bottom w:val="nil"/>
              <w:right w:val="nil"/>
            </w:tcBorders>
            <w:shd w:val="clear" w:color="auto" w:fill="auto"/>
            <w:noWrap/>
            <w:hideMark/>
          </w:tcPr>
          <w:p w14:paraId="3DF16720"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17-68</w:t>
            </w:r>
          </w:p>
        </w:tc>
        <w:tc>
          <w:tcPr>
            <w:tcW w:w="710" w:type="dxa"/>
            <w:tcBorders>
              <w:top w:val="nil"/>
              <w:left w:val="nil"/>
              <w:bottom w:val="single" w:sz="4" w:space="0" w:color="AEAEAE"/>
              <w:right w:val="single" w:sz="4" w:space="0" w:color="E0E0E0"/>
            </w:tcBorders>
            <w:shd w:val="clear" w:color="auto" w:fill="auto"/>
            <w:noWrap/>
            <w:hideMark/>
          </w:tcPr>
          <w:p w14:paraId="710E1ABA" w14:textId="036E11B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.11</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4524452F"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741" w:type="dxa"/>
            <w:tcBorders>
              <w:top w:val="nil"/>
              <w:left w:val="nil"/>
              <w:bottom w:val="single" w:sz="4" w:space="0" w:color="AEAEAE"/>
              <w:right w:val="single" w:sz="4" w:space="0" w:color="E0E0E0"/>
            </w:tcBorders>
            <w:shd w:val="clear" w:color="auto" w:fill="auto"/>
            <w:noWrap/>
            <w:hideMark/>
          </w:tcPr>
          <w:p w14:paraId="1B7F0068"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23F519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2294C4C"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560B5A3"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6A24E04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23BC8E6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13B0AE3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C18137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2AF07B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FC77801"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253A29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D92629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3DCF08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E0360C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2A56D7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F646124"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67F75D87" w14:textId="77777777" w:rsidTr="00011661">
        <w:trPr>
          <w:trHeight w:val="74"/>
        </w:trPr>
        <w:tc>
          <w:tcPr>
            <w:tcW w:w="1166" w:type="dxa"/>
            <w:tcBorders>
              <w:top w:val="nil"/>
              <w:left w:val="nil"/>
              <w:bottom w:val="nil"/>
              <w:right w:val="nil"/>
            </w:tcBorders>
            <w:shd w:val="clear" w:color="auto" w:fill="auto"/>
            <w:hideMark/>
          </w:tcPr>
          <w:p w14:paraId="764979DA"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3. SSA</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7BD48CEA"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18.63</w:t>
            </w:r>
          </w:p>
        </w:tc>
        <w:tc>
          <w:tcPr>
            <w:tcW w:w="633" w:type="dxa"/>
            <w:tcBorders>
              <w:top w:val="nil"/>
              <w:left w:val="single" w:sz="4" w:space="0" w:color="E0E0E0"/>
              <w:bottom w:val="single" w:sz="4" w:space="0" w:color="AEAEAE"/>
              <w:right w:val="nil"/>
            </w:tcBorders>
            <w:shd w:val="clear" w:color="auto" w:fill="auto"/>
            <w:noWrap/>
            <w:hideMark/>
          </w:tcPr>
          <w:p w14:paraId="242EDC6E"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3.40</w:t>
            </w:r>
          </w:p>
        </w:tc>
        <w:tc>
          <w:tcPr>
            <w:tcW w:w="633" w:type="dxa"/>
            <w:tcBorders>
              <w:top w:val="nil"/>
              <w:left w:val="nil"/>
              <w:bottom w:val="nil"/>
              <w:right w:val="nil"/>
            </w:tcBorders>
            <w:shd w:val="clear" w:color="auto" w:fill="auto"/>
            <w:noWrap/>
            <w:hideMark/>
          </w:tcPr>
          <w:p w14:paraId="34CB1F55"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6-37</w:t>
            </w:r>
          </w:p>
        </w:tc>
        <w:tc>
          <w:tcPr>
            <w:tcW w:w="710" w:type="dxa"/>
            <w:tcBorders>
              <w:top w:val="nil"/>
              <w:left w:val="nil"/>
              <w:bottom w:val="single" w:sz="4" w:space="0" w:color="AEAEAE"/>
              <w:right w:val="single" w:sz="4" w:space="0" w:color="E0E0E0"/>
            </w:tcBorders>
            <w:shd w:val="clear" w:color="auto" w:fill="auto"/>
            <w:noWrap/>
            <w:hideMark/>
          </w:tcPr>
          <w:p w14:paraId="6F7DE2A2" w14:textId="30A9C03E"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.21</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4B6C4A20" w14:textId="288CEB72"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.19</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14648F69"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0DE6431"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EB69CB8"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EA70E7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49E3D4D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4468E02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066BD37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19B746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3CCC7B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2178C7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2C75170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30191A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E3CB3C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9C93DB8"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8519BA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DCE21E6"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696E7968" w14:textId="77777777" w:rsidTr="00011661">
        <w:trPr>
          <w:trHeight w:val="200"/>
        </w:trPr>
        <w:tc>
          <w:tcPr>
            <w:tcW w:w="1166" w:type="dxa"/>
            <w:tcBorders>
              <w:top w:val="nil"/>
              <w:left w:val="nil"/>
              <w:bottom w:val="nil"/>
              <w:right w:val="nil"/>
            </w:tcBorders>
            <w:shd w:val="clear" w:color="auto" w:fill="auto"/>
            <w:hideMark/>
          </w:tcPr>
          <w:p w14:paraId="17CBF051"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4. HADS-A</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05CF18F7" w14:textId="77777777" w:rsidR="003010BD" w:rsidRPr="006E4DCA" w:rsidRDefault="003010BD" w:rsidP="00011661">
            <w:pPr>
              <w:spacing w:line="240" w:lineRule="auto"/>
              <w:jc w:val="center"/>
              <w:rPr>
                <w:color w:val="010205"/>
                <w:sz w:val="18"/>
                <w:szCs w:val="20"/>
              </w:rPr>
            </w:pPr>
            <w:r w:rsidRPr="006E4DCA">
              <w:rPr>
                <w:color w:val="010205"/>
                <w:sz w:val="18"/>
                <w:szCs w:val="20"/>
              </w:rPr>
              <w:t>9.26</w:t>
            </w:r>
          </w:p>
        </w:tc>
        <w:tc>
          <w:tcPr>
            <w:tcW w:w="633" w:type="dxa"/>
            <w:tcBorders>
              <w:top w:val="nil"/>
              <w:left w:val="single" w:sz="4" w:space="0" w:color="E0E0E0"/>
              <w:bottom w:val="single" w:sz="4" w:space="0" w:color="AEAEAE"/>
              <w:right w:val="nil"/>
            </w:tcBorders>
            <w:shd w:val="clear" w:color="auto" w:fill="auto"/>
            <w:noWrap/>
            <w:hideMark/>
          </w:tcPr>
          <w:p w14:paraId="74FD5E6B"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4.20</w:t>
            </w:r>
          </w:p>
        </w:tc>
        <w:tc>
          <w:tcPr>
            <w:tcW w:w="633" w:type="dxa"/>
            <w:tcBorders>
              <w:top w:val="nil"/>
              <w:left w:val="nil"/>
              <w:bottom w:val="nil"/>
              <w:right w:val="nil"/>
            </w:tcBorders>
            <w:shd w:val="clear" w:color="auto" w:fill="auto"/>
            <w:noWrap/>
            <w:hideMark/>
          </w:tcPr>
          <w:p w14:paraId="371C32E5"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0-20</w:t>
            </w:r>
          </w:p>
        </w:tc>
        <w:tc>
          <w:tcPr>
            <w:tcW w:w="710" w:type="dxa"/>
            <w:tcBorders>
              <w:top w:val="nil"/>
              <w:left w:val="nil"/>
              <w:bottom w:val="single" w:sz="4" w:space="0" w:color="AEAEAE"/>
              <w:right w:val="single" w:sz="4" w:space="0" w:color="E0E0E0"/>
            </w:tcBorders>
            <w:shd w:val="clear" w:color="auto" w:fill="auto"/>
            <w:noWrap/>
            <w:hideMark/>
          </w:tcPr>
          <w:p w14:paraId="4FD95721" w14:textId="7B40D78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.12</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5FF061F5" w14:textId="41313680"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.20</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3EACD18" w14:textId="58C86747"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.12</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1CAEA70"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090808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2A0DECC"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108FF15C"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7D2B013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75DA1D3A"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BA0254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9C38563"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CE10A5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2055C01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4B6CCBC"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3D8F96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5E3B0B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B002CD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0C4D00F"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7EBD32EE" w14:textId="77777777" w:rsidTr="00011661">
        <w:trPr>
          <w:trHeight w:val="48"/>
        </w:trPr>
        <w:tc>
          <w:tcPr>
            <w:tcW w:w="1166" w:type="dxa"/>
            <w:tcBorders>
              <w:top w:val="nil"/>
              <w:left w:val="nil"/>
              <w:bottom w:val="nil"/>
              <w:right w:val="nil"/>
            </w:tcBorders>
            <w:shd w:val="clear" w:color="auto" w:fill="auto"/>
            <w:hideMark/>
          </w:tcPr>
          <w:p w14:paraId="4E348031"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5. HADS-D</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4F26C9D7"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6.80</w:t>
            </w:r>
          </w:p>
        </w:tc>
        <w:tc>
          <w:tcPr>
            <w:tcW w:w="633" w:type="dxa"/>
            <w:tcBorders>
              <w:top w:val="nil"/>
              <w:left w:val="single" w:sz="4" w:space="0" w:color="E0E0E0"/>
              <w:bottom w:val="single" w:sz="4" w:space="0" w:color="AEAEAE"/>
              <w:right w:val="nil"/>
            </w:tcBorders>
            <w:shd w:val="clear" w:color="auto" w:fill="auto"/>
            <w:noWrap/>
            <w:hideMark/>
          </w:tcPr>
          <w:p w14:paraId="1E1A287B"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4.02</w:t>
            </w:r>
          </w:p>
        </w:tc>
        <w:tc>
          <w:tcPr>
            <w:tcW w:w="633" w:type="dxa"/>
            <w:tcBorders>
              <w:top w:val="nil"/>
              <w:left w:val="nil"/>
              <w:bottom w:val="nil"/>
              <w:right w:val="nil"/>
            </w:tcBorders>
            <w:shd w:val="clear" w:color="auto" w:fill="auto"/>
            <w:noWrap/>
            <w:hideMark/>
          </w:tcPr>
          <w:p w14:paraId="6C8FB552"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0-21</w:t>
            </w:r>
          </w:p>
        </w:tc>
        <w:tc>
          <w:tcPr>
            <w:tcW w:w="710" w:type="dxa"/>
            <w:tcBorders>
              <w:top w:val="nil"/>
              <w:left w:val="nil"/>
              <w:bottom w:val="single" w:sz="4" w:space="0" w:color="AEAEAE"/>
              <w:right w:val="single" w:sz="4" w:space="0" w:color="E0E0E0"/>
            </w:tcBorders>
            <w:shd w:val="clear" w:color="auto" w:fill="auto"/>
            <w:noWrap/>
            <w:hideMark/>
          </w:tcPr>
          <w:p w14:paraId="602C054C" w14:textId="019A0B9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.19</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13D40DDA" w14:textId="1804AE49"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.12</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4924247C" w14:textId="1B2F06FB"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.08</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A987D0C" w14:textId="344B7A36"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.62</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701DA3A"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D1DA4A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541B238"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45EE03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6CD727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2ACB45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6904707"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80198F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5055CF7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703CCC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7D31CD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90679AA"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8763783"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A3C84BD"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419A5291" w14:textId="77777777" w:rsidTr="00011661">
        <w:trPr>
          <w:trHeight w:val="199"/>
        </w:trPr>
        <w:tc>
          <w:tcPr>
            <w:tcW w:w="1166" w:type="dxa"/>
            <w:tcBorders>
              <w:top w:val="nil"/>
              <w:left w:val="nil"/>
              <w:bottom w:val="nil"/>
              <w:right w:val="nil"/>
            </w:tcBorders>
            <w:shd w:val="clear" w:color="auto" w:fill="auto"/>
            <w:hideMark/>
          </w:tcPr>
          <w:p w14:paraId="3B57C06F"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6. BSCQ-1</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307E326D"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18.62</w:t>
            </w:r>
          </w:p>
        </w:tc>
        <w:tc>
          <w:tcPr>
            <w:tcW w:w="633" w:type="dxa"/>
            <w:tcBorders>
              <w:top w:val="nil"/>
              <w:left w:val="single" w:sz="4" w:space="0" w:color="E0E0E0"/>
              <w:bottom w:val="single" w:sz="4" w:space="0" w:color="AEAEAE"/>
              <w:right w:val="nil"/>
            </w:tcBorders>
            <w:shd w:val="clear" w:color="auto" w:fill="auto"/>
            <w:noWrap/>
            <w:hideMark/>
          </w:tcPr>
          <w:p w14:paraId="746139BD"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6.88</w:t>
            </w:r>
          </w:p>
        </w:tc>
        <w:tc>
          <w:tcPr>
            <w:tcW w:w="633" w:type="dxa"/>
            <w:tcBorders>
              <w:top w:val="nil"/>
              <w:left w:val="nil"/>
              <w:bottom w:val="nil"/>
              <w:right w:val="nil"/>
            </w:tcBorders>
            <w:shd w:val="clear" w:color="auto" w:fill="auto"/>
            <w:noWrap/>
            <w:hideMark/>
          </w:tcPr>
          <w:p w14:paraId="50F10610"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0-27</w:t>
            </w:r>
          </w:p>
        </w:tc>
        <w:tc>
          <w:tcPr>
            <w:tcW w:w="710" w:type="dxa"/>
            <w:tcBorders>
              <w:top w:val="nil"/>
              <w:left w:val="nil"/>
              <w:bottom w:val="single" w:sz="4" w:space="0" w:color="AEAEAE"/>
              <w:right w:val="single" w:sz="4" w:space="0" w:color="E0E0E0"/>
            </w:tcBorders>
            <w:shd w:val="clear" w:color="auto" w:fill="auto"/>
            <w:noWrap/>
            <w:hideMark/>
          </w:tcPr>
          <w:p w14:paraId="49827E23" w14:textId="0DBAC7A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.17</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E2DD4E4" w14:textId="069EDB93"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.09</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F4CEFF1" w14:textId="762B8C25"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.10</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59DC479" w14:textId="4E9C2F1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0871A39" w14:textId="3B8AEE9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A059C07"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243F8F8A"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5725BA7"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7F32EA2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F4F091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61C35C7"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3481A9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7031D4A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2B8A9F1"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15C6C4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1B29E9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C7A9C37"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6C7948A"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47765C19" w14:textId="77777777" w:rsidTr="00011661">
        <w:trPr>
          <w:trHeight w:val="170"/>
        </w:trPr>
        <w:tc>
          <w:tcPr>
            <w:tcW w:w="1166" w:type="dxa"/>
            <w:tcBorders>
              <w:top w:val="nil"/>
              <w:left w:val="nil"/>
              <w:bottom w:val="nil"/>
              <w:right w:val="nil"/>
            </w:tcBorders>
            <w:shd w:val="clear" w:color="auto" w:fill="auto"/>
            <w:hideMark/>
          </w:tcPr>
          <w:p w14:paraId="585E55BF"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7. BSCQ-2</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360C6EC2"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6.69</w:t>
            </w:r>
          </w:p>
        </w:tc>
        <w:tc>
          <w:tcPr>
            <w:tcW w:w="633" w:type="dxa"/>
            <w:tcBorders>
              <w:top w:val="nil"/>
              <w:left w:val="single" w:sz="4" w:space="0" w:color="E0E0E0"/>
              <w:bottom w:val="single" w:sz="4" w:space="0" w:color="AEAEAE"/>
              <w:right w:val="nil"/>
            </w:tcBorders>
            <w:shd w:val="clear" w:color="auto" w:fill="auto"/>
            <w:noWrap/>
            <w:hideMark/>
          </w:tcPr>
          <w:p w14:paraId="1601D14F"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4.97</w:t>
            </w:r>
          </w:p>
        </w:tc>
        <w:tc>
          <w:tcPr>
            <w:tcW w:w="633" w:type="dxa"/>
            <w:tcBorders>
              <w:top w:val="nil"/>
              <w:left w:val="nil"/>
              <w:bottom w:val="nil"/>
              <w:right w:val="nil"/>
            </w:tcBorders>
            <w:shd w:val="clear" w:color="auto" w:fill="auto"/>
            <w:noWrap/>
            <w:hideMark/>
          </w:tcPr>
          <w:p w14:paraId="5EC78C74"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0-18</w:t>
            </w:r>
          </w:p>
        </w:tc>
        <w:tc>
          <w:tcPr>
            <w:tcW w:w="710" w:type="dxa"/>
            <w:tcBorders>
              <w:top w:val="nil"/>
              <w:left w:val="nil"/>
              <w:bottom w:val="single" w:sz="4" w:space="0" w:color="AEAEAE"/>
              <w:right w:val="single" w:sz="4" w:space="0" w:color="E0E0E0"/>
            </w:tcBorders>
            <w:shd w:val="clear" w:color="auto" w:fill="auto"/>
            <w:noWrap/>
            <w:hideMark/>
          </w:tcPr>
          <w:p w14:paraId="2864264B" w14:textId="518AA69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.17</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51DD128" w14:textId="175A3A98"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.06</w:t>
            </w:r>
          </w:p>
        </w:tc>
        <w:tc>
          <w:tcPr>
            <w:tcW w:w="741" w:type="dxa"/>
            <w:tcBorders>
              <w:top w:val="nil"/>
              <w:left w:val="nil"/>
              <w:bottom w:val="single" w:sz="4" w:space="0" w:color="AEAEAE"/>
              <w:right w:val="single" w:sz="4" w:space="0" w:color="E0E0E0"/>
            </w:tcBorders>
            <w:shd w:val="clear" w:color="auto" w:fill="auto"/>
            <w:noWrap/>
            <w:hideMark/>
          </w:tcPr>
          <w:p w14:paraId="03EDB112" w14:textId="7FAC53C9"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.08</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0AEA23B" w14:textId="58C6D45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.12</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6928F18" w14:textId="5BF0A5A5"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.04</w:t>
            </w:r>
          </w:p>
        </w:tc>
        <w:tc>
          <w:tcPr>
            <w:tcW w:w="685" w:type="dxa"/>
            <w:tcBorders>
              <w:top w:val="nil"/>
              <w:left w:val="nil"/>
              <w:bottom w:val="single" w:sz="4" w:space="0" w:color="AEAEAE"/>
              <w:right w:val="single" w:sz="4" w:space="0" w:color="E0E0E0"/>
            </w:tcBorders>
            <w:shd w:val="clear" w:color="auto" w:fill="auto"/>
            <w:noWrap/>
            <w:hideMark/>
          </w:tcPr>
          <w:p w14:paraId="4F886781" w14:textId="717C782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.43</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EF7AD42"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EBE9E4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31CC14A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D41A10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9CBC9F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A0FA73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458F3323"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1A9A241"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3C2579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1A78D6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3E990A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25FFCE9"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2314B842" w14:textId="77777777" w:rsidTr="00011661">
        <w:trPr>
          <w:trHeight w:val="213"/>
        </w:trPr>
        <w:tc>
          <w:tcPr>
            <w:tcW w:w="1166" w:type="dxa"/>
            <w:tcBorders>
              <w:top w:val="nil"/>
              <w:left w:val="nil"/>
              <w:bottom w:val="nil"/>
              <w:right w:val="nil"/>
            </w:tcBorders>
            <w:shd w:val="clear" w:color="auto" w:fill="auto"/>
            <w:hideMark/>
          </w:tcPr>
          <w:p w14:paraId="22B802AD"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8. BSCQ-3</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084B674A"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15.78</w:t>
            </w:r>
          </w:p>
        </w:tc>
        <w:tc>
          <w:tcPr>
            <w:tcW w:w="633" w:type="dxa"/>
            <w:tcBorders>
              <w:top w:val="nil"/>
              <w:left w:val="single" w:sz="4" w:space="0" w:color="E0E0E0"/>
              <w:bottom w:val="single" w:sz="4" w:space="0" w:color="AEAEAE"/>
              <w:right w:val="nil"/>
            </w:tcBorders>
            <w:shd w:val="clear" w:color="auto" w:fill="auto"/>
            <w:noWrap/>
            <w:hideMark/>
          </w:tcPr>
          <w:p w14:paraId="4FC63D73"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3.46</w:t>
            </w:r>
          </w:p>
        </w:tc>
        <w:tc>
          <w:tcPr>
            <w:tcW w:w="633" w:type="dxa"/>
            <w:tcBorders>
              <w:top w:val="nil"/>
              <w:left w:val="nil"/>
              <w:bottom w:val="nil"/>
              <w:right w:val="nil"/>
            </w:tcBorders>
            <w:shd w:val="clear" w:color="auto" w:fill="auto"/>
            <w:noWrap/>
            <w:hideMark/>
          </w:tcPr>
          <w:p w14:paraId="03304E21"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0-18</w:t>
            </w:r>
          </w:p>
        </w:tc>
        <w:tc>
          <w:tcPr>
            <w:tcW w:w="710" w:type="dxa"/>
            <w:tcBorders>
              <w:top w:val="nil"/>
              <w:left w:val="nil"/>
              <w:bottom w:val="single" w:sz="4" w:space="0" w:color="AEAEAE"/>
              <w:right w:val="single" w:sz="4" w:space="0" w:color="E0E0E0"/>
            </w:tcBorders>
            <w:shd w:val="clear" w:color="auto" w:fill="auto"/>
            <w:noWrap/>
            <w:hideMark/>
          </w:tcPr>
          <w:p w14:paraId="6F320A4C" w14:textId="4F26C2EB"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.05</w:t>
            </w:r>
          </w:p>
        </w:tc>
        <w:tc>
          <w:tcPr>
            <w:tcW w:w="741" w:type="dxa"/>
            <w:tcBorders>
              <w:top w:val="nil"/>
              <w:left w:val="nil"/>
              <w:bottom w:val="single" w:sz="4" w:space="0" w:color="AEAEAE"/>
              <w:right w:val="single" w:sz="4" w:space="0" w:color="E0E0E0"/>
            </w:tcBorders>
            <w:shd w:val="clear" w:color="auto" w:fill="auto"/>
            <w:noWrap/>
            <w:hideMark/>
          </w:tcPr>
          <w:p w14:paraId="6DC1FC4C" w14:textId="7B86A8C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.09</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45F8D5BD" w14:textId="1117390A"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.01</w:t>
            </w:r>
          </w:p>
        </w:tc>
        <w:tc>
          <w:tcPr>
            <w:tcW w:w="685" w:type="dxa"/>
            <w:tcBorders>
              <w:top w:val="nil"/>
              <w:left w:val="nil"/>
              <w:bottom w:val="single" w:sz="4" w:space="0" w:color="AEAEAE"/>
              <w:right w:val="single" w:sz="4" w:space="0" w:color="E0E0E0"/>
            </w:tcBorders>
            <w:shd w:val="clear" w:color="auto" w:fill="auto"/>
            <w:noWrap/>
            <w:hideMark/>
          </w:tcPr>
          <w:p w14:paraId="762C7D50" w14:textId="5ECD627A"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.00</w:t>
            </w:r>
          </w:p>
        </w:tc>
        <w:tc>
          <w:tcPr>
            <w:tcW w:w="685" w:type="dxa"/>
            <w:tcBorders>
              <w:top w:val="nil"/>
              <w:left w:val="nil"/>
              <w:bottom w:val="single" w:sz="4" w:space="0" w:color="AEAEAE"/>
              <w:right w:val="single" w:sz="4" w:space="0" w:color="E0E0E0"/>
            </w:tcBorders>
            <w:shd w:val="clear" w:color="auto" w:fill="auto"/>
            <w:noWrap/>
            <w:hideMark/>
          </w:tcPr>
          <w:p w14:paraId="23D0551C" w14:textId="3A0F9604"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.01</w:t>
            </w:r>
          </w:p>
        </w:tc>
        <w:tc>
          <w:tcPr>
            <w:tcW w:w="685" w:type="dxa"/>
            <w:tcBorders>
              <w:top w:val="nil"/>
              <w:left w:val="nil"/>
              <w:bottom w:val="single" w:sz="4" w:space="0" w:color="AEAEAE"/>
              <w:right w:val="single" w:sz="4" w:space="0" w:color="E0E0E0"/>
            </w:tcBorders>
            <w:shd w:val="clear" w:color="auto" w:fill="auto"/>
            <w:noWrap/>
            <w:hideMark/>
          </w:tcPr>
          <w:p w14:paraId="0A5DCE25" w14:textId="4F1B004F"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.10</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BBA130B" w14:textId="345B379C"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.12</w:t>
            </w:r>
            <w:r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C797047"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19D5211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064672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6D4E75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0BB5DE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5F0E3F5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0A0869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958C34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D481B8A"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2553F1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B616962"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55BF3F17" w14:textId="77777777" w:rsidTr="00011661">
        <w:trPr>
          <w:trHeight w:val="48"/>
        </w:trPr>
        <w:tc>
          <w:tcPr>
            <w:tcW w:w="1166" w:type="dxa"/>
            <w:tcBorders>
              <w:top w:val="nil"/>
              <w:left w:val="nil"/>
              <w:bottom w:val="nil"/>
              <w:right w:val="nil"/>
            </w:tcBorders>
            <w:shd w:val="clear" w:color="auto" w:fill="auto"/>
            <w:hideMark/>
          </w:tcPr>
          <w:p w14:paraId="6CED85C7"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9. BSCQ-4</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6F322045"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12.08</w:t>
            </w:r>
          </w:p>
        </w:tc>
        <w:tc>
          <w:tcPr>
            <w:tcW w:w="633" w:type="dxa"/>
            <w:tcBorders>
              <w:top w:val="nil"/>
              <w:left w:val="single" w:sz="4" w:space="0" w:color="E0E0E0"/>
              <w:bottom w:val="single" w:sz="4" w:space="0" w:color="AEAEAE"/>
              <w:right w:val="nil"/>
            </w:tcBorders>
            <w:shd w:val="clear" w:color="auto" w:fill="auto"/>
            <w:noWrap/>
            <w:hideMark/>
          </w:tcPr>
          <w:p w14:paraId="710CF65E"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8.04</w:t>
            </w:r>
          </w:p>
        </w:tc>
        <w:tc>
          <w:tcPr>
            <w:tcW w:w="633" w:type="dxa"/>
            <w:tcBorders>
              <w:top w:val="nil"/>
              <w:left w:val="nil"/>
              <w:bottom w:val="nil"/>
              <w:right w:val="nil"/>
            </w:tcBorders>
            <w:shd w:val="clear" w:color="auto" w:fill="auto"/>
            <w:noWrap/>
            <w:hideMark/>
          </w:tcPr>
          <w:p w14:paraId="1954655E"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0-27</w:t>
            </w:r>
          </w:p>
        </w:tc>
        <w:tc>
          <w:tcPr>
            <w:tcW w:w="710" w:type="dxa"/>
            <w:tcBorders>
              <w:top w:val="nil"/>
              <w:left w:val="nil"/>
              <w:bottom w:val="single" w:sz="4" w:space="0" w:color="AEAEAE"/>
              <w:right w:val="single" w:sz="4" w:space="0" w:color="E0E0E0"/>
            </w:tcBorders>
            <w:shd w:val="clear" w:color="auto" w:fill="auto"/>
            <w:noWrap/>
            <w:hideMark/>
          </w:tcPr>
          <w:p w14:paraId="55C18C4E" w14:textId="1D10867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.21</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7D307F46" w14:textId="780649D6"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.03</w:t>
            </w:r>
          </w:p>
        </w:tc>
        <w:tc>
          <w:tcPr>
            <w:tcW w:w="741" w:type="dxa"/>
            <w:tcBorders>
              <w:top w:val="nil"/>
              <w:left w:val="nil"/>
              <w:bottom w:val="single" w:sz="4" w:space="0" w:color="AEAEAE"/>
              <w:right w:val="single" w:sz="4" w:space="0" w:color="E0E0E0"/>
            </w:tcBorders>
            <w:shd w:val="clear" w:color="auto" w:fill="auto"/>
            <w:noWrap/>
            <w:hideMark/>
          </w:tcPr>
          <w:p w14:paraId="488F92B2" w14:textId="42F3E137"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.18</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6FB90A7" w14:textId="0847BDBD"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.00</w:t>
            </w:r>
          </w:p>
        </w:tc>
        <w:tc>
          <w:tcPr>
            <w:tcW w:w="685" w:type="dxa"/>
            <w:tcBorders>
              <w:top w:val="nil"/>
              <w:left w:val="nil"/>
              <w:bottom w:val="single" w:sz="4" w:space="0" w:color="AEAEAE"/>
              <w:right w:val="single" w:sz="4" w:space="0" w:color="E0E0E0"/>
            </w:tcBorders>
            <w:shd w:val="clear" w:color="auto" w:fill="auto"/>
            <w:noWrap/>
            <w:hideMark/>
          </w:tcPr>
          <w:p w14:paraId="3BE93647" w14:textId="02FAE096"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.02</w:t>
            </w:r>
          </w:p>
        </w:tc>
        <w:tc>
          <w:tcPr>
            <w:tcW w:w="685" w:type="dxa"/>
            <w:tcBorders>
              <w:top w:val="nil"/>
              <w:left w:val="nil"/>
              <w:bottom w:val="single" w:sz="4" w:space="0" w:color="AEAEAE"/>
              <w:right w:val="single" w:sz="4" w:space="0" w:color="E0E0E0"/>
            </w:tcBorders>
            <w:shd w:val="clear" w:color="auto" w:fill="auto"/>
            <w:noWrap/>
            <w:hideMark/>
          </w:tcPr>
          <w:p w14:paraId="7CD412F0" w14:textId="59E7A5BF"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.27</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6EE77686" w14:textId="2A713536"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.36</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0BADDE7" w14:textId="79E458D3"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.10</w:t>
            </w:r>
            <w:r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5BDFBE0F"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18B28C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2A93B21"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14E481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633071CC"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48A780C"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F2C558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2D8F3F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814ADEA"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C60B9A7"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19FCD8D1" w14:textId="77777777" w:rsidTr="00011661">
        <w:trPr>
          <w:trHeight w:val="157"/>
        </w:trPr>
        <w:tc>
          <w:tcPr>
            <w:tcW w:w="1166" w:type="dxa"/>
            <w:tcBorders>
              <w:top w:val="nil"/>
              <w:left w:val="nil"/>
              <w:bottom w:val="nil"/>
              <w:right w:val="nil"/>
            </w:tcBorders>
            <w:shd w:val="clear" w:color="auto" w:fill="auto"/>
            <w:hideMark/>
          </w:tcPr>
          <w:p w14:paraId="24E44646"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10. BSCQ-5</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6468BB00"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11.94</w:t>
            </w:r>
          </w:p>
        </w:tc>
        <w:tc>
          <w:tcPr>
            <w:tcW w:w="633" w:type="dxa"/>
            <w:tcBorders>
              <w:top w:val="nil"/>
              <w:left w:val="single" w:sz="4" w:space="0" w:color="E0E0E0"/>
              <w:bottom w:val="single" w:sz="4" w:space="0" w:color="AEAEAE"/>
              <w:right w:val="nil"/>
            </w:tcBorders>
            <w:shd w:val="clear" w:color="auto" w:fill="auto"/>
            <w:noWrap/>
            <w:hideMark/>
          </w:tcPr>
          <w:p w14:paraId="20DAEB75"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7.21</w:t>
            </w:r>
          </w:p>
        </w:tc>
        <w:tc>
          <w:tcPr>
            <w:tcW w:w="633" w:type="dxa"/>
            <w:tcBorders>
              <w:top w:val="nil"/>
              <w:left w:val="nil"/>
              <w:bottom w:val="nil"/>
              <w:right w:val="nil"/>
            </w:tcBorders>
            <w:shd w:val="clear" w:color="auto" w:fill="auto"/>
            <w:noWrap/>
            <w:hideMark/>
          </w:tcPr>
          <w:p w14:paraId="0987B608"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0-27</w:t>
            </w:r>
          </w:p>
        </w:tc>
        <w:tc>
          <w:tcPr>
            <w:tcW w:w="710" w:type="dxa"/>
            <w:tcBorders>
              <w:top w:val="nil"/>
              <w:left w:val="nil"/>
              <w:bottom w:val="single" w:sz="4" w:space="0" w:color="AEAEAE"/>
              <w:right w:val="single" w:sz="4" w:space="0" w:color="E0E0E0"/>
            </w:tcBorders>
            <w:shd w:val="clear" w:color="auto" w:fill="auto"/>
            <w:noWrap/>
            <w:hideMark/>
          </w:tcPr>
          <w:p w14:paraId="365F122B" w14:textId="1E04507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.13</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7848DD79" w14:textId="244B8BB5"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.19</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1E6573B4" w14:textId="2113D7BE"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.06</w:t>
            </w:r>
          </w:p>
        </w:tc>
        <w:tc>
          <w:tcPr>
            <w:tcW w:w="685" w:type="dxa"/>
            <w:tcBorders>
              <w:top w:val="nil"/>
              <w:left w:val="nil"/>
              <w:bottom w:val="single" w:sz="4" w:space="0" w:color="AEAEAE"/>
              <w:right w:val="single" w:sz="4" w:space="0" w:color="E0E0E0"/>
            </w:tcBorders>
            <w:shd w:val="clear" w:color="auto" w:fill="auto"/>
            <w:noWrap/>
            <w:hideMark/>
          </w:tcPr>
          <w:p w14:paraId="351486E6" w14:textId="43469FD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F87FC78" w14:textId="6D8698C1"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EED7C68" w14:textId="26CE826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.38</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07CA8284" w14:textId="541334C7"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.33</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7EFDC888" w14:textId="48309668"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.05</w:t>
            </w:r>
          </w:p>
        </w:tc>
        <w:tc>
          <w:tcPr>
            <w:tcW w:w="741" w:type="dxa"/>
            <w:gridSpan w:val="2"/>
            <w:tcBorders>
              <w:top w:val="nil"/>
              <w:left w:val="nil"/>
              <w:bottom w:val="single" w:sz="4" w:space="0" w:color="AEAEAE"/>
              <w:right w:val="single" w:sz="4" w:space="0" w:color="E0E0E0"/>
            </w:tcBorders>
            <w:shd w:val="clear" w:color="auto" w:fill="auto"/>
            <w:noWrap/>
            <w:hideMark/>
          </w:tcPr>
          <w:p w14:paraId="69030DA7" w14:textId="5DBC0BD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.22</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52FB070"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1907A5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EB1A07D"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1F66A93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0756A3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379BFD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0C2D363"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D343CBA"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80A9B84"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7EB79414" w14:textId="77777777" w:rsidTr="00011661">
        <w:trPr>
          <w:trHeight w:val="73"/>
        </w:trPr>
        <w:tc>
          <w:tcPr>
            <w:tcW w:w="1166" w:type="dxa"/>
            <w:tcBorders>
              <w:top w:val="nil"/>
              <w:left w:val="nil"/>
              <w:bottom w:val="nil"/>
              <w:right w:val="nil"/>
            </w:tcBorders>
            <w:shd w:val="clear" w:color="auto" w:fill="auto"/>
            <w:hideMark/>
          </w:tcPr>
          <w:p w14:paraId="141696CE"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11. BSCQ-6</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41A41E40"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9.35</w:t>
            </w:r>
          </w:p>
        </w:tc>
        <w:tc>
          <w:tcPr>
            <w:tcW w:w="633" w:type="dxa"/>
            <w:tcBorders>
              <w:top w:val="nil"/>
              <w:left w:val="single" w:sz="4" w:space="0" w:color="E0E0E0"/>
              <w:bottom w:val="single" w:sz="4" w:space="0" w:color="AEAEAE"/>
              <w:right w:val="nil"/>
            </w:tcBorders>
            <w:shd w:val="clear" w:color="auto" w:fill="auto"/>
            <w:noWrap/>
            <w:hideMark/>
          </w:tcPr>
          <w:p w14:paraId="502946AE"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8.24</w:t>
            </w:r>
          </w:p>
        </w:tc>
        <w:tc>
          <w:tcPr>
            <w:tcW w:w="633" w:type="dxa"/>
            <w:tcBorders>
              <w:top w:val="nil"/>
              <w:left w:val="nil"/>
              <w:bottom w:val="nil"/>
              <w:right w:val="nil"/>
            </w:tcBorders>
            <w:shd w:val="clear" w:color="auto" w:fill="auto"/>
            <w:noWrap/>
            <w:hideMark/>
          </w:tcPr>
          <w:p w14:paraId="5A895B59"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0-27</w:t>
            </w:r>
          </w:p>
        </w:tc>
        <w:tc>
          <w:tcPr>
            <w:tcW w:w="710" w:type="dxa"/>
            <w:tcBorders>
              <w:top w:val="nil"/>
              <w:left w:val="nil"/>
              <w:bottom w:val="single" w:sz="4" w:space="0" w:color="AEAEAE"/>
              <w:right w:val="single" w:sz="4" w:space="0" w:color="E0E0E0"/>
            </w:tcBorders>
            <w:shd w:val="clear" w:color="auto" w:fill="auto"/>
            <w:noWrap/>
            <w:hideMark/>
          </w:tcPr>
          <w:p w14:paraId="628252E0" w14:textId="268EA92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.13</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3CB24AA5" w14:textId="013B6710"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.03</w:t>
            </w:r>
          </w:p>
        </w:tc>
        <w:tc>
          <w:tcPr>
            <w:tcW w:w="741" w:type="dxa"/>
            <w:tcBorders>
              <w:top w:val="nil"/>
              <w:left w:val="nil"/>
              <w:bottom w:val="single" w:sz="4" w:space="0" w:color="AEAEAE"/>
              <w:right w:val="single" w:sz="4" w:space="0" w:color="E0E0E0"/>
            </w:tcBorders>
            <w:shd w:val="clear" w:color="auto" w:fill="auto"/>
            <w:noWrap/>
            <w:hideMark/>
          </w:tcPr>
          <w:p w14:paraId="1EE66BAB" w14:textId="114868EC"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.05</w:t>
            </w:r>
          </w:p>
        </w:tc>
        <w:tc>
          <w:tcPr>
            <w:tcW w:w="685" w:type="dxa"/>
            <w:tcBorders>
              <w:top w:val="nil"/>
              <w:left w:val="nil"/>
              <w:bottom w:val="single" w:sz="4" w:space="0" w:color="AEAEAE"/>
              <w:right w:val="single" w:sz="4" w:space="0" w:color="E0E0E0"/>
            </w:tcBorders>
            <w:shd w:val="clear" w:color="auto" w:fill="auto"/>
            <w:noWrap/>
            <w:hideMark/>
          </w:tcPr>
          <w:p w14:paraId="08BD3CCA" w14:textId="076F3DC6"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ED1D7AA" w14:textId="5F9F222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34B7D22" w14:textId="5B6E7AF8"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.20</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720C5C29" w14:textId="7FDCA02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.28</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5F3896CA" w14:textId="0B06E216"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.03</w:t>
            </w:r>
          </w:p>
        </w:tc>
        <w:tc>
          <w:tcPr>
            <w:tcW w:w="741" w:type="dxa"/>
            <w:gridSpan w:val="2"/>
            <w:tcBorders>
              <w:top w:val="nil"/>
              <w:left w:val="nil"/>
              <w:bottom w:val="single" w:sz="4" w:space="0" w:color="AEAEAE"/>
              <w:right w:val="single" w:sz="4" w:space="0" w:color="E0E0E0"/>
            </w:tcBorders>
            <w:shd w:val="clear" w:color="auto" w:fill="auto"/>
            <w:noWrap/>
            <w:hideMark/>
          </w:tcPr>
          <w:p w14:paraId="18FDB401" w14:textId="121FDD5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7EF3E10" w14:textId="2CF53ED2"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.27</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02CD264"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290135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0C43596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EC9D25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F96E1C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A6002B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0549FD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983C208"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73587534" w14:textId="77777777" w:rsidTr="00011661">
        <w:trPr>
          <w:trHeight w:val="48"/>
        </w:trPr>
        <w:tc>
          <w:tcPr>
            <w:tcW w:w="1166" w:type="dxa"/>
            <w:tcBorders>
              <w:top w:val="nil"/>
              <w:left w:val="nil"/>
              <w:bottom w:val="nil"/>
              <w:right w:val="nil"/>
            </w:tcBorders>
            <w:shd w:val="clear" w:color="auto" w:fill="auto"/>
            <w:hideMark/>
          </w:tcPr>
          <w:p w14:paraId="63B8C809"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12. BSCQ-7</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42DEFC60"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10.88</w:t>
            </w:r>
          </w:p>
        </w:tc>
        <w:tc>
          <w:tcPr>
            <w:tcW w:w="633" w:type="dxa"/>
            <w:tcBorders>
              <w:top w:val="nil"/>
              <w:left w:val="single" w:sz="4" w:space="0" w:color="E0E0E0"/>
              <w:bottom w:val="single" w:sz="4" w:space="0" w:color="AEAEAE"/>
              <w:right w:val="nil"/>
            </w:tcBorders>
            <w:shd w:val="clear" w:color="auto" w:fill="auto"/>
            <w:noWrap/>
            <w:hideMark/>
          </w:tcPr>
          <w:p w14:paraId="7F84D96B"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5.51</w:t>
            </w:r>
          </w:p>
        </w:tc>
        <w:tc>
          <w:tcPr>
            <w:tcW w:w="633" w:type="dxa"/>
            <w:tcBorders>
              <w:top w:val="nil"/>
              <w:left w:val="nil"/>
              <w:bottom w:val="nil"/>
              <w:right w:val="nil"/>
            </w:tcBorders>
            <w:shd w:val="clear" w:color="auto" w:fill="auto"/>
            <w:noWrap/>
            <w:hideMark/>
          </w:tcPr>
          <w:p w14:paraId="2695E951"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0-18</w:t>
            </w:r>
          </w:p>
        </w:tc>
        <w:tc>
          <w:tcPr>
            <w:tcW w:w="710" w:type="dxa"/>
            <w:tcBorders>
              <w:top w:val="nil"/>
              <w:left w:val="nil"/>
              <w:bottom w:val="single" w:sz="4" w:space="0" w:color="AEAEAE"/>
              <w:right w:val="single" w:sz="4" w:space="0" w:color="E0E0E0"/>
            </w:tcBorders>
            <w:shd w:val="clear" w:color="auto" w:fill="auto"/>
            <w:noWrap/>
            <w:hideMark/>
          </w:tcPr>
          <w:p w14:paraId="60247D40" w14:textId="49FC66E1"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.39</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72E5DC42" w14:textId="5EED8F27"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.04</w:t>
            </w:r>
          </w:p>
        </w:tc>
        <w:tc>
          <w:tcPr>
            <w:tcW w:w="741" w:type="dxa"/>
            <w:tcBorders>
              <w:top w:val="nil"/>
              <w:left w:val="nil"/>
              <w:bottom w:val="single" w:sz="4" w:space="0" w:color="AEAEAE"/>
              <w:right w:val="single" w:sz="4" w:space="0" w:color="E0E0E0"/>
            </w:tcBorders>
            <w:shd w:val="clear" w:color="auto" w:fill="auto"/>
            <w:noWrap/>
            <w:hideMark/>
          </w:tcPr>
          <w:p w14:paraId="773FD246" w14:textId="21EDD17F"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.19</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672C2D6" w14:textId="51A184A9"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BA96BE0" w14:textId="76EDC3E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D9C4BF1" w14:textId="38706119"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.40</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01A0EAE" w14:textId="4DF95E59"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.22</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2B1F08B" w14:textId="221C125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F65DB57" w14:textId="6B7B84C8"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.17</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19C6016" w14:textId="5777D9E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71F10C6" w14:textId="79F6F432"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DD33B2B"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741" w:type="dxa"/>
            <w:gridSpan w:val="2"/>
            <w:tcBorders>
              <w:top w:val="nil"/>
              <w:left w:val="nil"/>
              <w:bottom w:val="single" w:sz="4" w:space="0" w:color="AEAEAE"/>
              <w:right w:val="single" w:sz="4" w:space="0" w:color="E0E0E0"/>
            </w:tcBorders>
            <w:shd w:val="clear" w:color="auto" w:fill="auto"/>
            <w:noWrap/>
            <w:hideMark/>
          </w:tcPr>
          <w:p w14:paraId="5B91C626"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26B7E71"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0DE7855"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1BB596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2B62A7CE"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2CC5152"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481B6264" w14:textId="77777777" w:rsidTr="00011661">
        <w:trPr>
          <w:trHeight w:val="48"/>
        </w:trPr>
        <w:tc>
          <w:tcPr>
            <w:tcW w:w="1166" w:type="dxa"/>
            <w:tcBorders>
              <w:top w:val="nil"/>
              <w:left w:val="nil"/>
              <w:bottom w:val="nil"/>
              <w:right w:val="nil"/>
            </w:tcBorders>
            <w:shd w:val="clear" w:color="auto" w:fill="auto"/>
            <w:hideMark/>
          </w:tcPr>
          <w:p w14:paraId="2395317F"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13. BSCQ-8</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2D98AB61"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9.25</w:t>
            </w:r>
          </w:p>
        </w:tc>
        <w:tc>
          <w:tcPr>
            <w:tcW w:w="633" w:type="dxa"/>
            <w:tcBorders>
              <w:top w:val="nil"/>
              <w:left w:val="single" w:sz="4" w:space="0" w:color="E0E0E0"/>
              <w:bottom w:val="single" w:sz="4" w:space="0" w:color="AEAEAE"/>
              <w:right w:val="nil"/>
            </w:tcBorders>
            <w:shd w:val="clear" w:color="auto" w:fill="auto"/>
            <w:noWrap/>
            <w:hideMark/>
          </w:tcPr>
          <w:p w14:paraId="54F384B3"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4.87</w:t>
            </w:r>
          </w:p>
        </w:tc>
        <w:tc>
          <w:tcPr>
            <w:tcW w:w="633" w:type="dxa"/>
            <w:tcBorders>
              <w:top w:val="nil"/>
              <w:left w:val="nil"/>
              <w:bottom w:val="nil"/>
              <w:right w:val="nil"/>
            </w:tcBorders>
            <w:shd w:val="clear" w:color="auto" w:fill="auto"/>
            <w:noWrap/>
            <w:hideMark/>
          </w:tcPr>
          <w:p w14:paraId="1D36A66A"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0-18</w:t>
            </w:r>
          </w:p>
        </w:tc>
        <w:tc>
          <w:tcPr>
            <w:tcW w:w="710" w:type="dxa"/>
            <w:tcBorders>
              <w:top w:val="nil"/>
              <w:left w:val="nil"/>
              <w:bottom w:val="single" w:sz="4" w:space="0" w:color="AEAEAE"/>
              <w:right w:val="single" w:sz="4" w:space="0" w:color="E0E0E0"/>
            </w:tcBorders>
            <w:shd w:val="clear" w:color="auto" w:fill="auto"/>
            <w:noWrap/>
            <w:hideMark/>
          </w:tcPr>
          <w:p w14:paraId="549AECC0" w14:textId="7303AF89"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.00</w:t>
            </w:r>
          </w:p>
        </w:tc>
        <w:tc>
          <w:tcPr>
            <w:tcW w:w="741" w:type="dxa"/>
            <w:tcBorders>
              <w:top w:val="nil"/>
              <w:left w:val="nil"/>
              <w:bottom w:val="single" w:sz="4" w:space="0" w:color="AEAEAE"/>
              <w:right w:val="single" w:sz="4" w:space="0" w:color="E0E0E0"/>
            </w:tcBorders>
            <w:shd w:val="clear" w:color="auto" w:fill="auto"/>
            <w:noWrap/>
            <w:hideMark/>
          </w:tcPr>
          <w:p w14:paraId="56795D16" w14:textId="5A99A9CD"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.01</w:t>
            </w:r>
          </w:p>
        </w:tc>
        <w:tc>
          <w:tcPr>
            <w:tcW w:w="741" w:type="dxa"/>
            <w:tcBorders>
              <w:top w:val="nil"/>
              <w:left w:val="nil"/>
              <w:bottom w:val="single" w:sz="4" w:space="0" w:color="AEAEAE"/>
              <w:right w:val="single" w:sz="4" w:space="0" w:color="E0E0E0"/>
            </w:tcBorders>
            <w:shd w:val="clear" w:color="auto" w:fill="auto"/>
            <w:noWrap/>
            <w:hideMark/>
          </w:tcPr>
          <w:p w14:paraId="08F4FEF2" w14:textId="3B8AAB9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9E5373F" w14:textId="3C6B15E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985419B" w14:textId="1A8236D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832A95A" w14:textId="4A49D03A"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.03</w:t>
            </w:r>
          </w:p>
        </w:tc>
        <w:tc>
          <w:tcPr>
            <w:tcW w:w="741" w:type="dxa"/>
            <w:gridSpan w:val="2"/>
            <w:tcBorders>
              <w:top w:val="nil"/>
              <w:left w:val="nil"/>
              <w:bottom w:val="single" w:sz="4" w:space="0" w:color="AEAEAE"/>
              <w:right w:val="single" w:sz="4" w:space="0" w:color="E0E0E0"/>
            </w:tcBorders>
            <w:shd w:val="clear" w:color="auto" w:fill="auto"/>
            <w:noWrap/>
            <w:hideMark/>
          </w:tcPr>
          <w:p w14:paraId="4A97DDED" w14:textId="72A5562B"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.09</w:t>
            </w:r>
            <w:r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F29AD3B" w14:textId="29F8CE8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.24</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CE78BFF" w14:textId="7CA1EA9B"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.25</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9F28E21" w14:textId="2BF0388F"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.06</w:t>
            </w:r>
          </w:p>
        </w:tc>
        <w:tc>
          <w:tcPr>
            <w:tcW w:w="685" w:type="dxa"/>
            <w:tcBorders>
              <w:top w:val="nil"/>
              <w:left w:val="nil"/>
              <w:bottom w:val="single" w:sz="4" w:space="0" w:color="AEAEAE"/>
              <w:right w:val="single" w:sz="4" w:space="0" w:color="E0E0E0"/>
            </w:tcBorders>
            <w:shd w:val="clear" w:color="auto" w:fill="auto"/>
            <w:noWrap/>
            <w:hideMark/>
          </w:tcPr>
          <w:p w14:paraId="09434F53" w14:textId="12030A18"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646D3A1" w14:textId="040AFD4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1631B556"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C0662D0"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C096C5F"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08F7C2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B9B1047"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6CC5666"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62307AD9" w14:textId="77777777" w:rsidTr="00011661">
        <w:trPr>
          <w:trHeight w:val="48"/>
        </w:trPr>
        <w:tc>
          <w:tcPr>
            <w:tcW w:w="1166" w:type="dxa"/>
            <w:tcBorders>
              <w:top w:val="nil"/>
              <w:left w:val="nil"/>
              <w:bottom w:val="nil"/>
              <w:right w:val="nil"/>
            </w:tcBorders>
            <w:shd w:val="clear" w:color="auto" w:fill="auto"/>
            <w:hideMark/>
          </w:tcPr>
          <w:p w14:paraId="5D9A8046"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14. BSCQ-9</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0B37F77E"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12.96</w:t>
            </w:r>
          </w:p>
        </w:tc>
        <w:tc>
          <w:tcPr>
            <w:tcW w:w="633" w:type="dxa"/>
            <w:tcBorders>
              <w:top w:val="nil"/>
              <w:left w:val="single" w:sz="4" w:space="0" w:color="E0E0E0"/>
              <w:bottom w:val="single" w:sz="4" w:space="0" w:color="AEAEAE"/>
              <w:right w:val="nil"/>
            </w:tcBorders>
            <w:shd w:val="clear" w:color="auto" w:fill="auto"/>
            <w:noWrap/>
            <w:hideMark/>
          </w:tcPr>
          <w:p w14:paraId="7D1E4C20"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4.82</w:t>
            </w:r>
          </w:p>
        </w:tc>
        <w:tc>
          <w:tcPr>
            <w:tcW w:w="633" w:type="dxa"/>
            <w:tcBorders>
              <w:top w:val="nil"/>
              <w:left w:val="nil"/>
              <w:bottom w:val="nil"/>
              <w:right w:val="nil"/>
            </w:tcBorders>
            <w:shd w:val="clear" w:color="auto" w:fill="auto"/>
            <w:noWrap/>
            <w:hideMark/>
          </w:tcPr>
          <w:p w14:paraId="0E5B600A"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0-18</w:t>
            </w:r>
          </w:p>
        </w:tc>
        <w:tc>
          <w:tcPr>
            <w:tcW w:w="710" w:type="dxa"/>
            <w:tcBorders>
              <w:top w:val="nil"/>
              <w:left w:val="nil"/>
              <w:bottom w:val="single" w:sz="4" w:space="0" w:color="AEAEAE"/>
              <w:right w:val="single" w:sz="4" w:space="0" w:color="E0E0E0"/>
            </w:tcBorders>
            <w:shd w:val="clear" w:color="auto" w:fill="auto"/>
            <w:noWrap/>
            <w:hideMark/>
          </w:tcPr>
          <w:p w14:paraId="62800F36" w14:textId="6F7206E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.25</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65D47191" w14:textId="54141296"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.18</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215B78C" w14:textId="51E65B88"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.13</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62F309B" w14:textId="7334BFF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.19</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B686D5E" w14:textId="107D89A1"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0389ECC" w14:textId="0CC61A3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.42</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17309DF3" w14:textId="4BE7A7A8"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.29</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F2842B4" w14:textId="4918D87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0693C9EB" w14:textId="6AB2498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EB5EFD8" w14:textId="39B68929"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4BF2981" w14:textId="19A6EBC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.15</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4A81367" w14:textId="34A2E02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.37</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7EFD3294" w14:textId="7AD658D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.11</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28A41A3"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1D04FD62"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6379530B"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4073C0E9"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33BC8469"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51C8C87E" w14:textId="77777777" w:rsidTr="00011661">
        <w:trPr>
          <w:trHeight w:val="157"/>
        </w:trPr>
        <w:tc>
          <w:tcPr>
            <w:tcW w:w="1166" w:type="dxa"/>
            <w:tcBorders>
              <w:top w:val="nil"/>
              <w:left w:val="nil"/>
              <w:bottom w:val="nil"/>
              <w:right w:val="nil"/>
            </w:tcBorders>
            <w:shd w:val="clear" w:color="auto" w:fill="auto"/>
            <w:hideMark/>
          </w:tcPr>
          <w:p w14:paraId="78E5B457"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15. BSCQ-10</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1F4461D2"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9.53</w:t>
            </w:r>
          </w:p>
        </w:tc>
        <w:tc>
          <w:tcPr>
            <w:tcW w:w="633" w:type="dxa"/>
            <w:tcBorders>
              <w:top w:val="nil"/>
              <w:left w:val="single" w:sz="4" w:space="0" w:color="E0E0E0"/>
              <w:bottom w:val="single" w:sz="4" w:space="0" w:color="AEAEAE"/>
              <w:right w:val="nil"/>
            </w:tcBorders>
            <w:shd w:val="clear" w:color="auto" w:fill="auto"/>
            <w:noWrap/>
            <w:hideMark/>
          </w:tcPr>
          <w:p w14:paraId="1D6984A4"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6.42</w:t>
            </w:r>
          </w:p>
        </w:tc>
        <w:tc>
          <w:tcPr>
            <w:tcW w:w="633" w:type="dxa"/>
            <w:tcBorders>
              <w:top w:val="nil"/>
              <w:left w:val="nil"/>
              <w:bottom w:val="nil"/>
              <w:right w:val="nil"/>
            </w:tcBorders>
            <w:shd w:val="clear" w:color="auto" w:fill="auto"/>
            <w:noWrap/>
            <w:hideMark/>
          </w:tcPr>
          <w:p w14:paraId="741248C3"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0-27</w:t>
            </w:r>
          </w:p>
        </w:tc>
        <w:tc>
          <w:tcPr>
            <w:tcW w:w="710" w:type="dxa"/>
            <w:tcBorders>
              <w:top w:val="nil"/>
              <w:left w:val="nil"/>
              <w:bottom w:val="single" w:sz="4" w:space="0" w:color="AEAEAE"/>
              <w:right w:val="single" w:sz="4" w:space="0" w:color="E0E0E0"/>
            </w:tcBorders>
            <w:shd w:val="clear" w:color="auto" w:fill="auto"/>
            <w:noWrap/>
            <w:hideMark/>
          </w:tcPr>
          <w:p w14:paraId="7C7E6216" w14:textId="047F36DE"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.05</w:t>
            </w:r>
          </w:p>
        </w:tc>
        <w:tc>
          <w:tcPr>
            <w:tcW w:w="741" w:type="dxa"/>
            <w:tcBorders>
              <w:top w:val="nil"/>
              <w:left w:val="nil"/>
              <w:bottom w:val="single" w:sz="4" w:space="0" w:color="AEAEAE"/>
              <w:right w:val="single" w:sz="4" w:space="0" w:color="E0E0E0"/>
            </w:tcBorders>
            <w:shd w:val="clear" w:color="auto" w:fill="auto"/>
            <w:noWrap/>
            <w:hideMark/>
          </w:tcPr>
          <w:p w14:paraId="1785F2EF" w14:textId="2119DAA9"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.03</w:t>
            </w:r>
          </w:p>
        </w:tc>
        <w:tc>
          <w:tcPr>
            <w:tcW w:w="741" w:type="dxa"/>
            <w:tcBorders>
              <w:top w:val="nil"/>
              <w:left w:val="nil"/>
              <w:bottom w:val="single" w:sz="4" w:space="0" w:color="AEAEAE"/>
              <w:right w:val="single" w:sz="4" w:space="0" w:color="E0E0E0"/>
            </w:tcBorders>
            <w:shd w:val="clear" w:color="auto" w:fill="auto"/>
            <w:noWrap/>
            <w:hideMark/>
          </w:tcPr>
          <w:p w14:paraId="08C587EE" w14:textId="0D5264C6"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.07</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CFC656B" w14:textId="49B67B7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9CB76F1" w14:textId="3B15A494"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.15</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D9EB074" w14:textId="26E94F7B"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.03</w:t>
            </w:r>
          </w:p>
        </w:tc>
        <w:tc>
          <w:tcPr>
            <w:tcW w:w="741" w:type="dxa"/>
            <w:gridSpan w:val="2"/>
            <w:tcBorders>
              <w:top w:val="nil"/>
              <w:left w:val="nil"/>
              <w:bottom w:val="single" w:sz="4" w:space="0" w:color="AEAEAE"/>
              <w:right w:val="single" w:sz="4" w:space="0" w:color="E0E0E0"/>
            </w:tcBorders>
            <w:shd w:val="clear" w:color="auto" w:fill="auto"/>
            <w:noWrap/>
            <w:hideMark/>
          </w:tcPr>
          <w:p w14:paraId="3BE40EC2" w14:textId="1117B193"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.04</w:t>
            </w:r>
          </w:p>
        </w:tc>
        <w:tc>
          <w:tcPr>
            <w:tcW w:w="741" w:type="dxa"/>
            <w:gridSpan w:val="2"/>
            <w:tcBorders>
              <w:top w:val="nil"/>
              <w:left w:val="nil"/>
              <w:bottom w:val="single" w:sz="4" w:space="0" w:color="AEAEAE"/>
              <w:right w:val="single" w:sz="4" w:space="0" w:color="E0E0E0"/>
            </w:tcBorders>
            <w:shd w:val="clear" w:color="auto" w:fill="auto"/>
            <w:noWrap/>
            <w:hideMark/>
          </w:tcPr>
          <w:p w14:paraId="3717004B" w14:textId="5935B7A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08731298" w14:textId="54BC68D5"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.18</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19D006C" w14:textId="2AB8C11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.15</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F2619B5" w14:textId="33B0C9F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.25</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3B512DD" w14:textId="677D6EA9"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.15</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4A18785" w14:textId="0C1A19B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3D8CDFD" w14:textId="7827B33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.09</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F632021"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8D454D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54C6FD64"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0F3BDE4"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3665ABE8" w14:textId="77777777" w:rsidTr="00011661">
        <w:trPr>
          <w:trHeight w:val="48"/>
        </w:trPr>
        <w:tc>
          <w:tcPr>
            <w:tcW w:w="1166" w:type="dxa"/>
            <w:tcBorders>
              <w:top w:val="nil"/>
              <w:left w:val="nil"/>
              <w:bottom w:val="nil"/>
              <w:right w:val="nil"/>
            </w:tcBorders>
            <w:shd w:val="clear" w:color="auto" w:fill="auto"/>
            <w:hideMark/>
          </w:tcPr>
          <w:p w14:paraId="1EC05C92"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16. PM-CR</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54AC1BDD"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10.77</w:t>
            </w:r>
          </w:p>
        </w:tc>
        <w:tc>
          <w:tcPr>
            <w:tcW w:w="633" w:type="dxa"/>
            <w:tcBorders>
              <w:top w:val="nil"/>
              <w:left w:val="single" w:sz="4" w:space="0" w:color="E0E0E0"/>
              <w:bottom w:val="single" w:sz="4" w:space="0" w:color="AEAEAE"/>
              <w:right w:val="nil"/>
            </w:tcBorders>
            <w:shd w:val="clear" w:color="auto" w:fill="auto"/>
            <w:noWrap/>
            <w:hideMark/>
          </w:tcPr>
          <w:p w14:paraId="69B5CA6B"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4.43</w:t>
            </w:r>
          </w:p>
        </w:tc>
        <w:tc>
          <w:tcPr>
            <w:tcW w:w="633" w:type="dxa"/>
            <w:tcBorders>
              <w:top w:val="nil"/>
              <w:left w:val="nil"/>
              <w:bottom w:val="nil"/>
              <w:right w:val="nil"/>
            </w:tcBorders>
            <w:shd w:val="clear" w:color="auto" w:fill="auto"/>
            <w:noWrap/>
            <w:hideMark/>
          </w:tcPr>
          <w:p w14:paraId="7E23629A"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5-20</w:t>
            </w:r>
          </w:p>
        </w:tc>
        <w:tc>
          <w:tcPr>
            <w:tcW w:w="710" w:type="dxa"/>
            <w:tcBorders>
              <w:top w:val="nil"/>
              <w:left w:val="nil"/>
              <w:bottom w:val="single" w:sz="4" w:space="0" w:color="AEAEAE"/>
              <w:right w:val="single" w:sz="4" w:space="0" w:color="E0E0E0"/>
            </w:tcBorders>
            <w:shd w:val="clear" w:color="auto" w:fill="auto"/>
            <w:noWrap/>
            <w:hideMark/>
          </w:tcPr>
          <w:p w14:paraId="2E8AB830" w14:textId="1F6894A1"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.28</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1AC8E839" w14:textId="77E65AE2"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.11</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881A3EE" w14:textId="2CF0B6C7"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.16</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07AB768" w14:textId="78AC734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EDAD15E" w14:textId="4857995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.12</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B9EF304" w14:textId="5F9AF9C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.55</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5BDDC18F" w14:textId="55040A3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.47</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6557745F" w14:textId="7CD4759C"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.06</w:t>
            </w:r>
          </w:p>
        </w:tc>
        <w:tc>
          <w:tcPr>
            <w:tcW w:w="741" w:type="dxa"/>
            <w:gridSpan w:val="2"/>
            <w:tcBorders>
              <w:top w:val="nil"/>
              <w:left w:val="nil"/>
              <w:bottom w:val="single" w:sz="4" w:space="0" w:color="AEAEAE"/>
              <w:right w:val="single" w:sz="4" w:space="0" w:color="E0E0E0"/>
            </w:tcBorders>
            <w:shd w:val="clear" w:color="auto" w:fill="auto"/>
            <w:noWrap/>
            <w:hideMark/>
          </w:tcPr>
          <w:p w14:paraId="67185027" w14:textId="5B0E9F9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.31</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AC7DABC" w14:textId="0CD5398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01F2DB8" w14:textId="20413FA2"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729DA5D" w14:textId="520B4254"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.34</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7BAAF88C" w14:textId="6059B947"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.09</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90E2019" w14:textId="2613DE7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.30</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DF2480E" w14:textId="190B483D"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.00</w:t>
            </w:r>
          </w:p>
        </w:tc>
        <w:tc>
          <w:tcPr>
            <w:tcW w:w="685" w:type="dxa"/>
            <w:tcBorders>
              <w:top w:val="nil"/>
              <w:left w:val="nil"/>
              <w:bottom w:val="single" w:sz="4" w:space="0" w:color="AEAEAE"/>
              <w:right w:val="single" w:sz="4" w:space="0" w:color="E0E0E0"/>
            </w:tcBorders>
            <w:shd w:val="clear" w:color="auto" w:fill="auto"/>
            <w:noWrap/>
            <w:hideMark/>
          </w:tcPr>
          <w:p w14:paraId="32C32D49"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04AD0817" w14:textId="77777777" w:rsidR="003010BD" w:rsidRPr="006E4DCA" w:rsidRDefault="003010BD" w:rsidP="00011661">
            <w:pPr>
              <w:spacing w:line="240" w:lineRule="auto"/>
              <w:jc w:val="center"/>
              <w:rPr>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D1C012A"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42D9756F" w14:textId="77777777" w:rsidTr="00011661">
        <w:trPr>
          <w:trHeight w:val="213"/>
        </w:trPr>
        <w:tc>
          <w:tcPr>
            <w:tcW w:w="1166" w:type="dxa"/>
            <w:tcBorders>
              <w:top w:val="nil"/>
              <w:left w:val="nil"/>
              <w:bottom w:val="nil"/>
              <w:right w:val="nil"/>
            </w:tcBorders>
            <w:shd w:val="clear" w:color="auto" w:fill="auto"/>
            <w:hideMark/>
          </w:tcPr>
          <w:p w14:paraId="7580C2A9"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17. PM-ER</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67B8D65D"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13.68</w:t>
            </w:r>
          </w:p>
        </w:tc>
        <w:tc>
          <w:tcPr>
            <w:tcW w:w="633" w:type="dxa"/>
            <w:tcBorders>
              <w:top w:val="nil"/>
              <w:left w:val="single" w:sz="4" w:space="0" w:color="E0E0E0"/>
              <w:bottom w:val="single" w:sz="4" w:space="0" w:color="AEAEAE"/>
              <w:right w:val="nil"/>
            </w:tcBorders>
            <w:shd w:val="clear" w:color="auto" w:fill="auto"/>
            <w:noWrap/>
            <w:hideMark/>
          </w:tcPr>
          <w:p w14:paraId="39048920"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4.14</w:t>
            </w:r>
          </w:p>
        </w:tc>
        <w:tc>
          <w:tcPr>
            <w:tcW w:w="633" w:type="dxa"/>
            <w:tcBorders>
              <w:top w:val="nil"/>
              <w:left w:val="nil"/>
              <w:bottom w:val="nil"/>
              <w:right w:val="nil"/>
            </w:tcBorders>
            <w:shd w:val="clear" w:color="auto" w:fill="auto"/>
            <w:noWrap/>
            <w:hideMark/>
          </w:tcPr>
          <w:p w14:paraId="7E0D5435"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5-20</w:t>
            </w:r>
          </w:p>
        </w:tc>
        <w:tc>
          <w:tcPr>
            <w:tcW w:w="710" w:type="dxa"/>
            <w:tcBorders>
              <w:top w:val="nil"/>
              <w:left w:val="nil"/>
              <w:bottom w:val="single" w:sz="4" w:space="0" w:color="AEAEAE"/>
              <w:right w:val="single" w:sz="4" w:space="0" w:color="E0E0E0"/>
            </w:tcBorders>
            <w:shd w:val="clear" w:color="auto" w:fill="auto"/>
            <w:noWrap/>
            <w:hideMark/>
          </w:tcPr>
          <w:p w14:paraId="60646F4F" w14:textId="0A1A9DE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.17</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080F25DC" w14:textId="5B3999F8"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.18</w:t>
            </w:r>
            <w:r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482C1B93" w14:textId="29A0C8A3"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.10</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F2AA826" w14:textId="0AD04BB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.19</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2819A2B" w14:textId="63A31ED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104075D" w14:textId="576DF85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.79</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529B46EA" w14:textId="17083067"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.38</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29FC5E78" w14:textId="7DB0D4FC"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.05</w:t>
            </w:r>
          </w:p>
        </w:tc>
        <w:tc>
          <w:tcPr>
            <w:tcW w:w="741" w:type="dxa"/>
            <w:gridSpan w:val="2"/>
            <w:tcBorders>
              <w:top w:val="nil"/>
              <w:left w:val="nil"/>
              <w:bottom w:val="single" w:sz="4" w:space="0" w:color="AEAEAE"/>
              <w:right w:val="single" w:sz="4" w:space="0" w:color="E0E0E0"/>
            </w:tcBorders>
            <w:shd w:val="clear" w:color="auto" w:fill="auto"/>
            <w:noWrap/>
            <w:hideMark/>
          </w:tcPr>
          <w:p w14:paraId="51C0E4CE" w14:textId="5B0CAF54"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.27</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0168A0D" w14:textId="6B0B8D4F"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BBAFF0C" w14:textId="0232EC18"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.20</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FD73F9C" w14:textId="14FC70C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.31</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FB00BC1" w14:textId="6D25C849"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.01</w:t>
            </w:r>
          </w:p>
        </w:tc>
        <w:tc>
          <w:tcPr>
            <w:tcW w:w="685" w:type="dxa"/>
            <w:tcBorders>
              <w:top w:val="nil"/>
              <w:left w:val="nil"/>
              <w:bottom w:val="single" w:sz="4" w:space="0" w:color="AEAEAE"/>
              <w:right w:val="single" w:sz="4" w:space="0" w:color="E0E0E0"/>
            </w:tcBorders>
            <w:shd w:val="clear" w:color="auto" w:fill="auto"/>
            <w:noWrap/>
            <w:hideMark/>
          </w:tcPr>
          <w:p w14:paraId="5FBFBAE9" w14:textId="634B2538"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.36</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97267A4" w14:textId="60DF1776"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.02</w:t>
            </w:r>
          </w:p>
        </w:tc>
        <w:tc>
          <w:tcPr>
            <w:tcW w:w="685" w:type="dxa"/>
            <w:tcBorders>
              <w:top w:val="nil"/>
              <w:left w:val="nil"/>
              <w:bottom w:val="single" w:sz="4" w:space="0" w:color="AEAEAE"/>
              <w:right w:val="single" w:sz="4" w:space="0" w:color="E0E0E0"/>
            </w:tcBorders>
            <w:shd w:val="clear" w:color="auto" w:fill="auto"/>
            <w:noWrap/>
            <w:hideMark/>
          </w:tcPr>
          <w:p w14:paraId="14FEE71B" w14:textId="6264324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.68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1F4B933"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c>
          <w:tcPr>
            <w:tcW w:w="685" w:type="dxa"/>
            <w:tcBorders>
              <w:top w:val="nil"/>
              <w:left w:val="nil"/>
              <w:bottom w:val="single" w:sz="4" w:space="0" w:color="AEAEAE"/>
              <w:right w:val="single" w:sz="4" w:space="0" w:color="E0E0E0"/>
            </w:tcBorders>
            <w:shd w:val="clear" w:color="auto" w:fill="auto"/>
            <w:noWrap/>
            <w:hideMark/>
          </w:tcPr>
          <w:p w14:paraId="74718A74" w14:textId="77777777" w:rsidR="003010BD" w:rsidRPr="006E4DCA" w:rsidRDefault="003010BD" w:rsidP="00011661">
            <w:pPr>
              <w:spacing w:line="240" w:lineRule="auto"/>
              <w:jc w:val="center"/>
              <w:rPr>
                <w:sz w:val="18"/>
                <w:szCs w:val="20"/>
                <w:lang w:eastAsia="en-US"/>
              </w:rPr>
            </w:pPr>
            <w:r w:rsidRPr="006E4DCA">
              <w:rPr>
                <w:color w:val="010205"/>
                <w:sz w:val="18"/>
              </w:rPr>
              <w:t> </w:t>
            </w:r>
          </w:p>
        </w:tc>
      </w:tr>
      <w:tr w:rsidR="003010BD" w:rsidRPr="006E4DCA" w14:paraId="4AAF27DC" w14:textId="77777777" w:rsidTr="00011661">
        <w:trPr>
          <w:trHeight w:val="48"/>
        </w:trPr>
        <w:tc>
          <w:tcPr>
            <w:tcW w:w="1166" w:type="dxa"/>
            <w:tcBorders>
              <w:top w:val="nil"/>
              <w:left w:val="nil"/>
              <w:bottom w:val="nil"/>
              <w:right w:val="nil"/>
            </w:tcBorders>
            <w:shd w:val="clear" w:color="auto" w:fill="auto"/>
            <w:hideMark/>
          </w:tcPr>
          <w:p w14:paraId="2B7AEF61"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18. NM-CI</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263E1DBA"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8.49</w:t>
            </w:r>
          </w:p>
        </w:tc>
        <w:tc>
          <w:tcPr>
            <w:tcW w:w="633" w:type="dxa"/>
            <w:tcBorders>
              <w:top w:val="nil"/>
              <w:left w:val="single" w:sz="4" w:space="0" w:color="E0E0E0"/>
              <w:bottom w:val="single" w:sz="4" w:space="0" w:color="AEAEAE"/>
              <w:right w:val="nil"/>
            </w:tcBorders>
            <w:shd w:val="clear" w:color="auto" w:fill="auto"/>
            <w:noWrap/>
            <w:hideMark/>
          </w:tcPr>
          <w:p w14:paraId="380738F8"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3.67</w:t>
            </w:r>
          </w:p>
        </w:tc>
        <w:tc>
          <w:tcPr>
            <w:tcW w:w="633" w:type="dxa"/>
            <w:tcBorders>
              <w:top w:val="nil"/>
              <w:left w:val="nil"/>
              <w:bottom w:val="nil"/>
              <w:right w:val="nil"/>
            </w:tcBorders>
            <w:shd w:val="clear" w:color="auto" w:fill="auto"/>
            <w:noWrap/>
            <w:hideMark/>
          </w:tcPr>
          <w:p w14:paraId="0821581D"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5-20</w:t>
            </w:r>
          </w:p>
        </w:tc>
        <w:tc>
          <w:tcPr>
            <w:tcW w:w="710" w:type="dxa"/>
            <w:tcBorders>
              <w:top w:val="nil"/>
              <w:left w:val="nil"/>
              <w:bottom w:val="single" w:sz="4" w:space="0" w:color="AEAEAE"/>
              <w:right w:val="single" w:sz="4" w:space="0" w:color="E0E0E0"/>
            </w:tcBorders>
            <w:shd w:val="clear" w:color="auto" w:fill="auto"/>
            <w:noWrap/>
            <w:hideMark/>
          </w:tcPr>
          <w:p w14:paraId="023E1819" w14:textId="3A27C63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.42</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32F161B" w14:textId="4BD4A15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.13</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606FC4ED" w14:textId="183DCE9D"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.10</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3AE2B501" w14:textId="73F5269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.27</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646B956" w14:textId="03E3BFD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.27</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240E725" w14:textId="30DC739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.20</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0EF03430" w14:textId="3035AC2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.09</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300EBC54" w14:textId="03E7B65F"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.22</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05BB769" w14:textId="10AF1D0F" w:rsidR="003010BD" w:rsidRPr="006E4DCA" w:rsidRDefault="00BE6F1C" w:rsidP="00011661">
            <w:pPr>
              <w:spacing w:line="240" w:lineRule="auto"/>
              <w:jc w:val="center"/>
              <w:rPr>
                <w:color w:val="000000"/>
                <w:sz w:val="18"/>
                <w:szCs w:val="20"/>
                <w:lang w:eastAsia="en-US"/>
              </w:rPr>
            </w:pPr>
            <w:r w:rsidRPr="006E4DCA">
              <w:rPr>
                <w:color w:val="010205"/>
                <w:sz w:val="18"/>
              </w:rPr>
              <w:t>0</w:t>
            </w:r>
            <w:r w:rsidR="003010BD" w:rsidRPr="006E4DCA">
              <w:rPr>
                <w:color w:val="010205"/>
                <w:sz w:val="18"/>
              </w:rPr>
              <w:t>.03</w:t>
            </w:r>
          </w:p>
        </w:tc>
        <w:tc>
          <w:tcPr>
            <w:tcW w:w="685" w:type="dxa"/>
            <w:tcBorders>
              <w:top w:val="nil"/>
              <w:left w:val="nil"/>
              <w:bottom w:val="single" w:sz="4" w:space="0" w:color="AEAEAE"/>
              <w:right w:val="single" w:sz="4" w:space="0" w:color="E0E0E0"/>
            </w:tcBorders>
            <w:shd w:val="clear" w:color="auto" w:fill="auto"/>
            <w:noWrap/>
            <w:hideMark/>
          </w:tcPr>
          <w:p w14:paraId="19980945" w14:textId="3538F72D"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.25</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8A85289" w14:textId="7697F7B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.22</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C7353FE" w14:textId="33802B9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.44</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1F6A2BCA" w14:textId="5D817D26"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.20</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71EA93E" w14:textId="54DFBDF1"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.28</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E4F8696" w14:textId="6993F8C2"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BEB2B3E" w14:textId="38E91F4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17E6C204" w14:textId="4550F41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.22</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AADDACA" w14:textId="77777777" w:rsidR="003010BD" w:rsidRPr="006E4DCA" w:rsidRDefault="003010BD" w:rsidP="00011661">
            <w:pPr>
              <w:spacing w:line="240" w:lineRule="auto"/>
              <w:jc w:val="center"/>
              <w:rPr>
                <w:color w:val="000000"/>
                <w:sz w:val="18"/>
                <w:szCs w:val="20"/>
                <w:lang w:eastAsia="en-US"/>
              </w:rPr>
            </w:pPr>
            <w:r w:rsidRPr="006E4DCA">
              <w:rPr>
                <w:color w:val="010205"/>
                <w:sz w:val="18"/>
              </w:rPr>
              <w:t> </w:t>
            </w:r>
          </w:p>
        </w:tc>
      </w:tr>
      <w:tr w:rsidR="003010BD" w:rsidRPr="006E4DCA" w14:paraId="657002FE" w14:textId="77777777" w:rsidTr="00011661">
        <w:trPr>
          <w:trHeight w:val="171"/>
        </w:trPr>
        <w:tc>
          <w:tcPr>
            <w:tcW w:w="1166" w:type="dxa"/>
            <w:tcBorders>
              <w:top w:val="nil"/>
              <w:left w:val="nil"/>
              <w:bottom w:val="single" w:sz="4" w:space="0" w:color="auto"/>
              <w:right w:val="nil"/>
            </w:tcBorders>
            <w:shd w:val="clear" w:color="auto" w:fill="auto"/>
            <w:hideMark/>
          </w:tcPr>
          <w:p w14:paraId="3C9910C4" w14:textId="77777777" w:rsidR="003010BD" w:rsidRPr="006E4DCA" w:rsidRDefault="003010BD" w:rsidP="00011661">
            <w:pPr>
              <w:spacing w:line="240" w:lineRule="auto"/>
              <w:jc w:val="left"/>
              <w:rPr>
                <w:color w:val="000000"/>
                <w:sz w:val="18"/>
                <w:szCs w:val="20"/>
                <w:lang w:eastAsia="en-US"/>
              </w:rPr>
            </w:pPr>
            <w:r w:rsidRPr="006E4DCA">
              <w:rPr>
                <w:color w:val="000000"/>
                <w:sz w:val="18"/>
                <w:szCs w:val="20"/>
                <w:lang w:eastAsia="en-US"/>
              </w:rPr>
              <w:t>19. NM-U</w:t>
            </w:r>
          </w:p>
        </w:tc>
        <w:tc>
          <w:tcPr>
            <w:tcW w:w="633" w:type="dxa"/>
            <w:tcBorders>
              <w:top w:val="nil"/>
              <w:left w:val="single" w:sz="4" w:space="0" w:color="E0E0E0"/>
              <w:bottom w:val="single" w:sz="4" w:space="0" w:color="AEAEAE"/>
              <w:right w:val="single" w:sz="4" w:space="0" w:color="E0E0E0"/>
            </w:tcBorders>
            <w:shd w:val="clear" w:color="auto" w:fill="auto"/>
            <w:noWrap/>
            <w:hideMark/>
          </w:tcPr>
          <w:p w14:paraId="572513FB"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10.27</w:t>
            </w:r>
          </w:p>
        </w:tc>
        <w:tc>
          <w:tcPr>
            <w:tcW w:w="633" w:type="dxa"/>
            <w:tcBorders>
              <w:top w:val="nil"/>
              <w:left w:val="single" w:sz="4" w:space="0" w:color="E0E0E0"/>
              <w:bottom w:val="single" w:sz="4" w:space="0" w:color="AEAEAE"/>
              <w:right w:val="nil"/>
            </w:tcBorders>
            <w:shd w:val="clear" w:color="auto" w:fill="auto"/>
            <w:noWrap/>
            <w:hideMark/>
          </w:tcPr>
          <w:p w14:paraId="447C69C9" w14:textId="77777777" w:rsidR="003010BD" w:rsidRPr="006E4DCA" w:rsidRDefault="003010BD" w:rsidP="00011661">
            <w:pPr>
              <w:spacing w:line="240" w:lineRule="auto"/>
              <w:jc w:val="center"/>
              <w:rPr>
                <w:color w:val="000000"/>
                <w:sz w:val="18"/>
                <w:szCs w:val="20"/>
                <w:lang w:eastAsia="en-US"/>
              </w:rPr>
            </w:pPr>
            <w:r w:rsidRPr="006E4DCA">
              <w:rPr>
                <w:color w:val="010205"/>
                <w:sz w:val="18"/>
                <w:szCs w:val="20"/>
              </w:rPr>
              <w:t>4.05</w:t>
            </w:r>
          </w:p>
        </w:tc>
        <w:tc>
          <w:tcPr>
            <w:tcW w:w="633" w:type="dxa"/>
            <w:tcBorders>
              <w:top w:val="nil"/>
              <w:left w:val="nil"/>
              <w:bottom w:val="single" w:sz="4" w:space="0" w:color="auto"/>
              <w:right w:val="nil"/>
            </w:tcBorders>
            <w:shd w:val="clear" w:color="auto" w:fill="auto"/>
            <w:noWrap/>
            <w:hideMark/>
          </w:tcPr>
          <w:p w14:paraId="73F3298B" w14:textId="77777777" w:rsidR="003010BD" w:rsidRPr="006E4DCA" w:rsidRDefault="003010BD" w:rsidP="00011661">
            <w:pPr>
              <w:spacing w:line="240" w:lineRule="auto"/>
              <w:jc w:val="center"/>
              <w:rPr>
                <w:color w:val="000000"/>
                <w:sz w:val="18"/>
                <w:szCs w:val="20"/>
                <w:lang w:eastAsia="en-US"/>
              </w:rPr>
            </w:pPr>
            <w:r w:rsidRPr="006E4DCA">
              <w:rPr>
                <w:color w:val="000000"/>
                <w:sz w:val="18"/>
                <w:szCs w:val="20"/>
                <w:lang w:eastAsia="en-US"/>
              </w:rPr>
              <w:t>5-20</w:t>
            </w:r>
          </w:p>
        </w:tc>
        <w:tc>
          <w:tcPr>
            <w:tcW w:w="710" w:type="dxa"/>
            <w:tcBorders>
              <w:top w:val="nil"/>
              <w:left w:val="nil"/>
              <w:bottom w:val="single" w:sz="4" w:space="0" w:color="AEAEAE"/>
              <w:right w:val="single" w:sz="4" w:space="0" w:color="E0E0E0"/>
            </w:tcBorders>
            <w:shd w:val="clear" w:color="auto" w:fill="auto"/>
            <w:noWrap/>
            <w:hideMark/>
          </w:tcPr>
          <w:p w14:paraId="528DBE6B" w14:textId="22EAE62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.42</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22CEF1B4" w14:textId="373DCC03"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.10</w:t>
            </w:r>
            <w:r w:rsidR="003010BD" w:rsidRPr="006E4DCA">
              <w:rPr>
                <w:color w:val="000000"/>
                <w:sz w:val="18"/>
                <w:vertAlign w:val="superscript"/>
              </w:rPr>
              <w:t>**</w:t>
            </w:r>
          </w:p>
        </w:tc>
        <w:tc>
          <w:tcPr>
            <w:tcW w:w="741" w:type="dxa"/>
            <w:tcBorders>
              <w:top w:val="nil"/>
              <w:left w:val="nil"/>
              <w:bottom w:val="single" w:sz="4" w:space="0" w:color="AEAEAE"/>
              <w:right w:val="single" w:sz="4" w:space="0" w:color="E0E0E0"/>
            </w:tcBorders>
            <w:shd w:val="clear" w:color="auto" w:fill="auto"/>
            <w:noWrap/>
            <w:hideMark/>
          </w:tcPr>
          <w:p w14:paraId="781B5044" w14:textId="162C15C2" w:rsidR="003010BD" w:rsidRPr="006E4DCA" w:rsidRDefault="003010BD" w:rsidP="00011661">
            <w:pPr>
              <w:spacing w:line="240" w:lineRule="auto"/>
              <w:jc w:val="center"/>
              <w:rPr>
                <w:color w:val="000000"/>
                <w:sz w:val="18"/>
                <w:szCs w:val="20"/>
                <w:lang w:eastAsia="en-US"/>
              </w:rPr>
            </w:pPr>
            <w:r w:rsidRPr="006E4DCA">
              <w:rPr>
                <w:color w:val="000000"/>
                <w:sz w:val="18"/>
              </w:rPr>
              <w:t>-</w:t>
            </w:r>
            <w:r w:rsidR="00BE6F1C" w:rsidRPr="006E4DCA">
              <w:rPr>
                <w:color w:val="000000"/>
                <w:sz w:val="18"/>
              </w:rPr>
              <w:t>0</w:t>
            </w:r>
            <w:r w:rsidRPr="006E4DCA">
              <w:rPr>
                <w:color w:val="000000"/>
                <w:sz w:val="18"/>
              </w:rPr>
              <w:t>.12</w:t>
            </w:r>
            <w:r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4AE344A7" w14:textId="1ED70FEE"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BCD8F91" w14:textId="5343F78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.23</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809596F" w14:textId="144BA08F"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.22</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9B8D429" w14:textId="1619E149"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.07</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52B004C1" w14:textId="6B4C0080"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.26</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45B3547A" w14:textId="28FA7F60" w:rsidR="003010BD" w:rsidRPr="006E4DCA" w:rsidRDefault="003010BD" w:rsidP="00011661">
            <w:pPr>
              <w:spacing w:line="240" w:lineRule="auto"/>
              <w:jc w:val="center"/>
              <w:rPr>
                <w:color w:val="000000"/>
                <w:sz w:val="18"/>
                <w:szCs w:val="20"/>
                <w:lang w:eastAsia="en-US"/>
              </w:rPr>
            </w:pPr>
            <w:r w:rsidRPr="006E4DCA">
              <w:rPr>
                <w:color w:val="010205"/>
                <w:sz w:val="18"/>
              </w:rPr>
              <w:t>-</w:t>
            </w:r>
            <w:r w:rsidR="00BE6F1C" w:rsidRPr="006E4DCA">
              <w:rPr>
                <w:color w:val="010205"/>
                <w:sz w:val="18"/>
              </w:rPr>
              <w:t>0</w:t>
            </w:r>
            <w:r w:rsidRPr="006E4DCA">
              <w:rPr>
                <w:color w:val="010205"/>
                <w:sz w:val="18"/>
              </w:rPr>
              <w:t>.02</w:t>
            </w:r>
          </w:p>
        </w:tc>
        <w:tc>
          <w:tcPr>
            <w:tcW w:w="685" w:type="dxa"/>
            <w:tcBorders>
              <w:top w:val="nil"/>
              <w:left w:val="nil"/>
              <w:bottom w:val="single" w:sz="4" w:space="0" w:color="AEAEAE"/>
              <w:right w:val="single" w:sz="4" w:space="0" w:color="E0E0E0"/>
            </w:tcBorders>
            <w:shd w:val="clear" w:color="auto" w:fill="auto"/>
            <w:noWrap/>
            <w:hideMark/>
          </w:tcPr>
          <w:p w14:paraId="0BBCA989" w14:textId="656F4D57"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.21</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FC09EBF" w14:textId="3F06D44A"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.19</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B96E524" w14:textId="5715CFE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.43</w:t>
            </w:r>
            <w:r w:rsidR="003010BD" w:rsidRPr="006E4DCA">
              <w:rPr>
                <w:color w:val="000000"/>
                <w:sz w:val="18"/>
                <w:vertAlign w:val="superscript"/>
              </w:rPr>
              <w:t>**</w:t>
            </w:r>
          </w:p>
        </w:tc>
        <w:tc>
          <w:tcPr>
            <w:tcW w:w="741" w:type="dxa"/>
            <w:gridSpan w:val="2"/>
            <w:tcBorders>
              <w:top w:val="nil"/>
              <w:left w:val="nil"/>
              <w:bottom w:val="single" w:sz="4" w:space="0" w:color="AEAEAE"/>
              <w:right w:val="single" w:sz="4" w:space="0" w:color="E0E0E0"/>
            </w:tcBorders>
            <w:shd w:val="clear" w:color="auto" w:fill="auto"/>
            <w:noWrap/>
            <w:hideMark/>
          </w:tcPr>
          <w:p w14:paraId="66E19B86" w14:textId="4BAAF28C"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.21</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781850D9" w14:textId="2686B64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.30</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57E2879F" w14:textId="6CBB241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.31</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2879C318" w14:textId="62612EE5"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.24</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623E2B83" w14:textId="4DAFE0BB"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.25</w:t>
            </w:r>
            <w:r w:rsidR="003010BD" w:rsidRPr="006E4DCA">
              <w:rPr>
                <w:color w:val="000000"/>
                <w:sz w:val="18"/>
                <w:vertAlign w:val="superscript"/>
              </w:rPr>
              <w:t>**</w:t>
            </w:r>
          </w:p>
        </w:tc>
        <w:tc>
          <w:tcPr>
            <w:tcW w:w="685" w:type="dxa"/>
            <w:tcBorders>
              <w:top w:val="nil"/>
              <w:left w:val="nil"/>
              <w:bottom w:val="single" w:sz="4" w:space="0" w:color="AEAEAE"/>
              <w:right w:val="single" w:sz="4" w:space="0" w:color="E0E0E0"/>
            </w:tcBorders>
            <w:shd w:val="clear" w:color="auto" w:fill="auto"/>
            <w:noWrap/>
            <w:hideMark/>
          </w:tcPr>
          <w:p w14:paraId="0618187C" w14:textId="6F4D3462" w:rsidR="003010BD" w:rsidRPr="006E4DCA" w:rsidRDefault="00BE6F1C" w:rsidP="00011661">
            <w:pPr>
              <w:spacing w:line="240" w:lineRule="auto"/>
              <w:jc w:val="center"/>
              <w:rPr>
                <w:color w:val="000000"/>
                <w:sz w:val="18"/>
                <w:szCs w:val="20"/>
                <w:lang w:eastAsia="en-US"/>
              </w:rPr>
            </w:pPr>
            <w:r w:rsidRPr="006E4DCA">
              <w:rPr>
                <w:color w:val="000000"/>
                <w:sz w:val="18"/>
              </w:rPr>
              <w:t>0</w:t>
            </w:r>
            <w:r w:rsidR="003010BD" w:rsidRPr="006E4DCA">
              <w:rPr>
                <w:color w:val="000000"/>
                <w:sz w:val="18"/>
              </w:rPr>
              <w:t>.79</w:t>
            </w:r>
            <w:r w:rsidR="003010BD" w:rsidRPr="006E4DCA">
              <w:rPr>
                <w:color w:val="000000"/>
                <w:sz w:val="18"/>
                <w:vertAlign w:val="superscript"/>
              </w:rPr>
              <w:t>**</w:t>
            </w:r>
          </w:p>
        </w:tc>
      </w:tr>
    </w:tbl>
    <w:p w14:paraId="152FC216" w14:textId="77777777" w:rsidR="003010BD" w:rsidRPr="006E4DCA" w:rsidRDefault="003010BD" w:rsidP="00011661">
      <w:r w:rsidRPr="006E4DCA">
        <w:rPr>
          <w:b/>
        </w:rPr>
        <w:t>Table 2</w:t>
      </w:r>
      <w:r w:rsidRPr="006E4DCA">
        <w:t>: Means, SD, ranges, and Spearman’s correlation matrix for study variables</w:t>
      </w:r>
    </w:p>
    <w:p w14:paraId="64358A7A" w14:textId="77777777" w:rsidR="003010BD" w:rsidRPr="006E4DCA" w:rsidRDefault="003010BD" w:rsidP="00011661">
      <w:pPr>
        <w:spacing w:line="240" w:lineRule="auto"/>
        <w:outlineLvl w:val="0"/>
        <w:rPr>
          <w:sz w:val="20"/>
          <w:szCs w:val="20"/>
        </w:rPr>
      </w:pPr>
      <w:proofErr w:type="gramStart"/>
      <w:r w:rsidRPr="006E4DCA">
        <w:rPr>
          <w:i/>
          <w:sz w:val="20"/>
          <w:szCs w:val="20"/>
        </w:rPr>
        <w:t>Notes</w:t>
      </w:r>
      <w:r w:rsidRPr="006E4DCA">
        <w:rPr>
          <w:sz w:val="20"/>
          <w:szCs w:val="20"/>
        </w:rPr>
        <w:t>.</w:t>
      </w:r>
      <w:proofErr w:type="gramEnd"/>
      <w:r w:rsidRPr="006E4DCA">
        <w:rPr>
          <w:sz w:val="20"/>
          <w:szCs w:val="20"/>
        </w:rPr>
        <w:t xml:space="preserve"> FTND = </w:t>
      </w:r>
      <w:proofErr w:type="spellStart"/>
      <w:r w:rsidRPr="006E4DCA">
        <w:rPr>
          <w:sz w:val="20"/>
          <w:szCs w:val="20"/>
        </w:rPr>
        <w:t>Fagerstrom</w:t>
      </w:r>
      <w:proofErr w:type="spellEnd"/>
      <w:r w:rsidRPr="006E4DCA">
        <w:rPr>
          <w:sz w:val="20"/>
          <w:szCs w:val="20"/>
        </w:rPr>
        <w:t xml:space="preserve"> Test of Nicotine Dependence; SSA = started smoking age; HADS-A = Hospital Anxiety and Depression Scale – Anxiety; HADS-D = Hospital Anxiety and Depression Scale – Depression;  BSCQ = Brief Smoking Consequences Questionnaire – Adult (-1 = negative affect reduction; -2 = stimulation state enhancement; -3 = health risks; -4 = taste and sensory motor manipulation; -5 = social facilitation; -6 = weight control; -7 = craving addiction; -8 = negative physical feelings; -9 = boredom reduction; -10 = negative social impression); PM-CR = Positive Metacognitions about Cognitive Regulation; PM-ER = Positive Metacognitions about Emotional Regulation;  NM-CI = Negative Metacognitions about Cognitive Interference; NM-U = Negative Metacognitions about Uncontrollability; n = 850; * p&lt;.05; **p&lt;.01.</w:t>
      </w:r>
    </w:p>
    <w:p w14:paraId="750E44E8" w14:textId="77777777" w:rsidR="003010BD" w:rsidRPr="006E4DCA" w:rsidRDefault="003010BD" w:rsidP="00011661">
      <w:pPr>
        <w:rPr>
          <w:sz w:val="20"/>
          <w:szCs w:val="20"/>
        </w:rPr>
        <w:sectPr w:rsidR="003010BD" w:rsidRPr="006E4DCA" w:rsidSect="00011661">
          <w:pgSz w:w="16840" w:h="11900" w:orient="landscape"/>
          <w:pgMar w:top="720" w:right="720" w:bottom="720" w:left="720" w:header="708" w:footer="708" w:gutter="0"/>
          <w:cols w:space="708"/>
          <w:docGrid w:linePitch="360"/>
        </w:sectPr>
      </w:pPr>
    </w:p>
    <w:p w14:paraId="3F766946" w14:textId="77777777" w:rsidR="003010BD" w:rsidRPr="006E4DCA" w:rsidRDefault="003010BD" w:rsidP="00011661">
      <w:pPr>
        <w:rPr>
          <w:b/>
        </w:rPr>
      </w:pPr>
      <w:r w:rsidRPr="006E4DCA">
        <w:rPr>
          <w:b/>
        </w:rPr>
        <w:lastRenderedPageBreak/>
        <w:t>3.3 Concurrent validity</w:t>
      </w:r>
    </w:p>
    <w:p w14:paraId="3CB178F9" w14:textId="5EB1861E" w:rsidR="003010BD" w:rsidRPr="006E4DCA" w:rsidRDefault="003010BD" w:rsidP="00011661">
      <w:r w:rsidRPr="006E4DCA">
        <w:t xml:space="preserve">To evaluate the concurrent validity of the new translated MSQ, we conducted a five-step hierarchical regression analysis with nicotine dependence (FTND) as the outcome and the variables found to have a significantly impact on it in the correlation analyses entered as </w:t>
      </w:r>
      <w:r w:rsidR="00055AE1" w:rsidRPr="006E4DCA">
        <w:t>independent variables</w:t>
      </w:r>
      <w:r w:rsidRPr="006E4DCA">
        <w:t xml:space="preserve">. In the first step demographic variables were force-entered into the model (i.e., gender and age) and negative affect on the second. Smoking characteristic (i.e., the age that participants started to smoke and whether treatments for smoking cessation had been attempted) were entered on the third. On the fourth step, the previously identified smoking consequences factors </w:t>
      </w:r>
      <w:r w:rsidR="00F615AA" w:rsidRPr="006E4DCA">
        <w:t xml:space="preserve">that had been found to be significantly associated with FTND </w:t>
      </w:r>
      <w:r w:rsidRPr="006E4DCA">
        <w:t>were added to the model</w:t>
      </w:r>
      <w:r w:rsidR="00B94D1F" w:rsidRPr="006E4DCA">
        <w:t>,</w:t>
      </w:r>
      <w:r w:rsidRPr="006E4DCA">
        <w:t xml:space="preserve"> before all MSQ factors were entered on the fifth and final step (see Table 3).</w:t>
      </w:r>
    </w:p>
    <w:p w14:paraId="7F7ABA6D" w14:textId="77777777" w:rsidR="003010BD" w:rsidRPr="006E4DCA" w:rsidRDefault="003010BD" w:rsidP="00011661">
      <w:pPr>
        <w:rPr>
          <w:bCs/>
          <w:szCs w:val="24"/>
        </w:rPr>
      </w:pPr>
      <w:r w:rsidRPr="006E4DCA">
        <w:tab/>
        <w:t>When conducting the regression analyses, we also tested the model’s data in respect to relevant statistical assumptions. Firstly, t</w:t>
      </w:r>
      <w:r w:rsidRPr="006E4DCA">
        <w:rPr>
          <w:bCs/>
          <w:szCs w:val="24"/>
        </w:rPr>
        <w:t xml:space="preserve">here was no evidence of multicollinearity: (1) no correlations equal or greater than .9 between the predictor variables was found and (2) all Variance Inflation Factors were well below 10. Secondly, histograms and normality plots suggested that the residuals were normally distributed. Thirdly, plots of the regression-standardized residuals against the regression standardized predicted values suggested that the assumptions of linearity and homoscedasticity were met and, fourthly, Durbin-Watson tests suggested that the data did not violate the assumption of independent errors. </w:t>
      </w:r>
    </w:p>
    <w:p w14:paraId="224EDCDD" w14:textId="77777777" w:rsidR="003010BD" w:rsidRPr="006E4DCA" w:rsidRDefault="003010BD" w:rsidP="00011661">
      <w:r w:rsidRPr="006E4DCA">
        <w:tab/>
        <w:t>In the final step of the model, age, as well as the age the participant started smoking, levels of anxiety and depression, three factors from the BSCQ (i.e., ‘negative affect reduction’, ‘stimulation state enhancement’, and ‘boredom reduction’), and three factors of the Turkish version of the MSQ were significantly associated with FTND. The PM-ER factor was not significantly associated with FTND in this analysis. This final model accounted for 33% of the variance of nicotine dependence.</w:t>
      </w:r>
    </w:p>
    <w:p w14:paraId="467BC81A" w14:textId="77777777" w:rsidR="003010BD" w:rsidRPr="006E4DCA" w:rsidRDefault="003010BD" w:rsidP="00011661">
      <w:pPr>
        <w:sectPr w:rsidR="003010BD" w:rsidRPr="006E4DCA" w:rsidSect="00011661">
          <w:pgSz w:w="11900" w:h="16840"/>
          <w:pgMar w:top="1440" w:right="1440" w:bottom="1440" w:left="1440" w:header="708" w:footer="708" w:gutter="0"/>
          <w:cols w:space="708"/>
          <w:docGrid w:linePitch="360"/>
        </w:sectPr>
      </w:pPr>
    </w:p>
    <w:p w14:paraId="15B861AB" w14:textId="77777777" w:rsidR="003010BD" w:rsidRPr="006E4DCA" w:rsidRDefault="003010BD" w:rsidP="00011661">
      <w:r w:rsidRPr="006E4DCA">
        <w:rPr>
          <w:b/>
        </w:rPr>
        <w:lastRenderedPageBreak/>
        <w:t>Table 3</w:t>
      </w:r>
      <w:r w:rsidRPr="006E4DCA">
        <w:t>: Hierarchical regression with FTND as the outcome variable</w:t>
      </w:r>
    </w:p>
    <w:tbl>
      <w:tblPr>
        <w:tblW w:w="10132" w:type="dxa"/>
        <w:tblBorders>
          <w:top w:val="single" w:sz="4" w:space="0" w:color="auto"/>
          <w:bottom w:val="single" w:sz="4" w:space="0" w:color="auto"/>
        </w:tblBorders>
        <w:tblLook w:val="04A0" w:firstRow="1" w:lastRow="0" w:firstColumn="1" w:lastColumn="0" w:noHBand="0" w:noVBand="1"/>
      </w:tblPr>
      <w:tblGrid>
        <w:gridCol w:w="234"/>
        <w:gridCol w:w="2387"/>
        <w:gridCol w:w="766"/>
        <w:gridCol w:w="1459"/>
        <w:gridCol w:w="1164"/>
        <w:gridCol w:w="914"/>
        <w:gridCol w:w="796"/>
        <w:gridCol w:w="820"/>
        <w:gridCol w:w="796"/>
        <w:gridCol w:w="796"/>
      </w:tblGrid>
      <w:tr w:rsidR="003010BD" w:rsidRPr="006E4DCA" w14:paraId="19B199FE" w14:textId="77777777" w:rsidTr="00011661">
        <w:trPr>
          <w:trHeight w:val="480"/>
        </w:trPr>
        <w:tc>
          <w:tcPr>
            <w:tcW w:w="2621" w:type="dxa"/>
            <w:gridSpan w:val="2"/>
            <w:tcBorders>
              <w:bottom w:val="nil"/>
            </w:tcBorders>
            <w:shd w:val="clear" w:color="auto" w:fill="auto"/>
            <w:vAlign w:val="center"/>
          </w:tcPr>
          <w:p w14:paraId="5D8796E4" w14:textId="77777777" w:rsidR="003010BD" w:rsidRPr="006E4DCA" w:rsidRDefault="003010BD" w:rsidP="00011661">
            <w:pPr>
              <w:spacing w:line="240" w:lineRule="auto"/>
              <w:jc w:val="left"/>
              <w:rPr>
                <w:sz w:val="20"/>
                <w:szCs w:val="18"/>
              </w:rPr>
            </w:pPr>
          </w:p>
        </w:tc>
        <w:tc>
          <w:tcPr>
            <w:tcW w:w="766" w:type="dxa"/>
            <w:tcBorders>
              <w:bottom w:val="nil"/>
            </w:tcBorders>
            <w:shd w:val="clear" w:color="auto" w:fill="auto"/>
          </w:tcPr>
          <w:p w14:paraId="35B48464" w14:textId="77777777" w:rsidR="003010BD" w:rsidRPr="006E4DCA" w:rsidRDefault="003010BD" w:rsidP="00011661">
            <w:pPr>
              <w:spacing w:line="240" w:lineRule="auto"/>
              <w:rPr>
                <w:sz w:val="20"/>
                <w:szCs w:val="18"/>
                <w:vertAlign w:val="superscript"/>
              </w:rPr>
            </w:pPr>
          </w:p>
        </w:tc>
        <w:tc>
          <w:tcPr>
            <w:tcW w:w="1459" w:type="dxa"/>
            <w:tcBorders>
              <w:bottom w:val="nil"/>
            </w:tcBorders>
            <w:shd w:val="clear" w:color="auto" w:fill="auto"/>
          </w:tcPr>
          <w:p w14:paraId="6947C8D1" w14:textId="77777777" w:rsidR="003010BD" w:rsidRPr="006E4DCA" w:rsidRDefault="003010BD" w:rsidP="00011661">
            <w:pPr>
              <w:spacing w:line="240" w:lineRule="auto"/>
              <w:rPr>
                <w:sz w:val="20"/>
                <w:szCs w:val="18"/>
              </w:rPr>
            </w:pPr>
          </w:p>
        </w:tc>
        <w:tc>
          <w:tcPr>
            <w:tcW w:w="1164" w:type="dxa"/>
            <w:tcBorders>
              <w:bottom w:val="nil"/>
            </w:tcBorders>
          </w:tcPr>
          <w:p w14:paraId="01EFE7A0" w14:textId="77777777" w:rsidR="003010BD" w:rsidRPr="006E4DCA" w:rsidRDefault="003010BD" w:rsidP="00011661">
            <w:pPr>
              <w:spacing w:line="240" w:lineRule="auto"/>
              <w:rPr>
                <w:sz w:val="20"/>
                <w:szCs w:val="18"/>
              </w:rPr>
            </w:pPr>
          </w:p>
        </w:tc>
        <w:tc>
          <w:tcPr>
            <w:tcW w:w="914" w:type="dxa"/>
            <w:tcBorders>
              <w:bottom w:val="nil"/>
            </w:tcBorders>
            <w:shd w:val="clear" w:color="auto" w:fill="auto"/>
          </w:tcPr>
          <w:p w14:paraId="6B95959A" w14:textId="77777777" w:rsidR="003010BD" w:rsidRPr="006E4DCA" w:rsidRDefault="003010BD" w:rsidP="00011661">
            <w:pPr>
              <w:spacing w:line="240" w:lineRule="auto"/>
              <w:rPr>
                <w:sz w:val="20"/>
                <w:szCs w:val="18"/>
              </w:rPr>
            </w:pPr>
          </w:p>
        </w:tc>
        <w:tc>
          <w:tcPr>
            <w:tcW w:w="796" w:type="dxa"/>
            <w:tcBorders>
              <w:bottom w:val="nil"/>
            </w:tcBorders>
            <w:shd w:val="clear" w:color="auto" w:fill="auto"/>
          </w:tcPr>
          <w:p w14:paraId="649922CA" w14:textId="77777777" w:rsidR="003010BD" w:rsidRPr="006E4DCA" w:rsidRDefault="003010BD" w:rsidP="00011661">
            <w:pPr>
              <w:spacing w:line="240" w:lineRule="auto"/>
              <w:rPr>
                <w:sz w:val="20"/>
                <w:szCs w:val="18"/>
              </w:rPr>
            </w:pPr>
          </w:p>
        </w:tc>
        <w:tc>
          <w:tcPr>
            <w:tcW w:w="820" w:type="dxa"/>
            <w:tcBorders>
              <w:bottom w:val="nil"/>
            </w:tcBorders>
            <w:shd w:val="clear" w:color="auto" w:fill="auto"/>
          </w:tcPr>
          <w:p w14:paraId="61D89B3D" w14:textId="77777777" w:rsidR="003010BD" w:rsidRPr="006E4DCA" w:rsidRDefault="003010BD" w:rsidP="00011661">
            <w:pPr>
              <w:spacing w:line="240" w:lineRule="auto"/>
              <w:rPr>
                <w:sz w:val="20"/>
                <w:szCs w:val="18"/>
              </w:rPr>
            </w:pPr>
          </w:p>
        </w:tc>
        <w:tc>
          <w:tcPr>
            <w:tcW w:w="1592" w:type="dxa"/>
            <w:gridSpan w:val="2"/>
            <w:tcBorders>
              <w:top w:val="single" w:sz="4" w:space="0" w:color="auto"/>
              <w:bottom w:val="single" w:sz="4" w:space="0" w:color="auto"/>
            </w:tcBorders>
            <w:shd w:val="clear" w:color="auto" w:fill="auto"/>
          </w:tcPr>
          <w:p w14:paraId="4DC856AA" w14:textId="77777777" w:rsidR="003010BD" w:rsidRPr="006E4DCA" w:rsidRDefault="003010BD" w:rsidP="00011661">
            <w:pPr>
              <w:spacing w:line="240" w:lineRule="auto"/>
              <w:jc w:val="center"/>
              <w:rPr>
                <w:sz w:val="20"/>
                <w:szCs w:val="18"/>
              </w:rPr>
            </w:pPr>
            <w:r w:rsidRPr="006E4DCA">
              <w:rPr>
                <w:sz w:val="20"/>
                <w:szCs w:val="18"/>
              </w:rPr>
              <w:t>95% Confidence Interval</w:t>
            </w:r>
          </w:p>
        </w:tc>
      </w:tr>
      <w:tr w:rsidR="003010BD" w:rsidRPr="006E4DCA" w14:paraId="6BFB2E47" w14:textId="77777777" w:rsidTr="00011661">
        <w:tc>
          <w:tcPr>
            <w:tcW w:w="2621" w:type="dxa"/>
            <w:gridSpan w:val="2"/>
            <w:tcBorders>
              <w:top w:val="nil"/>
              <w:bottom w:val="single" w:sz="4" w:space="0" w:color="auto"/>
            </w:tcBorders>
            <w:shd w:val="clear" w:color="auto" w:fill="auto"/>
            <w:vAlign w:val="center"/>
          </w:tcPr>
          <w:p w14:paraId="4D6D5DC5" w14:textId="77777777" w:rsidR="003010BD" w:rsidRPr="006E4DCA" w:rsidRDefault="003010BD" w:rsidP="00011661">
            <w:pPr>
              <w:spacing w:line="240" w:lineRule="auto"/>
              <w:jc w:val="left"/>
              <w:rPr>
                <w:sz w:val="20"/>
                <w:szCs w:val="18"/>
              </w:rPr>
            </w:pPr>
            <w:r w:rsidRPr="006E4DCA">
              <w:rPr>
                <w:sz w:val="20"/>
                <w:szCs w:val="18"/>
              </w:rPr>
              <w:t>Predictor</w:t>
            </w:r>
          </w:p>
        </w:tc>
        <w:tc>
          <w:tcPr>
            <w:tcW w:w="766" w:type="dxa"/>
            <w:tcBorders>
              <w:top w:val="nil"/>
              <w:bottom w:val="single" w:sz="4" w:space="0" w:color="auto"/>
            </w:tcBorders>
            <w:shd w:val="clear" w:color="auto" w:fill="auto"/>
          </w:tcPr>
          <w:p w14:paraId="77B326C1" w14:textId="77777777" w:rsidR="003010BD" w:rsidRPr="006E4DCA" w:rsidRDefault="003010BD" w:rsidP="00011661">
            <w:pPr>
              <w:spacing w:line="240" w:lineRule="auto"/>
              <w:jc w:val="center"/>
              <w:rPr>
                <w:sz w:val="20"/>
                <w:szCs w:val="18"/>
              </w:rPr>
            </w:pPr>
            <w:r w:rsidRPr="006E4DCA">
              <w:rPr>
                <w:i/>
                <w:sz w:val="20"/>
                <w:szCs w:val="18"/>
              </w:rPr>
              <w:t>R</w:t>
            </w:r>
            <w:r w:rsidRPr="006E4DCA">
              <w:rPr>
                <w:sz w:val="20"/>
                <w:szCs w:val="18"/>
                <w:vertAlign w:val="superscript"/>
              </w:rPr>
              <w:t>2</w:t>
            </w:r>
          </w:p>
        </w:tc>
        <w:tc>
          <w:tcPr>
            <w:tcW w:w="1459" w:type="dxa"/>
            <w:tcBorders>
              <w:top w:val="nil"/>
              <w:bottom w:val="single" w:sz="4" w:space="0" w:color="auto"/>
            </w:tcBorders>
            <w:shd w:val="clear" w:color="auto" w:fill="auto"/>
          </w:tcPr>
          <w:p w14:paraId="2EE2B24D" w14:textId="77777777" w:rsidR="003010BD" w:rsidRPr="006E4DCA" w:rsidRDefault="003010BD" w:rsidP="00011661">
            <w:pPr>
              <w:spacing w:line="240" w:lineRule="auto"/>
              <w:jc w:val="center"/>
              <w:rPr>
                <w:sz w:val="20"/>
                <w:szCs w:val="18"/>
                <w:vertAlign w:val="superscript"/>
              </w:rPr>
            </w:pPr>
            <w:r w:rsidRPr="006E4DCA">
              <w:rPr>
                <w:sz w:val="20"/>
                <w:szCs w:val="18"/>
              </w:rPr>
              <w:t>Adjusted R</w:t>
            </w:r>
            <w:r w:rsidRPr="006E4DCA">
              <w:rPr>
                <w:sz w:val="20"/>
                <w:szCs w:val="18"/>
                <w:vertAlign w:val="superscript"/>
              </w:rPr>
              <w:t>2</w:t>
            </w:r>
          </w:p>
        </w:tc>
        <w:tc>
          <w:tcPr>
            <w:tcW w:w="1164" w:type="dxa"/>
            <w:tcBorders>
              <w:top w:val="nil"/>
              <w:bottom w:val="single" w:sz="4" w:space="0" w:color="auto"/>
            </w:tcBorders>
          </w:tcPr>
          <w:p w14:paraId="49DEF4EF" w14:textId="77777777" w:rsidR="003010BD" w:rsidRPr="006E4DCA" w:rsidRDefault="003010BD" w:rsidP="00011661">
            <w:pPr>
              <w:spacing w:line="240" w:lineRule="auto"/>
              <w:jc w:val="center"/>
              <w:rPr>
                <w:sz w:val="20"/>
                <w:szCs w:val="18"/>
              </w:rPr>
            </w:pPr>
            <w:r w:rsidRPr="006E4DCA">
              <w:rPr>
                <w:sz w:val="20"/>
                <w:szCs w:val="18"/>
              </w:rPr>
              <w:t>R</w:t>
            </w:r>
            <w:r w:rsidRPr="006E4DCA">
              <w:rPr>
                <w:sz w:val="20"/>
                <w:szCs w:val="18"/>
                <w:vertAlign w:val="superscript"/>
              </w:rPr>
              <w:t xml:space="preserve">2  </w:t>
            </w:r>
            <w:r w:rsidRPr="006E4DCA">
              <w:rPr>
                <w:sz w:val="20"/>
                <w:szCs w:val="18"/>
              </w:rPr>
              <w:t>Change</w:t>
            </w:r>
          </w:p>
        </w:tc>
        <w:tc>
          <w:tcPr>
            <w:tcW w:w="914" w:type="dxa"/>
            <w:tcBorders>
              <w:top w:val="nil"/>
              <w:bottom w:val="single" w:sz="4" w:space="0" w:color="auto"/>
            </w:tcBorders>
            <w:shd w:val="clear" w:color="auto" w:fill="auto"/>
          </w:tcPr>
          <w:p w14:paraId="0967612D" w14:textId="77777777" w:rsidR="003010BD" w:rsidRPr="006E4DCA" w:rsidRDefault="003010BD" w:rsidP="00011661">
            <w:pPr>
              <w:spacing w:line="240" w:lineRule="auto"/>
              <w:jc w:val="center"/>
              <w:rPr>
                <w:sz w:val="20"/>
                <w:szCs w:val="18"/>
              </w:rPr>
            </w:pPr>
            <w:r w:rsidRPr="006E4DCA">
              <w:rPr>
                <w:sz w:val="20"/>
                <w:szCs w:val="18"/>
              </w:rPr>
              <w:t>B</w:t>
            </w:r>
          </w:p>
        </w:tc>
        <w:tc>
          <w:tcPr>
            <w:tcW w:w="796" w:type="dxa"/>
            <w:tcBorders>
              <w:top w:val="nil"/>
              <w:bottom w:val="single" w:sz="4" w:space="0" w:color="auto"/>
            </w:tcBorders>
            <w:shd w:val="clear" w:color="auto" w:fill="auto"/>
          </w:tcPr>
          <w:p w14:paraId="5E07A17C" w14:textId="77777777" w:rsidR="003010BD" w:rsidRPr="006E4DCA" w:rsidRDefault="003010BD" w:rsidP="00011661">
            <w:pPr>
              <w:spacing w:line="240" w:lineRule="auto"/>
              <w:jc w:val="center"/>
              <w:rPr>
                <w:sz w:val="20"/>
                <w:szCs w:val="18"/>
              </w:rPr>
            </w:pPr>
            <w:r w:rsidRPr="006E4DCA">
              <w:rPr>
                <w:sz w:val="20"/>
                <w:szCs w:val="18"/>
              </w:rPr>
              <w:t>SE</w:t>
            </w:r>
          </w:p>
        </w:tc>
        <w:tc>
          <w:tcPr>
            <w:tcW w:w="820" w:type="dxa"/>
            <w:tcBorders>
              <w:top w:val="nil"/>
              <w:bottom w:val="single" w:sz="4" w:space="0" w:color="auto"/>
            </w:tcBorders>
            <w:shd w:val="clear" w:color="auto" w:fill="auto"/>
          </w:tcPr>
          <w:p w14:paraId="65CAFD58" w14:textId="77777777" w:rsidR="003010BD" w:rsidRPr="006E4DCA" w:rsidRDefault="003010BD" w:rsidP="00011661">
            <w:pPr>
              <w:spacing w:line="240" w:lineRule="auto"/>
              <w:jc w:val="center"/>
              <w:rPr>
                <w:sz w:val="20"/>
                <w:szCs w:val="18"/>
              </w:rPr>
            </w:pPr>
            <w:proofErr w:type="spellStart"/>
            <w:r w:rsidRPr="006E4DCA">
              <w:rPr>
                <w:sz w:val="20"/>
                <w:szCs w:val="18"/>
              </w:rPr>
              <w:t>Βeta</w:t>
            </w:r>
            <w:proofErr w:type="spellEnd"/>
          </w:p>
        </w:tc>
        <w:tc>
          <w:tcPr>
            <w:tcW w:w="796" w:type="dxa"/>
            <w:tcBorders>
              <w:top w:val="single" w:sz="4" w:space="0" w:color="auto"/>
              <w:bottom w:val="single" w:sz="4" w:space="0" w:color="auto"/>
            </w:tcBorders>
            <w:shd w:val="clear" w:color="auto" w:fill="auto"/>
          </w:tcPr>
          <w:p w14:paraId="3765F701" w14:textId="77777777" w:rsidR="003010BD" w:rsidRPr="006E4DCA" w:rsidRDefault="003010BD" w:rsidP="00011661">
            <w:pPr>
              <w:spacing w:line="240" w:lineRule="auto"/>
              <w:jc w:val="center"/>
              <w:rPr>
                <w:sz w:val="20"/>
                <w:szCs w:val="18"/>
              </w:rPr>
            </w:pPr>
            <w:r w:rsidRPr="006E4DCA">
              <w:rPr>
                <w:sz w:val="20"/>
                <w:szCs w:val="18"/>
              </w:rPr>
              <w:t>LL</w:t>
            </w:r>
          </w:p>
        </w:tc>
        <w:tc>
          <w:tcPr>
            <w:tcW w:w="796" w:type="dxa"/>
            <w:tcBorders>
              <w:top w:val="single" w:sz="4" w:space="0" w:color="auto"/>
              <w:bottom w:val="single" w:sz="4" w:space="0" w:color="auto"/>
            </w:tcBorders>
            <w:shd w:val="clear" w:color="auto" w:fill="auto"/>
          </w:tcPr>
          <w:p w14:paraId="5DC1B9A1" w14:textId="77777777" w:rsidR="003010BD" w:rsidRPr="006E4DCA" w:rsidRDefault="003010BD" w:rsidP="00011661">
            <w:pPr>
              <w:spacing w:line="240" w:lineRule="auto"/>
              <w:jc w:val="center"/>
              <w:rPr>
                <w:sz w:val="20"/>
                <w:szCs w:val="18"/>
              </w:rPr>
            </w:pPr>
            <w:r w:rsidRPr="006E4DCA">
              <w:rPr>
                <w:sz w:val="20"/>
                <w:szCs w:val="18"/>
              </w:rPr>
              <w:t>UL</w:t>
            </w:r>
          </w:p>
        </w:tc>
      </w:tr>
      <w:tr w:rsidR="003010BD" w:rsidRPr="006E4DCA" w14:paraId="37650092" w14:textId="77777777" w:rsidTr="00011661">
        <w:trPr>
          <w:trHeight w:val="297"/>
        </w:trPr>
        <w:tc>
          <w:tcPr>
            <w:tcW w:w="2621" w:type="dxa"/>
            <w:gridSpan w:val="2"/>
            <w:tcBorders>
              <w:top w:val="single" w:sz="4" w:space="0" w:color="auto"/>
              <w:bottom w:val="nil"/>
            </w:tcBorders>
            <w:shd w:val="clear" w:color="auto" w:fill="auto"/>
            <w:vAlign w:val="center"/>
          </w:tcPr>
          <w:p w14:paraId="1E2B3D00" w14:textId="77777777" w:rsidR="003010BD" w:rsidRPr="006E4DCA" w:rsidRDefault="003010BD" w:rsidP="00011661">
            <w:pPr>
              <w:spacing w:line="240" w:lineRule="auto"/>
              <w:jc w:val="left"/>
              <w:rPr>
                <w:sz w:val="20"/>
                <w:szCs w:val="18"/>
              </w:rPr>
            </w:pPr>
            <w:r w:rsidRPr="006E4DCA">
              <w:rPr>
                <w:sz w:val="20"/>
                <w:szCs w:val="18"/>
              </w:rPr>
              <w:t>Step 1</w:t>
            </w:r>
          </w:p>
        </w:tc>
        <w:tc>
          <w:tcPr>
            <w:tcW w:w="766" w:type="dxa"/>
            <w:tcBorders>
              <w:top w:val="single" w:sz="4" w:space="0" w:color="auto"/>
              <w:bottom w:val="nil"/>
            </w:tcBorders>
            <w:shd w:val="clear" w:color="auto" w:fill="auto"/>
          </w:tcPr>
          <w:p w14:paraId="7BCFEF5B" w14:textId="77777777" w:rsidR="003010BD" w:rsidRPr="006E4DCA" w:rsidRDefault="003010BD" w:rsidP="00011661">
            <w:pPr>
              <w:spacing w:line="240" w:lineRule="auto"/>
              <w:jc w:val="center"/>
              <w:rPr>
                <w:sz w:val="20"/>
                <w:szCs w:val="18"/>
              </w:rPr>
            </w:pPr>
          </w:p>
        </w:tc>
        <w:tc>
          <w:tcPr>
            <w:tcW w:w="1459" w:type="dxa"/>
            <w:tcBorders>
              <w:top w:val="single" w:sz="4" w:space="0" w:color="auto"/>
              <w:bottom w:val="nil"/>
            </w:tcBorders>
            <w:shd w:val="clear" w:color="auto" w:fill="auto"/>
          </w:tcPr>
          <w:p w14:paraId="731E6566" w14:textId="77777777" w:rsidR="003010BD" w:rsidRPr="006E4DCA" w:rsidRDefault="003010BD" w:rsidP="00011661">
            <w:pPr>
              <w:spacing w:line="240" w:lineRule="auto"/>
              <w:jc w:val="center"/>
              <w:rPr>
                <w:sz w:val="20"/>
                <w:szCs w:val="18"/>
              </w:rPr>
            </w:pPr>
          </w:p>
        </w:tc>
        <w:tc>
          <w:tcPr>
            <w:tcW w:w="1164" w:type="dxa"/>
            <w:tcBorders>
              <w:top w:val="single" w:sz="4" w:space="0" w:color="auto"/>
              <w:bottom w:val="nil"/>
            </w:tcBorders>
          </w:tcPr>
          <w:p w14:paraId="7024F742" w14:textId="77777777" w:rsidR="003010BD" w:rsidRPr="006E4DCA" w:rsidRDefault="003010BD" w:rsidP="00011661">
            <w:pPr>
              <w:spacing w:line="240" w:lineRule="auto"/>
              <w:jc w:val="center"/>
              <w:rPr>
                <w:sz w:val="20"/>
                <w:szCs w:val="18"/>
              </w:rPr>
            </w:pPr>
          </w:p>
        </w:tc>
        <w:tc>
          <w:tcPr>
            <w:tcW w:w="914" w:type="dxa"/>
            <w:tcBorders>
              <w:top w:val="single" w:sz="4" w:space="0" w:color="auto"/>
              <w:bottom w:val="nil"/>
            </w:tcBorders>
            <w:shd w:val="clear" w:color="auto" w:fill="auto"/>
            <w:vAlign w:val="center"/>
          </w:tcPr>
          <w:p w14:paraId="552E8CE5" w14:textId="77777777" w:rsidR="003010BD" w:rsidRPr="006E4DCA" w:rsidRDefault="003010BD" w:rsidP="00011661">
            <w:pPr>
              <w:spacing w:line="240" w:lineRule="auto"/>
              <w:jc w:val="center"/>
              <w:rPr>
                <w:sz w:val="20"/>
                <w:szCs w:val="18"/>
              </w:rPr>
            </w:pPr>
          </w:p>
        </w:tc>
        <w:tc>
          <w:tcPr>
            <w:tcW w:w="796" w:type="dxa"/>
            <w:tcBorders>
              <w:top w:val="single" w:sz="4" w:space="0" w:color="auto"/>
              <w:bottom w:val="nil"/>
            </w:tcBorders>
            <w:shd w:val="clear" w:color="auto" w:fill="auto"/>
            <w:vAlign w:val="center"/>
          </w:tcPr>
          <w:p w14:paraId="75E01903" w14:textId="77777777" w:rsidR="003010BD" w:rsidRPr="006E4DCA" w:rsidRDefault="003010BD" w:rsidP="00011661">
            <w:pPr>
              <w:spacing w:line="240" w:lineRule="auto"/>
              <w:jc w:val="center"/>
              <w:rPr>
                <w:sz w:val="20"/>
                <w:szCs w:val="18"/>
              </w:rPr>
            </w:pPr>
          </w:p>
        </w:tc>
        <w:tc>
          <w:tcPr>
            <w:tcW w:w="820" w:type="dxa"/>
            <w:tcBorders>
              <w:top w:val="single" w:sz="4" w:space="0" w:color="auto"/>
              <w:bottom w:val="nil"/>
            </w:tcBorders>
            <w:shd w:val="clear" w:color="auto" w:fill="auto"/>
            <w:vAlign w:val="center"/>
          </w:tcPr>
          <w:p w14:paraId="312C708B" w14:textId="77777777" w:rsidR="003010BD" w:rsidRPr="006E4DCA" w:rsidRDefault="003010BD" w:rsidP="00011661">
            <w:pPr>
              <w:spacing w:line="240" w:lineRule="auto"/>
              <w:jc w:val="center"/>
              <w:rPr>
                <w:sz w:val="20"/>
                <w:szCs w:val="18"/>
              </w:rPr>
            </w:pPr>
          </w:p>
        </w:tc>
        <w:tc>
          <w:tcPr>
            <w:tcW w:w="796" w:type="dxa"/>
            <w:tcBorders>
              <w:top w:val="single" w:sz="4" w:space="0" w:color="auto"/>
              <w:bottom w:val="nil"/>
            </w:tcBorders>
            <w:shd w:val="clear" w:color="auto" w:fill="auto"/>
            <w:vAlign w:val="center"/>
          </w:tcPr>
          <w:p w14:paraId="10E64011" w14:textId="77777777" w:rsidR="003010BD" w:rsidRPr="006E4DCA" w:rsidRDefault="003010BD" w:rsidP="00011661">
            <w:pPr>
              <w:spacing w:line="240" w:lineRule="auto"/>
              <w:jc w:val="center"/>
              <w:rPr>
                <w:sz w:val="20"/>
                <w:szCs w:val="18"/>
              </w:rPr>
            </w:pPr>
          </w:p>
        </w:tc>
        <w:tc>
          <w:tcPr>
            <w:tcW w:w="796" w:type="dxa"/>
            <w:tcBorders>
              <w:top w:val="single" w:sz="4" w:space="0" w:color="auto"/>
              <w:bottom w:val="nil"/>
            </w:tcBorders>
            <w:shd w:val="clear" w:color="auto" w:fill="auto"/>
            <w:vAlign w:val="center"/>
          </w:tcPr>
          <w:p w14:paraId="6C348F29" w14:textId="77777777" w:rsidR="003010BD" w:rsidRPr="006E4DCA" w:rsidRDefault="003010BD" w:rsidP="00011661">
            <w:pPr>
              <w:spacing w:line="240" w:lineRule="auto"/>
              <w:jc w:val="center"/>
              <w:rPr>
                <w:sz w:val="20"/>
                <w:szCs w:val="18"/>
              </w:rPr>
            </w:pPr>
          </w:p>
        </w:tc>
      </w:tr>
      <w:tr w:rsidR="003010BD" w:rsidRPr="006E4DCA" w14:paraId="2A7D058D" w14:textId="77777777" w:rsidTr="00011661">
        <w:tc>
          <w:tcPr>
            <w:tcW w:w="234" w:type="dxa"/>
            <w:tcBorders>
              <w:top w:val="nil"/>
              <w:bottom w:val="nil"/>
              <w:right w:val="nil"/>
            </w:tcBorders>
            <w:shd w:val="clear" w:color="auto" w:fill="auto"/>
            <w:vAlign w:val="center"/>
          </w:tcPr>
          <w:p w14:paraId="38D3B170"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2C4AEBB5" w14:textId="77777777" w:rsidR="003010BD" w:rsidRPr="006E4DCA" w:rsidRDefault="003010BD" w:rsidP="00011661">
            <w:pPr>
              <w:spacing w:line="240" w:lineRule="auto"/>
              <w:jc w:val="left"/>
              <w:rPr>
                <w:sz w:val="20"/>
                <w:szCs w:val="18"/>
              </w:rPr>
            </w:pPr>
            <w:r w:rsidRPr="006E4DCA">
              <w:rPr>
                <w:sz w:val="20"/>
                <w:szCs w:val="18"/>
              </w:rPr>
              <w:t>Gender</w:t>
            </w:r>
          </w:p>
        </w:tc>
        <w:tc>
          <w:tcPr>
            <w:tcW w:w="766" w:type="dxa"/>
            <w:tcBorders>
              <w:top w:val="nil"/>
              <w:left w:val="nil"/>
              <w:bottom w:val="nil"/>
              <w:right w:val="nil"/>
            </w:tcBorders>
            <w:shd w:val="clear" w:color="auto" w:fill="auto"/>
          </w:tcPr>
          <w:p w14:paraId="5141464F"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50333072"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56D666E5"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7A364517" w14:textId="77777777" w:rsidR="003010BD" w:rsidRPr="006E4DCA" w:rsidRDefault="003010BD" w:rsidP="00011661">
            <w:pPr>
              <w:spacing w:line="240" w:lineRule="auto"/>
              <w:jc w:val="center"/>
              <w:rPr>
                <w:sz w:val="20"/>
                <w:szCs w:val="18"/>
              </w:rPr>
            </w:pPr>
            <w:r w:rsidRPr="006E4DCA">
              <w:rPr>
                <w:color w:val="010205"/>
                <w:sz w:val="20"/>
                <w:szCs w:val="18"/>
              </w:rPr>
              <w:t>-0.59**</w:t>
            </w:r>
          </w:p>
        </w:tc>
        <w:tc>
          <w:tcPr>
            <w:tcW w:w="796" w:type="dxa"/>
            <w:tcBorders>
              <w:top w:val="nil"/>
              <w:left w:val="nil"/>
              <w:bottom w:val="nil"/>
              <w:right w:val="nil"/>
            </w:tcBorders>
            <w:shd w:val="clear" w:color="auto" w:fill="auto"/>
          </w:tcPr>
          <w:p w14:paraId="0F0584C3" w14:textId="77777777" w:rsidR="003010BD" w:rsidRPr="006E4DCA" w:rsidRDefault="003010BD" w:rsidP="00011661">
            <w:pPr>
              <w:spacing w:line="240" w:lineRule="auto"/>
              <w:jc w:val="center"/>
              <w:rPr>
                <w:sz w:val="20"/>
                <w:szCs w:val="18"/>
              </w:rPr>
            </w:pPr>
            <w:r w:rsidRPr="006E4DCA">
              <w:rPr>
                <w:color w:val="010205"/>
                <w:sz w:val="20"/>
                <w:szCs w:val="18"/>
              </w:rPr>
              <w:t>0.17</w:t>
            </w:r>
          </w:p>
        </w:tc>
        <w:tc>
          <w:tcPr>
            <w:tcW w:w="820" w:type="dxa"/>
            <w:tcBorders>
              <w:top w:val="nil"/>
              <w:left w:val="nil"/>
              <w:bottom w:val="nil"/>
              <w:right w:val="nil"/>
            </w:tcBorders>
            <w:shd w:val="clear" w:color="auto" w:fill="auto"/>
          </w:tcPr>
          <w:p w14:paraId="61C2D4A0" w14:textId="77777777" w:rsidR="003010BD" w:rsidRPr="006E4DCA" w:rsidRDefault="003010BD" w:rsidP="00011661">
            <w:pPr>
              <w:spacing w:line="240" w:lineRule="auto"/>
              <w:jc w:val="center"/>
              <w:rPr>
                <w:sz w:val="20"/>
                <w:szCs w:val="18"/>
              </w:rPr>
            </w:pPr>
            <w:r w:rsidRPr="006E4DCA">
              <w:rPr>
                <w:color w:val="010205"/>
                <w:sz w:val="20"/>
                <w:szCs w:val="18"/>
              </w:rPr>
              <w:t>-0.12</w:t>
            </w:r>
          </w:p>
        </w:tc>
        <w:tc>
          <w:tcPr>
            <w:tcW w:w="796" w:type="dxa"/>
            <w:tcBorders>
              <w:top w:val="nil"/>
              <w:left w:val="nil"/>
              <w:bottom w:val="nil"/>
              <w:right w:val="nil"/>
            </w:tcBorders>
            <w:shd w:val="clear" w:color="auto" w:fill="auto"/>
          </w:tcPr>
          <w:p w14:paraId="0A63E947" w14:textId="77777777" w:rsidR="003010BD" w:rsidRPr="006E4DCA" w:rsidRDefault="003010BD" w:rsidP="00011661">
            <w:pPr>
              <w:spacing w:line="240" w:lineRule="auto"/>
              <w:jc w:val="center"/>
              <w:rPr>
                <w:sz w:val="20"/>
                <w:szCs w:val="18"/>
              </w:rPr>
            </w:pPr>
            <w:r w:rsidRPr="006E4DCA">
              <w:rPr>
                <w:color w:val="010205"/>
                <w:sz w:val="20"/>
                <w:szCs w:val="18"/>
              </w:rPr>
              <w:t>-0.92</w:t>
            </w:r>
          </w:p>
        </w:tc>
        <w:tc>
          <w:tcPr>
            <w:tcW w:w="796" w:type="dxa"/>
            <w:tcBorders>
              <w:top w:val="nil"/>
              <w:left w:val="nil"/>
              <w:bottom w:val="nil"/>
              <w:right w:val="nil"/>
            </w:tcBorders>
            <w:shd w:val="clear" w:color="auto" w:fill="auto"/>
          </w:tcPr>
          <w:p w14:paraId="35F8F287" w14:textId="77777777" w:rsidR="003010BD" w:rsidRPr="006E4DCA" w:rsidRDefault="003010BD" w:rsidP="00011661">
            <w:pPr>
              <w:spacing w:line="240" w:lineRule="auto"/>
              <w:jc w:val="center"/>
              <w:rPr>
                <w:sz w:val="20"/>
                <w:szCs w:val="18"/>
              </w:rPr>
            </w:pPr>
            <w:r w:rsidRPr="006E4DCA">
              <w:rPr>
                <w:color w:val="010205"/>
                <w:sz w:val="20"/>
                <w:szCs w:val="18"/>
              </w:rPr>
              <w:t>-0.26</w:t>
            </w:r>
          </w:p>
        </w:tc>
      </w:tr>
      <w:tr w:rsidR="003010BD" w:rsidRPr="006E4DCA" w14:paraId="28B3D541" w14:textId="77777777" w:rsidTr="00011661">
        <w:tc>
          <w:tcPr>
            <w:tcW w:w="234" w:type="dxa"/>
            <w:tcBorders>
              <w:top w:val="nil"/>
              <w:bottom w:val="nil"/>
              <w:right w:val="nil"/>
            </w:tcBorders>
            <w:shd w:val="clear" w:color="auto" w:fill="auto"/>
            <w:vAlign w:val="center"/>
          </w:tcPr>
          <w:p w14:paraId="194ACA44"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653E5696" w14:textId="77777777" w:rsidR="003010BD" w:rsidRPr="006E4DCA" w:rsidRDefault="003010BD" w:rsidP="00011661">
            <w:pPr>
              <w:spacing w:line="240" w:lineRule="auto"/>
              <w:jc w:val="left"/>
              <w:rPr>
                <w:sz w:val="20"/>
                <w:szCs w:val="18"/>
              </w:rPr>
            </w:pPr>
            <w:r w:rsidRPr="006E4DCA">
              <w:rPr>
                <w:sz w:val="20"/>
                <w:szCs w:val="18"/>
              </w:rPr>
              <w:t>Age</w:t>
            </w:r>
          </w:p>
        </w:tc>
        <w:tc>
          <w:tcPr>
            <w:tcW w:w="766" w:type="dxa"/>
            <w:tcBorders>
              <w:top w:val="nil"/>
              <w:left w:val="nil"/>
              <w:bottom w:val="nil"/>
              <w:right w:val="nil"/>
            </w:tcBorders>
            <w:shd w:val="clear" w:color="auto" w:fill="auto"/>
          </w:tcPr>
          <w:p w14:paraId="238CA810"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618330B"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1164" w:type="dxa"/>
            <w:tcBorders>
              <w:top w:val="nil"/>
              <w:left w:val="nil"/>
              <w:bottom w:val="nil"/>
              <w:right w:val="nil"/>
            </w:tcBorders>
          </w:tcPr>
          <w:p w14:paraId="496B26E7"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2EC05A10"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796" w:type="dxa"/>
            <w:tcBorders>
              <w:top w:val="nil"/>
              <w:left w:val="nil"/>
              <w:bottom w:val="nil"/>
              <w:right w:val="nil"/>
            </w:tcBorders>
            <w:shd w:val="clear" w:color="auto" w:fill="auto"/>
          </w:tcPr>
          <w:p w14:paraId="244BF21A"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820" w:type="dxa"/>
            <w:tcBorders>
              <w:top w:val="nil"/>
              <w:left w:val="nil"/>
              <w:bottom w:val="nil"/>
              <w:right w:val="nil"/>
            </w:tcBorders>
            <w:shd w:val="clear" w:color="auto" w:fill="auto"/>
          </w:tcPr>
          <w:p w14:paraId="1093A491" w14:textId="77777777" w:rsidR="003010BD" w:rsidRPr="006E4DCA" w:rsidRDefault="003010BD" w:rsidP="00011661">
            <w:pPr>
              <w:spacing w:line="240" w:lineRule="auto"/>
              <w:jc w:val="center"/>
              <w:rPr>
                <w:sz w:val="20"/>
                <w:szCs w:val="18"/>
              </w:rPr>
            </w:pPr>
            <w:r w:rsidRPr="006E4DCA">
              <w:rPr>
                <w:color w:val="010205"/>
                <w:sz w:val="20"/>
                <w:szCs w:val="18"/>
              </w:rPr>
              <w:t>0.09</w:t>
            </w:r>
          </w:p>
        </w:tc>
        <w:tc>
          <w:tcPr>
            <w:tcW w:w="796" w:type="dxa"/>
            <w:tcBorders>
              <w:top w:val="nil"/>
              <w:left w:val="nil"/>
              <w:bottom w:val="nil"/>
              <w:right w:val="nil"/>
            </w:tcBorders>
            <w:shd w:val="clear" w:color="auto" w:fill="auto"/>
          </w:tcPr>
          <w:p w14:paraId="0B1D0F58"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nil"/>
              <w:right w:val="nil"/>
            </w:tcBorders>
            <w:shd w:val="clear" w:color="auto" w:fill="auto"/>
          </w:tcPr>
          <w:p w14:paraId="74E24D13" w14:textId="77777777" w:rsidR="003010BD" w:rsidRPr="006E4DCA" w:rsidRDefault="003010BD" w:rsidP="00011661">
            <w:pPr>
              <w:spacing w:line="240" w:lineRule="auto"/>
              <w:jc w:val="center"/>
              <w:rPr>
                <w:sz w:val="20"/>
                <w:szCs w:val="18"/>
              </w:rPr>
            </w:pPr>
            <w:r w:rsidRPr="006E4DCA">
              <w:rPr>
                <w:color w:val="010205"/>
                <w:sz w:val="20"/>
                <w:szCs w:val="18"/>
              </w:rPr>
              <w:t>0.05</w:t>
            </w:r>
          </w:p>
        </w:tc>
      </w:tr>
      <w:tr w:rsidR="003010BD" w:rsidRPr="006E4DCA" w14:paraId="04515F83" w14:textId="77777777" w:rsidTr="00011661">
        <w:trPr>
          <w:trHeight w:val="293"/>
        </w:trPr>
        <w:tc>
          <w:tcPr>
            <w:tcW w:w="234" w:type="dxa"/>
            <w:tcBorders>
              <w:top w:val="nil"/>
              <w:bottom w:val="nil"/>
            </w:tcBorders>
            <w:shd w:val="clear" w:color="auto" w:fill="auto"/>
            <w:vAlign w:val="center"/>
          </w:tcPr>
          <w:p w14:paraId="1608E220" w14:textId="77777777" w:rsidR="003010BD" w:rsidRPr="006E4DCA" w:rsidRDefault="003010BD" w:rsidP="00011661">
            <w:pPr>
              <w:spacing w:line="240" w:lineRule="auto"/>
              <w:jc w:val="left"/>
              <w:rPr>
                <w:sz w:val="20"/>
                <w:szCs w:val="18"/>
              </w:rPr>
            </w:pPr>
          </w:p>
        </w:tc>
        <w:tc>
          <w:tcPr>
            <w:tcW w:w="2387" w:type="dxa"/>
            <w:tcBorders>
              <w:top w:val="nil"/>
              <w:bottom w:val="nil"/>
            </w:tcBorders>
            <w:shd w:val="clear" w:color="auto" w:fill="auto"/>
            <w:vAlign w:val="center"/>
          </w:tcPr>
          <w:p w14:paraId="6DD7B259" w14:textId="77777777" w:rsidR="003010BD" w:rsidRPr="006E4DCA" w:rsidRDefault="003010BD" w:rsidP="00011661">
            <w:pPr>
              <w:spacing w:line="240" w:lineRule="auto"/>
              <w:jc w:val="left"/>
              <w:rPr>
                <w:sz w:val="20"/>
                <w:szCs w:val="18"/>
              </w:rPr>
            </w:pPr>
          </w:p>
        </w:tc>
        <w:tc>
          <w:tcPr>
            <w:tcW w:w="766" w:type="dxa"/>
            <w:tcBorders>
              <w:top w:val="nil"/>
              <w:bottom w:val="nil"/>
            </w:tcBorders>
            <w:shd w:val="clear" w:color="auto" w:fill="auto"/>
          </w:tcPr>
          <w:p w14:paraId="06E2008A" w14:textId="77777777" w:rsidR="003010BD" w:rsidRPr="006E4DCA" w:rsidRDefault="003010BD" w:rsidP="00011661">
            <w:pPr>
              <w:spacing w:line="240" w:lineRule="auto"/>
              <w:jc w:val="center"/>
              <w:rPr>
                <w:sz w:val="20"/>
                <w:szCs w:val="18"/>
              </w:rPr>
            </w:pPr>
            <w:r w:rsidRPr="006E4DCA">
              <w:rPr>
                <w:sz w:val="20"/>
                <w:szCs w:val="18"/>
              </w:rPr>
              <w:t>0.02**</w:t>
            </w:r>
          </w:p>
        </w:tc>
        <w:tc>
          <w:tcPr>
            <w:tcW w:w="1459" w:type="dxa"/>
            <w:tcBorders>
              <w:top w:val="nil"/>
              <w:bottom w:val="nil"/>
            </w:tcBorders>
            <w:shd w:val="clear" w:color="auto" w:fill="auto"/>
          </w:tcPr>
          <w:p w14:paraId="273B5985" w14:textId="77777777" w:rsidR="003010BD" w:rsidRPr="006E4DCA" w:rsidRDefault="003010BD" w:rsidP="00011661">
            <w:pPr>
              <w:spacing w:line="240" w:lineRule="auto"/>
              <w:jc w:val="center"/>
              <w:rPr>
                <w:sz w:val="20"/>
                <w:szCs w:val="18"/>
              </w:rPr>
            </w:pPr>
            <w:r w:rsidRPr="006E4DCA">
              <w:rPr>
                <w:sz w:val="20"/>
                <w:szCs w:val="18"/>
              </w:rPr>
              <w:t>0.02</w:t>
            </w:r>
          </w:p>
        </w:tc>
        <w:tc>
          <w:tcPr>
            <w:tcW w:w="1164" w:type="dxa"/>
            <w:tcBorders>
              <w:top w:val="nil"/>
              <w:bottom w:val="nil"/>
            </w:tcBorders>
          </w:tcPr>
          <w:p w14:paraId="2AE5FD50" w14:textId="77777777" w:rsidR="003010BD" w:rsidRPr="006E4DCA" w:rsidRDefault="003010BD" w:rsidP="00011661">
            <w:pPr>
              <w:spacing w:line="240" w:lineRule="auto"/>
              <w:jc w:val="center"/>
              <w:rPr>
                <w:color w:val="000000"/>
                <w:sz w:val="20"/>
                <w:szCs w:val="18"/>
              </w:rPr>
            </w:pPr>
            <w:r w:rsidRPr="006E4DCA">
              <w:rPr>
                <w:color w:val="000000"/>
                <w:sz w:val="20"/>
                <w:szCs w:val="18"/>
              </w:rPr>
              <w:t>0.02**</w:t>
            </w:r>
          </w:p>
        </w:tc>
        <w:tc>
          <w:tcPr>
            <w:tcW w:w="914" w:type="dxa"/>
            <w:tcBorders>
              <w:top w:val="nil"/>
              <w:bottom w:val="nil"/>
            </w:tcBorders>
            <w:shd w:val="clear" w:color="auto" w:fill="auto"/>
            <w:vAlign w:val="center"/>
          </w:tcPr>
          <w:p w14:paraId="5433B02A"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5DFA2DBF"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820" w:type="dxa"/>
            <w:tcBorders>
              <w:top w:val="nil"/>
              <w:bottom w:val="nil"/>
            </w:tcBorders>
            <w:shd w:val="clear" w:color="auto" w:fill="auto"/>
            <w:vAlign w:val="center"/>
          </w:tcPr>
          <w:p w14:paraId="61B9E734"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33E7A888"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tcPr>
          <w:p w14:paraId="59393FCC" w14:textId="77777777" w:rsidR="003010BD" w:rsidRPr="006E4DCA" w:rsidRDefault="003010BD" w:rsidP="00011661">
            <w:pPr>
              <w:spacing w:line="240" w:lineRule="auto"/>
              <w:jc w:val="center"/>
              <w:rPr>
                <w:sz w:val="20"/>
                <w:szCs w:val="18"/>
              </w:rPr>
            </w:pPr>
          </w:p>
        </w:tc>
      </w:tr>
      <w:tr w:rsidR="003010BD" w:rsidRPr="006E4DCA" w14:paraId="43278C02" w14:textId="77777777" w:rsidTr="00011661">
        <w:tc>
          <w:tcPr>
            <w:tcW w:w="2621" w:type="dxa"/>
            <w:gridSpan w:val="2"/>
            <w:tcBorders>
              <w:top w:val="nil"/>
              <w:bottom w:val="nil"/>
            </w:tcBorders>
            <w:shd w:val="clear" w:color="auto" w:fill="auto"/>
            <w:vAlign w:val="center"/>
          </w:tcPr>
          <w:p w14:paraId="40C9D55E" w14:textId="77777777" w:rsidR="003010BD" w:rsidRPr="006E4DCA" w:rsidRDefault="003010BD" w:rsidP="00011661">
            <w:pPr>
              <w:spacing w:line="240" w:lineRule="auto"/>
              <w:jc w:val="left"/>
              <w:rPr>
                <w:sz w:val="20"/>
                <w:szCs w:val="18"/>
              </w:rPr>
            </w:pPr>
            <w:r w:rsidRPr="006E4DCA">
              <w:rPr>
                <w:sz w:val="20"/>
                <w:szCs w:val="18"/>
              </w:rPr>
              <w:t>Step 2</w:t>
            </w:r>
          </w:p>
        </w:tc>
        <w:tc>
          <w:tcPr>
            <w:tcW w:w="766" w:type="dxa"/>
            <w:tcBorders>
              <w:top w:val="nil"/>
              <w:bottom w:val="nil"/>
            </w:tcBorders>
            <w:shd w:val="clear" w:color="auto" w:fill="auto"/>
          </w:tcPr>
          <w:p w14:paraId="1A0B5A82" w14:textId="77777777" w:rsidR="003010BD" w:rsidRPr="006E4DCA" w:rsidRDefault="003010BD" w:rsidP="00011661">
            <w:pPr>
              <w:spacing w:line="240" w:lineRule="auto"/>
              <w:jc w:val="center"/>
              <w:rPr>
                <w:sz w:val="20"/>
                <w:szCs w:val="18"/>
              </w:rPr>
            </w:pPr>
          </w:p>
        </w:tc>
        <w:tc>
          <w:tcPr>
            <w:tcW w:w="1459" w:type="dxa"/>
            <w:tcBorders>
              <w:top w:val="nil"/>
              <w:bottom w:val="nil"/>
            </w:tcBorders>
            <w:shd w:val="clear" w:color="auto" w:fill="auto"/>
          </w:tcPr>
          <w:p w14:paraId="409BDB28" w14:textId="77777777" w:rsidR="003010BD" w:rsidRPr="006E4DCA" w:rsidRDefault="003010BD" w:rsidP="00011661">
            <w:pPr>
              <w:spacing w:line="240" w:lineRule="auto"/>
              <w:jc w:val="center"/>
              <w:rPr>
                <w:sz w:val="20"/>
                <w:szCs w:val="18"/>
              </w:rPr>
            </w:pPr>
          </w:p>
        </w:tc>
        <w:tc>
          <w:tcPr>
            <w:tcW w:w="1164" w:type="dxa"/>
            <w:tcBorders>
              <w:top w:val="nil"/>
              <w:bottom w:val="nil"/>
            </w:tcBorders>
          </w:tcPr>
          <w:p w14:paraId="363374A2" w14:textId="77777777" w:rsidR="003010BD" w:rsidRPr="006E4DCA" w:rsidRDefault="003010BD" w:rsidP="00011661">
            <w:pPr>
              <w:spacing w:line="240" w:lineRule="auto"/>
              <w:jc w:val="center"/>
              <w:rPr>
                <w:sz w:val="20"/>
                <w:szCs w:val="18"/>
              </w:rPr>
            </w:pPr>
          </w:p>
        </w:tc>
        <w:tc>
          <w:tcPr>
            <w:tcW w:w="914" w:type="dxa"/>
            <w:tcBorders>
              <w:top w:val="nil"/>
              <w:bottom w:val="nil"/>
            </w:tcBorders>
            <w:shd w:val="clear" w:color="auto" w:fill="auto"/>
            <w:vAlign w:val="center"/>
          </w:tcPr>
          <w:p w14:paraId="6F0E424A"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1112101D" w14:textId="77777777" w:rsidR="003010BD" w:rsidRPr="006E4DCA" w:rsidRDefault="003010BD" w:rsidP="00011661">
            <w:pPr>
              <w:spacing w:line="240" w:lineRule="auto"/>
              <w:jc w:val="center"/>
              <w:rPr>
                <w:sz w:val="20"/>
                <w:szCs w:val="18"/>
              </w:rPr>
            </w:pPr>
          </w:p>
        </w:tc>
        <w:tc>
          <w:tcPr>
            <w:tcW w:w="820" w:type="dxa"/>
            <w:tcBorders>
              <w:top w:val="nil"/>
              <w:bottom w:val="nil"/>
            </w:tcBorders>
            <w:shd w:val="clear" w:color="auto" w:fill="auto"/>
            <w:vAlign w:val="center"/>
          </w:tcPr>
          <w:p w14:paraId="7D00EC7E"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277D9450"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17AF8254" w14:textId="77777777" w:rsidR="003010BD" w:rsidRPr="006E4DCA" w:rsidRDefault="003010BD" w:rsidP="00011661">
            <w:pPr>
              <w:spacing w:line="240" w:lineRule="auto"/>
              <w:jc w:val="center"/>
              <w:rPr>
                <w:sz w:val="20"/>
                <w:szCs w:val="18"/>
              </w:rPr>
            </w:pPr>
          </w:p>
        </w:tc>
      </w:tr>
      <w:tr w:rsidR="003010BD" w:rsidRPr="006E4DCA" w14:paraId="3E5AE0EB" w14:textId="77777777" w:rsidTr="00011661">
        <w:tc>
          <w:tcPr>
            <w:tcW w:w="234" w:type="dxa"/>
            <w:tcBorders>
              <w:top w:val="nil"/>
              <w:bottom w:val="nil"/>
              <w:right w:val="nil"/>
            </w:tcBorders>
            <w:shd w:val="clear" w:color="auto" w:fill="auto"/>
            <w:vAlign w:val="center"/>
          </w:tcPr>
          <w:p w14:paraId="5F330B1B"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43DF79B" w14:textId="77777777" w:rsidR="003010BD" w:rsidRPr="006E4DCA" w:rsidRDefault="003010BD" w:rsidP="00011661">
            <w:pPr>
              <w:spacing w:line="240" w:lineRule="auto"/>
              <w:jc w:val="left"/>
              <w:rPr>
                <w:sz w:val="20"/>
                <w:szCs w:val="18"/>
              </w:rPr>
            </w:pPr>
            <w:r w:rsidRPr="006E4DCA">
              <w:rPr>
                <w:sz w:val="20"/>
                <w:szCs w:val="18"/>
              </w:rPr>
              <w:t>Gender</w:t>
            </w:r>
          </w:p>
        </w:tc>
        <w:tc>
          <w:tcPr>
            <w:tcW w:w="766" w:type="dxa"/>
            <w:tcBorders>
              <w:top w:val="nil"/>
              <w:left w:val="nil"/>
              <w:bottom w:val="nil"/>
              <w:right w:val="nil"/>
            </w:tcBorders>
            <w:shd w:val="clear" w:color="auto" w:fill="auto"/>
          </w:tcPr>
          <w:p w14:paraId="1850C543"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DAC478C"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0541A625"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428F9CA7" w14:textId="77777777" w:rsidR="003010BD" w:rsidRPr="006E4DCA" w:rsidRDefault="003010BD" w:rsidP="00011661">
            <w:pPr>
              <w:spacing w:line="240" w:lineRule="auto"/>
              <w:jc w:val="center"/>
              <w:rPr>
                <w:sz w:val="20"/>
                <w:szCs w:val="18"/>
              </w:rPr>
            </w:pPr>
            <w:r w:rsidRPr="006E4DCA">
              <w:rPr>
                <w:color w:val="010205"/>
                <w:sz w:val="20"/>
                <w:szCs w:val="18"/>
              </w:rPr>
              <w:t>-0.57**</w:t>
            </w:r>
          </w:p>
        </w:tc>
        <w:tc>
          <w:tcPr>
            <w:tcW w:w="796" w:type="dxa"/>
            <w:tcBorders>
              <w:top w:val="nil"/>
              <w:left w:val="nil"/>
              <w:bottom w:val="nil"/>
              <w:right w:val="nil"/>
            </w:tcBorders>
            <w:shd w:val="clear" w:color="auto" w:fill="auto"/>
          </w:tcPr>
          <w:p w14:paraId="1A7989E3" w14:textId="77777777" w:rsidR="003010BD" w:rsidRPr="006E4DCA" w:rsidRDefault="003010BD" w:rsidP="00011661">
            <w:pPr>
              <w:spacing w:line="240" w:lineRule="auto"/>
              <w:jc w:val="center"/>
              <w:rPr>
                <w:sz w:val="20"/>
                <w:szCs w:val="18"/>
              </w:rPr>
            </w:pPr>
            <w:r w:rsidRPr="006E4DCA">
              <w:rPr>
                <w:color w:val="010205"/>
                <w:sz w:val="20"/>
                <w:szCs w:val="18"/>
              </w:rPr>
              <w:t>0.17</w:t>
            </w:r>
          </w:p>
        </w:tc>
        <w:tc>
          <w:tcPr>
            <w:tcW w:w="820" w:type="dxa"/>
            <w:tcBorders>
              <w:top w:val="nil"/>
              <w:left w:val="nil"/>
              <w:bottom w:val="nil"/>
              <w:right w:val="nil"/>
            </w:tcBorders>
            <w:shd w:val="clear" w:color="auto" w:fill="auto"/>
          </w:tcPr>
          <w:p w14:paraId="43AB8D6D" w14:textId="77777777" w:rsidR="003010BD" w:rsidRPr="006E4DCA" w:rsidRDefault="003010BD" w:rsidP="00011661">
            <w:pPr>
              <w:spacing w:line="240" w:lineRule="auto"/>
              <w:jc w:val="center"/>
              <w:rPr>
                <w:sz w:val="20"/>
                <w:szCs w:val="18"/>
              </w:rPr>
            </w:pPr>
            <w:r w:rsidRPr="006E4DCA">
              <w:rPr>
                <w:color w:val="010205"/>
                <w:sz w:val="20"/>
                <w:szCs w:val="18"/>
              </w:rPr>
              <w:t>-0.12</w:t>
            </w:r>
          </w:p>
        </w:tc>
        <w:tc>
          <w:tcPr>
            <w:tcW w:w="796" w:type="dxa"/>
            <w:tcBorders>
              <w:top w:val="nil"/>
              <w:left w:val="nil"/>
              <w:bottom w:val="nil"/>
              <w:right w:val="nil"/>
            </w:tcBorders>
            <w:shd w:val="clear" w:color="auto" w:fill="auto"/>
          </w:tcPr>
          <w:p w14:paraId="275D5EC6" w14:textId="77777777" w:rsidR="003010BD" w:rsidRPr="006E4DCA" w:rsidRDefault="003010BD" w:rsidP="00011661">
            <w:pPr>
              <w:spacing w:line="240" w:lineRule="auto"/>
              <w:jc w:val="center"/>
              <w:rPr>
                <w:sz w:val="20"/>
                <w:szCs w:val="18"/>
              </w:rPr>
            </w:pPr>
            <w:r w:rsidRPr="006E4DCA">
              <w:rPr>
                <w:color w:val="010205"/>
                <w:sz w:val="20"/>
                <w:szCs w:val="18"/>
              </w:rPr>
              <w:t>-0.90</w:t>
            </w:r>
          </w:p>
        </w:tc>
        <w:tc>
          <w:tcPr>
            <w:tcW w:w="796" w:type="dxa"/>
            <w:tcBorders>
              <w:top w:val="nil"/>
              <w:left w:val="nil"/>
              <w:bottom w:val="nil"/>
              <w:right w:val="nil"/>
            </w:tcBorders>
            <w:shd w:val="clear" w:color="auto" w:fill="auto"/>
          </w:tcPr>
          <w:p w14:paraId="4409930B" w14:textId="77777777" w:rsidR="003010BD" w:rsidRPr="006E4DCA" w:rsidRDefault="003010BD" w:rsidP="00011661">
            <w:pPr>
              <w:spacing w:line="240" w:lineRule="auto"/>
              <w:jc w:val="center"/>
              <w:rPr>
                <w:sz w:val="20"/>
                <w:szCs w:val="18"/>
              </w:rPr>
            </w:pPr>
            <w:r w:rsidRPr="006E4DCA">
              <w:rPr>
                <w:color w:val="010205"/>
                <w:sz w:val="20"/>
                <w:szCs w:val="18"/>
              </w:rPr>
              <w:t>-0.24</w:t>
            </w:r>
          </w:p>
        </w:tc>
      </w:tr>
      <w:tr w:rsidR="003010BD" w:rsidRPr="006E4DCA" w14:paraId="2FC1BA17" w14:textId="77777777" w:rsidTr="00011661">
        <w:tc>
          <w:tcPr>
            <w:tcW w:w="234" w:type="dxa"/>
            <w:tcBorders>
              <w:top w:val="nil"/>
              <w:bottom w:val="nil"/>
              <w:right w:val="nil"/>
            </w:tcBorders>
            <w:shd w:val="clear" w:color="auto" w:fill="auto"/>
            <w:vAlign w:val="center"/>
          </w:tcPr>
          <w:p w14:paraId="3F735BA2"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78F1B89" w14:textId="77777777" w:rsidR="003010BD" w:rsidRPr="006E4DCA" w:rsidRDefault="003010BD" w:rsidP="00011661">
            <w:pPr>
              <w:spacing w:line="240" w:lineRule="auto"/>
              <w:jc w:val="left"/>
              <w:rPr>
                <w:sz w:val="20"/>
                <w:szCs w:val="18"/>
              </w:rPr>
            </w:pPr>
            <w:r w:rsidRPr="006E4DCA">
              <w:rPr>
                <w:sz w:val="20"/>
                <w:szCs w:val="18"/>
              </w:rPr>
              <w:t>Age</w:t>
            </w:r>
          </w:p>
        </w:tc>
        <w:tc>
          <w:tcPr>
            <w:tcW w:w="766" w:type="dxa"/>
            <w:tcBorders>
              <w:top w:val="nil"/>
              <w:left w:val="nil"/>
              <w:bottom w:val="nil"/>
              <w:right w:val="nil"/>
            </w:tcBorders>
            <w:shd w:val="clear" w:color="auto" w:fill="auto"/>
          </w:tcPr>
          <w:p w14:paraId="58202DC3"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5886742"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3CEE2B83"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180826F2"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nil"/>
              <w:right w:val="nil"/>
            </w:tcBorders>
            <w:shd w:val="clear" w:color="auto" w:fill="auto"/>
          </w:tcPr>
          <w:p w14:paraId="0BCACA0A"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820" w:type="dxa"/>
            <w:tcBorders>
              <w:top w:val="nil"/>
              <w:left w:val="nil"/>
              <w:bottom w:val="nil"/>
              <w:right w:val="nil"/>
            </w:tcBorders>
            <w:shd w:val="clear" w:color="auto" w:fill="auto"/>
          </w:tcPr>
          <w:p w14:paraId="7DB596FA" w14:textId="77777777" w:rsidR="003010BD" w:rsidRPr="006E4DCA" w:rsidRDefault="003010BD" w:rsidP="00011661">
            <w:pPr>
              <w:spacing w:line="240" w:lineRule="auto"/>
              <w:jc w:val="center"/>
              <w:rPr>
                <w:sz w:val="20"/>
                <w:szCs w:val="18"/>
              </w:rPr>
            </w:pPr>
            <w:r w:rsidRPr="006E4DCA">
              <w:rPr>
                <w:color w:val="010205"/>
                <w:sz w:val="20"/>
                <w:szCs w:val="18"/>
              </w:rPr>
              <w:t>0.11</w:t>
            </w:r>
          </w:p>
        </w:tc>
        <w:tc>
          <w:tcPr>
            <w:tcW w:w="796" w:type="dxa"/>
            <w:tcBorders>
              <w:top w:val="nil"/>
              <w:left w:val="nil"/>
              <w:bottom w:val="nil"/>
              <w:right w:val="nil"/>
            </w:tcBorders>
            <w:shd w:val="clear" w:color="auto" w:fill="auto"/>
          </w:tcPr>
          <w:p w14:paraId="3A6E019C"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796" w:type="dxa"/>
            <w:tcBorders>
              <w:top w:val="nil"/>
              <w:left w:val="nil"/>
              <w:bottom w:val="nil"/>
              <w:right w:val="nil"/>
            </w:tcBorders>
            <w:shd w:val="clear" w:color="auto" w:fill="auto"/>
          </w:tcPr>
          <w:p w14:paraId="2940A334" w14:textId="77777777" w:rsidR="003010BD" w:rsidRPr="006E4DCA" w:rsidRDefault="003010BD" w:rsidP="00011661">
            <w:pPr>
              <w:spacing w:line="240" w:lineRule="auto"/>
              <w:jc w:val="center"/>
              <w:rPr>
                <w:sz w:val="20"/>
                <w:szCs w:val="18"/>
              </w:rPr>
            </w:pPr>
            <w:r w:rsidRPr="006E4DCA">
              <w:rPr>
                <w:color w:val="010205"/>
                <w:sz w:val="20"/>
                <w:szCs w:val="18"/>
              </w:rPr>
              <w:t>0.06</w:t>
            </w:r>
          </w:p>
        </w:tc>
      </w:tr>
      <w:tr w:rsidR="003010BD" w:rsidRPr="006E4DCA" w14:paraId="157CE6ED" w14:textId="77777777" w:rsidTr="00011661">
        <w:tc>
          <w:tcPr>
            <w:tcW w:w="234" w:type="dxa"/>
            <w:tcBorders>
              <w:top w:val="nil"/>
              <w:bottom w:val="nil"/>
              <w:right w:val="nil"/>
            </w:tcBorders>
            <w:shd w:val="clear" w:color="auto" w:fill="auto"/>
            <w:vAlign w:val="center"/>
          </w:tcPr>
          <w:p w14:paraId="360CC0AC"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224868CB" w14:textId="77777777" w:rsidR="003010BD" w:rsidRPr="006E4DCA" w:rsidRDefault="003010BD" w:rsidP="00011661">
            <w:pPr>
              <w:spacing w:line="240" w:lineRule="auto"/>
              <w:jc w:val="left"/>
              <w:rPr>
                <w:sz w:val="20"/>
                <w:szCs w:val="18"/>
              </w:rPr>
            </w:pPr>
            <w:r w:rsidRPr="006E4DCA">
              <w:rPr>
                <w:sz w:val="20"/>
                <w:szCs w:val="18"/>
              </w:rPr>
              <w:t>HADS-A</w:t>
            </w:r>
          </w:p>
        </w:tc>
        <w:tc>
          <w:tcPr>
            <w:tcW w:w="766" w:type="dxa"/>
            <w:tcBorders>
              <w:top w:val="nil"/>
              <w:left w:val="nil"/>
              <w:bottom w:val="nil"/>
              <w:right w:val="nil"/>
            </w:tcBorders>
            <w:shd w:val="clear" w:color="auto" w:fill="auto"/>
          </w:tcPr>
          <w:p w14:paraId="4EE8F336"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59C732AF"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49F05C22"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250B6828"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796" w:type="dxa"/>
            <w:tcBorders>
              <w:top w:val="nil"/>
              <w:left w:val="nil"/>
              <w:bottom w:val="nil"/>
              <w:right w:val="nil"/>
            </w:tcBorders>
            <w:shd w:val="clear" w:color="auto" w:fill="auto"/>
          </w:tcPr>
          <w:p w14:paraId="41A79E46"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nil"/>
              <w:right w:val="nil"/>
            </w:tcBorders>
            <w:shd w:val="clear" w:color="auto" w:fill="auto"/>
          </w:tcPr>
          <w:p w14:paraId="566FB1CE"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nil"/>
              <w:right w:val="nil"/>
            </w:tcBorders>
            <w:shd w:val="clear" w:color="auto" w:fill="auto"/>
          </w:tcPr>
          <w:p w14:paraId="16050587"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796" w:type="dxa"/>
            <w:tcBorders>
              <w:top w:val="nil"/>
              <w:left w:val="nil"/>
              <w:bottom w:val="nil"/>
              <w:right w:val="nil"/>
            </w:tcBorders>
            <w:shd w:val="clear" w:color="auto" w:fill="auto"/>
          </w:tcPr>
          <w:p w14:paraId="59B1CFC7" w14:textId="77777777" w:rsidR="003010BD" w:rsidRPr="006E4DCA" w:rsidRDefault="003010BD" w:rsidP="00011661">
            <w:pPr>
              <w:spacing w:line="240" w:lineRule="auto"/>
              <w:jc w:val="center"/>
              <w:rPr>
                <w:sz w:val="20"/>
                <w:szCs w:val="18"/>
              </w:rPr>
            </w:pPr>
            <w:r w:rsidRPr="006E4DCA">
              <w:rPr>
                <w:color w:val="010205"/>
                <w:sz w:val="20"/>
                <w:szCs w:val="18"/>
              </w:rPr>
              <w:t>0.08</w:t>
            </w:r>
          </w:p>
        </w:tc>
      </w:tr>
      <w:tr w:rsidR="003010BD" w:rsidRPr="006E4DCA" w14:paraId="15286810" w14:textId="77777777" w:rsidTr="00011661">
        <w:tc>
          <w:tcPr>
            <w:tcW w:w="234" w:type="dxa"/>
            <w:tcBorders>
              <w:top w:val="nil"/>
              <w:bottom w:val="nil"/>
              <w:right w:val="nil"/>
            </w:tcBorders>
            <w:shd w:val="clear" w:color="auto" w:fill="auto"/>
            <w:vAlign w:val="center"/>
          </w:tcPr>
          <w:p w14:paraId="73B3DF92"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5694DD32" w14:textId="77777777" w:rsidR="003010BD" w:rsidRPr="006E4DCA" w:rsidRDefault="003010BD" w:rsidP="00011661">
            <w:pPr>
              <w:spacing w:line="240" w:lineRule="auto"/>
              <w:jc w:val="left"/>
              <w:rPr>
                <w:sz w:val="20"/>
                <w:szCs w:val="18"/>
              </w:rPr>
            </w:pPr>
            <w:r w:rsidRPr="006E4DCA">
              <w:rPr>
                <w:sz w:val="20"/>
                <w:szCs w:val="18"/>
              </w:rPr>
              <w:t>HADS-D</w:t>
            </w:r>
          </w:p>
        </w:tc>
        <w:tc>
          <w:tcPr>
            <w:tcW w:w="766" w:type="dxa"/>
            <w:tcBorders>
              <w:top w:val="nil"/>
              <w:left w:val="nil"/>
              <w:bottom w:val="nil"/>
              <w:right w:val="nil"/>
            </w:tcBorders>
            <w:shd w:val="clear" w:color="auto" w:fill="auto"/>
          </w:tcPr>
          <w:p w14:paraId="27F6BC6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3FA785B4"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1164" w:type="dxa"/>
            <w:tcBorders>
              <w:top w:val="nil"/>
              <w:left w:val="nil"/>
              <w:bottom w:val="nil"/>
              <w:right w:val="nil"/>
            </w:tcBorders>
          </w:tcPr>
          <w:p w14:paraId="18C117A5"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42B4D2D5" w14:textId="77777777" w:rsidR="003010BD" w:rsidRPr="006E4DCA" w:rsidRDefault="003010BD" w:rsidP="00011661">
            <w:pPr>
              <w:spacing w:line="240" w:lineRule="auto"/>
              <w:jc w:val="center"/>
              <w:rPr>
                <w:sz w:val="20"/>
                <w:szCs w:val="18"/>
              </w:rPr>
            </w:pPr>
            <w:r w:rsidRPr="006E4DCA">
              <w:rPr>
                <w:color w:val="010205"/>
                <w:sz w:val="20"/>
                <w:szCs w:val="18"/>
              </w:rPr>
              <w:t>0.10**</w:t>
            </w:r>
          </w:p>
        </w:tc>
        <w:tc>
          <w:tcPr>
            <w:tcW w:w="796" w:type="dxa"/>
            <w:tcBorders>
              <w:top w:val="nil"/>
              <w:left w:val="nil"/>
              <w:bottom w:val="nil"/>
              <w:right w:val="nil"/>
            </w:tcBorders>
            <w:shd w:val="clear" w:color="auto" w:fill="auto"/>
          </w:tcPr>
          <w:p w14:paraId="2E091091"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nil"/>
              <w:right w:val="nil"/>
            </w:tcBorders>
            <w:shd w:val="clear" w:color="auto" w:fill="auto"/>
          </w:tcPr>
          <w:p w14:paraId="2CCD66B0" w14:textId="77777777" w:rsidR="003010BD" w:rsidRPr="006E4DCA" w:rsidRDefault="003010BD" w:rsidP="00011661">
            <w:pPr>
              <w:spacing w:line="240" w:lineRule="auto"/>
              <w:jc w:val="center"/>
              <w:rPr>
                <w:sz w:val="20"/>
                <w:szCs w:val="18"/>
              </w:rPr>
            </w:pPr>
            <w:r w:rsidRPr="006E4DCA">
              <w:rPr>
                <w:color w:val="010205"/>
                <w:sz w:val="20"/>
                <w:szCs w:val="18"/>
              </w:rPr>
              <w:t>0.16</w:t>
            </w:r>
          </w:p>
        </w:tc>
        <w:tc>
          <w:tcPr>
            <w:tcW w:w="796" w:type="dxa"/>
            <w:tcBorders>
              <w:top w:val="nil"/>
              <w:left w:val="nil"/>
              <w:bottom w:val="nil"/>
              <w:right w:val="nil"/>
            </w:tcBorders>
            <w:shd w:val="clear" w:color="auto" w:fill="auto"/>
          </w:tcPr>
          <w:p w14:paraId="5EE949DF"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796" w:type="dxa"/>
            <w:tcBorders>
              <w:top w:val="nil"/>
              <w:left w:val="nil"/>
              <w:bottom w:val="nil"/>
              <w:right w:val="nil"/>
            </w:tcBorders>
            <w:shd w:val="clear" w:color="auto" w:fill="auto"/>
          </w:tcPr>
          <w:p w14:paraId="36C3EB58" w14:textId="77777777" w:rsidR="003010BD" w:rsidRPr="006E4DCA" w:rsidRDefault="003010BD" w:rsidP="00011661">
            <w:pPr>
              <w:spacing w:line="240" w:lineRule="auto"/>
              <w:jc w:val="center"/>
              <w:rPr>
                <w:sz w:val="20"/>
                <w:szCs w:val="18"/>
              </w:rPr>
            </w:pPr>
            <w:r w:rsidRPr="006E4DCA">
              <w:rPr>
                <w:color w:val="010205"/>
                <w:sz w:val="20"/>
                <w:szCs w:val="18"/>
              </w:rPr>
              <w:t>0.15</w:t>
            </w:r>
          </w:p>
        </w:tc>
      </w:tr>
      <w:tr w:rsidR="003010BD" w:rsidRPr="006E4DCA" w14:paraId="40D2B919" w14:textId="77777777" w:rsidTr="00011661">
        <w:tc>
          <w:tcPr>
            <w:tcW w:w="234" w:type="dxa"/>
            <w:tcBorders>
              <w:top w:val="nil"/>
              <w:bottom w:val="nil"/>
            </w:tcBorders>
            <w:shd w:val="clear" w:color="auto" w:fill="auto"/>
            <w:vAlign w:val="center"/>
          </w:tcPr>
          <w:p w14:paraId="4A2CE02A" w14:textId="77777777" w:rsidR="003010BD" w:rsidRPr="006E4DCA" w:rsidRDefault="003010BD" w:rsidP="00011661">
            <w:pPr>
              <w:spacing w:line="240" w:lineRule="auto"/>
              <w:jc w:val="left"/>
              <w:rPr>
                <w:sz w:val="20"/>
                <w:szCs w:val="18"/>
              </w:rPr>
            </w:pPr>
          </w:p>
        </w:tc>
        <w:tc>
          <w:tcPr>
            <w:tcW w:w="2387" w:type="dxa"/>
            <w:tcBorders>
              <w:top w:val="nil"/>
              <w:bottom w:val="nil"/>
            </w:tcBorders>
            <w:shd w:val="clear" w:color="auto" w:fill="auto"/>
            <w:vAlign w:val="center"/>
          </w:tcPr>
          <w:p w14:paraId="36A0877F" w14:textId="77777777" w:rsidR="003010BD" w:rsidRPr="006E4DCA" w:rsidRDefault="003010BD" w:rsidP="00011661">
            <w:pPr>
              <w:spacing w:line="240" w:lineRule="auto"/>
              <w:jc w:val="left"/>
              <w:rPr>
                <w:sz w:val="20"/>
                <w:szCs w:val="18"/>
              </w:rPr>
            </w:pPr>
          </w:p>
        </w:tc>
        <w:tc>
          <w:tcPr>
            <w:tcW w:w="766" w:type="dxa"/>
            <w:tcBorders>
              <w:top w:val="nil"/>
              <w:bottom w:val="nil"/>
            </w:tcBorders>
            <w:shd w:val="clear" w:color="auto" w:fill="auto"/>
          </w:tcPr>
          <w:p w14:paraId="477ADD9E" w14:textId="77777777" w:rsidR="003010BD" w:rsidRPr="006E4DCA" w:rsidRDefault="003010BD" w:rsidP="00011661">
            <w:pPr>
              <w:spacing w:line="240" w:lineRule="auto"/>
              <w:jc w:val="center"/>
              <w:rPr>
                <w:sz w:val="20"/>
                <w:szCs w:val="18"/>
              </w:rPr>
            </w:pPr>
            <w:r w:rsidRPr="006E4DCA">
              <w:rPr>
                <w:sz w:val="20"/>
                <w:szCs w:val="18"/>
              </w:rPr>
              <w:t>0.06**</w:t>
            </w:r>
          </w:p>
        </w:tc>
        <w:tc>
          <w:tcPr>
            <w:tcW w:w="1459" w:type="dxa"/>
            <w:tcBorders>
              <w:top w:val="nil"/>
              <w:bottom w:val="nil"/>
            </w:tcBorders>
            <w:shd w:val="clear" w:color="auto" w:fill="auto"/>
          </w:tcPr>
          <w:p w14:paraId="4F94BF01" w14:textId="77777777" w:rsidR="003010BD" w:rsidRPr="006E4DCA" w:rsidRDefault="003010BD" w:rsidP="00011661">
            <w:pPr>
              <w:spacing w:line="240" w:lineRule="auto"/>
              <w:jc w:val="center"/>
              <w:rPr>
                <w:sz w:val="20"/>
                <w:szCs w:val="18"/>
              </w:rPr>
            </w:pPr>
            <w:r w:rsidRPr="006E4DCA">
              <w:rPr>
                <w:sz w:val="20"/>
                <w:szCs w:val="18"/>
              </w:rPr>
              <w:t>0.06</w:t>
            </w:r>
          </w:p>
        </w:tc>
        <w:tc>
          <w:tcPr>
            <w:tcW w:w="1164" w:type="dxa"/>
            <w:tcBorders>
              <w:top w:val="nil"/>
              <w:bottom w:val="nil"/>
            </w:tcBorders>
          </w:tcPr>
          <w:p w14:paraId="18706394" w14:textId="77777777" w:rsidR="003010BD" w:rsidRPr="006E4DCA" w:rsidRDefault="003010BD" w:rsidP="00011661">
            <w:pPr>
              <w:spacing w:line="240" w:lineRule="auto"/>
              <w:jc w:val="center"/>
              <w:rPr>
                <w:color w:val="000000"/>
                <w:sz w:val="20"/>
                <w:szCs w:val="18"/>
              </w:rPr>
            </w:pPr>
            <w:r w:rsidRPr="006E4DCA">
              <w:rPr>
                <w:color w:val="000000"/>
                <w:sz w:val="20"/>
                <w:szCs w:val="18"/>
              </w:rPr>
              <w:t>0.04**</w:t>
            </w:r>
          </w:p>
        </w:tc>
        <w:tc>
          <w:tcPr>
            <w:tcW w:w="914" w:type="dxa"/>
            <w:tcBorders>
              <w:top w:val="nil"/>
              <w:bottom w:val="nil"/>
            </w:tcBorders>
            <w:shd w:val="clear" w:color="auto" w:fill="auto"/>
            <w:vAlign w:val="center"/>
          </w:tcPr>
          <w:p w14:paraId="2AA8F2EB"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2E7BE628"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820" w:type="dxa"/>
            <w:tcBorders>
              <w:top w:val="nil"/>
              <w:bottom w:val="nil"/>
            </w:tcBorders>
            <w:shd w:val="clear" w:color="auto" w:fill="auto"/>
            <w:vAlign w:val="center"/>
          </w:tcPr>
          <w:p w14:paraId="62395CA1"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4DA36CFF"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tcPr>
          <w:p w14:paraId="11994AAE" w14:textId="77777777" w:rsidR="003010BD" w:rsidRPr="006E4DCA" w:rsidRDefault="003010BD" w:rsidP="00011661">
            <w:pPr>
              <w:spacing w:line="240" w:lineRule="auto"/>
              <w:jc w:val="center"/>
              <w:rPr>
                <w:sz w:val="20"/>
                <w:szCs w:val="18"/>
              </w:rPr>
            </w:pPr>
          </w:p>
        </w:tc>
      </w:tr>
      <w:tr w:rsidR="003010BD" w:rsidRPr="006E4DCA" w14:paraId="6A9C6F1C" w14:textId="77777777" w:rsidTr="00011661">
        <w:trPr>
          <w:trHeight w:val="209"/>
        </w:trPr>
        <w:tc>
          <w:tcPr>
            <w:tcW w:w="2621" w:type="dxa"/>
            <w:gridSpan w:val="2"/>
            <w:tcBorders>
              <w:top w:val="nil"/>
              <w:bottom w:val="nil"/>
            </w:tcBorders>
            <w:shd w:val="clear" w:color="auto" w:fill="auto"/>
            <w:vAlign w:val="center"/>
          </w:tcPr>
          <w:p w14:paraId="6F13BD49" w14:textId="77777777" w:rsidR="003010BD" w:rsidRPr="006E4DCA" w:rsidRDefault="003010BD" w:rsidP="00011661">
            <w:pPr>
              <w:spacing w:line="240" w:lineRule="auto"/>
              <w:jc w:val="left"/>
              <w:rPr>
                <w:sz w:val="20"/>
                <w:szCs w:val="18"/>
              </w:rPr>
            </w:pPr>
            <w:r w:rsidRPr="006E4DCA">
              <w:rPr>
                <w:sz w:val="20"/>
                <w:szCs w:val="18"/>
              </w:rPr>
              <w:t>Step 3</w:t>
            </w:r>
          </w:p>
        </w:tc>
        <w:tc>
          <w:tcPr>
            <w:tcW w:w="766" w:type="dxa"/>
            <w:tcBorders>
              <w:top w:val="nil"/>
              <w:bottom w:val="nil"/>
            </w:tcBorders>
            <w:shd w:val="clear" w:color="auto" w:fill="auto"/>
          </w:tcPr>
          <w:p w14:paraId="6351851D" w14:textId="77777777" w:rsidR="003010BD" w:rsidRPr="006E4DCA" w:rsidRDefault="003010BD" w:rsidP="00011661">
            <w:pPr>
              <w:spacing w:line="240" w:lineRule="auto"/>
              <w:jc w:val="center"/>
              <w:rPr>
                <w:sz w:val="20"/>
                <w:szCs w:val="18"/>
              </w:rPr>
            </w:pPr>
          </w:p>
        </w:tc>
        <w:tc>
          <w:tcPr>
            <w:tcW w:w="1459" w:type="dxa"/>
            <w:tcBorders>
              <w:top w:val="nil"/>
              <w:bottom w:val="nil"/>
            </w:tcBorders>
            <w:shd w:val="clear" w:color="auto" w:fill="auto"/>
          </w:tcPr>
          <w:p w14:paraId="496CA371" w14:textId="77777777" w:rsidR="003010BD" w:rsidRPr="006E4DCA" w:rsidRDefault="003010BD" w:rsidP="00011661">
            <w:pPr>
              <w:spacing w:line="240" w:lineRule="auto"/>
              <w:jc w:val="center"/>
              <w:rPr>
                <w:sz w:val="20"/>
                <w:szCs w:val="18"/>
              </w:rPr>
            </w:pPr>
          </w:p>
        </w:tc>
        <w:tc>
          <w:tcPr>
            <w:tcW w:w="1164" w:type="dxa"/>
            <w:tcBorders>
              <w:top w:val="nil"/>
              <w:bottom w:val="nil"/>
            </w:tcBorders>
          </w:tcPr>
          <w:p w14:paraId="67C71431" w14:textId="77777777" w:rsidR="003010BD" w:rsidRPr="006E4DCA" w:rsidRDefault="003010BD" w:rsidP="00011661">
            <w:pPr>
              <w:spacing w:line="240" w:lineRule="auto"/>
              <w:jc w:val="center"/>
              <w:rPr>
                <w:sz w:val="20"/>
                <w:szCs w:val="18"/>
              </w:rPr>
            </w:pPr>
          </w:p>
        </w:tc>
        <w:tc>
          <w:tcPr>
            <w:tcW w:w="914" w:type="dxa"/>
            <w:tcBorders>
              <w:top w:val="nil"/>
              <w:bottom w:val="nil"/>
            </w:tcBorders>
            <w:shd w:val="clear" w:color="auto" w:fill="auto"/>
            <w:vAlign w:val="center"/>
          </w:tcPr>
          <w:p w14:paraId="5B5E9C74"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57A4E342" w14:textId="77777777" w:rsidR="003010BD" w:rsidRPr="006E4DCA" w:rsidRDefault="003010BD" w:rsidP="00011661">
            <w:pPr>
              <w:spacing w:line="240" w:lineRule="auto"/>
              <w:jc w:val="center"/>
              <w:rPr>
                <w:sz w:val="20"/>
                <w:szCs w:val="18"/>
              </w:rPr>
            </w:pPr>
          </w:p>
        </w:tc>
        <w:tc>
          <w:tcPr>
            <w:tcW w:w="820" w:type="dxa"/>
            <w:tcBorders>
              <w:top w:val="nil"/>
              <w:bottom w:val="nil"/>
            </w:tcBorders>
            <w:shd w:val="clear" w:color="auto" w:fill="auto"/>
            <w:vAlign w:val="center"/>
          </w:tcPr>
          <w:p w14:paraId="6BAF4200"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3D83F0D6"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09BB1EE2" w14:textId="77777777" w:rsidR="003010BD" w:rsidRPr="006E4DCA" w:rsidRDefault="003010BD" w:rsidP="00011661">
            <w:pPr>
              <w:spacing w:line="240" w:lineRule="auto"/>
              <w:jc w:val="center"/>
              <w:rPr>
                <w:sz w:val="20"/>
                <w:szCs w:val="18"/>
              </w:rPr>
            </w:pPr>
          </w:p>
        </w:tc>
      </w:tr>
      <w:tr w:rsidR="003010BD" w:rsidRPr="006E4DCA" w14:paraId="27A95FD1" w14:textId="77777777" w:rsidTr="00011661">
        <w:trPr>
          <w:trHeight w:val="237"/>
        </w:trPr>
        <w:tc>
          <w:tcPr>
            <w:tcW w:w="234" w:type="dxa"/>
            <w:tcBorders>
              <w:top w:val="nil"/>
              <w:bottom w:val="nil"/>
              <w:right w:val="nil"/>
            </w:tcBorders>
            <w:shd w:val="clear" w:color="auto" w:fill="auto"/>
            <w:vAlign w:val="center"/>
          </w:tcPr>
          <w:p w14:paraId="0E5F690E"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D4DF66E" w14:textId="77777777" w:rsidR="003010BD" w:rsidRPr="006E4DCA" w:rsidRDefault="003010BD" w:rsidP="00011661">
            <w:pPr>
              <w:spacing w:line="240" w:lineRule="auto"/>
              <w:jc w:val="left"/>
              <w:rPr>
                <w:sz w:val="20"/>
                <w:szCs w:val="18"/>
              </w:rPr>
            </w:pPr>
            <w:r w:rsidRPr="006E4DCA">
              <w:rPr>
                <w:sz w:val="20"/>
                <w:szCs w:val="18"/>
              </w:rPr>
              <w:t>Gender</w:t>
            </w:r>
          </w:p>
        </w:tc>
        <w:tc>
          <w:tcPr>
            <w:tcW w:w="766" w:type="dxa"/>
            <w:tcBorders>
              <w:top w:val="nil"/>
              <w:left w:val="nil"/>
              <w:bottom w:val="nil"/>
              <w:right w:val="nil"/>
            </w:tcBorders>
            <w:shd w:val="clear" w:color="auto" w:fill="auto"/>
          </w:tcPr>
          <w:p w14:paraId="32F3CA94"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4DAF69E7"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5D7EB076"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60448E22" w14:textId="77777777" w:rsidR="003010BD" w:rsidRPr="006E4DCA" w:rsidRDefault="003010BD" w:rsidP="00011661">
            <w:pPr>
              <w:spacing w:line="240" w:lineRule="auto"/>
              <w:jc w:val="center"/>
              <w:rPr>
                <w:sz w:val="20"/>
                <w:szCs w:val="18"/>
              </w:rPr>
            </w:pPr>
            <w:r w:rsidRPr="006E4DCA">
              <w:rPr>
                <w:color w:val="010205"/>
                <w:sz w:val="20"/>
                <w:szCs w:val="18"/>
              </w:rPr>
              <w:t>-0.42*</w:t>
            </w:r>
          </w:p>
        </w:tc>
        <w:tc>
          <w:tcPr>
            <w:tcW w:w="796" w:type="dxa"/>
            <w:tcBorders>
              <w:top w:val="nil"/>
              <w:left w:val="nil"/>
              <w:bottom w:val="nil"/>
              <w:right w:val="nil"/>
            </w:tcBorders>
            <w:shd w:val="clear" w:color="auto" w:fill="auto"/>
          </w:tcPr>
          <w:p w14:paraId="410DA470" w14:textId="77777777" w:rsidR="003010BD" w:rsidRPr="006E4DCA" w:rsidRDefault="003010BD" w:rsidP="00011661">
            <w:pPr>
              <w:spacing w:line="240" w:lineRule="auto"/>
              <w:jc w:val="center"/>
              <w:rPr>
                <w:sz w:val="20"/>
                <w:szCs w:val="18"/>
              </w:rPr>
            </w:pPr>
            <w:r w:rsidRPr="006E4DCA">
              <w:rPr>
                <w:color w:val="010205"/>
                <w:sz w:val="20"/>
                <w:szCs w:val="18"/>
              </w:rPr>
              <w:t>0.16</w:t>
            </w:r>
          </w:p>
        </w:tc>
        <w:tc>
          <w:tcPr>
            <w:tcW w:w="820" w:type="dxa"/>
            <w:tcBorders>
              <w:top w:val="nil"/>
              <w:left w:val="nil"/>
              <w:bottom w:val="nil"/>
              <w:right w:val="nil"/>
            </w:tcBorders>
            <w:shd w:val="clear" w:color="auto" w:fill="auto"/>
          </w:tcPr>
          <w:p w14:paraId="436A40B8" w14:textId="77777777" w:rsidR="003010BD" w:rsidRPr="006E4DCA" w:rsidRDefault="003010BD" w:rsidP="00011661">
            <w:pPr>
              <w:spacing w:line="240" w:lineRule="auto"/>
              <w:jc w:val="center"/>
              <w:rPr>
                <w:sz w:val="20"/>
                <w:szCs w:val="18"/>
              </w:rPr>
            </w:pPr>
            <w:r w:rsidRPr="006E4DCA">
              <w:rPr>
                <w:color w:val="010205"/>
                <w:sz w:val="20"/>
                <w:szCs w:val="18"/>
              </w:rPr>
              <w:t>-0.09</w:t>
            </w:r>
          </w:p>
        </w:tc>
        <w:tc>
          <w:tcPr>
            <w:tcW w:w="796" w:type="dxa"/>
            <w:tcBorders>
              <w:top w:val="nil"/>
              <w:left w:val="nil"/>
              <w:bottom w:val="nil"/>
              <w:right w:val="nil"/>
            </w:tcBorders>
            <w:shd w:val="clear" w:color="auto" w:fill="auto"/>
          </w:tcPr>
          <w:p w14:paraId="5E419920" w14:textId="77777777" w:rsidR="003010BD" w:rsidRPr="006E4DCA" w:rsidRDefault="003010BD" w:rsidP="00011661">
            <w:pPr>
              <w:spacing w:line="240" w:lineRule="auto"/>
              <w:jc w:val="center"/>
              <w:rPr>
                <w:sz w:val="20"/>
                <w:szCs w:val="18"/>
              </w:rPr>
            </w:pPr>
            <w:r w:rsidRPr="006E4DCA">
              <w:rPr>
                <w:color w:val="010205"/>
                <w:sz w:val="20"/>
                <w:szCs w:val="18"/>
              </w:rPr>
              <w:t>-0.74</w:t>
            </w:r>
          </w:p>
        </w:tc>
        <w:tc>
          <w:tcPr>
            <w:tcW w:w="796" w:type="dxa"/>
            <w:tcBorders>
              <w:top w:val="nil"/>
              <w:left w:val="nil"/>
              <w:bottom w:val="nil"/>
              <w:right w:val="nil"/>
            </w:tcBorders>
            <w:shd w:val="clear" w:color="auto" w:fill="auto"/>
          </w:tcPr>
          <w:p w14:paraId="159C4901" w14:textId="77777777" w:rsidR="003010BD" w:rsidRPr="006E4DCA" w:rsidRDefault="003010BD" w:rsidP="00011661">
            <w:pPr>
              <w:spacing w:line="240" w:lineRule="auto"/>
              <w:jc w:val="center"/>
              <w:rPr>
                <w:sz w:val="20"/>
                <w:szCs w:val="18"/>
              </w:rPr>
            </w:pPr>
            <w:r w:rsidRPr="006E4DCA">
              <w:rPr>
                <w:color w:val="010205"/>
                <w:sz w:val="20"/>
                <w:szCs w:val="18"/>
              </w:rPr>
              <w:t>-0.10</w:t>
            </w:r>
          </w:p>
        </w:tc>
      </w:tr>
      <w:tr w:rsidR="003010BD" w:rsidRPr="006E4DCA" w14:paraId="02E0AC94" w14:textId="77777777" w:rsidTr="00011661">
        <w:tc>
          <w:tcPr>
            <w:tcW w:w="234" w:type="dxa"/>
            <w:tcBorders>
              <w:top w:val="nil"/>
              <w:bottom w:val="nil"/>
              <w:right w:val="nil"/>
            </w:tcBorders>
            <w:shd w:val="clear" w:color="auto" w:fill="auto"/>
            <w:vAlign w:val="center"/>
          </w:tcPr>
          <w:p w14:paraId="27CD8E19"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13D11F44" w14:textId="77777777" w:rsidR="003010BD" w:rsidRPr="006E4DCA" w:rsidRDefault="003010BD" w:rsidP="00011661">
            <w:pPr>
              <w:spacing w:line="240" w:lineRule="auto"/>
              <w:jc w:val="left"/>
              <w:rPr>
                <w:sz w:val="20"/>
                <w:szCs w:val="18"/>
              </w:rPr>
            </w:pPr>
            <w:r w:rsidRPr="006E4DCA">
              <w:rPr>
                <w:rFonts w:eastAsia="MS Mincho"/>
                <w:sz w:val="20"/>
                <w:szCs w:val="18"/>
              </w:rPr>
              <w:t>Age</w:t>
            </w:r>
          </w:p>
        </w:tc>
        <w:tc>
          <w:tcPr>
            <w:tcW w:w="766" w:type="dxa"/>
            <w:tcBorders>
              <w:top w:val="nil"/>
              <w:left w:val="nil"/>
              <w:bottom w:val="nil"/>
              <w:right w:val="nil"/>
            </w:tcBorders>
            <w:shd w:val="clear" w:color="auto" w:fill="auto"/>
          </w:tcPr>
          <w:p w14:paraId="58A9206F"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B4E2D05"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31220BD5"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022CBD54"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nil"/>
              <w:right w:val="nil"/>
            </w:tcBorders>
            <w:shd w:val="clear" w:color="auto" w:fill="auto"/>
          </w:tcPr>
          <w:p w14:paraId="0967F5EB"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820" w:type="dxa"/>
            <w:tcBorders>
              <w:top w:val="nil"/>
              <w:left w:val="nil"/>
              <w:bottom w:val="nil"/>
              <w:right w:val="nil"/>
            </w:tcBorders>
            <w:shd w:val="clear" w:color="auto" w:fill="auto"/>
          </w:tcPr>
          <w:p w14:paraId="7451E6E7" w14:textId="77777777" w:rsidR="003010BD" w:rsidRPr="006E4DCA" w:rsidRDefault="003010BD" w:rsidP="00011661">
            <w:pPr>
              <w:spacing w:line="240" w:lineRule="auto"/>
              <w:jc w:val="center"/>
              <w:rPr>
                <w:sz w:val="20"/>
                <w:szCs w:val="18"/>
              </w:rPr>
            </w:pPr>
            <w:r w:rsidRPr="006E4DCA">
              <w:rPr>
                <w:color w:val="010205"/>
                <w:sz w:val="20"/>
                <w:szCs w:val="18"/>
              </w:rPr>
              <w:t>0.14</w:t>
            </w:r>
          </w:p>
        </w:tc>
        <w:tc>
          <w:tcPr>
            <w:tcW w:w="796" w:type="dxa"/>
            <w:tcBorders>
              <w:top w:val="nil"/>
              <w:left w:val="nil"/>
              <w:bottom w:val="nil"/>
              <w:right w:val="nil"/>
            </w:tcBorders>
            <w:shd w:val="clear" w:color="auto" w:fill="auto"/>
          </w:tcPr>
          <w:p w14:paraId="05141509"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796" w:type="dxa"/>
            <w:tcBorders>
              <w:top w:val="nil"/>
              <w:left w:val="nil"/>
              <w:bottom w:val="nil"/>
              <w:right w:val="nil"/>
            </w:tcBorders>
            <w:shd w:val="clear" w:color="auto" w:fill="auto"/>
          </w:tcPr>
          <w:p w14:paraId="6E77BED4" w14:textId="77777777" w:rsidR="003010BD" w:rsidRPr="006E4DCA" w:rsidRDefault="003010BD" w:rsidP="00011661">
            <w:pPr>
              <w:spacing w:line="240" w:lineRule="auto"/>
              <w:jc w:val="center"/>
              <w:rPr>
                <w:sz w:val="20"/>
                <w:szCs w:val="18"/>
              </w:rPr>
            </w:pPr>
            <w:r w:rsidRPr="006E4DCA">
              <w:rPr>
                <w:color w:val="010205"/>
                <w:sz w:val="20"/>
                <w:szCs w:val="18"/>
              </w:rPr>
              <w:t>0.06</w:t>
            </w:r>
          </w:p>
        </w:tc>
      </w:tr>
      <w:tr w:rsidR="003010BD" w:rsidRPr="006E4DCA" w14:paraId="117A688F" w14:textId="77777777" w:rsidTr="00011661">
        <w:tc>
          <w:tcPr>
            <w:tcW w:w="234" w:type="dxa"/>
            <w:tcBorders>
              <w:top w:val="nil"/>
              <w:bottom w:val="nil"/>
              <w:right w:val="nil"/>
            </w:tcBorders>
            <w:shd w:val="clear" w:color="auto" w:fill="auto"/>
            <w:vAlign w:val="center"/>
          </w:tcPr>
          <w:p w14:paraId="00494A10"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16AB064F"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HADS-A</w:t>
            </w:r>
          </w:p>
        </w:tc>
        <w:tc>
          <w:tcPr>
            <w:tcW w:w="766" w:type="dxa"/>
            <w:tcBorders>
              <w:top w:val="nil"/>
              <w:left w:val="nil"/>
              <w:bottom w:val="nil"/>
              <w:right w:val="nil"/>
            </w:tcBorders>
            <w:shd w:val="clear" w:color="auto" w:fill="auto"/>
          </w:tcPr>
          <w:p w14:paraId="3A1DBB8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21B08B94"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0CE77C91"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27A28B50" w14:textId="77777777" w:rsidR="003010BD" w:rsidRPr="006E4DCA" w:rsidRDefault="003010BD" w:rsidP="00011661">
            <w:pPr>
              <w:spacing w:line="240" w:lineRule="auto"/>
              <w:jc w:val="center"/>
              <w:rPr>
                <w:color w:val="000000"/>
                <w:sz w:val="20"/>
                <w:szCs w:val="18"/>
              </w:rPr>
            </w:pPr>
            <w:r w:rsidRPr="006E4DCA">
              <w:rPr>
                <w:color w:val="010205"/>
                <w:sz w:val="20"/>
                <w:szCs w:val="18"/>
              </w:rPr>
              <w:t>0.02</w:t>
            </w:r>
          </w:p>
        </w:tc>
        <w:tc>
          <w:tcPr>
            <w:tcW w:w="796" w:type="dxa"/>
            <w:tcBorders>
              <w:top w:val="nil"/>
              <w:left w:val="nil"/>
              <w:bottom w:val="nil"/>
              <w:right w:val="nil"/>
            </w:tcBorders>
            <w:shd w:val="clear" w:color="auto" w:fill="auto"/>
          </w:tcPr>
          <w:p w14:paraId="21C73E3A" w14:textId="77777777" w:rsidR="003010BD" w:rsidRPr="006E4DCA" w:rsidRDefault="003010BD" w:rsidP="00011661">
            <w:pPr>
              <w:spacing w:line="240" w:lineRule="auto"/>
              <w:jc w:val="center"/>
              <w:rPr>
                <w:color w:val="000000"/>
                <w:sz w:val="20"/>
                <w:szCs w:val="18"/>
              </w:rPr>
            </w:pPr>
            <w:r w:rsidRPr="006E4DCA">
              <w:rPr>
                <w:color w:val="010205"/>
                <w:sz w:val="20"/>
                <w:szCs w:val="18"/>
              </w:rPr>
              <w:t>0.02</w:t>
            </w:r>
          </w:p>
        </w:tc>
        <w:tc>
          <w:tcPr>
            <w:tcW w:w="820" w:type="dxa"/>
            <w:tcBorders>
              <w:top w:val="nil"/>
              <w:left w:val="nil"/>
              <w:bottom w:val="nil"/>
              <w:right w:val="nil"/>
            </w:tcBorders>
            <w:shd w:val="clear" w:color="auto" w:fill="auto"/>
          </w:tcPr>
          <w:p w14:paraId="73AAF974" w14:textId="77777777" w:rsidR="003010BD" w:rsidRPr="006E4DCA" w:rsidRDefault="003010BD" w:rsidP="00011661">
            <w:pPr>
              <w:spacing w:line="240" w:lineRule="auto"/>
              <w:jc w:val="center"/>
              <w:rPr>
                <w:color w:val="000000"/>
                <w:sz w:val="20"/>
                <w:szCs w:val="18"/>
              </w:rPr>
            </w:pPr>
            <w:r w:rsidRPr="006E4DCA">
              <w:rPr>
                <w:color w:val="010205"/>
                <w:sz w:val="20"/>
                <w:szCs w:val="18"/>
              </w:rPr>
              <w:t>0.03</w:t>
            </w:r>
          </w:p>
        </w:tc>
        <w:tc>
          <w:tcPr>
            <w:tcW w:w="796" w:type="dxa"/>
            <w:tcBorders>
              <w:top w:val="nil"/>
              <w:left w:val="nil"/>
              <w:bottom w:val="nil"/>
              <w:right w:val="nil"/>
            </w:tcBorders>
            <w:shd w:val="clear" w:color="auto" w:fill="auto"/>
          </w:tcPr>
          <w:p w14:paraId="0130D4CD" w14:textId="77777777" w:rsidR="003010BD" w:rsidRPr="006E4DCA" w:rsidRDefault="003010BD" w:rsidP="00011661">
            <w:pPr>
              <w:spacing w:line="240" w:lineRule="auto"/>
              <w:jc w:val="center"/>
              <w:rPr>
                <w:color w:val="000000"/>
                <w:sz w:val="20"/>
                <w:szCs w:val="18"/>
              </w:rPr>
            </w:pPr>
            <w:r w:rsidRPr="006E4DCA">
              <w:rPr>
                <w:color w:val="010205"/>
                <w:sz w:val="20"/>
                <w:szCs w:val="18"/>
              </w:rPr>
              <w:t>-0.03</w:t>
            </w:r>
          </w:p>
        </w:tc>
        <w:tc>
          <w:tcPr>
            <w:tcW w:w="796" w:type="dxa"/>
            <w:tcBorders>
              <w:top w:val="nil"/>
              <w:left w:val="nil"/>
              <w:bottom w:val="nil"/>
              <w:right w:val="nil"/>
            </w:tcBorders>
            <w:shd w:val="clear" w:color="auto" w:fill="auto"/>
          </w:tcPr>
          <w:p w14:paraId="4960611D" w14:textId="77777777" w:rsidR="003010BD" w:rsidRPr="006E4DCA" w:rsidRDefault="003010BD" w:rsidP="00011661">
            <w:pPr>
              <w:spacing w:line="240" w:lineRule="auto"/>
              <w:jc w:val="center"/>
              <w:rPr>
                <w:color w:val="000000"/>
                <w:sz w:val="20"/>
                <w:szCs w:val="18"/>
              </w:rPr>
            </w:pPr>
            <w:r w:rsidRPr="006E4DCA">
              <w:rPr>
                <w:color w:val="010205"/>
                <w:sz w:val="20"/>
                <w:szCs w:val="18"/>
              </w:rPr>
              <w:t>0.06</w:t>
            </w:r>
          </w:p>
        </w:tc>
      </w:tr>
      <w:tr w:rsidR="003010BD" w:rsidRPr="006E4DCA" w14:paraId="149B0E98" w14:textId="77777777" w:rsidTr="00011661">
        <w:tc>
          <w:tcPr>
            <w:tcW w:w="234" w:type="dxa"/>
            <w:tcBorders>
              <w:top w:val="nil"/>
              <w:bottom w:val="nil"/>
              <w:right w:val="nil"/>
            </w:tcBorders>
            <w:shd w:val="clear" w:color="auto" w:fill="auto"/>
            <w:vAlign w:val="center"/>
          </w:tcPr>
          <w:p w14:paraId="2009FEC8"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3A80076A"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HADS-D</w:t>
            </w:r>
          </w:p>
        </w:tc>
        <w:tc>
          <w:tcPr>
            <w:tcW w:w="766" w:type="dxa"/>
            <w:tcBorders>
              <w:top w:val="nil"/>
              <w:left w:val="nil"/>
              <w:bottom w:val="nil"/>
              <w:right w:val="nil"/>
            </w:tcBorders>
            <w:shd w:val="clear" w:color="auto" w:fill="auto"/>
          </w:tcPr>
          <w:p w14:paraId="5CA92F4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1883C84"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42867FDA"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3CE39740" w14:textId="77777777" w:rsidR="003010BD" w:rsidRPr="006E4DCA" w:rsidRDefault="003010BD" w:rsidP="00011661">
            <w:pPr>
              <w:spacing w:line="240" w:lineRule="auto"/>
              <w:jc w:val="center"/>
              <w:rPr>
                <w:color w:val="000000"/>
                <w:sz w:val="20"/>
                <w:szCs w:val="18"/>
              </w:rPr>
            </w:pPr>
            <w:r w:rsidRPr="006E4DCA">
              <w:rPr>
                <w:color w:val="010205"/>
                <w:sz w:val="20"/>
                <w:szCs w:val="18"/>
              </w:rPr>
              <w:t>0.10**</w:t>
            </w:r>
          </w:p>
        </w:tc>
        <w:tc>
          <w:tcPr>
            <w:tcW w:w="796" w:type="dxa"/>
            <w:tcBorders>
              <w:top w:val="nil"/>
              <w:left w:val="nil"/>
              <w:bottom w:val="nil"/>
              <w:right w:val="nil"/>
            </w:tcBorders>
            <w:shd w:val="clear" w:color="auto" w:fill="auto"/>
          </w:tcPr>
          <w:p w14:paraId="022E4FEA" w14:textId="77777777" w:rsidR="003010BD" w:rsidRPr="006E4DCA" w:rsidRDefault="003010BD" w:rsidP="00011661">
            <w:pPr>
              <w:spacing w:line="240" w:lineRule="auto"/>
              <w:jc w:val="center"/>
              <w:rPr>
                <w:color w:val="000000"/>
                <w:sz w:val="20"/>
                <w:szCs w:val="18"/>
              </w:rPr>
            </w:pPr>
            <w:r w:rsidRPr="006E4DCA">
              <w:rPr>
                <w:color w:val="010205"/>
                <w:sz w:val="20"/>
                <w:szCs w:val="18"/>
              </w:rPr>
              <w:t>0.03</w:t>
            </w:r>
          </w:p>
        </w:tc>
        <w:tc>
          <w:tcPr>
            <w:tcW w:w="820" w:type="dxa"/>
            <w:tcBorders>
              <w:top w:val="nil"/>
              <w:left w:val="nil"/>
              <w:bottom w:val="nil"/>
              <w:right w:val="nil"/>
            </w:tcBorders>
            <w:shd w:val="clear" w:color="auto" w:fill="auto"/>
          </w:tcPr>
          <w:p w14:paraId="45BC796F" w14:textId="77777777" w:rsidR="003010BD" w:rsidRPr="006E4DCA" w:rsidRDefault="003010BD" w:rsidP="00011661">
            <w:pPr>
              <w:spacing w:line="240" w:lineRule="auto"/>
              <w:jc w:val="center"/>
              <w:rPr>
                <w:color w:val="000000"/>
                <w:sz w:val="20"/>
                <w:szCs w:val="18"/>
              </w:rPr>
            </w:pPr>
            <w:r w:rsidRPr="006E4DCA">
              <w:rPr>
                <w:color w:val="010205"/>
                <w:sz w:val="20"/>
                <w:szCs w:val="18"/>
              </w:rPr>
              <w:t>0.17</w:t>
            </w:r>
          </w:p>
        </w:tc>
        <w:tc>
          <w:tcPr>
            <w:tcW w:w="796" w:type="dxa"/>
            <w:tcBorders>
              <w:top w:val="nil"/>
              <w:left w:val="nil"/>
              <w:bottom w:val="nil"/>
              <w:right w:val="nil"/>
            </w:tcBorders>
            <w:shd w:val="clear" w:color="auto" w:fill="auto"/>
          </w:tcPr>
          <w:p w14:paraId="6A8B5E5B" w14:textId="77777777" w:rsidR="003010BD" w:rsidRPr="006E4DCA" w:rsidRDefault="003010BD" w:rsidP="00011661">
            <w:pPr>
              <w:spacing w:line="240" w:lineRule="auto"/>
              <w:jc w:val="center"/>
              <w:rPr>
                <w:color w:val="000000"/>
                <w:sz w:val="20"/>
                <w:szCs w:val="18"/>
              </w:rPr>
            </w:pPr>
            <w:r w:rsidRPr="006E4DCA">
              <w:rPr>
                <w:color w:val="010205"/>
                <w:sz w:val="20"/>
                <w:szCs w:val="18"/>
              </w:rPr>
              <w:t>0.05</w:t>
            </w:r>
          </w:p>
        </w:tc>
        <w:tc>
          <w:tcPr>
            <w:tcW w:w="796" w:type="dxa"/>
            <w:tcBorders>
              <w:top w:val="nil"/>
              <w:left w:val="nil"/>
              <w:bottom w:val="nil"/>
              <w:right w:val="nil"/>
            </w:tcBorders>
            <w:shd w:val="clear" w:color="auto" w:fill="auto"/>
          </w:tcPr>
          <w:p w14:paraId="7FAFC164" w14:textId="77777777" w:rsidR="003010BD" w:rsidRPr="006E4DCA" w:rsidRDefault="003010BD" w:rsidP="00011661">
            <w:pPr>
              <w:spacing w:line="240" w:lineRule="auto"/>
              <w:jc w:val="center"/>
              <w:rPr>
                <w:color w:val="000000"/>
                <w:sz w:val="20"/>
                <w:szCs w:val="18"/>
              </w:rPr>
            </w:pPr>
            <w:r w:rsidRPr="006E4DCA">
              <w:rPr>
                <w:color w:val="010205"/>
                <w:sz w:val="20"/>
                <w:szCs w:val="18"/>
              </w:rPr>
              <w:t>0.15</w:t>
            </w:r>
          </w:p>
        </w:tc>
      </w:tr>
      <w:tr w:rsidR="003010BD" w:rsidRPr="006E4DCA" w14:paraId="6FEAA4A2" w14:textId="77777777" w:rsidTr="00011661">
        <w:tc>
          <w:tcPr>
            <w:tcW w:w="234" w:type="dxa"/>
            <w:tcBorders>
              <w:top w:val="nil"/>
              <w:bottom w:val="nil"/>
              <w:right w:val="nil"/>
            </w:tcBorders>
            <w:shd w:val="clear" w:color="auto" w:fill="auto"/>
            <w:vAlign w:val="center"/>
          </w:tcPr>
          <w:p w14:paraId="1B8B9B0A"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55C77C7D"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SSA</w:t>
            </w:r>
          </w:p>
        </w:tc>
        <w:tc>
          <w:tcPr>
            <w:tcW w:w="766" w:type="dxa"/>
            <w:tcBorders>
              <w:top w:val="nil"/>
              <w:left w:val="nil"/>
              <w:bottom w:val="nil"/>
              <w:right w:val="nil"/>
            </w:tcBorders>
            <w:shd w:val="clear" w:color="auto" w:fill="auto"/>
          </w:tcPr>
          <w:p w14:paraId="60FFA78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4ACB5B0F"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767126F0"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6DEFB2E1" w14:textId="77777777" w:rsidR="003010BD" w:rsidRPr="006E4DCA" w:rsidRDefault="003010BD" w:rsidP="00011661">
            <w:pPr>
              <w:spacing w:line="240" w:lineRule="auto"/>
              <w:jc w:val="center"/>
              <w:rPr>
                <w:sz w:val="20"/>
                <w:szCs w:val="18"/>
              </w:rPr>
            </w:pPr>
            <w:r w:rsidRPr="006E4DCA">
              <w:rPr>
                <w:color w:val="010205"/>
                <w:sz w:val="20"/>
                <w:szCs w:val="18"/>
              </w:rPr>
              <w:t>-0.16**</w:t>
            </w:r>
          </w:p>
        </w:tc>
        <w:tc>
          <w:tcPr>
            <w:tcW w:w="796" w:type="dxa"/>
            <w:tcBorders>
              <w:top w:val="nil"/>
              <w:left w:val="nil"/>
              <w:bottom w:val="nil"/>
              <w:right w:val="nil"/>
            </w:tcBorders>
            <w:shd w:val="clear" w:color="auto" w:fill="auto"/>
          </w:tcPr>
          <w:p w14:paraId="1FAE5EF2"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820" w:type="dxa"/>
            <w:tcBorders>
              <w:top w:val="nil"/>
              <w:left w:val="nil"/>
              <w:bottom w:val="nil"/>
              <w:right w:val="nil"/>
            </w:tcBorders>
            <w:shd w:val="clear" w:color="auto" w:fill="auto"/>
          </w:tcPr>
          <w:p w14:paraId="7F7D3178" w14:textId="77777777" w:rsidR="003010BD" w:rsidRPr="006E4DCA" w:rsidRDefault="003010BD" w:rsidP="00011661">
            <w:pPr>
              <w:spacing w:line="240" w:lineRule="auto"/>
              <w:jc w:val="center"/>
              <w:rPr>
                <w:sz w:val="20"/>
                <w:szCs w:val="18"/>
              </w:rPr>
            </w:pPr>
            <w:r w:rsidRPr="006E4DCA">
              <w:rPr>
                <w:color w:val="010205"/>
                <w:sz w:val="20"/>
                <w:szCs w:val="18"/>
              </w:rPr>
              <w:t>-0.22</w:t>
            </w:r>
          </w:p>
        </w:tc>
        <w:tc>
          <w:tcPr>
            <w:tcW w:w="796" w:type="dxa"/>
            <w:tcBorders>
              <w:top w:val="nil"/>
              <w:left w:val="nil"/>
              <w:bottom w:val="nil"/>
              <w:right w:val="nil"/>
            </w:tcBorders>
            <w:shd w:val="clear" w:color="auto" w:fill="auto"/>
          </w:tcPr>
          <w:p w14:paraId="00DFB458" w14:textId="77777777" w:rsidR="003010BD" w:rsidRPr="006E4DCA" w:rsidRDefault="003010BD" w:rsidP="00011661">
            <w:pPr>
              <w:spacing w:line="240" w:lineRule="auto"/>
              <w:jc w:val="center"/>
              <w:rPr>
                <w:sz w:val="20"/>
                <w:szCs w:val="18"/>
              </w:rPr>
            </w:pPr>
            <w:r w:rsidRPr="006E4DCA">
              <w:rPr>
                <w:color w:val="010205"/>
                <w:sz w:val="20"/>
                <w:szCs w:val="18"/>
              </w:rPr>
              <w:t>-0.21</w:t>
            </w:r>
          </w:p>
        </w:tc>
        <w:tc>
          <w:tcPr>
            <w:tcW w:w="796" w:type="dxa"/>
            <w:tcBorders>
              <w:top w:val="nil"/>
              <w:left w:val="nil"/>
              <w:bottom w:val="nil"/>
              <w:right w:val="nil"/>
            </w:tcBorders>
            <w:shd w:val="clear" w:color="auto" w:fill="auto"/>
          </w:tcPr>
          <w:p w14:paraId="21164F3D" w14:textId="77777777" w:rsidR="003010BD" w:rsidRPr="006E4DCA" w:rsidRDefault="003010BD" w:rsidP="00011661">
            <w:pPr>
              <w:spacing w:line="240" w:lineRule="auto"/>
              <w:jc w:val="center"/>
              <w:rPr>
                <w:sz w:val="20"/>
                <w:szCs w:val="18"/>
              </w:rPr>
            </w:pPr>
            <w:r w:rsidRPr="006E4DCA">
              <w:rPr>
                <w:color w:val="010205"/>
                <w:sz w:val="20"/>
                <w:szCs w:val="18"/>
              </w:rPr>
              <w:t>-0.11</w:t>
            </w:r>
          </w:p>
        </w:tc>
      </w:tr>
      <w:tr w:rsidR="003010BD" w:rsidRPr="006E4DCA" w14:paraId="1ABE5029" w14:textId="77777777" w:rsidTr="00011661">
        <w:tc>
          <w:tcPr>
            <w:tcW w:w="234" w:type="dxa"/>
            <w:tcBorders>
              <w:top w:val="nil"/>
              <w:bottom w:val="nil"/>
              <w:right w:val="nil"/>
            </w:tcBorders>
            <w:shd w:val="clear" w:color="auto" w:fill="auto"/>
            <w:vAlign w:val="center"/>
          </w:tcPr>
          <w:p w14:paraId="17BADF84"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71D822C"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Smoking cessation treatment</w:t>
            </w:r>
          </w:p>
        </w:tc>
        <w:tc>
          <w:tcPr>
            <w:tcW w:w="766" w:type="dxa"/>
            <w:tcBorders>
              <w:top w:val="nil"/>
              <w:left w:val="nil"/>
              <w:bottom w:val="nil"/>
              <w:right w:val="nil"/>
            </w:tcBorders>
            <w:shd w:val="clear" w:color="auto" w:fill="auto"/>
          </w:tcPr>
          <w:p w14:paraId="4217CD2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2626B5C7"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1164" w:type="dxa"/>
            <w:tcBorders>
              <w:top w:val="nil"/>
              <w:left w:val="nil"/>
              <w:bottom w:val="nil"/>
              <w:right w:val="nil"/>
            </w:tcBorders>
          </w:tcPr>
          <w:p w14:paraId="36184DE3"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nil"/>
            </w:tcBorders>
            <w:shd w:val="clear" w:color="auto" w:fill="auto"/>
          </w:tcPr>
          <w:p w14:paraId="5D70D8F3" w14:textId="77777777" w:rsidR="003010BD" w:rsidRPr="006E4DCA" w:rsidRDefault="003010BD" w:rsidP="00011661">
            <w:pPr>
              <w:spacing w:line="240" w:lineRule="auto"/>
              <w:jc w:val="center"/>
              <w:rPr>
                <w:sz w:val="20"/>
                <w:szCs w:val="18"/>
              </w:rPr>
            </w:pPr>
            <w:r w:rsidRPr="006E4DCA">
              <w:rPr>
                <w:color w:val="010205"/>
                <w:sz w:val="20"/>
                <w:szCs w:val="18"/>
              </w:rPr>
              <w:t>0.83*</w:t>
            </w:r>
          </w:p>
        </w:tc>
        <w:tc>
          <w:tcPr>
            <w:tcW w:w="796" w:type="dxa"/>
            <w:tcBorders>
              <w:top w:val="nil"/>
              <w:left w:val="nil"/>
              <w:bottom w:val="nil"/>
              <w:right w:val="nil"/>
            </w:tcBorders>
            <w:shd w:val="clear" w:color="auto" w:fill="auto"/>
          </w:tcPr>
          <w:p w14:paraId="4D3FDA2A" w14:textId="77777777" w:rsidR="003010BD" w:rsidRPr="006E4DCA" w:rsidRDefault="003010BD" w:rsidP="00011661">
            <w:pPr>
              <w:spacing w:line="240" w:lineRule="auto"/>
              <w:jc w:val="center"/>
              <w:rPr>
                <w:sz w:val="20"/>
                <w:szCs w:val="18"/>
              </w:rPr>
            </w:pPr>
            <w:r w:rsidRPr="006E4DCA">
              <w:rPr>
                <w:color w:val="010205"/>
                <w:sz w:val="20"/>
                <w:szCs w:val="18"/>
              </w:rPr>
              <w:t>0.37</w:t>
            </w:r>
          </w:p>
        </w:tc>
        <w:tc>
          <w:tcPr>
            <w:tcW w:w="820" w:type="dxa"/>
            <w:tcBorders>
              <w:top w:val="nil"/>
              <w:left w:val="nil"/>
              <w:bottom w:val="nil"/>
              <w:right w:val="nil"/>
            </w:tcBorders>
            <w:shd w:val="clear" w:color="auto" w:fill="auto"/>
          </w:tcPr>
          <w:p w14:paraId="25A148B6" w14:textId="77777777" w:rsidR="003010BD" w:rsidRPr="006E4DCA" w:rsidRDefault="003010BD" w:rsidP="00011661">
            <w:pPr>
              <w:spacing w:line="240" w:lineRule="auto"/>
              <w:jc w:val="center"/>
              <w:rPr>
                <w:sz w:val="20"/>
                <w:szCs w:val="18"/>
              </w:rPr>
            </w:pPr>
            <w:r w:rsidRPr="006E4DCA">
              <w:rPr>
                <w:color w:val="010205"/>
                <w:sz w:val="20"/>
                <w:szCs w:val="18"/>
              </w:rPr>
              <w:t>0.07</w:t>
            </w:r>
          </w:p>
        </w:tc>
        <w:tc>
          <w:tcPr>
            <w:tcW w:w="796" w:type="dxa"/>
            <w:tcBorders>
              <w:top w:val="nil"/>
              <w:left w:val="nil"/>
              <w:bottom w:val="nil"/>
              <w:right w:val="nil"/>
            </w:tcBorders>
            <w:shd w:val="clear" w:color="auto" w:fill="auto"/>
          </w:tcPr>
          <w:p w14:paraId="376F4496" w14:textId="77777777" w:rsidR="003010BD" w:rsidRPr="006E4DCA" w:rsidRDefault="003010BD" w:rsidP="00011661">
            <w:pPr>
              <w:spacing w:line="240" w:lineRule="auto"/>
              <w:jc w:val="center"/>
              <w:rPr>
                <w:sz w:val="20"/>
                <w:szCs w:val="18"/>
              </w:rPr>
            </w:pPr>
            <w:r w:rsidRPr="006E4DCA">
              <w:rPr>
                <w:color w:val="010205"/>
                <w:sz w:val="20"/>
                <w:szCs w:val="18"/>
              </w:rPr>
              <w:t>0.11</w:t>
            </w:r>
          </w:p>
        </w:tc>
        <w:tc>
          <w:tcPr>
            <w:tcW w:w="796" w:type="dxa"/>
            <w:tcBorders>
              <w:top w:val="nil"/>
              <w:left w:val="nil"/>
              <w:bottom w:val="nil"/>
              <w:right w:val="nil"/>
            </w:tcBorders>
            <w:shd w:val="clear" w:color="auto" w:fill="auto"/>
          </w:tcPr>
          <w:p w14:paraId="42A6F97F" w14:textId="77777777" w:rsidR="003010BD" w:rsidRPr="006E4DCA" w:rsidRDefault="003010BD" w:rsidP="00011661">
            <w:pPr>
              <w:spacing w:line="240" w:lineRule="auto"/>
              <w:jc w:val="center"/>
              <w:rPr>
                <w:sz w:val="20"/>
                <w:szCs w:val="18"/>
              </w:rPr>
            </w:pPr>
            <w:r w:rsidRPr="006E4DCA">
              <w:rPr>
                <w:color w:val="010205"/>
                <w:sz w:val="20"/>
                <w:szCs w:val="18"/>
              </w:rPr>
              <w:t>1.55</w:t>
            </w:r>
          </w:p>
        </w:tc>
      </w:tr>
      <w:tr w:rsidR="003010BD" w:rsidRPr="006E4DCA" w14:paraId="7623589B" w14:textId="77777777" w:rsidTr="00011661">
        <w:tc>
          <w:tcPr>
            <w:tcW w:w="234" w:type="dxa"/>
            <w:tcBorders>
              <w:top w:val="nil"/>
              <w:bottom w:val="nil"/>
            </w:tcBorders>
            <w:shd w:val="clear" w:color="auto" w:fill="auto"/>
            <w:vAlign w:val="center"/>
          </w:tcPr>
          <w:p w14:paraId="1215F244" w14:textId="77777777" w:rsidR="003010BD" w:rsidRPr="006E4DCA" w:rsidRDefault="003010BD" w:rsidP="00011661">
            <w:pPr>
              <w:spacing w:line="240" w:lineRule="auto"/>
              <w:jc w:val="left"/>
              <w:rPr>
                <w:sz w:val="20"/>
                <w:szCs w:val="18"/>
              </w:rPr>
            </w:pPr>
          </w:p>
        </w:tc>
        <w:tc>
          <w:tcPr>
            <w:tcW w:w="2387" w:type="dxa"/>
            <w:tcBorders>
              <w:top w:val="nil"/>
              <w:bottom w:val="nil"/>
            </w:tcBorders>
            <w:shd w:val="clear" w:color="auto" w:fill="auto"/>
            <w:vAlign w:val="center"/>
          </w:tcPr>
          <w:p w14:paraId="6EFBC51C" w14:textId="77777777" w:rsidR="003010BD" w:rsidRPr="006E4DCA" w:rsidRDefault="003010BD" w:rsidP="00011661">
            <w:pPr>
              <w:spacing w:line="240" w:lineRule="auto"/>
              <w:jc w:val="left"/>
              <w:rPr>
                <w:sz w:val="20"/>
                <w:szCs w:val="18"/>
              </w:rPr>
            </w:pPr>
            <w:r w:rsidRPr="006E4DCA">
              <w:rPr>
                <w:rFonts w:eastAsia="MS Mincho"/>
                <w:sz w:val="20"/>
                <w:szCs w:val="18"/>
              </w:rPr>
              <w:t xml:space="preserve"> </w:t>
            </w:r>
          </w:p>
        </w:tc>
        <w:tc>
          <w:tcPr>
            <w:tcW w:w="766" w:type="dxa"/>
            <w:tcBorders>
              <w:top w:val="nil"/>
              <w:bottom w:val="nil"/>
            </w:tcBorders>
            <w:shd w:val="clear" w:color="auto" w:fill="auto"/>
          </w:tcPr>
          <w:p w14:paraId="4BC5BC08" w14:textId="77777777" w:rsidR="003010BD" w:rsidRPr="006E4DCA" w:rsidRDefault="003010BD" w:rsidP="00011661">
            <w:pPr>
              <w:spacing w:line="240" w:lineRule="auto"/>
              <w:jc w:val="center"/>
              <w:rPr>
                <w:sz w:val="20"/>
                <w:szCs w:val="18"/>
              </w:rPr>
            </w:pPr>
            <w:r w:rsidRPr="006E4DCA">
              <w:rPr>
                <w:sz w:val="20"/>
                <w:szCs w:val="18"/>
              </w:rPr>
              <w:t>0.12**</w:t>
            </w:r>
          </w:p>
        </w:tc>
        <w:tc>
          <w:tcPr>
            <w:tcW w:w="1459" w:type="dxa"/>
            <w:tcBorders>
              <w:top w:val="nil"/>
              <w:bottom w:val="nil"/>
            </w:tcBorders>
            <w:shd w:val="clear" w:color="auto" w:fill="auto"/>
          </w:tcPr>
          <w:p w14:paraId="7BCB584B" w14:textId="77777777" w:rsidR="003010BD" w:rsidRPr="006E4DCA" w:rsidRDefault="003010BD" w:rsidP="00011661">
            <w:pPr>
              <w:spacing w:line="240" w:lineRule="auto"/>
              <w:jc w:val="center"/>
              <w:rPr>
                <w:sz w:val="20"/>
                <w:szCs w:val="18"/>
              </w:rPr>
            </w:pPr>
            <w:r w:rsidRPr="006E4DCA">
              <w:rPr>
                <w:sz w:val="20"/>
                <w:szCs w:val="18"/>
              </w:rPr>
              <w:t>0.11</w:t>
            </w:r>
          </w:p>
        </w:tc>
        <w:tc>
          <w:tcPr>
            <w:tcW w:w="1164" w:type="dxa"/>
            <w:tcBorders>
              <w:top w:val="nil"/>
              <w:bottom w:val="nil"/>
            </w:tcBorders>
          </w:tcPr>
          <w:p w14:paraId="430729D6" w14:textId="77777777" w:rsidR="003010BD" w:rsidRPr="006E4DCA" w:rsidRDefault="003010BD" w:rsidP="00011661">
            <w:pPr>
              <w:spacing w:line="240" w:lineRule="auto"/>
              <w:jc w:val="center"/>
              <w:rPr>
                <w:color w:val="000000"/>
                <w:sz w:val="20"/>
                <w:szCs w:val="18"/>
              </w:rPr>
            </w:pPr>
            <w:r w:rsidRPr="006E4DCA">
              <w:rPr>
                <w:color w:val="000000"/>
                <w:sz w:val="20"/>
                <w:szCs w:val="18"/>
              </w:rPr>
              <w:t>0.05**</w:t>
            </w:r>
          </w:p>
        </w:tc>
        <w:tc>
          <w:tcPr>
            <w:tcW w:w="914" w:type="dxa"/>
            <w:tcBorders>
              <w:top w:val="nil"/>
              <w:bottom w:val="nil"/>
            </w:tcBorders>
            <w:shd w:val="clear" w:color="auto" w:fill="auto"/>
            <w:vAlign w:val="center"/>
          </w:tcPr>
          <w:p w14:paraId="04DCC280"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241E4E1E"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820" w:type="dxa"/>
            <w:tcBorders>
              <w:top w:val="nil"/>
              <w:bottom w:val="nil"/>
            </w:tcBorders>
            <w:shd w:val="clear" w:color="auto" w:fill="auto"/>
            <w:vAlign w:val="center"/>
          </w:tcPr>
          <w:p w14:paraId="39A78F6B"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6C35D063"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tcPr>
          <w:p w14:paraId="678861F8" w14:textId="77777777" w:rsidR="003010BD" w:rsidRPr="006E4DCA" w:rsidRDefault="003010BD" w:rsidP="00011661">
            <w:pPr>
              <w:spacing w:line="240" w:lineRule="auto"/>
              <w:jc w:val="center"/>
              <w:rPr>
                <w:sz w:val="20"/>
                <w:szCs w:val="18"/>
              </w:rPr>
            </w:pPr>
          </w:p>
        </w:tc>
      </w:tr>
      <w:tr w:rsidR="003010BD" w:rsidRPr="006E4DCA" w14:paraId="0B25B64F" w14:textId="77777777" w:rsidTr="00011661">
        <w:tc>
          <w:tcPr>
            <w:tcW w:w="2621" w:type="dxa"/>
            <w:gridSpan w:val="2"/>
            <w:tcBorders>
              <w:top w:val="nil"/>
              <w:bottom w:val="nil"/>
            </w:tcBorders>
            <w:shd w:val="clear" w:color="auto" w:fill="auto"/>
            <w:vAlign w:val="center"/>
          </w:tcPr>
          <w:p w14:paraId="450B39A1" w14:textId="77777777" w:rsidR="003010BD" w:rsidRPr="006E4DCA" w:rsidRDefault="003010BD" w:rsidP="00011661">
            <w:pPr>
              <w:spacing w:line="240" w:lineRule="auto"/>
              <w:jc w:val="left"/>
              <w:rPr>
                <w:sz w:val="20"/>
                <w:szCs w:val="18"/>
              </w:rPr>
            </w:pPr>
            <w:r w:rsidRPr="006E4DCA">
              <w:rPr>
                <w:sz w:val="20"/>
                <w:szCs w:val="18"/>
              </w:rPr>
              <w:t>Step 4</w:t>
            </w:r>
          </w:p>
        </w:tc>
        <w:tc>
          <w:tcPr>
            <w:tcW w:w="766" w:type="dxa"/>
            <w:tcBorders>
              <w:top w:val="nil"/>
              <w:bottom w:val="nil"/>
            </w:tcBorders>
            <w:shd w:val="clear" w:color="auto" w:fill="auto"/>
          </w:tcPr>
          <w:p w14:paraId="5AAEB120" w14:textId="77777777" w:rsidR="003010BD" w:rsidRPr="006E4DCA" w:rsidRDefault="003010BD" w:rsidP="00011661">
            <w:pPr>
              <w:spacing w:line="240" w:lineRule="auto"/>
              <w:jc w:val="center"/>
              <w:rPr>
                <w:sz w:val="20"/>
                <w:szCs w:val="18"/>
              </w:rPr>
            </w:pPr>
          </w:p>
        </w:tc>
        <w:tc>
          <w:tcPr>
            <w:tcW w:w="1459" w:type="dxa"/>
            <w:tcBorders>
              <w:top w:val="nil"/>
              <w:bottom w:val="nil"/>
            </w:tcBorders>
            <w:shd w:val="clear" w:color="auto" w:fill="auto"/>
          </w:tcPr>
          <w:p w14:paraId="7ACDF815" w14:textId="77777777" w:rsidR="003010BD" w:rsidRPr="006E4DCA" w:rsidRDefault="003010BD" w:rsidP="00011661">
            <w:pPr>
              <w:spacing w:line="240" w:lineRule="auto"/>
              <w:jc w:val="center"/>
              <w:rPr>
                <w:sz w:val="20"/>
                <w:szCs w:val="18"/>
              </w:rPr>
            </w:pPr>
          </w:p>
        </w:tc>
        <w:tc>
          <w:tcPr>
            <w:tcW w:w="1164" w:type="dxa"/>
            <w:tcBorders>
              <w:top w:val="nil"/>
              <w:bottom w:val="nil"/>
            </w:tcBorders>
          </w:tcPr>
          <w:p w14:paraId="4AB32734" w14:textId="77777777" w:rsidR="003010BD" w:rsidRPr="006E4DCA" w:rsidRDefault="003010BD" w:rsidP="00011661">
            <w:pPr>
              <w:spacing w:line="240" w:lineRule="auto"/>
              <w:jc w:val="center"/>
              <w:rPr>
                <w:sz w:val="20"/>
                <w:szCs w:val="18"/>
              </w:rPr>
            </w:pPr>
          </w:p>
        </w:tc>
        <w:tc>
          <w:tcPr>
            <w:tcW w:w="914" w:type="dxa"/>
            <w:tcBorders>
              <w:top w:val="nil"/>
              <w:bottom w:val="nil"/>
            </w:tcBorders>
            <w:shd w:val="clear" w:color="auto" w:fill="auto"/>
            <w:vAlign w:val="center"/>
          </w:tcPr>
          <w:p w14:paraId="55F3CD2E"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05134F02" w14:textId="77777777" w:rsidR="003010BD" w:rsidRPr="006E4DCA" w:rsidRDefault="003010BD" w:rsidP="00011661">
            <w:pPr>
              <w:spacing w:line="240" w:lineRule="auto"/>
              <w:jc w:val="center"/>
              <w:rPr>
                <w:sz w:val="20"/>
                <w:szCs w:val="18"/>
              </w:rPr>
            </w:pPr>
          </w:p>
        </w:tc>
        <w:tc>
          <w:tcPr>
            <w:tcW w:w="820" w:type="dxa"/>
            <w:tcBorders>
              <w:top w:val="nil"/>
              <w:bottom w:val="nil"/>
            </w:tcBorders>
            <w:shd w:val="clear" w:color="auto" w:fill="auto"/>
            <w:vAlign w:val="center"/>
          </w:tcPr>
          <w:p w14:paraId="50CAA56A"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0938BB5D"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607888D1" w14:textId="77777777" w:rsidR="003010BD" w:rsidRPr="006E4DCA" w:rsidRDefault="003010BD" w:rsidP="00011661">
            <w:pPr>
              <w:spacing w:line="240" w:lineRule="auto"/>
              <w:jc w:val="center"/>
              <w:rPr>
                <w:sz w:val="20"/>
                <w:szCs w:val="18"/>
              </w:rPr>
            </w:pPr>
          </w:p>
        </w:tc>
      </w:tr>
      <w:tr w:rsidR="003010BD" w:rsidRPr="006E4DCA" w14:paraId="5BDD1D25" w14:textId="77777777" w:rsidTr="00011661">
        <w:trPr>
          <w:trHeight w:val="227"/>
        </w:trPr>
        <w:tc>
          <w:tcPr>
            <w:tcW w:w="234" w:type="dxa"/>
            <w:tcBorders>
              <w:top w:val="nil"/>
              <w:bottom w:val="nil"/>
              <w:right w:val="nil"/>
            </w:tcBorders>
            <w:shd w:val="clear" w:color="auto" w:fill="auto"/>
            <w:vAlign w:val="center"/>
          </w:tcPr>
          <w:p w14:paraId="40CFBC42"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C75F55B" w14:textId="77777777" w:rsidR="003010BD" w:rsidRPr="006E4DCA" w:rsidRDefault="003010BD" w:rsidP="00011661">
            <w:pPr>
              <w:spacing w:line="240" w:lineRule="auto"/>
              <w:jc w:val="left"/>
              <w:rPr>
                <w:sz w:val="20"/>
                <w:szCs w:val="18"/>
              </w:rPr>
            </w:pPr>
            <w:r w:rsidRPr="006E4DCA">
              <w:rPr>
                <w:sz w:val="20"/>
                <w:szCs w:val="18"/>
              </w:rPr>
              <w:t>Gender</w:t>
            </w:r>
          </w:p>
        </w:tc>
        <w:tc>
          <w:tcPr>
            <w:tcW w:w="766" w:type="dxa"/>
            <w:tcBorders>
              <w:top w:val="nil"/>
              <w:left w:val="nil"/>
              <w:bottom w:val="nil"/>
              <w:right w:val="nil"/>
            </w:tcBorders>
            <w:shd w:val="clear" w:color="auto" w:fill="auto"/>
          </w:tcPr>
          <w:p w14:paraId="5452ABE7"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0299A2E6"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5B0B0D32" w14:textId="77777777" w:rsidR="003010BD" w:rsidRPr="006E4DCA" w:rsidRDefault="003010BD" w:rsidP="00011661">
            <w:pPr>
              <w:spacing w:line="240" w:lineRule="auto"/>
              <w:jc w:val="center"/>
              <w:rPr>
                <w:color w:val="010205"/>
                <w:sz w:val="20"/>
                <w:szCs w:val="18"/>
              </w:rPr>
            </w:pPr>
          </w:p>
        </w:tc>
        <w:tc>
          <w:tcPr>
            <w:tcW w:w="914" w:type="dxa"/>
            <w:tcBorders>
              <w:top w:val="single" w:sz="4" w:space="0" w:color="AEAEAE"/>
              <w:left w:val="nil"/>
              <w:bottom w:val="single" w:sz="4" w:space="0" w:color="AEAEAE"/>
              <w:right w:val="single" w:sz="4" w:space="0" w:color="E0E0E0"/>
            </w:tcBorders>
            <w:shd w:val="clear" w:color="auto" w:fill="auto"/>
          </w:tcPr>
          <w:p w14:paraId="5206277C" w14:textId="77777777" w:rsidR="003010BD" w:rsidRPr="006E4DCA" w:rsidRDefault="003010BD" w:rsidP="00011661">
            <w:pPr>
              <w:spacing w:line="240" w:lineRule="auto"/>
              <w:jc w:val="center"/>
              <w:rPr>
                <w:sz w:val="20"/>
                <w:szCs w:val="18"/>
              </w:rPr>
            </w:pPr>
            <w:r w:rsidRPr="006E4DCA">
              <w:rPr>
                <w:color w:val="010205"/>
                <w:sz w:val="20"/>
                <w:szCs w:val="18"/>
              </w:rPr>
              <w:t>-0.46**</w:t>
            </w:r>
          </w:p>
        </w:tc>
        <w:tc>
          <w:tcPr>
            <w:tcW w:w="796" w:type="dxa"/>
            <w:tcBorders>
              <w:top w:val="single" w:sz="4" w:space="0" w:color="AEAEAE"/>
              <w:left w:val="nil"/>
              <w:bottom w:val="single" w:sz="4" w:space="0" w:color="AEAEAE"/>
              <w:right w:val="single" w:sz="4" w:space="0" w:color="E0E0E0"/>
            </w:tcBorders>
            <w:shd w:val="clear" w:color="auto" w:fill="auto"/>
          </w:tcPr>
          <w:p w14:paraId="5125953D" w14:textId="77777777" w:rsidR="003010BD" w:rsidRPr="006E4DCA" w:rsidRDefault="003010BD" w:rsidP="00011661">
            <w:pPr>
              <w:spacing w:line="240" w:lineRule="auto"/>
              <w:jc w:val="center"/>
              <w:rPr>
                <w:sz w:val="20"/>
                <w:szCs w:val="18"/>
              </w:rPr>
            </w:pPr>
            <w:r w:rsidRPr="006E4DCA">
              <w:rPr>
                <w:color w:val="010205"/>
                <w:sz w:val="20"/>
                <w:szCs w:val="18"/>
              </w:rPr>
              <w:t>0.15</w:t>
            </w:r>
          </w:p>
        </w:tc>
        <w:tc>
          <w:tcPr>
            <w:tcW w:w="820" w:type="dxa"/>
            <w:tcBorders>
              <w:top w:val="single" w:sz="4" w:space="0" w:color="AEAEAE"/>
              <w:left w:val="nil"/>
              <w:bottom w:val="single" w:sz="4" w:space="0" w:color="AEAEAE"/>
              <w:right w:val="single" w:sz="4" w:space="0" w:color="E0E0E0"/>
            </w:tcBorders>
            <w:shd w:val="clear" w:color="auto" w:fill="auto"/>
          </w:tcPr>
          <w:p w14:paraId="29DB3328" w14:textId="77777777" w:rsidR="003010BD" w:rsidRPr="006E4DCA" w:rsidRDefault="003010BD" w:rsidP="00011661">
            <w:pPr>
              <w:spacing w:line="240" w:lineRule="auto"/>
              <w:jc w:val="center"/>
              <w:rPr>
                <w:sz w:val="20"/>
                <w:szCs w:val="18"/>
              </w:rPr>
            </w:pPr>
            <w:r w:rsidRPr="006E4DCA">
              <w:rPr>
                <w:color w:val="010205"/>
                <w:sz w:val="20"/>
                <w:szCs w:val="18"/>
              </w:rPr>
              <w:t>-0.09</w:t>
            </w:r>
          </w:p>
        </w:tc>
        <w:tc>
          <w:tcPr>
            <w:tcW w:w="796" w:type="dxa"/>
            <w:tcBorders>
              <w:top w:val="single" w:sz="4" w:space="0" w:color="AEAEAE"/>
              <w:left w:val="nil"/>
              <w:bottom w:val="single" w:sz="4" w:space="0" w:color="AEAEAE"/>
              <w:right w:val="single" w:sz="4" w:space="0" w:color="E0E0E0"/>
            </w:tcBorders>
            <w:shd w:val="clear" w:color="auto" w:fill="auto"/>
          </w:tcPr>
          <w:p w14:paraId="594651E2" w14:textId="77777777" w:rsidR="003010BD" w:rsidRPr="006E4DCA" w:rsidRDefault="003010BD" w:rsidP="00011661">
            <w:pPr>
              <w:spacing w:line="240" w:lineRule="auto"/>
              <w:jc w:val="center"/>
              <w:rPr>
                <w:sz w:val="20"/>
                <w:szCs w:val="18"/>
              </w:rPr>
            </w:pPr>
            <w:r w:rsidRPr="006E4DCA">
              <w:rPr>
                <w:color w:val="010205"/>
                <w:sz w:val="20"/>
                <w:szCs w:val="18"/>
              </w:rPr>
              <w:t>-0.77</w:t>
            </w:r>
          </w:p>
        </w:tc>
        <w:tc>
          <w:tcPr>
            <w:tcW w:w="796" w:type="dxa"/>
            <w:tcBorders>
              <w:top w:val="single" w:sz="4" w:space="0" w:color="AEAEAE"/>
              <w:left w:val="nil"/>
              <w:bottom w:val="single" w:sz="4" w:space="0" w:color="AEAEAE"/>
              <w:right w:val="single" w:sz="4" w:space="0" w:color="E0E0E0"/>
            </w:tcBorders>
            <w:shd w:val="clear" w:color="auto" w:fill="auto"/>
          </w:tcPr>
          <w:p w14:paraId="79C02876" w14:textId="77777777" w:rsidR="003010BD" w:rsidRPr="006E4DCA" w:rsidRDefault="003010BD" w:rsidP="00011661">
            <w:pPr>
              <w:spacing w:line="240" w:lineRule="auto"/>
              <w:jc w:val="center"/>
              <w:rPr>
                <w:sz w:val="20"/>
                <w:szCs w:val="18"/>
              </w:rPr>
            </w:pPr>
            <w:r w:rsidRPr="006E4DCA">
              <w:rPr>
                <w:color w:val="010205"/>
                <w:sz w:val="20"/>
                <w:szCs w:val="18"/>
              </w:rPr>
              <w:t>-0.16</w:t>
            </w:r>
          </w:p>
        </w:tc>
      </w:tr>
      <w:tr w:rsidR="003010BD" w:rsidRPr="006E4DCA" w14:paraId="7859F02E" w14:textId="77777777" w:rsidTr="00011661">
        <w:tc>
          <w:tcPr>
            <w:tcW w:w="234" w:type="dxa"/>
            <w:tcBorders>
              <w:top w:val="nil"/>
              <w:bottom w:val="nil"/>
              <w:right w:val="nil"/>
            </w:tcBorders>
            <w:shd w:val="clear" w:color="auto" w:fill="auto"/>
            <w:vAlign w:val="center"/>
          </w:tcPr>
          <w:p w14:paraId="4CB3EC08"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2D72D5B6" w14:textId="77777777" w:rsidR="003010BD" w:rsidRPr="006E4DCA" w:rsidRDefault="003010BD" w:rsidP="00011661">
            <w:pPr>
              <w:spacing w:line="240" w:lineRule="auto"/>
              <w:jc w:val="left"/>
              <w:rPr>
                <w:sz w:val="20"/>
                <w:szCs w:val="18"/>
              </w:rPr>
            </w:pPr>
            <w:r w:rsidRPr="006E4DCA">
              <w:rPr>
                <w:rFonts w:eastAsia="MS Mincho"/>
                <w:sz w:val="20"/>
                <w:szCs w:val="18"/>
              </w:rPr>
              <w:t>Age</w:t>
            </w:r>
          </w:p>
        </w:tc>
        <w:tc>
          <w:tcPr>
            <w:tcW w:w="766" w:type="dxa"/>
            <w:tcBorders>
              <w:top w:val="nil"/>
              <w:left w:val="nil"/>
              <w:bottom w:val="nil"/>
              <w:right w:val="nil"/>
            </w:tcBorders>
            <w:shd w:val="clear" w:color="auto" w:fill="auto"/>
          </w:tcPr>
          <w:p w14:paraId="297D62B0"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4A3FBCEC"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0A3F926A"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3E09678"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19F948A5"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820" w:type="dxa"/>
            <w:tcBorders>
              <w:top w:val="nil"/>
              <w:left w:val="nil"/>
              <w:bottom w:val="single" w:sz="4" w:space="0" w:color="AEAEAE"/>
              <w:right w:val="single" w:sz="4" w:space="0" w:color="E0E0E0"/>
            </w:tcBorders>
            <w:shd w:val="clear" w:color="auto" w:fill="auto"/>
          </w:tcPr>
          <w:p w14:paraId="0B64AD9F" w14:textId="77777777" w:rsidR="003010BD" w:rsidRPr="006E4DCA" w:rsidRDefault="003010BD" w:rsidP="00011661">
            <w:pPr>
              <w:spacing w:line="240" w:lineRule="auto"/>
              <w:jc w:val="center"/>
              <w:rPr>
                <w:sz w:val="20"/>
                <w:szCs w:val="18"/>
              </w:rPr>
            </w:pPr>
            <w:r w:rsidRPr="006E4DCA">
              <w:rPr>
                <w:color w:val="010205"/>
                <w:sz w:val="20"/>
                <w:szCs w:val="18"/>
              </w:rPr>
              <w:t>0.14</w:t>
            </w:r>
          </w:p>
        </w:tc>
        <w:tc>
          <w:tcPr>
            <w:tcW w:w="796" w:type="dxa"/>
            <w:tcBorders>
              <w:top w:val="nil"/>
              <w:left w:val="nil"/>
              <w:bottom w:val="single" w:sz="4" w:space="0" w:color="AEAEAE"/>
              <w:right w:val="single" w:sz="4" w:space="0" w:color="E0E0E0"/>
            </w:tcBorders>
            <w:shd w:val="clear" w:color="auto" w:fill="auto"/>
          </w:tcPr>
          <w:p w14:paraId="306571C6"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796" w:type="dxa"/>
            <w:tcBorders>
              <w:top w:val="nil"/>
              <w:left w:val="nil"/>
              <w:bottom w:val="single" w:sz="4" w:space="0" w:color="AEAEAE"/>
              <w:right w:val="single" w:sz="4" w:space="0" w:color="E0E0E0"/>
            </w:tcBorders>
            <w:shd w:val="clear" w:color="auto" w:fill="auto"/>
          </w:tcPr>
          <w:p w14:paraId="3ECA7792" w14:textId="77777777" w:rsidR="003010BD" w:rsidRPr="006E4DCA" w:rsidRDefault="003010BD" w:rsidP="00011661">
            <w:pPr>
              <w:spacing w:line="240" w:lineRule="auto"/>
              <w:jc w:val="center"/>
              <w:rPr>
                <w:sz w:val="20"/>
                <w:szCs w:val="18"/>
              </w:rPr>
            </w:pPr>
            <w:r w:rsidRPr="006E4DCA">
              <w:rPr>
                <w:color w:val="010205"/>
                <w:sz w:val="20"/>
                <w:szCs w:val="18"/>
              </w:rPr>
              <w:t>0.06</w:t>
            </w:r>
          </w:p>
        </w:tc>
      </w:tr>
      <w:tr w:rsidR="003010BD" w:rsidRPr="006E4DCA" w14:paraId="44BF74B5" w14:textId="77777777" w:rsidTr="00011661">
        <w:tc>
          <w:tcPr>
            <w:tcW w:w="234" w:type="dxa"/>
            <w:tcBorders>
              <w:top w:val="nil"/>
              <w:bottom w:val="nil"/>
              <w:right w:val="nil"/>
            </w:tcBorders>
            <w:shd w:val="clear" w:color="auto" w:fill="auto"/>
            <w:vAlign w:val="center"/>
          </w:tcPr>
          <w:p w14:paraId="2D60143E"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59F547FE"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HADS-A</w:t>
            </w:r>
          </w:p>
        </w:tc>
        <w:tc>
          <w:tcPr>
            <w:tcW w:w="766" w:type="dxa"/>
            <w:tcBorders>
              <w:top w:val="nil"/>
              <w:left w:val="nil"/>
              <w:bottom w:val="nil"/>
              <w:right w:val="nil"/>
            </w:tcBorders>
            <w:shd w:val="clear" w:color="auto" w:fill="auto"/>
          </w:tcPr>
          <w:p w14:paraId="31D7C154"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3D207621"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216095D3"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11607E38" w14:textId="77777777" w:rsidR="003010BD" w:rsidRPr="006E4DCA" w:rsidRDefault="003010BD" w:rsidP="00011661">
            <w:pPr>
              <w:spacing w:line="240" w:lineRule="auto"/>
              <w:jc w:val="center"/>
              <w:rPr>
                <w:color w:val="000000"/>
                <w:sz w:val="20"/>
                <w:szCs w:val="18"/>
              </w:rPr>
            </w:pPr>
            <w:r w:rsidRPr="006E4DCA">
              <w:rPr>
                <w:color w:val="010205"/>
                <w:sz w:val="20"/>
                <w:szCs w:val="18"/>
              </w:rPr>
              <w:t>-0.01</w:t>
            </w:r>
          </w:p>
        </w:tc>
        <w:tc>
          <w:tcPr>
            <w:tcW w:w="796" w:type="dxa"/>
            <w:tcBorders>
              <w:top w:val="nil"/>
              <w:left w:val="nil"/>
              <w:bottom w:val="single" w:sz="4" w:space="0" w:color="AEAEAE"/>
              <w:right w:val="single" w:sz="4" w:space="0" w:color="E0E0E0"/>
            </w:tcBorders>
            <w:shd w:val="clear" w:color="auto" w:fill="auto"/>
          </w:tcPr>
          <w:p w14:paraId="3DD6F785" w14:textId="77777777" w:rsidR="003010BD" w:rsidRPr="006E4DCA" w:rsidRDefault="003010BD" w:rsidP="00011661">
            <w:pPr>
              <w:spacing w:line="240" w:lineRule="auto"/>
              <w:jc w:val="center"/>
              <w:rPr>
                <w:color w:val="000000"/>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7AE28699" w14:textId="77777777" w:rsidR="003010BD" w:rsidRPr="006E4DCA" w:rsidRDefault="003010BD" w:rsidP="00011661">
            <w:pPr>
              <w:spacing w:line="240" w:lineRule="auto"/>
              <w:jc w:val="center"/>
              <w:rPr>
                <w:color w:val="000000"/>
                <w:sz w:val="20"/>
                <w:szCs w:val="18"/>
              </w:rPr>
            </w:pPr>
            <w:r w:rsidRPr="006E4DCA">
              <w:rPr>
                <w:color w:val="010205"/>
                <w:sz w:val="20"/>
                <w:szCs w:val="18"/>
              </w:rPr>
              <w:t>-0.01</w:t>
            </w:r>
          </w:p>
        </w:tc>
        <w:tc>
          <w:tcPr>
            <w:tcW w:w="796" w:type="dxa"/>
            <w:tcBorders>
              <w:top w:val="nil"/>
              <w:left w:val="nil"/>
              <w:bottom w:val="single" w:sz="4" w:space="0" w:color="AEAEAE"/>
              <w:right w:val="single" w:sz="4" w:space="0" w:color="E0E0E0"/>
            </w:tcBorders>
            <w:shd w:val="clear" w:color="auto" w:fill="auto"/>
          </w:tcPr>
          <w:p w14:paraId="5F52A141" w14:textId="77777777" w:rsidR="003010BD" w:rsidRPr="006E4DCA" w:rsidRDefault="003010BD" w:rsidP="00011661">
            <w:pPr>
              <w:spacing w:line="240" w:lineRule="auto"/>
              <w:jc w:val="center"/>
              <w:rPr>
                <w:color w:val="000000"/>
                <w:sz w:val="20"/>
                <w:szCs w:val="18"/>
              </w:rPr>
            </w:pPr>
            <w:r w:rsidRPr="006E4DCA">
              <w:rPr>
                <w:color w:val="010205"/>
                <w:sz w:val="20"/>
                <w:szCs w:val="18"/>
              </w:rPr>
              <w:t>-0.05</w:t>
            </w:r>
          </w:p>
        </w:tc>
        <w:tc>
          <w:tcPr>
            <w:tcW w:w="796" w:type="dxa"/>
            <w:tcBorders>
              <w:top w:val="nil"/>
              <w:left w:val="nil"/>
              <w:bottom w:val="single" w:sz="4" w:space="0" w:color="AEAEAE"/>
              <w:right w:val="single" w:sz="4" w:space="0" w:color="E0E0E0"/>
            </w:tcBorders>
            <w:shd w:val="clear" w:color="auto" w:fill="auto"/>
          </w:tcPr>
          <w:p w14:paraId="00011641" w14:textId="77777777" w:rsidR="003010BD" w:rsidRPr="006E4DCA" w:rsidRDefault="003010BD" w:rsidP="00011661">
            <w:pPr>
              <w:spacing w:line="240" w:lineRule="auto"/>
              <w:jc w:val="center"/>
              <w:rPr>
                <w:color w:val="000000"/>
                <w:sz w:val="20"/>
                <w:szCs w:val="18"/>
              </w:rPr>
            </w:pPr>
            <w:r w:rsidRPr="006E4DCA">
              <w:rPr>
                <w:color w:val="010205"/>
                <w:sz w:val="20"/>
                <w:szCs w:val="18"/>
              </w:rPr>
              <w:t>0.04</w:t>
            </w:r>
          </w:p>
        </w:tc>
      </w:tr>
      <w:tr w:rsidR="003010BD" w:rsidRPr="006E4DCA" w14:paraId="1B957D7F" w14:textId="77777777" w:rsidTr="00011661">
        <w:tc>
          <w:tcPr>
            <w:tcW w:w="234" w:type="dxa"/>
            <w:tcBorders>
              <w:top w:val="nil"/>
              <w:bottom w:val="nil"/>
              <w:right w:val="nil"/>
            </w:tcBorders>
            <w:shd w:val="clear" w:color="auto" w:fill="auto"/>
            <w:vAlign w:val="center"/>
          </w:tcPr>
          <w:p w14:paraId="7FED2D53"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8F0D498"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HADS-D</w:t>
            </w:r>
          </w:p>
        </w:tc>
        <w:tc>
          <w:tcPr>
            <w:tcW w:w="766" w:type="dxa"/>
            <w:tcBorders>
              <w:top w:val="nil"/>
              <w:left w:val="nil"/>
              <w:bottom w:val="nil"/>
              <w:right w:val="nil"/>
            </w:tcBorders>
            <w:shd w:val="clear" w:color="auto" w:fill="auto"/>
          </w:tcPr>
          <w:p w14:paraId="5A18A668"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7EB4BFCA"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772EAAAE"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5456D09E" w14:textId="77777777" w:rsidR="003010BD" w:rsidRPr="006E4DCA" w:rsidRDefault="003010BD" w:rsidP="00011661">
            <w:pPr>
              <w:spacing w:line="240" w:lineRule="auto"/>
              <w:jc w:val="center"/>
              <w:rPr>
                <w:color w:val="000000"/>
                <w:sz w:val="20"/>
                <w:szCs w:val="18"/>
              </w:rPr>
            </w:pPr>
            <w:r w:rsidRPr="006E4DCA">
              <w:rPr>
                <w:color w:val="010205"/>
                <w:sz w:val="20"/>
                <w:szCs w:val="18"/>
              </w:rPr>
              <w:t>0.09**</w:t>
            </w:r>
          </w:p>
        </w:tc>
        <w:tc>
          <w:tcPr>
            <w:tcW w:w="796" w:type="dxa"/>
            <w:tcBorders>
              <w:top w:val="nil"/>
              <w:left w:val="nil"/>
              <w:bottom w:val="single" w:sz="4" w:space="0" w:color="AEAEAE"/>
              <w:right w:val="single" w:sz="4" w:space="0" w:color="E0E0E0"/>
            </w:tcBorders>
            <w:shd w:val="clear" w:color="auto" w:fill="auto"/>
          </w:tcPr>
          <w:p w14:paraId="218E1D89" w14:textId="77777777" w:rsidR="003010BD" w:rsidRPr="006E4DCA" w:rsidRDefault="003010BD" w:rsidP="00011661">
            <w:pPr>
              <w:spacing w:line="240" w:lineRule="auto"/>
              <w:jc w:val="center"/>
              <w:rPr>
                <w:color w:val="000000"/>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640FC5F7" w14:textId="77777777" w:rsidR="003010BD" w:rsidRPr="006E4DCA" w:rsidRDefault="003010BD" w:rsidP="00011661">
            <w:pPr>
              <w:spacing w:line="240" w:lineRule="auto"/>
              <w:jc w:val="center"/>
              <w:rPr>
                <w:color w:val="000000"/>
                <w:sz w:val="20"/>
                <w:szCs w:val="18"/>
              </w:rPr>
            </w:pPr>
            <w:r w:rsidRPr="006E4DCA">
              <w:rPr>
                <w:color w:val="010205"/>
                <w:sz w:val="20"/>
                <w:szCs w:val="18"/>
              </w:rPr>
              <w:t>0.15</w:t>
            </w:r>
          </w:p>
        </w:tc>
        <w:tc>
          <w:tcPr>
            <w:tcW w:w="796" w:type="dxa"/>
            <w:tcBorders>
              <w:top w:val="nil"/>
              <w:left w:val="nil"/>
              <w:bottom w:val="single" w:sz="4" w:space="0" w:color="AEAEAE"/>
              <w:right w:val="single" w:sz="4" w:space="0" w:color="E0E0E0"/>
            </w:tcBorders>
            <w:shd w:val="clear" w:color="auto" w:fill="auto"/>
          </w:tcPr>
          <w:p w14:paraId="4C2A9395" w14:textId="77777777" w:rsidR="003010BD" w:rsidRPr="006E4DCA" w:rsidRDefault="003010BD" w:rsidP="00011661">
            <w:pPr>
              <w:spacing w:line="240" w:lineRule="auto"/>
              <w:jc w:val="center"/>
              <w:rPr>
                <w:color w:val="000000"/>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186CA8D4" w14:textId="77777777" w:rsidR="003010BD" w:rsidRPr="006E4DCA" w:rsidRDefault="003010BD" w:rsidP="00011661">
            <w:pPr>
              <w:spacing w:line="240" w:lineRule="auto"/>
              <w:jc w:val="center"/>
              <w:rPr>
                <w:color w:val="000000"/>
                <w:sz w:val="20"/>
                <w:szCs w:val="18"/>
              </w:rPr>
            </w:pPr>
            <w:r w:rsidRPr="006E4DCA">
              <w:rPr>
                <w:color w:val="010205"/>
                <w:sz w:val="20"/>
                <w:szCs w:val="18"/>
              </w:rPr>
              <w:t>0.14</w:t>
            </w:r>
          </w:p>
        </w:tc>
      </w:tr>
      <w:tr w:rsidR="003010BD" w:rsidRPr="006E4DCA" w14:paraId="40A9EB07" w14:textId="77777777" w:rsidTr="00011661">
        <w:tc>
          <w:tcPr>
            <w:tcW w:w="234" w:type="dxa"/>
            <w:tcBorders>
              <w:top w:val="nil"/>
              <w:bottom w:val="nil"/>
              <w:right w:val="nil"/>
            </w:tcBorders>
            <w:shd w:val="clear" w:color="auto" w:fill="auto"/>
            <w:vAlign w:val="center"/>
          </w:tcPr>
          <w:p w14:paraId="50FC389E"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714EA2D" w14:textId="77777777" w:rsidR="003010BD" w:rsidRPr="006E4DCA" w:rsidRDefault="003010BD" w:rsidP="00011661">
            <w:pPr>
              <w:spacing w:line="240" w:lineRule="auto"/>
              <w:jc w:val="left"/>
              <w:rPr>
                <w:sz w:val="20"/>
                <w:szCs w:val="18"/>
              </w:rPr>
            </w:pPr>
            <w:r w:rsidRPr="006E4DCA">
              <w:rPr>
                <w:rFonts w:eastAsia="MS Mincho"/>
                <w:sz w:val="20"/>
                <w:szCs w:val="18"/>
              </w:rPr>
              <w:t>SSA</w:t>
            </w:r>
          </w:p>
        </w:tc>
        <w:tc>
          <w:tcPr>
            <w:tcW w:w="766" w:type="dxa"/>
            <w:tcBorders>
              <w:top w:val="nil"/>
              <w:left w:val="nil"/>
              <w:bottom w:val="nil"/>
              <w:right w:val="nil"/>
            </w:tcBorders>
            <w:shd w:val="clear" w:color="auto" w:fill="auto"/>
          </w:tcPr>
          <w:p w14:paraId="7868A5F3"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1B340CE"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34C9FD79"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40DCE3E" w14:textId="77777777" w:rsidR="003010BD" w:rsidRPr="006E4DCA" w:rsidRDefault="003010BD" w:rsidP="00011661">
            <w:pPr>
              <w:spacing w:line="240" w:lineRule="auto"/>
              <w:jc w:val="center"/>
              <w:rPr>
                <w:sz w:val="20"/>
                <w:szCs w:val="18"/>
              </w:rPr>
            </w:pPr>
            <w:r w:rsidRPr="006E4DCA">
              <w:rPr>
                <w:color w:val="010205"/>
                <w:sz w:val="20"/>
                <w:szCs w:val="18"/>
              </w:rPr>
              <w:t>-0.10</w:t>
            </w:r>
          </w:p>
        </w:tc>
        <w:tc>
          <w:tcPr>
            <w:tcW w:w="796" w:type="dxa"/>
            <w:tcBorders>
              <w:top w:val="nil"/>
              <w:left w:val="nil"/>
              <w:bottom w:val="single" w:sz="4" w:space="0" w:color="AEAEAE"/>
              <w:right w:val="single" w:sz="4" w:space="0" w:color="E0E0E0"/>
            </w:tcBorders>
            <w:shd w:val="clear" w:color="auto" w:fill="auto"/>
          </w:tcPr>
          <w:p w14:paraId="60ADFEB5"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0E114BF6" w14:textId="77777777" w:rsidR="003010BD" w:rsidRPr="006E4DCA" w:rsidRDefault="003010BD" w:rsidP="00011661">
            <w:pPr>
              <w:spacing w:line="240" w:lineRule="auto"/>
              <w:jc w:val="center"/>
              <w:rPr>
                <w:sz w:val="20"/>
                <w:szCs w:val="18"/>
              </w:rPr>
            </w:pPr>
            <w:r w:rsidRPr="006E4DCA">
              <w:rPr>
                <w:color w:val="010205"/>
                <w:sz w:val="20"/>
                <w:szCs w:val="18"/>
              </w:rPr>
              <w:t>-0.14</w:t>
            </w:r>
          </w:p>
        </w:tc>
        <w:tc>
          <w:tcPr>
            <w:tcW w:w="796" w:type="dxa"/>
            <w:tcBorders>
              <w:top w:val="nil"/>
              <w:left w:val="nil"/>
              <w:bottom w:val="single" w:sz="4" w:space="0" w:color="AEAEAE"/>
              <w:right w:val="single" w:sz="4" w:space="0" w:color="E0E0E0"/>
            </w:tcBorders>
            <w:shd w:val="clear" w:color="auto" w:fill="auto"/>
          </w:tcPr>
          <w:p w14:paraId="489BC68D" w14:textId="77777777" w:rsidR="003010BD" w:rsidRPr="006E4DCA" w:rsidRDefault="003010BD" w:rsidP="00011661">
            <w:pPr>
              <w:spacing w:line="240" w:lineRule="auto"/>
              <w:jc w:val="center"/>
              <w:rPr>
                <w:sz w:val="20"/>
                <w:szCs w:val="18"/>
              </w:rPr>
            </w:pPr>
            <w:r w:rsidRPr="006E4DCA">
              <w:rPr>
                <w:color w:val="010205"/>
                <w:sz w:val="20"/>
                <w:szCs w:val="18"/>
              </w:rPr>
              <w:t>-0.15</w:t>
            </w:r>
          </w:p>
        </w:tc>
        <w:tc>
          <w:tcPr>
            <w:tcW w:w="796" w:type="dxa"/>
            <w:tcBorders>
              <w:top w:val="nil"/>
              <w:left w:val="nil"/>
              <w:bottom w:val="single" w:sz="4" w:space="0" w:color="AEAEAE"/>
              <w:right w:val="single" w:sz="4" w:space="0" w:color="E0E0E0"/>
            </w:tcBorders>
            <w:shd w:val="clear" w:color="auto" w:fill="auto"/>
          </w:tcPr>
          <w:p w14:paraId="1B1CF32E" w14:textId="77777777" w:rsidR="003010BD" w:rsidRPr="006E4DCA" w:rsidRDefault="003010BD" w:rsidP="00011661">
            <w:pPr>
              <w:spacing w:line="240" w:lineRule="auto"/>
              <w:jc w:val="center"/>
              <w:rPr>
                <w:sz w:val="20"/>
                <w:szCs w:val="18"/>
              </w:rPr>
            </w:pPr>
            <w:r w:rsidRPr="006E4DCA">
              <w:rPr>
                <w:color w:val="010205"/>
                <w:sz w:val="20"/>
                <w:szCs w:val="18"/>
              </w:rPr>
              <w:t>-0.05</w:t>
            </w:r>
          </w:p>
        </w:tc>
      </w:tr>
      <w:tr w:rsidR="003010BD" w:rsidRPr="006E4DCA" w14:paraId="75C5556A" w14:textId="77777777" w:rsidTr="00011661">
        <w:tc>
          <w:tcPr>
            <w:tcW w:w="234" w:type="dxa"/>
            <w:tcBorders>
              <w:top w:val="nil"/>
              <w:bottom w:val="nil"/>
              <w:right w:val="nil"/>
            </w:tcBorders>
            <w:shd w:val="clear" w:color="auto" w:fill="auto"/>
            <w:vAlign w:val="center"/>
          </w:tcPr>
          <w:p w14:paraId="51AA31AD"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0940944A" w14:textId="77777777" w:rsidR="003010BD" w:rsidRPr="006E4DCA" w:rsidRDefault="003010BD" w:rsidP="00011661">
            <w:pPr>
              <w:spacing w:line="240" w:lineRule="auto"/>
              <w:jc w:val="left"/>
              <w:rPr>
                <w:sz w:val="20"/>
                <w:szCs w:val="18"/>
              </w:rPr>
            </w:pPr>
            <w:r w:rsidRPr="006E4DCA">
              <w:rPr>
                <w:rFonts w:eastAsia="MS Mincho"/>
                <w:sz w:val="20"/>
                <w:szCs w:val="18"/>
              </w:rPr>
              <w:t>Smoking cessation treatment</w:t>
            </w:r>
          </w:p>
        </w:tc>
        <w:tc>
          <w:tcPr>
            <w:tcW w:w="766" w:type="dxa"/>
            <w:tcBorders>
              <w:top w:val="nil"/>
              <w:left w:val="nil"/>
              <w:bottom w:val="nil"/>
              <w:right w:val="nil"/>
            </w:tcBorders>
            <w:shd w:val="clear" w:color="auto" w:fill="auto"/>
          </w:tcPr>
          <w:p w14:paraId="0D859794"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5914C12F"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0C441FAA"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2C7F6C57" w14:textId="77777777" w:rsidR="003010BD" w:rsidRPr="006E4DCA" w:rsidRDefault="003010BD" w:rsidP="00011661">
            <w:pPr>
              <w:spacing w:line="240" w:lineRule="auto"/>
              <w:jc w:val="center"/>
              <w:rPr>
                <w:sz w:val="20"/>
                <w:szCs w:val="18"/>
              </w:rPr>
            </w:pPr>
            <w:r w:rsidRPr="006E4DCA">
              <w:rPr>
                <w:color w:val="010205"/>
                <w:sz w:val="20"/>
                <w:szCs w:val="18"/>
              </w:rPr>
              <w:t>0.61</w:t>
            </w:r>
          </w:p>
        </w:tc>
        <w:tc>
          <w:tcPr>
            <w:tcW w:w="796" w:type="dxa"/>
            <w:tcBorders>
              <w:top w:val="nil"/>
              <w:left w:val="nil"/>
              <w:bottom w:val="single" w:sz="4" w:space="0" w:color="AEAEAE"/>
              <w:right w:val="single" w:sz="4" w:space="0" w:color="E0E0E0"/>
            </w:tcBorders>
            <w:shd w:val="clear" w:color="auto" w:fill="auto"/>
          </w:tcPr>
          <w:p w14:paraId="2F6C0632" w14:textId="77777777" w:rsidR="003010BD" w:rsidRPr="006E4DCA" w:rsidRDefault="003010BD" w:rsidP="00011661">
            <w:pPr>
              <w:spacing w:line="240" w:lineRule="auto"/>
              <w:jc w:val="center"/>
              <w:rPr>
                <w:sz w:val="20"/>
                <w:szCs w:val="18"/>
              </w:rPr>
            </w:pPr>
            <w:r w:rsidRPr="006E4DCA">
              <w:rPr>
                <w:color w:val="010205"/>
                <w:sz w:val="20"/>
                <w:szCs w:val="18"/>
              </w:rPr>
              <w:t>0.34</w:t>
            </w:r>
          </w:p>
        </w:tc>
        <w:tc>
          <w:tcPr>
            <w:tcW w:w="820" w:type="dxa"/>
            <w:tcBorders>
              <w:top w:val="nil"/>
              <w:left w:val="nil"/>
              <w:bottom w:val="single" w:sz="4" w:space="0" w:color="AEAEAE"/>
              <w:right w:val="single" w:sz="4" w:space="0" w:color="E0E0E0"/>
            </w:tcBorders>
            <w:shd w:val="clear" w:color="auto" w:fill="auto"/>
          </w:tcPr>
          <w:p w14:paraId="5E3675AB"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single" w:sz="4" w:space="0" w:color="AEAEAE"/>
              <w:right w:val="single" w:sz="4" w:space="0" w:color="E0E0E0"/>
            </w:tcBorders>
            <w:shd w:val="clear" w:color="auto" w:fill="auto"/>
          </w:tcPr>
          <w:p w14:paraId="6A4D023A"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single" w:sz="4" w:space="0" w:color="AEAEAE"/>
              <w:right w:val="single" w:sz="4" w:space="0" w:color="E0E0E0"/>
            </w:tcBorders>
            <w:shd w:val="clear" w:color="auto" w:fill="auto"/>
          </w:tcPr>
          <w:p w14:paraId="275B547F" w14:textId="77777777" w:rsidR="003010BD" w:rsidRPr="006E4DCA" w:rsidRDefault="003010BD" w:rsidP="00011661">
            <w:pPr>
              <w:spacing w:line="240" w:lineRule="auto"/>
              <w:jc w:val="center"/>
              <w:rPr>
                <w:sz w:val="20"/>
                <w:szCs w:val="18"/>
              </w:rPr>
            </w:pPr>
            <w:r w:rsidRPr="006E4DCA">
              <w:rPr>
                <w:color w:val="010205"/>
                <w:sz w:val="20"/>
                <w:szCs w:val="18"/>
              </w:rPr>
              <w:t>1.29</w:t>
            </w:r>
          </w:p>
        </w:tc>
      </w:tr>
      <w:tr w:rsidR="003010BD" w:rsidRPr="006E4DCA" w14:paraId="3FE441BC" w14:textId="77777777" w:rsidTr="00011661">
        <w:tc>
          <w:tcPr>
            <w:tcW w:w="234" w:type="dxa"/>
            <w:tcBorders>
              <w:top w:val="nil"/>
              <w:bottom w:val="nil"/>
              <w:right w:val="nil"/>
            </w:tcBorders>
            <w:shd w:val="clear" w:color="auto" w:fill="auto"/>
            <w:vAlign w:val="center"/>
          </w:tcPr>
          <w:p w14:paraId="2E6AB613"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ED7C667" w14:textId="77777777" w:rsidR="003010BD" w:rsidRPr="006E4DCA" w:rsidRDefault="003010BD" w:rsidP="00011661">
            <w:pPr>
              <w:spacing w:line="240" w:lineRule="auto"/>
              <w:jc w:val="left"/>
              <w:rPr>
                <w:sz w:val="20"/>
                <w:szCs w:val="18"/>
              </w:rPr>
            </w:pPr>
            <w:r w:rsidRPr="006E4DCA">
              <w:rPr>
                <w:color w:val="000000"/>
                <w:sz w:val="20"/>
                <w:szCs w:val="18"/>
                <w:lang w:eastAsia="en-US"/>
              </w:rPr>
              <w:t>BSCQ-1</w:t>
            </w:r>
          </w:p>
        </w:tc>
        <w:tc>
          <w:tcPr>
            <w:tcW w:w="766" w:type="dxa"/>
            <w:tcBorders>
              <w:top w:val="nil"/>
              <w:left w:val="nil"/>
              <w:bottom w:val="nil"/>
              <w:right w:val="nil"/>
            </w:tcBorders>
            <w:shd w:val="clear" w:color="auto" w:fill="auto"/>
          </w:tcPr>
          <w:p w14:paraId="46E32C8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1430A325"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28EF8355"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078E12E6"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796" w:type="dxa"/>
            <w:tcBorders>
              <w:top w:val="nil"/>
              <w:left w:val="nil"/>
              <w:bottom w:val="single" w:sz="4" w:space="0" w:color="AEAEAE"/>
              <w:right w:val="single" w:sz="4" w:space="0" w:color="E0E0E0"/>
            </w:tcBorders>
            <w:shd w:val="clear" w:color="auto" w:fill="auto"/>
          </w:tcPr>
          <w:p w14:paraId="7077ABD0"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single" w:sz="4" w:space="0" w:color="AEAEAE"/>
              <w:right w:val="single" w:sz="4" w:space="0" w:color="E0E0E0"/>
            </w:tcBorders>
            <w:shd w:val="clear" w:color="auto" w:fill="auto"/>
          </w:tcPr>
          <w:p w14:paraId="3A07357C"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796" w:type="dxa"/>
            <w:tcBorders>
              <w:top w:val="nil"/>
              <w:left w:val="nil"/>
              <w:bottom w:val="single" w:sz="4" w:space="0" w:color="AEAEAE"/>
              <w:right w:val="single" w:sz="4" w:space="0" w:color="E0E0E0"/>
            </w:tcBorders>
            <w:shd w:val="clear" w:color="auto" w:fill="auto"/>
          </w:tcPr>
          <w:p w14:paraId="419BB7AE" w14:textId="77777777" w:rsidR="003010BD" w:rsidRPr="006E4DCA" w:rsidRDefault="003010BD" w:rsidP="00011661">
            <w:pPr>
              <w:spacing w:line="240" w:lineRule="auto"/>
              <w:jc w:val="center"/>
              <w:rPr>
                <w:sz w:val="20"/>
                <w:szCs w:val="18"/>
              </w:rPr>
            </w:pPr>
            <w:r w:rsidRPr="006E4DCA">
              <w:rPr>
                <w:color w:val="010205"/>
                <w:sz w:val="20"/>
                <w:szCs w:val="18"/>
              </w:rPr>
              <w:t>-0.11</w:t>
            </w:r>
          </w:p>
        </w:tc>
        <w:tc>
          <w:tcPr>
            <w:tcW w:w="796" w:type="dxa"/>
            <w:tcBorders>
              <w:top w:val="nil"/>
              <w:left w:val="nil"/>
              <w:bottom w:val="single" w:sz="4" w:space="0" w:color="AEAEAE"/>
              <w:right w:val="single" w:sz="4" w:space="0" w:color="E0E0E0"/>
            </w:tcBorders>
            <w:shd w:val="clear" w:color="auto" w:fill="auto"/>
          </w:tcPr>
          <w:p w14:paraId="0DE25BB1" w14:textId="77777777" w:rsidR="003010BD" w:rsidRPr="006E4DCA" w:rsidRDefault="003010BD" w:rsidP="00011661">
            <w:pPr>
              <w:spacing w:line="240" w:lineRule="auto"/>
              <w:jc w:val="center"/>
              <w:rPr>
                <w:sz w:val="20"/>
                <w:szCs w:val="18"/>
              </w:rPr>
            </w:pPr>
            <w:r w:rsidRPr="006E4DCA">
              <w:rPr>
                <w:color w:val="010205"/>
                <w:sz w:val="20"/>
                <w:szCs w:val="18"/>
              </w:rPr>
              <w:t>0.01</w:t>
            </w:r>
          </w:p>
        </w:tc>
      </w:tr>
      <w:tr w:rsidR="003010BD" w:rsidRPr="006E4DCA" w14:paraId="3356514A" w14:textId="77777777" w:rsidTr="00011661">
        <w:tc>
          <w:tcPr>
            <w:tcW w:w="234" w:type="dxa"/>
            <w:tcBorders>
              <w:top w:val="nil"/>
              <w:bottom w:val="nil"/>
              <w:right w:val="nil"/>
            </w:tcBorders>
            <w:shd w:val="clear" w:color="auto" w:fill="auto"/>
            <w:vAlign w:val="center"/>
          </w:tcPr>
          <w:p w14:paraId="32BA981F"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3B6ABA66" w14:textId="77777777" w:rsidR="003010BD" w:rsidRPr="006E4DCA" w:rsidRDefault="003010BD" w:rsidP="00011661">
            <w:pPr>
              <w:spacing w:line="240" w:lineRule="auto"/>
              <w:jc w:val="left"/>
              <w:rPr>
                <w:sz w:val="20"/>
                <w:szCs w:val="18"/>
              </w:rPr>
            </w:pPr>
            <w:r w:rsidRPr="006E4DCA">
              <w:rPr>
                <w:color w:val="000000"/>
                <w:sz w:val="20"/>
                <w:szCs w:val="18"/>
                <w:lang w:eastAsia="en-US"/>
              </w:rPr>
              <w:t>BSCQ-2</w:t>
            </w:r>
          </w:p>
        </w:tc>
        <w:tc>
          <w:tcPr>
            <w:tcW w:w="766" w:type="dxa"/>
            <w:tcBorders>
              <w:top w:val="nil"/>
              <w:left w:val="nil"/>
              <w:bottom w:val="nil"/>
              <w:right w:val="nil"/>
            </w:tcBorders>
            <w:shd w:val="clear" w:color="auto" w:fill="auto"/>
          </w:tcPr>
          <w:p w14:paraId="087DAC6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584CB57A"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1DAE808"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1604452A" w14:textId="77777777" w:rsidR="003010BD" w:rsidRPr="006E4DCA" w:rsidRDefault="003010BD" w:rsidP="00011661">
            <w:pPr>
              <w:spacing w:line="240" w:lineRule="auto"/>
              <w:jc w:val="center"/>
              <w:rPr>
                <w:sz w:val="20"/>
                <w:szCs w:val="18"/>
              </w:rPr>
            </w:pPr>
            <w:r w:rsidRPr="006E4DCA">
              <w:rPr>
                <w:color w:val="010205"/>
                <w:sz w:val="20"/>
                <w:szCs w:val="18"/>
              </w:rPr>
              <w:t>0.23**</w:t>
            </w:r>
          </w:p>
        </w:tc>
        <w:tc>
          <w:tcPr>
            <w:tcW w:w="796" w:type="dxa"/>
            <w:tcBorders>
              <w:top w:val="nil"/>
              <w:left w:val="nil"/>
              <w:bottom w:val="single" w:sz="4" w:space="0" w:color="AEAEAE"/>
              <w:right w:val="single" w:sz="4" w:space="0" w:color="E0E0E0"/>
            </w:tcBorders>
            <w:shd w:val="clear" w:color="auto" w:fill="auto"/>
          </w:tcPr>
          <w:p w14:paraId="3CDE0FF5"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single" w:sz="4" w:space="0" w:color="AEAEAE"/>
              <w:right w:val="single" w:sz="4" w:space="0" w:color="E0E0E0"/>
            </w:tcBorders>
            <w:shd w:val="clear" w:color="auto" w:fill="auto"/>
          </w:tcPr>
          <w:p w14:paraId="2E171095" w14:textId="77777777" w:rsidR="003010BD" w:rsidRPr="006E4DCA" w:rsidRDefault="003010BD" w:rsidP="00011661">
            <w:pPr>
              <w:spacing w:line="240" w:lineRule="auto"/>
              <w:jc w:val="center"/>
              <w:rPr>
                <w:sz w:val="20"/>
                <w:szCs w:val="18"/>
              </w:rPr>
            </w:pPr>
            <w:r w:rsidRPr="006E4DCA">
              <w:rPr>
                <w:color w:val="010205"/>
                <w:sz w:val="20"/>
                <w:szCs w:val="18"/>
              </w:rPr>
              <w:t>0.27</w:t>
            </w:r>
          </w:p>
        </w:tc>
        <w:tc>
          <w:tcPr>
            <w:tcW w:w="796" w:type="dxa"/>
            <w:tcBorders>
              <w:top w:val="nil"/>
              <w:left w:val="nil"/>
              <w:bottom w:val="single" w:sz="4" w:space="0" w:color="AEAEAE"/>
              <w:right w:val="single" w:sz="4" w:space="0" w:color="E0E0E0"/>
            </w:tcBorders>
            <w:shd w:val="clear" w:color="auto" w:fill="auto"/>
          </w:tcPr>
          <w:p w14:paraId="45E3F128" w14:textId="77777777" w:rsidR="003010BD" w:rsidRPr="006E4DCA" w:rsidRDefault="003010BD" w:rsidP="00011661">
            <w:pPr>
              <w:spacing w:line="240" w:lineRule="auto"/>
              <w:jc w:val="center"/>
              <w:rPr>
                <w:sz w:val="20"/>
                <w:szCs w:val="18"/>
              </w:rPr>
            </w:pPr>
            <w:r w:rsidRPr="006E4DCA">
              <w:rPr>
                <w:color w:val="010205"/>
                <w:sz w:val="20"/>
                <w:szCs w:val="18"/>
              </w:rPr>
              <w:t>0.17</w:t>
            </w:r>
          </w:p>
        </w:tc>
        <w:tc>
          <w:tcPr>
            <w:tcW w:w="796" w:type="dxa"/>
            <w:tcBorders>
              <w:top w:val="nil"/>
              <w:left w:val="nil"/>
              <w:bottom w:val="single" w:sz="4" w:space="0" w:color="AEAEAE"/>
              <w:right w:val="single" w:sz="4" w:space="0" w:color="E0E0E0"/>
            </w:tcBorders>
            <w:shd w:val="clear" w:color="auto" w:fill="auto"/>
          </w:tcPr>
          <w:p w14:paraId="54A75AE1" w14:textId="77777777" w:rsidR="003010BD" w:rsidRPr="006E4DCA" w:rsidRDefault="003010BD" w:rsidP="00011661">
            <w:pPr>
              <w:spacing w:line="240" w:lineRule="auto"/>
              <w:jc w:val="center"/>
              <w:rPr>
                <w:sz w:val="20"/>
                <w:szCs w:val="18"/>
              </w:rPr>
            </w:pPr>
            <w:r w:rsidRPr="006E4DCA">
              <w:rPr>
                <w:color w:val="010205"/>
                <w:sz w:val="20"/>
                <w:szCs w:val="18"/>
              </w:rPr>
              <w:t>0.28</w:t>
            </w:r>
          </w:p>
        </w:tc>
      </w:tr>
      <w:tr w:rsidR="003010BD" w:rsidRPr="006E4DCA" w14:paraId="08B3D0E7" w14:textId="77777777" w:rsidTr="00011661">
        <w:tc>
          <w:tcPr>
            <w:tcW w:w="234" w:type="dxa"/>
            <w:tcBorders>
              <w:top w:val="nil"/>
              <w:bottom w:val="nil"/>
              <w:right w:val="nil"/>
            </w:tcBorders>
            <w:shd w:val="clear" w:color="auto" w:fill="auto"/>
            <w:vAlign w:val="center"/>
          </w:tcPr>
          <w:p w14:paraId="11795EC6"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8359211" w14:textId="77777777" w:rsidR="003010BD" w:rsidRPr="006E4DCA" w:rsidRDefault="003010BD" w:rsidP="00011661">
            <w:pPr>
              <w:spacing w:line="240" w:lineRule="auto"/>
              <w:jc w:val="left"/>
              <w:rPr>
                <w:rFonts w:eastAsia="MS Mincho"/>
                <w:sz w:val="20"/>
                <w:szCs w:val="18"/>
              </w:rPr>
            </w:pPr>
            <w:r w:rsidRPr="006E4DCA">
              <w:rPr>
                <w:color w:val="000000"/>
                <w:sz w:val="20"/>
                <w:szCs w:val="18"/>
                <w:lang w:eastAsia="en-US"/>
              </w:rPr>
              <w:t>BSCQ-4</w:t>
            </w:r>
          </w:p>
        </w:tc>
        <w:tc>
          <w:tcPr>
            <w:tcW w:w="766" w:type="dxa"/>
            <w:tcBorders>
              <w:top w:val="nil"/>
              <w:left w:val="nil"/>
              <w:bottom w:val="nil"/>
              <w:right w:val="nil"/>
            </w:tcBorders>
            <w:shd w:val="clear" w:color="auto" w:fill="auto"/>
          </w:tcPr>
          <w:p w14:paraId="3A318299"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186BFB21"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018DE8C6"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3C27A7DB"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single" w:sz="4" w:space="0" w:color="AEAEAE"/>
              <w:right w:val="single" w:sz="4" w:space="0" w:color="E0E0E0"/>
            </w:tcBorders>
            <w:shd w:val="clear" w:color="auto" w:fill="auto"/>
          </w:tcPr>
          <w:p w14:paraId="585F51AD"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5BCD4C56"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single" w:sz="4" w:space="0" w:color="AEAEAE"/>
              <w:right w:val="single" w:sz="4" w:space="0" w:color="E0E0E0"/>
            </w:tcBorders>
            <w:shd w:val="clear" w:color="auto" w:fill="auto"/>
          </w:tcPr>
          <w:p w14:paraId="6DF66E0F" w14:textId="77777777" w:rsidR="003010BD" w:rsidRPr="006E4DCA" w:rsidRDefault="003010BD" w:rsidP="00011661">
            <w:pPr>
              <w:spacing w:line="240" w:lineRule="auto"/>
              <w:jc w:val="center"/>
              <w:rPr>
                <w:sz w:val="20"/>
                <w:szCs w:val="18"/>
              </w:rPr>
            </w:pPr>
            <w:r w:rsidRPr="006E4DCA">
              <w:rPr>
                <w:color w:val="010205"/>
                <w:sz w:val="20"/>
                <w:szCs w:val="18"/>
              </w:rPr>
              <w:t>-0.10</w:t>
            </w:r>
          </w:p>
        </w:tc>
        <w:tc>
          <w:tcPr>
            <w:tcW w:w="796" w:type="dxa"/>
            <w:tcBorders>
              <w:top w:val="nil"/>
              <w:left w:val="nil"/>
              <w:bottom w:val="single" w:sz="4" w:space="0" w:color="AEAEAE"/>
              <w:right w:val="single" w:sz="4" w:space="0" w:color="E0E0E0"/>
            </w:tcBorders>
            <w:shd w:val="clear" w:color="auto" w:fill="auto"/>
          </w:tcPr>
          <w:p w14:paraId="21E92817" w14:textId="77777777" w:rsidR="003010BD" w:rsidRPr="006E4DCA" w:rsidRDefault="003010BD" w:rsidP="00011661">
            <w:pPr>
              <w:spacing w:line="240" w:lineRule="auto"/>
              <w:jc w:val="center"/>
              <w:rPr>
                <w:sz w:val="20"/>
                <w:szCs w:val="18"/>
              </w:rPr>
            </w:pPr>
            <w:r w:rsidRPr="006E4DCA">
              <w:rPr>
                <w:color w:val="010205"/>
                <w:sz w:val="20"/>
                <w:szCs w:val="18"/>
              </w:rPr>
              <w:t>0.08</w:t>
            </w:r>
          </w:p>
        </w:tc>
      </w:tr>
      <w:tr w:rsidR="003010BD" w:rsidRPr="006E4DCA" w14:paraId="76010090" w14:textId="77777777" w:rsidTr="00011661">
        <w:tc>
          <w:tcPr>
            <w:tcW w:w="234" w:type="dxa"/>
            <w:tcBorders>
              <w:top w:val="nil"/>
              <w:bottom w:val="nil"/>
              <w:right w:val="nil"/>
            </w:tcBorders>
            <w:shd w:val="clear" w:color="auto" w:fill="auto"/>
            <w:vAlign w:val="center"/>
          </w:tcPr>
          <w:p w14:paraId="7561D986"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5E2DEF1" w14:textId="77777777" w:rsidR="003010BD" w:rsidRPr="006E4DCA" w:rsidRDefault="003010BD" w:rsidP="00011661">
            <w:pPr>
              <w:spacing w:line="240" w:lineRule="auto"/>
              <w:jc w:val="left"/>
              <w:rPr>
                <w:rFonts w:eastAsia="MS Mincho"/>
                <w:sz w:val="20"/>
                <w:szCs w:val="18"/>
              </w:rPr>
            </w:pPr>
            <w:r w:rsidRPr="006E4DCA">
              <w:rPr>
                <w:color w:val="000000"/>
                <w:sz w:val="20"/>
                <w:szCs w:val="18"/>
                <w:lang w:eastAsia="en-US"/>
              </w:rPr>
              <w:t>BSCQ-5</w:t>
            </w:r>
          </w:p>
        </w:tc>
        <w:tc>
          <w:tcPr>
            <w:tcW w:w="766" w:type="dxa"/>
            <w:tcBorders>
              <w:top w:val="nil"/>
              <w:left w:val="nil"/>
              <w:bottom w:val="nil"/>
              <w:right w:val="nil"/>
            </w:tcBorders>
            <w:shd w:val="clear" w:color="auto" w:fill="auto"/>
          </w:tcPr>
          <w:p w14:paraId="2B8FA7B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41228527"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645B094D"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1380AA8A"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single" w:sz="4" w:space="0" w:color="AEAEAE"/>
              <w:right w:val="single" w:sz="4" w:space="0" w:color="E0E0E0"/>
            </w:tcBorders>
            <w:shd w:val="clear" w:color="auto" w:fill="auto"/>
          </w:tcPr>
          <w:p w14:paraId="4A1B2242"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0DFE2BAD"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single" w:sz="4" w:space="0" w:color="AEAEAE"/>
              <w:right w:val="single" w:sz="4" w:space="0" w:color="E0E0E0"/>
            </w:tcBorders>
            <w:shd w:val="clear" w:color="auto" w:fill="auto"/>
          </w:tcPr>
          <w:p w14:paraId="6ADE3C53"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796" w:type="dxa"/>
            <w:tcBorders>
              <w:top w:val="nil"/>
              <w:left w:val="nil"/>
              <w:bottom w:val="single" w:sz="4" w:space="0" w:color="AEAEAE"/>
              <w:right w:val="single" w:sz="4" w:space="0" w:color="E0E0E0"/>
            </w:tcBorders>
            <w:shd w:val="clear" w:color="auto" w:fill="auto"/>
          </w:tcPr>
          <w:p w14:paraId="6ABD29FF" w14:textId="77777777" w:rsidR="003010BD" w:rsidRPr="006E4DCA" w:rsidRDefault="003010BD" w:rsidP="00011661">
            <w:pPr>
              <w:spacing w:line="240" w:lineRule="auto"/>
              <w:jc w:val="center"/>
              <w:rPr>
                <w:sz w:val="20"/>
                <w:szCs w:val="18"/>
              </w:rPr>
            </w:pPr>
            <w:r w:rsidRPr="006E4DCA">
              <w:rPr>
                <w:color w:val="010205"/>
                <w:sz w:val="20"/>
                <w:szCs w:val="18"/>
              </w:rPr>
              <w:t>0.14</w:t>
            </w:r>
          </w:p>
        </w:tc>
      </w:tr>
      <w:tr w:rsidR="003010BD" w:rsidRPr="006E4DCA" w14:paraId="6941B1BC" w14:textId="77777777" w:rsidTr="00011661">
        <w:tc>
          <w:tcPr>
            <w:tcW w:w="234" w:type="dxa"/>
            <w:tcBorders>
              <w:top w:val="nil"/>
              <w:bottom w:val="nil"/>
              <w:right w:val="nil"/>
            </w:tcBorders>
            <w:shd w:val="clear" w:color="auto" w:fill="auto"/>
            <w:vAlign w:val="center"/>
          </w:tcPr>
          <w:p w14:paraId="1F7F87DB"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A8B93A1" w14:textId="77777777" w:rsidR="003010BD" w:rsidRPr="006E4DCA" w:rsidRDefault="003010BD" w:rsidP="00011661">
            <w:pPr>
              <w:spacing w:line="240" w:lineRule="auto"/>
              <w:jc w:val="left"/>
              <w:rPr>
                <w:rFonts w:eastAsia="MS Mincho"/>
                <w:sz w:val="20"/>
                <w:szCs w:val="18"/>
              </w:rPr>
            </w:pPr>
            <w:r w:rsidRPr="006E4DCA">
              <w:rPr>
                <w:color w:val="000000"/>
                <w:sz w:val="20"/>
                <w:szCs w:val="18"/>
                <w:lang w:eastAsia="en-US"/>
              </w:rPr>
              <w:t>BSCQ-6</w:t>
            </w:r>
          </w:p>
        </w:tc>
        <w:tc>
          <w:tcPr>
            <w:tcW w:w="766" w:type="dxa"/>
            <w:tcBorders>
              <w:top w:val="nil"/>
              <w:left w:val="nil"/>
              <w:bottom w:val="nil"/>
              <w:right w:val="nil"/>
            </w:tcBorders>
            <w:shd w:val="clear" w:color="auto" w:fill="auto"/>
          </w:tcPr>
          <w:p w14:paraId="57AB74BC"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7AA23D7"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052DDD41"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B8DBA8A"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173A1541"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2A4E1F47"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1212B745" w14:textId="77777777" w:rsidR="003010BD" w:rsidRPr="006E4DCA" w:rsidRDefault="003010BD" w:rsidP="00011661">
            <w:pPr>
              <w:spacing w:line="240" w:lineRule="auto"/>
              <w:jc w:val="center"/>
              <w:rPr>
                <w:sz w:val="20"/>
                <w:szCs w:val="18"/>
              </w:rPr>
            </w:pPr>
            <w:r w:rsidRPr="006E4DCA">
              <w:rPr>
                <w:color w:val="010205"/>
                <w:sz w:val="20"/>
                <w:szCs w:val="18"/>
              </w:rPr>
              <w:t>-0.11</w:t>
            </w:r>
          </w:p>
        </w:tc>
        <w:tc>
          <w:tcPr>
            <w:tcW w:w="796" w:type="dxa"/>
            <w:tcBorders>
              <w:top w:val="nil"/>
              <w:left w:val="nil"/>
              <w:bottom w:val="single" w:sz="4" w:space="0" w:color="AEAEAE"/>
              <w:right w:val="single" w:sz="4" w:space="0" w:color="E0E0E0"/>
            </w:tcBorders>
            <w:shd w:val="clear" w:color="auto" w:fill="auto"/>
          </w:tcPr>
          <w:p w14:paraId="730D88B0" w14:textId="77777777" w:rsidR="003010BD" w:rsidRPr="006E4DCA" w:rsidRDefault="003010BD" w:rsidP="00011661">
            <w:pPr>
              <w:spacing w:line="240" w:lineRule="auto"/>
              <w:jc w:val="center"/>
              <w:rPr>
                <w:sz w:val="20"/>
                <w:szCs w:val="18"/>
              </w:rPr>
            </w:pPr>
            <w:r w:rsidRPr="006E4DCA">
              <w:rPr>
                <w:color w:val="010205"/>
                <w:sz w:val="20"/>
                <w:szCs w:val="18"/>
              </w:rPr>
              <w:t>0.03</w:t>
            </w:r>
          </w:p>
        </w:tc>
      </w:tr>
      <w:tr w:rsidR="003010BD" w:rsidRPr="006E4DCA" w14:paraId="059472D8" w14:textId="77777777" w:rsidTr="00011661">
        <w:trPr>
          <w:trHeight w:val="245"/>
        </w:trPr>
        <w:tc>
          <w:tcPr>
            <w:tcW w:w="234" w:type="dxa"/>
            <w:tcBorders>
              <w:top w:val="nil"/>
              <w:bottom w:val="nil"/>
              <w:right w:val="nil"/>
            </w:tcBorders>
            <w:shd w:val="clear" w:color="auto" w:fill="auto"/>
            <w:vAlign w:val="center"/>
          </w:tcPr>
          <w:p w14:paraId="184C656C"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5DB97D5" w14:textId="77777777" w:rsidR="003010BD" w:rsidRPr="006E4DCA" w:rsidRDefault="003010BD" w:rsidP="00011661">
            <w:pPr>
              <w:spacing w:line="240" w:lineRule="auto"/>
              <w:jc w:val="left"/>
              <w:rPr>
                <w:rFonts w:eastAsia="MS Mincho"/>
                <w:sz w:val="20"/>
                <w:szCs w:val="18"/>
              </w:rPr>
            </w:pPr>
            <w:r w:rsidRPr="006E4DCA">
              <w:rPr>
                <w:color w:val="000000"/>
                <w:sz w:val="20"/>
                <w:szCs w:val="18"/>
                <w:lang w:eastAsia="en-US"/>
              </w:rPr>
              <w:t>BSCQ-7</w:t>
            </w:r>
          </w:p>
        </w:tc>
        <w:tc>
          <w:tcPr>
            <w:tcW w:w="766" w:type="dxa"/>
            <w:tcBorders>
              <w:top w:val="nil"/>
              <w:left w:val="nil"/>
              <w:bottom w:val="nil"/>
              <w:right w:val="nil"/>
            </w:tcBorders>
            <w:shd w:val="clear" w:color="auto" w:fill="auto"/>
          </w:tcPr>
          <w:p w14:paraId="145C97A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3F33A4C2"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3B44894F"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F546594"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73C9BC59"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1D4B9D84"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796" w:type="dxa"/>
            <w:tcBorders>
              <w:top w:val="nil"/>
              <w:left w:val="nil"/>
              <w:bottom w:val="single" w:sz="4" w:space="0" w:color="AEAEAE"/>
              <w:right w:val="single" w:sz="4" w:space="0" w:color="E0E0E0"/>
            </w:tcBorders>
            <w:shd w:val="clear" w:color="auto" w:fill="auto"/>
          </w:tcPr>
          <w:p w14:paraId="78E69C1A"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41FF98C4" w14:textId="77777777" w:rsidR="003010BD" w:rsidRPr="006E4DCA" w:rsidRDefault="003010BD" w:rsidP="00011661">
            <w:pPr>
              <w:spacing w:line="240" w:lineRule="auto"/>
              <w:jc w:val="center"/>
              <w:rPr>
                <w:sz w:val="20"/>
                <w:szCs w:val="18"/>
              </w:rPr>
            </w:pPr>
            <w:r w:rsidRPr="006E4DCA">
              <w:rPr>
                <w:color w:val="010205"/>
                <w:sz w:val="20"/>
                <w:szCs w:val="18"/>
              </w:rPr>
              <w:t>0.11</w:t>
            </w:r>
          </w:p>
        </w:tc>
      </w:tr>
      <w:tr w:rsidR="003010BD" w:rsidRPr="006E4DCA" w14:paraId="424EC213" w14:textId="77777777" w:rsidTr="00011661">
        <w:tc>
          <w:tcPr>
            <w:tcW w:w="234" w:type="dxa"/>
            <w:tcBorders>
              <w:top w:val="nil"/>
              <w:bottom w:val="nil"/>
              <w:right w:val="nil"/>
            </w:tcBorders>
            <w:shd w:val="clear" w:color="auto" w:fill="auto"/>
            <w:vAlign w:val="center"/>
          </w:tcPr>
          <w:p w14:paraId="2B068191"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33A55AE3" w14:textId="77777777" w:rsidR="003010BD" w:rsidRPr="006E4DCA" w:rsidRDefault="003010BD" w:rsidP="00011661">
            <w:pPr>
              <w:spacing w:line="240" w:lineRule="auto"/>
              <w:jc w:val="left"/>
              <w:rPr>
                <w:rFonts w:eastAsia="MS Mincho"/>
                <w:sz w:val="20"/>
                <w:szCs w:val="18"/>
              </w:rPr>
            </w:pPr>
            <w:r w:rsidRPr="006E4DCA">
              <w:rPr>
                <w:color w:val="000000"/>
                <w:sz w:val="20"/>
                <w:szCs w:val="18"/>
                <w:lang w:eastAsia="en-US"/>
              </w:rPr>
              <w:t>BSCQ-9</w:t>
            </w:r>
          </w:p>
        </w:tc>
        <w:tc>
          <w:tcPr>
            <w:tcW w:w="766" w:type="dxa"/>
            <w:tcBorders>
              <w:top w:val="nil"/>
              <w:left w:val="nil"/>
              <w:bottom w:val="nil"/>
              <w:right w:val="nil"/>
            </w:tcBorders>
            <w:shd w:val="clear" w:color="auto" w:fill="auto"/>
          </w:tcPr>
          <w:p w14:paraId="699C8DA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35F43689"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1164" w:type="dxa"/>
            <w:tcBorders>
              <w:top w:val="nil"/>
              <w:left w:val="nil"/>
              <w:bottom w:val="nil"/>
              <w:right w:val="nil"/>
            </w:tcBorders>
          </w:tcPr>
          <w:p w14:paraId="74DCF5F1"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single" w:sz="4" w:space="0" w:color="E0E0E0"/>
            </w:tcBorders>
            <w:shd w:val="clear" w:color="auto" w:fill="auto"/>
          </w:tcPr>
          <w:p w14:paraId="5BD40606" w14:textId="77777777" w:rsidR="003010BD" w:rsidRPr="006E4DCA" w:rsidRDefault="003010BD" w:rsidP="00011661">
            <w:pPr>
              <w:spacing w:line="240" w:lineRule="auto"/>
              <w:jc w:val="center"/>
              <w:rPr>
                <w:sz w:val="20"/>
                <w:szCs w:val="18"/>
              </w:rPr>
            </w:pPr>
            <w:r w:rsidRPr="006E4DCA">
              <w:rPr>
                <w:color w:val="010205"/>
                <w:sz w:val="20"/>
                <w:szCs w:val="18"/>
              </w:rPr>
              <w:t>0.14**</w:t>
            </w:r>
          </w:p>
        </w:tc>
        <w:tc>
          <w:tcPr>
            <w:tcW w:w="796" w:type="dxa"/>
            <w:tcBorders>
              <w:top w:val="nil"/>
              <w:left w:val="nil"/>
              <w:bottom w:val="nil"/>
              <w:right w:val="single" w:sz="4" w:space="0" w:color="E0E0E0"/>
            </w:tcBorders>
            <w:shd w:val="clear" w:color="auto" w:fill="auto"/>
          </w:tcPr>
          <w:p w14:paraId="6FF80E89"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nil"/>
              <w:right w:val="single" w:sz="4" w:space="0" w:color="E0E0E0"/>
            </w:tcBorders>
            <w:shd w:val="clear" w:color="auto" w:fill="auto"/>
          </w:tcPr>
          <w:p w14:paraId="1A528F5D" w14:textId="77777777" w:rsidR="003010BD" w:rsidRPr="006E4DCA" w:rsidRDefault="003010BD" w:rsidP="00011661">
            <w:pPr>
              <w:spacing w:line="240" w:lineRule="auto"/>
              <w:jc w:val="center"/>
              <w:rPr>
                <w:sz w:val="20"/>
                <w:szCs w:val="18"/>
              </w:rPr>
            </w:pPr>
            <w:r w:rsidRPr="006E4DCA">
              <w:rPr>
                <w:color w:val="010205"/>
                <w:sz w:val="20"/>
                <w:szCs w:val="18"/>
              </w:rPr>
              <w:t>0.16</w:t>
            </w:r>
          </w:p>
        </w:tc>
        <w:tc>
          <w:tcPr>
            <w:tcW w:w="796" w:type="dxa"/>
            <w:tcBorders>
              <w:top w:val="nil"/>
              <w:left w:val="nil"/>
              <w:bottom w:val="nil"/>
              <w:right w:val="single" w:sz="4" w:space="0" w:color="E0E0E0"/>
            </w:tcBorders>
            <w:shd w:val="clear" w:color="auto" w:fill="auto"/>
          </w:tcPr>
          <w:p w14:paraId="6C52A458" w14:textId="77777777" w:rsidR="003010BD" w:rsidRPr="006E4DCA" w:rsidRDefault="003010BD" w:rsidP="00011661">
            <w:pPr>
              <w:spacing w:line="240" w:lineRule="auto"/>
              <w:jc w:val="center"/>
              <w:rPr>
                <w:sz w:val="20"/>
                <w:szCs w:val="18"/>
              </w:rPr>
            </w:pPr>
            <w:r w:rsidRPr="006E4DCA">
              <w:rPr>
                <w:color w:val="010205"/>
                <w:sz w:val="20"/>
                <w:szCs w:val="18"/>
              </w:rPr>
              <w:t>0.07</w:t>
            </w:r>
          </w:p>
        </w:tc>
        <w:tc>
          <w:tcPr>
            <w:tcW w:w="796" w:type="dxa"/>
            <w:tcBorders>
              <w:top w:val="nil"/>
              <w:left w:val="nil"/>
              <w:bottom w:val="nil"/>
              <w:right w:val="single" w:sz="4" w:space="0" w:color="E0E0E0"/>
            </w:tcBorders>
            <w:shd w:val="clear" w:color="auto" w:fill="auto"/>
          </w:tcPr>
          <w:p w14:paraId="3977C1B3" w14:textId="77777777" w:rsidR="003010BD" w:rsidRPr="006E4DCA" w:rsidRDefault="003010BD" w:rsidP="00011661">
            <w:pPr>
              <w:spacing w:line="240" w:lineRule="auto"/>
              <w:jc w:val="center"/>
              <w:rPr>
                <w:sz w:val="20"/>
                <w:szCs w:val="18"/>
              </w:rPr>
            </w:pPr>
            <w:r w:rsidRPr="006E4DCA">
              <w:rPr>
                <w:color w:val="010205"/>
                <w:sz w:val="20"/>
                <w:szCs w:val="18"/>
              </w:rPr>
              <w:t>0.22</w:t>
            </w:r>
          </w:p>
        </w:tc>
      </w:tr>
      <w:tr w:rsidR="003010BD" w:rsidRPr="006E4DCA" w14:paraId="17949172" w14:textId="77777777" w:rsidTr="00011661">
        <w:tc>
          <w:tcPr>
            <w:tcW w:w="234" w:type="dxa"/>
            <w:tcBorders>
              <w:top w:val="nil"/>
              <w:bottom w:val="nil"/>
            </w:tcBorders>
            <w:shd w:val="clear" w:color="auto" w:fill="auto"/>
            <w:vAlign w:val="center"/>
          </w:tcPr>
          <w:p w14:paraId="627828C5" w14:textId="77777777" w:rsidR="003010BD" w:rsidRPr="006E4DCA" w:rsidRDefault="003010BD" w:rsidP="00011661">
            <w:pPr>
              <w:spacing w:line="240" w:lineRule="auto"/>
              <w:jc w:val="left"/>
              <w:rPr>
                <w:sz w:val="20"/>
                <w:szCs w:val="18"/>
              </w:rPr>
            </w:pPr>
          </w:p>
        </w:tc>
        <w:tc>
          <w:tcPr>
            <w:tcW w:w="2387" w:type="dxa"/>
            <w:tcBorders>
              <w:top w:val="nil"/>
              <w:bottom w:val="nil"/>
            </w:tcBorders>
            <w:shd w:val="clear" w:color="auto" w:fill="auto"/>
            <w:vAlign w:val="center"/>
          </w:tcPr>
          <w:p w14:paraId="36C0ED8D" w14:textId="77777777" w:rsidR="003010BD" w:rsidRPr="006E4DCA" w:rsidRDefault="003010BD" w:rsidP="00011661">
            <w:pPr>
              <w:spacing w:line="240" w:lineRule="auto"/>
              <w:jc w:val="left"/>
              <w:rPr>
                <w:sz w:val="20"/>
                <w:szCs w:val="18"/>
              </w:rPr>
            </w:pPr>
          </w:p>
        </w:tc>
        <w:tc>
          <w:tcPr>
            <w:tcW w:w="766" w:type="dxa"/>
            <w:tcBorders>
              <w:top w:val="nil"/>
              <w:bottom w:val="nil"/>
            </w:tcBorders>
            <w:shd w:val="clear" w:color="auto" w:fill="auto"/>
          </w:tcPr>
          <w:p w14:paraId="226607DA" w14:textId="77777777" w:rsidR="003010BD" w:rsidRPr="006E4DCA" w:rsidRDefault="003010BD" w:rsidP="00011661">
            <w:pPr>
              <w:spacing w:line="240" w:lineRule="auto"/>
              <w:jc w:val="center"/>
              <w:rPr>
                <w:sz w:val="20"/>
                <w:szCs w:val="18"/>
              </w:rPr>
            </w:pPr>
            <w:r w:rsidRPr="006E4DCA">
              <w:rPr>
                <w:sz w:val="20"/>
                <w:szCs w:val="18"/>
              </w:rPr>
              <w:t>0.24**</w:t>
            </w:r>
          </w:p>
        </w:tc>
        <w:tc>
          <w:tcPr>
            <w:tcW w:w="1459" w:type="dxa"/>
            <w:tcBorders>
              <w:top w:val="nil"/>
              <w:bottom w:val="nil"/>
            </w:tcBorders>
            <w:shd w:val="clear" w:color="auto" w:fill="auto"/>
          </w:tcPr>
          <w:p w14:paraId="3F47F091" w14:textId="77777777" w:rsidR="003010BD" w:rsidRPr="006E4DCA" w:rsidRDefault="003010BD" w:rsidP="00011661">
            <w:pPr>
              <w:spacing w:line="240" w:lineRule="auto"/>
              <w:jc w:val="center"/>
              <w:rPr>
                <w:sz w:val="20"/>
                <w:szCs w:val="18"/>
              </w:rPr>
            </w:pPr>
            <w:r w:rsidRPr="006E4DCA">
              <w:rPr>
                <w:sz w:val="20"/>
                <w:szCs w:val="18"/>
              </w:rPr>
              <w:t>0.23</w:t>
            </w:r>
          </w:p>
        </w:tc>
        <w:tc>
          <w:tcPr>
            <w:tcW w:w="1164" w:type="dxa"/>
            <w:tcBorders>
              <w:top w:val="nil"/>
              <w:bottom w:val="nil"/>
            </w:tcBorders>
          </w:tcPr>
          <w:p w14:paraId="45E4B142" w14:textId="77777777" w:rsidR="003010BD" w:rsidRPr="006E4DCA" w:rsidRDefault="003010BD" w:rsidP="00011661">
            <w:pPr>
              <w:spacing w:line="240" w:lineRule="auto"/>
              <w:jc w:val="center"/>
              <w:rPr>
                <w:color w:val="000000"/>
                <w:sz w:val="20"/>
                <w:szCs w:val="18"/>
              </w:rPr>
            </w:pPr>
            <w:r w:rsidRPr="006E4DCA">
              <w:rPr>
                <w:color w:val="000000"/>
                <w:sz w:val="20"/>
                <w:szCs w:val="18"/>
              </w:rPr>
              <w:t>0.12**</w:t>
            </w:r>
          </w:p>
        </w:tc>
        <w:tc>
          <w:tcPr>
            <w:tcW w:w="914" w:type="dxa"/>
            <w:tcBorders>
              <w:top w:val="nil"/>
              <w:bottom w:val="nil"/>
            </w:tcBorders>
            <w:shd w:val="clear" w:color="auto" w:fill="auto"/>
            <w:vAlign w:val="center"/>
          </w:tcPr>
          <w:p w14:paraId="71710EDC"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1953FE9E"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820" w:type="dxa"/>
            <w:tcBorders>
              <w:top w:val="nil"/>
              <w:bottom w:val="nil"/>
            </w:tcBorders>
            <w:shd w:val="clear" w:color="auto" w:fill="auto"/>
            <w:vAlign w:val="center"/>
          </w:tcPr>
          <w:p w14:paraId="465BAE11"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vAlign w:val="center"/>
          </w:tcPr>
          <w:p w14:paraId="4631A4A2"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nil"/>
            </w:tcBorders>
            <w:shd w:val="clear" w:color="auto" w:fill="auto"/>
          </w:tcPr>
          <w:p w14:paraId="7985A840" w14:textId="77777777" w:rsidR="003010BD" w:rsidRPr="006E4DCA" w:rsidRDefault="003010BD" w:rsidP="00011661">
            <w:pPr>
              <w:spacing w:line="240" w:lineRule="auto"/>
              <w:jc w:val="center"/>
              <w:rPr>
                <w:sz w:val="20"/>
                <w:szCs w:val="18"/>
              </w:rPr>
            </w:pPr>
          </w:p>
        </w:tc>
      </w:tr>
      <w:tr w:rsidR="003010BD" w:rsidRPr="006E4DCA" w14:paraId="1251C945" w14:textId="77777777" w:rsidTr="00011661">
        <w:trPr>
          <w:trHeight w:val="265"/>
        </w:trPr>
        <w:tc>
          <w:tcPr>
            <w:tcW w:w="2621" w:type="dxa"/>
            <w:gridSpan w:val="2"/>
            <w:tcBorders>
              <w:top w:val="nil"/>
              <w:bottom w:val="nil"/>
            </w:tcBorders>
            <w:shd w:val="clear" w:color="auto" w:fill="auto"/>
            <w:vAlign w:val="center"/>
          </w:tcPr>
          <w:p w14:paraId="399C6EFF" w14:textId="77777777" w:rsidR="003010BD" w:rsidRPr="006E4DCA" w:rsidRDefault="003010BD" w:rsidP="00011661">
            <w:pPr>
              <w:spacing w:line="240" w:lineRule="auto"/>
              <w:jc w:val="left"/>
              <w:rPr>
                <w:sz w:val="20"/>
                <w:szCs w:val="18"/>
              </w:rPr>
            </w:pPr>
            <w:r w:rsidRPr="006E4DCA">
              <w:rPr>
                <w:sz w:val="20"/>
                <w:szCs w:val="18"/>
              </w:rPr>
              <w:t>Step 5</w:t>
            </w:r>
          </w:p>
        </w:tc>
        <w:tc>
          <w:tcPr>
            <w:tcW w:w="766" w:type="dxa"/>
            <w:tcBorders>
              <w:top w:val="nil"/>
              <w:bottom w:val="nil"/>
            </w:tcBorders>
            <w:shd w:val="clear" w:color="auto" w:fill="auto"/>
          </w:tcPr>
          <w:p w14:paraId="415B0966" w14:textId="77777777" w:rsidR="003010BD" w:rsidRPr="006E4DCA" w:rsidRDefault="003010BD" w:rsidP="00011661">
            <w:pPr>
              <w:spacing w:line="240" w:lineRule="auto"/>
              <w:jc w:val="center"/>
              <w:rPr>
                <w:sz w:val="20"/>
                <w:szCs w:val="18"/>
              </w:rPr>
            </w:pPr>
          </w:p>
        </w:tc>
        <w:tc>
          <w:tcPr>
            <w:tcW w:w="1459" w:type="dxa"/>
            <w:tcBorders>
              <w:top w:val="nil"/>
              <w:bottom w:val="nil"/>
            </w:tcBorders>
            <w:shd w:val="clear" w:color="auto" w:fill="auto"/>
          </w:tcPr>
          <w:p w14:paraId="5C8462F2" w14:textId="77777777" w:rsidR="003010BD" w:rsidRPr="006E4DCA" w:rsidRDefault="003010BD" w:rsidP="00011661">
            <w:pPr>
              <w:spacing w:line="240" w:lineRule="auto"/>
              <w:jc w:val="center"/>
              <w:rPr>
                <w:sz w:val="20"/>
                <w:szCs w:val="18"/>
              </w:rPr>
            </w:pPr>
          </w:p>
        </w:tc>
        <w:tc>
          <w:tcPr>
            <w:tcW w:w="1164" w:type="dxa"/>
            <w:tcBorders>
              <w:top w:val="nil"/>
              <w:bottom w:val="nil"/>
            </w:tcBorders>
          </w:tcPr>
          <w:p w14:paraId="5DD4D666" w14:textId="77777777" w:rsidR="003010BD" w:rsidRPr="006E4DCA" w:rsidRDefault="003010BD" w:rsidP="00011661">
            <w:pPr>
              <w:spacing w:line="240" w:lineRule="auto"/>
              <w:jc w:val="center"/>
              <w:rPr>
                <w:sz w:val="20"/>
                <w:szCs w:val="18"/>
              </w:rPr>
            </w:pPr>
          </w:p>
        </w:tc>
        <w:tc>
          <w:tcPr>
            <w:tcW w:w="914" w:type="dxa"/>
            <w:tcBorders>
              <w:top w:val="nil"/>
              <w:bottom w:val="nil"/>
            </w:tcBorders>
            <w:shd w:val="clear" w:color="auto" w:fill="auto"/>
            <w:vAlign w:val="center"/>
          </w:tcPr>
          <w:p w14:paraId="4931E3E4"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1A007DB1" w14:textId="77777777" w:rsidR="003010BD" w:rsidRPr="006E4DCA" w:rsidRDefault="003010BD" w:rsidP="00011661">
            <w:pPr>
              <w:spacing w:line="240" w:lineRule="auto"/>
              <w:jc w:val="center"/>
              <w:rPr>
                <w:sz w:val="20"/>
                <w:szCs w:val="18"/>
              </w:rPr>
            </w:pPr>
          </w:p>
        </w:tc>
        <w:tc>
          <w:tcPr>
            <w:tcW w:w="820" w:type="dxa"/>
            <w:tcBorders>
              <w:top w:val="nil"/>
              <w:bottom w:val="nil"/>
            </w:tcBorders>
            <w:shd w:val="clear" w:color="auto" w:fill="auto"/>
            <w:vAlign w:val="center"/>
          </w:tcPr>
          <w:p w14:paraId="1FE2BD4E"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5885102F" w14:textId="77777777" w:rsidR="003010BD" w:rsidRPr="006E4DCA" w:rsidRDefault="003010BD" w:rsidP="00011661">
            <w:pPr>
              <w:spacing w:line="240" w:lineRule="auto"/>
              <w:jc w:val="center"/>
              <w:rPr>
                <w:sz w:val="20"/>
                <w:szCs w:val="18"/>
              </w:rPr>
            </w:pPr>
          </w:p>
        </w:tc>
        <w:tc>
          <w:tcPr>
            <w:tcW w:w="796" w:type="dxa"/>
            <w:tcBorders>
              <w:top w:val="nil"/>
              <w:bottom w:val="nil"/>
            </w:tcBorders>
            <w:shd w:val="clear" w:color="auto" w:fill="auto"/>
            <w:vAlign w:val="center"/>
          </w:tcPr>
          <w:p w14:paraId="03CAB36B" w14:textId="77777777" w:rsidR="003010BD" w:rsidRPr="006E4DCA" w:rsidRDefault="003010BD" w:rsidP="00011661">
            <w:pPr>
              <w:spacing w:line="240" w:lineRule="auto"/>
              <w:jc w:val="center"/>
              <w:rPr>
                <w:sz w:val="20"/>
                <w:szCs w:val="18"/>
              </w:rPr>
            </w:pPr>
          </w:p>
        </w:tc>
      </w:tr>
      <w:tr w:rsidR="003010BD" w:rsidRPr="006E4DCA" w14:paraId="553E3542" w14:textId="77777777" w:rsidTr="00011661">
        <w:tc>
          <w:tcPr>
            <w:tcW w:w="234" w:type="dxa"/>
            <w:tcBorders>
              <w:top w:val="nil"/>
              <w:bottom w:val="nil"/>
              <w:right w:val="nil"/>
            </w:tcBorders>
            <w:shd w:val="clear" w:color="auto" w:fill="auto"/>
            <w:vAlign w:val="center"/>
          </w:tcPr>
          <w:p w14:paraId="66A314C9"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1961501E" w14:textId="77777777" w:rsidR="003010BD" w:rsidRPr="006E4DCA" w:rsidRDefault="003010BD" w:rsidP="00011661">
            <w:pPr>
              <w:spacing w:line="240" w:lineRule="auto"/>
              <w:jc w:val="left"/>
              <w:rPr>
                <w:sz w:val="20"/>
                <w:szCs w:val="18"/>
              </w:rPr>
            </w:pPr>
            <w:r w:rsidRPr="006E4DCA">
              <w:rPr>
                <w:sz w:val="20"/>
                <w:szCs w:val="18"/>
              </w:rPr>
              <w:t>Gender</w:t>
            </w:r>
          </w:p>
        </w:tc>
        <w:tc>
          <w:tcPr>
            <w:tcW w:w="766" w:type="dxa"/>
            <w:tcBorders>
              <w:top w:val="nil"/>
              <w:left w:val="nil"/>
              <w:bottom w:val="nil"/>
              <w:right w:val="nil"/>
            </w:tcBorders>
            <w:shd w:val="clear" w:color="auto" w:fill="auto"/>
          </w:tcPr>
          <w:p w14:paraId="454B545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75F00F81"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58FD003" w14:textId="77777777" w:rsidR="003010BD" w:rsidRPr="006E4DCA" w:rsidRDefault="003010BD" w:rsidP="00011661">
            <w:pPr>
              <w:spacing w:line="240" w:lineRule="auto"/>
              <w:jc w:val="center"/>
              <w:rPr>
                <w:color w:val="010205"/>
                <w:sz w:val="20"/>
                <w:szCs w:val="18"/>
              </w:rPr>
            </w:pPr>
          </w:p>
        </w:tc>
        <w:tc>
          <w:tcPr>
            <w:tcW w:w="914" w:type="dxa"/>
            <w:tcBorders>
              <w:top w:val="single" w:sz="4" w:space="0" w:color="AEAEAE"/>
              <w:left w:val="nil"/>
              <w:bottom w:val="single" w:sz="4" w:space="0" w:color="AEAEAE"/>
              <w:right w:val="single" w:sz="4" w:space="0" w:color="E0E0E0"/>
            </w:tcBorders>
            <w:shd w:val="clear" w:color="auto" w:fill="auto"/>
          </w:tcPr>
          <w:p w14:paraId="492BB837" w14:textId="77777777" w:rsidR="003010BD" w:rsidRPr="006E4DCA" w:rsidRDefault="003010BD" w:rsidP="00011661">
            <w:pPr>
              <w:spacing w:line="240" w:lineRule="auto"/>
              <w:jc w:val="center"/>
              <w:rPr>
                <w:sz w:val="20"/>
                <w:szCs w:val="18"/>
              </w:rPr>
            </w:pPr>
            <w:r w:rsidRPr="006E4DCA">
              <w:rPr>
                <w:color w:val="010205"/>
                <w:sz w:val="20"/>
                <w:szCs w:val="18"/>
              </w:rPr>
              <w:t>-0.24</w:t>
            </w:r>
          </w:p>
        </w:tc>
        <w:tc>
          <w:tcPr>
            <w:tcW w:w="796" w:type="dxa"/>
            <w:tcBorders>
              <w:top w:val="single" w:sz="4" w:space="0" w:color="AEAEAE"/>
              <w:left w:val="nil"/>
              <w:bottom w:val="single" w:sz="4" w:space="0" w:color="AEAEAE"/>
              <w:right w:val="single" w:sz="4" w:space="0" w:color="E0E0E0"/>
            </w:tcBorders>
            <w:shd w:val="clear" w:color="auto" w:fill="auto"/>
          </w:tcPr>
          <w:p w14:paraId="2D46E781" w14:textId="77777777" w:rsidR="003010BD" w:rsidRPr="006E4DCA" w:rsidRDefault="003010BD" w:rsidP="00011661">
            <w:pPr>
              <w:spacing w:line="240" w:lineRule="auto"/>
              <w:jc w:val="center"/>
              <w:rPr>
                <w:sz w:val="20"/>
                <w:szCs w:val="18"/>
              </w:rPr>
            </w:pPr>
            <w:r w:rsidRPr="006E4DCA">
              <w:rPr>
                <w:color w:val="010205"/>
                <w:sz w:val="20"/>
                <w:szCs w:val="18"/>
              </w:rPr>
              <w:t>0.15</w:t>
            </w:r>
          </w:p>
        </w:tc>
        <w:tc>
          <w:tcPr>
            <w:tcW w:w="820" w:type="dxa"/>
            <w:tcBorders>
              <w:top w:val="single" w:sz="4" w:space="0" w:color="AEAEAE"/>
              <w:left w:val="nil"/>
              <w:bottom w:val="single" w:sz="4" w:space="0" w:color="AEAEAE"/>
              <w:right w:val="single" w:sz="4" w:space="0" w:color="E0E0E0"/>
            </w:tcBorders>
            <w:shd w:val="clear" w:color="auto" w:fill="auto"/>
          </w:tcPr>
          <w:p w14:paraId="142C0B52"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796" w:type="dxa"/>
            <w:tcBorders>
              <w:top w:val="single" w:sz="4" w:space="0" w:color="AEAEAE"/>
              <w:left w:val="nil"/>
              <w:bottom w:val="single" w:sz="4" w:space="0" w:color="AEAEAE"/>
              <w:right w:val="single" w:sz="4" w:space="0" w:color="E0E0E0"/>
            </w:tcBorders>
            <w:shd w:val="clear" w:color="auto" w:fill="auto"/>
          </w:tcPr>
          <w:p w14:paraId="78BAF8E4" w14:textId="77777777" w:rsidR="003010BD" w:rsidRPr="006E4DCA" w:rsidRDefault="003010BD" w:rsidP="00011661">
            <w:pPr>
              <w:spacing w:line="240" w:lineRule="auto"/>
              <w:jc w:val="center"/>
              <w:rPr>
                <w:sz w:val="20"/>
                <w:szCs w:val="18"/>
              </w:rPr>
            </w:pPr>
            <w:r w:rsidRPr="006E4DCA">
              <w:rPr>
                <w:color w:val="010205"/>
                <w:sz w:val="20"/>
                <w:szCs w:val="18"/>
              </w:rPr>
              <w:t>-0.53</w:t>
            </w:r>
          </w:p>
        </w:tc>
        <w:tc>
          <w:tcPr>
            <w:tcW w:w="796" w:type="dxa"/>
            <w:tcBorders>
              <w:top w:val="nil"/>
              <w:left w:val="nil"/>
              <w:bottom w:val="nil"/>
              <w:right w:val="nil"/>
            </w:tcBorders>
            <w:shd w:val="clear" w:color="auto" w:fill="auto"/>
          </w:tcPr>
          <w:p w14:paraId="37EB3432" w14:textId="77777777" w:rsidR="003010BD" w:rsidRPr="006E4DCA" w:rsidRDefault="003010BD" w:rsidP="00011661">
            <w:pPr>
              <w:spacing w:line="240" w:lineRule="auto"/>
              <w:jc w:val="center"/>
              <w:rPr>
                <w:sz w:val="20"/>
                <w:szCs w:val="18"/>
              </w:rPr>
            </w:pPr>
            <w:r w:rsidRPr="006E4DCA">
              <w:rPr>
                <w:color w:val="010205"/>
                <w:sz w:val="20"/>
                <w:szCs w:val="18"/>
              </w:rPr>
              <w:t>0.05</w:t>
            </w:r>
          </w:p>
        </w:tc>
      </w:tr>
      <w:tr w:rsidR="003010BD" w:rsidRPr="006E4DCA" w14:paraId="00120C0C" w14:textId="77777777" w:rsidTr="00011661">
        <w:tc>
          <w:tcPr>
            <w:tcW w:w="234" w:type="dxa"/>
            <w:tcBorders>
              <w:top w:val="nil"/>
              <w:bottom w:val="nil"/>
              <w:right w:val="nil"/>
            </w:tcBorders>
            <w:shd w:val="clear" w:color="auto" w:fill="auto"/>
            <w:vAlign w:val="center"/>
          </w:tcPr>
          <w:p w14:paraId="4E8E0FAD"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3AFC2C80" w14:textId="77777777" w:rsidR="003010BD" w:rsidRPr="006E4DCA" w:rsidRDefault="003010BD" w:rsidP="00011661">
            <w:pPr>
              <w:spacing w:line="240" w:lineRule="auto"/>
              <w:jc w:val="left"/>
              <w:rPr>
                <w:sz w:val="20"/>
                <w:szCs w:val="18"/>
              </w:rPr>
            </w:pPr>
            <w:r w:rsidRPr="006E4DCA">
              <w:rPr>
                <w:rFonts w:eastAsia="MS Mincho"/>
                <w:sz w:val="20"/>
                <w:szCs w:val="18"/>
              </w:rPr>
              <w:t>Age</w:t>
            </w:r>
          </w:p>
        </w:tc>
        <w:tc>
          <w:tcPr>
            <w:tcW w:w="766" w:type="dxa"/>
            <w:tcBorders>
              <w:top w:val="nil"/>
              <w:left w:val="nil"/>
              <w:bottom w:val="nil"/>
              <w:right w:val="nil"/>
            </w:tcBorders>
            <w:shd w:val="clear" w:color="auto" w:fill="auto"/>
          </w:tcPr>
          <w:p w14:paraId="7743FD5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065BFB4F"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1C4B86E"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2E40650"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796" w:type="dxa"/>
            <w:tcBorders>
              <w:top w:val="nil"/>
              <w:left w:val="nil"/>
              <w:bottom w:val="single" w:sz="4" w:space="0" w:color="AEAEAE"/>
              <w:right w:val="single" w:sz="4" w:space="0" w:color="E0E0E0"/>
            </w:tcBorders>
            <w:shd w:val="clear" w:color="auto" w:fill="auto"/>
          </w:tcPr>
          <w:p w14:paraId="40D3074D"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820" w:type="dxa"/>
            <w:tcBorders>
              <w:top w:val="nil"/>
              <w:left w:val="nil"/>
              <w:bottom w:val="single" w:sz="4" w:space="0" w:color="AEAEAE"/>
              <w:right w:val="single" w:sz="4" w:space="0" w:color="E0E0E0"/>
            </w:tcBorders>
            <w:shd w:val="clear" w:color="auto" w:fill="auto"/>
          </w:tcPr>
          <w:p w14:paraId="7ACBDF73" w14:textId="77777777" w:rsidR="003010BD" w:rsidRPr="006E4DCA" w:rsidRDefault="003010BD" w:rsidP="00011661">
            <w:pPr>
              <w:spacing w:line="240" w:lineRule="auto"/>
              <w:jc w:val="center"/>
              <w:rPr>
                <w:sz w:val="20"/>
                <w:szCs w:val="18"/>
              </w:rPr>
            </w:pPr>
            <w:r w:rsidRPr="006E4DCA">
              <w:rPr>
                <w:color w:val="010205"/>
                <w:sz w:val="20"/>
                <w:szCs w:val="18"/>
              </w:rPr>
              <w:t>0.08</w:t>
            </w:r>
          </w:p>
        </w:tc>
        <w:tc>
          <w:tcPr>
            <w:tcW w:w="796" w:type="dxa"/>
            <w:tcBorders>
              <w:top w:val="nil"/>
              <w:left w:val="nil"/>
              <w:bottom w:val="single" w:sz="4" w:space="0" w:color="AEAEAE"/>
              <w:right w:val="single" w:sz="4" w:space="0" w:color="E0E0E0"/>
            </w:tcBorders>
            <w:shd w:val="clear" w:color="auto" w:fill="auto"/>
          </w:tcPr>
          <w:p w14:paraId="7A482DBE"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nil"/>
              <w:right w:val="nil"/>
            </w:tcBorders>
            <w:shd w:val="clear" w:color="auto" w:fill="auto"/>
          </w:tcPr>
          <w:p w14:paraId="3E0FD2AD" w14:textId="77777777" w:rsidR="003010BD" w:rsidRPr="006E4DCA" w:rsidRDefault="003010BD" w:rsidP="00011661">
            <w:pPr>
              <w:spacing w:line="240" w:lineRule="auto"/>
              <w:jc w:val="center"/>
              <w:rPr>
                <w:sz w:val="20"/>
                <w:szCs w:val="18"/>
              </w:rPr>
            </w:pPr>
            <w:r w:rsidRPr="006E4DCA">
              <w:rPr>
                <w:color w:val="010205"/>
                <w:sz w:val="20"/>
                <w:szCs w:val="18"/>
              </w:rPr>
              <w:t>0.04</w:t>
            </w:r>
          </w:p>
        </w:tc>
      </w:tr>
      <w:tr w:rsidR="003010BD" w:rsidRPr="006E4DCA" w14:paraId="3551E437" w14:textId="77777777" w:rsidTr="00011661">
        <w:tc>
          <w:tcPr>
            <w:tcW w:w="234" w:type="dxa"/>
            <w:tcBorders>
              <w:top w:val="nil"/>
              <w:bottom w:val="nil"/>
              <w:right w:val="nil"/>
            </w:tcBorders>
            <w:shd w:val="clear" w:color="auto" w:fill="auto"/>
            <w:vAlign w:val="center"/>
          </w:tcPr>
          <w:p w14:paraId="4F64C9A0"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6897F1D7"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HADS-A</w:t>
            </w:r>
          </w:p>
        </w:tc>
        <w:tc>
          <w:tcPr>
            <w:tcW w:w="766" w:type="dxa"/>
            <w:tcBorders>
              <w:top w:val="nil"/>
              <w:left w:val="nil"/>
              <w:bottom w:val="nil"/>
              <w:right w:val="nil"/>
            </w:tcBorders>
            <w:shd w:val="clear" w:color="auto" w:fill="auto"/>
          </w:tcPr>
          <w:p w14:paraId="2825B01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48E1BDF8"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741BBD9"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FD024C2" w14:textId="77777777" w:rsidR="003010BD" w:rsidRPr="006E4DCA" w:rsidRDefault="003010BD" w:rsidP="00011661">
            <w:pPr>
              <w:spacing w:line="240" w:lineRule="auto"/>
              <w:jc w:val="center"/>
              <w:rPr>
                <w:color w:val="000000"/>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7F1F17C4" w14:textId="77777777" w:rsidR="003010BD" w:rsidRPr="006E4DCA" w:rsidRDefault="003010BD" w:rsidP="00011661">
            <w:pPr>
              <w:spacing w:line="240" w:lineRule="auto"/>
              <w:jc w:val="center"/>
              <w:rPr>
                <w:color w:val="000000"/>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66DFAC9E" w14:textId="77777777" w:rsidR="003010BD" w:rsidRPr="006E4DCA" w:rsidRDefault="003010BD" w:rsidP="00011661">
            <w:pPr>
              <w:spacing w:line="240" w:lineRule="auto"/>
              <w:jc w:val="center"/>
              <w:rPr>
                <w:color w:val="000000"/>
                <w:sz w:val="20"/>
                <w:szCs w:val="18"/>
              </w:rPr>
            </w:pPr>
            <w:r w:rsidRPr="006E4DCA">
              <w:rPr>
                <w:color w:val="010205"/>
                <w:sz w:val="20"/>
                <w:szCs w:val="18"/>
              </w:rPr>
              <w:t>-0.07</w:t>
            </w:r>
          </w:p>
        </w:tc>
        <w:tc>
          <w:tcPr>
            <w:tcW w:w="796" w:type="dxa"/>
            <w:tcBorders>
              <w:top w:val="nil"/>
              <w:left w:val="nil"/>
              <w:bottom w:val="single" w:sz="4" w:space="0" w:color="AEAEAE"/>
              <w:right w:val="single" w:sz="4" w:space="0" w:color="E0E0E0"/>
            </w:tcBorders>
            <w:shd w:val="clear" w:color="auto" w:fill="auto"/>
          </w:tcPr>
          <w:p w14:paraId="2DEE1153" w14:textId="77777777" w:rsidR="003010BD" w:rsidRPr="006E4DCA" w:rsidRDefault="003010BD" w:rsidP="00011661">
            <w:pPr>
              <w:spacing w:line="240" w:lineRule="auto"/>
              <w:jc w:val="center"/>
              <w:rPr>
                <w:color w:val="000000"/>
                <w:sz w:val="20"/>
                <w:szCs w:val="18"/>
              </w:rPr>
            </w:pPr>
            <w:r w:rsidRPr="006E4DCA">
              <w:rPr>
                <w:color w:val="010205"/>
                <w:sz w:val="20"/>
                <w:szCs w:val="18"/>
              </w:rPr>
              <w:t>-0.09</w:t>
            </w:r>
          </w:p>
        </w:tc>
        <w:tc>
          <w:tcPr>
            <w:tcW w:w="796" w:type="dxa"/>
            <w:tcBorders>
              <w:top w:val="nil"/>
              <w:left w:val="nil"/>
              <w:bottom w:val="nil"/>
              <w:right w:val="nil"/>
            </w:tcBorders>
            <w:shd w:val="clear" w:color="auto" w:fill="auto"/>
          </w:tcPr>
          <w:p w14:paraId="211B7485" w14:textId="77777777" w:rsidR="003010BD" w:rsidRPr="006E4DCA" w:rsidRDefault="003010BD" w:rsidP="00011661">
            <w:pPr>
              <w:spacing w:line="240" w:lineRule="auto"/>
              <w:jc w:val="center"/>
              <w:rPr>
                <w:color w:val="000000"/>
                <w:sz w:val="20"/>
                <w:szCs w:val="18"/>
              </w:rPr>
            </w:pPr>
            <w:r w:rsidRPr="006E4DCA">
              <w:rPr>
                <w:color w:val="010205"/>
                <w:sz w:val="20"/>
                <w:szCs w:val="18"/>
              </w:rPr>
              <w:t>0.00</w:t>
            </w:r>
          </w:p>
        </w:tc>
      </w:tr>
      <w:tr w:rsidR="003010BD" w:rsidRPr="006E4DCA" w14:paraId="5E90E51C" w14:textId="77777777" w:rsidTr="00011661">
        <w:tc>
          <w:tcPr>
            <w:tcW w:w="234" w:type="dxa"/>
            <w:tcBorders>
              <w:top w:val="nil"/>
              <w:bottom w:val="nil"/>
              <w:right w:val="nil"/>
            </w:tcBorders>
            <w:shd w:val="clear" w:color="auto" w:fill="auto"/>
            <w:vAlign w:val="center"/>
          </w:tcPr>
          <w:p w14:paraId="21ACD9EA"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F30A7DE" w14:textId="77777777" w:rsidR="003010BD" w:rsidRPr="006E4DCA" w:rsidRDefault="003010BD" w:rsidP="00011661">
            <w:pPr>
              <w:spacing w:line="240" w:lineRule="auto"/>
              <w:jc w:val="left"/>
              <w:rPr>
                <w:rFonts w:eastAsia="MS Mincho"/>
                <w:sz w:val="20"/>
                <w:szCs w:val="18"/>
              </w:rPr>
            </w:pPr>
            <w:r w:rsidRPr="006E4DCA">
              <w:rPr>
                <w:rFonts w:eastAsia="MS Mincho"/>
                <w:sz w:val="20"/>
                <w:szCs w:val="18"/>
              </w:rPr>
              <w:t>HADS-D</w:t>
            </w:r>
          </w:p>
        </w:tc>
        <w:tc>
          <w:tcPr>
            <w:tcW w:w="766" w:type="dxa"/>
            <w:tcBorders>
              <w:top w:val="nil"/>
              <w:left w:val="nil"/>
              <w:bottom w:val="nil"/>
              <w:right w:val="nil"/>
            </w:tcBorders>
            <w:shd w:val="clear" w:color="auto" w:fill="auto"/>
          </w:tcPr>
          <w:p w14:paraId="08A4E2E4"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38A10664"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47F01B3"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6770DB8F" w14:textId="77777777" w:rsidR="003010BD" w:rsidRPr="006E4DCA" w:rsidRDefault="003010BD" w:rsidP="00011661">
            <w:pPr>
              <w:spacing w:line="240" w:lineRule="auto"/>
              <w:jc w:val="center"/>
              <w:rPr>
                <w:color w:val="000000"/>
                <w:sz w:val="20"/>
                <w:szCs w:val="18"/>
              </w:rPr>
            </w:pPr>
            <w:r w:rsidRPr="006E4DCA">
              <w:rPr>
                <w:color w:val="010205"/>
                <w:sz w:val="20"/>
                <w:szCs w:val="18"/>
              </w:rPr>
              <w:t>0.08**</w:t>
            </w:r>
          </w:p>
        </w:tc>
        <w:tc>
          <w:tcPr>
            <w:tcW w:w="796" w:type="dxa"/>
            <w:tcBorders>
              <w:top w:val="nil"/>
              <w:left w:val="nil"/>
              <w:bottom w:val="single" w:sz="4" w:space="0" w:color="AEAEAE"/>
              <w:right w:val="single" w:sz="4" w:space="0" w:color="E0E0E0"/>
            </w:tcBorders>
            <w:shd w:val="clear" w:color="auto" w:fill="auto"/>
          </w:tcPr>
          <w:p w14:paraId="6FA3EB3E" w14:textId="77777777" w:rsidR="003010BD" w:rsidRPr="006E4DCA" w:rsidRDefault="003010BD" w:rsidP="00011661">
            <w:pPr>
              <w:spacing w:line="240" w:lineRule="auto"/>
              <w:jc w:val="center"/>
              <w:rPr>
                <w:color w:val="000000"/>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7E8491BF" w14:textId="77777777" w:rsidR="003010BD" w:rsidRPr="006E4DCA" w:rsidRDefault="003010BD" w:rsidP="00011661">
            <w:pPr>
              <w:spacing w:line="240" w:lineRule="auto"/>
              <w:jc w:val="center"/>
              <w:rPr>
                <w:color w:val="000000"/>
                <w:sz w:val="20"/>
                <w:szCs w:val="18"/>
              </w:rPr>
            </w:pPr>
            <w:r w:rsidRPr="006E4DCA">
              <w:rPr>
                <w:color w:val="010205"/>
                <w:sz w:val="20"/>
                <w:szCs w:val="18"/>
              </w:rPr>
              <w:t>0.12</w:t>
            </w:r>
          </w:p>
        </w:tc>
        <w:tc>
          <w:tcPr>
            <w:tcW w:w="796" w:type="dxa"/>
            <w:tcBorders>
              <w:top w:val="nil"/>
              <w:left w:val="nil"/>
              <w:bottom w:val="single" w:sz="4" w:space="0" w:color="AEAEAE"/>
              <w:right w:val="single" w:sz="4" w:space="0" w:color="E0E0E0"/>
            </w:tcBorders>
            <w:shd w:val="clear" w:color="auto" w:fill="auto"/>
          </w:tcPr>
          <w:p w14:paraId="3ED83FB4" w14:textId="77777777" w:rsidR="003010BD" w:rsidRPr="006E4DCA" w:rsidRDefault="003010BD" w:rsidP="00011661">
            <w:pPr>
              <w:spacing w:line="240" w:lineRule="auto"/>
              <w:jc w:val="center"/>
              <w:rPr>
                <w:color w:val="000000"/>
                <w:sz w:val="20"/>
                <w:szCs w:val="18"/>
              </w:rPr>
            </w:pPr>
            <w:r w:rsidRPr="006E4DCA">
              <w:rPr>
                <w:color w:val="010205"/>
                <w:sz w:val="20"/>
                <w:szCs w:val="18"/>
              </w:rPr>
              <w:t>0.03</w:t>
            </w:r>
          </w:p>
        </w:tc>
        <w:tc>
          <w:tcPr>
            <w:tcW w:w="796" w:type="dxa"/>
            <w:tcBorders>
              <w:top w:val="nil"/>
              <w:left w:val="nil"/>
              <w:bottom w:val="nil"/>
              <w:right w:val="nil"/>
            </w:tcBorders>
            <w:shd w:val="clear" w:color="auto" w:fill="auto"/>
          </w:tcPr>
          <w:p w14:paraId="0910A4DA" w14:textId="77777777" w:rsidR="003010BD" w:rsidRPr="006E4DCA" w:rsidRDefault="003010BD" w:rsidP="00011661">
            <w:pPr>
              <w:spacing w:line="240" w:lineRule="auto"/>
              <w:jc w:val="center"/>
              <w:rPr>
                <w:color w:val="000000"/>
                <w:sz w:val="20"/>
                <w:szCs w:val="18"/>
              </w:rPr>
            </w:pPr>
            <w:r w:rsidRPr="006E4DCA">
              <w:rPr>
                <w:color w:val="010205"/>
                <w:sz w:val="20"/>
                <w:szCs w:val="18"/>
              </w:rPr>
              <w:t>0.12</w:t>
            </w:r>
          </w:p>
        </w:tc>
      </w:tr>
      <w:tr w:rsidR="003010BD" w:rsidRPr="006E4DCA" w14:paraId="78362BC8" w14:textId="77777777" w:rsidTr="00011661">
        <w:tc>
          <w:tcPr>
            <w:tcW w:w="234" w:type="dxa"/>
            <w:tcBorders>
              <w:top w:val="nil"/>
              <w:bottom w:val="nil"/>
              <w:right w:val="nil"/>
            </w:tcBorders>
            <w:shd w:val="clear" w:color="auto" w:fill="auto"/>
            <w:vAlign w:val="center"/>
          </w:tcPr>
          <w:p w14:paraId="77B23990"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0B5733B7" w14:textId="77777777" w:rsidR="003010BD" w:rsidRPr="006E4DCA" w:rsidRDefault="003010BD" w:rsidP="00011661">
            <w:pPr>
              <w:spacing w:line="240" w:lineRule="auto"/>
              <w:jc w:val="left"/>
              <w:rPr>
                <w:sz w:val="20"/>
                <w:szCs w:val="18"/>
              </w:rPr>
            </w:pPr>
            <w:r w:rsidRPr="006E4DCA">
              <w:rPr>
                <w:rFonts w:eastAsia="MS Mincho"/>
                <w:sz w:val="20"/>
                <w:szCs w:val="18"/>
              </w:rPr>
              <w:t>SSA</w:t>
            </w:r>
          </w:p>
        </w:tc>
        <w:tc>
          <w:tcPr>
            <w:tcW w:w="766" w:type="dxa"/>
            <w:tcBorders>
              <w:top w:val="nil"/>
              <w:left w:val="nil"/>
              <w:bottom w:val="nil"/>
              <w:right w:val="nil"/>
            </w:tcBorders>
            <w:shd w:val="clear" w:color="auto" w:fill="auto"/>
          </w:tcPr>
          <w:p w14:paraId="2B67A443"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42155B55"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485DA02C"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AD69F16" w14:textId="77777777" w:rsidR="003010BD" w:rsidRPr="006E4DCA" w:rsidRDefault="003010BD" w:rsidP="00011661">
            <w:pPr>
              <w:spacing w:line="240" w:lineRule="auto"/>
              <w:jc w:val="center"/>
              <w:rPr>
                <w:sz w:val="20"/>
                <w:szCs w:val="18"/>
              </w:rPr>
            </w:pPr>
            <w:r w:rsidRPr="006E4DCA">
              <w:rPr>
                <w:color w:val="010205"/>
                <w:sz w:val="20"/>
                <w:szCs w:val="18"/>
              </w:rPr>
              <w:t>-0.08**</w:t>
            </w:r>
          </w:p>
        </w:tc>
        <w:tc>
          <w:tcPr>
            <w:tcW w:w="796" w:type="dxa"/>
            <w:tcBorders>
              <w:top w:val="nil"/>
              <w:left w:val="nil"/>
              <w:bottom w:val="single" w:sz="4" w:space="0" w:color="AEAEAE"/>
              <w:right w:val="single" w:sz="4" w:space="0" w:color="E0E0E0"/>
            </w:tcBorders>
            <w:shd w:val="clear" w:color="auto" w:fill="auto"/>
          </w:tcPr>
          <w:p w14:paraId="26A1E66F"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2C120931" w14:textId="77777777" w:rsidR="003010BD" w:rsidRPr="006E4DCA" w:rsidRDefault="003010BD" w:rsidP="00011661">
            <w:pPr>
              <w:spacing w:line="240" w:lineRule="auto"/>
              <w:jc w:val="center"/>
              <w:rPr>
                <w:sz w:val="20"/>
                <w:szCs w:val="18"/>
              </w:rPr>
            </w:pPr>
            <w:r w:rsidRPr="006E4DCA">
              <w:rPr>
                <w:color w:val="010205"/>
                <w:sz w:val="20"/>
                <w:szCs w:val="18"/>
              </w:rPr>
              <w:t>-0.12</w:t>
            </w:r>
          </w:p>
        </w:tc>
        <w:tc>
          <w:tcPr>
            <w:tcW w:w="796" w:type="dxa"/>
            <w:tcBorders>
              <w:top w:val="nil"/>
              <w:left w:val="nil"/>
              <w:bottom w:val="single" w:sz="4" w:space="0" w:color="AEAEAE"/>
              <w:right w:val="single" w:sz="4" w:space="0" w:color="E0E0E0"/>
            </w:tcBorders>
            <w:shd w:val="clear" w:color="auto" w:fill="auto"/>
          </w:tcPr>
          <w:p w14:paraId="4AF7609C" w14:textId="77777777" w:rsidR="003010BD" w:rsidRPr="006E4DCA" w:rsidRDefault="003010BD" w:rsidP="00011661">
            <w:pPr>
              <w:spacing w:line="240" w:lineRule="auto"/>
              <w:jc w:val="center"/>
              <w:rPr>
                <w:sz w:val="20"/>
                <w:szCs w:val="18"/>
              </w:rPr>
            </w:pPr>
            <w:r w:rsidRPr="006E4DCA">
              <w:rPr>
                <w:color w:val="010205"/>
                <w:sz w:val="20"/>
                <w:szCs w:val="18"/>
              </w:rPr>
              <w:t>-0.13</w:t>
            </w:r>
          </w:p>
        </w:tc>
        <w:tc>
          <w:tcPr>
            <w:tcW w:w="796" w:type="dxa"/>
            <w:tcBorders>
              <w:top w:val="nil"/>
              <w:left w:val="nil"/>
              <w:bottom w:val="nil"/>
              <w:right w:val="nil"/>
            </w:tcBorders>
            <w:shd w:val="clear" w:color="auto" w:fill="auto"/>
          </w:tcPr>
          <w:p w14:paraId="0F422946" w14:textId="77777777" w:rsidR="003010BD" w:rsidRPr="006E4DCA" w:rsidRDefault="003010BD" w:rsidP="00011661">
            <w:pPr>
              <w:spacing w:line="240" w:lineRule="auto"/>
              <w:jc w:val="center"/>
              <w:rPr>
                <w:sz w:val="20"/>
                <w:szCs w:val="18"/>
              </w:rPr>
            </w:pPr>
            <w:r w:rsidRPr="006E4DCA">
              <w:rPr>
                <w:color w:val="010205"/>
                <w:sz w:val="20"/>
                <w:szCs w:val="18"/>
              </w:rPr>
              <w:t>-0.04</w:t>
            </w:r>
          </w:p>
        </w:tc>
      </w:tr>
      <w:tr w:rsidR="003010BD" w:rsidRPr="006E4DCA" w14:paraId="614F0F79" w14:textId="77777777" w:rsidTr="00011661">
        <w:tc>
          <w:tcPr>
            <w:tcW w:w="234" w:type="dxa"/>
            <w:tcBorders>
              <w:top w:val="nil"/>
              <w:bottom w:val="nil"/>
              <w:right w:val="nil"/>
            </w:tcBorders>
            <w:shd w:val="clear" w:color="auto" w:fill="auto"/>
            <w:vAlign w:val="center"/>
          </w:tcPr>
          <w:p w14:paraId="513A9130"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EE0D041" w14:textId="77777777" w:rsidR="003010BD" w:rsidRPr="006E4DCA" w:rsidRDefault="003010BD" w:rsidP="00011661">
            <w:pPr>
              <w:spacing w:line="240" w:lineRule="auto"/>
              <w:jc w:val="left"/>
              <w:rPr>
                <w:sz w:val="20"/>
                <w:szCs w:val="18"/>
              </w:rPr>
            </w:pPr>
            <w:r w:rsidRPr="006E4DCA">
              <w:rPr>
                <w:rFonts w:eastAsia="MS Mincho"/>
                <w:sz w:val="20"/>
                <w:szCs w:val="18"/>
              </w:rPr>
              <w:t>Smoking cessation treatment</w:t>
            </w:r>
          </w:p>
        </w:tc>
        <w:tc>
          <w:tcPr>
            <w:tcW w:w="766" w:type="dxa"/>
            <w:tcBorders>
              <w:top w:val="nil"/>
              <w:left w:val="nil"/>
              <w:bottom w:val="nil"/>
              <w:right w:val="nil"/>
            </w:tcBorders>
            <w:shd w:val="clear" w:color="auto" w:fill="auto"/>
          </w:tcPr>
          <w:p w14:paraId="21A22415"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44F04A1"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46718DDF"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0D5C87BF" w14:textId="77777777" w:rsidR="003010BD" w:rsidRPr="006E4DCA" w:rsidRDefault="003010BD" w:rsidP="00011661">
            <w:pPr>
              <w:spacing w:line="240" w:lineRule="auto"/>
              <w:jc w:val="center"/>
              <w:rPr>
                <w:sz w:val="20"/>
                <w:szCs w:val="18"/>
              </w:rPr>
            </w:pPr>
            <w:r w:rsidRPr="006E4DCA">
              <w:rPr>
                <w:color w:val="010205"/>
                <w:sz w:val="20"/>
                <w:szCs w:val="18"/>
              </w:rPr>
              <w:t>0.30</w:t>
            </w:r>
          </w:p>
        </w:tc>
        <w:tc>
          <w:tcPr>
            <w:tcW w:w="796" w:type="dxa"/>
            <w:tcBorders>
              <w:top w:val="nil"/>
              <w:left w:val="nil"/>
              <w:bottom w:val="single" w:sz="4" w:space="0" w:color="AEAEAE"/>
              <w:right w:val="single" w:sz="4" w:space="0" w:color="E0E0E0"/>
            </w:tcBorders>
            <w:shd w:val="clear" w:color="auto" w:fill="auto"/>
          </w:tcPr>
          <w:p w14:paraId="31D054CC" w14:textId="77777777" w:rsidR="003010BD" w:rsidRPr="006E4DCA" w:rsidRDefault="003010BD" w:rsidP="00011661">
            <w:pPr>
              <w:spacing w:line="240" w:lineRule="auto"/>
              <w:jc w:val="center"/>
              <w:rPr>
                <w:sz w:val="20"/>
                <w:szCs w:val="18"/>
              </w:rPr>
            </w:pPr>
            <w:r w:rsidRPr="006E4DCA">
              <w:rPr>
                <w:color w:val="010205"/>
                <w:sz w:val="20"/>
                <w:szCs w:val="18"/>
              </w:rPr>
              <w:t>0.32</w:t>
            </w:r>
          </w:p>
        </w:tc>
        <w:tc>
          <w:tcPr>
            <w:tcW w:w="820" w:type="dxa"/>
            <w:tcBorders>
              <w:top w:val="nil"/>
              <w:left w:val="nil"/>
              <w:bottom w:val="single" w:sz="4" w:space="0" w:color="AEAEAE"/>
              <w:right w:val="single" w:sz="4" w:space="0" w:color="E0E0E0"/>
            </w:tcBorders>
            <w:shd w:val="clear" w:color="auto" w:fill="auto"/>
          </w:tcPr>
          <w:p w14:paraId="2051E89C"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796" w:type="dxa"/>
            <w:tcBorders>
              <w:top w:val="nil"/>
              <w:left w:val="nil"/>
              <w:bottom w:val="single" w:sz="4" w:space="0" w:color="AEAEAE"/>
              <w:right w:val="single" w:sz="4" w:space="0" w:color="E0E0E0"/>
            </w:tcBorders>
            <w:shd w:val="clear" w:color="auto" w:fill="auto"/>
          </w:tcPr>
          <w:p w14:paraId="01555BA1" w14:textId="77777777" w:rsidR="003010BD" w:rsidRPr="006E4DCA" w:rsidRDefault="003010BD" w:rsidP="00011661">
            <w:pPr>
              <w:spacing w:line="240" w:lineRule="auto"/>
              <w:jc w:val="center"/>
              <w:rPr>
                <w:sz w:val="20"/>
                <w:szCs w:val="18"/>
              </w:rPr>
            </w:pPr>
            <w:r w:rsidRPr="006E4DCA">
              <w:rPr>
                <w:color w:val="010205"/>
                <w:sz w:val="20"/>
                <w:szCs w:val="18"/>
              </w:rPr>
              <w:t>-0.34</w:t>
            </w:r>
          </w:p>
        </w:tc>
        <w:tc>
          <w:tcPr>
            <w:tcW w:w="796" w:type="dxa"/>
            <w:tcBorders>
              <w:top w:val="nil"/>
              <w:left w:val="nil"/>
              <w:bottom w:val="nil"/>
              <w:right w:val="nil"/>
            </w:tcBorders>
            <w:shd w:val="clear" w:color="auto" w:fill="auto"/>
          </w:tcPr>
          <w:p w14:paraId="42A8D062" w14:textId="77777777" w:rsidR="003010BD" w:rsidRPr="006E4DCA" w:rsidRDefault="003010BD" w:rsidP="00011661">
            <w:pPr>
              <w:spacing w:line="240" w:lineRule="auto"/>
              <w:jc w:val="center"/>
              <w:rPr>
                <w:sz w:val="20"/>
                <w:szCs w:val="18"/>
              </w:rPr>
            </w:pPr>
            <w:r w:rsidRPr="006E4DCA">
              <w:rPr>
                <w:color w:val="010205"/>
                <w:sz w:val="20"/>
                <w:szCs w:val="18"/>
              </w:rPr>
              <w:t>0.93</w:t>
            </w:r>
          </w:p>
        </w:tc>
      </w:tr>
      <w:tr w:rsidR="003010BD" w:rsidRPr="006E4DCA" w14:paraId="25D68990" w14:textId="77777777" w:rsidTr="00011661">
        <w:tc>
          <w:tcPr>
            <w:tcW w:w="234" w:type="dxa"/>
            <w:tcBorders>
              <w:top w:val="nil"/>
              <w:bottom w:val="nil"/>
              <w:right w:val="nil"/>
            </w:tcBorders>
            <w:shd w:val="clear" w:color="auto" w:fill="auto"/>
            <w:vAlign w:val="center"/>
          </w:tcPr>
          <w:p w14:paraId="31119263"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0A29BC5B" w14:textId="77777777" w:rsidR="003010BD" w:rsidRPr="006E4DCA" w:rsidRDefault="003010BD" w:rsidP="00011661">
            <w:pPr>
              <w:spacing w:line="240" w:lineRule="auto"/>
              <w:jc w:val="left"/>
              <w:rPr>
                <w:sz w:val="20"/>
                <w:szCs w:val="18"/>
              </w:rPr>
            </w:pPr>
            <w:r w:rsidRPr="006E4DCA">
              <w:rPr>
                <w:color w:val="000000"/>
                <w:sz w:val="20"/>
                <w:szCs w:val="18"/>
                <w:lang w:eastAsia="en-US"/>
              </w:rPr>
              <w:t>BSCQ-1</w:t>
            </w:r>
          </w:p>
        </w:tc>
        <w:tc>
          <w:tcPr>
            <w:tcW w:w="766" w:type="dxa"/>
            <w:tcBorders>
              <w:top w:val="nil"/>
              <w:left w:val="nil"/>
              <w:bottom w:val="nil"/>
              <w:right w:val="nil"/>
            </w:tcBorders>
            <w:shd w:val="clear" w:color="auto" w:fill="auto"/>
          </w:tcPr>
          <w:p w14:paraId="7E2BA11B"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AD095E5"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5F137397"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08465C5F" w14:textId="77777777" w:rsidR="003010BD" w:rsidRPr="006E4DCA" w:rsidRDefault="003010BD" w:rsidP="00011661">
            <w:pPr>
              <w:spacing w:line="240" w:lineRule="auto"/>
              <w:jc w:val="center"/>
              <w:rPr>
                <w:sz w:val="20"/>
                <w:szCs w:val="18"/>
              </w:rPr>
            </w:pPr>
            <w:r w:rsidRPr="006E4DCA">
              <w:rPr>
                <w:color w:val="010205"/>
                <w:sz w:val="20"/>
                <w:szCs w:val="18"/>
              </w:rPr>
              <w:t>-0.07*</w:t>
            </w:r>
          </w:p>
        </w:tc>
        <w:tc>
          <w:tcPr>
            <w:tcW w:w="796" w:type="dxa"/>
            <w:tcBorders>
              <w:top w:val="nil"/>
              <w:left w:val="nil"/>
              <w:bottom w:val="single" w:sz="4" w:space="0" w:color="AEAEAE"/>
              <w:right w:val="single" w:sz="4" w:space="0" w:color="E0E0E0"/>
            </w:tcBorders>
            <w:shd w:val="clear" w:color="auto" w:fill="auto"/>
          </w:tcPr>
          <w:p w14:paraId="0E526D4D"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single" w:sz="4" w:space="0" w:color="AEAEAE"/>
              <w:right w:val="single" w:sz="4" w:space="0" w:color="E0E0E0"/>
            </w:tcBorders>
            <w:shd w:val="clear" w:color="auto" w:fill="auto"/>
          </w:tcPr>
          <w:p w14:paraId="0B37CCB6" w14:textId="77777777" w:rsidR="003010BD" w:rsidRPr="006E4DCA" w:rsidRDefault="003010BD" w:rsidP="00011661">
            <w:pPr>
              <w:spacing w:line="240" w:lineRule="auto"/>
              <w:jc w:val="center"/>
              <w:rPr>
                <w:sz w:val="20"/>
                <w:szCs w:val="18"/>
              </w:rPr>
            </w:pPr>
            <w:r w:rsidRPr="006E4DCA">
              <w:rPr>
                <w:color w:val="010205"/>
                <w:sz w:val="20"/>
                <w:szCs w:val="18"/>
              </w:rPr>
              <w:t>-0.07</w:t>
            </w:r>
          </w:p>
        </w:tc>
        <w:tc>
          <w:tcPr>
            <w:tcW w:w="796" w:type="dxa"/>
            <w:tcBorders>
              <w:top w:val="nil"/>
              <w:left w:val="nil"/>
              <w:bottom w:val="single" w:sz="4" w:space="0" w:color="AEAEAE"/>
              <w:right w:val="single" w:sz="4" w:space="0" w:color="E0E0E0"/>
            </w:tcBorders>
            <w:shd w:val="clear" w:color="auto" w:fill="auto"/>
          </w:tcPr>
          <w:p w14:paraId="76B51C42" w14:textId="77777777" w:rsidR="003010BD" w:rsidRPr="006E4DCA" w:rsidRDefault="003010BD" w:rsidP="00011661">
            <w:pPr>
              <w:spacing w:line="240" w:lineRule="auto"/>
              <w:jc w:val="center"/>
              <w:rPr>
                <w:sz w:val="20"/>
                <w:szCs w:val="18"/>
              </w:rPr>
            </w:pPr>
            <w:r w:rsidRPr="006E4DCA">
              <w:rPr>
                <w:color w:val="010205"/>
                <w:sz w:val="20"/>
                <w:szCs w:val="18"/>
              </w:rPr>
              <w:t>-0.13</w:t>
            </w:r>
          </w:p>
        </w:tc>
        <w:tc>
          <w:tcPr>
            <w:tcW w:w="796" w:type="dxa"/>
            <w:tcBorders>
              <w:top w:val="nil"/>
              <w:left w:val="nil"/>
              <w:bottom w:val="nil"/>
              <w:right w:val="nil"/>
            </w:tcBorders>
            <w:shd w:val="clear" w:color="auto" w:fill="auto"/>
          </w:tcPr>
          <w:p w14:paraId="1D0A0E62" w14:textId="77777777" w:rsidR="003010BD" w:rsidRPr="006E4DCA" w:rsidRDefault="003010BD" w:rsidP="00011661">
            <w:pPr>
              <w:spacing w:line="240" w:lineRule="auto"/>
              <w:jc w:val="center"/>
              <w:rPr>
                <w:sz w:val="20"/>
                <w:szCs w:val="18"/>
              </w:rPr>
            </w:pPr>
            <w:r w:rsidRPr="006E4DCA">
              <w:rPr>
                <w:color w:val="010205"/>
                <w:sz w:val="20"/>
                <w:szCs w:val="18"/>
              </w:rPr>
              <w:t>-0.01</w:t>
            </w:r>
          </w:p>
        </w:tc>
      </w:tr>
      <w:tr w:rsidR="003010BD" w:rsidRPr="006E4DCA" w14:paraId="77D74868" w14:textId="77777777" w:rsidTr="00011661">
        <w:tc>
          <w:tcPr>
            <w:tcW w:w="234" w:type="dxa"/>
            <w:tcBorders>
              <w:top w:val="nil"/>
              <w:bottom w:val="nil"/>
              <w:right w:val="nil"/>
            </w:tcBorders>
            <w:shd w:val="clear" w:color="auto" w:fill="auto"/>
            <w:vAlign w:val="center"/>
          </w:tcPr>
          <w:p w14:paraId="3268297D"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610C6185" w14:textId="77777777" w:rsidR="003010BD" w:rsidRPr="006E4DCA" w:rsidRDefault="003010BD" w:rsidP="00011661">
            <w:pPr>
              <w:spacing w:line="240" w:lineRule="auto"/>
              <w:jc w:val="left"/>
              <w:rPr>
                <w:sz w:val="20"/>
                <w:szCs w:val="18"/>
              </w:rPr>
            </w:pPr>
            <w:r w:rsidRPr="006E4DCA">
              <w:rPr>
                <w:color w:val="000000"/>
                <w:sz w:val="20"/>
                <w:szCs w:val="18"/>
                <w:lang w:eastAsia="en-US"/>
              </w:rPr>
              <w:t>BSCQ-2</w:t>
            </w:r>
          </w:p>
        </w:tc>
        <w:tc>
          <w:tcPr>
            <w:tcW w:w="766" w:type="dxa"/>
            <w:tcBorders>
              <w:top w:val="nil"/>
              <w:left w:val="nil"/>
              <w:bottom w:val="nil"/>
              <w:right w:val="nil"/>
            </w:tcBorders>
            <w:shd w:val="clear" w:color="auto" w:fill="auto"/>
          </w:tcPr>
          <w:p w14:paraId="3306259A"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0DDD4935"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7D4E3BEF"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3D5E3D2E" w14:textId="77777777" w:rsidR="003010BD" w:rsidRPr="006E4DCA" w:rsidRDefault="003010BD" w:rsidP="00011661">
            <w:pPr>
              <w:spacing w:line="240" w:lineRule="auto"/>
              <w:jc w:val="center"/>
              <w:rPr>
                <w:sz w:val="20"/>
                <w:szCs w:val="18"/>
              </w:rPr>
            </w:pPr>
            <w:r w:rsidRPr="006E4DCA">
              <w:rPr>
                <w:color w:val="010205"/>
                <w:sz w:val="20"/>
                <w:szCs w:val="18"/>
              </w:rPr>
              <w:t>0.13**</w:t>
            </w:r>
          </w:p>
        </w:tc>
        <w:tc>
          <w:tcPr>
            <w:tcW w:w="796" w:type="dxa"/>
            <w:tcBorders>
              <w:top w:val="nil"/>
              <w:left w:val="nil"/>
              <w:bottom w:val="single" w:sz="4" w:space="0" w:color="AEAEAE"/>
              <w:right w:val="single" w:sz="4" w:space="0" w:color="E0E0E0"/>
            </w:tcBorders>
            <w:shd w:val="clear" w:color="auto" w:fill="auto"/>
          </w:tcPr>
          <w:p w14:paraId="635DE334"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single" w:sz="4" w:space="0" w:color="AEAEAE"/>
              <w:right w:val="single" w:sz="4" w:space="0" w:color="E0E0E0"/>
            </w:tcBorders>
            <w:shd w:val="clear" w:color="auto" w:fill="auto"/>
          </w:tcPr>
          <w:p w14:paraId="23E22566" w14:textId="77777777" w:rsidR="003010BD" w:rsidRPr="006E4DCA" w:rsidRDefault="003010BD" w:rsidP="00011661">
            <w:pPr>
              <w:spacing w:line="240" w:lineRule="auto"/>
              <w:jc w:val="center"/>
              <w:rPr>
                <w:sz w:val="20"/>
                <w:szCs w:val="18"/>
              </w:rPr>
            </w:pPr>
            <w:r w:rsidRPr="006E4DCA">
              <w:rPr>
                <w:color w:val="010205"/>
                <w:sz w:val="20"/>
                <w:szCs w:val="18"/>
              </w:rPr>
              <w:t>0.15</w:t>
            </w:r>
          </w:p>
        </w:tc>
        <w:tc>
          <w:tcPr>
            <w:tcW w:w="796" w:type="dxa"/>
            <w:tcBorders>
              <w:top w:val="nil"/>
              <w:left w:val="nil"/>
              <w:bottom w:val="single" w:sz="4" w:space="0" w:color="AEAEAE"/>
              <w:right w:val="single" w:sz="4" w:space="0" w:color="E0E0E0"/>
            </w:tcBorders>
            <w:shd w:val="clear" w:color="auto" w:fill="auto"/>
          </w:tcPr>
          <w:p w14:paraId="35C175EC" w14:textId="77777777" w:rsidR="003010BD" w:rsidRPr="006E4DCA" w:rsidRDefault="003010BD" w:rsidP="00011661">
            <w:pPr>
              <w:spacing w:line="240" w:lineRule="auto"/>
              <w:jc w:val="center"/>
              <w:rPr>
                <w:sz w:val="20"/>
                <w:szCs w:val="18"/>
              </w:rPr>
            </w:pPr>
            <w:r w:rsidRPr="006E4DCA">
              <w:rPr>
                <w:color w:val="010205"/>
                <w:sz w:val="20"/>
                <w:szCs w:val="18"/>
              </w:rPr>
              <w:t>0.07</w:t>
            </w:r>
          </w:p>
        </w:tc>
        <w:tc>
          <w:tcPr>
            <w:tcW w:w="796" w:type="dxa"/>
            <w:tcBorders>
              <w:top w:val="nil"/>
              <w:left w:val="nil"/>
              <w:bottom w:val="nil"/>
              <w:right w:val="nil"/>
            </w:tcBorders>
            <w:shd w:val="clear" w:color="auto" w:fill="auto"/>
          </w:tcPr>
          <w:p w14:paraId="59D5BD98" w14:textId="77777777" w:rsidR="003010BD" w:rsidRPr="006E4DCA" w:rsidRDefault="003010BD" w:rsidP="00011661">
            <w:pPr>
              <w:spacing w:line="240" w:lineRule="auto"/>
              <w:jc w:val="center"/>
              <w:rPr>
                <w:sz w:val="20"/>
                <w:szCs w:val="18"/>
              </w:rPr>
            </w:pPr>
            <w:r w:rsidRPr="006E4DCA">
              <w:rPr>
                <w:color w:val="010205"/>
                <w:sz w:val="20"/>
                <w:szCs w:val="18"/>
              </w:rPr>
              <w:t>0.18</w:t>
            </w:r>
          </w:p>
        </w:tc>
      </w:tr>
      <w:tr w:rsidR="003010BD" w:rsidRPr="006E4DCA" w14:paraId="296D6DB1" w14:textId="77777777" w:rsidTr="00011661">
        <w:tc>
          <w:tcPr>
            <w:tcW w:w="234" w:type="dxa"/>
            <w:tcBorders>
              <w:top w:val="nil"/>
              <w:bottom w:val="nil"/>
              <w:right w:val="nil"/>
            </w:tcBorders>
            <w:shd w:val="clear" w:color="auto" w:fill="auto"/>
            <w:vAlign w:val="center"/>
          </w:tcPr>
          <w:p w14:paraId="1901B5F8"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1AEAC0E" w14:textId="77777777" w:rsidR="003010BD" w:rsidRPr="006E4DCA" w:rsidRDefault="003010BD" w:rsidP="00011661">
            <w:pPr>
              <w:spacing w:line="240" w:lineRule="auto"/>
              <w:jc w:val="left"/>
              <w:rPr>
                <w:sz w:val="20"/>
                <w:szCs w:val="18"/>
              </w:rPr>
            </w:pPr>
            <w:r w:rsidRPr="006E4DCA">
              <w:rPr>
                <w:color w:val="000000"/>
                <w:sz w:val="20"/>
                <w:szCs w:val="18"/>
                <w:lang w:eastAsia="en-US"/>
              </w:rPr>
              <w:t>BSCQ-4</w:t>
            </w:r>
          </w:p>
        </w:tc>
        <w:tc>
          <w:tcPr>
            <w:tcW w:w="766" w:type="dxa"/>
            <w:tcBorders>
              <w:top w:val="nil"/>
              <w:left w:val="nil"/>
              <w:bottom w:val="nil"/>
              <w:right w:val="nil"/>
            </w:tcBorders>
            <w:shd w:val="clear" w:color="auto" w:fill="auto"/>
          </w:tcPr>
          <w:p w14:paraId="550B816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35714BFA"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567C88B1"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0294C419"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single" w:sz="4" w:space="0" w:color="AEAEAE"/>
              <w:right w:val="single" w:sz="4" w:space="0" w:color="E0E0E0"/>
            </w:tcBorders>
            <w:shd w:val="clear" w:color="auto" w:fill="auto"/>
          </w:tcPr>
          <w:p w14:paraId="2033A5BC"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7869EF0B"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single" w:sz="4" w:space="0" w:color="AEAEAE"/>
              <w:right w:val="single" w:sz="4" w:space="0" w:color="E0E0E0"/>
            </w:tcBorders>
            <w:shd w:val="clear" w:color="auto" w:fill="auto"/>
          </w:tcPr>
          <w:p w14:paraId="1304705C" w14:textId="77777777" w:rsidR="003010BD" w:rsidRPr="006E4DCA" w:rsidRDefault="003010BD" w:rsidP="00011661">
            <w:pPr>
              <w:spacing w:line="240" w:lineRule="auto"/>
              <w:jc w:val="center"/>
              <w:rPr>
                <w:sz w:val="20"/>
                <w:szCs w:val="18"/>
              </w:rPr>
            </w:pPr>
            <w:r w:rsidRPr="006E4DCA">
              <w:rPr>
                <w:color w:val="010205"/>
                <w:sz w:val="20"/>
                <w:szCs w:val="18"/>
              </w:rPr>
              <w:t>-0.10</w:t>
            </w:r>
          </w:p>
        </w:tc>
        <w:tc>
          <w:tcPr>
            <w:tcW w:w="796" w:type="dxa"/>
            <w:tcBorders>
              <w:top w:val="nil"/>
              <w:left w:val="nil"/>
              <w:bottom w:val="nil"/>
              <w:right w:val="nil"/>
            </w:tcBorders>
            <w:shd w:val="clear" w:color="auto" w:fill="auto"/>
          </w:tcPr>
          <w:p w14:paraId="2C573A89" w14:textId="77777777" w:rsidR="003010BD" w:rsidRPr="006E4DCA" w:rsidRDefault="003010BD" w:rsidP="00011661">
            <w:pPr>
              <w:spacing w:line="240" w:lineRule="auto"/>
              <w:jc w:val="center"/>
              <w:rPr>
                <w:sz w:val="20"/>
                <w:szCs w:val="18"/>
              </w:rPr>
            </w:pPr>
            <w:r w:rsidRPr="006E4DCA">
              <w:rPr>
                <w:color w:val="010205"/>
                <w:sz w:val="20"/>
                <w:szCs w:val="18"/>
              </w:rPr>
              <w:t>0.07</w:t>
            </w:r>
          </w:p>
        </w:tc>
      </w:tr>
      <w:tr w:rsidR="003010BD" w:rsidRPr="006E4DCA" w14:paraId="7BC21924" w14:textId="77777777" w:rsidTr="00011661">
        <w:tc>
          <w:tcPr>
            <w:tcW w:w="234" w:type="dxa"/>
            <w:tcBorders>
              <w:top w:val="nil"/>
              <w:bottom w:val="nil"/>
              <w:right w:val="nil"/>
            </w:tcBorders>
            <w:shd w:val="clear" w:color="auto" w:fill="auto"/>
            <w:vAlign w:val="center"/>
          </w:tcPr>
          <w:p w14:paraId="6615E38F"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0C7D0FE" w14:textId="77777777" w:rsidR="003010BD" w:rsidRPr="006E4DCA" w:rsidRDefault="003010BD" w:rsidP="00011661">
            <w:pPr>
              <w:spacing w:line="240" w:lineRule="auto"/>
              <w:jc w:val="left"/>
              <w:rPr>
                <w:sz w:val="20"/>
                <w:szCs w:val="18"/>
              </w:rPr>
            </w:pPr>
            <w:r w:rsidRPr="006E4DCA">
              <w:rPr>
                <w:color w:val="000000"/>
                <w:sz w:val="20"/>
                <w:szCs w:val="18"/>
                <w:lang w:eastAsia="en-US"/>
              </w:rPr>
              <w:t>BSCQ-5</w:t>
            </w:r>
          </w:p>
        </w:tc>
        <w:tc>
          <w:tcPr>
            <w:tcW w:w="766" w:type="dxa"/>
            <w:tcBorders>
              <w:top w:val="nil"/>
              <w:left w:val="nil"/>
              <w:bottom w:val="nil"/>
              <w:right w:val="nil"/>
            </w:tcBorders>
            <w:shd w:val="clear" w:color="auto" w:fill="auto"/>
          </w:tcPr>
          <w:p w14:paraId="3CA99DA1"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5210FEFB"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7112C6B0"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785D302A"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2A0DC08F"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6CA0E6D1"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73C3DAF5"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nil"/>
              <w:right w:val="nil"/>
            </w:tcBorders>
            <w:shd w:val="clear" w:color="auto" w:fill="auto"/>
          </w:tcPr>
          <w:p w14:paraId="3BB3CCBC" w14:textId="77777777" w:rsidR="003010BD" w:rsidRPr="006E4DCA" w:rsidRDefault="003010BD" w:rsidP="00011661">
            <w:pPr>
              <w:spacing w:line="240" w:lineRule="auto"/>
              <w:jc w:val="center"/>
              <w:rPr>
                <w:sz w:val="20"/>
                <w:szCs w:val="18"/>
              </w:rPr>
            </w:pPr>
            <w:r w:rsidRPr="006E4DCA">
              <w:rPr>
                <w:color w:val="010205"/>
                <w:sz w:val="20"/>
                <w:szCs w:val="18"/>
              </w:rPr>
              <w:t>0.12</w:t>
            </w:r>
          </w:p>
        </w:tc>
      </w:tr>
      <w:tr w:rsidR="003010BD" w:rsidRPr="006E4DCA" w14:paraId="0C00B096" w14:textId="77777777" w:rsidTr="00011661">
        <w:tc>
          <w:tcPr>
            <w:tcW w:w="234" w:type="dxa"/>
            <w:tcBorders>
              <w:top w:val="nil"/>
              <w:bottom w:val="nil"/>
              <w:right w:val="nil"/>
            </w:tcBorders>
            <w:shd w:val="clear" w:color="auto" w:fill="auto"/>
            <w:vAlign w:val="center"/>
          </w:tcPr>
          <w:p w14:paraId="604B79E7"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4A908EA0" w14:textId="77777777" w:rsidR="003010BD" w:rsidRPr="006E4DCA" w:rsidRDefault="003010BD" w:rsidP="00011661">
            <w:pPr>
              <w:spacing w:line="240" w:lineRule="auto"/>
              <w:jc w:val="left"/>
              <w:rPr>
                <w:sz w:val="20"/>
                <w:szCs w:val="18"/>
              </w:rPr>
            </w:pPr>
            <w:r w:rsidRPr="006E4DCA">
              <w:rPr>
                <w:color w:val="000000"/>
                <w:sz w:val="20"/>
                <w:szCs w:val="18"/>
                <w:lang w:eastAsia="en-US"/>
              </w:rPr>
              <w:t>BSCQ-6</w:t>
            </w:r>
          </w:p>
        </w:tc>
        <w:tc>
          <w:tcPr>
            <w:tcW w:w="766" w:type="dxa"/>
            <w:tcBorders>
              <w:top w:val="nil"/>
              <w:left w:val="nil"/>
              <w:bottom w:val="nil"/>
              <w:right w:val="nil"/>
            </w:tcBorders>
            <w:shd w:val="clear" w:color="auto" w:fill="auto"/>
          </w:tcPr>
          <w:p w14:paraId="26BC65B2"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249621C7"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2E9A870A"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793B69DD"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77593E50"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820" w:type="dxa"/>
            <w:tcBorders>
              <w:top w:val="nil"/>
              <w:left w:val="nil"/>
              <w:bottom w:val="single" w:sz="4" w:space="0" w:color="AEAEAE"/>
              <w:right w:val="single" w:sz="4" w:space="0" w:color="E0E0E0"/>
            </w:tcBorders>
            <w:shd w:val="clear" w:color="auto" w:fill="auto"/>
          </w:tcPr>
          <w:p w14:paraId="35B88D28"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single" w:sz="4" w:space="0" w:color="AEAEAE"/>
              <w:right w:val="single" w:sz="4" w:space="0" w:color="E0E0E0"/>
            </w:tcBorders>
            <w:shd w:val="clear" w:color="auto" w:fill="auto"/>
          </w:tcPr>
          <w:p w14:paraId="040C0862" w14:textId="77777777" w:rsidR="003010BD" w:rsidRPr="006E4DCA" w:rsidRDefault="003010BD" w:rsidP="00011661">
            <w:pPr>
              <w:spacing w:line="240" w:lineRule="auto"/>
              <w:jc w:val="center"/>
              <w:rPr>
                <w:sz w:val="20"/>
                <w:szCs w:val="18"/>
              </w:rPr>
            </w:pPr>
            <w:r w:rsidRPr="006E4DCA">
              <w:rPr>
                <w:color w:val="010205"/>
                <w:sz w:val="20"/>
                <w:szCs w:val="18"/>
              </w:rPr>
              <w:t>-0.13</w:t>
            </w:r>
          </w:p>
        </w:tc>
        <w:tc>
          <w:tcPr>
            <w:tcW w:w="796" w:type="dxa"/>
            <w:tcBorders>
              <w:top w:val="nil"/>
              <w:left w:val="nil"/>
              <w:bottom w:val="nil"/>
              <w:right w:val="nil"/>
            </w:tcBorders>
            <w:shd w:val="clear" w:color="auto" w:fill="auto"/>
          </w:tcPr>
          <w:p w14:paraId="5CAA4AB4" w14:textId="77777777" w:rsidR="003010BD" w:rsidRPr="006E4DCA" w:rsidRDefault="003010BD" w:rsidP="00011661">
            <w:pPr>
              <w:spacing w:line="240" w:lineRule="auto"/>
              <w:jc w:val="center"/>
              <w:rPr>
                <w:sz w:val="20"/>
                <w:szCs w:val="18"/>
              </w:rPr>
            </w:pPr>
            <w:r w:rsidRPr="006E4DCA">
              <w:rPr>
                <w:color w:val="010205"/>
                <w:sz w:val="20"/>
                <w:szCs w:val="18"/>
              </w:rPr>
              <w:t>0.05</w:t>
            </w:r>
          </w:p>
        </w:tc>
      </w:tr>
      <w:tr w:rsidR="003010BD" w:rsidRPr="006E4DCA" w14:paraId="56459E35" w14:textId="77777777" w:rsidTr="00011661">
        <w:tc>
          <w:tcPr>
            <w:tcW w:w="234" w:type="dxa"/>
            <w:tcBorders>
              <w:top w:val="nil"/>
              <w:bottom w:val="nil"/>
              <w:right w:val="nil"/>
            </w:tcBorders>
            <w:shd w:val="clear" w:color="auto" w:fill="auto"/>
            <w:vAlign w:val="center"/>
          </w:tcPr>
          <w:p w14:paraId="11833220"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126C1F9" w14:textId="77777777" w:rsidR="003010BD" w:rsidRPr="006E4DCA" w:rsidRDefault="003010BD" w:rsidP="00011661">
            <w:pPr>
              <w:spacing w:line="240" w:lineRule="auto"/>
              <w:jc w:val="left"/>
              <w:rPr>
                <w:sz w:val="20"/>
                <w:szCs w:val="18"/>
              </w:rPr>
            </w:pPr>
            <w:r w:rsidRPr="006E4DCA">
              <w:rPr>
                <w:color w:val="000000"/>
                <w:sz w:val="20"/>
                <w:szCs w:val="18"/>
                <w:lang w:eastAsia="en-US"/>
              </w:rPr>
              <w:t>BSCQ-7</w:t>
            </w:r>
          </w:p>
        </w:tc>
        <w:tc>
          <w:tcPr>
            <w:tcW w:w="766" w:type="dxa"/>
            <w:tcBorders>
              <w:top w:val="nil"/>
              <w:left w:val="nil"/>
              <w:bottom w:val="nil"/>
              <w:right w:val="nil"/>
            </w:tcBorders>
            <w:shd w:val="clear" w:color="auto" w:fill="auto"/>
          </w:tcPr>
          <w:p w14:paraId="76EC712E"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7BED823"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F769C3F"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2454D516"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796" w:type="dxa"/>
            <w:tcBorders>
              <w:top w:val="nil"/>
              <w:left w:val="nil"/>
              <w:bottom w:val="single" w:sz="4" w:space="0" w:color="AEAEAE"/>
              <w:right w:val="single" w:sz="4" w:space="0" w:color="E0E0E0"/>
            </w:tcBorders>
            <w:shd w:val="clear" w:color="auto" w:fill="auto"/>
          </w:tcPr>
          <w:p w14:paraId="657F694F"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63F7DE01"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796" w:type="dxa"/>
            <w:tcBorders>
              <w:top w:val="nil"/>
              <w:left w:val="nil"/>
              <w:bottom w:val="single" w:sz="4" w:space="0" w:color="AEAEAE"/>
              <w:right w:val="single" w:sz="4" w:space="0" w:color="E0E0E0"/>
            </w:tcBorders>
            <w:shd w:val="clear" w:color="auto" w:fill="auto"/>
          </w:tcPr>
          <w:p w14:paraId="370CB231" w14:textId="77777777" w:rsidR="003010BD" w:rsidRPr="006E4DCA" w:rsidRDefault="003010BD" w:rsidP="00011661">
            <w:pPr>
              <w:spacing w:line="240" w:lineRule="auto"/>
              <w:jc w:val="center"/>
              <w:rPr>
                <w:sz w:val="20"/>
                <w:szCs w:val="18"/>
              </w:rPr>
            </w:pPr>
            <w:r w:rsidRPr="006E4DCA">
              <w:rPr>
                <w:color w:val="010205"/>
                <w:sz w:val="20"/>
                <w:szCs w:val="18"/>
              </w:rPr>
              <w:t>-0.05</w:t>
            </w:r>
          </w:p>
        </w:tc>
        <w:tc>
          <w:tcPr>
            <w:tcW w:w="796" w:type="dxa"/>
            <w:tcBorders>
              <w:top w:val="nil"/>
              <w:left w:val="nil"/>
              <w:bottom w:val="nil"/>
              <w:right w:val="nil"/>
            </w:tcBorders>
            <w:shd w:val="clear" w:color="auto" w:fill="auto"/>
          </w:tcPr>
          <w:p w14:paraId="7D1CD5DE" w14:textId="77777777" w:rsidR="003010BD" w:rsidRPr="006E4DCA" w:rsidRDefault="003010BD" w:rsidP="00011661">
            <w:pPr>
              <w:spacing w:line="240" w:lineRule="auto"/>
              <w:jc w:val="center"/>
              <w:rPr>
                <w:sz w:val="20"/>
                <w:szCs w:val="18"/>
              </w:rPr>
            </w:pPr>
            <w:r w:rsidRPr="006E4DCA">
              <w:rPr>
                <w:color w:val="010205"/>
                <w:sz w:val="20"/>
                <w:szCs w:val="18"/>
              </w:rPr>
              <w:t>0.10</w:t>
            </w:r>
          </w:p>
        </w:tc>
      </w:tr>
      <w:tr w:rsidR="003010BD" w:rsidRPr="006E4DCA" w14:paraId="13264CD1" w14:textId="77777777" w:rsidTr="00011661">
        <w:tc>
          <w:tcPr>
            <w:tcW w:w="234" w:type="dxa"/>
            <w:tcBorders>
              <w:top w:val="nil"/>
              <w:bottom w:val="nil"/>
              <w:right w:val="nil"/>
            </w:tcBorders>
            <w:shd w:val="clear" w:color="auto" w:fill="auto"/>
            <w:vAlign w:val="center"/>
          </w:tcPr>
          <w:p w14:paraId="47D33B22"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0D906610" w14:textId="77777777" w:rsidR="003010BD" w:rsidRPr="006E4DCA" w:rsidRDefault="003010BD" w:rsidP="00011661">
            <w:pPr>
              <w:spacing w:line="240" w:lineRule="auto"/>
              <w:jc w:val="left"/>
              <w:rPr>
                <w:sz w:val="20"/>
                <w:szCs w:val="18"/>
              </w:rPr>
            </w:pPr>
            <w:r w:rsidRPr="006E4DCA">
              <w:rPr>
                <w:color w:val="000000"/>
                <w:sz w:val="20"/>
                <w:szCs w:val="18"/>
                <w:lang w:eastAsia="en-US"/>
              </w:rPr>
              <w:t>BSCQ-9</w:t>
            </w:r>
          </w:p>
        </w:tc>
        <w:tc>
          <w:tcPr>
            <w:tcW w:w="766" w:type="dxa"/>
            <w:tcBorders>
              <w:top w:val="nil"/>
              <w:left w:val="nil"/>
              <w:bottom w:val="nil"/>
              <w:right w:val="nil"/>
            </w:tcBorders>
            <w:shd w:val="clear" w:color="auto" w:fill="auto"/>
          </w:tcPr>
          <w:p w14:paraId="77A83E10"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0C61EC3E"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23B0C6E4"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4FCACD6D" w14:textId="77777777" w:rsidR="003010BD" w:rsidRPr="006E4DCA" w:rsidRDefault="003010BD" w:rsidP="00011661">
            <w:pPr>
              <w:spacing w:line="240" w:lineRule="auto"/>
              <w:jc w:val="center"/>
              <w:rPr>
                <w:sz w:val="20"/>
                <w:szCs w:val="18"/>
              </w:rPr>
            </w:pPr>
            <w:r w:rsidRPr="006E4DCA">
              <w:rPr>
                <w:color w:val="010205"/>
                <w:sz w:val="20"/>
                <w:szCs w:val="18"/>
              </w:rPr>
              <w:t>0.08*</w:t>
            </w:r>
          </w:p>
        </w:tc>
        <w:tc>
          <w:tcPr>
            <w:tcW w:w="796" w:type="dxa"/>
            <w:tcBorders>
              <w:top w:val="nil"/>
              <w:left w:val="nil"/>
              <w:bottom w:val="single" w:sz="4" w:space="0" w:color="AEAEAE"/>
              <w:right w:val="single" w:sz="4" w:space="0" w:color="E0E0E0"/>
            </w:tcBorders>
            <w:shd w:val="clear" w:color="auto" w:fill="auto"/>
          </w:tcPr>
          <w:p w14:paraId="3237BC12"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820" w:type="dxa"/>
            <w:tcBorders>
              <w:top w:val="nil"/>
              <w:left w:val="nil"/>
              <w:bottom w:val="single" w:sz="4" w:space="0" w:color="AEAEAE"/>
              <w:right w:val="single" w:sz="4" w:space="0" w:color="E0E0E0"/>
            </w:tcBorders>
            <w:shd w:val="clear" w:color="auto" w:fill="auto"/>
          </w:tcPr>
          <w:p w14:paraId="1F36C07A" w14:textId="77777777" w:rsidR="003010BD" w:rsidRPr="006E4DCA" w:rsidRDefault="003010BD" w:rsidP="00011661">
            <w:pPr>
              <w:spacing w:line="240" w:lineRule="auto"/>
              <w:jc w:val="center"/>
              <w:rPr>
                <w:sz w:val="20"/>
                <w:szCs w:val="18"/>
              </w:rPr>
            </w:pPr>
            <w:r w:rsidRPr="006E4DCA">
              <w:rPr>
                <w:color w:val="010205"/>
                <w:sz w:val="20"/>
                <w:szCs w:val="18"/>
              </w:rPr>
              <w:t>0.09</w:t>
            </w:r>
          </w:p>
        </w:tc>
        <w:tc>
          <w:tcPr>
            <w:tcW w:w="796" w:type="dxa"/>
            <w:tcBorders>
              <w:top w:val="nil"/>
              <w:left w:val="nil"/>
              <w:bottom w:val="single" w:sz="4" w:space="0" w:color="AEAEAE"/>
              <w:right w:val="single" w:sz="4" w:space="0" w:color="E0E0E0"/>
            </w:tcBorders>
            <w:shd w:val="clear" w:color="auto" w:fill="auto"/>
          </w:tcPr>
          <w:p w14:paraId="1282DC2B" w14:textId="77777777" w:rsidR="003010BD" w:rsidRPr="006E4DCA" w:rsidRDefault="003010BD" w:rsidP="00011661">
            <w:pPr>
              <w:spacing w:line="240" w:lineRule="auto"/>
              <w:jc w:val="center"/>
              <w:rPr>
                <w:sz w:val="20"/>
                <w:szCs w:val="18"/>
              </w:rPr>
            </w:pPr>
            <w:r w:rsidRPr="006E4DCA">
              <w:rPr>
                <w:color w:val="010205"/>
                <w:sz w:val="20"/>
                <w:szCs w:val="18"/>
              </w:rPr>
              <w:t>0.01</w:t>
            </w:r>
          </w:p>
        </w:tc>
        <w:tc>
          <w:tcPr>
            <w:tcW w:w="796" w:type="dxa"/>
            <w:tcBorders>
              <w:top w:val="nil"/>
              <w:left w:val="nil"/>
              <w:bottom w:val="nil"/>
              <w:right w:val="nil"/>
            </w:tcBorders>
            <w:shd w:val="clear" w:color="auto" w:fill="auto"/>
          </w:tcPr>
          <w:p w14:paraId="41451AEA" w14:textId="77777777" w:rsidR="003010BD" w:rsidRPr="006E4DCA" w:rsidRDefault="003010BD" w:rsidP="00011661">
            <w:pPr>
              <w:spacing w:line="240" w:lineRule="auto"/>
              <w:jc w:val="center"/>
              <w:rPr>
                <w:sz w:val="20"/>
                <w:szCs w:val="18"/>
              </w:rPr>
            </w:pPr>
            <w:r w:rsidRPr="006E4DCA">
              <w:rPr>
                <w:color w:val="010205"/>
                <w:sz w:val="20"/>
                <w:szCs w:val="18"/>
              </w:rPr>
              <w:t>0.15</w:t>
            </w:r>
          </w:p>
        </w:tc>
      </w:tr>
      <w:tr w:rsidR="003010BD" w:rsidRPr="006E4DCA" w14:paraId="24B47764" w14:textId="77777777" w:rsidTr="00011661">
        <w:tc>
          <w:tcPr>
            <w:tcW w:w="234" w:type="dxa"/>
            <w:tcBorders>
              <w:top w:val="nil"/>
              <w:bottom w:val="nil"/>
              <w:right w:val="nil"/>
            </w:tcBorders>
            <w:shd w:val="clear" w:color="auto" w:fill="auto"/>
            <w:vAlign w:val="center"/>
          </w:tcPr>
          <w:p w14:paraId="3F5D9E2E"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058A23A8" w14:textId="77777777" w:rsidR="003010BD" w:rsidRPr="006E4DCA" w:rsidRDefault="003010BD" w:rsidP="00011661">
            <w:pPr>
              <w:spacing w:line="240" w:lineRule="auto"/>
              <w:jc w:val="left"/>
              <w:rPr>
                <w:color w:val="000000"/>
                <w:sz w:val="20"/>
                <w:szCs w:val="18"/>
                <w:lang w:eastAsia="en-US"/>
              </w:rPr>
            </w:pPr>
            <w:r w:rsidRPr="006E4DCA">
              <w:rPr>
                <w:color w:val="000000"/>
                <w:sz w:val="20"/>
                <w:szCs w:val="18"/>
                <w:lang w:eastAsia="en-US"/>
              </w:rPr>
              <w:t>PM-CR</w:t>
            </w:r>
          </w:p>
        </w:tc>
        <w:tc>
          <w:tcPr>
            <w:tcW w:w="766" w:type="dxa"/>
            <w:tcBorders>
              <w:top w:val="nil"/>
              <w:left w:val="nil"/>
              <w:bottom w:val="nil"/>
              <w:right w:val="nil"/>
            </w:tcBorders>
            <w:shd w:val="clear" w:color="auto" w:fill="auto"/>
          </w:tcPr>
          <w:p w14:paraId="1F868873"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072D61E6"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731157EB"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7B66C861" w14:textId="77777777" w:rsidR="003010BD" w:rsidRPr="006E4DCA" w:rsidRDefault="003010BD" w:rsidP="00011661">
            <w:pPr>
              <w:spacing w:line="240" w:lineRule="auto"/>
              <w:jc w:val="center"/>
              <w:rPr>
                <w:sz w:val="20"/>
                <w:szCs w:val="18"/>
              </w:rPr>
            </w:pPr>
            <w:r w:rsidRPr="006E4DCA">
              <w:rPr>
                <w:color w:val="010205"/>
                <w:sz w:val="20"/>
                <w:szCs w:val="18"/>
              </w:rPr>
              <w:t>0.10**</w:t>
            </w:r>
          </w:p>
        </w:tc>
        <w:tc>
          <w:tcPr>
            <w:tcW w:w="796" w:type="dxa"/>
            <w:tcBorders>
              <w:top w:val="nil"/>
              <w:left w:val="nil"/>
              <w:bottom w:val="single" w:sz="4" w:space="0" w:color="AEAEAE"/>
              <w:right w:val="single" w:sz="4" w:space="0" w:color="E0E0E0"/>
            </w:tcBorders>
            <w:shd w:val="clear" w:color="auto" w:fill="auto"/>
          </w:tcPr>
          <w:p w14:paraId="312234BD" w14:textId="77777777" w:rsidR="003010BD" w:rsidRPr="006E4DCA" w:rsidRDefault="003010BD" w:rsidP="00011661">
            <w:pPr>
              <w:spacing w:line="240" w:lineRule="auto"/>
              <w:jc w:val="center"/>
              <w:rPr>
                <w:sz w:val="20"/>
                <w:szCs w:val="18"/>
              </w:rPr>
            </w:pPr>
            <w:r w:rsidRPr="006E4DCA">
              <w:rPr>
                <w:color w:val="010205"/>
                <w:sz w:val="20"/>
                <w:szCs w:val="18"/>
              </w:rPr>
              <w:t>0.02</w:t>
            </w:r>
          </w:p>
        </w:tc>
        <w:tc>
          <w:tcPr>
            <w:tcW w:w="820" w:type="dxa"/>
            <w:tcBorders>
              <w:top w:val="nil"/>
              <w:left w:val="nil"/>
              <w:bottom w:val="single" w:sz="4" w:space="0" w:color="AEAEAE"/>
              <w:right w:val="single" w:sz="4" w:space="0" w:color="E0E0E0"/>
            </w:tcBorders>
            <w:shd w:val="clear" w:color="auto" w:fill="auto"/>
          </w:tcPr>
          <w:p w14:paraId="084E081C" w14:textId="77777777" w:rsidR="003010BD" w:rsidRPr="006E4DCA" w:rsidRDefault="003010BD" w:rsidP="00011661">
            <w:pPr>
              <w:spacing w:line="240" w:lineRule="auto"/>
              <w:jc w:val="center"/>
              <w:rPr>
                <w:sz w:val="20"/>
                <w:szCs w:val="18"/>
              </w:rPr>
            </w:pPr>
            <w:r w:rsidRPr="006E4DCA">
              <w:rPr>
                <w:color w:val="010205"/>
                <w:sz w:val="20"/>
                <w:szCs w:val="18"/>
              </w:rPr>
              <w:t>0.18</w:t>
            </w:r>
          </w:p>
        </w:tc>
        <w:tc>
          <w:tcPr>
            <w:tcW w:w="796" w:type="dxa"/>
            <w:tcBorders>
              <w:top w:val="nil"/>
              <w:left w:val="nil"/>
              <w:bottom w:val="single" w:sz="4" w:space="0" w:color="AEAEAE"/>
              <w:right w:val="single" w:sz="4" w:space="0" w:color="E0E0E0"/>
            </w:tcBorders>
            <w:shd w:val="clear" w:color="auto" w:fill="auto"/>
          </w:tcPr>
          <w:p w14:paraId="3499DEA8"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nil"/>
              <w:right w:val="nil"/>
            </w:tcBorders>
            <w:shd w:val="clear" w:color="auto" w:fill="auto"/>
          </w:tcPr>
          <w:p w14:paraId="0DFFAD9F" w14:textId="77777777" w:rsidR="003010BD" w:rsidRPr="006E4DCA" w:rsidRDefault="003010BD" w:rsidP="00011661">
            <w:pPr>
              <w:spacing w:line="240" w:lineRule="auto"/>
              <w:jc w:val="center"/>
              <w:rPr>
                <w:sz w:val="20"/>
                <w:szCs w:val="18"/>
              </w:rPr>
            </w:pPr>
            <w:r w:rsidRPr="006E4DCA">
              <w:rPr>
                <w:color w:val="010205"/>
                <w:sz w:val="20"/>
                <w:szCs w:val="18"/>
              </w:rPr>
              <w:t>0.15</w:t>
            </w:r>
          </w:p>
        </w:tc>
      </w:tr>
      <w:tr w:rsidR="003010BD" w:rsidRPr="006E4DCA" w14:paraId="05978721" w14:textId="77777777" w:rsidTr="00011661">
        <w:tc>
          <w:tcPr>
            <w:tcW w:w="234" w:type="dxa"/>
            <w:tcBorders>
              <w:top w:val="nil"/>
              <w:bottom w:val="nil"/>
              <w:right w:val="nil"/>
            </w:tcBorders>
            <w:shd w:val="clear" w:color="auto" w:fill="auto"/>
            <w:vAlign w:val="center"/>
          </w:tcPr>
          <w:p w14:paraId="3A550DDF"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6C01F5FB" w14:textId="77777777" w:rsidR="003010BD" w:rsidRPr="006E4DCA" w:rsidRDefault="003010BD" w:rsidP="00011661">
            <w:pPr>
              <w:spacing w:line="240" w:lineRule="auto"/>
              <w:jc w:val="left"/>
              <w:rPr>
                <w:sz w:val="20"/>
                <w:szCs w:val="18"/>
              </w:rPr>
            </w:pPr>
            <w:r w:rsidRPr="006E4DCA">
              <w:rPr>
                <w:sz w:val="20"/>
                <w:szCs w:val="18"/>
              </w:rPr>
              <w:t>PM-ER</w:t>
            </w:r>
          </w:p>
        </w:tc>
        <w:tc>
          <w:tcPr>
            <w:tcW w:w="766" w:type="dxa"/>
            <w:tcBorders>
              <w:top w:val="nil"/>
              <w:left w:val="nil"/>
              <w:bottom w:val="nil"/>
              <w:right w:val="nil"/>
            </w:tcBorders>
            <w:shd w:val="clear" w:color="auto" w:fill="auto"/>
          </w:tcPr>
          <w:p w14:paraId="22469373"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08936099"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18ED7B71"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69A557D1" w14:textId="77777777" w:rsidR="003010BD" w:rsidRPr="006E4DCA" w:rsidRDefault="003010BD" w:rsidP="00011661">
            <w:pPr>
              <w:spacing w:line="240" w:lineRule="auto"/>
              <w:jc w:val="center"/>
              <w:rPr>
                <w:sz w:val="20"/>
                <w:szCs w:val="18"/>
              </w:rPr>
            </w:pPr>
            <w:r w:rsidRPr="006E4DCA">
              <w:rPr>
                <w:color w:val="010205"/>
                <w:sz w:val="20"/>
                <w:szCs w:val="18"/>
              </w:rPr>
              <w:t>-0.06</w:t>
            </w:r>
          </w:p>
        </w:tc>
        <w:tc>
          <w:tcPr>
            <w:tcW w:w="796" w:type="dxa"/>
            <w:tcBorders>
              <w:top w:val="nil"/>
              <w:left w:val="nil"/>
              <w:bottom w:val="single" w:sz="4" w:space="0" w:color="AEAEAE"/>
              <w:right w:val="single" w:sz="4" w:space="0" w:color="E0E0E0"/>
            </w:tcBorders>
            <w:shd w:val="clear" w:color="auto" w:fill="auto"/>
          </w:tcPr>
          <w:p w14:paraId="0726EEDB"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single" w:sz="4" w:space="0" w:color="AEAEAE"/>
              <w:right w:val="single" w:sz="4" w:space="0" w:color="E0E0E0"/>
            </w:tcBorders>
            <w:shd w:val="clear" w:color="auto" w:fill="auto"/>
          </w:tcPr>
          <w:p w14:paraId="7BA5F9AF" w14:textId="77777777" w:rsidR="003010BD" w:rsidRPr="006E4DCA" w:rsidRDefault="003010BD" w:rsidP="00011661">
            <w:pPr>
              <w:spacing w:line="240" w:lineRule="auto"/>
              <w:jc w:val="center"/>
              <w:rPr>
                <w:sz w:val="20"/>
                <w:szCs w:val="18"/>
              </w:rPr>
            </w:pPr>
            <w:r w:rsidRPr="006E4DCA">
              <w:rPr>
                <w:color w:val="010205"/>
                <w:sz w:val="20"/>
                <w:szCs w:val="18"/>
              </w:rPr>
              <w:t>-0.10</w:t>
            </w:r>
          </w:p>
        </w:tc>
        <w:tc>
          <w:tcPr>
            <w:tcW w:w="796" w:type="dxa"/>
            <w:tcBorders>
              <w:top w:val="nil"/>
              <w:left w:val="nil"/>
              <w:bottom w:val="single" w:sz="4" w:space="0" w:color="AEAEAE"/>
              <w:right w:val="single" w:sz="4" w:space="0" w:color="E0E0E0"/>
            </w:tcBorders>
            <w:shd w:val="clear" w:color="auto" w:fill="auto"/>
          </w:tcPr>
          <w:p w14:paraId="29689C45" w14:textId="77777777" w:rsidR="003010BD" w:rsidRPr="006E4DCA" w:rsidRDefault="003010BD" w:rsidP="00011661">
            <w:pPr>
              <w:spacing w:line="240" w:lineRule="auto"/>
              <w:jc w:val="center"/>
              <w:rPr>
                <w:sz w:val="20"/>
                <w:szCs w:val="18"/>
              </w:rPr>
            </w:pPr>
            <w:r w:rsidRPr="006E4DCA">
              <w:rPr>
                <w:color w:val="010205"/>
                <w:sz w:val="20"/>
                <w:szCs w:val="18"/>
              </w:rPr>
              <w:t>-0.12</w:t>
            </w:r>
          </w:p>
        </w:tc>
        <w:tc>
          <w:tcPr>
            <w:tcW w:w="796" w:type="dxa"/>
            <w:tcBorders>
              <w:top w:val="nil"/>
              <w:left w:val="nil"/>
              <w:bottom w:val="nil"/>
              <w:right w:val="nil"/>
            </w:tcBorders>
            <w:shd w:val="clear" w:color="auto" w:fill="auto"/>
          </w:tcPr>
          <w:p w14:paraId="2D3FD9E9" w14:textId="77777777" w:rsidR="003010BD" w:rsidRPr="006E4DCA" w:rsidRDefault="003010BD" w:rsidP="00011661">
            <w:pPr>
              <w:spacing w:line="240" w:lineRule="auto"/>
              <w:jc w:val="center"/>
              <w:rPr>
                <w:sz w:val="20"/>
                <w:szCs w:val="18"/>
              </w:rPr>
            </w:pPr>
            <w:r w:rsidRPr="006E4DCA">
              <w:rPr>
                <w:color w:val="010205"/>
                <w:sz w:val="20"/>
                <w:szCs w:val="18"/>
              </w:rPr>
              <w:t>0.00</w:t>
            </w:r>
          </w:p>
        </w:tc>
      </w:tr>
      <w:tr w:rsidR="003010BD" w:rsidRPr="006E4DCA" w14:paraId="555F437D" w14:textId="77777777" w:rsidTr="00011661">
        <w:trPr>
          <w:trHeight w:val="307"/>
        </w:trPr>
        <w:tc>
          <w:tcPr>
            <w:tcW w:w="234" w:type="dxa"/>
            <w:tcBorders>
              <w:top w:val="nil"/>
              <w:bottom w:val="nil"/>
              <w:right w:val="nil"/>
            </w:tcBorders>
            <w:shd w:val="clear" w:color="auto" w:fill="auto"/>
            <w:vAlign w:val="center"/>
          </w:tcPr>
          <w:p w14:paraId="2127BB68"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0C4D4406" w14:textId="77777777" w:rsidR="003010BD" w:rsidRPr="006E4DCA" w:rsidRDefault="003010BD" w:rsidP="00011661">
            <w:pPr>
              <w:spacing w:line="240" w:lineRule="auto"/>
              <w:jc w:val="left"/>
              <w:rPr>
                <w:sz w:val="20"/>
                <w:szCs w:val="18"/>
              </w:rPr>
            </w:pPr>
            <w:r w:rsidRPr="006E4DCA">
              <w:rPr>
                <w:sz w:val="20"/>
                <w:szCs w:val="18"/>
              </w:rPr>
              <w:t>NM-CI</w:t>
            </w:r>
          </w:p>
        </w:tc>
        <w:tc>
          <w:tcPr>
            <w:tcW w:w="766" w:type="dxa"/>
            <w:tcBorders>
              <w:top w:val="nil"/>
              <w:left w:val="nil"/>
              <w:bottom w:val="nil"/>
              <w:right w:val="nil"/>
            </w:tcBorders>
            <w:shd w:val="clear" w:color="auto" w:fill="auto"/>
          </w:tcPr>
          <w:p w14:paraId="0B375959"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656B6387"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63D614B9"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single" w:sz="4" w:space="0" w:color="AEAEAE"/>
              <w:right w:val="single" w:sz="4" w:space="0" w:color="E0E0E0"/>
            </w:tcBorders>
            <w:shd w:val="clear" w:color="auto" w:fill="auto"/>
          </w:tcPr>
          <w:p w14:paraId="26E5DF84" w14:textId="77777777" w:rsidR="003010BD" w:rsidRPr="006E4DCA" w:rsidRDefault="003010BD" w:rsidP="00011661">
            <w:pPr>
              <w:spacing w:line="240" w:lineRule="auto"/>
              <w:jc w:val="center"/>
              <w:rPr>
                <w:sz w:val="20"/>
                <w:szCs w:val="18"/>
              </w:rPr>
            </w:pPr>
            <w:r w:rsidRPr="006E4DCA">
              <w:rPr>
                <w:color w:val="010205"/>
                <w:sz w:val="20"/>
                <w:szCs w:val="18"/>
              </w:rPr>
              <w:t>0.13**</w:t>
            </w:r>
          </w:p>
        </w:tc>
        <w:tc>
          <w:tcPr>
            <w:tcW w:w="796" w:type="dxa"/>
            <w:tcBorders>
              <w:top w:val="nil"/>
              <w:left w:val="nil"/>
              <w:bottom w:val="single" w:sz="4" w:space="0" w:color="AEAEAE"/>
              <w:right w:val="single" w:sz="4" w:space="0" w:color="E0E0E0"/>
            </w:tcBorders>
            <w:shd w:val="clear" w:color="auto" w:fill="auto"/>
          </w:tcPr>
          <w:p w14:paraId="5BBC8A6B"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single" w:sz="4" w:space="0" w:color="AEAEAE"/>
              <w:right w:val="single" w:sz="4" w:space="0" w:color="E0E0E0"/>
            </w:tcBorders>
            <w:shd w:val="clear" w:color="auto" w:fill="auto"/>
          </w:tcPr>
          <w:p w14:paraId="6B16FEF0" w14:textId="77777777" w:rsidR="003010BD" w:rsidRPr="006E4DCA" w:rsidRDefault="003010BD" w:rsidP="00011661">
            <w:pPr>
              <w:spacing w:line="240" w:lineRule="auto"/>
              <w:jc w:val="center"/>
              <w:rPr>
                <w:sz w:val="20"/>
                <w:szCs w:val="18"/>
              </w:rPr>
            </w:pPr>
            <w:r w:rsidRPr="006E4DCA">
              <w:rPr>
                <w:color w:val="010205"/>
                <w:sz w:val="20"/>
                <w:szCs w:val="18"/>
              </w:rPr>
              <w:t>0.20</w:t>
            </w:r>
          </w:p>
        </w:tc>
        <w:tc>
          <w:tcPr>
            <w:tcW w:w="796" w:type="dxa"/>
            <w:tcBorders>
              <w:top w:val="nil"/>
              <w:left w:val="nil"/>
              <w:bottom w:val="single" w:sz="4" w:space="0" w:color="AEAEAE"/>
              <w:right w:val="single" w:sz="4" w:space="0" w:color="E0E0E0"/>
            </w:tcBorders>
            <w:shd w:val="clear" w:color="auto" w:fill="auto"/>
          </w:tcPr>
          <w:p w14:paraId="6C3F35BF" w14:textId="77777777" w:rsidR="003010BD" w:rsidRPr="006E4DCA" w:rsidRDefault="003010BD" w:rsidP="00011661">
            <w:pPr>
              <w:spacing w:line="240" w:lineRule="auto"/>
              <w:jc w:val="center"/>
              <w:rPr>
                <w:sz w:val="20"/>
                <w:szCs w:val="18"/>
              </w:rPr>
            </w:pPr>
            <w:r w:rsidRPr="006E4DCA">
              <w:rPr>
                <w:color w:val="010205"/>
                <w:sz w:val="20"/>
                <w:szCs w:val="18"/>
              </w:rPr>
              <w:t>0.07</w:t>
            </w:r>
          </w:p>
        </w:tc>
        <w:tc>
          <w:tcPr>
            <w:tcW w:w="796" w:type="dxa"/>
            <w:tcBorders>
              <w:top w:val="nil"/>
              <w:left w:val="nil"/>
              <w:bottom w:val="nil"/>
              <w:right w:val="nil"/>
            </w:tcBorders>
            <w:shd w:val="clear" w:color="auto" w:fill="auto"/>
          </w:tcPr>
          <w:p w14:paraId="4FFDC444" w14:textId="77777777" w:rsidR="003010BD" w:rsidRPr="006E4DCA" w:rsidRDefault="003010BD" w:rsidP="00011661">
            <w:pPr>
              <w:spacing w:line="240" w:lineRule="auto"/>
              <w:jc w:val="center"/>
              <w:rPr>
                <w:sz w:val="20"/>
                <w:szCs w:val="18"/>
              </w:rPr>
            </w:pPr>
            <w:r w:rsidRPr="006E4DCA">
              <w:rPr>
                <w:color w:val="010205"/>
                <w:sz w:val="20"/>
                <w:szCs w:val="18"/>
              </w:rPr>
              <w:t>0.19</w:t>
            </w:r>
          </w:p>
        </w:tc>
      </w:tr>
      <w:tr w:rsidR="003010BD" w:rsidRPr="006E4DCA" w14:paraId="6AABD509" w14:textId="77777777" w:rsidTr="00011661">
        <w:trPr>
          <w:trHeight w:val="239"/>
        </w:trPr>
        <w:tc>
          <w:tcPr>
            <w:tcW w:w="234" w:type="dxa"/>
            <w:tcBorders>
              <w:top w:val="nil"/>
              <w:bottom w:val="nil"/>
              <w:right w:val="nil"/>
            </w:tcBorders>
            <w:shd w:val="clear" w:color="auto" w:fill="auto"/>
            <w:vAlign w:val="center"/>
          </w:tcPr>
          <w:p w14:paraId="42ACE3A2" w14:textId="77777777" w:rsidR="003010BD" w:rsidRPr="006E4DCA" w:rsidRDefault="003010BD" w:rsidP="00011661">
            <w:pPr>
              <w:spacing w:line="240" w:lineRule="auto"/>
              <w:jc w:val="left"/>
              <w:rPr>
                <w:sz w:val="20"/>
                <w:szCs w:val="18"/>
              </w:rPr>
            </w:pPr>
          </w:p>
        </w:tc>
        <w:tc>
          <w:tcPr>
            <w:tcW w:w="2387" w:type="dxa"/>
            <w:tcBorders>
              <w:top w:val="nil"/>
              <w:left w:val="nil"/>
              <w:bottom w:val="nil"/>
              <w:right w:val="nil"/>
            </w:tcBorders>
            <w:shd w:val="clear" w:color="auto" w:fill="auto"/>
            <w:vAlign w:val="center"/>
          </w:tcPr>
          <w:p w14:paraId="7DA593CA" w14:textId="77777777" w:rsidR="003010BD" w:rsidRPr="006E4DCA" w:rsidRDefault="003010BD" w:rsidP="00011661">
            <w:pPr>
              <w:spacing w:line="240" w:lineRule="auto"/>
              <w:jc w:val="left"/>
              <w:rPr>
                <w:sz w:val="20"/>
                <w:szCs w:val="18"/>
              </w:rPr>
            </w:pPr>
            <w:r w:rsidRPr="006E4DCA">
              <w:rPr>
                <w:sz w:val="20"/>
                <w:szCs w:val="18"/>
              </w:rPr>
              <w:t>NM-U</w:t>
            </w:r>
          </w:p>
        </w:tc>
        <w:tc>
          <w:tcPr>
            <w:tcW w:w="766" w:type="dxa"/>
            <w:tcBorders>
              <w:top w:val="nil"/>
              <w:left w:val="nil"/>
              <w:bottom w:val="nil"/>
              <w:right w:val="nil"/>
            </w:tcBorders>
            <w:shd w:val="clear" w:color="auto" w:fill="auto"/>
          </w:tcPr>
          <w:p w14:paraId="5423B9B2" w14:textId="77777777" w:rsidR="003010BD" w:rsidRPr="006E4DCA" w:rsidRDefault="003010BD" w:rsidP="00011661">
            <w:pPr>
              <w:spacing w:line="240" w:lineRule="auto"/>
              <w:jc w:val="center"/>
              <w:rPr>
                <w:sz w:val="20"/>
                <w:szCs w:val="18"/>
              </w:rPr>
            </w:pPr>
          </w:p>
        </w:tc>
        <w:tc>
          <w:tcPr>
            <w:tcW w:w="1459" w:type="dxa"/>
            <w:tcBorders>
              <w:top w:val="nil"/>
              <w:left w:val="nil"/>
              <w:bottom w:val="nil"/>
              <w:right w:val="nil"/>
            </w:tcBorders>
            <w:shd w:val="clear" w:color="auto" w:fill="auto"/>
            <w:vAlign w:val="center"/>
          </w:tcPr>
          <w:p w14:paraId="7997D1AE" w14:textId="77777777" w:rsidR="003010BD" w:rsidRPr="006E4DCA" w:rsidRDefault="003010BD" w:rsidP="00011661">
            <w:pPr>
              <w:spacing w:line="240" w:lineRule="auto"/>
              <w:jc w:val="center"/>
              <w:rPr>
                <w:sz w:val="20"/>
                <w:szCs w:val="18"/>
              </w:rPr>
            </w:pPr>
          </w:p>
        </w:tc>
        <w:tc>
          <w:tcPr>
            <w:tcW w:w="1164" w:type="dxa"/>
            <w:tcBorders>
              <w:top w:val="nil"/>
              <w:left w:val="nil"/>
              <w:bottom w:val="nil"/>
              <w:right w:val="nil"/>
            </w:tcBorders>
          </w:tcPr>
          <w:p w14:paraId="5053EF41" w14:textId="77777777" w:rsidR="003010BD" w:rsidRPr="006E4DCA" w:rsidRDefault="003010BD" w:rsidP="00011661">
            <w:pPr>
              <w:spacing w:line="240" w:lineRule="auto"/>
              <w:jc w:val="center"/>
              <w:rPr>
                <w:color w:val="010205"/>
                <w:sz w:val="20"/>
                <w:szCs w:val="18"/>
              </w:rPr>
            </w:pPr>
          </w:p>
        </w:tc>
        <w:tc>
          <w:tcPr>
            <w:tcW w:w="914" w:type="dxa"/>
            <w:tcBorders>
              <w:top w:val="nil"/>
              <w:left w:val="nil"/>
              <w:bottom w:val="nil"/>
              <w:right w:val="single" w:sz="4" w:space="0" w:color="E0E0E0"/>
            </w:tcBorders>
            <w:shd w:val="clear" w:color="auto" w:fill="auto"/>
          </w:tcPr>
          <w:p w14:paraId="3F0E71F2" w14:textId="77777777" w:rsidR="003010BD" w:rsidRPr="006E4DCA" w:rsidRDefault="003010BD" w:rsidP="00011661">
            <w:pPr>
              <w:spacing w:line="240" w:lineRule="auto"/>
              <w:jc w:val="center"/>
              <w:rPr>
                <w:sz w:val="20"/>
                <w:szCs w:val="18"/>
              </w:rPr>
            </w:pPr>
            <w:r w:rsidRPr="006E4DCA">
              <w:rPr>
                <w:color w:val="010205"/>
                <w:sz w:val="20"/>
                <w:szCs w:val="18"/>
              </w:rPr>
              <w:t>0.09**</w:t>
            </w:r>
          </w:p>
        </w:tc>
        <w:tc>
          <w:tcPr>
            <w:tcW w:w="796" w:type="dxa"/>
            <w:tcBorders>
              <w:top w:val="nil"/>
              <w:left w:val="nil"/>
              <w:bottom w:val="nil"/>
              <w:right w:val="single" w:sz="4" w:space="0" w:color="E0E0E0"/>
            </w:tcBorders>
            <w:shd w:val="clear" w:color="auto" w:fill="auto"/>
          </w:tcPr>
          <w:p w14:paraId="283628E2" w14:textId="77777777" w:rsidR="003010BD" w:rsidRPr="006E4DCA" w:rsidRDefault="003010BD" w:rsidP="00011661">
            <w:pPr>
              <w:spacing w:line="240" w:lineRule="auto"/>
              <w:jc w:val="center"/>
              <w:rPr>
                <w:sz w:val="20"/>
                <w:szCs w:val="18"/>
              </w:rPr>
            </w:pPr>
            <w:r w:rsidRPr="006E4DCA">
              <w:rPr>
                <w:color w:val="010205"/>
                <w:sz w:val="20"/>
                <w:szCs w:val="18"/>
              </w:rPr>
              <w:t>0.03</w:t>
            </w:r>
          </w:p>
        </w:tc>
        <w:tc>
          <w:tcPr>
            <w:tcW w:w="820" w:type="dxa"/>
            <w:tcBorders>
              <w:top w:val="nil"/>
              <w:left w:val="nil"/>
              <w:bottom w:val="nil"/>
              <w:right w:val="single" w:sz="4" w:space="0" w:color="E0E0E0"/>
            </w:tcBorders>
            <w:shd w:val="clear" w:color="auto" w:fill="auto"/>
          </w:tcPr>
          <w:p w14:paraId="40CB2305" w14:textId="77777777" w:rsidR="003010BD" w:rsidRPr="006E4DCA" w:rsidRDefault="003010BD" w:rsidP="00011661">
            <w:pPr>
              <w:spacing w:line="240" w:lineRule="auto"/>
              <w:jc w:val="center"/>
              <w:rPr>
                <w:sz w:val="20"/>
                <w:szCs w:val="18"/>
              </w:rPr>
            </w:pPr>
            <w:r w:rsidRPr="006E4DCA">
              <w:rPr>
                <w:color w:val="010205"/>
                <w:sz w:val="20"/>
                <w:szCs w:val="18"/>
              </w:rPr>
              <w:t>0.15</w:t>
            </w:r>
          </w:p>
        </w:tc>
        <w:tc>
          <w:tcPr>
            <w:tcW w:w="796" w:type="dxa"/>
            <w:tcBorders>
              <w:top w:val="nil"/>
              <w:left w:val="nil"/>
              <w:bottom w:val="nil"/>
              <w:right w:val="single" w:sz="4" w:space="0" w:color="E0E0E0"/>
            </w:tcBorders>
            <w:shd w:val="clear" w:color="auto" w:fill="auto"/>
          </w:tcPr>
          <w:p w14:paraId="4C0B4424" w14:textId="77777777" w:rsidR="003010BD" w:rsidRPr="006E4DCA" w:rsidRDefault="003010BD" w:rsidP="00011661">
            <w:pPr>
              <w:spacing w:line="240" w:lineRule="auto"/>
              <w:jc w:val="center"/>
              <w:rPr>
                <w:sz w:val="20"/>
                <w:szCs w:val="18"/>
              </w:rPr>
            </w:pPr>
            <w:r w:rsidRPr="006E4DCA">
              <w:rPr>
                <w:color w:val="010205"/>
                <w:sz w:val="20"/>
                <w:szCs w:val="18"/>
              </w:rPr>
              <w:t>0.04</w:t>
            </w:r>
          </w:p>
        </w:tc>
        <w:tc>
          <w:tcPr>
            <w:tcW w:w="796" w:type="dxa"/>
            <w:tcBorders>
              <w:top w:val="nil"/>
              <w:left w:val="nil"/>
              <w:bottom w:val="nil"/>
              <w:right w:val="nil"/>
            </w:tcBorders>
            <w:shd w:val="clear" w:color="auto" w:fill="auto"/>
          </w:tcPr>
          <w:p w14:paraId="6742044C" w14:textId="77777777" w:rsidR="003010BD" w:rsidRPr="006E4DCA" w:rsidRDefault="003010BD" w:rsidP="00011661">
            <w:pPr>
              <w:spacing w:line="240" w:lineRule="auto"/>
              <w:jc w:val="center"/>
              <w:rPr>
                <w:sz w:val="20"/>
                <w:szCs w:val="18"/>
              </w:rPr>
            </w:pPr>
            <w:r w:rsidRPr="006E4DCA">
              <w:rPr>
                <w:color w:val="010205"/>
                <w:sz w:val="20"/>
                <w:szCs w:val="18"/>
              </w:rPr>
              <w:t>0.15</w:t>
            </w:r>
          </w:p>
        </w:tc>
      </w:tr>
      <w:tr w:rsidR="003010BD" w:rsidRPr="006E4DCA" w14:paraId="729A5AD7" w14:textId="77777777" w:rsidTr="00011661">
        <w:tc>
          <w:tcPr>
            <w:tcW w:w="234" w:type="dxa"/>
            <w:tcBorders>
              <w:top w:val="nil"/>
              <w:bottom w:val="single" w:sz="4" w:space="0" w:color="auto"/>
            </w:tcBorders>
            <w:shd w:val="clear" w:color="auto" w:fill="auto"/>
            <w:vAlign w:val="center"/>
          </w:tcPr>
          <w:p w14:paraId="5D18BD05" w14:textId="77777777" w:rsidR="003010BD" w:rsidRPr="006E4DCA" w:rsidRDefault="003010BD" w:rsidP="00011661">
            <w:pPr>
              <w:spacing w:line="240" w:lineRule="auto"/>
              <w:jc w:val="left"/>
              <w:rPr>
                <w:sz w:val="20"/>
                <w:szCs w:val="18"/>
              </w:rPr>
            </w:pPr>
          </w:p>
        </w:tc>
        <w:tc>
          <w:tcPr>
            <w:tcW w:w="2387" w:type="dxa"/>
            <w:tcBorders>
              <w:top w:val="nil"/>
              <w:bottom w:val="single" w:sz="4" w:space="0" w:color="auto"/>
            </w:tcBorders>
            <w:shd w:val="clear" w:color="auto" w:fill="auto"/>
            <w:vAlign w:val="center"/>
          </w:tcPr>
          <w:p w14:paraId="1918413C" w14:textId="77777777" w:rsidR="003010BD" w:rsidRPr="006E4DCA" w:rsidRDefault="003010BD" w:rsidP="00011661">
            <w:pPr>
              <w:spacing w:line="240" w:lineRule="auto"/>
              <w:jc w:val="left"/>
              <w:rPr>
                <w:sz w:val="20"/>
                <w:szCs w:val="18"/>
              </w:rPr>
            </w:pPr>
          </w:p>
        </w:tc>
        <w:tc>
          <w:tcPr>
            <w:tcW w:w="766" w:type="dxa"/>
            <w:tcBorders>
              <w:top w:val="nil"/>
              <w:bottom w:val="single" w:sz="4" w:space="0" w:color="auto"/>
            </w:tcBorders>
            <w:shd w:val="clear" w:color="auto" w:fill="auto"/>
          </w:tcPr>
          <w:p w14:paraId="528B5B29" w14:textId="77777777" w:rsidR="003010BD" w:rsidRPr="006E4DCA" w:rsidRDefault="003010BD" w:rsidP="00011661">
            <w:pPr>
              <w:spacing w:line="240" w:lineRule="auto"/>
              <w:jc w:val="center"/>
              <w:rPr>
                <w:sz w:val="20"/>
                <w:szCs w:val="18"/>
              </w:rPr>
            </w:pPr>
            <w:r w:rsidRPr="006E4DCA">
              <w:rPr>
                <w:sz w:val="20"/>
                <w:szCs w:val="18"/>
              </w:rPr>
              <w:t>0.33**</w:t>
            </w:r>
          </w:p>
        </w:tc>
        <w:tc>
          <w:tcPr>
            <w:tcW w:w="1459" w:type="dxa"/>
            <w:tcBorders>
              <w:top w:val="nil"/>
              <w:bottom w:val="single" w:sz="4" w:space="0" w:color="auto"/>
            </w:tcBorders>
            <w:shd w:val="clear" w:color="auto" w:fill="auto"/>
            <w:vAlign w:val="center"/>
          </w:tcPr>
          <w:p w14:paraId="47350EDB" w14:textId="77777777" w:rsidR="003010BD" w:rsidRPr="006E4DCA" w:rsidRDefault="003010BD" w:rsidP="00011661">
            <w:pPr>
              <w:spacing w:line="240" w:lineRule="auto"/>
              <w:jc w:val="center"/>
              <w:rPr>
                <w:sz w:val="20"/>
                <w:szCs w:val="18"/>
              </w:rPr>
            </w:pPr>
            <w:r w:rsidRPr="006E4DCA">
              <w:rPr>
                <w:color w:val="000000"/>
                <w:sz w:val="20"/>
                <w:szCs w:val="18"/>
              </w:rPr>
              <w:t>0.32 </w:t>
            </w:r>
          </w:p>
        </w:tc>
        <w:tc>
          <w:tcPr>
            <w:tcW w:w="1164" w:type="dxa"/>
            <w:tcBorders>
              <w:top w:val="nil"/>
              <w:bottom w:val="single" w:sz="4" w:space="0" w:color="auto"/>
            </w:tcBorders>
          </w:tcPr>
          <w:p w14:paraId="5987D507" w14:textId="77777777" w:rsidR="003010BD" w:rsidRPr="006E4DCA" w:rsidRDefault="003010BD" w:rsidP="00011661">
            <w:pPr>
              <w:spacing w:line="240" w:lineRule="auto"/>
              <w:jc w:val="center"/>
              <w:rPr>
                <w:color w:val="000000"/>
                <w:sz w:val="20"/>
                <w:szCs w:val="18"/>
              </w:rPr>
            </w:pPr>
            <w:r w:rsidRPr="006E4DCA">
              <w:rPr>
                <w:color w:val="000000"/>
                <w:sz w:val="20"/>
                <w:szCs w:val="18"/>
              </w:rPr>
              <w:t>0.09**</w:t>
            </w:r>
          </w:p>
        </w:tc>
        <w:tc>
          <w:tcPr>
            <w:tcW w:w="914" w:type="dxa"/>
            <w:tcBorders>
              <w:top w:val="nil"/>
              <w:bottom w:val="single" w:sz="4" w:space="0" w:color="auto"/>
            </w:tcBorders>
            <w:shd w:val="clear" w:color="auto" w:fill="auto"/>
            <w:vAlign w:val="center"/>
          </w:tcPr>
          <w:p w14:paraId="4B0455D8"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single" w:sz="4" w:space="0" w:color="auto"/>
            </w:tcBorders>
            <w:shd w:val="clear" w:color="auto" w:fill="auto"/>
            <w:vAlign w:val="center"/>
          </w:tcPr>
          <w:p w14:paraId="005E1351"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820" w:type="dxa"/>
            <w:tcBorders>
              <w:top w:val="nil"/>
              <w:bottom w:val="single" w:sz="4" w:space="0" w:color="auto"/>
            </w:tcBorders>
            <w:shd w:val="clear" w:color="auto" w:fill="auto"/>
            <w:vAlign w:val="center"/>
          </w:tcPr>
          <w:p w14:paraId="3417C7B8"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single" w:sz="4" w:space="0" w:color="auto"/>
            </w:tcBorders>
            <w:shd w:val="clear" w:color="auto" w:fill="auto"/>
            <w:vAlign w:val="center"/>
          </w:tcPr>
          <w:p w14:paraId="0F55A7A7" w14:textId="77777777" w:rsidR="003010BD" w:rsidRPr="006E4DCA" w:rsidRDefault="003010BD" w:rsidP="00011661">
            <w:pPr>
              <w:spacing w:line="240" w:lineRule="auto"/>
              <w:jc w:val="center"/>
              <w:rPr>
                <w:sz w:val="20"/>
                <w:szCs w:val="18"/>
              </w:rPr>
            </w:pPr>
            <w:r w:rsidRPr="006E4DCA">
              <w:rPr>
                <w:color w:val="000000"/>
                <w:sz w:val="20"/>
                <w:szCs w:val="18"/>
              </w:rPr>
              <w:t> </w:t>
            </w:r>
          </w:p>
        </w:tc>
        <w:tc>
          <w:tcPr>
            <w:tcW w:w="796" w:type="dxa"/>
            <w:tcBorders>
              <w:top w:val="nil"/>
              <w:bottom w:val="single" w:sz="4" w:space="0" w:color="auto"/>
            </w:tcBorders>
            <w:shd w:val="clear" w:color="auto" w:fill="auto"/>
          </w:tcPr>
          <w:p w14:paraId="640D704E" w14:textId="77777777" w:rsidR="003010BD" w:rsidRPr="006E4DCA" w:rsidRDefault="003010BD" w:rsidP="00011661">
            <w:pPr>
              <w:spacing w:line="240" w:lineRule="auto"/>
              <w:jc w:val="center"/>
              <w:rPr>
                <w:sz w:val="20"/>
                <w:szCs w:val="18"/>
              </w:rPr>
            </w:pPr>
          </w:p>
        </w:tc>
      </w:tr>
    </w:tbl>
    <w:p w14:paraId="269BE9A3" w14:textId="77777777" w:rsidR="003010BD" w:rsidRPr="006E4DCA" w:rsidRDefault="003010BD" w:rsidP="00011661">
      <w:pPr>
        <w:spacing w:line="240" w:lineRule="auto"/>
        <w:outlineLvl w:val="0"/>
        <w:rPr>
          <w:sz w:val="20"/>
          <w:szCs w:val="20"/>
        </w:rPr>
      </w:pPr>
      <w:proofErr w:type="gramStart"/>
      <w:r w:rsidRPr="006E4DCA">
        <w:rPr>
          <w:i/>
          <w:sz w:val="20"/>
          <w:szCs w:val="20"/>
        </w:rPr>
        <w:t>Notes.</w:t>
      </w:r>
      <w:proofErr w:type="gramEnd"/>
      <w:r w:rsidRPr="006E4DCA">
        <w:rPr>
          <w:i/>
          <w:sz w:val="20"/>
          <w:szCs w:val="20"/>
        </w:rPr>
        <w:t xml:space="preserve"> </w:t>
      </w:r>
      <w:r w:rsidRPr="006E4DCA">
        <w:rPr>
          <w:sz w:val="20"/>
          <w:szCs w:val="20"/>
        </w:rPr>
        <w:t xml:space="preserve">FTND = </w:t>
      </w:r>
      <w:proofErr w:type="spellStart"/>
      <w:r w:rsidRPr="006E4DCA">
        <w:rPr>
          <w:sz w:val="20"/>
          <w:szCs w:val="20"/>
        </w:rPr>
        <w:t>Fagerstrom</w:t>
      </w:r>
      <w:proofErr w:type="spellEnd"/>
      <w:r w:rsidRPr="006E4DCA">
        <w:rPr>
          <w:sz w:val="20"/>
          <w:szCs w:val="20"/>
        </w:rPr>
        <w:t xml:space="preserve"> Test of Nicotine Dependence; Gender code (0 = male; 1 = female); HADS-A = Hospital Anxiety and Depression Scale – Anxiety; HADS-D = Hospital Anxiety and Depression Scale – Depression; SSA = started smoking age; Smoking cessation treatment code (0 = yes, 1 = no); BSCQ = Brief Smoking Consequences Questionnaire – Adult (-1 = negative affect reduction; -2 = stimulation state enhancement; -4 = taste and sensory motor manipulation; -5 = social facilitation; -6 = weight control; -7 = craving addiction; -9 = boredom reduction); PM-CR = Positive Metacognitions about Cognitive Regulation; PM-ER = Positive Metacognitions about Emotional Regulation;  NM-CI = Negative Metacognitions about Cognitive Interference; NM-U = Negative Metacognitions about Uncontrollability; n = 850; * p&lt;.05; **p&lt;.01.</w:t>
      </w:r>
    </w:p>
    <w:p w14:paraId="3F02E869" w14:textId="77777777" w:rsidR="00B94D1F" w:rsidRPr="006E4DCA" w:rsidRDefault="00B94D1F" w:rsidP="00011661">
      <w:pPr>
        <w:rPr>
          <w:b/>
        </w:rPr>
        <w:sectPr w:rsidR="00B94D1F" w:rsidRPr="006E4DCA" w:rsidSect="00011661">
          <w:footerReference w:type="default" r:id="rId12"/>
          <w:pgSz w:w="11900" w:h="16840"/>
          <w:pgMar w:top="1440" w:right="1440" w:bottom="1440" w:left="1440" w:header="708" w:footer="708" w:gutter="0"/>
          <w:cols w:space="708"/>
          <w:docGrid w:linePitch="360"/>
        </w:sectPr>
      </w:pPr>
    </w:p>
    <w:p w14:paraId="3DB8DEA1" w14:textId="77777777" w:rsidR="003010BD" w:rsidRPr="006E4DCA" w:rsidRDefault="003010BD" w:rsidP="00B94D1F">
      <w:pPr>
        <w:jc w:val="center"/>
        <w:rPr>
          <w:b/>
        </w:rPr>
      </w:pPr>
      <w:r w:rsidRPr="006E4DCA">
        <w:rPr>
          <w:b/>
        </w:rPr>
        <w:lastRenderedPageBreak/>
        <w:t>4. Discussion</w:t>
      </w:r>
    </w:p>
    <w:p w14:paraId="78418919" w14:textId="2AE89C2B" w:rsidR="003010BD" w:rsidRPr="006E4DCA" w:rsidRDefault="003010BD" w:rsidP="00B94D1F">
      <w:pPr>
        <w:ind w:right="-40" w:firstLine="720"/>
      </w:pPr>
      <w:r w:rsidRPr="006E4DCA">
        <w:t xml:space="preserve">The aim of the present study was to validate the Turkish version of the Metacognitions about Smoking Questionnaire (MSQ) developed by </w:t>
      </w:r>
      <w:proofErr w:type="spellStart"/>
      <w:r w:rsidRPr="006E4DCA">
        <w:t>Nikčević</w:t>
      </w:r>
      <w:proofErr w:type="spellEnd"/>
      <w:r w:rsidRPr="006E4DCA">
        <w:t xml:space="preserve"> and colleagues (2015) in a sample of 859</w:t>
      </w:r>
      <w:r w:rsidR="00B94D1F" w:rsidRPr="006E4DCA">
        <w:t xml:space="preserve"> (reduced to 850 after removing outliers)</w:t>
      </w:r>
      <w:r w:rsidRPr="006E4DCA">
        <w:t xml:space="preserve"> self-declared smokers. A confirmatory factor analysis was conducted to test whether the four-factor structure of the English-version of the MSQ was appropriate for the translated measure. The original 20-item, four-factor model appeared to be an inadequate fit of the data obtained. Modification indices were thus calculated leading to a re-specified model that allowed three pairs of observed indicators to co-vary. This model was found to be a satisfactory fit of the data. Internal reliability and concurrent validity were observed to be good. Results also indicated that metacognitions about smoking (except for positive metacognitions about emotional regulation) predicted nicotine dependence over and above demographic variables, length of cigarette use, negative affect, and smoking outcome expectancies.</w:t>
      </w:r>
    </w:p>
    <w:p w14:paraId="05B22737" w14:textId="6E2623DE" w:rsidR="004857DF" w:rsidRPr="006E4DCA" w:rsidRDefault="003010BD" w:rsidP="00011661">
      <w:pPr>
        <w:ind w:right="-40" w:firstLine="720"/>
      </w:pPr>
      <w:r w:rsidRPr="006E4DCA">
        <w:t xml:space="preserve">Also of interest are the relationships between metacognitions and both a </w:t>
      </w:r>
      <w:r w:rsidR="00C1654A" w:rsidRPr="006E4DCA">
        <w:t>smoker’s</w:t>
      </w:r>
      <w:r w:rsidRPr="006E4DCA">
        <w:t xml:space="preserve"> age and how old they were when they started smoking. Our findings seem to suggest that younger individuals are significantly more likely to endorse stronger positive metacognitions about smoking than those older. Conversely, as people age, they appear significantly more likely to endorse </w:t>
      </w:r>
      <w:r w:rsidR="00C1654A" w:rsidRPr="006E4DCA">
        <w:t xml:space="preserve">stronger </w:t>
      </w:r>
      <w:r w:rsidRPr="006E4DCA">
        <w:t>negative metacognitions about smoking. Could this reflect a ‘faux wisdom’ that people develop as they age? Despite stronger endorsement of negative metacognitions</w:t>
      </w:r>
      <w:r w:rsidR="00C1654A" w:rsidRPr="006E4DCA">
        <w:t>, possibly reflecting a greater awareness of the negative consequences of smoking,</w:t>
      </w:r>
      <w:r w:rsidRPr="006E4DCA">
        <w:t xml:space="preserve"> as </w:t>
      </w:r>
      <w:proofErr w:type="gramStart"/>
      <w:r w:rsidRPr="006E4DCA">
        <w:t>smokers</w:t>
      </w:r>
      <w:proofErr w:type="gramEnd"/>
      <w:r w:rsidRPr="006E4DCA">
        <w:t xml:space="preserve"> age they still smoke</w:t>
      </w:r>
      <w:r w:rsidR="00C1654A" w:rsidRPr="006E4DCA">
        <w:t>. I</w:t>
      </w:r>
      <w:r w:rsidRPr="006E4DCA">
        <w:t xml:space="preserve">s </w:t>
      </w:r>
      <w:r w:rsidR="00C1654A" w:rsidRPr="006E4DCA">
        <w:t xml:space="preserve">the relationship between nicotine dependence and negative metacognitions characterised by the overlap between </w:t>
      </w:r>
      <w:r w:rsidRPr="006E4DCA">
        <w:t xml:space="preserve">an awareness of the negative consequences of smoking </w:t>
      </w:r>
      <w:r w:rsidR="00C1654A" w:rsidRPr="006E4DCA">
        <w:t>and</w:t>
      </w:r>
      <w:r w:rsidRPr="006E4DCA">
        <w:t xml:space="preserve"> negative metacognitions about smoking, or does </w:t>
      </w:r>
      <w:r w:rsidR="00C1654A" w:rsidRPr="006E4DCA">
        <w:t>i</w:t>
      </w:r>
      <w:r w:rsidRPr="006E4DCA">
        <w:t>t</w:t>
      </w:r>
      <w:r w:rsidR="00C1654A" w:rsidRPr="006E4DCA">
        <w:t xml:space="preserve"> </w:t>
      </w:r>
      <w:r w:rsidR="004857DF" w:rsidRPr="006E4DCA">
        <w:t>help</w:t>
      </w:r>
      <w:r w:rsidRPr="006E4DCA">
        <w:t xml:space="preserve"> to </w:t>
      </w:r>
      <w:r w:rsidR="00C1654A" w:rsidRPr="006E4DCA">
        <w:t>differentiate</w:t>
      </w:r>
      <w:r w:rsidRPr="006E4DCA">
        <w:t xml:space="preserve"> these two constructs? </w:t>
      </w:r>
      <w:r w:rsidR="00C1654A" w:rsidRPr="006E4DCA">
        <w:t xml:space="preserve">Perhaps this can be answered using the framework of </w:t>
      </w:r>
      <w:r w:rsidR="004857DF" w:rsidRPr="006E4DCA">
        <w:t>the metacognitive</w:t>
      </w:r>
      <w:r w:rsidR="00C1654A" w:rsidRPr="006E4DCA">
        <w:t xml:space="preserve"> model</w:t>
      </w:r>
      <w:r w:rsidRPr="006E4DCA">
        <w:t xml:space="preserve"> of psychopathology. Perseveration is the key</w:t>
      </w:r>
      <w:r w:rsidR="004857DF" w:rsidRPr="006E4DCA">
        <w:t xml:space="preserve"> to understanding </w:t>
      </w:r>
      <w:r w:rsidR="004857DF" w:rsidRPr="006E4DCA">
        <w:lastRenderedPageBreak/>
        <w:t xml:space="preserve">psychopathology from this perspective, </w:t>
      </w:r>
      <w:r w:rsidR="0091600E" w:rsidRPr="006E4DCA">
        <w:t>a</w:t>
      </w:r>
      <w:r w:rsidRPr="006E4DCA">
        <w:t>nd th</w:t>
      </w:r>
      <w:r w:rsidR="004857DF" w:rsidRPr="006E4DCA">
        <w:t>is is purportedly</w:t>
      </w:r>
      <w:r w:rsidRPr="006E4DCA">
        <w:t xml:space="preserve"> fuelled by negative </w:t>
      </w:r>
      <w:r w:rsidR="004857DF" w:rsidRPr="006E4DCA">
        <w:t>m</w:t>
      </w:r>
      <w:r w:rsidRPr="006E4DCA">
        <w:t>etacognitions about uncontrollability</w:t>
      </w:r>
      <w:r w:rsidR="000A4313" w:rsidRPr="006E4DCA">
        <w:t xml:space="preserve"> (that</w:t>
      </w:r>
      <w:r w:rsidRPr="006E4DCA">
        <w:t xml:space="preserve"> are not directly assessed by the BS</w:t>
      </w:r>
      <w:r w:rsidR="000A4313" w:rsidRPr="006E4DCA">
        <w:t>C</w:t>
      </w:r>
      <w:r w:rsidRPr="006E4DCA">
        <w:t>Q</w:t>
      </w:r>
      <w:r w:rsidR="000A4313" w:rsidRPr="006E4DCA">
        <w:t>)</w:t>
      </w:r>
      <w:r w:rsidRPr="006E4DCA">
        <w:t>.</w:t>
      </w:r>
      <w:r w:rsidR="004857DF" w:rsidRPr="006E4DCA">
        <w:t xml:space="preserve"> Also note that only positive smoking consequences were significant predictors of nicotine dependence in the final step of our regression model, which controlled for negative metacognitions and age.</w:t>
      </w:r>
      <w:r w:rsidR="00CE1A74" w:rsidRPr="006E4DCA">
        <w:t xml:space="preserve"> This supports further the distinction between negative metacogn</w:t>
      </w:r>
      <w:r w:rsidR="0085516F" w:rsidRPr="006E4DCA">
        <w:t>itions and smoking consequences, stressing the importance of the former over the latter in explaining nicotine dependence.</w:t>
      </w:r>
    </w:p>
    <w:p w14:paraId="05357048" w14:textId="067E5585" w:rsidR="003010BD" w:rsidRPr="006E4DCA" w:rsidRDefault="003010BD" w:rsidP="00011661">
      <w:pPr>
        <w:ind w:right="-40" w:firstLine="720"/>
      </w:pPr>
      <w:r w:rsidRPr="006E4DCA">
        <w:t>Furthermore, our results suggest that the more recent</w:t>
      </w:r>
      <w:r w:rsidR="00BA5765" w:rsidRPr="006E4DCA">
        <w:t>ly</w:t>
      </w:r>
      <w:r w:rsidRPr="006E4DCA">
        <w:t xml:space="preserve"> someone start</w:t>
      </w:r>
      <w:r w:rsidR="00BA5765" w:rsidRPr="006E4DCA">
        <w:t>s</w:t>
      </w:r>
      <w:r w:rsidRPr="006E4DCA">
        <w:t xml:space="preserve"> smoking, the more likely they are to endorse both positive and negative metacognitions about smoking. This may allude to the following speculation: metacognitions tend to navigate a journey over time through consciousness along a dimension that begins at explicit awareness of these beliefs, heading towards implicit.</w:t>
      </w:r>
      <w:r w:rsidR="00075F56" w:rsidRPr="006E4DCA">
        <w:t xml:space="preserve"> In other words, people becoming less aware of their metacognitions the more time passes.</w:t>
      </w:r>
    </w:p>
    <w:p w14:paraId="6E2138B8" w14:textId="4EEF738B" w:rsidR="003010BD" w:rsidRPr="006E4DCA" w:rsidRDefault="003010BD" w:rsidP="00011661">
      <w:pPr>
        <w:ind w:right="-40" w:firstLine="720"/>
      </w:pPr>
      <w:r w:rsidRPr="006E4DCA">
        <w:t>In terms of gender difference, we found that males in our sample had higher levels of nicotine dependence</w:t>
      </w:r>
      <w:r w:rsidR="005A64B2" w:rsidRPr="006E4DCA">
        <w:t xml:space="preserve"> and negative metacognitions about cognitive interference</w:t>
      </w:r>
      <w:r w:rsidRPr="006E4DCA">
        <w:t xml:space="preserve"> than females.</w:t>
      </w:r>
      <w:r w:rsidR="005A64B2" w:rsidRPr="006E4DCA">
        <w:t xml:space="preserve"> Conversely, females endorsed higher positive metacognitions about emotional regulation than males. Despite these differences, </w:t>
      </w:r>
      <w:r w:rsidR="00A22049" w:rsidRPr="006E4DCA">
        <w:t xml:space="preserve">gender was not a significant explanatory variable in the final step of our hierarchal regression analysis (with FTND as the outcome variable), nor did </w:t>
      </w:r>
      <w:r w:rsidR="005A64B2" w:rsidRPr="006E4DCA">
        <w:t xml:space="preserve">our results suggest that the structure of the translated MSQ is gender invariant. </w:t>
      </w:r>
      <w:r w:rsidR="002D7236" w:rsidRPr="006E4DCA">
        <w:t>However,</w:t>
      </w:r>
      <w:r w:rsidR="00D608FA" w:rsidRPr="006E4DCA">
        <w:t xml:space="preserve"> positive metacognitions about emotional regulation was not a significant independent variable in the final step of the hierarchal regression analysis, a step that also modelled gender.</w:t>
      </w:r>
      <w:r w:rsidR="00184F10" w:rsidRPr="006E4DCA">
        <w:t xml:space="preserve"> It is possible that the non-significance of PM-ER</w:t>
      </w:r>
      <w:r w:rsidR="00A36022" w:rsidRPr="006E4DCA">
        <w:t xml:space="preserve"> in explaining variance in nicotine dependence</w:t>
      </w:r>
      <w:r w:rsidR="00184F10" w:rsidRPr="006E4DCA">
        <w:t xml:space="preserve"> was a consequence of gender differences</w:t>
      </w:r>
      <w:r w:rsidR="00A36022" w:rsidRPr="006E4DCA">
        <w:t>.</w:t>
      </w:r>
    </w:p>
    <w:p w14:paraId="0B89DE63" w14:textId="77777777" w:rsidR="003010BD" w:rsidRPr="006E4DCA" w:rsidRDefault="003010BD" w:rsidP="00011661">
      <w:pPr>
        <w:ind w:right="-40" w:firstLine="720"/>
      </w:pPr>
      <w:r w:rsidRPr="006E4DCA">
        <w:t xml:space="preserve">These results demonstrate the utility of the Turkish version of the MSQ, confirming the potential role of metacognitions in sustaining smoking as well as their validity as a </w:t>
      </w:r>
      <w:r w:rsidRPr="006E4DCA">
        <w:lastRenderedPageBreak/>
        <w:t xml:space="preserve">‘transcultural’ construct. The additional finding that metacognitions about smoking was significantly associated with smoking behaviour independently of smoking outcome expectancies reinforce the findings of </w:t>
      </w:r>
      <w:proofErr w:type="spellStart"/>
      <w:r w:rsidRPr="006E4DCA">
        <w:t>Nikčević</w:t>
      </w:r>
      <w:proofErr w:type="spellEnd"/>
      <w:r w:rsidRPr="006E4DCA">
        <w:t xml:space="preserve"> and colleagues (2015). These findings highlight the potential utility of employing techniques and principles of MCT (Wells, 2009), which have been found to be very effective in the treatment of anxiety and mood disorders (</w:t>
      </w:r>
      <w:proofErr w:type="spellStart"/>
      <w:r w:rsidRPr="006E4DCA">
        <w:t>Normann</w:t>
      </w:r>
      <w:proofErr w:type="spellEnd"/>
      <w:r w:rsidRPr="006E4DCA">
        <w:t xml:space="preserve"> et al., 2014), in aiding the discontinuation of smoking behaviour. The core techniques of which could be utilised to tackle problematic smoking behaviour, including the re-appraisal of both positive and negative metacognitions as well as interventions aimed at modifying metacognitive knowledge, such as detached mindfulness, attention training, situational attentional refocusing, and the postponement of use (Spada et al., 2015).</w:t>
      </w:r>
    </w:p>
    <w:p w14:paraId="4325330A" w14:textId="77777777" w:rsidR="003010BD" w:rsidRPr="006E4DCA" w:rsidRDefault="003010BD" w:rsidP="00011661">
      <w:pPr>
        <w:ind w:right="-40" w:firstLine="720"/>
      </w:pPr>
      <w:r w:rsidRPr="006E4DCA">
        <w:t xml:space="preserve">It should be noted that the present results are preliminary in nature. A key limitation of this study, as well as earlier research that has explored the relationship between metacognitions and </w:t>
      </w:r>
      <w:proofErr w:type="gramStart"/>
      <w:r w:rsidRPr="006E4DCA">
        <w:t>smoking,</w:t>
      </w:r>
      <w:proofErr w:type="gramEnd"/>
      <w:r w:rsidRPr="006E4DCA">
        <w:t xml:space="preserve"> </w:t>
      </w:r>
      <w:r w:rsidRPr="006E4DCA">
        <w:rPr>
          <w:color w:val="000000"/>
        </w:rPr>
        <w:t xml:space="preserve">is the absence of longitudinal data which precludes causal inferences. In addition, </w:t>
      </w:r>
      <w:r w:rsidRPr="006E4DCA">
        <w:t>the presence of concurrent psychological disorder (which could account for the observed differences in outcome measures) was not assessed. However, controlling for anxiety and depression does provide a degree of confidence in the specificity of the results. Finally, the temporal stability of the MSQ was not evaluated.</w:t>
      </w:r>
    </w:p>
    <w:p w14:paraId="0523CD85" w14:textId="637A7DCB" w:rsidR="003010BD" w:rsidRPr="006E4DCA" w:rsidRDefault="003010BD" w:rsidP="00011661">
      <w:pPr>
        <w:ind w:right="-40" w:firstLine="720"/>
      </w:pPr>
      <w:r w:rsidRPr="006E4DCA">
        <w:t>Future studies are required to confirm the psychometric properties of the Turkish version of the MSQ. It would be necessary to determine the structure and reliability over time of this self-report questionnaire. In addition, studies are required to examine the sensitivity of the different factors of the MSQ to treatment effects and recovery if these are to prove useful as treatment evaluation markers.</w:t>
      </w:r>
    </w:p>
    <w:p w14:paraId="37697A8A" w14:textId="77777777" w:rsidR="003010BD" w:rsidRPr="006E4DCA" w:rsidRDefault="003010BD" w:rsidP="00CA43DC">
      <w:pPr>
        <w:pStyle w:val="Default"/>
        <w:pBdr>
          <w:top w:val="none" w:sz="0" w:space="0" w:color="auto"/>
          <w:left w:val="none" w:sz="0" w:space="0" w:color="auto"/>
          <w:bottom w:val="none" w:sz="0" w:space="0" w:color="auto"/>
          <w:right w:val="none" w:sz="0" w:space="0" w:color="auto"/>
          <w:bar w:val="none" w:sz="0" w:color="auto"/>
        </w:pBdr>
        <w:spacing w:line="480" w:lineRule="auto"/>
        <w:jc w:val="center"/>
        <w:outlineLvl w:val="0"/>
        <w:rPr>
          <w:rFonts w:ascii="Times New Roman" w:hAnsi="Times New Roman" w:cs="Times New Roman"/>
          <w:b/>
          <w:bCs/>
          <w:color w:val="auto"/>
          <w:sz w:val="24"/>
          <w:szCs w:val="24"/>
          <w:lang w:val="en-GB"/>
        </w:rPr>
      </w:pPr>
      <w:r w:rsidRPr="006E4DCA">
        <w:rPr>
          <w:rFonts w:ascii="Times New Roman" w:hAnsi="Times New Roman" w:cs="Times New Roman"/>
          <w:b/>
          <w:bCs/>
          <w:color w:val="auto"/>
          <w:sz w:val="24"/>
          <w:szCs w:val="24"/>
          <w:lang w:val="en-GB"/>
        </w:rPr>
        <w:t>Acknowledgements</w:t>
      </w:r>
    </w:p>
    <w:p w14:paraId="648EE2A9" w14:textId="77777777" w:rsidR="003010BD" w:rsidRPr="006E4DCA" w:rsidRDefault="003010BD" w:rsidP="005D3EC7">
      <w:pPr>
        <w:pStyle w:val="Default"/>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color w:val="auto"/>
          <w:sz w:val="24"/>
          <w:szCs w:val="24"/>
          <w:lang w:val="en-GB"/>
        </w:rPr>
      </w:pPr>
      <w:r w:rsidRPr="006E4DCA">
        <w:rPr>
          <w:rFonts w:ascii="Times New Roman" w:hAnsi="Times New Roman" w:cs="Times New Roman"/>
          <w:color w:val="auto"/>
          <w:sz w:val="24"/>
          <w:szCs w:val="24"/>
          <w:lang w:val="en-GB"/>
        </w:rPr>
        <w:t xml:space="preserve">Author BAF receives salary support from the National Institute for Health Research (NIHR) Mental Health Biomedical Research Centre and Dementia Research Unit at South </w:t>
      </w:r>
      <w:r w:rsidRPr="006E4DCA">
        <w:rPr>
          <w:rFonts w:ascii="Times New Roman" w:hAnsi="Times New Roman" w:cs="Times New Roman"/>
          <w:color w:val="auto"/>
          <w:sz w:val="24"/>
          <w:szCs w:val="24"/>
          <w:lang w:val="en-GB"/>
        </w:rPr>
        <w:lastRenderedPageBreak/>
        <w:t xml:space="preserve">London and </w:t>
      </w:r>
      <w:proofErr w:type="spellStart"/>
      <w:r w:rsidRPr="006E4DCA">
        <w:rPr>
          <w:rFonts w:ascii="Times New Roman" w:hAnsi="Times New Roman" w:cs="Times New Roman"/>
          <w:color w:val="auto"/>
          <w:sz w:val="24"/>
          <w:szCs w:val="24"/>
          <w:lang w:val="en-GB"/>
        </w:rPr>
        <w:t>Maudsley</w:t>
      </w:r>
      <w:proofErr w:type="spellEnd"/>
      <w:r w:rsidRPr="006E4DCA">
        <w:rPr>
          <w:rFonts w:ascii="Times New Roman" w:hAnsi="Times New Roman" w:cs="Times New Roman"/>
          <w:color w:val="auto"/>
          <w:sz w:val="24"/>
          <w:szCs w:val="24"/>
          <w:lang w:val="en-GB"/>
        </w:rPr>
        <w:t xml:space="preserve"> NHS Foundation Trust and King’s College London. The views expressed are those of the authors and not necessarily those of the NHS, the NIHR or the Department of Health.</w:t>
      </w:r>
    </w:p>
    <w:p w14:paraId="477B3943" w14:textId="77777777" w:rsidR="00CA43DC" w:rsidRPr="006E4DCA" w:rsidRDefault="00CA43DC" w:rsidP="00011661">
      <w:pPr>
        <w:pStyle w:val="Default"/>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color w:val="auto"/>
          <w:sz w:val="24"/>
          <w:szCs w:val="24"/>
          <w:lang w:val="en-GB"/>
        </w:rPr>
        <w:sectPr w:rsidR="00CA43DC" w:rsidRPr="006E4DCA" w:rsidSect="00011661">
          <w:pgSz w:w="11900" w:h="16840"/>
          <w:pgMar w:top="1440" w:right="1440" w:bottom="1440" w:left="1440" w:header="708" w:footer="708" w:gutter="0"/>
          <w:cols w:space="708"/>
          <w:docGrid w:linePitch="360"/>
        </w:sectPr>
      </w:pPr>
    </w:p>
    <w:p w14:paraId="589A6820" w14:textId="77777777" w:rsidR="003010BD" w:rsidRPr="006E4DCA" w:rsidRDefault="003010BD" w:rsidP="00011661">
      <w:pPr>
        <w:pStyle w:val="BodyText"/>
        <w:spacing w:line="480" w:lineRule="auto"/>
        <w:jc w:val="both"/>
        <w:rPr>
          <w:b/>
          <w:sz w:val="24"/>
          <w:szCs w:val="24"/>
          <w:lang w:val="en-GB"/>
        </w:rPr>
      </w:pPr>
      <w:r w:rsidRPr="006E4DCA">
        <w:rPr>
          <w:b/>
          <w:sz w:val="24"/>
          <w:szCs w:val="24"/>
          <w:lang w:val="en-GB"/>
        </w:rPr>
        <w:lastRenderedPageBreak/>
        <w:t xml:space="preserve">References </w:t>
      </w:r>
    </w:p>
    <w:p w14:paraId="369981B2" w14:textId="77777777" w:rsidR="003010BD" w:rsidRPr="006E4DCA" w:rsidRDefault="003010BD" w:rsidP="003010BD">
      <w:pPr>
        <w:ind w:left="720" w:hanging="720"/>
        <w:rPr>
          <w:szCs w:val="24"/>
        </w:rPr>
      </w:pPr>
      <w:proofErr w:type="spellStart"/>
      <w:proofErr w:type="gramStart"/>
      <w:r w:rsidRPr="006E4DCA">
        <w:rPr>
          <w:szCs w:val="24"/>
        </w:rPr>
        <w:t>Akalın</w:t>
      </w:r>
      <w:proofErr w:type="spellEnd"/>
      <w:r w:rsidRPr="006E4DCA">
        <w:rPr>
          <w:szCs w:val="24"/>
        </w:rPr>
        <w:t>, Ş.H., 2009.</w:t>
      </w:r>
      <w:proofErr w:type="gramEnd"/>
      <w:r w:rsidRPr="006E4DCA">
        <w:rPr>
          <w:szCs w:val="24"/>
        </w:rPr>
        <w:t xml:space="preserve"> </w:t>
      </w:r>
      <w:proofErr w:type="spellStart"/>
      <w:r w:rsidRPr="006E4DCA">
        <w:rPr>
          <w:szCs w:val="24"/>
        </w:rPr>
        <w:t>Türk</w:t>
      </w:r>
      <w:proofErr w:type="spellEnd"/>
      <w:r w:rsidRPr="006E4DCA">
        <w:rPr>
          <w:szCs w:val="24"/>
        </w:rPr>
        <w:t xml:space="preserve"> Dili: </w:t>
      </w:r>
      <w:proofErr w:type="spellStart"/>
      <w:r w:rsidRPr="006E4DCA">
        <w:rPr>
          <w:szCs w:val="24"/>
        </w:rPr>
        <w:t>Dünya</w:t>
      </w:r>
      <w:proofErr w:type="spellEnd"/>
      <w:r w:rsidRPr="006E4DCA">
        <w:rPr>
          <w:szCs w:val="24"/>
        </w:rPr>
        <w:t xml:space="preserve"> Dili. </w:t>
      </w:r>
      <w:proofErr w:type="spellStart"/>
      <w:r w:rsidRPr="006E4DCA">
        <w:rPr>
          <w:i/>
          <w:szCs w:val="24"/>
        </w:rPr>
        <w:t>Türk</w:t>
      </w:r>
      <w:proofErr w:type="spellEnd"/>
      <w:r w:rsidRPr="006E4DCA">
        <w:rPr>
          <w:i/>
          <w:szCs w:val="24"/>
        </w:rPr>
        <w:t xml:space="preserve"> Dili.</w:t>
      </w:r>
      <w:r w:rsidRPr="006E4DCA">
        <w:rPr>
          <w:szCs w:val="24"/>
        </w:rPr>
        <w:t xml:space="preserve"> 687, 195-204.</w:t>
      </w:r>
    </w:p>
    <w:p w14:paraId="3A115CFC" w14:textId="77777777" w:rsidR="003010BD" w:rsidRPr="006E4DCA" w:rsidRDefault="003010BD" w:rsidP="003010BD">
      <w:pPr>
        <w:ind w:left="720" w:hanging="720"/>
        <w:rPr>
          <w:szCs w:val="24"/>
        </w:rPr>
      </w:pPr>
      <w:proofErr w:type="spellStart"/>
      <w:r w:rsidRPr="006E4DCA">
        <w:rPr>
          <w:szCs w:val="24"/>
        </w:rPr>
        <w:t>Aydemir</w:t>
      </w:r>
      <w:proofErr w:type="spellEnd"/>
      <w:r w:rsidRPr="006E4DCA">
        <w:rPr>
          <w:szCs w:val="24"/>
        </w:rPr>
        <w:t xml:space="preserve">, </w:t>
      </w:r>
      <w:proofErr w:type="gramStart"/>
      <w:r w:rsidRPr="006E4DCA">
        <w:rPr>
          <w:szCs w:val="24"/>
        </w:rPr>
        <w:t>Ö.,</w:t>
      </w:r>
      <w:proofErr w:type="gramEnd"/>
      <w:r w:rsidRPr="006E4DCA">
        <w:rPr>
          <w:szCs w:val="24"/>
        </w:rPr>
        <w:t xml:space="preserve"> 1997. </w:t>
      </w:r>
      <w:proofErr w:type="spellStart"/>
      <w:proofErr w:type="gramStart"/>
      <w:r w:rsidRPr="006E4DCA">
        <w:rPr>
          <w:szCs w:val="24"/>
        </w:rPr>
        <w:t>Hastane</w:t>
      </w:r>
      <w:proofErr w:type="spellEnd"/>
      <w:r w:rsidRPr="006E4DCA">
        <w:rPr>
          <w:szCs w:val="24"/>
        </w:rPr>
        <w:t xml:space="preserve"> </w:t>
      </w:r>
      <w:proofErr w:type="spellStart"/>
      <w:r w:rsidRPr="006E4DCA">
        <w:rPr>
          <w:szCs w:val="24"/>
        </w:rPr>
        <w:t>Anksiyete</w:t>
      </w:r>
      <w:proofErr w:type="spellEnd"/>
      <w:r w:rsidRPr="006E4DCA">
        <w:rPr>
          <w:szCs w:val="24"/>
        </w:rPr>
        <w:t xml:space="preserve"> </w:t>
      </w:r>
      <w:proofErr w:type="spellStart"/>
      <w:r w:rsidRPr="006E4DCA">
        <w:rPr>
          <w:szCs w:val="24"/>
        </w:rPr>
        <w:t>ve</w:t>
      </w:r>
      <w:proofErr w:type="spellEnd"/>
      <w:r w:rsidRPr="006E4DCA">
        <w:rPr>
          <w:szCs w:val="24"/>
        </w:rPr>
        <w:t xml:space="preserve"> </w:t>
      </w:r>
      <w:proofErr w:type="spellStart"/>
      <w:r w:rsidRPr="006E4DCA">
        <w:rPr>
          <w:szCs w:val="24"/>
        </w:rPr>
        <w:t>Depresyon</w:t>
      </w:r>
      <w:proofErr w:type="spellEnd"/>
      <w:r w:rsidRPr="006E4DCA">
        <w:rPr>
          <w:szCs w:val="24"/>
        </w:rPr>
        <w:t xml:space="preserve"> </w:t>
      </w:r>
      <w:proofErr w:type="spellStart"/>
      <w:r w:rsidRPr="006E4DCA">
        <w:rPr>
          <w:szCs w:val="24"/>
        </w:rPr>
        <w:t>Ölçeği</w:t>
      </w:r>
      <w:proofErr w:type="spellEnd"/>
      <w:r w:rsidRPr="006E4DCA">
        <w:rPr>
          <w:szCs w:val="24"/>
        </w:rPr>
        <w:t xml:space="preserve"> </w:t>
      </w:r>
      <w:proofErr w:type="spellStart"/>
      <w:r w:rsidRPr="006E4DCA">
        <w:rPr>
          <w:szCs w:val="24"/>
        </w:rPr>
        <w:t>Türkçe</w:t>
      </w:r>
      <w:proofErr w:type="spellEnd"/>
      <w:r w:rsidRPr="006E4DCA">
        <w:rPr>
          <w:szCs w:val="24"/>
        </w:rPr>
        <w:t xml:space="preserve"> </w:t>
      </w:r>
      <w:proofErr w:type="spellStart"/>
      <w:r w:rsidRPr="006E4DCA">
        <w:rPr>
          <w:szCs w:val="24"/>
        </w:rPr>
        <w:t>formunun</w:t>
      </w:r>
      <w:proofErr w:type="spellEnd"/>
      <w:r w:rsidRPr="006E4DCA">
        <w:rPr>
          <w:szCs w:val="24"/>
        </w:rPr>
        <w:t xml:space="preserve"> </w:t>
      </w:r>
      <w:proofErr w:type="spellStart"/>
      <w:r w:rsidRPr="006E4DCA">
        <w:rPr>
          <w:szCs w:val="24"/>
        </w:rPr>
        <w:t>geçerlik</w:t>
      </w:r>
      <w:proofErr w:type="spellEnd"/>
      <w:r w:rsidRPr="006E4DCA">
        <w:rPr>
          <w:szCs w:val="24"/>
        </w:rPr>
        <w:t xml:space="preserve"> </w:t>
      </w:r>
      <w:proofErr w:type="spellStart"/>
      <w:r w:rsidRPr="006E4DCA">
        <w:rPr>
          <w:szCs w:val="24"/>
        </w:rPr>
        <w:t>ve</w:t>
      </w:r>
      <w:proofErr w:type="spellEnd"/>
      <w:r w:rsidRPr="006E4DCA">
        <w:rPr>
          <w:szCs w:val="24"/>
        </w:rPr>
        <w:t xml:space="preserve"> </w:t>
      </w:r>
      <w:proofErr w:type="spellStart"/>
      <w:r w:rsidRPr="006E4DCA">
        <w:rPr>
          <w:szCs w:val="24"/>
        </w:rPr>
        <w:t>güvenlik</w:t>
      </w:r>
      <w:proofErr w:type="spellEnd"/>
      <w:r w:rsidRPr="006E4DCA">
        <w:rPr>
          <w:szCs w:val="24"/>
        </w:rPr>
        <w:t xml:space="preserve"> </w:t>
      </w:r>
      <w:proofErr w:type="spellStart"/>
      <w:r w:rsidRPr="006E4DCA">
        <w:rPr>
          <w:szCs w:val="24"/>
        </w:rPr>
        <w:t>çalışması</w:t>
      </w:r>
      <w:proofErr w:type="spellEnd"/>
      <w:r w:rsidRPr="006E4DCA">
        <w:rPr>
          <w:szCs w:val="24"/>
        </w:rPr>
        <w:t>.</w:t>
      </w:r>
      <w:proofErr w:type="gramEnd"/>
      <w:r w:rsidRPr="006E4DCA">
        <w:rPr>
          <w:szCs w:val="24"/>
        </w:rPr>
        <w:t xml:space="preserve"> </w:t>
      </w:r>
      <w:proofErr w:type="spellStart"/>
      <w:r w:rsidRPr="006E4DCA">
        <w:rPr>
          <w:szCs w:val="24"/>
        </w:rPr>
        <w:t>Türk</w:t>
      </w:r>
      <w:proofErr w:type="spellEnd"/>
      <w:r w:rsidRPr="006E4DCA">
        <w:rPr>
          <w:szCs w:val="24"/>
        </w:rPr>
        <w:t xml:space="preserve"> </w:t>
      </w:r>
      <w:proofErr w:type="spellStart"/>
      <w:r w:rsidRPr="006E4DCA">
        <w:rPr>
          <w:szCs w:val="24"/>
        </w:rPr>
        <w:t>Psikiyatri</w:t>
      </w:r>
      <w:proofErr w:type="spellEnd"/>
      <w:r w:rsidRPr="006E4DCA">
        <w:rPr>
          <w:szCs w:val="24"/>
        </w:rPr>
        <w:t xml:space="preserve"> </w:t>
      </w:r>
      <w:proofErr w:type="spellStart"/>
      <w:r w:rsidRPr="006E4DCA">
        <w:rPr>
          <w:szCs w:val="24"/>
        </w:rPr>
        <w:t>Dergisi</w:t>
      </w:r>
      <w:proofErr w:type="spellEnd"/>
      <w:r w:rsidRPr="006E4DCA">
        <w:rPr>
          <w:szCs w:val="24"/>
        </w:rPr>
        <w:t xml:space="preserve"> 8, 280-287.</w:t>
      </w:r>
    </w:p>
    <w:p w14:paraId="472908C9" w14:textId="77777777" w:rsidR="003010BD" w:rsidRPr="006E4DCA" w:rsidRDefault="003010BD" w:rsidP="003010BD">
      <w:pPr>
        <w:ind w:left="720" w:hanging="720"/>
        <w:rPr>
          <w:szCs w:val="24"/>
        </w:rPr>
      </w:pPr>
      <w:proofErr w:type="spellStart"/>
      <w:proofErr w:type="gramStart"/>
      <w:r w:rsidRPr="006E4DCA">
        <w:rPr>
          <w:szCs w:val="24"/>
        </w:rPr>
        <w:t>Bilici</w:t>
      </w:r>
      <w:proofErr w:type="spellEnd"/>
      <w:r w:rsidRPr="006E4DCA">
        <w:rPr>
          <w:szCs w:val="24"/>
        </w:rPr>
        <w:t>, M., 2012.</w:t>
      </w:r>
      <w:proofErr w:type="gramEnd"/>
      <w:r w:rsidRPr="006E4DCA">
        <w:rPr>
          <w:szCs w:val="24"/>
        </w:rPr>
        <w:t xml:space="preserve"> </w:t>
      </w:r>
      <w:proofErr w:type="spellStart"/>
      <w:proofErr w:type="gramStart"/>
      <w:r w:rsidRPr="006E4DCA">
        <w:rPr>
          <w:szCs w:val="24"/>
        </w:rPr>
        <w:t>Tütün</w:t>
      </w:r>
      <w:proofErr w:type="spellEnd"/>
      <w:r w:rsidRPr="006E4DCA">
        <w:rPr>
          <w:szCs w:val="24"/>
        </w:rPr>
        <w:t xml:space="preserve"> (</w:t>
      </w:r>
      <w:proofErr w:type="spellStart"/>
      <w:r w:rsidRPr="006E4DCA">
        <w:rPr>
          <w:szCs w:val="24"/>
        </w:rPr>
        <w:t>nikotin</w:t>
      </w:r>
      <w:proofErr w:type="spellEnd"/>
      <w:r w:rsidRPr="006E4DCA">
        <w:rPr>
          <w:szCs w:val="24"/>
        </w:rPr>
        <w:t xml:space="preserve">) </w:t>
      </w:r>
      <w:proofErr w:type="spellStart"/>
      <w:r w:rsidRPr="006E4DCA">
        <w:rPr>
          <w:szCs w:val="24"/>
        </w:rPr>
        <w:t>kullanımına</w:t>
      </w:r>
      <w:proofErr w:type="spellEnd"/>
      <w:r w:rsidRPr="006E4DCA">
        <w:rPr>
          <w:szCs w:val="24"/>
        </w:rPr>
        <w:t xml:space="preserve"> </w:t>
      </w:r>
      <w:proofErr w:type="spellStart"/>
      <w:r w:rsidRPr="006E4DCA">
        <w:rPr>
          <w:szCs w:val="24"/>
        </w:rPr>
        <w:t>bağlı</w:t>
      </w:r>
      <w:proofErr w:type="spellEnd"/>
      <w:r w:rsidRPr="006E4DCA">
        <w:rPr>
          <w:szCs w:val="24"/>
        </w:rPr>
        <w:t xml:space="preserve"> </w:t>
      </w:r>
      <w:proofErr w:type="spellStart"/>
      <w:r w:rsidRPr="006E4DCA">
        <w:rPr>
          <w:szCs w:val="24"/>
        </w:rPr>
        <w:t>ruhsal</w:t>
      </w:r>
      <w:proofErr w:type="spellEnd"/>
      <w:r w:rsidRPr="006E4DCA">
        <w:rPr>
          <w:szCs w:val="24"/>
        </w:rPr>
        <w:t xml:space="preserve"> </w:t>
      </w:r>
      <w:proofErr w:type="spellStart"/>
      <w:r w:rsidRPr="006E4DCA">
        <w:rPr>
          <w:szCs w:val="24"/>
        </w:rPr>
        <w:t>ve</w:t>
      </w:r>
      <w:proofErr w:type="spellEnd"/>
      <w:r w:rsidRPr="006E4DCA">
        <w:rPr>
          <w:szCs w:val="24"/>
        </w:rPr>
        <w:t xml:space="preserve"> </w:t>
      </w:r>
      <w:proofErr w:type="spellStart"/>
      <w:r w:rsidRPr="006E4DCA">
        <w:rPr>
          <w:szCs w:val="24"/>
        </w:rPr>
        <w:t>davranışsal</w:t>
      </w:r>
      <w:proofErr w:type="spellEnd"/>
      <w:r w:rsidRPr="006E4DCA">
        <w:rPr>
          <w:szCs w:val="24"/>
        </w:rPr>
        <w:t xml:space="preserve"> </w:t>
      </w:r>
      <w:proofErr w:type="spellStart"/>
      <w:r w:rsidRPr="006E4DCA">
        <w:rPr>
          <w:szCs w:val="24"/>
        </w:rPr>
        <w:t>bozukluklar</w:t>
      </w:r>
      <w:proofErr w:type="spellEnd"/>
      <w:r w:rsidRPr="006E4DCA">
        <w:rPr>
          <w:szCs w:val="24"/>
        </w:rPr>
        <w:t>.</w:t>
      </w:r>
      <w:proofErr w:type="gramEnd"/>
      <w:r w:rsidRPr="006E4DCA">
        <w:rPr>
          <w:szCs w:val="24"/>
        </w:rPr>
        <w:t xml:space="preserve"> </w:t>
      </w:r>
      <w:proofErr w:type="spellStart"/>
      <w:r w:rsidRPr="006E4DCA">
        <w:rPr>
          <w:iCs/>
          <w:szCs w:val="24"/>
        </w:rPr>
        <w:t>Madde</w:t>
      </w:r>
      <w:proofErr w:type="spellEnd"/>
      <w:r w:rsidRPr="006E4DCA">
        <w:rPr>
          <w:iCs/>
          <w:szCs w:val="24"/>
        </w:rPr>
        <w:t xml:space="preserve"> </w:t>
      </w:r>
      <w:proofErr w:type="spellStart"/>
      <w:r w:rsidRPr="006E4DCA">
        <w:rPr>
          <w:iCs/>
          <w:szCs w:val="24"/>
        </w:rPr>
        <w:t>Bağımlılığı</w:t>
      </w:r>
      <w:proofErr w:type="spellEnd"/>
      <w:r w:rsidRPr="006E4DCA">
        <w:rPr>
          <w:iCs/>
          <w:szCs w:val="24"/>
        </w:rPr>
        <w:t xml:space="preserve"> </w:t>
      </w:r>
      <w:proofErr w:type="spellStart"/>
      <w:r w:rsidRPr="006E4DCA">
        <w:rPr>
          <w:iCs/>
          <w:szCs w:val="24"/>
        </w:rPr>
        <w:t>Tanı</w:t>
      </w:r>
      <w:proofErr w:type="spellEnd"/>
      <w:r w:rsidRPr="006E4DCA">
        <w:rPr>
          <w:iCs/>
          <w:szCs w:val="24"/>
        </w:rPr>
        <w:t xml:space="preserve"> </w:t>
      </w:r>
      <w:proofErr w:type="spellStart"/>
      <w:r w:rsidRPr="006E4DCA">
        <w:rPr>
          <w:iCs/>
          <w:szCs w:val="24"/>
        </w:rPr>
        <w:t>Ve</w:t>
      </w:r>
      <w:proofErr w:type="spellEnd"/>
      <w:r w:rsidRPr="006E4DCA">
        <w:rPr>
          <w:iCs/>
          <w:szCs w:val="24"/>
        </w:rPr>
        <w:t xml:space="preserve"> </w:t>
      </w:r>
      <w:proofErr w:type="spellStart"/>
      <w:r w:rsidRPr="006E4DCA">
        <w:rPr>
          <w:iCs/>
          <w:szCs w:val="24"/>
        </w:rPr>
        <w:t>Tedavi</w:t>
      </w:r>
      <w:proofErr w:type="spellEnd"/>
      <w:r w:rsidRPr="006E4DCA">
        <w:rPr>
          <w:iCs/>
          <w:szCs w:val="24"/>
        </w:rPr>
        <w:t xml:space="preserve"> </w:t>
      </w:r>
      <w:proofErr w:type="spellStart"/>
      <w:r w:rsidRPr="006E4DCA">
        <w:rPr>
          <w:iCs/>
          <w:szCs w:val="24"/>
        </w:rPr>
        <w:t>Kılavuzu</w:t>
      </w:r>
      <w:proofErr w:type="spellEnd"/>
      <w:r w:rsidRPr="006E4DCA">
        <w:rPr>
          <w:iCs/>
          <w:szCs w:val="24"/>
        </w:rPr>
        <w:t xml:space="preserve"> El </w:t>
      </w:r>
      <w:proofErr w:type="spellStart"/>
      <w:r w:rsidRPr="006E4DCA">
        <w:rPr>
          <w:iCs/>
          <w:szCs w:val="24"/>
        </w:rPr>
        <w:t>Kitabı</w:t>
      </w:r>
      <w:proofErr w:type="spellEnd"/>
      <w:r w:rsidRPr="006E4DCA">
        <w:rPr>
          <w:iCs/>
          <w:szCs w:val="24"/>
        </w:rPr>
        <w:t>.</w:t>
      </w:r>
      <w:r w:rsidRPr="006E4DCA">
        <w:rPr>
          <w:i/>
          <w:iCs/>
          <w:szCs w:val="24"/>
        </w:rPr>
        <w:t xml:space="preserve"> </w:t>
      </w:r>
      <w:r w:rsidRPr="006E4DCA">
        <w:rPr>
          <w:szCs w:val="24"/>
        </w:rPr>
        <w:t xml:space="preserve">(pp. 187 – 196). </w:t>
      </w:r>
      <w:proofErr w:type="gramStart"/>
      <w:r w:rsidRPr="006E4DCA">
        <w:rPr>
          <w:szCs w:val="24"/>
        </w:rPr>
        <w:t xml:space="preserve">T.C. </w:t>
      </w:r>
      <w:proofErr w:type="spellStart"/>
      <w:r w:rsidRPr="006E4DCA">
        <w:rPr>
          <w:szCs w:val="24"/>
        </w:rPr>
        <w:t>Sağlık</w:t>
      </w:r>
      <w:proofErr w:type="spellEnd"/>
      <w:r w:rsidRPr="006E4DCA">
        <w:rPr>
          <w:szCs w:val="24"/>
        </w:rPr>
        <w:t xml:space="preserve"> </w:t>
      </w:r>
      <w:proofErr w:type="spellStart"/>
      <w:r w:rsidRPr="006E4DCA">
        <w:rPr>
          <w:szCs w:val="24"/>
        </w:rPr>
        <w:t>Bakanlığı</w:t>
      </w:r>
      <w:proofErr w:type="spellEnd"/>
      <w:r w:rsidRPr="006E4DCA">
        <w:rPr>
          <w:szCs w:val="24"/>
        </w:rPr>
        <w:t xml:space="preserve"> </w:t>
      </w:r>
      <w:proofErr w:type="spellStart"/>
      <w:r w:rsidRPr="006E4DCA">
        <w:rPr>
          <w:szCs w:val="24"/>
        </w:rPr>
        <w:t>Sağlık</w:t>
      </w:r>
      <w:proofErr w:type="spellEnd"/>
      <w:r w:rsidRPr="006E4DCA">
        <w:rPr>
          <w:szCs w:val="24"/>
        </w:rPr>
        <w:t xml:space="preserve"> </w:t>
      </w:r>
      <w:proofErr w:type="spellStart"/>
      <w:r w:rsidRPr="006E4DCA">
        <w:rPr>
          <w:szCs w:val="24"/>
        </w:rPr>
        <w:t>Hizmetleri</w:t>
      </w:r>
      <w:proofErr w:type="spellEnd"/>
      <w:r w:rsidRPr="006E4DCA">
        <w:rPr>
          <w:szCs w:val="24"/>
        </w:rPr>
        <w:t xml:space="preserve"> </w:t>
      </w:r>
      <w:proofErr w:type="spellStart"/>
      <w:r w:rsidRPr="006E4DCA">
        <w:rPr>
          <w:szCs w:val="24"/>
        </w:rPr>
        <w:t>Genel</w:t>
      </w:r>
      <w:proofErr w:type="spellEnd"/>
      <w:r w:rsidRPr="006E4DCA">
        <w:rPr>
          <w:szCs w:val="24"/>
        </w:rPr>
        <w:t xml:space="preserve"> </w:t>
      </w:r>
      <w:proofErr w:type="spellStart"/>
      <w:r w:rsidRPr="006E4DCA">
        <w:rPr>
          <w:szCs w:val="24"/>
        </w:rPr>
        <w:t>Müdürlüğü</w:t>
      </w:r>
      <w:proofErr w:type="spellEnd"/>
      <w:r w:rsidRPr="006E4DCA">
        <w:rPr>
          <w:szCs w:val="24"/>
        </w:rPr>
        <w:t>, Ankara, Turkey.</w:t>
      </w:r>
      <w:proofErr w:type="gramEnd"/>
    </w:p>
    <w:p w14:paraId="0C42EDAD" w14:textId="77777777" w:rsidR="003010BD" w:rsidRPr="006E4DCA" w:rsidRDefault="003010BD" w:rsidP="003010BD">
      <w:pPr>
        <w:pStyle w:val="BodyText"/>
        <w:spacing w:line="480" w:lineRule="auto"/>
        <w:ind w:left="720" w:hanging="720"/>
        <w:jc w:val="both"/>
        <w:rPr>
          <w:sz w:val="24"/>
          <w:szCs w:val="24"/>
          <w:lang w:val="en-GB"/>
        </w:rPr>
      </w:pPr>
      <w:proofErr w:type="gramStart"/>
      <w:r w:rsidRPr="006E4DCA">
        <w:rPr>
          <w:sz w:val="24"/>
          <w:szCs w:val="24"/>
          <w:lang w:val="en-GB"/>
        </w:rPr>
        <w:t xml:space="preserve">Browne, M.W., </w:t>
      </w:r>
      <w:proofErr w:type="spellStart"/>
      <w:r w:rsidRPr="006E4DCA">
        <w:rPr>
          <w:sz w:val="24"/>
          <w:szCs w:val="24"/>
          <w:lang w:val="en-GB"/>
        </w:rPr>
        <w:t>Cudeck</w:t>
      </w:r>
      <w:proofErr w:type="spellEnd"/>
      <w:r w:rsidRPr="006E4DCA">
        <w:rPr>
          <w:sz w:val="24"/>
          <w:szCs w:val="24"/>
          <w:lang w:val="en-GB"/>
        </w:rPr>
        <w:t xml:space="preserve">, R., </w:t>
      </w:r>
      <w:proofErr w:type="spellStart"/>
      <w:r w:rsidRPr="006E4DCA">
        <w:rPr>
          <w:sz w:val="24"/>
          <w:szCs w:val="24"/>
          <w:lang w:val="en-GB"/>
        </w:rPr>
        <w:t>Bollen</w:t>
      </w:r>
      <w:proofErr w:type="spellEnd"/>
      <w:r w:rsidRPr="006E4DCA">
        <w:rPr>
          <w:sz w:val="24"/>
          <w:szCs w:val="24"/>
          <w:lang w:val="en-GB"/>
        </w:rPr>
        <w:t>, K.A., Long, J.S., 1993.</w:t>
      </w:r>
      <w:proofErr w:type="gramEnd"/>
      <w:r w:rsidRPr="006E4DCA">
        <w:rPr>
          <w:sz w:val="24"/>
          <w:szCs w:val="24"/>
          <w:lang w:val="en-GB"/>
        </w:rPr>
        <w:t xml:space="preserve"> Alternative ways of assessing model fit. </w:t>
      </w:r>
      <w:proofErr w:type="gramStart"/>
      <w:r w:rsidRPr="006E4DCA">
        <w:rPr>
          <w:sz w:val="24"/>
          <w:szCs w:val="24"/>
          <w:lang w:val="en-GB"/>
        </w:rPr>
        <w:t>Sage Focus Editions 154, 136-136.</w:t>
      </w:r>
      <w:proofErr w:type="gramEnd"/>
      <w:r w:rsidRPr="006E4DCA">
        <w:rPr>
          <w:sz w:val="24"/>
          <w:szCs w:val="24"/>
          <w:lang w:val="en-GB"/>
        </w:rPr>
        <w:t xml:space="preserve"> </w:t>
      </w:r>
    </w:p>
    <w:p w14:paraId="7EA4B37A" w14:textId="77777777" w:rsidR="003010BD" w:rsidRPr="006E4DCA" w:rsidRDefault="003010BD" w:rsidP="003010BD">
      <w:pPr>
        <w:pStyle w:val="BodyText"/>
        <w:spacing w:line="480" w:lineRule="auto"/>
        <w:ind w:left="720" w:hanging="720"/>
        <w:jc w:val="both"/>
        <w:rPr>
          <w:sz w:val="24"/>
          <w:szCs w:val="24"/>
          <w:lang w:val="en-GB"/>
        </w:rPr>
      </w:pPr>
      <w:r w:rsidRPr="006E4DCA">
        <w:rPr>
          <w:sz w:val="24"/>
          <w:szCs w:val="22"/>
          <w:lang w:val="en-GB" w:eastAsia="ja-JP"/>
        </w:rPr>
        <w:t xml:space="preserve">Clark, A., Tran, C., Weiss, A., Caselli, G., </w:t>
      </w:r>
      <w:proofErr w:type="spellStart"/>
      <w:r w:rsidRPr="006E4DCA">
        <w:rPr>
          <w:sz w:val="24"/>
          <w:szCs w:val="22"/>
          <w:lang w:val="en-GB" w:eastAsia="ja-JP"/>
        </w:rPr>
        <w:t>Nikčević</w:t>
      </w:r>
      <w:proofErr w:type="spellEnd"/>
      <w:r w:rsidRPr="006E4DCA">
        <w:rPr>
          <w:sz w:val="24"/>
          <w:szCs w:val="22"/>
          <w:lang w:val="en-GB" w:eastAsia="ja-JP"/>
        </w:rPr>
        <w:t xml:space="preserve">, A.V., Spada, M.M., 2012. </w:t>
      </w:r>
      <w:proofErr w:type="gramStart"/>
      <w:r w:rsidRPr="006E4DCA">
        <w:rPr>
          <w:sz w:val="24"/>
          <w:szCs w:val="22"/>
          <w:lang w:val="en-GB" w:eastAsia="ja-JP"/>
        </w:rPr>
        <w:t>The Big 5</w:t>
      </w:r>
      <w:r w:rsidRPr="006E4DCA">
        <w:rPr>
          <w:sz w:val="24"/>
          <w:szCs w:val="24"/>
          <w:lang w:val="en-GB"/>
        </w:rPr>
        <w:t xml:space="preserve"> </w:t>
      </w:r>
      <w:r w:rsidRPr="006E4DCA">
        <w:rPr>
          <w:sz w:val="24"/>
          <w:szCs w:val="22"/>
          <w:lang w:val="en-GB" w:eastAsia="ja-JP"/>
        </w:rPr>
        <w:t>facets of personality and metacognitions as predictors of level of alcohol consumption in binge drinking university students.</w:t>
      </w:r>
      <w:proofErr w:type="gramEnd"/>
      <w:r w:rsidRPr="006E4DCA">
        <w:rPr>
          <w:sz w:val="24"/>
          <w:szCs w:val="22"/>
          <w:lang w:val="en-GB" w:eastAsia="ja-JP"/>
        </w:rPr>
        <w:t xml:space="preserve"> Addict. </w:t>
      </w:r>
      <w:proofErr w:type="spellStart"/>
      <w:proofErr w:type="gramStart"/>
      <w:r w:rsidRPr="006E4DCA">
        <w:rPr>
          <w:sz w:val="24"/>
          <w:szCs w:val="22"/>
          <w:lang w:val="en-GB" w:eastAsia="ja-JP"/>
        </w:rPr>
        <w:t>Behav</w:t>
      </w:r>
      <w:proofErr w:type="spellEnd"/>
      <w:r w:rsidRPr="006E4DCA">
        <w:rPr>
          <w:sz w:val="24"/>
          <w:szCs w:val="22"/>
          <w:lang w:val="en-GB" w:eastAsia="ja-JP"/>
        </w:rPr>
        <w:t>.</w:t>
      </w:r>
      <w:proofErr w:type="gramEnd"/>
      <w:r w:rsidRPr="006E4DCA">
        <w:rPr>
          <w:sz w:val="24"/>
          <w:szCs w:val="22"/>
          <w:lang w:val="en-GB" w:eastAsia="ja-JP"/>
        </w:rPr>
        <w:t xml:space="preserve"> 37, 537-540</w:t>
      </w:r>
    </w:p>
    <w:p w14:paraId="0F8640EA" w14:textId="77777777" w:rsidR="003010BD" w:rsidRPr="006E4DCA" w:rsidRDefault="003010BD" w:rsidP="003010BD">
      <w:pPr>
        <w:pStyle w:val="BodyText"/>
        <w:spacing w:line="480" w:lineRule="auto"/>
        <w:ind w:left="720" w:hanging="720"/>
        <w:jc w:val="both"/>
        <w:rPr>
          <w:sz w:val="24"/>
          <w:szCs w:val="24"/>
          <w:lang w:val="en-GB"/>
        </w:rPr>
      </w:pPr>
      <w:r w:rsidRPr="006E4DCA">
        <w:rPr>
          <w:sz w:val="24"/>
          <w:szCs w:val="24"/>
          <w:lang w:val="en-GB"/>
        </w:rPr>
        <w:t xml:space="preserve">Heatherton, T.F., Kozlowski, L.T., </w:t>
      </w:r>
      <w:proofErr w:type="spellStart"/>
      <w:r w:rsidRPr="006E4DCA">
        <w:rPr>
          <w:sz w:val="24"/>
          <w:szCs w:val="24"/>
          <w:lang w:val="en-GB"/>
        </w:rPr>
        <w:t>Frecker</w:t>
      </w:r>
      <w:proofErr w:type="spellEnd"/>
      <w:r w:rsidRPr="006E4DCA">
        <w:rPr>
          <w:sz w:val="24"/>
          <w:szCs w:val="24"/>
          <w:lang w:val="en-GB"/>
        </w:rPr>
        <w:t xml:space="preserve">, R.C., </w:t>
      </w:r>
      <w:proofErr w:type="spellStart"/>
      <w:r w:rsidRPr="006E4DCA">
        <w:rPr>
          <w:sz w:val="24"/>
          <w:szCs w:val="24"/>
          <w:lang w:val="en-GB"/>
        </w:rPr>
        <w:t>Fagerstrom</w:t>
      </w:r>
      <w:proofErr w:type="spellEnd"/>
      <w:r w:rsidRPr="006E4DCA">
        <w:rPr>
          <w:sz w:val="24"/>
          <w:szCs w:val="24"/>
          <w:lang w:val="en-GB"/>
        </w:rPr>
        <w:t xml:space="preserve">, K.O., 1991. The </w:t>
      </w:r>
      <w:proofErr w:type="spellStart"/>
      <w:r w:rsidRPr="006E4DCA">
        <w:rPr>
          <w:sz w:val="24"/>
          <w:szCs w:val="24"/>
          <w:lang w:val="en-GB"/>
        </w:rPr>
        <w:t>Fagerstrom</w:t>
      </w:r>
      <w:proofErr w:type="spellEnd"/>
      <w:r w:rsidRPr="006E4DCA">
        <w:rPr>
          <w:sz w:val="24"/>
          <w:szCs w:val="24"/>
          <w:lang w:val="en-GB"/>
        </w:rPr>
        <w:t xml:space="preserve"> Test for Nicotine Dependence: a revision of the </w:t>
      </w:r>
      <w:proofErr w:type="spellStart"/>
      <w:r w:rsidRPr="006E4DCA">
        <w:rPr>
          <w:sz w:val="24"/>
          <w:szCs w:val="24"/>
          <w:lang w:val="en-GB"/>
        </w:rPr>
        <w:t>Fagerstrom</w:t>
      </w:r>
      <w:proofErr w:type="spellEnd"/>
      <w:r w:rsidRPr="006E4DCA">
        <w:rPr>
          <w:sz w:val="24"/>
          <w:szCs w:val="24"/>
          <w:lang w:val="en-GB"/>
        </w:rPr>
        <w:t xml:space="preserve"> Tolerance Questionnaire</w:t>
      </w:r>
      <w:r w:rsidRPr="006E4DCA">
        <w:rPr>
          <w:i/>
          <w:sz w:val="24"/>
          <w:szCs w:val="24"/>
          <w:lang w:val="en-GB"/>
        </w:rPr>
        <w:t xml:space="preserve">. </w:t>
      </w:r>
      <w:r w:rsidRPr="006E4DCA">
        <w:rPr>
          <w:sz w:val="24"/>
          <w:szCs w:val="24"/>
          <w:lang w:val="en-GB"/>
        </w:rPr>
        <w:t xml:space="preserve">Brit. J. Addict. 86, 1119-1127. </w:t>
      </w:r>
    </w:p>
    <w:p w14:paraId="22564268" w14:textId="77777777" w:rsidR="003010BD" w:rsidRPr="006E4DCA" w:rsidRDefault="003010BD" w:rsidP="003010BD">
      <w:pPr>
        <w:pStyle w:val="EndNoteBibliography"/>
        <w:ind w:left="720" w:hanging="720"/>
        <w:rPr>
          <w:noProof/>
        </w:rPr>
      </w:pPr>
      <w:r w:rsidRPr="006E4DCA">
        <w:rPr>
          <w:noProof/>
        </w:rPr>
        <w:t>IBM (2017). IBM SPSS Statistics: Version 24: IBM Corporation Chicago, IL.</w:t>
      </w:r>
    </w:p>
    <w:p w14:paraId="623E61AD" w14:textId="77777777" w:rsidR="003010BD" w:rsidRPr="006E4DCA" w:rsidRDefault="003010BD" w:rsidP="003010BD">
      <w:pPr>
        <w:pStyle w:val="BodyText"/>
        <w:spacing w:line="480" w:lineRule="auto"/>
        <w:ind w:left="720" w:hanging="720"/>
        <w:jc w:val="both"/>
        <w:rPr>
          <w:i/>
          <w:sz w:val="24"/>
          <w:szCs w:val="24"/>
          <w:lang w:val="en-GB"/>
        </w:rPr>
      </w:pPr>
      <w:proofErr w:type="spellStart"/>
      <w:proofErr w:type="gramStart"/>
      <w:r w:rsidRPr="006E4DCA">
        <w:rPr>
          <w:sz w:val="24"/>
          <w:szCs w:val="24"/>
          <w:lang w:val="en-GB"/>
        </w:rPr>
        <w:t>Jakab</w:t>
      </w:r>
      <w:proofErr w:type="spellEnd"/>
      <w:r w:rsidRPr="006E4DCA">
        <w:rPr>
          <w:sz w:val="24"/>
          <w:szCs w:val="24"/>
          <w:lang w:val="en-GB"/>
        </w:rPr>
        <w:t xml:space="preserve">, M., Hawkins, L., Loring, B., </w:t>
      </w:r>
      <w:proofErr w:type="spellStart"/>
      <w:r w:rsidRPr="006E4DCA">
        <w:rPr>
          <w:sz w:val="24"/>
          <w:szCs w:val="24"/>
          <w:lang w:val="en-GB"/>
        </w:rPr>
        <w:t>Tello</w:t>
      </w:r>
      <w:proofErr w:type="spellEnd"/>
      <w:r w:rsidRPr="006E4DCA">
        <w:rPr>
          <w:sz w:val="24"/>
          <w:szCs w:val="24"/>
          <w:lang w:val="en-GB"/>
        </w:rPr>
        <w:t xml:space="preserve">, J., </w:t>
      </w:r>
      <w:proofErr w:type="spellStart"/>
      <w:r w:rsidRPr="006E4DCA">
        <w:rPr>
          <w:sz w:val="24"/>
          <w:szCs w:val="24"/>
          <w:lang w:val="en-GB"/>
        </w:rPr>
        <w:t>Ergüder</w:t>
      </w:r>
      <w:proofErr w:type="spellEnd"/>
      <w:r w:rsidRPr="006E4DCA">
        <w:rPr>
          <w:sz w:val="24"/>
          <w:szCs w:val="24"/>
          <w:lang w:val="en-GB"/>
        </w:rPr>
        <w:t xml:space="preserve">, T., </w:t>
      </w:r>
      <w:proofErr w:type="spellStart"/>
      <w:r w:rsidRPr="006E4DCA">
        <w:rPr>
          <w:sz w:val="24"/>
          <w:szCs w:val="24"/>
          <w:lang w:val="en-GB"/>
        </w:rPr>
        <w:t>ve</w:t>
      </w:r>
      <w:proofErr w:type="spellEnd"/>
      <w:r w:rsidRPr="006E4DCA">
        <w:rPr>
          <w:sz w:val="24"/>
          <w:szCs w:val="24"/>
          <w:lang w:val="en-GB"/>
        </w:rPr>
        <w:t xml:space="preserve"> </w:t>
      </w:r>
      <w:proofErr w:type="spellStart"/>
      <w:r w:rsidRPr="006E4DCA">
        <w:rPr>
          <w:sz w:val="24"/>
          <w:szCs w:val="24"/>
          <w:lang w:val="en-GB"/>
        </w:rPr>
        <w:t>Kontas</w:t>
      </w:r>
      <w:proofErr w:type="spellEnd"/>
      <w:r w:rsidRPr="006E4DCA">
        <w:rPr>
          <w:sz w:val="24"/>
          <w:szCs w:val="24"/>
          <w:lang w:val="en-GB"/>
        </w:rPr>
        <w:t>, M., 2014.</w:t>
      </w:r>
      <w:proofErr w:type="gramEnd"/>
      <w:r w:rsidRPr="006E4DCA">
        <w:rPr>
          <w:sz w:val="24"/>
          <w:szCs w:val="24"/>
          <w:lang w:val="en-GB"/>
        </w:rPr>
        <w:t xml:space="preserve"> Better </w:t>
      </w:r>
      <w:proofErr w:type="spellStart"/>
      <w:r w:rsidRPr="006E4DCA">
        <w:rPr>
          <w:sz w:val="24"/>
          <w:szCs w:val="24"/>
          <w:lang w:val="en-GB"/>
        </w:rPr>
        <w:t>noncommunicable</w:t>
      </w:r>
      <w:proofErr w:type="spellEnd"/>
      <w:r w:rsidRPr="006E4DCA">
        <w:rPr>
          <w:sz w:val="24"/>
          <w:szCs w:val="24"/>
          <w:lang w:val="en-GB"/>
        </w:rPr>
        <w:t xml:space="preserve"> disease outcomes: Challenges and opportunities for health systems. </w:t>
      </w:r>
      <w:proofErr w:type="gramStart"/>
      <w:r w:rsidRPr="006E4DCA">
        <w:rPr>
          <w:i/>
          <w:iCs/>
          <w:sz w:val="24"/>
          <w:szCs w:val="24"/>
          <w:lang w:val="en-GB"/>
        </w:rPr>
        <w:t>World Health Organization Regional Office for Europe</w:t>
      </w:r>
      <w:r w:rsidRPr="006E4DCA">
        <w:rPr>
          <w:i/>
          <w:sz w:val="24"/>
          <w:szCs w:val="24"/>
          <w:lang w:val="en-GB"/>
        </w:rPr>
        <w:t xml:space="preserve"> 2.</w:t>
      </w:r>
      <w:proofErr w:type="gramEnd"/>
    </w:p>
    <w:p w14:paraId="0E361825" w14:textId="77777777" w:rsidR="003010BD" w:rsidRPr="006E4DCA" w:rsidRDefault="003010BD" w:rsidP="003010BD">
      <w:pPr>
        <w:ind w:left="720" w:hanging="720"/>
        <w:rPr>
          <w:color w:val="000000"/>
          <w:szCs w:val="24"/>
        </w:rPr>
      </w:pPr>
      <w:r w:rsidRPr="006E4DCA">
        <w:rPr>
          <w:color w:val="000000"/>
          <w:szCs w:val="24"/>
        </w:rPr>
        <w:t xml:space="preserve">Lindberg, A., </w:t>
      </w:r>
      <w:proofErr w:type="spellStart"/>
      <w:r w:rsidRPr="006E4DCA">
        <w:rPr>
          <w:color w:val="000000"/>
          <w:szCs w:val="24"/>
        </w:rPr>
        <w:t>Fernie</w:t>
      </w:r>
      <w:proofErr w:type="spellEnd"/>
      <w:r w:rsidRPr="006E4DCA">
        <w:rPr>
          <w:color w:val="000000"/>
          <w:szCs w:val="24"/>
        </w:rPr>
        <w:t xml:space="preserve">, B.A., Spada, M. M., 2011. </w:t>
      </w:r>
      <w:proofErr w:type="gramStart"/>
      <w:r w:rsidRPr="006E4DCA">
        <w:rPr>
          <w:color w:val="000000"/>
          <w:szCs w:val="24"/>
        </w:rPr>
        <w:t>Metacognitions in problem gambling.</w:t>
      </w:r>
      <w:proofErr w:type="gramEnd"/>
      <w:r w:rsidRPr="006E4DCA">
        <w:rPr>
          <w:color w:val="000000"/>
          <w:szCs w:val="24"/>
        </w:rPr>
        <w:t xml:space="preserve"> J. </w:t>
      </w:r>
      <w:proofErr w:type="spellStart"/>
      <w:r w:rsidRPr="006E4DCA">
        <w:rPr>
          <w:color w:val="000000"/>
          <w:szCs w:val="24"/>
        </w:rPr>
        <w:t>Gambl</w:t>
      </w:r>
      <w:proofErr w:type="spellEnd"/>
      <w:r w:rsidRPr="006E4DCA">
        <w:rPr>
          <w:color w:val="000000"/>
          <w:szCs w:val="24"/>
        </w:rPr>
        <w:t>. Stud. 27</w:t>
      </w:r>
      <w:r w:rsidRPr="006E4DCA">
        <w:rPr>
          <w:i/>
          <w:color w:val="000000"/>
          <w:szCs w:val="24"/>
        </w:rPr>
        <w:t xml:space="preserve">, </w:t>
      </w:r>
      <w:r w:rsidRPr="006E4DCA">
        <w:rPr>
          <w:color w:val="000000"/>
          <w:szCs w:val="24"/>
        </w:rPr>
        <w:t>73-81.</w:t>
      </w:r>
    </w:p>
    <w:p w14:paraId="4C49054E" w14:textId="77777777" w:rsidR="003010BD" w:rsidRPr="006E4DCA" w:rsidRDefault="003010BD" w:rsidP="003010BD">
      <w:pPr>
        <w:pStyle w:val="EndNoteBibliography"/>
        <w:ind w:left="720" w:hanging="720"/>
        <w:rPr>
          <w:noProof/>
        </w:rPr>
      </w:pPr>
      <w:r w:rsidRPr="006E4DCA">
        <w:rPr>
          <w:noProof/>
        </w:rPr>
        <w:t xml:space="preserve">Muthén, L., &amp; Muthén, B. (2010). Mplus software (version 6). </w:t>
      </w:r>
      <w:r w:rsidRPr="006E4DCA">
        <w:rPr>
          <w:i/>
          <w:noProof/>
        </w:rPr>
        <w:t>Los Angeles, CA: Muthén &amp; Muthén</w:t>
      </w:r>
      <w:r w:rsidRPr="006E4DCA">
        <w:rPr>
          <w:noProof/>
        </w:rPr>
        <w:t xml:space="preserve">. </w:t>
      </w:r>
    </w:p>
    <w:p w14:paraId="285D4E37" w14:textId="77777777" w:rsidR="003010BD" w:rsidRPr="006E4DCA" w:rsidRDefault="003010BD" w:rsidP="003010BD">
      <w:pPr>
        <w:pStyle w:val="BodyText"/>
        <w:spacing w:line="480" w:lineRule="auto"/>
        <w:ind w:left="720" w:hanging="720"/>
        <w:jc w:val="both"/>
        <w:rPr>
          <w:sz w:val="24"/>
          <w:szCs w:val="24"/>
          <w:lang w:val="en-GB"/>
        </w:rPr>
      </w:pPr>
      <w:proofErr w:type="spellStart"/>
      <w:r w:rsidRPr="006E4DCA">
        <w:rPr>
          <w:sz w:val="24"/>
          <w:szCs w:val="24"/>
          <w:lang w:val="en-GB"/>
        </w:rPr>
        <w:lastRenderedPageBreak/>
        <w:t>Nikčević</w:t>
      </w:r>
      <w:proofErr w:type="spellEnd"/>
      <w:r w:rsidRPr="006E4DCA">
        <w:rPr>
          <w:sz w:val="24"/>
          <w:szCs w:val="24"/>
          <w:lang w:val="en-GB"/>
        </w:rPr>
        <w:t xml:space="preserve">, A.V., </w:t>
      </w:r>
      <w:proofErr w:type="spellStart"/>
      <w:r w:rsidRPr="006E4DCA">
        <w:rPr>
          <w:sz w:val="24"/>
          <w:szCs w:val="24"/>
          <w:lang w:val="en-GB"/>
        </w:rPr>
        <w:t>Caselli</w:t>
      </w:r>
      <w:proofErr w:type="spellEnd"/>
      <w:r w:rsidRPr="006E4DCA">
        <w:rPr>
          <w:sz w:val="24"/>
          <w:szCs w:val="24"/>
          <w:lang w:val="en-GB"/>
        </w:rPr>
        <w:t xml:space="preserve">, G., Wells, A., Spada, M.M., 2015. The metacognitions about smoking questionnaire: development and psychometric properties. </w:t>
      </w:r>
      <w:r w:rsidRPr="006E4DCA">
        <w:rPr>
          <w:sz w:val="24"/>
          <w:szCs w:val="22"/>
          <w:lang w:val="en-GB" w:eastAsia="ja-JP"/>
        </w:rPr>
        <w:t xml:space="preserve">Addict. </w:t>
      </w:r>
      <w:proofErr w:type="spellStart"/>
      <w:proofErr w:type="gramStart"/>
      <w:r w:rsidRPr="006E4DCA">
        <w:rPr>
          <w:sz w:val="24"/>
          <w:szCs w:val="22"/>
          <w:lang w:val="en-GB" w:eastAsia="ja-JP"/>
        </w:rPr>
        <w:t>Behav</w:t>
      </w:r>
      <w:proofErr w:type="spellEnd"/>
      <w:r w:rsidRPr="006E4DCA">
        <w:rPr>
          <w:sz w:val="24"/>
          <w:szCs w:val="22"/>
          <w:lang w:val="en-GB" w:eastAsia="ja-JP"/>
        </w:rPr>
        <w:t>.</w:t>
      </w:r>
      <w:proofErr w:type="gramEnd"/>
      <w:r w:rsidRPr="006E4DCA">
        <w:rPr>
          <w:sz w:val="24"/>
          <w:szCs w:val="22"/>
          <w:lang w:val="en-GB" w:eastAsia="ja-JP"/>
        </w:rPr>
        <w:t xml:space="preserve"> 44</w:t>
      </w:r>
      <w:r w:rsidRPr="006E4DCA">
        <w:rPr>
          <w:sz w:val="24"/>
          <w:szCs w:val="24"/>
          <w:lang w:val="en-GB"/>
        </w:rPr>
        <w:t>, 102-107.</w:t>
      </w:r>
    </w:p>
    <w:p w14:paraId="1E8E5565" w14:textId="77777777" w:rsidR="003010BD" w:rsidRPr="006E4DCA" w:rsidRDefault="003010BD" w:rsidP="003010BD">
      <w:pPr>
        <w:ind w:left="720" w:hanging="720"/>
        <w:rPr>
          <w:iCs/>
        </w:rPr>
      </w:pPr>
      <w:proofErr w:type="spellStart"/>
      <w:r w:rsidRPr="006E4DCA">
        <w:t>Nikčević</w:t>
      </w:r>
      <w:proofErr w:type="spellEnd"/>
      <w:r w:rsidRPr="006E4DCA">
        <w:t xml:space="preserve">, A.V., Spada, M. M., 2008. </w:t>
      </w:r>
      <w:proofErr w:type="gramStart"/>
      <w:r w:rsidRPr="006E4DCA">
        <w:t>Metacognitions across the continuum of smoking dependence.</w:t>
      </w:r>
      <w:proofErr w:type="gramEnd"/>
      <w:r w:rsidRPr="006E4DCA">
        <w:t xml:space="preserve"> </w:t>
      </w:r>
      <w:proofErr w:type="spellStart"/>
      <w:proofErr w:type="gramStart"/>
      <w:r w:rsidRPr="006E4DCA">
        <w:t>Behav</w:t>
      </w:r>
      <w:proofErr w:type="spellEnd"/>
      <w:r w:rsidRPr="006E4DCA">
        <w:t>.</w:t>
      </w:r>
      <w:proofErr w:type="gramEnd"/>
      <w:r w:rsidRPr="006E4DCA">
        <w:t xml:space="preserve"> </w:t>
      </w:r>
      <w:proofErr w:type="spellStart"/>
      <w:proofErr w:type="gramStart"/>
      <w:r w:rsidRPr="006E4DCA">
        <w:t>Cogn</w:t>
      </w:r>
      <w:proofErr w:type="spellEnd"/>
      <w:r w:rsidRPr="006E4DCA">
        <w:t>.</w:t>
      </w:r>
      <w:proofErr w:type="gramEnd"/>
      <w:r w:rsidRPr="006E4DCA">
        <w:t xml:space="preserve"> </w:t>
      </w:r>
      <w:proofErr w:type="spellStart"/>
      <w:proofErr w:type="gramStart"/>
      <w:r w:rsidRPr="006E4DCA">
        <w:t>Psychoth</w:t>
      </w:r>
      <w:proofErr w:type="spellEnd"/>
      <w:r w:rsidRPr="006E4DCA">
        <w:t>.</w:t>
      </w:r>
      <w:proofErr w:type="gramEnd"/>
      <w:r w:rsidRPr="006E4DCA">
        <w:t xml:space="preserve"> 36,</w:t>
      </w:r>
      <w:r w:rsidRPr="006E4DCA">
        <w:rPr>
          <w:i/>
        </w:rPr>
        <w:t xml:space="preserve"> </w:t>
      </w:r>
      <w:r w:rsidRPr="006E4DCA">
        <w:rPr>
          <w:iCs/>
        </w:rPr>
        <w:t>333-339.</w:t>
      </w:r>
    </w:p>
    <w:p w14:paraId="556ECD1F" w14:textId="77777777" w:rsidR="003010BD" w:rsidRPr="006E4DCA" w:rsidRDefault="003010BD" w:rsidP="003010BD">
      <w:pPr>
        <w:ind w:left="720" w:hanging="720"/>
      </w:pPr>
      <w:proofErr w:type="spellStart"/>
      <w:r w:rsidRPr="006E4DCA">
        <w:rPr>
          <w:color w:val="000000"/>
        </w:rPr>
        <w:t>Nikčević</w:t>
      </w:r>
      <w:proofErr w:type="spellEnd"/>
      <w:r w:rsidRPr="006E4DCA">
        <w:rPr>
          <w:color w:val="000000"/>
        </w:rPr>
        <w:t xml:space="preserve">, A.V., Spada, M.M., 2010. Metacognitions about smoking: a preliminary investigation. </w:t>
      </w:r>
      <w:proofErr w:type="spellStart"/>
      <w:proofErr w:type="gramStart"/>
      <w:r w:rsidRPr="006E4DCA">
        <w:rPr>
          <w:color w:val="000000"/>
        </w:rPr>
        <w:t>Clin</w:t>
      </w:r>
      <w:proofErr w:type="spellEnd"/>
      <w:r w:rsidRPr="006E4DCA">
        <w:rPr>
          <w:color w:val="000000"/>
        </w:rPr>
        <w:t>.</w:t>
      </w:r>
      <w:proofErr w:type="gramEnd"/>
      <w:r w:rsidRPr="006E4DCA">
        <w:rPr>
          <w:color w:val="000000"/>
        </w:rPr>
        <w:t xml:space="preserve"> Psychol. </w:t>
      </w:r>
      <w:proofErr w:type="spellStart"/>
      <w:r w:rsidRPr="006E4DCA">
        <w:rPr>
          <w:color w:val="000000"/>
        </w:rPr>
        <w:t>Psychot</w:t>
      </w:r>
      <w:proofErr w:type="spellEnd"/>
      <w:r w:rsidRPr="006E4DCA">
        <w:rPr>
          <w:color w:val="000000"/>
        </w:rPr>
        <w:t>. 17</w:t>
      </w:r>
      <w:r w:rsidRPr="006E4DCA">
        <w:rPr>
          <w:i/>
          <w:color w:val="000000"/>
        </w:rPr>
        <w:t xml:space="preserve">, </w:t>
      </w:r>
      <w:r w:rsidRPr="006E4DCA">
        <w:rPr>
          <w:color w:val="000000"/>
        </w:rPr>
        <w:t>536-542.</w:t>
      </w:r>
    </w:p>
    <w:p w14:paraId="16BFF867" w14:textId="77777777" w:rsidR="003010BD" w:rsidRPr="006E4DCA" w:rsidRDefault="003010BD" w:rsidP="003010BD">
      <w:pPr>
        <w:pStyle w:val="BodyText"/>
        <w:spacing w:line="480" w:lineRule="auto"/>
        <w:ind w:left="720" w:hanging="720"/>
        <w:jc w:val="both"/>
        <w:rPr>
          <w:sz w:val="24"/>
          <w:szCs w:val="24"/>
          <w:lang w:val="en-GB"/>
        </w:rPr>
      </w:pPr>
      <w:proofErr w:type="spellStart"/>
      <w:r w:rsidRPr="006E4DCA">
        <w:rPr>
          <w:sz w:val="24"/>
          <w:szCs w:val="24"/>
          <w:lang w:val="en-GB"/>
        </w:rPr>
        <w:t>Normann</w:t>
      </w:r>
      <w:proofErr w:type="spellEnd"/>
      <w:r w:rsidRPr="006E4DCA">
        <w:rPr>
          <w:sz w:val="24"/>
          <w:szCs w:val="24"/>
          <w:lang w:val="en-GB"/>
        </w:rPr>
        <w:t xml:space="preserve">, N., van </w:t>
      </w:r>
      <w:proofErr w:type="spellStart"/>
      <w:r w:rsidRPr="006E4DCA">
        <w:rPr>
          <w:sz w:val="24"/>
          <w:szCs w:val="24"/>
          <w:lang w:val="en-GB"/>
        </w:rPr>
        <w:t>Emmerik</w:t>
      </w:r>
      <w:proofErr w:type="spellEnd"/>
      <w:r w:rsidRPr="006E4DCA">
        <w:rPr>
          <w:sz w:val="24"/>
          <w:szCs w:val="24"/>
          <w:lang w:val="en-GB"/>
        </w:rPr>
        <w:t xml:space="preserve">, A.A., </w:t>
      </w:r>
      <w:proofErr w:type="spellStart"/>
      <w:r w:rsidRPr="006E4DCA">
        <w:rPr>
          <w:sz w:val="24"/>
          <w:szCs w:val="24"/>
          <w:lang w:val="en-GB"/>
        </w:rPr>
        <w:t>Morina</w:t>
      </w:r>
      <w:proofErr w:type="spellEnd"/>
      <w:r w:rsidRPr="006E4DCA">
        <w:rPr>
          <w:sz w:val="24"/>
          <w:szCs w:val="24"/>
          <w:lang w:val="en-GB"/>
        </w:rPr>
        <w:t>, N., 2014. The efficacy of metacognitive therapy for anxiety and depression: a meta-analytic review. Depress. Anxiety 31, 402-411.</w:t>
      </w:r>
    </w:p>
    <w:p w14:paraId="5DA94E99" w14:textId="77777777" w:rsidR="003010BD" w:rsidRPr="006E4DCA" w:rsidRDefault="003010BD" w:rsidP="003010BD">
      <w:pPr>
        <w:pStyle w:val="BodyText"/>
        <w:spacing w:line="480" w:lineRule="auto"/>
        <w:ind w:left="720" w:hanging="720"/>
        <w:jc w:val="both"/>
        <w:rPr>
          <w:sz w:val="24"/>
          <w:szCs w:val="24"/>
          <w:lang w:val="en-GB"/>
        </w:rPr>
      </w:pPr>
      <w:proofErr w:type="spellStart"/>
      <w:r w:rsidRPr="006E4DCA">
        <w:rPr>
          <w:sz w:val="24"/>
          <w:szCs w:val="24"/>
          <w:lang w:val="en-GB"/>
        </w:rPr>
        <w:t>Nosen</w:t>
      </w:r>
      <w:proofErr w:type="spellEnd"/>
      <w:r w:rsidRPr="006E4DCA">
        <w:rPr>
          <w:sz w:val="24"/>
          <w:szCs w:val="24"/>
          <w:lang w:val="en-GB"/>
        </w:rPr>
        <w:t xml:space="preserve">, E., Woody, S.R., 2014. Acceptance of cravings: how smoking cessation experiences affect craving beliefs. </w:t>
      </w:r>
      <w:proofErr w:type="spellStart"/>
      <w:proofErr w:type="gramStart"/>
      <w:r w:rsidRPr="006E4DCA">
        <w:rPr>
          <w:sz w:val="24"/>
          <w:szCs w:val="24"/>
          <w:lang w:val="en-GB"/>
        </w:rPr>
        <w:t>Behav</w:t>
      </w:r>
      <w:proofErr w:type="spellEnd"/>
      <w:r w:rsidRPr="006E4DCA">
        <w:rPr>
          <w:sz w:val="24"/>
          <w:szCs w:val="24"/>
          <w:lang w:val="en-GB"/>
        </w:rPr>
        <w:t>.</w:t>
      </w:r>
      <w:proofErr w:type="gramEnd"/>
      <w:r w:rsidRPr="006E4DCA">
        <w:rPr>
          <w:sz w:val="24"/>
          <w:szCs w:val="24"/>
          <w:lang w:val="en-GB"/>
        </w:rPr>
        <w:t xml:space="preserve"> Res. </w:t>
      </w:r>
      <w:proofErr w:type="spellStart"/>
      <w:r w:rsidRPr="006E4DCA">
        <w:rPr>
          <w:sz w:val="24"/>
          <w:szCs w:val="24"/>
          <w:lang w:val="en-GB"/>
        </w:rPr>
        <w:t>Ther</w:t>
      </w:r>
      <w:proofErr w:type="spellEnd"/>
      <w:r w:rsidRPr="006E4DCA">
        <w:rPr>
          <w:sz w:val="24"/>
          <w:szCs w:val="24"/>
          <w:lang w:val="en-GB"/>
        </w:rPr>
        <w:t>. 59, 71-81.</w:t>
      </w:r>
    </w:p>
    <w:p w14:paraId="0460A4EC" w14:textId="77777777" w:rsidR="003010BD" w:rsidRPr="006E4DCA" w:rsidRDefault="003010BD" w:rsidP="003010BD">
      <w:pPr>
        <w:pStyle w:val="BodyText"/>
        <w:spacing w:line="480" w:lineRule="auto"/>
        <w:ind w:left="720" w:hanging="720"/>
        <w:jc w:val="both"/>
        <w:rPr>
          <w:sz w:val="24"/>
          <w:szCs w:val="24"/>
          <w:lang w:val="en-GB"/>
        </w:rPr>
      </w:pPr>
      <w:bookmarkStart w:id="2" w:name="_GoBack"/>
      <w:bookmarkEnd w:id="2"/>
      <w:proofErr w:type="spellStart"/>
      <w:proofErr w:type="gramStart"/>
      <w:r w:rsidRPr="006E4DCA">
        <w:rPr>
          <w:sz w:val="24"/>
          <w:szCs w:val="24"/>
          <w:lang w:val="en-GB"/>
        </w:rPr>
        <w:t>Schermelleh</w:t>
      </w:r>
      <w:proofErr w:type="spellEnd"/>
      <w:r w:rsidRPr="006E4DCA">
        <w:rPr>
          <w:sz w:val="24"/>
          <w:szCs w:val="24"/>
          <w:lang w:val="en-GB"/>
        </w:rPr>
        <w:t xml:space="preserve">-Engel, K., </w:t>
      </w:r>
      <w:proofErr w:type="spellStart"/>
      <w:r w:rsidRPr="006E4DCA">
        <w:rPr>
          <w:sz w:val="24"/>
          <w:szCs w:val="24"/>
          <w:lang w:val="en-GB"/>
        </w:rPr>
        <w:t>Moosbrugger</w:t>
      </w:r>
      <w:proofErr w:type="spellEnd"/>
      <w:r w:rsidRPr="006E4DCA">
        <w:rPr>
          <w:sz w:val="24"/>
          <w:szCs w:val="24"/>
          <w:lang w:val="en-GB"/>
        </w:rPr>
        <w:t>, H., Müller, H., 2003.</w:t>
      </w:r>
      <w:proofErr w:type="gramEnd"/>
      <w:r w:rsidRPr="006E4DCA">
        <w:rPr>
          <w:sz w:val="24"/>
          <w:szCs w:val="24"/>
          <w:lang w:val="en-GB"/>
        </w:rPr>
        <w:t xml:space="preserve"> </w:t>
      </w:r>
      <w:proofErr w:type="gramStart"/>
      <w:r w:rsidRPr="006E4DCA">
        <w:rPr>
          <w:sz w:val="24"/>
          <w:szCs w:val="24"/>
          <w:lang w:val="en-GB"/>
        </w:rPr>
        <w:t>Evaluating the fit of structural equation models: Tests of significance and descriptive goodness-of-fit measures.</w:t>
      </w:r>
      <w:proofErr w:type="gramEnd"/>
      <w:r w:rsidRPr="006E4DCA">
        <w:rPr>
          <w:sz w:val="24"/>
          <w:szCs w:val="24"/>
          <w:lang w:val="en-GB"/>
        </w:rPr>
        <w:t xml:space="preserve"> </w:t>
      </w:r>
      <w:proofErr w:type="gramStart"/>
      <w:r w:rsidRPr="006E4DCA">
        <w:rPr>
          <w:sz w:val="24"/>
          <w:szCs w:val="24"/>
          <w:lang w:val="en-GB"/>
        </w:rPr>
        <w:t>Meth.</w:t>
      </w:r>
      <w:proofErr w:type="gramEnd"/>
      <w:r w:rsidRPr="006E4DCA">
        <w:rPr>
          <w:sz w:val="24"/>
          <w:szCs w:val="24"/>
          <w:lang w:val="en-GB"/>
        </w:rPr>
        <w:t xml:space="preserve"> Psych. Res. </w:t>
      </w:r>
      <w:proofErr w:type="spellStart"/>
      <w:r w:rsidRPr="006E4DCA">
        <w:rPr>
          <w:sz w:val="24"/>
          <w:szCs w:val="24"/>
          <w:lang w:val="en-GB"/>
        </w:rPr>
        <w:t>Onl</w:t>
      </w:r>
      <w:proofErr w:type="spellEnd"/>
      <w:r w:rsidRPr="006E4DCA">
        <w:rPr>
          <w:sz w:val="24"/>
          <w:szCs w:val="24"/>
          <w:lang w:val="en-GB"/>
        </w:rPr>
        <w:t xml:space="preserve">. 8, 23-74. </w:t>
      </w:r>
    </w:p>
    <w:p w14:paraId="0AA3AF67" w14:textId="77777777" w:rsidR="003010BD" w:rsidRPr="006E4DCA" w:rsidRDefault="003010BD" w:rsidP="003010BD">
      <w:pPr>
        <w:pStyle w:val="BodyText"/>
        <w:spacing w:line="480" w:lineRule="auto"/>
        <w:ind w:left="720" w:hanging="720"/>
        <w:jc w:val="both"/>
        <w:rPr>
          <w:sz w:val="24"/>
          <w:szCs w:val="24"/>
          <w:lang w:val="en-GB"/>
        </w:rPr>
      </w:pPr>
      <w:r w:rsidRPr="006E4DCA">
        <w:rPr>
          <w:sz w:val="24"/>
          <w:szCs w:val="24"/>
          <w:lang w:val="en-GB"/>
        </w:rPr>
        <w:t xml:space="preserve">Spada, M.M., </w:t>
      </w:r>
      <w:proofErr w:type="spellStart"/>
      <w:r w:rsidRPr="006E4DCA">
        <w:rPr>
          <w:sz w:val="24"/>
          <w:szCs w:val="24"/>
          <w:lang w:val="en-GB"/>
        </w:rPr>
        <w:t>Caselli</w:t>
      </w:r>
      <w:proofErr w:type="spellEnd"/>
      <w:r w:rsidRPr="006E4DCA">
        <w:rPr>
          <w:sz w:val="24"/>
          <w:szCs w:val="24"/>
          <w:lang w:val="en-GB"/>
        </w:rPr>
        <w:t xml:space="preserve">, G., </w:t>
      </w:r>
      <w:proofErr w:type="spellStart"/>
      <w:r w:rsidRPr="006E4DCA">
        <w:rPr>
          <w:sz w:val="24"/>
          <w:szCs w:val="24"/>
          <w:lang w:val="en-GB"/>
        </w:rPr>
        <w:t>Nikčević</w:t>
      </w:r>
      <w:proofErr w:type="spellEnd"/>
      <w:r w:rsidRPr="006E4DCA">
        <w:rPr>
          <w:sz w:val="24"/>
          <w:szCs w:val="24"/>
          <w:lang w:val="en-GB"/>
        </w:rPr>
        <w:t xml:space="preserve">, A.V., Wells, A., 2015. </w:t>
      </w:r>
      <w:proofErr w:type="gramStart"/>
      <w:r w:rsidRPr="006E4DCA">
        <w:rPr>
          <w:sz w:val="24"/>
          <w:szCs w:val="24"/>
          <w:lang w:val="en-GB"/>
        </w:rPr>
        <w:t xml:space="preserve">Metacognition in addictive </w:t>
      </w:r>
      <w:proofErr w:type="spellStart"/>
      <w:r w:rsidRPr="006E4DCA">
        <w:rPr>
          <w:sz w:val="24"/>
          <w:szCs w:val="24"/>
          <w:lang w:val="en-GB"/>
        </w:rPr>
        <w:t>behaviors</w:t>
      </w:r>
      <w:proofErr w:type="spellEnd"/>
      <w:r w:rsidRPr="006E4DCA">
        <w:rPr>
          <w:sz w:val="24"/>
          <w:szCs w:val="24"/>
          <w:lang w:val="en-GB"/>
        </w:rPr>
        <w:t>.</w:t>
      </w:r>
      <w:proofErr w:type="gramEnd"/>
      <w:r w:rsidRPr="006E4DCA">
        <w:rPr>
          <w:sz w:val="24"/>
          <w:szCs w:val="24"/>
          <w:lang w:val="en-GB"/>
        </w:rPr>
        <w:t xml:space="preserve"> </w:t>
      </w:r>
      <w:r w:rsidRPr="006E4DCA">
        <w:rPr>
          <w:sz w:val="24"/>
          <w:szCs w:val="22"/>
          <w:lang w:val="en-GB" w:eastAsia="ja-JP"/>
        </w:rPr>
        <w:t xml:space="preserve">Addict. </w:t>
      </w:r>
      <w:proofErr w:type="spellStart"/>
      <w:proofErr w:type="gramStart"/>
      <w:r w:rsidRPr="006E4DCA">
        <w:rPr>
          <w:sz w:val="24"/>
          <w:szCs w:val="22"/>
          <w:lang w:val="en-GB" w:eastAsia="ja-JP"/>
        </w:rPr>
        <w:t>Behav</w:t>
      </w:r>
      <w:proofErr w:type="spellEnd"/>
      <w:r w:rsidRPr="006E4DCA">
        <w:rPr>
          <w:sz w:val="24"/>
          <w:szCs w:val="22"/>
          <w:lang w:val="en-GB" w:eastAsia="ja-JP"/>
        </w:rPr>
        <w:t>.</w:t>
      </w:r>
      <w:proofErr w:type="gramEnd"/>
      <w:r w:rsidRPr="006E4DCA">
        <w:rPr>
          <w:sz w:val="24"/>
          <w:szCs w:val="22"/>
          <w:lang w:val="en-GB" w:eastAsia="ja-JP"/>
        </w:rPr>
        <w:t xml:space="preserve"> 44</w:t>
      </w:r>
      <w:r w:rsidRPr="006E4DCA">
        <w:rPr>
          <w:sz w:val="24"/>
          <w:szCs w:val="24"/>
          <w:lang w:val="en-GB"/>
        </w:rPr>
        <w:t>, 9-15.</w:t>
      </w:r>
    </w:p>
    <w:p w14:paraId="448CC8B3" w14:textId="77777777" w:rsidR="003010BD" w:rsidRPr="006E4DCA" w:rsidRDefault="003010BD" w:rsidP="003010BD">
      <w:pPr>
        <w:ind w:left="720" w:hanging="720"/>
      </w:pPr>
      <w:r w:rsidRPr="006E4DCA">
        <w:t xml:space="preserve">Spada, M.M., </w:t>
      </w:r>
      <w:proofErr w:type="spellStart"/>
      <w:r w:rsidRPr="006E4DCA">
        <w:t>Caselli</w:t>
      </w:r>
      <w:proofErr w:type="spellEnd"/>
      <w:r w:rsidRPr="006E4DCA">
        <w:t xml:space="preserve">, G., Wells, A., 2009. Metacognitions as a predictor of drinking status and level of alcohol use following CBT in problem drinkers: a prospective study. </w:t>
      </w:r>
      <w:proofErr w:type="spellStart"/>
      <w:proofErr w:type="gramStart"/>
      <w:r w:rsidRPr="006E4DCA">
        <w:rPr>
          <w:szCs w:val="24"/>
        </w:rPr>
        <w:t>Behav</w:t>
      </w:r>
      <w:proofErr w:type="spellEnd"/>
      <w:r w:rsidRPr="006E4DCA">
        <w:rPr>
          <w:szCs w:val="24"/>
        </w:rPr>
        <w:t>.</w:t>
      </w:r>
      <w:proofErr w:type="gramEnd"/>
      <w:r w:rsidRPr="006E4DCA">
        <w:rPr>
          <w:szCs w:val="24"/>
        </w:rPr>
        <w:t xml:space="preserve"> Res. </w:t>
      </w:r>
      <w:proofErr w:type="spellStart"/>
      <w:r w:rsidRPr="006E4DCA">
        <w:rPr>
          <w:szCs w:val="24"/>
        </w:rPr>
        <w:t>Ther</w:t>
      </w:r>
      <w:proofErr w:type="spellEnd"/>
      <w:r w:rsidRPr="006E4DCA">
        <w:rPr>
          <w:szCs w:val="24"/>
        </w:rPr>
        <w:t>. 47</w:t>
      </w:r>
      <w:r w:rsidRPr="006E4DCA">
        <w:rPr>
          <w:i/>
        </w:rPr>
        <w:t xml:space="preserve">, </w:t>
      </w:r>
      <w:r w:rsidRPr="006E4DCA">
        <w:t>882-886</w:t>
      </w:r>
      <w:r w:rsidRPr="006E4DCA">
        <w:rPr>
          <w:i/>
        </w:rPr>
        <w:t>.</w:t>
      </w:r>
    </w:p>
    <w:p w14:paraId="67FC6366" w14:textId="77777777" w:rsidR="003010BD" w:rsidRPr="006E4DCA" w:rsidRDefault="003010BD" w:rsidP="003010BD">
      <w:pPr>
        <w:ind w:left="720" w:hanging="720"/>
        <w:rPr>
          <w:szCs w:val="24"/>
          <w:lang w:eastAsia="en-GB"/>
        </w:rPr>
      </w:pPr>
      <w:r w:rsidRPr="006E4DCA">
        <w:rPr>
          <w:szCs w:val="24"/>
          <w:lang w:eastAsia="en-GB"/>
        </w:rPr>
        <w:t xml:space="preserve">Spada, M.M., </w:t>
      </w:r>
      <w:proofErr w:type="spellStart"/>
      <w:r w:rsidRPr="006E4DCA">
        <w:rPr>
          <w:szCs w:val="24"/>
          <w:lang w:eastAsia="en-GB"/>
        </w:rPr>
        <w:t>Giustina</w:t>
      </w:r>
      <w:proofErr w:type="spellEnd"/>
      <w:r w:rsidRPr="006E4DCA">
        <w:rPr>
          <w:szCs w:val="24"/>
          <w:lang w:eastAsia="en-GB"/>
        </w:rPr>
        <w:t xml:space="preserve">, L., </w:t>
      </w:r>
      <w:proofErr w:type="spellStart"/>
      <w:r w:rsidRPr="006E4DCA">
        <w:rPr>
          <w:szCs w:val="24"/>
          <w:lang w:eastAsia="en-GB"/>
        </w:rPr>
        <w:t>Rolandi</w:t>
      </w:r>
      <w:proofErr w:type="spellEnd"/>
      <w:r w:rsidRPr="006E4DCA">
        <w:rPr>
          <w:szCs w:val="24"/>
          <w:lang w:eastAsia="en-GB"/>
        </w:rPr>
        <w:t xml:space="preserve">, S., </w:t>
      </w:r>
      <w:proofErr w:type="spellStart"/>
      <w:r w:rsidRPr="006E4DCA">
        <w:rPr>
          <w:szCs w:val="24"/>
          <w:lang w:eastAsia="en-GB"/>
        </w:rPr>
        <w:t>Fernie</w:t>
      </w:r>
      <w:proofErr w:type="spellEnd"/>
      <w:r w:rsidRPr="006E4DCA">
        <w:rPr>
          <w:szCs w:val="24"/>
          <w:lang w:eastAsia="en-GB"/>
        </w:rPr>
        <w:t xml:space="preserve">, B.A., </w:t>
      </w:r>
      <w:proofErr w:type="spellStart"/>
      <w:r w:rsidRPr="006E4DCA">
        <w:rPr>
          <w:szCs w:val="24"/>
          <w:lang w:eastAsia="en-GB"/>
        </w:rPr>
        <w:t>Caselli</w:t>
      </w:r>
      <w:proofErr w:type="spellEnd"/>
      <w:r w:rsidRPr="006E4DCA">
        <w:rPr>
          <w:szCs w:val="24"/>
          <w:lang w:eastAsia="en-GB"/>
        </w:rPr>
        <w:t xml:space="preserve">, G., 2015. </w:t>
      </w:r>
      <w:proofErr w:type="gramStart"/>
      <w:r w:rsidRPr="006E4DCA">
        <w:rPr>
          <w:szCs w:val="24"/>
          <w:lang w:eastAsia="en-GB"/>
        </w:rPr>
        <w:t>Profiling metacognition in gambling disorder.</w:t>
      </w:r>
      <w:proofErr w:type="gramEnd"/>
      <w:r w:rsidRPr="006E4DCA">
        <w:rPr>
          <w:szCs w:val="24"/>
          <w:lang w:eastAsia="en-GB"/>
        </w:rPr>
        <w:t xml:space="preserve"> </w:t>
      </w:r>
      <w:proofErr w:type="spellStart"/>
      <w:proofErr w:type="gramStart"/>
      <w:r w:rsidRPr="006E4DCA">
        <w:t>Behav</w:t>
      </w:r>
      <w:proofErr w:type="spellEnd"/>
      <w:r w:rsidRPr="006E4DCA">
        <w:t>.</w:t>
      </w:r>
      <w:proofErr w:type="gramEnd"/>
      <w:r w:rsidRPr="006E4DCA">
        <w:t xml:space="preserve"> </w:t>
      </w:r>
      <w:proofErr w:type="spellStart"/>
      <w:proofErr w:type="gramStart"/>
      <w:r w:rsidRPr="006E4DCA">
        <w:t>Cogn</w:t>
      </w:r>
      <w:proofErr w:type="spellEnd"/>
      <w:r w:rsidRPr="006E4DCA">
        <w:t>.</w:t>
      </w:r>
      <w:proofErr w:type="gramEnd"/>
      <w:r w:rsidRPr="006E4DCA">
        <w:t xml:space="preserve"> </w:t>
      </w:r>
      <w:proofErr w:type="spellStart"/>
      <w:proofErr w:type="gramStart"/>
      <w:r w:rsidRPr="006E4DCA">
        <w:t>Psychoth</w:t>
      </w:r>
      <w:proofErr w:type="spellEnd"/>
      <w:r w:rsidRPr="006E4DCA">
        <w:t>.</w:t>
      </w:r>
      <w:proofErr w:type="gramEnd"/>
      <w:r w:rsidRPr="006E4DCA">
        <w:t xml:space="preserve"> 43</w:t>
      </w:r>
      <w:r w:rsidRPr="006E4DCA">
        <w:rPr>
          <w:szCs w:val="24"/>
          <w:lang w:eastAsia="en-GB"/>
        </w:rPr>
        <w:t>, 614-622.</w:t>
      </w:r>
    </w:p>
    <w:p w14:paraId="587E413B" w14:textId="77777777" w:rsidR="003010BD" w:rsidRPr="006E4DCA" w:rsidRDefault="003010BD" w:rsidP="003010BD">
      <w:pPr>
        <w:ind w:left="720" w:hanging="720"/>
        <w:rPr>
          <w:i/>
        </w:rPr>
      </w:pPr>
      <w:r w:rsidRPr="006E4DCA">
        <w:t xml:space="preserve">Spada, M.M., Langston, B., </w:t>
      </w:r>
      <w:proofErr w:type="spellStart"/>
      <w:r w:rsidRPr="006E4DCA">
        <w:t>Nikčević</w:t>
      </w:r>
      <w:proofErr w:type="spellEnd"/>
      <w:r w:rsidRPr="006E4DCA">
        <w:t xml:space="preserve">, A.V., Moneta, G.B., 2008. </w:t>
      </w:r>
      <w:proofErr w:type="gramStart"/>
      <w:r w:rsidRPr="006E4DCA">
        <w:t>The role of metacognitions in problematic internet use.</w:t>
      </w:r>
      <w:proofErr w:type="gramEnd"/>
      <w:r w:rsidRPr="006E4DCA">
        <w:t xml:space="preserve"> </w:t>
      </w:r>
      <w:proofErr w:type="spellStart"/>
      <w:proofErr w:type="gramStart"/>
      <w:r w:rsidRPr="006E4DCA">
        <w:t>Comput</w:t>
      </w:r>
      <w:proofErr w:type="spellEnd"/>
      <w:r w:rsidRPr="006E4DCA">
        <w:t>.</w:t>
      </w:r>
      <w:proofErr w:type="gramEnd"/>
      <w:r w:rsidRPr="006E4DCA">
        <w:t xml:space="preserve"> Hum. </w:t>
      </w:r>
      <w:proofErr w:type="spellStart"/>
      <w:proofErr w:type="gramStart"/>
      <w:r w:rsidRPr="006E4DCA">
        <w:t>Behav</w:t>
      </w:r>
      <w:proofErr w:type="spellEnd"/>
      <w:r w:rsidRPr="006E4DCA">
        <w:t>.</w:t>
      </w:r>
      <w:proofErr w:type="gramEnd"/>
      <w:r w:rsidRPr="006E4DCA">
        <w:t xml:space="preserve"> 24</w:t>
      </w:r>
      <w:r w:rsidRPr="006E4DCA">
        <w:rPr>
          <w:i/>
        </w:rPr>
        <w:t xml:space="preserve">, </w:t>
      </w:r>
      <w:r w:rsidRPr="006E4DCA">
        <w:t>2325-2335</w:t>
      </w:r>
      <w:r w:rsidRPr="006E4DCA">
        <w:rPr>
          <w:i/>
        </w:rPr>
        <w:t>.</w:t>
      </w:r>
    </w:p>
    <w:p w14:paraId="7E9953F7" w14:textId="77777777" w:rsidR="003010BD" w:rsidRPr="006E4DCA" w:rsidRDefault="003010BD" w:rsidP="003010BD">
      <w:pPr>
        <w:ind w:left="720" w:hanging="720"/>
        <w:rPr>
          <w:iCs/>
        </w:rPr>
      </w:pPr>
      <w:r w:rsidRPr="006E4DCA">
        <w:lastRenderedPageBreak/>
        <w:t xml:space="preserve">Spada, M.M., </w:t>
      </w:r>
      <w:proofErr w:type="spellStart"/>
      <w:r w:rsidRPr="006E4DCA">
        <w:t>Nikčević</w:t>
      </w:r>
      <w:proofErr w:type="spellEnd"/>
      <w:r w:rsidRPr="006E4DCA">
        <w:t xml:space="preserve">, A.V., Moneta, G.B., Wells, A., 2007. </w:t>
      </w:r>
      <w:proofErr w:type="gramStart"/>
      <w:r w:rsidRPr="006E4DCA">
        <w:t>Metacognition as a mediator of the relationship between emotion and smoking dependence.</w:t>
      </w:r>
      <w:proofErr w:type="gramEnd"/>
      <w:r w:rsidRPr="006E4DCA">
        <w:t xml:space="preserve"> Addict. </w:t>
      </w:r>
      <w:proofErr w:type="spellStart"/>
      <w:proofErr w:type="gramStart"/>
      <w:r w:rsidRPr="006E4DCA">
        <w:t>Behav</w:t>
      </w:r>
      <w:proofErr w:type="spellEnd"/>
      <w:r w:rsidRPr="006E4DCA">
        <w:t>.</w:t>
      </w:r>
      <w:proofErr w:type="gramEnd"/>
      <w:r w:rsidRPr="006E4DCA">
        <w:t xml:space="preserve"> 32</w:t>
      </w:r>
      <w:r w:rsidRPr="006E4DCA">
        <w:rPr>
          <w:i/>
        </w:rPr>
        <w:t xml:space="preserve">, </w:t>
      </w:r>
      <w:r w:rsidRPr="006E4DCA">
        <w:t>2120-2129</w:t>
      </w:r>
      <w:r w:rsidRPr="006E4DCA">
        <w:rPr>
          <w:iCs/>
        </w:rPr>
        <w:t>.</w:t>
      </w:r>
    </w:p>
    <w:p w14:paraId="5B371B45" w14:textId="77777777" w:rsidR="003010BD" w:rsidRPr="006E4DCA" w:rsidRDefault="003010BD" w:rsidP="003010BD">
      <w:pPr>
        <w:ind w:left="720" w:hanging="720"/>
        <w:rPr>
          <w:color w:val="000000"/>
        </w:rPr>
      </w:pPr>
      <w:r w:rsidRPr="006E4DCA">
        <w:t xml:space="preserve">Spada, M.M., Wells, A., 2005. </w:t>
      </w:r>
      <w:proofErr w:type="gramStart"/>
      <w:r w:rsidRPr="006E4DCA">
        <w:t>Metacognitions, emotion and alcohol use.</w:t>
      </w:r>
      <w:proofErr w:type="gramEnd"/>
      <w:r w:rsidRPr="006E4DCA">
        <w:t xml:space="preserve"> </w:t>
      </w:r>
      <w:proofErr w:type="spellStart"/>
      <w:proofErr w:type="gramStart"/>
      <w:r w:rsidRPr="006E4DCA">
        <w:rPr>
          <w:color w:val="000000"/>
        </w:rPr>
        <w:t>Clin</w:t>
      </w:r>
      <w:proofErr w:type="spellEnd"/>
      <w:r w:rsidRPr="006E4DCA">
        <w:rPr>
          <w:color w:val="000000"/>
        </w:rPr>
        <w:t>.</w:t>
      </w:r>
      <w:proofErr w:type="gramEnd"/>
      <w:r w:rsidRPr="006E4DCA">
        <w:rPr>
          <w:color w:val="000000"/>
        </w:rPr>
        <w:t xml:space="preserve"> Psychol. </w:t>
      </w:r>
      <w:proofErr w:type="spellStart"/>
      <w:r w:rsidRPr="006E4DCA">
        <w:rPr>
          <w:color w:val="000000"/>
        </w:rPr>
        <w:t>Psychot</w:t>
      </w:r>
      <w:proofErr w:type="spellEnd"/>
      <w:r w:rsidRPr="006E4DCA">
        <w:rPr>
          <w:color w:val="000000"/>
        </w:rPr>
        <w:t>. 12</w:t>
      </w:r>
      <w:r w:rsidRPr="006E4DCA">
        <w:t>, 150-155.</w:t>
      </w:r>
    </w:p>
    <w:p w14:paraId="6C1E1FAC" w14:textId="77777777" w:rsidR="003010BD" w:rsidRPr="006E4DCA" w:rsidRDefault="003010BD" w:rsidP="003010BD">
      <w:pPr>
        <w:pStyle w:val="NormalCenturyGothic"/>
        <w:tabs>
          <w:tab w:val="left" w:pos="3780"/>
        </w:tabs>
        <w:spacing w:line="480" w:lineRule="auto"/>
        <w:ind w:left="720" w:right="0" w:hanging="720"/>
        <w:jc w:val="both"/>
        <w:rPr>
          <w:rFonts w:ascii="Times New Roman" w:hAnsi="Times New Roman"/>
          <w:b w:val="0"/>
          <w:sz w:val="24"/>
          <w:szCs w:val="24"/>
          <w:u w:val="none"/>
        </w:rPr>
      </w:pPr>
      <w:r w:rsidRPr="006E4DCA">
        <w:rPr>
          <w:rFonts w:ascii="Times New Roman" w:hAnsi="Times New Roman"/>
          <w:b w:val="0"/>
          <w:sz w:val="24"/>
          <w:szCs w:val="24"/>
          <w:u w:val="none"/>
        </w:rPr>
        <w:t xml:space="preserve">Spada, M.M., Wells, A., 2006. </w:t>
      </w:r>
      <w:proofErr w:type="gramStart"/>
      <w:r w:rsidRPr="006E4DCA">
        <w:rPr>
          <w:rFonts w:ascii="Times New Roman" w:hAnsi="Times New Roman"/>
          <w:b w:val="0"/>
          <w:sz w:val="24"/>
          <w:szCs w:val="24"/>
          <w:u w:val="none"/>
        </w:rPr>
        <w:t>Metacognitions about alcohol use in problem drinkers.</w:t>
      </w:r>
      <w:proofErr w:type="gramEnd"/>
      <w:r w:rsidRPr="006E4DCA">
        <w:rPr>
          <w:rFonts w:ascii="Times New Roman" w:hAnsi="Times New Roman"/>
          <w:b w:val="0"/>
          <w:sz w:val="24"/>
          <w:szCs w:val="24"/>
          <w:u w:val="none"/>
        </w:rPr>
        <w:t xml:space="preserve"> </w:t>
      </w:r>
      <w:proofErr w:type="spellStart"/>
      <w:proofErr w:type="gramStart"/>
      <w:r w:rsidRPr="006E4DCA">
        <w:rPr>
          <w:rFonts w:ascii="Times New Roman" w:hAnsi="Times New Roman"/>
          <w:b w:val="0"/>
          <w:sz w:val="24"/>
          <w:szCs w:val="24"/>
          <w:u w:val="none"/>
        </w:rPr>
        <w:t>Clin</w:t>
      </w:r>
      <w:proofErr w:type="spellEnd"/>
      <w:r w:rsidRPr="006E4DCA">
        <w:rPr>
          <w:rFonts w:ascii="Times New Roman" w:hAnsi="Times New Roman"/>
          <w:b w:val="0"/>
          <w:sz w:val="24"/>
          <w:szCs w:val="24"/>
          <w:u w:val="none"/>
        </w:rPr>
        <w:t>.</w:t>
      </w:r>
      <w:proofErr w:type="gramEnd"/>
      <w:r w:rsidRPr="006E4DCA">
        <w:rPr>
          <w:rFonts w:ascii="Times New Roman" w:hAnsi="Times New Roman"/>
          <w:b w:val="0"/>
          <w:sz w:val="24"/>
          <w:szCs w:val="24"/>
          <w:u w:val="none"/>
        </w:rPr>
        <w:t xml:space="preserve"> Psychol. </w:t>
      </w:r>
      <w:proofErr w:type="spellStart"/>
      <w:r w:rsidRPr="006E4DCA">
        <w:rPr>
          <w:rFonts w:ascii="Times New Roman" w:hAnsi="Times New Roman"/>
          <w:b w:val="0"/>
          <w:sz w:val="24"/>
          <w:szCs w:val="24"/>
          <w:u w:val="none"/>
        </w:rPr>
        <w:t>Psychot</w:t>
      </w:r>
      <w:proofErr w:type="spellEnd"/>
      <w:r w:rsidRPr="006E4DCA">
        <w:rPr>
          <w:rFonts w:ascii="Times New Roman" w:hAnsi="Times New Roman"/>
          <w:b w:val="0"/>
          <w:sz w:val="24"/>
          <w:szCs w:val="24"/>
          <w:u w:val="none"/>
        </w:rPr>
        <w:t>. 13, 138-143.</w:t>
      </w:r>
    </w:p>
    <w:p w14:paraId="5AB2021E" w14:textId="77777777" w:rsidR="003010BD" w:rsidRPr="006E4DCA" w:rsidRDefault="003010BD" w:rsidP="003010BD">
      <w:pPr>
        <w:ind w:left="720" w:hanging="720"/>
        <w:rPr>
          <w:i/>
        </w:rPr>
      </w:pPr>
      <w:r w:rsidRPr="006E4DCA">
        <w:t xml:space="preserve">Spada, M.M., Wells, A., 2008. Metacognitive beliefs about alcohol use: development and validation of two self-report scales. Addict. </w:t>
      </w:r>
      <w:proofErr w:type="spellStart"/>
      <w:proofErr w:type="gramStart"/>
      <w:r w:rsidRPr="006E4DCA">
        <w:t>Behav</w:t>
      </w:r>
      <w:proofErr w:type="spellEnd"/>
      <w:r w:rsidRPr="006E4DCA">
        <w:t>.</w:t>
      </w:r>
      <w:proofErr w:type="gramEnd"/>
      <w:r w:rsidRPr="006E4DCA">
        <w:t xml:space="preserve"> 33</w:t>
      </w:r>
      <w:r w:rsidRPr="006E4DCA">
        <w:rPr>
          <w:i/>
        </w:rPr>
        <w:t xml:space="preserve">, </w:t>
      </w:r>
      <w:r w:rsidRPr="006E4DCA">
        <w:t>515-527</w:t>
      </w:r>
      <w:r w:rsidRPr="006E4DCA">
        <w:rPr>
          <w:i/>
        </w:rPr>
        <w:t>.</w:t>
      </w:r>
    </w:p>
    <w:p w14:paraId="7A0823D1" w14:textId="77777777" w:rsidR="003010BD" w:rsidRPr="006E4DCA" w:rsidRDefault="003010BD" w:rsidP="003010BD">
      <w:pPr>
        <w:ind w:left="720" w:hanging="720"/>
        <w:rPr>
          <w:i/>
        </w:rPr>
      </w:pPr>
      <w:r w:rsidRPr="006E4DCA">
        <w:t xml:space="preserve">Spada, M.M., Wells, A., 2009. </w:t>
      </w:r>
      <w:proofErr w:type="gramStart"/>
      <w:r w:rsidRPr="006E4DCA">
        <w:t>A metacognitive model of problem drinking.</w:t>
      </w:r>
      <w:proofErr w:type="gramEnd"/>
      <w:r w:rsidRPr="006E4DCA">
        <w:t xml:space="preserve"> </w:t>
      </w:r>
      <w:proofErr w:type="spellStart"/>
      <w:proofErr w:type="gramStart"/>
      <w:r w:rsidRPr="006E4DCA">
        <w:t>Clin</w:t>
      </w:r>
      <w:proofErr w:type="spellEnd"/>
      <w:r w:rsidRPr="006E4DCA">
        <w:t>.</w:t>
      </w:r>
      <w:proofErr w:type="gramEnd"/>
      <w:r w:rsidRPr="006E4DCA">
        <w:t xml:space="preserve"> Psychol. </w:t>
      </w:r>
      <w:proofErr w:type="spellStart"/>
      <w:r w:rsidRPr="006E4DCA">
        <w:t>Psychot</w:t>
      </w:r>
      <w:proofErr w:type="spellEnd"/>
      <w:r w:rsidRPr="006E4DCA">
        <w:t>. 16</w:t>
      </w:r>
      <w:r w:rsidRPr="006E4DCA">
        <w:rPr>
          <w:i/>
        </w:rPr>
        <w:t xml:space="preserve">, </w:t>
      </w:r>
      <w:r w:rsidRPr="006E4DCA">
        <w:t>383-393</w:t>
      </w:r>
      <w:r w:rsidRPr="006E4DCA">
        <w:rPr>
          <w:i/>
        </w:rPr>
        <w:t>.</w:t>
      </w:r>
    </w:p>
    <w:p w14:paraId="255310D9" w14:textId="77777777" w:rsidR="003010BD" w:rsidRPr="006E4DCA" w:rsidRDefault="003010BD" w:rsidP="003010BD">
      <w:pPr>
        <w:ind w:left="720" w:hanging="720"/>
        <w:rPr>
          <w:color w:val="000000"/>
          <w:u w:val="single"/>
        </w:rPr>
      </w:pPr>
      <w:r w:rsidRPr="006E4DCA">
        <w:rPr>
          <w:color w:val="000000"/>
        </w:rPr>
        <w:t xml:space="preserve">Spada, M.M., Wells, A., 2010. </w:t>
      </w:r>
      <w:proofErr w:type="gramStart"/>
      <w:r w:rsidRPr="006E4DCA">
        <w:rPr>
          <w:color w:val="000000"/>
        </w:rPr>
        <w:t>Metacognitions across the continuum of drinking behaviour.</w:t>
      </w:r>
      <w:proofErr w:type="gramEnd"/>
      <w:r w:rsidRPr="006E4DCA">
        <w:rPr>
          <w:color w:val="000000"/>
        </w:rPr>
        <w:t xml:space="preserve"> Pers. </w:t>
      </w:r>
      <w:proofErr w:type="spellStart"/>
      <w:r w:rsidRPr="006E4DCA">
        <w:rPr>
          <w:color w:val="000000"/>
        </w:rPr>
        <w:t>Indiv</w:t>
      </w:r>
      <w:proofErr w:type="spellEnd"/>
      <w:r w:rsidRPr="006E4DCA">
        <w:rPr>
          <w:color w:val="000000"/>
        </w:rPr>
        <w:t>. Differ. 49, 425-429.</w:t>
      </w:r>
    </w:p>
    <w:p w14:paraId="7EBA1B7C" w14:textId="77777777" w:rsidR="003010BD" w:rsidRPr="006E4DCA" w:rsidRDefault="003010BD" w:rsidP="003010BD">
      <w:pPr>
        <w:pStyle w:val="BodyText"/>
        <w:spacing w:line="480" w:lineRule="auto"/>
        <w:ind w:left="720" w:hanging="720"/>
        <w:jc w:val="both"/>
        <w:rPr>
          <w:sz w:val="24"/>
          <w:szCs w:val="24"/>
          <w:lang w:val="en-GB"/>
        </w:rPr>
      </w:pPr>
      <w:proofErr w:type="spellStart"/>
      <w:r w:rsidRPr="006E4DCA">
        <w:rPr>
          <w:sz w:val="24"/>
          <w:szCs w:val="24"/>
          <w:lang w:val="en-GB"/>
        </w:rPr>
        <w:t>Süsen</w:t>
      </w:r>
      <w:proofErr w:type="spellEnd"/>
      <w:r w:rsidRPr="006E4DCA">
        <w:rPr>
          <w:sz w:val="24"/>
          <w:szCs w:val="24"/>
          <w:lang w:val="en-GB"/>
        </w:rPr>
        <w:t xml:space="preserve">, Y., </w:t>
      </w:r>
      <w:proofErr w:type="spellStart"/>
      <w:r w:rsidRPr="006E4DCA">
        <w:rPr>
          <w:sz w:val="24"/>
          <w:szCs w:val="24"/>
          <w:lang w:val="en-GB"/>
        </w:rPr>
        <w:t>Yalçınkaya-Alkar</w:t>
      </w:r>
      <w:proofErr w:type="spellEnd"/>
      <w:r w:rsidRPr="006E4DCA">
        <w:rPr>
          <w:sz w:val="24"/>
          <w:szCs w:val="24"/>
          <w:lang w:val="en-GB"/>
        </w:rPr>
        <w:t xml:space="preserve">, </w:t>
      </w:r>
      <w:proofErr w:type="gramStart"/>
      <w:r w:rsidRPr="006E4DCA">
        <w:rPr>
          <w:sz w:val="24"/>
          <w:szCs w:val="24"/>
          <w:lang w:val="en-GB"/>
        </w:rPr>
        <w:t>Ö.,</w:t>
      </w:r>
      <w:proofErr w:type="gramEnd"/>
      <w:r w:rsidRPr="006E4DCA">
        <w:rPr>
          <w:sz w:val="24"/>
          <w:szCs w:val="24"/>
          <w:lang w:val="en-GB"/>
        </w:rPr>
        <w:t xml:space="preserve"> 2016. </w:t>
      </w:r>
      <w:proofErr w:type="gramStart"/>
      <w:r w:rsidRPr="006E4DCA">
        <w:rPr>
          <w:sz w:val="24"/>
          <w:szCs w:val="24"/>
          <w:lang w:val="en-GB"/>
        </w:rPr>
        <w:t>Predictors of Nicotine Dependence among Turkish Smokers.</w:t>
      </w:r>
      <w:proofErr w:type="gramEnd"/>
      <w:r w:rsidRPr="006E4DCA">
        <w:rPr>
          <w:sz w:val="24"/>
          <w:szCs w:val="24"/>
          <w:lang w:val="en-GB"/>
        </w:rPr>
        <w:t xml:space="preserve"> </w:t>
      </w:r>
      <w:proofErr w:type="gramStart"/>
      <w:r w:rsidRPr="006E4DCA">
        <w:rPr>
          <w:sz w:val="24"/>
          <w:szCs w:val="24"/>
          <w:lang w:val="en-GB"/>
        </w:rPr>
        <w:t>46</w:t>
      </w:r>
      <w:r w:rsidRPr="006E4DCA">
        <w:rPr>
          <w:sz w:val="24"/>
          <w:szCs w:val="24"/>
          <w:vertAlign w:val="superscript"/>
          <w:lang w:val="en-GB"/>
        </w:rPr>
        <w:t>th</w:t>
      </w:r>
      <w:r w:rsidRPr="006E4DCA">
        <w:rPr>
          <w:sz w:val="24"/>
          <w:szCs w:val="24"/>
          <w:lang w:val="en-GB"/>
        </w:rPr>
        <w:t xml:space="preserve"> European Association of Behavioural and Cognitive Therapies Congress.</w:t>
      </w:r>
      <w:proofErr w:type="gramEnd"/>
      <w:r w:rsidRPr="006E4DCA">
        <w:rPr>
          <w:sz w:val="24"/>
          <w:szCs w:val="24"/>
          <w:lang w:val="en-GB"/>
        </w:rPr>
        <w:t xml:space="preserve"> Stockholm, Sweden.</w:t>
      </w:r>
    </w:p>
    <w:p w14:paraId="44BD6F44" w14:textId="77777777" w:rsidR="003010BD" w:rsidRPr="006E4DCA" w:rsidRDefault="003010BD" w:rsidP="003010BD">
      <w:pPr>
        <w:pStyle w:val="BodyText"/>
        <w:spacing w:line="480" w:lineRule="auto"/>
        <w:ind w:left="720" w:hanging="720"/>
        <w:jc w:val="both"/>
        <w:rPr>
          <w:sz w:val="24"/>
          <w:szCs w:val="24"/>
          <w:lang w:val="en-GB"/>
        </w:rPr>
      </w:pPr>
      <w:proofErr w:type="spellStart"/>
      <w:proofErr w:type="gramStart"/>
      <w:r w:rsidRPr="006E4DCA">
        <w:rPr>
          <w:sz w:val="24"/>
          <w:szCs w:val="24"/>
          <w:lang w:val="en-GB"/>
        </w:rPr>
        <w:t>Uysal</w:t>
      </w:r>
      <w:proofErr w:type="spellEnd"/>
      <w:r w:rsidRPr="006E4DCA">
        <w:rPr>
          <w:sz w:val="24"/>
          <w:szCs w:val="24"/>
          <w:lang w:val="en-GB"/>
        </w:rPr>
        <w:t xml:space="preserve">, M.A., </w:t>
      </w:r>
      <w:proofErr w:type="spellStart"/>
      <w:r w:rsidRPr="006E4DCA">
        <w:rPr>
          <w:sz w:val="24"/>
          <w:szCs w:val="24"/>
          <w:lang w:val="en-GB"/>
        </w:rPr>
        <w:t>Kadakal</w:t>
      </w:r>
      <w:proofErr w:type="spellEnd"/>
      <w:r w:rsidRPr="006E4DCA">
        <w:rPr>
          <w:sz w:val="24"/>
          <w:szCs w:val="24"/>
          <w:lang w:val="en-GB"/>
        </w:rPr>
        <w:t xml:space="preserve">, F., </w:t>
      </w:r>
      <w:proofErr w:type="spellStart"/>
      <w:r w:rsidRPr="006E4DCA">
        <w:rPr>
          <w:sz w:val="24"/>
          <w:szCs w:val="24"/>
          <w:lang w:val="en-GB"/>
        </w:rPr>
        <w:t>Karsidag</w:t>
      </w:r>
      <w:proofErr w:type="spellEnd"/>
      <w:r w:rsidRPr="006E4DCA">
        <w:rPr>
          <w:sz w:val="24"/>
          <w:szCs w:val="24"/>
          <w:lang w:val="en-GB"/>
        </w:rPr>
        <w:t xml:space="preserve">, C., </w:t>
      </w:r>
      <w:proofErr w:type="spellStart"/>
      <w:r w:rsidRPr="006E4DCA">
        <w:rPr>
          <w:sz w:val="24"/>
          <w:szCs w:val="24"/>
          <w:lang w:val="en-GB"/>
        </w:rPr>
        <w:t>Bayram</w:t>
      </w:r>
      <w:proofErr w:type="spellEnd"/>
      <w:r w:rsidRPr="006E4DCA">
        <w:rPr>
          <w:sz w:val="24"/>
          <w:szCs w:val="24"/>
          <w:lang w:val="en-GB"/>
        </w:rPr>
        <w:t xml:space="preserve">, N.G., </w:t>
      </w:r>
      <w:proofErr w:type="spellStart"/>
      <w:r w:rsidRPr="006E4DCA">
        <w:rPr>
          <w:sz w:val="24"/>
          <w:szCs w:val="24"/>
          <w:lang w:val="en-GB"/>
        </w:rPr>
        <w:t>Uysal</w:t>
      </w:r>
      <w:proofErr w:type="spellEnd"/>
      <w:r w:rsidRPr="006E4DCA">
        <w:rPr>
          <w:sz w:val="24"/>
          <w:szCs w:val="24"/>
          <w:lang w:val="en-GB"/>
        </w:rPr>
        <w:t>, O., Yılmaz, V., 2004.</w:t>
      </w:r>
      <w:proofErr w:type="gramEnd"/>
      <w:r w:rsidRPr="006E4DCA">
        <w:rPr>
          <w:sz w:val="24"/>
          <w:szCs w:val="24"/>
          <w:lang w:val="en-GB"/>
        </w:rPr>
        <w:t xml:space="preserve"> </w:t>
      </w:r>
      <w:proofErr w:type="spellStart"/>
      <w:r w:rsidRPr="006E4DCA">
        <w:rPr>
          <w:sz w:val="24"/>
          <w:szCs w:val="24"/>
          <w:lang w:val="en-GB"/>
        </w:rPr>
        <w:t>Fagerstrom</w:t>
      </w:r>
      <w:proofErr w:type="spellEnd"/>
      <w:r w:rsidRPr="006E4DCA">
        <w:rPr>
          <w:sz w:val="24"/>
          <w:szCs w:val="24"/>
          <w:lang w:val="en-GB"/>
        </w:rPr>
        <w:t xml:space="preserve"> test for nicotine dependence: reliability in a Turkish sample and factor analysis. </w:t>
      </w:r>
      <w:proofErr w:type="spellStart"/>
      <w:proofErr w:type="gramStart"/>
      <w:r w:rsidRPr="006E4DCA">
        <w:rPr>
          <w:sz w:val="24"/>
          <w:szCs w:val="24"/>
          <w:lang w:val="en-GB"/>
        </w:rPr>
        <w:t>Tüberküloz</w:t>
      </w:r>
      <w:proofErr w:type="spellEnd"/>
      <w:r w:rsidRPr="006E4DCA">
        <w:rPr>
          <w:sz w:val="24"/>
          <w:szCs w:val="24"/>
          <w:lang w:val="en-GB"/>
        </w:rPr>
        <w:t xml:space="preserve"> </w:t>
      </w:r>
      <w:proofErr w:type="spellStart"/>
      <w:r w:rsidRPr="006E4DCA">
        <w:rPr>
          <w:sz w:val="24"/>
          <w:szCs w:val="24"/>
          <w:lang w:val="en-GB"/>
        </w:rPr>
        <w:t>ve</w:t>
      </w:r>
      <w:proofErr w:type="spellEnd"/>
      <w:r w:rsidRPr="006E4DCA">
        <w:rPr>
          <w:sz w:val="24"/>
          <w:szCs w:val="24"/>
          <w:lang w:val="en-GB"/>
        </w:rPr>
        <w:t xml:space="preserve"> </w:t>
      </w:r>
      <w:proofErr w:type="spellStart"/>
      <w:r w:rsidRPr="006E4DCA">
        <w:rPr>
          <w:sz w:val="24"/>
          <w:szCs w:val="24"/>
          <w:lang w:val="en-GB"/>
        </w:rPr>
        <w:t>Toraks</w:t>
      </w:r>
      <w:proofErr w:type="spellEnd"/>
      <w:r w:rsidRPr="006E4DCA">
        <w:rPr>
          <w:sz w:val="24"/>
          <w:szCs w:val="24"/>
          <w:lang w:val="en-GB"/>
        </w:rPr>
        <w:t xml:space="preserve"> </w:t>
      </w:r>
      <w:proofErr w:type="spellStart"/>
      <w:r w:rsidRPr="006E4DCA">
        <w:rPr>
          <w:sz w:val="24"/>
          <w:szCs w:val="24"/>
          <w:lang w:val="en-GB"/>
        </w:rPr>
        <w:t>Dergisi</w:t>
      </w:r>
      <w:proofErr w:type="spellEnd"/>
      <w:r w:rsidRPr="006E4DCA">
        <w:rPr>
          <w:sz w:val="24"/>
          <w:szCs w:val="24"/>
          <w:lang w:val="en-GB"/>
        </w:rPr>
        <w:t xml:space="preserve"> 52, 115-121.</w:t>
      </w:r>
      <w:proofErr w:type="gramEnd"/>
    </w:p>
    <w:p w14:paraId="32624A10" w14:textId="77777777" w:rsidR="003010BD" w:rsidRPr="006E4DCA" w:rsidRDefault="003010BD" w:rsidP="003010BD">
      <w:pPr>
        <w:pStyle w:val="BodyText"/>
        <w:spacing w:line="480" w:lineRule="auto"/>
        <w:ind w:left="720" w:hanging="720"/>
        <w:jc w:val="both"/>
        <w:rPr>
          <w:sz w:val="22"/>
        </w:rPr>
      </w:pPr>
      <w:r w:rsidRPr="006E4DCA">
        <w:rPr>
          <w:sz w:val="24"/>
        </w:rPr>
        <w:t xml:space="preserve">Wells, A., 2000. Emotional Disorders and Metacognition: Innovative Cognitive Therapy. </w:t>
      </w:r>
      <w:proofErr w:type="gramStart"/>
      <w:r w:rsidRPr="006E4DCA">
        <w:rPr>
          <w:sz w:val="22"/>
        </w:rPr>
        <w:t xml:space="preserve">Wiley, </w:t>
      </w:r>
      <w:proofErr w:type="spellStart"/>
      <w:r w:rsidRPr="006E4DCA">
        <w:rPr>
          <w:sz w:val="22"/>
        </w:rPr>
        <w:t>Chichester</w:t>
      </w:r>
      <w:proofErr w:type="spellEnd"/>
      <w:r w:rsidRPr="006E4DCA">
        <w:rPr>
          <w:sz w:val="22"/>
        </w:rPr>
        <w:t>, UK.</w:t>
      </w:r>
      <w:proofErr w:type="gramEnd"/>
    </w:p>
    <w:p w14:paraId="7FC010CA" w14:textId="77777777" w:rsidR="003010BD" w:rsidRPr="006E4DCA" w:rsidRDefault="003010BD" w:rsidP="003010BD">
      <w:pPr>
        <w:ind w:left="720" w:hanging="720"/>
      </w:pPr>
      <w:r w:rsidRPr="006E4DCA">
        <w:t xml:space="preserve">Wells, A., 2009. </w:t>
      </w:r>
      <w:proofErr w:type="gramStart"/>
      <w:r w:rsidRPr="006E4DCA">
        <w:rPr>
          <w:iCs/>
        </w:rPr>
        <w:t>Metacognitive Therapy for Anxiety and Depression</w:t>
      </w:r>
      <w:r w:rsidRPr="006E4DCA">
        <w:t>.</w:t>
      </w:r>
      <w:proofErr w:type="gramEnd"/>
      <w:r w:rsidRPr="006E4DCA">
        <w:t xml:space="preserve"> </w:t>
      </w:r>
      <w:proofErr w:type="gramStart"/>
      <w:r w:rsidRPr="006E4DCA">
        <w:t>Guilford Press, New York, USA.</w:t>
      </w:r>
      <w:proofErr w:type="gramEnd"/>
    </w:p>
    <w:p w14:paraId="06511271" w14:textId="77777777" w:rsidR="003010BD" w:rsidRPr="006E4DCA" w:rsidRDefault="003010BD" w:rsidP="003010BD">
      <w:pPr>
        <w:ind w:left="720" w:hanging="720"/>
      </w:pPr>
      <w:r w:rsidRPr="006E4DCA">
        <w:t xml:space="preserve">Wells, A., 2013. </w:t>
      </w:r>
      <w:proofErr w:type="gramStart"/>
      <w:r w:rsidRPr="006E4DCA">
        <w:t>Advances in Metacognitive Therapy.</w:t>
      </w:r>
      <w:proofErr w:type="gramEnd"/>
      <w:r w:rsidRPr="006E4DCA">
        <w:t xml:space="preserve"> </w:t>
      </w:r>
      <w:r w:rsidRPr="006E4DCA">
        <w:rPr>
          <w:iCs/>
        </w:rPr>
        <w:t xml:space="preserve">Int. J. </w:t>
      </w:r>
      <w:proofErr w:type="spellStart"/>
      <w:r w:rsidRPr="006E4DCA">
        <w:rPr>
          <w:iCs/>
        </w:rPr>
        <w:t>Cogn</w:t>
      </w:r>
      <w:proofErr w:type="spellEnd"/>
      <w:r w:rsidRPr="006E4DCA">
        <w:rPr>
          <w:iCs/>
        </w:rPr>
        <w:t xml:space="preserve">. </w:t>
      </w:r>
      <w:proofErr w:type="spellStart"/>
      <w:proofErr w:type="gramStart"/>
      <w:r w:rsidRPr="006E4DCA">
        <w:rPr>
          <w:iCs/>
        </w:rPr>
        <w:t>Ther</w:t>
      </w:r>
      <w:proofErr w:type="spellEnd"/>
      <w:r w:rsidRPr="006E4DCA">
        <w:rPr>
          <w:iCs/>
        </w:rPr>
        <w:t>.</w:t>
      </w:r>
      <w:proofErr w:type="gramEnd"/>
      <w:r w:rsidRPr="006E4DCA">
        <w:rPr>
          <w:iCs/>
        </w:rPr>
        <w:t xml:space="preserve"> 6</w:t>
      </w:r>
      <w:r w:rsidRPr="006E4DCA">
        <w:t>, 186-201.</w:t>
      </w:r>
    </w:p>
    <w:p w14:paraId="6F3D32AB" w14:textId="77777777" w:rsidR="003010BD" w:rsidRPr="006E4DCA" w:rsidRDefault="003010BD" w:rsidP="003010BD">
      <w:pPr>
        <w:tabs>
          <w:tab w:val="left" w:pos="-720"/>
        </w:tabs>
        <w:suppressAutoHyphens/>
        <w:ind w:left="720" w:hanging="720"/>
        <w:rPr>
          <w:szCs w:val="24"/>
        </w:rPr>
      </w:pPr>
      <w:proofErr w:type="gramStart"/>
      <w:r w:rsidRPr="006E4DCA">
        <w:rPr>
          <w:szCs w:val="24"/>
        </w:rPr>
        <w:lastRenderedPageBreak/>
        <w:t>Wells, A., Cartwright-Hatton, S., 2004.</w:t>
      </w:r>
      <w:proofErr w:type="gramEnd"/>
      <w:r w:rsidRPr="006E4DCA">
        <w:rPr>
          <w:szCs w:val="24"/>
        </w:rPr>
        <w:t xml:space="preserve"> A short form of the metacognitions questionnaire: properties of the MCQ-30. </w:t>
      </w:r>
      <w:proofErr w:type="spellStart"/>
      <w:proofErr w:type="gramStart"/>
      <w:r w:rsidRPr="006E4DCA">
        <w:rPr>
          <w:szCs w:val="24"/>
        </w:rPr>
        <w:t>Behav</w:t>
      </w:r>
      <w:proofErr w:type="spellEnd"/>
      <w:r w:rsidRPr="006E4DCA">
        <w:rPr>
          <w:szCs w:val="24"/>
        </w:rPr>
        <w:t>.</w:t>
      </w:r>
      <w:proofErr w:type="gramEnd"/>
      <w:r w:rsidRPr="006E4DCA">
        <w:rPr>
          <w:szCs w:val="24"/>
        </w:rPr>
        <w:t xml:space="preserve"> Res. </w:t>
      </w:r>
      <w:proofErr w:type="spellStart"/>
      <w:r w:rsidRPr="006E4DCA">
        <w:rPr>
          <w:szCs w:val="24"/>
        </w:rPr>
        <w:t>Ther</w:t>
      </w:r>
      <w:proofErr w:type="spellEnd"/>
      <w:r w:rsidRPr="006E4DCA">
        <w:rPr>
          <w:szCs w:val="24"/>
        </w:rPr>
        <w:t>. 42, 385-396.</w:t>
      </w:r>
    </w:p>
    <w:p w14:paraId="19CDBE1D" w14:textId="77777777" w:rsidR="003010BD" w:rsidRPr="006E4DCA" w:rsidRDefault="003010BD" w:rsidP="003010BD">
      <w:pPr>
        <w:ind w:left="720" w:hanging="720"/>
      </w:pPr>
      <w:r w:rsidRPr="006E4DCA">
        <w:t xml:space="preserve">Wells, A., Matthews, G., 1994. Attention and Emotion: A Clinical Perspective. </w:t>
      </w:r>
      <w:proofErr w:type="gramStart"/>
      <w:r w:rsidRPr="006E4DCA">
        <w:t>Lawrence Erlbaum Associates, Hove, UK.</w:t>
      </w:r>
      <w:proofErr w:type="gramEnd"/>
    </w:p>
    <w:p w14:paraId="050318E9" w14:textId="77777777" w:rsidR="003010BD" w:rsidRPr="006E4DCA" w:rsidRDefault="003010BD" w:rsidP="003010BD">
      <w:pPr>
        <w:ind w:left="720" w:hanging="720"/>
        <w:rPr>
          <w:szCs w:val="24"/>
        </w:rPr>
      </w:pPr>
      <w:r w:rsidRPr="006E4DCA">
        <w:rPr>
          <w:szCs w:val="24"/>
        </w:rPr>
        <w:t xml:space="preserve">Wells, A., Matthews, G., 1996. </w:t>
      </w:r>
      <w:proofErr w:type="gramStart"/>
      <w:r w:rsidRPr="006E4DCA">
        <w:rPr>
          <w:szCs w:val="24"/>
        </w:rPr>
        <w:t>Modelling cognition in emotional disorder: The S-REF model.</w:t>
      </w:r>
      <w:proofErr w:type="gramEnd"/>
      <w:r w:rsidRPr="006E4DCA">
        <w:rPr>
          <w:szCs w:val="24"/>
        </w:rPr>
        <w:t xml:space="preserve"> </w:t>
      </w:r>
      <w:proofErr w:type="spellStart"/>
      <w:proofErr w:type="gramStart"/>
      <w:r w:rsidRPr="006E4DCA">
        <w:rPr>
          <w:szCs w:val="24"/>
        </w:rPr>
        <w:t>Behav</w:t>
      </w:r>
      <w:proofErr w:type="spellEnd"/>
      <w:r w:rsidRPr="006E4DCA">
        <w:rPr>
          <w:szCs w:val="24"/>
        </w:rPr>
        <w:t>.</w:t>
      </w:r>
      <w:proofErr w:type="gramEnd"/>
      <w:r w:rsidRPr="006E4DCA">
        <w:rPr>
          <w:szCs w:val="24"/>
        </w:rPr>
        <w:t xml:space="preserve"> Res. </w:t>
      </w:r>
      <w:proofErr w:type="spellStart"/>
      <w:r w:rsidRPr="006E4DCA">
        <w:rPr>
          <w:szCs w:val="24"/>
        </w:rPr>
        <w:t>Ther</w:t>
      </w:r>
      <w:proofErr w:type="spellEnd"/>
      <w:r w:rsidRPr="006E4DCA">
        <w:rPr>
          <w:szCs w:val="24"/>
        </w:rPr>
        <w:t>. 34, 881-888.</w:t>
      </w:r>
    </w:p>
    <w:p w14:paraId="62DF42DD" w14:textId="77777777" w:rsidR="003010BD" w:rsidRPr="006E4DCA" w:rsidRDefault="003010BD" w:rsidP="003010BD">
      <w:pPr>
        <w:ind w:left="720" w:hanging="720"/>
        <w:rPr>
          <w:szCs w:val="24"/>
        </w:rPr>
      </w:pPr>
      <w:r w:rsidRPr="006E4DCA">
        <w:rPr>
          <w:szCs w:val="24"/>
        </w:rPr>
        <w:t xml:space="preserve">WHO Report on the Global Tobacco Epidemic, </w:t>
      </w:r>
      <w:proofErr w:type="gramStart"/>
      <w:r w:rsidRPr="006E4DCA">
        <w:rPr>
          <w:szCs w:val="24"/>
        </w:rPr>
        <w:t>2015.</w:t>
      </w:r>
      <w:proofErr w:type="gramEnd"/>
      <w:r w:rsidRPr="006E4DCA">
        <w:rPr>
          <w:szCs w:val="24"/>
        </w:rPr>
        <w:t xml:space="preserve"> Country Profile: Turkey. </w:t>
      </w:r>
      <w:proofErr w:type="gramStart"/>
      <w:r w:rsidRPr="006E4DCA">
        <w:rPr>
          <w:szCs w:val="24"/>
        </w:rPr>
        <w:t>World Health Organization.</w:t>
      </w:r>
      <w:proofErr w:type="gramEnd"/>
    </w:p>
    <w:p w14:paraId="2A14F62C" w14:textId="77777777" w:rsidR="003010BD" w:rsidRPr="006E4DCA" w:rsidRDefault="003010BD" w:rsidP="00011661">
      <w:pPr>
        <w:spacing w:line="240" w:lineRule="auto"/>
        <w:rPr>
          <w:b/>
          <w:szCs w:val="24"/>
        </w:rPr>
        <w:sectPr w:rsidR="003010BD" w:rsidRPr="006E4DCA" w:rsidSect="00011661">
          <w:pgSz w:w="11900" w:h="16840"/>
          <w:pgMar w:top="1440" w:right="1440" w:bottom="1440" w:left="1440" w:header="708" w:footer="708" w:gutter="0"/>
          <w:cols w:space="708"/>
          <w:docGrid w:linePitch="360"/>
        </w:sectPr>
      </w:pPr>
    </w:p>
    <w:p w14:paraId="0134C051" w14:textId="77777777" w:rsidR="003010BD" w:rsidRPr="006E4DCA" w:rsidRDefault="003010BD" w:rsidP="00011661">
      <w:pPr>
        <w:spacing w:line="240" w:lineRule="auto"/>
        <w:rPr>
          <w:b/>
          <w:szCs w:val="24"/>
        </w:rPr>
      </w:pPr>
      <w:r w:rsidRPr="006E4DCA">
        <w:rPr>
          <w:b/>
          <w:szCs w:val="24"/>
        </w:rPr>
        <w:lastRenderedPageBreak/>
        <w:t>Appendix: Adapted version of Metacognitions about Smoking Questionnaire (MSQ)</w:t>
      </w:r>
    </w:p>
    <w:p w14:paraId="5FC29E18" w14:textId="77777777" w:rsidR="003010BD" w:rsidRPr="006E4DCA" w:rsidRDefault="003010BD" w:rsidP="00011661">
      <w:pPr>
        <w:spacing w:line="240" w:lineRule="auto"/>
        <w:rPr>
          <w:b/>
          <w:szCs w:val="24"/>
        </w:rPr>
      </w:pPr>
      <w:proofErr w:type="spellStart"/>
      <w:r w:rsidRPr="006E4DCA">
        <w:rPr>
          <w:b/>
          <w:szCs w:val="24"/>
        </w:rPr>
        <w:t>Sigara</w:t>
      </w:r>
      <w:proofErr w:type="spellEnd"/>
      <w:r w:rsidRPr="006E4DCA">
        <w:rPr>
          <w:b/>
          <w:szCs w:val="24"/>
        </w:rPr>
        <w:t xml:space="preserve"> </w:t>
      </w:r>
      <w:proofErr w:type="spellStart"/>
      <w:r w:rsidRPr="006E4DCA">
        <w:rPr>
          <w:b/>
          <w:szCs w:val="24"/>
        </w:rPr>
        <w:t>İçmeyle</w:t>
      </w:r>
      <w:proofErr w:type="spellEnd"/>
      <w:r w:rsidRPr="006E4DCA">
        <w:rPr>
          <w:b/>
          <w:szCs w:val="24"/>
        </w:rPr>
        <w:t xml:space="preserve"> </w:t>
      </w:r>
      <w:proofErr w:type="spellStart"/>
      <w:r w:rsidRPr="006E4DCA">
        <w:rPr>
          <w:b/>
          <w:szCs w:val="24"/>
        </w:rPr>
        <w:t>ilgili</w:t>
      </w:r>
      <w:proofErr w:type="spellEnd"/>
      <w:r w:rsidRPr="006E4DCA">
        <w:rPr>
          <w:b/>
          <w:szCs w:val="24"/>
        </w:rPr>
        <w:t xml:space="preserve"> </w:t>
      </w:r>
      <w:proofErr w:type="spellStart"/>
      <w:r w:rsidRPr="006E4DCA">
        <w:rPr>
          <w:b/>
          <w:szCs w:val="24"/>
        </w:rPr>
        <w:t>Üstbilişsel</w:t>
      </w:r>
      <w:proofErr w:type="spellEnd"/>
      <w:r w:rsidRPr="006E4DCA">
        <w:rPr>
          <w:b/>
          <w:szCs w:val="24"/>
        </w:rPr>
        <w:t xml:space="preserve"> </w:t>
      </w:r>
      <w:proofErr w:type="spellStart"/>
      <w:r w:rsidRPr="006E4DCA">
        <w:rPr>
          <w:b/>
          <w:szCs w:val="24"/>
        </w:rPr>
        <w:t>İnanışlar</w:t>
      </w:r>
      <w:proofErr w:type="spellEnd"/>
      <w:r w:rsidRPr="006E4DCA">
        <w:rPr>
          <w:b/>
          <w:szCs w:val="24"/>
        </w:rPr>
        <w:t xml:space="preserve"> </w:t>
      </w:r>
      <w:proofErr w:type="spellStart"/>
      <w:r w:rsidRPr="006E4DCA">
        <w:rPr>
          <w:b/>
          <w:szCs w:val="24"/>
        </w:rPr>
        <w:t>Ölçeği</w:t>
      </w:r>
      <w:proofErr w:type="spellEnd"/>
      <w:r w:rsidRPr="006E4DCA">
        <w:rPr>
          <w:b/>
          <w:szCs w:val="24"/>
        </w:rPr>
        <w:t xml:space="preserve"> (SÜBÖ)</w:t>
      </w:r>
    </w:p>
    <w:p w14:paraId="4837E12D" w14:textId="77777777" w:rsidR="003010BD" w:rsidRPr="006E4DCA" w:rsidRDefault="003010BD" w:rsidP="00011661">
      <w:pPr>
        <w:spacing w:line="240" w:lineRule="auto"/>
        <w:rPr>
          <w:b/>
          <w:szCs w:val="24"/>
        </w:rPr>
      </w:pPr>
    </w:p>
    <w:p w14:paraId="22C65437" w14:textId="77777777" w:rsidR="003010BD" w:rsidRPr="006E4DCA" w:rsidRDefault="003010BD" w:rsidP="00011661">
      <w:pPr>
        <w:spacing w:line="276" w:lineRule="auto"/>
        <w:rPr>
          <w:sz w:val="21"/>
          <w:szCs w:val="24"/>
        </w:rPr>
      </w:pPr>
      <w:proofErr w:type="gramStart"/>
      <w:r w:rsidRPr="006E4DCA">
        <w:rPr>
          <w:sz w:val="21"/>
          <w:szCs w:val="24"/>
        </w:rPr>
        <w:t xml:space="preserve">Bu </w:t>
      </w:r>
      <w:proofErr w:type="spellStart"/>
      <w:r w:rsidRPr="006E4DCA">
        <w:rPr>
          <w:sz w:val="21"/>
          <w:szCs w:val="24"/>
        </w:rPr>
        <w:t>ölçek</w:t>
      </w:r>
      <w:proofErr w:type="spellEnd"/>
      <w:r w:rsidRPr="006E4DCA">
        <w:rPr>
          <w:sz w:val="21"/>
          <w:szCs w:val="24"/>
        </w:rPr>
        <w:t xml:space="preserve">, </w:t>
      </w:r>
      <w:proofErr w:type="spellStart"/>
      <w:r w:rsidRPr="006E4DCA">
        <w:rPr>
          <w:sz w:val="21"/>
          <w:szCs w:val="24"/>
        </w:rPr>
        <w:t>kişilerin</w:t>
      </w:r>
      <w:proofErr w:type="spellEnd"/>
      <w:r w:rsidRPr="006E4DCA">
        <w:rPr>
          <w:sz w:val="21"/>
          <w:szCs w:val="24"/>
        </w:rPr>
        <w:t xml:space="preserve"> </w:t>
      </w:r>
      <w:proofErr w:type="spellStart"/>
      <w:r w:rsidRPr="006E4DCA">
        <w:rPr>
          <w:sz w:val="21"/>
          <w:szCs w:val="24"/>
        </w:rPr>
        <w:t>sigara</w:t>
      </w:r>
      <w:proofErr w:type="spellEnd"/>
      <w:r w:rsidRPr="006E4DCA">
        <w:rPr>
          <w:sz w:val="21"/>
          <w:szCs w:val="24"/>
        </w:rPr>
        <w:t xml:space="preserve"> </w:t>
      </w:r>
      <w:proofErr w:type="spellStart"/>
      <w:r w:rsidRPr="006E4DCA">
        <w:rPr>
          <w:sz w:val="21"/>
          <w:szCs w:val="24"/>
        </w:rPr>
        <w:t>içmeyle</w:t>
      </w:r>
      <w:proofErr w:type="spellEnd"/>
      <w:r w:rsidRPr="006E4DCA">
        <w:rPr>
          <w:sz w:val="21"/>
          <w:szCs w:val="24"/>
        </w:rPr>
        <w:t xml:space="preserve"> </w:t>
      </w:r>
      <w:proofErr w:type="spellStart"/>
      <w:r w:rsidRPr="006E4DCA">
        <w:rPr>
          <w:sz w:val="21"/>
          <w:szCs w:val="24"/>
        </w:rPr>
        <w:t>ilgili</w:t>
      </w:r>
      <w:proofErr w:type="spellEnd"/>
      <w:r w:rsidRPr="006E4DCA">
        <w:rPr>
          <w:sz w:val="21"/>
          <w:szCs w:val="24"/>
        </w:rPr>
        <w:t xml:space="preserve"> </w:t>
      </w:r>
      <w:proofErr w:type="spellStart"/>
      <w:r w:rsidRPr="006E4DCA">
        <w:rPr>
          <w:sz w:val="21"/>
          <w:szCs w:val="24"/>
        </w:rPr>
        <w:t>inançlarını</w:t>
      </w:r>
      <w:proofErr w:type="spellEnd"/>
      <w:r w:rsidRPr="006E4DCA">
        <w:rPr>
          <w:sz w:val="21"/>
          <w:szCs w:val="24"/>
        </w:rPr>
        <w:t xml:space="preserve"> </w:t>
      </w:r>
      <w:proofErr w:type="spellStart"/>
      <w:r w:rsidRPr="006E4DCA">
        <w:rPr>
          <w:sz w:val="21"/>
          <w:szCs w:val="24"/>
        </w:rPr>
        <w:t>belirlemek</w:t>
      </w:r>
      <w:proofErr w:type="spellEnd"/>
      <w:r w:rsidRPr="006E4DCA">
        <w:rPr>
          <w:sz w:val="21"/>
          <w:szCs w:val="24"/>
        </w:rPr>
        <w:t xml:space="preserve"> </w:t>
      </w:r>
      <w:proofErr w:type="spellStart"/>
      <w:r w:rsidRPr="006E4DCA">
        <w:rPr>
          <w:sz w:val="21"/>
          <w:szCs w:val="24"/>
        </w:rPr>
        <w:t>üzere</w:t>
      </w:r>
      <w:proofErr w:type="spellEnd"/>
      <w:r w:rsidRPr="006E4DCA">
        <w:rPr>
          <w:sz w:val="21"/>
          <w:szCs w:val="24"/>
        </w:rPr>
        <w:t xml:space="preserve"> </w:t>
      </w:r>
      <w:proofErr w:type="spellStart"/>
      <w:r w:rsidRPr="006E4DCA">
        <w:rPr>
          <w:sz w:val="21"/>
          <w:szCs w:val="24"/>
        </w:rPr>
        <w:t>geliştirilmiştir</w:t>
      </w:r>
      <w:proofErr w:type="spellEnd"/>
      <w:r w:rsidRPr="006E4DCA">
        <w:rPr>
          <w:sz w:val="21"/>
          <w:szCs w:val="24"/>
        </w:rPr>
        <w:t>.</w:t>
      </w:r>
      <w:proofErr w:type="gramEnd"/>
      <w:r w:rsidRPr="006E4DCA">
        <w:rPr>
          <w:sz w:val="21"/>
          <w:szCs w:val="24"/>
        </w:rPr>
        <w:t xml:space="preserve"> </w:t>
      </w:r>
      <w:proofErr w:type="spellStart"/>
      <w:proofErr w:type="gramStart"/>
      <w:r w:rsidRPr="006E4DCA">
        <w:rPr>
          <w:sz w:val="21"/>
          <w:szCs w:val="24"/>
        </w:rPr>
        <w:t>Aşağıda</w:t>
      </w:r>
      <w:proofErr w:type="spellEnd"/>
      <w:r w:rsidRPr="006E4DCA">
        <w:rPr>
          <w:sz w:val="21"/>
          <w:szCs w:val="24"/>
        </w:rPr>
        <w:t xml:space="preserve"> </w:t>
      </w:r>
      <w:proofErr w:type="spellStart"/>
      <w:r w:rsidRPr="006E4DCA">
        <w:rPr>
          <w:sz w:val="21"/>
          <w:szCs w:val="24"/>
        </w:rPr>
        <w:t>insanların</w:t>
      </w:r>
      <w:proofErr w:type="spellEnd"/>
      <w:r w:rsidRPr="006E4DCA">
        <w:rPr>
          <w:sz w:val="21"/>
          <w:szCs w:val="24"/>
        </w:rPr>
        <w:t xml:space="preserve"> </w:t>
      </w:r>
      <w:proofErr w:type="spellStart"/>
      <w:r w:rsidRPr="006E4DCA">
        <w:rPr>
          <w:sz w:val="21"/>
          <w:szCs w:val="24"/>
        </w:rPr>
        <w:t>sigara</w:t>
      </w:r>
      <w:proofErr w:type="spellEnd"/>
      <w:r w:rsidRPr="006E4DCA">
        <w:rPr>
          <w:sz w:val="21"/>
          <w:szCs w:val="24"/>
        </w:rPr>
        <w:t xml:space="preserve"> </w:t>
      </w:r>
      <w:proofErr w:type="spellStart"/>
      <w:r w:rsidRPr="006E4DCA">
        <w:rPr>
          <w:sz w:val="21"/>
          <w:szCs w:val="24"/>
        </w:rPr>
        <w:t>içmeye</w:t>
      </w:r>
      <w:proofErr w:type="spellEnd"/>
      <w:r w:rsidRPr="006E4DCA">
        <w:rPr>
          <w:sz w:val="21"/>
          <w:szCs w:val="24"/>
        </w:rPr>
        <w:t xml:space="preserve"> </w:t>
      </w:r>
      <w:proofErr w:type="spellStart"/>
      <w:r w:rsidRPr="006E4DCA">
        <w:rPr>
          <w:sz w:val="21"/>
          <w:szCs w:val="24"/>
        </w:rPr>
        <w:t>dair</w:t>
      </w:r>
      <w:proofErr w:type="spellEnd"/>
      <w:r w:rsidRPr="006E4DCA">
        <w:rPr>
          <w:sz w:val="21"/>
          <w:szCs w:val="24"/>
        </w:rPr>
        <w:t xml:space="preserve"> </w:t>
      </w:r>
      <w:proofErr w:type="spellStart"/>
      <w:r w:rsidRPr="006E4DCA">
        <w:rPr>
          <w:sz w:val="21"/>
          <w:szCs w:val="24"/>
        </w:rPr>
        <w:t>ifade</w:t>
      </w:r>
      <w:proofErr w:type="spellEnd"/>
      <w:r w:rsidRPr="006E4DCA">
        <w:rPr>
          <w:sz w:val="21"/>
          <w:szCs w:val="24"/>
        </w:rPr>
        <w:t xml:space="preserve"> </w:t>
      </w:r>
      <w:proofErr w:type="spellStart"/>
      <w:r w:rsidRPr="006E4DCA">
        <w:rPr>
          <w:sz w:val="21"/>
          <w:szCs w:val="24"/>
        </w:rPr>
        <w:t>ettiği</w:t>
      </w:r>
      <w:proofErr w:type="spellEnd"/>
      <w:r w:rsidRPr="006E4DCA">
        <w:rPr>
          <w:sz w:val="21"/>
          <w:szCs w:val="24"/>
        </w:rPr>
        <w:t xml:space="preserve"> </w:t>
      </w:r>
      <w:proofErr w:type="spellStart"/>
      <w:r w:rsidRPr="006E4DCA">
        <w:rPr>
          <w:sz w:val="21"/>
          <w:szCs w:val="24"/>
        </w:rPr>
        <w:t>bazı</w:t>
      </w:r>
      <w:proofErr w:type="spellEnd"/>
      <w:r w:rsidRPr="006E4DCA">
        <w:rPr>
          <w:sz w:val="21"/>
          <w:szCs w:val="24"/>
        </w:rPr>
        <w:t xml:space="preserve"> </w:t>
      </w:r>
      <w:proofErr w:type="spellStart"/>
      <w:r w:rsidRPr="006E4DCA">
        <w:rPr>
          <w:sz w:val="21"/>
          <w:szCs w:val="24"/>
        </w:rPr>
        <w:t>inançlar</w:t>
      </w:r>
      <w:proofErr w:type="spellEnd"/>
      <w:r w:rsidRPr="006E4DCA">
        <w:rPr>
          <w:sz w:val="21"/>
          <w:szCs w:val="24"/>
        </w:rPr>
        <w:t xml:space="preserve"> </w:t>
      </w:r>
      <w:proofErr w:type="spellStart"/>
      <w:r w:rsidRPr="006E4DCA">
        <w:rPr>
          <w:sz w:val="21"/>
          <w:szCs w:val="24"/>
        </w:rPr>
        <w:t>sıralanmıştır</w:t>
      </w:r>
      <w:proofErr w:type="spellEnd"/>
      <w:r w:rsidRPr="006E4DCA">
        <w:rPr>
          <w:sz w:val="21"/>
          <w:szCs w:val="24"/>
        </w:rPr>
        <w:t>.</w:t>
      </w:r>
      <w:proofErr w:type="gramEnd"/>
      <w:r w:rsidRPr="006E4DCA">
        <w:rPr>
          <w:sz w:val="21"/>
          <w:szCs w:val="24"/>
        </w:rPr>
        <w:t xml:space="preserve"> </w:t>
      </w:r>
      <w:proofErr w:type="spellStart"/>
      <w:proofErr w:type="gramStart"/>
      <w:r w:rsidRPr="006E4DCA">
        <w:rPr>
          <w:sz w:val="21"/>
          <w:szCs w:val="24"/>
        </w:rPr>
        <w:t>Önce</w:t>
      </w:r>
      <w:proofErr w:type="spellEnd"/>
      <w:r w:rsidRPr="006E4DCA">
        <w:rPr>
          <w:sz w:val="21"/>
          <w:szCs w:val="24"/>
        </w:rPr>
        <w:t xml:space="preserve">, </w:t>
      </w:r>
      <w:proofErr w:type="spellStart"/>
      <w:r w:rsidRPr="006E4DCA">
        <w:rPr>
          <w:sz w:val="21"/>
          <w:szCs w:val="24"/>
        </w:rPr>
        <w:t>sigara</w:t>
      </w:r>
      <w:proofErr w:type="spellEnd"/>
      <w:r w:rsidRPr="006E4DCA">
        <w:rPr>
          <w:sz w:val="21"/>
          <w:szCs w:val="24"/>
        </w:rPr>
        <w:t xml:space="preserve"> </w:t>
      </w:r>
      <w:proofErr w:type="spellStart"/>
      <w:r w:rsidRPr="006E4DCA">
        <w:rPr>
          <w:sz w:val="21"/>
          <w:szCs w:val="24"/>
        </w:rPr>
        <w:t>içtiğiniz</w:t>
      </w:r>
      <w:proofErr w:type="spellEnd"/>
      <w:r w:rsidRPr="006E4DCA">
        <w:rPr>
          <w:sz w:val="21"/>
          <w:szCs w:val="24"/>
        </w:rPr>
        <w:t xml:space="preserve"> </w:t>
      </w:r>
      <w:proofErr w:type="spellStart"/>
      <w:r w:rsidRPr="006E4DCA">
        <w:rPr>
          <w:sz w:val="21"/>
          <w:szCs w:val="24"/>
        </w:rPr>
        <w:t>bir</w:t>
      </w:r>
      <w:proofErr w:type="spellEnd"/>
      <w:r w:rsidRPr="006E4DCA">
        <w:rPr>
          <w:sz w:val="21"/>
          <w:szCs w:val="24"/>
        </w:rPr>
        <w:t xml:space="preserve"> </w:t>
      </w:r>
      <w:proofErr w:type="spellStart"/>
      <w:r w:rsidRPr="006E4DCA">
        <w:rPr>
          <w:sz w:val="21"/>
          <w:szCs w:val="24"/>
        </w:rPr>
        <w:t>anı</w:t>
      </w:r>
      <w:proofErr w:type="spellEnd"/>
      <w:r w:rsidRPr="006E4DCA">
        <w:rPr>
          <w:sz w:val="21"/>
          <w:szCs w:val="24"/>
        </w:rPr>
        <w:t xml:space="preserve"> </w:t>
      </w:r>
      <w:proofErr w:type="spellStart"/>
      <w:r w:rsidRPr="006E4DCA">
        <w:rPr>
          <w:sz w:val="21"/>
          <w:szCs w:val="24"/>
        </w:rPr>
        <w:t>düşünmeye</w:t>
      </w:r>
      <w:proofErr w:type="spellEnd"/>
      <w:r w:rsidRPr="006E4DCA">
        <w:rPr>
          <w:sz w:val="21"/>
          <w:szCs w:val="24"/>
        </w:rPr>
        <w:t xml:space="preserve"> </w:t>
      </w:r>
      <w:proofErr w:type="spellStart"/>
      <w:r w:rsidRPr="006E4DCA">
        <w:rPr>
          <w:sz w:val="21"/>
          <w:szCs w:val="24"/>
        </w:rPr>
        <w:t>çalışın</w:t>
      </w:r>
      <w:proofErr w:type="spellEnd"/>
      <w:r w:rsidRPr="006E4DCA">
        <w:rPr>
          <w:sz w:val="21"/>
          <w:szCs w:val="24"/>
        </w:rPr>
        <w:t>.</w:t>
      </w:r>
      <w:proofErr w:type="gramEnd"/>
      <w:r w:rsidRPr="006E4DCA">
        <w:rPr>
          <w:sz w:val="21"/>
          <w:szCs w:val="24"/>
        </w:rPr>
        <w:t xml:space="preserve"> </w:t>
      </w:r>
      <w:proofErr w:type="spellStart"/>
      <w:r w:rsidRPr="006E4DCA">
        <w:rPr>
          <w:sz w:val="21"/>
          <w:szCs w:val="24"/>
        </w:rPr>
        <w:t>Sonra</w:t>
      </w:r>
      <w:proofErr w:type="spellEnd"/>
      <w:r w:rsidRPr="006E4DCA">
        <w:rPr>
          <w:sz w:val="21"/>
          <w:szCs w:val="24"/>
        </w:rPr>
        <w:t xml:space="preserve"> her </w:t>
      </w:r>
      <w:proofErr w:type="spellStart"/>
      <w:r w:rsidRPr="006E4DCA">
        <w:rPr>
          <w:sz w:val="21"/>
          <w:szCs w:val="24"/>
        </w:rPr>
        <w:t>maddeyi</w:t>
      </w:r>
      <w:proofErr w:type="spellEnd"/>
      <w:r w:rsidRPr="006E4DCA">
        <w:rPr>
          <w:sz w:val="21"/>
          <w:szCs w:val="24"/>
        </w:rPr>
        <w:t xml:space="preserve"> </w:t>
      </w:r>
      <w:proofErr w:type="spellStart"/>
      <w:r w:rsidRPr="006E4DCA">
        <w:rPr>
          <w:sz w:val="21"/>
          <w:szCs w:val="24"/>
        </w:rPr>
        <w:t>okuyun</w:t>
      </w:r>
      <w:proofErr w:type="spellEnd"/>
      <w:r w:rsidRPr="006E4DCA">
        <w:rPr>
          <w:sz w:val="21"/>
          <w:szCs w:val="24"/>
        </w:rPr>
        <w:t xml:space="preserve"> </w:t>
      </w:r>
      <w:proofErr w:type="spellStart"/>
      <w:r w:rsidRPr="006E4DCA">
        <w:rPr>
          <w:sz w:val="21"/>
          <w:szCs w:val="24"/>
        </w:rPr>
        <w:t>ve</w:t>
      </w:r>
      <w:proofErr w:type="spellEnd"/>
      <w:r w:rsidRPr="006E4DCA">
        <w:rPr>
          <w:sz w:val="21"/>
          <w:szCs w:val="24"/>
        </w:rPr>
        <w:t xml:space="preserve"> </w:t>
      </w:r>
      <w:proofErr w:type="spellStart"/>
      <w:r w:rsidRPr="006E4DCA">
        <w:rPr>
          <w:sz w:val="21"/>
          <w:szCs w:val="24"/>
        </w:rPr>
        <w:t>bu</w:t>
      </w:r>
      <w:proofErr w:type="spellEnd"/>
      <w:r w:rsidRPr="006E4DCA">
        <w:rPr>
          <w:sz w:val="21"/>
          <w:szCs w:val="24"/>
        </w:rPr>
        <w:t xml:space="preserve"> </w:t>
      </w:r>
      <w:proofErr w:type="spellStart"/>
      <w:r w:rsidRPr="006E4DCA">
        <w:rPr>
          <w:sz w:val="21"/>
          <w:szCs w:val="24"/>
        </w:rPr>
        <w:t>ifadeye</w:t>
      </w:r>
      <w:proofErr w:type="spellEnd"/>
      <w:r w:rsidRPr="006E4DCA">
        <w:rPr>
          <w:sz w:val="21"/>
          <w:szCs w:val="24"/>
        </w:rPr>
        <w:t xml:space="preserve"> </w:t>
      </w:r>
      <w:proofErr w:type="spellStart"/>
      <w:r w:rsidRPr="006E4DCA">
        <w:rPr>
          <w:sz w:val="21"/>
          <w:szCs w:val="24"/>
        </w:rPr>
        <w:t>genellikle</w:t>
      </w:r>
      <w:proofErr w:type="spellEnd"/>
      <w:r w:rsidRPr="006E4DCA">
        <w:rPr>
          <w:sz w:val="21"/>
          <w:szCs w:val="24"/>
        </w:rPr>
        <w:t xml:space="preserve"> ne </w:t>
      </w:r>
      <w:proofErr w:type="spellStart"/>
      <w:proofErr w:type="gramStart"/>
      <w:r w:rsidRPr="006E4DCA">
        <w:rPr>
          <w:sz w:val="21"/>
          <w:szCs w:val="24"/>
        </w:rPr>
        <w:t>kadar</w:t>
      </w:r>
      <w:proofErr w:type="spellEnd"/>
      <w:proofErr w:type="gramEnd"/>
      <w:r w:rsidRPr="006E4DCA">
        <w:rPr>
          <w:sz w:val="21"/>
          <w:szCs w:val="24"/>
        </w:rPr>
        <w:t xml:space="preserve"> </w:t>
      </w:r>
      <w:proofErr w:type="spellStart"/>
      <w:r w:rsidRPr="006E4DCA">
        <w:rPr>
          <w:sz w:val="21"/>
          <w:szCs w:val="24"/>
        </w:rPr>
        <w:t>katıldığınızı</w:t>
      </w:r>
      <w:proofErr w:type="spellEnd"/>
      <w:r w:rsidRPr="006E4DCA">
        <w:rPr>
          <w:sz w:val="21"/>
          <w:szCs w:val="24"/>
        </w:rPr>
        <w:t xml:space="preserve">, </w:t>
      </w:r>
      <w:proofErr w:type="spellStart"/>
      <w:r w:rsidRPr="006E4DCA">
        <w:rPr>
          <w:sz w:val="21"/>
          <w:szCs w:val="24"/>
        </w:rPr>
        <w:t>uygun</w:t>
      </w:r>
      <w:proofErr w:type="spellEnd"/>
      <w:r w:rsidRPr="006E4DCA">
        <w:rPr>
          <w:sz w:val="21"/>
          <w:szCs w:val="24"/>
        </w:rPr>
        <w:t xml:space="preserve"> </w:t>
      </w:r>
      <w:proofErr w:type="spellStart"/>
      <w:r w:rsidRPr="006E4DCA">
        <w:rPr>
          <w:sz w:val="21"/>
          <w:szCs w:val="24"/>
        </w:rPr>
        <w:t>sayıyı</w:t>
      </w:r>
      <w:proofErr w:type="spellEnd"/>
      <w:r w:rsidRPr="006E4DCA">
        <w:rPr>
          <w:sz w:val="21"/>
          <w:szCs w:val="24"/>
        </w:rPr>
        <w:t xml:space="preserve"> </w:t>
      </w:r>
      <w:proofErr w:type="spellStart"/>
      <w:r w:rsidRPr="006E4DCA">
        <w:rPr>
          <w:sz w:val="21"/>
          <w:szCs w:val="24"/>
        </w:rPr>
        <w:t>işaretleyerek</w:t>
      </w:r>
      <w:proofErr w:type="spellEnd"/>
      <w:r w:rsidRPr="006E4DCA">
        <w:rPr>
          <w:sz w:val="21"/>
          <w:szCs w:val="24"/>
        </w:rPr>
        <w:t xml:space="preserve"> </w:t>
      </w:r>
      <w:proofErr w:type="spellStart"/>
      <w:r w:rsidRPr="006E4DCA">
        <w:rPr>
          <w:sz w:val="21"/>
          <w:szCs w:val="24"/>
        </w:rPr>
        <w:t>belirleyin</w:t>
      </w:r>
      <w:proofErr w:type="spellEnd"/>
      <w:r w:rsidRPr="006E4DCA">
        <w:rPr>
          <w:sz w:val="21"/>
          <w:szCs w:val="24"/>
        </w:rPr>
        <w:t xml:space="preserve">. </w:t>
      </w:r>
      <w:proofErr w:type="spellStart"/>
      <w:proofErr w:type="gramStart"/>
      <w:r w:rsidRPr="006E4DCA">
        <w:rPr>
          <w:sz w:val="21"/>
          <w:szCs w:val="24"/>
        </w:rPr>
        <w:t>Lütfen</w:t>
      </w:r>
      <w:proofErr w:type="spellEnd"/>
      <w:r w:rsidRPr="006E4DCA">
        <w:rPr>
          <w:sz w:val="21"/>
          <w:szCs w:val="24"/>
        </w:rPr>
        <w:t xml:space="preserve"> </w:t>
      </w:r>
      <w:proofErr w:type="spellStart"/>
      <w:r w:rsidRPr="006E4DCA">
        <w:rPr>
          <w:sz w:val="21"/>
          <w:szCs w:val="24"/>
        </w:rPr>
        <w:t>bütün</w:t>
      </w:r>
      <w:proofErr w:type="spellEnd"/>
      <w:r w:rsidRPr="006E4DCA">
        <w:rPr>
          <w:sz w:val="21"/>
          <w:szCs w:val="24"/>
        </w:rPr>
        <w:t xml:space="preserve"> </w:t>
      </w:r>
      <w:proofErr w:type="spellStart"/>
      <w:r w:rsidRPr="006E4DCA">
        <w:rPr>
          <w:sz w:val="21"/>
          <w:szCs w:val="24"/>
        </w:rPr>
        <w:t>maddeleri</w:t>
      </w:r>
      <w:proofErr w:type="spellEnd"/>
      <w:r w:rsidRPr="006E4DCA">
        <w:rPr>
          <w:sz w:val="21"/>
          <w:szCs w:val="24"/>
        </w:rPr>
        <w:t xml:space="preserve"> </w:t>
      </w:r>
      <w:proofErr w:type="spellStart"/>
      <w:r w:rsidRPr="006E4DCA">
        <w:rPr>
          <w:sz w:val="21"/>
          <w:szCs w:val="24"/>
        </w:rPr>
        <w:t>işaretlemeye</w:t>
      </w:r>
      <w:proofErr w:type="spellEnd"/>
      <w:r w:rsidRPr="006E4DCA">
        <w:rPr>
          <w:sz w:val="21"/>
          <w:szCs w:val="24"/>
        </w:rPr>
        <w:t xml:space="preserve"> </w:t>
      </w:r>
      <w:proofErr w:type="spellStart"/>
      <w:r w:rsidRPr="006E4DCA">
        <w:rPr>
          <w:sz w:val="21"/>
          <w:szCs w:val="24"/>
        </w:rPr>
        <w:t>çalışın</w:t>
      </w:r>
      <w:proofErr w:type="spellEnd"/>
      <w:r w:rsidRPr="006E4DCA">
        <w:rPr>
          <w:sz w:val="21"/>
          <w:szCs w:val="24"/>
        </w:rPr>
        <w:t>.</w:t>
      </w:r>
      <w:proofErr w:type="gramEnd"/>
      <w:r w:rsidRPr="006E4DCA">
        <w:rPr>
          <w:sz w:val="21"/>
          <w:szCs w:val="24"/>
        </w:rPr>
        <w:t xml:space="preserve"> </w:t>
      </w:r>
      <w:proofErr w:type="spellStart"/>
      <w:proofErr w:type="gramStart"/>
      <w:r w:rsidRPr="006E4DCA">
        <w:rPr>
          <w:sz w:val="21"/>
          <w:szCs w:val="24"/>
        </w:rPr>
        <w:t>Maddelerin</w:t>
      </w:r>
      <w:proofErr w:type="spellEnd"/>
      <w:r w:rsidRPr="006E4DCA">
        <w:rPr>
          <w:sz w:val="21"/>
          <w:szCs w:val="24"/>
        </w:rPr>
        <w:t xml:space="preserve"> </w:t>
      </w:r>
      <w:proofErr w:type="spellStart"/>
      <w:r w:rsidRPr="006E4DCA">
        <w:rPr>
          <w:sz w:val="21"/>
          <w:szCs w:val="24"/>
        </w:rPr>
        <w:t>herhangi</w:t>
      </w:r>
      <w:proofErr w:type="spellEnd"/>
      <w:r w:rsidRPr="006E4DCA">
        <w:rPr>
          <w:sz w:val="21"/>
          <w:szCs w:val="24"/>
        </w:rPr>
        <w:t xml:space="preserve"> </w:t>
      </w:r>
      <w:proofErr w:type="spellStart"/>
      <w:r w:rsidRPr="006E4DCA">
        <w:rPr>
          <w:sz w:val="21"/>
          <w:szCs w:val="24"/>
        </w:rPr>
        <w:t>bir</w:t>
      </w:r>
      <w:proofErr w:type="spellEnd"/>
      <w:r w:rsidRPr="006E4DCA">
        <w:rPr>
          <w:sz w:val="21"/>
          <w:szCs w:val="24"/>
        </w:rPr>
        <w:t xml:space="preserve"> </w:t>
      </w:r>
      <w:proofErr w:type="spellStart"/>
      <w:r w:rsidRPr="006E4DCA">
        <w:rPr>
          <w:sz w:val="21"/>
          <w:szCs w:val="24"/>
        </w:rPr>
        <w:t>doğru</w:t>
      </w:r>
      <w:proofErr w:type="spellEnd"/>
      <w:r w:rsidRPr="006E4DCA">
        <w:rPr>
          <w:sz w:val="21"/>
          <w:szCs w:val="24"/>
        </w:rPr>
        <w:t xml:space="preserve"> </w:t>
      </w:r>
      <w:proofErr w:type="spellStart"/>
      <w:r w:rsidRPr="006E4DCA">
        <w:rPr>
          <w:sz w:val="21"/>
          <w:szCs w:val="24"/>
        </w:rPr>
        <w:t>ya</w:t>
      </w:r>
      <w:proofErr w:type="spellEnd"/>
      <w:r w:rsidRPr="006E4DCA">
        <w:rPr>
          <w:sz w:val="21"/>
          <w:szCs w:val="24"/>
        </w:rPr>
        <w:t xml:space="preserve"> da </w:t>
      </w:r>
      <w:proofErr w:type="spellStart"/>
      <w:r w:rsidRPr="006E4DCA">
        <w:rPr>
          <w:sz w:val="21"/>
          <w:szCs w:val="24"/>
        </w:rPr>
        <w:t>yanlış</w:t>
      </w:r>
      <w:proofErr w:type="spellEnd"/>
      <w:r w:rsidRPr="006E4DCA">
        <w:rPr>
          <w:sz w:val="21"/>
          <w:szCs w:val="24"/>
        </w:rPr>
        <w:t xml:space="preserve"> </w:t>
      </w:r>
      <w:proofErr w:type="spellStart"/>
      <w:r w:rsidRPr="006E4DCA">
        <w:rPr>
          <w:sz w:val="21"/>
          <w:szCs w:val="24"/>
        </w:rPr>
        <w:t>cevabı</w:t>
      </w:r>
      <w:proofErr w:type="spellEnd"/>
      <w:r w:rsidRPr="006E4DCA">
        <w:rPr>
          <w:sz w:val="21"/>
          <w:szCs w:val="24"/>
        </w:rPr>
        <w:t xml:space="preserve"> </w:t>
      </w:r>
      <w:proofErr w:type="spellStart"/>
      <w:r w:rsidRPr="006E4DCA">
        <w:rPr>
          <w:sz w:val="21"/>
          <w:szCs w:val="24"/>
        </w:rPr>
        <w:t>yoktur</w:t>
      </w:r>
      <w:proofErr w:type="spellEnd"/>
      <w:r w:rsidRPr="006E4DCA">
        <w:rPr>
          <w:sz w:val="21"/>
          <w:szCs w:val="24"/>
        </w:rPr>
        <w:t>.</w:t>
      </w:r>
      <w:proofErr w:type="gramEnd"/>
    </w:p>
    <w:tbl>
      <w:tblPr>
        <w:tblW w:w="9828" w:type="dxa"/>
        <w:tblLayout w:type="fixed"/>
        <w:tblLook w:val="04A0" w:firstRow="1" w:lastRow="0" w:firstColumn="1" w:lastColumn="0" w:noHBand="0" w:noVBand="1"/>
      </w:tblPr>
      <w:tblGrid>
        <w:gridCol w:w="4308"/>
        <w:gridCol w:w="1104"/>
        <w:gridCol w:w="1104"/>
        <w:gridCol w:w="1104"/>
        <w:gridCol w:w="1104"/>
        <w:gridCol w:w="1104"/>
      </w:tblGrid>
      <w:tr w:rsidR="007F60EA" w:rsidRPr="006E4DCA" w14:paraId="36CE3870" w14:textId="77777777" w:rsidTr="0091600E">
        <w:tc>
          <w:tcPr>
            <w:tcW w:w="4308" w:type="dxa"/>
            <w:tcBorders>
              <w:top w:val="single" w:sz="4" w:space="0" w:color="000000"/>
              <w:bottom w:val="single" w:sz="4" w:space="0" w:color="000000"/>
            </w:tcBorders>
          </w:tcPr>
          <w:p w14:paraId="141ECBB4" w14:textId="77777777" w:rsidR="007F60EA" w:rsidRPr="006E4DCA" w:rsidRDefault="007F60EA" w:rsidP="0091600E">
            <w:pPr>
              <w:tabs>
                <w:tab w:val="left" w:pos="8880"/>
              </w:tabs>
              <w:spacing w:line="240" w:lineRule="auto"/>
              <w:ind w:right="-40"/>
              <w:rPr>
                <w:szCs w:val="24"/>
              </w:rPr>
            </w:pPr>
          </w:p>
        </w:tc>
        <w:tc>
          <w:tcPr>
            <w:tcW w:w="1104" w:type="dxa"/>
            <w:tcBorders>
              <w:top w:val="single" w:sz="4" w:space="0" w:color="000000"/>
              <w:bottom w:val="single" w:sz="4" w:space="0" w:color="000000"/>
            </w:tcBorders>
          </w:tcPr>
          <w:p w14:paraId="7C79674B" w14:textId="7E9A8779" w:rsidR="007F60EA" w:rsidRPr="006E4DCA" w:rsidRDefault="007F60EA" w:rsidP="0091600E">
            <w:pPr>
              <w:tabs>
                <w:tab w:val="left" w:pos="8880"/>
              </w:tabs>
              <w:spacing w:line="240" w:lineRule="auto"/>
              <w:ind w:right="-40"/>
              <w:rPr>
                <w:sz w:val="16"/>
                <w:szCs w:val="24"/>
              </w:rPr>
            </w:pPr>
            <w:proofErr w:type="spellStart"/>
            <w:r w:rsidRPr="006E4DCA">
              <w:rPr>
                <w:rFonts w:eastAsia="Calibri"/>
                <w:iCs/>
                <w:sz w:val="16"/>
                <w:szCs w:val="24"/>
              </w:rPr>
              <w:t>Katılmıyorum</w:t>
            </w:r>
            <w:proofErr w:type="spellEnd"/>
          </w:p>
        </w:tc>
        <w:tc>
          <w:tcPr>
            <w:tcW w:w="1104" w:type="dxa"/>
            <w:tcBorders>
              <w:top w:val="single" w:sz="4" w:space="0" w:color="000000"/>
              <w:bottom w:val="single" w:sz="4" w:space="0" w:color="000000"/>
            </w:tcBorders>
          </w:tcPr>
          <w:p w14:paraId="4BE5F5B4" w14:textId="77777777" w:rsidR="007F60EA" w:rsidRPr="006E4DCA" w:rsidRDefault="007F60EA" w:rsidP="0091600E">
            <w:pPr>
              <w:spacing w:line="276" w:lineRule="auto"/>
              <w:rPr>
                <w:rFonts w:eastAsia="Calibri"/>
                <w:iCs/>
                <w:sz w:val="16"/>
                <w:szCs w:val="24"/>
              </w:rPr>
            </w:pPr>
            <w:proofErr w:type="spellStart"/>
            <w:r w:rsidRPr="006E4DCA">
              <w:rPr>
                <w:rFonts w:eastAsia="Calibri"/>
                <w:iCs/>
                <w:sz w:val="16"/>
                <w:szCs w:val="24"/>
              </w:rPr>
              <w:t>Biraz</w:t>
            </w:r>
            <w:proofErr w:type="spellEnd"/>
          </w:p>
          <w:p w14:paraId="587C9D35" w14:textId="500FCEE9" w:rsidR="007F60EA" w:rsidRPr="006E4DCA" w:rsidRDefault="007F60EA" w:rsidP="0091600E">
            <w:pPr>
              <w:tabs>
                <w:tab w:val="left" w:pos="8880"/>
              </w:tabs>
              <w:spacing w:line="240" w:lineRule="auto"/>
              <w:ind w:right="-40"/>
              <w:rPr>
                <w:sz w:val="16"/>
                <w:szCs w:val="24"/>
              </w:rPr>
            </w:pPr>
            <w:proofErr w:type="spellStart"/>
            <w:r w:rsidRPr="006E4DCA">
              <w:rPr>
                <w:rFonts w:eastAsia="Calibri"/>
                <w:iCs/>
                <w:sz w:val="16"/>
                <w:szCs w:val="24"/>
              </w:rPr>
              <w:t>Katılıyorum</w:t>
            </w:r>
            <w:proofErr w:type="spellEnd"/>
          </w:p>
        </w:tc>
        <w:tc>
          <w:tcPr>
            <w:tcW w:w="1104" w:type="dxa"/>
            <w:tcBorders>
              <w:top w:val="single" w:sz="4" w:space="0" w:color="000000"/>
              <w:bottom w:val="single" w:sz="4" w:space="0" w:color="000000"/>
            </w:tcBorders>
          </w:tcPr>
          <w:p w14:paraId="4B6F5FF6" w14:textId="77777777" w:rsidR="007F60EA" w:rsidRPr="006E4DCA" w:rsidRDefault="007F60EA" w:rsidP="0091600E">
            <w:pPr>
              <w:spacing w:line="276" w:lineRule="auto"/>
              <w:rPr>
                <w:rFonts w:eastAsia="Calibri"/>
                <w:iCs/>
                <w:sz w:val="16"/>
                <w:szCs w:val="24"/>
              </w:rPr>
            </w:pPr>
            <w:proofErr w:type="spellStart"/>
            <w:r w:rsidRPr="006E4DCA">
              <w:rPr>
                <w:rFonts w:eastAsia="Calibri"/>
                <w:iCs/>
                <w:sz w:val="16"/>
                <w:szCs w:val="24"/>
              </w:rPr>
              <w:t>Oldukça</w:t>
            </w:r>
            <w:proofErr w:type="spellEnd"/>
          </w:p>
          <w:p w14:paraId="3FA7E8EC" w14:textId="0AC13A5C" w:rsidR="007F60EA" w:rsidRPr="006E4DCA" w:rsidRDefault="007F60EA" w:rsidP="0091600E">
            <w:pPr>
              <w:tabs>
                <w:tab w:val="left" w:pos="8880"/>
              </w:tabs>
              <w:spacing w:line="240" w:lineRule="auto"/>
              <w:ind w:right="-40"/>
              <w:rPr>
                <w:sz w:val="16"/>
                <w:szCs w:val="24"/>
              </w:rPr>
            </w:pPr>
            <w:proofErr w:type="spellStart"/>
            <w:r w:rsidRPr="006E4DCA">
              <w:rPr>
                <w:rFonts w:eastAsia="Calibri"/>
                <w:iCs/>
                <w:sz w:val="16"/>
                <w:szCs w:val="24"/>
              </w:rPr>
              <w:t>Katılıyorum</w:t>
            </w:r>
            <w:proofErr w:type="spellEnd"/>
          </w:p>
        </w:tc>
        <w:tc>
          <w:tcPr>
            <w:tcW w:w="1104" w:type="dxa"/>
            <w:tcBorders>
              <w:top w:val="single" w:sz="4" w:space="0" w:color="000000"/>
              <w:bottom w:val="single" w:sz="4" w:space="0" w:color="000000"/>
            </w:tcBorders>
          </w:tcPr>
          <w:p w14:paraId="429C3545" w14:textId="77777777" w:rsidR="007F60EA" w:rsidRPr="006E4DCA" w:rsidRDefault="007F60EA" w:rsidP="0091600E">
            <w:pPr>
              <w:spacing w:line="276" w:lineRule="auto"/>
              <w:rPr>
                <w:sz w:val="16"/>
                <w:szCs w:val="24"/>
              </w:rPr>
            </w:pPr>
            <w:proofErr w:type="spellStart"/>
            <w:r w:rsidRPr="006E4DCA">
              <w:rPr>
                <w:sz w:val="16"/>
                <w:szCs w:val="24"/>
              </w:rPr>
              <w:t>Tamamen</w:t>
            </w:r>
            <w:proofErr w:type="spellEnd"/>
          </w:p>
          <w:p w14:paraId="279F8A71" w14:textId="7DB4670A" w:rsidR="007F60EA" w:rsidRPr="006E4DCA" w:rsidRDefault="007F60EA" w:rsidP="0091600E">
            <w:pPr>
              <w:tabs>
                <w:tab w:val="left" w:pos="8880"/>
              </w:tabs>
              <w:spacing w:line="240" w:lineRule="auto"/>
              <w:ind w:right="-40"/>
              <w:rPr>
                <w:sz w:val="16"/>
                <w:szCs w:val="24"/>
              </w:rPr>
            </w:pPr>
            <w:proofErr w:type="spellStart"/>
            <w:r w:rsidRPr="006E4DCA">
              <w:rPr>
                <w:sz w:val="16"/>
                <w:szCs w:val="24"/>
              </w:rPr>
              <w:t>Katılıyorum</w:t>
            </w:r>
            <w:proofErr w:type="spellEnd"/>
          </w:p>
        </w:tc>
        <w:tc>
          <w:tcPr>
            <w:tcW w:w="1104" w:type="dxa"/>
            <w:tcBorders>
              <w:top w:val="single" w:sz="4" w:space="0" w:color="000000"/>
              <w:bottom w:val="single" w:sz="4" w:space="0" w:color="000000"/>
            </w:tcBorders>
          </w:tcPr>
          <w:p w14:paraId="2E8EC953" w14:textId="4ED049F5" w:rsidR="007F60EA" w:rsidRPr="006E4DCA" w:rsidRDefault="007F60EA" w:rsidP="0091600E">
            <w:pPr>
              <w:tabs>
                <w:tab w:val="left" w:pos="8880"/>
              </w:tabs>
              <w:spacing w:line="240" w:lineRule="auto"/>
              <w:ind w:right="-40"/>
              <w:rPr>
                <w:sz w:val="16"/>
                <w:szCs w:val="24"/>
              </w:rPr>
            </w:pPr>
            <w:proofErr w:type="spellStart"/>
            <w:r w:rsidRPr="006E4DCA">
              <w:rPr>
                <w:sz w:val="16"/>
                <w:szCs w:val="24"/>
              </w:rPr>
              <w:t>Faktör</w:t>
            </w:r>
            <w:proofErr w:type="spellEnd"/>
          </w:p>
        </w:tc>
      </w:tr>
      <w:tr w:rsidR="007F60EA" w:rsidRPr="006E4DCA" w14:paraId="721B0896" w14:textId="77777777" w:rsidTr="0091600E">
        <w:tc>
          <w:tcPr>
            <w:tcW w:w="4308" w:type="dxa"/>
            <w:tcBorders>
              <w:top w:val="single" w:sz="4" w:space="0" w:color="000000"/>
            </w:tcBorders>
          </w:tcPr>
          <w:p w14:paraId="2057FEE0" w14:textId="003180AE"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daha</w:t>
            </w:r>
            <w:proofErr w:type="spellEnd"/>
            <w:r w:rsidRPr="006E4DCA">
              <w:rPr>
                <w:rFonts w:ascii="Times New Roman" w:hAnsi="Times New Roman"/>
                <w:iCs/>
                <w:sz w:val="24"/>
                <w:szCs w:val="24"/>
                <w:lang w:val="en-US"/>
              </w:rPr>
              <w:t xml:space="preserve"> net </w:t>
            </w:r>
            <w:proofErr w:type="spellStart"/>
            <w:r w:rsidRPr="006E4DCA">
              <w:rPr>
                <w:rFonts w:ascii="Times New Roman" w:hAnsi="Times New Roman"/>
                <w:iCs/>
                <w:sz w:val="24"/>
                <w:szCs w:val="24"/>
                <w:lang w:val="en-US"/>
              </w:rPr>
              <w:t>düşünmeme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yardımcı</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olur</w:t>
            </w:r>
            <w:proofErr w:type="spellEnd"/>
            <w:r w:rsidRPr="006E4DCA">
              <w:rPr>
                <w:rFonts w:ascii="Times New Roman" w:hAnsi="Times New Roman"/>
                <w:iCs/>
                <w:sz w:val="24"/>
                <w:szCs w:val="24"/>
                <w:lang w:val="en-US"/>
              </w:rPr>
              <w:t>.</w:t>
            </w:r>
          </w:p>
        </w:tc>
        <w:tc>
          <w:tcPr>
            <w:tcW w:w="1104" w:type="dxa"/>
            <w:tcBorders>
              <w:top w:val="single" w:sz="4" w:space="0" w:color="000000"/>
            </w:tcBorders>
          </w:tcPr>
          <w:p w14:paraId="6AD99736" w14:textId="77777777" w:rsidR="007F60EA" w:rsidRPr="006E4DCA" w:rsidRDefault="007F60EA" w:rsidP="0091600E">
            <w:pPr>
              <w:spacing w:line="240" w:lineRule="auto"/>
              <w:rPr>
                <w:szCs w:val="24"/>
              </w:rPr>
            </w:pPr>
            <w:r w:rsidRPr="006E4DCA">
              <w:rPr>
                <w:szCs w:val="24"/>
              </w:rPr>
              <w:t>1</w:t>
            </w:r>
          </w:p>
        </w:tc>
        <w:tc>
          <w:tcPr>
            <w:tcW w:w="1104" w:type="dxa"/>
            <w:tcBorders>
              <w:top w:val="single" w:sz="4" w:space="0" w:color="000000"/>
            </w:tcBorders>
          </w:tcPr>
          <w:p w14:paraId="388AE987" w14:textId="77777777" w:rsidR="007F60EA" w:rsidRPr="006E4DCA" w:rsidRDefault="007F60EA" w:rsidP="0091600E">
            <w:pPr>
              <w:spacing w:line="240" w:lineRule="auto"/>
              <w:rPr>
                <w:szCs w:val="24"/>
              </w:rPr>
            </w:pPr>
            <w:r w:rsidRPr="006E4DCA">
              <w:rPr>
                <w:szCs w:val="24"/>
              </w:rPr>
              <w:t>2</w:t>
            </w:r>
          </w:p>
        </w:tc>
        <w:tc>
          <w:tcPr>
            <w:tcW w:w="1104" w:type="dxa"/>
            <w:tcBorders>
              <w:top w:val="single" w:sz="4" w:space="0" w:color="000000"/>
            </w:tcBorders>
          </w:tcPr>
          <w:p w14:paraId="442DC413" w14:textId="77777777" w:rsidR="007F60EA" w:rsidRPr="006E4DCA" w:rsidRDefault="007F60EA" w:rsidP="0091600E">
            <w:pPr>
              <w:spacing w:line="240" w:lineRule="auto"/>
              <w:rPr>
                <w:szCs w:val="24"/>
              </w:rPr>
            </w:pPr>
            <w:r w:rsidRPr="006E4DCA">
              <w:rPr>
                <w:szCs w:val="24"/>
              </w:rPr>
              <w:t>3</w:t>
            </w:r>
          </w:p>
        </w:tc>
        <w:tc>
          <w:tcPr>
            <w:tcW w:w="1104" w:type="dxa"/>
            <w:tcBorders>
              <w:top w:val="single" w:sz="4" w:space="0" w:color="000000"/>
            </w:tcBorders>
          </w:tcPr>
          <w:p w14:paraId="2AC7D330" w14:textId="77777777" w:rsidR="007F60EA" w:rsidRPr="006E4DCA" w:rsidRDefault="007F60EA" w:rsidP="0091600E">
            <w:pPr>
              <w:spacing w:line="240" w:lineRule="auto"/>
              <w:rPr>
                <w:szCs w:val="24"/>
              </w:rPr>
            </w:pPr>
            <w:r w:rsidRPr="006E4DCA">
              <w:rPr>
                <w:szCs w:val="24"/>
              </w:rPr>
              <w:t>4</w:t>
            </w:r>
          </w:p>
        </w:tc>
        <w:tc>
          <w:tcPr>
            <w:tcW w:w="1104" w:type="dxa"/>
            <w:tcBorders>
              <w:top w:val="single" w:sz="4" w:space="0" w:color="000000"/>
            </w:tcBorders>
          </w:tcPr>
          <w:p w14:paraId="4EFD9A73" w14:textId="17CA0481" w:rsidR="007F60EA" w:rsidRPr="006E4DCA" w:rsidRDefault="007F60EA" w:rsidP="0091600E">
            <w:pPr>
              <w:tabs>
                <w:tab w:val="left" w:pos="8880"/>
              </w:tabs>
              <w:spacing w:line="240" w:lineRule="auto"/>
              <w:ind w:right="-40"/>
              <w:rPr>
                <w:sz w:val="18"/>
                <w:szCs w:val="24"/>
              </w:rPr>
            </w:pPr>
            <w:r w:rsidRPr="006E4DCA">
              <w:rPr>
                <w:sz w:val="18"/>
                <w:szCs w:val="18"/>
              </w:rPr>
              <w:t>SÜBÖ-BDP</w:t>
            </w:r>
          </w:p>
        </w:tc>
      </w:tr>
      <w:tr w:rsidR="007F60EA" w:rsidRPr="006E4DCA" w14:paraId="42B39A46" w14:textId="77777777" w:rsidTr="0091600E">
        <w:tc>
          <w:tcPr>
            <w:tcW w:w="4308" w:type="dxa"/>
          </w:tcPr>
          <w:p w14:paraId="12256864" w14:textId="6B12EA37"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huzursuz</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olduğumda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rahatlamama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yardımcı</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olur</w:t>
            </w:r>
            <w:proofErr w:type="spellEnd"/>
            <w:r w:rsidRPr="006E4DCA">
              <w:rPr>
                <w:rFonts w:ascii="Times New Roman" w:hAnsi="Times New Roman"/>
                <w:iCs/>
                <w:sz w:val="24"/>
                <w:szCs w:val="24"/>
                <w:lang w:val="en-US"/>
              </w:rPr>
              <w:t>.</w:t>
            </w:r>
          </w:p>
        </w:tc>
        <w:tc>
          <w:tcPr>
            <w:tcW w:w="1104" w:type="dxa"/>
          </w:tcPr>
          <w:p w14:paraId="40228E95" w14:textId="77777777" w:rsidR="007F60EA" w:rsidRPr="006E4DCA" w:rsidRDefault="007F60EA" w:rsidP="0091600E">
            <w:pPr>
              <w:spacing w:line="240" w:lineRule="auto"/>
              <w:rPr>
                <w:szCs w:val="24"/>
              </w:rPr>
            </w:pPr>
            <w:r w:rsidRPr="006E4DCA">
              <w:rPr>
                <w:szCs w:val="24"/>
              </w:rPr>
              <w:t>1</w:t>
            </w:r>
          </w:p>
        </w:tc>
        <w:tc>
          <w:tcPr>
            <w:tcW w:w="1104" w:type="dxa"/>
          </w:tcPr>
          <w:p w14:paraId="08C4C432" w14:textId="77777777" w:rsidR="007F60EA" w:rsidRPr="006E4DCA" w:rsidRDefault="007F60EA" w:rsidP="0091600E">
            <w:pPr>
              <w:spacing w:line="240" w:lineRule="auto"/>
              <w:rPr>
                <w:szCs w:val="24"/>
              </w:rPr>
            </w:pPr>
            <w:r w:rsidRPr="006E4DCA">
              <w:rPr>
                <w:szCs w:val="24"/>
              </w:rPr>
              <w:t>2</w:t>
            </w:r>
          </w:p>
        </w:tc>
        <w:tc>
          <w:tcPr>
            <w:tcW w:w="1104" w:type="dxa"/>
          </w:tcPr>
          <w:p w14:paraId="7FA77260" w14:textId="77777777" w:rsidR="007F60EA" w:rsidRPr="006E4DCA" w:rsidRDefault="007F60EA" w:rsidP="0091600E">
            <w:pPr>
              <w:spacing w:line="240" w:lineRule="auto"/>
              <w:rPr>
                <w:szCs w:val="24"/>
              </w:rPr>
            </w:pPr>
            <w:r w:rsidRPr="006E4DCA">
              <w:rPr>
                <w:szCs w:val="24"/>
              </w:rPr>
              <w:t>3</w:t>
            </w:r>
          </w:p>
        </w:tc>
        <w:tc>
          <w:tcPr>
            <w:tcW w:w="1104" w:type="dxa"/>
          </w:tcPr>
          <w:p w14:paraId="55DBC043" w14:textId="77777777" w:rsidR="007F60EA" w:rsidRPr="006E4DCA" w:rsidRDefault="007F60EA" w:rsidP="0091600E">
            <w:pPr>
              <w:spacing w:line="240" w:lineRule="auto"/>
              <w:rPr>
                <w:szCs w:val="24"/>
              </w:rPr>
            </w:pPr>
            <w:r w:rsidRPr="006E4DCA">
              <w:rPr>
                <w:szCs w:val="24"/>
              </w:rPr>
              <w:t>4</w:t>
            </w:r>
          </w:p>
        </w:tc>
        <w:tc>
          <w:tcPr>
            <w:tcW w:w="1104" w:type="dxa"/>
          </w:tcPr>
          <w:p w14:paraId="6A6BC00D" w14:textId="05612893" w:rsidR="007F60EA" w:rsidRPr="006E4DCA" w:rsidRDefault="007F60EA" w:rsidP="0091600E">
            <w:pPr>
              <w:tabs>
                <w:tab w:val="left" w:pos="8880"/>
              </w:tabs>
              <w:spacing w:line="240" w:lineRule="auto"/>
              <w:ind w:right="-40"/>
              <w:rPr>
                <w:sz w:val="18"/>
                <w:szCs w:val="24"/>
              </w:rPr>
            </w:pPr>
            <w:r w:rsidRPr="006E4DCA">
              <w:rPr>
                <w:sz w:val="18"/>
                <w:szCs w:val="18"/>
              </w:rPr>
              <w:t>SÜBÖ-DDP</w:t>
            </w:r>
          </w:p>
        </w:tc>
      </w:tr>
      <w:tr w:rsidR="007F60EA" w:rsidRPr="006E4DCA" w14:paraId="3B3FC226" w14:textId="77777777" w:rsidTr="0091600E">
        <w:tc>
          <w:tcPr>
            <w:tcW w:w="4308" w:type="dxa"/>
          </w:tcPr>
          <w:p w14:paraId="7F324A50" w14:textId="32D7C9A3"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irademin</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zayıf</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olduğunu</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gösterir</w:t>
            </w:r>
            <w:proofErr w:type="spellEnd"/>
            <w:r w:rsidRPr="006E4DCA">
              <w:rPr>
                <w:rFonts w:ascii="Times New Roman" w:hAnsi="Times New Roman"/>
                <w:iCs/>
                <w:sz w:val="24"/>
                <w:szCs w:val="24"/>
                <w:lang w:val="en-US"/>
              </w:rPr>
              <w:t>.</w:t>
            </w:r>
          </w:p>
        </w:tc>
        <w:tc>
          <w:tcPr>
            <w:tcW w:w="1104" w:type="dxa"/>
          </w:tcPr>
          <w:p w14:paraId="4759EBED" w14:textId="77777777" w:rsidR="007F60EA" w:rsidRPr="006E4DCA" w:rsidRDefault="007F60EA" w:rsidP="0091600E">
            <w:pPr>
              <w:spacing w:line="240" w:lineRule="auto"/>
              <w:rPr>
                <w:szCs w:val="24"/>
              </w:rPr>
            </w:pPr>
            <w:r w:rsidRPr="006E4DCA">
              <w:rPr>
                <w:szCs w:val="24"/>
              </w:rPr>
              <w:t>1</w:t>
            </w:r>
          </w:p>
        </w:tc>
        <w:tc>
          <w:tcPr>
            <w:tcW w:w="1104" w:type="dxa"/>
          </w:tcPr>
          <w:p w14:paraId="5FBCCF84" w14:textId="77777777" w:rsidR="007F60EA" w:rsidRPr="006E4DCA" w:rsidRDefault="007F60EA" w:rsidP="0091600E">
            <w:pPr>
              <w:spacing w:line="240" w:lineRule="auto"/>
              <w:rPr>
                <w:szCs w:val="24"/>
              </w:rPr>
            </w:pPr>
            <w:r w:rsidRPr="006E4DCA">
              <w:rPr>
                <w:szCs w:val="24"/>
              </w:rPr>
              <w:t>2</w:t>
            </w:r>
          </w:p>
        </w:tc>
        <w:tc>
          <w:tcPr>
            <w:tcW w:w="1104" w:type="dxa"/>
          </w:tcPr>
          <w:p w14:paraId="6971F4C9" w14:textId="77777777" w:rsidR="007F60EA" w:rsidRPr="006E4DCA" w:rsidRDefault="007F60EA" w:rsidP="0091600E">
            <w:pPr>
              <w:spacing w:line="240" w:lineRule="auto"/>
              <w:rPr>
                <w:szCs w:val="24"/>
              </w:rPr>
            </w:pPr>
            <w:r w:rsidRPr="006E4DCA">
              <w:rPr>
                <w:szCs w:val="24"/>
              </w:rPr>
              <w:t>3</w:t>
            </w:r>
          </w:p>
        </w:tc>
        <w:tc>
          <w:tcPr>
            <w:tcW w:w="1104" w:type="dxa"/>
          </w:tcPr>
          <w:p w14:paraId="53C8AA32" w14:textId="77777777" w:rsidR="007F60EA" w:rsidRPr="006E4DCA" w:rsidRDefault="007F60EA" w:rsidP="0091600E">
            <w:pPr>
              <w:spacing w:line="240" w:lineRule="auto"/>
              <w:rPr>
                <w:szCs w:val="24"/>
              </w:rPr>
            </w:pPr>
            <w:r w:rsidRPr="006E4DCA">
              <w:rPr>
                <w:szCs w:val="24"/>
              </w:rPr>
              <w:t>4</w:t>
            </w:r>
          </w:p>
        </w:tc>
        <w:tc>
          <w:tcPr>
            <w:tcW w:w="1104" w:type="dxa"/>
          </w:tcPr>
          <w:p w14:paraId="54361E93" w14:textId="6A947F45" w:rsidR="007F60EA" w:rsidRPr="006E4DCA" w:rsidRDefault="007F60EA" w:rsidP="0091600E">
            <w:pPr>
              <w:tabs>
                <w:tab w:val="left" w:pos="8880"/>
              </w:tabs>
              <w:spacing w:line="240" w:lineRule="auto"/>
              <w:ind w:right="-40"/>
              <w:rPr>
                <w:sz w:val="18"/>
                <w:szCs w:val="24"/>
              </w:rPr>
            </w:pPr>
            <w:r w:rsidRPr="006E4DCA">
              <w:rPr>
                <w:sz w:val="18"/>
                <w:szCs w:val="18"/>
              </w:rPr>
              <w:t>SÜBÖ-KEN</w:t>
            </w:r>
          </w:p>
        </w:tc>
      </w:tr>
      <w:tr w:rsidR="007F60EA" w:rsidRPr="006E4DCA" w14:paraId="017DB8CD" w14:textId="77777777" w:rsidTr="0091600E">
        <w:tc>
          <w:tcPr>
            <w:tcW w:w="4308" w:type="dxa"/>
          </w:tcPr>
          <w:p w14:paraId="1807EFFE" w14:textId="32BBDDD6"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içmekle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ilgili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böylesine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çok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düşünmek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bir</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şeyleri</w:t>
            </w:r>
            <w:proofErr w:type="spellEnd"/>
            <w:r w:rsidRPr="006E4DCA">
              <w:rPr>
                <w:rFonts w:ascii="Times New Roman" w:hAnsi="Times New Roman"/>
                <w:iCs/>
                <w:sz w:val="24"/>
                <w:szCs w:val="24"/>
                <w:lang w:val="en-US"/>
              </w:rPr>
              <w:t xml:space="preserve"> net </w:t>
            </w:r>
            <w:proofErr w:type="spellStart"/>
            <w:r w:rsidRPr="006E4DCA">
              <w:rPr>
                <w:rFonts w:ascii="Times New Roman" w:hAnsi="Times New Roman"/>
                <w:iCs/>
                <w:sz w:val="24"/>
                <w:szCs w:val="24"/>
                <w:lang w:val="en-US"/>
              </w:rPr>
              <w:t>bir</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şekilde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anlamamı</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engeller</w:t>
            </w:r>
            <w:proofErr w:type="spellEnd"/>
            <w:r w:rsidRPr="006E4DCA">
              <w:rPr>
                <w:rFonts w:ascii="Times New Roman" w:hAnsi="Times New Roman"/>
                <w:iCs/>
                <w:sz w:val="24"/>
                <w:szCs w:val="24"/>
                <w:lang w:val="en-US"/>
              </w:rPr>
              <w:t>.</w:t>
            </w:r>
          </w:p>
        </w:tc>
        <w:tc>
          <w:tcPr>
            <w:tcW w:w="1104" w:type="dxa"/>
          </w:tcPr>
          <w:p w14:paraId="038EA1FE" w14:textId="77777777" w:rsidR="007F60EA" w:rsidRPr="006E4DCA" w:rsidRDefault="007F60EA" w:rsidP="0091600E">
            <w:pPr>
              <w:spacing w:line="240" w:lineRule="auto"/>
              <w:rPr>
                <w:szCs w:val="24"/>
              </w:rPr>
            </w:pPr>
            <w:r w:rsidRPr="006E4DCA">
              <w:rPr>
                <w:szCs w:val="24"/>
              </w:rPr>
              <w:t>1</w:t>
            </w:r>
          </w:p>
        </w:tc>
        <w:tc>
          <w:tcPr>
            <w:tcW w:w="1104" w:type="dxa"/>
          </w:tcPr>
          <w:p w14:paraId="11E94207" w14:textId="77777777" w:rsidR="007F60EA" w:rsidRPr="006E4DCA" w:rsidRDefault="007F60EA" w:rsidP="0091600E">
            <w:pPr>
              <w:spacing w:line="240" w:lineRule="auto"/>
              <w:rPr>
                <w:szCs w:val="24"/>
              </w:rPr>
            </w:pPr>
            <w:r w:rsidRPr="006E4DCA">
              <w:rPr>
                <w:szCs w:val="24"/>
              </w:rPr>
              <w:t>2</w:t>
            </w:r>
          </w:p>
        </w:tc>
        <w:tc>
          <w:tcPr>
            <w:tcW w:w="1104" w:type="dxa"/>
          </w:tcPr>
          <w:p w14:paraId="3C96B539" w14:textId="77777777" w:rsidR="007F60EA" w:rsidRPr="006E4DCA" w:rsidRDefault="007F60EA" w:rsidP="0091600E">
            <w:pPr>
              <w:spacing w:line="240" w:lineRule="auto"/>
              <w:rPr>
                <w:szCs w:val="24"/>
              </w:rPr>
            </w:pPr>
            <w:r w:rsidRPr="006E4DCA">
              <w:rPr>
                <w:szCs w:val="24"/>
              </w:rPr>
              <w:t>3</w:t>
            </w:r>
          </w:p>
        </w:tc>
        <w:tc>
          <w:tcPr>
            <w:tcW w:w="1104" w:type="dxa"/>
          </w:tcPr>
          <w:p w14:paraId="7CB32BC3" w14:textId="77777777" w:rsidR="007F60EA" w:rsidRPr="006E4DCA" w:rsidRDefault="007F60EA" w:rsidP="0091600E">
            <w:pPr>
              <w:spacing w:line="240" w:lineRule="auto"/>
              <w:rPr>
                <w:szCs w:val="24"/>
              </w:rPr>
            </w:pPr>
            <w:r w:rsidRPr="006E4DCA">
              <w:rPr>
                <w:szCs w:val="24"/>
              </w:rPr>
              <w:t>4</w:t>
            </w:r>
          </w:p>
        </w:tc>
        <w:tc>
          <w:tcPr>
            <w:tcW w:w="1104" w:type="dxa"/>
          </w:tcPr>
          <w:p w14:paraId="00A2D2CD" w14:textId="78471839" w:rsidR="007F60EA" w:rsidRPr="006E4DCA" w:rsidRDefault="007F60EA" w:rsidP="0091600E">
            <w:pPr>
              <w:tabs>
                <w:tab w:val="left" w:pos="8880"/>
              </w:tabs>
              <w:spacing w:line="240" w:lineRule="auto"/>
              <w:ind w:right="-40"/>
              <w:rPr>
                <w:sz w:val="18"/>
                <w:szCs w:val="24"/>
              </w:rPr>
            </w:pPr>
            <w:r w:rsidRPr="006E4DCA">
              <w:rPr>
                <w:sz w:val="18"/>
                <w:szCs w:val="18"/>
              </w:rPr>
              <w:t>SÜBÖ-BEN</w:t>
            </w:r>
          </w:p>
        </w:tc>
      </w:tr>
      <w:tr w:rsidR="007F60EA" w:rsidRPr="006E4DCA" w14:paraId="2385D9BE" w14:textId="77777777" w:rsidTr="0091600E">
        <w:tc>
          <w:tcPr>
            <w:tcW w:w="4308" w:type="dxa"/>
          </w:tcPr>
          <w:p w14:paraId="4F273809" w14:textId="0D9045DE"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odaklanmama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yardımcı</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olur</w:t>
            </w:r>
            <w:proofErr w:type="spellEnd"/>
            <w:r w:rsidRPr="006E4DCA">
              <w:rPr>
                <w:rFonts w:ascii="Times New Roman" w:hAnsi="Times New Roman"/>
                <w:iCs/>
                <w:sz w:val="24"/>
                <w:szCs w:val="24"/>
                <w:lang w:val="en-US"/>
              </w:rPr>
              <w:t>.</w:t>
            </w:r>
          </w:p>
        </w:tc>
        <w:tc>
          <w:tcPr>
            <w:tcW w:w="1104" w:type="dxa"/>
          </w:tcPr>
          <w:p w14:paraId="2E9D9303" w14:textId="77777777" w:rsidR="007F60EA" w:rsidRPr="006E4DCA" w:rsidRDefault="007F60EA" w:rsidP="0091600E">
            <w:pPr>
              <w:spacing w:line="240" w:lineRule="auto"/>
              <w:rPr>
                <w:szCs w:val="24"/>
              </w:rPr>
            </w:pPr>
            <w:r w:rsidRPr="006E4DCA">
              <w:rPr>
                <w:szCs w:val="24"/>
              </w:rPr>
              <w:t>1</w:t>
            </w:r>
          </w:p>
        </w:tc>
        <w:tc>
          <w:tcPr>
            <w:tcW w:w="1104" w:type="dxa"/>
          </w:tcPr>
          <w:p w14:paraId="6E1DAE3B" w14:textId="77777777" w:rsidR="007F60EA" w:rsidRPr="006E4DCA" w:rsidRDefault="007F60EA" w:rsidP="0091600E">
            <w:pPr>
              <w:spacing w:line="240" w:lineRule="auto"/>
              <w:rPr>
                <w:szCs w:val="24"/>
              </w:rPr>
            </w:pPr>
            <w:r w:rsidRPr="006E4DCA">
              <w:rPr>
                <w:szCs w:val="24"/>
              </w:rPr>
              <w:t>2</w:t>
            </w:r>
          </w:p>
        </w:tc>
        <w:tc>
          <w:tcPr>
            <w:tcW w:w="1104" w:type="dxa"/>
          </w:tcPr>
          <w:p w14:paraId="03B20CF7" w14:textId="77777777" w:rsidR="007F60EA" w:rsidRPr="006E4DCA" w:rsidRDefault="007F60EA" w:rsidP="0091600E">
            <w:pPr>
              <w:spacing w:line="240" w:lineRule="auto"/>
              <w:rPr>
                <w:szCs w:val="24"/>
              </w:rPr>
            </w:pPr>
            <w:r w:rsidRPr="006E4DCA">
              <w:rPr>
                <w:szCs w:val="24"/>
              </w:rPr>
              <w:t>3</w:t>
            </w:r>
          </w:p>
        </w:tc>
        <w:tc>
          <w:tcPr>
            <w:tcW w:w="1104" w:type="dxa"/>
          </w:tcPr>
          <w:p w14:paraId="60A81933" w14:textId="77777777" w:rsidR="007F60EA" w:rsidRPr="006E4DCA" w:rsidRDefault="007F60EA" w:rsidP="0091600E">
            <w:pPr>
              <w:spacing w:line="240" w:lineRule="auto"/>
              <w:rPr>
                <w:szCs w:val="24"/>
              </w:rPr>
            </w:pPr>
            <w:r w:rsidRPr="006E4DCA">
              <w:rPr>
                <w:szCs w:val="24"/>
              </w:rPr>
              <w:t>4</w:t>
            </w:r>
          </w:p>
        </w:tc>
        <w:tc>
          <w:tcPr>
            <w:tcW w:w="1104" w:type="dxa"/>
          </w:tcPr>
          <w:p w14:paraId="2BDB9F95" w14:textId="760C18CA" w:rsidR="007F60EA" w:rsidRPr="006E4DCA" w:rsidRDefault="007F60EA" w:rsidP="0091600E">
            <w:pPr>
              <w:tabs>
                <w:tab w:val="left" w:pos="8880"/>
              </w:tabs>
              <w:spacing w:line="240" w:lineRule="auto"/>
              <w:ind w:right="-40"/>
              <w:rPr>
                <w:sz w:val="18"/>
                <w:szCs w:val="24"/>
              </w:rPr>
            </w:pPr>
            <w:r w:rsidRPr="006E4DCA">
              <w:rPr>
                <w:sz w:val="18"/>
                <w:szCs w:val="18"/>
              </w:rPr>
              <w:t>SÜBÖ-BDP</w:t>
            </w:r>
          </w:p>
        </w:tc>
      </w:tr>
      <w:tr w:rsidR="007F60EA" w:rsidRPr="006E4DCA" w14:paraId="684E1396" w14:textId="77777777" w:rsidTr="0091600E">
        <w:tc>
          <w:tcPr>
            <w:tcW w:w="4308" w:type="dxa"/>
          </w:tcPr>
          <w:p w14:paraId="60FF13DB" w14:textId="73868E61"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Stresli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olduğum</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zamanlarda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proofErr w:type="gramStart"/>
            <w:r w:rsidRPr="006E4DCA">
              <w:rPr>
                <w:rFonts w:ascii="Times New Roman" w:hAnsi="Times New Roman"/>
                <w:iCs/>
                <w:sz w:val="24"/>
                <w:szCs w:val="24"/>
                <w:lang w:val="en-US"/>
              </w:rPr>
              <w:t>beni</w:t>
            </w:r>
            <w:proofErr w:type="spellEnd"/>
            <w:proofErr w:type="gram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sakinleştirir</w:t>
            </w:r>
            <w:proofErr w:type="spellEnd"/>
            <w:r w:rsidRPr="006E4DCA">
              <w:rPr>
                <w:rFonts w:ascii="Times New Roman" w:hAnsi="Times New Roman"/>
                <w:iCs/>
                <w:sz w:val="24"/>
                <w:szCs w:val="24"/>
                <w:lang w:val="en-US"/>
              </w:rPr>
              <w:t>.</w:t>
            </w:r>
          </w:p>
        </w:tc>
        <w:tc>
          <w:tcPr>
            <w:tcW w:w="1104" w:type="dxa"/>
          </w:tcPr>
          <w:p w14:paraId="34A99D7D" w14:textId="77777777" w:rsidR="007F60EA" w:rsidRPr="006E4DCA" w:rsidRDefault="007F60EA" w:rsidP="0091600E">
            <w:pPr>
              <w:spacing w:line="240" w:lineRule="auto"/>
              <w:rPr>
                <w:szCs w:val="24"/>
              </w:rPr>
            </w:pPr>
            <w:r w:rsidRPr="006E4DCA">
              <w:rPr>
                <w:szCs w:val="24"/>
              </w:rPr>
              <w:t>1</w:t>
            </w:r>
          </w:p>
        </w:tc>
        <w:tc>
          <w:tcPr>
            <w:tcW w:w="1104" w:type="dxa"/>
          </w:tcPr>
          <w:p w14:paraId="6A0B9196" w14:textId="77777777" w:rsidR="007F60EA" w:rsidRPr="006E4DCA" w:rsidRDefault="007F60EA" w:rsidP="0091600E">
            <w:pPr>
              <w:spacing w:line="240" w:lineRule="auto"/>
              <w:rPr>
                <w:szCs w:val="24"/>
              </w:rPr>
            </w:pPr>
            <w:r w:rsidRPr="006E4DCA">
              <w:rPr>
                <w:szCs w:val="24"/>
              </w:rPr>
              <w:t>2</w:t>
            </w:r>
          </w:p>
        </w:tc>
        <w:tc>
          <w:tcPr>
            <w:tcW w:w="1104" w:type="dxa"/>
          </w:tcPr>
          <w:p w14:paraId="58DD04C7" w14:textId="77777777" w:rsidR="007F60EA" w:rsidRPr="006E4DCA" w:rsidRDefault="007F60EA" w:rsidP="0091600E">
            <w:pPr>
              <w:spacing w:line="240" w:lineRule="auto"/>
              <w:rPr>
                <w:szCs w:val="24"/>
              </w:rPr>
            </w:pPr>
            <w:r w:rsidRPr="006E4DCA">
              <w:rPr>
                <w:szCs w:val="24"/>
              </w:rPr>
              <w:t>3</w:t>
            </w:r>
          </w:p>
        </w:tc>
        <w:tc>
          <w:tcPr>
            <w:tcW w:w="1104" w:type="dxa"/>
          </w:tcPr>
          <w:p w14:paraId="320D259A" w14:textId="77777777" w:rsidR="007F60EA" w:rsidRPr="006E4DCA" w:rsidRDefault="007F60EA" w:rsidP="0091600E">
            <w:pPr>
              <w:spacing w:line="240" w:lineRule="auto"/>
              <w:rPr>
                <w:szCs w:val="24"/>
              </w:rPr>
            </w:pPr>
            <w:r w:rsidRPr="006E4DCA">
              <w:rPr>
                <w:szCs w:val="24"/>
              </w:rPr>
              <w:t>4</w:t>
            </w:r>
          </w:p>
        </w:tc>
        <w:tc>
          <w:tcPr>
            <w:tcW w:w="1104" w:type="dxa"/>
          </w:tcPr>
          <w:p w14:paraId="3D686095" w14:textId="69D7A61A" w:rsidR="007F60EA" w:rsidRPr="006E4DCA" w:rsidRDefault="007F60EA" w:rsidP="0091600E">
            <w:pPr>
              <w:tabs>
                <w:tab w:val="left" w:pos="8880"/>
              </w:tabs>
              <w:spacing w:line="240" w:lineRule="auto"/>
              <w:ind w:right="-40"/>
              <w:rPr>
                <w:sz w:val="18"/>
                <w:szCs w:val="24"/>
              </w:rPr>
            </w:pPr>
            <w:r w:rsidRPr="006E4DCA">
              <w:rPr>
                <w:sz w:val="18"/>
                <w:szCs w:val="18"/>
              </w:rPr>
              <w:t>SÜBÖ-DDP</w:t>
            </w:r>
          </w:p>
        </w:tc>
      </w:tr>
      <w:tr w:rsidR="007F60EA" w:rsidRPr="006E4DCA" w14:paraId="21D13E3A" w14:textId="77777777" w:rsidTr="0091600E">
        <w:tc>
          <w:tcPr>
            <w:tcW w:w="4308" w:type="dxa"/>
          </w:tcPr>
          <w:p w14:paraId="16524B12" w14:textId="04BFA888"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isteğimi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kontrol</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etmem</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zordur</w:t>
            </w:r>
            <w:proofErr w:type="spellEnd"/>
            <w:r w:rsidRPr="006E4DCA">
              <w:rPr>
                <w:rFonts w:ascii="Times New Roman" w:hAnsi="Times New Roman"/>
                <w:iCs/>
                <w:sz w:val="24"/>
                <w:szCs w:val="24"/>
                <w:lang w:val="en-US"/>
              </w:rPr>
              <w:t>.</w:t>
            </w:r>
          </w:p>
        </w:tc>
        <w:tc>
          <w:tcPr>
            <w:tcW w:w="1104" w:type="dxa"/>
          </w:tcPr>
          <w:p w14:paraId="6E16A264" w14:textId="77777777" w:rsidR="007F60EA" w:rsidRPr="006E4DCA" w:rsidRDefault="007F60EA" w:rsidP="0091600E">
            <w:pPr>
              <w:spacing w:line="240" w:lineRule="auto"/>
              <w:rPr>
                <w:szCs w:val="24"/>
              </w:rPr>
            </w:pPr>
            <w:r w:rsidRPr="006E4DCA">
              <w:rPr>
                <w:szCs w:val="24"/>
              </w:rPr>
              <w:t>1</w:t>
            </w:r>
          </w:p>
        </w:tc>
        <w:tc>
          <w:tcPr>
            <w:tcW w:w="1104" w:type="dxa"/>
          </w:tcPr>
          <w:p w14:paraId="7560C0A6" w14:textId="77777777" w:rsidR="007F60EA" w:rsidRPr="006E4DCA" w:rsidRDefault="007F60EA" w:rsidP="0091600E">
            <w:pPr>
              <w:spacing w:line="240" w:lineRule="auto"/>
              <w:rPr>
                <w:szCs w:val="24"/>
              </w:rPr>
            </w:pPr>
            <w:r w:rsidRPr="006E4DCA">
              <w:rPr>
                <w:szCs w:val="24"/>
              </w:rPr>
              <w:t>2</w:t>
            </w:r>
          </w:p>
        </w:tc>
        <w:tc>
          <w:tcPr>
            <w:tcW w:w="1104" w:type="dxa"/>
          </w:tcPr>
          <w:p w14:paraId="1BCB96EB" w14:textId="77777777" w:rsidR="007F60EA" w:rsidRPr="006E4DCA" w:rsidRDefault="007F60EA" w:rsidP="0091600E">
            <w:pPr>
              <w:spacing w:line="240" w:lineRule="auto"/>
              <w:rPr>
                <w:szCs w:val="24"/>
              </w:rPr>
            </w:pPr>
            <w:r w:rsidRPr="006E4DCA">
              <w:rPr>
                <w:szCs w:val="24"/>
              </w:rPr>
              <w:t>3</w:t>
            </w:r>
          </w:p>
        </w:tc>
        <w:tc>
          <w:tcPr>
            <w:tcW w:w="1104" w:type="dxa"/>
          </w:tcPr>
          <w:p w14:paraId="6C697D86" w14:textId="77777777" w:rsidR="007F60EA" w:rsidRPr="006E4DCA" w:rsidRDefault="007F60EA" w:rsidP="0091600E">
            <w:pPr>
              <w:spacing w:line="240" w:lineRule="auto"/>
              <w:rPr>
                <w:szCs w:val="24"/>
              </w:rPr>
            </w:pPr>
            <w:r w:rsidRPr="006E4DCA">
              <w:rPr>
                <w:szCs w:val="24"/>
              </w:rPr>
              <w:t>4</w:t>
            </w:r>
          </w:p>
        </w:tc>
        <w:tc>
          <w:tcPr>
            <w:tcW w:w="1104" w:type="dxa"/>
          </w:tcPr>
          <w:p w14:paraId="26017AD0" w14:textId="1C7F54F8" w:rsidR="007F60EA" w:rsidRPr="006E4DCA" w:rsidRDefault="007F60EA" w:rsidP="0091600E">
            <w:pPr>
              <w:tabs>
                <w:tab w:val="left" w:pos="8880"/>
              </w:tabs>
              <w:spacing w:line="240" w:lineRule="auto"/>
              <w:ind w:right="-40"/>
              <w:rPr>
                <w:sz w:val="18"/>
                <w:szCs w:val="24"/>
              </w:rPr>
            </w:pPr>
            <w:r w:rsidRPr="006E4DCA">
              <w:rPr>
                <w:sz w:val="18"/>
                <w:szCs w:val="18"/>
              </w:rPr>
              <w:t>SÜBÖ-KEN</w:t>
            </w:r>
          </w:p>
        </w:tc>
      </w:tr>
      <w:tr w:rsidR="007F60EA" w:rsidRPr="006E4DCA" w14:paraId="71EF5343" w14:textId="77777777" w:rsidTr="0091600E">
        <w:tc>
          <w:tcPr>
            <w:tcW w:w="4308" w:type="dxa"/>
          </w:tcPr>
          <w:p w14:paraId="734D078A" w14:textId="6ED3911C"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içmekle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ilgili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düşüncelerimi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kontrol</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edemiyorum</w:t>
            </w:r>
            <w:proofErr w:type="spellEnd"/>
            <w:r w:rsidRPr="006E4DCA">
              <w:rPr>
                <w:rFonts w:ascii="Times New Roman" w:hAnsi="Times New Roman"/>
                <w:iCs/>
                <w:sz w:val="24"/>
                <w:szCs w:val="24"/>
                <w:lang w:val="en-US"/>
              </w:rPr>
              <w:t>.</w:t>
            </w:r>
          </w:p>
        </w:tc>
        <w:tc>
          <w:tcPr>
            <w:tcW w:w="1104" w:type="dxa"/>
          </w:tcPr>
          <w:p w14:paraId="6D273C7B" w14:textId="77777777" w:rsidR="007F60EA" w:rsidRPr="006E4DCA" w:rsidRDefault="007F60EA" w:rsidP="0091600E">
            <w:pPr>
              <w:spacing w:line="240" w:lineRule="auto"/>
              <w:rPr>
                <w:szCs w:val="24"/>
              </w:rPr>
            </w:pPr>
            <w:r w:rsidRPr="006E4DCA">
              <w:rPr>
                <w:szCs w:val="24"/>
              </w:rPr>
              <w:t>1</w:t>
            </w:r>
          </w:p>
        </w:tc>
        <w:tc>
          <w:tcPr>
            <w:tcW w:w="1104" w:type="dxa"/>
          </w:tcPr>
          <w:p w14:paraId="1548248F" w14:textId="77777777" w:rsidR="007F60EA" w:rsidRPr="006E4DCA" w:rsidRDefault="007F60EA" w:rsidP="0091600E">
            <w:pPr>
              <w:spacing w:line="240" w:lineRule="auto"/>
              <w:rPr>
                <w:szCs w:val="24"/>
              </w:rPr>
            </w:pPr>
            <w:r w:rsidRPr="006E4DCA">
              <w:rPr>
                <w:szCs w:val="24"/>
              </w:rPr>
              <w:t>2</w:t>
            </w:r>
          </w:p>
        </w:tc>
        <w:tc>
          <w:tcPr>
            <w:tcW w:w="1104" w:type="dxa"/>
          </w:tcPr>
          <w:p w14:paraId="0BAF4EC1" w14:textId="77777777" w:rsidR="007F60EA" w:rsidRPr="006E4DCA" w:rsidRDefault="007F60EA" w:rsidP="0091600E">
            <w:pPr>
              <w:spacing w:line="240" w:lineRule="auto"/>
              <w:rPr>
                <w:szCs w:val="24"/>
              </w:rPr>
            </w:pPr>
            <w:r w:rsidRPr="006E4DCA">
              <w:rPr>
                <w:szCs w:val="24"/>
              </w:rPr>
              <w:t>3</w:t>
            </w:r>
          </w:p>
        </w:tc>
        <w:tc>
          <w:tcPr>
            <w:tcW w:w="1104" w:type="dxa"/>
          </w:tcPr>
          <w:p w14:paraId="5F6CFC8E" w14:textId="77777777" w:rsidR="007F60EA" w:rsidRPr="006E4DCA" w:rsidRDefault="007F60EA" w:rsidP="0091600E">
            <w:pPr>
              <w:spacing w:line="240" w:lineRule="auto"/>
              <w:rPr>
                <w:szCs w:val="24"/>
              </w:rPr>
            </w:pPr>
            <w:r w:rsidRPr="006E4DCA">
              <w:rPr>
                <w:szCs w:val="24"/>
              </w:rPr>
              <w:t>4</w:t>
            </w:r>
          </w:p>
        </w:tc>
        <w:tc>
          <w:tcPr>
            <w:tcW w:w="1104" w:type="dxa"/>
          </w:tcPr>
          <w:p w14:paraId="7321C77F" w14:textId="73D3A420" w:rsidR="007F60EA" w:rsidRPr="006E4DCA" w:rsidRDefault="007F60EA" w:rsidP="0091600E">
            <w:pPr>
              <w:tabs>
                <w:tab w:val="left" w:pos="8880"/>
              </w:tabs>
              <w:spacing w:line="240" w:lineRule="auto"/>
              <w:ind w:right="-40"/>
              <w:rPr>
                <w:sz w:val="18"/>
                <w:szCs w:val="24"/>
              </w:rPr>
            </w:pPr>
            <w:r w:rsidRPr="006E4DCA">
              <w:rPr>
                <w:sz w:val="18"/>
                <w:szCs w:val="18"/>
              </w:rPr>
              <w:t>SÜBÖ-BEN</w:t>
            </w:r>
          </w:p>
        </w:tc>
      </w:tr>
      <w:tr w:rsidR="007F60EA" w:rsidRPr="006E4DCA" w14:paraId="21E2933E" w14:textId="77777777" w:rsidTr="0091600E">
        <w:tc>
          <w:tcPr>
            <w:tcW w:w="4308" w:type="dxa"/>
          </w:tcPr>
          <w:p w14:paraId="055A228F" w14:textId="6149AA8E"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düşüncelerimi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düzene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koymama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yardımcı</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olur</w:t>
            </w:r>
            <w:proofErr w:type="spellEnd"/>
            <w:r w:rsidRPr="006E4DCA">
              <w:rPr>
                <w:rFonts w:ascii="Times New Roman" w:hAnsi="Times New Roman"/>
                <w:iCs/>
                <w:sz w:val="24"/>
                <w:szCs w:val="24"/>
                <w:lang w:val="en-US"/>
              </w:rPr>
              <w:t>.</w:t>
            </w:r>
          </w:p>
        </w:tc>
        <w:tc>
          <w:tcPr>
            <w:tcW w:w="1104" w:type="dxa"/>
          </w:tcPr>
          <w:p w14:paraId="6DEC8D1B" w14:textId="77777777" w:rsidR="007F60EA" w:rsidRPr="006E4DCA" w:rsidRDefault="007F60EA" w:rsidP="0091600E">
            <w:pPr>
              <w:spacing w:line="240" w:lineRule="auto"/>
              <w:rPr>
                <w:szCs w:val="24"/>
              </w:rPr>
            </w:pPr>
            <w:r w:rsidRPr="006E4DCA">
              <w:rPr>
                <w:szCs w:val="24"/>
              </w:rPr>
              <w:t>1</w:t>
            </w:r>
          </w:p>
        </w:tc>
        <w:tc>
          <w:tcPr>
            <w:tcW w:w="1104" w:type="dxa"/>
          </w:tcPr>
          <w:p w14:paraId="26EE37C0" w14:textId="77777777" w:rsidR="007F60EA" w:rsidRPr="006E4DCA" w:rsidRDefault="007F60EA" w:rsidP="0091600E">
            <w:pPr>
              <w:spacing w:line="240" w:lineRule="auto"/>
              <w:rPr>
                <w:szCs w:val="24"/>
              </w:rPr>
            </w:pPr>
            <w:r w:rsidRPr="006E4DCA">
              <w:rPr>
                <w:szCs w:val="24"/>
              </w:rPr>
              <w:t>2</w:t>
            </w:r>
          </w:p>
        </w:tc>
        <w:tc>
          <w:tcPr>
            <w:tcW w:w="1104" w:type="dxa"/>
          </w:tcPr>
          <w:p w14:paraId="1BDD8CCE" w14:textId="77777777" w:rsidR="007F60EA" w:rsidRPr="006E4DCA" w:rsidRDefault="007F60EA" w:rsidP="0091600E">
            <w:pPr>
              <w:spacing w:line="240" w:lineRule="auto"/>
              <w:rPr>
                <w:szCs w:val="24"/>
              </w:rPr>
            </w:pPr>
            <w:r w:rsidRPr="006E4DCA">
              <w:rPr>
                <w:szCs w:val="24"/>
              </w:rPr>
              <w:t>3</w:t>
            </w:r>
          </w:p>
        </w:tc>
        <w:tc>
          <w:tcPr>
            <w:tcW w:w="1104" w:type="dxa"/>
          </w:tcPr>
          <w:p w14:paraId="1D6F7C53" w14:textId="77777777" w:rsidR="007F60EA" w:rsidRPr="006E4DCA" w:rsidRDefault="007F60EA" w:rsidP="0091600E">
            <w:pPr>
              <w:spacing w:line="240" w:lineRule="auto"/>
              <w:rPr>
                <w:szCs w:val="24"/>
              </w:rPr>
            </w:pPr>
            <w:r w:rsidRPr="006E4DCA">
              <w:rPr>
                <w:szCs w:val="24"/>
              </w:rPr>
              <w:t>4</w:t>
            </w:r>
          </w:p>
        </w:tc>
        <w:tc>
          <w:tcPr>
            <w:tcW w:w="1104" w:type="dxa"/>
          </w:tcPr>
          <w:p w14:paraId="59014C8D" w14:textId="20CBC7F0" w:rsidR="007F60EA" w:rsidRPr="006E4DCA" w:rsidRDefault="007F60EA" w:rsidP="0091600E">
            <w:pPr>
              <w:tabs>
                <w:tab w:val="left" w:pos="8880"/>
              </w:tabs>
              <w:spacing w:line="240" w:lineRule="auto"/>
              <w:ind w:right="-40"/>
              <w:rPr>
                <w:sz w:val="18"/>
                <w:szCs w:val="24"/>
              </w:rPr>
            </w:pPr>
            <w:r w:rsidRPr="006E4DCA">
              <w:rPr>
                <w:sz w:val="18"/>
                <w:szCs w:val="18"/>
              </w:rPr>
              <w:t>SÜBÖ-BDP</w:t>
            </w:r>
          </w:p>
        </w:tc>
      </w:tr>
      <w:tr w:rsidR="007F60EA" w:rsidRPr="006E4DCA" w14:paraId="32050ECB" w14:textId="77777777" w:rsidTr="0091600E">
        <w:tc>
          <w:tcPr>
            <w:tcW w:w="4308" w:type="dxa"/>
          </w:tcPr>
          <w:p w14:paraId="0C377915" w14:textId="273C8AAC"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Sinirlendiğimde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proofErr w:type="gramStart"/>
            <w:r w:rsidRPr="006E4DCA">
              <w:rPr>
                <w:rFonts w:ascii="Times New Roman" w:hAnsi="Times New Roman"/>
                <w:iCs/>
                <w:sz w:val="24"/>
                <w:szCs w:val="24"/>
                <w:lang w:val="en-US"/>
              </w:rPr>
              <w:t>beni</w:t>
            </w:r>
            <w:proofErr w:type="spellEnd"/>
            <w:proofErr w:type="gram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yatıştırır</w:t>
            </w:r>
            <w:proofErr w:type="spellEnd"/>
            <w:r w:rsidRPr="006E4DCA">
              <w:rPr>
                <w:rFonts w:ascii="Times New Roman" w:hAnsi="Times New Roman"/>
                <w:iCs/>
                <w:sz w:val="24"/>
                <w:szCs w:val="24"/>
                <w:lang w:val="en-US"/>
              </w:rPr>
              <w:t>.</w:t>
            </w:r>
          </w:p>
        </w:tc>
        <w:tc>
          <w:tcPr>
            <w:tcW w:w="1104" w:type="dxa"/>
          </w:tcPr>
          <w:p w14:paraId="472CE003" w14:textId="77777777" w:rsidR="007F60EA" w:rsidRPr="006E4DCA" w:rsidRDefault="007F60EA" w:rsidP="0091600E">
            <w:pPr>
              <w:spacing w:line="240" w:lineRule="auto"/>
              <w:rPr>
                <w:szCs w:val="24"/>
              </w:rPr>
            </w:pPr>
            <w:r w:rsidRPr="006E4DCA">
              <w:rPr>
                <w:szCs w:val="24"/>
              </w:rPr>
              <w:t>1</w:t>
            </w:r>
          </w:p>
        </w:tc>
        <w:tc>
          <w:tcPr>
            <w:tcW w:w="1104" w:type="dxa"/>
          </w:tcPr>
          <w:p w14:paraId="1F9AB493" w14:textId="77777777" w:rsidR="007F60EA" w:rsidRPr="006E4DCA" w:rsidRDefault="007F60EA" w:rsidP="0091600E">
            <w:pPr>
              <w:spacing w:line="240" w:lineRule="auto"/>
              <w:rPr>
                <w:szCs w:val="24"/>
              </w:rPr>
            </w:pPr>
            <w:r w:rsidRPr="006E4DCA">
              <w:rPr>
                <w:szCs w:val="24"/>
              </w:rPr>
              <w:t>2</w:t>
            </w:r>
          </w:p>
        </w:tc>
        <w:tc>
          <w:tcPr>
            <w:tcW w:w="1104" w:type="dxa"/>
          </w:tcPr>
          <w:p w14:paraId="0D0E2AF2" w14:textId="77777777" w:rsidR="007F60EA" w:rsidRPr="006E4DCA" w:rsidRDefault="007F60EA" w:rsidP="0091600E">
            <w:pPr>
              <w:spacing w:line="240" w:lineRule="auto"/>
              <w:rPr>
                <w:szCs w:val="24"/>
              </w:rPr>
            </w:pPr>
            <w:r w:rsidRPr="006E4DCA">
              <w:rPr>
                <w:szCs w:val="24"/>
              </w:rPr>
              <w:t>3</w:t>
            </w:r>
          </w:p>
        </w:tc>
        <w:tc>
          <w:tcPr>
            <w:tcW w:w="1104" w:type="dxa"/>
          </w:tcPr>
          <w:p w14:paraId="73923A96" w14:textId="77777777" w:rsidR="007F60EA" w:rsidRPr="006E4DCA" w:rsidRDefault="007F60EA" w:rsidP="0091600E">
            <w:pPr>
              <w:spacing w:line="240" w:lineRule="auto"/>
              <w:rPr>
                <w:szCs w:val="24"/>
              </w:rPr>
            </w:pPr>
            <w:r w:rsidRPr="006E4DCA">
              <w:rPr>
                <w:szCs w:val="24"/>
              </w:rPr>
              <w:t>4</w:t>
            </w:r>
          </w:p>
        </w:tc>
        <w:tc>
          <w:tcPr>
            <w:tcW w:w="1104" w:type="dxa"/>
          </w:tcPr>
          <w:p w14:paraId="4BDE80EE" w14:textId="6053686B" w:rsidR="007F60EA" w:rsidRPr="006E4DCA" w:rsidRDefault="007F60EA" w:rsidP="0091600E">
            <w:pPr>
              <w:tabs>
                <w:tab w:val="left" w:pos="8880"/>
              </w:tabs>
              <w:spacing w:line="240" w:lineRule="auto"/>
              <w:ind w:right="-40"/>
              <w:rPr>
                <w:sz w:val="18"/>
                <w:szCs w:val="24"/>
              </w:rPr>
            </w:pPr>
            <w:r w:rsidRPr="006E4DCA">
              <w:rPr>
                <w:sz w:val="18"/>
                <w:szCs w:val="18"/>
              </w:rPr>
              <w:t>SÜBÖ-DDP</w:t>
            </w:r>
          </w:p>
        </w:tc>
      </w:tr>
      <w:tr w:rsidR="007F60EA" w:rsidRPr="006E4DCA" w14:paraId="08BFF2F7" w14:textId="77777777" w:rsidTr="0091600E">
        <w:tc>
          <w:tcPr>
            <w:tcW w:w="4308" w:type="dxa"/>
          </w:tcPr>
          <w:p w14:paraId="07153D8B" w14:textId="2546D5A3"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içmem</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psikolojik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anlamda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zayıf</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olduğumu</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gösterir</w:t>
            </w:r>
            <w:proofErr w:type="spellEnd"/>
            <w:r w:rsidRPr="006E4DCA">
              <w:rPr>
                <w:rFonts w:ascii="Times New Roman" w:hAnsi="Times New Roman"/>
                <w:iCs/>
                <w:sz w:val="24"/>
                <w:szCs w:val="24"/>
                <w:lang w:val="en-US"/>
              </w:rPr>
              <w:t>.</w:t>
            </w:r>
          </w:p>
        </w:tc>
        <w:tc>
          <w:tcPr>
            <w:tcW w:w="1104" w:type="dxa"/>
          </w:tcPr>
          <w:p w14:paraId="54E6AF06" w14:textId="77777777" w:rsidR="007F60EA" w:rsidRPr="006E4DCA" w:rsidRDefault="007F60EA" w:rsidP="0091600E">
            <w:pPr>
              <w:spacing w:line="240" w:lineRule="auto"/>
              <w:rPr>
                <w:szCs w:val="24"/>
              </w:rPr>
            </w:pPr>
            <w:r w:rsidRPr="006E4DCA">
              <w:rPr>
                <w:szCs w:val="24"/>
              </w:rPr>
              <w:t>1</w:t>
            </w:r>
          </w:p>
        </w:tc>
        <w:tc>
          <w:tcPr>
            <w:tcW w:w="1104" w:type="dxa"/>
          </w:tcPr>
          <w:p w14:paraId="30D5557E" w14:textId="77777777" w:rsidR="007F60EA" w:rsidRPr="006E4DCA" w:rsidRDefault="007F60EA" w:rsidP="0091600E">
            <w:pPr>
              <w:spacing w:line="240" w:lineRule="auto"/>
              <w:rPr>
                <w:szCs w:val="24"/>
              </w:rPr>
            </w:pPr>
            <w:r w:rsidRPr="006E4DCA">
              <w:rPr>
                <w:szCs w:val="24"/>
              </w:rPr>
              <w:t>2</w:t>
            </w:r>
          </w:p>
        </w:tc>
        <w:tc>
          <w:tcPr>
            <w:tcW w:w="1104" w:type="dxa"/>
          </w:tcPr>
          <w:p w14:paraId="033D9439" w14:textId="77777777" w:rsidR="007F60EA" w:rsidRPr="006E4DCA" w:rsidRDefault="007F60EA" w:rsidP="0091600E">
            <w:pPr>
              <w:spacing w:line="240" w:lineRule="auto"/>
              <w:rPr>
                <w:szCs w:val="24"/>
              </w:rPr>
            </w:pPr>
            <w:r w:rsidRPr="006E4DCA">
              <w:rPr>
                <w:szCs w:val="24"/>
              </w:rPr>
              <w:t>3</w:t>
            </w:r>
          </w:p>
        </w:tc>
        <w:tc>
          <w:tcPr>
            <w:tcW w:w="1104" w:type="dxa"/>
          </w:tcPr>
          <w:p w14:paraId="6C6C1330" w14:textId="77777777" w:rsidR="007F60EA" w:rsidRPr="006E4DCA" w:rsidRDefault="007F60EA" w:rsidP="0091600E">
            <w:pPr>
              <w:spacing w:line="240" w:lineRule="auto"/>
              <w:rPr>
                <w:szCs w:val="24"/>
              </w:rPr>
            </w:pPr>
            <w:r w:rsidRPr="006E4DCA">
              <w:rPr>
                <w:szCs w:val="24"/>
              </w:rPr>
              <w:t>4</w:t>
            </w:r>
          </w:p>
        </w:tc>
        <w:tc>
          <w:tcPr>
            <w:tcW w:w="1104" w:type="dxa"/>
          </w:tcPr>
          <w:p w14:paraId="09291965" w14:textId="0F3F8E36" w:rsidR="007F60EA" w:rsidRPr="006E4DCA" w:rsidRDefault="007F60EA" w:rsidP="0091600E">
            <w:pPr>
              <w:tabs>
                <w:tab w:val="left" w:pos="8880"/>
              </w:tabs>
              <w:spacing w:line="240" w:lineRule="auto"/>
              <w:ind w:right="-40"/>
              <w:rPr>
                <w:sz w:val="18"/>
                <w:szCs w:val="24"/>
              </w:rPr>
            </w:pPr>
            <w:r w:rsidRPr="006E4DCA">
              <w:rPr>
                <w:sz w:val="18"/>
                <w:szCs w:val="18"/>
              </w:rPr>
              <w:t>SÜBÖ-KEN</w:t>
            </w:r>
          </w:p>
        </w:tc>
      </w:tr>
      <w:tr w:rsidR="007F60EA" w:rsidRPr="006E4DCA" w14:paraId="421EFCF0" w14:textId="77777777" w:rsidTr="0091600E">
        <w:tc>
          <w:tcPr>
            <w:tcW w:w="4308" w:type="dxa"/>
          </w:tcPr>
          <w:p w14:paraId="46D894D8" w14:textId="754AD495"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Sigara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içmekle</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ilgili</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düşüncelerim</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bir</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takıntı</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haline</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geliyor</w:t>
            </w:r>
            <w:proofErr w:type="spellEnd"/>
            <w:r w:rsidRPr="006E4DCA">
              <w:rPr>
                <w:rFonts w:ascii="Times New Roman" w:hAnsi="Times New Roman"/>
                <w:sz w:val="24"/>
                <w:szCs w:val="24"/>
                <w:lang w:val="en-US"/>
              </w:rPr>
              <w:t>.</w:t>
            </w:r>
          </w:p>
        </w:tc>
        <w:tc>
          <w:tcPr>
            <w:tcW w:w="1104" w:type="dxa"/>
          </w:tcPr>
          <w:p w14:paraId="7DD2F543" w14:textId="77777777" w:rsidR="007F60EA" w:rsidRPr="006E4DCA" w:rsidRDefault="007F60EA" w:rsidP="0091600E">
            <w:pPr>
              <w:spacing w:line="240" w:lineRule="auto"/>
              <w:rPr>
                <w:szCs w:val="24"/>
              </w:rPr>
            </w:pPr>
            <w:r w:rsidRPr="006E4DCA">
              <w:rPr>
                <w:szCs w:val="24"/>
              </w:rPr>
              <w:t>1</w:t>
            </w:r>
          </w:p>
        </w:tc>
        <w:tc>
          <w:tcPr>
            <w:tcW w:w="1104" w:type="dxa"/>
          </w:tcPr>
          <w:p w14:paraId="21180088" w14:textId="77777777" w:rsidR="007F60EA" w:rsidRPr="006E4DCA" w:rsidRDefault="007F60EA" w:rsidP="0091600E">
            <w:pPr>
              <w:spacing w:line="240" w:lineRule="auto"/>
              <w:rPr>
                <w:szCs w:val="24"/>
              </w:rPr>
            </w:pPr>
            <w:r w:rsidRPr="006E4DCA">
              <w:rPr>
                <w:szCs w:val="24"/>
              </w:rPr>
              <w:t>2</w:t>
            </w:r>
          </w:p>
        </w:tc>
        <w:tc>
          <w:tcPr>
            <w:tcW w:w="1104" w:type="dxa"/>
          </w:tcPr>
          <w:p w14:paraId="30D9182E" w14:textId="77777777" w:rsidR="007F60EA" w:rsidRPr="006E4DCA" w:rsidRDefault="007F60EA" w:rsidP="0091600E">
            <w:pPr>
              <w:spacing w:line="240" w:lineRule="auto"/>
              <w:rPr>
                <w:szCs w:val="24"/>
              </w:rPr>
            </w:pPr>
            <w:r w:rsidRPr="006E4DCA">
              <w:rPr>
                <w:szCs w:val="24"/>
              </w:rPr>
              <w:t>3</w:t>
            </w:r>
          </w:p>
        </w:tc>
        <w:tc>
          <w:tcPr>
            <w:tcW w:w="1104" w:type="dxa"/>
          </w:tcPr>
          <w:p w14:paraId="13816E16" w14:textId="77777777" w:rsidR="007F60EA" w:rsidRPr="006E4DCA" w:rsidRDefault="007F60EA" w:rsidP="0091600E">
            <w:pPr>
              <w:spacing w:line="240" w:lineRule="auto"/>
              <w:rPr>
                <w:szCs w:val="24"/>
              </w:rPr>
            </w:pPr>
            <w:r w:rsidRPr="006E4DCA">
              <w:rPr>
                <w:szCs w:val="24"/>
              </w:rPr>
              <w:t>4</w:t>
            </w:r>
          </w:p>
        </w:tc>
        <w:tc>
          <w:tcPr>
            <w:tcW w:w="1104" w:type="dxa"/>
          </w:tcPr>
          <w:p w14:paraId="6768FF82" w14:textId="5D46355B" w:rsidR="007F60EA" w:rsidRPr="006E4DCA" w:rsidRDefault="007F60EA" w:rsidP="0091600E">
            <w:pPr>
              <w:tabs>
                <w:tab w:val="left" w:pos="8880"/>
              </w:tabs>
              <w:spacing w:line="240" w:lineRule="auto"/>
              <w:ind w:right="-40"/>
              <w:rPr>
                <w:sz w:val="18"/>
                <w:szCs w:val="24"/>
              </w:rPr>
            </w:pPr>
            <w:r w:rsidRPr="006E4DCA">
              <w:rPr>
                <w:sz w:val="18"/>
                <w:szCs w:val="18"/>
              </w:rPr>
              <w:t>SÜBÖ-BEN</w:t>
            </w:r>
          </w:p>
        </w:tc>
      </w:tr>
      <w:tr w:rsidR="007F60EA" w:rsidRPr="006E4DCA" w14:paraId="2582ADCE" w14:textId="77777777" w:rsidTr="0091600E">
        <w:tc>
          <w:tcPr>
            <w:tcW w:w="4308" w:type="dxa"/>
          </w:tcPr>
          <w:p w14:paraId="39DA4D71" w14:textId="35BFFCAB"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iCs/>
                <w:sz w:val="24"/>
                <w:szCs w:val="24"/>
                <w:lang w:val="en-US"/>
              </w:rPr>
              <w:t>Sigara</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içmek</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zihnimdekileri</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düzenlememe</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yardımcı</w:t>
            </w:r>
            <w:proofErr w:type="spellEnd"/>
            <w:r w:rsidRPr="006E4DCA">
              <w:rPr>
                <w:rFonts w:ascii="Times New Roman" w:hAnsi="Times New Roman"/>
                <w:iCs/>
                <w:sz w:val="24"/>
                <w:szCs w:val="24"/>
                <w:lang w:val="en-US"/>
              </w:rPr>
              <w:t xml:space="preserve"> </w:t>
            </w:r>
            <w:proofErr w:type="spellStart"/>
            <w:r w:rsidRPr="006E4DCA">
              <w:rPr>
                <w:rFonts w:ascii="Times New Roman" w:hAnsi="Times New Roman"/>
                <w:iCs/>
                <w:sz w:val="24"/>
                <w:szCs w:val="24"/>
                <w:lang w:val="en-US"/>
              </w:rPr>
              <w:t>olur</w:t>
            </w:r>
            <w:proofErr w:type="spellEnd"/>
            <w:r w:rsidRPr="006E4DCA">
              <w:rPr>
                <w:rFonts w:ascii="Times New Roman" w:hAnsi="Times New Roman"/>
                <w:iCs/>
                <w:sz w:val="24"/>
                <w:szCs w:val="24"/>
                <w:lang w:val="en-US"/>
              </w:rPr>
              <w:t>.</w:t>
            </w:r>
          </w:p>
        </w:tc>
        <w:tc>
          <w:tcPr>
            <w:tcW w:w="1104" w:type="dxa"/>
          </w:tcPr>
          <w:p w14:paraId="06D9C21E" w14:textId="77777777" w:rsidR="007F60EA" w:rsidRPr="006E4DCA" w:rsidRDefault="007F60EA" w:rsidP="0091600E">
            <w:pPr>
              <w:spacing w:line="240" w:lineRule="auto"/>
              <w:rPr>
                <w:szCs w:val="24"/>
              </w:rPr>
            </w:pPr>
            <w:r w:rsidRPr="006E4DCA">
              <w:rPr>
                <w:szCs w:val="24"/>
              </w:rPr>
              <w:t>1</w:t>
            </w:r>
          </w:p>
        </w:tc>
        <w:tc>
          <w:tcPr>
            <w:tcW w:w="1104" w:type="dxa"/>
          </w:tcPr>
          <w:p w14:paraId="6AF8B91C" w14:textId="77777777" w:rsidR="007F60EA" w:rsidRPr="006E4DCA" w:rsidRDefault="007F60EA" w:rsidP="0091600E">
            <w:pPr>
              <w:spacing w:line="240" w:lineRule="auto"/>
              <w:rPr>
                <w:szCs w:val="24"/>
              </w:rPr>
            </w:pPr>
            <w:r w:rsidRPr="006E4DCA">
              <w:rPr>
                <w:szCs w:val="24"/>
              </w:rPr>
              <w:t>2</w:t>
            </w:r>
          </w:p>
        </w:tc>
        <w:tc>
          <w:tcPr>
            <w:tcW w:w="1104" w:type="dxa"/>
          </w:tcPr>
          <w:p w14:paraId="62E25A8F" w14:textId="77777777" w:rsidR="007F60EA" w:rsidRPr="006E4DCA" w:rsidRDefault="007F60EA" w:rsidP="0091600E">
            <w:pPr>
              <w:spacing w:line="240" w:lineRule="auto"/>
              <w:rPr>
                <w:szCs w:val="24"/>
              </w:rPr>
            </w:pPr>
            <w:r w:rsidRPr="006E4DCA">
              <w:rPr>
                <w:szCs w:val="24"/>
              </w:rPr>
              <w:t>3</w:t>
            </w:r>
          </w:p>
        </w:tc>
        <w:tc>
          <w:tcPr>
            <w:tcW w:w="1104" w:type="dxa"/>
          </w:tcPr>
          <w:p w14:paraId="20B915AA" w14:textId="77777777" w:rsidR="007F60EA" w:rsidRPr="006E4DCA" w:rsidRDefault="007F60EA" w:rsidP="0091600E">
            <w:pPr>
              <w:spacing w:line="240" w:lineRule="auto"/>
              <w:rPr>
                <w:szCs w:val="24"/>
              </w:rPr>
            </w:pPr>
            <w:r w:rsidRPr="006E4DCA">
              <w:rPr>
                <w:szCs w:val="24"/>
              </w:rPr>
              <w:t>4</w:t>
            </w:r>
          </w:p>
        </w:tc>
        <w:tc>
          <w:tcPr>
            <w:tcW w:w="1104" w:type="dxa"/>
          </w:tcPr>
          <w:p w14:paraId="7780DBF1" w14:textId="01DB0B2D" w:rsidR="007F60EA" w:rsidRPr="006E4DCA" w:rsidRDefault="007F60EA" w:rsidP="0091600E">
            <w:pPr>
              <w:tabs>
                <w:tab w:val="left" w:pos="8880"/>
              </w:tabs>
              <w:spacing w:line="240" w:lineRule="auto"/>
              <w:ind w:right="-40"/>
              <w:rPr>
                <w:sz w:val="18"/>
                <w:szCs w:val="24"/>
              </w:rPr>
            </w:pPr>
            <w:r w:rsidRPr="006E4DCA">
              <w:rPr>
                <w:sz w:val="18"/>
                <w:szCs w:val="18"/>
              </w:rPr>
              <w:t>SÜBÖ-BDP</w:t>
            </w:r>
          </w:p>
        </w:tc>
      </w:tr>
      <w:tr w:rsidR="007F60EA" w:rsidRPr="006E4DCA" w14:paraId="23B46D98" w14:textId="77777777" w:rsidTr="0091600E">
        <w:tc>
          <w:tcPr>
            <w:tcW w:w="4308" w:type="dxa"/>
          </w:tcPr>
          <w:p w14:paraId="2152780D" w14:textId="1F38CA97"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Sigara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içmek</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gevşememe</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yardımcı</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olur</w:t>
            </w:r>
            <w:proofErr w:type="spellEnd"/>
            <w:r w:rsidRPr="006E4DCA">
              <w:rPr>
                <w:rFonts w:ascii="Times New Roman" w:hAnsi="Times New Roman"/>
                <w:sz w:val="24"/>
                <w:szCs w:val="24"/>
                <w:lang w:val="en-US"/>
              </w:rPr>
              <w:t>.</w:t>
            </w:r>
          </w:p>
        </w:tc>
        <w:tc>
          <w:tcPr>
            <w:tcW w:w="1104" w:type="dxa"/>
          </w:tcPr>
          <w:p w14:paraId="73D457BF" w14:textId="77777777" w:rsidR="007F60EA" w:rsidRPr="006E4DCA" w:rsidRDefault="007F60EA" w:rsidP="0091600E">
            <w:pPr>
              <w:spacing w:line="240" w:lineRule="auto"/>
              <w:rPr>
                <w:szCs w:val="24"/>
              </w:rPr>
            </w:pPr>
            <w:r w:rsidRPr="006E4DCA">
              <w:rPr>
                <w:szCs w:val="24"/>
              </w:rPr>
              <w:t>1</w:t>
            </w:r>
          </w:p>
        </w:tc>
        <w:tc>
          <w:tcPr>
            <w:tcW w:w="1104" w:type="dxa"/>
          </w:tcPr>
          <w:p w14:paraId="3437301A" w14:textId="77777777" w:rsidR="007F60EA" w:rsidRPr="006E4DCA" w:rsidRDefault="007F60EA" w:rsidP="0091600E">
            <w:pPr>
              <w:spacing w:line="240" w:lineRule="auto"/>
              <w:rPr>
                <w:szCs w:val="24"/>
              </w:rPr>
            </w:pPr>
            <w:r w:rsidRPr="006E4DCA">
              <w:rPr>
                <w:szCs w:val="24"/>
              </w:rPr>
              <w:t>2</w:t>
            </w:r>
          </w:p>
        </w:tc>
        <w:tc>
          <w:tcPr>
            <w:tcW w:w="1104" w:type="dxa"/>
          </w:tcPr>
          <w:p w14:paraId="443D16B5" w14:textId="77777777" w:rsidR="007F60EA" w:rsidRPr="006E4DCA" w:rsidRDefault="007F60EA" w:rsidP="0091600E">
            <w:pPr>
              <w:spacing w:line="240" w:lineRule="auto"/>
              <w:rPr>
                <w:szCs w:val="24"/>
              </w:rPr>
            </w:pPr>
            <w:r w:rsidRPr="006E4DCA">
              <w:rPr>
                <w:szCs w:val="24"/>
              </w:rPr>
              <w:t>3</w:t>
            </w:r>
          </w:p>
        </w:tc>
        <w:tc>
          <w:tcPr>
            <w:tcW w:w="1104" w:type="dxa"/>
          </w:tcPr>
          <w:p w14:paraId="769CFF9B" w14:textId="77777777" w:rsidR="007F60EA" w:rsidRPr="006E4DCA" w:rsidRDefault="007F60EA" w:rsidP="0091600E">
            <w:pPr>
              <w:spacing w:line="240" w:lineRule="auto"/>
              <w:rPr>
                <w:szCs w:val="24"/>
              </w:rPr>
            </w:pPr>
            <w:r w:rsidRPr="006E4DCA">
              <w:rPr>
                <w:szCs w:val="24"/>
              </w:rPr>
              <w:t>4</w:t>
            </w:r>
          </w:p>
        </w:tc>
        <w:tc>
          <w:tcPr>
            <w:tcW w:w="1104" w:type="dxa"/>
          </w:tcPr>
          <w:p w14:paraId="0006E60F" w14:textId="32823E55" w:rsidR="007F60EA" w:rsidRPr="006E4DCA" w:rsidRDefault="007F60EA" w:rsidP="0091600E">
            <w:pPr>
              <w:tabs>
                <w:tab w:val="left" w:pos="8880"/>
              </w:tabs>
              <w:spacing w:line="240" w:lineRule="auto"/>
              <w:ind w:right="-40"/>
              <w:rPr>
                <w:sz w:val="18"/>
                <w:szCs w:val="24"/>
              </w:rPr>
            </w:pPr>
            <w:r w:rsidRPr="006E4DCA">
              <w:rPr>
                <w:sz w:val="18"/>
                <w:szCs w:val="18"/>
              </w:rPr>
              <w:t>SÜBÖ-DDP</w:t>
            </w:r>
          </w:p>
        </w:tc>
      </w:tr>
      <w:tr w:rsidR="007F60EA" w:rsidRPr="006E4DCA" w14:paraId="39EF2EA9" w14:textId="77777777" w:rsidTr="0091600E">
        <w:tc>
          <w:tcPr>
            <w:tcW w:w="4308" w:type="dxa"/>
          </w:tcPr>
          <w:p w14:paraId="5BDD3723" w14:textId="5E0576B1"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Kontrol</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edilmez</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bir</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şekilde</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sigara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içiyorum</w:t>
            </w:r>
            <w:proofErr w:type="spellEnd"/>
            <w:r w:rsidRPr="006E4DCA">
              <w:rPr>
                <w:rFonts w:ascii="Times New Roman" w:hAnsi="Times New Roman"/>
                <w:sz w:val="24"/>
                <w:szCs w:val="24"/>
                <w:lang w:val="en-US"/>
              </w:rPr>
              <w:t>.</w:t>
            </w:r>
          </w:p>
        </w:tc>
        <w:tc>
          <w:tcPr>
            <w:tcW w:w="1104" w:type="dxa"/>
          </w:tcPr>
          <w:p w14:paraId="509915CD" w14:textId="77777777" w:rsidR="007F60EA" w:rsidRPr="006E4DCA" w:rsidRDefault="007F60EA" w:rsidP="0091600E">
            <w:pPr>
              <w:spacing w:line="240" w:lineRule="auto"/>
              <w:rPr>
                <w:szCs w:val="24"/>
              </w:rPr>
            </w:pPr>
            <w:r w:rsidRPr="006E4DCA">
              <w:rPr>
                <w:szCs w:val="24"/>
              </w:rPr>
              <w:t>1</w:t>
            </w:r>
          </w:p>
        </w:tc>
        <w:tc>
          <w:tcPr>
            <w:tcW w:w="1104" w:type="dxa"/>
          </w:tcPr>
          <w:p w14:paraId="1BE63C61" w14:textId="77777777" w:rsidR="007F60EA" w:rsidRPr="006E4DCA" w:rsidRDefault="007F60EA" w:rsidP="0091600E">
            <w:pPr>
              <w:spacing w:line="240" w:lineRule="auto"/>
              <w:rPr>
                <w:szCs w:val="24"/>
              </w:rPr>
            </w:pPr>
            <w:r w:rsidRPr="006E4DCA">
              <w:rPr>
                <w:szCs w:val="24"/>
              </w:rPr>
              <w:t>2</w:t>
            </w:r>
          </w:p>
        </w:tc>
        <w:tc>
          <w:tcPr>
            <w:tcW w:w="1104" w:type="dxa"/>
          </w:tcPr>
          <w:p w14:paraId="6AA72615" w14:textId="77777777" w:rsidR="007F60EA" w:rsidRPr="006E4DCA" w:rsidRDefault="007F60EA" w:rsidP="0091600E">
            <w:pPr>
              <w:spacing w:line="240" w:lineRule="auto"/>
              <w:rPr>
                <w:szCs w:val="24"/>
              </w:rPr>
            </w:pPr>
            <w:r w:rsidRPr="006E4DCA">
              <w:rPr>
                <w:szCs w:val="24"/>
              </w:rPr>
              <w:t>3</w:t>
            </w:r>
          </w:p>
        </w:tc>
        <w:tc>
          <w:tcPr>
            <w:tcW w:w="1104" w:type="dxa"/>
          </w:tcPr>
          <w:p w14:paraId="296CF375" w14:textId="77777777" w:rsidR="007F60EA" w:rsidRPr="006E4DCA" w:rsidRDefault="007F60EA" w:rsidP="0091600E">
            <w:pPr>
              <w:spacing w:line="240" w:lineRule="auto"/>
              <w:rPr>
                <w:szCs w:val="24"/>
              </w:rPr>
            </w:pPr>
            <w:r w:rsidRPr="006E4DCA">
              <w:rPr>
                <w:szCs w:val="24"/>
              </w:rPr>
              <w:t>4</w:t>
            </w:r>
          </w:p>
        </w:tc>
        <w:tc>
          <w:tcPr>
            <w:tcW w:w="1104" w:type="dxa"/>
          </w:tcPr>
          <w:p w14:paraId="53C4A4B2" w14:textId="4EEF10FA" w:rsidR="007F60EA" w:rsidRPr="006E4DCA" w:rsidRDefault="007F60EA" w:rsidP="0091600E">
            <w:pPr>
              <w:tabs>
                <w:tab w:val="left" w:pos="8880"/>
              </w:tabs>
              <w:spacing w:line="240" w:lineRule="auto"/>
              <w:ind w:right="-40"/>
              <w:rPr>
                <w:sz w:val="18"/>
                <w:szCs w:val="24"/>
              </w:rPr>
            </w:pPr>
            <w:r w:rsidRPr="006E4DCA">
              <w:rPr>
                <w:sz w:val="18"/>
                <w:szCs w:val="18"/>
              </w:rPr>
              <w:t>SÜBÖ-KEN</w:t>
            </w:r>
          </w:p>
        </w:tc>
      </w:tr>
      <w:tr w:rsidR="007F60EA" w:rsidRPr="006E4DCA" w14:paraId="2CB3DD74" w14:textId="77777777" w:rsidTr="0091600E">
        <w:tc>
          <w:tcPr>
            <w:tcW w:w="4308" w:type="dxa"/>
          </w:tcPr>
          <w:p w14:paraId="27DDD5C0" w14:textId="39D32587"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Aklımın</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sürekli</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sigarada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olması</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hayatımı</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yönetiyor</w:t>
            </w:r>
            <w:proofErr w:type="spellEnd"/>
            <w:r w:rsidRPr="006E4DCA">
              <w:rPr>
                <w:rFonts w:ascii="Times New Roman" w:hAnsi="Times New Roman"/>
                <w:sz w:val="24"/>
                <w:szCs w:val="24"/>
                <w:lang w:val="en-US"/>
              </w:rPr>
              <w:t>.</w:t>
            </w:r>
          </w:p>
        </w:tc>
        <w:tc>
          <w:tcPr>
            <w:tcW w:w="1104" w:type="dxa"/>
          </w:tcPr>
          <w:p w14:paraId="045DDDC0" w14:textId="77777777" w:rsidR="007F60EA" w:rsidRPr="006E4DCA" w:rsidRDefault="007F60EA" w:rsidP="0091600E">
            <w:pPr>
              <w:spacing w:line="240" w:lineRule="auto"/>
              <w:rPr>
                <w:szCs w:val="24"/>
              </w:rPr>
            </w:pPr>
            <w:r w:rsidRPr="006E4DCA">
              <w:rPr>
                <w:szCs w:val="24"/>
              </w:rPr>
              <w:t>1</w:t>
            </w:r>
          </w:p>
        </w:tc>
        <w:tc>
          <w:tcPr>
            <w:tcW w:w="1104" w:type="dxa"/>
          </w:tcPr>
          <w:p w14:paraId="2010CEAB" w14:textId="77777777" w:rsidR="007F60EA" w:rsidRPr="006E4DCA" w:rsidRDefault="007F60EA" w:rsidP="0091600E">
            <w:pPr>
              <w:spacing w:line="240" w:lineRule="auto"/>
              <w:rPr>
                <w:szCs w:val="24"/>
              </w:rPr>
            </w:pPr>
            <w:r w:rsidRPr="006E4DCA">
              <w:rPr>
                <w:szCs w:val="24"/>
              </w:rPr>
              <w:t>2</w:t>
            </w:r>
          </w:p>
        </w:tc>
        <w:tc>
          <w:tcPr>
            <w:tcW w:w="1104" w:type="dxa"/>
          </w:tcPr>
          <w:p w14:paraId="3FD52746" w14:textId="77777777" w:rsidR="007F60EA" w:rsidRPr="006E4DCA" w:rsidRDefault="007F60EA" w:rsidP="0091600E">
            <w:pPr>
              <w:spacing w:line="240" w:lineRule="auto"/>
              <w:rPr>
                <w:szCs w:val="24"/>
              </w:rPr>
            </w:pPr>
            <w:r w:rsidRPr="006E4DCA">
              <w:rPr>
                <w:szCs w:val="24"/>
              </w:rPr>
              <w:t>3</w:t>
            </w:r>
          </w:p>
        </w:tc>
        <w:tc>
          <w:tcPr>
            <w:tcW w:w="1104" w:type="dxa"/>
          </w:tcPr>
          <w:p w14:paraId="6F508843" w14:textId="77777777" w:rsidR="007F60EA" w:rsidRPr="006E4DCA" w:rsidRDefault="007F60EA" w:rsidP="0091600E">
            <w:pPr>
              <w:spacing w:line="240" w:lineRule="auto"/>
              <w:rPr>
                <w:szCs w:val="24"/>
              </w:rPr>
            </w:pPr>
            <w:r w:rsidRPr="006E4DCA">
              <w:rPr>
                <w:szCs w:val="24"/>
              </w:rPr>
              <w:t>4</w:t>
            </w:r>
          </w:p>
        </w:tc>
        <w:tc>
          <w:tcPr>
            <w:tcW w:w="1104" w:type="dxa"/>
          </w:tcPr>
          <w:p w14:paraId="7F885863" w14:textId="5C88E84C" w:rsidR="007F60EA" w:rsidRPr="006E4DCA" w:rsidRDefault="007F60EA" w:rsidP="0091600E">
            <w:pPr>
              <w:tabs>
                <w:tab w:val="left" w:pos="8880"/>
              </w:tabs>
              <w:spacing w:line="240" w:lineRule="auto"/>
              <w:ind w:right="-40"/>
              <w:rPr>
                <w:sz w:val="18"/>
                <w:szCs w:val="24"/>
              </w:rPr>
            </w:pPr>
            <w:r w:rsidRPr="006E4DCA">
              <w:rPr>
                <w:sz w:val="18"/>
                <w:szCs w:val="18"/>
              </w:rPr>
              <w:t>SÜBÖ-BEN</w:t>
            </w:r>
          </w:p>
        </w:tc>
      </w:tr>
      <w:tr w:rsidR="007F60EA" w:rsidRPr="006E4DCA" w14:paraId="4561E867" w14:textId="77777777" w:rsidTr="0091600E">
        <w:tc>
          <w:tcPr>
            <w:tcW w:w="4308" w:type="dxa"/>
          </w:tcPr>
          <w:p w14:paraId="0B437EFD" w14:textId="43F358E2"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Sigara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içmek</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konsantre</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olmama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yardımcı</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olur</w:t>
            </w:r>
            <w:proofErr w:type="spellEnd"/>
            <w:r w:rsidRPr="006E4DCA">
              <w:rPr>
                <w:rFonts w:ascii="Times New Roman" w:hAnsi="Times New Roman"/>
                <w:sz w:val="24"/>
                <w:szCs w:val="24"/>
                <w:lang w:val="en-US"/>
              </w:rPr>
              <w:t>.</w:t>
            </w:r>
          </w:p>
        </w:tc>
        <w:tc>
          <w:tcPr>
            <w:tcW w:w="1104" w:type="dxa"/>
          </w:tcPr>
          <w:p w14:paraId="376B6D34" w14:textId="77777777" w:rsidR="007F60EA" w:rsidRPr="006E4DCA" w:rsidRDefault="007F60EA" w:rsidP="0091600E">
            <w:pPr>
              <w:spacing w:line="240" w:lineRule="auto"/>
              <w:rPr>
                <w:szCs w:val="24"/>
              </w:rPr>
            </w:pPr>
            <w:r w:rsidRPr="006E4DCA">
              <w:rPr>
                <w:szCs w:val="24"/>
              </w:rPr>
              <w:t>1</w:t>
            </w:r>
          </w:p>
        </w:tc>
        <w:tc>
          <w:tcPr>
            <w:tcW w:w="1104" w:type="dxa"/>
          </w:tcPr>
          <w:p w14:paraId="2F492DB2" w14:textId="77777777" w:rsidR="007F60EA" w:rsidRPr="006E4DCA" w:rsidRDefault="007F60EA" w:rsidP="0091600E">
            <w:pPr>
              <w:spacing w:line="240" w:lineRule="auto"/>
              <w:rPr>
                <w:szCs w:val="24"/>
              </w:rPr>
            </w:pPr>
            <w:r w:rsidRPr="006E4DCA">
              <w:rPr>
                <w:szCs w:val="24"/>
              </w:rPr>
              <w:t>2</w:t>
            </w:r>
          </w:p>
        </w:tc>
        <w:tc>
          <w:tcPr>
            <w:tcW w:w="1104" w:type="dxa"/>
          </w:tcPr>
          <w:p w14:paraId="256ADC48" w14:textId="77777777" w:rsidR="007F60EA" w:rsidRPr="006E4DCA" w:rsidRDefault="007F60EA" w:rsidP="0091600E">
            <w:pPr>
              <w:spacing w:line="240" w:lineRule="auto"/>
              <w:rPr>
                <w:szCs w:val="24"/>
              </w:rPr>
            </w:pPr>
            <w:r w:rsidRPr="006E4DCA">
              <w:rPr>
                <w:szCs w:val="24"/>
              </w:rPr>
              <w:t>3</w:t>
            </w:r>
          </w:p>
        </w:tc>
        <w:tc>
          <w:tcPr>
            <w:tcW w:w="1104" w:type="dxa"/>
          </w:tcPr>
          <w:p w14:paraId="0F918F19" w14:textId="77777777" w:rsidR="007F60EA" w:rsidRPr="006E4DCA" w:rsidRDefault="007F60EA" w:rsidP="0091600E">
            <w:pPr>
              <w:spacing w:line="240" w:lineRule="auto"/>
              <w:rPr>
                <w:szCs w:val="24"/>
              </w:rPr>
            </w:pPr>
            <w:r w:rsidRPr="006E4DCA">
              <w:rPr>
                <w:szCs w:val="24"/>
              </w:rPr>
              <w:t>4</w:t>
            </w:r>
          </w:p>
        </w:tc>
        <w:tc>
          <w:tcPr>
            <w:tcW w:w="1104" w:type="dxa"/>
          </w:tcPr>
          <w:p w14:paraId="5E2B7CDC" w14:textId="62A011D4" w:rsidR="007F60EA" w:rsidRPr="006E4DCA" w:rsidRDefault="007F60EA" w:rsidP="0091600E">
            <w:pPr>
              <w:tabs>
                <w:tab w:val="left" w:pos="8880"/>
              </w:tabs>
              <w:spacing w:line="240" w:lineRule="auto"/>
              <w:ind w:right="-40"/>
              <w:rPr>
                <w:sz w:val="18"/>
                <w:szCs w:val="24"/>
              </w:rPr>
            </w:pPr>
            <w:r w:rsidRPr="006E4DCA">
              <w:rPr>
                <w:sz w:val="18"/>
                <w:szCs w:val="18"/>
              </w:rPr>
              <w:t>SÜBÖ-BDP</w:t>
            </w:r>
          </w:p>
        </w:tc>
      </w:tr>
      <w:tr w:rsidR="007F60EA" w:rsidRPr="006E4DCA" w14:paraId="043116E4" w14:textId="77777777" w:rsidTr="0091600E">
        <w:tc>
          <w:tcPr>
            <w:tcW w:w="4308" w:type="dxa"/>
          </w:tcPr>
          <w:p w14:paraId="581D8125" w14:textId="16DF6542"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Sigara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içmek</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baskı</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altında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hissetmemi</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engeller</w:t>
            </w:r>
            <w:proofErr w:type="spellEnd"/>
            <w:r w:rsidRPr="006E4DCA">
              <w:rPr>
                <w:rFonts w:ascii="Times New Roman" w:hAnsi="Times New Roman"/>
                <w:sz w:val="24"/>
                <w:szCs w:val="24"/>
                <w:lang w:val="en-US"/>
              </w:rPr>
              <w:t>.</w:t>
            </w:r>
          </w:p>
        </w:tc>
        <w:tc>
          <w:tcPr>
            <w:tcW w:w="1104" w:type="dxa"/>
          </w:tcPr>
          <w:p w14:paraId="7EF05E73" w14:textId="77777777" w:rsidR="007F60EA" w:rsidRPr="006E4DCA" w:rsidRDefault="007F60EA" w:rsidP="0091600E">
            <w:pPr>
              <w:spacing w:line="240" w:lineRule="auto"/>
              <w:rPr>
                <w:szCs w:val="24"/>
              </w:rPr>
            </w:pPr>
            <w:r w:rsidRPr="006E4DCA">
              <w:rPr>
                <w:szCs w:val="24"/>
              </w:rPr>
              <w:t>1</w:t>
            </w:r>
          </w:p>
        </w:tc>
        <w:tc>
          <w:tcPr>
            <w:tcW w:w="1104" w:type="dxa"/>
          </w:tcPr>
          <w:p w14:paraId="66646533" w14:textId="77777777" w:rsidR="007F60EA" w:rsidRPr="006E4DCA" w:rsidRDefault="007F60EA" w:rsidP="0091600E">
            <w:pPr>
              <w:spacing w:line="240" w:lineRule="auto"/>
              <w:rPr>
                <w:szCs w:val="24"/>
              </w:rPr>
            </w:pPr>
            <w:r w:rsidRPr="006E4DCA">
              <w:rPr>
                <w:szCs w:val="24"/>
              </w:rPr>
              <w:t>2</w:t>
            </w:r>
          </w:p>
        </w:tc>
        <w:tc>
          <w:tcPr>
            <w:tcW w:w="1104" w:type="dxa"/>
          </w:tcPr>
          <w:p w14:paraId="348B4672" w14:textId="77777777" w:rsidR="007F60EA" w:rsidRPr="006E4DCA" w:rsidRDefault="007F60EA" w:rsidP="0091600E">
            <w:pPr>
              <w:spacing w:line="240" w:lineRule="auto"/>
              <w:rPr>
                <w:szCs w:val="24"/>
              </w:rPr>
            </w:pPr>
            <w:r w:rsidRPr="006E4DCA">
              <w:rPr>
                <w:szCs w:val="24"/>
              </w:rPr>
              <w:t>3</w:t>
            </w:r>
          </w:p>
        </w:tc>
        <w:tc>
          <w:tcPr>
            <w:tcW w:w="1104" w:type="dxa"/>
          </w:tcPr>
          <w:p w14:paraId="5E1A52FD" w14:textId="77777777" w:rsidR="007F60EA" w:rsidRPr="006E4DCA" w:rsidRDefault="007F60EA" w:rsidP="0091600E">
            <w:pPr>
              <w:spacing w:line="240" w:lineRule="auto"/>
              <w:rPr>
                <w:szCs w:val="24"/>
              </w:rPr>
            </w:pPr>
            <w:r w:rsidRPr="006E4DCA">
              <w:rPr>
                <w:szCs w:val="24"/>
              </w:rPr>
              <w:t>4</w:t>
            </w:r>
          </w:p>
        </w:tc>
        <w:tc>
          <w:tcPr>
            <w:tcW w:w="1104" w:type="dxa"/>
          </w:tcPr>
          <w:p w14:paraId="32EE8A01" w14:textId="6A66C4CC" w:rsidR="007F60EA" w:rsidRPr="006E4DCA" w:rsidRDefault="007F60EA" w:rsidP="0091600E">
            <w:pPr>
              <w:tabs>
                <w:tab w:val="left" w:pos="8880"/>
              </w:tabs>
              <w:spacing w:line="240" w:lineRule="auto"/>
              <w:ind w:right="-40"/>
              <w:rPr>
                <w:sz w:val="18"/>
                <w:szCs w:val="24"/>
              </w:rPr>
            </w:pPr>
            <w:r w:rsidRPr="006E4DCA">
              <w:rPr>
                <w:sz w:val="18"/>
                <w:szCs w:val="18"/>
              </w:rPr>
              <w:t>SÜBÖ-DDP</w:t>
            </w:r>
          </w:p>
        </w:tc>
      </w:tr>
      <w:tr w:rsidR="007F60EA" w:rsidRPr="006E4DCA" w14:paraId="03470849" w14:textId="77777777" w:rsidTr="0091600E">
        <w:tc>
          <w:tcPr>
            <w:tcW w:w="4308" w:type="dxa"/>
          </w:tcPr>
          <w:p w14:paraId="6A47EA17" w14:textId="0A4720BB"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t>Sigara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içme</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dürtümü</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kontrol</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edemiyorum</w:t>
            </w:r>
            <w:proofErr w:type="spellEnd"/>
            <w:r w:rsidRPr="006E4DCA">
              <w:rPr>
                <w:rFonts w:ascii="Times New Roman" w:hAnsi="Times New Roman"/>
                <w:sz w:val="24"/>
                <w:szCs w:val="24"/>
                <w:lang w:val="en-US"/>
              </w:rPr>
              <w:t>.</w:t>
            </w:r>
          </w:p>
        </w:tc>
        <w:tc>
          <w:tcPr>
            <w:tcW w:w="1104" w:type="dxa"/>
          </w:tcPr>
          <w:p w14:paraId="63EC5636" w14:textId="77777777" w:rsidR="007F60EA" w:rsidRPr="006E4DCA" w:rsidRDefault="007F60EA" w:rsidP="0091600E">
            <w:pPr>
              <w:spacing w:line="240" w:lineRule="auto"/>
              <w:rPr>
                <w:szCs w:val="24"/>
              </w:rPr>
            </w:pPr>
            <w:r w:rsidRPr="006E4DCA">
              <w:rPr>
                <w:szCs w:val="24"/>
              </w:rPr>
              <w:t>1</w:t>
            </w:r>
          </w:p>
        </w:tc>
        <w:tc>
          <w:tcPr>
            <w:tcW w:w="1104" w:type="dxa"/>
          </w:tcPr>
          <w:p w14:paraId="7CB437FF" w14:textId="77777777" w:rsidR="007F60EA" w:rsidRPr="006E4DCA" w:rsidRDefault="007F60EA" w:rsidP="0091600E">
            <w:pPr>
              <w:spacing w:line="240" w:lineRule="auto"/>
              <w:rPr>
                <w:szCs w:val="24"/>
              </w:rPr>
            </w:pPr>
            <w:r w:rsidRPr="006E4DCA">
              <w:rPr>
                <w:szCs w:val="24"/>
              </w:rPr>
              <w:t>2</w:t>
            </w:r>
          </w:p>
        </w:tc>
        <w:tc>
          <w:tcPr>
            <w:tcW w:w="1104" w:type="dxa"/>
          </w:tcPr>
          <w:p w14:paraId="28D51E6F" w14:textId="77777777" w:rsidR="007F60EA" w:rsidRPr="006E4DCA" w:rsidRDefault="007F60EA" w:rsidP="0091600E">
            <w:pPr>
              <w:spacing w:line="240" w:lineRule="auto"/>
              <w:rPr>
                <w:szCs w:val="24"/>
              </w:rPr>
            </w:pPr>
            <w:r w:rsidRPr="006E4DCA">
              <w:rPr>
                <w:szCs w:val="24"/>
              </w:rPr>
              <w:t>3</w:t>
            </w:r>
          </w:p>
        </w:tc>
        <w:tc>
          <w:tcPr>
            <w:tcW w:w="1104" w:type="dxa"/>
          </w:tcPr>
          <w:p w14:paraId="12FD5847" w14:textId="77777777" w:rsidR="007F60EA" w:rsidRPr="006E4DCA" w:rsidRDefault="007F60EA" w:rsidP="0091600E">
            <w:pPr>
              <w:spacing w:line="240" w:lineRule="auto"/>
              <w:rPr>
                <w:szCs w:val="24"/>
              </w:rPr>
            </w:pPr>
            <w:r w:rsidRPr="006E4DCA">
              <w:rPr>
                <w:szCs w:val="24"/>
              </w:rPr>
              <w:t>4</w:t>
            </w:r>
          </w:p>
        </w:tc>
        <w:tc>
          <w:tcPr>
            <w:tcW w:w="1104" w:type="dxa"/>
          </w:tcPr>
          <w:p w14:paraId="1C304801" w14:textId="16C61F32" w:rsidR="007F60EA" w:rsidRPr="006E4DCA" w:rsidRDefault="007F60EA" w:rsidP="0091600E">
            <w:pPr>
              <w:tabs>
                <w:tab w:val="left" w:pos="8880"/>
              </w:tabs>
              <w:spacing w:line="240" w:lineRule="auto"/>
              <w:ind w:right="-40"/>
              <w:rPr>
                <w:sz w:val="18"/>
                <w:szCs w:val="24"/>
              </w:rPr>
            </w:pPr>
            <w:r w:rsidRPr="006E4DCA">
              <w:rPr>
                <w:sz w:val="18"/>
                <w:szCs w:val="18"/>
              </w:rPr>
              <w:t>SÜBÖ-KEN</w:t>
            </w:r>
          </w:p>
        </w:tc>
      </w:tr>
      <w:tr w:rsidR="007F60EA" w:rsidRPr="006E4DCA" w14:paraId="10475AFE" w14:textId="77777777" w:rsidTr="0091600E">
        <w:tc>
          <w:tcPr>
            <w:tcW w:w="4308" w:type="dxa"/>
            <w:tcBorders>
              <w:bottom w:val="single" w:sz="4" w:space="0" w:color="000000"/>
            </w:tcBorders>
          </w:tcPr>
          <w:p w14:paraId="57159BA7" w14:textId="793D5E28" w:rsidR="007F60EA" w:rsidRPr="006E4DCA" w:rsidRDefault="007F60EA" w:rsidP="0091600E">
            <w:pPr>
              <w:pStyle w:val="ListParagraph"/>
              <w:numPr>
                <w:ilvl w:val="0"/>
                <w:numId w:val="1"/>
              </w:numPr>
              <w:spacing w:after="0" w:line="240" w:lineRule="auto"/>
              <w:ind w:left="360"/>
              <w:jc w:val="both"/>
              <w:rPr>
                <w:rFonts w:ascii="Times New Roman" w:hAnsi="Times New Roman"/>
                <w:sz w:val="24"/>
                <w:szCs w:val="24"/>
                <w:lang w:val="en-GB"/>
              </w:rPr>
            </w:pPr>
            <w:proofErr w:type="spellStart"/>
            <w:r w:rsidRPr="006E4DCA">
              <w:rPr>
                <w:rFonts w:ascii="Times New Roman" w:hAnsi="Times New Roman"/>
                <w:sz w:val="24"/>
                <w:szCs w:val="24"/>
                <w:lang w:val="en-US"/>
              </w:rPr>
              <w:lastRenderedPageBreak/>
              <w:t>Sigarayla</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ilgili</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düşüncelerim</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hayatımın</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işleyişini</w:t>
            </w:r>
            <w:proofErr w:type="spellEnd"/>
            <w:r w:rsidRPr="006E4DCA">
              <w:rPr>
                <w:rFonts w:ascii="Times New Roman" w:hAnsi="Times New Roman"/>
                <w:sz w:val="24"/>
                <w:szCs w:val="24"/>
                <w:lang w:val="en-US"/>
              </w:rPr>
              <w:t xml:space="preserve"> </w:t>
            </w:r>
            <w:proofErr w:type="spellStart"/>
            <w:r w:rsidRPr="006E4DCA">
              <w:rPr>
                <w:rFonts w:ascii="Times New Roman" w:hAnsi="Times New Roman"/>
                <w:sz w:val="24"/>
                <w:szCs w:val="24"/>
                <w:lang w:val="en-US"/>
              </w:rPr>
              <w:t>bozuyor</w:t>
            </w:r>
            <w:proofErr w:type="spellEnd"/>
            <w:r w:rsidRPr="006E4DCA">
              <w:rPr>
                <w:rFonts w:ascii="Times New Roman" w:hAnsi="Times New Roman"/>
                <w:sz w:val="24"/>
                <w:szCs w:val="24"/>
                <w:lang w:val="en-US"/>
              </w:rPr>
              <w:t>.</w:t>
            </w:r>
          </w:p>
        </w:tc>
        <w:tc>
          <w:tcPr>
            <w:tcW w:w="1104" w:type="dxa"/>
            <w:tcBorders>
              <w:bottom w:val="single" w:sz="4" w:space="0" w:color="000000"/>
            </w:tcBorders>
          </w:tcPr>
          <w:p w14:paraId="73014C47" w14:textId="77777777" w:rsidR="007F60EA" w:rsidRPr="006E4DCA" w:rsidRDefault="007F60EA" w:rsidP="0091600E">
            <w:pPr>
              <w:spacing w:line="240" w:lineRule="auto"/>
              <w:rPr>
                <w:szCs w:val="24"/>
              </w:rPr>
            </w:pPr>
            <w:r w:rsidRPr="006E4DCA">
              <w:rPr>
                <w:szCs w:val="24"/>
              </w:rPr>
              <w:t>1</w:t>
            </w:r>
          </w:p>
        </w:tc>
        <w:tc>
          <w:tcPr>
            <w:tcW w:w="1104" w:type="dxa"/>
            <w:tcBorders>
              <w:bottom w:val="single" w:sz="4" w:space="0" w:color="000000"/>
            </w:tcBorders>
          </w:tcPr>
          <w:p w14:paraId="13D8453E" w14:textId="77777777" w:rsidR="007F60EA" w:rsidRPr="006E4DCA" w:rsidRDefault="007F60EA" w:rsidP="0091600E">
            <w:pPr>
              <w:spacing w:line="240" w:lineRule="auto"/>
              <w:rPr>
                <w:szCs w:val="24"/>
              </w:rPr>
            </w:pPr>
            <w:r w:rsidRPr="006E4DCA">
              <w:rPr>
                <w:szCs w:val="24"/>
              </w:rPr>
              <w:t>2</w:t>
            </w:r>
          </w:p>
        </w:tc>
        <w:tc>
          <w:tcPr>
            <w:tcW w:w="1104" w:type="dxa"/>
            <w:tcBorders>
              <w:bottom w:val="single" w:sz="4" w:space="0" w:color="000000"/>
            </w:tcBorders>
          </w:tcPr>
          <w:p w14:paraId="6AE52254" w14:textId="77777777" w:rsidR="007F60EA" w:rsidRPr="006E4DCA" w:rsidRDefault="007F60EA" w:rsidP="0091600E">
            <w:pPr>
              <w:spacing w:line="240" w:lineRule="auto"/>
              <w:rPr>
                <w:szCs w:val="24"/>
              </w:rPr>
            </w:pPr>
            <w:r w:rsidRPr="006E4DCA">
              <w:rPr>
                <w:szCs w:val="24"/>
              </w:rPr>
              <w:t>3</w:t>
            </w:r>
          </w:p>
        </w:tc>
        <w:tc>
          <w:tcPr>
            <w:tcW w:w="1104" w:type="dxa"/>
            <w:tcBorders>
              <w:bottom w:val="single" w:sz="4" w:space="0" w:color="000000"/>
            </w:tcBorders>
          </w:tcPr>
          <w:p w14:paraId="7362E34E" w14:textId="77777777" w:rsidR="007F60EA" w:rsidRPr="006E4DCA" w:rsidRDefault="007F60EA" w:rsidP="0091600E">
            <w:pPr>
              <w:spacing w:line="240" w:lineRule="auto"/>
              <w:rPr>
                <w:szCs w:val="24"/>
              </w:rPr>
            </w:pPr>
            <w:r w:rsidRPr="006E4DCA">
              <w:rPr>
                <w:szCs w:val="24"/>
              </w:rPr>
              <w:t>4</w:t>
            </w:r>
          </w:p>
        </w:tc>
        <w:tc>
          <w:tcPr>
            <w:tcW w:w="1104" w:type="dxa"/>
            <w:tcBorders>
              <w:bottom w:val="single" w:sz="4" w:space="0" w:color="000000"/>
            </w:tcBorders>
          </w:tcPr>
          <w:p w14:paraId="33B70BAA" w14:textId="385DA750" w:rsidR="007F60EA" w:rsidRPr="006E4DCA" w:rsidRDefault="007F60EA" w:rsidP="0091600E">
            <w:pPr>
              <w:tabs>
                <w:tab w:val="left" w:pos="8880"/>
              </w:tabs>
              <w:spacing w:line="240" w:lineRule="auto"/>
              <w:ind w:right="-40"/>
              <w:rPr>
                <w:sz w:val="18"/>
                <w:szCs w:val="24"/>
              </w:rPr>
            </w:pPr>
            <w:r w:rsidRPr="006E4DCA">
              <w:rPr>
                <w:sz w:val="18"/>
                <w:szCs w:val="18"/>
              </w:rPr>
              <w:t>SÜBÖ-BEN</w:t>
            </w:r>
          </w:p>
        </w:tc>
      </w:tr>
    </w:tbl>
    <w:p w14:paraId="4BE52333" w14:textId="77777777" w:rsidR="007F60EA" w:rsidRPr="006E4DCA" w:rsidRDefault="007F60EA" w:rsidP="007F60EA">
      <w:pPr>
        <w:spacing w:line="240" w:lineRule="auto"/>
        <w:rPr>
          <w:b/>
          <w:szCs w:val="24"/>
        </w:rPr>
      </w:pPr>
    </w:p>
    <w:p w14:paraId="1E3755D9" w14:textId="77777777" w:rsidR="007F60EA" w:rsidRPr="006E4DCA" w:rsidRDefault="007F60EA" w:rsidP="007F60EA">
      <w:pPr>
        <w:spacing w:line="240" w:lineRule="auto"/>
        <w:rPr>
          <w:color w:val="000000" w:themeColor="text1"/>
          <w:szCs w:val="24"/>
        </w:rPr>
      </w:pPr>
      <w:r w:rsidRPr="006E4DCA">
        <w:rPr>
          <w:b/>
          <w:szCs w:val="24"/>
        </w:rPr>
        <w:t xml:space="preserve">Note: </w:t>
      </w:r>
      <w:r w:rsidRPr="006E4DCA">
        <w:rPr>
          <w:color w:val="000000" w:themeColor="text1"/>
          <w:szCs w:val="24"/>
        </w:rPr>
        <w:t xml:space="preserve">SÜBÖ - BDP: </w:t>
      </w:r>
      <w:proofErr w:type="spellStart"/>
      <w:r w:rsidRPr="006E4DCA">
        <w:rPr>
          <w:color w:val="000000" w:themeColor="text1"/>
          <w:szCs w:val="24"/>
        </w:rPr>
        <w:t>Sigara</w:t>
      </w:r>
      <w:proofErr w:type="spellEnd"/>
      <w:r w:rsidRPr="006E4DCA">
        <w:rPr>
          <w:color w:val="000000" w:themeColor="text1"/>
          <w:szCs w:val="24"/>
        </w:rPr>
        <w:t xml:space="preserve"> </w:t>
      </w:r>
      <w:proofErr w:type="spellStart"/>
      <w:r w:rsidRPr="006E4DCA">
        <w:rPr>
          <w:color w:val="000000" w:themeColor="text1"/>
          <w:szCs w:val="24"/>
        </w:rPr>
        <w:t>İçmeyle</w:t>
      </w:r>
      <w:proofErr w:type="spellEnd"/>
      <w:r w:rsidRPr="006E4DCA">
        <w:rPr>
          <w:color w:val="000000" w:themeColor="text1"/>
          <w:szCs w:val="24"/>
        </w:rPr>
        <w:t xml:space="preserve"> </w:t>
      </w:r>
      <w:proofErr w:type="spellStart"/>
      <w:r w:rsidRPr="006E4DCA">
        <w:rPr>
          <w:color w:val="000000" w:themeColor="text1"/>
          <w:szCs w:val="24"/>
        </w:rPr>
        <w:t>ilgili</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w:t>
      </w:r>
      <w:proofErr w:type="spellStart"/>
      <w:r w:rsidRPr="006E4DCA">
        <w:rPr>
          <w:color w:val="000000" w:themeColor="text1"/>
          <w:szCs w:val="24"/>
        </w:rPr>
        <w:t>Ölçeği-Bilişsel</w:t>
      </w:r>
      <w:proofErr w:type="spellEnd"/>
      <w:r w:rsidRPr="006E4DCA">
        <w:rPr>
          <w:color w:val="000000" w:themeColor="text1"/>
          <w:szCs w:val="24"/>
        </w:rPr>
        <w:t xml:space="preserve"> </w:t>
      </w:r>
      <w:proofErr w:type="spellStart"/>
      <w:r w:rsidRPr="006E4DCA">
        <w:rPr>
          <w:color w:val="000000" w:themeColor="text1"/>
          <w:szCs w:val="24"/>
        </w:rPr>
        <w:t>Düzenleme</w:t>
      </w:r>
      <w:proofErr w:type="spellEnd"/>
      <w:r w:rsidRPr="006E4DCA">
        <w:rPr>
          <w:color w:val="000000" w:themeColor="text1"/>
          <w:szCs w:val="24"/>
        </w:rPr>
        <w:t xml:space="preserve"> </w:t>
      </w:r>
      <w:proofErr w:type="spellStart"/>
      <w:r w:rsidRPr="006E4DCA">
        <w:rPr>
          <w:color w:val="000000" w:themeColor="text1"/>
          <w:szCs w:val="24"/>
        </w:rPr>
        <w:t>Hakkında</w:t>
      </w:r>
      <w:proofErr w:type="spellEnd"/>
      <w:r w:rsidRPr="006E4DCA">
        <w:rPr>
          <w:color w:val="000000" w:themeColor="text1"/>
          <w:szCs w:val="24"/>
        </w:rPr>
        <w:t xml:space="preserve"> </w:t>
      </w:r>
      <w:proofErr w:type="spellStart"/>
      <w:r w:rsidRPr="006E4DCA">
        <w:rPr>
          <w:color w:val="000000" w:themeColor="text1"/>
          <w:szCs w:val="24"/>
        </w:rPr>
        <w:t>Pozitif</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(1,5,9,13,17.maddeler), SÜBÖ - DDP: </w:t>
      </w:r>
      <w:proofErr w:type="spellStart"/>
      <w:r w:rsidRPr="006E4DCA">
        <w:rPr>
          <w:color w:val="000000" w:themeColor="text1"/>
          <w:szCs w:val="24"/>
        </w:rPr>
        <w:t>Sigara</w:t>
      </w:r>
      <w:proofErr w:type="spellEnd"/>
      <w:r w:rsidRPr="006E4DCA">
        <w:rPr>
          <w:color w:val="000000" w:themeColor="text1"/>
          <w:szCs w:val="24"/>
        </w:rPr>
        <w:t xml:space="preserve"> </w:t>
      </w:r>
      <w:proofErr w:type="spellStart"/>
      <w:r w:rsidRPr="006E4DCA">
        <w:rPr>
          <w:color w:val="000000" w:themeColor="text1"/>
          <w:szCs w:val="24"/>
        </w:rPr>
        <w:t>İçmeyle</w:t>
      </w:r>
      <w:proofErr w:type="spellEnd"/>
      <w:r w:rsidRPr="006E4DCA">
        <w:rPr>
          <w:color w:val="000000" w:themeColor="text1"/>
          <w:szCs w:val="24"/>
        </w:rPr>
        <w:t xml:space="preserve"> </w:t>
      </w:r>
      <w:proofErr w:type="spellStart"/>
      <w:r w:rsidRPr="006E4DCA">
        <w:rPr>
          <w:color w:val="000000" w:themeColor="text1"/>
          <w:szCs w:val="24"/>
        </w:rPr>
        <w:t>ilgili</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w:t>
      </w:r>
      <w:proofErr w:type="spellStart"/>
      <w:r w:rsidRPr="006E4DCA">
        <w:rPr>
          <w:color w:val="000000" w:themeColor="text1"/>
          <w:szCs w:val="24"/>
        </w:rPr>
        <w:t>Ölçeği-Duygusal</w:t>
      </w:r>
      <w:proofErr w:type="spellEnd"/>
      <w:r w:rsidRPr="006E4DCA">
        <w:rPr>
          <w:color w:val="000000" w:themeColor="text1"/>
          <w:szCs w:val="24"/>
        </w:rPr>
        <w:t xml:space="preserve"> </w:t>
      </w:r>
      <w:proofErr w:type="spellStart"/>
      <w:r w:rsidRPr="006E4DCA">
        <w:rPr>
          <w:color w:val="000000" w:themeColor="text1"/>
          <w:szCs w:val="24"/>
        </w:rPr>
        <w:t>Düzenleme</w:t>
      </w:r>
      <w:proofErr w:type="spellEnd"/>
      <w:r w:rsidRPr="006E4DCA">
        <w:rPr>
          <w:color w:val="000000" w:themeColor="text1"/>
          <w:szCs w:val="24"/>
        </w:rPr>
        <w:t xml:space="preserve"> </w:t>
      </w:r>
      <w:proofErr w:type="spellStart"/>
      <w:r w:rsidRPr="006E4DCA">
        <w:rPr>
          <w:color w:val="000000" w:themeColor="text1"/>
          <w:szCs w:val="24"/>
        </w:rPr>
        <w:t>Hakkında</w:t>
      </w:r>
      <w:proofErr w:type="spellEnd"/>
      <w:r w:rsidRPr="006E4DCA">
        <w:rPr>
          <w:color w:val="000000" w:themeColor="text1"/>
          <w:szCs w:val="24"/>
        </w:rPr>
        <w:t xml:space="preserve"> </w:t>
      </w:r>
      <w:proofErr w:type="spellStart"/>
      <w:r w:rsidRPr="006E4DCA">
        <w:rPr>
          <w:color w:val="000000" w:themeColor="text1"/>
          <w:szCs w:val="24"/>
        </w:rPr>
        <w:t>Pozitif</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(2,6,10,14, </w:t>
      </w:r>
      <w:proofErr w:type="spellStart"/>
      <w:r w:rsidRPr="006E4DCA">
        <w:rPr>
          <w:color w:val="000000" w:themeColor="text1"/>
          <w:szCs w:val="24"/>
        </w:rPr>
        <w:t>maddeler</w:t>
      </w:r>
      <w:proofErr w:type="spellEnd"/>
      <w:r w:rsidRPr="006E4DCA">
        <w:rPr>
          <w:color w:val="000000" w:themeColor="text1"/>
          <w:szCs w:val="24"/>
        </w:rPr>
        <w:t xml:space="preserve">), SÜBÖ -KEN: </w:t>
      </w:r>
      <w:proofErr w:type="spellStart"/>
      <w:r w:rsidRPr="006E4DCA">
        <w:rPr>
          <w:color w:val="000000" w:themeColor="text1"/>
          <w:szCs w:val="24"/>
        </w:rPr>
        <w:t>Sigara</w:t>
      </w:r>
      <w:proofErr w:type="spellEnd"/>
      <w:r w:rsidRPr="006E4DCA">
        <w:rPr>
          <w:color w:val="000000" w:themeColor="text1"/>
          <w:szCs w:val="24"/>
        </w:rPr>
        <w:t xml:space="preserve"> </w:t>
      </w:r>
      <w:proofErr w:type="spellStart"/>
      <w:r w:rsidRPr="006E4DCA">
        <w:rPr>
          <w:color w:val="000000" w:themeColor="text1"/>
          <w:szCs w:val="24"/>
        </w:rPr>
        <w:t>İçmeyle</w:t>
      </w:r>
      <w:proofErr w:type="spellEnd"/>
      <w:r w:rsidRPr="006E4DCA">
        <w:rPr>
          <w:color w:val="000000" w:themeColor="text1"/>
          <w:szCs w:val="24"/>
        </w:rPr>
        <w:t xml:space="preserve"> </w:t>
      </w:r>
      <w:proofErr w:type="spellStart"/>
      <w:r w:rsidRPr="006E4DCA">
        <w:rPr>
          <w:color w:val="000000" w:themeColor="text1"/>
          <w:szCs w:val="24"/>
        </w:rPr>
        <w:t>ilgili</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w:t>
      </w:r>
      <w:proofErr w:type="spellStart"/>
      <w:r w:rsidRPr="006E4DCA">
        <w:rPr>
          <w:color w:val="000000" w:themeColor="text1"/>
          <w:szCs w:val="24"/>
        </w:rPr>
        <w:t>Ölçeği-Sigaranın</w:t>
      </w:r>
      <w:proofErr w:type="spellEnd"/>
      <w:r w:rsidRPr="006E4DCA">
        <w:rPr>
          <w:color w:val="000000" w:themeColor="text1"/>
          <w:szCs w:val="24"/>
        </w:rPr>
        <w:t xml:space="preserve"> </w:t>
      </w:r>
      <w:proofErr w:type="spellStart"/>
      <w:r w:rsidRPr="006E4DCA">
        <w:rPr>
          <w:color w:val="000000" w:themeColor="text1"/>
          <w:szCs w:val="24"/>
        </w:rPr>
        <w:t>Kontrol</w:t>
      </w:r>
      <w:proofErr w:type="spellEnd"/>
      <w:r w:rsidRPr="006E4DCA">
        <w:rPr>
          <w:color w:val="000000" w:themeColor="text1"/>
          <w:szCs w:val="24"/>
        </w:rPr>
        <w:t xml:space="preserve"> </w:t>
      </w:r>
      <w:proofErr w:type="spellStart"/>
      <w:r w:rsidRPr="006E4DCA">
        <w:rPr>
          <w:color w:val="000000" w:themeColor="text1"/>
          <w:szCs w:val="24"/>
        </w:rPr>
        <w:t>Edilmezliği</w:t>
      </w:r>
      <w:proofErr w:type="spellEnd"/>
      <w:r w:rsidRPr="006E4DCA">
        <w:rPr>
          <w:color w:val="000000" w:themeColor="text1"/>
          <w:szCs w:val="24"/>
        </w:rPr>
        <w:t xml:space="preserve"> </w:t>
      </w:r>
      <w:proofErr w:type="spellStart"/>
      <w:r w:rsidRPr="006E4DCA">
        <w:rPr>
          <w:color w:val="000000" w:themeColor="text1"/>
          <w:szCs w:val="24"/>
        </w:rPr>
        <w:t>Hakkında</w:t>
      </w:r>
      <w:proofErr w:type="spellEnd"/>
      <w:r w:rsidRPr="006E4DCA">
        <w:rPr>
          <w:color w:val="000000" w:themeColor="text1"/>
          <w:szCs w:val="24"/>
        </w:rPr>
        <w:t xml:space="preserve"> </w:t>
      </w:r>
      <w:proofErr w:type="spellStart"/>
      <w:r w:rsidRPr="006E4DCA">
        <w:rPr>
          <w:color w:val="000000" w:themeColor="text1"/>
          <w:szCs w:val="24"/>
        </w:rPr>
        <w:t>Negatif</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(7,11,15,19.maddeler), SÜBÖ -BEN: </w:t>
      </w:r>
      <w:proofErr w:type="spellStart"/>
      <w:r w:rsidRPr="006E4DCA">
        <w:rPr>
          <w:color w:val="000000" w:themeColor="text1"/>
          <w:szCs w:val="24"/>
        </w:rPr>
        <w:t>Sigara</w:t>
      </w:r>
      <w:proofErr w:type="spellEnd"/>
      <w:r w:rsidRPr="006E4DCA">
        <w:rPr>
          <w:color w:val="000000" w:themeColor="text1"/>
          <w:szCs w:val="24"/>
        </w:rPr>
        <w:t xml:space="preserve"> </w:t>
      </w:r>
      <w:proofErr w:type="spellStart"/>
      <w:r w:rsidRPr="006E4DCA">
        <w:rPr>
          <w:color w:val="000000" w:themeColor="text1"/>
          <w:szCs w:val="24"/>
        </w:rPr>
        <w:t>içmeyle</w:t>
      </w:r>
      <w:proofErr w:type="spellEnd"/>
      <w:r w:rsidRPr="006E4DCA">
        <w:rPr>
          <w:color w:val="000000" w:themeColor="text1"/>
          <w:szCs w:val="24"/>
        </w:rPr>
        <w:t xml:space="preserve"> </w:t>
      </w:r>
      <w:proofErr w:type="spellStart"/>
      <w:r w:rsidRPr="006E4DCA">
        <w:rPr>
          <w:color w:val="000000" w:themeColor="text1"/>
          <w:szCs w:val="24"/>
        </w:rPr>
        <w:t>ilgili</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w:t>
      </w:r>
      <w:proofErr w:type="spellStart"/>
      <w:r w:rsidRPr="006E4DCA">
        <w:rPr>
          <w:color w:val="000000" w:themeColor="text1"/>
          <w:szCs w:val="24"/>
        </w:rPr>
        <w:t>Ölçeği-Bilişsel</w:t>
      </w:r>
      <w:proofErr w:type="spellEnd"/>
      <w:r w:rsidRPr="006E4DCA">
        <w:rPr>
          <w:color w:val="000000" w:themeColor="text1"/>
          <w:szCs w:val="24"/>
        </w:rPr>
        <w:t xml:space="preserve"> </w:t>
      </w:r>
      <w:proofErr w:type="spellStart"/>
      <w:r w:rsidRPr="006E4DCA">
        <w:rPr>
          <w:color w:val="000000" w:themeColor="text1"/>
          <w:szCs w:val="24"/>
        </w:rPr>
        <w:t>Engellenme</w:t>
      </w:r>
      <w:proofErr w:type="spellEnd"/>
      <w:r w:rsidRPr="006E4DCA">
        <w:rPr>
          <w:color w:val="000000" w:themeColor="text1"/>
          <w:szCs w:val="24"/>
        </w:rPr>
        <w:t xml:space="preserve"> </w:t>
      </w:r>
      <w:proofErr w:type="spellStart"/>
      <w:r w:rsidRPr="006E4DCA">
        <w:rPr>
          <w:color w:val="000000" w:themeColor="text1"/>
          <w:szCs w:val="24"/>
        </w:rPr>
        <w:t>Hakkında</w:t>
      </w:r>
      <w:proofErr w:type="spellEnd"/>
      <w:r w:rsidRPr="006E4DCA">
        <w:rPr>
          <w:color w:val="000000" w:themeColor="text1"/>
          <w:szCs w:val="24"/>
        </w:rPr>
        <w:t xml:space="preserve"> </w:t>
      </w:r>
      <w:proofErr w:type="spellStart"/>
      <w:r w:rsidRPr="006E4DCA">
        <w:rPr>
          <w:color w:val="000000" w:themeColor="text1"/>
          <w:szCs w:val="24"/>
        </w:rPr>
        <w:t>Negatif</w:t>
      </w:r>
      <w:proofErr w:type="spellEnd"/>
      <w:r w:rsidRPr="006E4DCA">
        <w:rPr>
          <w:color w:val="000000" w:themeColor="text1"/>
          <w:szCs w:val="24"/>
        </w:rPr>
        <w:t xml:space="preserve"> </w:t>
      </w:r>
      <w:proofErr w:type="spellStart"/>
      <w:r w:rsidRPr="006E4DCA">
        <w:rPr>
          <w:color w:val="000000" w:themeColor="text1"/>
          <w:szCs w:val="24"/>
        </w:rPr>
        <w:t>Üstbilişsel</w:t>
      </w:r>
      <w:proofErr w:type="spellEnd"/>
      <w:r w:rsidRPr="006E4DCA">
        <w:rPr>
          <w:color w:val="000000" w:themeColor="text1"/>
          <w:szCs w:val="24"/>
        </w:rPr>
        <w:t xml:space="preserve"> </w:t>
      </w:r>
      <w:proofErr w:type="spellStart"/>
      <w:r w:rsidRPr="006E4DCA">
        <w:rPr>
          <w:color w:val="000000" w:themeColor="text1"/>
          <w:szCs w:val="24"/>
        </w:rPr>
        <w:t>İnanışlar</w:t>
      </w:r>
      <w:proofErr w:type="spellEnd"/>
      <w:r w:rsidRPr="006E4DCA">
        <w:rPr>
          <w:color w:val="000000" w:themeColor="text1"/>
          <w:szCs w:val="24"/>
        </w:rPr>
        <w:t xml:space="preserve"> (4,12,16,20. </w:t>
      </w:r>
      <w:proofErr w:type="spellStart"/>
      <w:r w:rsidRPr="006E4DCA">
        <w:rPr>
          <w:color w:val="000000" w:themeColor="text1"/>
          <w:szCs w:val="24"/>
        </w:rPr>
        <w:t>maddeler</w:t>
      </w:r>
      <w:proofErr w:type="spellEnd"/>
      <w:r w:rsidRPr="006E4DCA">
        <w:rPr>
          <w:color w:val="000000" w:themeColor="text1"/>
          <w:szCs w:val="24"/>
        </w:rPr>
        <w:t>).</w:t>
      </w:r>
    </w:p>
    <w:p w14:paraId="5A30905B" w14:textId="77777777" w:rsidR="007F60EA" w:rsidRPr="006E4DCA" w:rsidRDefault="007F60EA" w:rsidP="00011661">
      <w:pPr>
        <w:rPr>
          <w:szCs w:val="24"/>
        </w:rPr>
      </w:pPr>
    </w:p>
    <w:p w14:paraId="45558C77" w14:textId="479982F1" w:rsidR="00011661" w:rsidRPr="006E4DCA" w:rsidRDefault="00011661" w:rsidP="00011661">
      <w:pPr>
        <w:rPr>
          <w:szCs w:val="24"/>
        </w:rPr>
      </w:pPr>
      <w:r w:rsidRPr="006E4DCA">
        <w:rPr>
          <w:szCs w:val="24"/>
        </w:rPr>
        <w:br w:type="page"/>
      </w:r>
    </w:p>
    <w:p w14:paraId="70D618F0" w14:textId="77777777" w:rsidR="00A31235" w:rsidRPr="006E4DCA" w:rsidRDefault="00A31235" w:rsidP="00A31235">
      <w:pPr>
        <w:pStyle w:val="BodyText"/>
        <w:jc w:val="both"/>
        <w:rPr>
          <w:b/>
          <w:sz w:val="24"/>
          <w:szCs w:val="24"/>
        </w:rPr>
      </w:pPr>
      <w:r w:rsidRPr="006E4DCA">
        <w:rPr>
          <w:b/>
          <w:sz w:val="24"/>
          <w:szCs w:val="24"/>
        </w:rPr>
        <w:lastRenderedPageBreak/>
        <w:t>Appendix: Metacognitions about Smoking Questionnaire (MSQ)</w:t>
      </w:r>
    </w:p>
    <w:p w14:paraId="6087AAAB" w14:textId="761AF83E" w:rsidR="00A31235" w:rsidRPr="006E4DCA" w:rsidRDefault="00A31235" w:rsidP="00A31235">
      <w:pPr>
        <w:spacing w:line="360" w:lineRule="auto"/>
        <w:rPr>
          <w:sz w:val="21"/>
          <w:szCs w:val="24"/>
          <w:lang w:val="en-US"/>
        </w:rPr>
      </w:pPr>
      <w:r w:rsidRPr="006E4DCA">
        <w:rPr>
          <w:sz w:val="21"/>
          <w:szCs w:val="24"/>
          <w:lang w:val="en-US"/>
        </w:rPr>
        <w:t xml:space="preserve">This questionnaire is concerned with beliefs people hold about smoking. Listed below are a number of beliefs that people have expressed. First, try to think about when you smoke. Then, read each item and determine how much you generally agree with it by circling the appropriate number.  Please respond to all the items. There </w:t>
      </w:r>
      <w:proofErr w:type="gramStart"/>
      <w:r w:rsidRPr="006E4DCA">
        <w:rPr>
          <w:sz w:val="21"/>
          <w:szCs w:val="24"/>
          <w:lang w:val="en-US"/>
        </w:rPr>
        <w:t>are no right</w:t>
      </w:r>
      <w:proofErr w:type="gramEnd"/>
      <w:r w:rsidRPr="006E4DCA">
        <w:rPr>
          <w:sz w:val="21"/>
          <w:szCs w:val="24"/>
          <w:lang w:val="en-US"/>
        </w:rPr>
        <w:t xml:space="preserve"> or wrong answers.</w:t>
      </w:r>
    </w:p>
    <w:p w14:paraId="4FAB4926" w14:textId="77777777" w:rsidR="00A31235" w:rsidRPr="006E4DCA" w:rsidRDefault="00A31235" w:rsidP="00A31235">
      <w:pPr>
        <w:tabs>
          <w:tab w:val="left" w:pos="8880"/>
        </w:tabs>
        <w:ind w:right="-40"/>
        <w:rPr>
          <w:szCs w:val="24"/>
          <w:lang w:val="en-US"/>
        </w:rPr>
      </w:pPr>
    </w:p>
    <w:tbl>
      <w:tblPr>
        <w:tblW w:w="9828" w:type="dxa"/>
        <w:tblLayout w:type="fixed"/>
        <w:tblLook w:val="04A0" w:firstRow="1" w:lastRow="0" w:firstColumn="1" w:lastColumn="0" w:noHBand="0" w:noVBand="1"/>
      </w:tblPr>
      <w:tblGrid>
        <w:gridCol w:w="4308"/>
        <w:gridCol w:w="1104"/>
        <w:gridCol w:w="1104"/>
        <w:gridCol w:w="1104"/>
        <w:gridCol w:w="1104"/>
        <w:gridCol w:w="1104"/>
      </w:tblGrid>
      <w:tr w:rsidR="00A31235" w:rsidRPr="006E4DCA" w14:paraId="3CE4BC6C" w14:textId="77777777" w:rsidTr="0091600E">
        <w:tc>
          <w:tcPr>
            <w:tcW w:w="4308" w:type="dxa"/>
            <w:tcBorders>
              <w:top w:val="single" w:sz="4" w:space="0" w:color="000000"/>
              <w:bottom w:val="single" w:sz="4" w:space="0" w:color="000000"/>
            </w:tcBorders>
          </w:tcPr>
          <w:p w14:paraId="79220746" w14:textId="77777777" w:rsidR="00A31235" w:rsidRPr="006E4DCA" w:rsidRDefault="00A31235" w:rsidP="00A31235">
            <w:pPr>
              <w:tabs>
                <w:tab w:val="left" w:pos="8880"/>
              </w:tabs>
              <w:spacing w:line="240" w:lineRule="auto"/>
              <w:ind w:right="-40"/>
              <w:rPr>
                <w:szCs w:val="24"/>
              </w:rPr>
            </w:pPr>
          </w:p>
        </w:tc>
        <w:tc>
          <w:tcPr>
            <w:tcW w:w="1104" w:type="dxa"/>
            <w:tcBorders>
              <w:top w:val="single" w:sz="4" w:space="0" w:color="000000"/>
              <w:bottom w:val="single" w:sz="4" w:space="0" w:color="000000"/>
            </w:tcBorders>
          </w:tcPr>
          <w:p w14:paraId="297E0BC8" w14:textId="77777777" w:rsidR="00A31235" w:rsidRPr="006E4DCA" w:rsidRDefault="00A31235" w:rsidP="00A31235">
            <w:pPr>
              <w:tabs>
                <w:tab w:val="left" w:pos="8880"/>
              </w:tabs>
              <w:spacing w:line="240" w:lineRule="auto"/>
              <w:ind w:right="-40"/>
              <w:rPr>
                <w:szCs w:val="24"/>
              </w:rPr>
            </w:pPr>
            <w:r w:rsidRPr="006E4DCA">
              <w:rPr>
                <w:szCs w:val="24"/>
              </w:rPr>
              <w:t>Do not agree</w:t>
            </w:r>
          </w:p>
        </w:tc>
        <w:tc>
          <w:tcPr>
            <w:tcW w:w="1104" w:type="dxa"/>
            <w:tcBorders>
              <w:top w:val="single" w:sz="4" w:space="0" w:color="000000"/>
              <w:bottom w:val="single" w:sz="4" w:space="0" w:color="000000"/>
            </w:tcBorders>
          </w:tcPr>
          <w:p w14:paraId="6396BB2A" w14:textId="77777777" w:rsidR="00A31235" w:rsidRPr="006E4DCA" w:rsidRDefault="00A31235" w:rsidP="00A31235">
            <w:pPr>
              <w:tabs>
                <w:tab w:val="left" w:pos="8880"/>
              </w:tabs>
              <w:spacing w:line="240" w:lineRule="auto"/>
              <w:ind w:right="-40"/>
              <w:rPr>
                <w:szCs w:val="24"/>
              </w:rPr>
            </w:pPr>
            <w:r w:rsidRPr="006E4DCA">
              <w:rPr>
                <w:szCs w:val="24"/>
              </w:rPr>
              <w:t>Agree slightly</w:t>
            </w:r>
          </w:p>
        </w:tc>
        <w:tc>
          <w:tcPr>
            <w:tcW w:w="1104" w:type="dxa"/>
            <w:tcBorders>
              <w:top w:val="single" w:sz="4" w:space="0" w:color="000000"/>
              <w:bottom w:val="single" w:sz="4" w:space="0" w:color="000000"/>
            </w:tcBorders>
          </w:tcPr>
          <w:p w14:paraId="28972D59" w14:textId="77777777" w:rsidR="00A31235" w:rsidRPr="006E4DCA" w:rsidRDefault="00A31235" w:rsidP="00A31235">
            <w:pPr>
              <w:tabs>
                <w:tab w:val="left" w:pos="8880"/>
              </w:tabs>
              <w:spacing w:line="240" w:lineRule="auto"/>
              <w:ind w:right="-40"/>
              <w:rPr>
                <w:szCs w:val="24"/>
              </w:rPr>
            </w:pPr>
            <w:r w:rsidRPr="006E4DCA">
              <w:rPr>
                <w:szCs w:val="24"/>
              </w:rPr>
              <w:t>Agree moderately</w:t>
            </w:r>
          </w:p>
        </w:tc>
        <w:tc>
          <w:tcPr>
            <w:tcW w:w="1104" w:type="dxa"/>
            <w:tcBorders>
              <w:top w:val="single" w:sz="4" w:space="0" w:color="000000"/>
              <w:bottom w:val="single" w:sz="4" w:space="0" w:color="000000"/>
            </w:tcBorders>
          </w:tcPr>
          <w:p w14:paraId="4AB3892C" w14:textId="77777777" w:rsidR="00A31235" w:rsidRPr="006E4DCA" w:rsidRDefault="00A31235" w:rsidP="00A31235">
            <w:pPr>
              <w:tabs>
                <w:tab w:val="left" w:pos="8880"/>
              </w:tabs>
              <w:spacing w:line="240" w:lineRule="auto"/>
              <w:ind w:right="-40"/>
              <w:rPr>
                <w:szCs w:val="24"/>
              </w:rPr>
            </w:pPr>
            <w:r w:rsidRPr="006E4DCA">
              <w:rPr>
                <w:szCs w:val="24"/>
              </w:rPr>
              <w:t>Agree very much</w:t>
            </w:r>
          </w:p>
        </w:tc>
        <w:tc>
          <w:tcPr>
            <w:tcW w:w="1104" w:type="dxa"/>
            <w:tcBorders>
              <w:top w:val="single" w:sz="4" w:space="0" w:color="000000"/>
              <w:bottom w:val="single" w:sz="4" w:space="0" w:color="000000"/>
            </w:tcBorders>
          </w:tcPr>
          <w:p w14:paraId="64A22EA8" w14:textId="77777777" w:rsidR="00A31235" w:rsidRPr="006E4DCA" w:rsidRDefault="00A31235" w:rsidP="00A31235">
            <w:pPr>
              <w:tabs>
                <w:tab w:val="left" w:pos="8880"/>
              </w:tabs>
              <w:spacing w:line="240" w:lineRule="auto"/>
              <w:ind w:right="-40"/>
              <w:rPr>
                <w:szCs w:val="24"/>
              </w:rPr>
            </w:pPr>
            <w:r w:rsidRPr="006E4DCA">
              <w:rPr>
                <w:szCs w:val="24"/>
              </w:rPr>
              <w:t>Factor</w:t>
            </w:r>
          </w:p>
        </w:tc>
      </w:tr>
      <w:tr w:rsidR="00A31235" w:rsidRPr="006E4DCA" w14:paraId="519B51E2" w14:textId="77777777" w:rsidTr="0091600E">
        <w:tc>
          <w:tcPr>
            <w:tcW w:w="4308" w:type="dxa"/>
            <w:tcBorders>
              <w:top w:val="single" w:sz="4" w:space="0" w:color="000000"/>
            </w:tcBorders>
          </w:tcPr>
          <w:p w14:paraId="3497FF9F" w14:textId="6970383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think more clearly</w:t>
            </w:r>
          </w:p>
        </w:tc>
        <w:tc>
          <w:tcPr>
            <w:tcW w:w="1104" w:type="dxa"/>
            <w:tcBorders>
              <w:top w:val="single" w:sz="4" w:space="0" w:color="000000"/>
            </w:tcBorders>
          </w:tcPr>
          <w:p w14:paraId="463642BD" w14:textId="77777777" w:rsidR="00A31235" w:rsidRPr="006E4DCA" w:rsidRDefault="00A31235" w:rsidP="00A31235">
            <w:pPr>
              <w:spacing w:line="240" w:lineRule="auto"/>
              <w:rPr>
                <w:szCs w:val="24"/>
              </w:rPr>
            </w:pPr>
            <w:r w:rsidRPr="006E4DCA">
              <w:rPr>
                <w:szCs w:val="24"/>
              </w:rPr>
              <w:t>1</w:t>
            </w:r>
          </w:p>
        </w:tc>
        <w:tc>
          <w:tcPr>
            <w:tcW w:w="1104" w:type="dxa"/>
            <w:tcBorders>
              <w:top w:val="single" w:sz="4" w:space="0" w:color="000000"/>
            </w:tcBorders>
          </w:tcPr>
          <w:p w14:paraId="2AAB2D8B" w14:textId="77777777" w:rsidR="00A31235" w:rsidRPr="006E4DCA" w:rsidRDefault="00A31235" w:rsidP="00A31235">
            <w:pPr>
              <w:spacing w:line="240" w:lineRule="auto"/>
              <w:rPr>
                <w:szCs w:val="24"/>
              </w:rPr>
            </w:pPr>
            <w:r w:rsidRPr="006E4DCA">
              <w:rPr>
                <w:szCs w:val="24"/>
              </w:rPr>
              <w:t>2</w:t>
            </w:r>
          </w:p>
        </w:tc>
        <w:tc>
          <w:tcPr>
            <w:tcW w:w="1104" w:type="dxa"/>
            <w:tcBorders>
              <w:top w:val="single" w:sz="4" w:space="0" w:color="000000"/>
            </w:tcBorders>
          </w:tcPr>
          <w:p w14:paraId="03FF0205" w14:textId="77777777" w:rsidR="00A31235" w:rsidRPr="006E4DCA" w:rsidRDefault="00A31235" w:rsidP="00A31235">
            <w:pPr>
              <w:spacing w:line="240" w:lineRule="auto"/>
              <w:rPr>
                <w:szCs w:val="24"/>
              </w:rPr>
            </w:pPr>
            <w:r w:rsidRPr="006E4DCA">
              <w:rPr>
                <w:szCs w:val="24"/>
              </w:rPr>
              <w:t>3</w:t>
            </w:r>
          </w:p>
        </w:tc>
        <w:tc>
          <w:tcPr>
            <w:tcW w:w="1104" w:type="dxa"/>
            <w:tcBorders>
              <w:top w:val="single" w:sz="4" w:space="0" w:color="000000"/>
            </w:tcBorders>
          </w:tcPr>
          <w:p w14:paraId="68FD2918" w14:textId="77777777" w:rsidR="00A31235" w:rsidRPr="006E4DCA" w:rsidRDefault="00A31235" w:rsidP="00A31235">
            <w:pPr>
              <w:spacing w:line="240" w:lineRule="auto"/>
              <w:rPr>
                <w:szCs w:val="24"/>
              </w:rPr>
            </w:pPr>
            <w:r w:rsidRPr="006E4DCA">
              <w:rPr>
                <w:szCs w:val="24"/>
              </w:rPr>
              <w:t>4</w:t>
            </w:r>
          </w:p>
        </w:tc>
        <w:tc>
          <w:tcPr>
            <w:tcW w:w="1104" w:type="dxa"/>
            <w:tcBorders>
              <w:top w:val="single" w:sz="4" w:space="0" w:color="000000"/>
            </w:tcBorders>
          </w:tcPr>
          <w:p w14:paraId="531E6F29" w14:textId="77777777" w:rsidR="00A31235" w:rsidRPr="006E4DCA" w:rsidRDefault="00A31235" w:rsidP="00A31235">
            <w:pPr>
              <w:tabs>
                <w:tab w:val="left" w:pos="8880"/>
              </w:tabs>
              <w:spacing w:line="240" w:lineRule="auto"/>
              <w:ind w:right="-40"/>
              <w:rPr>
                <w:szCs w:val="24"/>
              </w:rPr>
            </w:pPr>
            <w:r w:rsidRPr="006E4DCA">
              <w:rPr>
                <w:szCs w:val="24"/>
              </w:rPr>
              <w:t>PM-CR</w:t>
            </w:r>
          </w:p>
        </w:tc>
      </w:tr>
      <w:tr w:rsidR="00A31235" w:rsidRPr="006E4DCA" w14:paraId="31C9B3AC" w14:textId="77777777" w:rsidTr="0091600E">
        <w:tc>
          <w:tcPr>
            <w:tcW w:w="4308" w:type="dxa"/>
          </w:tcPr>
          <w:p w14:paraId="17F05944" w14:textId="1B2CB776"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to relax when I am agitated</w:t>
            </w:r>
          </w:p>
        </w:tc>
        <w:tc>
          <w:tcPr>
            <w:tcW w:w="1104" w:type="dxa"/>
          </w:tcPr>
          <w:p w14:paraId="7A9D54AD" w14:textId="77777777" w:rsidR="00A31235" w:rsidRPr="006E4DCA" w:rsidRDefault="00A31235" w:rsidP="00A31235">
            <w:pPr>
              <w:spacing w:line="240" w:lineRule="auto"/>
              <w:rPr>
                <w:szCs w:val="24"/>
              </w:rPr>
            </w:pPr>
            <w:r w:rsidRPr="006E4DCA">
              <w:rPr>
                <w:szCs w:val="24"/>
              </w:rPr>
              <w:t>1</w:t>
            </w:r>
          </w:p>
        </w:tc>
        <w:tc>
          <w:tcPr>
            <w:tcW w:w="1104" w:type="dxa"/>
          </w:tcPr>
          <w:p w14:paraId="00C65BED" w14:textId="77777777" w:rsidR="00A31235" w:rsidRPr="006E4DCA" w:rsidRDefault="00A31235" w:rsidP="00A31235">
            <w:pPr>
              <w:spacing w:line="240" w:lineRule="auto"/>
              <w:rPr>
                <w:szCs w:val="24"/>
              </w:rPr>
            </w:pPr>
            <w:r w:rsidRPr="006E4DCA">
              <w:rPr>
                <w:szCs w:val="24"/>
              </w:rPr>
              <w:t>2</w:t>
            </w:r>
          </w:p>
        </w:tc>
        <w:tc>
          <w:tcPr>
            <w:tcW w:w="1104" w:type="dxa"/>
          </w:tcPr>
          <w:p w14:paraId="54C135F0" w14:textId="77777777" w:rsidR="00A31235" w:rsidRPr="006E4DCA" w:rsidRDefault="00A31235" w:rsidP="00A31235">
            <w:pPr>
              <w:spacing w:line="240" w:lineRule="auto"/>
              <w:rPr>
                <w:szCs w:val="24"/>
              </w:rPr>
            </w:pPr>
            <w:r w:rsidRPr="006E4DCA">
              <w:rPr>
                <w:szCs w:val="24"/>
              </w:rPr>
              <w:t>3</w:t>
            </w:r>
          </w:p>
        </w:tc>
        <w:tc>
          <w:tcPr>
            <w:tcW w:w="1104" w:type="dxa"/>
          </w:tcPr>
          <w:p w14:paraId="133F23CA" w14:textId="77777777" w:rsidR="00A31235" w:rsidRPr="006E4DCA" w:rsidRDefault="00A31235" w:rsidP="00A31235">
            <w:pPr>
              <w:spacing w:line="240" w:lineRule="auto"/>
              <w:rPr>
                <w:szCs w:val="24"/>
              </w:rPr>
            </w:pPr>
            <w:r w:rsidRPr="006E4DCA">
              <w:rPr>
                <w:szCs w:val="24"/>
              </w:rPr>
              <w:t>4</w:t>
            </w:r>
          </w:p>
        </w:tc>
        <w:tc>
          <w:tcPr>
            <w:tcW w:w="1104" w:type="dxa"/>
          </w:tcPr>
          <w:p w14:paraId="784CB507" w14:textId="77777777" w:rsidR="00A31235" w:rsidRPr="006E4DCA" w:rsidRDefault="00A31235" w:rsidP="00A31235">
            <w:pPr>
              <w:tabs>
                <w:tab w:val="left" w:pos="8880"/>
              </w:tabs>
              <w:spacing w:line="240" w:lineRule="auto"/>
              <w:ind w:right="-40"/>
              <w:rPr>
                <w:szCs w:val="24"/>
              </w:rPr>
            </w:pPr>
            <w:r w:rsidRPr="006E4DCA">
              <w:rPr>
                <w:szCs w:val="24"/>
              </w:rPr>
              <w:t>PM-ER</w:t>
            </w:r>
          </w:p>
        </w:tc>
      </w:tr>
      <w:tr w:rsidR="00A31235" w:rsidRPr="006E4DCA" w14:paraId="470306B7" w14:textId="77777777" w:rsidTr="0091600E">
        <w:tc>
          <w:tcPr>
            <w:tcW w:w="4308" w:type="dxa"/>
          </w:tcPr>
          <w:p w14:paraId="3EF908C2" w14:textId="507A92A1"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means I have low will power</w:t>
            </w:r>
          </w:p>
        </w:tc>
        <w:tc>
          <w:tcPr>
            <w:tcW w:w="1104" w:type="dxa"/>
          </w:tcPr>
          <w:p w14:paraId="72D1DBA8" w14:textId="77777777" w:rsidR="00A31235" w:rsidRPr="006E4DCA" w:rsidRDefault="00A31235" w:rsidP="00A31235">
            <w:pPr>
              <w:spacing w:line="240" w:lineRule="auto"/>
              <w:rPr>
                <w:szCs w:val="24"/>
              </w:rPr>
            </w:pPr>
            <w:r w:rsidRPr="006E4DCA">
              <w:rPr>
                <w:szCs w:val="24"/>
              </w:rPr>
              <w:t>1</w:t>
            </w:r>
          </w:p>
        </w:tc>
        <w:tc>
          <w:tcPr>
            <w:tcW w:w="1104" w:type="dxa"/>
          </w:tcPr>
          <w:p w14:paraId="77E4AC6C" w14:textId="77777777" w:rsidR="00A31235" w:rsidRPr="006E4DCA" w:rsidRDefault="00A31235" w:rsidP="00A31235">
            <w:pPr>
              <w:spacing w:line="240" w:lineRule="auto"/>
              <w:rPr>
                <w:szCs w:val="24"/>
              </w:rPr>
            </w:pPr>
            <w:r w:rsidRPr="006E4DCA">
              <w:rPr>
                <w:szCs w:val="24"/>
              </w:rPr>
              <w:t>2</w:t>
            </w:r>
          </w:p>
        </w:tc>
        <w:tc>
          <w:tcPr>
            <w:tcW w:w="1104" w:type="dxa"/>
          </w:tcPr>
          <w:p w14:paraId="1AB796C2" w14:textId="77777777" w:rsidR="00A31235" w:rsidRPr="006E4DCA" w:rsidRDefault="00A31235" w:rsidP="00A31235">
            <w:pPr>
              <w:spacing w:line="240" w:lineRule="auto"/>
              <w:rPr>
                <w:szCs w:val="24"/>
              </w:rPr>
            </w:pPr>
            <w:r w:rsidRPr="006E4DCA">
              <w:rPr>
                <w:szCs w:val="24"/>
              </w:rPr>
              <w:t>3</w:t>
            </w:r>
          </w:p>
        </w:tc>
        <w:tc>
          <w:tcPr>
            <w:tcW w:w="1104" w:type="dxa"/>
          </w:tcPr>
          <w:p w14:paraId="101F5D22" w14:textId="77777777" w:rsidR="00A31235" w:rsidRPr="006E4DCA" w:rsidRDefault="00A31235" w:rsidP="00A31235">
            <w:pPr>
              <w:spacing w:line="240" w:lineRule="auto"/>
              <w:rPr>
                <w:szCs w:val="24"/>
              </w:rPr>
            </w:pPr>
            <w:r w:rsidRPr="006E4DCA">
              <w:rPr>
                <w:szCs w:val="24"/>
              </w:rPr>
              <w:t>4</w:t>
            </w:r>
          </w:p>
        </w:tc>
        <w:tc>
          <w:tcPr>
            <w:tcW w:w="1104" w:type="dxa"/>
          </w:tcPr>
          <w:p w14:paraId="1E448DDD" w14:textId="77777777" w:rsidR="00A31235" w:rsidRPr="006E4DCA" w:rsidRDefault="00A31235" w:rsidP="00A31235">
            <w:pPr>
              <w:tabs>
                <w:tab w:val="left" w:pos="8880"/>
              </w:tabs>
              <w:spacing w:line="240" w:lineRule="auto"/>
              <w:ind w:right="-40"/>
              <w:rPr>
                <w:szCs w:val="24"/>
              </w:rPr>
            </w:pPr>
            <w:r w:rsidRPr="006E4DCA">
              <w:rPr>
                <w:szCs w:val="24"/>
              </w:rPr>
              <w:t>NM-U</w:t>
            </w:r>
          </w:p>
        </w:tc>
      </w:tr>
      <w:tr w:rsidR="00A31235" w:rsidRPr="006E4DCA" w14:paraId="5F3B97FA" w14:textId="77777777" w:rsidTr="0091600E">
        <w:tc>
          <w:tcPr>
            <w:tcW w:w="4308" w:type="dxa"/>
          </w:tcPr>
          <w:p w14:paraId="69CCA0E2" w14:textId="09063759"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Thinking so much about smoking interferes with me seeing things clearly</w:t>
            </w:r>
          </w:p>
        </w:tc>
        <w:tc>
          <w:tcPr>
            <w:tcW w:w="1104" w:type="dxa"/>
          </w:tcPr>
          <w:p w14:paraId="6A44DE75" w14:textId="77777777" w:rsidR="00A31235" w:rsidRPr="006E4DCA" w:rsidRDefault="00A31235" w:rsidP="00A31235">
            <w:pPr>
              <w:spacing w:line="240" w:lineRule="auto"/>
              <w:rPr>
                <w:szCs w:val="24"/>
              </w:rPr>
            </w:pPr>
            <w:r w:rsidRPr="006E4DCA">
              <w:rPr>
                <w:szCs w:val="24"/>
              </w:rPr>
              <w:t>1</w:t>
            </w:r>
          </w:p>
        </w:tc>
        <w:tc>
          <w:tcPr>
            <w:tcW w:w="1104" w:type="dxa"/>
          </w:tcPr>
          <w:p w14:paraId="6F171EF8" w14:textId="77777777" w:rsidR="00A31235" w:rsidRPr="006E4DCA" w:rsidRDefault="00A31235" w:rsidP="00A31235">
            <w:pPr>
              <w:spacing w:line="240" w:lineRule="auto"/>
              <w:rPr>
                <w:szCs w:val="24"/>
              </w:rPr>
            </w:pPr>
            <w:r w:rsidRPr="006E4DCA">
              <w:rPr>
                <w:szCs w:val="24"/>
              </w:rPr>
              <w:t>2</w:t>
            </w:r>
          </w:p>
        </w:tc>
        <w:tc>
          <w:tcPr>
            <w:tcW w:w="1104" w:type="dxa"/>
          </w:tcPr>
          <w:p w14:paraId="650C0295" w14:textId="77777777" w:rsidR="00A31235" w:rsidRPr="006E4DCA" w:rsidRDefault="00A31235" w:rsidP="00A31235">
            <w:pPr>
              <w:spacing w:line="240" w:lineRule="auto"/>
              <w:rPr>
                <w:szCs w:val="24"/>
              </w:rPr>
            </w:pPr>
            <w:r w:rsidRPr="006E4DCA">
              <w:rPr>
                <w:szCs w:val="24"/>
              </w:rPr>
              <w:t>3</w:t>
            </w:r>
          </w:p>
        </w:tc>
        <w:tc>
          <w:tcPr>
            <w:tcW w:w="1104" w:type="dxa"/>
          </w:tcPr>
          <w:p w14:paraId="18CBFCF3" w14:textId="77777777" w:rsidR="00A31235" w:rsidRPr="006E4DCA" w:rsidRDefault="00A31235" w:rsidP="00A31235">
            <w:pPr>
              <w:spacing w:line="240" w:lineRule="auto"/>
              <w:rPr>
                <w:szCs w:val="24"/>
              </w:rPr>
            </w:pPr>
            <w:r w:rsidRPr="006E4DCA">
              <w:rPr>
                <w:szCs w:val="24"/>
              </w:rPr>
              <w:t>4</w:t>
            </w:r>
          </w:p>
        </w:tc>
        <w:tc>
          <w:tcPr>
            <w:tcW w:w="1104" w:type="dxa"/>
          </w:tcPr>
          <w:p w14:paraId="64B3C28D" w14:textId="77777777" w:rsidR="00A31235" w:rsidRPr="006E4DCA" w:rsidRDefault="00A31235" w:rsidP="00A31235">
            <w:pPr>
              <w:tabs>
                <w:tab w:val="left" w:pos="8880"/>
              </w:tabs>
              <w:spacing w:line="240" w:lineRule="auto"/>
              <w:ind w:right="-40"/>
              <w:rPr>
                <w:szCs w:val="24"/>
              </w:rPr>
            </w:pPr>
            <w:r w:rsidRPr="006E4DCA">
              <w:rPr>
                <w:szCs w:val="24"/>
              </w:rPr>
              <w:t>NM-CI</w:t>
            </w:r>
          </w:p>
        </w:tc>
      </w:tr>
      <w:tr w:rsidR="00A31235" w:rsidRPr="006E4DCA" w14:paraId="3D797DE3" w14:textId="77777777" w:rsidTr="0091600E">
        <w:tc>
          <w:tcPr>
            <w:tcW w:w="4308" w:type="dxa"/>
          </w:tcPr>
          <w:p w14:paraId="0C423C39"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to focus my mind</w:t>
            </w:r>
          </w:p>
        </w:tc>
        <w:tc>
          <w:tcPr>
            <w:tcW w:w="1104" w:type="dxa"/>
          </w:tcPr>
          <w:p w14:paraId="640D077C" w14:textId="77777777" w:rsidR="00A31235" w:rsidRPr="006E4DCA" w:rsidRDefault="00A31235" w:rsidP="00A31235">
            <w:pPr>
              <w:spacing w:line="240" w:lineRule="auto"/>
              <w:rPr>
                <w:szCs w:val="24"/>
              </w:rPr>
            </w:pPr>
            <w:r w:rsidRPr="006E4DCA">
              <w:rPr>
                <w:szCs w:val="24"/>
              </w:rPr>
              <w:t>1</w:t>
            </w:r>
          </w:p>
        </w:tc>
        <w:tc>
          <w:tcPr>
            <w:tcW w:w="1104" w:type="dxa"/>
          </w:tcPr>
          <w:p w14:paraId="62E50366" w14:textId="77777777" w:rsidR="00A31235" w:rsidRPr="006E4DCA" w:rsidRDefault="00A31235" w:rsidP="00A31235">
            <w:pPr>
              <w:spacing w:line="240" w:lineRule="auto"/>
              <w:rPr>
                <w:szCs w:val="24"/>
              </w:rPr>
            </w:pPr>
            <w:r w:rsidRPr="006E4DCA">
              <w:rPr>
                <w:szCs w:val="24"/>
              </w:rPr>
              <w:t>2</w:t>
            </w:r>
          </w:p>
        </w:tc>
        <w:tc>
          <w:tcPr>
            <w:tcW w:w="1104" w:type="dxa"/>
          </w:tcPr>
          <w:p w14:paraId="06C05AB7" w14:textId="77777777" w:rsidR="00A31235" w:rsidRPr="006E4DCA" w:rsidRDefault="00A31235" w:rsidP="00A31235">
            <w:pPr>
              <w:spacing w:line="240" w:lineRule="auto"/>
              <w:rPr>
                <w:szCs w:val="24"/>
              </w:rPr>
            </w:pPr>
            <w:r w:rsidRPr="006E4DCA">
              <w:rPr>
                <w:szCs w:val="24"/>
              </w:rPr>
              <w:t>3</w:t>
            </w:r>
          </w:p>
        </w:tc>
        <w:tc>
          <w:tcPr>
            <w:tcW w:w="1104" w:type="dxa"/>
          </w:tcPr>
          <w:p w14:paraId="1C64DF39" w14:textId="77777777" w:rsidR="00A31235" w:rsidRPr="006E4DCA" w:rsidRDefault="00A31235" w:rsidP="00A31235">
            <w:pPr>
              <w:spacing w:line="240" w:lineRule="auto"/>
              <w:rPr>
                <w:szCs w:val="24"/>
              </w:rPr>
            </w:pPr>
            <w:r w:rsidRPr="006E4DCA">
              <w:rPr>
                <w:szCs w:val="24"/>
              </w:rPr>
              <w:t>4</w:t>
            </w:r>
          </w:p>
        </w:tc>
        <w:tc>
          <w:tcPr>
            <w:tcW w:w="1104" w:type="dxa"/>
          </w:tcPr>
          <w:p w14:paraId="64D43EC8" w14:textId="77777777" w:rsidR="00A31235" w:rsidRPr="006E4DCA" w:rsidRDefault="00A31235" w:rsidP="00A31235">
            <w:pPr>
              <w:tabs>
                <w:tab w:val="left" w:pos="8880"/>
              </w:tabs>
              <w:spacing w:line="240" w:lineRule="auto"/>
              <w:ind w:right="-40"/>
              <w:rPr>
                <w:szCs w:val="24"/>
              </w:rPr>
            </w:pPr>
            <w:r w:rsidRPr="006E4DCA">
              <w:rPr>
                <w:szCs w:val="24"/>
              </w:rPr>
              <w:t>PM-CR</w:t>
            </w:r>
          </w:p>
        </w:tc>
      </w:tr>
      <w:tr w:rsidR="00A31235" w:rsidRPr="006E4DCA" w14:paraId="3D41B174" w14:textId="77777777" w:rsidTr="0091600E">
        <w:tc>
          <w:tcPr>
            <w:tcW w:w="4308" w:type="dxa"/>
          </w:tcPr>
          <w:p w14:paraId="78DF3146"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When I get stressed smoking calms me down</w:t>
            </w:r>
          </w:p>
        </w:tc>
        <w:tc>
          <w:tcPr>
            <w:tcW w:w="1104" w:type="dxa"/>
          </w:tcPr>
          <w:p w14:paraId="25723308" w14:textId="77777777" w:rsidR="00A31235" w:rsidRPr="006E4DCA" w:rsidRDefault="00A31235" w:rsidP="00A31235">
            <w:pPr>
              <w:spacing w:line="240" w:lineRule="auto"/>
              <w:rPr>
                <w:szCs w:val="24"/>
              </w:rPr>
            </w:pPr>
            <w:r w:rsidRPr="006E4DCA">
              <w:rPr>
                <w:szCs w:val="24"/>
              </w:rPr>
              <w:t>1</w:t>
            </w:r>
          </w:p>
        </w:tc>
        <w:tc>
          <w:tcPr>
            <w:tcW w:w="1104" w:type="dxa"/>
          </w:tcPr>
          <w:p w14:paraId="291C8343" w14:textId="77777777" w:rsidR="00A31235" w:rsidRPr="006E4DCA" w:rsidRDefault="00A31235" w:rsidP="00A31235">
            <w:pPr>
              <w:spacing w:line="240" w:lineRule="auto"/>
              <w:rPr>
                <w:szCs w:val="24"/>
              </w:rPr>
            </w:pPr>
            <w:r w:rsidRPr="006E4DCA">
              <w:rPr>
                <w:szCs w:val="24"/>
              </w:rPr>
              <w:t>2</w:t>
            </w:r>
          </w:p>
        </w:tc>
        <w:tc>
          <w:tcPr>
            <w:tcW w:w="1104" w:type="dxa"/>
          </w:tcPr>
          <w:p w14:paraId="45E47483" w14:textId="77777777" w:rsidR="00A31235" w:rsidRPr="006E4DCA" w:rsidRDefault="00A31235" w:rsidP="00A31235">
            <w:pPr>
              <w:spacing w:line="240" w:lineRule="auto"/>
              <w:rPr>
                <w:szCs w:val="24"/>
              </w:rPr>
            </w:pPr>
            <w:r w:rsidRPr="006E4DCA">
              <w:rPr>
                <w:szCs w:val="24"/>
              </w:rPr>
              <w:t>3</w:t>
            </w:r>
          </w:p>
        </w:tc>
        <w:tc>
          <w:tcPr>
            <w:tcW w:w="1104" w:type="dxa"/>
          </w:tcPr>
          <w:p w14:paraId="685690E4" w14:textId="77777777" w:rsidR="00A31235" w:rsidRPr="006E4DCA" w:rsidRDefault="00A31235" w:rsidP="00A31235">
            <w:pPr>
              <w:spacing w:line="240" w:lineRule="auto"/>
              <w:rPr>
                <w:szCs w:val="24"/>
              </w:rPr>
            </w:pPr>
            <w:r w:rsidRPr="006E4DCA">
              <w:rPr>
                <w:szCs w:val="24"/>
              </w:rPr>
              <w:t>4</w:t>
            </w:r>
          </w:p>
        </w:tc>
        <w:tc>
          <w:tcPr>
            <w:tcW w:w="1104" w:type="dxa"/>
          </w:tcPr>
          <w:p w14:paraId="5C0169B8" w14:textId="77777777" w:rsidR="00A31235" w:rsidRPr="006E4DCA" w:rsidRDefault="00A31235" w:rsidP="00A31235">
            <w:pPr>
              <w:tabs>
                <w:tab w:val="left" w:pos="8880"/>
              </w:tabs>
              <w:spacing w:line="240" w:lineRule="auto"/>
              <w:ind w:right="-40"/>
              <w:rPr>
                <w:szCs w:val="24"/>
              </w:rPr>
            </w:pPr>
            <w:r w:rsidRPr="006E4DCA">
              <w:rPr>
                <w:szCs w:val="24"/>
              </w:rPr>
              <w:t>PM-ER</w:t>
            </w:r>
          </w:p>
        </w:tc>
      </w:tr>
      <w:tr w:rsidR="00A31235" w:rsidRPr="006E4DCA" w14:paraId="3B05D2EB" w14:textId="77777777" w:rsidTr="0091600E">
        <w:tc>
          <w:tcPr>
            <w:tcW w:w="4308" w:type="dxa"/>
          </w:tcPr>
          <w:p w14:paraId="1C41816A"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It is hard to control my desire for cigarettes</w:t>
            </w:r>
          </w:p>
        </w:tc>
        <w:tc>
          <w:tcPr>
            <w:tcW w:w="1104" w:type="dxa"/>
          </w:tcPr>
          <w:p w14:paraId="180E83EC" w14:textId="77777777" w:rsidR="00A31235" w:rsidRPr="006E4DCA" w:rsidRDefault="00A31235" w:rsidP="00A31235">
            <w:pPr>
              <w:spacing w:line="240" w:lineRule="auto"/>
              <w:rPr>
                <w:szCs w:val="24"/>
              </w:rPr>
            </w:pPr>
            <w:r w:rsidRPr="006E4DCA">
              <w:rPr>
                <w:szCs w:val="24"/>
              </w:rPr>
              <w:t>1</w:t>
            </w:r>
          </w:p>
        </w:tc>
        <w:tc>
          <w:tcPr>
            <w:tcW w:w="1104" w:type="dxa"/>
          </w:tcPr>
          <w:p w14:paraId="7FE7A1FD" w14:textId="77777777" w:rsidR="00A31235" w:rsidRPr="006E4DCA" w:rsidRDefault="00A31235" w:rsidP="00A31235">
            <w:pPr>
              <w:spacing w:line="240" w:lineRule="auto"/>
              <w:rPr>
                <w:szCs w:val="24"/>
              </w:rPr>
            </w:pPr>
            <w:r w:rsidRPr="006E4DCA">
              <w:rPr>
                <w:szCs w:val="24"/>
              </w:rPr>
              <w:t>2</w:t>
            </w:r>
          </w:p>
        </w:tc>
        <w:tc>
          <w:tcPr>
            <w:tcW w:w="1104" w:type="dxa"/>
          </w:tcPr>
          <w:p w14:paraId="743E5C05" w14:textId="77777777" w:rsidR="00A31235" w:rsidRPr="006E4DCA" w:rsidRDefault="00A31235" w:rsidP="00A31235">
            <w:pPr>
              <w:spacing w:line="240" w:lineRule="auto"/>
              <w:rPr>
                <w:szCs w:val="24"/>
              </w:rPr>
            </w:pPr>
            <w:r w:rsidRPr="006E4DCA">
              <w:rPr>
                <w:szCs w:val="24"/>
              </w:rPr>
              <w:t>3</w:t>
            </w:r>
          </w:p>
        </w:tc>
        <w:tc>
          <w:tcPr>
            <w:tcW w:w="1104" w:type="dxa"/>
          </w:tcPr>
          <w:p w14:paraId="175D286D" w14:textId="77777777" w:rsidR="00A31235" w:rsidRPr="006E4DCA" w:rsidRDefault="00A31235" w:rsidP="00A31235">
            <w:pPr>
              <w:spacing w:line="240" w:lineRule="auto"/>
              <w:rPr>
                <w:szCs w:val="24"/>
              </w:rPr>
            </w:pPr>
            <w:r w:rsidRPr="006E4DCA">
              <w:rPr>
                <w:szCs w:val="24"/>
              </w:rPr>
              <w:t>4</w:t>
            </w:r>
          </w:p>
        </w:tc>
        <w:tc>
          <w:tcPr>
            <w:tcW w:w="1104" w:type="dxa"/>
          </w:tcPr>
          <w:p w14:paraId="6BE493C5" w14:textId="77777777" w:rsidR="00A31235" w:rsidRPr="006E4DCA" w:rsidRDefault="00A31235" w:rsidP="00A31235">
            <w:pPr>
              <w:tabs>
                <w:tab w:val="left" w:pos="8880"/>
              </w:tabs>
              <w:spacing w:line="240" w:lineRule="auto"/>
              <w:ind w:right="-40"/>
              <w:rPr>
                <w:szCs w:val="24"/>
              </w:rPr>
            </w:pPr>
            <w:r w:rsidRPr="006E4DCA">
              <w:rPr>
                <w:szCs w:val="24"/>
              </w:rPr>
              <w:t>NM-U</w:t>
            </w:r>
          </w:p>
        </w:tc>
      </w:tr>
      <w:tr w:rsidR="00A31235" w:rsidRPr="006E4DCA" w14:paraId="34999480" w14:textId="77777777" w:rsidTr="0091600E">
        <w:tc>
          <w:tcPr>
            <w:tcW w:w="4308" w:type="dxa"/>
          </w:tcPr>
          <w:p w14:paraId="69796001"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I have lost control of my thoughts about smoking</w:t>
            </w:r>
          </w:p>
        </w:tc>
        <w:tc>
          <w:tcPr>
            <w:tcW w:w="1104" w:type="dxa"/>
          </w:tcPr>
          <w:p w14:paraId="7064F002" w14:textId="77777777" w:rsidR="00A31235" w:rsidRPr="006E4DCA" w:rsidRDefault="00A31235" w:rsidP="00A31235">
            <w:pPr>
              <w:spacing w:line="240" w:lineRule="auto"/>
              <w:rPr>
                <w:szCs w:val="24"/>
              </w:rPr>
            </w:pPr>
            <w:r w:rsidRPr="006E4DCA">
              <w:rPr>
                <w:szCs w:val="24"/>
              </w:rPr>
              <w:t>1</w:t>
            </w:r>
          </w:p>
        </w:tc>
        <w:tc>
          <w:tcPr>
            <w:tcW w:w="1104" w:type="dxa"/>
          </w:tcPr>
          <w:p w14:paraId="6B588146" w14:textId="77777777" w:rsidR="00A31235" w:rsidRPr="006E4DCA" w:rsidRDefault="00A31235" w:rsidP="00A31235">
            <w:pPr>
              <w:spacing w:line="240" w:lineRule="auto"/>
              <w:rPr>
                <w:szCs w:val="24"/>
              </w:rPr>
            </w:pPr>
            <w:r w:rsidRPr="006E4DCA">
              <w:rPr>
                <w:szCs w:val="24"/>
              </w:rPr>
              <w:t>2</w:t>
            </w:r>
          </w:p>
        </w:tc>
        <w:tc>
          <w:tcPr>
            <w:tcW w:w="1104" w:type="dxa"/>
          </w:tcPr>
          <w:p w14:paraId="3D6440B5" w14:textId="77777777" w:rsidR="00A31235" w:rsidRPr="006E4DCA" w:rsidRDefault="00A31235" w:rsidP="00A31235">
            <w:pPr>
              <w:spacing w:line="240" w:lineRule="auto"/>
              <w:rPr>
                <w:szCs w:val="24"/>
              </w:rPr>
            </w:pPr>
            <w:r w:rsidRPr="006E4DCA">
              <w:rPr>
                <w:szCs w:val="24"/>
              </w:rPr>
              <w:t>3</w:t>
            </w:r>
          </w:p>
        </w:tc>
        <w:tc>
          <w:tcPr>
            <w:tcW w:w="1104" w:type="dxa"/>
          </w:tcPr>
          <w:p w14:paraId="4A133758" w14:textId="77777777" w:rsidR="00A31235" w:rsidRPr="006E4DCA" w:rsidRDefault="00A31235" w:rsidP="00A31235">
            <w:pPr>
              <w:spacing w:line="240" w:lineRule="auto"/>
              <w:rPr>
                <w:szCs w:val="24"/>
              </w:rPr>
            </w:pPr>
            <w:r w:rsidRPr="006E4DCA">
              <w:rPr>
                <w:szCs w:val="24"/>
              </w:rPr>
              <w:t>4</w:t>
            </w:r>
          </w:p>
        </w:tc>
        <w:tc>
          <w:tcPr>
            <w:tcW w:w="1104" w:type="dxa"/>
          </w:tcPr>
          <w:p w14:paraId="5E3F11C5" w14:textId="77777777" w:rsidR="00A31235" w:rsidRPr="006E4DCA" w:rsidRDefault="00A31235" w:rsidP="00A31235">
            <w:pPr>
              <w:tabs>
                <w:tab w:val="left" w:pos="8880"/>
              </w:tabs>
              <w:spacing w:line="240" w:lineRule="auto"/>
              <w:ind w:right="-40"/>
              <w:rPr>
                <w:szCs w:val="24"/>
              </w:rPr>
            </w:pPr>
            <w:r w:rsidRPr="006E4DCA">
              <w:rPr>
                <w:szCs w:val="24"/>
              </w:rPr>
              <w:t>NM-CI</w:t>
            </w:r>
          </w:p>
        </w:tc>
      </w:tr>
      <w:tr w:rsidR="00A31235" w:rsidRPr="006E4DCA" w14:paraId="07FDEBE3" w14:textId="77777777" w:rsidTr="0091600E">
        <w:tc>
          <w:tcPr>
            <w:tcW w:w="4308" w:type="dxa"/>
          </w:tcPr>
          <w:p w14:paraId="02E2B57D"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to order my thoughts</w:t>
            </w:r>
          </w:p>
        </w:tc>
        <w:tc>
          <w:tcPr>
            <w:tcW w:w="1104" w:type="dxa"/>
          </w:tcPr>
          <w:p w14:paraId="4E593EB9" w14:textId="77777777" w:rsidR="00A31235" w:rsidRPr="006E4DCA" w:rsidRDefault="00A31235" w:rsidP="00A31235">
            <w:pPr>
              <w:spacing w:line="240" w:lineRule="auto"/>
              <w:rPr>
                <w:szCs w:val="24"/>
              </w:rPr>
            </w:pPr>
            <w:r w:rsidRPr="006E4DCA">
              <w:rPr>
                <w:szCs w:val="24"/>
              </w:rPr>
              <w:t>1</w:t>
            </w:r>
          </w:p>
        </w:tc>
        <w:tc>
          <w:tcPr>
            <w:tcW w:w="1104" w:type="dxa"/>
          </w:tcPr>
          <w:p w14:paraId="50C80F88" w14:textId="77777777" w:rsidR="00A31235" w:rsidRPr="006E4DCA" w:rsidRDefault="00A31235" w:rsidP="00A31235">
            <w:pPr>
              <w:spacing w:line="240" w:lineRule="auto"/>
              <w:rPr>
                <w:szCs w:val="24"/>
              </w:rPr>
            </w:pPr>
            <w:r w:rsidRPr="006E4DCA">
              <w:rPr>
                <w:szCs w:val="24"/>
              </w:rPr>
              <w:t>2</w:t>
            </w:r>
          </w:p>
        </w:tc>
        <w:tc>
          <w:tcPr>
            <w:tcW w:w="1104" w:type="dxa"/>
          </w:tcPr>
          <w:p w14:paraId="2608BA76" w14:textId="77777777" w:rsidR="00A31235" w:rsidRPr="006E4DCA" w:rsidRDefault="00A31235" w:rsidP="00A31235">
            <w:pPr>
              <w:spacing w:line="240" w:lineRule="auto"/>
              <w:rPr>
                <w:szCs w:val="24"/>
              </w:rPr>
            </w:pPr>
            <w:r w:rsidRPr="006E4DCA">
              <w:rPr>
                <w:szCs w:val="24"/>
              </w:rPr>
              <w:t>3</w:t>
            </w:r>
          </w:p>
        </w:tc>
        <w:tc>
          <w:tcPr>
            <w:tcW w:w="1104" w:type="dxa"/>
          </w:tcPr>
          <w:p w14:paraId="37E6037B" w14:textId="77777777" w:rsidR="00A31235" w:rsidRPr="006E4DCA" w:rsidRDefault="00A31235" w:rsidP="00A31235">
            <w:pPr>
              <w:spacing w:line="240" w:lineRule="auto"/>
              <w:rPr>
                <w:szCs w:val="24"/>
              </w:rPr>
            </w:pPr>
            <w:r w:rsidRPr="006E4DCA">
              <w:rPr>
                <w:szCs w:val="24"/>
              </w:rPr>
              <w:t>4</w:t>
            </w:r>
          </w:p>
        </w:tc>
        <w:tc>
          <w:tcPr>
            <w:tcW w:w="1104" w:type="dxa"/>
          </w:tcPr>
          <w:p w14:paraId="0E204B85" w14:textId="77777777" w:rsidR="00A31235" w:rsidRPr="006E4DCA" w:rsidRDefault="00A31235" w:rsidP="00A31235">
            <w:pPr>
              <w:tabs>
                <w:tab w:val="left" w:pos="8880"/>
              </w:tabs>
              <w:spacing w:line="240" w:lineRule="auto"/>
              <w:ind w:right="-40"/>
              <w:rPr>
                <w:szCs w:val="24"/>
              </w:rPr>
            </w:pPr>
            <w:r w:rsidRPr="006E4DCA">
              <w:rPr>
                <w:szCs w:val="24"/>
              </w:rPr>
              <w:t>PM-CR</w:t>
            </w:r>
          </w:p>
        </w:tc>
      </w:tr>
      <w:tr w:rsidR="00A31235" w:rsidRPr="006E4DCA" w14:paraId="27B23BAE" w14:textId="77777777" w:rsidTr="0091600E">
        <w:tc>
          <w:tcPr>
            <w:tcW w:w="4308" w:type="dxa"/>
          </w:tcPr>
          <w:p w14:paraId="334F0A47"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When I get upset smoking comforts me</w:t>
            </w:r>
          </w:p>
        </w:tc>
        <w:tc>
          <w:tcPr>
            <w:tcW w:w="1104" w:type="dxa"/>
          </w:tcPr>
          <w:p w14:paraId="7A4A2313" w14:textId="77777777" w:rsidR="00A31235" w:rsidRPr="006E4DCA" w:rsidRDefault="00A31235" w:rsidP="00A31235">
            <w:pPr>
              <w:spacing w:line="240" w:lineRule="auto"/>
              <w:rPr>
                <w:szCs w:val="24"/>
              </w:rPr>
            </w:pPr>
            <w:r w:rsidRPr="006E4DCA">
              <w:rPr>
                <w:szCs w:val="24"/>
              </w:rPr>
              <w:t>1</w:t>
            </w:r>
          </w:p>
        </w:tc>
        <w:tc>
          <w:tcPr>
            <w:tcW w:w="1104" w:type="dxa"/>
          </w:tcPr>
          <w:p w14:paraId="09309594" w14:textId="77777777" w:rsidR="00A31235" w:rsidRPr="006E4DCA" w:rsidRDefault="00A31235" w:rsidP="00A31235">
            <w:pPr>
              <w:spacing w:line="240" w:lineRule="auto"/>
              <w:rPr>
                <w:szCs w:val="24"/>
              </w:rPr>
            </w:pPr>
            <w:r w:rsidRPr="006E4DCA">
              <w:rPr>
                <w:szCs w:val="24"/>
              </w:rPr>
              <w:t>2</w:t>
            </w:r>
          </w:p>
        </w:tc>
        <w:tc>
          <w:tcPr>
            <w:tcW w:w="1104" w:type="dxa"/>
          </w:tcPr>
          <w:p w14:paraId="27E7040B" w14:textId="77777777" w:rsidR="00A31235" w:rsidRPr="006E4DCA" w:rsidRDefault="00A31235" w:rsidP="00A31235">
            <w:pPr>
              <w:spacing w:line="240" w:lineRule="auto"/>
              <w:rPr>
                <w:szCs w:val="24"/>
              </w:rPr>
            </w:pPr>
            <w:r w:rsidRPr="006E4DCA">
              <w:rPr>
                <w:szCs w:val="24"/>
              </w:rPr>
              <w:t>3</w:t>
            </w:r>
          </w:p>
        </w:tc>
        <w:tc>
          <w:tcPr>
            <w:tcW w:w="1104" w:type="dxa"/>
          </w:tcPr>
          <w:p w14:paraId="6492D317" w14:textId="77777777" w:rsidR="00A31235" w:rsidRPr="006E4DCA" w:rsidRDefault="00A31235" w:rsidP="00A31235">
            <w:pPr>
              <w:spacing w:line="240" w:lineRule="auto"/>
              <w:rPr>
                <w:szCs w:val="24"/>
              </w:rPr>
            </w:pPr>
            <w:r w:rsidRPr="006E4DCA">
              <w:rPr>
                <w:szCs w:val="24"/>
              </w:rPr>
              <w:t>4</w:t>
            </w:r>
          </w:p>
        </w:tc>
        <w:tc>
          <w:tcPr>
            <w:tcW w:w="1104" w:type="dxa"/>
          </w:tcPr>
          <w:p w14:paraId="6FB902ED" w14:textId="77777777" w:rsidR="00A31235" w:rsidRPr="006E4DCA" w:rsidRDefault="00A31235" w:rsidP="00A31235">
            <w:pPr>
              <w:tabs>
                <w:tab w:val="left" w:pos="8880"/>
              </w:tabs>
              <w:spacing w:line="240" w:lineRule="auto"/>
              <w:ind w:right="-40"/>
              <w:rPr>
                <w:szCs w:val="24"/>
              </w:rPr>
            </w:pPr>
            <w:r w:rsidRPr="006E4DCA">
              <w:rPr>
                <w:szCs w:val="24"/>
              </w:rPr>
              <w:t>PM-ER</w:t>
            </w:r>
          </w:p>
        </w:tc>
      </w:tr>
      <w:tr w:rsidR="00A31235" w:rsidRPr="006E4DCA" w14:paraId="4A7B6E0F" w14:textId="77777777" w:rsidTr="0091600E">
        <w:tc>
          <w:tcPr>
            <w:tcW w:w="4308" w:type="dxa"/>
          </w:tcPr>
          <w:p w14:paraId="7BA8462B"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My smoking means that I’m mentally weak</w:t>
            </w:r>
          </w:p>
        </w:tc>
        <w:tc>
          <w:tcPr>
            <w:tcW w:w="1104" w:type="dxa"/>
          </w:tcPr>
          <w:p w14:paraId="0198D629" w14:textId="77777777" w:rsidR="00A31235" w:rsidRPr="006E4DCA" w:rsidRDefault="00A31235" w:rsidP="00A31235">
            <w:pPr>
              <w:spacing w:line="240" w:lineRule="auto"/>
              <w:rPr>
                <w:szCs w:val="24"/>
              </w:rPr>
            </w:pPr>
            <w:r w:rsidRPr="006E4DCA">
              <w:rPr>
                <w:szCs w:val="24"/>
              </w:rPr>
              <w:t>1</w:t>
            </w:r>
          </w:p>
        </w:tc>
        <w:tc>
          <w:tcPr>
            <w:tcW w:w="1104" w:type="dxa"/>
          </w:tcPr>
          <w:p w14:paraId="5F5CA428" w14:textId="77777777" w:rsidR="00A31235" w:rsidRPr="006E4DCA" w:rsidRDefault="00A31235" w:rsidP="00A31235">
            <w:pPr>
              <w:spacing w:line="240" w:lineRule="auto"/>
              <w:rPr>
                <w:szCs w:val="24"/>
              </w:rPr>
            </w:pPr>
            <w:r w:rsidRPr="006E4DCA">
              <w:rPr>
                <w:szCs w:val="24"/>
              </w:rPr>
              <w:t>2</w:t>
            </w:r>
          </w:p>
        </w:tc>
        <w:tc>
          <w:tcPr>
            <w:tcW w:w="1104" w:type="dxa"/>
          </w:tcPr>
          <w:p w14:paraId="00127465" w14:textId="77777777" w:rsidR="00A31235" w:rsidRPr="006E4DCA" w:rsidRDefault="00A31235" w:rsidP="00A31235">
            <w:pPr>
              <w:spacing w:line="240" w:lineRule="auto"/>
              <w:rPr>
                <w:szCs w:val="24"/>
              </w:rPr>
            </w:pPr>
            <w:r w:rsidRPr="006E4DCA">
              <w:rPr>
                <w:szCs w:val="24"/>
              </w:rPr>
              <w:t>3</w:t>
            </w:r>
          </w:p>
        </w:tc>
        <w:tc>
          <w:tcPr>
            <w:tcW w:w="1104" w:type="dxa"/>
          </w:tcPr>
          <w:p w14:paraId="5F07E7CF" w14:textId="77777777" w:rsidR="00A31235" w:rsidRPr="006E4DCA" w:rsidRDefault="00A31235" w:rsidP="00A31235">
            <w:pPr>
              <w:spacing w:line="240" w:lineRule="auto"/>
              <w:rPr>
                <w:szCs w:val="24"/>
              </w:rPr>
            </w:pPr>
            <w:r w:rsidRPr="006E4DCA">
              <w:rPr>
                <w:szCs w:val="24"/>
              </w:rPr>
              <w:t>4</w:t>
            </w:r>
          </w:p>
        </w:tc>
        <w:tc>
          <w:tcPr>
            <w:tcW w:w="1104" w:type="dxa"/>
          </w:tcPr>
          <w:p w14:paraId="4D54D4FB" w14:textId="77777777" w:rsidR="00A31235" w:rsidRPr="006E4DCA" w:rsidRDefault="00A31235" w:rsidP="00A31235">
            <w:pPr>
              <w:tabs>
                <w:tab w:val="left" w:pos="8880"/>
              </w:tabs>
              <w:spacing w:line="240" w:lineRule="auto"/>
              <w:ind w:right="-40"/>
              <w:rPr>
                <w:szCs w:val="24"/>
              </w:rPr>
            </w:pPr>
            <w:r w:rsidRPr="006E4DCA">
              <w:rPr>
                <w:szCs w:val="24"/>
              </w:rPr>
              <w:t>NM-U</w:t>
            </w:r>
          </w:p>
        </w:tc>
      </w:tr>
      <w:tr w:rsidR="00A31235" w:rsidRPr="006E4DCA" w14:paraId="50704333" w14:textId="77777777" w:rsidTr="0091600E">
        <w:tc>
          <w:tcPr>
            <w:tcW w:w="4308" w:type="dxa"/>
          </w:tcPr>
          <w:p w14:paraId="7C3A1D39"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My thoughts about smoking are becoming an obsession</w:t>
            </w:r>
          </w:p>
        </w:tc>
        <w:tc>
          <w:tcPr>
            <w:tcW w:w="1104" w:type="dxa"/>
          </w:tcPr>
          <w:p w14:paraId="5C800380" w14:textId="77777777" w:rsidR="00A31235" w:rsidRPr="006E4DCA" w:rsidRDefault="00A31235" w:rsidP="00A31235">
            <w:pPr>
              <w:spacing w:line="240" w:lineRule="auto"/>
              <w:rPr>
                <w:szCs w:val="24"/>
              </w:rPr>
            </w:pPr>
            <w:r w:rsidRPr="006E4DCA">
              <w:rPr>
                <w:szCs w:val="24"/>
              </w:rPr>
              <w:t>1</w:t>
            </w:r>
          </w:p>
        </w:tc>
        <w:tc>
          <w:tcPr>
            <w:tcW w:w="1104" w:type="dxa"/>
          </w:tcPr>
          <w:p w14:paraId="36131FA4" w14:textId="77777777" w:rsidR="00A31235" w:rsidRPr="006E4DCA" w:rsidRDefault="00A31235" w:rsidP="00A31235">
            <w:pPr>
              <w:spacing w:line="240" w:lineRule="auto"/>
              <w:rPr>
                <w:szCs w:val="24"/>
              </w:rPr>
            </w:pPr>
            <w:r w:rsidRPr="006E4DCA">
              <w:rPr>
                <w:szCs w:val="24"/>
              </w:rPr>
              <w:t>2</w:t>
            </w:r>
          </w:p>
        </w:tc>
        <w:tc>
          <w:tcPr>
            <w:tcW w:w="1104" w:type="dxa"/>
          </w:tcPr>
          <w:p w14:paraId="16B19DC3" w14:textId="77777777" w:rsidR="00A31235" w:rsidRPr="006E4DCA" w:rsidRDefault="00A31235" w:rsidP="00A31235">
            <w:pPr>
              <w:spacing w:line="240" w:lineRule="auto"/>
              <w:rPr>
                <w:szCs w:val="24"/>
              </w:rPr>
            </w:pPr>
            <w:r w:rsidRPr="006E4DCA">
              <w:rPr>
                <w:szCs w:val="24"/>
              </w:rPr>
              <w:t>3</w:t>
            </w:r>
          </w:p>
        </w:tc>
        <w:tc>
          <w:tcPr>
            <w:tcW w:w="1104" w:type="dxa"/>
          </w:tcPr>
          <w:p w14:paraId="36FE0ABF" w14:textId="77777777" w:rsidR="00A31235" w:rsidRPr="006E4DCA" w:rsidRDefault="00A31235" w:rsidP="00A31235">
            <w:pPr>
              <w:spacing w:line="240" w:lineRule="auto"/>
              <w:rPr>
                <w:szCs w:val="24"/>
              </w:rPr>
            </w:pPr>
            <w:r w:rsidRPr="006E4DCA">
              <w:rPr>
                <w:szCs w:val="24"/>
              </w:rPr>
              <w:t>4</w:t>
            </w:r>
          </w:p>
        </w:tc>
        <w:tc>
          <w:tcPr>
            <w:tcW w:w="1104" w:type="dxa"/>
          </w:tcPr>
          <w:p w14:paraId="4AEF111C" w14:textId="77777777" w:rsidR="00A31235" w:rsidRPr="006E4DCA" w:rsidRDefault="00A31235" w:rsidP="00A31235">
            <w:pPr>
              <w:tabs>
                <w:tab w:val="left" w:pos="8880"/>
              </w:tabs>
              <w:spacing w:line="240" w:lineRule="auto"/>
              <w:ind w:right="-40"/>
              <w:rPr>
                <w:szCs w:val="24"/>
              </w:rPr>
            </w:pPr>
            <w:r w:rsidRPr="006E4DCA">
              <w:rPr>
                <w:szCs w:val="24"/>
              </w:rPr>
              <w:t>NM-CI</w:t>
            </w:r>
          </w:p>
        </w:tc>
      </w:tr>
      <w:tr w:rsidR="00A31235" w:rsidRPr="006E4DCA" w14:paraId="78317C8F" w14:textId="77777777" w:rsidTr="0091600E">
        <w:tc>
          <w:tcPr>
            <w:tcW w:w="4308" w:type="dxa"/>
          </w:tcPr>
          <w:p w14:paraId="7DCEE82B"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order things in my mind</w:t>
            </w:r>
          </w:p>
        </w:tc>
        <w:tc>
          <w:tcPr>
            <w:tcW w:w="1104" w:type="dxa"/>
          </w:tcPr>
          <w:p w14:paraId="05ADC85D" w14:textId="77777777" w:rsidR="00A31235" w:rsidRPr="006E4DCA" w:rsidRDefault="00A31235" w:rsidP="00A31235">
            <w:pPr>
              <w:spacing w:line="240" w:lineRule="auto"/>
              <w:rPr>
                <w:szCs w:val="24"/>
              </w:rPr>
            </w:pPr>
            <w:r w:rsidRPr="006E4DCA">
              <w:rPr>
                <w:szCs w:val="24"/>
              </w:rPr>
              <w:t>1</w:t>
            </w:r>
          </w:p>
        </w:tc>
        <w:tc>
          <w:tcPr>
            <w:tcW w:w="1104" w:type="dxa"/>
          </w:tcPr>
          <w:p w14:paraId="76EC4C4F" w14:textId="77777777" w:rsidR="00A31235" w:rsidRPr="006E4DCA" w:rsidRDefault="00A31235" w:rsidP="00A31235">
            <w:pPr>
              <w:spacing w:line="240" w:lineRule="auto"/>
              <w:rPr>
                <w:szCs w:val="24"/>
              </w:rPr>
            </w:pPr>
            <w:r w:rsidRPr="006E4DCA">
              <w:rPr>
                <w:szCs w:val="24"/>
              </w:rPr>
              <w:t>2</w:t>
            </w:r>
          </w:p>
        </w:tc>
        <w:tc>
          <w:tcPr>
            <w:tcW w:w="1104" w:type="dxa"/>
          </w:tcPr>
          <w:p w14:paraId="62385933" w14:textId="77777777" w:rsidR="00A31235" w:rsidRPr="006E4DCA" w:rsidRDefault="00A31235" w:rsidP="00A31235">
            <w:pPr>
              <w:spacing w:line="240" w:lineRule="auto"/>
              <w:rPr>
                <w:szCs w:val="24"/>
              </w:rPr>
            </w:pPr>
            <w:r w:rsidRPr="006E4DCA">
              <w:rPr>
                <w:szCs w:val="24"/>
              </w:rPr>
              <w:t>3</w:t>
            </w:r>
          </w:p>
        </w:tc>
        <w:tc>
          <w:tcPr>
            <w:tcW w:w="1104" w:type="dxa"/>
          </w:tcPr>
          <w:p w14:paraId="26C2E5F3" w14:textId="77777777" w:rsidR="00A31235" w:rsidRPr="006E4DCA" w:rsidRDefault="00A31235" w:rsidP="00A31235">
            <w:pPr>
              <w:spacing w:line="240" w:lineRule="auto"/>
              <w:rPr>
                <w:szCs w:val="24"/>
              </w:rPr>
            </w:pPr>
            <w:r w:rsidRPr="006E4DCA">
              <w:rPr>
                <w:szCs w:val="24"/>
              </w:rPr>
              <w:t>4</w:t>
            </w:r>
          </w:p>
        </w:tc>
        <w:tc>
          <w:tcPr>
            <w:tcW w:w="1104" w:type="dxa"/>
          </w:tcPr>
          <w:p w14:paraId="1DFC6EC0" w14:textId="77777777" w:rsidR="00A31235" w:rsidRPr="006E4DCA" w:rsidRDefault="00A31235" w:rsidP="00A31235">
            <w:pPr>
              <w:tabs>
                <w:tab w:val="left" w:pos="8880"/>
              </w:tabs>
              <w:spacing w:line="240" w:lineRule="auto"/>
              <w:ind w:right="-40"/>
              <w:rPr>
                <w:szCs w:val="24"/>
              </w:rPr>
            </w:pPr>
            <w:r w:rsidRPr="006E4DCA">
              <w:rPr>
                <w:szCs w:val="24"/>
              </w:rPr>
              <w:t>PM-CR</w:t>
            </w:r>
          </w:p>
        </w:tc>
      </w:tr>
      <w:tr w:rsidR="00A31235" w:rsidRPr="006E4DCA" w14:paraId="041679C7" w14:textId="77777777" w:rsidTr="0091600E">
        <w:tc>
          <w:tcPr>
            <w:tcW w:w="4308" w:type="dxa"/>
          </w:tcPr>
          <w:p w14:paraId="1D847EB9"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to unwind</w:t>
            </w:r>
          </w:p>
        </w:tc>
        <w:tc>
          <w:tcPr>
            <w:tcW w:w="1104" w:type="dxa"/>
          </w:tcPr>
          <w:p w14:paraId="7EFE53F3" w14:textId="77777777" w:rsidR="00A31235" w:rsidRPr="006E4DCA" w:rsidRDefault="00A31235" w:rsidP="00A31235">
            <w:pPr>
              <w:spacing w:line="240" w:lineRule="auto"/>
              <w:rPr>
                <w:szCs w:val="24"/>
              </w:rPr>
            </w:pPr>
            <w:r w:rsidRPr="006E4DCA">
              <w:rPr>
                <w:szCs w:val="24"/>
              </w:rPr>
              <w:t>1</w:t>
            </w:r>
          </w:p>
        </w:tc>
        <w:tc>
          <w:tcPr>
            <w:tcW w:w="1104" w:type="dxa"/>
          </w:tcPr>
          <w:p w14:paraId="7DE77BD2" w14:textId="77777777" w:rsidR="00A31235" w:rsidRPr="006E4DCA" w:rsidRDefault="00A31235" w:rsidP="00A31235">
            <w:pPr>
              <w:spacing w:line="240" w:lineRule="auto"/>
              <w:rPr>
                <w:szCs w:val="24"/>
              </w:rPr>
            </w:pPr>
            <w:r w:rsidRPr="006E4DCA">
              <w:rPr>
                <w:szCs w:val="24"/>
              </w:rPr>
              <w:t>2</w:t>
            </w:r>
          </w:p>
        </w:tc>
        <w:tc>
          <w:tcPr>
            <w:tcW w:w="1104" w:type="dxa"/>
          </w:tcPr>
          <w:p w14:paraId="348632E2" w14:textId="77777777" w:rsidR="00A31235" w:rsidRPr="006E4DCA" w:rsidRDefault="00A31235" w:rsidP="00A31235">
            <w:pPr>
              <w:spacing w:line="240" w:lineRule="auto"/>
              <w:rPr>
                <w:szCs w:val="24"/>
              </w:rPr>
            </w:pPr>
            <w:r w:rsidRPr="006E4DCA">
              <w:rPr>
                <w:szCs w:val="24"/>
              </w:rPr>
              <w:t>3</w:t>
            </w:r>
          </w:p>
        </w:tc>
        <w:tc>
          <w:tcPr>
            <w:tcW w:w="1104" w:type="dxa"/>
          </w:tcPr>
          <w:p w14:paraId="1B5ACADE" w14:textId="77777777" w:rsidR="00A31235" w:rsidRPr="006E4DCA" w:rsidRDefault="00A31235" w:rsidP="00A31235">
            <w:pPr>
              <w:spacing w:line="240" w:lineRule="auto"/>
              <w:rPr>
                <w:szCs w:val="24"/>
              </w:rPr>
            </w:pPr>
            <w:r w:rsidRPr="006E4DCA">
              <w:rPr>
                <w:szCs w:val="24"/>
              </w:rPr>
              <w:t>4</w:t>
            </w:r>
          </w:p>
        </w:tc>
        <w:tc>
          <w:tcPr>
            <w:tcW w:w="1104" w:type="dxa"/>
          </w:tcPr>
          <w:p w14:paraId="0525540F" w14:textId="77777777" w:rsidR="00A31235" w:rsidRPr="006E4DCA" w:rsidRDefault="00A31235" w:rsidP="00A31235">
            <w:pPr>
              <w:tabs>
                <w:tab w:val="left" w:pos="8880"/>
              </w:tabs>
              <w:spacing w:line="240" w:lineRule="auto"/>
              <w:ind w:right="-40"/>
              <w:rPr>
                <w:szCs w:val="24"/>
              </w:rPr>
            </w:pPr>
            <w:r w:rsidRPr="006E4DCA">
              <w:rPr>
                <w:szCs w:val="24"/>
              </w:rPr>
              <w:t>PM-ER</w:t>
            </w:r>
          </w:p>
        </w:tc>
      </w:tr>
      <w:tr w:rsidR="00A31235" w:rsidRPr="006E4DCA" w14:paraId="34EF944C" w14:textId="77777777" w:rsidTr="0091600E">
        <w:tc>
          <w:tcPr>
            <w:tcW w:w="4308" w:type="dxa"/>
          </w:tcPr>
          <w:p w14:paraId="6D4A6EDA"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My smoking is uncontrollable</w:t>
            </w:r>
          </w:p>
        </w:tc>
        <w:tc>
          <w:tcPr>
            <w:tcW w:w="1104" w:type="dxa"/>
          </w:tcPr>
          <w:p w14:paraId="5B8B9DCD" w14:textId="77777777" w:rsidR="00A31235" w:rsidRPr="006E4DCA" w:rsidRDefault="00A31235" w:rsidP="00A31235">
            <w:pPr>
              <w:spacing w:line="240" w:lineRule="auto"/>
              <w:rPr>
                <w:szCs w:val="24"/>
              </w:rPr>
            </w:pPr>
            <w:r w:rsidRPr="006E4DCA">
              <w:rPr>
                <w:szCs w:val="24"/>
              </w:rPr>
              <w:t>1</w:t>
            </w:r>
          </w:p>
        </w:tc>
        <w:tc>
          <w:tcPr>
            <w:tcW w:w="1104" w:type="dxa"/>
          </w:tcPr>
          <w:p w14:paraId="16319E03" w14:textId="77777777" w:rsidR="00A31235" w:rsidRPr="006E4DCA" w:rsidRDefault="00A31235" w:rsidP="00A31235">
            <w:pPr>
              <w:spacing w:line="240" w:lineRule="auto"/>
              <w:rPr>
                <w:szCs w:val="24"/>
              </w:rPr>
            </w:pPr>
            <w:r w:rsidRPr="006E4DCA">
              <w:rPr>
                <w:szCs w:val="24"/>
              </w:rPr>
              <w:t>2</w:t>
            </w:r>
          </w:p>
        </w:tc>
        <w:tc>
          <w:tcPr>
            <w:tcW w:w="1104" w:type="dxa"/>
          </w:tcPr>
          <w:p w14:paraId="08879915" w14:textId="77777777" w:rsidR="00A31235" w:rsidRPr="006E4DCA" w:rsidRDefault="00A31235" w:rsidP="00A31235">
            <w:pPr>
              <w:spacing w:line="240" w:lineRule="auto"/>
              <w:rPr>
                <w:szCs w:val="24"/>
              </w:rPr>
            </w:pPr>
            <w:r w:rsidRPr="006E4DCA">
              <w:rPr>
                <w:szCs w:val="24"/>
              </w:rPr>
              <w:t>3</w:t>
            </w:r>
          </w:p>
        </w:tc>
        <w:tc>
          <w:tcPr>
            <w:tcW w:w="1104" w:type="dxa"/>
          </w:tcPr>
          <w:p w14:paraId="550872C0" w14:textId="77777777" w:rsidR="00A31235" w:rsidRPr="006E4DCA" w:rsidRDefault="00A31235" w:rsidP="00A31235">
            <w:pPr>
              <w:spacing w:line="240" w:lineRule="auto"/>
              <w:rPr>
                <w:szCs w:val="24"/>
              </w:rPr>
            </w:pPr>
            <w:r w:rsidRPr="006E4DCA">
              <w:rPr>
                <w:szCs w:val="24"/>
              </w:rPr>
              <w:t>4</w:t>
            </w:r>
          </w:p>
        </w:tc>
        <w:tc>
          <w:tcPr>
            <w:tcW w:w="1104" w:type="dxa"/>
          </w:tcPr>
          <w:p w14:paraId="40270B76" w14:textId="77777777" w:rsidR="00A31235" w:rsidRPr="006E4DCA" w:rsidRDefault="00A31235" w:rsidP="00A31235">
            <w:pPr>
              <w:tabs>
                <w:tab w:val="left" w:pos="8880"/>
              </w:tabs>
              <w:spacing w:line="240" w:lineRule="auto"/>
              <w:ind w:right="-40"/>
              <w:rPr>
                <w:szCs w:val="24"/>
              </w:rPr>
            </w:pPr>
            <w:r w:rsidRPr="006E4DCA">
              <w:rPr>
                <w:szCs w:val="24"/>
              </w:rPr>
              <w:t>NM-U</w:t>
            </w:r>
          </w:p>
        </w:tc>
      </w:tr>
      <w:tr w:rsidR="00A31235" w:rsidRPr="006E4DCA" w14:paraId="37F871B3" w14:textId="77777777" w:rsidTr="0091600E">
        <w:tc>
          <w:tcPr>
            <w:tcW w:w="4308" w:type="dxa"/>
          </w:tcPr>
          <w:p w14:paraId="6618E6B2"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My preoccupation with cigarettes takes over my life</w:t>
            </w:r>
          </w:p>
        </w:tc>
        <w:tc>
          <w:tcPr>
            <w:tcW w:w="1104" w:type="dxa"/>
          </w:tcPr>
          <w:p w14:paraId="6457389E" w14:textId="77777777" w:rsidR="00A31235" w:rsidRPr="006E4DCA" w:rsidRDefault="00A31235" w:rsidP="00A31235">
            <w:pPr>
              <w:spacing w:line="240" w:lineRule="auto"/>
              <w:rPr>
                <w:szCs w:val="24"/>
              </w:rPr>
            </w:pPr>
            <w:r w:rsidRPr="006E4DCA">
              <w:rPr>
                <w:szCs w:val="24"/>
              </w:rPr>
              <w:t>1</w:t>
            </w:r>
          </w:p>
        </w:tc>
        <w:tc>
          <w:tcPr>
            <w:tcW w:w="1104" w:type="dxa"/>
          </w:tcPr>
          <w:p w14:paraId="0123EC34" w14:textId="77777777" w:rsidR="00A31235" w:rsidRPr="006E4DCA" w:rsidRDefault="00A31235" w:rsidP="00A31235">
            <w:pPr>
              <w:spacing w:line="240" w:lineRule="auto"/>
              <w:rPr>
                <w:szCs w:val="24"/>
              </w:rPr>
            </w:pPr>
            <w:r w:rsidRPr="006E4DCA">
              <w:rPr>
                <w:szCs w:val="24"/>
              </w:rPr>
              <w:t>2</w:t>
            </w:r>
          </w:p>
        </w:tc>
        <w:tc>
          <w:tcPr>
            <w:tcW w:w="1104" w:type="dxa"/>
          </w:tcPr>
          <w:p w14:paraId="5A294275" w14:textId="77777777" w:rsidR="00A31235" w:rsidRPr="006E4DCA" w:rsidRDefault="00A31235" w:rsidP="00A31235">
            <w:pPr>
              <w:spacing w:line="240" w:lineRule="auto"/>
              <w:rPr>
                <w:szCs w:val="24"/>
              </w:rPr>
            </w:pPr>
            <w:r w:rsidRPr="006E4DCA">
              <w:rPr>
                <w:szCs w:val="24"/>
              </w:rPr>
              <w:t>3</w:t>
            </w:r>
          </w:p>
        </w:tc>
        <w:tc>
          <w:tcPr>
            <w:tcW w:w="1104" w:type="dxa"/>
          </w:tcPr>
          <w:p w14:paraId="7BE76BDA" w14:textId="77777777" w:rsidR="00A31235" w:rsidRPr="006E4DCA" w:rsidRDefault="00A31235" w:rsidP="00A31235">
            <w:pPr>
              <w:spacing w:line="240" w:lineRule="auto"/>
              <w:rPr>
                <w:szCs w:val="24"/>
              </w:rPr>
            </w:pPr>
            <w:r w:rsidRPr="006E4DCA">
              <w:rPr>
                <w:szCs w:val="24"/>
              </w:rPr>
              <w:t>4</w:t>
            </w:r>
          </w:p>
        </w:tc>
        <w:tc>
          <w:tcPr>
            <w:tcW w:w="1104" w:type="dxa"/>
          </w:tcPr>
          <w:p w14:paraId="78217E55" w14:textId="77777777" w:rsidR="00A31235" w:rsidRPr="006E4DCA" w:rsidRDefault="00A31235" w:rsidP="00A31235">
            <w:pPr>
              <w:tabs>
                <w:tab w:val="left" w:pos="8880"/>
              </w:tabs>
              <w:spacing w:line="240" w:lineRule="auto"/>
              <w:ind w:right="-40"/>
              <w:rPr>
                <w:szCs w:val="24"/>
              </w:rPr>
            </w:pPr>
            <w:r w:rsidRPr="006E4DCA">
              <w:rPr>
                <w:szCs w:val="24"/>
              </w:rPr>
              <w:t>NM-CI</w:t>
            </w:r>
          </w:p>
        </w:tc>
      </w:tr>
      <w:tr w:rsidR="00A31235" w:rsidRPr="006E4DCA" w14:paraId="7E26731F" w14:textId="77777777" w:rsidTr="0091600E">
        <w:tc>
          <w:tcPr>
            <w:tcW w:w="4308" w:type="dxa"/>
          </w:tcPr>
          <w:p w14:paraId="512EAC61"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helps me concentrate</w:t>
            </w:r>
          </w:p>
        </w:tc>
        <w:tc>
          <w:tcPr>
            <w:tcW w:w="1104" w:type="dxa"/>
          </w:tcPr>
          <w:p w14:paraId="0697E29A" w14:textId="77777777" w:rsidR="00A31235" w:rsidRPr="006E4DCA" w:rsidRDefault="00A31235" w:rsidP="00A31235">
            <w:pPr>
              <w:spacing w:line="240" w:lineRule="auto"/>
              <w:rPr>
                <w:szCs w:val="24"/>
              </w:rPr>
            </w:pPr>
            <w:r w:rsidRPr="006E4DCA">
              <w:rPr>
                <w:szCs w:val="24"/>
              </w:rPr>
              <w:t>1</w:t>
            </w:r>
          </w:p>
        </w:tc>
        <w:tc>
          <w:tcPr>
            <w:tcW w:w="1104" w:type="dxa"/>
          </w:tcPr>
          <w:p w14:paraId="0BDCEDDD" w14:textId="77777777" w:rsidR="00A31235" w:rsidRPr="006E4DCA" w:rsidRDefault="00A31235" w:rsidP="00A31235">
            <w:pPr>
              <w:spacing w:line="240" w:lineRule="auto"/>
              <w:rPr>
                <w:szCs w:val="24"/>
              </w:rPr>
            </w:pPr>
            <w:r w:rsidRPr="006E4DCA">
              <w:rPr>
                <w:szCs w:val="24"/>
              </w:rPr>
              <w:t>2</w:t>
            </w:r>
          </w:p>
        </w:tc>
        <w:tc>
          <w:tcPr>
            <w:tcW w:w="1104" w:type="dxa"/>
          </w:tcPr>
          <w:p w14:paraId="359DE870" w14:textId="77777777" w:rsidR="00A31235" w:rsidRPr="006E4DCA" w:rsidRDefault="00A31235" w:rsidP="00A31235">
            <w:pPr>
              <w:spacing w:line="240" w:lineRule="auto"/>
              <w:rPr>
                <w:szCs w:val="24"/>
              </w:rPr>
            </w:pPr>
            <w:r w:rsidRPr="006E4DCA">
              <w:rPr>
                <w:szCs w:val="24"/>
              </w:rPr>
              <w:t>3</w:t>
            </w:r>
          </w:p>
        </w:tc>
        <w:tc>
          <w:tcPr>
            <w:tcW w:w="1104" w:type="dxa"/>
          </w:tcPr>
          <w:p w14:paraId="05EAF086" w14:textId="77777777" w:rsidR="00A31235" w:rsidRPr="006E4DCA" w:rsidRDefault="00A31235" w:rsidP="00A31235">
            <w:pPr>
              <w:spacing w:line="240" w:lineRule="auto"/>
              <w:rPr>
                <w:szCs w:val="24"/>
              </w:rPr>
            </w:pPr>
            <w:r w:rsidRPr="006E4DCA">
              <w:rPr>
                <w:szCs w:val="24"/>
              </w:rPr>
              <w:t>4</w:t>
            </w:r>
          </w:p>
        </w:tc>
        <w:tc>
          <w:tcPr>
            <w:tcW w:w="1104" w:type="dxa"/>
          </w:tcPr>
          <w:p w14:paraId="211A045F" w14:textId="77777777" w:rsidR="00A31235" w:rsidRPr="006E4DCA" w:rsidRDefault="00A31235" w:rsidP="00A31235">
            <w:pPr>
              <w:tabs>
                <w:tab w:val="left" w:pos="8880"/>
              </w:tabs>
              <w:spacing w:line="240" w:lineRule="auto"/>
              <w:ind w:right="-40"/>
              <w:rPr>
                <w:szCs w:val="24"/>
              </w:rPr>
            </w:pPr>
            <w:r w:rsidRPr="006E4DCA">
              <w:rPr>
                <w:szCs w:val="24"/>
              </w:rPr>
              <w:t>PM-CR</w:t>
            </w:r>
          </w:p>
        </w:tc>
      </w:tr>
      <w:tr w:rsidR="00A31235" w:rsidRPr="006E4DCA" w14:paraId="49CFF221" w14:textId="77777777" w:rsidTr="0091600E">
        <w:tc>
          <w:tcPr>
            <w:tcW w:w="4308" w:type="dxa"/>
          </w:tcPr>
          <w:p w14:paraId="241B5876"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Smoking distracts me from feeling pressured</w:t>
            </w:r>
          </w:p>
        </w:tc>
        <w:tc>
          <w:tcPr>
            <w:tcW w:w="1104" w:type="dxa"/>
          </w:tcPr>
          <w:p w14:paraId="481D656F" w14:textId="77777777" w:rsidR="00A31235" w:rsidRPr="006E4DCA" w:rsidRDefault="00A31235" w:rsidP="00A31235">
            <w:pPr>
              <w:spacing w:line="240" w:lineRule="auto"/>
              <w:rPr>
                <w:szCs w:val="24"/>
              </w:rPr>
            </w:pPr>
            <w:r w:rsidRPr="006E4DCA">
              <w:rPr>
                <w:szCs w:val="24"/>
              </w:rPr>
              <w:t>1</w:t>
            </w:r>
          </w:p>
        </w:tc>
        <w:tc>
          <w:tcPr>
            <w:tcW w:w="1104" w:type="dxa"/>
          </w:tcPr>
          <w:p w14:paraId="2AC92081" w14:textId="77777777" w:rsidR="00A31235" w:rsidRPr="006E4DCA" w:rsidRDefault="00A31235" w:rsidP="00A31235">
            <w:pPr>
              <w:spacing w:line="240" w:lineRule="auto"/>
              <w:rPr>
                <w:szCs w:val="24"/>
              </w:rPr>
            </w:pPr>
            <w:r w:rsidRPr="006E4DCA">
              <w:rPr>
                <w:szCs w:val="24"/>
              </w:rPr>
              <w:t>2</w:t>
            </w:r>
          </w:p>
        </w:tc>
        <w:tc>
          <w:tcPr>
            <w:tcW w:w="1104" w:type="dxa"/>
          </w:tcPr>
          <w:p w14:paraId="00F0ABCA" w14:textId="77777777" w:rsidR="00A31235" w:rsidRPr="006E4DCA" w:rsidRDefault="00A31235" w:rsidP="00A31235">
            <w:pPr>
              <w:spacing w:line="240" w:lineRule="auto"/>
              <w:rPr>
                <w:szCs w:val="24"/>
              </w:rPr>
            </w:pPr>
            <w:r w:rsidRPr="006E4DCA">
              <w:rPr>
                <w:szCs w:val="24"/>
              </w:rPr>
              <w:t>3</w:t>
            </w:r>
          </w:p>
        </w:tc>
        <w:tc>
          <w:tcPr>
            <w:tcW w:w="1104" w:type="dxa"/>
          </w:tcPr>
          <w:p w14:paraId="2BFB1D54" w14:textId="77777777" w:rsidR="00A31235" w:rsidRPr="006E4DCA" w:rsidRDefault="00A31235" w:rsidP="00A31235">
            <w:pPr>
              <w:spacing w:line="240" w:lineRule="auto"/>
              <w:rPr>
                <w:szCs w:val="24"/>
              </w:rPr>
            </w:pPr>
            <w:r w:rsidRPr="006E4DCA">
              <w:rPr>
                <w:szCs w:val="24"/>
              </w:rPr>
              <w:t>4</w:t>
            </w:r>
          </w:p>
        </w:tc>
        <w:tc>
          <w:tcPr>
            <w:tcW w:w="1104" w:type="dxa"/>
          </w:tcPr>
          <w:p w14:paraId="5BA0FB27" w14:textId="77777777" w:rsidR="00A31235" w:rsidRPr="006E4DCA" w:rsidRDefault="00A31235" w:rsidP="00A31235">
            <w:pPr>
              <w:tabs>
                <w:tab w:val="left" w:pos="8880"/>
              </w:tabs>
              <w:spacing w:line="240" w:lineRule="auto"/>
              <w:ind w:right="-40"/>
              <w:rPr>
                <w:szCs w:val="24"/>
              </w:rPr>
            </w:pPr>
            <w:r w:rsidRPr="006E4DCA">
              <w:rPr>
                <w:szCs w:val="24"/>
              </w:rPr>
              <w:t>PM-ER</w:t>
            </w:r>
          </w:p>
        </w:tc>
      </w:tr>
      <w:tr w:rsidR="00A31235" w:rsidRPr="006E4DCA" w14:paraId="6360C4E2" w14:textId="77777777" w:rsidTr="0091600E">
        <w:tc>
          <w:tcPr>
            <w:tcW w:w="4308" w:type="dxa"/>
          </w:tcPr>
          <w:p w14:paraId="4988ADCF"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I cannot control my urge to smoke</w:t>
            </w:r>
          </w:p>
        </w:tc>
        <w:tc>
          <w:tcPr>
            <w:tcW w:w="1104" w:type="dxa"/>
          </w:tcPr>
          <w:p w14:paraId="1B80C587" w14:textId="77777777" w:rsidR="00A31235" w:rsidRPr="006E4DCA" w:rsidRDefault="00A31235" w:rsidP="00A31235">
            <w:pPr>
              <w:spacing w:line="240" w:lineRule="auto"/>
              <w:rPr>
                <w:szCs w:val="24"/>
              </w:rPr>
            </w:pPr>
            <w:r w:rsidRPr="006E4DCA">
              <w:rPr>
                <w:szCs w:val="24"/>
              </w:rPr>
              <w:t>1</w:t>
            </w:r>
          </w:p>
        </w:tc>
        <w:tc>
          <w:tcPr>
            <w:tcW w:w="1104" w:type="dxa"/>
          </w:tcPr>
          <w:p w14:paraId="36269207" w14:textId="77777777" w:rsidR="00A31235" w:rsidRPr="006E4DCA" w:rsidRDefault="00A31235" w:rsidP="00A31235">
            <w:pPr>
              <w:spacing w:line="240" w:lineRule="auto"/>
              <w:rPr>
                <w:szCs w:val="24"/>
              </w:rPr>
            </w:pPr>
            <w:r w:rsidRPr="006E4DCA">
              <w:rPr>
                <w:szCs w:val="24"/>
              </w:rPr>
              <w:t>2</w:t>
            </w:r>
          </w:p>
        </w:tc>
        <w:tc>
          <w:tcPr>
            <w:tcW w:w="1104" w:type="dxa"/>
          </w:tcPr>
          <w:p w14:paraId="00BCE30D" w14:textId="77777777" w:rsidR="00A31235" w:rsidRPr="006E4DCA" w:rsidRDefault="00A31235" w:rsidP="00A31235">
            <w:pPr>
              <w:spacing w:line="240" w:lineRule="auto"/>
              <w:rPr>
                <w:szCs w:val="24"/>
              </w:rPr>
            </w:pPr>
            <w:r w:rsidRPr="006E4DCA">
              <w:rPr>
                <w:szCs w:val="24"/>
              </w:rPr>
              <w:t>3</w:t>
            </w:r>
          </w:p>
        </w:tc>
        <w:tc>
          <w:tcPr>
            <w:tcW w:w="1104" w:type="dxa"/>
          </w:tcPr>
          <w:p w14:paraId="695F084B" w14:textId="77777777" w:rsidR="00A31235" w:rsidRPr="006E4DCA" w:rsidRDefault="00A31235" w:rsidP="00A31235">
            <w:pPr>
              <w:spacing w:line="240" w:lineRule="auto"/>
              <w:rPr>
                <w:szCs w:val="24"/>
              </w:rPr>
            </w:pPr>
            <w:r w:rsidRPr="006E4DCA">
              <w:rPr>
                <w:szCs w:val="24"/>
              </w:rPr>
              <w:t>4</w:t>
            </w:r>
          </w:p>
        </w:tc>
        <w:tc>
          <w:tcPr>
            <w:tcW w:w="1104" w:type="dxa"/>
          </w:tcPr>
          <w:p w14:paraId="7DCE0347" w14:textId="77777777" w:rsidR="00A31235" w:rsidRPr="006E4DCA" w:rsidRDefault="00A31235" w:rsidP="00A31235">
            <w:pPr>
              <w:tabs>
                <w:tab w:val="left" w:pos="8880"/>
              </w:tabs>
              <w:spacing w:line="240" w:lineRule="auto"/>
              <w:ind w:right="-40"/>
              <w:rPr>
                <w:szCs w:val="24"/>
              </w:rPr>
            </w:pPr>
            <w:r w:rsidRPr="006E4DCA">
              <w:rPr>
                <w:szCs w:val="24"/>
              </w:rPr>
              <w:t>NM-U</w:t>
            </w:r>
          </w:p>
        </w:tc>
      </w:tr>
      <w:tr w:rsidR="00A31235" w:rsidRPr="00A31235" w14:paraId="603E1F54" w14:textId="77777777" w:rsidTr="0091600E">
        <w:tc>
          <w:tcPr>
            <w:tcW w:w="4308" w:type="dxa"/>
            <w:tcBorders>
              <w:bottom w:val="single" w:sz="4" w:space="0" w:color="000000"/>
            </w:tcBorders>
          </w:tcPr>
          <w:p w14:paraId="126E0951" w14:textId="77777777" w:rsidR="00A31235" w:rsidRPr="006E4DCA" w:rsidRDefault="00A31235" w:rsidP="007F60EA">
            <w:pPr>
              <w:pStyle w:val="ListParagraph"/>
              <w:numPr>
                <w:ilvl w:val="0"/>
                <w:numId w:val="3"/>
              </w:numPr>
              <w:spacing w:after="0" w:line="240" w:lineRule="auto"/>
              <w:jc w:val="both"/>
              <w:rPr>
                <w:rFonts w:ascii="Times New Roman" w:hAnsi="Times New Roman"/>
                <w:sz w:val="24"/>
                <w:szCs w:val="24"/>
                <w:lang w:val="en-GB"/>
              </w:rPr>
            </w:pPr>
            <w:r w:rsidRPr="006E4DCA">
              <w:rPr>
                <w:rFonts w:ascii="Times New Roman" w:hAnsi="Times New Roman"/>
                <w:sz w:val="24"/>
                <w:szCs w:val="24"/>
                <w:lang w:val="en-GB"/>
              </w:rPr>
              <w:t>My thoughts about cigarettes interfere with my functioning</w:t>
            </w:r>
          </w:p>
        </w:tc>
        <w:tc>
          <w:tcPr>
            <w:tcW w:w="1104" w:type="dxa"/>
            <w:tcBorders>
              <w:bottom w:val="single" w:sz="4" w:space="0" w:color="000000"/>
            </w:tcBorders>
          </w:tcPr>
          <w:p w14:paraId="22681B87" w14:textId="77777777" w:rsidR="00A31235" w:rsidRPr="006E4DCA" w:rsidRDefault="00A31235" w:rsidP="00A31235">
            <w:pPr>
              <w:spacing w:line="240" w:lineRule="auto"/>
              <w:rPr>
                <w:szCs w:val="24"/>
              </w:rPr>
            </w:pPr>
            <w:r w:rsidRPr="006E4DCA">
              <w:rPr>
                <w:szCs w:val="24"/>
              </w:rPr>
              <w:t>1</w:t>
            </w:r>
          </w:p>
        </w:tc>
        <w:tc>
          <w:tcPr>
            <w:tcW w:w="1104" w:type="dxa"/>
            <w:tcBorders>
              <w:bottom w:val="single" w:sz="4" w:space="0" w:color="000000"/>
            </w:tcBorders>
          </w:tcPr>
          <w:p w14:paraId="0EF4DF3D" w14:textId="77777777" w:rsidR="00A31235" w:rsidRPr="006E4DCA" w:rsidRDefault="00A31235" w:rsidP="00A31235">
            <w:pPr>
              <w:spacing w:line="240" w:lineRule="auto"/>
              <w:rPr>
                <w:szCs w:val="24"/>
              </w:rPr>
            </w:pPr>
            <w:r w:rsidRPr="006E4DCA">
              <w:rPr>
                <w:szCs w:val="24"/>
              </w:rPr>
              <w:t>2</w:t>
            </w:r>
          </w:p>
        </w:tc>
        <w:tc>
          <w:tcPr>
            <w:tcW w:w="1104" w:type="dxa"/>
            <w:tcBorders>
              <w:bottom w:val="single" w:sz="4" w:space="0" w:color="000000"/>
            </w:tcBorders>
          </w:tcPr>
          <w:p w14:paraId="6324EECA" w14:textId="77777777" w:rsidR="00A31235" w:rsidRPr="006E4DCA" w:rsidRDefault="00A31235" w:rsidP="00A31235">
            <w:pPr>
              <w:spacing w:line="240" w:lineRule="auto"/>
              <w:rPr>
                <w:szCs w:val="24"/>
              </w:rPr>
            </w:pPr>
            <w:r w:rsidRPr="006E4DCA">
              <w:rPr>
                <w:szCs w:val="24"/>
              </w:rPr>
              <w:t>3</w:t>
            </w:r>
          </w:p>
        </w:tc>
        <w:tc>
          <w:tcPr>
            <w:tcW w:w="1104" w:type="dxa"/>
            <w:tcBorders>
              <w:bottom w:val="single" w:sz="4" w:space="0" w:color="000000"/>
            </w:tcBorders>
          </w:tcPr>
          <w:p w14:paraId="1AE9AE1A" w14:textId="77777777" w:rsidR="00A31235" w:rsidRPr="006E4DCA" w:rsidRDefault="00A31235" w:rsidP="00A31235">
            <w:pPr>
              <w:spacing w:line="240" w:lineRule="auto"/>
              <w:rPr>
                <w:szCs w:val="24"/>
              </w:rPr>
            </w:pPr>
            <w:r w:rsidRPr="006E4DCA">
              <w:rPr>
                <w:szCs w:val="24"/>
              </w:rPr>
              <w:t>4</w:t>
            </w:r>
          </w:p>
        </w:tc>
        <w:tc>
          <w:tcPr>
            <w:tcW w:w="1104" w:type="dxa"/>
            <w:tcBorders>
              <w:bottom w:val="single" w:sz="4" w:space="0" w:color="000000"/>
            </w:tcBorders>
          </w:tcPr>
          <w:p w14:paraId="11C8D272" w14:textId="77777777" w:rsidR="00A31235" w:rsidRPr="00A31235" w:rsidRDefault="00A31235" w:rsidP="00A31235">
            <w:pPr>
              <w:tabs>
                <w:tab w:val="left" w:pos="8880"/>
              </w:tabs>
              <w:spacing w:line="240" w:lineRule="auto"/>
              <w:ind w:right="-40"/>
              <w:rPr>
                <w:szCs w:val="24"/>
              </w:rPr>
            </w:pPr>
            <w:r w:rsidRPr="006E4DCA">
              <w:rPr>
                <w:szCs w:val="24"/>
              </w:rPr>
              <w:t>NM-CI</w:t>
            </w:r>
          </w:p>
        </w:tc>
      </w:tr>
    </w:tbl>
    <w:p w14:paraId="4E860841" w14:textId="77777777" w:rsidR="00A31235" w:rsidRDefault="00A31235" w:rsidP="00A31235">
      <w:pPr>
        <w:rPr>
          <w:rFonts w:asciiTheme="minorHAnsi" w:eastAsiaTheme="minorHAnsi" w:hAnsiTheme="minorHAnsi" w:cstheme="minorBidi"/>
          <w:sz w:val="22"/>
          <w:lang w:eastAsia="en-US"/>
        </w:rPr>
      </w:pPr>
    </w:p>
    <w:sectPr w:rsidR="00A31235" w:rsidSect="0001166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62029" w14:textId="77777777" w:rsidR="00703448" w:rsidRDefault="00703448">
      <w:pPr>
        <w:spacing w:line="240" w:lineRule="auto"/>
      </w:pPr>
      <w:r>
        <w:separator/>
      </w:r>
    </w:p>
  </w:endnote>
  <w:endnote w:type="continuationSeparator" w:id="0">
    <w:p w14:paraId="2A80EED5" w14:textId="77777777" w:rsidR="00703448" w:rsidRDefault="00703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4371" w14:textId="77777777" w:rsidR="0091600E" w:rsidRPr="00D00DBE" w:rsidRDefault="0091600E">
    <w:pPr>
      <w:pStyle w:val="Footer"/>
      <w:jc w:val="center"/>
      <w:rPr>
        <w:sz w:val="16"/>
        <w:szCs w:val="16"/>
      </w:rPr>
    </w:pPr>
    <w:r w:rsidRPr="00D00DBE">
      <w:rPr>
        <w:sz w:val="16"/>
        <w:szCs w:val="16"/>
      </w:rPr>
      <w:fldChar w:fldCharType="begin"/>
    </w:r>
    <w:r w:rsidRPr="00D00DBE">
      <w:rPr>
        <w:sz w:val="16"/>
        <w:szCs w:val="16"/>
      </w:rPr>
      <w:instrText xml:space="preserve"> PAGE   \* MERGEFORMAT </w:instrText>
    </w:r>
    <w:r w:rsidRPr="00D00DBE">
      <w:rPr>
        <w:sz w:val="16"/>
        <w:szCs w:val="16"/>
      </w:rPr>
      <w:fldChar w:fldCharType="separate"/>
    </w:r>
    <w:r w:rsidR="00491B16">
      <w:rPr>
        <w:noProof/>
        <w:sz w:val="16"/>
        <w:szCs w:val="16"/>
      </w:rPr>
      <w:t>23</w:t>
    </w:r>
    <w:r w:rsidRPr="00D00DBE">
      <w:rPr>
        <w:noProof/>
        <w:sz w:val="16"/>
        <w:szCs w:val="16"/>
      </w:rPr>
      <w:fldChar w:fldCharType="end"/>
    </w:r>
  </w:p>
  <w:p w14:paraId="0D630A9D" w14:textId="77777777" w:rsidR="0091600E" w:rsidRDefault="0091600E">
    <w:pPr>
      <w:pStyle w:val="Footer"/>
    </w:pPr>
  </w:p>
  <w:p w14:paraId="2B9AE43B" w14:textId="77777777" w:rsidR="0091600E" w:rsidRDefault="00916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61363" w14:textId="77777777" w:rsidR="00703448" w:rsidRDefault="00703448">
      <w:pPr>
        <w:spacing w:line="240" w:lineRule="auto"/>
      </w:pPr>
      <w:r>
        <w:separator/>
      </w:r>
    </w:p>
  </w:footnote>
  <w:footnote w:type="continuationSeparator" w:id="0">
    <w:p w14:paraId="56B50A5F" w14:textId="77777777" w:rsidR="00703448" w:rsidRDefault="007034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35A6" w14:textId="77777777" w:rsidR="0091600E" w:rsidRDefault="0091600E" w:rsidP="00011661">
    <w:pPr>
      <w:pStyle w:val="Head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F481FC8" w14:textId="77777777" w:rsidR="0091600E" w:rsidRDefault="0091600E" w:rsidP="000116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5276" w14:textId="77777777" w:rsidR="0091600E" w:rsidRPr="00C1522F" w:rsidRDefault="0091600E" w:rsidP="00011661">
    <w:pPr>
      <w:pStyle w:val="Header"/>
      <w:framePr w:wrap="none" w:vAnchor="text" w:hAnchor="margin" w:xAlign="right" w:y="1"/>
      <w:rPr>
        <w:rStyle w:val="PageNumber"/>
        <w:rFonts w:eastAsiaTheme="majorEastAsia"/>
        <w:sz w:val="16"/>
        <w:szCs w:val="16"/>
      </w:rPr>
    </w:pPr>
    <w:r w:rsidRPr="00C1522F">
      <w:rPr>
        <w:rStyle w:val="PageNumber"/>
        <w:rFonts w:eastAsiaTheme="majorEastAsia"/>
        <w:sz w:val="16"/>
        <w:szCs w:val="16"/>
      </w:rPr>
      <w:fldChar w:fldCharType="begin"/>
    </w:r>
    <w:r w:rsidRPr="00C1522F">
      <w:rPr>
        <w:rStyle w:val="PageNumber"/>
        <w:rFonts w:eastAsiaTheme="majorEastAsia"/>
        <w:sz w:val="16"/>
        <w:szCs w:val="16"/>
      </w:rPr>
      <w:instrText xml:space="preserve">PAGE  </w:instrText>
    </w:r>
    <w:r w:rsidRPr="00C1522F">
      <w:rPr>
        <w:rStyle w:val="PageNumber"/>
        <w:rFonts w:eastAsiaTheme="majorEastAsia"/>
        <w:sz w:val="16"/>
        <w:szCs w:val="16"/>
      </w:rPr>
      <w:fldChar w:fldCharType="separate"/>
    </w:r>
    <w:r w:rsidR="00491B16">
      <w:rPr>
        <w:rStyle w:val="PageNumber"/>
        <w:rFonts w:eastAsiaTheme="majorEastAsia"/>
        <w:noProof/>
        <w:sz w:val="16"/>
        <w:szCs w:val="16"/>
      </w:rPr>
      <w:t>23</w:t>
    </w:r>
    <w:r w:rsidRPr="00C1522F">
      <w:rPr>
        <w:rStyle w:val="PageNumber"/>
        <w:rFonts w:eastAsiaTheme="majorEastAsia"/>
        <w:sz w:val="16"/>
        <w:szCs w:val="16"/>
      </w:rPr>
      <w:fldChar w:fldCharType="end"/>
    </w:r>
  </w:p>
  <w:p w14:paraId="770E3E9F" w14:textId="77777777" w:rsidR="0091600E" w:rsidRPr="00D47952" w:rsidRDefault="0091600E" w:rsidP="00011661">
    <w:pPr>
      <w:pStyle w:val="Header"/>
      <w:ind w:right="360"/>
      <w:rPr>
        <w:sz w:val="20"/>
        <w:szCs w:val="20"/>
      </w:rPr>
    </w:pPr>
    <w:r w:rsidRPr="00D47952">
      <w:rPr>
        <w:sz w:val="20"/>
        <w:szCs w:val="20"/>
      </w:rPr>
      <w:t xml:space="preserve">RUNNING HEAD: </w:t>
    </w:r>
    <w:r>
      <w:rPr>
        <w:sz w:val="20"/>
        <w:szCs w:val="20"/>
      </w:rPr>
      <w:t>MSQ in a Turkish 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114B"/>
    <w:multiLevelType w:val="hybridMultilevel"/>
    <w:tmpl w:val="4A680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C09468A"/>
    <w:multiLevelType w:val="hybridMultilevel"/>
    <w:tmpl w:val="82C418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F00199"/>
    <w:multiLevelType w:val="hybridMultilevel"/>
    <w:tmpl w:val="82C418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10BD"/>
    <w:rsid w:val="00001AF9"/>
    <w:rsid w:val="00010282"/>
    <w:rsid w:val="00011661"/>
    <w:rsid w:val="0001218A"/>
    <w:rsid w:val="000513D7"/>
    <w:rsid w:val="00055AE1"/>
    <w:rsid w:val="00075F56"/>
    <w:rsid w:val="000930CD"/>
    <w:rsid w:val="000A1C45"/>
    <w:rsid w:val="000A4313"/>
    <w:rsid w:val="000C3400"/>
    <w:rsid w:val="000D09FA"/>
    <w:rsid w:val="00126FFD"/>
    <w:rsid w:val="001358B7"/>
    <w:rsid w:val="00145568"/>
    <w:rsid w:val="00147878"/>
    <w:rsid w:val="001570E9"/>
    <w:rsid w:val="0018244A"/>
    <w:rsid w:val="00184F10"/>
    <w:rsid w:val="00195B04"/>
    <w:rsid w:val="001B2EB7"/>
    <w:rsid w:val="001C66CE"/>
    <w:rsid w:val="001C6918"/>
    <w:rsid w:val="001D2495"/>
    <w:rsid w:val="001E376F"/>
    <w:rsid w:val="001E4554"/>
    <w:rsid w:val="001E7B9B"/>
    <w:rsid w:val="001F1128"/>
    <w:rsid w:val="00200D46"/>
    <w:rsid w:val="00224278"/>
    <w:rsid w:val="00226F1C"/>
    <w:rsid w:val="00237DFB"/>
    <w:rsid w:val="00252AD1"/>
    <w:rsid w:val="00264B6A"/>
    <w:rsid w:val="00276173"/>
    <w:rsid w:val="002D7236"/>
    <w:rsid w:val="003010BD"/>
    <w:rsid w:val="003073BA"/>
    <w:rsid w:val="00313021"/>
    <w:rsid w:val="00317B76"/>
    <w:rsid w:val="0032609A"/>
    <w:rsid w:val="003379CC"/>
    <w:rsid w:val="00354611"/>
    <w:rsid w:val="00357EFF"/>
    <w:rsid w:val="003A0773"/>
    <w:rsid w:val="003B4F0C"/>
    <w:rsid w:val="003C01AB"/>
    <w:rsid w:val="003E6948"/>
    <w:rsid w:val="00412F44"/>
    <w:rsid w:val="00465B96"/>
    <w:rsid w:val="00465E29"/>
    <w:rsid w:val="00470937"/>
    <w:rsid w:val="004857DF"/>
    <w:rsid w:val="00491B16"/>
    <w:rsid w:val="0049224E"/>
    <w:rsid w:val="004C4AFB"/>
    <w:rsid w:val="004D39AE"/>
    <w:rsid w:val="004D74EB"/>
    <w:rsid w:val="00516A10"/>
    <w:rsid w:val="00517D29"/>
    <w:rsid w:val="00546051"/>
    <w:rsid w:val="00593DAD"/>
    <w:rsid w:val="005953ED"/>
    <w:rsid w:val="005A64B2"/>
    <w:rsid w:val="005B3699"/>
    <w:rsid w:val="005D3EC7"/>
    <w:rsid w:val="005F1842"/>
    <w:rsid w:val="00603F16"/>
    <w:rsid w:val="00652187"/>
    <w:rsid w:val="006603C9"/>
    <w:rsid w:val="00672FCC"/>
    <w:rsid w:val="00676475"/>
    <w:rsid w:val="006943E9"/>
    <w:rsid w:val="006A22B8"/>
    <w:rsid w:val="006E4DCA"/>
    <w:rsid w:val="00703448"/>
    <w:rsid w:val="00705848"/>
    <w:rsid w:val="00707248"/>
    <w:rsid w:val="007112A2"/>
    <w:rsid w:val="007269B1"/>
    <w:rsid w:val="00737F96"/>
    <w:rsid w:val="00775BD3"/>
    <w:rsid w:val="00783970"/>
    <w:rsid w:val="007C6214"/>
    <w:rsid w:val="007D15C1"/>
    <w:rsid w:val="007E09DA"/>
    <w:rsid w:val="007E451D"/>
    <w:rsid w:val="007F45E3"/>
    <w:rsid w:val="007F5F94"/>
    <w:rsid w:val="007F60EA"/>
    <w:rsid w:val="008172B0"/>
    <w:rsid w:val="00823ECD"/>
    <w:rsid w:val="00827869"/>
    <w:rsid w:val="00830349"/>
    <w:rsid w:val="008312FB"/>
    <w:rsid w:val="0084342E"/>
    <w:rsid w:val="0085516F"/>
    <w:rsid w:val="00862E2E"/>
    <w:rsid w:val="00871582"/>
    <w:rsid w:val="008833D1"/>
    <w:rsid w:val="008C3B39"/>
    <w:rsid w:val="008D4122"/>
    <w:rsid w:val="008F4740"/>
    <w:rsid w:val="00900F44"/>
    <w:rsid w:val="0091600E"/>
    <w:rsid w:val="00917B6C"/>
    <w:rsid w:val="00947D8E"/>
    <w:rsid w:val="00962490"/>
    <w:rsid w:val="00973CBC"/>
    <w:rsid w:val="00985A63"/>
    <w:rsid w:val="009956C5"/>
    <w:rsid w:val="009A3929"/>
    <w:rsid w:val="009A5507"/>
    <w:rsid w:val="009D1804"/>
    <w:rsid w:val="009D72FD"/>
    <w:rsid w:val="009E7306"/>
    <w:rsid w:val="00A0665D"/>
    <w:rsid w:val="00A067DE"/>
    <w:rsid w:val="00A22049"/>
    <w:rsid w:val="00A31235"/>
    <w:rsid w:val="00A36022"/>
    <w:rsid w:val="00A65A01"/>
    <w:rsid w:val="00A71173"/>
    <w:rsid w:val="00A73C24"/>
    <w:rsid w:val="00A824BC"/>
    <w:rsid w:val="00A874CA"/>
    <w:rsid w:val="00A91F1B"/>
    <w:rsid w:val="00A92D07"/>
    <w:rsid w:val="00AA3473"/>
    <w:rsid w:val="00AB0E80"/>
    <w:rsid w:val="00AC3F70"/>
    <w:rsid w:val="00AD5295"/>
    <w:rsid w:val="00B253A7"/>
    <w:rsid w:val="00B63DEF"/>
    <w:rsid w:val="00B65A54"/>
    <w:rsid w:val="00B72CFC"/>
    <w:rsid w:val="00B738DE"/>
    <w:rsid w:val="00B76E2E"/>
    <w:rsid w:val="00B80D00"/>
    <w:rsid w:val="00B92AD7"/>
    <w:rsid w:val="00B93C59"/>
    <w:rsid w:val="00B942D9"/>
    <w:rsid w:val="00B94D1F"/>
    <w:rsid w:val="00BA5765"/>
    <w:rsid w:val="00BB6B8C"/>
    <w:rsid w:val="00BD7293"/>
    <w:rsid w:val="00BE3A47"/>
    <w:rsid w:val="00BE6F1C"/>
    <w:rsid w:val="00BF7CE9"/>
    <w:rsid w:val="00C11BB4"/>
    <w:rsid w:val="00C1654A"/>
    <w:rsid w:val="00C17C3C"/>
    <w:rsid w:val="00C30E83"/>
    <w:rsid w:val="00C63667"/>
    <w:rsid w:val="00C876D2"/>
    <w:rsid w:val="00C96339"/>
    <w:rsid w:val="00CA43DC"/>
    <w:rsid w:val="00CC235F"/>
    <w:rsid w:val="00CD01F2"/>
    <w:rsid w:val="00CE1A74"/>
    <w:rsid w:val="00D057A1"/>
    <w:rsid w:val="00D2309D"/>
    <w:rsid w:val="00D608FA"/>
    <w:rsid w:val="00D658DA"/>
    <w:rsid w:val="00D71C85"/>
    <w:rsid w:val="00D97DD9"/>
    <w:rsid w:val="00DC41A5"/>
    <w:rsid w:val="00DC686F"/>
    <w:rsid w:val="00DD08EA"/>
    <w:rsid w:val="00DF5443"/>
    <w:rsid w:val="00E0223D"/>
    <w:rsid w:val="00E35F5E"/>
    <w:rsid w:val="00E405D2"/>
    <w:rsid w:val="00E55090"/>
    <w:rsid w:val="00E6700E"/>
    <w:rsid w:val="00E81694"/>
    <w:rsid w:val="00E872AA"/>
    <w:rsid w:val="00EF433D"/>
    <w:rsid w:val="00EF718E"/>
    <w:rsid w:val="00F227B8"/>
    <w:rsid w:val="00F35D1D"/>
    <w:rsid w:val="00F51A77"/>
    <w:rsid w:val="00F615AA"/>
    <w:rsid w:val="00F77848"/>
    <w:rsid w:val="00F77D68"/>
    <w:rsid w:val="00FB68F5"/>
    <w:rsid w:val="00FE6DB8"/>
    <w:rsid w:val="00FE7F89"/>
    <w:rsid w:val="00FF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0D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BD"/>
    <w:pPr>
      <w:spacing w:after="0" w:line="480" w:lineRule="auto"/>
      <w:jc w:val="both"/>
    </w:pPr>
    <w:rPr>
      <w:rFonts w:ascii="Times New Roman" w:eastAsia="Times New Roman" w:hAnsi="Times New Roman" w:cs="Times New Roman"/>
      <w:sz w:val="24"/>
      <w:lang w:eastAsia="ja-JP"/>
    </w:rPr>
  </w:style>
  <w:style w:type="paragraph" w:styleId="Heading1">
    <w:name w:val="heading 1"/>
    <w:basedOn w:val="Normal"/>
    <w:link w:val="Heading1Char"/>
    <w:uiPriority w:val="9"/>
    <w:qFormat/>
    <w:rsid w:val="003010BD"/>
    <w:pPr>
      <w:spacing w:before="100" w:beforeAutospacing="1" w:after="100" w:afterAutospacing="1" w:line="240" w:lineRule="auto"/>
      <w:jc w:val="left"/>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AA347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3010BD"/>
    <w:pPr>
      <w:spacing w:before="100" w:beforeAutospacing="1" w:after="100" w:afterAutospacing="1" w:line="240" w:lineRule="auto"/>
      <w:jc w:val="left"/>
      <w:outlineLvl w:val="2"/>
    </w:pPr>
    <w:rPr>
      <w:b/>
      <w:bCs/>
      <w:sz w:val="27"/>
      <w:szCs w:val="27"/>
      <w:lang w:eastAsia="en-GB"/>
    </w:rPr>
  </w:style>
  <w:style w:type="paragraph" w:styleId="Heading4">
    <w:name w:val="heading 4"/>
    <w:basedOn w:val="Normal"/>
    <w:next w:val="Normal"/>
    <w:link w:val="Heading4Char"/>
    <w:uiPriority w:val="9"/>
    <w:semiHidden/>
    <w:unhideWhenUsed/>
    <w:qFormat/>
    <w:rsid w:val="00AA347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3473"/>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3473"/>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34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3473"/>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34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A347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010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A34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34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34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34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34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34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34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34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34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3473"/>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AA347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3473"/>
    <w:rPr>
      <w:b/>
      <w:bCs/>
    </w:rPr>
  </w:style>
  <w:style w:type="character" w:styleId="Emphasis">
    <w:name w:val="Emphasis"/>
    <w:basedOn w:val="DefaultParagraphFont"/>
    <w:uiPriority w:val="20"/>
    <w:qFormat/>
    <w:rsid w:val="00AA3473"/>
    <w:rPr>
      <w:i/>
      <w:iCs/>
    </w:rPr>
  </w:style>
  <w:style w:type="paragraph" w:styleId="NoSpacing">
    <w:name w:val="No Spacing"/>
    <w:uiPriority w:val="1"/>
    <w:qFormat/>
    <w:rsid w:val="00AA3473"/>
    <w:pPr>
      <w:spacing w:after="0" w:line="240" w:lineRule="auto"/>
    </w:pPr>
  </w:style>
  <w:style w:type="paragraph" w:styleId="ListParagraph">
    <w:name w:val="List Paragraph"/>
    <w:basedOn w:val="Normal"/>
    <w:uiPriority w:val="34"/>
    <w:qFormat/>
    <w:rsid w:val="003010BD"/>
    <w:pPr>
      <w:spacing w:after="200" w:line="276" w:lineRule="auto"/>
      <w:ind w:left="720"/>
      <w:contextualSpacing/>
      <w:jc w:val="left"/>
    </w:pPr>
    <w:rPr>
      <w:rFonts w:ascii="Calibri" w:eastAsia="Calibri" w:hAnsi="Calibri"/>
      <w:sz w:val="22"/>
      <w:lang w:val="it-IT" w:eastAsia="en-US"/>
    </w:rPr>
  </w:style>
  <w:style w:type="paragraph" w:styleId="Quote">
    <w:name w:val="Quote"/>
    <w:basedOn w:val="Normal"/>
    <w:next w:val="Normal"/>
    <w:link w:val="QuoteChar"/>
    <w:uiPriority w:val="29"/>
    <w:qFormat/>
    <w:rsid w:val="00AA3473"/>
    <w:rPr>
      <w:i/>
      <w:iCs/>
      <w:color w:val="000000" w:themeColor="text1"/>
    </w:rPr>
  </w:style>
  <w:style w:type="character" w:customStyle="1" w:styleId="QuoteChar">
    <w:name w:val="Quote Char"/>
    <w:basedOn w:val="DefaultParagraphFont"/>
    <w:link w:val="Quote"/>
    <w:uiPriority w:val="29"/>
    <w:rsid w:val="00AA3473"/>
    <w:rPr>
      <w:i/>
      <w:iCs/>
      <w:color w:val="000000" w:themeColor="text1"/>
    </w:rPr>
  </w:style>
  <w:style w:type="paragraph" w:styleId="IntenseQuote">
    <w:name w:val="Intense Quote"/>
    <w:basedOn w:val="Normal"/>
    <w:next w:val="Normal"/>
    <w:link w:val="IntenseQuoteChar"/>
    <w:uiPriority w:val="30"/>
    <w:qFormat/>
    <w:rsid w:val="00AA34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3473"/>
    <w:rPr>
      <w:b/>
      <w:bCs/>
      <w:i/>
      <w:iCs/>
      <w:color w:val="4472C4" w:themeColor="accent1"/>
    </w:rPr>
  </w:style>
  <w:style w:type="character" w:styleId="SubtleEmphasis">
    <w:name w:val="Subtle Emphasis"/>
    <w:basedOn w:val="DefaultParagraphFont"/>
    <w:uiPriority w:val="19"/>
    <w:qFormat/>
    <w:rsid w:val="00AA3473"/>
    <w:rPr>
      <w:i/>
      <w:iCs/>
      <w:color w:val="808080" w:themeColor="text1" w:themeTint="7F"/>
    </w:rPr>
  </w:style>
  <w:style w:type="character" w:styleId="IntenseEmphasis">
    <w:name w:val="Intense Emphasis"/>
    <w:basedOn w:val="DefaultParagraphFont"/>
    <w:uiPriority w:val="21"/>
    <w:qFormat/>
    <w:rsid w:val="00AA3473"/>
    <w:rPr>
      <w:b/>
      <w:bCs/>
      <w:i/>
      <w:iCs/>
      <w:color w:val="4472C4" w:themeColor="accent1"/>
    </w:rPr>
  </w:style>
  <w:style w:type="character" w:styleId="SubtleReference">
    <w:name w:val="Subtle Reference"/>
    <w:basedOn w:val="DefaultParagraphFont"/>
    <w:uiPriority w:val="31"/>
    <w:qFormat/>
    <w:rsid w:val="00AA3473"/>
    <w:rPr>
      <w:smallCaps/>
      <w:color w:val="ED7D31" w:themeColor="accent2"/>
      <w:u w:val="single"/>
    </w:rPr>
  </w:style>
  <w:style w:type="character" w:styleId="IntenseReference">
    <w:name w:val="Intense Reference"/>
    <w:basedOn w:val="DefaultParagraphFont"/>
    <w:uiPriority w:val="32"/>
    <w:qFormat/>
    <w:rsid w:val="00AA3473"/>
    <w:rPr>
      <w:b/>
      <w:bCs/>
      <w:smallCaps/>
      <w:color w:val="ED7D31" w:themeColor="accent2"/>
      <w:spacing w:val="5"/>
      <w:u w:val="single"/>
    </w:rPr>
  </w:style>
  <w:style w:type="character" w:styleId="BookTitle">
    <w:name w:val="Book Title"/>
    <w:basedOn w:val="DefaultParagraphFont"/>
    <w:uiPriority w:val="33"/>
    <w:qFormat/>
    <w:rsid w:val="00AA3473"/>
    <w:rPr>
      <w:b/>
      <w:bCs/>
      <w:smallCaps/>
      <w:spacing w:val="5"/>
    </w:rPr>
  </w:style>
  <w:style w:type="paragraph" w:styleId="TOCHeading">
    <w:name w:val="TOC Heading"/>
    <w:basedOn w:val="Heading1"/>
    <w:next w:val="Normal"/>
    <w:uiPriority w:val="39"/>
    <w:semiHidden/>
    <w:unhideWhenUsed/>
    <w:qFormat/>
    <w:rsid w:val="00AA3473"/>
    <w:pPr>
      <w:outlineLvl w:val="9"/>
    </w:pPr>
  </w:style>
  <w:style w:type="character" w:styleId="Hyperlink">
    <w:name w:val="Hyperlink"/>
    <w:uiPriority w:val="99"/>
    <w:unhideWhenUsed/>
    <w:rsid w:val="003010BD"/>
    <w:rPr>
      <w:color w:val="0000FF"/>
      <w:u w:val="single"/>
    </w:rPr>
  </w:style>
  <w:style w:type="paragraph" w:customStyle="1" w:styleId="EndNoteBibliographyTitle">
    <w:name w:val="EndNote Bibliography Title"/>
    <w:basedOn w:val="Normal"/>
    <w:rsid w:val="003010BD"/>
    <w:pPr>
      <w:jc w:val="center"/>
    </w:pPr>
  </w:style>
  <w:style w:type="paragraph" w:customStyle="1" w:styleId="EndNoteBibliography">
    <w:name w:val="EndNote Bibliography"/>
    <w:basedOn w:val="Normal"/>
    <w:rsid w:val="003010BD"/>
  </w:style>
  <w:style w:type="paragraph" w:styleId="Header">
    <w:name w:val="header"/>
    <w:basedOn w:val="Normal"/>
    <w:link w:val="HeaderChar"/>
    <w:unhideWhenUsed/>
    <w:rsid w:val="003010BD"/>
    <w:pPr>
      <w:tabs>
        <w:tab w:val="center" w:pos="4513"/>
        <w:tab w:val="right" w:pos="9026"/>
      </w:tabs>
      <w:spacing w:line="240" w:lineRule="auto"/>
    </w:pPr>
  </w:style>
  <w:style w:type="character" w:customStyle="1" w:styleId="HeaderChar">
    <w:name w:val="Header Char"/>
    <w:basedOn w:val="DefaultParagraphFont"/>
    <w:link w:val="Header"/>
    <w:rsid w:val="003010BD"/>
    <w:rPr>
      <w:rFonts w:ascii="Times New Roman" w:eastAsia="Times New Roman" w:hAnsi="Times New Roman" w:cs="Times New Roman"/>
      <w:sz w:val="24"/>
      <w:lang w:eastAsia="ja-JP"/>
    </w:rPr>
  </w:style>
  <w:style w:type="paragraph" w:styleId="Footer">
    <w:name w:val="footer"/>
    <w:basedOn w:val="Normal"/>
    <w:link w:val="FooterChar"/>
    <w:uiPriority w:val="99"/>
    <w:unhideWhenUsed/>
    <w:rsid w:val="003010BD"/>
    <w:pPr>
      <w:tabs>
        <w:tab w:val="center" w:pos="4513"/>
        <w:tab w:val="right" w:pos="9026"/>
      </w:tabs>
      <w:spacing w:line="240" w:lineRule="auto"/>
    </w:pPr>
  </w:style>
  <w:style w:type="character" w:customStyle="1" w:styleId="FooterChar">
    <w:name w:val="Footer Char"/>
    <w:basedOn w:val="DefaultParagraphFont"/>
    <w:link w:val="Footer"/>
    <w:uiPriority w:val="99"/>
    <w:rsid w:val="003010BD"/>
    <w:rPr>
      <w:rFonts w:ascii="Times New Roman" w:eastAsia="Times New Roman" w:hAnsi="Times New Roman" w:cs="Times New Roman"/>
      <w:sz w:val="24"/>
      <w:lang w:eastAsia="ja-JP"/>
    </w:rPr>
  </w:style>
  <w:style w:type="character" w:styleId="PageNumber">
    <w:name w:val="page number"/>
    <w:basedOn w:val="DefaultParagraphFont"/>
    <w:uiPriority w:val="99"/>
    <w:semiHidden/>
    <w:unhideWhenUsed/>
    <w:rsid w:val="003010BD"/>
  </w:style>
  <w:style w:type="character" w:styleId="PlaceholderText">
    <w:name w:val="Placeholder Text"/>
    <w:basedOn w:val="DefaultParagraphFont"/>
    <w:uiPriority w:val="99"/>
    <w:semiHidden/>
    <w:rsid w:val="003010BD"/>
    <w:rPr>
      <w:color w:val="808080"/>
    </w:rPr>
  </w:style>
  <w:style w:type="paragraph" w:customStyle="1" w:styleId="Default">
    <w:name w:val="Default"/>
    <w:uiPriority w:val="99"/>
    <w:rsid w:val="003010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alloonText">
    <w:name w:val="Balloon Text"/>
    <w:basedOn w:val="Normal"/>
    <w:link w:val="BalloonTextChar"/>
    <w:uiPriority w:val="99"/>
    <w:semiHidden/>
    <w:unhideWhenUsed/>
    <w:rsid w:val="00301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D"/>
    <w:rPr>
      <w:rFonts w:ascii="Tahoma" w:eastAsia="Times New Roman" w:hAnsi="Tahoma" w:cs="Tahoma"/>
      <w:sz w:val="16"/>
      <w:szCs w:val="16"/>
      <w:lang w:eastAsia="ja-JP"/>
    </w:rPr>
  </w:style>
  <w:style w:type="paragraph" w:styleId="BodyText">
    <w:name w:val="Body Text"/>
    <w:basedOn w:val="Normal"/>
    <w:link w:val="BodyTextChar"/>
    <w:unhideWhenUsed/>
    <w:rsid w:val="003010BD"/>
    <w:pPr>
      <w:spacing w:line="360" w:lineRule="auto"/>
      <w:jc w:val="left"/>
    </w:pPr>
    <w:rPr>
      <w:sz w:val="20"/>
      <w:szCs w:val="20"/>
      <w:lang w:val="en-US" w:eastAsia="en-GB"/>
    </w:rPr>
  </w:style>
  <w:style w:type="character" w:customStyle="1" w:styleId="BodyTextChar">
    <w:name w:val="Body Text Char"/>
    <w:basedOn w:val="DefaultParagraphFont"/>
    <w:link w:val="BodyText"/>
    <w:rsid w:val="003010BD"/>
    <w:rPr>
      <w:rFonts w:ascii="Times New Roman" w:eastAsia="Times New Roman" w:hAnsi="Times New Roman" w:cs="Times New Roman"/>
      <w:sz w:val="20"/>
      <w:szCs w:val="20"/>
      <w:lang w:val="en-US" w:eastAsia="en-GB"/>
    </w:rPr>
  </w:style>
  <w:style w:type="paragraph" w:styleId="BodyText2">
    <w:name w:val="Body Text 2"/>
    <w:basedOn w:val="Normal"/>
    <w:link w:val="BodyText2Char"/>
    <w:uiPriority w:val="99"/>
    <w:semiHidden/>
    <w:unhideWhenUsed/>
    <w:rsid w:val="003010BD"/>
    <w:pPr>
      <w:spacing w:after="120"/>
    </w:pPr>
  </w:style>
  <w:style w:type="character" w:customStyle="1" w:styleId="BodyText2Char">
    <w:name w:val="Body Text 2 Char"/>
    <w:basedOn w:val="DefaultParagraphFont"/>
    <w:link w:val="BodyText2"/>
    <w:uiPriority w:val="99"/>
    <w:semiHidden/>
    <w:rsid w:val="003010BD"/>
    <w:rPr>
      <w:rFonts w:ascii="Times New Roman" w:eastAsia="Times New Roman" w:hAnsi="Times New Roman" w:cs="Times New Roman"/>
      <w:sz w:val="24"/>
      <w:lang w:eastAsia="ja-JP"/>
    </w:rPr>
  </w:style>
  <w:style w:type="character" w:customStyle="1" w:styleId="apple-converted-space">
    <w:name w:val="apple-converted-space"/>
    <w:basedOn w:val="DefaultParagraphFont"/>
    <w:rsid w:val="003010BD"/>
  </w:style>
  <w:style w:type="character" w:customStyle="1" w:styleId="ui-ncbitoggler-master-text">
    <w:name w:val="ui-ncbitoggler-master-text"/>
    <w:basedOn w:val="DefaultParagraphFont"/>
    <w:rsid w:val="003010BD"/>
  </w:style>
  <w:style w:type="paragraph" w:styleId="NormalWeb">
    <w:name w:val="Normal (Web)"/>
    <w:basedOn w:val="Normal"/>
    <w:uiPriority w:val="99"/>
    <w:semiHidden/>
    <w:unhideWhenUsed/>
    <w:rsid w:val="003010BD"/>
    <w:pPr>
      <w:spacing w:before="100" w:beforeAutospacing="1" w:after="100" w:afterAutospacing="1" w:line="240" w:lineRule="auto"/>
      <w:jc w:val="left"/>
    </w:pPr>
    <w:rPr>
      <w:szCs w:val="24"/>
      <w:lang w:eastAsia="en-GB"/>
    </w:rPr>
  </w:style>
  <w:style w:type="paragraph" w:customStyle="1" w:styleId="NormalCenturyGothic">
    <w:name w:val="Normal + Century Gothic"/>
    <w:aliases w:val="11 pt,Bold,Small caps,Small caps + 9 pt,No underline"/>
    <w:basedOn w:val="Normal"/>
    <w:rsid w:val="003010BD"/>
    <w:pPr>
      <w:spacing w:line="240" w:lineRule="auto"/>
      <w:ind w:right="26"/>
      <w:jc w:val="center"/>
    </w:pPr>
    <w:rPr>
      <w:rFonts w:ascii="Century Gothic" w:hAnsi="Century Gothic"/>
      <w:b/>
      <w:sz w:val="22"/>
      <w:u w:val="single"/>
      <w:lang w:eastAsia="en-GB"/>
    </w:rPr>
  </w:style>
  <w:style w:type="table" w:styleId="TableGrid">
    <w:name w:val="Table Grid"/>
    <w:basedOn w:val="TableNormal"/>
    <w:uiPriority w:val="39"/>
    <w:rsid w:val="003010B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BD"/>
    <w:pPr>
      <w:spacing w:after="0" w:line="480" w:lineRule="auto"/>
      <w:jc w:val="both"/>
    </w:pPr>
    <w:rPr>
      <w:rFonts w:ascii="Times New Roman" w:eastAsia="Times New Roman" w:hAnsi="Times New Roman" w:cs="Times New Roman"/>
      <w:sz w:val="24"/>
      <w:lang w:eastAsia="ja-JP"/>
    </w:rPr>
  </w:style>
  <w:style w:type="paragraph" w:styleId="Heading1">
    <w:name w:val="heading 1"/>
    <w:basedOn w:val="Normal"/>
    <w:link w:val="Heading1Char"/>
    <w:uiPriority w:val="9"/>
    <w:qFormat/>
    <w:rsid w:val="003010BD"/>
    <w:pPr>
      <w:spacing w:before="100" w:beforeAutospacing="1" w:after="100" w:afterAutospacing="1" w:line="240" w:lineRule="auto"/>
      <w:jc w:val="left"/>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AA347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3010BD"/>
    <w:pPr>
      <w:spacing w:before="100" w:beforeAutospacing="1" w:after="100" w:afterAutospacing="1" w:line="240" w:lineRule="auto"/>
      <w:jc w:val="left"/>
      <w:outlineLvl w:val="2"/>
    </w:pPr>
    <w:rPr>
      <w:b/>
      <w:bCs/>
      <w:sz w:val="27"/>
      <w:szCs w:val="27"/>
      <w:lang w:eastAsia="en-GB"/>
    </w:rPr>
  </w:style>
  <w:style w:type="paragraph" w:styleId="Heading4">
    <w:name w:val="heading 4"/>
    <w:basedOn w:val="Normal"/>
    <w:next w:val="Normal"/>
    <w:link w:val="Heading4Char"/>
    <w:uiPriority w:val="9"/>
    <w:semiHidden/>
    <w:unhideWhenUsed/>
    <w:qFormat/>
    <w:rsid w:val="00AA347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A3473"/>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A3473"/>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A34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3473"/>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A347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0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A347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010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AA34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A34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A34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A34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34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A34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34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AA34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34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A3473"/>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AA3473"/>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A3473"/>
    <w:rPr>
      <w:b/>
      <w:bCs/>
    </w:rPr>
  </w:style>
  <w:style w:type="character" w:styleId="Emphasis">
    <w:name w:val="Emphasis"/>
    <w:basedOn w:val="DefaultParagraphFont"/>
    <w:uiPriority w:val="20"/>
    <w:qFormat/>
    <w:rsid w:val="00AA3473"/>
    <w:rPr>
      <w:i/>
      <w:iCs/>
    </w:rPr>
  </w:style>
  <w:style w:type="paragraph" w:styleId="NoSpacing">
    <w:name w:val="No Spacing"/>
    <w:uiPriority w:val="1"/>
    <w:qFormat/>
    <w:rsid w:val="00AA3473"/>
    <w:pPr>
      <w:spacing w:after="0" w:line="240" w:lineRule="auto"/>
    </w:pPr>
  </w:style>
  <w:style w:type="paragraph" w:styleId="ListParagraph">
    <w:name w:val="List Paragraph"/>
    <w:basedOn w:val="Normal"/>
    <w:uiPriority w:val="34"/>
    <w:qFormat/>
    <w:rsid w:val="003010BD"/>
    <w:pPr>
      <w:spacing w:after="200" w:line="276" w:lineRule="auto"/>
      <w:ind w:left="720"/>
      <w:contextualSpacing/>
      <w:jc w:val="left"/>
    </w:pPr>
    <w:rPr>
      <w:rFonts w:ascii="Calibri" w:eastAsia="Calibri" w:hAnsi="Calibri"/>
      <w:sz w:val="22"/>
      <w:lang w:val="it-IT" w:eastAsia="en-US"/>
    </w:rPr>
  </w:style>
  <w:style w:type="paragraph" w:styleId="Quote">
    <w:name w:val="Quote"/>
    <w:basedOn w:val="Normal"/>
    <w:next w:val="Normal"/>
    <w:link w:val="QuoteChar"/>
    <w:uiPriority w:val="29"/>
    <w:qFormat/>
    <w:rsid w:val="00AA3473"/>
    <w:rPr>
      <w:i/>
      <w:iCs/>
      <w:color w:val="000000" w:themeColor="text1"/>
    </w:rPr>
  </w:style>
  <w:style w:type="character" w:customStyle="1" w:styleId="QuoteChar">
    <w:name w:val="Quote Char"/>
    <w:basedOn w:val="DefaultParagraphFont"/>
    <w:link w:val="Quote"/>
    <w:uiPriority w:val="29"/>
    <w:rsid w:val="00AA3473"/>
    <w:rPr>
      <w:i/>
      <w:iCs/>
      <w:color w:val="000000" w:themeColor="text1"/>
    </w:rPr>
  </w:style>
  <w:style w:type="paragraph" w:styleId="IntenseQuote">
    <w:name w:val="Intense Quote"/>
    <w:basedOn w:val="Normal"/>
    <w:next w:val="Normal"/>
    <w:link w:val="IntenseQuoteChar"/>
    <w:uiPriority w:val="30"/>
    <w:qFormat/>
    <w:rsid w:val="00AA34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3473"/>
    <w:rPr>
      <w:b/>
      <w:bCs/>
      <w:i/>
      <w:iCs/>
      <w:color w:val="4472C4" w:themeColor="accent1"/>
    </w:rPr>
  </w:style>
  <w:style w:type="character" w:styleId="SubtleEmphasis">
    <w:name w:val="Subtle Emphasis"/>
    <w:basedOn w:val="DefaultParagraphFont"/>
    <w:uiPriority w:val="19"/>
    <w:qFormat/>
    <w:rsid w:val="00AA3473"/>
    <w:rPr>
      <w:i/>
      <w:iCs/>
      <w:color w:val="808080" w:themeColor="text1" w:themeTint="7F"/>
    </w:rPr>
  </w:style>
  <w:style w:type="character" w:styleId="IntenseEmphasis">
    <w:name w:val="Intense Emphasis"/>
    <w:basedOn w:val="DefaultParagraphFont"/>
    <w:uiPriority w:val="21"/>
    <w:qFormat/>
    <w:rsid w:val="00AA3473"/>
    <w:rPr>
      <w:b/>
      <w:bCs/>
      <w:i/>
      <w:iCs/>
      <w:color w:val="4472C4" w:themeColor="accent1"/>
    </w:rPr>
  </w:style>
  <w:style w:type="character" w:styleId="SubtleReference">
    <w:name w:val="Subtle Reference"/>
    <w:basedOn w:val="DefaultParagraphFont"/>
    <w:uiPriority w:val="31"/>
    <w:qFormat/>
    <w:rsid w:val="00AA3473"/>
    <w:rPr>
      <w:smallCaps/>
      <w:color w:val="ED7D31" w:themeColor="accent2"/>
      <w:u w:val="single"/>
    </w:rPr>
  </w:style>
  <w:style w:type="character" w:styleId="IntenseReference">
    <w:name w:val="Intense Reference"/>
    <w:basedOn w:val="DefaultParagraphFont"/>
    <w:uiPriority w:val="32"/>
    <w:qFormat/>
    <w:rsid w:val="00AA3473"/>
    <w:rPr>
      <w:b/>
      <w:bCs/>
      <w:smallCaps/>
      <w:color w:val="ED7D31" w:themeColor="accent2"/>
      <w:spacing w:val="5"/>
      <w:u w:val="single"/>
    </w:rPr>
  </w:style>
  <w:style w:type="character" w:styleId="BookTitle">
    <w:name w:val="Book Title"/>
    <w:basedOn w:val="DefaultParagraphFont"/>
    <w:uiPriority w:val="33"/>
    <w:qFormat/>
    <w:rsid w:val="00AA3473"/>
    <w:rPr>
      <w:b/>
      <w:bCs/>
      <w:smallCaps/>
      <w:spacing w:val="5"/>
    </w:rPr>
  </w:style>
  <w:style w:type="paragraph" w:styleId="TOCHeading">
    <w:name w:val="TOC Heading"/>
    <w:basedOn w:val="Heading1"/>
    <w:next w:val="Normal"/>
    <w:uiPriority w:val="39"/>
    <w:semiHidden/>
    <w:unhideWhenUsed/>
    <w:qFormat/>
    <w:rsid w:val="00AA3473"/>
    <w:pPr>
      <w:outlineLvl w:val="9"/>
    </w:pPr>
  </w:style>
  <w:style w:type="character" w:styleId="Hyperlink">
    <w:name w:val="Hyperlink"/>
    <w:uiPriority w:val="99"/>
    <w:unhideWhenUsed/>
    <w:rsid w:val="003010BD"/>
    <w:rPr>
      <w:color w:val="0000FF"/>
      <w:u w:val="single"/>
    </w:rPr>
  </w:style>
  <w:style w:type="paragraph" w:customStyle="1" w:styleId="EndNoteBibliographyTitle">
    <w:name w:val="EndNote Bibliography Title"/>
    <w:basedOn w:val="Normal"/>
    <w:rsid w:val="003010BD"/>
    <w:pPr>
      <w:jc w:val="center"/>
    </w:pPr>
  </w:style>
  <w:style w:type="paragraph" w:customStyle="1" w:styleId="EndNoteBibliography">
    <w:name w:val="EndNote Bibliography"/>
    <w:basedOn w:val="Normal"/>
    <w:rsid w:val="003010BD"/>
  </w:style>
  <w:style w:type="paragraph" w:styleId="Header">
    <w:name w:val="header"/>
    <w:basedOn w:val="Normal"/>
    <w:link w:val="HeaderChar"/>
    <w:unhideWhenUsed/>
    <w:rsid w:val="003010BD"/>
    <w:pPr>
      <w:tabs>
        <w:tab w:val="center" w:pos="4513"/>
        <w:tab w:val="right" w:pos="9026"/>
      </w:tabs>
      <w:spacing w:line="240" w:lineRule="auto"/>
    </w:pPr>
  </w:style>
  <w:style w:type="character" w:customStyle="1" w:styleId="HeaderChar">
    <w:name w:val="Header Char"/>
    <w:basedOn w:val="DefaultParagraphFont"/>
    <w:link w:val="Header"/>
    <w:rsid w:val="003010BD"/>
    <w:rPr>
      <w:rFonts w:ascii="Times New Roman" w:eastAsia="Times New Roman" w:hAnsi="Times New Roman" w:cs="Times New Roman"/>
      <w:sz w:val="24"/>
      <w:lang w:eastAsia="ja-JP"/>
    </w:rPr>
  </w:style>
  <w:style w:type="paragraph" w:styleId="Footer">
    <w:name w:val="footer"/>
    <w:basedOn w:val="Normal"/>
    <w:link w:val="FooterChar"/>
    <w:uiPriority w:val="99"/>
    <w:unhideWhenUsed/>
    <w:rsid w:val="003010BD"/>
    <w:pPr>
      <w:tabs>
        <w:tab w:val="center" w:pos="4513"/>
        <w:tab w:val="right" w:pos="9026"/>
      </w:tabs>
      <w:spacing w:line="240" w:lineRule="auto"/>
    </w:pPr>
  </w:style>
  <w:style w:type="character" w:customStyle="1" w:styleId="FooterChar">
    <w:name w:val="Footer Char"/>
    <w:basedOn w:val="DefaultParagraphFont"/>
    <w:link w:val="Footer"/>
    <w:uiPriority w:val="99"/>
    <w:rsid w:val="003010BD"/>
    <w:rPr>
      <w:rFonts w:ascii="Times New Roman" w:eastAsia="Times New Roman" w:hAnsi="Times New Roman" w:cs="Times New Roman"/>
      <w:sz w:val="24"/>
      <w:lang w:eastAsia="ja-JP"/>
    </w:rPr>
  </w:style>
  <w:style w:type="character" w:styleId="PageNumber">
    <w:name w:val="page number"/>
    <w:basedOn w:val="DefaultParagraphFont"/>
    <w:uiPriority w:val="99"/>
    <w:semiHidden/>
    <w:unhideWhenUsed/>
    <w:rsid w:val="003010BD"/>
  </w:style>
  <w:style w:type="character" w:styleId="PlaceholderText">
    <w:name w:val="Placeholder Text"/>
    <w:basedOn w:val="DefaultParagraphFont"/>
    <w:uiPriority w:val="99"/>
    <w:semiHidden/>
    <w:rsid w:val="003010BD"/>
    <w:rPr>
      <w:color w:val="808080"/>
    </w:rPr>
  </w:style>
  <w:style w:type="paragraph" w:customStyle="1" w:styleId="Default">
    <w:name w:val="Default"/>
    <w:uiPriority w:val="99"/>
    <w:rsid w:val="003010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alloonText">
    <w:name w:val="Balloon Text"/>
    <w:basedOn w:val="Normal"/>
    <w:link w:val="BalloonTextChar"/>
    <w:uiPriority w:val="99"/>
    <w:semiHidden/>
    <w:unhideWhenUsed/>
    <w:rsid w:val="003010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D"/>
    <w:rPr>
      <w:rFonts w:ascii="Tahoma" w:eastAsia="Times New Roman" w:hAnsi="Tahoma" w:cs="Tahoma"/>
      <w:sz w:val="16"/>
      <w:szCs w:val="16"/>
      <w:lang w:eastAsia="ja-JP"/>
    </w:rPr>
  </w:style>
  <w:style w:type="paragraph" w:styleId="BodyText">
    <w:name w:val="Body Text"/>
    <w:basedOn w:val="Normal"/>
    <w:link w:val="BodyTextChar"/>
    <w:unhideWhenUsed/>
    <w:rsid w:val="003010BD"/>
    <w:pPr>
      <w:spacing w:line="360" w:lineRule="auto"/>
      <w:jc w:val="left"/>
    </w:pPr>
    <w:rPr>
      <w:sz w:val="20"/>
      <w:szCs w:val="20"/>
      <w:lang w:val="en-US" w:eastAsia="en-GB"/>
    </w:rPr>
  </w:style>
  <w:style w:type="character" w:customStyle="1" w:styleId="BodyTextChar">
    <w:name w:val="Body Text Char"/>
    <w:basedOn w:val="DefaultParagraphFont"/>
    <w:link w:val="BodyText"/>
    <w:rsid w:val="003010BD"/>
    <w:rPr>
      <w:rFonts w:ascii="Times New Roman" w:eastAsia="Times New Roman" w:hAnsi="Times New Roman" w:cs="Times New Roman"/>
      <w:sz w:val="20"/>
      <w:szCs w:val="20"/>
      <w:lang w:val="en-US" w:eastAsia="en-GB"/>
    </w:rPr>
  </w:style>
  <w:style w:type="paragraph" w:styleId="BodyText2">
    <w:name w:val="Body Text 2"/>
    <w:basedOn w:val="Normal"/>
    <w:link w:val="BodyText2Char"/>
    <w:uiPriority w:val="99"/>
    <w:semiHidden/>
    <w:unhideWhenUsed/>
    <w:rsid w:val="003010BD"/>
    <w:pPr>
      <w:spacing w:after="120"/>
    </w:pPr>
  </w:style>
  <w:style w:type="character" w:customStyle="1" w:styleId="BodyText2Char">
    <w:name w:val="Body Text 2 Char"/>
    <w:basedOn w:val="DefaultParagraphFont"/>
    <w:link w:val="BodyText2"/>
    <w:uiPriority w:val="99"/>
    <w:semiHidden/>
    <w:rsid w:val="003010BD"/>
    <w:rPr>
      <w:rFonts w:ascii="Times New Roman" w:eastAsia="Times New Roman" w:hAnsi="Times New Roman" w:cs="Times New Roman"/>
      <w:sz w:val="24"/>
      <w:lang w:eastAsia="ja-JP"/>
    </w:rPr>
  </w:style>
  <w:style w:type="character" w:customStyle="1" w:styleId="apple-converted-space">
    <w:name w:val="apple-converted-space"/>
    <w:basedOn w:val="DefaultParagraphFont"/>
    <w:rsid w:val="003010BD"/>
  </w:style>
  <w:style w:type="character" w:customStyle="1" w:styleId="ui-ncbitoggler-master-text">
    <w:name w:val="ui-ncbitoggler-master-text"/>
    <w:basedOn w:val="DefaultParagraphFont"/>
    <w:rsid w:val="003010BD"/>
  </w:style>
  <w:style w:type="paragraph" w:styleId="NormalWeb">
    <w:name w:val="Normal (Web)"/>
    <w:basedOn w:val="Normal"/>
    <w:uiPriority w:val="99"/>
    <w:semiHidden/>
    <w:unhideWhenUsed/>
    <w:rsid w:val="003010BD"/>
    <w:pPr>
      <w:spacing w:before="100" w:beforeAutospacing="1" w:after="100" w:afterAutospacing="1" w:line="240" w:lineRule="auto"/>
      <w:jc w:val="left"/>
    </w:pPr>
    <w:rPr>
      <w:szCs w:val="24"/>
      <w:lang w:eastAsia="en-GB"/>
    </w:rPr>
  </w:style>
  <w:style w:type="paragraph" w:customStyle="1" w:styleId="NormalCenturyGothic">
    <w:name w:val="Normal + Century Gothic"/>
    <w:aliases w:val="11 pt,Bold,Small caps,Small caps + 9 pt,No underline"/>
    <w:basedOn w:val="Normal"/>
    <w:rsid w:val="003010BD"/>
    <w:pPr>
      <w:spacing w:line="240" w:lineRule="auto"/>
      <w:ind w:right="26"/>
      <w:jc w:val="center"/>
    </w:pPr>
    <w:rPr>
      <w:rFonts w:ascii="Century Gothic" w:hAnsi="Century Gothic"/>
      <w:b/>
      <w:sz w:val="22"/>
      <w:u w:val="single"/>
      <w:lang w:eastAsia="en-GB"/>
    </w:rPr>
  </w:style>
  <w:style w:type="table" w:styleId="TableGrid">
    <w:name w:val="Table Grid"/>
    <w:basedOn w:val="TableNormal"/>
    <w:uiPriority w:val="39"/>
    <w:rsid w:val="003010B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ikcevic@kings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B2BF-9392-4C39-9931-0E899F49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7176</Words>
  <Characters>40907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Fernie, Bruce</dc:creator>
  <cp:lastModifiedBy>Marcantonio Spada</cp:lastModifiedBy>
  <cp:revision>2</cp:revision>
  <dcterms:created xsi:type="dcterms:W3CDTF">2017-10-11T13:39:00Z</dcterms:created>
  <dcterms:modified xsi:type="dcterms:W3CDTF">2017-10-11T13:39:00Z</dcterms:modified>
</cp:coreProperties>
</file>