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12FB" w14:textId="0F1CE009" w:rsidR="00607A0D" w:rsidRDefault="00607A0D" w:rsidP="00607A0D">
      <w:pPr>
        <w:rPr>
          <w:rFonts w:ascii="Calibri" w:eastAsia="Calibri" w:hAnsi="Calibri" w:cs="Times New Roman"/>
          <w:b/>
          <w:sz w:val="28"/>
          <w:szCs w:val="28"/>
        </w:rPr>
      </w:pPr>
      <w:r w:rsidRPr="00FF106D">
        <w:rPr>
          <w:rFonts w:ascii="Calibri" w:eastAsia="Calibri" w:hAnsi="Calibri" w:cs="Times New Roman"/>
          <w:b/>
          <w:sz w:val="28"/>
          <w:szCs w:val="28"/>
        </w:rPr>
        <w:t xml:space="preserve">Infrastructure </w:t>
      </w:r>
      <w:r>
        <w:rPr>
          <w:rFonts w:ascii="Calibri" w:eastAsia="Calibri" w:hAnsi="Calibri" w:cs="Times New Roman"/>
          <w:b/>
          <w:sz w:val="28"/>
          <w:szCs w:val="28"/>
        </w:rPr>
        <w:t xml:space="preserve">Development in the UK: Key </w:t>
      </w:r>
      <w:r w:rsidRPr="00FF106D">
        <w:rPr>
          <w:rFonts w:ascii="Calibri" w:eastAsia="Calibri" w:hAnsi="Calibri" w:cs="Times New Roman"/>
          <w:b/>
          <w:sz w:val="28"/>
          <w:szCs w:val="28"/>
        </w:rPr>
        <w:t xml:space="preserve">Drivers </w:t>
      </w:r>
      <w:r>
        <w:rPr>
          <w:rFonts w:ascii="Calibri" w:eastAsia="Calibri" w:hAnsi="Calibri" w:cs="Times New Roman"/>
          <w:b/>
          <w:sz w:val="28"/>
          <w:szCs w:val="28"/>
        </w:rPr>
        <w:t>and Implementation Challenges</w:t>
      </w:r>
      <w:r w:rsidR="000D099F">
        <w:rPr>
          <w:rFonts w:ascii="Calibri" w:eastAsia="Calibri" w:hAnsi="Calibri" w:cs="Times New Roman"/>
          <w:b/>
          <w:sz w:val="28"/>
          <w:szCs w:val="28"/>
        </w:rPr>
        <w:t>.</w:t>
      </w:r>
    </w:p>
    <w:p w14:paraId="0A13882F" w14:textId="09D4CE47" w:rsidR="003B359C" w:rsidRDefault="00F71764" w:rsidP="003B359C">
      <w:pPr>
        <w:shd w:val="clear" w:color="auto" w:fill="FFFFFF"/>
        <w:rPr>
          <w:rFonts w:ascii="Times New Roman" w:eastAsia="Times New Roman" w:hAnsi="Times New Roman" w:cs="Times New Roman"/>
          <w:sz w:val="25"/>
          <w:szCs w:val="25"/>
          <w:lang w:eastAsia="en-GB"/>
        </w:rPr>
      </w:pPr>
      <w:r w:rsidRPr="00AD5C6E">
        <w:rPr>
          <w:rFonts w:ascii="Times New Roman" w:eastAsia="Calibri" w:hAnsi="Times New Roman" w:cs="Times New Roman"/>
          <w:b/>
          <w:i/>
          <w:iCs/>
          <w:sz w:val="20"/>
          <w:szCs w:val="20"/>
        </w:rPr>
        <w:t xml:space="preserve">Rafiu Dimeji </w:t>
      </w:r>
      <w:r w:rsidR="003B5736" w:rsidRPr="00F71764">
        <w:rPr>
          <w:rFonts w:ascii="Times New Roman" w:eastAsia="SimSun" w:hAnsi="Times New Roman" w:cs="Times New Roman"/>
          <w:b/>
          <w:bCs/>
          <w:i/>
          <w:iCs/>
          <w:kern w:val="2"/>
          <w:sz w:val="20"/>
          <w:szCs w:val="20"/>
          <w:lang w:val="ms-MY" w:eastAsia="zh-CN"/>
        </w:rPr>
        <w:t>S</w:t>
      </w:r>
      <w:r w:rsidR="003B5736" w:rsidRPr="003B5736">
        <w:rPr>
          <w:rFonts w:ascii="Times New Roman" w:eastAsia="SimSun" w:hAnsi="Times New Roman" w:cs="Times New Roman"/>
          <w:b/>
          <w:bCs/>
          <w:i/>
          <w:iCs/>
          <w:kern w:val="2"/>
          <w:sz w:val="21"/>
          <w:szCs w:val="20"/>
          <w:lang w:val="ms-MY" w:eastAsia="zh-CN"/>
        </w:rPr>
        <w:t>eid</w:t>
      </w:r>
      <w:r>
        <w:rPr>
          <w:rFonts w:ascii="Times New Roman" w:eastAsia="SimSun" w:hAnsi="Times New Roman" w:cs="Times New Roman"/>
          <w:b/>
          <w:bCs/>
          <w:i/>
          <w:iCs/>
          <w:kern w:val="2"/>
          <w:sz w:val="21"/>
          <w:szCs w:val="20"/>
          <w:lang w:val="ms-MY" w:eastAsia="zh-CN"/>
        </w:rPr>
        <w:t>u</w:t>
      </w:r>
      <w:r w:rsidR="004F5DC5" w:rsidRPr="00AD5C6E">
        <w:rPr>
          <w:rFonts w:ascii="Times New Roman" w:eastAsia="SimSun" w:hAnsi="Times New Roman" w:cs="Times New Roman"/>
          <w:b/>
          <w:bCs/>
          <w:i/>
          <w:iCs/>
          <w:kern w:val="2"/>
          <w:sz w:val="21"/>
          <w:szCs w:val="20"/>
          <w:vertAlign w:val="superscript"/>
          <w:lang w:eastAsia="zh-CN"/>
        </w:rPr>
        <w:t>1</w:t>
      </w:r>
      <w:r w:rsidR="003B5736" w:rsidRPr="00AD5C6E">
        <w:rPr>
          <w:rFonts w:ascii="Times New Roman" w:eastAsia="SimSun" w:hAnsi="Times New Roman" w:cs="Times New Roman"/>
          <w:b/>
          <w:bCs/>
          <w:i/>
          <w:iCs/>
          <w:kern w:val="2"/>
          <w:sz w:val="21"/>
          <w:szCs w:val="20"/>
          <w:lang w:eastAsia="zh-CN"/>
        </w:rPr>
        <w:t>,</w:t>
      </w:r>
      <w:r w:rsidR="00A97A20" w:rsidRPr="00A97A20">
        <w:rPr>
          <w:rFonts w:ascii="Times New Roman" w:eastAsia="SimSun" w:hAnsi="Times New Roman" w:cs="Times New Roman"/>
          <w:b/>
          <w:bCs/>
          <w:i/>
          <w:iCs/>
          <w:kern w:val="2"/>
          <w:sz w:val="21"/>
          <w:szCs w:val="20"/>
          <w:lang w:val="ms-MY" w:eastAsia="zh-CN"/>
        </w:rPr>
        <w:t xml:space="preserve"> </w:t>
      </w:r>
      <w:r w:rsidR="00A97A20">
        <w:rPr>
          <w:rFonts w:ascii="Times New Roman" w:eastAsia="SimSun" w:hAnsi="Times New Roman" w:cs="Times New Roman"/>
          <w:b/>
          <w:bCs/>
          <w:i/>
          <w:iCs/>
          <w:kern w:val="2"/>
          <w:sz w:val="21"/>
          <w:szCs w:val="20"/>
          <w:lang w:val="ms-MY" w:eastAsia="zh-CN"/>
        </w:rPr>
        <w:t>Herbert Robinso</w:t>
      </w:r>
      <w:bookmarkStart w:id="0" w:name="_Hlk72782928"/>
      <w:r w:rsidR="00A97A20">
        <w:rPr>
          <w:rFonts w:ascii="Times New Roman" w:eastAsia="SimSun" w:hAnsi="Times New Roman" w:cs="Times New Roman"/>
          <w:b/>
          <w:bCs/>
          <w:i/>
          <w:iCs/>
          <w:kern w:val="2"/>
          <w:sz w:val="21"/>
          <w:szCs w:val="20"/>
          <w:lang w:val="ms-MY" w:eastAsia="zh-CN"/>
        </w:rPr>
        <w:t>n</w:t>
      </w:r>
      <w:r w:rsidR="007228A4" w:rsidRPr="00AD5C6E">
        <w:rPr>
          <w:rFonts w:ascii="Times New Roman" w:eastAsia="SimSun" w:hAnsi="Times New Roman" w:cs="Times New Roman"/>
          <w:b/>
          <w:bCs/>
          <w:i/>
          <w:iCs/>
          <w:kern w:val="2"/>
          <w:sz w:val="21"/>
          <w:szCs w:val="20"/>
          <w:vertAlign w:val="superscript"/>
          <w:lang w:eastAsia="zh-CN"/>
        </w:rPr>
        <w:t>2</w:t>
      </w:r>
      <w:bookmarkEnd w:id="0"/>
      <w:r w:rsidR="00934DE3">
        <w:rPr>
          <w:rFonts w:ascii="Times New Roman" w:eastAsia="SimSun" w:hAnsi="Times New Roman" w:cs="Times New Roman"/>
          <w:b/>
          <w:bCs/>
          <w:i/>
          <w:iCs/>
          <w:kern w:val="2"/>
          <w:sz w:val="21"/>
          <w:szCs w:val="20"/>
          <w:lang w:val="ms-MY" w:eastAsia="zh-CN"/>
        </w:rPr>
        <w:t>, Bert Ediale Y</w:t>
      </w:r>
      <w:bookmarkStart w:id="1" w:name="_Hlk72782813"/>
      <w:r w:rsidR="00934DE3">
        <w:rPr>
          <w:rFonts w:ascii="Times New Roman" w:eastAsia="SimSun" w:hAnsi="Times New Roman" w:cs="Times New Roman"/>
          <w:b/>
          <w:bCs/>
          <w:i/>
          <w:iCs/>
          <w:kern w:val="2"/>
          <w:sz w:val="21"/>
          <w:szCs w:val="20"/>
          <w:lang w:val="ms-MY" w:eastAsia="zh-CN"/>
        </w:rPr>
        <w:t>ou</w:t>
      </w:r>
      <w:r w:rsidR="00AB22D6">
        <w:rPr>
          <w:rFonts w:ascii="Times New Roman" w:eastAsia="SimSun" w:hAnsi="Times New Roman" w:cs="Times New Roman"/>
          <w:b/>
          <w:bCs/>
          <w:i/>
          <w:iCs/>
          <w:kern w:val="2"/>
          <w:sz w:val="21"/>
          <w:szCs w:val="20"/>
          <w:lang w:val="ms-MY" w:eastAsia="zh-CN"/>
        </w:rPr>
        <w:t>n</w:t>
      </w:r>
      <w:bookmarkEnd w:id="1"/>
      <w:r w:rsidR="00143C43">
        <w:rPr>
          <w:rFonts w:ascii="Times New Roman" w:eastAsia="SimSun" w:hAnsi="Times New Roman" w:cs="Times New Roman"/>
          <w:b/>
          <w:bCs/>
          <w:i/>
          <w:iCs/>
          <w:kern w:val="2"/>
          <w:sz w:val="21"/>
          <w:szCs w:val="20"/>
          <w:lang w:val="ms-MY" w:eastAsia="zh-CN"/>
        </w:rPr>
        <w:t>g</w:t>
      </w:r>
      <w:r w:rsidR="00143C43">
        <w:rPr>
          <w:rFonts w:ascii="Times New Roman" w:eastAsia="SimSun" w:hAnsi="Times New Roman" w:cs="Times New Roman"/>
          <w:b/>
          <w:bCs/>
          <w:i/>
          <w:iCs/>
          <w:kern w:val="2"/>
          <w:sz w:val="21"/>
          <w:szCs w:val="20"/>
          <w:vertAlign w:val="superscript"/>
          <w:lang w:eastAsia="zh-CN"/>
        </w:rPr>
        <w:t>3</w:t>
      </w:r>
      <w:r w:rsidR="00AD5C6E">
        <w:rPr>
          <w:rFonts w:ascii="Times New Roman" w:eastAsia="SimSun" w:hAnsi="Times New Roman" w:cs="Times New Roman"/>
          <w:b/>
          <w:bCs/>
          <w:i/>
          <w:iCs/>
          <w:kern w:val="2"/>
          <w:sz w:val="21"/>
          <w:szCs w:val="20"/>
          <w:lang w:val="ms-MY" w:eastAsia="zh-CN"/>
        </w:rPr>
        <w:t>, Michael Rya</w:t>
      </w:r>
      <w:r w:rsidR="001454CD">
        <w:rPr>
          <w:rFonts w:ascii="Times New Roman" w:eastAsia="SimSun" w:hAnsi="Times New Roman" w:cs="Times New Roman"/>
          <w:b/>
          <w:bCs/>
          <w:i/>
          <w:iCs/>
          <w:kern w:val="2"/>
          <w:sz w:val="21"/>
          <w:szCs w:val="20"/>
          <w:lang w:val="ms-MY" w:eastAsia="zh-CN"/>
        </w:rPr>
        <w:t>n</w:t>
      </w:r>
      <w:r w:rsidR="00143C43">
        <w:rPr>
          <w:rFonts w:ascii="Times New Roman" w:eastAsia="SimSun" w:hAnsi="Times New Roman" w:cs="Times New Roman"/>
          <w:b/>
          <w:bCs/>
          <w:i/>
          <w:iCs/>
          <w:kern w:val="2"/>
          <w:sz w:val="21"/>
          <w:szCs w:val="20"/>
          <w:vertAlign w:val="superscript"/>
          <w:lang w:eastAsia="zh-CN"/>
        </w:rPr>
        <w:t>4</w:t>
      </w:r>
      <w:r w:rsidR="00AD5C6E">
        <w:rPr>
          <w:rFonts w:ascii="Times New Roman" w:eastAsia="SimSun" w:hAnsi="Times New Roman" w:cs="Times New Roman"/>
          <w:b/>
          <w:bCs/>
          <w:i/>
          <w:iCs/>
          <w:kern w:val="2"/>
          <w:sz w:val="21"/>
          <w:szCs w:val="20"/>
          <w:lang w:val="ms-MY" w:eastAsia="zh-CN"/>
        </w:rPr>
        <w:t xml:space="preserve">, </w:t>
      </w:r>
      <w:r w:rsidR="00621A7D">
        <w:rPr>
          <w:rFonts w:ascii="Times New Roman" w:eastAsia="SimSun" w:hAnsi="Times New Roman" w:cs="Times New Roman"/>
          <w:b/>
          <w:bCs/>
          <w:i/>
          <w:iCs/>
          <w:kern w:val="2"/>
          <w:sz w:val="21"/>
          <w:szCs w:val="20"/>
          <w:lang w:val="ms-MY" w:eastAsia="zh-CN"/>
        </w:rPr>
        <w:t>Daniel Fong</w:t>
      </w:r>
      <w:r w:rsidR="001454CD">
        <w:rPr>
          <w:rFonts w:ascii="Times New Roman" w:eastAsia="SimSun" w:hAnsi="Times New Roman" w:cs="Times New Roman"/>
          <w:b/>
          <w:bCs/>
          <w:i/>
          <w:iCs/>
          <w:kern w:val="2"/>
          <w:sz w:val="21"/>
          <w:szCs w:val="20"/>
          <w:vertAlign w:val="superscript"/>
          <w:lang w:eastAsia="zh-CN"/>
        </w:rPr>
        <w:t>5</w:t>
      </w:r>
    </w:p>
    <w:p w14:paraId="3896E9D1" w14:textId="5BC2190C" w:rsidR="00061D82" w:rsidRDefault="00814C6D" w:rsidP="003B359C">
      <w:pPr>
        <w:shd w:val="clear" w:color="auto" w:fill="FFFFFF"/>
        <w:rPr>
          <w:rFonts w:ascii="Times New Roman" w:eastAsia="Times New Roman" w:hAnsi="Times New Roman" w:cs="Times New Roman"/>
          <w:i/>
          <w:snapToGrid w:val="0"/>
          <w:lang w:val="en-US"/>
        </w:rPr>
      </w:pPr>
      <w:r>
        <w:rPr>
          <w:rFonts w:ascii="Times New Roman" w:eastAsia="SimSun" w:hAnsi="Times New Roman" w:cs="Times New Roman"/>
          <w:b/>
          <w:bCs/>
          <w:i/>
          <w:iCs/>
          <w:kern w:val="2"/>
          <w:sz w:val="21"/>
          <w:szCs w:val="20"/>
          <w:vertAlign w:val="superscript"/>
          <w:lang w:eastAsia="zh-CN"/>
        </w:rPr>
        <w:t>1</w:t>
      </w:r>
      <w:r w:rsidR="003B359C">
        <w:rPr>
          <w:rFonts w:ascii="Times New Roman" w:eastAsia="SimSun" w:hAnsi="Times New Roman" w:cs="Times New Roman"/>
          <w:b/>
          <w:bCs/>
          <w:i/>
          <w:iCs/>
          <w:kern w:val="2"/>
          <w:sz w:val="21"/>
          <w:szCs w:val="20"/>
          <w:vertAlign w:val="superscript"/>
          <w:lang w:eastAsia="zh-CN"/>
        </w:rPr>
        <w:t>,</w:t>
      </w:r>
      <w:r>
        <w:rPr>
          <w:rFonts w:ascii="Times New Roman" w:eastAsia="SimSun" w:hAnsi="Times New Roman" w:cs="Times New Roman"/>
          <w:b/>
          <w:bCs/>
          <w:i/>
          <w:iCs/>
          <w:kern w:val="2"/>
          <w:sz w:val="21"/>
          <w:szCs w:val="20"/>
          <w:vertAlign w:val="superscript"/>
          <w:lang w:eastAsia="zh-CN"/>
        </w:rPr>
        <w:t xml:space="preserve"> 3-</w:t>
      </w:r>
      <w:bookmarkStart w:id="2" w:name="_Hlk72796846"/>
      <w:r>
        <w:rPr>
          <w:rFonts w:ascii="Times New Roman" w:eastAsia="SimSun" w:hAnsi="Times New Roman" w:cs="Times New Roman"/>
          <w:b/>
          <w:bCs/>
          <w:i/>
          <w:iCs/>
          <w:kern w:val="2"/>
          <w:sz w:val="21"/>
          <w:szCs w:val="20"/>
          <w:vertAlign w:val="superscript"/>
          <w:lang w:eastAsia="zh-CN"/>
        </w:rPr>
        <w:t>5</w:t>
      </w:r>
      <w:r w:rsidR="00061D82" w:rsidRPr="00061D82">
        <w:rPr>
          <w:rFonts w:ascii="Times New Roman" w:eastAsia="Times New Roman" w:hAnsi="Times New Roman" w:cs="Times New Roman"/>
          <w:i/>
          <w:snapToGrid w:val="0"/>
          <w:lang w:val="en-US"/>
        </w:rPr>
        <w:t>Divis</w:t>
      </w:r>
      <w:bookmarkEnd w:id="2"/>
      <w:r w:rsidR="00061D82" w:rsidRPr="00061D82">
        <w:rPr>
          <w:rFonts w:ascii="Times New Roman" w:eastAsia="Times New Roman" w:hAnsi="Times New Roman" w:cs="Times New Roman"/>
          <w:i/>
          <w:snapToGrid w:val="0"/>
          <w:lang w:val="en-US"/>
        </w:rPr>
        <w:t>ion of Construction Property and Surveying, London South Bank University, London, United Kingdom</w:t>
      </w:r>
      <w:r w:rsidR="00A248F3">
        <w:rPr>
          <w:rFonts w:ascii="Times New Roman" w:eastAsia="Times New Roman" w:hAnsi="Times New Roman" w:cs="Times New Roman"/>
          <w:i/>
          <w:snapToGrid w:val="0"/>
          <w:lang w:val="en-US"/>
        </w:rPr>
        <w:t>.</w:t>
      </w:r>
    </w:p>
    <w:p w14:paraId="4047C53E" w14:textId="29C1C393" w:rsidR="00360937" w:rsidRDefault="00360937" w:rsidP="003B359C">
      <w:pPr>
        <w:shd w:val="clear" w:color="auto" w:fill="FFFFFF"/>
        <w:rPr>
          <w:rFonts w:ascii="Times New Roman" w:eastAsia="Times New Roman" w:hAnsi="Times New Roman" w:cs="Times New Roman"/>
          <w:i/>
          <w:snapToGrid w:val="0"/>
          <w:lang w:val="en-US"/>
        </w:rPr>
      </w:pPr>
      <w:r>
        <w:rPr>
          <w:rFonts w:ascii="Times New Roman" w:eastAsia="SimSun" w:hAnsi="Times New Roman" w:cs="Times New Roman"/>
          <w:b/>
          <w:bCs/>
          <w:i/>
          <w:iCs/>
          <w:kern w:val="2"/>
          <w:sz w:val="21"/>
          <w:szCs w:val="20"/>
          <w:vertAlign w:val="superscript"/>
          <w:lang w:eastAsia="zh-CN"/>
        </w:rPr>
        <w:t>2</w:t>
      </w:r>
      <w:r w:rsidR="0027744B">
        <w:rPr>
          <w:rFonts w:ascii="Times New Roman" w:eastAsia="Times New Roman" w:hAnsi="Times New Roman" w:cs="Times New Roman"/>
          <w:i/>
          <w:snapToGrid w:val="0"/>
          <w:lang w:val="en-US"/>
        </w:rPr>
        <w:t>The African Capacity Building Foundation</w:t>
      </w:r>
      <w:r w:rsidR="007A2F47">
        <w:rPr>
          <w:rFonts w:ascii="Times New Roman" w:eastAsia="Times New Roman" w:hAnsi="Times New Roman" w:cs="Times New Roman"/>
          <w:i/>
          <w:snapToGrid w:val="0"/>
          <w:lang w:val="en-US"/>
        </w:rPr>
        <w:t>,</w:t>
      </w:r>
      <w:r w:rsidR="00AA7ED0">
        <w:rPr>
          <w:rFonts w:ascii="Times New Roman" w:eastAsia="Times New Roman" w:hAnsi="Times New Roman" w:cs="Times New Roman"/>
          <w:i/>
          <w:snapToGrid w:val="0"/>
          <w:lang w:val="en-US"/>
        </w:rPr>
        <w:t xml:space="preserve"> Fairbairn Drive, Mount Pleasan</w:t>
      </w:r>
      <w:r w:rsidR="008E013C">
        <w:rPr>
          <w:rFonts w:ascii="Times New Roman" w:eastAsia="Times New Roman" w:hAnsi="Times New Roman" w:cs="Times New Roman"/>
          <w:i/>
          <w:snapToGrid w:val="0"/>
          <w:lang w:val="en-US"/>
        </w:rPr>
        <w:t>t, Harare, Zimbabwe.</w:t>
      </w:r>
    </w:p>
    <w:p w14:paraId="1094C634" w14:textId="77777777" w:rsidR="00061D82" w:rsidRPr="00061D82" w:rsidRDefault="00061D82" w:rsidP="00061D82">
      <w:pPr>
        <w:spacing w:after="0" w:line="240" w:lineRule="auto"/>
        <w:rPr>
          <w:rFonts w:ascii="Times New Roman" w:eastAsia="Times New Roman" w:hAnsi="Times New Roman" w:cs="Times New Roman"/>
          <w:iCs/>
          <w:snapToGrid w:val="0"/>
          <w:lang w:val="en-US"/>
        </w:rPr>
      </w:pPr>
    </w:p>
    <w:p w14:paraId="495650A6" w14:textId="77777777" w:rsidR="00061D82" w:rsidRPr="00061D82" w:rsidRDefault="00061D82" w:rsidP="00061D82">
      <w:pPr>
        <w:spacing w:after="0" w:line="240" w:lineRule="auto"/>
        <w:jc w:val="both"/>
        <w:rPr>
          <w:rFonts w:ascii="Times New Roman" w:eastAsia="Times New Roman" w:hAnsi="Times New Roman" w:cs="Times New Roman"/>
          <w:iCs/>
          <w:snapToGrid w:val="0"/>
          <w:lang w:val="en-US"/>
        </w:rPr>
      </w:pPr>
      <w:r w:rsidRPr="00061D82">
        <w:rPr>
          <w:rFonts w:ascii="Times New Roman" w:eastAsia="Times New Roman" w:hAnsi="Times New Roman" w:cs="Times New Roman"/>
          <w:iCs/>
          <w:snapToGrid w:val="0"/>
          <w:lang w:val="en-US"/>
        </w:rPr>
        <w:t>*CORRESPONDING AUTHOR</w:t>
      </w:r>
    </w:p>
    <w:p w14:paraId="0F60D59C" w14:textId="77777777" w:rsidR="00061D82" w:rsidRPr="00061D82" w:rsidRDefault="00061D82" w:rsidP="00061D82">
      <w:pPr>
        <w:spacing w:after="100" w:afterAutospacing="1" w:line="240" w:lineRule="auto"/>
        <w:jc w:val="both"/>
        <w:rPr>
          <w:rFonts w:ascii="Times New Roman" w:eastAsia="Times New Roman" w:hAnsi="Times New Roman" w:cs="Times New Roman"/>
          <w:iCs/>
          <w:snapToGrid w:val="0"/>
          <w:lang w:val="en-US"/>
        </w:rPr>
      </w:pPr>
      <w:r w:rsidRPr="00061D82">
        <w:rPr>
          <w:rFonts w:ascii="Times New Roman" w:eastAsia="Times New Roman" w:hAnsi="Times New Roman" w:cs="Times New Roman"/>
          <w:iCs/>
          <w:snapToGrid w:val="0"/>
          <w:lang w:val="ms-MY"/>
        </w:rPr>
        <w:t>Rafiu Dimeji Seidu</w:t>
      </w:r>
      <w:r w:rsidRPr="00061D82">
        <w:rPr>
          <w:rFonts w:ascii="Times New Roman" w:eastAsia="Times New Roman" w:hAnsi="Times New Roman" w:cs="Times New Roman"/>
          <w:iCs/>
          <w:snapToGrid w:val="0"/>
          <w:lang w:val="en-US"/>
        </w:rPr>
        <w:t xml:space="preserve">, Division of Construction Property and Surveying, London South Bank University, 103 Borough Road, London SE1 0AA, United Kingdom; </w:t>
      </w:r>
      <w:hyperlink r:id="rId8" w:history="1">
        <w:r w:rsidRPr="00061D82">
          <w:rPr>
            <w:rFonts w:ascii="Times New Roman" w:eastAsia="Times New Roman" w:hAnsi="Times New Roman" w:cs="Times New Roman"/>
            <w:iCs/>
            <w:snapToGrid w:val="0"/>
            <w:color w:val="0000FF"/>
            <w:u w:val="single"/>
            <w:lang w:val="en-US"/>
          </w:rPr>
          <w:t>seidur@lsbu.ac.uk</w:t>
        </w:r>
      </w:hyperlink>
    </w:p>
    <w:p w14:paraId="42B424C3" w14:textId="77777777" w:rsidR="00607A0D" w:rsidRPr="00061D82" w:rsidRDefault="00607A0D" w:rsidP="00607A0D">
      <w:pPr>
        <w:rPr>
          <w:rFonts w:ascii="Calibri" w:eastAsia="Calibri" w:hAnsi="Calibri" w:cs="Times New Roman"/>
          <w:b/>
          <w:sz w:val="28"/>
          <w:szCs w:val="28"/>
          <w:lang w:val="en-US"/>
        </w:rPr>
      </w:pPr>
    </w:p>
    <w:p w14:paraId="13F3372B" w14:textId="77777777" w:rsidR="00607A0D" w:rsidRPr="00343F89" w:rsidRDefault="00607A0D" w:rsidP="00607A0D">
      <w:pPr>
        <w:rPr>
          <w:rFonts w:ascii="Calibri" w:eastAsia="Calibri" w:hAnsi="Calibri" w:cs="Times New Roman"/>
          <w:b/>
          <w:sz w:val="24"/>
          <w:szCs w:val="24"/>
        </w:rPr>
      </w:pPr>
      <w:r w:rsidRPr="00343F89">
        <w:rPr>
          <w:rFonts w:ascii="Calibri" w:eastAsia="Calibri" w:hAnsi="Calibri" w:cs="Times New Roman"/>
          <w:b/>
          <w:sz w:val="24"/>
          <w:szCs w:val="24"/>
        </w:rPr>
        <w:t>Abstract</w:t>
      </w:r>
    </w:p>
    <w:p w14:paraId="7498166E" w14:textId="77777777" w:rsidR="00607A0D" w:rsidRPr="00F16429" w:rsidRDefault="00607A0D" w:rsidP="00607A0D">
      <w:pPr>
        <w:spacing w:line="240" w:lineRule="auto"/>
        <w:jc w:val="both"/>
        <w:rPr>
          <w:rFonts w:ascii="Calibri" w:eastAsia="Calibri" w:hAnsi="Calibri" w:cs="Times New Roman"/>
          <w:i/>
          <w:iCs/>
          <w:sz w:val="24"/>
          <w:szCs w:val="24"/>
        </w:rPr>
      </w:pPr>
      <w:r w:rsidRPr="00F16429">
        <w:rPr>
          <w:rFonts w:ascii="Calibri" w:eastAsia="Calibri" w:hAnsi="Calibri" w:cs="Times New Roman"/>
          <w:i/>
          <w:iCs/>
          <w:sz w:val="24"/>
          <w:szCs w:val="24"/>
        </w:rPr>
        <w:t xml:space="preserve">Infrastructure is a critical factor in fostering strong and sustained economic growth, hence, sufficient attention should be given to </w:t>
      </w:r>
      <w:r>
        <w:rPr>
          <w:rFonts w:ascii="Calibri" w:eastAsia="Calibri" w:hAnsi="Calibri" w:cs="Times New Roman"/>
          <w:i/>
          <w:iCs/>
          <w:sz w:val="24"/>
          <w:szCs w:val="24"/>
        </w:rPr>
        <w:t xml:space="preserve">the </w:t>
      </w:r>
      <w:r w:rsidRPr="00F16429">
        <w:rPr>
          <w:rFonts w:ascii="Calibri" w:eastAsia="Calibri" w:hAnsi="Calibri" w:cs="Times New Roman"/>
          <w:i/>
          <w:iCs/>
          <w:sz w:val="24"/>
          <w:szCs w:val="24"/>
        </w:rPr>
        <w:t xml:space="preserve">allocation of investment. Although UK </w:t>
      </w:r>
      <w:r>
        <w:rPr>
          <w:rFonts w:ascii="Calibri" w:eastAsia="Calibri" w:hAnsi="Calibri" w:cs="Times New Roman"/>
          <w:i/>
          <w:iCs/>
          <w:sz w:val="24"/>
          <w:szCs w:val="24"/>
        </w:rPr>
        <w:t xml:space="preserve">infrastructure </w:t>
      </w:r>
      <w:r w:rsidRPr="00F16429">
        <w:rPr>
          <w:rFonts w:ascii="Calibri" w:eastAsia="Calibri" w:hAnsi="Calibri" w:cs="Times New Roman"/>
          <w:i/>
          <w:iCs/>
          <w:sz w:val="24"/>
          <w:szCs w:val="24"/>
        </w:rPr>
        <w:t>investment have risen in line with the global trend,</w:t>
      </w:r>
      <w:r>
        <w:rPr>
          <w:rFonts w:ascii="Calibri" w:eastAsia="Calibri" w:hAnsi="Calibri" w:cs="Times New Roman"/>
          <w:i/>
          <w:iCs/>
          <w:sz w:val="24"/>
          <w:szCs w:val="24"/>
        </w:rPr>
        <w:t xml:space="preserve"> the level of</w:t>
      </w:r>
      <w:r w:rsidRPr="00F16429">
        <w:rPr>
          <w:rFonts w:ascii="Calibri" w:eastAsia="Calibri" w:hAnsi="Calibri" w:cs="Times New Roman"/>
          <w:i/>
          <w:iCs/>
          <w:sz w:val="24"/>
          <w:szCs w:val="24"/>
        </w:rPr>
        <w:t xml:space="preserve"> investment remains in the lower percentile when compared to other leading countries such as Singapore and China. </w:t>
      </w:r>
    </w:p>
    <w:p w14:paraId="09A16171" w14:textId="77777777" w:rsidR="00607A0D" w:rsidRPr="00F16429" w:rsidRDefault="00607A0D" w:rsidP="00607A0D">
      <w:pPr>
        <w:autoSpaceDE w:val="0"/>
        <w:autoSpaceDN w:val="0"/>
        <w:adjustRightInd w:val="0"/>
        <w:spacing w:after="0" w:line="240" w:lineRule="auto"/>
        <w:jc w:val="both"/>
        <w:rPr>
          <w:rFonts w:ascii="Calibri" w:eastAsia="Calibri" w:hAnsi="Calibri" w:cs="Times New Roman"/>
          <w:i/>
          <w:iCs/>
          <w:sz w:val="24"/>
          <w:szCs w:val="24"/>
        </w:rPr>
      </w:pPr>
      <w:r w:rsidRPr="00F16429">
        <w:rPr>
          <w:rFonts w:ascii="Calibri" w:eastAsia="Calibri" w:hAnsi="Calibri" w:cs="Times New Roman"/>
          <w:i/>
          <w:iCs/>
          <w:sz w:val="24"/>
          <w:szCs w:val="24"/>
        </w:rPr>
        <w:t xml:space="preserve">The study examines the challenges of infrastructure development </w:t>
      </w:r>
      <w:r>
        <w:rPr>
          <w:rFonts w:ascii="Calibri" w:eastAsia="Calibri" w:hAnsi="Calibri" w:cs="Times New Roman"/>
          <w:i/>
          <w:iCs/>
          <w:sz w:val="24"/>
          <w:szCs w:val="24"/>
        </w:rPr>
        <w:t xml:space="preserve">in the UK </w:t>
      </w:r>
      <w:r w:rsidRPr="00F16429">
        <w:rPr>
          <w:rFonts w:ascii="Calibri" w:eastAsia="Calibri" w:hAnsi="Calibri" w:cs="Times New Roman"/>
          <w:i/>
          <w:iCs/>
          <w:sz w:val="24"/>
          <w:szCs w:val="24"/>
        </w:rPr>
        <w:t>and explored the policies required to stimulate investment.  Using semi-structured interviews, the views of key stakeholders involved</w:t>
      </w:r>
      <w:r w:rsidRPr="00F16429">
        <w:rPr>
          <w:i/>
          <w:iCs/>
          <w:sz w:val="24"/>
          <w:szCs w:val="24"/>
        </w:rPr>
        <w:t xml:space="preserve"> in infrastructure operating across </w:t>
      </w:r>
      <w:r>
        <w:rPr>
          <w:i/>
          <w:iCs/>
          <w:sz w:val="24"/>
          <w:szCs w:val="24"/>
        </w:rPr>
        <w:t>key</w:t>
      </w:r>
      <w:r w:rsidRPr="00F16429">
        <w:rPr>
          <w:i/>
          <w:iCs/>
          <w:sz w:val="24"/>
          <w:szCs w:val="24"/>
        </w:rPr>
        <w:t xml:space="preserve"> sectors </w:t>
      </w:r>
      <w:r>
        <w:rPr>
          <w:i/>
          <w:iCs/>
          <w:sz w:val="24"/>
          <w:szCs w:val="24"/>
        </w:rPr>
        <w:t xml:space="preserve">of transport and energy </w:t>
      </w:r>
      <w:r w:rsidRPr="00F16429">
        <w:rPr>
          <w:i/>
          <w:iCs/>
          <w:sz w:val="24"/>
          <w:szCs w:val="24"/>
        </w:rPr>
        <w:t xml:space="preserve">were captured to </w:t>
      </w:r>
      <w:r w:rsidRPr="00F16429">
        <w:rPr>
          <w:rFonts w:ascii="Calibri" w:eastAsia="Calibri" w:hAnsi="Calibri" w:cs="Times New Roman"/>
          <w:i/>
          <w:iCs/>
          <w:sz w:val="24"/>
          <w:szCs w:val="24"/>
        </w:rPr>
        <w:t xml:space="preserve">gain an insight into the key policy drivers of infrastructure investment. </w:t>
      </w:r>
    </w:p>
    <w:p w14:paraId="0F23D9AF" w14:textId="77777777" w:rsidR="00607A0D" w:rsidRPr="00F16429" w:rsidRDefault="00607A0D" w:rsidP="00607A0D">
      <w:pPr>
        <w:autoSpaceDE w:val="0"/>
        <w:autoSpaceDN w:val="0"/>
        <w:adjustRightInd w:val="0"/>
        <w:spacing w:after="0" w:line="240" w:lineRule="auto"/>
        <w:jc w:val="both"/>
        <w:rPr>
          <w:rFonts w:ascii="Calibri" w:eastAsia="Calibri" w:hAnsi="Calibri" w:cs="Times New Roman"/>
          <w:i/>
          <w:iCs/>
          <w:sz w:val="24"/>
          <w:szCs w:val="24"/>
        </w:rPr>
      </w:pPr>
    </w:p>
    <w:p w14:paraId="6D62D9CD" w14:textId="77777777" w:rsidR="00607A0D" w:rsidRPr="00F16429" w:rsidRDefault="00607A0D" w:rsidP="00607A0D">
      <w:pPr>
        <w:spacing w:line="240" w:lineRule="auto"/>
        <w:jc w:val="both"/>
        <w:rPr>
          <w:rFonts w:ascii="Calibri" w:eastAsia="Calibri" w:hAnsi="Calibri" w:cs="Times New Roman"/>
          <w:i/>
          <w:iCs/>
          <w:sz w:val="24"/>
          <w:szCs w:val="24"/>
        </w:rPr>
      </w:pPr>
      <w:r w:rsidRPr="00F16429">
        <w:rPr>
          <w:rFonts w:ascii="Calibri" w:eastAsia="Calibri" w:hAnsi="Calibri" w:cs="Times New Roman"/>
          <w:i/>
          <w:iCs/>
          <w:sz w:val="24"/>
          <w:szCs w:val="24"/>
        </w:rPr>
        <w:t xml:space="preserve">Findings from the research suggests that policy changes are required to stimulate significant investment if the UK is to become a world leader in infrastructure. Key criticisms of UK infrastructure policy focussed </w:t>
      </w:r>
      <w:r>
        <w:rPr>
          <w:rFonts w:ascii="Calibri" w:eastAsia="Calibri" w:hAnsi="Calibri" w:cs="Times New Roman"/>
          <w:i/>
          <w:iCs/>
          <w:sz w:val="24"/>
          <w:szCs w:val="24"/>
        </w:rPr>
        <w:t xml:space="preserve">on comparatively low level of investment, </w:t>
      </w:r>
      <w:r w:rsidRPr="00F16429">
        <w:rPr>
          <w:rFonts w:ascii="Calibri" w:eastAsia="Calibri" w:hAnsi="Calibri" w:cs="Times New Roman"/>
          <w:i/>
          <w:iCs/>
          <w:sz w:val="24"/>
          <w:szCs w:val="24"/>
        </w:rPr>
        <w:t>inadequate collaboration</w:t>
      </w:r>
      <w:r>
        <w:rPr>
          <w:rFonts w:ascii="Calibri" w:eastAsia="Calibri" w:hAnsi="Calibri" w:cs="Times New Roman"/>
          <w:i/>
          <w:iCs/>
          <w:sz w:val="24"/>
          <w:szCs w:val="24"/>
        </w:rPr>
        <w:t xml:space="preserve"> between key stakeholders</w:t>
      </w:r>
      <w:r w:rsidRPr="00F16429">
        <w:rPr>
          <w:rFonts w:ascii="Calibri" w:eastAsia="Calibri" w:hAnsi="Calibri" w:cs="Times New Roman"/>
          <w:i/>
          <w:iCs/>
          <w:sz w:val="24"/>
          <w:szCs w:val="24"/>
        </w:rPr>
        <w:t>, and the regional bias of investment</w:t>
      </w:r>
      <w:r>
        <w:rPr>
          <w:rFonts w:ascii="Calibri" w:eastAsia="Calibri" w:hAnsi="Calibri" w:cs="Times New Roman"/>
          <w:i/>
          <w:iCs/>
          <w:sz w:val="24"/>
          <w:szCs w:val="24"/>
        </w:rPr>
        <w:t xml:space="preserve"> in favour of London</w:t>
      </w:r>
      <w:r w:rsidRPr="00F16429">
        <w:rPr>
          <w:rFonts w:ascii="Calibri" w:eastAsia="Calibri" w:hAnsi="Calibri" w:cs="Times New Roman"/>
          <w:i/>
          <w:iCs/>
          <w:sz w:val="24"/>
          <w:szCs w:val="24"/>
        </w:rPr>
        <w:t xml:space="preserve"> which disproportionately affects the Northern regions.</w:t>
      </w:r>
    </w:p>
    <w:p w14:paraId="044A7567" w14:textId="77777777" w:rsidR="00607A0D" w:rsidRPr="0031668C" w:rsidRDefault="00607A0D" w:rsidP="00607A0D">
      <w:pPr>
        <w:autoSpaceDE w:val="0"/>
        <w:autoSpaceDN w:val="0"/>
        <w:adjustRightInd w:val="0"/>
        <w:spacing w:after="0" w:line="240" w:lineRule="auto"/>
        <w:jc w:val="both"/>
        <w:rPr>
          <w:rFonts w:ascii="Calibri" w:eastAsia="Calibri" w:hAnsi="Calibri" w:cs="Times New Roman"/>
          <w:i/>
          <w:iCs/>
          <w:sz w:val="24"/>
          <w:szCs w:val="24"/>
        </w:rPr>
      </w:pPr>
      <w:r w:rsidRPr="00F16429">
        <w:rPr>
          <w:rFonts w:ascii="Calibri" w:eastAsia="Calibri" w:hAnsi="Calibri" w:cs="Times New Roman"/>
          <w:i/>
          <w:iCs/>
          <w:sz w:val="24"/>
          <w:szCs w:val="24"/>
        </w:rPr>
        <w:t xml:space="preserve">To </w:t>
      </w:r>
      <w:r>
        <w:rPr>
          <w:rFonts w:ascii="Calibri" w:eastAsia="Calibri" w:hAnsi="Calibri" w:cs="Times New Roman"/>
          <w:i/>
          <w:iCs/>
          <w:sz w:val="24"/>
          <w:szCs w:val="24"/>
        </w:rPr>
        <w:t>facilitate</w:t>
      </w:r>
      <w:r w:rsidRPr="00F16429">
        <w:rPr>
          <w:rFonts w:ascii="Calibri" w:eastAsia="Calibri" w:hAnsi="Calibri" w:cs="Times New Roman"/>
          <w:i/>
          <w:iCs/>
          <w:sz w:val="24"/>
          <w:szCs w:val="24"/>
        </w:rPr>
        <w:t xml:space="preserve"> economic growth, the identification of future</w:t>
      </w:r>
      <w:r>
        <w:rPr>
          <w:rFonts w:ascii="Calibri" w:eastAsia="Calibri" w:hAnsi="Calibri" w:cs="Times New Roman"/>
          <w:i/>
          <w:iCs/>
          <w:sz w:val="24"/>
          <w:szCs w:val="24"/>
        </w:rPr>
        <w:t xml:space="preserve"> investible</w:t>
      </w:r>
      <w:r w:rsidRPr="00F16429">
        <w:rPr>
          <w:rFonts w:ascii="Calibri" w:eastAsia="Calibri" w:hAnsi="Calibri" w:cs="Times New Roman"/>
          <w:i/>
          <w:iCs/>
          <w:sz w:val="24"/>
          <w:szCs w:val="24"/>
        </w:rPr>
        <w:t xml:space="preserve"> pipeline of infrastructure projects</w:t>
      </w:r>
      <w:r>
        <w:rPr>
          <w:rFonts w:ascii="Calibri" w:eastAsia="Calibri" w:hAnsi="Calibri" w:cs="Times New Roman"/>
          <w:i/>
          <w:iCs/>
          <w:sz w:val="24"/>
          <w:szCs w:val="24"/>
        </w:rPr>
        <w:t xml:space="preserve">, </w:t>
      </w:r>
      <w:r w:rsidRPr="00F16429">
        <w:rPr>
          <w:rFonts w:ascii="Calibri" w:eastAsia="Calibri" w:hAnsi="Calibri" w:cs="Times New Roman"/>
          <w:i/>
          <w:iCs/>
          <w:sz w:val="24"/>
          <w:szCs w:val="24"/>
        </w:rPr>
        <w:t xml:space="preserve">increasing collaboration with local stakeholders </w:t>
      </w:r>
      <w:r>
        <w:rPr>
          <w:rFonts w:ascii="Calibri" w:eastAsia="Calibri" w:hAnsi="Calibri" w:cs="Times New Roman"/>
          <w:i/>
          <w:iCs/>
          <w:sz w:val="24"/>
          <w:szCs w:val="24"/>
        </w:rPr>
        <w:t>and addressing the</w:t>
      </w:r>
      <w:r w:rsidRPr="00F16429">
        <w:rPr>
          <w:rFonts w:ascii="Calibri" w:eastAsia="Calibri" w:hAnsi="Calibri" w:cs="Times New Roman"/>
          <w:i/>
          <w:iCs/>
          <w:sz w:val="24"/>
          <w:szCs w:val="24"/>
        </w:rPr>
        <w:t xml:space="preserve"> region</w:t>
      </w:r>
      <w:r>
        <w:rPr>
          <w:rFonts w:ascii="Calibri" w:eastAsia="Calibri" w:hAnsi="Calibri" w:cs="Times New Roman"/>
          <w:i/>
          <w:iCs/>
          <w:sz w:val="24"/>
          <w:szCs w:val="24"/>
        </w:rPr>
        <w:t>al bia</w:t>
      </w:r>
      <w:r w:rsidRPr="00F16429">
        <w:rPr>
          <w:rFonts w:ascii="Calibri" w:eastAsia="Calibri" w:hAnsi="Calibri" w:cs="Times New Roman"/>
          <w:i/>
          <w:iCs/>
          <w:sz w:val="24"/>
          <w:szCs w:val="24"/>
        </w:rPr>
        <w:t>s</w:t>
      </w:r>
      <w:r>
        <w:rPr>
          <w:rFonts w:ascii="Calibri" w:eastAsia="Calibri" w:hAnsi="Calibri" w:cs="Times New Roman"/>
          <w:i/>
          <w:iCs/>
          <w:sz w:val="24"/>
          <w:szCs w:val="24"/>
        </w:rPr>
        <w:t>es</w:t>
      </w:r>
      <w:r w:rsidRPr="00F16429">
        <w:rPr>
          <w:rFonts w:ascii="Calibri" w:eastAsia="Calibri" w:hAnsi="Calibri" w:cs="Times New Roman"/>
          <w:i/>
          <w:iCs/>
          <w:sz w:val="24"/>
          <w:szCs w:val="24"/>
        </w:rPr>
        <w:t xml:space="preserve"> will be critical to ensure synergy</w:t>
      </w:r>
      <w:r>
        <w:rPr>
          <w:rFonts w:ascii="Calibri" w:eastAsia="Calibri" w:hAnsi="Calibri" w:cs="Times New Roman"/>
          <w:i/>
          <w:iCs/>
          <w:sz w:val="24"/>
          <w:szCs w:val="24"/>
        </w:rPr>
        <w:t xml:space="preserve"> and</w:t>
      </w:r>
      <w:r w:rsidRPr="00F16429">
        <w:rPr>
          <w:rFonts w:ascii="Calibri" w:eastAsia="Calibri" w:hAnsi="Calibri" w:cs="Times New Roman"/>
          <w:i/>
          <w:iCs/>
          <w:sz w:val="24"/>
          <w:szCs w:val="24"/>
        </w:rPr>
        <w:t xml:space="preserve"> ownership</w:t>
      </w:r>
      <w:r>
        <w:rPr>
          <w:rFonts w:ascii="Calibri" w:eastAsia="Calibri" w:hAnsi="Calibri" w:cs="Times New Roman"/>
          <w:i/>
          <w:iCs/>
          <w:sz w:val="24"/>
          <w:szCs w:val="24"/>
        </w:rPr>
        <w:t xml:space="preserve"> and to scale up the implementation of</w:t>
      </w:r>
      <w:r w:rsidRPr="00F16429">
        <w:rPr>
          <w:rFonts w:ascii="Calibri" w:eastAsia="Calibri" w:hAnsi="Calibri" w:cs="Times New Roman"/>
          <w:i/>
          <w:iCs/>
          <w:sz w:val="24"/>
          <w:szCs w:val="24"/>
        </w:rPr>
        <w:t xml:space="preserve"> UK future infrastructure development plans</w:t>
      </w:r>
      <w:r>
        <w:rPr>
          <w:rFonts w:ascii="Calibri" w:eastAsia="Calibri" w:hAnsi="Calibri" w:cs="Times New Roman"/>
          <w:i/>
          <w:iCs/>
          <w:sz w:val="24"/>
          <w:szCs w:val="24"/>
        </w:rPr>
        <w:t xml:space="preserve">. </w:t>
      </w:r>
      <w:r w:rsidRPr="00F16429">
        <w:rPr>
          <w:rFonts w:ascii="Calibri" w:eastAsia="Calibri" w:hAnsi="Calibri" w:cs="Times New Roman"/>
          <w:i/>
          <w:iCs/>
          <w:sz w:val="24"/>
          <w:szCs w:val="24"/>
        </w:rPr>
        <w:t xml:space="preserve"> Considerations should also be given to the need to set up infrastructure banks similar to what is in operation in other </w:t>
      </w:r>
      <w:r>
        <w:rPr>
          <w:rFonts w:ascii="Calibri" w:eastAsia="Calibri" w:hAnsi="Calibri" w:cs="Times New Roman"/>
          <w:i/>
          <w:iCs/>
          <w:sz w:val="24"/>
          <w:szCs w:val="24"/>
        </w:rPr>
        <w:t>countries such as China and Singapore</w:t>
      </w:r>
      <w:r w:rsidRPr="00F16429">
        <w:rPr>
          <w:rFonts w:ascii="Calibri" w:eastAsia="Calibri" w:hAnsi="Calibri" w:cs="Times New Roman"/>
          <w:i/>
          <w:iCs/>
          <w:sz w:val="24"/>
          <w:szCs w:val="24"/>
        </w:rPr>
        <w:t xml:space="preserve"> to stimulate private investment and to complement public sector budget allocations. Improving infrastructure project implementation through </w:t>
      </w:r>
      <w:r w:rsidRPr="00C52E02">
        <w:rPr>
          <w:rFonts w:ascii="Calibri" w:eastAsia="Calibri" w:hAnsi="Calibri" w:cs="Times New Roman"/>
          <w:i/>
          <w:iCs/>
          <w:sz w:val="24"/>
          <w:szCs w:val="24"/>
        </w:rPr>
        <w:t>institutional coordination</w:t>
      </w:r>
      <w:r w:rsidRPr="00F16429">
        <w:rPr>
          <w:rFonts w:ascii="Calibri" w:eastAsia="Calibri" w:hAnsi="Calibri" w:cs="Times New Roman"/>
          <w:i/>
          <w:iCs/>
          <w:sz w:val="24"/>
          <w:szCs w:val="24"/>
        </w:rPr>
        <w:t xml:space="preserve"> will boost economic growth post Brexit</w:t>
      </w:r>
      <w:r>
        <w:rPr>
          <w:rFonts w:ascii="Calibri" w:eastAsia="Calibri" w:hAnsi="Calibri" w:cs="Times New Roman"/>
          <w:i/>
          <w:iCs/>
          <w:sz w:val="24"/>
          <w:szCs w:val="24"/>
        </w:rPr>
        <w:t>,</w:t>
      </w:r>
      <w:r w:rsidRPr="00F16429">
        <w:rPr>
          <w:rFonts w:ascii="Calibri" w:eastAsia="Calibri" w:hAnsi="Calibri" w:cs="Times New Roman"/>
          <w:i/>
          <w:iCs/>
          <w:sz w:val="24"/>
          <w:szCs w:val="24"/>
        </w:rPr>
        <w:t xml:space="preserve"> support the development of new trading </w:t>
      </w:r>
      <w:r w:rsidRPr="0031668C">
        <w:rPr>
          <w:rFonts w:ascii="Calibri" w:eastAsia="Calibri" w:hAnsi="Calibri" w:cs="Times New Roman"/>
          <w:i/>
          <w:iCs/>
          <w:sz w:val="24"/>
          <w:szCs w:val="24"/>
        </w:rPr>
        <w:t>agreements and enhance the country’s economic performance after the pandemic.</w:t>
      </w:r>
    </w:p>
    <w:p w14:paraId="3786A17F" w14:textId="77777777" w:rsidR="00607A0D" w:rsidRPr="0031668C" w:rsidRDefault="00607A0D" w:rsidP="00607A0D">
      <w:pPr>
        <w:autoSpaceDE w:val="0"/>
        <w:autoSpaceDN w:val="0"/>
        <w:adjustRightInd w:val="0"/>
        <w:spacing w:after="0" w:line="360" w:lineRule="auto"/>
        <w:rPr>
          <w:rFonts w:ascii="Calibri" w:eastAsia="Calibri" w:hAnsi="Calibri" w:cs="Times New Roman"/>
          <w:sz w:val="24"/>
          <w:szCs w:val="24"/>
        </w:rPr>
      </w:pPr>
    </w:p>
    <w:p w14:paraId="42EE5E00" w14:textId="77777777" w:rsidR="00607A0D" w:rsidRDefault="00607A0D" w:rsidP="00607A0D">
      <w:pPr>
        <w:autoSpaceDE w:val="0"/>
        <w:autoSpaceDN w:val="0"/>
        <w:adjustRightInd w:val="0"/>
        <w:spacing w:after="0" w:line="360" w:lineRule="auto"/>
        <w:rPr>
          <w:rFonts w:ascii="Calibri" w:eastAsia="Calibri" w:hAnsi="Calibri" w:cs="Times New Roman"/>
          <w:sz w:val="24"/>
          <w:szCs w:val="24"/>
        </w:rPr>
      </w:pPr>
    </w:p>
    <w:p w14:paraId="4D99102C" w14:textId="77777777" w:rsidR="00607A0D" w:rsidRDefault="00607A0D" w:rsidP="00607A0D">
      <w:pPr>
        <w:autoSpaceDE w:val="0"/>
        <w:autoSpaceDN w:val="0"/>
        <w:adjustRightInd w:val="0"/>
        <w:spacing w:after="0" w:line="360" w:lineRule="auto"/>
        <w:rPr>
          <w:rFonts w:ascii="Calibri" w:eastAsia="Calibri" w:hAnsi="Calibri" w:cs="Times New Roman"/>
          <w:sz w:val="24"/>
          <w:szCs w:val="24"/>
        </w:rPr>
      </w:pPr>
      <w:r w:rsidRPr="003B73C3">
        <w:rPr>
          <w:rFonts w:ascii="Calibri" w:eastAsia="Calibri" w:hAnsi="Calibri" w:cs="Times New Roman"/>
          <w:b/>
          <w:bCs/>
          <w:sz w:val="24"/>
          <w:szCs w:val="24"/>
        </w:rPr>
        <w:t>Keywords</w:t>
      </w:r>
      <w:r>
        <w:rPr>
          <w:rFonts w:ascii="Calibri" w:eastAsia="Calibri" w:hAnsi="Calibri" w:cs="Times New Roman"/>
          <w:sz w:val="24"/>
          <w:szCs w:val="24"/>
        </w:rPr>
        <w:t>: Infrastructure, Investment, Policy Drivers, Investible Projects, Economic Growth.</w:t>
      </w:r>
    </w:p>
    <w:p w14:paraId="040E5097" w14:textId="77777777" w:rsidR="00607A0D" w:rsidRDefault="00607A0D" w:rsidP="00607A0D">
      <w:pPr>
        <w:rPr>
          <w:rFonts w:ascii="Calibri" w:eastAsia="Calibri" w:hAnsi="Calibri" w:cs="Times New Roman"/>
          <w:b/>
        </w:rPr>
      </w:pPr>
    </w:p>
    <w:p w14:paraId="0CFBC292" w14:textId="77777777" w:rsidR="00607A0D" w:rsidRDefault="00607A0D" w:rsidP="00607A0D">
      <w:pPr>
        <w:rPr>
          <w:rFonts w:ascii="Calibri" w:eastAsia="Calibri" w:hAnsi="Calibri" w:cs="Times New Roman"/>
          <w:b/>
        </w:rPr>
      </w:pPr>
    </w:p>
    <w:p w14:paraId="3164084C" w14:textId="77777777" w:rsidR="00607A0D" w:rsidRPr="00556E70" w:rsidRDefault="00607A0D" w:rsidP="00607A0D">
      <w:pPr>
        <w:rPr>
          <w:rFonts w:ascii="Calibri" w:eastAsia="Calibri" w:hAnsi="Calibri" w:cs="Times New Roman"/>
          <w:b/>
          <w:sz w:val="24"/>
          <w:szCs w:val="24"/>
        </w:rPr>
      </w:pPr>
      <w:r>
        <w:rPr>
          <w:rFonts w:ascii="Calibri" w:eastAsia="Calibri" w:hAnsi="Calibri" w:cs="Times New Roman"/>
          <w:b/>
          <w:sz w:val="24"/>
          <w:szCs w:val="24"/>
        </w:rPr>
        <w:lastRenderedPageBreak/>
        <w:t>1.</w:t>
      </w:r>
      <w:r>
        <w:rPr>
          <w:rFonts w:ascii="Calibri" w:eastAsia="Calibri" w:hAnsi="Calibri" w:cs="Times New Roman"/>
          <w:b/>
          <w:sz w:val="24"/>
          <w:szCs w:val="24"/>
        </w:rPr>
        <w:tab/>
      </w:r>
      <w:r w:rsidRPr="00556E70">
        <w:rPr>
          <w:rFonts w:ascii="Calibri" w:eastAsia="Calibri" w:hAnsi="Calibri" w:cs="Times New Roman"/>
          <w:b/>
          <w:sz w:val="24"/>
          <w:szCs w:val="24"/>
        </w:rPr>
        <w:t>INTRODUCTION</w:t>
      </w:r>
    </w:p>
    <w:p w14:paraId="659F1A5B" w14:textId="77777777" w:rsidR="00607A0D" w:rsidRPr="007942B7" w:rsidRDefault="00607A0D" w:rsidP="00607A0D">
      <w:pPr>
        <w:spacing w:line="360" w:lineRule="auto"/>
        <w:jc w:val="both"/>
        <w:rPr>
          <w:rFonts w:ascii="Calibri" w:eastAsia="Calibri" w:hAnsi="Calibri" w:cs="Times New Roman"/>
          <w:sz w:val="24"/>
          <w:szCs w:val="24"/>
        </w:rPr>
      </w:pPr>
      <w:r w:rsidRPr="007942B7">
        <w:rPr>
          <w:rFonts w:cstheme="minorHAnsi"/>
          <w:sz w:val="24"/>
          <w:szCs w:val="24"/>
        </w:rPr>
        <w:t xml:space="preserve">Infrastructure plays a key role in economic development by providing a competitive advantage in the market, and in driving international trade in goods and services. </w:t>
      </w:r>
      <w:r w:rsidRPr="007942B7">
        <w:rPr>
          <w:rFonts w:cstheme="minorHAnsi"/>
          <w:i/>
          <w:iCs/>
          <w:sz w:val="24"/>
          <w:szCs w:val="24"/>
        </w:rPr>
        <w:t xml:space="preserve"> </w:t>
      </w:r>
      <w:r w:rsidRPr="007942B7">
        <w:rPr>
          <w:rFonts w:cstheme="minorHAnsi"/>
          <w:sz w:val="24"/>
          <w:szCs w:val="24"/>
        </w:rPr>
        <w:t xml:space="preserve">Infrastructure such as roads, ports, power supply, railways, airports, telecommunication systems, factories, warehouses, and business parks are therefore required to support industrial production, manufacturing, retail and the services sector (Robinson et al, 2015). For example, to facilitate exports of goods and services, it is essential to reduce production, distribution and transaction costs by improving energy efficiency of buildings and expanding road, rail and other communication infrastructure. </w:t>
      </w:r>
      <w:r w:rsidRPr="007942B7">
        <w:rPr>
          <w:rFonts w:ascii="Calibri" w:eastAsia="Calibri" w:hAnsi="Calibri" w:cs="Times New Roman"/>
          <w:sz w:val="24"/>
          <w:szCs w:val="24"/>
        </w:rPr>
        <w:t xml:space="preserve"> Inadequate infrastructure can have a damaging effect on the economy </w:t>
      </w:r>
      <w:r>
        <w:rPr>
          <w:rFonts w:ascii="Calibri" w:eastAsia="Calibri" w:hAnsi="Calibri" w:cs="Times New Roman"/>
          <w:sz w:val="24"/>
          <w:szCs w:val="24"/>
        </w:rPr>
        <w:t xml:space="preserve">such </w:t>
      </w:r>
      <w:r w:rsidRPr="0031668C">
        <w:rPr>
          <w:rFonts w:ascii="Calibri" w:eastAsia="Calibri" w:hAnsi="Calibri" w:cs="Times New Roman"/>
          <w:sz w:val="24"/>
          <w:szCs w:val="24"/>
        </w:rPr>
        <w:t xml:space="preserve">as reduced economic growth, job opportunities, productivity and competitiveness </w:t>
      </w:r>
      <w:r>
        <w:rPr>
          <w:rFonts w:ascii="Calibri" w:eastAsia="Calibri" w:hAnsi="Calibri" w:cs="Times New Roman"/>
          <w:sz w:val="24"/>
          <w:szCs w:val="24"/>
        </w:rPr>
        <w:t>(</w:t>
      </w:r>
      <w:r w:rsidRPr="007942B7">
        <w:rPr>
          <w:rFonts w:ascii="Calibri" w:eastAsia="Calibri" w:hAnsi="Calibri" w:cs="Times New Roman"/>
          <w:sz w:val="24"/>
          <w:szCs w:val="24"/>
        </w:rPr>
        <w:t xml:space="preserve">Seidu et al., 2020). </w:t>
      </w:r>
    </w:p>
    <w:p w14:paraId="23C31197" w14:textId="77777777" w:rsidR="00607A0D" w:rsidRDefault="00607A0D" w:rsidP="00607A0D">
      <w:pPr>
        <w:autoSpaceDE w:val="0"/>
        <w:autoSpaceDN w:val="0"/>
        <w:adjustRightInd w:val="0"/>
        <w:spacing w:after="0" w:line="360" w:lineRule="auto"/>
        <w:jc w:val="both"/>
        <w:rPr>
          <w:rFonts w:cstheme="minorHAnsi"/>
          <w:sz w:val="24"/>
          <w:szCs w:val="24"/>
        </w:rPr>
      </w:pPr>
      <w:r w:rsidRPr="002B27D0">
        <w:rPr>
          <w:rFonts w:ascii="Calibri" w:eastAsia="Calibri" w:hAnsi="Calibri" w:cs="Times New Roman"/>
          <w:sz w:val="24"/>
          <w:szCs w:val="24"/>
        </w:rPr>
        <w:t xml:space="preserve">Infrastructure is </w:t>
      </w:r>
      <w:r>
        <w:rPr>
          <w:rFonts w:ascii="Calibri" w:eastAsia="Calibri" w:hAnsi="Calibri" w:cs="Times New Roman"/>
          <w:sz w:val="24"/>
          <w:szCs w:val="24"/>
        </w:rPr>
        <w:t xml:space="preserve">a critical </w:t>
      </w:r>
      <w:r w:rsidRPr="002B27D0">
        <w:rPr>
          <w:rFonts w:ascii="Calibri" w:eastAsia="Calibri" w:hAnsi="Calibri" w:cs="Times New Roman"/>
          <w:sz w:val="24"/>
          <w:szCs w:val="24"/>
        </w:rPr>
        <w:t xml:space="preserve">factor in fostering strong and sustained economic growth. Sufficient attention </w:t>
      </w:r>
      <w:r>
        <w:rPr>
          <w:rFonts w:ascii="Calibri" w:eastAsia="Calibri" w:hAnsi="Calibri" w:cs="Times New Roman"/>
          <w:sz w:val="24"/>
          <w:szCs w:val="24"/>
        </w:rPr>
        <w:t>should therefore be</w:t>
      </w:r>
      <w:r w:rsidRPr="002B27D0">
        <w:rPr>
          <w:rFonts w:ascii="Calibri" w:eastAsia="Calibri" w:hAnsi="Calibri" w:cs="Times New Roman"/>
          <w:sz w:val="24"/>
          <w:szCs w:val="24"/>
        </w:rPr>
        <w:t xml:space="preserve"> given to allocation of investment and utilisation of resources to produce the maximum impact of increased infrastructure investment</w:t>
      </w:r>
      <w:r>
        <w:rPr>
          <w:rFonts w:ascii="Calibri" w:eastAsia="Calibri" w:hAnsi="Calibri" w:cs="Times New Roman"/>
          <w:sz w:val="24"/>
          <w:szCs w:val="24"/>
        </w:rPr>
        <w:t xml:space="preserve"> (Yu, 2017)</w:t>
      </w:r>
      <w:r w:rsidRPr="002B27D0">
        <w:rPr>
          <w:rFonts w:ascii="Calibri" w:eastAsia="Calibri" w:hAnsi="Calibri" w:cs="Times New Roman"/>
          <w:sz w:val="24"/>
          <w:szCs w:val="24"/>
        </w:rPr>
        <w:t xml:space="preserve">. </w:t>
      </w:r>
      <w:r>
        <w:rPr>
          <w:rFonts w:cstheme="minorHAnsi"/>
          <w:sz w:val="24"/>
          <w:szCs w:val="24"/>
        </w:rPr>
        <w:t xml:space="preserve"> </w:t>
      </w:r>
      <w:r w:rsidRPr="00D55281">
        <w:rPr>
          <w:rFonts w:cstheme="minorHAnsi"/>
          <w:sz w:val="24"/>
          <w:szCs w:val="24"/>
        </w:rPr>
        <w:t>However, appropriate policy measures are crucial to stimulate infrastructure investment</w:t>
      </w:r>
      <w:r>
        <w:rPr>
          <w:rFonts w:cstheme="minorHAnsi"/>
          <w:sz w:val="24"/>
          <w:szCs w:val="24"/>
        </w:rPr>
        <w:t xml:space="preserve"> and </w:t>
      </w:r>
      <w:r w:rsidRPr="00D55281">
        <w:rPr>
          <w:rFonts w:cstheme="minorHAnsi"/>
          <w:sz w:val="24"/>
          <w:szCs w:val="24"/>
        </w:rPr>
        <w:t>to promote</w:t>
      </w:r>
      <w:r>
        <w:rPr>
          <w:rFonts w:cstheme="minorHAnsi"/>
          <w:sz w:val="24"/>
          <w:szCs w:val="24"/>
        </w:rPr>
        <w:t>,</w:t>
      </w:r>
      <w:r w:rsidRPr="00D55281">
        <w:rPr>
          <w:rFonts w:cstheme="minorHAnsi"/>
          <w:sz w:val="24"/>
          <w:szCs w:val="24"/>
        </w:rPr>
        <w:t xml:space="preserve"> for example, efficiency, and productivity as well as to reduce social, environmental and economic costs in response to global and national agenda such as climate change, sustainability, and building Information Modelling (BIM).</w:t>
      </w:r>
      <w:r>
        <w:rPr>
          <w:rFonts w:cstheme="minorHAnsi"/>
          <w:sz w:val="24"/>
          <w:szCs w:val="24"/>
        </w:rPr>
        <w:t xml:space="preserve"> </w:t>
      </w:r>
      <w:r w:rsidRPr="002B27D0">
        <w:rPr>
          <w:rFonts w:ascii="Calibri" w:eastAsia="Calibri" w:hAnsi="Calibri" w:cs="Times New Roman"/>
          <w:sz w:val="24"/>
          <w:szCs w:val="24"/>
        </w:rPr>
        <w:t xml:space="preserve">Project selection and implementation </w:t>
      </w:r>
      <w:r>
        <w:rPr>
          <w:rFonts w:ascii="Calibri" w:eastAsia="Calibri" w:hAnsi="Calibri" w:cs="Times New Roman"/>
          <w:sz w:val="24"/>
          <w:szCs w:val="24"/>
        </w:rPr>
        <w:t xml:space="preserve">of infrastructure guided by appropriate policies </w:t>
      </w:r>
      <w:r w:rsidRPr="002B27D0">
        <w:rPr>
          <w:rFonts w:ascii="Calibri" w:eastAsia="Calibri" w:hAnsi="Calibri" w:cs="Times New Roman"/>
          <w:sz w:val="24"/>
          <w:szCs w:val="24"/>
        </w:rPr>
        <w:t xml:space="preserve">will significantly enhance the growth benefits and return on investment (World Bank Group, 2014). </w:t>
      </w:r>
    </w:p>
    <w:p w14:paraId="0D86A35A" w14:textId="77777777" w:rsidR="00607A0D" w:rsidRPr="00C510B3" w:rsidRDefault="00607A0D" w:rsidP="00607A0D">
      <w:pPr>
        <w:autoSpaceDE w:val="0"/>
        <w:autoSpaceDN w:val="0"/>
        <w:adjustRightInd w:val="0"/>
        <w:spacing w:after="0" w:line="360" w:lineRule="auto"/>
        <w:jc w:val="both"/>
        <w:rPr>
          <w:rFonts w:cstheme="minorHAnsi"/>
          <w:sz w:val="24"/>
          <w:szCs w:val="24"/>
        </w:rPr>
      </w:pPr>
    </w:p>
    <w:p w14:paraId="013570D7" w14:textId="77777777" w:rsidR="00607A0D" w:rsidRDefault="00607A0D" w:rsidP="00607A0D">
      <w:pPr>
        <w:autoSpaceDE w:val="0"/>
        <w:autoSpaceDN w:val="0"/>
        <w:adjustRightInd w:val="0"/>
        <w:spacing w:after="0" w:line="360" w:lineRule="auto"/>
        <w:jc w:val="both"/>
        <w:rPr>
          <w:rFonts w:ascii="Calibri" w:eastAsia="Calibri" w:hAnsi="Calibri" w:cs="Times New Roman"/>
          <w:sz w:val="24"/>
          <w:szCs w:val="24"/>
        </w:rPr>
      </w:pPr>
      <w:r w:rsidRPr="002B27D0">
        <w:rPr>
          <w:rFonts w:ascii="Calibri" w:eastAsia="Calibri" w:hAnsi="Calibri" w:cs="Times New Roman"/>
          <w:sz w:val="24"/>
          <w:szCs w:val="24"/>
        </w:rPr>
        <w:t xml:space="preserve">Investment levels </w:t>
      </w:r>
      <w:r>
        <w:rPr>
          <w:rFonts w:ascii="Calibri" w:eastAsia="Calibri" w:hAnsi="Calibri" w:cs="Times New Roman"/>
          <w:sz w:val="24"/>
          <w:szCs w:val="24"/>
        </w:rPr>
        <w:t>in infrastructure in the UK were</w:t>
      </w:r>
      <w:r w:rsidRPr="002B27D0">
        <w:rPr>
          <w:rFonts w:ascii="Calibri" w:eastAsia="Calibri" w:hAnsi="Calibri" w:cs="Times New Roman"/>
          <w:sz w:val="24"/>
          <w:szCs w:val="24"/>
        </w:rPr>
        <w:t xml:space="preserve"> </w:t>
      </w:r>
      <w:r>
        <w:rPr>
          <w:rFonts w:ascii="Calibri" w:eastAsia="Calibri" w:hAnsi="Calibri" w:cs="Times New Roman"/>
          <w:sz w:val="24"/>
          <w:szCs w:val="24"/>
        </w:rPr>
        <w:t xml:space="preserve">noted to be </w:t>
      </w:r>
      <w:r w:rsidRPr="002B27D0">
        <w:rPr>
          <w:rFonts w:ascii="Calibri" w:eastAsia="Calibri" w:hAnsi="Calibri" w:cs="Times New Roman"/>
          <w:sz w:val="24"/>
          <w:szCs w:val="24"/>
        </w:rPr>
        <w:t xml:space="preserve">comparatively low when compared to equivalent developed nations. </w:t>
      </w:r>
      <w:r>
        <w:rPr>
          <w:rFonts w:ascii="Calibri" w:eastAsia="Calibri" w:hAnsi="Calibri" w:cs="Times New Roman"/>
          <w:sz w:val="24"/>
          <w:szCs w:val="24"/>
        </w:rPr>
        <w:t xml:space="preserve"> </w:t>
      </w:r>
      <w:r w:rsidRPr="002B27D0">
        <w:rPr>
          <w:rFonts w:ascii="Calibri" w:eastAsia="Calibri" w:hAnsi="Calibri" w:cs="Times New Roman"/>
          <w:sz w:val="24"/>
          <w:szCs w:val="24"/>
        </w:rPr>
        <w:t xml:space="preserve">There are </w:t>
      </w:r>
      <w:r>
        <w:rPr>
          <w:rFonts w:ascii="Calibri" w:eastAsia="Calibri" w:hAnsi="Calibri" w:cs="Times New Roman"/>
          <w:sz w:val="24"/>
          <w:szCs w:val="24"/>
        </w:rPr>
        <w:t xml:space="preserve">also </w:t>
      </w:r>
      <w:r w:rsidRPr="002B27D0">
        <w:rPr>
          <w:rFonts w:ascii="Calibri" w:eastAsia="Calibri" w:hAnsi="Calibri" w:cs="Times New Roman"/>
          <w:sz w:val="24"/>
          <w:szCs w:val="24"/>
        </w:rPr>
        <w:t xml:space="preserve">clear arguments as to regional </w:t>
      </w:r>
      <w:r>
        <w:rPr>
          <w:rFonts w:ascii="Calibri" w:eastAsia="Calibri" w:hAnsi="Calibri" w:cs="Times New Roman"/>
          <w:sz w:val="24"/>
          <w:szCs w:val="24"/>
        </w:rPr>
        <w:t>dimensions of infrastructure projects</w:t>
      </w:r>
      <w:r w:rsidRPr="002B27D0">
        <w:rPr>
          <w:rFonts w:ascii="Calibri" w:eastAsia="Calibri" w:hAnsi="Calibri" w:cs="Times New Roman"/>
          <w:sz w:val="24"/>
          <w:szCs w:val="24"/>
        </w:rPr>
        <w:t xml:space="preserve"> </w:t>
      </w:r>
      <w:r>
        <w:rPr>
          <w:rFonts w:ascii="Calibri" w:eastAsia="Calibri" w:hAnsi="Calibri" w:cs="Times New Roman"/>
          <w:sz w:val="24"/>
          <w:szCs w:val="24"/>
        </w:rPr>
        <w:t xml:space="preserve">to </w:t>
      </w:r>
      <w:r w:rsidRPr="002B27D0">
        <w:rPr>
          <w:rFonts w:ascii="Calibri" w:eastAsia="Calibri" w:hAnsi="Calibri" w:cs="Times New Roman"/>
          <w:sz w:val="24"/>
          <w:szCs w:val="24"/>
        </w:rPr>
        <w:t>maximise impact, as well as a proactive infrastructure policy creating “spare capacity”</w:t>
      </w:r>
      <w:r>
        <w:rPr>
          <w:rFonts w:ascii="Calibri" w:eastAsia="Calibri" w:hAnsi="Calibri" w:cs="Times New Roman"/>
          <w:sz w:val="24"/>
          <w:szCs w:val="24"/>
        </w:rPr>
        <w:t xml:space="preserve"> to support further growth</w:t>
      </w:r>
      <w:r w:rsidRPr="002B27D0">
        <w:rPr>
          <w:rFonts w:ascii="Calibri" w:eastAsia="Calibri" w:hAnsi="Calibri" w:cs="Times New Roman"/>
          <w:sz w:val="24"/>
          <w:szCs w:val="24"/>
        </w:rPr>
        <w:t xml:space="preserve">. </w:t>
      </w:r>
      <w:r>
        <w:rPr>
          <w:rFonts w:ascii="Calibri" w:eastAsia="Calibri" w:hAnsi="Calibri" w:cs="Times New Roman"/>
          <w:sz w:val="24"/>
          <w:szCs w:val="24"/>
        </w:rPr>
        <w:t xml:space="preserve"> For example,</w:t>
      </w:r>
      <w:r w:rsidRPr="002B27D0">
        <w:rPr>
          <w:rFonts w:ascii="Calibri" w:eastAsia="Calibri" w:hAnsi="Calibri" w:cs="Times New Roman"/>
          <w:sz w:val="24"/>
          <w:szCs w:val="24"/>
        </w:rPr>
        <w:t xml:space="preserve"> London </w:t>
      </w:r>
      <w:r>
        <w:rPr>
          <w:rFonts w:ascii="Calibri" w:eastAsia="Calibri" w:hAnsi="Calibri" w:cs="Times New Roman"/>
          <w:sz w:val="24"/>
          <w:szCs w:val="24"/>
        </w:rPr>
        <w:t>benefits from</w:t>
      </w:r>
      <w:r w:rsidRPr="002B27D0">
        <w:rPr>
          <w:rFonts w:ascii="Calibri" w:eastAsia="Calibri" w:hAnsi="Calibri" w:cs="Times New Roman"/>
          <w:sz w:val="24"/>
          <w:szCs w:val="24"/>
        </w:rPr>
        <w:t xml:space="preserve"> a disproportionate amount of infrastructure funding; focusing particularly on transport. There are calls for further devolution to cities and regions, following the</w:t>
      </w:r>
      <w:r w:rsidRPr="002B27D0">
        <w:rPr>
          <w:rFonts w:ascii="Calibri" w:eastAsia="Calibri" w:hAnsi="Calibri" w:cs="Times New Roman"/>
          <w:i/>
          <w:sz w:val="24"/>
          <w:szCs w:val="24"/>
        </w:rPr>
        <w:t xml:space="preserve"> </w:t>
      </w:r>
      <w:r w:rsidRPr="002B27D0">
        <w:rPr>
          <w:rFonts w:ascii="Calibri" w:eastAsia="Calibri" w:hAnsi="Calibri" w:cs="Times New Roman"/>
          <w:sz w:val="24"/>
          <w:szCs w:val="24"/>
        </w:rPr>
        <w:t>City Deal agreements, and Localism Act 2011, including more power to cities and regions to receive grants for infrastructure plans, and more control over spending and the ability to attract private investment.</w:t>
      </w:r>
    </w:p>
    <w:p w14:paraId="7A36A3F8" w14:textId="77777777" w:rsidR="00607A0D" w:rsidRDefault="00607A0D" w:rsidP="00607A0D">
      <w:pPr>
        <w:spacing w:line="360" w:lineRule="auto"/>
        <w:jc w:val="both"/>
        <w:rPr>
          <w:rFonts w:ascii="Calibri" w:eastAsia="Calibri" w:hAnsi="Calibri" w:cs="Times New Roman"/>
          <w:sz w:val="24"/>
          <w:szCs w:val="24"/>
        </w:rPr>
      </w:pPr>
    </w:p>
    <w:p w14:paraId="1D3D6652" w14:textId="77777777" w:rsidR="00607A0D" w:rsidRDefault="00607A0D" w:rsidP="00607A0D">
      <w:pPr>
        <w:autoSpaceDE w:val="0"/>
        <w:autoSpaceDN w:val="0"/>
        <w:adjustRightInd w:val="0"/>
        <w:spacing w:after="0" w:line="360" w:lineRule="auto"/>
        <w:jc w:val="both"/>
        <w:rPr>
          <w:rFonts w:cstheme="minorHAnsi"/>
          <w:sz w:val="24"/>
          <w:szCs w:val="24"/>
        </w:rPr>
      </w:pPr>
      <w:r w:rsidRPr="00E0292C">
        <w:rPr>
          <w:rFonts w:eastAsia="Calibri" w:cstheme="minorHAnsi"/>
          <w:sz w:val="24"/>
          <w:szCs w:val="24"/>
        </w:rPr>
        <w:lastRenderedPageBreak/>
        <w:t xml:space="preserve">Given the potential for an economic downturn after Brexit, with the Office of Budget Responsibility forecasting that the economy could be £26bn smaller by 2020/21 than was expected in March 2016 (Rumfitt, 2017), there is a potential to utilise infrastructure as an engine to grow the UK economy, address regional disparities and to create employment. It was also predicted that unemployment will surge to 2.6m in mid-2021 due to the government struggling with the increasing rate of Covid-19 (BBC, 2020).  </w:t>
      </w:r>
      <w:r w:rsidRPr="00E0292C">
        <w:rPr>
          <w:rFonts w:cstheme="minorHAnsi"/>
          <w:sz w:val="24"/>
          <w:szCs w:val="24"/>
        </w:rPr>
        <w:t xml:space="preserve">Covid-19 and the agreement on Brexit trade is likely to impact negatively on infrastructure investment. </w:t>
      </w:r>
      <w:r w:rsidRPr="00E0292C">
        <w:rPr>
          <w:rFonts w:eastAsia="Calibri" w:cstheme="minorHAnsi"/>
          <w:sz w:val="24"/>
          <w:szCs w:val="24"/>
        </w:rPr>
        <w:t xml:space="preserve">Against this background, it is important to review the UK policy framework, key drivers for infrastructure investment, and lessons learned from current practices in the UK as well as other countries.  Following this introduction, the paper starts with a </w:t>
      </w:r>
      <w:r>
        <w:rPr>
          <w:rFonts w:eastAsia="Calibri" w:cstheme="minorHAnsi"/>
          <w:sz w:val="24"/>
          <w:szCs w:val="24"/>
        </w:rPr>
        <w:t xml:space="preserve">literature </w:t>
      </w:r>
      <w:r w:rsidRPr="00E0292C">
        <w:rPr>
          <w:rFonts w:eastAsia="Calibri" w:cstheme="minorHAnsi"/>
          <w:sz w:val="24"/>
          <w:szCs w:val="24"/>
        </w:rPr>
        <w:t>review focusing on infrastructure policy, implementation challenges and scale of national and regional investment in the UK.</w:t>
      </w:r>
      <w:r w:rsidRPr="00E0292C">
        <w:rPr>
          <w:rFonts w:cstheme="minorHAnsi"/>
          <w:sz w:val="24"/>
          <w:szCs w:val="24"/>
        </w:rPr>
        <w:t xml:space="preserve"> The research methodology is outlined and findings </w:t>
      </w:r>
      <w:r>
        <w:rPr>
          <w:rFonts w:cstheme="minorHAnsi"/>
          <w:sz w:val="24"/>
          <w:szCs w:val="24"/>
        </w:rPr>
        <w:t xml:space="preserve">from semi-structured interviews </w:t>
      </w:r>
      <w:r w:rsidRPr="00E0292C">
        <w:rPr>
          <w:rFonts w:cstheme="minorHAnsi"/>
          <w:sz w:val="24"/>
          <w:szCs w:val="24"/>
        </w:rPr>
        <w:t xml:space="preserve">are summarized followed by a discussion on the key issues relating to </w:t>
      </w:r>
      <w:r>
        <w:rPr>
          <w:rFonts w:cstheme="minorHAnsi"/>
          <w:sz w:val="24"/>
          <w:szCs w:val="24"/>
        </w:rPr>
        <w:t>UK infrastructure policy</w:t>
      </w:r>
      <w:r w:rsidRPr="00E0292C">
        <w:rPr>
          <w:rFonts w:cstheme="minorHAnsi"/>
          <w:sz w:val="24"/>
          <w:szCs w:val="24"/>
        </w:rPr>
        <w:t xml:space="preserve">, </w:t>
      </w:r>
      <w:r>
        <w:rPr>
          <w:rFonts w:cstheme="minorHAnsi"/>
          <w:sz w:val="24"/>
          <w:szCs w:val="24"/>
        </w:rPr>
        <w:t xml:space="preserve">criticisms on current implementation practices and suggestions on </w:t>
      </w:r>
      <w:r w:rsidRPr="00E0292C">
        <w:rPr>
          <w:rFonts w:cstheme="minorHAnsi"/>
          <w:sz w:val="24"/>
          <w:szCs w:val="24"/>
        </w:rPr>
        <w:t xml:space="preserve">the </w:t>
      </w:r>
      <w:r>
        <w:rPr>
          <w:rFonts w:cstheme="minorHAnsi"/>
          <w:sz w:val="24"/>
          <w:szCs w:val="24"/>
        </w:rPr>
        <w:t>way forward</w:t>
      </w:r>
      <w:r w:rsidRPr="00E0292C">
        <w:rPr>
          <w:rFonts w:cstheme="minorHAnsi"/>
          <w:sz w:val="24"/>
          <w:szCs w:val="24"/>
        </w:rPr>
        <w:t xml:space="preserve"> </w:t>
      </w:r>
      <w:r>
        <w:rPr>
          <w:rFonts w:cstheme="minorHAnsi"/>
          <w:sz w:val="24"/>
          <w:szCs w:val="24"/>
        </w:rPr>
        <w:t>to stimulate infrastructure investment</w:t>
      </w:r>
      <w:r w:rsidRPr="00E0292C">
        <w:rPr>
          <w:rFonts w:cstheme="minorHAnsi"/>
          <w:sz w:val="24"/>
          <w:szCs w:val="24"/>
        </w:rPr>
        <w:t>.</w:t>
      </w:r>
    </w:p>
    <w:p w14:paraId="578B1527" w14:textId="77777777" w:rsidR="00607A0D" w:rsidRPr="00143E4C" w:rsidRDefault="00607A0D" w:rsidP="00607A0D">
      <w:pPr>
        <w:autoSpaceDE w:val="0"/>
        <w:autoSpaceDN w:val="0"/>
        <w:adjustRightInd w:val="0"/>
        <w:spacing w:after="0" w:line="360" w:lineRule="auto"/>
        <w:jc w:val="both"/>
        <w:rPr>
          <w:rFonts w:cstheme="minorHAnsi"/>
          <w:sz w:val="24"/>
          <w:szCs w:val="24"/>
        </w:rPr>
      </w:pPr>
    </w:p>
    <w:p w14:paraId="0DB7704F" w14:textId="77777777" w:rsidR="00607A0D" w:rsidRPr="003B73C3" w:rsidRDefault="00607A0D" w:rsidP="00607A0D">
      <w:pPr>
        <w:spacing w:line="360" w:lineRule="auto"/>
        <w:rPr>
          <w:rFonts w:ascii="Calibri" w:eastAsia="Calibri" w:hAnsi="Calibri" w:cs="Times New Roman"/>
          <w:b/>
          <w:sz w:val="24"/>
          <w:szCs w:val="24"/>
        </w:rPr>
      </w:pPr>
      <w:r>
        <w:rPr>
          <w:rFonts w:ascii="Calibri" w:eastAsia="Calibri" w:hAnsi="Calibri" w:cs="Times New Roman"/>
          <w:b/>
          <w:sz w:val="24"/>
          <w:szCs w:val="24"/>
        </w:rPr>
        <w:t>2.</w:t>
      </w:r>
      <w:r>
        <w:rPr>
          <w:rFonts w:ascii="Calibri" w:eastAsia="Calibri" w:hAnsi="Calibri" w:cs="Times New Roman"/>
          <w:b/>
          <w:sz w:val="24"/>
          <w:szCs w:val="24"/>
        </w:rPr>
        <w:tab/>
      </w:r>
      <w:r w:rsidRPr="003B73C3">
        <w:rPr>
          <w:rFonts w:ascii="Calibri" w:eastAsia="Calibri" w:hAnsi="Calibri" w:cs="Times New Roman"/>
          <w:b/>
          <w:sz w:val="24"/>
          <w:szCs w:val="24"/>
        </w:rPr>
        <w:t>LITERATURE REVIEW</w:t>
      </w:r>
    </w:p>
    <w:p w14:paraId="515C32D5" w14:textId="77777777" w:rsidR="00607A0D" w:rsidRDefault="00607A0D" w:rsidP="00607A0D">
      <w:pPr>
        <w:spacing w:line="360" w:lineRule="auto"/>
        <w:rPr>
          <w:rFonts w:ascii="Calibri" w:eastAsia="Calibri" w:hAnsi="Calibri" w:cs="Times New Roman"/>
          <w:color w:val="FF0000"/>
          <w:sz w:val="24"/>
          <w:szCs w:val="24"/>
        </w:rPr>
      </w:pPr>
      <w:r w:rsidRPr="006E1AEE">
        <w:rPr>
          <w:rFonts w:ascii="Calibri" w:eastAsia="Times New Roman" w:hAnsi="Calibri" w:cs="Times New Roman"/>
          <w:b/>
          <w:sz w:val="26"/>
          <w:szCs w:val="26"/>
        </w:rPr>
        <w:t>Infrastructure Policy</w:t>
      </w:r>
      <w:r>
        <w:rPr>
          <w:rFonts w:ascii="Calibri" w:eastAsia="Times New Roman" w:hAnsi="Calibri" w:cs="Times New Roman"/>
          <w:b/>
          <w:sz w:val="26"/>
          <w:szCs w:val="26"/>
        </w:rPr>
        <w:t xml:space="preserve"> and Implementation Challenges</w:t>
      </w:r>
    </w:p>
    <w:p w14:paraId="5916EEB1" w14:textId="77777777" w:rsidR="00607A0D" w:rsidRPr="0031668C" w:rsidRDefault="00607A0D" w:rsidP="00607A0D">
      <w:pPr>
        <w:spacing w:line="360" w:lineRule="auto"/>
        <w:jc w:val="both"/>
        <w:rPr>
          <w:sz w:val="24"/>
          <w:szCs w:val="24"/>
        </w:rPr>
      </w:pPr>
      <w:r w:rsidRPr="00B72EF2">
        <w:rPr>
          <w:sz w:val="24"/>
          <w:szCs w:val="24"/>
          <w:lang w:val="en-US"/>
        </w:rPr>
        <w:t>Infrastructure services are central to household, community and economic activities a</w:t>
      </w:r>
      <w:r>
        <w:rPr>
          <w:sz w:val="24"/>
          <w:szCs w:val="24"/>
          <w:lang w:val="en-US"/>
        </w:rPr>
        <w:t>s</w:t>
      </w:r>
      <w:r w:rsidRPr="00B72EF2">
        <w:rPr>
          <w:sz w:val="24"/>
          <w:szCs w:val="24"/>
          <w:lang w:val="en-US"/>
        </w:rPr>
        <w:t xml:space="preserve"> they facilitate human development, and </w:t>
      </w:r>
      <w:r>
        <w:rPr>
          <w:sz w:val="24"/>
          <w:szCs w:val="24"/>
          <w:lang w:val="en-US"/>
        </w:rPr>
        <w:t xml:space="preserve">increase </w:t>
      </w:r>
      <w:r w:rsidRPr="00B72EF2">
        <w:rPr>
          <w:sz w:val="24"/>
          <w:szCs w:val="24"/>
          <w:lang w:val="en-US"/>
        </w:rPr>
        <w:t xml:space="preserve">productivity in industry. </w:t>
      </w:r>
      <w:r>
        <w:rPr>
          <w:sz w:val="24"/>
          <w:szCs w:val="24"/>
        </w:rPr>
        <w:t>Key issues on</w:t>
      </w:r>
      <w:r w:rsidRPr="00BC0C99">
        <w:rPr>
          <w:sz w:val="24"/>
          <w:szCs w:val="24"/>
        </w:rPr>
        <w:t xml:space="preserve"> the delivery of infrastructure concerns decisions on what types of infrastructure are required</w:t>
      </w:r>
      <w:r>
        <w:rPr>
          <w:sz w:val="24"/>
          <w:szCs w:val="24"/>
        </w:rPr>
        <w:t xml:space="preserve">, </w:t>
      </w:r>
      <w:r w:rsidRPr="0014024E">
        <w:rPr>
          <w:sz w:val="24"/>
          <w:szCs w:val="24"/>
        </w:rPr>
        <w:t xml:space="preserve">where they are needed, when and how they should be </w:t>
      </w:r>
      <w:r w:rsidRPr="0031668C">
        <w:rPr>
          <w:sz w:val="24"/>
          <w:szCs w:val="24"/>
        </w:rPr>
        <w:t xml:space="preserve">provided (Howes and Robinson, 2005).   </w:t>
      </w:r>
      <w:r w:rsidRPr="0031668C">
        <w:rPr>
          <w:rFonts w:cstheme="minorHAnsi"/>
          <w:sz w:val="24"/>
          <w:szCs w:val="24"/>
        </w:rPr>
        <w:t xml:space="preserve">Infrastructure policy is also expected to clarify requirements at the planning stage when the size, programme and technical issues are decided and how they interact during execution stage, institutional capacity and level of regional development (IMF, 2015).  </w:t>
      </w:r>
      <w:r w:rsidRPr="0031668C">
        <w:rPr>
          <w:spacing w:val="-2"/>
          <w:sz w:val="24"/>
          <w:szCs w:val="24"/>
          <w:lang w:val="en-US"/>
        </w:rPr>
        <w:t>Establishing a policy framework is therefore fundamental to improving the efficiency and effectiveness of infrastructure delivery (OECD, 2015)</w:t>
      </w:r>
      <w:r w:rsidRPr="0031668C">
        <w:rPr>
          <w:rFonts w:cstheme="minorHAnsi"/>
          <w:sz w:val="24"/>
          <w:szCs w:val="24"/>
        </w:rPr>
        <w:t xml:space="preserve">. </w:t>
      </w:r>
      <w:r w:rsidRPr="0031668C">
        <w:rPr>
          <w:sz w:val="24"/>
          <w:szCs w:val="24"/>
        </w:rPr>
        <w:t xml:space="preserve">All policies are based on a conception of moving from a particular situation to an ideal or desired state and every policy also implies a theory or causal relationship (Howes and Robinson, 2005). </w:t>
      </w:r>
    </w:p>
    <w:p w14:paraId="5FCFE9EB" w14:textId="77777777" w:rsidR="00607A0D" w:rsidRPr="00DF18D1" w:rsidRDefault="00607A0D" w:rsidP="00607A0D">
      <w:pPr>
        <w:spacing w:line="360" w:lineRule="auto"/>
        <w:jc w:val="both"/>
        <w:rPr>
          <w:sz w:val="24"/>
          <w:szCs w:val="24"/>
        </w:rPr>
      </w:pPr>
      <w:r w:rsidRPr="00DC43D8">
        <w:rPr>
          <w:sz w:val="24"/>
          <w:szCs w:val="24"/>
        </w:rPr>
        <w:lastRenderedPageBreak/>
        <w:t>However, if the theory or cause-effect links are incorrect, the policy will fail irrespective of how well it is implemented.</w:t>
      </w:r>
      <w:r w:rsidRPr="000B3C31">
        <w:rPr>
          <w:rFonts w:cstheme="minorHAnsi"/>
          <w:sz w:val="24"/>
          <w:szCs w:val="24"/>
        </w:rPr>
        <w:t xml:space="preserve"> </w:t>
      </w:r>
      <w:r w:rsidRPr="007E10C3">
        <w:rPr>
          <w:rFonts w:cstheme="minorHAnsi"/>
          <w:sz w:val="24"/>
          <w:szCs w:val="24"/>
        </w:rPr>
        <w:t xml:space="preserve">Seidu et al., (2020) </w:t>
      </w:r>
      <w:r>
        <w:rPr>
          <w:rFonts w:cstheme="minorHAnsi"/>
          <w:sz w:val="24"/>
          <w:szCs w:val="24"/>
        </w:rPr>
        <w:t>also noted that</w:t>
      </w:r>
      <w:r w:rsidRPr="007E10C3">
        <w:rPr>
          <w:rFonts w:cstheme="minorHAnsi"/>
          <w:sz w:val="24"/>
          <w:szCs w:val="24"/>
        </w:rPr>
        <w:t xml:space="preserve"> policy consistency is essential in UK infrastructure to simplify the process, to ease the burden cause</w:t>
      </w:r>
      <w:r>
        <w:rPr>
          <w:rFonts w:cstheme="minorHAnsi"/>
          <w:sz w:val="24"/>
          <w:szCs w:val="24"/>
        </w:rPr>
        <w:t>d</w:t>
      </w:r>
      <w:r w:rsidRPr="007E10C3">
        <w:rPr>
          <w:rFonts w:cstheme="minorHAnsi"/>
          <w:sz w:val="24"/>
          <w:szCs w:val="24"/>
        </w:rPr>
        <w:t xml:space="preserve"> as a result of cost and time overrun, leading to </w:t>
      </w:r>
      <w:r>
        <w:rPr>
          <w:rFonts w:cstheme="minorHAnsi"/>
          <w:sz w:val="24"/>
          <w:szCs w:val="24"/>
        </w:rPr>
        <w:t>improvement in</w:t>
      </w:r>
      <w:r w:rsidRPr="007E10C3">
        <w:rPr>
          <w:rFonts w:cstheme="minorHAnsi"/>
          <w:sz w:val="24"/>
          <w:szCs w:val="24"/>
        </w:rPr>
        <w:t xml:space="preserve"> pre and post contract cost and time estimating. </w:t>
      </w:r>
    </w:p>
    <w:p w14:paraId="464DD29C" w14:textId="77777777" w:rsidR="00607A0D" w:rsidRPr="0031668C" w:rsidRDefault="00607A0D" w:rsidP="00607A0D">
      <w:pPr>
        <w:spacing w:line="360" w:lineRule="auto"/>
        <w:jc w:val="both"/>
        <w:rPr>
          <w:rFonts w:cstheme="minorHAnsi"/>
          <w:sz w:val="24"/>
          <w:szCs w:val="24"/>
        </w:rPr>
      </w:pPr>
      <w:r w:rsidRPr="0014024E">
        <w:rPr>
          <w:rFonts w:cstheme="minorHAnsi"/>
          <w:sz w:val="24"/>
          <w:szCs w:val="24"/>
        </w:rPr>
        <w:t xml:space="preserve">Infrastructure policy for growth and economic development </w:t>
      </w:r>
      <w:r>
        <w:rPr>
          <w:rFonts w:cstheme="minorHAnsi"/>
          <w:sz w:val="24"/>
          <w:szCs w:val="24"/>
        </w:rPr>
        <w:t xml:space="preserve">if properly designed </w:t>
      </w:r>
      <w:r w:rsidRPr="0014024E">
        <w:rPr>
          <w:rFonts w:cstheme="minorHAnsi"/>
          <w:sz w:val="24"/>
          <w:szCs w:val="24"/>
        </w:rPr>
        <w:t>will not only reduce deficits in key types of infrastructure</w:t>
      </w:r>
      <w:r>
        <w:rPr>
          <w:rFonts w:cstheme="minorHAnsi"/>
          <w:sz w:val="24"/>
          <w:szCs w:val="24"/>
        </w:rPr>
        <w:t xml:space="preserve"> to facilitate growth and development but can act as a powerful tool to address other effects such as</w:t>
      </w:r>
      <w:r w:rsidRPr="007E10C3">
        <w:rPr>
          <w:rFonts w:cstheme="minorHAnsi"/>
          <w:sz w:val="24"/>
          <w:szCs w:val="24"/>
        </w:rPr>
        <w:t xml:space="preserve"> migration and population changes</w:t>
      </w:r>
      <w:r>
        <w:rPr>
          <w:rFonts w:cstheme="minorHAnsi"/>
          <w:sz w:val="24"/>
          <w:szCs w:val="24"/>
        </w:rPr>
        <w:t>,</w:t>
      </w:r>
      <w:r w:rsidRPr="007E10C3">
        <w:rPr>
          <w:rFonts w:cstheme="minorHAnsi"/>
          <w:sz w:val="24"/>
          <w:szCs w:val="24"/>
        </w:rPr>
        <w:t xml:space="preserve"> </w:t>
      </w:r>
      <w:r>
        <w:rPr>
          <w:rFonts w:cstheme="minorHAnsi"/>
          <w:sz w:val="24"/>
          <w:szCs w:val="24"/>
        </w:rPr>
        <w:t>i</w:t>
      </w:r>
      <w:r w:rsidRPr="007E10C3">
        <w:rPr>
          <w:rFonts w:cstheme="minorHAnsi"/>
          <w:sz w:val="24"/>
          <w:szCs w:val="24"/>
        </w:rPr>
        <w:t>ncreas</w:t>
      </w:r>
      <w:r>
        <w:rPr>
          <w:rFonts w:cstheme="minorHAnsi"/>
          <w:sz w:val="24"/>
          <w:szCs w:val="24"/>
        </w:rPr>
        <w:t>ing</w:t>
      </w:r>
      <w:r w:rsidRPr="007E10C3">
        <w:rPr>
          <w:rFonts w:cstheme="minorHAnsi"/>
          <w:sz w:val="24"/>
          <w:szCs w:val="24"/>
        </w:rPr>
        <w:t xml:space="preserve"> </w:t>
      </w:r>
      <w:r>
        <w:rPr>
          <w:rFonts w:cstheme="minorHAnsi"/>
          <w:sz w:val="24"/>
          <w:szCs w:val="24"/>
        </w:rPr>
        <w:t xml:space="preserve">employment </w:t>
      </w:r>
      <w:r w:rsidRPr="007E10C3">
        <w:rPr>
          <w:rFonts w:cstheme="minorHAnsi"/>
          <w:sz w:val="24"/>
          <w:szCs w:val="24"/>
        </w:rPr>
        <w:t>and income earning</w:t>
      </w:r>
      <w:r>
        <w:rPr>
          <w:rFonts w:cstheme="minorHAnsi"/>
          <w:sz w:val="24"/>
          <w:szCs w:val="24"/>
        </w:rPr>
        <w:t>s</w:t>
      </w:r>
      <w:r w:rsidRPr="007E10C3">
        <w:rPr>
          <w:rFonts w:cstheme="minorHAnsi"/>
          <w:sz w:val="24"/>
          <w:szCs w:val="24"/>
        </w:rPr>
        <w:t xml:space="preserve"> (Fay and Straub, 2019). </w:t>
      </w:r>
      <w:r>
        <w:rPr>
          <w:rFonts w:cstheme="minorHAnsi"/>
          <w:sz w:val="24"/>
          <w:szCs w:val="24"/>
        </w:rPr>
        <w:t xml:space="preserve"> </w:t>
      </w:r>
      <w:r w:rsidRPr="007E10C3">
        <w:rPr>
          <w:rFonts w:cstheme="minorHAnsi"/>
          <w:sz w:val="24"/>
          <w:szCs w:val="24"/>
        </w:rPr>
        <w:t xml:space="preserve">According to Cerra et al., </w:t>
      </w:r>
      <w:r>
        <w:rPr>
          <w:rFonts w:cstheme="minorHAnsi"/>
          <w:sz w:val="24"/>
          <w:szCs w:val="24"/>
        </w:rPr>
        <w:t>(</w:t>
      </w:r>
      <w:r w:rsidRPr="007E10C3">
        <w:rPr>
          <w:rFonts w:cstheme="minorHAnsi"/>
          <w:sz w:val="24"/>
          <w:szCs w:val="24"/>
        </w:rPr>
        <w:t>2017</w:t>
      </w:r>
      <w:r>
        <w:rPr>
          <w:rFonts w:cstheme="minorHAnsi"/>
          <w:sz w:val="24"/>
          <w:szCs w:val="24"/>
        </w:rPr>
        <w:t>)</w:t>
      </w:r>
      <w:r w:rsidRPr="007E10C3">
        <w:rPr>
          <w:rFonts w:cstheme="minorHAnsi"/>
          <w:sz w:val="24"/>
          <w:szCs w:val="24"/>
        </w:rPr>
        <w:t xml:space="preserve"> infrastructure policy </w:t>
      </w:r>
      <w:r>
        <w:rPr>
          <w:rFonts w:cstheme="minorHAnsi"/>
          <w:sz w:val="24"/>
          <w:szCs w:val="24"/>
        </w:rPr>
        <w:t xml:space="preserve">can </w:t>
      </w:r>
      <w:r w:rsidRPr="007E10C3">
        <w:rPr>
          <w:rFonts w:cstheme="minorHAnsi"/>
          <w:sz w:val="24"/>
          <w:szCs w:val="24"/>
        </w:rPr>
        <w:t xml:space="preserve">contribute to public investment efficiency </w:t>
      </w:r>
      <w:r>
        <w:rPr>
          <w:rFonts w:cstheme="minorHAnsi"/>
          <w:sz w:val="24"/>
          <w:szCs w:val="24"/>
        </w:rPr>
        <w:t>by</w:t>
      </w:r>
      <w:r w:rsidRPr="007E10C3">
        <w:rPr>
          <w:rFonts w:cstheme="minorHAnsi"/>
          <w:sz w:val="24"/>
          <w:szCs w:val="24"/>
        </w:rPr>
        <w:t xml:space="preserve"> act</w:t>
      </w:r>
      <w:r>
        <w:rPr>
          <w:rFonts w:cstheme="minorHAnsi"/>
          <w:sz w:val="24"/>
          <w:szCs w:val="24"/>
        </w:rPr>
        <w:t>ing</w:t>
      </w:r>
      <w:r w:rsidRPr="007E10C3">
        <w:rPr>
          <w:rFonts w:cstheme="minorHAnsi"/>
          <w:sz w:val="24"/>
          <w:szCs w:val="24"/>
        </w:rPr>
        <w:t xml:space="preserve"> as a catalyst for increase and prolonged private investment in </w:t>
      </w:r>
      <w:r>
        <w:rPr>
          <w:rFonts w:cstheme="minorHAnsi"/>
          <w:sz w:val="24"/>
          <w:szCs w:val="24"/>
        </w:rPr>
        <w:t xml:space="preserve">the </w:t>
      </w:r>
      <w:r w:rsidRPr="007E10C3">
        <w:rPr>
          <w:rFonts w:cstheme="minorHAnsi"/>
          <w:sz w:val="24"/>
          <w:szCs w:val="24"/>
        </w:rPr>
        <w:t>development</w:t>
      </w:r>
      <w:r>
        <w:rPr>
          <w:rFonts w:cstheme="minorHAnsi"/>
          <w:sz w:val="24"/>
          <w:szCs w:val="24"/>
        </w:rPr>
        <w:t xml:space="preserve"> process</w:t>
      </w:r>
      <w:r w:rsidRPr="007E10C3">
        <w:rPr>
          <w:rFonts w:cstheme="minorHAnsi"/>
          <w:sz w:val="24"/>
          <w:szCs w:val="24"/>
        </w:rPr>
        <w:t xml:space="preserve">. </w:t>
      </w:r>
    </w:p>
    <w:p w14:paraId="32957647" w14:textId="77777777" w:rsidR="00607A0D" w:rsidRPr="0031668C" w:rsidRDefault="00607A0D" w:rsidP="00607A0D">
      <w:pPr>
        <w:spacing w:line="360" w:lineRule="auto"/>
        <w:jc w:val="both"/>
        <w:rPr>
          <w:sz w:val="24"/>
          <w:szCs w:val="24"/>
        </w:rPr>
      </w:pPr>
      <w:r w:rsidRPr="0031668C">
        <w:rPr>
          <w:sz w:val="24"/>
          <w:szCs w:val="24"/>
        </w:rPr>
        <w:t xml:space="preserve">Governance challenges can also be found in the five stages associated with the life cycle of an infrastructure asset (OECD, 2015), from evaluation of infrastructure needs, decision or prioritisation, project preparation, construction and operation/delivery/maintenance. Overcoming the challenges from gathering of data will enable stakeholders to identify the infrastructure needs, prioritisation of the needs during the planning process for aggregation of the projects followed by analysing the costs and benefits to determine value for money. It is also important to select the best procurement system and to manage the supply chain to avoid time and cost overruns inherent in many infrastructure projects. Applying the correct incentives and tools for monitoring infrastructure performance including provision of planned/unplanned maintenance management is also critical (OECD, 2015). </w:t>
      </w:r>
    </w:p>
    <w:p w14:paraId="2AE73FD6" w14:textId="77777777" w:rsidR="00607A0D" w:rsidRPr="00C66DA3" w:rsidRDefault="00607A0D" w:rsidP="00607A0D">
      <w:pPr>
        <w:spacing w:line="360" w:lineRule="auto"/>
        <w:jc w:val="both"/>
        <w:rPr>
          <w:rFonts w:cstheme="minorHAnsi"/>
          <w:sz w:val="24"/>
          <w:szCs w:val="24"/>
        </w:rPr>
      </w:pPr>
      <w:r w:rsidRPr="008E38EF">
        <w:rPr>
          <w:rFonts w:ascii="Calibri" w:eastAsia="Calibri" w:hAnsi="Calibri" w:cs="Times New Roman"/>
          <w:sz w:val="24"/>
          <w:szCs w:val="24"/>
        </w:rPr>
        <w:t xml:space="preserve">The </w:t>
      </w:r>
      <w:r>
        <w:rPr>
          <w:rFonts w:ascii="Calibri" w:eastAsia="Calibri" w:hAnsi="Calibri" w:cs="Times New Roman"/>
          <w:sz w:val="24"/>
          <w:szCs w:val="24"/>
        </w:rPr>
        <w:t xml:space="preserve">UK </w:t>
      </w:r>
      <w:r w:rsidRPr="008E38EF">
        <w:rPr>
          <w:rFonts w:ascii="Calibri" w:eastAsia="Calibri" w:hAnsi="Calibri" w:cs="Times New Roman"/>
          <w:sz w:val="24"/>
          <w:szCs w:val="24"/>
        </w:rPr>
        <w:t xml:space="preserve">government infrastructure plan sets out the </w:t>
      </w:r>
      <w:r>
        <w:rPr>
          <w:rFonts w:ascii="Calibri" w:eastAsia="Calibri" w:hAnsi="Calibri" w:cs="Times New Roman"/>
          <w:sz w:val="24"/>
          <w:szCs w:val="24"/>
        </w:rPr>
        <w:t xml:space="preserve">policy </w:t>
      </w:r>
      <w:r w:rsidRPr="008E38EF">
        <w:rPr>
          <w:rFonts w:ascii="Calibri" w:eastAsia="Calibri" w:hAnsi="Calibri" w:cs="Times New Roman"/>
          <w:sz w:val="24"/>
          <w:szCs w:val="24"/>
        </w:rPr>
        <w:t xml:space="preserve">aims </w:t>
      </w:r>
      <w:r>
        <w:rPr>
          <w:rFonts w:ascii="Calibri" w:eastAsia="Calibri" w:hAnsi="Calibri" w:cs="Times New Roman"/>
          <w:sz w:val="24"/>
          <w:szCs w:val="24"/>
        </w:rPr>
        <w:t>but i</w:t>
      </w:r>
      <w:r w:rsidRPr="008E38EF">
        <w:rPr>
          <w:rFonts w:ascii="Calibri" w:eastAsia="Calibri" w:hAnsi="Calibri" w:cs="Times New Roman"/>
          <w:sz w:val="24"/>
          <w:szCs w:val="24"/>
        </w:rPr>
        <w:t>n terms of actual implementation, there are a number of criticisms. The current process operates under a framework set out by the Treasury: the Green Book (HM Treasury, 2011)</w:t>
      </w:r>
      <w:r>
        <w:rPr>
          <w:rFonts w:ascii="Calibri" w:eastAsia="Calibri" w:hAnsi="Calibri" w:cs="Times New Roman"/>
          <w:sz w:val="24"/>
          <w:szCs w:val="24"/>
        </w:rPr>
        <w:t xml:space="preserve"> which</w:t>
      </w:r>
      <w:r w:rsidRPr="008E38EF">
        <w:rPr>
          <w:rFonts w:ascii="Calibri" w:eastAsia="Calibri" w:hAnsi="Calibri" w:cs="Times New Roman"/>
          <w:sz w:val="24"/>
          <w:szCs w:val="24"/>
        </w:rPr>
        <w:t xml:space="preserve"> defines the requirement for Government to approve funding. The steps of gaining agreement follows a process of action justification, objective setting, option appraisal, solution development, solution implementation, and evaluation. The Treasury has used a cost to value analysis since the 1960s to establish the projects that are best to pursue (The Economist, 2017). </w:t>
      </w:r>
      <w:r>
        <w:rPr>
          <w:rFonts w:ascii="Calibri" w:eastAsia="Calibri" w:hAnsi="Calibri" w:cs="Times New Roman"/>
          <w:sz w:val="24"/>
          <w:szCs w:val="24"/>
        </w:rPr>
        <w:t xml:space="preserve"> </w:t>
      </w:r>
      <w:r w:rsidRPr="008E38EF">
        <w:rPr>
          <w:rFonts w:ascii="Calibri" w:eastAsia="Calibri" w:hAnsi="Calibri" w:cs="Times New Roman"/>
          <w:sz w:val="24"/>
          <w:szCs w:val="24"/>
        </w:rPr>
        <w:t>The cost</w:t>
      </w:r>
      <w:r>
        <w:rPr>
          <w:rFonts w:ascii="Calibri" w:eastAsia="Calibri" w:hAnsi="Calibri" w:cs="Times New Roman"/>
          <w:sz w:val="24"/>
          <w:szCs w:val="24"/>
        </w:rPr>
        <w:t>-</w:t>
      </w:r>
      <w:r w:rsidRPr="008E38EF">
        <w:rPr>
          <w:rFonts w:ascii="Calibri" w:eastAsia="Calibri" w:hAnsi="Calibri" w:cs="Times New Roman"/>
          <w:sz w:val="24"/>
          <w:szCs w:val="24"/>
        </w:rPr>
        <w:t xml:space="preserve"> benefit analysis of each project is quantified and assigned monetary values to enable direct comparisons of various options. London and the South East can show a higher return on investment due to the ability to maximise the multiplier effect in terms of increased </w:t>
      </w:r>
      <w:r w:rsidRPr="008E38EF">
        <w:rPr>
          <w:rFonts w:ascii="Calibri" w:eastAsia="Calibri" w:hAnsi="Calibri" w:cs="Times New Roman"/>
          <w:sz w:val="24"/>
          <w:szCs w:val="24"/>
        </w:rPr>
        <w:lastRenderedPageBreak/>
        <w:t xml:space="preserve">employment levels, increased investment to local areas, and the amount of use a new service would </w:t>
      </w:r>
      <w:r w:rsidRPr="0031668C">
        <w:rPr>
          <w:rFonts w:ascii="Calibri" w:eastAsia="Calibri" w:hAnsi="Calibri" w:cs="Times New Roman"/>
          <w:sz w:val="24"/>
          <w:szCs w:val="24"/>
        </w:rPr>
        <w:t xml:space="preserve">attract (HM Treasury, 2011; Airports Commission, 2014). </w:t>
      </w:r>
    </w:p>
    <w:p w14:paraId="0488B782" w14:textId="77777777" w:rsidR="00607A0D" w:rsidRPr="000F080B" w:rsidRDefault="00607A0D" w:rsidP="00607A0D">
      <w:pPr>
        <w:spacing w:line="360" w:lineRule="auto"/>
        <w:jc w:val="both"/>
        <w:rPr>
          <w:sz w:val="24"/>
          <w:szCs w:val="24"/>
        </w:rPr>
      </w:pPr>
      <w:r w:rsidRPr="0014024E">
        <w:rPr>
          <w:rFonts w:cstheme="minorHAnsi"/>
          <w:sz w:val="24"/>
          <w:szCs w:val="24"/>
        </w:rPr>
        <w:t xml:space="preserve">Policy makers need to engage with different stakeholders for debating critical policy issues and to capture a range of views such as private investors, </w:t>
      </w:r>
      <w:r>
        <w:rPr>
          <w:rFonts w:cstheme="minorHAnsi"/>
          <w:sz w:val="24"/>
          <w:szCs w:val="24"/>
        </w:rPr>
        <w:t xml:space="preserve">regional leaders, </w:t>
      </w:r>
      <w:r w:rsidRPr="0014024E">
        <w:rPr>
          <w:rFonts w:cstheme="minorHAnsi"/>
          <w:sz w:val="24"/>
          <w:szCs w:val="24"/>
        </w:rPr>
        <w:t>regulators, design and construction firms, consumers and users, and special interest groups like trade unions, environmentalists and conservationists</w:t>
      </w:r>
      <w:r>
        <w:rPr>
          <w:rFonts w:cstheme="minorHAnsi"/>
          <w:sz w:val="24"/>
          <w:szCs w:val="24"/>
        </w:rPr>
        <w:t xml:space="preserve"> (Howes and Robinson, 2005)</w:t>
      </w:r>
      <w:r w:rsidRPr="0014024E">
        <w:rPr>
          <w:rFonts w:cstheme="minorHAnsi"/>
          <w:sz w:val="24"/>
          <w:szCs w:val="24"/>
        </w:rPr>
        <w:t xml:space="preserve">. Depending on the issues different stakeholder interest may impact on the success or failure of a policy. For example, a policy aimed at attracting private investment for infrastructure development </w:t>
      </w:r>
      <w:r>
        <w:rPr>
          <w:rFonts w:cstheme="minorHAnsi"/>
          <w:sz w:val="24"/>
          <w:szCs w:val="24"/>
        </w:rPr>
        <w:t xml:space="preserve">should adequately capture </w:t>
      </w:r>
      <w:r w:rsidRPr="0014024E">
        <w:rPr>
          <w:rFonts w:cstheme="minorHAnsi"/>
          <w:sz w:val="24"/>
          <w:szCs w:val="24"/>
        </w:rPr>
        <w:t xml:space="preserve">the views of the private sector. </w:t>
      </w:r>
      <w:r w:rsidRPr="0014024E">
        <w:rPr>
          <w:rFonts w:eastAsia="Calibri" w:cstheme="minorHAnsi"/>
          <w:sz w:val="24"/>
          <w:szCs w:val="24"/>
        </w:rPr>
        <w:t>‘Joining the dots’</w:t>
      </w:r>
      <w:r w:rsidRPr="0014024E">
        <w:rPr>
          <w:rFonts w:ascii="Calibri" w:eastAsia="Calibri" w:hAnsi="Calibri" w:cs="Times New Roman"/>
          <w:sz w:val="24"/>
          <w:szCs w:val="24"/>
        </w:rPr>
        <w:t>, an initiative formed by The Royal Institute of British Architects (RIBA) with regards to addressing problems with the current approach to the implementation strategy of infrastructure investment (RIBA, 2018) argues that this system is broken. The current system is too centralised to maximise value from projects and would benefit from devolution. ‘Join the dots’ calls for more use of local expertise when making decisions on projects, as well as more varied tools of analysis in terms of value recognition. Cross departmental cooperation or collaboration is critical so that local economic and neighbourhood plans relate to local infrastructure plans and the views of different public bodies are reflected in the values related to new projects. For example, there are a wide range of public bodies which are involved in decision making about infrastructure each with their own strategic aims</w:t>
      </w:r>
      <w:r w:rsidRPr="0031668C">
        <w:rPr>
          <w:rFonts w:ascii="Calibri" w:eastAsia="Calibri" w:hAnsi="Calibri" w:cs="Times New Roman"/>
          <w:sz w:val="24"/>
          <w:szCs w:val="24"/>
        </w:rPr>
        <w:t xml:space="preserve">. </w:t>
      </w:r>
      <w:r w:rsidRPr="0031668C">
        <w:rPr>
          <w:rFonts w:cstheme="minorHAnsi"/>
          <w:sz w:val="24"/>
          <w:szCs w:val="24"/>
        </w:rPr>
        <w:t xml:space="preserve"> </w:t>
      </w:r>
      <w:r w:rsidRPr="0031668C">
        <w:rPr>
          <w:rFonts w:ascii="Calibri" w:eastAsia="Calibri" w:hAnsi="Calibri" w:cs="Times New Roman"/>
          <w:sz w:val="24"/>
          <w:szCs w:val="24"/>
        </w:rPr>
        <w:t>Projects tend to arise from a single department or public body,</w:t>
      </w:r>
      <w:r w:rsidRPr="0031668C">
        <w:t xml:space="preserve"> </w:t>
      </w:r>
      <w:r w:rsidRPr="0031668C">
        <w:rPr>
          <w:rFonts w:ascii="Calibri" w:eastAsia="Calibri" w:hAnsi="Calibri" w:cs="Times New Roman"/>
          <w:sz w:val="24"/>
          <w:szCs w:val="24"/>
        </w:rPr>
        <w:t>the process for decision making about infrastructure is highly technocratic with political sensitivities, where Ministers or local politicians set the goals for evaluating the project by civil servants or local authority officers (RIBA, 2018). For example, transport infrastructure schemes generally aim to increase capacity or to reduce journey times, in line with the policy objectives of the Department for Transport without necessarily conceived to address the ‘big picture’ such as supporting communities and new housing. Hence,</w:t>
      </w:r>
      <w:r w:rsidRPr="0031668C">
        <w:t xml:space="preserve"> making the process rigorous</w:t>
      </w:r>
      <w:r w:rsidRPr="0031668C">
        <w:rPr>
          <w:rFonts w:ascii="Calibri" w:eastAsia="Calibri" w:hAnsi="Calibri" w:cs="Times New Roman"/>
          <w:sz w:val="24"/>
          <w:szCs w:val="24"/>
        </w:rPr>
        <w:t xml:space="preserve"> with a systematic approach will ensure that public officials are held accountable for their decision, and preventing an over estimation of project costs and benefit analysis (RIBA, 2018).  The City Deals Act (HM Government, 2011) atte</w:t>
      </w:r>
      <w:r w:rsidRPr="0014024E">
        <w:rPr>
          <w:rFonts w:ascii="Calibri" w:eastAsia="Calibri" w:hAnsi="Calibri" w:cs="Times New Roman"/>
          <w:sz w:val="24"/>
          <w:szCs w:val="24"/>
        </w:rPr>
        <w:t xml:space="preserve">mpts to address this criticism by focusing on the relationship between local government and stakeholders as opposed to central government, as too often there are uneven and inequitable social outcomes as a result of limited information being presented to central government (O’Brien and Pike, 2015). </w:t>
      </w:r>
      <w:r w:rsidRPr="0014024E">
        <w:rPr>
          <w:rFonts w:ascii="Calibri" w:eastAsia="Calibri" w:hAnsi="Calibri" w:cs="Times New Roman"/>
          <w:sz w:val="24"/>
          <w:szCs w:val="24"/>
        </w:rPr>
        <w:lastRenderedPageBreak/>
        <w:t>However, even with the introduction of the City Deals Act, it is clear that the Greater London Authority has powers which are far more extensive than the rest of the country, with the Mayor of London able to strike deals with central government over control of assets</w:t>
      </w:r>
      <w:r>
        <w:rPr>
          <w:rFonts w:ascii="Calibri" w:eastAsia="Calibri" w:hAnsi="Calibri" w:cs="Times New Roman"/>
          <w:sz w:val="24"/>
          <w:szCs w:val="24"/>
        </w:rPr>
        <w:t xml:space="preserve">. </w:t>
      </w:r>
      <w:r w:rsidRPr="0014024E">
        <w:rPr>
          <w:rFonts w:ascii="Calibri" w:eastAsia="Calibri" w:hAnsi="Calibri" w:cs="Times New Roman"/>
          <w:sz w:val="24"/>
          <w:szCs w:val="24"/>
        </w:rPr>
        <w:t>Although there is support for new devolution deals being implemented such as the City Deals agreement in 2011, there is a need for a solution in every area of the country before forging deals with independent cities and regions (RIBA, 2018).</w:t>
      </w:r>
    </w:p>
    <w:p w14:paraId="0BF4A3A3" w14:textId="77777777" w:rsidR="00607A0D" w:rsidRPr="005910BF" w:rsidRDefault="00607A0D" w:rsidP="00607A0D">
      <w:pPr>
        <w:spacing w:line="360" w:lineRule="auto"/>
        <w:jc w:val="both"/>
        <w:rPr>
          <w:rFonts w:ascii="Calibri" w:eastAsia="Calibri" w:hAnsi="Calibri" w:cs="Times New Roman"/>
          <w:sz w:val="24"/>
          <w:szCs w:val="24"/>
        </w:rPr>
      </w:pPr>
      <w:r w:rsidRPr="0031668C">
        <w:rPr>
          <w:rFonts w:ascii="Calibri" w:eastAsia="Calibri" w:hAnsi="Calibri" w:cs="Times New Roman"/>
          <w:sz w:val="24"/>
          <w:szCs w:val="24"/>
        </w:rPr>
        <w:t>There is a likelihood that attention will focus on macroeconomic effects of large-scale infrastructure investment with less consideration given to micro-level effects of the project (RIBA, 2018). This is sometimes reflected in situations where large-scale projects are taking precedence over local infrastructure projects (i.e., HS2, Crossrail, Thames Tideway), resulting in significant challenges as a result of not considering other sustainable options. A recent estimate put the annual cost of congestion on major roads to be over £9 billion (The Guardian</w:t>
      </w:r>
      <w:r w:rsidRPr="0014024E">
        <w:rPr>
          <w:rFonts w:ascii="Calibri" w:eastAsia="Calibri" w:hAnsi="Calibri" w:cs="Times New Roman"/>
          <w:sz w:val="24"/>
          <w:szCs w:val="24"/>
        </w:rPr>
        <w:t>, 2017), while disruption from flooding costs a further £1 billion every year (Atkins et al, 2016). RIBA, (2018) suggested the idea of integrated urban models based on a combined model of “street networks, public transport networks, land use, density and demographic data.” It is argued that this approach will allow decisions to be made based on information showing how infrastructure will interact with each other and the local economy but requires heavy involvement at a local authority level, which currently is not the case.</w:t>
      </w:r>
      <w:r>
        <w:rPr>
          <w:rFonts w:ascii="Calibri" w:eastAsia="Calibri" w:hAnsi="Calibri" w:cs="Times New Roman"/>
          <w:sz w:val="24"/>
          <w:szCs w:val="24"/>
        </w:rPr>
        <w:t xml:space="preserve">  </w:t>
      </w:r>
      <w:r w:rsidRPr="0014024E">
        <w:rPr>
          <w:sz w:val="24"/>
          <w:szCs w:val="24"/>
        </w:rPr>
        <w:t>Developed nations have been able to strengthen their policy capacity where there is a need to improve infrastructure delivery, to remain internationally competitive and to cope with the increasing challenges of globalisation (Howes and Robinson, 2005).</w:t>
      </w:r>
    </w:p>
    <w:p w14:paraId="43365A8A" w14:textId="77777777" w:rsidR="00607A0D" w:rsidRDefault="00607A0D" w:rsidP="00607A0D">
      <w:pPr>
        <w:spacing w:line="360" w:lineRule="auto"/>
        <w:rPr>
          <w:rFonts w:ascii="Calibri" w:eastAsia="Calibri" w:hAnsi="Calibri" w:cs="Times New Roman"/>
          <w:color w:val="FF0000"/>
          <w:sz w:val="24"/>
          <w:szCs w:val="24"/>
        </w:rPr>
      </w:pPr>
      <w:r>
        <w:rPr>
          <w:rFonts w:ascii="Calibri" w:eastAsia="Times New Roman" w:hAnsi="Calibri" w:cs="Times New Roman"/>
          <w:b/>
          <w:sz w:val="26"/>
          <w:szCs w:val="26"/>
        </w:rPr>
        <w:t>Global Competitiveness and Infrastructure I</w:t>
      </w:r>
      <w:r w:rsidRPr="005356EA">
        <w:rPr>
          <w:rFonts w:ascii="Calibri" w:eastAsia="Times New Roman" w:hAnsi="Calibri" w:cs="Times New Roman"/>
          <w:b/>
          <w:sz w:val="26"/>
          <w:szCs w:val="26"/>
        </w:rPr>
        <w:t xml:space="preserve">nvestment </w:t>
      </w:r>
    </w:p>
    <w:p w14:paraId="173C2E10" w14:textId="77777777" w:rsidR="00607A0D" w:rsidRDefault="00607A0D" w:rsidP="00607A0D">
      <w:pPr>
        <w:spacing w:line="360" w:lineRule="auto"/>
        <w:jc w:val="both"/>
        <w:rPr>
          <w:rFonts w:ascii="Calibri" w:eastAsia="Calibri" w:hAnsi="Calibri" w:cs="Times New Roman"/>
          <w:sz w:val="24"/>
          <w:szCs w:val="24"/>
        </w:rPr>
      </w:pPr>
      <w:r>
        <w:rPr>
          <w:sz w:val="24"/>
          <w:szCs w:val="24"/>
          <w:lang w:val="en-US"/>
        </w:rPr>
        <w:t>G</w:t>
      </w:r>
      <w:r w:rsidRPr="00B72EF2">
        <w:rPr>
          <w:sz w:val="24"/>
          <w:szCs w:val="24"/>
          <w:lang w:val="en-US"/>
        </w:rPr>
        <w:t>overnments throughout the world</w:t>
      </w:r>
      <w:r>
        <w:rPr>
          <w:sz w:val="24"/>
          <w:szCs w:val="24"/>
          <w:lang w:val="en-US"/>
        </w:rPr>
        <w:t xml:space="preserve"> are</w:t>
      </w:r>
      <w:r w:rsidRPr="00B72EF2">
        <w:rPr>
          <w:sz w:val="24"/>
          <w:szCs w:val="24"/>
          <w:lang w:val="en-US"/>
        </w:rPr>
        <w:t xml:space="preserve"> continuously increas</w:t>
      </w:r>
      <w:r>
        <w:rPr>
          <w:sz w:val="24"/>
          <w:szCs w:val="24"/>
          <w:lang w:val="en-US"/>
        </w:rPr>
        <w:t>ing</w:t>
      </w:r>
      <w:r w:rsidRPr="00B72EF2">
        <w:rPr>
          <w:sz w:val="24"/>
          <w:szCs w:val="24"/>
          <w:lang w:val="en-US"/>
        </w:rPr>
        <w:t xml:space="preserve"> investment</w:t>
      </w:r>
      <w:r>
        <w:rPr>
          <w:sz w:val="24"/>
          <w:szCs w:val="24"/>
          <w:lang w:val="en-US"/>
        </w:rPr>
        <w:t xml:space="preserve"> to support national development </w:t>
      </w:r>
      <w:r w:rsidRPr="0031668C">
        <w:rPr>
          <w:sz w:val="24"/>
          <w:szCs w:val="24"/>
          <w:lang w:val="en-US"/>
        </w:rPr>
        <w:t xml:space="preserve">objectives (Howes and Robinson, 2005). </w:t>
      </w:r>
      <w:r w:rsidRPr="00B72EF2">
        <w:rPr>
          <w:rFonts w:ascii="Calibri" w:eastAsia="Calibri" w:hAnsi="Calibri" w:cs="Times New Roman"/>
          <w:sz w:val="24"/>
          <w:szCs w:val="24"/>
        </w:rPr>
        <w:t>Over the</w:t>
      </w:r>
      <w:r w:rsidRPr="00CB439D">
        <w:rPr>
          <w:rFonts w:ascii="Calibri" w:eastAsia="Calibri" w:hAnsi="Calibri" w:cs="Times New Roman"/>
          <w:sz w:val="24"/>
          <w:szCs w:val="24"/>
        </w:rPr>
        <w:t xml:space="preserve"> past decade the</w:t>
      </w:r>
      <w:r>
        <w:rPr>
          <w:rFonts w:ascii="Calibri" w:eastAsia="Calibri" w:hAnsi="Calibri" w:cs="Times New Roman"/>
          <w:sz w:val="24"/>
          <w:szCs w:val="24"/>
        </w:rPr>
        <w:t>re has been a renewed</w:t>
      </w:r>
      <w:r w:rsidRPr="00CB439D">
        <w:rPr>
          <w:rFonts w:ascii="Calibri" w:eastAsia="Calibri" w:hAnsi="Calibri" w:cs="Times New Roman"/>
          <w:sz w:val="24"/>
          <w:szCs w:val="24"/>
        </w:rPr>
        <w:t xml:space="preserve"> focus on infrastructure </w:t>
      </w:r>
      <w:r>
        <w:rPr>
          <w:rFonts w:ascii="Calibri" w:eastAsia="Calibri" w:hAnsi="Calibri" w:cs="Times New Roman"/>
          <w:sz w:val="24"/>
          <w:szCs w:val="24"/>
        </w:rPr>
        <w:t>in the UK</w:t>
      </w:r>
      <w:r w:rsidRPr="00CB439D">
        <w:rPr>
          <w:rFonts w:ascii="Calibri" w:eastAsia="Calibri" w:hAnsi="Calibri" w:cs="Times New Roman"/>
          <w:sz w:val="24"/>
          <w:szCs w:val="24"/>
        </w:rPr>
        <w:t>, and investment</w:t>
      </w:r>
      <w:r w:rsidRPr="00CB439D">
        <w:rPr>
          <w:rFonts w:ascii="Calibri" w:eastAsia="Times New Roman" w:hAnsi="Calibri" w:cs="Times New Roman"/>
          <w:b/>
          <w:sz w:val="24"/>
          <w:szCs w:val="24"/>
        </w:rPr>
        <w:t xml:space="preserve"> </w:t>
      </w:r>
      <w:r w:rsidRPr="00CB439D">
        <w:rPr>
          <w:rFonts w:ascii="Calibri" w:eastAsia="Calibri" w:hAnsi="Calibri" w:cs="Times New Roman"/>
          <w:sz w:val="24"/>
          <w:szCs w:val="24"/>
        </w:rPr>
        <w:t xml:space="preserve">levels have steadily increased across all sectors </w:t>
      </w:r>
      <w:r>
        <w:rPr>
          <w:rFonts w:ascii="Calibri" w:eastAsia="Calibri" w:hAnsi="Calibri" w:cs="Times New Roman"/>
          <w:sz w:val="24"/>
          <w:szCs w:val="24"/>
        </w:rPr>
        <w:t>with</w:t>
      </w:r>
      <w:r w:rsidRPr="00CB439D">
        <w:rPr>
          <w:rFonts w:ascii="Calibri" w:eastAsia="Calibri" w:hAnsi="Calibri" w:cs="Times New Roman"/>
          <w:sz w:val="24"/>
          <w:szCs w:val="24"/>
        </w:rPr>
        <w:t xml:space="preserve"> ongoing redistribution across regions. </w:t>
      </w:r>
    </w:p>
    <w:p w14:paraId="7ABFCBB0" w14:textId="77777777" w:rsidR="00607A0D" w:rsidRPr="0031668C" w:rsidRDefault="00607A0D" w:rsidP="00607A0D">
      <w:pPr>
        <w:spacing w:line="360" w:lineRule="auto"/>
        <w:jc w:val="both"/>
        <w:rPr>
          <w:rFonts w:ascii="Calibri" w:eastAsia="Calibri" w:hAnsi="Calibri" w:cs="Times New Roman"/>
          <w:sz w:val="24"/>
          <w:szCs w:val="24"/>
        </w:rPr>
      </w:pPr>
      <w:r w:rsidRPr="007E10C3">
        <w:rPr>
          <w:rFonts w:eastAsia="Calibri" w:cstheme="minorHAnsi"/>
          <w:sz w:val="24"/>
          <w:szCs w:val="24"/>
        </w:rPr>
        <w:t xml:space="preserve">The UK has comparatively low levels of infrastructure investment when compared </w:t>
      </w:r>
      <w:r>
        <w:rPr>
          <w:rFonts w:eastAsia="Calibri" w:cstheme="minorHAnsi"/>
          <w:sz w:val="24"/>
          <w:szCs w:val="24"/>
        </w:rPr>
        <w:t>to</w:t>
      </w:r>
      <w:r w:rsidRPr="007E10C3">
        <w:rPr>
          <w:rFonts w:eastAsia="Calibri" w:cstheme="minorHAnsi"/>
          <w:sz w:val="24"/>
          <w:szCs w:val="24"/>
        </w:rPr>
        <w:t xml:space="preserve"> countries in </w:t>
      </w:r>
      <w:r>
        <w:rPr>
          <w:rFonts w:eastAsia="Calibri" w:cstheme="minorHAnsi"/>
          <w:sz w:val="24"/>
          <w:szCs w:val="24"/>
        </w:rPr>
        <w:t>t</w:t>
      </w:r>
      <w:r w:rsidRPr="007E10C3">
        <w:rPr>
          <w:rFonts w:eastAsia="Calibri" w:cstheme="minorHAnsi"/>
          <w:sz w:val="24"/>
          <w:szCs w:val="24"/>
        </w:rPr>
        <w:t>he Organisation for Economic Co-operation and Development</w:t>
      </w:r>
      <w:r w:rsidRPr="006E1AEE">
        <w:rPr>
          <w:rFonts w:ascii="Calibri" w:eastAsia="Calibri" w:hAnsi="Calibri" w:cs="Times New Roman"/>
          <w:sz w:val="24"/>
          <w:szCs w:val="24"/>
        </w:rPr>
        <w:t xml:space="preserve"> (OECD)</w:t>
      </w:r>
      <w:r>
        <w:rPr>
          <w:rFonts w:ascii="Calibri" w:eastAsia="Calibri" w:hAnsi="Calibri" w:cs="Times New Roman"/>
          <w:sz w:val="24"/>
          <w:szCs w:val="24"/>
        </w:rPr>
        <w:t xml:space="preserve"> -</w:t>
      </w:r>
      <w:r w:rsidRPr="006E1AEE">
        <w:rPr>
          <w:rFonts w:ascii="Calibri" w:eastAsia="Calibri" w:hAnsi="Calibri" w:cs="Times New Roman"/>
          <w:sz w:val="24"/>
          <w:szCs w:val="24"/>
        </w:rPr>
        <w:t xml:space="preserve"> an economic organisation consisting of 36 member states, founded in 1961 to stimulate economic growth. In terms of investment of Gross Fixed Capital Formation (GFCF), </w:t>
      </w:r>
      <w:r w:rsidRPr="0031668C">
        <w:rPr>
          <w:rFonts w:ascii="Calibri" w:eastAsia="Calibri" w:hAnsi="Calibri" w:cs="Times New Roman"/>
          <w:sz w:val="24"/>
          <w:szCs w:val="24"/>
        </w:rPr>
        <w:t xml:space="preserve">the UK was </w:t>
      </w:r>
      <w:r w:rsidRPr="0031668C">
        <w:rPr>
          <w:rFonts w:ascii="Calibri" w:eastAsia="Calibri" w:hAnsi="Calibri" w:cs="Times New Roman"/>
          <w:sz w:val="24"/>
          <w:szCs w:val="24"/>
        </w:rPr>
        <w:lastRenderedPageBreak/>
        <w:t>ranked in the bottom 10</w:t>
      </w:r>
      <w:r w:rsidRPr="0031668C">
        <w:rPr>
          <w:rFonts w:ascii="Calibri" w:eastAsia="Calibri" w:hAnsi="Calibri" w:cs="Times New Roman"/>
          <w:sz w:val="24"/>
          <w:szCs w:val="24"/>
          <w:vertAlign w:val="superscript"/>
        </w:rPr>
        <w:t>th</w:t>
      </w:r>
      <w:r w:rsidRPr="0031668C">
        <w:rPr>
          <w:rFonts w:ascii="Calibri" w:eastAsia="Calibri" w:hAnsi="Calibri" w:cs="Times New Roman"/>
          <w:sz w:val="24"/>
          <w:szCs w:val="24"/>
        </w:rPr>
        <w:t xml:space="preserve"> percentile of government investment in non-financial assets. Prior to 2008, the country has climbed from the bottom 10</w:t>
      </w:r>
      <w:r w:rsidRPr="0031668C">
        <w:rPr>
          <w:rFonts w:ascii="Calibri" w:eastAsia="Calibri" w:hAnsi="Calibri" w:cs="Times New Roman"/>
          <w:sz w:val="24"/>
          <w:szCs w:val="24"/>
          <w:vertAlign w:val="superscript"/>
        </w:rPr>
        <w:t>th</w:t>
      </w:r>
      <w:r w:rsidRPr="0031668C">
        <w:rPr>
          <w:rFonts w:ascii="Calibri" w:eastAsia="Calibri" w:hAnsi="Calibri" w:cs="Times New Roman"/>
          <w:sz w:val="24"/>
          <w:szCs w:val="24"/>
        </w:rPr>
        <w:t xml:space="preserve"> percentile, spending an average of 2.7% of GDP on GFCF which was lower than the OECD average (Office of the Chief Economic Adviser Scottish Government, 2018). The UK remained 11</w:t>
      </w:r>
      <w:r w:rsidRPr="0031668C">
        <w:rPr>
          <w:rFonts w:ascii="Calibri" w:eastAsia="Calibri" w:hAnsi="Calibri" w:cs="Times New Roman"/>
          <w:sz w:val="24"/>
          <w:szCs w:val="24"/>
          <w:vertAlign w:val="superscript"/>
        </w:rPr>
        <w:t>th</w:t>
      </w:r>
      <w:r w:rsidRPr="0031668C">
        <w:rPr>
          <w:rFonts w:ascii="Calibri" w:eastAsia="Calibri" w:hAnsi="Calibri" w:cs="Times New Roman"/>
          <w:sz w:val="24"/>
          <w:szCs w:val="24"/>
        </w:rPr>
        <w:t xml:space="preserve"> position out of 141 countries in 2019 on infrastructure quality whilst spending is below other G7 nations (Rhodes, 2020). With a fall in investment in countries such as Greece and Portugal, the UK remains at the lower end of non-government GFCF as a percentage of gross domestic product (GDP) across the OECD in 2015 (ONS, 2018). UK capital investment was 16.8% of GDP in 2016, while the average across all OECD countries was 21.5%, placing UK in 34</w:t>
      </w:r>
      <w:r w:rsidRPr="0031668C">
        <w:rPr>
          <w:rFonts w:ascii="Calibri" w:eastAsia="Calibri" w:hAnsi="Calibri" w:cs="Times New Roman"/>
          <w:sz w:val="24"/>
          <w:szCs w:val="24"/>
          <w:vertAlign w:val="superscript"/>
        </w:rPr>
        <w:t>th</w:t>
      </w:r>
      <w:r w:rsidRPr="0031668C">
        <w:rPr>
          <w:rFonts w:ascii="Calibri" w:eastAsia="Calibri" w:hAnsi="Calibri" w:cs="Times New Roman"/>
          <w:sz w:val="24"/>
          <w:szCs w:val="24"/>
        </w:rPr>
        <w:t xml:space="preserve"> position out of 36 countries, below average (20</w:t>
      </w:r>
      <w:r w:rsidRPr="0031668C">
        <w:rPr>
          <w:rFonts w:ascii="Calibri" w:eastAsia="Calibri" w:hAnsi="Calibri" w:cs="Times New Roman"/>
          <w:sz w:val="24"/>
          <w:szCs w:val="24"/>
          <w:vertAlign w:val="superscript"/>
        </w:rPr>
        <w:t>th</w:t>
      </w:r>
      <w:r w:rsidRPr="0031668C">
        <w:rPr>
          <w:rFonts w:ascii="Calibri" w:eastAsia="Calibri" w:hAnsi="Calibri" w:cs="Times New Roman"/>
          <w:sz w:val="24"/>
          <w:szCs w:val="24"/>
        </w:rPr>
        <w:t xml:space="preserve"> position) for investment in dwelling and 33</w:t>
      </w:r>
      <w:r w:rsidRPr="0031668C">
        <w:rPr>
          <w:rFonts w:ascii="Calibri" w:eastAsia="Calibri" w:hAnsi="Calibri" w:cs="Times New Roman"/>
          <w:sz w:val="24"/>
          <w:szCs w:val="24"/>
          <w:vertAlign w:val="superscript"/>
        </w:rPr>
        <w:t>rd</w:t>
      </w:r>
      <w:r w:rsidRPr="0031668C">
        <w:rPr>
          <w:rFonts w:ascii="Calibri" w:eastAsia="Calibri" w:hAnsi="Calibri" w:cs="Times New Roman"/>
          <w:sz w:val="24"/>
          <w:szCs w:val="24"/>
        </w:rPr>
        <w:t xml:space="preserve"> position on machinery and equipment (TUC, 2018).</w:t>
      </w:r>
    </w:p>
    <w:p w14:paraId="2AF621C4" w14:textId="77777777" w:rsidR="00607A0D" w:rsidRPr="000878E3" w:rsidRDefault="00607A0D" w:rsidP="00607A0D">
      <w:pPr>
        <w:spacing w:line="360" w:lineRule="auto"/>
        <w:jc w:val="both"/>
        <w:rPr>
          <w:rFonts w:ascii="Calibri" w:eastAsia="Calibri" w:hAnsi="Calibri" w:cs="Times New Roman"/>
          <w:color w:val="FF0000"/>
          <w:sz w:val="24"/>
          <w:szCs w:val="24"/>
        </w:rPr>
      </w:pPr>
      <w:r w:rsidRPr="002B27D0">
        <w:rPr>
          <w:rFonts w:ascii="Calibri" w:eastAsia="Calibri" w:hAnsi="Calibri" w:cs="Times New Roman"/>
          <w:sz w:val="24"/>
          <w:szCs w:val="24"/>
        </w:rPr>
        <w:t>In a global competitiveness report published by the World Economic Forum in 2012, the UK ranked 24</w:t>
      </w:r>
      <w:r w:rsidRPr="002B27D0">
        <w:rPr>
          <w:rFonts w:ascii="Calibri" w:eastAsia="Calibri" w:hAnsi="Calibri" w:cs="Times New Roman"/>
          <w:sz w:val="24"/>
          <w:szCs w:val="24"/>
          <w:vertAlign w:val="superscript"/>
        </w:rPr>
        <w:t>th</w:t>
      </w:r>
      <w:r w:rsidRPr="002B27D0">
        <w:rPr>
          <w:rFonts w:ascii="Calibri" w:eastAsia="Calibri" w:hAnsi="Calibri" w:cs="Times New Roman"/>
          <w:sz w:val="24"/>
          <w:szCs w:val="24"/>
        </w:rPr>
        <w:t xml:space="preserve"> for “quality of overall infrastructure” (Rumfitt, 2017). </w:t>
      </w:r>
      <w:r>
        <w:rPr>
          <w:rFonts w:ascii="Calibri" w:eastAsia="Calibri" w:hAnsi="Calibri" w:cs="Times New Roman"/>
          <w:sz w:val="24"/>
          <w:szCs w:val="24"/>
        </w:rPr>
        <w:t xml:space="preserve">In contrast, </w:t>
      </w:r>
      <w:r w:rsidRPr="006E1AEE">
        <w:rPr>
          <w:rFonts w:ascii="Calibri" w:eastAsia="Calibri" w:hAnsi="Calibri" w:cs="Times New Roman"/>
          <w:sz w:val="24"/>
          <w:szCs w:val="24"/>
        </w:rPr>
        <w:t>Singapore continuously scores highly on global competitiveness and infrastructure rankings. During the early stages of growth in Singapore, there was a heavy focus on infrastructure, supported by 14 World Bank loans between 1963 and 1975. This financed the deep-sea terminal project at the Port of Singapore which singlehandedly doubled the country’s energy capacity. Infrastructure Asia was established by the Monetary Authority of Singapore in 2018, to facilitate regional collaboration with regards to infrastructure</w:t>
      </w:r>
      <w:r>
        <w:rPr>
          <w:rFonts w:ascii="Calibri" w:eastAsia="Calibri" w:hAnsi="Calibri" w:cs="Times New Roman"/>
          <w:sz w:val="24"/>
          <w:szCs w:val="24"/>
        </w:rPr>
        <w:t xml:space="preserve"> </w:t>
      </w:r>
      <w:r w:rsidRPr="006E1AEE">
        <w:rPr>
          <w:rFonts w:ascii="Calibri" w:eastAsia="Calibri" w:hAnsi="Calibri" w:cs="Times New Roman"/>
          <w:sz w:val="24"/>
          <w:szCs w:val="24"/>
        </w:rPr>
        <w:t xml:space="preserve">(Lai, 2011). The overarching strategy of this organisation </w:t>
      </w:r>
      <w:r>
        <w:rPr>
          <w:rFonts w:ascii="Calibri" w:eastAsia="Calibri" w:hAnsi="Calibri" w:cs="Times New Roman"/>
          <w:sz w:val="24"/>
          <w:szCs w:val="24"/>
        </w:rPr>
        <w:t>was</w:t>
      </w:r>
      <w:r w:rsidRPr="006E1AEE">
        <w:rPr>
          <w:rFonts w:ascii="Calibri" w:eastAsia="Calibri" w:hAnsi="Calibri" w:cs="Times New Roman"/>
          <w:sz w:val="24"/>
          <w:szCs w:val="24"/>
        </w:rPr>
        <w:t xml:space="preserve"> to increase the ‘investible’ number of projects by serving as a bridge between banks, stakeholders</w:t>
      </w:r>
      <w:r>
        <w:rPr>
          <w:rFonts w:ascii="Calibri" w:eastAsia="Calibri" w:hAnsi="Calibri" w:cs="Times New Roman"/>
          <w:sz w:val="24"/>
          <w:szCs w:val="24"/>
        </w:rPr>
        <w:t>,</w:t>
      </w:r>
      <w:r w:rsidRPr="006E1AEE">
        <w:rPr>
          <w:rFonts w:ascii="Calibri" w:eastAsia="Calibri" w:hAnsi="Calibri" w:cs="Times New Roman"/>
          <w:sz w:val="24"/>
          <w:szCs w:val="24"/>
        </w:rPr>
        <w:t xml:space="preserve"> developers across the industry</w:t>
      </w:r>
      <w:r>
        <w:rPr>
          <w:rFonts w:ascii="Calibri" w:eastAsia="Calibri" w:hAnsi="Calibri" w:cs="Times New Roman"/>
          <w:sz w:val="24"/>
          <w:szCs w:val="24"/>
        </w:rPr>
        <w:t xml:space="preserve"> </w:t>
      </w:r>
      <w:r w:rsidRPr="006E1AEE">
        <w:rPr>
          <w:rFonts w:ascii="Calibri" w:eastAsia="Calibri" w:hAnsi="Calibri" w:cs="Times New Roman"/>
          <w:sz w:val="24"/>
          <w:szCs w:val="24"/>
        </w:rPr>
        <w:t>and the public sector</w:t>
      </w:r>
      <w:r>
        <w:rPr>
          <w:rFonts w:ascii="Calibri" w:eastAsia="Calibri" w:hAnsi="Calibri" w:cs="Times New Roman"/>
          <w:sz w:val="24"/>
          <w:szCs w:val="24"/>
        </w:rPr>
        <w:t xml:space="preserve"> (kikuchi and Unzaki, 2019)</w:t>
      </w:r>
      <w:r w:rsidRPr="006E1AEE">
        <w:rPr>
          <w:rFonts w:ascii="Calibri" w:eastAsia="Calibri" w:hAnsi="Calibri" w:cs="Times New Roman"/>
          <w:sz w:val="24"/>
          <w:szCs w:val="24"/>
        </w:rPr>
        <w:t xml:space="preserve">. These funds </w:t>
      </w:r>
      <w:r>
        <w:rPr>
          <w:rFonts w:ascii="Calibri" w:eastAsia="Calibri" w:hAnsi="Calibri" w:cs="Times New Roman"/>
          <w:sz w:val="24"/>
          <w:szCs w:val="24"/>
        </w:rPr>
        <w:t xml:space="preserve">were estimated to </w:t>
      </w:r>
      <w:r w:rsidRPr="006E1AEE">
        <w:rPr>
          <w:rFonts w:ascii="Calibri" w:eastAsia="Calibri" w:hAnsi="Calibri" w:cs="Times New Roman"/>
          <w:sz w:val="24"/>
          <w:szCs w:val="24"/>
        </w:rPr>
        <w:t xml:space="preserve">create a further $39.8billion of investment </w:t>
      </w:r>
      <w:bookmarkStart w:id="3" w:name="_Hlk60155361"/>
      <w:r w:rsidRPr="006E1AEE">
        <w:rPr>
          <w:rFonts w:ascii="Calibri" w:eastAsia="Calibri" w:hAnsi="Calibri" w:cs="Times New Roman"/>
          <w:sz w:val="24"/>
          <w:szCs w:val="24"/>
        </w:rPr>
        <w:t>(Lai, 2011).</w:t>
      </w:r>
      <w:bookmarkEnd w:id="3"/>
      <w:r w:rsidRPr="00A654C4">
        <w:rPr>
          <w:rFonts w:ascii="Calibri" w:eastAsia="Calibri" w:hAnsi="Calibri" w:cs="Times New Roman"/>
          <w:sz w:val="24"/>
          <w:szCs w:val="24"/>
        </w:rPr>
        <w:t xml:space="preserve"> </w:t>
      </w:r>
      <w:r>
        <w:rPr>
          <w:rFonts w:ascii="Calibri" w:eastAsia="Calibri" w:hAnsi="Calibri" w:cs="Times New Roman"/>
          <w:sz w:val="24"/>
          <w:szCs w:val="24"/>
        </w:rPr>
        <w:t xml:space="preserve">There are also key lessons that can be </w:t>
      </w:r>
      <w:r w:rsidRPr="00927FE5">
        <w:rPr>
          <w:rFonts w:ascii="Calibri" w:eastAsia="Calibri" w:hAnsi="Calibri" w:cs="Times New Roman"/>
          <w:sz w:val="24"/>
          <w:szCs w:val="24"/>
        </w:rPr>
        <w:t>learned from Singapore in terms of widespread collaboration between all stakeholders, as opposed to a central government led approach</w:t>
      </w:r>
      <w:r>
        <w:rPr>
          <w:rFonts w:ascii="Calibri" w:eastAsia="Calibri" w:hAnsi="Calibri" w:cs="Times New Roman"/>
          <w:sz w:val="24"/>
          <w:szCs w:val="24"/>
        </w:rPr>
        <w:t xml:space="preserve"> </w:t>
      </w:r>
      <w:r w:rsidRPr="00927FE5">
        <w:rPr>
          <w:rFonts w:ascii="Calibri" w:eastAsia="Calibri" w:hAnsi="Calibri" w:cs="Times New Roman"/>
          <w:sz w:val="24"/>
          <w:szCs w:val="24"/>
        </w:rPr>
        <w:t>(Lai, 2011).</w:t>
      </w:r>
    </w:p>
    <w:p w14:paraId="3F7A1560" w14:textId="77777777" w:rsidR="00607A0D" w:rsidRDefault="00607A0D" w:rsidP="00607A0D">
      <w:pPr>
        <w:spacing w:line="360" w:lineRule="auto"/>
        <w:jc w:val="both"/>
        <w:rPr>
          <w:rFonts w:ascii="Calibri" w:eastAsia="Calibri" w:hAnsi="Calibri" w:cs="Times New Roman"/>
          <w:color w:val="FF0000"/>
          <w:sz w:val="24"/>
          <w:szCs w:val="24"/>
        </w:rPr>
      </w:pPr>
      <w:r w:rsidRPr="006E1AEE">
        <w:rPr>
          <w:rFonts w:ascii="Calibri" w:eastAsia="Calibri" w:hAnsi="Calibri" w:cs="Times New Roman"/>
          <w:sz w:val="24"/>
          <w:szCs w:val="24"/>
        </w:rPr>
        <w:t xml:space="preserve">In terms of overall infrastructure investment, China leads the way with a focus on building reliable rail and road systems, alongside electricity and telecommunication links. In the period between 2001 and 2004, investment in the rural road system increased by 51 percent year on year. </w:t>
      </w:r>
      <w:r>
        <w:rPr>
          <w:rFonts w:ascii="Calibri" w:eastAsia="Calibri" w:hAnsi="Calibri" w:cs="Times New Roman"/>
          <w:sz w:val="24"/>
          <w:szCs w:val="24"/>
        </w:rPr>
        <w:t xml:space="preserve"> The </w:t>
      </w:r>
      <w:r w:rsidRPr="006E1AEE">
        <w:rPr>
          <w:rFonts w:ascii="Calibri" w:eastAsia="Calibri" w:hAnsi="Calibri" w:cs="Times New Roman"/>
          <w:sz w:val="24"/>
          <w:szCs w:val="24"/>
        </w:rPr>
        <w:t xml:space="preserve">aggressive level of spending </w:t>
      </w:r>
      <w:r>
        <w:rPr>
          <w:rFonts w:ascii="Calibri" w:eastAsia="Calibri" w:hAnsi="Calibri" w:cs="Times New Roman"/>
          <w:sz w:val="24"/>
          <w:szCs w:val="24"/>
        </w:rPr>
        <w:t xml:space="preserve">was </w:t>
      </w:r>
      <w:r w:rsidRPr="006E1AEE">
        <w:rPr>
          <w:rFonts w:ascii="Calibri" w:eastAsia="Calibri" w:hAnsi="Calibri" w:cs="Times New Roman"/>
          <w:sz w:val="24"/>
          <w:szCs w:val="24"/>
        </w:rPr>
        <w:t xml:space="preserve">maintained </w:t>
      </w:r>
      <w:r>
        <w:rPr>
          <w:rFonts w:ascii="Calibri" w:eastAsia="Calibri" w:hAnsi="Calibri" w:cs="Times New Roman"/>
          <w:sz w:val="24"/>
          <w:szCs w:val="24"/>
        </w:rPr>
        <w:t xml:space="preserve">to resuscitate the </w:t>
      </w:r>
      <w:r w:rsidRPr="006E1AEE">
        <w:rPr>
          <w:rFonts w:ascii="Calibri" w:eastAsia="Calibri" w:hAnsi="Calibri" w:cs="Times New Roman"/>
          <w:sz w:val="24"/>
          <w:szCs w:val="24"/>
        </w:rPr>
        <w:t>econom</w:t>
      </w:r>
      <w:r>
        <w:rPr>
          <w:rFonts w:ascii="Calibri" w:eastAsia="Calibri" w:hAnsi="Calibri" w:cs="Times New Roman"/>
          <w:sz w:val="24"/>
          <w:szCs w:val="24"/>
        </w:rPr>
        <w:t>y after a reduction in g</w:t>
      </w:r>
      <w:r w:rsidRPr="006E1AEE">
        <w:rPr>
          <w:rFonts w:ascii="Calibri" w:eastAsia="Calibri" w:hAnsi="Calibri" w:cs="Times New Roman"/>
          <w:sz w:val="24"/>
          <w:szCs w:val="24"/>
        </w:rPr>
        <w:t xml:space="preserve">rowth (Chen et al., 2013). China managed to sustain growth levels above 6% over </w:t>
      </w:r>
      <w:r>
        <w:rPr>
          <w:rFonts w:ascii="Calibri" w:eastAsia="Calibri" w:hAnsi="Calibri" w:cs="Times New Roman"/>
          <w:sz w:val="24"/>
          <w:szCs w:val="24"/>
        </w:rPr>
        <w:t xml:space="preserve">a period of </w:t>
      </w:r>
      <w:r w:rsidRPr="006E1AEE">
        <w:rPr>
          <w:rFonts w:ascii="Calibri" w:eastAsia="Calibri" w:hAnsi="Calibri" w:cs="Times New Roman"/>
          <w:sz w:val="24"/>
          <w:szCs w:val="24"/>
        </w:rPr>
        <w:t xml:space="preserve">5 years, with figures between 8-12% between 2010 and 2013. Among other </w:t>
      </w:r>
      <w:r w:rsidRPr="006E1AEE">
        <w:rPr>
          <w:rFonts w:ascii="Calibri" w:eastAsia="Calibri" w:hAnsi="Calibri" w:cs="Times New Roman"/>
          <w:sz w:val="24"/>
          <w:szCs w:val="24"/>
        </w:rPr>
        <w:lastRenderedPageBreak/>
        <w:t xml:space="preserve">factors, large infrastructure spending </w:t>
      </w:r>
      <w:r>
        <w:rPr>
          <w:rFonts w:ascii="Calibri" w:eastAsia="Calibri" w:hAnsi="Calibri" w:cs="Times New Roman"/>
          <w:sz w:val="24"/>
          <w:szCs w:val="24"/>
        </w:rPr>
        <w:t xml:space="preserve">clearly </w:t>
      </w:r>
      <w:r w:rsidRPr="006E1AEE">
        <w:rPr>
          <w:rFonts w:ascii="Calibri" w:eastAsia="Calibri" w:hAnsi="Calibri" w:cs="Times New Roman"/>
          <w:sz w:val="24"/>
          <w:szCs w:val="24"/>
        </w:rPr>
        <w:t>impacted on the</w:t>
      </w:r>
      <w:r>
        <w:rPr>
          <w:rFonts w:ascii="Calibri" w:eastAsia="Calibri" w:hAnsi="Calibri" w:cs="Times New Roman"/>
          <w:sz w:val="24"/>
          <w:szCs w:val="24"/>
        </w:rPr>
        <w:t xml:space="preserve"> growth</w:t>
      </w:r>
      <w:r w:rsidRPr="006E1AEE">
        <w:rPr>
          <w:rFonts w:ascii="Calibri" w:eastAsia="Calibri" w:hAnsi="Calibri" w:cs="Times New Roman"/>
          <w:sz w:val="24"/>
          <w:szCs w:val="24"/>
        </w:rPr>
        <w:t xml:space="preserve"> figures (Trading Economics, 2019). </w:t>
      </w:r>
      <w:r>
        <w:rPr>
          <w:rFonts w:ascii="Calibri" w:eastAsia="Calibri" w:hAnsi="Calibri" w:cs="Times New Roman"/>
          <w:color w:val="FF0000"/>
          <w:sz w:val="24"/>
          <w:szCs w:val="24"/>
        </w:rPr>
        <w:t xml:space="preserve"> </w:t>
      </w:r>
      <w:r w:rsidRPr="006E1AEE">
        <w:rPr>
          <w:rFonts w:ascii="Calibri" w:eastAsia="Calibri" w:hAnsi="Calibri" w:cs="Times New Roman"/>
          <w:sz w:val="24"/>
          <w:szCs w:val="24"/>
        </w:rPr>
        <w:t xml:space="preserve">China is following a policy of aggressive infrastructure investment </w:t>
      </w:r>
      <w:r w:rsidRPr="0031668C">
        <w:rPr>
          <w:rFonts w:ascii="Calibri" w:eastAsia="Calibri" w:hAnsi="Calibri" w:cs="Times New Roman"/>
          <w:sz w:val="24"/>
          <w:szCs w:val="24"/>
        </w:rPr>
        <w:t>with</w:t>
      </w:r>
      <w:r w:rsidRPr="00A654C4">
        <w:rPr>
          <w:rFonts w:ascii="Calibri" w:eastAsia="Calibri" w:hAnsi="Calibri" w:cs="Times New Roman"/>
          <w:sz w:val="24"/>
          <w:szCs w:val="24"/>
          <w:highlight w:val="cyan"/>
        </w:rPr>
        <w:t xml:space="preserve"> </w:t>
      </w:r>
      <w:r w:rsidRPr="0031668C">
        <w:rPr>
          <w:rFonts w:ascii="Calibri" w:eastAsia="Calibri" w:hAnsi="Calibri" w:cs="Times New Roman"/>
          <w:sz w:val="24"/>
          <w:szCs w:val="24"/>
        </w:rPr>
        <w:t>8.5% of GDP</w:t>
      </w:r>
      <w:r>
        <w:rPr>
          <w:rFonts w:ascii="Calibri" w:eastAsia="Calibri" w:hAnsi="Calibri" w:cs="Times New Roman"/>
          <w:sz w:val="24"/>
          <w:szCs w:val="24"/>
        </w:rPr>
        <w:t xml:space="preserve"> as </w:t>
      </w:r>
      <w:r w:rsidRPr="0031668C">
        <w:rPr>
          <w:rFonts w:ascii="Calibri" w:eastAsia="Calibri" w:hAnsi="Calibri" w:cs="Times New Roman"/>
          <w:sz w:val="24"/>
          <w:szCs w:val="24"/>
        </w:rPr>
        <w:t xml:space="preserve">shown in figure 1, </w:t>
      </w:r>
      <w:r w:rsidRPr="006E1AEE">
        <w:rPr>
          <w:rFonts w:ascii="Calibri" w:eastAsia="Calibri" w:hAnsi="Calibri" w:cs="Times New Roman"/>
          <w:sz w:val="24"/>
          <w:szCs w:val="24"/>
        </w:rPr>
        <w:t>with the goal to drive economic growth,</w:t>
      </w:r>
      <w:r>
        <w:rPr>
          <w:rFonts w:ascii="Calibri" w:eastAsia="Calibri" w:hAnsi="Calibri" w:cs="Times New Roman"/>
          <w:sz w:val="24"/>
          <w:szCs w:val="24"/>
        </w:rPr>
        <w:t xml:space="preserve"> power their industries, </w:t>
      </w:r>
      <w:r w:rsidRPr="006E1AEE">
        <w:rPr>
          <w:rFonts w:ascii="Calibri" w:eastAsia="Calibri" w:hAnsi="Calibri" w:cs="Times New Roman"/>
          <w:sz w:val="24"/>
          <w:szCs w:val="24"/>
        </w:rPr>
        <w:t>linking the country via road and rail connectivity and developing urban centres</w:t>
      </w:r>
      <w:r w:rsidRPr="0031668C">
        <w:rPr>
          <w:rFonts w:ascii="Calibri" w:eastAsia="Calibri" w:hAnsi="Calibri" w:cs="Times New Roman"/>
          <w:sz w:val="24"/>
          <w:szCs w:val="24"/>
        </w:rPr>
        <w:t>. In contrast, the European Union and United States spends about 2.6% of their GDP on infrastructure for the period 1992-2011.</w:t>
      </w:r>
      <w:r>
        <w:rPr>
          <w:rFonts w:ascii="Calibri" w:eastAsia="Calibri" w:hAnsi="Calibri" w:cs="Times New Roman"/>
          <w:sz w:val="24"/>
          <w:szCs w:val="24"/>
        </w:rPr>
        <w:t xml:space="preserve"> China is</w:t>
      </w:r>
      <w:r w:rsidRPr="006E1AEE">
        <w:rPr>
          <w:rFonts w:ascii="Calibri" w:eastAsia="Calibri" w:hAnsi="Calibri" w:cs="Times New Roman"/>
          <w:sz w:val="24"/>
          <w:szCs w:val="24"/>
        </w:rPr>
        <w:t xml:space="preserve"> currently investing over and above what is required, meaning that they can reduce spending in the future and maintain a sufficient level of infrastructure stock to meet the needs of the population</w:t>
      </w:r>
      <w:r>
        <w:rPr>
          <w:rFonts w:ascii="Calibri" w:eastAsia="Calibri" w:hAnsi="Calibri" w:cs="Times New Roman"/>
          <w:sz w:val="24"/>
          <w:szCs w:val="24"/>
        </w:rPr>
        <w:t xml:space="preserve"> </w:t>
      </w:r>
      <w:bookmarkStart w:id="4" w:name="_Hlk72524346"/>
      <w:r w:rsidRPr="0031668C">
        <w:rPr>
          <w:rFonts w:ascii="Calibri" w:eastAsia="Calibri" w:hAnsi="Calibri" w:cs="Times New Roman"/>
          <w:sz w:val="24"/>
          <w:szCs w:val="24"/>
        </w:rPr>
        <w:t xml:space="preserve">(McKinsey, 2013). </w:t>
      </w:r>
      <w:bookmarkEnd w:id="4"/>
      <w:r w:rsidRPr="0031668C">
        <w:rPr>
          <w:rFonts w:ascii="Calibri" w:eastAsia="Calibri" w:hAnsi="Calibri" w:cs="Times New Roman"/>
          <w:sz w:val="24"/>
          <w:szCs w:val="24"/>
        </w:rPr>
        <w:t xml:space="preserve">This approach aligns with economic views that proactive investment over and above the demand level is a more advantageous method of infrastructure investment (McKinsey, 2013). </w:t>
      </w:r>
      <w:r w:rsidRPr="00927FE5">
        <w:rPr>
          <w:rFonts w:ascii="Calibri" w:eastAsia="Calibri" w:hAnsi="Calibri" w:cs="Times New Roman"/>
          <w:sz w:val="24"/>
          <w:szCs w:val="24"/>
        </w:rPr>
        <w:t xml:space="preserve">China </w:t>
      </w:r>
      <w:r>
        <w:rPr>
          <w:rFonts w:ascii="Calibri" w:eastAsia="Calibri" w:hAnsi="Calibri" w:cs="Times New Roman"/>
          <w:sz w:val="24"/>
          <w:szCs w:val="24"/>
        </w:rPr>
        <w:t>with</w:t>
      </w:r>
      <w:r w:rsidRPr="00927FE5">
        <w:rPr>
          <w:rFonts w:ascii="Calibri" w:eastAsia="Calibri" w:hAnsi="Calibri" w:cs="Times New Roman"/>
          <w:sz w:val="24"/>
          <w:szCs w:val="24"/>
        </w:rPr>
        <w:t xml:space="preserve"> an increased focus and level of funding </w:t>
      </w:r>
      <w:r>
        <w:rPr>
          <w:rFonts w:ascii="Calibri" w:eastAsia="Calibri" w:hAnsi="Calibri" w:cs="Times New Roman"/>
          <w:sz w:val="24"/>
          <w:szCs w:val="24"/>
        </w:rPr>
        <w:t xml:space="preserve">on </w:t>
      </w:r>
      <w:r w:rsidRPr="00927FE5">
        <w:rPr>
          <w:rFonts w:ascii="Calibri" w:eastAsia="Calibri" w:hAnsi="Calibri" w:cs="Times New Roman"/>
          <w:sz w:val="24"/>
          <w:szCs w:val="24"/>
        </w:rPr>
        <w:t>infrastructure</w:t>
      </w:r>
      <w:r>
        <w:rPr>
          <w:rFonts w:ascii="Calibri" w:eastAsia="Calibri" w:hAnsi="Calibri" w:cs="Times New Roman"/>
          <w:sz w:val="24"/>
          <w:szCs w:val="24"/>
        </w:rPr>
        <w:t xml:space="preserve"> adopted </w:t>
      </w:r>
      <w:r w:rsidRPr="00927FE5">
        <w:rPr>
          <w:rFonts w:ascii="Calibri" w:eastAsia="Calibri" w:hAnsi="Calibri" w:cs="Times New Roman"/>
          <w:sz w:val="24"/>
          <w:szCs w:val="24"/>
        </w:rPr>
        <w:t>a supply led strategy</w:t>
      </w:r>
      <w:r>
        <w:rPr>
          <w:rFonts w:ascii="Calibri" w:eastAsia="Calibri" w:hAnsi="Calibri" w:cs="Times New Roman"/>
          <w:sz w:val="24"/>
          <w:szCs w:val="24"/>
        </w:rPr>
        <w:t xml:space="preserve"> with </w:t>
      </w:r>
      <w:r w:rsidRPr="00927FE5">
        <w:rPr>
          <w:rFonts w:ascii="Calibri" w:eastAsia="Calibri" w:hAnsi="Calibri" w:cs="Times New Roman"/>
          <w:sz w:val="24"/>
          <w:szCs w:val="24"/>
        </w:rPr>
        <w:t>funds create</w:t>
      </w:r>
      <w:r>
        <w:rPr>
          <w:rFonts w:ascii="Calibri" w:eastAsia="Calibri" w:hAnsi="Calibri" w:cs="Times New Roman"/>
          <w:sz w:val="24"/>
          <w:szCs w:val="24"/>
        </w:rPr>
        <w:t>d</w:t>
      </w:r>
      <w:r w:rsidRPr="00927FE5">
        <w:rPr>
          <w:rFonts w:ascii="Calibri" w:eastAsia="Calibri" w:hAnsi="Calibri" w:cs="Times New Roman"/>
          <w:sz w:val="24"/>
          <w:szCs w:val="24"/>
        </w:rPr>
        <w:t xml:space="preserve"> </w:t>
      </w:r>
      <w:r>
        <w:rPr>
          <w:rFonts w:ascii="Calibri" w:eastAsia="Calibri" w:hAnsi="Calibri" w:cs="Times New Roman"/>
          <w:sz w:val="24"/>
          <w:szCs w:val="24"/>
        </w:rPr>
        <w:t xml:space="preserve">generating </w:t>
      </w:r>
      <w:r w:rsidRPr="00927FE5">
        <w:rPr>
          <w:rFonts w:ascii="Calibri" w:eastAsia="Calibri" w:hAnsi="Calibri" w:cs="Times New Roman"/>
          <w:sz w:val="24"/>
          <w:szCs w:val="24"/>
        </w:rPr>
        <w:t>a further $39.8billion of investment</w:t>
      </w:r>
      <w:r>
        <w:rPr>
          <w:rFonts w:ascii="Calibri" w:eastAsia="Calibri" w:hAnsi="Calibri" w:cs="Times New Roman"/>
          <w:sz w:val="24"/>
          <w:szCs w:val="24"/>
        </w:rPr>
        <w:t xml:space="preserve"> in </w:t>
      </w:r>
      <w:r w:rsidRPr="00927FE5">
        <w:rPr>
          <w:rFonts w:ascii="Calibri" w:eastAsia="Calibri" w:hAnsi="Calibri" w:cs="Times New Roman"/>
          <w:sz w:val="24"/>
          <w:szCs w:val="24"/>
        </w:rPr>
        <w:t>industry, and the public sector.</w:t>
      </w:r>
      <w:r>
        <w:rPr>
          <w:rFonts w:ascii="Calibri" w:eastAsia="Calibri" w:hAnsi="Calibri" w:cs="Times New Roman"/>
          <w:color w:val="FF0000"/>
          <w:sz w:val="24"/>
          <w:szCs w:val="24"/>
        </w:rPr>
        <w:t xml:space="preserve"> </w:t>
      </w:r>
    </w:p>
    <w:p w14:paraId="4992CE0E" w14:textId="77777777" w:rsidR="00607A0D" w:rsidRDefault="00607A0D" w:rsidP="00607A0D">
      <w:pPr>
        <w:spacing w:line="360" w:lineRule="auto"/>
        <w:jc w:val="both"/>
        <w:rPr>
          <w:rFonts w:ascii="Calibri" w:eastAsia="Calibri" w:hAnsi="Calibri" w:cs="Times New Roman"/>
          <w:sz w:val="24"/>
          <w:szCs w:val="24"/>
        </w:rPr>
      </w:pPr>
      <w:r>
        <w:rPr>
          <w:noProof/>
        </w:rPr>
        <w:drawing>
          <wp:inline distT="0" distB="0" distL="0" distR="0" wp14:anchorId="50417AB2" wp14:editId="7B0CD9EC">
            <wp:extent cx="5972175" cy="312420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stretch>
                      <a:fillRect/>
                    </a:stretch>
                  </pic:blipFill>
                  <pic:spPr>
                    <a:xfrm>
                      <a:off x="0" y="0"/>
                      <a:ext cx="5972175" cy="3124200"/>
                    </a:xfrm>
                    <a:prstGeom prst="rect">
                      <a:avLst/>
                    </a:prstGeom>
                  </pic:spPr>
                </pic:pic>
              </a:graphicData>
            </a:graphic>
          </wp:inline>
        </w:drawing>
      </w:r>
    </w:p>
    <w:p w14:paraId="1FF7C22F" w14:textId="77777777" w:rsidR="00607A0D" w:rsidRPr="0031668C" w:rsidRDefault="00607A0D" w:rsidP="00607A0D">
      <w:pPr>
        <w:spacing w:line="360" w:lineRule="auto"/>
        <w:jc w:val="both"/>
        <w:rPr>
          <w:rFonts w:ascii="Calibri" w:eastAsia="Calibri" w:hAnsi="Calibri" w:cs="Times New Roman"/>
          <w:sz w:val="24"/>
          <w:szCs w:val="24"/>
        </w:rPr>
      </w:pPr>
      <w:r w:rsidRPr="0031668C">
        <w:rPr>
          <w:rFonts w:ascii="Calibri" w:eastAsia="Calibri" w:hAnsi="Calibri" w:cs="Times New Roman"/>
          <w:sz w:val="24"/>
          <w:szCs w:val="24"/>
        </w:rPr>
        <w:t xml:space="preserve">Figure 1: Spending on infrastructure. Source: McKinsey (2013) </w:t>
      </w:r>
    </w:p>
    <w:p w14:paraId="7EE14968" w14:textId="77777777" w:rsidR="00607A0D" w:rsidRDefault="00607A0D" w:rsidP="00607A0D">
      <w:pPr>
        <w:tabs>
          <w:tab w:val="left" w:pos="900"/>
        </w:tabs>
        <w:jc w:val="both"/>
        <w:rPr>
          <w:rFonts w:ascii="Calibri" w:eastAsia="Calibri" w:hAnsi="Calibri" w:cs="Times New Roman"/>
          <w:sz w:val="24"/>
          <w:szCs w:val="24"/>
        </w:rPr>
      </w:pPr>
      <w:r w:rsidRPr="0031668C">
        <w:rPr>
          <w:rFonts w:ascii="Calibri" w:eastAsia="Calibri" w:hAnsi="Calibri" w:cs="Times New Roman"/>
          <w:sz w:val="24"/>
          <w:szCs w:val="24"/>
        </w:rPr>
        <w:t>China’s infrastructure stock is at 76% of GDP. Within the EU, the UK infrastructure stock of 57% of GDP is also well below the average and significantly behind Germany (71%), Spain (73%), and Italy (82%) as shown in figure 2.  Significant investment is therefore required from the UK to build infrastructure stock to facilitate economic growth.</w:t>
      </w:r>
    </w:p>
    <w:p w14:paraId="23CA0DCC" w14:textId="77777777" w:rsidR="00607A0D" w:rsidRPr="00A654C4" w:rsidRDefault="00607A0D" w:rsidP="00607A0D">
      <w:pPr>
        <w:tabs>
          <w:tab w:val="left" w:pos="900"/>
        </w:tabs>
        <w:rPr>
          <w:rFonts w:ascii="Calibri" w:eastAsia="Calibri" w:hAnsi="Calibri" w:cs="Times New Roman"/>
          <w:sz w:val="24"/>
          <w:szCs w:val="24"/>
        </w:rPr>
      </w:pPr>
    </w:p>
    <w:p w14:paraId="19801E0F" w14:textId="77777777" w:rsidR="00607A0D" w:rsidRDefault="00607A0D" w:rsidP="00607A0D">
      <w:pPr>
        <w:spacing w:line="360" w:lineRule="auto"/>
        <w:jc w:val="both"/>
        <w:rPr>
          <w:rFonts w:ascii="Calibri" w:eastAsia="Calibri" w:hAnsi="Calibri" w:cs="Times New Roman"/>
          <w:sz w:val="24"/>
          <w:szCs w:val="24"/>
        </w:rPr>
      </w:pPr>
      <w:r>
        <w:rPr>
          <w:noProof/>
        </w:rPr>
        <w:lastRenderedPageBreak/>
        <w:drawing>
          <wp:inline distT="0" distB="0" distL="0" distR="0" wp14:anchorId="37113C14" wp14:editId="2B3AA328">
            <wp:extent cx="5724525" cy="2900045"/>
            <wp:effectExtent l="0" t="0" r="9525"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stretch>
                      <a:fillRect/>
                    </a:stretch>
                  </pic:blipFill>
                  <pic:spPr>
                    <a:xfrm>
                      <a:off x="0" y="0"/>
                      <a:ext cx="5724525" cy="2900045"/>
                    </a:xfrm>
                    <a:prstGeom prst="rect">
                      <a:avLst/>
                    </a:prstGeom>
                  </pic:spPr>
                </pic:pic>
              </a:graphicData>
            </a:graphic>
          </wp:inline>
        </w:drawing>
      </w:r>
    </w:p>
    <w:p w14:paraId="630DDBD8" w14:textId="77777777" w:rsidR="00607A0D" w:rsidRPr="00080E27" w:rsidRDefault="00607A0D" w:rsidP="00607A0D">
      <w:pPr>
        <w:spacing w:line="360" w:lineRule="auto"/>
        <w:jc w:val="both"/>
        <w:rPr>
          <w:rFonts w:ascii="Calibri" w:eastAsia="Calibri" w:hAnsi="Calibri" w:cs="Times New Roman"/>
          <w:sz w:val="24"/>
          <w:szCs w:val="24"/>
        </w:rPr>
      </w:pPr>
      <w:r w:rsidRPr="00080E27">
        <w:rPr>
          <w:rFonts w:ascii="Calibri" w:eastAsia="Calibri" w:hAnsi="Calibri" w:cs="Times New Roman"/>
          <w:sz w:val="24"/>
          <w:szCs w:val="24"/>
        </w:rPr>
        <w:t>Figure 2: Comparing country spending as a percentage of GDP Source: McKinsey (2013).</w:t>
      </w:r>
    </w:p>
    <w:p w14:paraId="25B7E8BA" w14:textId="77777777" w:rsidR="00607A0D" w:rsidRPr="00F51AF8" w:rsidRDefault="00607A0D" w:rsidP="00607A0D">
      <w:pPr>
        <w:spacing w:line="360" w:lineRule="auto"/>
        <w:rPr>
          <w:rFonts w:ascii="Calibri" w:eastAsia="Calibri" w:hAnsi="Calibri" w:cs="Times New Roman"/>
          <w:b/>
          <w:bCs/>
          <w:color w:val="FF0000"/>
          <w:sz w:val="24"/>
          <w:szCs w:val="24"/>
        </w:rPr>
      </w:pPr>
      <w:r w:rsidRPr="00F51AF8">
        <w:rPr>
          <w:rFonts w:ascii="Calibri" w:eastAsia="Calibri" w:hAnsi="Calibri" w:cs="Times New Roman"/>
          <w:b/>
          <w:bCs/>
          <w:sz w:val="24"/>
          <w:szCs w:val="24"/>
        </w:rPr>
        <w:t>UK Infrastructure Investment</w:t>
      </w:r>
      <w:r w:rsidRPr="00F51AF8">
        <w:rPr>
          <w:rFonts w:ascii="Calibri" w:eastAsia="Times New Roman" w:hAnsi="Calibri" w:cs="Times New Roman"/>
          <w:b/>
          <w:bCs/>
          <w:sz w:val="26"/>
          <w:szCs w:val="26"/>
        </w:rPr>
        <w:t xml:space="preserve"> at National and Regional Levels</w:t>
      </w:r>
    </w:p>
    <w:p w14:paraId="1B67F9B2" w14:textId="77777777" w:rsidR="00607A0D" w:rsidRPr="00CB439D" w:rsidRDefault="00607A0D" w:rsidP="00607A0D">
      <w:pPr>
        <w:spacing w:line="360" w:lineRule="auto"/>
        <w:jc w:val="both"/>
        <w:rPr>
          <w:rFonts w:ascii="Calibri" w:eastAsia="Calibri" w:hAnsi="Calibri" w:cs="Times New Roman"/>
          <w:sz w:val="24"/>
          <w:szCs w:val="24"/>
        </w:rPr>
      </w:pPr>
      <w:r w:rsidRPr="00CB439D">
        <w:rPr>
          <w:rFonts w:ascii="Calibri" w:eastAsia="Calibri" w:hAnsi="Calibri" w:cs="Times New Roman"/>
          <w:sz w:val="24"/>
          <w:szCs w:val="24"/>
        </w:rPr>
        <w:t xml:space="preserve">The level of </w:t>
      </w:r>
      <w:r>
        <w:rPr>
          <w:rFonts w:ascii="Calibri" w:eastAsia="Calibri" w:hAnsi="Calibri" w:cs="Times New Roman"/>
          <w:sz w:val="24"/>
          <w:szCs w:val="24"/>
        </w:rPr>
        <w:t xml:space="preserve">government infrastructure </w:t>
      </w:r>
      <w:r w:rsidRPr="00CB439D">
        <w:rPr>
          <w:rFonts w:ascii="Calibri" w:eastAsia="Calibri" w:hAnsi="Calibri" w:cs="Times New Roman"/>
          <w:sz w:val="24"/>
          <w:szCs w:val="24"/>
        </w:rPr>
        <w:t xml:space="preserve">investment </w:t>
      </w:r>
      <w:r>
        <w:rPr>
          <w:rFonts w:ascii="Calibri" w:eastAsia="Calibri" w:hAnsi="Calibri" w:cs="Times New Roman"/>
          <w:sz w:val="24"/>
          <w:szCs w:val="24"/>
        </w:rPr>
        <w:t>for 2006-2016 was</w:t>
      </w:r>
      <w:r w:rsidRPr="00CB439D">
        <w:rPr>
          <w:rFonts w:ascii="Calibri" w:eastAsia="Calibri" w:hAnsi="Calibri" w:cs="Times New Roman"/>
          <w:sz w:val="24"/>
          <w:szCs w:val="24"/>
        </w:rPr>
        <w:t xml:space="preserve"> growing steadily year on year, as shown </w:t>
      </w:r>
      <w:r w:rsidRPr="007046EC">
        <w:rPr>
          <w:rFonts w:ascii="Calibri" w:eastAsia="Calibri" w:hAnsi="Calibri" w:cs="Times New Roman"/>
          <w:sz w:val="24"/>
          <w:szCs w:val="24"/>
        </w:rPr>
        <w:t xml:space="preserve">in Figure </w:t>
      </w:r>
      <w:r>
        <w:rPr>
          <w:rFonts w:ascii="Calibri" w:eastAsia="Calibri" w:hAnsi="Calibri" w:cs="Times New Roman"/>
          <w:sz w:val="24"/>
          <w:szCs w:val="24"/>
        </w:rPr>
        <w:t>3</w:t>
      </w:r>
      <w:r w:rsidRPr="007046EC">
        <w:rPr>
          <w:rFonts w:ascii="Calibri" w:eastAsia="Calibri" w:hAnsi="Calibri" w:cs="Times New Roman"/>
          <w:sz w:val="24"/>
          <w:szCs w:val="24"/>
        </w:rPr>
        <w:t xml:space="preserve"> (ONS, 2018</w:t>
      </w:r>
      <w:r w:rsidRPr="00CB439D">
        <w:rPr>
          <w:rFonts w:ascii="Calibri" w:eastAsia="Calibri" w:hAnsi="Calibri" w:cs="Times New Roman"/>
          <w:sz w:val="24"/>
          <w:szCs w:val="24"/>
        </w:rPr>
        <w:t xml:space="preserve">). </w:t>
      </w:r>
    </w:p>
    <w:p w14:paraId="7EE2D822" w14:textId="77777777" w:rsidR="00607A0D" w:rsidRPr="00AB3B80" w:rsidRDefault="00607A0D" w:rsidP="00607A0D">
      <w:pPr>
        <w:spacing w:line="360" w:lineRule="auto"/>
        <w:jc w:val="both"/>
        <w:rPr>
          <w:rFonts w:ascii="Calibri" w:eastAsia="Calibri" w:hAnsi="Calibri" w:cs="Times New Roman"/>
          <w:color w:val="FF0000"/>
          <w:sz w:val="24"/>
          <w:szCs w:val="24"/>
        </w:rPr>
      </w:pPr>
      <w:r w:rsidRPr="00F9497E">
        <w:rPr>
          <w:rFonts w:ascii="Calibri" w:eastAsia="Calibri" w:hAnsi="Calibri" w:cs="Times New Roman"/>
        </w:rPr>
        <w:t xml:space="preserve">Figure </w:t>
      </w:r>
      <w:r>
        <w:rPr>
          <w:rFonts w:ascii="Calibri" w:eastAsia="Calibri" w:hAnsi="Calibri" w:cs="Times New Roman"/>
        </w:rPr>
        <w:t>3</w:t>
      </w:r>
      <w:r w:rsidRPr="00F9497E">
        <w:rPr>
          <w:rFonts w:ascii="Calibri" w:eastAsia="Calibri" w:hAnsi="Calibri" w:cs="Times New Roman"/>
        </w:rPr>
        <w:t xml:space="preserve">: Government infrastructure investment estimates, current prices UK, 2006 </w:t>
      </w:r>
      <w:r>
        <w:rPr>
          <w:rFonts w:ascii="Calibri" w:eastAsia="Calibri" w:hAnsi="Calibri" w:cs="Times New Roman"/>
        </w:rPr>
        <w:t>to</w:t>
      </w:r>
      <w:r w:rsidRPr="00F9497E">
        <w:rPr>
          <w:rFonts w:ascii="Calibri" w:eastAsia="Calibri" w:hAnsi="Calibri" w:cs="Times New Roman"/>
        </w:rPr>
        <w:t xml:space="preserve"> 2016.</w:t>
      </w:r>
      <w:r w:rsidRPr="00F9497E">
        <w:t xml:space="preserve"> </w:t>
      </w:r>
    </w:p>
    <w:p w14:paraId="5F8A9293" w14:textId="77777777" w:rsidR="00607A0D" w:rsidRDefault="00607A0D" w:rsidP="00607A0D">
      <w:pPr>
        <w:rPr>
          <w:rFonts w:ascii="Calibri" w:eastAsia="Calibri" w:hAnsi="Calibri" w:cs="Times New Roman"/>
          <w:sz w:val="24"/>
          <w:szCs w:val="24"/>
        </w:rPr>
      </w:pPr>
      <w:r w:rsidRPr="00606A03">
        <w:rPr>
          <w:rFonts w:ascii="Calibri" w:eastAsia="Calibri" w:hAnsi="Calibri" w:cs="Times New Roman"/>
          <w:noProof/>
          <w:sz w:val="24"/>
          <w:szCs w:val="24"/>
        </w:rPr>
        <w:drawing>
          <wp:inline distT="0" distB="0" distL="0" distR="0" wp14:anchorId="039211D9" wp14:editId="15C35CEB">
            <wp:extent cx="5731510" cy="23101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310130"/>
                    </a:xfrm>
                    <a:prstGeom prst="rect">
                      <a:avLst/>
                    </a:prstGeom>
                  </pic:spPr>
                </pic:pic>
              </a:graphicData>
            </a:graphic>
          </wp:inline>
        </w:drawing>
      </w:r>
    </w:p>
    <w:p w14:paraId="622605EA" w14:textId="77777777" w:rsidR="00607A0D" w:rsidRPr="00080E27" w:rsidRDefault="00607A0D" w:rsidP="00607A0D">
      <w:pPr>
        <w:spacing w:after="200" w:line="360" w:lineRule="auto"/>
        <w:rPr>
          <w:rFonts w:ascii="Calibri" w:eastAsia="Calibri" w:hAnsi="Calibri" w:cs="Times New Roman"/>
        </w:rPr>
      </w:pPr>
      <w:r w:rsidRPr="00080E27">
        <w:rPr>
          <w:rFonts w:ascii="Calibri" w:eastAsia="Calibri" w:hAnsi="Calibri" w:cs="Times New Roman"/>
          <w:b/>
          <w:bCs/>
          <w:sz w:val="24"/>
          <w:szCs w:val="24"/>
        </w:rPr>
        <w:t>CG</w:t>
      </w:r>
      <w:r w:rsidRPr="00080E27">
        <w:rPr>
          <w:rFonts w:ascii="Calibri" w:eastAsia="Calibri" w:hAnsi="Calibri" w:cs="Times New Roman"/>
        </w:rPr>
        <w:t xml:space="preserve">: Central Government, </w:t>
      </w:r>
      <w:r w:rsidRPr="00080E27">
        <w:rPr>
          <w:rFonts w:ascii="Calibri" w:eastAsia="Calibri" w:hAnsi="Calibri" w:cs="Times New Roman"/>
          <w:b/>
          <w:bCs/>
          <w:sz w:val="24"/>
          <w:szCs w:val="24"/>
        </w:rPr>
        <w:t>LG</w:t>
      </w:r>
      <w:r w:rsidRPr="00080E27">
        <w:rPr>
          <w:rFonts w:ascii="Calibri" w:eastAsia="Calibri" w:hAnsi="Calibri" w:cs="Times New Roman"/>
        </w:rPr>
        <w:t>: Local Government.</w:t>
      </w:r>
    </w:p>
    <w:p w14:paraId="67BDCD27" w14:textId="77777777" w:rsidR="00607A0D" w:rsidRPr="00F9497E" w:rsidRDefault="00607A0D" w:rsidP="00607A0D">
      <w:pPr>
        <w:spacing w:after="200" w:line="360" w:lineRule="auto"/>
        <w:rPr>
          <w:rFonts w:ascii="Calibri" w:eastAsia="Calibri" w:hAnsi="Calibri" w:cs="Times New Roman"/>
        </w:rPr>
      </w:pPr>
      <w:r w:rsidRPr="00F9497E">
        <w:rPr>
          <w:rFonts w:ascii="Calibri" w:eastAsia="Calibri" w:hAnsi="Calibri" w:cs="Times New Roman"/>
        </w:rPr>
        <w:t>Source: Office for National Statistics (ONS, 2018).</w:t>
      </w:r>
    </w:p>
    <w:p w14:paraId="777447A0" w14:textId="77777777" w:rsidR="00607A0D" w:rsidRPr="00CB439D" w:rsidRDefault="00607A0D" w:rsidP="00607A0D">
      <w:pPr>
        <w:spacing w:line="360" w:lineRule="auto"/>
        <w:jc w:val="both"/>
        <w:rPr>
          <w:rFonts w:ascii="Calibri" w:eastAsia="Calibri" w:hAnsi="Calibri" w:cs="Times New Roman"/>
          <w:sz w:val="24"/>
          <w:szCs w:val="24"/>
        </w:rPr>
      </w:pPr>
      <w:r w:rsidRPr="00CB439D">
        <w:rPr>
          <w:rFonts w:ascii="Calibri" w:eastAsia="Calibri" w:hAnsi="Calibri" w:cs="Times New Roman"/>
          <w:sz w:val="24"/>
          <w:szCs w:val="24"/>
        </w:rPr>
        <w:t xml:space="preserve">Energy </w:t>
      </w:r>
      <w:r>
        <w:rPr>
          <w:rFonts w:ascii="Calibri" w:eastAsia="Calibri" w:hAnsi="Calibri" w:cs="Times New Roman"/>
          <w:sz w:val="24"/>
          <w:szCs w:val="24"/>
        </w:rPr>
        <w:t>has</w:t>
      </w:r>
      <w:r w:rsidRPr="00CB439D">
        <w:rPr>
          <w:rFonts w:ascii="Calibri" w:eastAsia="Calibri" w:hAnsi="Calibri" w:cs="Times New Roman"/>
          <w:sz w:val="24"/>
          <w:szCs w:val="24"/>
        </w:rPr>
        <w:t xml:space="preserve"> becom</w:t>
      </w:r>
      <w:r>
        <w:rPr>
          <w:rFonts w:ascii="Calibri" w:eastAsia="Calibri" w:hAnsi="Calibri" w:cs="Times New Roman"/>
          <w:sz w:val="24"/>
          <w:szCs w:val="24"/>
        </w:rPr>
        <w:t>e</w:t>
      </w:r>
      <w:r w:rsidRPr="00CB439D">
        <w:rPr>
          <w:rFonts w:ascii="Calibri" w:eastAsia="Calibri" w:hAnsi="Calibri" w:cs="Times New Roman"/>
          <w:sz w:val="24"/>
          <w:szCs w:val="24"/>
        </w:rPr>
        <w:t xml:space="preserve"> a priority (see Table 1 below) as a result of environmental </w:t>
      </w:r>
      <w:bookmarkStart w:id="5" w:name="_Hlk60372527"/>
      <w:r w:rsidRPr="00CB439D">
        <w:rPr>
          <w:rFonts w:ascii="Calibri" w:eastAsia="Calibri" w:hAnsi="Calibri" w:cs="Times New Roman"/>
          <w:sz w:val="24"/>
          <w:szCs w:val="24"/>
        </w:rPr>
        <w:t xml:space="preserve">pressures and increasing dependent on electricity. In an effort to support this commitment, the government passed the Energy Act in 2013, which </w:t>
      </w:r>
      <w:bookmarkEnd w:id="5"/>
      <w:r w:rsidRPr="00CB439D">
        <w:rPr>
          <w:rFonts w:ascii="Calibri" w:eastAsia="Calibri" w:hAnsi="Calibri" w:cs="Times New Roman"/>
          <w:sz w:val="24"/>
          <w:szCs w:val="24"/>
        </w:rPr>
        <w:t>introduced Electricity Market Reform.</w:t>
      </w:r>
    </w:p>
    <w:p w14:paraId="42ECCBFF" w14:textId="77777777" w:rsidR="00607A0D" w:rsidRPr="00F9497E" w:rsidRDefault="00607A0D" w:rsidP="00607A0D">
      <w:r w:rsidRPr="0085731A">
        <w:rPr>
          <w:b/>
          <w:bCs/>
        </w:rPr>
        <w:lastRenderedPageBreak/>
        <w:t>Table 1</w:t>
      </w:r>
      <w:r w:rsidRPr="0085731A">
        <w:t xml:space="preserve">: Infrastructure construction (new work) by sub-sector, current prices, </w:t>
      </w:r>
      <w:r>
        <w:t>UK</w:t>
      </w:r>
      <w:r w:rsidRPr="0085731A">
        <w:t>: 2010 to 2017</w:t>
      </w:r>
    </w:p>
    <w:tbl>
      <w:tblPr>
        <w:tblStyle w:val="TableGrid"/>
        <w:tblW w:w="0" w:type="auto"/>
        <w:tblLook w:val="04A0" w:firstRow="1" w:lastRow="0" w:firstColumn="1" w:lastColumn="0" w:noHBand="0" w:noVBand="1"/>
      </w:tblPr>
      <w:tblGrid>
        <w:gridCol w:w="1174"/>
        <w:gridCol w:w="971"/>
        <w:gridCol w:w="971"/>
        <w:gridCol w:w="970"/>
        <w:gridCol w:w="970"/>
        <w:gridCol w:w="970"/>
        <w:gridCol w:w="970"/>
        <w:gridCol w:w="970"/>
        <w:gridCol w:w="970"/>
      </w:tblGrid>
      <w:tr w:rsidR="00607A0D" w:rsidRPr="00F9497E" w14:paraId="65C8E7D6" w14:textId="77777777" w:rsidTr="00B93B23">
        <w:tc>
          <w:tcPr>
            <w:tcW w:w="1174" w:type="dxa"/>
            <w:tcBorders>
              <w:top w:val="thinThickSmallGap" w:sz="24" w:space="0" w:color="4472C4" w:themeColor="accent1"/>
              <w:left w:val="thinThickSmallGap" w:sz="24" w:space="0" w:color="4472C4" w:themeColor="accent1"/>
              <w:bottom w:val="single" w:sz="6" w:space="0" w:color="4472C4" w:themeColor="accent1"/>
              <w:right w:val="single" w:sz="6" w:space="0" w:color="4472C4" w:themeColor="accent1"/>
            </w:tcBorders>
          </w:tcPr>
          <w:p w14:paraId="115ACDAE" w14:textId="77777777" w:rsidR="00607A0D" w:rsidRPr="00F9497E" w:rsidRDefault="00607A0D" w:rsidP="00B93B23">
            <w:pPr>
              <w:rPr>
                <w:rFonts w:ascii="Calibri" w:eastAsia="Calibri" w:hAnsi="Calibri" w:cs="Times New Roman"/>
                <w:b/>
                <w:bCs/>
                <w:sz w:val="20"/>
                <w:szCs w:val="20"/>
              </w:rPr>
            </w:pPr>
            <w:r w:rsidRPr="00F9497E">
              <w:rPr>
                <w:rFonts w:ascii="Calibri" w:eastAsia="Calibri" w:hAnsi="Calibri" w:cs="Times New Roman"/>
                <w:b/>
                <w:bCs/>
                <w:sz w:val="20"/>
                <w:szCs w:val="20"/>
              </w:rPr>
              <w:t>Type of work</w:t>
            </w:r>
          </w:p>
        </w:tc>
        <w:tc>
          <w:tcPr>
            <w:tcW w:w="981"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63915018"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2010</w:t>
            </w:r>
          </w:p>
        </w:tc>
        <w:tc>
          <w:tcPr>
            <w:tcW w:w="981"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58BA9849"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2011</w:t>
            </w:r>
          </w:p>
        </w:tc>
        <w:tc>
          <w:tcPr>
            <w:tcW w:w="980"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0971141F"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2012</w:t>
            </w:r>
          </w:p>
        </w:tc>
        <w:tc>
          <w:tcPr>
            <w:tcW w:w="980"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521D9671"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2013</w:t>
            </w:r>
          </w:p>
        </w:tc>
        <w:tc>
          <w:tcPr>
            <w:tcW w:w="980"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54215B32"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2014</w:t>
            </w:r>
          </w:p>
        </w:tc>
        <w:tc>
          <w:tcPr>
            <w:tcW w:w="980"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1EB46774"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2015</w:t>
            </w:r>
          </w:p>
        </w:tc>
        <w:tc>
          <w:tcPr>
            <w:tcW w:w="980"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09F1A243"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2016</w:t>
            </w:r>
          </w:p>
        </w:tc>
        <w:tc>
          <w:tcPr>
            <w:tcW w:w="980" w:type="dxa"/>
            <w:tcBorders>
              <w:top w:val="thinThickSmallGap" w:sz="24" w:space="0" w:color="4472C4" w:themeColor="accent1"/>
              <w:left w:val="single" w:sz="6" w:space="0" w:color="4472C4" w:themeColor="accent1"/>
              <w:bottom w:val="single" w:sz="6" w:space="0" w:color="4472C4" w:themeColor="accent1"/>
              <w:right w:val="thickThinSmallGap" w:sz="24" w:space="0" w:color="4472C4" w:themeColor="accent1"/>
            </w:tcBorders>
          </w:tcPr>
          <w:p w14:paraId="15EAA501" w14:textId="77777777" w:rsidR="00607A0D" w:rsidRPr="00F9497E" w:rsidRDefault="00607A0D" w:rsidP="00B93B23">
            <w:pPr>
              <w:jc w:val="right"/>
              <w:rPr>
                <w:rFonts w:ascii="Calibri" w:eastAsia="Calibri" w:hAnsi="Calibri" w:cs="Times New Roman"/>
                <w:b/>
                <w:bCs/>
                <w:sz w:val="20"/>
                <w:szCs w:val="20"/>
              </w:rPr>
            </w:pPr>
            <w:r w:rsidRPr="00F9497E">
              <w:rPr>
                <w:rFonts w:ascii="Calibri" w:eastAsia="Calibri" w:hAnsi="Calibri" w:cs="Times New Roman"/>
                <w:b/>
                <w:bCs/>
                <w:sz w:val="20"/>
                <w:szCs w:val="20"/>
              </w:rPr>
              <w:t>2017</w:t>
            </w:r>
          </w:p>
        </w:tc>
      </w:tr>
      <w:tr w:rsidR="00607A0D" w:rsidRPr="00F9497E" w14:paraId="3289CCC8"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6772D9BA" w14:textId="77777777" w:rsidR="00607A0D" w:rsidRPr="00F9497E" w:rsidRDefault="00607A0D" w:rsidP="00B93B23">
            <w:pPr>
              <w:rPr>
                <w:rFonts w:eastAsia="Calibri" w:cstheme="minorHAnsi"/>
                <w:sz w:val="18"/>
                <w:szCs w:val="18"/>
              </w:rPr>
            </w:pPr>
            <w:r w:rsidRPr="00F9497E">
              <w:rPr>
                <w:rFonts w:eastAsia="Calibri" w:cstheme="minorHAnsi"/>
                <w:sz w:val="18"/>
                <w:szCs w:val="18"/>
              </w:rPr>
              <w:t>Water</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C179E5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2,787</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1236844"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2,281</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663FD06"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1,824</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4EEC6FD"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1,248</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754C2D6"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691</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9C34702"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652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3880B91"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761</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05308C7A"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1,314</w:t>
            </w:r>
          </w:p>
        </w:tc>
      </w:tr>
      <w:tr w:rsidR="00607A0D" w:rsidRPr="00F9497E" w14:paraId="72DB6F9A"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6B81F1CA" w14:textId="77777777" w:rsidR="00607A0D" w:rsidRPr="00F9497E" w:rsidRDefault="00607A0D" w:rsidP="00B93B23">
            <w:pPr>
              <w:rPr>
                <w:rFonts w:eastAsia="Calibri" w:cstheme="minorHAnsi"/>
                <w:sz w:val="18"/>
                <w:szCs w:val="18"/>
              </w:rPr>
            </w:pPr>
            <w:r w:rsidRPr="00F9497E">
              <w:rPr>
                <w:rFonts w:eastAsia="Calibri" w:cstheme="minorHAnsi"/>
                <w:sz w:val="18"/>
                <w:szCs w:val="18"/>
              </w:rPr>
              <w:t>Sewerage</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325CA1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1,037</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BC7C4E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795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9DAA4D2"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710</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3F1D545"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480</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F8F8EC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366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164886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448</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8D1049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651</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65AB2C9D"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990</w:t>
            </w:r>
          </w:p>
        </w:tc>
      </w:tr>
      <w:tr w:rsidR="00607A0D" w:rsidRPr="00F9497E" w14:paraId="42363E86"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67556EB7" w14:textId="77777777" w:rsidR="00607A0D" w:rsidRPr="00F9497E" w:rsidRDefault="00607A0D" w:rsidP="00B93B23">
            <w:pPr>
              <w:rPr>
                <w:rFonts w:eastAsia="Calibri" w:cstheme="minorHAnsi"/>
                <w:sz w:val="18"/>
                <w:szCs w:val="18"/>
              </w:rPr>
            </w:pPr>
            <w:r w:rsidRPr="00F9497E">
              <w:rPr>
                <w:rFonts w:eastAsia="Calibri" w:cstheme="minorHAnsi"/>
                <w:sz w:val="18"/>
                <w:szCs w:val="18"/>
              </w:rPr>
              <w:t>Electricity</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385416A"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1,348</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A2B5EAB"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1,635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CDB93D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2,383</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EC2C6FC"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3,453</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158C0BD"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4,829</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4E6CAA2"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8,114</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4F876A0"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7,983</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7AEBC6CA"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8,903</w:t>
            </w:r>
          </w:p>
        </w:tc>
      </w:tr>
      <w:tr w:rsidR="00607A0D" w:rsidRPr="00F9497E" w14:paraId="4050CE9F"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3609805C" w14:textId="77777777" w:rsidR="00607A0D" w:rsidRPr="00F9497E" w:rsidRDefault="00607A0D" w:rsidP="00B93B23">
            <w:pPr>
              <w:rPr>
                <w:rFonts w:eastAsia="Calibri" w:cstheme="minorHAnsi"/>
                <w:sz w:val="18"/>
                <w:szCs w:val="18"/>
              </w:rPr>
            </w:pPr>
            <w:r w:rsidRPr="00F9497E">
              <w:rPr>
                <w:rFonts w:eastAsia="Calibri" w:cstheme="minorHAnsi"/>
                <w:sz w:val="18"/>
                <w:szCs w:val="18"/>
              </w:rPr>
              <w:t>Roads</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58E0F8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3,789</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5F79506"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3,836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61CEA3D"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2,280</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E52DE94"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2,583</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C31CB5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2,762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D5311A4"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4,036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6D8813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4,518</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0AE2F800"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4,221</w:t>
            </w:r>
          </w:p>
        </w:tc>
      </w:tr>
      <w:tr w:rsidR="00607A0D" w:rsidRPr="00F9497E" w14:paraId="2ED7D50F"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7713938F" w14:textId="77777777" w:rsidR="00607A0D" w:rsidRPr="00F9497E" w:rsidRDefault="00607A0D" w:rsidP="00B93B23">
            <w:pPr>
              <w:rPr>
                <w:rFonts w:eastAsia="Calibri" w:cstheme="minorHAnsi"/>
                <w:sz w:val="18"/>
                <w:szCs w:val="18"/>
              </w:rPr>
            </w:pPr>
            <w:r w:rsidRPr="00F9497E">
              <w:rPr>
                <w:rFonts w:eastAsia="Calibri" w:cstheme="minorHAnsi"/>
                <w:sz w:val="18"/>
                <w:szCs w:val="18"/>
              </w:rPr>
              <w:t>Railways</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510C112"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2,333</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ECBAD9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4,065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6CEB8AB"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4,137</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38F50E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5,002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C1FDDDA"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4,066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D8EBA8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2,999</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797A291"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2,655</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6F446B5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2,879</w:t>
            </w:r>
          </w:p>
        </w:tc>
      </w:tr>
      <w:tr w:rsidR="00607A0D" w:rsidRPr="00F9497E" w14:paraId="1518811B"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2915671C" w14:textId="77777777" w:rsidR="00607A0D" w:rsidRPr="00F9497E" w:rsidRDefault="00607A0D" w:rsidP="00B93B23">
            <w:pPr>
              <w:rPr>
                <w:rFonts w:eastAsia="Calibri" w:cstheme="minorHAnsi"/>
                <w:sz w:val="18"/>
                <w:szCs w:val="18"/>
              </w:rPr>
            </w:pPr>
            <w:r w:rsidRPr="00F9497E">
              <w:rPr>
                <w:rFonts w:eastAsia="Calibri" w:cstheme="minorHAnsi"/>
                <w:sz w:val="18"/>
                <w:szCs w:val="18"/>
              </w:rPr>
              <w:t>Harbours</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5215BAA"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370</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BC64EF7"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462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1D03B2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482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C798CA7"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586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E159B77"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897</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DF9F1E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975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8C31F2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746</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008F50B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665</w:t>
            </w:r>
          </w:p>
        </w:tc>
      </w:tr>
      <w:tr w:rsidR="00607A0D" w:rsidRPr="00F9497E" w14:paraId="7E7ED642"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681DAF9D" w14:textId="77777777" w:rsidR="00607A0D" w:rsidRPr="00F9497E" w:rsidRDefault="00607A0D" w:rsidP="00B93B23">
            <w:pPr>
              <w:rPr>
                <w:rFonts w:eastAsia="Calibri" w:cstheme="minorHAnsi"/>
                <w:sz w:val="18"/>
                <w:szCs w:val="18"/>
              </w:rPr>
            </w:pPr>
            <w:r w:rsidRPr="00F9497E">
              <w:rPr>
                <w:rFonts w:eastAsia="Calibri" w:cstheme="minorHAnsi"/>
                <w:sz w:val="18"/>
                <w:szCs w:val="18"/>
              </w:rPr>
              <w:t>Others</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5E7185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1,874</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D9D1B18"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2,246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F25339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2,607</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13A34AD"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1,981</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103A97C"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1,715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489F5A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1,589</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BA2E2F6"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1,086</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22E9CD8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755</w:t>
            </w:r>
          </w:p>
        </w:tc>
      </w:tr>
      <w:tr w:rsidR="00607A0D" w:rsidRPr="00F9497E" w14:paraId="7EE718DD"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62EEABD8" w14:textId="77777777" w:rsidR="00607A0D" w:rsidRPr="00F9497E" w:rsidRDefault="00607A0D" w:rsidP="00B93B23">
            <w:pPr>
              <w:rPr>
                <w:rFonts w:eastAsia="Calibri" w:cstheme="minorHAnsi"/>
                <w:sz w:val="18"/>
                <w:szCs w:val="18"/>
              </w:rPr>
            </w:pPr>
            <w:r w:rsidRPr="00F9497E">
              <w:rPr>
                <w:rFonts w:eastAsia="Calibri" w:cstheme="minorHAnsi"/>
                <w:sz w:val="18"/>
                <w:szCs w:val="18"/>
              </w:rPr>
              <w:t>Total New Work</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9435FB2"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13,540</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8BB34E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15,320</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0E8C0C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14,425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C397E98"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15,332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4BA6C4D"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15,325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ED9B325"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18,812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0BA5EF1"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18,403</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38D92ED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19,728</w:t>
            </w:r>
          </w:p>
        </w:tc>
      </w:tr>
      <w:tr w:rsidR="00607A0D" w:rsidRPr="00F9497E" w14:paraId="55167CE5"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02B1D4EB" w14:textId="77777777" w:rsidR="00607A0D" w:rsidRPr="00F9497E" w:rsidRDefault="00607A0D" w:rsidP="00B93B23">
            <w:pPr>
              <w:rPr>
                <w:rFonts w:eastAsia="Calibri" w:cstheme="minorHAnsi"/>
                <w:sz w:val="18"/>
                <w:szCs w:val="18"/>
              </w:rPr>
            </w:pPr>
            <w:r w:rsidRPr="00F9497E">
              <w:rPr>
                <w:rFonts w:eastAsia="Calibri" w:cstheme="minorHAnsi"/>
                <w:sz w:val="18"/>
                <w:szCs w:val="18"/>
              </w:rPr>
              <w:t>Of which public</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B41EDF2"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37.0%</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B524E0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33.6%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F896AA5"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30.0%</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5CD039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39.2%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50EEAC1"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37.9%</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850CB7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35.9%</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E9AC73B"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36.8%</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12DA2051"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37.1%</w:t>
            </w:r>
          </w:p>
        </w:tc>
      </w:tr>
      <w:tr w:rsidR="00607A0D" w:rsidRPr="00F9497E" w14:paraId="0FEB2514"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5AC2433E" w14:textId="77777777" w:rsidR="00607A0D" w:rsidRPr="00F9497E" w:rsidRDefault="00607A0D" w:rsidP="00B93B23">
            <w:pPr>
              <w:rPr>
                <w:rFonts w:eastAsia="Calibri" w:cstheme="minorHAnsi"/>
                <w:sz w:val="18"/>
                <w:szCs w:val="18"/>
              </w:rPr>
            </w:pPr>
            <w:r w:rsidRPr="00F9497E">
              <w:rPr>
                <w:rFonts w:eastAsia="Calibri" w:cstheme="minorHAnsi"/>
                <w:sz w:val="18"/>
                <w:szCs w:val="18"/>
              </w:rPr>
              <w:t>Of which private</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99A8A7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63.0%</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8C01655"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66.4%</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C259FCF"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70.0%</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A709560"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60.8%</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C1F612A"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62.1%</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ADF4134"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64.1%</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1D54387"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63.2%</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7D8C7180"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62.9%</w:t>
            </w:r>
          </w:p>
        </w:tc>
      </w:tr>
      <w:tr w:rsidR="00607A0D" w:rsidRPr="00F9497E" w14:paraId="2D083071" w14:textId="77777777" w:rsidTr="00B93B23">
        <w:tc>
          <w:tcPr>
            <w:tcW w:w="1174"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4AFA2132" w14:textId="77777777" w:rsidR="00607A0D" w:rsidRPr="00F9497E" w:rsidRDefault="00607A0D" w:rsidP="00B93B23">
            <w:pPr>
              <w:rPr>
                <w:rFonts w:eastAsia="Calibri" w:cstheme="minorHAnsi"/>
                <w:sz w:val="18"/>
                <w:szCs w:val="18"/>
              </w:rPr>
            </w:pPr>
            <w:r w:rsidRPr="00F9497E">
              <w:rPr>
                <w:rFonts w:eastAsia="Calibri" w:cstheme="minorHAnsi"/>
                <w:sz w:val="18"/>
                <w:szCs w:val="18"/>
              </w:rPr>
              <w:t>Total repair and maintenance</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8D84617"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6,841</w:t>
            </w:r>
          </w:p>
        </w:tc>
        <w:tc>
          <w:tcPr>
            <w:tcW w:w="981"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C05D2C6"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7,755</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673B77E"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7,672</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0533424"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8,086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3041AF9"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8,801</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F8BB0C0"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8,496</w:t>
            </w:r>
          </w:p>
        </w:tc>
        <w:tc>
          <w:tcPr>
            <w:tcW w:w="98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D089DFB"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8,067</w:t>
            </w:r>
          </w:p>
        </w:tc>
        <w:tc>
          <w:tcPr>
            <w:tcW w:w="980"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1EA14CB3" w14:textId="77777777" w:rsidR="00607A0D" w:rsidRPr="00F9497E" w:rsidRDefault="00607A0D" w:rsidP="00B93B23">
            <w:pPr>
              <w:jc w:val="right"/>
              <w:rPr>
                <w:rFonts w:eastAsia="Calibri" w:cstheme="minorHAnsi"/>
                <w:sz w:val="18"/>
                <w:szCs w:val="18"/>
              </w:rPr>
            </w:pPr>
            <w:r w:rsidRPr="00F9497E">
              <w:rPr>
                <w:rFonts w:eastAsia="Calibri" w:cstheme="minorHAnsi"/>
                <w:sz w:val="18"/>
                <w:szCs w:val="18"/>
              </w:rPr>
              <w:t>8,817</w:t>
            </w:r>
          </w:p>
        </w:tc>
      </w:tr>
      <w:tr w:rsidR="00607A0D" w14:paraId="050C929E" w14:textId="77777777" w:rsidTr="00B93B23">
        <w:tc>
          <w:tcPr>
            <w:tcW w:w="1174" w:type="dxa"/>
            <w:tcBorders>
              <w:top w:val="single" w:sz="6" w:space="0" w:color="4472C4" w:themeColor="accent1"/>
              <w:left w:val="thinThickSmallGap" w:sz="24" w:space="0" w:color="4472C4" w:themeColor="accent1"/>
              <w:bottom w:val="thickThinSmallGap" w:sz="24" w:space="0" w:color="4472C4" w:themeColor="accent1"/>
              <w:right w:val="single" w:sz="6" w:space="0" w:color="4472C4" w:themeColor="accent1"/>
            </w:tcBorders>
          </w:tcPr>
          <w:p w14:paraId="2E37287B" w14:textId="77777777" w:rsidR="00607A0D" w:rsidRDefault="00607A0D" w:rsidP="00B93B23">
            <w:pPr>
              <w:rPr>
                <w:rFonts w:ascii="Calibri" w:eastAsia="Calibri" w:hAnsi="Calibri" w:cs="Times New Roman"/>
                <w:sz w:val="24"/>
                <w:szCs w:val="24"/>
              </w:rPr>
            </w:pPr>
          </w:p>
        </w:tc>
        <w:tc>
          <w:tcPr>
            <w:tcW w:w="981"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1518D0D3" w14:textId="77777777" w:rsidR="00607A0D" w:rsidRDefault="00607A0D" w:rsidP="00B93B23">
            <w:pPr>
              <w:rPr>
                <w:rFonts w:ascii="Calibri" w:eastAsia="Calibri" w:hAnsi="Calibri" w:cs="Times New Roman"/>
                <w:sz w:val="24"/>
                <w:szCs w:val="24"/>
              </w:rPr>
            </w:pPr>
          </w:p>
        </w:tc>
        <w:tc>
          <w:tcPr>
            <w:tcW w:w="981"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740FF5D5" w14:textId="77777777" w:rsidR="00607A0D" w:rsidRDefault="00607A0D" w:rsidP="00B93B23">
            <w:pPr>
              <w:rPr>
                <w:rFonts w:ascii="Calibri" w:eastAsia="Calibri" w:hAnsi="Calibri" w:cs="Times New Roman"/>
                <w:sz w:val="24"/>
                <w:szCs w:val="24"/>
              </w:rPr>
            </w:pPr>
          </w:p>
        </w:tc>
        <w:tc>
          <w:tcPr>
            <w:tcW w:w="980"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2356DBA6" w14:textId="77777777" w:rsidR="00607A0D" w:rsidRDefault="00607A0D" w:rsidP="00B93B23">
            <w:pPr>
              <w:rPr>
                <w:rFonts w:ascii="Calibri" w:eastAsia="Calibri" w:hAnsi="Calibri" w:cs="Times New Roman"/>
                <w:sz w:val="24"/>
                <w:szCs w:val="24"/>
              </w:rPr>
            </w:pPr>
          </w:p>
        </w:tc>
        <w:tc>
          <w:tcPr>
            <w:tcW w:w="980"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56353F1A" w14:textId="77777777" w:rsidR="00607A0D" w:rsidRDefault="00607A0D" w:rsidP="00B93B23">
            <w:pPr>
              <w:rPr>
                <w:rFonts w:ascii="Calibri" w:eastAsia="Calibri" w:hAnsi="Calibri" w:cs="Times New Roman"/>
                <w:sz w:val="24"/>
                <w:szCs w:val="24"/>
              </w:rPr>
            </w:pPr>
          </w:p>
        </w:tc>
        <w:tc>
          <w:tcPr>
            <w:tcW w:w="980"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53C2B371" w14:textId="77777777" w:rsidR="00607A0D" w:rsidRDefault="00607A0D" w:rsidP="00B93B23">
            <w:pPr>
              <w:rPr>
                <w:rFonts w:ascii="Calibri" w:eastAsia="Calibri" w:hAnsi="Calibri" w:cs="Times New Roman"/>
                <w:sz w:val="24"/>
                <w:szCs w:val="24"/>
              </w:rPr>
            </w:pPr>
          </w:p>
        </w:tc>
        <w:tc>
          <w:tcPr>
            <w:tcW w:w="980"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6F6ADE93" w14:textId="77777777" w:rsidR="00607A0D" w:rsidRDefault="00607A0D" w:rsidP="00B93B23">
            <w:pPr>
              <w:rPr>
                <w:rFonts w:ascii="Calibri" w:eastAsia="Calibri" w:hAnsi="Calibri" w:cs="Times New Roman"/>
                <w:sz w:val="24"/>
                <w:szCs w:val="24"/>
              </w:rPr>
            </w:pPr>
          </w:p>
        </w:tc>
        <w:tc>
          <w:tcPr>
            <w:tcW w:w="980"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71E99626" w14:textId="77777777" w:rsidR="00607A0D" w:rsidRDefault="00607A0D" w:rsidP="00B93B23">
            <w:pPr>
              <w:rPr>
                <w:rFonts w:ascii="Calibri" w:eastAsia="Calibri" w:hAnsi="Calibri" w:cs="Times New Roman"/>
                <w:sz w:val="24"/>
                <w:szCs w:val="24"/>
              </w:rPr>
            </w:pPr>
          </w:p>
        </w:tc>
        <w:tc>
          <w:tcPr>
            <w:tcW w:w="980" w:type="dxa"/>
            <w:tcBorders>
              <w:top w:val="single" w:sz="6" w:space="0" w:color="4472C4" w:themeColor="accent1"/>
              <w:left w:val="single" w:sz="6" w:space="0" w:color="4472C4" w:themeColor="accent1"/>
              <w:bottom w:val="thickThinSmallGap" w:sz="24" w:space="0" w:color="4472C4" w:themeColor="accent1"/>
              <w:right w:val="thickThinSmallGap" w:sz="24" w:space="0" w:color="4472C4" w:themeColor="accent1"/>
            </w:tcBorders>
          </w:tcPr>
          <w:p w14:paraId="29322D9C" w14:textId="77777777" w:rsidR="00607A0D" w:rsidRDefault="00607A0D" w:rsidP="00B93B23">
            <w:pPr>
              <w:rPr>
                <w:rFonts w:ascii="Calibri" w:eastAsia="Calibri" w:hAnsi="Calibri" w:cs="Times New Roman"/>
                <w:sz w:val="24"/>
                <w:szCs w:val="24"/>
              </w:rPr>
            </w:pPr>
          </w:p>
        </w:tc>
      </w:tr>
    </w:tbl>
    <w:p w14:paraId="4E615BD0" w14:textId="77777777" w:rsidR="00607A0D" w:rsidRPr="00CB439D" w:rsidRDefault="00607A0D" w:rsidP="00607A0D">
      <w:r w:rsidRPr="00CB439D">
        <w:rPr>
          <w:b/>
          <w:bCs/>
        </w:rPr>
        <w:t>Source:</w:t>
      </w:r>
      <w:r w:rsidRPr="00CB439D">
        <w:t xml:space="preserve"> Office of National Statistics, 2018</w:t>
      </w:r>
    </w:p>
    <w:p w14:paraId="080C1F0C" w14:textId="77777777" w:rsidR="00607A0D" w:rsidRDefault="00607A0D" w:rsidP="00607A0D">
      <w:pPr>
        <w:spacing w:line="360" w:lineRule="auto"/>
        <w:jc w:val="both"/>
        <w:rPr>
          <w:rFonts w:ascii="Calibri" w:eastAsia="Calibri" w:hAnsi="Calibri" w:cs="Times New Roman"/>
          <w:sz w:val="24"/>
          <w:szCs w:val="24"/>
        </w:rPr>
      </w:pPr>
    </w:p>
    <w:p w14:paraId="540FB2BA" w14:textId="77777777" w:rsidR="00607A0D" w:rsidRPr="00FC71F2"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The Covid-19 outbreak and</w:t>
      </w:r>
      <w:r w:rsidRPr="00C37E65">
        <w:rPr>
          <w:rFonts w:ascii="Calibri" w:eastAsia="Calibri" w:hAnsi="Calibri" w:cs="Times New Roman"/>
          <w:sz w:val="24"/>
          <w:szCs w:val="24"/>
        </w:rPr>
        <w:t xml:space="preserve"> uncertainty</w:t>
      </w:r>
      <w:r>
        <w:rPr>
          <w:rFonts w:ascii="Calibri" w:eastAsia="Calibri" w:hAnsi="Calibri" w:cs="Times New Roman"/>
          <w:sz w:val="24"/>
          <w:szCs w:val="24"/>
        </w:rPr>
        <w:t xml:space="preserve"> about post Brexit trade agreement posed a greater challenge on actualising </w:t>
      </w:r>
      <w:r w:rsidRPr="00C37E65">
        <w:rPr>
          <w:rFonts w:ascii="Calibri" w:eastAsia="Calibri" w:hAnsi="Calibri" w:cs="Times New Roman"/>
          <w:sz w:val="24"/>
          <w:szCs w:val="24"/>
        </w:rPr>
        <w:t>a number of projects in the concept stage due to commence after 2021 Spending Review Period w</w:t>
      </w:r>
      <w:r>
        <w:rPr>
          <w:rFonts w:ascii="Calibri" w:eastAsia="Calibri" w:hAnsi="Calibri" w:cs="Times New Roman"/>
          <w:sz w:val="24"/>
          <w:szCs w:val="24"/>
        </w:rPr>
        <w:t>hen unemployment and national debt is predicted to increase (BBC, 2020)</w:t>
      </w:r>
      <w:r w:rsidRPr="00C37E65">
        <w:rPr>
          <w:rFonts w:ascii="Calibri" w:eastAsia="Calibri" w:hAnsi="Calibri" w:cs="Times New Roman"/>
          <w:sz w:val="24"/>
          <w:szCs w:val="24"/>
        </w:rPr>
        <w:t>.</w:t>
      </w:r>
      <w:r>
        <w:rPr>
          <w:rFonts w:ascii="Calibri" w:eastAsia="Calibri" w:hAnsi="Calibri" w:cs="Times New Roman"/>
          <w:sz w:val="24"/>
          <w:szCs w:val="24"/>
        </w:rPr>
        <w:t xml:space="preserve"> </w:t>
      </w:r>
      <w:r w:rsidRPr="00FC71F2">
        <w:rPr>
          <w:rFonts w:ascii="Calibri" w:eastAsia="Calibri" w:hAnsi="Calibri" w:cs="Times New Roman"/>
          <w:sz w:val="24"/>
          <w:szCs w:val="24"/>
        </w:rPr>
        <w:t xml:space="preserve">The UK government focused heavily on infrastructure development as a way of levelling up and uniting the countries by investing about £4 billion on levelling up fund, £4.2 billion on intra city transport settlement </w:t>
      </w:r>
      <w:bookmarkStart w:id="6" w:name="_Hlk72445732"/>
      <w:r w:rsidRPr="00FC71F2">
        <w:rPr>
          <w:rFonts w:ascii="Calibri" w:eastAsia="Calibri" w:hAnsi="Calibri" w:cs="Times New Roman"/>
          <w:sz w:val="24"/>
          <w:szCs w:val="24"/>
        </w:rPr>
        <w:t xml:space="preserve">(HM Treasury, 2020). </w:t>
      </w:r>
      <w:bookmarkEnd w:id="6"/>
      <w:r w:rsidRPr="00FC71F2">
        <w:rPr>
          <w:rFonts w:ascii="Calibri" w:eastAsia="Calibri" w:hAnsi="Calibri" w:cs="Times New Roman"/>
          <w:sz w:val="24"/>
          <w:szCs w:val="24"/>
        </w:rPr>
        <w:t>Hence, the government is investing in infrastructure to boost economic recovery and create a sustainable growth with the injection of £8.6 billion in summer on infrastructure, decarbonisation, maintenance projects and employment support (HM Treasury, 2020). The government has pledged to invest a further £27 billion on economic infrastructure to support the recovery in 2021-22 and a long-term settlement in road, rail, broadband and floor defence as priority (HM Treasury, 2020).</w:t>
      </w:r>
    </w:p>
    <w:p w14:paraId="79485937" w14:textId="77777777" w:rsidR="00607A0D" w:rsidRPr="00AC1622" w:rsidRDefault="00607A0D" w:rsidP="00607A0D">
      <w:pPr>
        <w:spacing w:line="360" w:lineRule="auto"/>
        <w:jc w:val="both"/>
        <w:rPr>
          <w:rFonts w:ascii="Calibri" w:eastAsia="Calibri" w:hAnsi="Calibri" w:cs="Times New Roman"/>
          <w:b/>
          <w:bCs/>
          <w:i/>
          <w:iCs/>
          <w:sz w:val="24"/>
          <w:szCs w:val="24"/>
        </w:rPr>
      </w:pPr>
      <w:r w:rsidRPr="00AC1622">
        <w:rPr>
          <w:rFonts w:ascii="Calibri" w:eastAsia="Calibri" w:hAnsi="Calibri" w:cs="Times New Roman"/>
          <w:b/>
          <w:bCs/>
          <w:i/>
          <w:iCs/>
          <w:sz w:val="24"/>
          <w:szCs w:val="24"/>
        </w:rPr>
        <w:t>Investment in the Energy Sector</w:t>
      </w:r>
    </w:p>
    <w:p w14:paraId="67939667" w14:textId="77777777" w:rsidR="00607A0D" w:rsidRDefault="00607A0D" w:rsidP="00607A0D">
      <w:pPr>
        <w:spacing w:line="360" w:lineRule="auto"/>
        <w:jc w:val="both"/>
        <w:rPr>
          <w:rFonts w:ascii="Calibri" w:eastAsia="Calibri" w:hAnsi="Calibri" w:cs="Times New Roman"/>
          <w:sz w:val="24"/>
          <w:szCs w:val="24"/>
        </w:rPr>
      </w:pPr>
      <w:r w:rsidRPr="00C37E65">
        <w:rPr>
          <w:rFonts w:ascii="Calibri" w:eastAsia="Calibri" w:hAnsi="Calibri" w:cs="Times New Roman"/>
          <w:sz w:val="24"/>
          <w:szCs w:val="24"/>
        </w:rPr>
        <w:t>Major projects like Hinkley Point C focus on securing future energy supply, as well as a focus on renewable energy projects such as offshore windfarms to support a move to lower carbon electricity generation. This is evident in</w:t>
      </w:r>
      <w:r>
        <w:rPr>
          <w:rFonts w:ascii="Calibri" w:eastAsia="Calibri" w:hAnsi="Calibri" w:cs="Times New Roman"/>
          <w:sz w:val="24"/>
          <w:szCs w:val="24"/>
        </w:rPr>
        <w:t xml:space="preserve"> </w:t>
      </w:r>
      <w:r w:rsidRPr="00C37E65">
        <w:rPr>
          <w:rFonts w:ascii="Calibri" w:eastAsia="Calibri" w:hAnsi="Calibri" w:cs="Times New Roman"/>
          <w:sz w:val="24"/>
          <w:szCs w:val="24"/>
        </w:rPr>
        <w:t>2018</w:t>
      </w:r>
      <w:r>
        <w:rPr>
          <w:rFonts w:ascii="Calibri" w:eastAsia="Calibri" w:hAnsi="Calibri" w:cs="Times New Roman"/>
          <w:sz w:val="24"/>
          <w:szCs w:val="24"/>
        </w:rPr>
        <w:t xml:space="preserve"> infrastructure policy and set</w:t>
      </w:r>
      <w:r w:rsidRPr="00C37E65">
        <w:rPr>
          <w:rFonts w:ascii="Calibri" w:eastAsia="Calibri" w:hAnsi="Calibri" w:cs="Times New Roman"/>
          <w:sz w:val="24"/>
          <w:szCs w:val="24"/>
        </w:rPr>
        <w:t xml:space="preserve"> the UK </w:t>
      </w:r>
      <w:r>
        <w:rPr>
          <w:rFonts w:ascii="Calibri" w:eastAsia="Calibri" w:hAnsi="Calibri" w:cs="Times New Roman"/>
          <w:sz w:val="24"/>
          <w:szCs w:val="24"/>
        </w:rPr>
        <w:t>on</w:t>
      </w:r>
      <w:r w:rsidRPr="00C37E65">
        <w:rPr>
          <w:rFonts w:ascii="Calibri" w:eastAsia="Calibri" w:hAnsi="Calibri" w:cs="Times New Roman"/>
          <w:sz w:val="24"/>
          <w:szCs w:val="24"/>
        </w:rPr>
        <w:t xml:space="preserve"> a new national record </w:t>
      </w:r>
      <w:r>
        <w:rPr>
          <w:rFonts w:ascii="Calibri" w:eastAsia="Calibri" w:hAnsi="Calibri" w:cs="Times New Roman"/>
          <w:sz w:val="24"/>
          <w:szCs w:val="24"/>
        </w:rPr>
        <w:t xml:space="preserve">on </w:t>
      </w:r>
      <w:r w:rsidRPr="00C37E65">
        <w:rPr>
          <w:rFonts w:ascii="Calibri" w:eastAsia="Calibri" w:hAnsi="Calibri" w:cs="Times New Roman"/>
          <w:sz w:val="24"/>
          <w:szCs w:val="24"/>
        </w:rPr>
        <w:t>electricity</w:t>
      </w:r>
      <w:r>
        <w:rPr>
          <w:rFonts w:ascii="Calibri" w:eastAsia="Calibri" w:hAnsi="Calibri" w:cs="Times New Roman"/>
          <w:sz w:val="24"/>
          <w:szCs w:val="24"/>
        </w:rPr>
        <w:t xml:space="preserve"> generation</w:t>
      </w:r>
      <w:r w:rsidRPr="00C37E65">
        <w:rPr>
          <w:rFonts w:ascii="Calibri" w:eastAsia="Calibri" w:hAnsi="Calibri" w:cs="Times New Roman"/>
          <w:sz w:val="24"/>
          <w:szCs w:val="24"/>
        </w:rPr>
        <w:t xml:space="preserve"> without burning coal. The impact of this </w:t>
      </w:r>
      <w:r>
        <w:rPr>
          <w:rFonts w:ascii="Calibri" w:eastAsia="Calibri" w:hAnsi="Calibri" w:cs="Times New Roman"/>
          <w:sz w:val="24"/>
          <w:szCs w:val="24"/>
        </w:rPr>
        <w:t xml:space="preserve">policy and </w:t>
      </w:r>
      <w:r w:rsidRPr="00C37E65">
        <w:rPr>
          <w:rFonts w:ascii="Calibri" w:eastAsia="Calibri" w:hAnsi="Calibri" w:cs="Times New Roman"/>
          <w:sz w:val="24"/>
          <w:szCs w:val="24"/>
        </w:rPr>
        <w:lastRenderedPageBreak/>
        <w:t>investment</w:t>
      </w:r>
      <w:r>
        <w:rPr>
          <w:rFonts w:ascii="Calibri" w:eastAsia="Calibri" w:hAnsi="Calibri" w:cs="Times New Roman"/>
          <w:sz w:val="24"/>
          <w:szCs w:val="24"/>
        </w:rPr>
        <w:t xml:space="preserve"> level, saw an increasing</w:t>
      </w:r>
      <w:r w:rsidRPr="00C37E65">
        <w:rPr>
          <w:rFonts w:ascii="Calibri" w:eastAsia="Calibri" w:hAnsi="Calibri" w:cs="Times New Roman"/>
          <w:sz w:val="24"/>
          <w:szCs w:val="24"/>
        </w:rPr>
        <w:t xml:space="preserve"> </w:t>
      </w:r>
      <w:r>
        <w:rPr>
          <w:rFonts w:ascii="Calibri" w:eastAsia="Calibri" w:hAnsi="Calibri" w:cs="Times New Roman"/>
          <w:sz w:val="24"/>
          <w:szCs w:val="24"/>
        </w:rPr>
        <w:t>i</w:t>
      </w:r>
      <w:r w:rsidRPr="00C37E65">
        <w:rPr>
          <w:rFonts w:ascii="Calibri" w:eastAsia="Calibri" w:hAnsi="Calibri" w:cs="Times New Roman"/>
          <w:sz w:val="24"/>
          <w:szCs w:val="24"/>
        </w:rPr>
        <w:t xml:space="preserve">n energy capability to power hundreds of thousands of homes, </w:t>
      </w:r>
      <w:r>
        <w:rPr>
          <w:rFonts w:ascii="Calibri" w:eastAsia="Calibri" w:hAnsi="Calibri" w:cs="Times New Roman"/>
          <w:sz w:val="24"/>
          <w:szCs w:val="24"/>
        </w:rPr>
        <w:t>with</w:t>
      </w:r>
      <w:r w:rsidRPr="00C37E65">
        <w:rPr>
          <w:rFonts w:ascii="Calibri" w:eastAsia="Calibri" w:hAnsi="Calibri" w:cs="Times New Roman"/>
          <w:sz w:val="24"/>
          <w:szCs w:val="24"/>
        </w:rPr>
        <w:t xml:space="preserve"> lower cost </w:t>
      </w:r>
      <w:r>
        <w:rPr>
          <w:rFonts w:ascii="Calibri" w:eastAsia="Calibri" w:hAnsi="Calibri" w:cs="Times New Roman"/>
          <w:sz w:val="24"/>
          <w:szCs w:val="24"/>
        </w:rPr>
        <w:t xml:space="preserve">to </w:t>
      </w:r>
      <w:r w:rsidRPr="00C37E65">
        <w:rPr>
          <w:rFonts w:ascii="Calibri" w:eastAsia="Calibri" w:hAnsi="Calibri" w:cs="Times New Roman"/>
          <w:sz w:val="24"/>
          <w:szCs w:val="24"/>
        </w:rPr>
        <w:t>power industry</w:t>
      </w:r>
      <w:r>
        <w:rPr>
          <w:rFonts w:ascii="Calibri" w:eastAsia="Calibri" w:hAnsi="Calibri" w:cs="Times New Roman"/>
          <w:sz w:val="24"/>
          <w:szCs w:val="24"/>
        </w:rPr>
        <w:t xml:space="preserve"> (Infrastructure and Project Authority, 2018).</w:t>
      </w:r>
    </w:p>
    <w:p w14:paraId="23FDDE56" w14:textId="77777777" w:rsidR="00607A0D" w:rsidRDefault="00607A0D" w:rsidP="00607A0D">
      <w:pPr>
        <w:spacing w:line="360" w:lineRule="auto"/>
        <w:jc w:val="both"/>
        <w:rPr>
          <w:rFonts w:ascii="Calibri" w:eastAsia="Calibri" w:hAnsi="Calibri" w:cs="Times New Roman"/>
          <w:b/>
          <w:sz w:val="24"/>
          <w:szCs w:val="24"/>
        </w:rPr>
      </w:pPr>
      <w:r w:rsidRPr="00C37E65">
        <w:rPr>
          <w:rFonts w:ascii="Calibri" w:eastAsia="Calibri" w:hAnsi="Calibri" w:cs="Times New Roman"/>
          <w:sz w:val="24"/>
          <w:szCs w:val="24"/>
        </w:rPr>
        <w:t xml:space="preserve">Given the drive towards more renewable energy and lower emissions, </w:t>
      </w:r>
      <w:r>
        <w:rPr>
          <w:rFonts w:ascii="Calibri" w:eastAsia="Calibri" w:hAnsi="Calibri" w:cs="Times New Roman"/>
          <w:sz w:val="24"/>
          <w:szCs w:val="24"/>
        </w:rPr>
        <w:t>resulting in an</w:t>
      </w:r>
      <w:r w:rsidRPr="00C37E65">
        <w:rPr>
          <w:rFonts w:ascii="Calibri" w:eastAsia="Calibri" w:hAnsi="Calibri" w:cs="Times New Roman"/>
          <w:sz w:val="24"/>
          <w:szCs w:val="24"/>
        </w:rPr>
        <w:t xml:space="preserve"> increas</w:t>
      </w:r>
      <w:r>
        <w:rPr>
          <w:rFonts w:ascii="Calibri" w:eastAsia="Calibri" w:hAnsi="Calibri" w:cs="Times New Roman"/>
          <w:sz w:val="24"/>
          <w:szCs w:val="24"/>
        </w:rPr>
        <w:t>ing</w:t>
      </w:r>
      <w:r w:rsidRPr="00C37E65">
        <w:rPr>
          <w:rFonts w:ascii="Calibri" w:eastAsia="Calibri" w:hAnsi="Calibri" w:cs="Times New Roman"/>
          <w:sz w:val="24"/>
          <w:szCs w:val="24"/>
        </w:rPr>
        <w:t xml:space="preserve"> investment levels in energy making up the second most invested sector in the UK. Also, with increased consumption due to a society increasingly dependent on electricity, </w:t>
      </w:r>
      <w:r>
        <w:rPr>
          <w:rFonts w:ascii="Calibri" w:eastAsia="Calibri" w:hAnsi="Calibri" w:cs="Times New Roman"/>
          <w:sz w:val="24"/>
          <w:szCs w:val="24"/>
        </w:rPr>
        <w:t>necessitating a future plan for</w:t>
      </w:r>
      <w:r w:rsidRPr="00C37E65">
        <w:rPr>
          <w:rFonts w:ascii="Calibri" w:eastAsia="Calibri" w:hAnsi="Calibri" w:cs="Times New Roman"/>
          <w:sz w:val="24"/>
          <w:szCs w:val="24"/>
        </w:rPr>
        <w:t xml:space="preserve"> large scale wind farms and interconnector projects from Europe to boost the supply.</w:t>
      </w:r>
      <w:r>
        <w:rPr>
          <w:rFonts w:ascii="Calibri" w:eastAsia="Calibri" w:hAnsi="Calibri" w:cs="Times New Roman"/>
          <w:sz w:val="24"/>
          <w:szCs w:val="24"/>
        </w:rPr>
        <w:t xml:space="preserve"> Despite this policy initiative, </w:t>
      </w:r>
      <w:r w:rsidRPr="00C37E65">
        <w:rPr>
          <w:rFonts w:ascii="Calibri" w:eastAsia="Calibri" w:hAnsi="Calibri" w:cs="Times New Roman"/>
          <w:sz w:val="24"/>
          <w:szCs w:val="24"/>
        </w:rPr>
        <w:t xml:space="preserve">the environmental audit committee </w:t>
      </w:r>
      <w:r>
        <w:rPr>
          <w:rFonts w:ascii="Calibri" w:eastAsia="Calibri" w:hAnsi="Calibri" w:cs="Times New Roman"/>
          <w:sz w:val="24"/>
          <w:szCs w:val="24"/>
        </w:rPr>
        <w:t xml:space="preserve">noted </w:t>
      </w:r>
      <w:r w:rsidRPr="00C37E65">
        <w:rPr>
          <w:rFonts w:ascii="Calibri" w:eastAsia="Calibri" w:hAnsi="Calibri" w:cs="Times New Roman"/>
          <w:sz w:val="24"/>
          <w:szCs w:val="24"/>
        </w:rPr>
        <w:t xml:space="preserve">that there has been a drop in the annual investment in clean energy by the UK government, a fall of 10 percent in 2016 and a further 50 percent in 2017. This is in part due to austerity measures being imposed, including cancellation of the zero carbon homes policy </w:t>
      </w:r>
      <w:r>
        <w:rPr>
          <w:rFonts w:ascii="Calibri" w:eastAsia="Calibri" w:hAnsi="Calibri" w:cs="Times New Roman"/>
          <w:sz w:val="24"/>
          <w:szCs w:val="24"/>
        </w:rPr>
        <w:t xml:space="preserve">which should have started </w:t>
      </w:r>
      <w:r w:rsidRPr="00C37E65">
        <w:rPr>
          <w:rFonts w:ascii="Calibri" w:eastAsia="Calibri" w:hAnsi="Calibri" w:cs="Times New Roman"/>
          <w:sz w:val="24"/>
          <w:szCs w:val="24"/>
        </w:rPr>
        <w:t xml:space="preserve">in 2016 and </w:t>
      </w:r>
      <w:r>
        <w:rPr>
          <w:rFonts w:ascii="Calibri" w:eastAsia="Calibri" w:hAnsi="Calibri" w:cs="Times New Roman"/>
          <w:sz w:val="24"/>
          <w:szCs w:val="24"/>
        </w:rPr>
        <w:t xml:space="preserve">the </w:t>
      </w:r>
      <w:r w:rsidRPr="00C37E65">
        <w:rPr>
          <w:rFonts w:ascii="Calibri" w:eastAsia="Calibri" w:hAnsi="Calibri" w:cs="Times New Roman"/>
          <w:sz w:val="24"/>
          <w:szCs w:val="24"/>
        </w:rPr>
        <w:t>removal of the climate change levy exemption for renewables</w:t>
      </w:r>
      <w:r>
        <w:rPr>
          <w:rFonts w:ascii="Calibri" w:eastAsia="Calibri" w:hAnsi="Calibri" w:cs="Times New Roman"/>
          <w:sz w:val="24"/>
          <w:szCs w:val="24"/>
        </w:rPr>
        <w:t xml:space="preserve"> </w:t>
      </w:r>
      <w:r w:rsidRPr="00C37E65">
        <w:rPr>
          <w:rFonts w:ascii="Calibri" w:eastAsia="Calibri" w:hAnsi="Calibri" w:cs="Times New Roman"/>
          <w:sz w:val="24"/>
          <w:szCs w:val="24"/>
        </w:rPr>
        <w:t>(Environmental Audit Committee, 2018).</w:t>
      </w:r>
      <w:r w:rsidRPr="00C37E65">
        <w:rPr>
          <w:rFonts w:ascii="Calibri" w:eastAsia="Calibri" w:hAnsi="Calibri" w:cs="Times New Roman"/>
          <w:b/>
          <w:sz w:val="24"/>
          <w:szCs w:val="24"/>
        </w:rPr>
        <w:t xml:space="preserve"> </w:t>
      </w:r>
    </w:p>
    <w:p w14:paraId="5D4758D1" w14:textId="77777777" w:rsidR="00607A0D"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I</w:t>
      </w:r>
      <w:r w:rsidRPr="00C37E65">
        <w:rPr>
          <w:rFonts w:ascii="Calibri" w:eastAsia="Calibri" w:hAnsi="Calibri" w:cs="Times New Roman"/>
          <w:sz w:val="24"/>
          <w:szCs w:val="24"/>
        </w:rPr>
        <w:t>nvestment in energy has increased over the past decade</w:t>
      </w:r>
      <w:r>
        <w:rPr>
          <w:rFonts w:ascii="Calibri" w:eastAsia="Calibri" w:hAnsi="Calibri" w:cs="Times New Roman"/>
          <w:sz w:val="24"/>
          <w:szCs w:val="24"/>
        </w:rPr>
        <w:t>. H</w:t>
      </w:r>
      <w:r w:rsidRPr="00C37E65">
        <w:rPr>
          <w:rFonts w:ascii="Calibri" w:eastAsia="Calibri" w:hAnsi="Calibri" w:cs="Times New Roman"/>
          <w:sz w:val="24"/>
          <w:szCs w:val="24"/>
        </w:rPr>
        <w:t>owever, 2017 was the third year of decline with energy efficiency the only sector experiencing growth. Despite this decline in spending, energy again saw the largest share of investments worldwide (International Energy Agency, 2018). UK investment aligns to this trend with increased investment from 2004, specifically in the electricity sector. Despite falls in recent years to below the 2014 level, the UK went against the trend in 2017 with a slight increase in overall sector growth (</w:t>
      </w:r>
      <w:bookmarkStart w:id="7" w:name="_Hlk60369915"/>
      <w:r w:rsidRPr="00C37E65">
        <w:rPr>
          <w:rFonts w:ascii="Calibri" w:eastAsia="Calibri" w:hAnsi="Calibri" w:cs="Times New Roman"/>
          <w:sz w:val="24"/>
          <w:szCs w:val="24"/>
        </w:rPr>
        <w:t>Department for Business, Energy and Industrial Strategy, 2018)</w:t>
      </w:r>
      <w:bookmarkEnd w:id="7"/>
      <w:r w:rsidRPr="00C37E65">
        <w:rPr>
          <w:rFonts w:ascii="Calibri" w:eastAsia="Calibri" w:hAnsi="Calibri" w:cs="Times New Roman"/>
          <w:sz w:val="24"/>
          <w:szCs w:val="24"/>
        </w:rPr>
        <w:t>.</w:t>
      </w:r>
      <w:r>
        <w:rPr>
          <w:rFonts w:ascii="Calibri" w:eastAsia="Calibri" w:hAnsi="Calibri" w:cs="Times New Roman"/>
          <w:sz w:val="24"/>
          <w:szCs w:val="24"/>
        </w:rPr>
        <w:t xml:space="preserve"> T</w:t>
      </w:r>
      <w:r w:rsidRPr="00CB439D">
        <w:rPr>
          <w:rFonts w:ascii="Calibri" w:eastAsia="Calibri" w:hAnsi="Calibri" w:cs="Times New Roman"/>
          <w:sz w:val="24"/>
          <w:szCs w:val="24"/>
        </w:rPr>
        <w:t xml:space="preserve">he investment level in energy </w:t>
      </w:r>
      <w:r>
        <w:rPr>
          <w:rFonts w:ascii="Calibri" w:eastAsia="Calibri" w:hAnsi="Calibri" w:cs="Times New Roman"/>
          <w:sz w:val="24"/>
          <w:szCs w:val="24"/>
        </w:rPr>
        <w:t>was</w:t>
      </w:r>
      <w:r w:rsidRPr="00CB439D">
        <w:rPr>
          <w:rFonts w:ascii="Calibri" w:eastAsia="Calibri" w:hAnsi="Calibri" w:cs="Times New Roman"/>
          <w:sz w:val="24"/>
          <w:szCs w:val="24"/>
        </w:rPr>
        <w:t xml:space="preserve"> </w:t>
      </w:r>
      <w:r>
        <w:rPr>
          <w:rFonts w:ascii="Calibri" w:eastAsia="Calibri" w:hAnsi="Calibri" w:cs="Times New Roman"/>
          <w:sz w:val="24"/>
          <w:szCs w:val="24"/>
        </w:rPr>
        <w:t xml:space="preserve">estimated to be </w:t>
      </w:r>
      <w:r w:rsidRPr="00CB439D">
        <w:rPr>
          <w:rFonts w:ascii="Calibri" w:eastAsia="Calibri" w:hAnsi="Calibri" w:cs="Times New Roman"/>
          <w:sz w:val="24"/>
          <w:szCs w:val="24"/>
        </w:rPr>
        <w:t xml:space="preserve">up to £100bn </w:t>
      </w:r>
      <w:r>
        <w:rPr>
          <w:rFonts w:ascii="Calibri" w:eastAsia="Calibri" w:hAnsi="Calibri" w:cs="Times New Roman"/>
          <w:sz w:val="24"/>
          <w:szCs w:val="24"/>
        </w:rPr>
        <w:t>by</w:t>
      </w:r>
      <w:r w:rsidRPr="00CB439D">
        <w:rPr>
          <w:rFonts w:ascii="Calibri" w:eastAsia="Calibri" w:hAnsi="Calibri" w:cs="Times New Roman"/>
          <w:sz w:val="24"/>
          <w:szCs w:val="24"/>
        </w:rPr>
        <w:t xml:space="preserve"> 2020. </w:t>
      </w:r>
    </w:p>
    <w:p w14:paraId="15272005" w14:textId="77777777" w:rsidR="00607A0D" w:rsidRPr="00AC1622" w:rsidRDefault="00607A0D" w:rsidP="00607A0D">
      <w:pPr>
        <w:spacing w:line="360" w:lineRule="auto"/>
        <w:jc w:val="both"/>
        <w:rPr>
          <w:rFonts w:ascii="Calibri" w:eastAsia="Calibri" w:hAnsi="Calibri" w:cs="Times New Roman"/>
          <w:b/>
          <w:bCs/>
          <w:i/>
          <w:iCs/>
          <w:sz w:val="24"/>
          <w:szCs w:val="24"/>
        </w:rPr>
      </w:pPr>
      <w:r w:rsidRPr="00AC1622">
        <w:rPr>
          <w:rFonts w:ascii="Calibri" w:eastAsia="Calibri" w:hAnsi="Calibri" w:cs="Times New Roman"/>
          <w:b/>
          <w:bCs/>
          <w:i/>
          <w:iCs/>
          <w:sz w:val="24"/>
          <w:szCs w:val="24"/>
        </w:rPr>
        <w:t>Investment in the transport sector</w:t>
      </w:r>
    </w:p>
    <w:p w14:paraId="19042E58" w14:textId="77777777" w:rsidR="00607A0D"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C</w:t>
      </w:r>
      <w:r w:rsidRPr="00C37E65">
        <w:rPr>
          <w:rFonts w:ascii="Calibri" w:eastAsia="Calibri" w:hAnsi="Calibri" w:cs="Times New Roman"/>
          <w:sz w:val="24"/>
          <w:szCs w:val="24"/>
        </w:rPr>
        <w:t>urrently transport investment is heavily focused on transformative high speed rail links, specifically HS2. There are significant criticisms of the HS2 scheme, with high costs, low return for the majority of UK taxpayers, and a waste of resource allocation. The Department of Transport provided an appraisal report setting out the key benefit as sav</w:t>
      </w:r>
      <w:r>
        <w:rPr>
          <w:rFonts w:ascii="Calibri" w:eastAsia="Calibri" w:hAnsi="Calibri" w:cs="Times New Roman"/>
          <w:sz w:val="24"/>
          <w:szCs w:val="24"/>
        </w:rPr>
        <w:t>ing in journey</w:t>
      </w:r>
      <w:r w:rsidRPr="00C37E65">
        <w:rPr>
          <w:rFonts w:ascii="Calibri" w:eastAsia="Calibri" w:hAnsi="Calibri" w:cs="Times New Roman"/>
          <w:sz w:val="24"/>
          <w:szCs w:val="24"/>
        </w:rPr>
        <w:t xml:space="preserve"> time relates to added value, i.e., “time is money”. HS2 set out to reduce journey times from Birmingham to London from 84 minutes to 49 minutes. However, the cost of the scheme, originally valued at £34 billion, is significantly higher than the original HS1 and the economic case was based on estimates of demand growth that were much higher than any previous estimate for long distance travel (Aizlewood and Wellings, 2011).</w:t>
      </w:r>
      <w:r w:rsidRPr="00C37E65">
        <w:rPr>
          <w:rFonts w:ascii="Calibri" w:eastAsia="Calibri" w:hAnsi="Calibri" w:cs="Times New Roman"/>
          <w:b/>
          <w:sz w:val="24"/>
          <w:szCs w:val="24"/>
        </w:rPr>
        <w:t xml:space="preserve"> </w:t>
      </w:r>
      <w:r>
        <w:rPr>
          <w:rFonts w:ascii="Calibri" w:eastAsia="Calibri" w:hAnsi="Calibri" w:cs="Times New Roman"/>
          <w:sz w:val="24"/>
          <w:szCs w:val="24"/>
        </w:rPr>
        <w:t xml:space="preserve"> </w:t>
      </w:r>
      <w:r w:rsidRPr="00C37E65">
        <w:rPr>
          <w:rFonts w:ascii="Calibri" w:eastAsia="Calibri" w:hAnsi="Calibri" w:cs="Times New Roman"/>
          <w:sz w:val="24"/>
          <w:szCs w:val="24"/>
        </w:rPr>
        <w:t>Department for Transport</w:t>
      </w:r>
      <w:r>
        <w:rPr>
          <w:rFonts w:ascii="Calibri" w:eastAsia="Calibri" w:hAnsi="Calibri" w:cs="Times New Roman"/>
          <w:sz w:val="24"/>
          <w:szCs w:val="24"/>
        </w:rPr>
        <w:t xml:space="preserve"> </w:t>
      </w:r>
      <w:r>
        <w:rPr>
          <w:rFonts w:ascii="Calibri" w:eastAsia="Calibri" w:hAnsi="Calibri" w:cs="Times New Roman"/>
          <w:sz w:val="24"/>
          <w:szCs w:val="24"/>
        </w:rPr>
        <w:lastRenderedPageBreak/>
        <w:t>(2010),</w:t>
      </w:r>
      <w:r w:rsidRPr="00C37E65">
        <w:rPr>
          <w:rFonts w:ascii="Calibri" w:eastAsia="Calibri" w:hAnsi="Calibri" w:cs="Times New Roman"/>
          <w:sz w:val="24"/>
          <w:szCs w:val="24"/>
        </w:rPr>
        <w:t xml:space="preserve"> estimated that the level of demand will increase by 267% by 2033</w:t>
      </w:r>
      <w:r>
        <w:rPr>
          <w:rFonts w:ascii="Calibri" w:eastAsia="Calibri" w:hAnsi="Calibri" w:cs="Times New Roman"/>
          <w:sz w:val="24"/>
          <w:szCs w:val="24"/>
        </w:rPr>
        <w:t>, which was claimed</w:t>
      </w:r>
      <w:r w:rsidRPr="00C37E65">
        <w:rPr>
          <w:rFonts w:ascii="Calibri" w:eastAsia="Calibri" w:hAnsi="Calibri" w:cs="Times New Roman"/>
          <w:sz w:val="24"/>
          <w:szCs w:val="24"/>
        </w:rPr>
        <w:t xml:space="preserve"> to be over forecast by two thirds in </w:t>
      </w:r>
      <w:r>
        <w:rPr>
          <w:rFonts w:ascii="Calibri" w:eastAsia="Calibri" w:hAnsi="Calibri" w:cs="Times New Roman"/>
          <w:sz w:val="24"/>
          <w:szCs w:val="24"/>
        </w:rPr>
        <w:t>HS1 leading to the argument for the realisation of the acclaimed forecast by the</w:t>
      </w:r>
      <w:r w:rsidRPr="00C37E65">
        <w:rPr>
          <w:rFonts w:ascii="Calibri" w:eastAsia="Calibri" w:hAnsi="Calibri" w:cs="Times New Roman"/>
          <w:sz w:val="24"/>
          <w:szCs w:val="24"/>
        </w:rPr>
        <w:t xml:space="preserve"> </w:t>
      </w:r>
      <w:r>
        <w:rPr>
          <w:rFonts w:ascii="Calibri" w:eastAsia="Calibri" w:hAnsi="Calibri" w:cs="Times New Roman"/>
          <w:sz w:val="24"/>
          <w:szCs w:val="24"/>
        </w:rPr>
        <w:t>analysis</w:t>
      </w:r>
      <w:r w:rsidRPr="00C37E65">
        <w:rPr>
          <w:rFonts w:ascii="Calibri" w:eastAsia="Calibri" w:hAnsi="Calibri" w:cs="Times New Roman"/>
          <w:sz w:val="24"/>
          <w:szCs w:val="24"/>
        </w:rPr>
        <w:t>.</w:t>
      </w:r>
      <w:r w:rsidRPr="00C37E65">
        <w:rPr>
          <w:rFonts w:ascii="Calibri" w:eastAsia="Calibri" w:hAnsi="Calibri" w:cs="Times New Roman"/>
          <w:b/>
          <w:sz w:val="24"/>
          <w:szCs w:val="24"/>
        </w:rPr>
        <w:t xml:space="preserve"> </w:t>
      </w:r>
      <w:r w:rsidRPr="00C37E65">
        <w:rPr>
          <w:rFonts w:ascii="Calibri" w:eastAsia="Calibri" w:hAnsi="Calibri" w:cs="Times New Roman"/>
          <w:sz w:val="24"/>
          <w:szCs w:val="24"/>
        </w:rPr>
        <w:t xml:space="preserve">Income </w:t>
      </w:r>
      <w:r>
        <w:rPr>
          <w:rFonts w:ascii="Calibri" w:eastAsia="Calibri" w:hAnsi="Calibri" w:cs="Times New Roman"/>
          <w:sz w:val="24"/>
          <w:szCs w:val="24"/>
        </w:rPr>
        <w:t xml:space="preserve">generated will be </w:t>
      </w:r>
      <w:r w:rsidRPr="00C37E65">
        <w:rPr>
          <w:rFonts w:ascii="Calibri" w:eastAsia="Calibri" w:hAnsi="Calibri" w:cs="Times New Roman"/>
          <w:sz w:val="24"/>
          <w:szCs w:val="24"/>
        </w:rPr>
        <w:t xml:space="preserve">used to </w:t>
      </w:r>
      <w:r>
        <w:rPr>
          <w:rFonts w:ascii="Calibri" w:eastAsia="Calibri" w:hAnsi="Calibri" w:cs="Times New Roman"/>
          <w:sz w:val="24"/>
          <w:szCs w:val="24"/>
        </w:rPr>
        <w:t>offset</w:t>
      </w:r>
      <w:r w:rsidRPr="00C37E65">
        <w:rPr>
          <w:rFonts w:ascii="Calibri" w:eastAsia="Calibri" w:hAnsi="Calibri" w:cs="Times New Roman"/>
          <w:sz w:val="24"/>
          <w:szCs w:val="24"/>
        </w:rPr>
        <w:t xml:space="preserve"> construction costs on many infrastructure projects, and if these are overestimated </w:t>
      </w:r>
      <w:r>
        <w:rPr>
          <w:rFonts w:ascii="Calibri" w:eastAsia="Calibri" w:hAnsi="Calibri" w:cs="Times New Roman"/>
          <w:sz w:val="24"/>
          <w:szCs w:val="24"/>
        </w:rPr>
        <w:t>during</w:t>
      </w:r>
      <w:r w:rsidRPr="00C37E65">
        <w:rPr>
          <w:rFonts w:ascii="Calibri" w:eastAsia="Calibri" w:hAnsi="Calibri" w:cs="Times New Roman"/>
          <w:sz w:val="24"/>
          <w:szCs w:val="24"/>
        </w:rPr>
        <w:t xml:space="preserve"> bidding stage</w:t>
      </w:r>
      <w:r>
        <w:rPr>
          <w:rFonts w:ascii="Calibri" w:eastAsia="Calibri" w:hAnsi="Calibri" w:cs="Times New Roman"/>
          <w:sz w:val="24"/>
          <w:szCs w:val="24"/>
        </w:rPr>
        <w:t>,</w:t>
      </w:r>
      <w:r w:rsidRPr="00C37E65">
        <w:rPr>
          <w:rFonts w:ascii="Calibri" w:eastAsia="Calibri" w:hAnsi="Calibri" w:cs="Times New Roman"/>
          <w:sz w:val="24"/>
          <w:szCs w:val="24"/>
        </w:rPr>
        <w:t xml:space="preserve"> it leaves the</w:t>
      </w:r>
      <w:r>
        <w:rPr>
          <w:rFonts w:ascii="Calibri" w:eastAsia="Calibri" w:hAnsi="Calibri" w:cs="Times New Roman"/>
          <w:sz w:val="24"/>
          <w:szCs w:val="24"/>
        </w:rPr>
        <w:t xml:space="preserve"> </w:t>
      </w:r>
      <w:r w:rsidRPr="00C37E65">
        <w:rPr>
          <w:rFonts w:ascii="Calibri" w:eastAsia="Calibri" w:hAnsi="Calibri" w:cs="Times New Roman"/>
          <w:sz w:val="24"/>
          <w:szCs w:val="24"/>
        </w:rPr>
        <w:t>government and investors open to overpaying or raising costs to the customer</w:t>
      </w:r>
      <w:r>
        <w:rPr>
          <w:rFonts w:ascii="Calibri" w:eastAsia="Calibri" w:hAnsi="Calibri" w:cs="Times New Roman"/>
          <w:sz w:val="24"/>
          <w:szCs w:val="24"/>
        </w:rPr>
        <w:t xml:space="preserve"> </w:t>
      </w:r>
      <w:r w:rsidRPr="00C37E65">
        <w:rPr>
          <w:rFonts w:ascii="Calibri" w:eastAsia="Calibri" w:hAnsi="Calibri" w:cs="Times New Roman"/>
          <w:sz w:val="24"/>
          <w:szCs w:val="24"/>
        </w:rPr>
        <w:t>(DfT, 2010b).</w:t>
      </w:r>
      <w:r>
        <w:rPr>
          <w:rFonts w:ascii="Calibri" w:eastAsia="Calibri" w:hAnsi="Calibri" w:cs="Times New Roman"/>
          <w:sz w:val="24"/>
          <w:szCs w:val="24"/>
        </w:rPr>
        <w:t xml:space="preserve"> L</w:t>
      </w:r>
      <w:r w:rsidRPr="00C37E65">
        <w:rPr>
          <w:rFonts w:ascii="Calibri" w:eastAsia="Calibri" w:hAnsi="Calibri" w:cs="Times New Roman"/>
          <w:sz w:val="24"/>
          <w:szCs w:val="24"/>
        </w:rPr>
        <w:t>ong term forecast demand caution as societal needs change, with the current pace of technology</w:t>
      </w:r>
      <w:r>
        <w:rPr>
          <w:rFonts w:ascii="Calibri" w:eastAsia="Calibri" w:hAnsi="Calibri" w:cs="Times New Roman"/>
          <w:sz w:val="24"/>
          <w:szCs w:val="24"/>
        </w:rPr>
        <w:t xml:space="preserve"> with the use of Bim360, CostX, Artificial Intelligence and Machine Learning Quantity Surveyors can now produce more accurate estimates (Seidu et al., 2020)</w:t>
      </w:r>
      <w:r w:rsidRPr="00C37E65">
        <w:rPr>
          <w:rFonts w:ascii="Calibri" w:eastAsia="Calibri" w:hAnsi="Calibri" w:cs="Times New Roman"/>
          <w:sz w:val="24"/>
          <w:szCs w:val="24"/>
        </w:rPr>
        <w:t xml:space="preserve">. </w:t>
      </w:r>
    </w:p>
    <w:p w14:paraId="5072A73B" w14:textId="77777777" w:rsidR="00607A0D" w:rsidRDefault="00607A0D" w:rsidP="00607A0D">
      <w:pPr>
        <w:spacing w:line="360" w:lineRule="auto"/>
        <w:jc w:val="both"/>
        <w:rPr>
          <w:rFonts w:ascii="Calibri" w:eastAsia="Calibri" w:hAnsi="Calibri" w:cs="Times New Roman"/>
          <w:sz w:val="24"/>
          <w:szCs w:val="24"/>
        </w:rPr>
      </w:pPr>
      <w:r w:rsidRPr="00C37E65">
        <w:rPr>
          <w:rFonts w:ascii="Calibri" w:eastAsia="Calibri" w:hAnsi="Calibri" w:cs="Times New Roman"/>
          <w:sz w:val="24"/>
          <w:szCs w:val="24"/>
        </w:rPr>
        <w:t>One of the main arguments for HS2 is to bridge the North-South divide by allowing for regeneration, however, as the figures show the major redevelopment will focus around London (Aizlewood and Wellings, 2011). Despite the disparity in regional funding on HS2,</w:t>
      </w:r>
      <w:r>
        <w:rPr>
          <w:rFonts w:ascii="Calibri" w:eastAsia="Calibri" w:hAnsi="Calibri" w:cs="Times New Roman"/>
          <w:sz w:val="24"/>
          <w:szCs w:val="24"/>
        </w:rPr>
        <w:t xml:space="preserve"> </w:t>
      </w:r>
      <w:r w:rsidRPr="00C37E65">
        <w:rPr>
          <w:rFonts w:ascii="Calibri" w:eastAsia="Calibri" w:hAnsi="Calibri" w:cs="Times New Roman"/>
          <w:sz w:val="24"/>
          <w:szCs w:val="24"/>
        </w:rPr>
        <w:t xml:space="preserve">an additional £37million </w:t>
      </w:r>
      <w:r>
        <w:rPr>
          <w:rFonts w:ascii="Calibri" w:eastAsia="Calibri" w:hAnsi="Calibri" w:cs="Times New Roman"/>
          <w:sz w:val="24"/>
          <w:szCs w:val="24"/>
        </w:rPr>
        <w:t xml:space="preserve">was allowed in 2018 budget </w:t>
      </w:r>
      <w:r w:rsidRPr="00C37E65">
        <w:rPr>
          <w:rFonts w:ascii="Calibri" w:eastAsia="Calibri" w:hAnsi="Calibri" w:cs="Times New Roman"/>
          <w:sz w:val="24"/>
          <w:szCs w:val="24"/>
        </w:rPr>
        <w:t>to support the development of Northern Powerhouse Rail. A year earlier, the Transforming Cities Fund (TCF) was launched to improve transport links within the regions in order to promote growth. Th</w:t>
      </w:r>
      <w:r>
        <w:rPr>
          <w:rFonts w:ascii="Calibri" w:eastAsia="Calibri" w:hAnsi="Calibri" w:cs="Times New Roman"/>
          <w:sz w:val="24"/>
          <w:szCs w:val="24"/>
        </w:rPr>
        <w:t>e</w:t>
      </w:r>
      <w:r w:rsidRPr="00C37E65">
        <w:rPr>
          <w:rFonts w:ascii="Calibri" w:eastAsia="Calibri" w:hAnsi="Calibri" w:cs="Times New Roman"/>
          <w:sz w:val="24"/>
          <w:szCs w:val="24"/>
        </w:rPr>
        <w:t xml:space="preserve"> allocat</w:t>
      </w:r>
      <w:r>
        <w:rPr>
          <w:rFonts w:ascii="Calibri" w:eastAsia="Calibri" w:hAnsi="Calibri" w:cs="Times New Roman"/>
          <w:sz w:val="24"/>
          <w:szCs w:val="24"/>
        </w:rPr>
        <w:t>ion of</w:t>
      </w:r>
      <w:r w:rsidRPr="00C37E65">
        <w:rPr>
          <w:rFonts w:ascii="Calibri" w:eastAsia="Calibri" w:hAnsi="Calibri" w:cs="Times New Roman"/>
          <w:sz w:val="24"/>
          <w:szCs w:val="24"/>
        </w:rPr>
        <w:t xml:space="preserve"> £2.5billion to local metro mayors for local and regional investments</w:t>
      </w:r>
      <w:r>
        <w:rPr>
          <w:rFonts w:ascii="Calibri" w:eastAsia="Calibri" w:hAnsi="Calibri" w:cs="Times New Roman"/>
          <w:sz w:val="24"/>
          <w:szCs w:val="24"/>
        </w:rPr>
        <w:t xml:space="preserve">, </w:t>
      </w:r>
      <w:r w:rsidRPr="00C37E65">
        <w:rPr>
          <w:rFonts w:ascii="Calibri" w:eastAsia="Calibri" w:hAnsi="Calibri" w:cs="Times New Roman"/>
          <w:sz w:val="24"/>
          <w:szCs w:val="24"/>
        </w:rPr>
        <w:t>shows the nature of investments currently, to promote growth outside of London while continuing to allocate large funds to support infrastructure in London.</w:t>
      </w:r>
    </w:p>
    <w:p w14:paraId="5986644A" w14:textId="77777777" w:rsidR="00607A0D" w:rsidRPr="00080E27" w:rsidRDefault="00607A0D" w:rsidP="00607A0D">
      <w:pPr>
        <w:spacing w:line="360" w:lineRule="auto"/>
        <w:jc w:val="both"/>
        <w:rPr>
          <w:rFonts w:ascii="Calibri" w:eastAsia="Calibri" w:hAnsi="Calibri" w:cs="Times New Roman"/>
          <w:sz w:val="24"/>
          <w:szCs w:val="24"/>
        </w:rPr>
      </w:pPr>
      <w:r w:rsidRPr="00080E27">
        <w:rPr>
          <w:rFonts w:ascii="Calibri" w:eastAsia="Calibri" w:hAnsi="Calibri" w:cs="Times New Roman"/>
          <w:sz w:val="24"/>
          <w:szCs w:val="24"/>
        </w:rPr>
        <w:t xml:space="preserve">The phase one of HS2 will run through 50km of tunnels and over 16km of viaducts. When reviewed in 2015, it was estimated to cost between £35b-£45b with expected phased delivery time of around 2029 and 2033. The benefit/cost ratio was at 1.2:1 which will increase to 1.5:1 when the second phase is considered together (Smith. K, 2020). The second phase will run between Fradley in the West Midlands and Crewe in Cheshire and form a Y shape, with an eastern and a western leg, connecting at Crewe and running through to Manchester. The eastern axis will connect with West Midlands and run through to Leeds </w:t>
      </w:r>
      <w:bookmarkStart w:id="8" w:name="_Hlk72513261"/>
      <w:r w:rsidRPr="00080E27">
        <w:rPr>
          <w:rFonts w:ascii="Calibri" w:eastAsia="Calibri" w:hAnsi="Calibri" w:cs="Times New Roman"/>
          <w:sz w:val="24"/>
          <w:szCs w:val="24"/>
        </w:rPr>
        <w:t xml:space="preserve">(Burroughs. D, 2020). </w:t>
      </w:r>
      <w:bookmarkEnd w:id="8"/>
      <w:r w:rsidRPr="00080E27">
        <w:rPr>
          <w:rFonts w:ascii="Calibri" w:eastAsia="Calibri" w:hAnsi="Calibri" w:cs="Times New Roman"/>
          <w:sz w:val="24"/>
          <w:szCs w:val="24"/>
        </w:rPr>
        <w:t xml:space="preserve">The greatest challenges are the uncertainty surrounding the cost, despite the phase one being targeted to be delivered with £40 billion. There are some differences in assessment in cost with the former HS2 Chairman predicting that £106 billion will be required to complete the project while National Audit Office concluded that this will be in the range of £65b - £88b based on 2015 estimated cost (Burroughs. D, 2020).   </w:t>
      </w:r>
    </w:p>
    <w:p w14:paraId="13C24D44" w14:textId="77777777" w:rsidR="00607A0D" w:rsidRPr="00AC1622" w:rsidRDefault="00607A0D" w:rsidP="00607A0D">
      <w:pPr>
        <w:keepNext/>
        <w:keepLines/>
        <w:spacing w:before="40" w:after="0" w:line="360" w:lineRule="auto"/>
        <w:jc w:val="both"/>
        <w:outlineLvl w:val="1"/>
        <w:rPr>
          <w:rFonts w:ascii="Calibri" w:eastAsia="Times New Roman" w:hAnsi="Calibri" w:cs="Times New Roman"/>
          <w:b/>
          <w:i/>
          <w:iCs/>
          <w:sz w:val="24"/>
          <w:szCs w:val="24"/>
        </w:rPr>
      </w:pPr>
      <w:r w:rsidRPr="00AC1622">
        <w:rPr>
          <w:rFonts w:ascii="Calibri" w:eastAsia="Times New Roman" w:hAnsi="Calibri" w:cs="Times New Roman"/>
          <w:b/>
          <w:i/>
          <w:iCs/>
          <w:sz w:val="24"/>
          <w:szCs w:val="24"/>
        </w:rPr>
        <w:lastRenderedPageBreak/>
        <w:t>Regional distribution of infrastructure Investment</w:t>
      </w:r>
    </w:p>
    <w:p w14:paraId="201AF023" w14:textId="77777777" w:rsidR="00607A0D" w:rsidRPr="005D712D" w:rsidRDefault="00607A0D" w:rsidP="00607A0D">
      <w:pPr>
        <w:keepNext/>
        <w:keepLines/>
        <w:spacing w:before="40" w:after="0" w:line="360" w:lineRule="auto"/>
        <w:jc w:val="both"/>
        <w:outlineLvl w:val="1"/>
        <w:rPr>
          <w:rFonts w:ascii="Calibri" w:eastAsia="Calibri" w:hAnsi="Calibri" w:cs="Times New Roman"/>
          <w:sz w:val="24"/>
          <w:szCs w:val="24"/>
        </w:rPr>
      </w:pPr>
      <w:r w:rsidRPr="000E08FE">
        <w:rPr>
          <w:rFonts w:ascii="Calibri" w:eastAsia="Calibri" w:hAnsi="Calibri" w:cs="Times New Roman"/>
          <w:sz w:val="24"/>
          <w:szCs w:val="24"/>
        </w:rPr>
        <w:t xml:space="preserve">Infrastructure investment in Scotland and the North East has increased considerably over the past few years. In 2017, the North East had the highest proportion of infrastructure investment as a percentage of new construction work at 31% (see Table 2). This is due to large scale renewable energy projects, such as wind farms and biomass plants whist London share has declined over the same period (ONS, 2018). This is due to a number of factors such as the existing number of large-scale infrastructure projects ongoing, and possibly </w:t>
      </w:r>
      <w:r>
        <w:rPr>
          <w:rFonts w:ascii="Calibri" w:eastAsia="Calibri" w:hAnsi="Calibri" w:cs="Times New Roman"/>
          <w:sz w:val="24"/>
          <w:szCs w:val="24"/>
        </w:rPr>
        <w:t>due</w:t>
      </w:r>
      <w:r w:rsidRPr="000E08FE">
        <w:rPr>
          <w:rFonts w:ascii="Calibri" w:eastAsia="Calibri" w:hAnsi="Calibri" w:cs="Times New Roman"/>
          <w:sz w:val="24"/>
          <w:szCs w:val="24"/>
        </w:rPr>
        <w:t xml:space="preserve"> to criticisms as to the share of London investment </w:t>
      </w:r>
      <w:r>
        <w:rPr>
          <w:rFonts w:ascii="Calibri" w:eastAsia="Calibri" w:hAnsi="Calibri" w:cs="Times New Roman"/>
          <w:sz w:val="24"/>
          <w:szCs w:val="24"/>
        </w:rPr>
        <w:t xml:space="preserve">which is </w:t>
      </w:r>
      <w:r w:rsidRPr="000E08FE">
        <w:rPr>
          <w:rFonts w:ascii="Calibri" w:eastAsia="Calibri" w:hAnsi="Calibri" w:cs="Times New Roman"/>
          <w:sz w:val="24"/>
          <w:szCs w:val="24"/>
        </w:rPr>
        <w:t>disproportionate to the rest of the country.</w:t>
      </w:r>
    </w:p>
    <w:p w14:paraId="447B3EAA" w14:textId="77777777" w:rsidR="00607A0D" w:rsidRDefault="00607A0D" w:rsidP="00607A0D">
      <w:pPr>
        <w:spacing w:after="200" w:line="360" w:lineRule="auto"/>
        <w:rPr>
          <w:rFonts w:ascii="Calibri" w:eastAsia="Calibri" w:hAnsi="Calibri" w:cs="Times New Roman"/>
        </w:rPr>
      </w:pPr>
    </w:p>
    <w:p w14:paraId="471FD254" w14:textId="77777777" w:rsidR="00607A0D" w:rsidRDefault="00607A0D" w:rsidP="00607A0D">
      <w:pPr>
        <w:spacing w:after="200" w:line="360" w:lineRule="auto"/>
        <w:rPr>
          <w:rFonts w:ascii="Calibri" w:eastAsia="Calibri" w:hAnsi="Calibri" w:cs="Times New Roman"/>
          <w:i/>
          <w:iCs/>
          <w:color w:val="44546A"/>
          <w:sz w:val="24"/>
          <w:szCs w:val="24"/>
        </w:rPr>
      </w:pPr>
      <w:r w:rsidRPr="00CB439D">
        <w:rPr>
          <w:rFonts w:ascii="Calibri" w:eastAsia="Calibri" w:hAnsi="Calibri" w:cs="Times New Roman"/>
        </w:rPr>
        <w:t xml:space="preserve">Table 2: Infrastructure share of total new construction work by region, </w:t>
      </w:r>
      <w:r>
        <w:rPr>
          <w:rFonts w:ascii="Calibri" w:eastAsia="Calibri" w:hAnsi="Calibri" w:cs="Times New Roman"/>
        </w:rPr>
        <w:t>UK</w:t>
      </w:r>
      <w:r w:rsidRPr="00CB439D">
        <w:rPr>
          <w:rFonts w:ascii="Calibri" w:eastAsia="Calibri" w:hAnsi="Calibri" w:cs="Times New Roman"/>
        </w:rPr>
        <w:t>: 2010</w:t>
      </w:r>
      <w:r>
        <w:rPr>
          <w:rFonts w:ascii="Calibri" w:eastAsia="Calibri" w:hAnsi="Calibri" w:cs="Times New Roman"/>
        </w:rPr>
        <w:t xml:space="preserve"> to 2017</w:t>
      </w:r>
      <w:r w:rsidRPr="00E81A53">
        <w:rPr>
          <w:rFonts w:ascii="Calibri" w:eastAsia="Calibri" w:hAnsi="Calibri" w:cs="Times New Roman"/>
          <w:i/>
          <w:iCs/>
          <w:color w:val="44546A"/>
          <w:sz w:val="24"/>
          <w:szCs w:val="24"/>
        </w:rPr>
        <w:t xml:space="preserve"> </w:t>
      </w:r>
    </w:p>
    <w:tbl>
      <w:tblPr>
        <w:tblStyle w:val="TableGrid1"/>
        <w:tblW w:w="0" w:type="auto"/>
        <w:tblInd w:w="97" w:type="dxa"/>
        <w:tblLook w:val="04A0" w:firstRow="1" w:lastRow="0" w:firstColumn="1" w:lastColumn="0" w:noHBand="0" w:noVBand="1"/>
      </w:tblPr>
      <w:tblGrid>
        <w:gridCol w:w="1985"/>
        <w:gridCol w:w="850"/>
        <w:gridCol w:w="992"/>
        <w:gridCol w:w="709"/>
        <w:gridCol w:w="709"/>
        <w:gridCol w:w="992"/>
        <w:gridCol w:w="709"/>
        <w:gridCol w:w="992"/>
        <w:gridCol w:w="851"/>
      </w:tblGrid>
      <w:tr w:rsidR="00607A0D" w:rsidRPr="00153980" w14:paraId="7BA30C11" w14:textId="77777777" w:rsidTr="00B93B23">
        <w:tc>
          <w:tcPr>
            <w:tcW w:w="1985" w:type="dxa"/>
            <w:tcBorders>
              <w:top w:val="thinThickSmallGap" w:sz="24" w:space="0" w:color="4472C4" w:themeColor="accent1"/>
              <w:left w:val="thinThickSmallGap" w:sz="24" w:space="0" w:color="4472C4" w:themeColor="accent1"/>
              <w:bottom w:val="single" w:sz="6" w:space="0" w:color="4472C4" w:themeColor="accent1"/>
              <w:right w:val="single" w:sz="6" w:space="0" w:color="4472C4" w:themeColor="accent1"/>
            </w:tcBorders>
          </w:tcPr>
          <w:p w14:paraId="2AD4C0CD" w14:textId="77777777" w:rsidR="00607A0D" w:rsidRPr="00153980" w:rsidRDefault="00607A0D" w:rsidP="00B93B23">
            <w:pPr>
              <w:spacing w:after="160" w:line="259" w:lineRule="auto"/>
              <w:rPr>
                <w:b/>
                <w:bCs/>
              </w:rPr>
            </w:pPr>
            <w:r w:rsidRPr="00153980">
              <w:rPr>
                <w:b/>
                <w:bCs/>
              </w:rPr>
              <w:t>Region</w:t>
            </w:r>
          </w:p>
        </w:tc>
        <w:tc>
          <w:tcPr>
            <w:tcW w:w="850"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3EF53B9C" w14:textId="77777777" w:rsidR="00607A0D" w:rsidRPr="00153980" w:rsidRDefault="00607A0D" w:rsidP="00B93B23">
            <w:pPr>
              <w:spacing w:after="160" w:line="259" w:lineRule="auto"/>
              <w:rPr>
                <w:b/>
                <w:bCs/>
              </w:rPr>
            </w:pPr>
            <w:r w:rsidRPr="00153980">
              <w:rPr>
                <w:b/>
                <w:bCs/>
              </w:rPr>
              <w:t>2010</w:t>
            </w:r>
          </w:p>
        </w:tc>
        <w:tc>
          <w:tcPr>
            <w:tcW w:w="992"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60FC9FEB" w14:textId="77777777" w:rsidR="00607A0D" w:rsidRPr="00153980" w:rsidRDefault="00607A0D" w:rsidP="00B93B23">
            <w:pPr>
              <w:spacing w:after="160" w:line="259" w:lineRule="auto"/>
              <w:rPr>
                <w:b/>
                <w:bCs/>
              </w:rPr>
            </w:pPr>
            <w:r w:rsidRPr="00153980">
              <w:rPr>
                <w:b/>
                <w:bCs/>
              </w:rPr>
              <w:t>2011</w:t>
            </w:r>
          </w:p>
        </w:tc>
        <w:tc>
          <w:tcPr>
            <w:tcW w:w="709"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568FE8D0" w14:textId="77777777" w:rsidR="00607A0D" w:rsidRPr="00153980" w:rsidRDefault="00607A0D" w:rsidP="00B93B23">
            <w:pPr>
              <w:spacing w:after="160" w:line="259" w:lineRule="auto"/>
              <w:rPr>
                <w:b/>
                <w:bCs/>
              </w:rPr>
            </w:pPr>
            <w:r w:rsidRPr="00153980">
              <w:rPr>
                <w:b/>
                <w:bCs/>
              </w:rPr>
              <w:t>2012</w:t>
            </w:r>
          </w:p>
        </w:tc>
        <w:tc>
          <w:tcPr>
            <w:tcW w:w="709"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69E369B9" w14:textId="77777777" w:rsidR="00607A0D" w:rsidRPr="00153980" w:rsidRDefault="00607A0D" w:rsidP="00B93B23">
            <w:pPr>
              <w:spacing w:after="160" w:line="259" w:lineRule="auto"/>
              <w:rPr>
                <w:b/>
                <w:bCs/>
              </w:rPr>
            </w:pPr>
            <w:r w:rsidRPr="00153980">
              <w:rPr>
                <w:b/>
                <w:bCs/>
              </w:rPr>
              <w:t>2013</w:t>
            </w:r>
          </w:p>
        </w:tc>
        <w:tc>
          <w:tcPr>
            <w:tcW w:w="992"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545BC934" w14:textId="77777777" w:rsidR="00607A0D" w:rsidRPr="00153980" w:rsidRDefault="00607A0D" w:rsidP="00B93B23">
            <w:pPr>
              <w:spacing w:after="160" w:line="259" w:lineRule="auto"/>
              <w:rPr>
                <w:b/>
                <w:bCs/>
              </w:rPr>
            </w:pPr>
            <w:r w:rsidRPr="00153980">
              <w:rPr>
                <w:b/>
                <w:bCs/>
              </w:rPr>
              <w:t>2014</w:t>
            </w:r>
          </w:p>
        </w:tc>
        <w:tc>
          <w:tcPr>
            <w:tcW w:w="709"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6042B86A" w14:textId="77777777" w:rsidR="00607A0D" w:rsidRPr="00153980" w:rsidRDefault="00607A0D" w:rsidP="00B93B23">
            <w:pPr>
              <w:spacing w:after="160" w:line="259" w:lineRule="auto"/>
              <w:rPr>
                <w:b/>
                <w:bCs/>
              </w:rPr>
            </w:pPr>
            <w:r w:rsidRPr="00153980">
              <w:rPr>
                <w:b/>
                <w:bCs/>
              </w:rPr>
              <w:t>2015</w:t>
            </w:r>
          </w:p>
        </w:tc>
        <w:tc>
          <w:tcPr>
            <w:tcW w:w="992" w:type="dxa"/>
            <w:tcBorders>
              <w:top w:val="thinThickSmallGap" w:sz="24" w:space="0" w:color="4472C4" w:themeColor="accent1"/>
              <w:left w:val="single" w:sz="6" w:space="0" w:color="4472C4" w:themeColor="accent1"/>
              <w:bottom w:val="single" w:sz="6" w:space="0" w:color="4472C4" w:themeColor="accent1"/>
              <w:right w:val="single" w:sz="6" w:space="0" w:color="4472C4" w:themeColor="accent1"/>
            </w:tcBorders>
          </w:tcPr>
          <w:p w14:paraId="7AA9A341" w14:textId="77777777" w:rsidR="00607A0D" w:rsidRPr="00153980" w:rsidRDefault="00607A0D" w:rsidP="00B93B23">
            <w:pPr>
              <w:spacing w:after="160" w:line="259" w:lineRule="auto"/>
              <w:rPr>
                <w:b/>
                <w:bCs/>
              </w:rPr>
            </w:pPr>
            <w:r w:rsidRPr="00153980">
              <w:rPr>
                <w:b/>
                <w:bCs/>
              </w:rPr>
              <w:t>2016</w:t>
            </w:r>
          </w:p>
        </w:tc>
        <w:tc>
          <w:tcPr>
            <w:tcW w:w="851" w:type="dxa"/>
            <w:tcBorders>
              <w:top w:val="thinThickSmallGap" w:sz="24" w:space="0" w:color="4472C4" w:themeColor="accent1"/>
              <w:left w:val="single" w:sz="6" w:space="0" w:color="4472C4" w:themeColor="accent1"/>
              <w:bottom w:val="single" w:sz="6" w:space="0" w:color="4472C4" w:themeColor="accent1"/>
              <w:right w:val="thickThinSmallGap" w:sz="24" w:space="0" w:color="4472C4" w:themeColor="accent1"/>
            </w:tcBorders>
          </w:tcPr>
          <w:p w14:paraId="58E8F244" w14:textId="77777777" w:rsidR="00607A0D" w:rsidRPr="00153980" w:rsidRDefault="00607A0D" w:rsidP="00B93B23">
            <w:pPr>
              <w:spacing w:after="160" w:line="259" w:lineRule="auto"/>
              <w:rPr>
                <w:b/>
                <w:bCs/>
              </w:rPr>
            </w:pPr>
            <w:r w:rsidRPr="00153980">
              <w:rPr>
                <w:b/>
                <w:bCs/>
              </w:rPr>
              <w:t>2017</w:t>
            </w:r>
          </w:p>
        </w:tc>
      </w:tr>
      <w:tr w:rsidR="00607A0D" w:rsidRPr="00153980" w14:paraId="41A9888F"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3912E18F" w14:textId="77777777" w:rsidR="00607A0D" w:rsidRPr="00153980" w:rsidRDefault="00607A0D" w:rsidP="00B93B23">
            <w:pPr>
              <w:spacing w:after="160" w:line="259" w:lineRule="auto"/>
            </w:pPr>
            <w:r w:rsidRPr="00153980">
              <w:t>North East</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4640EAE" w14:textId="77777777" w:rsidR="00607A0D" w:rsidRPr="00153980" w:rsidRDefault="00607A0D" w:rsidP="00B93B23">
            <w:pPr>
              <w:spacing w:after="160" w:line="259" w:lineRule="auto"/>
            </w:pPr>
            <w:r w:rsidRPr="00153980">
              <w:t>8%</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D93F9FC" w14:textId="77777777" w:rsidR="00607A0D" w:rsidRPr="00153980" w:rsidRDefault="00607A0D" w:rsidP="00B93B23">
            <w:pPr>
              <w:spacing w:after="160" w:line="259" w:lineRule="auto"/>
            </w:pPr>
            <w:r w:rsidRPr="00153980">
              <w:t>15%</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0EA0B0C" w14:textId="77777777" w:rsidR="00607A0D" w:rsidRPr="00153980" w:rsidRDefault="00607A0D" w:rsidP="00B93B23">
            <w:pPr>
              <w:spacing w:after="160" w:line="259" w:lineRule="auto"/>
            </w:pPr>
            <w:r w:rsidRPr="00153980">
              <w:t>25%</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DB67E4F" w14:textId="77777777" w:rsidR="00607A0D" w:rsidRPr="00153980" w:rsidRDefault="00607A0D" w:rsidP="00B93B23">
            <w:pPr>
              <w:spacing w:after="160" w:line="259" w:lineRule="auto"/>
            </w:pPr>
            <w:r w:rsidRPr="00153980">
              <w:t>16%</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D188A51" w14:textId="77777777" w:rsidR="00607A0D" w:rsidRPr="00153980" w:rsidRDefault="00607A0D" w:rsidP="00B93B23">
            <w:pPr>
              <w:spacing w:after="160" w:line="259" w:lineRule="auto"/>
            </w:pPr>
            <w:r w:rsidRPr="00153980">
              <w:t>20%</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17F3BA9" w14:textId="77777777" w:rsidR="00607A0D" w:rsidRPr="00153980" w:rsidRDefault="00607A0D" w:rsidP="00B93B23">
            <w:pPr>
              <w:spacing w:after="160" w:line="259" w:lineRule="auto"/>
            </w:pPr>
            <w:r w:rsidRPr="00153980">
              <w:t>35%</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920B482" w14:textId="77777777" w:rsidR="00607A0D" w:rsidRPr="00153980" w:rsidRDefault="00607A0D" w:rsidP="00B93B23">
            <w:pPr>
              <w:spacing w:after="160" w:line="259" w:lineRule="auto"/>
            </w:pPr>
            <w:r w:rsidRPr="00153980">
              <w:t>28%</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26B9D192" w14:textId="77777777" w:rsidR="00607A0D" w:rsidRPr="00153980" w:rsidRDefault="00607A0D" w:rsidP="00B93B23">
            <w:pPr>
              <w:spacing w:after="160" w:line="259" w:lineRule="auto"/>
            </w:pPr>
            <w:r w:rsidRPr="00153980">
              <w:t>31%</w:t>
            </w:r>
          </w:p>
        </w:tc>
      </w:tr>
      <w:tr w:rsidR="00607A0D" w:rsidRPr="00153980" w14:paraId="34E143D7"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1FE8AA78" w14:textId="77777777" w:rsidR="00607A0D" w:rsidRPr="00153980" w:rsidRDefault="00607A0D" w:rsidP="00B93B23">
            <w:pPr>
              <w:spacing w:after="160" w:line="259" w:lineRule="auto"/>
            </w:pPr>
            <w:r w:rsidRPr="00153980">
              <w:t>North West</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BE0933D" w14:textId="77777777" w:rsidR="00607A0D" w:rsidRPr="00153980" w:rsidRDefault="00607A0D" w:rsidP="00B93B23">
            <w:pPr>
              <w:spacing w:after="160" w:line="259" w:lineRule="auto"/>
            </w:pPr>
            <w:r w:rsidRPr="00153980">
              <w:t>18%</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17D563D" w14:textId="77777777" w:rsidR="00607A0D" w:rsidRPr="00153980" w:rsidRDefault="00607A0D" w:rsidP="00B93B23">
            <w:pPr>
              <w:spacing w:after="160" w:line="259" w:lineRule="auto"/>
            </w:pPr>
            <w:r w:rsidRPr="00153980">
              <w:t>19%</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0623C26" w14:textId="77777777" w:rsidR="00607A0D" w:rsidRPr="00153980" w:rsidRDefault="00607A0D" w:rsidP="00B93B23">
            <w:pPr>
              <w:spacing w:after="160" w:line="259" w:lineRule="auto"/>
            </w:pPr>
            <w:r w:rsidRPr="00153980">
              <w:t>19%</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3AA5D6A" w14:textId="77777777" w:rsidR="00607A0D" w:rsidRPr="00153980" w:rsidRDefault="00607A0D" w:rsidP="00B93B23">
            <w:pPr>
              <w:spacing w:after="160" w:line="259" w:lineRule="auto"/>
            </w:pPr>
            <w:r w:rsidRPr="00153980">
              <w:t>18%</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9CE7CA7" w14:textId="77777777" w:rsidR="00607A0D" w:rsidRPr="00153980" w:rsidRDefault="00607A0D" w:rsidP="00B93B23">
            <w:pPr>
              <w:spacing w:after="160" w:line="259" w:lineRule="auto"/>
            </w:pPr>
            <w:r w:rsidRPr="00153980">
              <w:t>21%</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1910803" w14:textId="77777777" w:rsidR="00607A0D" w:rsidRPr="00153980" w:rsidRDefault="00607A0D" w:rsidP="00B93B23">
            <w:pPr>
              <w:spacing w:after="160" w:line="259" w:lineRule="auto"/>
            </w:pPr>
            <w:r w:rsidRPr="00153980">
              <w:t>21%</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3ECF996" w14:textId="77777777" w:rsidR="00607A0D" w:rsidRPr="00153980" w:rsidRDefault="00607A0D" w:rsidP="00B93B23">
            <w:pPr>
              <w:spacing w:after="160" w:line="259" w:lineRule="auto"/>
            </w:pPr>
            <w:r w:rsidRPr="00153980">
              <w:t>20%</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252FC690" w14:textId="77777777" w:rsidR="00607A0D" w:rsidRPr="00153980" w:rsidRDefault="00607A0D" w:rsidP="00B93B23">
            <w:pPr>
              <w:spacing w:after="160" w:line="259" w:lineRule="auto"/>
            </w:pPr>
            <w:r w:rsidRPr="00153980">
              <w:t>18%</w:t>
            </w:r>
          </w:p>
        </w:tc>
      </w:tr>
      <w:tr w:rsidR="00607A0D" w:rsidRPr="00153980" w14:paraId="3ACE201C"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40F44FCE" w14:textId="77777777" w:rsidR="00607A0D" w:rsidRPr="00153980" w:rsidRDefault="00607A0D" w:rsidP="00B93B23">
            <w:pPr>
              <w:spacing w:after="160" w:line="259" w:lineRule="auto"/>
            </w:pPr>
            <w:r w:rsidRPr="00153980">
              <w:t>Yorkshire and the Humber</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7A678F9" w14:textId="77777777" w:rsidR="00607A0D" w:rsidRPr="00153980" w:rsidRDefault="00607A0D" w:rsidP="00B93B23">
            <w:pPr>
              <w:spacing w:after="160" w:line="259" w:lineRule="auto"/>
            </w:pPr>
            <w:r w:rsidRPr="00153980">
              <w:t>26%</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87BD69A" w14:textId="77777777" w:rsidR="00607A0D" w:rsidRPr="00153980" w:rsidRDefault="00607A0D" w:rsidP="00B93B23">
            <w:pPr>
              <w:spacing w:after="160" w:line="259" w:lineRule="auto"/>
            </w:pPr>
            <w:r w:rsidRPr="00153980">
              <w:t>18%</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1E4AC62" w14:textId="77777777" w:rsidR="00607A0D" w:rsidRPr="00153980" w:rsidRDefault="00607A0D" w:rsidP="00B93B23">
            <w:pPr>
              <w:spacing w:after="160" w:line="259" w:lineRule="auto"/>
            </w:pPr>
            <w:r w:rsidRPr="00153980">
              <w:t>17%</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CB60EA8" w14:textId="77777777" w:rsidR="00607A0D" w:rsidRPr="00153980" w:rsidRDefault="00607A0D" w:rsidP="00B93B23">
            <w:pPr>
              <w:spacing w:after="160" w:line="259" w:lineRule="auto"/>
            </w:pPr>
            <w:r w:rsidRPr="00153980">
              <w:t>20%</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F5D21D0" w14:textId="77777777" w:rsidR="00607A0D" w:rsidRPr="00153980" w:rsidRDefault="00607A0D" w:rsidP="00B93B23">
            <w:pPr>
              <w:spacing w:after="160" w:line="259" w:lineRule="auto"/>
            </w:pPr>
            <w:r w:rsidRPr="00153980">
              <w:t>17%</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2E72026" w14:textId="77777777" w:rsidR="00607A0D" w:rsidRPr="00153980" w:rsidRDefault="00607A0D" w:rsidP="00B93B23">
            <w:pPr>
              <w:spacing w:after="160" w:line="259" w:lineRule="auto"/>
            </w:pPr>
            <w:r w:rsidRPr="00153980">
              <w:t>17%</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7C927BF" w14:textId="77777777" w:rsidR="00607A0D" w:rsidRPr="00153980" w:rsidRDefault="00607A0D" w:rsidP="00B93B23">
            <w:pPr>
              <w:spacing w:after="160" w:line="259" w:lineRule="auto"/>
            </w:pPr>
            <w:r w:rsidRPr="00153980">
              <w:t>19%</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2B06B157" w14:textId="77777777" w:rsidR="00607A0D" w:rsidRPr="00153980" w:rsidRDefault="00607A0D" w:rsidP="00B93B23">
            <w:pPr>
              <w:spacing w:after="160" w:line="259" w:lineRule="auto"/>
            </w:pPr>
            <w:r w:rsidRPr="00153980">
              <w:t>19%</w:t>
            </w:r>
          </w:p>
        </w:tc>
      </w:tr>
      <w:tr w:rsidR="00607A0D" w:rsidRPr="00153980" w14:paraId="1673E476" w14:textId="77777777" w:rsidTr="00B93B23">
        <w:trPr>
          <w:trHeight w:val="467"/>
        </w:trPr>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10B2B348" w14:textId="77777777" w:rsidR="00607A0D" w:rsidRPr="00153980" w:rsidRDefault="00607A0D" w:rsidP="00B93B23">
            <w:pPr>
              <w:spacing w:after="160" w:line="259" w:lineRule="auto"/>
            </w:pPr>
            <w:r w:rsidRPr="00153980">
              <w:t>East Midlands</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2949438" w14:textId="77777777" w:rsidR="00607A0D" w:rsidRPr="00153980" w:rsidRDefault="00607A0D" w:rsidP="00B93B23">
            <w:pPr>
              <w:spacing w:after="160" w:line="259" w:lineRule="auto"/>
            </w:pPr>
            <w:r w:rsidRPr="00153980">
              <w:t>15%</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906F1A1" w14:textId="77777777" w:rsidR="00607A0D" w:rsidRPr="00153980" w:rsidRDefault="00607A0D" w:rsidP="00B93B23">
            <w:pPr>
              <w:spacing w:after="160" w:line="259" w:lineRule="auto"/>
            </w:pPr>
            <w:r w:rsidRPr="00153980">
              <w:t>16%</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A705353" w14:textId="77777777" w:rsidR="00607A0D" w:rsidRPr="00153980" w:rsidRDefault="00607A0D" w:rsidP="00B93B23">
            <w:pPr>
              <w:spacing w:after="160" w:line="259" w:lineRule="auto"/>
            </w:pPr>
            <w:r w:rsidRPr="00153980">
              <w:t>21%</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2398CF0" w14:textId="77777777" w:rsidR="00607A0D" w:rsidRPr="00153980" w:rsidRDefault="00607A0D" w:rsidP="00B93B23">
            <w:pPr>
              <w:spacing w:after="160" w:line="259" w:lineRule="auto"/>
            </w:pPr>
            <w:r w:rsidRPr="00153980">
              <w:t>20%</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4E0C1B5" w14:textId="77777777" w:rsidR="00607A0D" w:rsidRPr="00153980" w:rsidRDefault="00607A0D" w:rsidP="00B93B23">
            <w:pPr>
              <w:spacing w:after="160" w:line="259" w:lineRule="auto"/>
            </w:pPr>
            <w:r w:rsidRPr="00153980">
              <w:t>15%</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D741398" w14:textId="77777777" w:rsidR="00607A0D" w:rsidRPr="00153980" w:rsidRDefault="00607A0D" w:rsidP="00B93B23">
            <w:pPr>
              <w:spacing w:after="160" w:line="259" w:lineRule="auto"/>
            </w:pPr>
            <w:r w:rsidRPr="00153980">
              <w:t>22%</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9209C10" w14:textId="77777777" w:rsidR="00607A0D" w:rsidRPr="00153980" w:rsidRDefault="00607A0D" w:rsidP="00B93B23">
            <w:pPr>
              <w:spacing w:after="160" w:line="259" w:lineRule="auto"/>
            </w:pPr>
            <w:r w:rsidRPr="00153980">
              <w:t>23%</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030FF698" w14:textId="77777777" w:rsidR="00607A0D" w:rsidRPr="00153980" w:rsidRDefault="00607A0D" w:rsidP="00B93B23">
            <w:pPr>
              <w:spacing w:after="160" w:line="259" w:lineRule="auto"/>
            </w:pPr>
            <w:r w:rsidRPr="00153980">
              <w:t>23%</w:t>
            </w:r>
          </w:p>
        </w:tc>
      </w:tr>
      <w:tr w:rsidR="00607A0D" w:rsidRPr="00153980" w14:paraId="076A2051"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77104208" w14:textId="77777777" w:rsidR="00607A0D" w:rsidRPr="00153980" w:rsidRDefault="00607A0D" w:rsidP="00B93B23">
            <w:pPr>
              <w:spacing w:after="160" w:line="259" w:lineRule="auto"/>
            </w:pPr>
            <w:r w:rsidRPr="00153980">
              <w:t>West Midlands</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5C22278" w14:textId="77777777" w:rsidR="00607A0D" w:rsidRPr="00153980" w:rsidRDefault="00607A0D" w:rsidP="00B93B23">
            <w:pPr>
              <w:spacing w:after="160" w:line="259" w:lineRule="auto"/>
            </w:pPr>
            <w:r w:rsidRPr="00153980">
              <w:t>13</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3B12F48" w14:textId="77777777" w:rsidR="00607A0D" w:rsidRPr="00153980" w:rsidRDefault="00607A0D" w:rsidP="00B93B23">
            <w:pPr>
              <w:spacing w:after="160" w:line="259" w:lineRule="auto"/>
            </w:pPr>
            <w:r w:rsidRPr="00153980">
              <w:t>12</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F6FC740" w14:textId="77777777" w:rsidR="00607A0D" w:rsidRPr="00153980" w:rsidRDefault="00607A0D" w:rsidP="00B93B23">
            <w:pPr>
              <w:spacing w:after="160" w:line="259" w:lineRule="auto"/>
            </w:pPr>
            <w:r w:rsidRPr="00153980">
              <w:t>17</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E3BEA3E" w14:textId="77777777" w:rsidR="00607A0D" w:rsidRPr="00153980" w:rsidRDefault="00607A0D" w:rsidP="00B93B23">
            <w:pPr>
              <w:spacing w:after="160" w:line="259" w:lineRule="auto"/>
            </w:pPr>
            <w:r w:rsidRPr="00153980">
              <w:t>18</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B964070" w14:textId="77777777" w:rsidR="00607A0D" w:rsidRPr="00153980" w:rsidRDefault="00607A0D" w:rsidP="00B93B23">
            <w:pPr>
              <w:spacing w:after="160" w:line="259" w:lineRule="auto"/>
            </w:pPr>
            <w:r w:rsidRPr="00153980">
              <w:t>14</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E32E287" w14:textId="77777777" w:rsidR="00607A0D" w:rsidRPr="00153980" w:rsidRDefault="00607A0D" w:rsidP="00B93B23">
            <w:pPr>
              <w:spacing w:after="160" w:line="259" w:lineRule="auto"/>
            </w:pPr>
            <w:r w:rsidRPr="00153980">
              <w:t>16</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12926B6" w14:textId="77777777" w:rsidR="00607A0D" w:rsidRPr="00153980" w:rsidRDefault="00607A0D" w:rsidP="00B93B23">
            <w:pPr>
              <w:spacing w:after="160" w:line="259" w:lineRule="auto"/>
            </w:pPr>
            <w:r w:rsidRPr="00153980">
              <w:t>10</w:t>
            </w:r>
            <w:r>
              <w:t>%</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52BF13DE" w14:textId="77777777" w:rsidR="00607A0D" w:rsidRPr="00153980" w:rsidRDefault="00607A0D" w:rsidP="00B93B23">
            <w:pPr>
              <w:spacing w:after="160" w:line="259" w:lineRule="auto"/>
            </w:pPr>
            <w:r w:rsidRPr="00153980">
              <w:t>7</w:t>
            </w:r>
            <w:r>
              <w:t>%</w:t>
            </w:r>
          </w:p>
        </w:tc>
      </w:tr>
      <w:tr w:rsidR="00607A0D" w:rsidRPr="00153980" w14:paraId="795BAA4D"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0D666FC9" w14:textId="77777777" w:rsidR="00607A0D" w:rsidRPr="00153980" w:rsidRDefault="00607A0D" w:rsidP="00B93B23">
            <w:pPr>
              <w:spacing w:after="160" w:line="259" w:lineRule="auto"/>
            </w:pPr>
            <w:r w:rsidRPr="00153980">
              <w:t>East</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DDB39E1" w14:textId="77777777" w:rsidR="00607A0D" w:rsidRPr="00153980" w:rsidRDefault="00607A0D" w:rsidP="00B93B23">
            <w:pPr>
              <w:spacing w:after="160" w:line="259" w:lineRule="auto"/>
            </w:pPr>
            <w:r w:rsidRPr="00153980">
              <w:t>19</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E4827A2" w14:textId="77777777" w:rsidR="00607A0D" w:rsidRPr="00153980" w:rsidRDefault="00607A0D" w:rsidP="00B93B23">
            <w:pPr>
              <w:spacing w:after="160" w:line="259" w:lineRule="auto"/>
            </w:pPr>
            <w:r w:rsidRPr="00153980">
              <w:t>19</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12542D9" w14:textId="77777777" w:rsidR="00607A0D" w:rsidRPr="00153980" w:rsidRDefault="00607A0D" w:rsidP="00B93B23">
            <w:pPr>
              <w:spacing w:after="160" w:line="259" w:lineRule="auto"/>
            </w:pPr>
            <w:r w:rsidRPr="00153980">
              <w:t>21</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D82663C" w14:textId="77777777" w:rsidR="00607A0D" w:rsidRPr="00153980" w:rsidRDefault="00607A0D" w:rsidP="00B93B23">
            <w:pPr>
              <w:spacing w:after="160" w:line="259" w:lineRule="auto"/>
            </w:pPr>
            <w:r w:rsidRPr="00153980">
              <w:t>24</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E98D8C0" w14:textId="77777777" w:rsidR="00607A0D" w:rsidRPr="00153980" w:rsidRDefault="00607A0D" w:rsidP="00B93B23">
            <w:pPr>
              <w:spacing w:after="160" w:line="259" w:lineRule="auto"/>
            </w:pPr>
            <w:r w:rsidRPr="00153980">
              <w:t>21</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8C00621" w14:textId="77777777" w:rsidR="00607A0D" w:rsidRPr="00153980" w:rsidRDefault="00607A0D" w:rsidP="00B93B23">
            <w:pPr>
              <w:spacing w:after="160" w:line="259" w:lineRule="auto"/>
            </w:pPr>
            <w:r w:rsidRPr="00153980">
              <w:t>23</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9B80BA9" w14:textId="77777777" w:rsidR="00607A0D" w:rsidRPr="00153980" w:rsidRDefault="00607A0D" w:rsidP="00B93B23">
            <w:pPr>
              <w:spacing w:after="160" w:line="259" w:lineRule="auto"/>
            </w:pPr>
            <w:r w:rsidRPr="00153980">
              <w:t>18</w:t>
            </w:r>
            <w:r>
              <w:t>%</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14A42CE9" w14:textId="77777777" w:rsidR="00607A0D" w:rsidRPr="00153980" w:rsidRDefault="00607A0D" w:rsidP="00B93B23">
            <w:pPr>
              <w:spacing w:after="160" w:line="259" w:lineRule="auto"/>
            </w:pPr>
            <w:r w:rsidRPr="00153980">
              <w:t>22</w:t>
            </w:r>
            <w:r>
              <w:t>%</w:t>
            </w:r>
          </w:p>
        </w:tc>
      </w:tr>
      <w:tr w:rsidR="00607A0D" w:rsidRPr="00153980" w14:paraId="05F8B359"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4CA14D00" w14:textId="77777777" w:rsidR="00607A0D" w:rsidRPr="00153980" w:rsidRDefault="00607A0D" w:rsidP="00B93B23">
            <w:pPr>
              <w:spacing w:after="160" w:line="259" w:lineRule="auto"/>
            </w:pPr>
            <w:r w:rsidRPr="00153980">
              <w:t>London</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313CABF" w14:textId="77777777" w:rsidR="00607A0D" w:rsidRPr="00153980" w:rsidRDefault="00607A0D" w:rsidP="00B93B23">
            <w:pPr>
              <w:spacing w:after="160" w:line="259" w:lineRule="auto"/>
            </w:pPr>
            <w:r w:rsidRPr="00153980">
              <w:t>22</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955E1C0" w14:textId="77777777" w:rsidR="00607A0D" w:rsidRPr="00153980" w:rsidRDefault="00607A0D" w:rsidP="00B93B23">
            <w:pPr>
              <w:spacing w:after="160" w:line="259" w:lineRule="auto"/>
            </w:pPr>
            <w:r w:rsidRPr="00153980">
              <w:t>30</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EC2267E" w14:textId="77777777" w:rsidR="00607A0D" w:rsidRPr="00153980" w:rsidRDefault="00607A0D" w:rsidP="00B93B23">
            <w:pPr>
              <w:spacing w:after="160" w:line="259" w:lineRule="auto"/>
            </w:pPr>
            <w:r w:rsidRPr="00153980">
              <w:t>27</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94B7BE7" w14:textId="77777777" w:rsidR="00607A0D" w:rsidRPr="00153980" w:rsidRDefault="00607A0D" w:rsidP="00B93B23">
            <w:pPr>
              <w:spacing w:after="160" w:line="259" w:lineRule="auto"/>
            </w:pPr>
            <w:r w:rsidRPr="00153980">
              <w:t>24</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FDD1560" w14:textId="77777777" w:rsidR="00607A0D" w:rsidRPr="00153980" w:rsidRDefault="00607A0D" w:rsidP="00B93B23">
            <w:pPr>
              <w:spacing w:after="160" w:line="259" w:lineRule="auto"/>
            </w:pPr>
            <w:r w:rsidRPr="00153980">
              <w:t>16</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F89D026" w14:textId="77777777" w:rsidR="00607A0D" w:rsidRPr="00153980" w:rsidRDefault="00607A0D" w:rsidP="00B93B23">
            <w:pPr>
              <w:spacing w:after="160" w:line="259" w:lineRule="auto"/>
            </w:pPr>
            <w:r w:rsidRPr="00153980">
              <w:t>13</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5033E8F" w14:textId="77777777" w:rsidR="00607A0D" w:rsidRPr="00153980" w:rsidRDefault="00607A0D" w:rsidP="00B93B23">
            <w:pPr>
              <w:spacing w:after="160" w:line="259" w:lineRule="auto"/>
            </w:pPr>
            <w:r w:rsidRPr="00153980">
              <w:t>11</w:t>
            </w:r>
            <w:r>
              <w:t>%</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4883DE6C" w14:textId="77777777" w:rsidR="00607A0D" w:rsidRPr="00153980" w:rsidRDefault="00607A0D" w:rsidP="00B93B23">
            <w:pPr>
              <w:spacing w:after="160" w:line="259" w:lineRule="auto"/>
            </w:pPr>
            <w:r w:rsidRPr="00153980">
              <w:t>11</w:t>
            </w:r>
            <w:r>
              <w:t>%</w:t>
            </w:r>
          </w:p>
        </w:tc>
      </w:tr>
      <w:tr w:rsidR="00607A0D" w:rsidRPr="00153980" w14:paraId="27219463"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31051634" w14:textId="77777777" w:rsidR="00607A0D" w:rsidRPr="00153980" w:rsidRDefault="00607A0D" w:rsidP="00B93B23">
            <w:pPr>
              <w:spacing w:after="160" w:line="259" w:lineRule="auto"/>
            </w:pPr>
            <w:r w:rsidRPr="00153980">
              <w:t>South East</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B319D90" w14:textId="77777777" w:rsidR="00607A0D" w:rsidRPr="00153980" w:rsidRDefault="00607A0D" w:rsidP="00B93B23">
            <w:pPr>
              <w:spacing w:after="160" w:line="259" w:lineRule="auto"/>
            </w:pPr>
            <w:r w:rsidRPr="00153980">
              <w:t>17</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29765A88" w14:textId="77777777" w:rsidR="00607A0D" w:rsidRPr="00153980" w:rsidRDefault="00607A0D" w:rsidP="00B93B23">
            <w:pPr>
              <w:spacing w:after="160" w:line="259" w:lineRule="auto"/>
            </w:pPr>
            <w:r w:rsidRPr="00153980">
              <w:t>19</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3C7BD63E" w14:textId="77777777" w:rsidR="00607A0D" w:rsidRPr="00153980" w:rsidRDefault="00607A0D" w:rsidP="00B93B23">
            <w:pPr>
              <w:spacing w:after="160" w:line="259" w:lineRule="auto"/>
            </w:pPr>
            <w:r w:rsidRPr="00153980">
              <w:t>17</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5D6E342" w14:textId="77777777" w:rsidR="00607A0D" w:rsidRPr="00153980" w:rsidRDefault="00607A0D" w:rsidP="00B93B23">
            <w:pPr>
              <w:spacing w:after="160" w:line="259" w:lineRule="auto"/>
            </w:pPr>
            <w:r w:rsidRPr="00153980">
              <w:t>19</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FD959E8" w14:textId="77777777" w:rsidR="00607A0D" w:rsidRPr="00153980" w:rsidRDefault="00607A0D" w:rsidP="00B93B23">
            <w:pPr>
              <w:spacing w:after="160" w:line="259" w:lineRule="auto"/>
            </w:pPr>
            <w:r w:rsidRPr="00153980">
              <w:t>17</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05AE7BB" w14:textId="77777777" w:rsidR="00607A0D" w:rsidRPr="00153980" w:rsidRDefault="00607A0D" w:rsidP="00B93B23">
            <w:pPr>
              <w:spacing w:after="160" w:line="259" w:lineRule="auto"/>
            </w:pPr>
            <w:r w:rsidRPr="00153980">
              <w:t>18</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A78D198" w14:textId="77777777" w:rsidR="00607A0D" w:rsidRPr="00153980" w:rsidRDefault="00607A0D" w:rsidP="00B93B23">
            <w:pPr>
              <w:spacing w:after="160" w:line="259" w:lineRule="auto"/>
            </w:pPr>
            <w:r w:rsidRPr="00153980">
              <w:t>17</w:t>
            </w:r>
            <w:r>
              <w:t>%</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280D73D6" w14:textId="77777777" w:rsidR="00607A0D" w:rsidRPr="00153980" w:rsidRDefault="00607A0D" w:rsidP="00B93B23">
            <w:pPr>
              <w:spacing w:after="160" w:line="259" w:lineRule="auto"/>
            </w:pPr>
            <w:r w:rsidRPr="00153980">
              <w:t>20</w:t>
            </w:r>
            <w:r>
              <w:t>%</w:t>
            </w:r>
          </w:p>
        </w:tc>
      </w:tr>
      <w:tr w:rsidR="00607A0D" w:rsidRPr="00153980" w14:paraId="36B37B80"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4E4663EB" w14:textId="77777777" w:rsidR="00607A0D" w:rsidRPr="00153980" w:rsidRDefault="00607A0D" w:rsidP="00B93B23">
            <w:pPr>
              <w:spacing w:after="160" w:line="259" w:lineRule="auto"/>
            </w:pPr>
            <w:r w:rsidRPr="00153980">
              <w:t>South West</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D7412EC" w14:textId="77777777" w:rsidR="00607A0D" w:rsidRPr="00153980" w:rsidRDefault="00607A0D" w:rsidP="00B93B23">
            <w:pPr>
              <w:spacing w:after="160" w:line="259" w:lineRule="auto"/>
            </w:pPr>
            <w:r w:rsidRPr="00153980">
              <w:t>10</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6906DECB" w14:textId="77777777" w:rsidR="00607A0D" w:rsidRPr="00153980" w:rsidRDefault="00607A0D" w:rsidP="00B93B23">
            <w:pPr>
              <w:spacing w:after="160" w:line="259" w:lineRule="auto"/>
            </w:pPr>
            <w:r w:rsidRPr="00153980">
              <w:t>11</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79E03B6" w14:textId="77777777" w:rsidR="00607A0D" w:rsidRPr="00153980" w:rsidRDefault="00607A0D" w:rsidP="00B93B23">
            <w:pPr>
              <w:spacing w:after="160" w:line="259" w:lineRule="auto"/>
            </w:pPr>
            <w:r w:rsidRPr="00153980">
              <w:t>13</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4014186" w14:textId="77777777" w:rsidR="00607A0D" w:rsidRPr="00153980" w:rsidRDefault="00607A0D" w:rsidP="00B93B23">
            <w:pPr>
              <w:spacing w:after="160" w:line="259" w:lineRule="auto"/>
            </w:pPr>
            <w:r w:rsidRPr="00153980">
              <w:t>11</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F3B7472" w14:textId="77777777" w:rsidR="00607A0D" w:rsidRPr="00153980" w:rsidRDefault="00607A0D" w:rsidP="00B93B23">
            <w:pPr>
              <w:spacing w:after="160" w:line="259" w:lineRule="auto"/>
            </w:pPr>
            <w:r w:rsidRPr="00153980">
              <w:t>14</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6EEE6D1" w14:textId="77777777" w:rsidR="00607A0D" w:rsidRPr="00153980" w:rsidRDefault="00607A0D" w:rsidP="00B93B23">
            <w:pPr>
              <w:spacing w:after="160" w:line="259" w:lineRule="auto"/>
            </w:pPr>
            <w:r w:rsidRPr="00153980">
              <w:t>18</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619E2FA" w14:textId="77777777" w:rsidR="00607A0D" w:rsidRPr="00153980" w:rsidRDefault="00607A0D" w:rsidP="00B93B23">
            <w:pPr>
              <w:spacing w:after="160" w:line="259" w:lineRule="auto"/>
            </w:pPr>
            <w:r w:rsidRPr="00153980">
              <w:t>18</w:t>
            </w:r>
            <w:r>
              <w:t>%</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6A255ED2" w14:textId="77777777" w:rsidR="00607A0D" w:rsidRPr="00153980" w:rsidRDefault="00607A0D" w:rsidP="00B93B23">
            <w:pPr>
              <w:spacing w:after="160" w:line="259" w:lineRule="auto"/>
            </w:pPr>
            <w:r w:rsidRPr="00153980">
              <w:t>13</w:t>
            </w:r>
            <w:r>
              <w:t>%</w:t>
            </w:r>
          </w:p>
        </w:tc>
      </w:tr>
      <w:tr w:rsidR="00607A0D" w:rsidRPr="00153980" w14:paraId="70FA48CD" w14:textId="77777777" w:rsidTr="00B93B23">
        <w:tc>
          <w:tcPr>
            <w:tcW w:w="1985" w:type="dxa"/>
            <w:tcBorders>
              <w:top w:val="single" w:sz="6" w:space="0" w:color="4472C4" w:themeColor="accent1"/>
              <w:left w:val="thinThickSmallGap" w:sz="24" w:space="0" w:color="4472C4" w:themeColor="accent1"/>
              <w:bottom w:val="single" w:sz="6" w:space="0" w:color="4472C4" w:themeColor="accent1"/>
              <w:right w:val="single" w:sz="6" w:space="0" w:color="4472C4" w:themeColor="accent1"/>
            </w:tcBorders>
          </w:tcPr>
          <w:p w14:paraId="1E95B5D8" w14:textId="77777777" w:rsidR="00607A0D" w:rsidRPr="00153980" w:rsidRDefault="00607A0D" w:rsidP="00B93B23">
            <w:pPr>
              <w:spacing w:after="160" w:line="259" w:lineRule="auto"/>
            </w:pPr>
            <w:r w:rsidRPr="00153980">
              <w:t>Wales</w:t>
            </w:r>
          </w:p>
        </w:tc>
        <w:tc>
          <w:tcPr>
            <w:tcW w:w="85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06DD8DC" w14:textId="77777777" w:rsidR="00607A0D" w:rsidRPr="00153980" w:rsidRDefault="00607A0D" w:rsidP="00B93B23">
            <w:pPr>
              <w:spacing w:after="160" w:line="259" w:lineRule="auto"/>
            </w:pPr>
            <w:r w:rsidRPr="00153980">
              <w:t>22</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125755F" w14:textId="77777777" w:rsidR="00607A0D" w:rsidRPr="00153980" w:rsidRDefault="00607A0D" w:rsidP="00B93B23">
            <w:pPr>
              <w:spacing w:after="160" w:line="259" w:lineRule="auto"/>
            </w:pPr>
            <w:r w:rsidRPr="00153980">
              <w:t>20</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5148451" w14:textId="77777777" w:rsidR="00607A0D" w:rsidRPr="00153980" w:rsidRDefault="00607A0D" w:rsidP="00B93B23">
            <w:pPr>
              <w:spacing w:after="160" w:line="259" w:lineRule="auto"/>
            </w:pPr>
            <w:r w:rsidRPr="00153980">
              <w:t>14</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0F250A38" w14:textId="77777777" w:rsidR="00607A0D" w:rsidRPr="00153980" w:rsidRDefault="00607A0D" w:rsidP="00B93B23">
            <w:pPr>
              <w:spacing w:after="160" w:line="259" w:lineRule="auto"/>
            </w:pPr>
            <w:r w:rsidRPr="00153980">
              <w:t>21</w:t>
            </w:r>
            <w:r>
              <w:t>%</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B05C450" w14:textId="77777777" w:rsidR="00607A0D" w:rsidRPr="00153980" w:rsidRDefault="00607A0D" w:rsidP="00B93B23">
            <w:pPr>
              <w:spacing w:after="160" w:line="259" w:lineRule="auto"/>
            </w:pPr>
            <w:r w:rsidRPr="00153980">
              <w:t>17</w:t>
            </w:r>
            <w:r>
              <w:t>%</w:t>
            </w:r>
          </w:p>
        </w:tc>
        <w:tc>
          <w:tcPr>
            <w:tcW w:w="709"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748ECDB" w14:textId="77777777" w:rsidR="00607A0D" w:rsidRPr="00153980" w:rsidRDefault="00607A0D" w:rsidP="00B93B23">
            <w:pPr>
              <w:spacing w:after="160" w:line="259" w:lineRule="auto"/>
            </w:pPr>
            <w:r w:rsidRPr="00153980">
              <w:t>19</w:t>
            </w:r>
          </w:p>
        </w:tc>
        <w:tc>
          <w:tcPr>
            <w:tcW w:w="992"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3B36573" w14:textId="77777777" w:rsidR="00607A0D" w:rsidRPr="00153980" w:rsidRDefault="00607A0D" w:rsidP="00B93B23">
            <w:pPr>
              <w:spacing w:after="160" w:line="259" w:lineRule="auto"/>
            </w:pPr>
            <w:r w:rsidRPr="00153980">
              <w:t>22</w:t>
            </w:r>
            <w:r>
              <w:t>%</w:t>
            </w:r>
          </w:p>
        </w:tc>
        <w:tc>
          <w:tcPr>
            <w:tcW w:w="851" w:type="dxa"/>
            <w:tcBorders>
              <w:top w:val="single" w:sz="6" w:space="0" w:color="4472C4" w:themeColor="accent1"/>
              <w:left w:val="single" w:sz="6" w:space="0" w:color="4472C4" w:themeColor="accent1"/>
              <w:bottom w:val="single" w:sz="6" w:space="0" w:color="4472C4" w:themeColor="accent1"/>
              <w:right w:val="thickThinSmallGap" w:sz="24" w:space="0" w:color="4472C4" w:themeColor="accent1"/>
            </w:tcBorders>
          </w:tcPr>
          <w:p w14:paraId="2447C917" w14:textId="77777777" w:rsidR="00607A0D" w:rsidRPr="00153980" w:rsidRDefault="00607A0D" w:rsidP="00B93B23">
            <w:pPr>
              <w:spacing w:after="160" w:line="259" w:lineRule="auto"/>
            </w:pPr>
            <w:r w:rsidRPr="00153980">
              <w:t>27</w:t>
            </w:r>
            <w:r>
              <w:t>%</w:t>
            </w:r>
          </w:p>
        </w:tc>
      </w:tr>
      <w:tr w:rsidR="00607A0D" w:rsidRPr="00153980" w14:paraId="1B5B0388" w14:textId="77777777" w:rsidTr="00B93B23">
        <w:trPr>
          <w:trHeight w:val="178"/>
        </w:trPr>
        <w:tc>
          <w:tcPr>
            <w:tcW w:w="1985" w:type="dxa"/>
            <w:tcBorders>
              <w:top w:val="single" w:sz="6" w:space="0" w:color="4472C4" w:themeColor="accent1"/>
              <w:left w:val="thinThickSmallGap" w:sz="24" w:space="0" w:color="4472C4" w:themeColor="accent1"/>
              <w:bottom w:val="thickThinSmallGap" w:sz="24" w:space="0" w:color="4472C4" w:themeColor="accent1"/>
              <w:right w:val="single" w:sz="6" w:space="0" w:color="4472C4" w:themeColor="accent1"/>
            </w:tcBorders>
          </w:tcPr>
          <w:p w14:paraId="4CC7CB52" w14:textId="77777777" w:rsidR="00607A0D" w:rsidRPr="00153980" w:rsidRDefault="00607A0D" w:rsidP="00B93B23">
            <w:pPr>
              <w:spacing w:after="160" w:line="259" w:lineRule="auto"/>
            </w:pPr>
            <w:r w:rsidRPr="00153980">
              <w:t>Scotland</w:t>
            </w:r>
          </w:p>
        </w:tc>
        <w:tc>
          <w:tcPr>
            <w:tcW w:w="850"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27CFE387" w14:textId="77777777" w:rsidR="00607A0D" w:rsidRPr="00153980" w:rsidRDefault="00607A0D" w:rsidP="00B93B23">
            <w:pPr>
              <w:spacing w:after="160" w:line="259" w:lineRule="auto"/>
            </w:pPr>
            <w:r w:rsidRPr="00153980">
              <w:t>19</w:t>
            </w:r>
            <w:r>
              <w:t>%</w:t>
            </w:r>
          </w:p>
        </w:tc>
        <w:tc>
          <w:tcPr>
            <w:tcW w:w="992"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6D588A9B" w14:textId="77777777" w:rsidR="00607A0D" w:rsidRPr="00153980" w:rsidRDefault="00607A0D" w:rsidP="00B93B23">
            <w:pPr>
              <w:spacing w:after="160" w:line="259" w:lineRule="auto"/>
            </w:pPr>
            <w:r w:rsidRPr="00153980">
              <w:t>21</w:t>
            </w:r>
            <w:r>
              <w:t>%</w:t>
            </w:r>
          </w:p>
        </w:tc>
        <w:tc>
          <w:tcPr>
            <w:tcW w:w="709"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78CA50F8" w14:textId="77777777" w:rsidR="00607A0D" w:rsidRPr="00153980" w:rsidRDefault="00607A0D" w:rsidP="00B93B23">
            <w:pPr>
              <w:spacing w:after="160" w:line="259" w:lineRule="auto"/>
            </w:pPr>
            <w:r w:rsidRPr="00153980">
              <w:t>19</w:t>
            </w:r>
            <w:r>
              <w:t>%</w:t>
            </w:r>
          </w:p>
        </w:tc>
        <w:tc>
          <w:tcPr>
            <w:tcW w:w="709"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04913342" w14:textId="77777777" w:rsidR="00607A0D" w:rsidRPr="00153980" w:rsidRDefault="00607A0D" w:rsidP="00B93B23">
            <w:pPr>
              <w:spacing w:after="160" w:line="259" w:lineRule="auto"/>
            </w:pPr>
            <w:r w:rsidRPr="00153980">
              <w:t>25</w:t>
            </w:r>
            <w:r>
              <w:t>%</w:t>
            </w:r>
          </w:p>
        </w:tc>
        <w:tc>
          <w:tcPr>
            <w:tcW w:w="992"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51681383" w14:textId="77777777" w:rsidR="00607A0D" w:rsidRPr="00153980" w:rsidRDefault="00607A0D" w:rsidP="00B93B23">
            <w:pPr>
              <w:spacing w:after="160" w:line="259" w:lineRule="auto"/>
            </w:pPr>
            <w:r w:rsidRPr="00153980">
              <w:t>27</w:t>
            </w:r>
            <w:r>
              <w:t>%</w:t>
            </w:r>
          </w:p>
        </w:tc>
        <w:tc>
          <w:tcPr>
            <w:tcW w:w="709"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20C16CB2" w14:textId="77777777" w:rsidR="00607A0D" w:rsidRPr="00153980" w:rsidRDefault="00607A0D" w:rsidP="00B93B23">
            <w:pPr>
              <w:spacing w:after="160" w:line="259" w:lineRule="auto"/>
            </w:pPr>
            <w:r w:rsidRPr="00153980">
              <w:t>37</w:t>
            </w:r>
            <w:r>
              <w:t>%</w:t>
            </w:r>
          </w:p>
        </w:tc>
        <w:tc>
          <w:tcPr>
            <w:tcW w:w="992" w:type="dxa"/>
            <w:tcBorders>
              <w:top w:val="single" w:sz="6" w:space="0" w:color="4472C4" w:themeColor="accent1"/>
              <w:left w:val="single" w:sz="6" w:space="0" w:color="4472C4" w:themeColor="accent1"/>
              <w:bottom w:val="thickThinSmallGap" w:sz="24" w:space="0" w:color="4472C4" w:themeColor="accent1"/>
              <w:right w:val="single" w:sz="6" w:space="0" w:color="4472C4" w:themeColor="accent1"/>
            </w:tcBorders>
          </w:tcPr>
          <w:p w14:paraId="3773B5EA" w14:textId="77777777" w:rsidR="00607A0D" w:rsidRPr="00153980" w:rsidRDefault="00607A0D" w:rsidP="00B93B23">
            <w:pPr>
              <w:spacing w:after="160" w:line="259" w:lineRule="auto"/>
            </w:pPr>
            <w:r w:rsidRPr="00153980">
              <w:t>32</w:t>
            </w:r>
            <w:r>
              <w:t>%</w:t>
            </w:r>
          </w:p>
        </w:tc>
        <w:tc>
          <w:tcPr>
            <w:tcW w:w="851" w:type="dxa"/>
            <w:tcBorders>
              <w:top w:val="single" w:sz="6" w:space="0" w:color="4472C4" w:themeColor="accent1"/>
              <w:left w:val="single" w:sz="6" w:space="0" w:color="4472C4" w:themeColor="accent1"/>
              <w:bottom w:val="thickThinSmallGap" w:sz="24" w:space="0" w:color="4472C4" w:themeColor="accent1"/>
              <w:right w:val="thickThinSmallGap" w:sz="24" w:space="0" w:color="4472C4" w:themeColor="accent1"/>
            </w:tcBorders>
          </w:tcPr>
          <w:p w14:paraId="6D16B642" w14:textId="77777777" w:rsidR="00607A0D" w:rsidRPr="00153980" w:rsidRDefault="00607A0D" w:rsidP="00B93B23">
            <w:pPr>
              <w:spacing w:after="160" w:line="259" w:lineRule="auto"/>
            </w:pPr>
            <w:r w:rsidRPr="00153980">
              <w:t>29</w:t>
            </w:r>
            <w:r>
              <w:t>%</w:t>
            </w:r>
          </w:p>
        </w:tc>
      </w:tr>
    </w:tbl>
    <w:p w14:paraId="0DA32E22" w14:textId="77777777" w:rsidR="00607A0D" w:rsidRDefault="00607A0D" w:rsidP="00607A0D"/>
    <w:p w14:paraId="482D8AE5" w14:textId="77777777" w:rsidR="00607A0D" w:rsidRPr="009D7637" w:rsidRDefault="00607A0D" w:rsidP="00607A0D">
      <w:r>
        <w:t xml:space="preserve">Source: </w:t>
      </w:r>
      <w:r w:rsidRPr="00CB439D">
        <w:t xml:space="preserve">Office of National Statistics </w:t>
      </w:r>
      <w:r>
        <w:t>(</w:t>
      </w:r>
      <w:r w:rsidRPr="00CB439D">
        <w:t>2018</w:t>
      </w:r>
      <w:r>
        <w:t>)</w:t>
      </w:r>
    </w:p>
    <w:p w14:paraId="1636440B" w14:textId="77777777" w:rsidR="00607A0D" w:rsidRDefault="00607A0D" w:rsidP="00607A0D">
      <w:pPr>
        <w:spacing w:after="200" w:line="360" w:lineRule="auto"/>
        <w:rPr>
          <w:rFonts w:ascii="Calibri" w:eastAsia="Calibri" w:hAnsi="Calibri" w:cs="Times New Roman"/>
        </w:rPr>
      </w:pPr>
    </w:p>
    <w:p w14:paraId="3ADD0D19" w14:textId="77777777" w:rsidR="00607A0D" w:rsidRDefault="00607A0D" w:rsidP="00607A0D">
      <w:pPr>
        <w:spacing w:after="200" w:line="360" w:lineRule="auto"/>
        <w:rPr>
          <w:rFonts w:ascii="Calibri" w:eastAsia="Calibri" w:hAnsi="Calibri" w:cs="Times New Roman"/>
        </w:rPr>
      </w:pPr>
    </w:p>
    <w:p w14:paraId="4D4C4D46" w14:textId="77777777" w:rsidR="00607A0D" w:rsidRDefault="00607A0D" w:rsidP="00607A0D">
      <w:pPr>
        <w:spacing w:after="200" w:line="360" w:lineRule="auto"/>
        <w:rPr>
          <w:rFonts w:ascii="Calibri" w:eastAsia="Calibri" w:hAnsi="Calibri" w:cs="Times New Roman"/>
        </w:rPr>
      </w:pPr>
    </w:p>
    <w:p w14:paraId="033D646E" w14:textId="77777777" w:rsidR="00607A0D" w:rsidRDefault="00607A0D" w:rsidP="00607A0D">
      <w:pPr>
        <w:spacing w:after="200" w:line="360" w:lineRule="auto"/>
        <w:rPr>
          <w:rFonts w:ascii="Calibri" w:eastAsia="Calibri" w:hAnsi="Calibri" w:cs="Times New Roman"/>
        </w:rPr>
      </w:pPr>
    </w:p>
    <w:p w14:paraId="654275F3" w14:textId="77777777" w:rsidR="00607A0D" w:rsidRDefault="00607A0D" w:rsidP="00607A0D">
      <w:pPr>
        <w:spacing w:after="200" w:line="360" w:lineRule="auto"/>
        <w:rPr>
          <w:rFonts w:ascii="Calibri" w:eastAsia="Calibri" w:hAnsi="Calibri" w:cs="Times New Roman"/>
        </w:rPr>
      </w:pPr>
      <w:r w:rsidRPr="00CB439D">
        <w:rPr>
          <w:rFonts w:ascii="Calibri" w:eastAsia="Calibri" w:hAnsi="Calibri" w:cs="Times New Roman"/>
        </w:rPr>
        <w:lastRenderedPageBreak/>
        <w:t>Table 3: Cumulative per capita regional investment by funding source (2018/19 – 2020/21)</w:t>
      </w:r>
    </w:p>
    <w:tbl>
      <w:tblPr>
        <w:tblStyle w:val="TableGrid"/>
        <w:tblW w:w="0" w:type="auto"/>
        <w:tblBorders>
          <w:top w:val="thinThickSmallGap" w:sz="24" w:space="0" w:color="5B9BD5" w:themeColor="accent5"/>
          <w:left w:val="thinThickSmallGap" w:sz="24" w:space="0" w:color="5B9BD5" w:themeColor="accent5"/>
          <w:bottom w:val="thickThinSmallGap" w:sz="24" w:space="0" w:color="5B9BD5" w:themeColor="accent5"/>
          <w:right w:val="thickThinSmallGap" w:sz="24" w:space="0" w:color="5B9BD5" w:themeColor="accent5"/>
          <w:insideH w:val="none" w:sz="0" w:space="0" w:color="auto"/>
          <w:insideV w:val="none" w:sz="0" w:space="0" w:color="auto"/>
        </w:tblBorders>
        <w:tblLook w:val="04A0" w:firstRow="1" w:lastRow="0" w:firstColumn="1" w:lastColumn="0" w:noHBand="0" w:noVBand="1"/>
      </w:tblPr>
      <w:tblGrid>
        <w:gridCol w:w="1696"/>
        <w:gridCol w:w="3261"/>
        <w:gridCol w:w="925"/>
        <w:gridCol w:w="3004"/>
      </w:tblGrid>
      <w:tr w:rsidR="00607A0D" w14:paraId="2925127F" w14:textId="77777777" w:rsidTr="00B93B23">
        <w:tc>
          <w:tcPr>
            <w:tcW w:w="8886" w:type="dxa"/>
            <w:gridSpan w:val="4"/>
          </w:tcPr>
          <w:p w14:paraId="41B3C8A4" w14:textId="77777777" w:rsidR="00607A0D" w:rsidRPr="000E393B" w:rsidRDefault="00607A0D" w:rsidP="00B93B23">
            <w:pPr>
              <w:spacing w:after="200" w:line="360" w:lineRule="auto"/>
              <w:jc w:val="center"/>
              <w:rPr>
                <w:rFonts w:ascii="Calibri" w:eastAsia="Calibri" w:hAnsi="Calibri" w:cs="Times New Roman"/>
                <w:b/>
                <w:sz w:val="28"/>
                <w:szCs w:val="28"/>
                <w:u w:val="single"/>
              </w:rPr>
            </w:pPr>
            <w:r w:rsidRPr="000E393B">
              <w:rPr>
                <w:rFonts w:ascii="Calibri" w:eastAsia="Calibri" w:hAnsi="Calibri" w:cs="Times New Roman"/>
                <w:b/>
                <w:sz w:val="28"/>
                <w:szCs w:val="28"/>
              </w:rPr>
              <w:t>Funding Source</w:t>
            </w:r>
          </w:p>
        </w:tc>
      </w:tr>
      <w:tr w:rsidR="00607A0D" w14:paraId="62912BB6" w14:textId="77777777" w:rsidTr="00B93B23">
        <w:tc>
          <w:tcPr>
            <w:tcW w:w="1696" w:type="dxa"/>
          </w:tcPr>
          <w:p w14:paraId="0E436097" w14:textId="77777777" w:rsidR="00607A0D" w:rsidRPr="000E393B" w:rsidRDefault="00607A0D" w:rsidP="00B93B23">
            <w:pPr>
              <w:spacing w:after="200" w:line="360" w:lineRule="auto"/>
              <w:rPr>
                <w:rFonts w:ascii="Calibri" w:eastAsia="Calibri" w:hAnsi="Calibri" w:cs="Times New Roman"/>
                <w:b/>
                <w:sz w:val="24"/>
                <w:szCs w:val="24"/>
              </w:rPr>
            </w:pPr>
            <w:r w:rsidRPr="000E393B">
              <w:rPr>
                <w:rFonts w:ascii="Calibri" w:eastAsia="Calibri" w:hAnsi="Calibri" w:cs="Times New Roman"/>
                <w:b/>
                <w:sz w:val="24"/>
                <w:szCs w:val="24"/>
              </w:rPr>
              <w:t>Region</w:t>
            </w:r>
          </w:p>
        </w:tc>
        <w:tc>
          <w:tcPr>
            <w:tcW w:w="3261" w:type="dxa"/>
          </w:tcPr>
          <w:p w14:paraId="49DD3B26" w14:textId="77777777" w:rsidR="00607A0D" w:rsidRPr="000E393B" w:rsidRDefault="00607A0D" w:rsidP="00B93B23">
            <w:pPr>
              <w:spacing w:after="200" w:line="360" w:lineRule="auto"/>
              <w:jc w:val="center"/>
              <w:rPr>
                <w:rFonts w:ascii="Calibri" w:eastAsia="Calibri" w:hAnsi="Calibri" w:cs="Times New Roman"/>
                <w:b/>
                <w:sz w:val="24"/>
                <w:szCs w:val="24"/>
              </w:rPr>
            </w:pPr>
            <w:r w:rsidRPr="000E393B">
              <w:rPr>
                <w:rFonts w:ascii="Calibri" w:eastAsia="Calibri" w:hAnsi="Calibri" w:cs="Times New Roman"/>
                <w:b/>
                <w:sz w:val="24"/>
                <w:szCs w:val="24"/>
              </w:rPr>
              <w:t>Central and Local Government</w:t>
            </w:r>
          </w:p>
        </w:tc>
        <w:tc>
          <w:tcPr>
            <w:tcW w:w="925" w:type="dxa"/>
          </w:tcPr>
          <w:p w14:paraId="473306C8" w14:textId="77777777" w:rsidR="00607A0D" w:rsidRPr="000E393B" w:rsidRDefault="00607A0D" w:rsidP="00B93B23">
            <w:pPr>
              <w:spacing w:after="200" w:line="360" w:lineRule="auto"/>
              <w:rPr>
                <w:rFonts w:ascii="Calibri" w:eastAsia="Calibri" w:hAnsi="Calibri" w:cs="Times New Roman"/>
                <w:b/>
                <w:sz w:val="24"/>
                <w:szCs w:val="24"/>
              </w:rPr>
            </w:pPr>
            <w:r w:rsidRPr="000E393B">
              <w:rPr>
                <w:rFonts w:ascii="Calibri" w:eastAsia="Calibri" w:hAnsi="Calibri" w:cs="Times New Roman"/>
                <w:b/>
                <w:sz w:val="24"/>
                <w:szCs w:val="24"/>
              </w:rPr>
              <w:t xml:space="preserve">Private </w:t>
            </w:r>
          </w:p>
        </w:tc>
        <w:tc>
          <w:tcPr>
            <w:tcW w:w="3004" w:type="dxa"/>
          </w:tcPr>
          <w:p w14:paraId="0B9808AA" w14:textId="77777777" w:rsidR="00607A0D" w:rsidRPr="000E393B" w:rsidRDefault="00607A0D" w:rsidP="00B93B23">
            <w:pPr>
              <w:spacing w:after="200" w:line="360" w:lineRule="auto"/>
              <w:rPr>
                <w:rFonts w:ascii="Calibri" w:eastAsia="Calibri" w:hAnsi="Calibri" w:cs="Times New Roman"/>
                <w:b/>
                <w:sz w:val="24"/>
                <w:szCs w:val="24"/>
              </w:rPr>
            </w:pPr>
            <w:r w:rsidRPr="000E393B">
              <w:rPr>
                <w:rFonts w:ascii="Calibri" w:eastAsia="Calibri" w:hAnsi="Calibri" w:cs="Times New Roman"/>
                <w:b/>
                <w:sz w:val="24"/>
                <w:szCs w:val="24"/>
              </w:rPr>
              <w:t>Total</w:t>
            </w:r>
          </w:p>
        </w:tc>
      </w:tr>
      <w:tr w:rsidR="00607A0D" w14:paraId="1A297F61" w14:textId="77777777" w:rsidTr="00B93B23">
        <w:tc>
          <w:tcPr>
            <w:tcW w:w="1696" w:type="dxa"/>
          </w:tcPr>
          <w:p w14:paraId="7646C9AB"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East Midlands</w:t>
            </w:r>
          </w:p>
        </w:tc>
        <w:tc>
          <w:tcPr>
            <w:tcW w:w="3261" w:type="dxa"/>
          </w:tcPr>
          <w:p w14:paraId="14B39C2F"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£1,190</w:t>
            </w:r>
          </w:p>
        </w:tc>
        <w:tc>
          <w:tcPr>
            <w:tcW w:w="925" w:type="dxa"/>
          </w:tcPr>
          <w:p w14:paraId="497B82AD"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£1,607</w:t>
            </w:r>
          </w:p>
        </w:tc>
        <w:tc>
          <w:tcPr>
            <w:tcW w:w="3004" w:type="dxa"/>
          </w:tcPr>
          <w:p w14:paraId="22510B41"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£2,797</w:t>
            </w:r>
          </w:p>
        </w:tc>
      </w:tr>
      <w:tr w:rsidR="00607A0D" w14:paraId="3C28EF36" w14:textId="77777777" w:rsidTr="00B93B23">
        <w:tc>
          <w:tcPr>
            <w:tcW w:w="1696" w:type="dxa"/>
          </w:tcPr>
          <w:p w14:paraId="450859A5"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East of England</w:t>
            </w:r>
          </w:p>
        </w:tc>
        <w:tc>
          <w:tcPr>
            <w:tcW w:w="3261" w:type="dxa"/>
          </w:tcPr>
          <w:p w14:paraId="6C63EBA0"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£971</w:t>
            </w:r>
          </w:p>
        </w:tc>
        <w:tc>
          <w:tcPr>
            <w:tcW w:w="925" w:type="dxa"/>
          </w:tcPr>
          <w:p w14:paraId="50534D6A"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£1,379</w:t>
            </w:r>
          </w:p>
        </w:tc>
        <w:tc>
          <w:tcPr>
            <w:tcW w:w="3004" w:type="dxa"/>
          </w:tcPr>
          <w:p w14:paraId="26CDB1C1"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£2,350</w:t>
            </w:r>
          </w:p>
        </w:tc>
      </w:tr>
      <w:tr w:rsidR="00607A0D" w14:paraId="289B0686" w14:textId="77777777" w:rsidTr="00B93B23">
        <w:tc>
          <w:tcPr>
            <w:tcW w:w="1696" w:type="dxa"/>
          </w:tcPr>
          <w:p w14:paraId="096DCA01"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London</w:t>
            </w:r>
          </w:p>
        </w:tc>
        <w:tc>
          <w:tcPr>
            <w:tcW w:w="3261" w:type="dxa"/>
          </w:tcPr>
          <w:p w14:paraId="53EB449B"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£1,718</w:t>
            </w:r>
          </w:p>
        </w:tc>
        <w:tc>
          <w:tcPr>
            <w:tcW w:w="925" w:type="dxa"/>
          </w:tcPr>
          <w:p w14:paraId="03B3C9A6"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£1,283</w:t>
            </w:r>
          </w:p>
        </w:tc>
        <w:tc>
          <w:tcPr>
            <w:tcW w:w="3004" w:type="dxa"/>
          </w:tcPr>
          <w:p w14:paraId="234BA8E4"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£3,001</w:t>
            </w:r>
          </w:p>
        </w:tc>
      </w:tr>
      <w:tr w:rsidR="00607A0D" w14:paraId="28ACD4FD" w14:textId="77777777" w:rsidTr="00B93B23">
        <w:tc>
          <w:tcPr>
            <w:tcW w:w="1696" w:type="dxa"/>
          </w:tcPr>
          <w:p w14:paraId="5E561865"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North East</w:t>
            </w:r>
          </w:p>
        </w:tc>
        <w:tc>
          <w:tcPr>
            <w:tcW w:w="3261" w:type="dxa"/>
          </w:tcPr>
          <w:p w14:paraId="27F2D31A"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£786</w:t>
            </w:r>
          </w:p>
        </w:tc>
        <w:tc>
          <w:tcPr>
            <w:tcW w:w="925" w:type="dxa"/>
          </w:tcPr>
          <w:p w14:paraId="29996251"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£2,252</w:t>
            </w:r>
          </w:p>
        </w:tc>
        <w:tc>
          <w:tcPr>
            <w:tcW w:w="3004" w:type="dxa"/>
          </w:tcPr>
          <w:p w14:paraId="7C5D770B"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£3,038</w:t>
            </w:r>
          </w:p>
        </w:tc>
      </w:tr>
      <w:tr w:rsidR="00607A0D" w14:paraId="65574B78" w14:textId="77777777" w:rsidTr="00B93B23">
        <w:tc>
          <w:tcPr>
            <w:tcW w:w="1696" w:type="dxa"/>
          </w:tcPr>
          <w:p w14:paraId="0973A848"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North West</w:t>
            </w:r>
          </w:p>
        </w:tc>
        <w:tc>
          <w:tcPr>
            <w:tcW w:w="3261" w:type="dxa"/>
          </w:tcPr>
          <w:p w14:paraId="350B98BD"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£1,636</w:t>
            </w:r>
          </w:p>
        </w:tc>
        <w:tc>
          <w:tcPr>
            <w:tcW w:w="925" w:type="dxa"/>
          </w:tcPr>
          <w:p w14:paraId="18EF688C"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£1,160</w:t>
            </w:r>
          </w:p>
        </w:tc>
        <w:tc>
          <w:tcPr>
            <w:tcW w:w="3004" w:type="dxa"/>
          </w:tcPr>
          <w:p w14:paraId="338A8D30"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£2,796</w:t>
            </w:r>
          </w:p>
        </w:tc>
      </w:tr>
      <w:tr w:rsidR="00607A0D" w14:paraId="5AE57CC1" w14:textId="77777777" w:rsidTr="00B93B23">
        <w:tc>
          <w:tcPr>
            <w:tcW w:w="1696" w:type="dxa"/>
          </w:tcPr>
          <w:p w14:paraId="60F71D0C"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South East</w:t>
            </w:r>
          </w:p>
        </w:tc>
        <w:tc>
          <w:tcPr>
            <w:tcW w:w="3261" w:type="dxa"/>
          </w:tcPr>
          <w:p w14:paraId="03224921"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£1,416</w:t>
            </w:r>
          </w:p>
        </w:tc>
        <w:tc>
          <w:tcPr>
            <w:tcW w:w="925" w:type="dxa"/>
          </w:tcPr>
          <w:p w14:paraId="555C1C74"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£1,252</w:t>
            </w:r>
          </w:p>
        </w:tc>
        <w:tc>
          <w:tcPr>
            <w:tcW w:w="3004" w:type="dxa"/>
          </w:tcPr>
          <w:p w14:paraId="49BC6117"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£2,669</w:t>
            </w:r>
          </w:p>
        </w:tc>
      </w:tr>
      <w:tr w:rsidR="00607A0D" w14:paraId="144F0D92" w14:textId="77777777" w:rsidTr="00B93B23">
        <w:tc>
          <w:tcPr>
            <w:tcW w:w="1696" w:type="dxa"/>
          </w:tcPr>
          <w:p w14:paraId="30EFEA4E"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South West</w:t>
            </w:r>
          </w:p>
        </w:tc>
        <w:tc>
          <w:tcPr>
            <w:tcW w:w="3261" w:type="dxa"/>
          </w:tcPr>
          <w:p w14:paraId="7EFC8547"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£964</w:t>
            </w:r>
          </w:p>
        </w:tc>
        <w:tc>
          <w:tcPr>
            <w:tcW w:w="925" w:type="dxa"/>
          </w:tcPr>
          <w:p w14:paraId="3891F7EB"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£2,352</w:t>
            </w:r>
          </w:p>
        </w:tc>
        <w:tc>
          <w:tcPr>
            <w:tcW w:w="3004" w:type="dxa"/>
          </w:tcPr>
          <w:p w14:paraId="52E0C76A"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£3,316</w:t>
            </w:r>
          </w:p>
        </w:tc>
      </w:tr>
      <w:tr w:rsidR="00607A0D" w14:paraId="4490CFA2" w14:textId="77777777" w:rsidTr="00B93B23">
        <w:tc>
          <w:tcPr>
            <w:tcW w:w="1696" w:type="dxa"/>
          </w:tcPr>
          <w:p w14:paraId="37C84845"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West Midlands</w:t>
            </w:r>
          </w:p>
        </w:tc>
        <w:tc>
          <w:tcPr>
            <w:tcW w:w="3261" w:type="dxa"/>
          </w:tcPr>
          <w:p w14:paraId="19895BAE"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£1,079</w:t>
            </w:r>
          </w:p>
        </w:tc>
        <w:tc>
          <w:tcPr>
            <w:tcW w:w="925" w:type="dxa"/>
          </w:tcPr>
          <w:p w14:paraId="458EE92B"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£1,132</w:t>
            </w:r>
          </w:p>
        </w:tc>
        <w:tc>
          <w:tcPr>
            <w:tcW w:w="3004" w:type="dxa"/>
          </w:tcPr>
          <w:p w14:paraId="1693F0FD"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£2,211</w:t>
            </w:r>
          </w:p>
        </w:tc>
      </w:tr>
      <w:tr w:rsidR="00607A0D" w14:paraId="69F71D25" w14:textId="77777777" w:rsidTr="00B93B23">
        <w:tc>
          <w:tcPr>
            <w:tcW w:w="1696" w:type="dxa"/>
          </w:tcPr>
          <w:p w14:paraId="027A5CC3"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Yorkshire and The Humber</w:t>
            </w:r>
          </w:p>
        </w:tc>
        <w:tc>
          <w:tcPr>
            <w:tcW w:w="3261" w:type="dxa"/>
          </w:tcPr>
          <w:p w14:paraId="2B454F53" w14:textId="77777777" w:rsidR="00607A0D" w:rsidRPr="000E393B" w:rsidRDefault="00607A0D" w:rsidP="00B93B23">
            <w:pPr>
              <w:spacing w:after="200" w:line="360" w:lineRule="auto"/>
              <w:jc w:val="center"/>
              <w:rPr>
                <w:rFonts w:ascii="Calibri" w:eastAsia="Calibri" w:hAnsi="Calibri" w:cs="Times New Roman"/>
                <w:bCs/>
                <w:sz w:val="24"/>
                <w:szCs w:val="24"/>
              </w:rPr>
            </w:pPr>
            <w:r w:rsidRPr="000E393B">
              <w:rPr>
                <w:rFonts w:ascii="Calibri" w:eastAsia="Calibri" w:hAnsi="Calibri" w:cs="Times New Roman"/>
                <w:bCs/>
                <w:sz w:val="24"/>
                <w:szCs w:val="24"/>
              </w:rPr>
              <w:t>£866</w:t>
            </w:r>
          </w:p>
        </w:tc>
        <w:tc>
          <w:tcPr>
            <w:tcW w:w="925" w:type="dxa"/>
          </w:tcPr>
          <w:p w14:paraId="1D00FC9F"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£1,435</w:t>
            </w:r>
          </w:p>
        </w:tc>
        <w:tc>
          <w:tcPr>
            <w:tcW w:w="3004" w:type="dxa"/>
          </w:tcPr>
          <w:p w14:paraId="49E82598" w14:textId="77777777" w:rsidR="00607A0D" w:rsidRPr="000E393B" w:rsidRDefault="00607A0D" w:rsidP="00B93B23">
            <w:pPr>
              <w:spacing w:after="200" w:line="360" w:lineRule="auto"/>
              <w:rPr>
                <w:rFonts w:ascii="Calibri" w:eastAsia="Calibri" w:hAnsi="Calibri" w:cs="Times New Roman"/>
                <w:bCs/>
                <w:sz w:val="24"/>
                <w:szCs w:val="24"/>
              </w:rPr>
            </w:pPr>
            <w:r w:rsidRPr="000E393B">
              <w:rPr>
                <w:rFonts w:ascii="Calibri" w:eastAsia="Calibri" w:hAnsi="Calibri" w:cs="Times New Roman"/>
                <w:bCs/>
                <w:sz w:val="24"/>
                <w:szCs w:val="24"/>
              </w:rPr>
              <w:t>£2,301</w:t>
            </w:r>
          </w:p>
        </w:tc>
      </w:tr>
    </w:tbl>
    <w:p w14:paraId="482607FB" w14:textId="77777777" w:rsidR="00607A0D" w:rsidRDefault="00607A0D" w:rsidP="00607A0D"/>
    <w:p w14:paraId="760D0577" w14:textId="77777777" w:rsidR="00607A0D" w:rsidRPr="00CB439D" w:rsidRDefault="00607A0D" w:rsidP="00607A0D">
      <w:r w:rsidRPr="00CB439D">
        <w:t xml:space="preserve">Source: Infrastructure and Projects Authority </w:t>
      </w:r>
      <w:r>
        <w:t>(</w:t>
      </w:r>
      <w:r w:rsidRPr="00CB439D">
        <w:t>2018</w:t>
      </w:r>
      <w:r>
        <w:t>)</w:t>
      </w:r>
    </w:p>
    <w:p w14:paraId="6C97ABE6" w14:textId="77777777" w:rsidR="00607A0D" w:rsidRDefault="00607A0D" w:rsidP="00607A0D">
      <w:pPr>
        <w:spacing w:after="0" w:line="360" w:lineRule="auto"/>
        <w:jc w:val="both"/>
        <w:rPr>
          <w:rFonts w:ascii="Calibri" w:eastAsia="Calibri" w:hAnsi="Calibri" w:cs="Times New Roman"/>
          <w:sz w:val="24"/>
          <w:szCs w:val="24"/>
        </w:rPr>
      </w:pPr>
    </w:p>
    <w:p w14:paraId="11AA988F" w14:textId="77777777" w:rsidR="00607A0D" w:rsidRDefault="00607A0D" w:rsidP="00607A0D">
      <w:pPr>
        <w:spacing w:after="0" w:line="360" w:lineRule="auto"/>
        <w:jc w:val="both"/>
        <w:rPr>
          <w:rFonts w:ascii="Calibri" w:eastAsia="Calibri" w:hAnsi="Calibri" w:cs="Times New Roman"/>
          <w:sz w:val="24"/>
          <w:szCs w:val="24"/>
        </w:rPr>
      </w:pPr>
      <w:r w:rsidRPr="00E81A53">
        <w:rPr>
          <w:rFonts w:ascii="Calibri" w:eastAsia="Calibri" w:hAnsi="Calibri" w:cs="Times New Roman"/>
          <w:sz w:val="24"/>
          <w:szCs w:val="24"/>
        </w:rPr>
        <w:t xml:space="preserve">Although the above figures show </w:t>
      </w:r>
      <w:r>
        <w:rPr>
          <w:rFonts w:ascii="Calibri" w:eastAsia="Calibri" w:hAnsi="Calibri" w:cs="Times New Roman"/>
          <w:sz w:val="24"/>
          <w:szCs w:val="24"/>
        </w:rPr>
        <w:t>some un</w:t>
      </w:r>
      <w:r w:rsidRPr="00E81A53">
        <w:rPr>
          <w:rFonts w:ascii="Calibri" w:eastAsia="Calibri" w:hAnsi="Calibri" w:cs="Times New Roman"/>
          <w:sz w:val="24"/>
          <w:szCs w:val="24"/>
        </w:rPr>
        <w:t>even distribution of funding, independent</w:t>
      </w:r>
      <w:r>
        <w:rPr>
          <w:rFonts w:ascii="Calibri" w:eastAsia="Calibri" w:hAnsi="Calibri" w:cs="Times New Roman"/>
          <w:sz w:val="24"/>
          <w:szCs w:val="24"/>
        </w:rPr>
        <w:t xml:space="preserve"> </w:t>
      </w:r>
      <w:r w:rsidRPr="00E81A53">
        <w:rPr>
          <w:rFonts w:ascii="Calibri" w:eastAsia="Calibri" w:hAnsi="Calibri" w:cs="Times New Roman"/>
          <w:sz w:val="24"/>
          <w:szCs w:val="24"/>
        </w:rPr>
        <w:t>of government figures f</w:t>
      </w:r>
      <w:r>
        <w:rPr>
          <w:rFonts w:ascii="Calibri" w:eastAsia="Calibri" w:hAnsi="Calibri" w:cs="Times New Roman"/>
          <w:sz w:val="24"/>
          <w:szCs w:val="24"/>
        </w:rPr>
        <w:t>ound</w:t>
      </w:r>
      <w:r w:rsidRPr="00E81A53">
        <w:rPr>
          <w:rFonts w:ascii="Calibri" w:eastAsia="Calibri" w:hAnsi="Calibri" w:cs="Times New Roman"/>
          <w:sz w:val="24"/>
          <w:szCs w:val="24"/>
        </w:rPr>
        <w:t xml:space="preserve"> that London is set to receive 2.6 times </w:t>
      </w:r>
      <w:r>
        <w:rPr>
          <w:rFonts w:ascii="Calibri" w:eastAsia="Calibri" w:hAnsi="Calibri" w:cs="Times New Roman"/>
          <w:sz w:val="24"/>
          <w:szCs w:val="24"/>
        </w:rPr>
        <w:t>more than</w:t>
      </w:r>
      <w:r w:rsidRPr="00E81A53">
        <w:rPr>
          <w:rFonts w:ascii="Calibri" w:eastAsia="Calibri" w:hAnsi="Calibri" w:cs="Times New Roman"/>
          <w:sz w:val="24"/>
          <w:szCs w:val="24"/>
        </w:rPr>
        <w:t xml:space="preserve"> the North, with this figure rising if looking at specific regions such as Yorkshire and the North East (see </w:t>
      </w:r>
      <w:r>
        <w:rPr>
          <w:rFonts w:ascii="Calibri" w:eastAsia="Calibri" w:hAnsi="Calibri" w:cs="Times New Roman"/>
          <w:sz w:val="24"/>
          <w:szCs w:val="24"/>
        </w:rPr>
        <w:t>Table</w:t>
      </w:r>
      <w:r w:rsidRPr="00E81A53">
        <w:rPr>
          <w:rFonts w:ascii="Calibri" w:eastAsia="Calibri" w:hAnsi="Calibri" w:cs="Times New Roman"/>
          <w:sz w:val="24"/>
          <w:szCs w:val="24"/>
        </w:rPr>
        <w:t xml:space="preserve"> </w:t>
      </w:r>
      <w:r>
        <w:rPr>
          <w:rFonts w:ascii="Calibri" w:eastAsia="Calibri" w:hAnsi="Calibri" w:cs="Times New Roman"/>
          <w:sz w:val="24"/>
          <w:szCs w:val="24"/>
        </w:rPr>
        <w:t>2</w:t>
      </w:r>
      <w:r w:rsidRPr="00E81A53">
        <w:rPr>
          <w:rFonts w:ascii="Calibri" w:eastAsia="Calibri" w:hAnsi="Calibri" w:cs="Times New Roman"/>
          <w:sz w:val="24"/>
          <w:szCs w:val="24"/>
        </w:rPr>
        <w:t xml:space="preserve"> and</w:t>
      </w:r>
      <w:r>
        <w:rPr>
          <w:rFonts w:ascii="Calibri" w:eastAsia="Calibri" w:hAnsi="Calibri" w:cs="Times New Roman"/>
          <w:sz w:val="24"/>
          <w:szCs w:val="24"/>
        </w:rPr>
        <w:t xml:space="preserve"> 3</w:t>
      </w:r>
      <w:r w:rsidRPr="00E81A53">
        <w:rPr>
          <w:rFonts w:ascii="Calibri" w:eastAsia="Calibri" w:hAnsi="Calibri" w:cs="Times New Roman"/>
          <w:sz w:val="24"/>
          <w:szCs w:val="24"/>
        </w:rPr>
        <w:t>).</w:t>
      </w:r>
    </w:p>
    <w:p w14:paraId="58AB5F1E" w14:textId="77777777" w:rsidR="00607A0D" w:rsidRDefault="00607A0D" w:rsidP="00607A0D">
      <w:pPr>
        <w:spacing w:after="0" w:line="360" w:lineRule="auto"/>
        <w:jc w:val="both"/>
        <w:rPr>
          <w:rFonts w:ascii="Calibri" w:eastAsia="Calibri" w:hAnsi="Calibri" w:cs="Times New Roman"/>
          <w:sz w:val="24"/>
          <w:szCs w:val="24"/>
        </w:rPr>
      </w:pPr>
    </w:p>
    <w:p w14:paraId="416CF271" w14:textId="77777777" w:rsidR="00607A0D" w:rsidRDefault="00607A0D" w:rsidP="00607A0D">
      <w:pPr>
        <w:spacing w:after="200" w:line="360" w:lineRule="auto"/>
        <w:rPr>
          <w:rFonts w:ascii="Calibri" w:eastAsia="Calibri" w:hAnsi="Calibri" w:cs="Times New Roman"/>
          <w:sz w:val="24"/>
          <w:szCs w:val="24"/>
        </w:rPr>
      </w:pPr>
    </w:p>
    <w:p w14:paraId="0B9DAC26" w14:textId="77777777" w:rsidR="00607A0D" w:rsidRDefault="00607A0D" w:rsidP="00607A0D">
      <w:pPr>
        <w:spacing w:after="200" w:line="360" w:lineRule="auto"/>
        <w:rPr>
          <w:rFonts w:ascii="Calibri" w:eastAsia="Calibri" w:hAnsi="Calibri" w:cs="Times New Roman"/>
          <w:sz w:val="24"/>
          <w:szCs w:val="24"/>
        </w:rPr>
      </w:pPr>
    </w:p>
    <w:p w14:paraId="3AE1F224" w14:textId="77777777" w:rsidR="00607A0D" w:rsidRDefault="00607A0D" w:rsidP="00607A0D">
      <w:pPr>
        <w:spacing w:after="200" w:line="360" w:lineRule="auto"/>
        <w:rPr>
          <w:rFonts w:ascii="Calibri" w:eastAsia="Calibri" w:hAnsi="Calibri" w:cs="Times New Roman"/>
          <w:sz w:val="24"/>
          <w:szCs w:val="24"/>
        </w:rPr>
      </w:pPr>
    </w:p>
    <w:p w14:paraId="09131BBC" w14:textId="77777777" w:rsidR="00607A0D" w:rsidRDefault="00607A0D" w:rsidP="00607A0D">
      <w:pPr>
        <w:spacing w:after="200" w:line="360" w:lineRule="auto"/>
        <w:rPr>
          <w:rFonts w:ascii="Calibri" w:eastAsia="Calibri" w:hAnsi="Calibri" w:cs="Times New Roman"/>
          <w:sz w:val="24"/>
          <w:szCs w:val="24"/>
        </w:rPr>
      </w:pPr>
      <w:r w:rsidRPr="007772B1">
        <w:rPr>
          <w:rFonts w:ascii="Calibri" w:eastAsia="Calibri" w:hAnsi="Calibri" w:cs="Times New Roman"/>
          <w:sz w:val="24"/>
          <w:szCs w:val="24"/>
        </w:rPr>
        <w:lastRenderedPageBreak/>
        <w:t xml:space="preserve">Figure </w:t>
      </w:r>
      <w:r>
        <w:rPr>
          <w:rFonts w:ascii="Calibri" w:eastAsia="Calibri" w:hAnsi="Calibri" w:cs="Times New Roman"/>
          <w:sz w:val="24"/>
          <w:szCs w:val="24"/>
        </w:rPr>
        <w:t xml:space="preserve">4: </w:t>
      </w:r>
      <w:r w:rsidRPr="007772B1">
        <w:rPr>
          <w:rFonts w:ascii="Calibri" w:eastAsia="Calibri" w:hAnsi="Calibri" w:cs="Times New Roman"/>
          <w:sz w:val="24"/>
          <w:szCs w:val="24"/>
        </w:rPr>
        <w:t xml:space="preserve"> Overall spending on transport by region 2012/13 to 2016/17</w:t>
      </w:r>
    </w:p>
    <w:p w14:paraId="3D1BA7CE" w14:textId="77777777" w:rsidR="00607A0D" w:rsidRPr="007772B1" w:rsidRDefault="00607A0D" w:rsidP="00607A0D">
      <w:pPr>
        <w:keepNext/>
        <w:spacing w:line="360" w:lineRule="auto"/>
        <w:rPr>
          <w:rFonts w:ascii="Calibri" w:eastAsia="Calibri" w:hAnsi="Calibri" w:cs="Times New Roman"/>
          <w:sz w:val="24"/>
          <w:szCs w:val="24"/>
        </w:rPr>
      </w:pPr>
      <w:r w:rsidRPr="00E81A53">
        <w:rPr>
          <w:rFonts w:ascii="Calibri" w:eastAsia="Calibri" w:hAnsi="Calibri" w:cs="Times New Roman"/>
          <w:noProof/>
          <w:sz w:val="24"/>
          <w:szCs w:val="24"/>
          <w:lang w:eastAsia="en-GB"/>
        </w:rPr>
        <w:drawing>
          <wp:inline distT="0" distB="0" distL="0" distR="0" wp14:anchorId="02D067DC" wp14:editId="102D1726">
            <wp:extent cx="5731510" cy="253365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33650"/>
                    </a:xfrm>
                    <a:prstGeom prst="rect">
                      <a:avLst/>
                    </a:prstGeom>
                  </pic:spPr>
                </pic:pic>
              </a:graphicData>
            </a:graphic>
          </wp:inline>
        </w:drawing>
      </w:r>
      <w:r w:rsidRPr="007772B1">
        <w:t>Source: House of Commons, 2018</w:t>
      </w:r>
    </w:p>
    <w:p w14:paraId="69015FA0" w14:textId="77777777" w:rsidR="00607A0D" w:rsidRDefault="00607A0D" w:rsidP="00607A0D">
      <w:pPr>
        <w:spacing w:line="360" w:lineRule="auto"/>
        <w:rPr>
          <w:rFonts w:ascii="Calibri" w:eastAsia="Calibri" w:hAnsi="Calibri" w:cs="Times New Roman"/>
          <w:sz w:val="24"/>
          <w:szCs w:val="24"/>
        </w:rPr>
      </w:pPr>
      <w:r w:rsidRPr="00E81A53">
        <w:rPr>
          <w:rFonts w:ascii="Calibri" w:eastAsia="Calibri" w:hAnsi="Calibri" w:cs="Times New Roman"/>
          <w:sz w:val="24"/>
          <w:szCs w:val="24"/>
        </w:rPr>
        <w:t>The Institute for Public Research in the North (IPPR</w:t>
      </w:r>
      <w:r>
        <w:rPr>
          <w:rFonts w:ascii="Calibri" w:eastAsia="Calibri" w:hAnsi="Calibri" w:cs="Times New Roman"/>
          <w:sz w:val="24"/>
          <w:szCs w:val="24"/>
        </w:rPr>
        <w:t>)</w:t>
      </w:r>
      <w:r w:rsidRPr="00E81A53">
        <w:rPr>
          <w:rFonts w:ascii="Calibri" w:eastAsia="Calibri" w:hAnsi="Calibri" w:cs="Times New Roman"/>
          <w:sz w:val="24"/>
          <w:szCs w:val="24"/>
        </w:rPr>
        <w:t xml:space="preserve"> claim</w:t>
      </w:r>
      <w:r>
        <w:rPr>
          <w:rFonts w:ascii="Calibri" w:eastAsia="Calibri" w:hAnsi="Calibri" w:cs="Times New Roman"/>
          <w:sz w:val="24"/>
          <w:szCs w:val="24"/>
        </w:rPr>
        <w:t>ed</w:t>
      </w:r>
      <w:r w:rsidRPr="00E81A53">
        <w:rPr>
          <w:rFonts w:ascii="Calibri" w:eastAsia="Calibri" w:hAnsi="Calibri" w:cs="Times New Roman"/>
          <w:sz w:val="24"/>
          <w:szCs w:val="24"/>
        </w:rPr>
        <w:t xml:space="preserve"> that government figures exclude Transport for London spending plans after 2021</w:t>
      </w:r>
      <w:r>
        <w:rPr>
          <w:rFonts w:ascii="Calibri" w:eastAsia="Calibri" w:hAnsi="Calibri" w:cs="Times New Roman"/>
          <w:sz w:val="24"/>
          <w:szCs w:val="24"/>
        </w:rPr>
        <w:t>,</w:t>
      </w:r>
      <w:r w:rsidRPr="00E81A53">
        <w:rPr>
          <w:rFonts w:ascii="Calibri" w:eastAsia="Calibri" w:hAnsi="Calibri" w:cs="Times New Roman"/>
          <w:sz w:val="24"/>
          <w:szCs w:val="24"/>
        </w:rPr>
        <w:t xml:space="preserve"> due to a deal between the Transport Secretary and Transport for London which will allow London to maintain business rates to spend on transport, equating to nearly £12billion. This means</w:t>
      </w:r>
      <w:r>
        <w:rPr>
          <w:rFonts w:ascii="Calibri" w:eastAsia="Calibri" w:hAnsi="Calibri" w:cs="Times New Roman"/>
          <w:sz w:val="24"/>
          <w:szCs w:val="24"/>
        </w:rPr>
        <w:t>,</w:t>
      </w:r>
      <w:r w:rsidRPr="00E81A53">
        <w:rPr>
          <w:rFonts w:ascii="Calibri" w:eastAsia="Calibri" w:hAnsi="Calibri" w:cs="Times New Roman"/>
          <w:sz w:val="24"/>
          <w:szCs w:val="24"/>
        </w:rPr>
        <w:t xml:space="preserve"> London will not contribute to transport investment across the country, generating an additional £240 million per year (Raikes, 2018).</w:t>
      </w:r>
      <w:r>
        <w:rPr>
          <w:rFonts w:ascii="Calibri" w:eastAsia="Calibri" w:hAnsi="Calibri" w:cs="Times New Roman"/>
          <w:sz w:val="24"/>
          <w:szCs w:val="24"/>
        </w:rPr>
        <w:t xml:space="preserve"> </w:t>
      </w:r>
      <w:r w:rsidRPr="00E81A53">
        <w:rPr>
          <w:rFonts w:ascii="Calibri" w:eastAsia="Calibri" w:hAnsi="Calibri" w:cs="Times New Roman"/>
          <w:sz w:val="24"/>
          <w:szCs w:val="24"/>
        </w:rPr>
        <w:t xml:space="preserve">With regards to historic spending patterns, apart from spending on roads, London receives significantly more spending per head of resident population on all other forms of transport expenditure (see figure </w:t>
      </w:r>
      <w:r>
        <w:rPr>
          <w:rFonts w:ascii="Calibri" w:eastAsia="Calibri" w:hAnsi="Calibri" w:cs="Times New Roman"/>
          <w:sz w:val="24"/>
          <w:szCs w:val="24"/>
        </w:rPr>
        <w:t>4</w:t>
      </w:r>
      <w:r w:rsidRPr="00E81A53">
        <w:rPr>
          <w:rFonts w:ascii="Calibri" w:eastAsia="Calibri" w:hAnsi="Calibri" w:cs="Times New Roman"/>
          <w:sz w:val="24"/>
          <w:szCs w:val="24"/>
        </w:rPr>
        <w:t>). This reflects the relative concentration of public transport within the capital, and also the fact that many people who are not resident in London use the city’s transport system on a frequent basis.</w:t>
      </w:r>
      <w:r>
        <w:rPr>
          <w:rFonts w:ascii="Calibri" w:eastAsia="Calibri" w:hAnsi="Calibri" w:cs="Times New Roman"/>
          <w:sz w:val="24"/>
          <w:szCs w:val="24"/>
        </w:rPr>
        <w:t xml:space="preserve"> </w:t>
      </w:r>
      <w:r w:rsidRPr="00E81A53">
        <w:rPr>
          <w:rFonts w:ascii="Calibri" w:eastAsia="Calibri" w:hAnsi="Calibri" w:cs="Times New Roman"/>
          <w:sz w:val="24"/>
          <w:szCs w:val="24"/>
        </w:rPr>
        <w:t>There is an argument that with further devolution, northern and regional cities may also be able to agree similar deals, however currently government spending figures, as with the above findings from HS2, should be viewed cautiously.</w:t>
      </w:r>
    </w:p>
    <w:p w14:paraId="74BE7C80" w14:textId="77777777" w:rsidR="00607A0D" w:rsidRPr="00605E48" w:rsidRDefault="00607A0D" w:rsidP="00607A0D">
      <w:pPr>
        <w:rPr>
          <w:rFonts w:ascii="Calibri" w:eastAsia="Calibri" w:hAnsi="Calibri" w:cs="Times New Roman"/>
          <w:b/>
          <w:sz w:val="24"/>
          <w:szCs w:val="24"/>
        </w:rPr>
      </w:pPr>
      <w:r>
        <w:rPr>
          <w:rFonts w:ascii="Calibri" w:eastAsia="Calibri" w:hAnsi="Calibri" w:cs="Times New Roman"/>
          <w:b/>
          <w:sz w:val="24"/>
          <w:szCs w:val="24"/>
        </w:rPr>
        <w:t>3.</w:t>
      </w:r>
      <w:r>
        <w:rPr>
          <w:rFonts w:ascii="Calibri" w:eastAsia="Calibri" w:hAnsi="Calibri" w:cs="Times New Roman"/>
          <w:b/>
          <w:sz w:val="24"/>
          <w:szCs w:val="24"/>
        </w:rPr>
        <w:tab/>
      </w:r>
      <w:r w:rsidRPr="00605E48">
        <w:rPr>
          <w:rFonts w:ascii="Calibri" w:eastAsia="Calibri" w:hAnsi="Calibri" w:cs="Times New Roman"/>
          <w:b/>
          <w:sz w:val="24"/>
          <w:szCs w:val="24"/>
        </w:rPr>
        <w:t>RESEARCH METHOD</w:t>
      </w:r>
    </w:p>
    <w:p w14:paraId="4ABB329C" w14:textId="77777777" w:rsidR="00607A0D" w:rsidRPr="00C611C7" w:rsidRDefault="00607A0D" w:rsidP="00607A0D">
      <w:pPr>
        <w:spacing w:line="360" w:lineRule="auto"/>
        <w:jc w:val="both"/>
        <w:rPr>
          <w:rFonts w:ascii="Calibri" w:eastAsia="Calibri" w:hAnsi="Calibri" w:cs="Times-Roman"/>
          <w:sz w:val="24"/>
          <w:szCs w:val="24"/>
        </w:rPr>
      </w:pPr>
      <w:r w:rsidRPr="0047217F">
        <w:rPr>
          <w:rFonts w:ascii="Calibri" w:eastAsia="Calibri" w:hAnsi="Calibri" w:cs="Times New Roman"/>
          <w:sz w:val="24"/>
          <w:szCs w:val="24"/>
        </w:rPr>
        <w:t xml:space="preserve">Qualitative research </w:t>
      </w:r>
      <w:r>
        <w:rPr>
          <w:rFonts w:ascii="Calibri" w:eastAsia="Calibri" w:hAnsi="Calibri" w:cs="Times New Roman"/>
          <w:sz w:val="24"/>
          <w:szCs w:val="24"/>
        </w:rPr>
        <w:t>approach was adopted as</w:t>
      </w:r>
      <w:r w:rsidRPr="0047217F">
        <w:rPr>
          <w:rFonts w:ascii="Calibri" w:eastAsia="Calibri" w:hAnsi="Calibri" w:cs="Times New Roman"/>
          <w:sz w:val="24"/>
          <w:szCs w:val="24"/>
        </w:rPr>
        <w:t xml:space="preserve"> appropriate for small samples</w:t>
      </w:r>
      <w:r>
        <w:rPr>
          <w:rFonts w:ascii="Calibri" w:eastAsia="Calibri" w:hAnsi="Calibri" w:cs="Times New Roman"/>
          <w:sz w:val="24"/>
          <w:szCs w:val="24"/>
        </w:rPr>
        <w:t xml:space="preserve"> to </w:t>
      </w:r>
      <w:r w:rsidRPr="0047217F">
        <w:rPr>
          <w:rFonts w:ascii="Calibri" w:eastAsia="Calibri" w:hAnsi="Calibri" w:cs="Times New Roman"/>
          <w:sz w:val="24"/>
          <w:szCs w:val="24"/>
        </w:rPr>
        <w:t>allow for a</w:t>
      </w:r>
      <w:r>
        <w:rPr>
          <w:rFonts w:ascii="Calibri" w:eastAsia="Calibri" w:hAnsi="Calibri" w:cs="Times New Roman"/>
          <w:sz w:val="24"/>
          <w:szCs w:val="24"/>
        </w:rPr>
        <w:t xml:space="preserve">n in-depth exploration, discussion </w:t>
      </w:r>
      <w:r w:rsidRPr="0047217F">
        <w:rPr>
          <w:rFonts w:ascii="Calibri" w:eastAsia="Calibri" w:hAnsi="Calibri" w:cs="Times New Roman"/>
          <w:sz w:val="24"/>
          <w:szCs w:val="24"/>
        </w:rPr>
        <w:t xml:space="preserve">and analysis of the subject (Collis &amp; Hussey, 2003). </w:t>
      </w:r>
      <w:r w:rsidRPr="0047217F">
        <w:rPr>
          <w:rFonts w:ascii="Calibri" w:eastAsia="Calibri" w:hAnsi="Calibri" w:cs="Times-Roman"/>
          <w:sz w:val="24"/>
          <w:szCs w:val="24"/>
        </w:rPr>
        <w:t xml:space="preserve">A semi structured interview format was selected </w:t>
      </w:r>
      <w:r>
        <w:rPr>
          <w:rFonts w:ascii="Calibri" w:eastAsia="Calibri" w:hAnsi="Calibri" w:cs="Times-Roman"/>
          <w:sz w:val="24"/>
          <w:szCs w:val="24"/>
        </w:rPr>
        <w:t>for</w:t>
      </w:r>
      <w:r w:rsidRPr="0047217F">
        <w:rPr>
          <w:rFonts w:ascii="Calibri" w:eastAsia="Calibri" w:hAnsi="Calibri" w:cs="Times-Roman"/>
          <w:sz w:val="24"/>
          <w:szCs w:val="24"/>
        </w:rPr>
        <w:t xml:space="preserve"> increased flexibility while maintaining focus on the objective</w:t>
      </w:r>
      <w:r>
        <w:rPr>
          <w:rFonts w:ascii="Calibri" w:eastAsia="Calibri" w:hAnsi="Calibri" w:cs="Times-Roman"/>
          <w:sz w:val="24"/>
          <w:szCs w:val="24"/>
        </w:rPr>
        <w:t>s</w:t>
      </w:r>
      <w:r w:rsidRPr="0047217F">
        <w:rPr>
          <w:rFonts w:ascii="Calibri" w:eastAsia="Calibri" w:hAnsi="Calibri" w:cs="Times-Roman"/>
          <w:sz w:val="24"/>
          <w:szCs w:val="24"/>
        </w:rPr>
        <w:t xml:space="preserve"> of the</w:t>
      </w:r>
      <w:r>
        <w:rPr>
          <w:rFonts w:ascii="Calibri" w:eastAsia="Calibri" w:hAnsi="Calibri" w:cs="Times-Roman"/>
          <w:sz w:val="24"/>
          <w:szCs w:val="24"/>
        </w:rPr>
        <w:t xml:space="preserve"> research</w:t>
      </w:r>
      <w:r w:rsidRPr="0047217F">
        <w:rPr>
          <w:rFonts w:ascii="Calibri" w:eastAsia="Calibri" w:hAnsi="Calibri" w:cs="Times-Roman"/>
          <w:sz w:val="24"/>
          <w:szCs w:val="24"/>
        </w:rPr>
        <w:t xml:space="preserve"> (Wilson, 2006).</w:t>
      </w:r>
      <w:r>
        <w:rPr>
          <w:rFonts w:ascii="Calibri" w:eastAsia="Calibri" w:hAnsi="Calibri" w:cs="Times-Roman"/>
          <w:sz w:val="24"/>
          <w:szCs w:val="24"/>
        </w:rPr>
        <w:t xml:space="preserve"> </w:t>
      </w:r>
      <w:r w:rsidRPr="0047217F">
        <w:rPr>
          <w:rFonts w:ascii="Calibri" w:eastAsia="Calibri" w:hAnsi="Calibri" w:cs="Times-Roman"/>
          <w:sz w:val="24"/>
          <w:szCs w:val="24"/>
        </w:rPr>
        <w:t xml:space="preserve">The sample </w:t>
      </w:r>
      <w:r>
        <w:rPr>
          <w:rFonts w:ascii="Calibri" w:eastAsia="Calibri" w:hAnsi="Calibri" w:cs="Times-Roman"/>
          <w:sz w:val="24"/>
          <w:szCs w:val="24"/>
        </w:rPr>
        <w:t xml:space="preserve">detailed below provided the profile </w:t>
      </w:r>
      <w:r>
        <w:rPr>
          <w:rFonts w:ascii="Calibri" w:eastAsia="Calibri" w:hAnsi="Calibri" w:cs="Times-Roman"/>
          <w:sz w:val="24"/>
          <w:szCs w:val="24"/>
        </w:rPr>
        <w:lastRenderedPageBreak/>
        <w:t xml:space="preserve">of the participants who are </w:t>
      </w:r>
      <w:r w:rsidRPr="0047217F">
        <w:rPr>
          <w:rFonts w:ascii="Calibri" w:eastAsia="Calibri" w:hAnsi="Calibri" w:cs="Times-Roman"/>
          <w:sz w:val="24"/>
          <w:szCs w:val="24"/>
        </w:rPr>
        <w:t xml:space="preserve">professionals with </w:t>
      </w:r>
      <w:r>
        <w:rPr>
          <w:rFonts w:ascii="Calibri" w:eastAsia="Calibri" w:hAnsi="Calibri" w:cs="Times-Roman"/>
          <w:sz w:val="24"/>
          <w:szCs w:val="24"/>
        </w:rPr>
        <w:t xml:space="preserve">extensive experience and </w:t>
      </w:r>
      <w:r w:rsidRPr="0047217F">
        <w:rPr>
          <w:rFonts w:ascii="Calibri" w:eastAsia="Calibri" w:hAnsi="Calibri" w:cs="Times-Roman"/>
          <w:sz w:val="24"/>
          <w:szCs w:val="24"/>
        </w:rPr>
        <w:t xml:space="preserve">in-depth knowledge of </w:t>
      </w:r>
      <w:r>
        <w:rPr>
          <w:rFonts w:ascii="Calibri" w:eastAsia="Calibri" w:hAnsi="Calibri" w:cs="Times-Roman"/>
          <w:sz w:val="24"/>
          <w:szCs w:val="24"/>
        </w:rPr>
        <w:t>infrastructure development</w:t>
      </w:r>
      <w:r w:rsidRPr="0047217F">
        <w:rPr>
          <w:rFonts w:ascii="Calibri" w:eastAsia="Calibri" w:hAnsi="Calibri" w:cs="Times-Roman"/>
          <w:sz w:val="24"/>
          <w:szCs w:val="24"/>
        </w:rPr>
        <w:t>.</w:t>
      </w:r>
      <w:r>
        <w:rPr>
          <w:rFonts w:ascii="Calibri" w:eastAsia="Calibri" w:hAnsi="Calibri" w:cs="Times-Roman"/>
          <w:sz w:val="24"/>
          <w:szCs w:val="24"/>
        </w:rPr>
        <w:t xml:space="preserve"> The key themes/questions explored are shown in </w:t>
      </w:r>
      <w:r w:rsidRPr="00FC71F2">
        <w:rPr>
          <w:rFonts w:ascii="Calibri" w:eastAsia="Calibri" w:hAnsi="Calibri" w:cs="Times-Roman"/>
          <w:sz w:val="24"/>
          <w:szCs w:val="24"/>
        </w:rPr>
        <w:t>Appendix 1.</w:t>
      </w:r>
    </w:p>
    <w:tbl>
      <w:tblPr>
        <w:tblStyle w:val="TableGrid"/>
        <w:tblW w:w="0" w:type="auto"/>
        <w:tblLook w:val="04A0" w:firstRow="1" w:lastRow="0" w:firstColumn="1" w:lastColumn="0" w:noHBand="0" w:noVBand="1"/>
      </w:tblPr>
      <w:tblGrid>
        <w:gridCol w:w="8926"/>
      </w:tblGrid>
      <w:tr w:rsidR="00607A0D" w14:paraId="07C6BBE2" w14:textId="77777777" w:rsidTr="00B93B23">
        <w:tc>
          <w:tcPr>
            <w:tcW w:w="8926" w:type="dxa"/>
            <w:tcBorders>
              <w:top w:val="thinThickSmallGap" w:sz="24" w:space="0" w:color="4472C4" w:themeColor="accent1"/>
              <w:left w:val="thinThickSmallGap" w:sz="24" w:space="0" w:color="4472C4" w:themeColor="accent1"/>
              <w:bottom w:val="single" w:sz="6" w:space="0" w:color="4472C4" w:themeColor="accent1"/>
              <w:right w:val="thickThinSmallGap" w:sz="24" w:space="0" w:color="4472C4" w:themeColor="accent1"/>
            </w:tcBorders>
          </w:tcPr>
          <w:p w14:paraId="0A916B1C" w14:textId="77777777" w:rsidR="00607A0D" w:rsidRDefault="00607A0D" w:rsidP="00B93B23">
            <w:pPr>
              <w:autoSpaceDE w:val="0"/>
              <w:autoSpaceDN w:val="0"/>
              <w:adjustRightInd w:val="0"/>
              <w:spacing w:line="360" w:lineRule="auto"/>
              <w:rPr>
                <w:rFonts w:ascii="Calibri" w:eastAsia="Calibri" w:hAnsi="Calibri" w:cs="Times-Roman"/>
                <w:b/>
                <w:bCs/>
                <w:sz w:val="24"/>
                <w:szCs w:val="24"/>
              </w:rPr>
            </w:pPr>
            <w:r>
              <w:rPr>
                <w:rFonts w:ascii="Calibri" w:eastAsia="Calibri" w:hAnsi="Calibri" w:cs="Times-Roman"/>
                <w:b/>
                <w:bCs/>
                <w:sz w:val="24"/>
                <w:szCs w:val="24"/>
              </w:rPr>
              <w:t>Profile of Participants in the Sem-structured Interviews</w:t>
            </w:r>
          </w:p>
        </w:tc>
      </w:tr>
      <w:tr w:rsidR="00607A0D" w14:paraId="3FBF1C01" w14:textId="77777777" w:rsidTr="00B93B23">
        <w:tc>
          <w:tcPr>
            <w:tcW w:w="8926" w:type="dxa"/>
            <w:tcBorders>
              <w:top w:val="single" w:sz="6" w:space="0" w:color="4472C4" w:themeColor="accent1"/>
              <w:left w:val="thinThickSmallGap" w:sz="24" w:space="0" w:color="4472C4" w:themeColor="accent1"/>
              <w:bottom w:val="single" w:sz="6" w:space="0" w:color="4472C4" w:themeColor="accent1"/>
              <w:right w:val="thickThinSmallGap" w:sz="24" w:space="0" w:color="4472C4" w:themeColor="accent1"/>
            </w:tcBorders>
          </w:tcPr>
          <w:p w14:paraId="6E22951B" w14:textId="77777777" w:rsidR="00607A0D" w:rsidRPr="00F9497E" w:rsidRDefault="00607A0D" w:rsidP="00B93B23">
            <w:pPr>
              <w:autoSpaceDE w:val="0"/>
              <w:autoSpaceDN w:val="0"/>
              <w:adjustRightInd w:val="0"/>
              <w:rPr>
                <w:rFonts w:ascii="Calibri" w:eastAsia="Calibri" w:hAnsi="Calibri" w:cs="Times-Roman"/>
                <w:sz w:val="24"/>
                <w:szCs w:val="24"/>
              </w:rPr>
            </w:pPr>
            <w:r w:rsidRPr="00DB2552">
              <w:rPr>
                <w:rFonts w:ascii="Calibri" w:eastAsia="Calibri" w:hAnsi="Calibri" w:cs="Times-Roman"/>
                <w:b/>
                <w:bCs/>
                <w:sz w:val="24"/>
                <w:szCs w:val="24"/>
              </w:rPr>
              <w:t>Respondent A</w:t>
            </w:r>
            <w:r>
              <w:rPr>
                <w:rFonts w:ascii="Calibri" w:eastAsia="Calibri" w:hAnsi="Calibri" w:cs="Times-Roman"/>
                <w:sz w:val="24"/>
                <w:szCs w:val="24"/>
              </w:rPr>
              <w:t xml:space="preserve">: </w:t>
            </w:r>
            <w:r w:rsidRPr="0047217F">
              <w:rPr>
                <w:rFonts w:ascii="Calibri" w:eastAsia="Calibri" w:hAnsi="Calibri" w:cs="Times-Roman"/>
                <w:sz w:val="24"/>
                <w:szCs w:val="24"/>
              </w:rPr>
              <w:t>A service provider who interfaces with government to secure funding for infrastructure project</w:t>
            </w:r>
            <w:r>
              <w:rPr>
                <w:rFonts w:ascii="Calibri" w:eastAsia="Calibri" w:hAnsi="Calibri" w:cs="Times-Roman"/>
                <w:sz w:val="24"/>
                <w:szCs w:val="24"/>
              </w:rPr>
              <w:t>.</w:t>
            </w:r>
            <w:r w:rsidRPr="0047217F">
              <w:rPr>
                <w:rFonts w:ascii="Calibri" w:eastAsia="Calibri" w:hAnsi="Calibri" w:cs="Times-Roman"/>
                <w:sz w:val="24"/>
                <w:szCs w:val="24"/>
              </w:rPr>
              <w:t xml:space="preserve"> </w:t>
            </w:r>
            <w:r>
              <w:rPr>
                <w:rFonts w:ascii="Calibri" w:eastAsia="Calibri" w:hAnsi="Calibri" w:cs="Times New Roman"/>
                <w:sz w:val="24"/>
                <w:szCs w:val="24"/>
              </w:rPr>
              <w:t>He</w:t>
            </w:r>
            <w:r w:rsidRPr="00A16DB5">
              <w:rPr>
                <w:rFonts w:ascii="Calibri" w:eastAsia="Calibri" w:hAnsi="Calibri" w:cs="Times New Roman"/>
                <w:sz w:val="24"/>
                <w:szCs w:val="24"/>
              </w:rPr>
              <w:t xml:space="preserve"> </w:t>
            </w:r>
            <w:r>
              <w:rPr>
                <w:rFonts w:ascii="Calibri" w:eastAsia="Calibri" w:hAnsi="Calibri" w:cs="Times New Roman"/>
                <w:sz w:val="24"/>
                <w:szCs w:val="24"/>
              </w:rPr>
              <w:t>focused on</w:t>
            </w:r>
            <w:r w:rsidRPr="00A16DB5">
              <w:rPr>
                <w:rFonts w:ascii="Calibri" w:eastAsia="Calibri" w:hAnsi="Calibri" w:cs="Times New Roman"/>
                <w:sz w:val="24"/>
                <w:szCs w:val="24"/>
              </w:rPr>
              <w:t xml:space="preserve"> international comparisons with </w:t>
            </w:r>
            <w:r>
              <w:rPr>
                <w:rFonts w:ascii="Calibri" w:eastAsia="Calibri" w:hAnsi="Calibri" w:cs="Times New Roman"/>
                <w:sz w:val="24"/>
                <w:szCs w:val="24"/>
              </w:rPr>
              <w:t>other</w:t>
            </w:r>
            <w:r w:rsidRPr="00A16DB5">
              <w:rPr>
                <w:rFonts w:ascii="Calibri" w:eastAsia="Calibri" w:hAnsi="Calibri" w:cs="Times New Roman"/>
                <w:sz w:val="24"/>
                <w:szCs w:val="24"/>
              </w:rPr>
              <w:t xml:space="preserve"> market, </w:t>
            </w:r>
            <w:r>
              <w:rPr>
                <w:rFonts w:ascii="Calibri" w:eastAsia="Calibri" w:hAnsi="Calibri" w:cs="Times New Roman"/>
                <w:sz w:val="24"/>
                <w:szCs w:val="24"/>
              </w:rPr>
              <w:t xml:space="preserve">comparing </w:t>
            </w:r>
            <w:r w:rsidRPr="00A16DB5">
              <w:rPr>
                <w:rFonts w:ascii="Calibri" w:eastAsia="Calibri" w:hAnsi="Calibri" w:cs="Times New Roman"/>
                <w:sz w:val="24"/>
                <w:szCs w:val="24"/>
              </w:rPr>
              <w:t>funding levels to previous years, challenges, and the change from regulatory input to output driven funding models.</w:t>
            </w:r>
          </w:p>
        </w:tc>
      </w:tr>
      <w:tr w:rsidR="00607A0D" w14:paraId="62F7360C" w14:textId="77777777" w:rsidTr="00B93B23">
        <w:tc>
          <w:tcPr>
            <w:tcW w:w="8926" w:type="dxa"/>
            <w:tcBorders>
              <w:top w:val="single" w:sz="6" w:space="0" w:color="4472C4" w:themeColor="accent1"/>
              <w:left w:val="thinThickSmallGap" w:sz="24" w:space="0" w:color="4472C4" w:themeColor="accent1"/>
              <w:bottom w:val="single" w:sz="6" w:space="0" w:color="4472C4" w:themeColor="accent1"/>
              <w:right w:val="thickThinSmallGap" w:sz="24" w:space="0" w:color="4472C4" w:themeColor="accent1"/>
            </w:tcBorders>
          </w:tcPr>
          <w:p w14:paraId="21A21B1F" w14:textId="77777777" w:rsidR="00607A0D" w:rsidRPr="006C0133" w:rsidRDefault="00607A0D" w:rsidP="00B93B23">
            <w:pPr>
              <w:autoSpaceDE w:val="0"/>
              <w:autoSpaceDN w:val="0"/>
              <w:adjustRightInd w:val="0"/>
              <w:rPr>
                <w:rFonts w:ascii="Calibri" w:eastAsia="Calibri" w:hAnsi="Calibri" w:cs="Times-Roman"/>
                <w:sz w:val="24"/>
                <w:szCs w:val="24"/>
              </w:rPr>
            </w:pPr>
            <w:r w:rsidRPr="00DB2552">
              <w:rPr>
                <w:rFonts w:ascii="Calibri" w:eastAsia="Calibri" w:hAnsi="Calibri" w:cs="Times-Roman"/>
                <w:b/>
                <w:bCs/>
                <w:sz w:val="24"/>
                <w:szCs w:val="24"/>
              </w:rPr>
              <w:t>Respondent B</w:t>
            </w:r>
            <w:r>
              <w:rPr>
                <w:rFonts w:ascii="Calibri" w:eastAsia="Calibri" w:hAnsi="Calibri" w:cs="Times-Roman"/>
                <w:sz w:val="24"/>
                <w:szCs w:val="24"/>
              </w:rPr>
              <w:t>: A</w:t>
            </w:r>
            <w:r w:rsidRPr="0047217F">
              <w:rPr>
                <w:rFonts w:ascii="Calibri" w:eastAsia="Calibri" w:hAnsi="Calibri" w:cs="Times-Roman"/>
                <w:sz w:val="24"/>
                <w:szCs w:val="24"/>
              </w:rPr>
              <w:t xml:space="preserve"> tier one infrastructure contractor</w:t>
            </w:r>
            <w:r>
              <w:rPr>
                <w:rFonts w:ascii="Calibri" w:eastAsia="Calibri" w:hAnsi="Calibri" w:cs="Times-Roman"/>
                <w:sz w:val="24"/>
                <w:szCs w:val="24"/>
              </w:rPr>
              <w:t xml:space="preserve"> provided </w:t>
            </w:r>
            <w:r w:rsidRPr="00A16DB5">
              <w:rPr>
                <w:rFonts w:ascii="Calibri" w:eastAsia="Calibri" w:hAnsi="Calibri" w:cs="Times New Roman"/>
                <w:sz w:val="24"/>
                <w:szCs w:val="24"/>
              </w:rPr>
              <w:t>insight into the changing nature of infrastructure investment, where the industry is focusing geographically, and in which sector.</w:t>
            </w:r>
          </w:p>
        </w:tc>
      </w:tr>
      <w:tr w:rsidR="00607A0D" w14:paraId="1FC54A63" w14:textId="77777777" w:rsidTr="00B93B23">
        <w:tc>
          <w:tcPr>
            <w:tcW w:w="8926" w:type="dxa"/>
            <w:tcBorders>
              <w:top w:val="single" w:sz="6" w:space="0" w:color="4472C4" w:themeColor="accent1"/>
              <w:left w:val="thinThickSmallGap" w:sz="24" w:space="0" w:color="4472C4" w:themeColor="accent1"/>
              <w:bottom w:val="single" w:sz="6" w:space="0" w:color="4472C4" w:themeColor="accent1"/>
              <w:right w:val="thickThinSmallGap" w:sz="24" w:space="0" w:color="4472C4" w:themeColor="accent1"/>
            </w:tcBorders>
          </w:tcPr>
          <w:p w14:paraId="40E156A2" w14:textId="77777777" w:rsidR="00607A0D" w:rsidRPr="00F9497E" w:rsidRDefault="00607A0D" w:rsidP="00B93B23">
            <w:pPr>
              <w:autoSpaceDE w:val="0"/>
              <w:autoSpaceDN w:val="0"/>
              <w:adjustRightInd w:val="0"/>
              <w:rPr>
                <w:rFonts w:ascii="Calibri" w:eastAsia="Calibri" w:hAnsi="Calibri" w:cs="Times New Roman"/>
                <w:sz w:val="24"/>
                <w:szCs w:val="24"/>
              </w:rPr>
            </w:pPr>
            <w:r w:rsidRPr="00DB2552">
              <w:rPr>
                <w:rFonts w:ascii="Calibri" w:eastAsia="Calibri" w:hAnsi="Calibri" w:cs="Times-Roman"/>
                <w:b/>
                <w:bCs/>
                <w:sz w:val="24"/>
                <w:szCs w:val="24"/>
              </w:rPr>
              <w:t>Respondent C</w:t>
            </w:r>
            <w:r>
              <w:rPr>
                <w:rFonts w:ascii="Calibri" w:eastAsia="Calibri" w:hAnsi="Calibri" w:cs="Times-Roman"/>
                <w:sz w:val="24"/>
                <w:szCs w:val="24"/>
              </w:rPr>
              <w:t xml:space="preserve">: A </w:t>
            </w:r>
            <w:r w:rsidRPr="0047217F">
              <w:rPr>
                <w:rFonts w:ascii="Calibri" w:eastAsia="Calibri" w:hAnsi="Calibri" w:cs="Times-Roman"/>
                <w:sz w:val="24"/>
                <w:szCs w:val="24"/>
              </w:rPr>
              <w:t xml:space="preserve">researcher </w:t>
            </w:r>
            <w:r>
              <w:rPr>
                <w:rFonts w:ascii="Calibri" w:eastAsia="Calibri" w:hAnsi="Calibri" w:cs="Times-Roman"/>
                <w:sz w:val="24"/>
                <w:szCs w:val="24"/>
              </w:rPr>
              <w:t xml:space="preserve">with knowledge </w:t>
            </w:r>
            <w:r w:rsidRPr="0047217F">
              <w:rPr>
                <w:rFonts w:ascii="Calibri" w:eastAsia="Calibri" w:hAnsi="Calibri" w:cs="Times-Roman"/>
                <w:sz w:val="24"/>
                <w:szCs w:val="24"/>
              </w:rPr>
              <w:t>on regional allocation of funding focus</w:t>
            </w:r>
            <w:r>
              <w:rPr>
                <w:rFonts w:ascii="Calibri" w:eastAsia="Calibri" w:hAnsi="Calibri" w:cs="Times-Roman"/>
                <w:sz w:val="24"/>
                <w:szCs w:val="24"/>
              </w:rPr>
              <w:t>ing</w:t>
            </w:r>
            <w:r w:rsidRPr="0047217F">
              <w:rPr>
                <w:rFonts w:ascii="Calibri" w:eastAsia="Calibri" w:hAnsi="Calibri" w:cs="Times-Roman"/>
                <w:sz w:val="24"/>
                <w:szCs w:val="24"/>
              </w:rPr>
              <w:t xml:space="preserve"> on the North of England</w:t>
            </w:r>
            <w:r>
              <w:rPr>
                <w:rFonts w:ascii="Calibri" w:eastAsia="Calibri" w:hAnsi="Calibri" w:cs="Times-Roman"/>
                <w:sz w:val="24"/>
                <w:szCs w:val="24"/>
              </w:rPr>
              <w:t xml:space="preserve">. The Respondent </w:t>
            </w:r>
            <w:r w:rsidRPr="00A16DB5">
              <w:rPr>
                <w:rFonts w:ascii="Calibri" w:eastAsia="Calibri" w:hAnsi="Calibri" w:cs="Times New Roman"/>
                <w:sz w:val="24"/>
                <w:szCs w:val="24"/>
              </w:rPr>
              <w:t>provide</w:t>
            </w:r>
            <w:r>
              <w:rPr>
                <w:rFonts w:ascii="Calibri" w:eastAsia="Calibri" w:hAnsi="Calibri" w:cs="Times New Roman"/>
                <w:sz w:val="24"/>
                <w:szCs w:val="24"/>
              </w:rPr>
              <w:t>d</w:t>
            </w:r>
            <w:r w:rsidRPr="00A16DB5">
              <w:rPr>
                <w:rFonts w:ascii="Calibri" w:eastAsia="Calibri" w:hAnsi="Calibri" w:cs="Times New Roman"/>
                <w:sz w:val="24"/>
                <w:szCs w:val="24"/>
              </w:rPr>
              <w:t xml:space="preserve"> further insight into analysis of government figures with the IPPR being an influencer of government policy and analyser of government figures. </w:t>
            </w:r>
          </w:p>
        </w:tc>
      </w:tr>
      <w:tr w:rsidR="00607A0D" w14:paraId="5D397A7A" w14:textId="77777777" w:rsidTr="00B93B23">
        <w:tc>
          <w:tcPr>
            <w:tcW w:w="8926" w:type="dxa"/>
            <w:tcBorders>
              <w:top w:val="single" w:sz="6" w:space="0" w:color="4472C4" w:themeColor="accent1"/>
              <w:left w:val="thinThickSmallGap" w:sz="24" w:space="0" w:color="4472C4" w:themeColor="accent1"/>
              <w:bottom w:val="thickThinSmallGap" w:sz="24" w:space="0" w:color="4472C4" w:themeColor="accent1"/>
              <w:right w:val="thickThinSmallGap" w:sz="24" w:space="0" w:color="4472C4" w:themeColor="accent1"/>
            </w:tcBorders>
          </w:tcPr>
          <w:p w14:paraId="6EC38104" w14:textId="77777777" w:rsidR="00607A0D" w:rsidRPr="00F9497E" w:rsidRDefault="00607A0D" w:rsidP="00B93B23">
            <w:pPr>
              <w:autoSpaceDE w:val="0"/>
              <w:autoSpaceDN w:val="0"/>
              <w:adjustRightInd w:val="0"/>
              <w:rPr>
                <w:rFonts w:ascii="Calibri" w:eastAsia="Calibri" w:hAnsi="Calibri" w:cs="Times-Roman"/>
                <w:sz w:val="24"/>
                <w:szCs w:val="24"/>
              </w:rPr>
            </w:pPr>
            <w:r w:rsidRPr="00DB2552">
              <w:rPr>
                <w:rFonts w:ascii="Calibri" w:eastAsia="Calibri" w:hAnsi="Calibri" w:cs="Times-Roman"/>
                <w:b/>
                <w:bCs/>
                <w:sz w:val="24"/>
                <w:szCs w:val="24"/>
              </w:rPr>
              <w:t>Respondent D</w:t>
            </w:r>
            <w:r>
              <w:rPr>
                <w:rFonts w:ascii="Calibri" w:eastAsia="Calibri" w:hAnsi="Calibri" w:cs="Times-Roman"/>
                <w:sz w:val="24"/>
                <w:szCs w:val="24"/>
              </w:rPr>
              <w:t xml:space="preserve">: A </w:t>
            </w:r>
            <w:r w:rsidRPr="0047217F">
              <w:rPr>
                <w:rFonts w:ascii="Calibri" w:eastAsia="Calibri" w:hAnsi="Calibri" w:cs="Times-Roman"/>
                <w:sz w:val="24"/>
                <w:szCs w:val="24"/>
              </w:rPr>
              <w:t>member of an office of government</w:t>
            </w:r>
            <w:r>
              <w:rPr>
                <w:rFonts w:ascii="Calibri" w:eastAsia="Calibri" w:hAnsi="Calibri" w:cs="Times-Roman"/>
                <w:sz w:val="24"/>
                <w:szCs w:val="24"/>
              </w:rPr>
              <w:t xml:space="preserve"> </w:t>
            </w:r>
            <w:r w:rsidRPr="00A16DB5">
              <w:rPr>
                <w:rFonts w:ascii="Calibri" w:eastAsia="Calibri" w:hAnsi="Calibri" w:cs="Times New Roman"/>
                <w:sz w:val="24"/>
                <w:szCs w:val="24"/>
              </w:rPr>
              <w:t xml:space="preserve">involved in green energy working groups. </w:t>
            </w:r>
            <w:r>
              <w:rPr>
                <w:rFonts w:ascii="Calibri" w:eastAsia="Calibri" w:hAnsi="Calibri" w:cs="Times New Roman"/>
                <w:sz w:val="24"/>
                <w:szCs w:val="24"/>
              </w:rPr>
              <w:t>Respondent provided a perspective on</w:t>
            </w:r>
            <w:r w:rsidRPr="00A16DB5">
              <w:rPr>
                <w:rFonts w:ascii="Calibri" w:eastAsia="Calibri" w:hAnsi="Calibri" w:cs="Times New Roman"/>
                <w:sz w:val="24"/>
                <w:szCs w:val="24"/>
              </w:rPr>
              <w:t xml:space="preserve"> the government’s reaction to where investment should be targeted</w:t>
            </w:r>
            <w:r>
              <w:rPr>
                <w:rFonts w:ascii="Calibri" w:eastAsia="Calibri" w:hAnsi="Calibri" w:cs="Times New Roman"/>
                <w:sz w:val="24"/>
                <w:szCs w:val="24"/>
              </w:rPr>
              <w:t xml:space="preserve"> with particular reference to</w:t>
            </w:r>
            <w:r w:rsidRPr="00A16DB5">
              <w:rPr>
                <w:rFonts w:ascii="Calibri" w:eastAsia="Calibri" w:hAnsi="Calibri" w:cs="Times New Roman"/>
                <w:sz w:val="24"/>
                <w:szCs w:val="24"/>
              </w:rPr>
              <w:t xml:space="preserve"> Crossrail 2 initiative</w:t>
            </w:r>
            <w:r>
              <w:rPr>
                <w:rFonts w:ascii="Calibri" w:eastAsia="Calibri" w:hAnsi="Calibri" w:cs="Times New Roman"/>
                <w:sz w:val="24"/>
                <w:szCs w:val="24"/>
              </w:rPr>
              <w:t>.</w:t>
            </w:r>
          </w:p>
        </w:tc>
      </w:tr>
    </w:tbl>
    <w:p w14:paraId="011C7643" w14:textId="77777777" w:rsidR="00607A0D" w:rsidRDefault="00607A0D" w:rsidP="00607A0D">
      <w:pPr>
        <w:autoSpaceDE w:val="0"/>
        <w:autoSpaceDN w:val="0"/>
        <w:adjustRightInd w:val="0"/>
        <w:spacing w:after="0" w:line="360" w:lineRule="auto"/>
        <w:jc w:val="both"/>
        <w:rPr>
          <w:rFonts w:ascii="Calibri" w:eastAsia="Calibri" w:hAnsi="Calibri" w:cs="Times-Roman"/>
          <w:b/>
          <w:bCs/>
          <w:sz w:val="24"/>
          <w:szCs w:val="24"/>
        </w:rPr>
      </w:pPr>
    </w:p>
    <w:p w14:paraId="3BF196F2" w14:textId="77777777" w:rsidR="00607A0D" w:rsidRDefault="00607A0D" w:rsidP="00607A0D">
      <w:pPr>
        <w:spacing w:line="360" w:lineRule="auto"/>
        <w:jc w:val="both"/>
        <w:rPr>
          <w:rFonts w:ascii="Calibri" w:eastAsia="Calibri" w:hAnsi="Calibri" w:cs="Times-Roman"/>
          <w:sz w:val="24"/>
          <w:szCs w:val="24"/>
        </w:rPr>
      </w:pPr>
      <w:r w:rsidRPr="0047217F">
        <w:rPr>
          <w:rFonts w:ascii="Calibri" w:eastAsia="Calibri" w:hAnsi="Calibri" w:cs="Times-Roman"/>
          <w:sz w:val="24"/>
          <w:szCs w:val="24"/>
        </w:rPr>
        <w:t>Th</w:t>
      </w:r>
      <w:r>
        <w:rPr>
          <w:rFonts w:ascii="Calibri" w:eastAsia="Calibri" w:hAnsi="Calibri" w:cs="Times-Roman"/>
          <w:sz w:val="24"/>
          <w:szCs w:val="24"/>
        </w:rPr>
        <w:t>e</w:t>
      </w:r>
      <w:r w:rsidRPr="0047217F">
        <w:rPr>
          <w:rFonts w:ascii="Calibri" w:eastAsia="Calibri" w:hAnsi="Calibri" w:cs="Times-Roman"/>
          <w:sz w:val="24"/>
          <w:szCs w:val="24"/>
        </w:rPr>
        <w:t xml:space="preserve"> format also allows </w:t>
      </w:r>
      <w:r>
        <w:rPr>
          <w:rFonts w:ascii="Calibri" w:eastAsia="Calibri" w:hAnsi="Calibri" w:cs="Times-Roman"/>
          <w:sz w:val="24"/>
          <w:szCs w:val="24"/>
        </w:rPr>
        <w:t xml:space="preserve">for </w:t>
      </w:r>
      <w:r w:rsidRPr="0047217F">
        <w:rPr>
          <w:rFonts w:ascii="Calibri" w:eastAsia="Calibri" w:hAnsi="Calibri" w:cs="Times-Roman"/>
          <w:sz w:val="24"/>
          <w:szCs w:val="24"/>
        </w:rPr>
        <w:t xml:space="preserve">comparable </w:t>
      </w:r>
      <w:r>
        <w:rPr>
          <w:rFonts w:ascii="Calibri" w:eastAsia="Calibri" w:hAnsi="Calibri" w:cs="Times-Roman"/>
          <w:sz w:val="24"/>
          <w:szCs w:val="24"/>
        </w:rPr>
        <w:t xml:space="preserve">and context-specific </w:t>
      </w:r>
      <w:r w:rsidRPr="0047217F">
        <w:rPr>
          <w:rFonts w:ascii="Calibri" w:eastAsia="Calibri" w:hAnsi="Calibri" w:cs="Times-Roman"/>
          <w:sz w:val="24"/>
          <w:szCs w:val="24"/>
        </w:rPr>
        <w:t xml:space="preserve">data </w:t>
      </w:r>
      <w:r>
        <w:rPr>
          <w:rFonts w:ascii="Calibri" w:eastAsia="Calibri" w:hAnsi="Calibri" w:cs="Times-Roman"/>
          <w:sz w:val="24"/>
          <w:szCs w:val="24"/>
        </w:rPr>
        <w:t xml:space="preserve">to be collected from various </w:t>
      </w:r>
      <w:r w:rsidRPr="0047217F">
        <w:rPr>
          <w:rFonts w:ascii="Calibri" w:eastAsia="Calibri" w:hAnsi="Calibri" w:cs="Times-Roman"/>
          <w:sz w:val="24"/>
          <w:szCs w:val="24"/>
        </w:rPr>
        <w:t>respondents</w:t>
      </w:r>
      <w:r>
        <w:rPr>
          <w:rFonts w:ascii="Calibri" w:eastAsia="Calibri" w:hAnsi="Calibri" w:cs="Times-Roman"/>
          <w:sz w:val="24"/>
          <w:szCs w:val="24"/>
        </w:rPr>
        <w:t xml:space="preserve"> to build a richer picture</w:t>
      </w:r>
      <w:r w:rsidRPr="0047217F">
        <w:rPr>
          <w:rFonts w:ascii="Calibri" w:eastAsia="Calibri" w:hAnsi="Calibri" w:cs="Times-Roman"/>
          <w:sz w:val="24"/>
          <w:szCs w:val="24"/>
        </w:rPr>
        <w:t>.</w:t>
      </w:r>
      <w:r>
        <w:rPr>
          <w:rFonts w:ascii="Calibri" w:eastAsia="Calibri" w:hAnsi="Calibri" w:cs="Times-Roman"/>
          <w:sz w:val="24"/>
          <w:szCs w:val="24"/>
        </w:rPr>
        <w:t xml:space="preserve"> T</w:t>
      </w:r>
      <w:r w:rsidRPr="0047217F">
        <w:rPr>
          <w:rFonts w:ascii="Calibri" w:eastAsia="Calibri" w:hAnsi="Calibri" w:cs="Times-Roman"/>
          <w:sz w:val="24"/>
          <w:szCs w:val="24"/>
        </w:rPr>
        <w:t>he interviews were conducted on a one-to-one basis in a location selected by the respondent</w:t>
      </w:r>
      <w:r>
        <w:rPr>
          <w:rFonts w:ascii="Calibri" w:eastAsia="Calibri" w:hAnsi="Calibri" w:cs="Times-Roman"/>
          <w:sz w:val="24"/>
          <w:szCs w:val="24"/>
        </w:rPr>
        <w:t xml:space="preserve"> to</w:t>
      </w:r>
      <w:r w:rsidRPr="0047217F">
        <w:rPr>
          <w:rFonts w:ascii="Calibri" w:eastAsia="Calibri" w:hAnsi="Calibri" w:cs="Times-Roman"/>
          <w:sz w:val="24"/>
          <w:szCs w:val="24"/>
        </w:rPr>
        <w:t xml:space="preserve"> limit outside influence and </w:t>
      </w:r>
      <w:r>
        <w:rPr>
          <w:rFonts w:ascii="Calibri" w:eastAsia="Calibri" w:hAnsi="Calibri" w:cs="Times-Roman"/>
          <w:sz w:val="24"/>
          <w:szCs w:val="24"/>
        </w:rPr>
        <w:t xml:space="preserve">to </w:t>
      </w:r>
      <w:r w:rsidRPr="0047217F">
        <w:rPr>
          <w:rFonts w:ascii="Calibri" w:eastAsia="Calibri" w:hAnsi="Calibri" w:cs="Times-Roman"/>
          <w:sz w:val="24"/>
          <w:szCs w:val="24"/>
        </w:rPr>
        <w:t xml:space="preserve">offer a level of control to ensure unbiased </w:t>
      </w:r>
      <w:r>
        <w:rPr>
          <w:rFonts w:ascii="Calibri" w:eastAsia="Calibri" w:hAnsi="Calibri" w:cs="Times-Roman"/>
          <w:sz w:val="24"/>
          <w:szCs w:val="24"/>
        </w:rPr>
        <w:t>responses</w:t>
      </w:r>
      <w:r w:rsidRPr="0047217F">
        <w:rPr>
          <w:rFonts w:ascii="Calibri" w:eastAsia="Calibri" w:hAnsi="Calibri" w:cs="Times-Roman"/>
          <w:sz w:val="24"/>
          <w:szCs w:val="24"/>
        </w:rPr>
        <w:t xml:space="preserve">. The interviews </w:t>
      </w:r>
      <w:r>
        <w:rPr>
          <w:rFonts w:ascii="Calibri" w:eastAsia="Calibri" w:hAnsi="Calibri" w:cs="Times-Roman"/>
          <w:sz w:val="24"/>
          <w:szCs w:val="24"/>
        </w:rPr>
        <w:t>were</w:t>
      </w:r>
      <w:r w:rsidRPr="0047217F">
        <w:rPr>
          <w:rFonts w:ascii="Calibri" w:eastAsia="Calibri" w:hAnsi="Calibri" w:cs="Times-Roman"/>
          <w:sz w:val="24"/>
          <w:szCs w:val="24"/>
        </w:rPr>
        <w:t xml:space="preserve"> audio recorded to ensure accuracy of data included in the research.</w:t>
      </w:r>
      <w:r>
        <w:rPr>
          <w:rFonts w:ascii="Calibri" w:eastAsia="Calibri" w:hAnsi="Calibri" w:cs="Times-Roman"/>
          <w:sz w:val="24"/>
          <w:szCs w:val="24"/>
        </w:rPr>
        <w:t xml:space="preserve"> </w:t>
      </w:r>
    </w:p>
    <w:p w14:paraId="3E389B01" w14:textId="77777777" w:rsidR="00607A0D" w:rsidRDefault="00607A0D" w:rsidP="00607A0D">
      <w:pPr>
        <w:rPr>
          <w:rFonts w:ascii="Calibri" w:eastAsia="Calibri" w:hAnsi="Calibri" w:cs="Times New Roman"/>
          <w:b/>
          <w:bCs/>
          <w:sz w:val="24"/>
          <w:szCs w:val="24"/>
        </w:rPr>
      </w:pPr>
      <w:r>
        <w:rPr>
          <w:rFonts w:ascii="Calibri" w:eastAsia="Calibri" w:hAnsi="Calibri" w:cs="Times New Roman"/>
          <w:b/>
          <w:sz w:val="24"/>
          <w:szCs w:val="24"/>
        </w:rPr>
        <w:t>4.</w:t>
      </w:r>
      <w:r>
        <w:rPr>
          <w:rFonts w:ascii="Calibri" w:eastAsia="Calibri" w:hAnsi="Calibri" w:cs="Times New Roman"/>
          <w:b/>
          <w:sz w:val="24"/>
          <w:szCs w:val="24"/>
        </w:rPr>
        <w:tab/>
        <w:t>KEY FINDINGS,</w:t>
      </w:r>
      <w:r w:rsidRPr="0050275F">
        <w:rPr>
          <w:rFonts w:ascii="Calibri" w:eastAsia="Calibri" w:hAnsi="Calibri" w:cs="Times New Roman"/>
          <w:b/>
          <w:sz w:val="24"/>
          <w:szCs w:val="24"/>
        </w:rPr>
        <w:t xml:space="preserve"> </w:t>
      </w:r>
      <w:r w:rsidRPr="00B06AF4">
        <w:rPr>
          <w:rFonts w:ascii="Calibri" w:eastAsia="Calibri" w:hAnsi="Calibri" w:cs="Times New Roman"/>
          <w:b/>
          <w:bCs/>
          <w:sz w:val="24"/>
          <w:szCs w:val="24"/>
        </w:rPr>
        <w:t>ANALYSIS AND DISCUSSION</w:t>
      </w:r>
    </w:p>
    <w:p w14:paraId="1C9F598B" w14:textId="77777777" w:rsidR="00607A0D" w:rsidRDefault="00607A0D" w:rsidP="00607A0D">
      <w:pPr>
        <w:keepNext/>
        <w:keepLines/>
        <w:spacing w:before="40" w:after="0"/>
        <w:outlineLvl w:val="2"/>
        <w:rPr>
          <w:rFonts w:ascii="Calibri" w:eastAsia="Times New Roman" w:hAnsi="Calibri" w:cs="Times New Roman"/>
          <w:b/>
          <w:bCs/>
          <w:i/>
          <w:sz w:val="24"/>
          <w:szCs w:val="24"/>
        </w:rPr>
      </w:pPr>
    </w:p>
    <w:p w14:paraId="283AFDB8" w14:textId="77777777" w:rsidR="00607A0D" w:rsidRPr="00507768" w:rsidRDefault="00607A0D" w:rsidP="00607A0D">
      <w:pPr>
        <w:spacing w:line="360" w:lineRule="auto"/>
        <w:jc w:val="both"/>
        <w:rPr>
          <w:rFonts w:ascii="Calibri" w:eastAsia="Calibri" w:hAnsi="Calibri" w:cs="Times New Roman"/>
          <w:b/>
          <w:bCs/>
          <w:sz w:val="24"/>
          <w:szCs w:val="24"/>
        </w:rPr>
      </w:pPr>
      <w:bookmarkStart w:id="9" w:name="_Hlk71992163"/>
      <w:r w:rsidRPr="00507768">
        <w:rPr>
          <w:rFonts w:ascii="Calibri" w:eastAsia="Calibri" w:hAnsi="Calibri" w:cs="Times New Roman"/>
          <w:b/>
          <w:bCs/>
          <w:sz w:val="24"/>
          <w:szCs w:val="24"/>
        </w:rPr>
        <w:t xml:space="preserve">Respondent A </w:t>
      </w:r>
    </w:p>
    <w:p w14:paraId="7A24359C" w14:textId="77777777" w:rsidR="00607A0D"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Respondent </w:t>
      </w:r>
      <w:r w:rsidRPr="0041222C">
        <w:rPr>
          <w:rFonts w:ascii="Calibri" w:eastAsia="Calibri" w:hAnsi="Calibri" w:cs="Times New Roman"/>
          <w:b/>
          <w:bCs/>
          <w:sz w:val="24"/>
          <w:szCs w:val="24"/>
        </w:rPr>
        <w:t>A</w:t>
      </w:r>
      <w:r>
        <w:rPr>
          <w:rFonts w:ascii="Calibri" w:eastAsia="Calibri" w:hAnsi="Calibri" w:cs="Times New Roman"/>
          <w:sz w:val="24"/>
          <w:szCs w:val="24"/>
        </w:rPr>
        <w:t xml:space="preserve"> </w:t>
      </w:r>
      <w:bookmarkEnd w:id="9"/>
      <w:r>
        <w:rPr>
          <w:rFonts w:ascii="Calibri" w:eastAsia="Calibri" w:hAnsi="Calibri" w:cs="Times New Roman"/>
          <w:sz w:val="24"/>
          <w:szCs w:val="24"/>
        </w:rPr>
        <w:t>used t</w:t>
      </w:r>
      <w:r w:rsidRPr="0061598B">
        <w:rPr>
          <w:rFonts w:ascii="Calibri" w:eastAsia="Calibri" w:hAnsi="Calibri" w:cs="Times New Roman"/>
          <w:sz w:val="24"/>
          <w:szCs w:val="24"/>
        </w:rPr>
        <w:t>he National Grid</w:t>
      </w:r>
      <w:r>
        <w:rPr>
          <w:rFonts w:ascii="Calibri" w:eastAsia="Calibri" w:hAnsi="Calibri" w:cs="Times New Roman"/>
          <w:sz w:val="24"/>
          <w:szCs w:val="24"/>
        </w:rPr>
        <w:t xml:space="preserve"> as a case study to</w:t>
      </w:r>
      <w:r w:rsidRPr="0061598B">
        <w:rPr>
          <w:rFonts w:ascii="Calibri" w:eastAsia="Calibri" w:hAnsi="Calibri" w:cs="Times New Roman"/>
          <w:sz w:val="24"/>
          <w:szCs w:val="24"/>
        </w:rPr>
        <w:t xml:space="preserve"> argue that National Grid are being allocated less money to work with</w:t>
      </w:r>
      <w:r>
        <w:rPr>
          <w:rFonts w:ascii="Calibri" w:eastAsia="Calibri" w:hAnsi="Calibri" w:cs="Times New Roman"/>
          <w:sz w:val="24"/>
          <w:szCs w:val="24"/>
        </w:rPr>
        <w:t xml:space="preserve"> whilst reaffirming the Department for Business, Energy and Industrial Strategy claim in 2018 stating that </w:t>
      </w:r>
      <w:r w:rsidRPr="0061598B">
        <w:rPr>
          <w:rFonts w:ascii="Calibri" w:eastAsia="Calibri" w:hAnsi="Calibri" w:cs="Times New Roman"/>
          <w:i/>
          <w:sz w:val="24"/>
          <w:szCs w:val="24"/>
        </w:rPr>
        <w:t>“Global investment levels in energy have been falling consistently for the past three years</w:t>
      </w:r>
      <w:r>
        <w:rPr>
          <w:rFonts w:ascii="Calibri" w:eastAsia="Calibri" w:hAnsi="Calibri" w:cs="Times New Roman"/>
          <w:i/>
          <w:sz w:val="24"/>
          <w:szCs w:val="24"/>
        </w:rPr>
        <w:t xml:space="preserve"> and the</w:t>
      </w:r>
      <w:r w:rsidRPr="0061598B">
        <w:rPr>
          <w:rFonts w:ascii="Calibri" w:eastAsia="Calibri" w:hAnsi="Calibri" w:cs="Times New Roman"/>
          <w:i/>
          <w:sz w:val="24"/>
          <w:szCs w:val="24"/>
        </w:rPr>
        <w:t xml:space="preserve"> UK investment levels align to this</w:t>
      </w:r>
      <w:r>
        <w:rPr>
          <w:rFonts w:ascii="Calibri" w:eastAsia="Calibri" w:hAnsi="Calibri" w:cs="Times New Roman"/>
          <w:i/>
          <w:sz w:val="24"/>
          <w:szCs w:val="24"/>
        </w:rPr>
        <w:t>”</w:t>
      </w:r>
      <w:r w:rsidRPr="0061598B">
        <w:rPr>
          <w:rFonts w:ascii="Calibri" w:eastAsia="Calibri" w:hAnsi="Calibri" w:cs="Times New Roman"/>
          <w:i/>
          <w:sz w:val="24"/>
          <w:szCs w:val="24"/>
        </w:rPr>
        <w:t>. In 2017, the UK went against a global trend of declining energy investment with a slight increase in overall sector growth (Department for Business, Energy and Industrial Strategy, 2018).”</w:t>
      </w:r>
      <w:r>
        <w:rPr>
          <w:rFonts w:ascii="Calibri" w:eastAsia="Calibri" w:hAnsi="Calibri" w:cs="Times New Roman"/>
          <w:i/>
          <w:sz w:val="24"/>
          <w:szCs w:val="24"/>
        </w:rPr>
        <w:t xml:space="preserve"> </w:t>
      </w:r>
      <w:r>
        <w:rPr>
          <w:rFonts w:ascii="Calibri" w:eastAsia="Calibri" w:hAnsi="Calibri" w:cs="Times New Roman"/>
          <w:sz w:val="24"/>
          <w:szCs w:val="24"/>
        </w:rPr>
        <w:t>As a result of</w:t>
      </w:r>
      <w:r w:rsidRPr="0061598B">
        <w:rPr>
          <w:rFonts w:ascii="Calibri" w:eastAsia="Calibri" w:hAnsi="Calibri" w:cs="Times New Roman"/>
          <w:sz w:val="24"/>
          <w:szCs w:val="24"/>
        </w:rPr>
        <w:t xml:space="preserve"> </w:t>
      </w:r>
      <w:r>
        <w:rPr>
          <w:rFonts w:ascii="Calibri" w:eastAsia="Calibri" w:hAnsi="Calibri" w:cs="Times New Roman"/>
          <w:sz w:val="24"/>
          <w:szCs w:val="24"/>
        </w:rPr>
        <w:t xml:space="preserve">a </w:t>
      </w:r>
      <w:r w:rsidRPr="0061598B">
        <w:rPr>
          <w:rFonts w:ascii="Calibri" w:eastAsia="Calibri" w:hAnsi="Calibri" w:cs="Times New Roman"/>
          <w:sz w:val="24"/>
          <w:szCs w:val="24"/>
        </w:rPr>
        <w:t xml:space="preserve">change in funding model </w:t>
      </w:r>
      <w:r>
        <w:rPr>
          <w:rFonts w:ascii="Calibri" w:eastAsia="Calibri" w:hAnsi="Calibri" w:cs="Times New Roman"/>
          <w:sz w:val="24"/>
          <w:szCs w:val="24"/>
        </w:rPr>
        <w:t>encouraging the</w:t>
      </w:r>
      <w:r w:rsidRPr="0061598B">
        <w:rPr>
          <w:rFonts w:ascii="Calibri" w:eastAsia="Calibri" w:hAnsi="Calibri" w:cs="Times New Roman"/>
          <w:sz w:val="24"/>
          <w:szCs w:val="24"/>
        </w:rPr>
        <w:t xml:space="preserve"> National Grid to </w:t>
      </w:r>
      <w:r>
        <w:rPr>
          <w:rFonts w:ascii="Calibri" w:eastAsia="Calibri" w:hAnsi="Calibri" w:cs="Times New Roman"/>
          <w:sz w:val="24"/>
          <w:szCs w:val="24"/>
        </w:rPr>
        <w:t xml:space="preserve">be </w:t>
      </w:r>
      <w:r w:rsidRPr="0061598B">
        <w:rPr>
          <w:rFonts w:ascii="Calibri" w:eastAsia="Calibri" w:hAnsi="Calibri" w:cs="Times New Roman"/>
          <w:sz w:val="24"/>
          <w:szCs w:val="24"/>
        </w:rPr>
        <w:t xml:space="preserve">more careful </w:t>
      </w:r>
      <w:r>
        <w:rPr>
          <w:rFonts w:ascii="Calibri" w:eastAsia="Calibri" w:hAnsi="Calibri" w:cs="Times New Roman"/>
          <w:sz w:val="24"/>
          <w:szCs w:val="24"/>
        </w:rPr>
        <w:t xml:space="preserve">with the choice of </w:t>
      </w:r>
      <w:r w:rsidRPr="0061598B">
        <w:rPr>
          <w:rFonts w:ascii="Calibri" w:eastAsia="Calibri" w:hAnsi="Calibri" w:cs="Times New Roman"/>
          <w:sz w:val="24"/>
          <w:szCs w:val="24"/>
        </w:rPr>
        <w:t xml:space="preserve">projects, or prioritise maintenance over construction of new assets. This is more advantageous to the customer, as National Grid are asked to provide ‘more </w:t>
      </w:r>
      <w:r>
        <w:rPr>
          <w:rFonts w:ascii="Calibri" w:eastAsia="Calibri" w:hAnsi="Calibri" w:cs="Times New Roman"/>
          <w:sz w:val="24"/>
          <w:szCs w:val="24"/>
        </w:rPr>
        <w:t>with</w:t>
      </w:r>
      <w:r w:rsidRPr="0061598B">
        <w:rPr>
          <w:rFonts w:ascii="Calibri" w:eastAsia="Calibri" w:hAnsi="Calibri" w:cs="Times New Roman"/>
          <w:sz w:val="24"/>
          <w:szCs w:val="24"/>
        </w:rPr>
        <w:t xml:space="preserve"> less’ and </w:t>
      </w:r>
      <w:r w:rsidRPr="0061598B">
        <w:rPr>
          <w:rFonts w:ascii="Calibri" w:eastAsia="Calibri" w:hAnsi="Calibri" w:cs="Times New Roman"/>
          <w:sz w:val="24"/>
          <w:szCs w:val="24"/>
        </w:rPr>
        <w:lastRenderedPageBreak/>
        <w:t xml:space="preserve">therefore customers should expect a better service. </w:t>
      </w:r>
      <w:r>
        <w:rPr>
          <w:rFonts w:ascii="Calibri" w:eastAsia="Calibri" w:hAnsi="Calibri" w:cs="Times New Roman"/>
          <w:sz w:val="24"/>
          <w:szCs w:val="24"/>
        </w:rPr>
        <w:t>C</w:t>
      </w:r>
      <w:r w:rsidRPr="0061598B">
        <w:rPr>
          <w:rFonts w:ascii="Calibri" w:eastAsia="Calibri" w:hAnsi="Calibri" w:cs="Times New Roman"/>
          <w:sz w:val="24"/>
          <w:szCs w:val="24"/>
        </w:rPr>
        <w:t xml:space="preserve">ontrolled funding </w:t>
      </w:r>
      <w:r>
        <w:rPr>
          <w:rFonts w:ascii="Calibri" w:eastAsia="Calibri" w:hAnsi="Calibri" w:cs="Times New Roman"/>
          <w:sz w:val="24"/>
          <w:szCs w:val="24"/>
        </w:rPr>
        <w:t>helps the</w:t>
      </w:r>
      <w:r w:rsidRPr="0061598B">
        <w:rPr>
          <w:rFonts w:ascii="Calibri" w:eastAsia="Calibri" w:hAnsi="Calibri" w:cs="Times New Roman"/>
          <w:sz w:val="24"/>
          <w:szCs w:val="24"/>
        </w:rPr>
        <w:t xml:space="preserve"> National Grid to look further out in terms of timescales and be more proactive in their maintenance and project choice. Th</w:t>
      </w:r>
      <w:r>
        <w:rPr>
          <w:rFonts w:ascii="Calibri" w:eastAsia="Calibri" w:hAnsi="Calibri" w:cs="Times New Roman"/>
          <w:sz w:val="24"/>
          <w:szCs w:val="24"/>
        </w:rPr>
        <w:t>e</w:t>
      </w:r>
      <w:r w:rsidRPr="0061598B">
        <w:rPr>
          <w:rFonts w:ascii="Calibri" w:eastAsia="Calibri" w:hAnsi="Calibri" w:cs="Times New Roman"/>
          <w:sz w:val="24"/>
          <w:szCs w:val="24"/>
        </w:rPr>
        <w:t xml:space="preserve"> decline in funding can be explained by the government policy of austerity, although this goes against government claims that infrastructure is a priority. These views only relate to the UK and will not explain global decreases in funding</w:t>
      </w:r>
      <w:r>
        <w:rPr>
          <w:rFonts w:ascii="Calibri" w:eastAsia="Calibri" w:hAnsi="Calibri" w:cs="Times New Roman"/>
          <w:sz w:val="24"/>
          <w:szCs w:val="24"/>
        </w:rPr>
        <w:t xml:space="preserve">, where </w:t>
      </w:r>
      <w:r w:rsidRPr="0061598B">
        <w:rPr>
          <w:rFonts w:ascii="Calibri" w:eastAsia="Calibri" w:hAnsi="Calibri" w:cs="Times New Roman"/>
          <w:sz w:val="24"/>
          <w:szCs w:val="24"/>
        </w:rPr>
        <w:t>input funding model</w:t>
      </w:r>
      <w:r>
        <w:rPr>
          <w:rFonts w:ascii="Calibri" w:eastAsia="Calibri" w:hAnsi="Calibri" w:cs="Times New Roman"/>
          <w:sz w:val="24"/>
          <w:szCs w:val="24"/>
        </w:rPr>
        <w:t xml:space="preserve"> is still applicable like US</w:t>
      </w:r>
      <w:r w:rsidRPr="0061598B">
        <w:rPr>
          <w:rFonts w:ascii="Calibri" w:eastAsia="Calibri" w:hAnsi="Calibri" w:cs="Times New Roman"/>
          <w:sz w:val="24"/>
          <w:szCs w:val="24"/>
        </w:rPr>
        <w:t>.</w:t>
      </w:r>
    </w:p>
    <w:p w14:paraId="5A29A399" w14:textId="77777777" w:rsidR="00607A0D" w:rsidRPr="0061598B" w:rsidRDefault="00607A0D" w:rsidP="00607A0D">
      <w:pPr>
        <w:spacing w:line="360" w:lineRule="auto"/>
        <w:jc w:val="both"/>
        <w:rPr>
          <w:rFonts w:ascii="Calibri" w:eastAsia="Calibri" w:hAnsi="Calibri" w:cs="Times New Roman"/>
          <w:sz w:val="24"/>
          <w:szCs w:val="24"/>
        </w:rPr>
      </w:pPr>
      <w:r w:rsidRPr="0061598B">
        <w:rPr>
          <w:rFonts w:ascii="Calibri" w:eastAsia="Calibri" w:hAnsi="Calibri" w:cs="Times New Roman"/>
          <w:sz w:val="24"/>
          <w:szCs w:val="24"/>
        </w:rPr>
        <w:t xml:space="preserve">A further criticism of the current </w:t>
      </w:r>
      <w:r>
        <w:rPr>
          <w:rFonts w:ascii="Calibri" w:eastAsia="Calibri" w:hAnsi="Calibri" w:cs="Times New Roman"/>
          <w:sz w:val="24"/>
          <w:szCs w:val="24"/>
        </w:rPr>
        <w:t xml:space="preserve">infrastructure policy </w:t>
      </w:r>
      <w:r w:rsidRPr="0061598B">
        <w:rPr>
          <w:rFonts w:ascii="Calibri" w:eastAsia="Calibri" w:hAnsi="Calibri" w:cs="Times New Roman"/>
          <w:sz w:val="24"/>
          <w:szCs w:val="24"/>
        </w:rPr>
        <w:t>system</w:t>
      </w:r>
      <w:r>
        <w:rPr>
          <w:rFonts w:ascii="Calibri" w:eastAsia="Calibri" w:hAnsi="Calibri" w:cs="Times New Roman"/>
          <w:sz w:val="24"/>
          <w:szCs w:val="24"/>
        </w:rPr>
        <w:t xml:space="preserve"> by respondent A</w:t>
      </w:r>
      <w:r w:rsidRPr="0061598B">
        <w:rPr>
          <w:rFonts w:ascii="Calibri" w:eastAsia="Calibri" w:hAnsi="Calibri" w:cs="Times New Roman"/>
          <w:sz w:val="24"/>
          <w:szCs w:val="24"/>
        </w:rPr>
        <w:t xml:space="preserve"> is the level of bureaucracy and planning. </w:t>
      </w:r>
      <w:r>
        <w:rPr>
          <w:rFonts w:ascii="Calibri" w:eastAsia="Calibri" w:hAnsi="Calibri" w:cs="Times New Roman"/>
          <w:sz w:val="24"/>
          <w:szCs w:val="24"/>
        </w:rPr>
        <w:t>He noted that s</w:t>
      </w:r>
      <w:r w:rsidRPr="0061598B">
        <w:rPr>
          <w:rFonts w:ascii="Calibri" w:eastAsia="Calibri" w:hAnsi="Calibri" w:cs="Times New Roman"/>
          <w:sz w:val="24"/>
          <w:szCs w:val="24"/>
        </w:rPr>
        <w:t xml:space="preserve">ome of the considerations required for project selection are plans to offset any potential disruption, the visual impact of projects, and the involvement of local SMEs. </w:t>
      </w:r>
      <w:r>
        <w:rPr>
          <w:rFonts w:ascii="Calibri" w:eastAsia="Calibri" w:hAnsi="Calibri" w:cs="Times New Roman"/>
          <w:sz w:val="24"/>
          <w:szCs w:val="24"/>
        </w:rPr>
        <w:t>He further noted that ‘o</w:t>
      </w:r>
      <w:r w:rsidRPr="0061598B">
        <w:rPr>
          <w:rFonts w:ascii="Calibri" w:eastAsia="Calibri" w:hAnsi="Calibri" w:cs="Times New Roman"/>
          <w:sz w:val="24"/>
          <w:szCs w:val="24"/>
        </w:rPr>
        <w:t>ne potential reason for success of infrastructure in other countries, such as China, is the more flexible planning and construction process</w:t>
      </w:r>
      <w:r>
        <w:rPr>
          <w:rFonts w:ascii="Calibri" w:eastAsia="Calibri" w:hAnsi="Calibri" w:cs="Times New Roman"/>
          <w:sz w:val="24"/>
          <w:szCs w:val="24"/>
        </w:rPr>
        <w:t>’</w:t>
      </w:r>
      <w:r w:rsidRPr="0061598B">
        <w:rPr>
          <w:rFonts w:ascii="Calibri" w:eastAsia="Calibri" w:hAnsi="Calibri" w:cs="Times New Roman"/>
          <w:sz w:val="24"/>
          <w:szCs w:val="24"/>
        </w:rPr>
        <w:t>. Therefore, the end cost</w:t>
      </w:r>
      <w:r>
        <w:rPr>
          <w:rFonts w:ascii="Calibri" w:eastAsia="Calibri" w:hAnsi="Calibri" w:cs="Times New Roman"/>
          <w:sz w:val="24"/>
          <w:szCs w:val="24"/>
        </w:rPr>
        <w:t>s</w:t>
      </w:r>
      <w:r w:rsidRPr="0061598B">
        <w:rPr>
          <w:rFonts w:ascii="Calibri" w:eastAsia="Calibri" w:hAnsi="Calibri" w:cs="Times New Roman"/>
          <w:sz w:val="24"/>
          <w:szCs w:val="24"/>
        </w:rPr>
        <w:t xml:space="preserve"> of the projects are lower and the ability to recoup costs on the projects </w:t>
      </w:r>
      <w:r>
        <w:rPr>
          <w:rFonts w:ascii="Calibri" w:eastAsia="Calibri" w:hAnsi="Calibri" w:cs="Times New Roman"/>
          <w:sz w:val="24"/>
          <w:szCs w:val="24"/>
        </w:rPr>
        <w:t>are</w:t>
      </w:r>
      <w:r w:rsidRPr="0061598B">
        <w:rPr>
          <w:rFonts w:ascii="Calibri" w:eastAsia="Calibri" w:hAnsi="Calibri" w:cs="Times New Roman"/>
          <w:sz w:val="24"/>
          <w:szCs w:val="24"/>
        </w:rPr>
        <w:t xml:space="preserve"> also easier. National Grid form part of an initiative set up by the Infrastructure Client Group called “Project 13”. A tagline on the home page of Project 13 website is “Project 13 is an industry-led response to infrastructure delivery models that fail not just clients and their suppliers, but also the operators and users of our infrastructure systems and networks.” (Institution of Civil Engineers, 2018). This forms part of a growing trend</w:t>
      </w:r>
      <w:r>
        <w:rPr>
          <w:rFonts w:ascii="Calibri" w:eastAsia="Calibri" w:hAnsi="Calibri" w:cs="Times New Roman"/>
          <w:sz w:val="24"/>
          <w:szCs w:val="24"/>
        </w:rPr>
        <w:t xml:space="preserve"> as</w:t>
      </w:r>
      <w:r w:rsidRPr="0061598B">
        <w:rPr>
          <w:rFonts w:ascii="Calibri" w:eastAsia="Calibri" w:hAnsi="Calibri" w:cs="Times New Roman"/>
          <w:sz w:val="24"/>
          <w:szCs w:val="24"/>
        </w:rPr>
        <w:t xml:space="preserve"> the UK system does not maximise the potential of infrastructure. </w:t>
      </w:r>
      <w:r>
        <w:rPr>
          <w:rFonts w:ascii="Calibri" w:eastAsia="Calibri" w:hAnsi="Calibri" w:cs="Times New Roman"/>
          <w:sz w:val="24"/>
          <w:szCs w:val="24"/>
        </w:rPr>
        <w:t>He argued that it is important to cultivate a new and diverse</w:t>
      </w:r>
      <w:r w:rsidRPr="0061598B">
        <w:rPr>
          <w:rFonts w:ascii="Calibri" w:eastAsia="Calibri" w:hAnsi="Calibri" w:cs="Times New Roman"/>
          <w:sz w:val="24"/>
          <w:szCs w:val="24"/>
        </w:rPr>
        <w:t xml:space="preserve"> way to procure infrastructure projects to streamline the process and minimise the number of projects</w:t>
      </w:r>
      <w:r>
        <w:rPr>
          <w:rFonts w:ascii="Calibri" w:eastAsia="Calibri" w:hAnsi="Calibri" w:cs="Times New Roman"/>
          <w:sz w:val="24"/>
          <w:szCs w:val="24"/>
        </w:rPr>
        <w:t xml:space="preserve"> that are</w:t>
      </w:r>
      <w:r w:rsidRPr="0061598B">
        <w:rPr>
          <w:rFonts w:ascii="Calibri" w:eastAsia="Calibri" w:hAnsi="Calibri" w:cs="Times New Roman"/>
          <w:sz w:val="24"/>
          <w:szCs w:val="24"/>
        </w:rPr>
        <w:t xml:space="preserve"> </w:t>
      </w:r>
      <w:r>
        <w:rPr>
          <w:rFonts w:ascii="Calibri" w:eastAsia="Calibri" w:hAnsi="Calibri" w:cs="Times New Roman"/>
          <w:sz w:val="24"/>
          <w:szCs w:val="24"/>
        </w:rPr>
        <w:t>delayed and</w:t>
      </w:r>
      <w:r w:rsidRPr="0061598B">
        <w:rPr>
          <w:rFonts w:ascii="Calibri" w:eastAsia="Calibri" w:hAnsi="Calibri" w:cs="Times New Roman"/>
          <w:sz w:val="24"/>
          <w:szCs w:val="24"/>
        </w:rPr>
        <w:t xml:space="preserve"> over budget.</w:t>
      </w:r>
    </w:p>
    <w:p w14:paraId="0A75FD3A" w14:textId="77777777" w:rsidR="00607A0D" w:rsidRPr="00334007" w:rsidRDefault="00607A0D" w:rsidP="00607A0D">
      <w:pPr>
        <w:spacing w:line="360" w:lineRule="auto"/>
        <w:jc w:val="both"/>
        <w:rPr>
          <w:rFonts w:ascii="Calibri" w:eastAsia="Calibri" w:hAnsi="Calibri" w:cs="Times New Roman"/>
          <w:b/>
          <w:bCs/>
          <w:sz w:val="24"/>
          <w:szCs w:val="24"/>
        </w:rPr>
      </w:pPr>
      <w:r w:rsidRPr="00334007">
        <w:rPr>
          <w:rFonts w:ascii="Calibri" w:eastAsia="Calibri" w:hAnsi="Calibri" w:cs="Times New Roman"/>
          <w:b/>
          <w:bCs/>
          <w:sz w:val="24"/>
          <w:szCs w:val="24"/>
        </w:rPr>
        <w:t xml:space="preserve">Respondent B </w:t>
      </w:r>
    </w:p>
    <w:p w14:paraId="6B8048F9" w14:textId="77777777" w:rsidR="00607A0D" w:rsidRPr="0061598B"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Respondent </w:t>
      </w:r>
      <w:r w:rsidRPr="0041222C">
        <w:rPr>
          <w:rFonts w:ascii="Calibri" w:eastAsia="Calibri" w:hAnsi="Calibri" w:cs="Times New Roman"/>
          <w:b/>
          <w:bCs/>
          <w:sz w:val="24"/>
          <w:szCs w:val="24"/>
        </w:rPr>
        <w:t>B</w:t>
      </w:r>
      <w:r>
        <w:rPr>
          <w:rFonts w:ascii="Calibri" w:eastAsia="Calibri" w:hAnsi="Calibri" w:cs="Times New Roman"/>
          <w:sz w:val="24"/>
          <w:szCs w:val="24"/>
        </w:rPr>
        <w:t xml:space="preserve"> commented as follows with regard to the </w:t>
      </w:r>
      <w:r w:rsidRPr="0061598B">
        <w:rPr>
          <w:rFonts w:ascii="Calibri" w:eastAsia="Calibri" w:hAnsi="Calibri" w:cs="Times New Roman"/>
          <w:sz w:val="24"/>
          <w:szCs w:val="24"/>
        </w:rPr>
        <w:t>marginal increase in infrastructure spending over the past five to ten years</w:t>
      </w:r>
      <w:r>
        <w:rPr>
          <w:rFonts w:ascii="Calibri" w:eastAsia="Calibri" w:hAnsi="Calibri" w:cs="Times New Roman"/>
          <w:sz w:val="24"/>
          <w:szCs w:val="24"/>
        </w:rPr>
        <w:t>:</w:t>
      </w:r>
    </w:p>
    <w:p w14:paraId="337C6D6C" w14:textId="77777777" w:rsidR="00607A0D" w:rsidRPr="0061598B" w:rsidRDefault="00607A0D" w:rsidP="00607A0D">
      <w:pPr>
        <w:spacing w:line="240" w:lineRule="auto"/>
        <w:ind w:left="720"/>
        <w:jc w:val="both"/>
        <w:rPr>
          <w:rFonts w:ascii="Calibri" w:eastAsia="Calibri" w:hAnsi="Calibri" w:cs="Times New Roman"/>
          <w:i/>
          <w:sz w:val="24"/>
          <w:szCs w:val="24"/>
        </w:rPr>
      </w:pPr>
      <w:r w:rsidRPr="0061598B">
        <w:rPr>
          <w:rFonts w:ascii="Calibri" w:eastAsia="Calibri" w:hAnsi="Calibri" w:cs="Times New Roman"/>
          <w:i/>
          <w:sz w:val="24"/>
          <w:szCs w:val="24"/>
        </w:rPr>
        <w:t>“Statistically there has been an increased focus on infrastructure, psychologically there hasn’t”</w:t>
      </w:r>
    </w:p>
    <w:p w14:paraId="477E908A" w14:textId="77777777" w:rsidR="00607A0D" w:rsidRPr="0061598B"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There is generally a negative</w:t>
      </w:r>
      <w:r w:rsidRPr="0061598B">
        <w:rPr>
          <w:rFonts w:ascii="Calibri" w:eastAsia="Calibri" w:hAnsi="Calibri" w:cs="Times New Roman"/>
          <w:sz w:val="24"/>
          <w:szCs w:val="24"/>
        </w:rPr>
        <w:t xml:space="preserve"> sentiment in the industry towards tight government budget and time constraints resulting in expensive and delayed projects, </w:t>
      </w:r>
      <w:r>
        <w:rPr>
          <w:rFonts w:ascii="Calibri" w:eastAsia="Calibri" w:hAnsi="Calibri" w:cs="Times New Roman"/>
          <w:sz w:val="24"/>
          <w:szCs w:val="24"/>
        </w:rPr>
        <w:t>exacerbated by</w:t>
      </w:r>
      <w:r w:rsidRPr="0061598B">
        <w:rPr>
          <w:rFonts w:ascii="Calibri" w:eastAsia="Calibri" w:hAnsi="Calibri" w:cs="Times New Roman"/>
          <w:sz w:val="24"/>
          <w:szCs w:val="24"/>
        </w:rPr>
        <w:t xml:space="preserve"> delays in decision making</w:t>
      </w:r>
      <w:r>
        <w:rPr>
          <w:rFonts w:ascii="Calibri" w:eastAsia="Calibri" w:hAnsi="Calibri" w:cs="Times New Roman"/>
          <w:sz w:val="24"/>
          <w:szCs w:val="24"/>
        </w:rPr>
        <w:t xml:space="preserve"> with </w:t>
      </w:r>
      <w:r w:rsidRPr="0061598B">
        <w:rPr>
          <w:rFonts w:ascii="Calibri" w:eastAsia="Calibri" w:hAnsi="Calibri" w:cs="Times New Roman"/>
          <w:sz w:val="24"/>
          <w:szCs w:val="24"/>
        </w:rPr>
        <w:t>HS2</w:t>
      </w:r>
      <w:r>
        <w:rPr>
          <w:rFonts w:ascii="Calibri" w:eastAsia="Calibri" w:hAnsi="Calibri" w:cs="Times New Roman"/>
          <w:sz w:val="24"/>
          <w:szCs w:val="24"/>
        </w:rPr>
        <w:t xml:space="preserve"> cited as a </w:t>
      </w:r>
      <w:r w:rsidRPr="0061598B">
        <w:rPr>
          <w:rFonts w:ascii="Calibri" w:eastAsia="Calibri" w:hAnsi="Calibri" w:cs="Times New Roman"/>
          <w:sz w:val="24"/>
          <w:szCs w:val="24"/>
        </w:rPr>
        <w:t>prime example. For example, the level of process involved before capital costs on projects even commence result</w:t>
      </w:r>
      <w:r>
        <w:rPr>
          <w:rFonts w:ascii="Calibri" w:eastAsia="Calibri" w:hAnsi="Calibri" w:cs="Times New Roman"/>
          <w:sz w:val="24"/>
          <w:szCs w:val="24"/>
        </w:rPr>
        <w:t>ed</w:t>
      </w:r>
      <w:r w:rsidRPr="0061598B">
        <w:rPr>
          <w:rFonts w:ascii="Calibri" w:eastAsia="Calibri" w:hAnsi="Calibri" w:cs="Times New Roman"/>
          <w:sz w:val="24"/>
          <w:szCs w:val="24"/>
        </w:rPr>
        <w:t xml:space="preserve"> in high costs per mile on rail projects on completion – </w:t>
      </w:r>
      <w:r w:rsidRPr="0061598B">
        <w:rPr>
          <w:rFonts w:ascii="Calibri" w:eastAsia="Calibri" w:hAnsi="Calibri" w:cs="Times New Roman"/>
          <w:i/>
          <w:sz w:val="24"/>
          <w:szCs w:val="24"/>
        </w:rPr>
        <w:t>“the government needs to work with Contractors to solve this”</w:t>
      </w:r>
      <w:r>
        <w:rPr>
          <w:rFonts w:ascii="Calibri" w:eastAsia="Calibri" w:hAnsi="Calibri" w:cs="Times New Roman"/>
          <w:i/>
          <w:sz w:val="24"/>
          <w:szCs w:val="24"/>
        </w:rPr>
        <w:t xml:space="preserve"> and to achieve </w:t>
      </w:r>
      <w:r>
        <w:rPr>
          <w:rFonts w:ascii="Calibri" w:eastAsia="Calibri" w:hAnsi="Calibri" w:cs="Times New Roman"/>
          <w:i/>
          <w:sz w:val="24"/>
          <w:szCs w:val="24"/>
        </w:rPr>
        <w:lastRenderedPageBreak/>
        <w:t>an</w:t>
      </w:r>
      <w:r w:rsidRPr="0061598B">
        <w:rPr>
          <w:rFonts w:ascii="Calibri" w:eastAsia="Calibri" w:hAnsi="Calibri" w:cs="Times New Roman"/>
          <w:sz w:val="24"/>
          <w:szCs w:val="24"/>
        </w:rPr>
        <w:t xml:space="preserve"> increased value for money as a result of a more streamline process</w:t>
      </w:r>
      <w:r>
        <w:rPr>
          <w:rFonts w:ascii="Calibri" w:eastAsia="Calibri" w:hAnsi="Calibri" w:cs="Times New Roman"/>
          <w:i/>
          <w:sz w:val="24"/>
          <w:szCs w:val="24"/>
        </w:rPr>
        <w:t>.</w:t>
      </w:r>
      <w:r w:rsidRPr="0061598B">
        <w:rPr>
          <w:rFonts w:ascii="Calibri" w:eastAsia="Calibri" w:hAnsi="Calibri" w:cs="Times New Roman"/>
          <w:sz w:val="24"/>
          <w:szCs w:val="24"/>
        </w:rPr>
        <w:t xml:space="preserve">  Changes in government also mean that decisions can be changed or delayed resulting in even higher costs to Contractors for labour, plant or material suppliers already engaged.</w:t>
      </w:r>
    </w:p>
    <w:p w14:paraId="5D7BE2D6" w14:textId="77777777" w:rsidR="00607A0D" w:rsidRDefault="00607A0D" w:rsidP="00607A0D">
      <w:pPr>
        <w:spacing w:line="240" w:lineRule="auto"/>
        <w:ind w:left="720"/>
        <w:jc w:val="both"/>
        <w:rPr>
          <w:rFonts w:ascii="Calibri" w:eastAsia="Calibri" w:hAnsi="Calibri" w:cs="Times New Roman"/>
          <w:i/>
          <w:sz w:val="24"/>
          <w:szCs w:val="24"/>
        </w:rPr>
      </w:pPr>
      <w:r w:rsidRPr="0061598B">
        <w:rPr>
          <w:rFonts w:ascii="Calibri" w:eastAsia="Calibri" w:hAnsi="Calibri" w:cs="Times New Roman"/>
          <w:i/>
          <w:sz w:val="24"/>
          <w:szCs w:val="24"/>
        </w:rPr>
        <w:t>“There is a greater recognition of the role infrastructure investment plays in economic growth, but a lack of commitment in actioning plans”</w:t>
      </w:r>
    </w:p>
    <w:p w14:paraId="74BA0A60" w14:textId="77777777" w:rsidR="00607A0D" w:rsidRPr="00C43D4C" w:rsidRDefault="00607A0D" w:rsidP="00607A0D">
      <w:pPr>
        <w:spacing w:line="240" w:lineRule="auto"/>
        <w:ind w:left="720"/>
        <w:jc w:val="both"/>
        <w:rPr>
          <w:rFonts w:ascii="Calibri" w:eastAsia="Calibri" w:hAnsi="Calibri" w:cs="Times New Roman"/>
          <w:i/>
          <w:sz w:val="24"/>
          <w:szCs w:val="24"/>
        </w:rPr>
      </w:pPr>
    </w:p>
    <w:p w14:paraId="202CEE87" w14:textId="77777777" w:rsidR="00607A0D" w:rsidRPr="0061598B" w:rsidRDefault="00607A0D" w:rsidP="00607A0D">
      <w:pPr>
        <w:spacing w:line="360" w:lineRule="auto"/>
        <w:jc w:val="both"/>
        <w:rPr>
          <w:rFonts w:ascii="Calibri" w:eastAsia="Calibri" w:hAnsi="Calibri" w:cs="Times New Roman"/>
          <w:sz w:val="24"/>
          <w:szCs w:val="24"/>
        </w:rPr>
      </w:pPr>
      <w:r w:rsidRPr="0061598B">
        <w:rPr>
          <w:rFonts w:ascii="Calibri" w:eastAsia="Calibri" w:hAnsi="Calibri" w:cs="Times New Roman"/>
          <w:sz w:val="24"/>
          <w:szCs w:val="24"/>
        </w:rPr>
        <w:t xml:space="preserve">The advice given to UK government in terms of improvements </w:t>
      </w:r>
      <w:r>
        <w:rPr>
          <w:rFonts w:ascii="Calibri" w:eastAsia="Calibri" w:hAnsi="Calibri" w:cs="Times New Roman"/>
          <w:sz w:val="24"/>
          <w:szCs w:val="24"/>
        </w:rPr>
        <w:t>in</w:t>
      </w:r>
      <w:r w:rsidRPr="0061598B">
        <w:rPr>
          <w:rFonts w:ascii="Calibri" w:eastAsia="Calibri" w:hAnsi="Calibri" w:cs="Times New Roman"/>
          <w:sz w:val="24"/>
          <w:szCs w:val="24"/>
        </w:rPr>
        <w:t xml:space="preserve"> policy are </w:t>
      </w:r>
      <w:r>
        <w:rPr>
          <w:rFonts w:ascii="Calibri" w:eastAsia="Calibri" w:hAnsi="Calibri" w:cs="Times New Roman"/>
          <w:sz w:val="24"/>
          <w:szCs w:val="24"/>
        </w:rPr>
        <w:t>to demonstrate more</w:t>
      </w:r>
      <w:r w:rsidRPr="0061598B">
        <w:rPr>
          <w:rFonts w:ascii="Calibri" w:eastAsia="Calibri" w:hAnsi="Calibri" w:cs="Times New Roman"/>
          <w:sz w:val="24"/>
          <w:szCs w:val="24"/>
        </w:rPr>
        <w:t xml:space="preserve"> commitment to UK based infrastructure companies, and a redirected focus from “low cost “solutions, to find the best and most realistic solution</w:t>
      </w:r>
      <w:r w:rsidRPr="00F531E7">
        <w:rPr>
          <w:rFonts w:ascii="Calibri" w:eastAsia="Calibri" w:hAnsi="Calibri" w:cs="Times New Roman"/>
          <w:sz w:val="24"/>
          <w:szCs w:val="24"/>
        </w:rPr>
        <w:t xml:space="preserve"> </w:t>
      </w:r>
      <w:r w:rsidRPr="0061598B">
        <w:rPr>
          <w:rFonts w:ascii="Calibri" w:eastAsia="Calibri" w:hAnsi="Calibri" w:cs="Times New Roman"/>
          <w:sz w:val="24"/>
          <w:szCs w:val="24"/>
        </w:rPr>
        <w:t>instead working with Contractors.</w:t>
      </w:r>
    </w:p>
    <w:p w14:paraId="76C76903" w14:textId="77777777" w:rsidR="00607A0D" w:rsidRPr="0061598B" w:rsidRDefault="00607A0D" w:rsidP="00607A0D">
      <w:pPr>
        <w:spacing w:line="360" w:lineRule="auto"/>
        <w:jc w:val="both"/>
        <w:rPr>
          <w:rFonts w:ascii="Calibri" w:eastAsia="Calibri" w:hAnsi="Calibri" w:cs="Times New Roman"/>
          <w:i/>
          <w:sz w:val="24"/>
          <w:szCs w:val="24"/>
        </w:rPr>
      </w:pPr>
      <w:r w:rsidRPr="0061598B">
        <w:rPr>
          <w:rFonts w:ascii="Calibri" w:eastAsia="Calibri" w:hAnsi="Calibri" w:cs="Times New Roman"/>
          <w:sz w:val="24"/>
          <w:szCs w:val="24"/>
        </w:rPr>
        <w:t xml:space="preserve">In terms of the distribution of funding on the UK, </w:t>
      </w:r>
      <w:r w:rsidRPr="0061598B">
        <w:rPr>
          <w:rFonts w:ascii="Calibri" w:eastAsia="Calibri" w:hAnsi="Calibri" w:cs="Times New Roman"/>
          <w:i/>
          <w:sz w:val="24"/>
          <w:szCs w:val="24"/>
        </w:rPr>
        <w:t xml:space="preserve">“perception is reality, and London does receive higher levels of investment.” </w:t>
      </w:r>
      <w:r w:rsidRPr="0061598B">
        <w:rPr>
          <w:rFonts w:ascii="Calibri" w:eastAsia="Calibri" w:hAnsi="Calibri" w:cs="Times New Roman"/>
          <w:sz w:val="24"/>
          <w:szCs w:val="24"/>
        </w:rPr>
        <w:t xml:space="preserve">This has stunted growth in certain areas of the UK, although it is noted that growth for London contributes to the country as a whole and is not as simple as diverting funds elsewhere. This aligns </w:t>
      </w:r>
      <w:r>
        <w:rPr>
          <w:rFonts w:ascii="Calibri" w:eastAsia="Calibri" w:hAnsi="Calibri" w:cs="Times New Roman"/>
          <w:sz w:val="24"/>
          <w:szCs w:val="24"/>
        </w:rPr>
        <w:t xml:space="preserve">with the </w:t>
      </w:r>
      <w:r w:rsidRPr="0061598B">
        <w:rPr>
          <w:rFonts w:ascii="Calibri" w:eastAsia="Calibri" w:hAnsi="Calibri" w:cs="Times New Roman"/>
          <w:sz w:val="24"/>
          <w:szCs w:val="24"/>
        </w:rPr>
        <w:t xml:space="preserve">views </w:t>
      </w:r>
      <w:r>
        <w:rPr>
          <w:rFonts w:ascii="Calibri" w:eastAsia="Calibri" w:hAnsi="Calibri" w:cs="Times New Roman"/>
          <w:sz w:val="24"/>
          <w:szCs w:val="24"/>
        </w:rPr>
        <w:t>of</w:t>
      </w:r>
      <w:r w:rsidRPr="0061598B">
        <w:rPr>
          <w:rFonts w:ascii="Calibri" w:eastAsia="Calibri" w:hAnsi="Calibri" w:cs="Times New Roman"/>
          <w:sz w:val="24"/>
          <w:szCs w:val="24"/>
        </w:rPr>
        <w:t xml:space="preserve"> Luke Raikes</w:t>
      </w:r>
      <w:r>
        <w:rPr>
          <w:rFonts w:ascii="Calibri" w:eastAsia="Calibri" w:hAnsi="Calibri" w:cs="Times New Roman"/>
          <w:sz w:val="24"/>
          <w:szCs w:val="24"/>
        </w:rPr>
        <w:t xml:space="preserve"> (2018)</w:t>
      </w:r>
      <w:r w:rsidRPr="0061598B">
        <w:rPr>
          <w:rFonts w:ascii="Calibri" w:eastAsia="Calibri" w:hAnsi="Calibri" w:cs="Times New Roman"/>
          <w:sz w:val="24"/>
          <w:szCs w:val="24"/>
        </w:rPr>
        <w:t xml:space="preserve"> in </w:t>
      </w:r>
      <w:r>
        <w:rPr>
          <w:rFonts w:ascii="Calibri" w:eastAsia="Calibri" w:hAnsi="Calibri" w:cs="Times New Roman"/>
          <w:sz w:val="24"/>
          <w:szCs w:val="24"/>
        </w:rPr>
        <w:t xml:space="preserve">terms of </w:t>
      </w:r>
      <w:r w:rsidRPr="0061598B">
        <w:rPr>
          <w:rFonts w:ascii="Calibri" w:eastAsia="Calibri" w:hAnsi="Calibri" w:cs="Times New Roman"/>
          <w:sz w:val="24"/>
          <w:szCs w:val="24"/>
        </w:rPr>
        <w:t xml:space="preserve">the overall spending figures, </w:t>
      </w:r>
      <w:r>
        <w:rPr>
          <w:rFonts w:ascii="Calibri" w:eastAsia="Calibri" w:hAnsi="Calibri" w:cs="Times New Roman"/>
          <w:sz w:val="24"/>
          <w:szCs w:val="24"/>
        </w:rPr>
        <w:t xml:space="preserve">the regional bias which </w:t>
      </w:r>
      <w:r w:rsidRPr="0061598B">
        <w:rPr>
          <w:rFonts w:ascii="Calibri" w:eastAsia="Calibri" w:hAnsi="Calibri" w:cs="Times New Roman"/>
          <w:sz w:val="24"/>
          <w:szCs w:val="24"/>
        </w:rPr>
        <w:t xml:space="preserve">forms part of the North/South debate. </w:t>
      </w:r>
      <w:r>
        <w:rPr>
          <w:rFonts w:ascii="Calibri" w:eastAsia="Calibri" w:hAnsi="Calibri" w:cs="Times New Roman"/>
          <w:sz w:val="24"/>
          <w:szCs w:val="24"/>
        </w:rPr>
        <w:t>Respondent B</w:t>
      </w:r>
      <w:r w:rsidRPr="0061598B">
        <w:rPr>
          <w:rFonts w:ascii="Calibri" w:eastAsia="Calibri" w:hAnsi="Calibri" w:cs="Times New Roman"/>
          <w:sz w:val="24"/>
          <w:szCs w:val="24"/>
        </w:rPr>
        <w:t xml:space="preserve"> </w:t>
      </w:r>
      <w:r>
        <w:rPr>
          <w:rFonts w:ascii="Calibri" w:eastAsia="Calibri" w:hAnsi="Calibri" w:cs="Times New Roman"/>
          <w:sz w:val="24"/>
          <w:szCs w:val="24"/>
        </w:rPr>
        <w:t xml:space="preserve">further </w:t>
      </w:r>
      <w:r w:rsidRPr="0061598B">
        <w:rPr>
          <w:rFonts w:ascii="Calibri" w:eastAsia="Calibri" w:hAnsi="Calibri" w:cs="Times New Roman"/>
          <w:sz w:val="24"/>
          <w:szCs w:val="24"/>
        </w:rPr>
        <w:t>note</w:t>
      </w:r>
      <w:r>
        <w:rPr>
          <w:rFonts w:ascii="Calibri" w:eastAsia="Calibri" w:hAnsi="Calibri" w:cs="Times New Roman"/>
          <w:sz w:val="24"/>
          <w:szCs w:val="24"/>
        </w:rPr>
        <w:t>d</w:t>
      </w:r>
      <w:r w:rsidRPr="0061598B">
        <w:rPr>
          <w:rFonts w:ascii="Calibri" w:eastAsia="Calibri" w:hAnsi="Calibri" w:cs="Times New Roman"/>
          <w:sz w:val="24"/>
          <w:szCs w:val="24"/>
        </w:rPr>
        <w:t xml:space="preserve"> that if the North lacks anything it is flagship projects in the mould of HS2 or Crossrail </w:t>
      </w:r>
      <w:r>
        <w:rPr>
          <w:rFonts w:ascii="Calibri" w:eastAsia="Calibri" w:hAnsi="Calibri" w:cs="Times New Roman"/>
          <w:sz w:val="24"/>
          <w:szCs w:val="24"/>
        </w:rPr>
        <w:t xml:space="preserve">as </w:t>
      </w:r>
      <w:r w:rsidRPr="0061598B">
        <w:rPr>
          <w:rFonts w:ascii="Calibri" w:eastAsia="Calibri" w:hAnsi="Calibri" w:cs="Times New Roman"/>
          <w:sz w:val="24"/>
          <w:szCs w:val="24"/>
        </w:rPr>
        <w:t>“t</w:t>
      </w:r>
      <w:r w:rsidRPr="0061598B">
        <w:rPr>
          <w:rFonts w:ascii="Calibri" w:eastAsia="Calibri" w:hAnsi="Calibri" w:cs="Times New Roman"/>
          <w:i/>
          <w:sz w:val="24"/>
          <w:szCs w:val="24"/>
        </w:rPr>
        <w:t>his would underpin overall investment in the region”</w:t>
      </w:r>
    </w:p>
    <w:p w14:paraId="5B148C3A" w14:textId="77777777" w:rsidR="00607A0D" w:rsidRPr="00507768" w:rsidRDefault="00607A0D" w:rsidP="00607A0D">
      <w:pPr>
        <w:spacing w:line="360" w:lineRule="auto"/>
        <w:jc w:val="both"/>
        <w:rPr>
          <w:rFonts w:ascii="Calibri" w:eastAsia="Calibri" w:hAnsi="Calibri" w:cs="Times New Roman"/>
          <w:b/>
          <w:bCs/>
          <w:sz w:val="24"/>
          <w:szCs w:val="24"/>
        </w:rPr>
      </w:pPr>
      <w:bookmarkStart w:id="10" w:name="_Hlk71992216"/>
      <w:r w:rsidRPr="00507768">
        <w:rPr>
          <w:rFonts w:ascii="Calibri" w:eastAsia="Calibri" w:hAnsi="Calibri" w:cs="Times New Roman"/>
          <w:b/>
          <w:bCs/>
          <w:sz w:val="24"/>
          <w:szCs w:val="24"/>
        </w:rPr>
        <w:t xml:space="preserve">Respondent C </w:t>
      </w:r>
    </w:p>
    <w:p w14:paraId="3E547BE4" w14:textId="77777777" w:rsidR="00607A0D" w:rsidRPr="0061598B"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Respondent </w:t>
      </w:r>
      <w:r w:rsidRPr="0041222C">
        <w:rPr>
          <w:rFonts w:ascii="Calibri" w:eastAsia="Calibri" w:hAnsi="Calibri" w:cs="Times New Roman"/>
          <w:b/>
          <w:bCs/>
          <w:sz w:val="24"/>
          <w:szCs w:val="24"/>
        </w:rPr>
        <w:t>C</w:t>
      </w:r>
      <w:bookmarkEnd w:id="10"/>
      <w:r w:rsidRPr="0041222C">
        <w:rPr>
          <w:rFonts w:ascii="Calibri" w:eastAsia="Calibri" w:hAnsi="Calibri" w:cs="Times New Roman"/>
          <w:b/>
          <w:bCs/>
          <w:sz w:val="24"/>
          <w:szCs w:val="24"/>
        </w:rPr>
        <w:t xml:space="preserve"> </w:t>
      </w:r>
      <w:r>
        <w:rPr>
          <w:rFonts w:ascii="Calibri" w:eastAsia="Calibri" w:hAnsi="Calibri" w:cs="Times New Roman"/>
          <w:sz w:val="24"/>
          <w:szCs w:val="24"/>
        </w:rPr>
        <w:t>focused</w:t>
      </w:r>
      <w:r w:rsidRPr="0061598B">
        <w:rPr>
          <w:rFonts w:ascii="Calibri" w:eastAsia="Calibri" w:hAnsi="Calibri" w:cs="Times New Roman"/>
          <w:sz w:val="24"/>
          <w:szCs w:val="24"/>
        </w:rPr>
        <w:t xml:space="preserve"> on the reactionary nature of the industry, the disparity in funding and dominance of London, the Northern Powerhouse initiative and devolution.</w:t>
      </w:r>
      <w:r>
        <w:rPr>
          <w:rFonts w:ascii="Calibri" w:eastAsia="Calibri" w:hAnsi="Calibri" w:cs="Times New Roman"/>
          <w:sz w:val="24"/>
          <w:szCs w:val="24"/>
        </w:rPr>
        <w:t xml:space="preserve"> He noted that s</w:t>
      </w:r>
      <w:r w:rsidRPr="0061598B">
        <w:rPr>
          <w:rFonts w:ascii="Calibri" w:eastAsia="Calibri" w:hAnsi="Calibri" w:cs="Times New Roman"/>
          <w:sz w:val="24"/>
          <w:szCs w:val="24"/>
        </w:rPr>
        <w:t xml:space="preserve">pending on infrastructure has increased marginally in the last few years, but with London receiving twice as much as other areas of the country. </w:t>
      </w:r>
      <w:r>
        <w:rPr>
          <w:rFonts w:ascii="Calibri" w:eastAsia="Calibri" w:hAnsi="Calibri" w:cs="Times New Roman"/>
          <w:sz w:val="24"/>
          <w:szCs w:val="24"/>
        </w:rPr>
        <w:t>He</w:t>
      </w:r>
      <w:r w:rsidRPr="0061598B">
        <w:rPr>
          <w:rFonts w:ascii="Calibri" w:eastAsia="Calibri" w:hAnsi="Calibri" w:cs="Times New Roman"/>
          <w:sz w:val="24"/>
          <w:szCs w:val="24"/>
        </w:rPr>
        <w:t xml:space="preserve"> </w:t>
      </w:r>
      <w:r>
        <w:rPr>
          <w:rFonts w:ascii="Calibri" w:eastAsia="Calibri" w:hAnsi="Calibri" w:cs="Times New Roman"/>
          <w:sz w:val="24"/>
          <w:szCs w:val="24"/>
        </w:rPr>
        <w:t xml:space="preserve">further </w:t>
      </w:r>
      <w:r w:rsidRPr="0061598B">
        <w:rPr>
          <w:rFonts w:ascii="Calibri" w:eastAsia="Calibri" w:hAnsi="Calibri" w:cs="Times New Roman"/>
          <w:sz w:val="24"/>
          <w:szCs w:val="24"/>
        </w:rPr>
        <w:t xml:space="preserve">noted that </w:t>
      </w:r>
      <w:r w:rsidRPr="0061598B">
        <w:rPr>
          <w:rFonts w:ascii="Calibri" w:eastAsia="Calibri" w:hAnsi="Calibri" w:cs="Times New Roman"/>
          <w:i/>
          <w:sz w:val="24"/>
          <w:szCs w:val="24"/>
        </w:rPr>
        <w:t xml:space="preserve">“this increase is not surprising, as it is purely in line with UK infrastructure needs.” </w:t>
      </w:r>
      <w:r w:rsidRPr="0061598B">
        <w:rPr>
          <w:rFonts w:ascii="Calibri" w:eastAsia="Calibri" w:hAnsi="Calibri" w:cs="Times New Roman"/>
          <w:sz w:val="24"/>
          <w:szCs w:val="24"/>
        </w:rPr>
        <w:t>Th</w:t>
      </w:r>
      <w:r>
        <w:rPr>
          <w:rFonts w:ascii="Calibri" w:eastAsia="Calibri" w:hAnsi="Calibri" w:cs="Times New Roman"/>
          <w:sz w:val="24"/>
          <w:szCs w:val="24"/>
        </w:rPr>
        <w:t>e</w:t>
      </w:r>
      <w:r w:rsidRPr="0061598B">
        <w:rPr>
          <w:rFonts w:ascii="Calibri" w:eastAsia="Calibri" w:hAnsi="Calibri" w:cs="Times New Roman"/>
          <w:sz w:val="24"/>
          <w:szCs w:val="24"/>
        </w:rPr>
        <w:t xml:space="preserve"> lack of proactive infrastructure led growth is a weakness of the UK </w:t>
      </w:r>
      <w:r>
        <w:rPr>
          <w:rFonts w:ascii="Calibri" w:eastAsia="Calibri" w:hAnsi="Calibri" w:cs="Times New Roman"/>
          <w:sz w:val="24"/>
          <w:szCs w:val="24"/>
        </w:rPr>
        <w:t>policy, unlike other leading countries</w:t>
      </w:r>
      <w:r w:rsidRPr="0061598B">
        <w:rPr>
          <w:rFonts w:ascii="Calibri" w:eastAsia="Calibri" w:hAnsi="Calibri" w:cs="Times New Roman"/>
          <w:sz w:val="24"/>
          <w:szCs w:val="24"/>
        </w:rPr>
        <w:t xml:space="preserve">. London is given as an example </w:t>
      </w:r>
      <w:r>
        <w:rPr>
          <w:rFonts w:ascii="Calibri" w:eastAsia="Calibri" w:hAnsi="Calibri" w:cs="Times New Roman"/>
          <w:sz w:val="24"/>
          <w:szCs w:val="24"/>
        </w:rPr>
        <w:t>of</w:t>
      </w:r>
      <w:r w:rsidRPr="0061598B">
        <w:rPr>
          <w:rFonts w:ascii="Calibri" w:eastAsia="Calibri" w:hAnsi="Calibri" w:cs="Times New Roman"/>
          <w:sz w:val="24"/>
          <w:szCs w:val="24"/>
        </w:rPr>
        <w:t xml:space="preserve"> the reactionary nature of the industry, with transport projects often based on relieving congestion. While this is required to keep cities running</w:t>
      </w:r>
      <w:r>
        <w:rPr>
          <w:rFonts w:ascii="Calibri" w:eastAsia="Calibri" w:hAnsi="Calibri" w:cs="Times New Roman"/>
          <w:sz w:val="24"/>
          <w:szCs w:val="24"/>
        </w:rPr>
        <w:t>,</w:t>
      </w:r>
      <w:r w:rsidRPr="0061598B">
        <w:rPr>
          <w:rFonts w:ascii="Calibri" w:eastAsia="Calibri" w:hAnsi="Calibri" w:cs="Times New Roman"/>
          <w:sz w:val="24"/>
          <w:szCs w:val="24"/>
        </w:rPr>
        <w:t xml:space="preserve"> it is not a sustainable way to run an economy. He note</w:t>
      </w:r>
      <w:r>
        <w:rPr>
          <w:rFonts w:ascii="Calibri" w:eastAsia="Calibri" w:hAnsi="Calibri" w:cs="Times New Roman"/>
          <w:sz w:val="24"/>
          <w:szCs w:val="24"/>
        </w:rPr>
        <w:t>d</w:t>
      </w:r>
      <w:r w:rsidRPr="0061598B">
        <w:rPr>
          <w:rFonts w:ascii="Calibri" w:eastAsia="Calibri" w:hAnsi="Calibri" w:cs="Times New Roman"/>
          <w:sz w:val="24"/>
          <w:szCs w:val="24"/>
        </w:rPr>
        <w:t xml:space="preserve"> one of the only non-reactive projects is HS2</w:t>
      </w:r>
      <w:r>
        <w:rPr>
          <w:rFonts w:ascii="Calibri" w:eastAsia="Calibri" w:hAnsi="Calibri" w:cs="Times New Roman"/>
          <w:sz w:val="24"/>
          <w:szCs w:val="24"/>
        </w:rPr>
        <w:t xml:space="preserve"> and </w:t>
      </w:r>
      <w:r w:rsidRPr="0061598B">
        <w:rPr>
          <w:rFonts w:ascii="Calibri" w:eastAsia="Calibri" w:hAnsi="Calibri" w:cs="Times New Roman"/>
          <w:sz w:val="24"/>
          <w:szCs w:val="24"/>
        </w:rPr>
        <w:t>argu</w:t>
      </w:r>
      <w:r>
        <w:rPr>
          <w:rFonts w:ascii="Calibri" w:eastAsia="Calibri" w:hAnsi="Calibri" w:cs="Times New Roman"/>
          <w:sz w:val="24"/>
          <w:szCs w:val="24"/>
        </w:rPr>
        <w:t>ed</w:t>
      </w:r>
      <w:r w:rsidRPr="0061598B">
        <w:rPr>
          <w:rFonts w:ascii="Calibri" w:eastAsia="Calibri" w:hAnsi="Calibri" w:cs="Times New Roman"/>
          <w:sz w:val="24"/>
          <w:szCs w:val="24"/>
        </w:rPr>
        <w:t xml:space="preserve"> that HS2 had a relatively low-cost value ratio</w:t>
      </w:r>
      <w:r>
        <w:rPr>
          <w:rFonts w:ascii="Calibri" w:eastAsia="Calibri" w:hAnsi="Calibri" w:cs="Times New Roman"/>
          <w:sz w:val="24"/>
          <w:szCs w:val="24"/>
        </w:rPr>
        <w:t>.</w:t>
      </w:r>
      <w:r w:rsidRPr="0061598B">
        <w:rPr>
          <w:rFonts w:ascii="Calibri" w:eastAsia="Calibri" w:hAnsi="Calibri" w:cs="Times New Roman"/>
          <w:sz w:val="24"/>
          <w:szCs w:val="24"/>
        </w:rPr>
        <w:t xml:space="preserve"> Raikes</w:t>
      </w:r>
      <w:r>
        <w:rPr>
          <w:rFonts w:ascii="Calibri" w:eastAsia="Calibri" w:hAnsi="Calibri" w:cs="Times New Roman"/>
          <w:sz w:val="24"/>
          <w:szCs w:val="24"/>
        </w:rPr>
        <w:t xml:space="preserve">, (2018) concurred and indicated that this </w:t>
      </w:r>
      <w:r w:rsidRPr="0061598B">
        <w:rPr>
          <w:rFonts w:ascii="Calibri" w:eastAsia="Calibri" w:hAnsi="Calibri" w:cs="Times New Roman"/>
          <w:sz w:val="24"/>
          <w:szCs w:val="24"/>
        </w:rPr>
        <w:t>cannot be looked at in isolation</w:t>
      </w:r>
      <w:r>
        <w:rPr>
          <w:rFonts w:ascii="Calibri" w:eastAsia="Calibri" w:hAnsi="Calibri" w:cs="Times New Roman"/>
          <w:sz w:val="24"/>
          <w:szCs w:val="24"/>
        </w:rPr>
        <w:t xml:space="preserve"> as </w:t>
      </w:r>
      <w:r w:rsidRPr="0061598B">
        <w:rPr>
          <w:rFonts w:ascii="Calibri" w:eastAsia="Calibri" w:hAnsi="Calibri" w:cs="Times New Roman"/>
          <w:sz w:val="24"/>
          <w:szCs w:val="24"/>
        </w:rPr>
        <w:t>“</w:t>
      </w:r>
      <w:r w:rsidRPr="0061598B">
        <w:rPr>
          <w:rFonts w:ascii="Calibri" w:eastAsia="Calibri" w:hAnsi="Calibri" w:cs="Times New Roman"/>
          <w:i/>
          <w:sz w:val="24"/>
          <w:szCs w:val="24"/>
        </w:rPr>
        <w:t xml:space="preserve">political and social considerations also need to be taken into account.” </w:t>
      </w:r>
      <w:r w:rsidRPr="0061598B">
        <w:rPr>
          <w:rFonts w:ascii="Calibri" w:eastAsia="Calibri" w:hAnsi="Calibri" w:cs="Times New Roman"/>
          <w:sz w:val="24"/>
          <w:szCs w:val="24"/>
        </w:rPr>
        <w:t xml:space="preserve">The traditional method of economic appraisal cannot be </w:t>
      </w:r>
      <w:r w:rsidRPr="0061598B">
        <w:rPr>
          <w:rFonts w:ascii="Calibri" w:eastAsia="Calibri" w:hAnsi="Calibri" w:cs="Times New Roman"/>
          <w:sz w:val="24"/>
          <w:szCs w:val="24"/>
        </w:rPr>
        <w:lastRenderedPageBreak/>
        <w:t xml:space="preserve">applied to transformative projects such as </w:t>
      </w:r>
      <w:r>
        <w:rPr>
          <w:rFonts w:ascii="Calibri" w:eastAsia="Calibri" w:hAnsi="Calibri" w:cs="Times New Roman"/>
          <w:sz w:val="24"/>
          <w:szCs w:val="24"/>
        </w:rPr>
        <w:t xml:space="preserve">HS2, like </w:t>
      </w:r>
      <w:r w:rsidRPr="0061598B">
        <w:rPr>
          <w:rFonts w:ascii="Calibri" w:eastAsia="Calibri" w:hAnsi="Calibri" w:cs="Times New Roman"/>
          <w:sz w:val="24"/>
          <w:szCs w:val="24"/>
        </w:rPr>
        <w:t>the</w:t>
      </w:r>
      <w:r>
        <w:rPr>
          <w:rFonts w:ascii="Calibri" w:eastAsia="Calibri" w:hAnsi="Calibri" w:cs="Times New Roman"/>
          <w:sz w:val="24"/>
          <w:szCs w:val="24"/>
        </w:rPr>
        <w:t xml:space="preserve"> </w:t>
      </w:r>
      <w:r w:rsidRPr="0061598B">
        <w:rPr>
          <w:rFonts w:ascii="Calibri" w:eastAsia="Calibri" w:hAnsi="Calibri" w:cs="Times New Roman"/>
          <w:sz w:val="24"/>
          <w:szCs w:val="24"/>
        </w:rPr>
        <w:t>borders railway in Scotland</w:t>
      </w:r>
      <w:r>
        <w:rPr>
          <w:rFonts w:ascii="Calibri" w:eastAsia="Calibri" w:hAnsi="Calibri" w:cs="Times New Roman"/>
          <w:sz w:val="24"/>
          <w:szCs w:val="24"/>
        </w:rPr>
        <w:t xml:space="preserve"> which </w:t>
      </w:r>
      <w:r w:rsidRPr="0061598B">
        <w:rPr>
          <w:rFonts w:ascii="Calibri" w:eastAsia="Calibri" w:hAnsi="Calibri" w:cs="Times New Roman"/>
          <w:sz w:val="24"/>
          <w:szCs w:val="24"/>
        </w:rPr>
        <w:t xml:space="preserve">was not based on </w:t>
      </w:r>
      <w:r>
        <w:rPr>
          <w:rFonts w:ascii="Calibri" w:eastAsia="Calibri" w:hAnsi="Calibri" w:cs="Times New Roman"/>
          <w:sz w:val="24"/>
          <w:szCs w:val="24"/>
        </w:rPr>
        <w:t xml:space="preserve">traditional </w:t>
      </w:r>
      <w:r w:rsidRPr="0061598B">
        <w:rPr>
          <w:rFonts w:ascii="Calibri" w:eastAsia="Calibri" w:hAnsi="Calibri" w:cs="Times New Roman"/>
          <w:sz w:val="24"/>
          <w:szCs w:val="24"/>
        </w:rPr>
        <w:t>economic appraisal but has turned out to be a success.</w:t>
      </w:r>
    </w:p>
    <w:p w14:paraId="4A21A61B" w14:textId="77777777" w:rsidR="00607A0D" w:rsidRPr="0061598B" w:rsidRDefault="00607A0D" w:rsidP="00607A0D">
      <w:pPr>
        <w:spacing w:line="360" w:lineRule="auto"/>
        <w:jc w:val="both"/>
        <w:rPr>
          <w:rFonts w:ascii="Calibri" w:eastAsia="Calibri" w:hAnsi="Calibri" w:cs="Times New Roman"/>
          <w:i/>
          <w:sz w:val="24"/>
          <w:szCs w:val="24"/>
        </w:rPr>
      </w:pPr>
      <w:r w:rsidRPr="0061598B">
        <w:rPr>
          <w:rFonts w:ascii="Calibri" w:eastAsia="Calibri" w:hAnsi="Calibri" w:cs="Times New Roman"/>
          <w:sz w:val="24"/>
          <w:szCs w:val="24"/>
        </w:rPr>
        <w:t xml:space="preserve">The slow process of actioning projects is highlighted as a weakness in the current UK approach: </w:t>
      </w:r>
      <w:r w:rsidRPr="0061598B">
        <w:rPr>
          <w:rFonts w:ascii="Calibri" w:eastAsia="Calibri" w:hAnsi="Calibri" w:cs="Times New Roman"/>
          <w:i/>
          <w:sz w:val="24"/>
          <w:szCs w:val="24"/>
        </w:rPr>
        <w:t xml:space="preserve">“The amount of work done prior to construction phase needs to be looked at. Gold plated rail projects need to be benchmarked against comparable projects, possibly in other countries.” </w:t>
      </w:r>
      <w:r w:rsidRPr="0061598B">
        <w:rPr>
          <w:rFonts w:ascii="Calibri" w:eastAsia="Calibri" w:hAnsi="Calibri" w:cs="Times New Roman"/>
          <w:sz w:val="24"/>
          <w:szCs w:val="24"/>
        </w:rPr>
        <w:t>It is noted that Scotland is comparably quicker in getting projects off the ground</w:t>
      </w:r>
      <w:r>
        <w:rPr>
          <w:rFonts w:ascii="Calibri" w:eastAsia="Calibri" w:hAnsi="Calibri" w:cs="Times New Roman"/>
          <w:sz w:val="24"/>
          <w:szCs w:val="24"/>
        </w:rPr>
        <w:t xml:space="preserve"> </w:t>
      </w:r>
      <w:r w:rsidRPr="0061598B">
        <w:rPr>
          <w:rFonts w:ascii="Calibri" w:eastAsia="Calibri" w:hAnsi="Calibri" w:cs="Times New Roman"/>
          <w:sz w:val="24"/>
          <w:szCs w:val="24"/>
        </w:rPr>
        <w:t>due to the devolution of powers in th</w:t>
      </w:r>
      <w:r>
        <w:rPr>
          <w:rFonts w:ascii="Calibri" w:eastAsia="Calibri" w:hAnsi="Calibri" w:cs="Times New Roman"/>
          <w:sz w:val="24"/>
          <w:szCs w:val="24"/>
        </w:rPr>
        <w:t>e</w:t>
      </w:r>
      <w:r w:rsidRPr="0061598B">
        <w:rPr>
          <w:rFonts w:ascii="Calibri" w:eastAsia="Calibri" w:hAnsi="Calibri" w:cs="Times New Roman"/>
          <w:sz w:val="24"/>
          <w:szCs w:val="24"/>
        </w:rPr>
        <w:t xml:space="preserve"> region. They are able to invest more in infrastructure, and focus on projects with importance to the region.</w:t>
      </w:r>
    </w:p>
    <w:p w14:paraId="07EE3034" w14:textId="77777777" w:rsidR="00607A0D" w:rsidRPr="0061598B" w:rsidRDefault="00607A0D" w:rsidP="00607A0D">
      <w:pPr>
        <w:spacing w:line="360" w:lineRule="auto"/>
        <w:jc w:val="both"/>
        <w:rPr>
          <w:rFonts w:ascii="Calibri" w:eastAsia="Calibri" w:hAnsi="Calibri" w:cs="Times New Roman"/>
          <w:sz w:val="24"/>
          <w:szCs w:val="24"/>
        </w:rPr>
      </w:pPr>
      <w:r w:rsidRPr="0061598B">
        <w:rPr>
          <w:rFonts w:ascii="Calibri" w:eastAsia="Calibri" w:hAnsi="Calibri" w:cs="Times New Roman"/>
          <w:i/>
          <w:sz w:val="24"/>
          <w:szCs w:val="24"/>
        </w:rPr>
        <w:t>“</w:t>
      </w:r>
      <w:r>
        <w:rPr>
          <w:rFonts w:ascii="Calibri" w:eastAsia="Calibri" w:hAnsi="Calibri" w:cs="Times New Roman"/>
          <w:i/>
          <w:sz w:val="24"/>
          <w:szCs w:val="24"/>
        </w:rPr>
        <w:t>T</w:t>
      </w:r>
      <w:r w:rsidRPr="0061598B">
        <w:rPr>
          <w:rFonts w:ascii="Calibri" w:eastAsia="Calibri" w:hAnsi="Calibri" w:cs="Times New Roman"/>
          <w:i/>
          <w:sz w:val="24"/>
          <w:szCs w:val="24"/>
        </w:rPr>
        <w:t>he dominance of London, and the idea that it subsidises the rest of the country is not a good economic model.”</w:t>
      </w:r>
      <w:r w:rsidRPr="0061598B">
        <w:rPr>
          <w:rFonts w:ascii="Calibri" w:eastAsia="Calibri" w:hAnsi="Calibri" w:cs="Times New Roman"/>
          <w:sz w:val="24"/>
          <w:szCs w:val="24"/>
        </w:rPr>
        <w:t xml:space="preserve"> Lower productivity in Northern regions results in lower taxation</w:t>
      </w:r>
      <w:r>
        <w:rPr>
          <w:rFonts w:ascii="Calibri" w:eastAsia="Calibri" w:hAnsi="Calibri" w:cs="Times New Roman"/>
          <w:sz w:val="24"/>
          <w:szCs w:val="24"/>
        </w:rPr>
        <w:t xml:space="preserve"> and </w:t>
      </w:r>
      <w:r w:rsidRPr="0061598B">
        <w:rPr>
          <w:rFonts w:ascii="Calibri" w:eastAsia="Calibri" w:hAnsi="Calibri" w:cs="Times New Roman"/>
          <w:sz w:val="24"/>
          <w:szCs w:val="24"/>
        </w:rPr>
        <w:t>higher productivity in London results in higher taxation – this is the basis</w:t>
      </w:r>
      <w:r>
        <w:rPr>
          <w:rFonts w:ascii="Calibri" w:eastAsia="Calibri" w:hAnsi="Calibri" w:cs="Times New Roman"/>
          <w:sz w:val="24"/>
          <w:szCs w:val="24"/>
        </w:rPr>
        <w:t xml:space="preserve"> of</w:t>
      </w:r>
      <w:r w:rsidRPr="0061598B">
        <w:rPr>
          <w:rFonts w:ascii="Calibri" w:eastAsia="Calibri" w:hAnsi="Calibri" w:cs="Times New Roman"/>
          <w:sz w:val="24"/>
          <w:szCs w:val="24"/>
        </w:rPr>
        <w:t xml:space="preserve"> </w:t>
      </w:r>
      <w:r>
        <w:rPr>
          <w:rFonts w:ascii="Calibri" w:eastAsia="Calibri" w:hAnsi="Calibri" w:cs="Times New Roman"/>
          <w:sz w:val="24"/>
          <w:szCs w:val="24"/>
        </w:rPr>
        <w:t xml:space="preserve">Respondent C </w:t>
      </w:r>
      <w:r w:rsidRPr="0061598B">
        <w:rPr>
          <w:rFonts w:ascii="Calibri" w:eastAsia="Calibri" w:hAnsi="Calibri" w:cs="Times New Roman"/>
          <w:sz w:val="24"/>
          <w:szCs w:val="24"/>
        </w:rPr>
        <w:t>subsidy argument.</w:t>
      </w:r>
      <w:r>
        <w:rPr>
          <w:rFonts w:ascii="Calibri" w:eastAsia="Calibri" w:hAnsi="Calibri" w:cs="Times New Roman"/>
          <w:sz w:val="24"/>
          <w:szCs w:val="24"/>
        </w:rPr>
        <w:t xml:space="preserve"> </w:t>
      </w:r>
      <w:r w:rsidRPr="0061598B">
        <w:rPr>
          <w:rFonts w:ascii="Calibri" w:eastAsia="Calibri" w:hAnsi="Calibri" w:cs="Times New Roman"/>
          <w:sz w:val="24"/>
          <w:szCs w:val="24"/>
        </w:rPr>
        <w:t>Therefore, the level of tax in London is higher as expected</w:t>
      </w:r>
      <w:r>
        <w:rPr>
          <w:rFonts w:ascii="Calibri" w:eastAsia="Calibri" w:hAnsi="Calibri" w:cs="Times New Roman"/>
          <w:sz w:val="24"/>
          <w:szCs w:val="24"/>
        </w:rPr>
        <w:t xml:space="preserve">. </w:t>
      </w:r>
      <w:r w:rsidRPr="0061598B">
        <w:rPr>
          <w:rFonts w:ascii="Calibri" w:eastAsia="Calibri" w:hAnsi="Calibri" w:cs="Times New Roman"/>
          <w:sz w:val="24"/>
          <w:szCs w:val="24"/>
        </w:rPr>
        <w:t xml:space="preserve">The North is stuck in a cycle of low productivity, while London is in a virtuous cycle of growth. Low productivity in the North is also due to the fact that </w:t>
      </w:r>
      <w:r w:rsidRPr="0061598B">
        <w:rPr>
          <w:rFonts w:ascii="Calibri" w:eastAsia="Calibri" w:hAnsi="Calibri" w:cs="Times New Roman"/>
          <w:i/>
          <w:sz w:val="24"/>
          <w:szCs w:val="24"/>
        </w:rPr>
        <w:t>“TfL</w:t>
      </w:r>
      <w:r>
        <w:rPr>
          <w:rFonts w:ascii="Calibri" w:eastAsia="Calibri" w:hAnsi="Calibri" w:cs="Times New Roman"/>
          <w:i/>
          <w:sz w:val="24"/>
          <w:szCs w:val="24"/>
        </w:rPr>
        <w:t xml:space="preserve"> [Transport for London]</w:t>
      </w:r>
      <w:r w:rsidRPr="0061598B">
        <w:rPr>
          <w:rFonts w:ascii="Calibri" w:eastAsia="Calibri" w:hAnsi="Calibri" w:cs="Times New Roman"/>
          <w:i/>
          <w:sz w:val="24"/>
          <w:szCs w:val="24"/>
        </w:rPr>
        <w:t xml:space="preserve"> has historically had the capacity to bring forward projects to central government”.</w:t>
      </w:r>
      <w:r w:rsidRPr="0061598B">
        <w:rPr>
          <w:rFonts w:ascii="Calibri" w:eastAsia="Calibri" w:hAnsi="Calibri" w:cs="Times New Roman"/>
          <w:sz w:val="24"/>
          <w:szCs w:val="24"/>
        </w:rPr>
        <w:t xml:space="preserve"> The North now has </w:t>
      </w:r>
      <w:r w:rsidRPr="00456432">
        <w:rPr>
          <w:rFonts w:ascii="Calibri" w:eastAsia="Calibri" w:hAnsi="Calibri" w:cs="Times New Roman"/>
          <w:i/>
          <w:iCs/>
          <w:sz w:val="24"/>
          <w:szCs w:val="24"/>
        </w:rPr>
        <w:t>Transport for North</w:t>
      </w:r>
      <w:r w:rsidRPr="0061598B">
        <w:rPr>
          <w:rFonts w:ascii="Calibri" w:eastAsia="Calibri" w:hAnsi="Calibri" w:cs="Times New Roman"/>
          <w:sz w:val="24"/>
          <w:szCs w:val="24"/>
        </w:rPr>
        <w:t xml:space="preserve"> which has already had a large impact in only a few years</w:t>
      </w:r>
      <w:r>
        <w:rPr>
          <w:rFonts w:ascii="Calibri" w:eastAsia="Calibri" w:hAnsi="Calibri" w:cs="Times New Roman"/>
          <w:sz w:val="24"/>
          <w:szCs w:val="24"/>
        </w:rPr>
        <w:t xml:space="preserve"> </w:t>
      </w:r>
      <w:r w:rsidRPr="0061598B">
        <w:rPr>
          <w:rFonts w:ascii="Calibri" w:eastAsia="Calibri" w:hAnsi="Calibri" w:cs="Times New Roman"/>
          <w:sz w:val="24"/>
          <w:szCs w:val="24"/>
        </w:rPr>
        <w:t>(Raikes, 201</w:t>
      </w:r>
      <w:r>
        <w:rPr>
          <w:rFonts w:ascii="Calibri" w:eastAsia="Calibri" w:hAnsi="Calibri" w:cs="Times New Roman"/>
          <w:sz w:val="24"/>
          <w:szCs w:val="24"/>
        </w:rPr>
        <w:t>8</w:t>
      </w:r>
      <w:r w:rsidRPr="0061598B">
        <w:rPr>
          <w:rFonts w:ascii="Calibri" w:eastAsia="Calibri" w:hAnsi="Calibri" w:cs="Times New Roman"/>
          <w:sz w:val="24"/>
          <w:szCs w:val="24"/>
        </w:rPr>
        <w:t>).</w:t>
      </w:r>
    </w:p>
    <w:p w14:paraId="57BBFEED" w14:textId="77777777" w:rsidR="00607A0D" w:rsidRPr="0061598B" w:rsidRDefault="00607A0D" w:rsidP="00607A0D">
      <w:pPr>
        <w:spacing w:line="360" w:lineRule="auto"/>
        <w:jc w:val="both"/>
        <w:rPr>
          <w:rFonts w:ascii="Calibri" w:eastAsia="Calibri" w:hAnsi="Calibri" w:cs="Times New Roman"/>
          <w:sz w:val="24"/>
          <w:szCs w:val="24"/>
        </w:rPr>
      </w:pPr>
      <w:r w:rsidRPr="0061598B">
        <w:rPr>
          <w:rFonts w:ascii="Calibri" w:eastAsia="Calibri" w:hAnsi="Calibri" w:cs="Times New Roman"/>
          <w:sz w:val="24"/>
          <w:szCs w:val="24"/>
        </w:rPr>
        <w:t>Devolution is</w:t>
      </w:r>
      <w:r>
        <w:rPr>
          <w:rFonts w:ascii="Calibri" w:eastAsia="Calibri" w:hAnsi="Calibri" w:cs="Times New Roman"/>
          <w:sz w:val="24"/>
          <w:szCs w:val="24"/>
        </w:rPr>
        <w:t xml:space="preserve"> </w:t>
      </w:r>
      <w:r w:rsidRPr="0061598B">
        <w:rPr>
          <w:rFonts w:ascii="Calibri" w:eastAsia="Calibri" w:hAnsi="Calibri" w:cs="Times New Roman"/>
          <w:sz w:val="24"/>
          <w:szCs w:val="24"/>
        </w:rPr>
        <w:t>a way of</w:t>
      </w:r>
      <w:r>
        <w:rPr>
          <w:rFonts w:ascii="Calibri" w:eastAsia="Calibri" w:hAnsi="Calibri" w:cs="Times New Roman"/>
          <w:sz w:val="24"/>
          <w:szCs w:val="24"/>
        </w:rPr>
        <w:t xml:space="preserve"> </w:t>
      </w:r>
      <w:r w:rsidRPr="0061598B">
        <w:rPr>
          <w:rFonts w:ascii="Calibri" w:eastAsia="Calibri" w:hAnsi="Calibri" w:cs="Times New Roman"/>
          <w:sz w:val="24"/>
          <w:szCs w:val="24"/>
        </w:rPr>
        <w:t>improving the pace of progress, allowing for proactive infrastructure led growth due to smarter and better underst</w:t>
      </w:r>
      <w:r>
        <w:rPr>
          <w:rFonts w:ascii="Calibri" w:eastAsia="Calibri" w:hAnsi="Calibri" w:cs="Times New Roman"/>
          <w:sz w:val="24"/>
          <w:szCs w:val="24"/>
        </w:rPr>
        <w:t>anding of</w:t>
      </w:r>
      <w:r w:rsidRPr="0061598B">
        <w:rPr>
          <w:rFonts w:ascii="Calibri" w:eastAsia="Calibri" w:hAnsi="Calibri" w:cs="Times New Roman"/>
          <w:sz w:val="24"/>
          <w:szCs w:val="24"/>
        </w:rPr>
        <w:t xml:space="preserve"> regional </w:t>
      </w:r>
      <w:r>
        <w:rPr>
          <w:rFonts w:ascii="Calibri" w:eastAsia="Calibri" w:hAnsi="Calibri" w:cs="Times New Roman"/>
          <w:sz w:val="24"/>
          <w:szCs w:val="24"/>
        </w:rPr>
        <w:t xml:space="preserve">specificity and </w:t>
      </w:r>
      <w:r w:rsidRPr="0061598B">
        <w:rPr>
          <w:rFonts w:ascii="Calibri" w:eastAsia="Calibri" w:hAnsi="Calibri" w:cs="Times New Roman"/>
          <w:sz w:val="24"/>
          <w:szCs w:val="24"/>
        </w:rPr>
        <w:t xml:space="preserve">requirements. </w:t>
      </w:r>
      <w:r w:rsidRPr="0061598B">
        <w:rPr>
          <w:rFonts w:ascii="Calibri" w:eastAsia="Calibri" w:hAnsi="Calibri" w:cs="Times New Roman"/>
          <w:i/>
          <w:sz w:val="24"/>
          <w:szCs w:val="24"/>
        </w:rPr>
        <w:t xml:space="preserve">“Relying on central government as a funding source is not sustainable.” </w:t>
      </w:r>
      <w:r w:rsidRPr="0061598B">
        <w:rPr>
          <w:rFonts w:ascii="Calibri" w:eastAsia="Calibri" w:hAnsi="Calibri" w:cs="Times New Roman"/>
          <w:sz w:val="24"/>
          <w:szCs w:val="24"/>
        </w:rPr>
        <w:t xml:space="preserve">France is very similar to the UK, </w:t>
      </w:r>
      <w:r>
        <w:rPr>
          <w:rFonts w:ascii="Calibri" w:eastAsia="Calibri" w:hAnsi="Calibri" w:cs="Times New Roman"/>
          <w:sz w:val="24"/>
          <w:szCs w:val="24"/>
        </w:rPr>
        <w:t xml:space="preserve">as </w:t>
      </w:r>
      <w:r w:rsidRPr="0061598B">
        <w:rPr>
          <w:rFonts w:ascii="Calibri" w:eastAsia="Calibri" w:hAnsi="Calibri" w:cs="Times New Roman"/>
          <w:sz w:val="24"/>
          <w:szCs w:val="24"/>
        </w:rPr>
        <w:t xml:space="preserve">evident in the dominance of Paris. Other countries have shown </w:t>
      </w:r>
      <w:r>
        <w:rPr>
          <w:rFonts w:ascii="Calibri" w:eastAsia="Calibri" w:hAnsi="Calibri" w:cs="Times New Roman"/>
          <w:sz w:val="24"/>
          <w:szCs w:val="24"/>
        </w:rPr>
        <w:t xml:space="preserve">a different approach, less reliant on central government, can be adopted </w:t>
      </w:r>
      <w:r w:rsidRPr="0061598B">
        <w:rPr>
          <w:rFonts w:ascii="Calibri" w:eastAsia="Calibri" w:hAnsi="Calibri" w:cs="Times New Roman"/>
          <w:sz w:val="24"/>
          <w:szCs w:val="24"/>
        </w:rPr>
        <w:t xml:space="preserve">with success. </w:t>
      </w:r>
      <w:r>
        <w:rPr>
          <w:rFonts w:ascii="Calibri" w:eastAsia="Calibri" w:hAnsi="Calibri" w:cs="Times New Roman"/>
          <w:sz w:val="24"/>
          <w:szCs w:val="24"/>
        </w:rPr>
        <w:t xml:space="preserve">For example, </w:t>
      </w:r>
      <w:r w:rsidRPr="0061598B">
        <w:rPr>
          <w:rFonts w:ascii="Calibri" w:eastAsia="Calibri" w:hAnsi="Calibri" w:cs="Times New Roman"/>
          <w:sz w:val="24"/>
          <w:szCs w:val="24"/>
        </w:rPr>
        <w:t xml:space="preserve">Japan </w:t>
      </w:r>
      <w:r>
        <w:rPr>
          <w:rFonts w:ascii="Calibri" w:eastAsia="Calibri" w:hAnsi="Calibri" w:cs="Times New Roman"/>
          <w:sz w:val="24"/>
          <w:szCs w:val="24"/>
        </w:rPr>
        <w:t>has been</w:t>
      </w:r>
      <w:r w:rsidRPr="0061598B">
        <w:rPr>
          <w:rFonts w:ascii="Calibri" w:eastAsia="Calibri" w:hAnsi="Calibri" w:cs="Times New Roman"/>
          <w:sz w:val="24"/>
          <w:szCs w:val="24"/>
        </w:rPr>
        <w:t xml:space="preserve"> decentralised over a 15-year period to form micro governments in the regions</w:t>
      </w:r>
      <w:r>
        <w:rPr>
          <w:rFonts w:ascii="Calibri" w:eastAsia="Calibri" w:hAnsi="Calibri" w:cs="Times New Roman"/>
          <w:sz w:val="24"/>
          <w:szCs w:val="24"/>
        </w:rPr>
        <w:t xml:space="preserve"> (</w:t>
      </w:r>
      <w:r w:rsidRPr="005C792B">
        <w:rPr>
          <w:rFonts w:ascii="Calibri" w:eastAsia="Calibri" w:hAnsi="Calibri" w:cs="Times New Roman"/>
          <w:sz w:val="24"/>
          <w:szCs w:val="24"/>
        </w:rPr>
        <w:t xml:space="preserve">Kikuchi and Unzaki, 2019). </w:t>
      </w:r>
      <w:r w:rsidRPr="0061598B">
        <w:rPr>
          <w:rFonts w:ascii="Calibri" w:eastAsia="Calibri" w:hAnsi="Calibri" w:cs="Times New Roman"/>
          <w:sz w:val="24"/>
          <w:szCs w:val="24"/>
        </w:rPr>
        <w:t>Germany is federalised, with regional governments involved in central government decision making and are shown</w:t>
      </w:r>
      <w:r>
        <w:rPr>
          <w:rFonts w:ascii="Calibri" w:eastAsia="Calibri" w:hAnsi="Calibri" w:cs="Times New Roman"/>
          <w:sz w:val="24"/>
          <w:szCs w:val="24"/>
        </w:rPr>
        <w:t xml:space="preserve"> to be</w:t>
      </w:r>
      <w:r w:rsidRPr="0061598B">
        <w:rPr>
          <w:rFonts w:ascii="Calibri" w:eastAsia="Calibri" w:hAnsi="Calibri" w:cs="Times New Roman"/>
          <w:sz w:val="24"/>
          <w:szCs w:val="24"/>
        </w:rPr>
        <w:t xml:space="preserve"> doing well in global infrastructure rankings. The City Deals act introduced in 2011 was a step towa</w:t>
      </w:r>
      <w:r>
        <w:rPr>
          <w:rFonts w:ascii="Calibri" w:eastAsia="Calibri" w:hAnsi="Calibri" w:cs="Times New Roman"/>
          <w:sz w:val="24"/>
          <w:szCs w:val="24"/>
        </w:rPr>
        <w:t xml:space="preserve">rd evening things out if it </w:t>
      </w:r>
      <w:r w:rsidRPr="0061598B">
        <w:rPr>
          <w:rFonts w:ascii="Calibri" w:eastAsia="Calibri" w:hAnsi="Calibri" w:cs="Times New Roman"/>
          <w:sz w:val="24"/>
          <w:szCs w:val="24"/>
        </w:rPr>
        <w:t xml:space="preserve">was only </w:t>
      </w:r>
      <w:r w:rsidRPr="0061598B">
        <w:rPr>
          <w:rFonts w:ascii="Calibri" w:eastAsia="Calibri" w:hAnsi="Calibri" w:cs="Times New Roman"/>
          <w:i/>
          <w:sz w:val="24"/>
          <w:szCs w:val="24"/>
        </w:rPr>
        <w:t>“tokenistic”</w:t>
      </w:r>
      <w:r>
        <w:rPr>
          <w:rFonts w:ascii="Calibri" w:eastAsia="Calibri" w:hAnsi="Calibri" w:cs="Times New Roman"/>
          <w:i/>
          <w:sz w:val="24"/>
          <w:szCs w:val="24"/>
        </w:rPr>
        <w:t xml:space="preserve"> (Raikes, 2018).</w:t>
      </w:r>
    </w:p>
    <w:p w14:paraId="622FA13D" w14:textId="77777777" w:rsidR="00607A0D"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Respondent C </w:t>
      </w:r>
      <w:r w:rsidRPr="0061598B">
        <w:rPr>
          <w:rFonts w:ascii="Calibri" w:eastAsia="Calibri" w:hAnsi="Calibri" w:cs="Times New Roman"/>
          <w:sz w:val="24"/>
          <w:szCs w:val="24"/>
        </w:rPr>
        <w:t xml:space="preserve">policy recommendations </w:t>
      </w:r>
      <w:r>
        <w:rPr>
          <w:rFonts w:ascii="Calibri" w:eastAsia="Calibri" w:hAnsi="Calibri" w:cs="Times New Roman"/>
          <w:sz w:val="24"/>
          <w:szCs w:val="24"/>
        </w:rPr>
        <w:t>is</w:t>
      </w:r>
      <w:r w:rsidRPr="0061598B">
        <w:rPr>
          <w:rFonts w:ascii="Calibri" w:eastAsia="Calibri" w:hAnsi="Calibri" w:cs="Times New Roman"/>
          <w:sz w:val="24"/>
          <w:szCs w:val="24"/>
        </w:rPr>
        <w:t xml:space="preserve"> for further devolution including proper agreements with terms of trade as opposed to ad hoc deals. </w:t>
      </w:r>
      <w:r>
        <w:rPr>
          <w:rFonts w:ascii="Calibri" w:eastAsia="Calibri" w:hAnsi="Calibri" w:cs="Times New Roman"/>
          <w:sz w:val="24"/>
          <w:szCs w:val="24"/>
        </w:rPr>
        <w:t xml:space="preserve"> He emphasised that </w:t>
      </w:r>
      <w:r w:rsidRPr="0061598B">
        <w:rPr>
          <w:rFonts w:ascii="Calibri" w:eastAsia="Calibri" w:hAnsi="Calibri" w:cs="Times New Roman"/>
          <w:sz w:val="24"/>
          <w:szCs w:val="24"/>
        </w:rPr>
        <w:t>“there is a role for infrastructure in the growth of an economy, but it needs to be assertive and sensible. There is potential in the North which can be unlocked”</w:t>
      </w:r>
    </w:p>
    <w:p w14:paraId="58498484" w14:textId="77777777" w:rsidR="00607A0D" w:rsidRPr="00334007" w:rsidRDefault="00607A0D" w:rsidP="00607A0D">
      <w:pPr>
        <w:spacing w:line="360" w:lineRule="auto"/>
        <w:jc w:val="both"/>
        <w:rPr>
          <w:rFonts w:ascii="Calibri" w:eastAsia="Calibri" w:hAnsi="Calibri" w:cs="Times New Roman"/>
          <w:b/>
          <w:bCs/>
          <w:sz w:val="24"/>
          <w:szCs w:val="24"/>
        </w:rPr>
      </w:pPr>
      <w:r w:rsidRPr="00334007">
        <w:rPr>
          <w:rFonts w:ascii="Calibri" w:eastAsia="Calibri" w:hAnsi="Calibri" w:cs="Times New Roman"/>
          <w:b/>
          <w:bCs/>
          <w:sz w:val="24"/>
          <w:szCs w:val="24"/>
        </w:rPr>
        <w:lastRenderedPageBreak/>
        <w:t xml:space="preserve">Respondent D </w:t>
      </w:r>
    </w:p>
    <w:p w14:paraId="176D9040" w14:textId="77777777" w:rsidR="00607A0D" w:rsidRPr="00203426" w:rsidRDefault="00607A0D" w:rsidP="00607A0D">
      <w:pPr>
        <w:spacing w:line="360" w:lineRule="auto"/>
        <w:jc w:val="both"/>
        <w:rPr>
          <w:rFonts w:ascii="Calibri" w:eastAsia="Calibri" w:hAnsi="Calibri" w:cs="Times New Roman"/>
          <w:sz w:val="24"/>
          <w:szCs w:val="24"/>
        </w:rPr>
      </w:pPr>
      <w:r w:rsidRPr="00B06AF4">
        <w:rPr>
          <w:rFonts w:ascii="Calibri" w:eastAsia="Calibri" w:hAnsi="Calibri" w:cs="Times New Roman"/>
          <w:sz w:val="24"/>
          <w:szCs w:val="24"/>
        </w:rPr>
        <w:t>R</w:t>
      </w:r>
      <w:r>
        <w:rPr>
          <w:rFonts w:ascii="Calibri" w:eastAsia="Calibri" w:hAnsi="Calibri" w:cs="Times New Roman"/>
          <w:sz w:val="24"/>
          <w:szCs w:val="24"/>
        </w:rPr>
        <w:t xml:space="preserve">espondent </w:t>
      </w:r>
      <w:r w:rsidRPr="00203426">
        <w:rPr>
          <w:rFonts w:ascii="Calibri" w:eastAsia="Calibri" w:hAnsi="Calibri" w:cs="Times New Roman"/>
          <w:b/>
          <w:bCs/>
          <w:sz w:val="24"/>
          <w:szCs w:val="24"/>
        </w:rPr>
        <w:t>D</w:t>
      </w:r>
      <w:r>
        <w:rPr>
          <w:rFonts w:ascii="Calibri" w:eastAsia="Calibri" w:hAnsi="Calibri" w:cs="Times New Roman"/>
          <w:sz w:val="24"/>
          <w:szCs w:val="24"/>
        </w:rPr>
        <w:t xml:space="preserve"> believe</w:t>
      </w:r>
      <w:r w:rsidRPr="00B06AF4">
        <w:rPr>
          <w:rFonts w:ascii="Calibri" w:eastAsia="Calibri" w:hAnsi="Calibri" w:cs="Times New Roman"/>
          <w:sz w:val="24"/>
          <w:szCs w:val="24"/>
        </w:rPr>
        <w:t xml:space="preserve"> that </w:t>
      </w:r>
      <w:r w:rsidRPr="00290A57">
        <w:rPr>
          <w:rFonts w:ascii="Calibri" w:eastAsia="Calibri" w:hAnsi="Calibri" w:cs="Times New Roman"/>
          <w:iCs/>
          <w:sz w:val="24"/>
          <w:szCs w:val="24"/>
        </w:rPr>
        <w:t>transport links across the nation urgently need rejuvenating and ability to boost productivity through infrastructure has stagnated as a result.</w:t>
      </w:r>
      <w:r>
        <w:rPr>
          <w:rFonts w:ascii="Calibri" w:eastAsia="Calibri" w:hAnsi="Calibri" w:cs="Times New Roman"/>
          <w:i/>
          <w:sz w:val="24"/>
          <w:szCs w:val="24"/>
        </w:rPr>
        <w:t xml:space="preserve">  He stressed the need to</w:t>
      </w:r>
      <w:r w:rsidRPr="00B06AF4">
        <w:rPr>
          <w:rFonts w:ascii="Calibri" w:eastAsia="Calibri" w:hAnsi="Calibri" w:cs="Times New Roman"/>
          <w:sz w:val="24"/>
          <w:szCs w:val="24"/>
        </w:rPr>
        <w:t xml:space="preserve"> focus on sustainable and modern technology involved in infrastructure, with the view that the UK should better prepare for the rise of automation, supporting action at European level to manage one of the most profound changes in the world of work since the industrial revolution. </w:t>
      </w:r>
      <w:r>
        <w:rPr>
          <w:rFonts w:ascii="Calibri" w:eastAsia="Calibri" w:hAnsi="Calibri" w:cs="Times New Roman"/>
          <w:sz w:val="24"/>
          <w:szCs w:val="24"/>
        </w:rPr>
        <w:t xml:space="preserve">He cited examples such as </w:t>
      </w:r>
      <w:r w:rsidRPr="00B06AF4">
        <w:rPr>
          <w:rFonts w:ascii="Calibri" w:eastAsia="Calibri" w:hAnsi="Calibri" w:cs="Times New Roman"/>
          <w:sz w:val="24"/>
          <w:szCs w:val="24"/>
        </w:rPr>
        <w:t xml:space="preserve">supporting investment in </w:t>
      </w:r>
      <w:r w:rsidRPr="00290A57">
        <w:rPr>
          <w:rFonts w:ascii="Calibri" w:eastAsia="Calibri" w:hAnsi="Calibri" w:cs="Times New Roman"/>
          <w:iCs/>
          <w:sz w:val="24"/>
          <w:szCs w:val="24"/>
        </w:rPr>
        <w:t>a green</w:t>
      </w:r>
      <w:r w:rsidRPr="00B06AF4">
        <w:rPr>
          <w:rFonts w:ascii="Calibri" w:eastAsia="Calibri" w:hAnsi="Calibri" w:cs="Times New Roman"/>
          <w:i/>
          <w:sz w:val="24"/>
          <w:szCs w:val="24"/>
        </w:rPr>
        <w:t xml:space="preserve"> </w:t>
      </w:r>
      <w:r w:rsidRPr="00290A57">
        <w:rPr>
          <w:rFonts w:ascii="Calibri" w:eastAsia="Calibri" w:hAnsi="Calibri" w:cs="Times New Roman"/>
          <w:iCs/>
          <w:sz w:val="24"/>
          <w:szCs w:val="24"/>
        </w:rPr>
        <w:t>economy, renewable energy, sustainable transport systems and environmental management practices based on scientific evidence.</w:t>
      </w:r>
      <w:r w:rsidRPr="00B06AF4">
        <w:rPr>
          <w:rFonts w:ascii="Calibri" w:eastAsia="Calibri" w:hAnsi="Calibri" w:cs="Times New Roman"/>
          <w:sz w:val="24"/>
          <w:szCs w:val="24"/>
        </w:rPr>
        <w:t xml:space="preserve"> </w:t>
      </w:r>
    </w:p>
    <w:p w14:paraId="6143A7FD" w14:textId="77777777" w:rsidR="00607A0D" w:rsidRPr="00C43D4C" w:rsidRDefault="00607A0D" w:rsidP="00607A0D">
      <w:pPr>
        <w:spacing w:line="360" w:lineRule="auto"/>
        <w:jc w:val="both"/>
        <w:rPr>
          <w:rFonts w:ascii="Calibri" w:eastAsia="Calibri" w:hAnsi="Calibri" w:cs="Times New Roman"/>
          <w:sz w:val="24"/>
          <w:szCs w:val="24"/>
        </w:rPr>
      </w:pPr>
      <w:r w:rsidRPr="00B06AF4">
        <w:rPr>
          <w:rFonts w:ascii="Calibri" w:eastAsia="Calibri" w:hAnsi="Calibri" w:cs="Times New Roman"/>
          <w:sz w:val="24"/>
          <w:szCs w:val="24"/>
        </w:rPr>
        <w:t xml:space="preserve">In terms of international comparisons, Hong Kong </w:t>
      </w:r>
      <w:r>
        <w:rPr>
          <w:rFonts w:ascii="Calibri" w:eastAsia="Calibri" w:hAnsi="Calibri" w:cs="Times New Roman"/>
          <w:sz w:val="24"/>
          <w:szCs w:val="24"/>
        </w:rPr>
        <w:t>was</w:t>
      </w:r>
      <w:r w:rsidRPr="00B06AF4">
        <w:rPr>
          <w:rFonts w:ascii="Calibri" w:eastAsia="Calibri" w:hAnsi="Calibri" w:cs="Times New Roman"/>
          <w:sz w:val="24"/>
          <w:szCs w:val="24"/>
        </w:rPr>
        <w:t xml:space="preserve"> highlighted</w:t>
      </w:r>
      <w:r>
        <w:rPr>
          <w:rFonts w:ascii="Calibri" w:eastAsia="Calibri" w:hAnsi="Calibri" w:cs="Times New Roman"/>
          <w:sz w:val="24"/>
          <w:szCs w:val="24"/>
        </w:rPr>
        <w:t xml:space="preserve"> with </w:t>
      </w:r>
      <w:r w:rsidRPr="00DF2470">
        <w:rPr>
          <w:rFonts w:ascii="Calibri" w:eastAsia="Calibri" w:hAnsi="Calibri" w:cs="Times New Roman"/>
          <w:iCs/>
          <w:sz w:val="24"/>
          <w:szCs w:val="24"/>
        </w:rPr>
        <w:t>development plans which provide a funding stream</w:t>
      </w:r>
      <w:r>
        <w:rPr>
          <w:rFonts w:ascii="Calibri" w:eastAsia="Calibri" w:hAnsi="Calibri" w:cs="Times New Roman"/>
          <w:iCs/>
          <w:sz w:val="24"/>
          <w:szCs w:val="24"/>
        </w:rPr>
        <w:t xml:space="preserve"> with</w:t>
      </w:r>
      <w:r w:rsidRPr="00B06AF4">
        <w:rPr>
          <w:rFonts w:ascii="Calibri" w:eastAsia="Calibri" w:hAnsi="Calibri" w:cs="Times New Roman"/>
          <w:sz w:val="24"/>
          <w:szCs w:val="24"/>
        </w:rPr>
        <w:t xml:space="preserve"> integrated plans mak</w:t>
      </w:r>
      <w:r>
        <w:rPr>
          <w:rFonts w:ascii="Calibri" w:eastAsia="Calibri" w:hAnsi="Calibri" w:cs="Times New Roman"/>
          <w:sz w:val="24"/>
          <w:szCs w:val="24"/>
        </w:rPr>
        <w:t>ing</w:t>
      </w:r>
      <w:r w:rsidRPr="00B06AF4">
        <w:rPr>
          <w:rFonts w:ascii="Calibri" w:eastAsia="Calibri" w:hAnsi="Calibri" w:cs="Times New Roman"/>
          <w:sz w:val="24"/>
          <w:szCs w:val="24"/>
        </w:rPr>
        <w:t xml:space="preserve"> the most of available opportunities </w:t>
      </w:r>
      <w:r>
        <w:rPr>
          <w:rFonts w:ascii="Calibri" w:eastAsia="Calibri" w:hAnsi="Calibri" w:cs="Times New Roman"/>
          <w:sz w:val="24"/>
          <w:szCs w:val="24"/>
        </w:rPr>
        <w:t>to</w:t>
      </w:r>
      <w:r w:rsidRPr="00B06AF4">
        <w:rPr>
          <w:rFonts w:ascii="Calibri" w:eastAsia="Calibri" w:hAnsi="Calibri" w:cs="Times New Roman"/>
          <w:sz w:val="24"/>
          <w:szCs w:val="24"/>
        </w:rPr>
        <w:t xml:space="preserve"> help pay back the investment faster. The</w:t>
      </w:r>
      <w:r>
        <w:rPr>
          <w:rFonts w:ascii="Calibri" w:eastAsia="Calibri" w:hAnsi="Calibri" w:cs="Times New Roman"/>
          <w:sz w:val="24"/>
          <w:szCs w:val="24"/>
        </w:rPr>
        <w:t xml:space="preserve"> Respondent identified</w:t>
      </w:r>
      <w:r w:rsidRPr="00B06AF4">
        <w:rPr>
          <w:rFonts w:ascii="Calibri" w:eastAsia="Calibri" w:hAnsi="Calibri" w:cs="Times New Roman"/>
          <w:sz w:val="24"/>
          <w:szCs w:val="24"/>
        </w:rPr>
        <w:t>, the Upper Lea Valley</w:t>
      </w:r>
      <w:r>
        <w:rPr>
          <w:rFonts w:ascii="Calibri" w:eastAsia="Calibri" w:hAnsi="Calibri" w:cs="Times New Roman"/>
          <w:sz w:val="24"/>
          <w:szCs w:val="24"/>
        </w:rPr>
        <w:t xml:space="preserve"> community in London</w:t>
      </w:r>
      <w:r w:rsidRPr="00B06AF4">
        <w:rPr>
          <w:rFonts w:ascii="Calibri" w:eastAsia="Calibri" w:hAnsi="Calibri" w:cs="Times New Roman"/>
          <w:sz w:val="24"/>
          <w:szCs w:val="24"/>
        </w:rPr>
        <w:t xml:space="preserve">, as an area which could be regenerated and support new development </w:t>
      </w:r>
      <w:r>
        <w:rPr>
          <w:rFonts w:ascii="Calibri" w:eastAsia="Calibri" w:hAnsi="Calibri" w:cs="Times New Roman"/>
          <w:sz w:val="24"/>
          <w:szCs w:val="24"/>
        </w:rPr>
        <w:t>plan with the</w:t>
      </w:r>
      <w:r w:rsidRPr="00B06AF4">
        <w:rPr>
          <w:rFonts w:ascii="Calibri" w:eastAsia="Calibri" w:hAnsi="Calibri" w:cs="Times New Roman"/>
          <w:sz w:val="24"/>
          <w:szCs w:val="24"/>
        </w:rPr>
        <w:t xml:space="preserve"> Crossrail 2</w:t>
      </w:r>
      <w:r>
        <w:rPr>
          <w:rFonts w:ascii="Calibri" w:eastAsia="Calibri" w:hAnsi="Calibri" w:cs="Times New Roman"/>
          <w:sz w:val="24"/>
          <w:szCs w:val="24"/>
        </w:rPr>
        <w:t xml:space="preserve"> project</w:t>
      </w:r>
      <w:r w:rsidRPr="00B06AF4">
        <w:rPr>
          <w:rFonts w:ascii="Calibri" w:eastAsia="Calibri" w:hAnsi="Calibri" w:cs="Times New Roman"/>
          <w:sz w:val="24"/>
          <w:szCs w:val="24"/>
        </w:rPr>
        <w:t xml:space="preserve">. </w:t>
      </w:r>
      <w:r>
        <w:rPr>
          <w:rFonts w:ascii="Calibri" w:eastAsia="Calibri" w:hAnsi="Calibri" w:cs="Times New Roman"/>
          <w:sz w:val="24"/>
          <w:szCs w:val="24"/>
        </w:rPr>
        <w:t>These mechanisms</w:t>
      </w:r>
      <w:r w:rsidRPr="00B06AF4">
        <w:rPr>
          <w:rFonts w:ascii="Calibri" w:eastAsia="Calibri" w:hAnsi="Calibri" w:cs="Times New Roman"/>
          <w:sz w:val="24"/>
          <w:szCs w:val="24"/>
        </w:rPr>
        <w:t xml:space="preserve"> could be developed to provide additional funding streams for </w:t>
      </w:r>
      <w:r>
        <w:rPr>
          <w:rFonts w:ascii="Calibri" w:eastAsia="Calibri" w:hAnsi="Calibri" w:cs="Times New Roman"/>
          <w:sz w:val="24"/>
          <w:szCs w:val="24"/>
        </w:rPr>
        <w:t>similar type of</w:t>
      </w:r>
      <w:r w:rsidRPr="00B06AF4">
        <w:rPr>
          <w:rFonts w:ascii="Calibri" w:eastAsia="Calibri" w:hAnsi="Calibri" w:cs="Times New Roman"/>
          <w:sz w:val="24"/>
          <w:szCs w:val="24"/>
        </w:rPr>
        <w:t xml:space="preserve"> project</w:t>
      </w:r>
      <w:r>
        <w:rPr>
          <w:rFonts w:ascii="Calibri" w:eastAsia="Calibri" w:hAnsi="Calibri" w:cs="Times New Roman"/>
          <w:sz w:val="24"/>
          <w:szCs w:val="24"/>
        </w:rPr>
        <w:t>s in future</w:t>
      </w:r>
      <w:r w:rsidRPr="00B06AF4">
        <w:rPr>
          <w:rFonts w:ascii="Calibri" w:eastAsia="Calibri" w:hAnsi="Calibri" w:cs="Times New Roman"/>
          <w:sz w:val="24"/>
          <w:szCs w:val="24"/>
        </w:rPr>
        <w:t xml:space="preserve"> </w:t>
      </w:r>
      <w:r>
        <w:rPr>
          <w:rFonts w:ascii="Calibri" w:eastAsia="Calibri" w:hAnsi="Calibri" w:cs="Times New Roman"/>
          <w:sz w:val="24"/>
          <w:szCs w:val="24"/>
        </w:rPr>
        <w:t xml:space="preserve">with </w:t>
      </w:r>
      <w:r w:rsidRPr="00B06AF4">
        <w:rPr>
          <w:rFonts w:ascii="Calibri" w:eastAsia="Calibri" w:hAnsi="Calibri" w:cs="Times New Roman"/>
          <w:sz w:val="24"/>
          <w:szCs w:val="24"/>
        </w:rPr>
        <w:t>collaboration</w:t>
      </w:r>
      <w:r>
        <w:rPr>
          <w:rFonts w:ascii="Calibri" w:eastAsia="Calibri" w:hAnsi="Calibri" w:cs="Times New Roman"/>
          <w:sz w:val="24"/>
          <w:szCs w:val="24"/>
        </w:rPr>
        <w:t xml:space="preserve"> approach</w:t>
      </w:r>
      <w:r w:rsidRPr="00B06AF4">
        <w:rPr>
          <w:rFonts w:ascii="Calibri" w:eastAsia="Calibri" w:hAnsi="Calibri" w:cs="Times New Roman"/>
          <w:sz w:val="24"/>
          <w:szCs w:val="24"/>
        </w:rPr>
        <w:t xml:space="preserve"> </w:t>
      </w:r>
      <w:r>
        <w:rPr>
          <w:rFonts w:ascii="Calibri" w:eastAsia="Calibri" w:hAnsi="Calibri" w:cs="Times New Roman"/>
          <w:sz w:val="24"/>
          <w:szCs w:val="24"/>
        </w:rPr>
        <w:t>similar to</w:t>
      </w:r>
      <w:r w:rsidRPr="00B06AF4">
        <w:rPr>
          <w:rFonts w:ascii="Calibri" w:eastAsia="Calibri" w:hAnsi="Calibri" w:cs="Times New Roman"/>
          <w:sz w:val="24"/>
          <w:szCs w:val="24"/>
        </w:rPr>
        <w:t xml:space="preserve"> Asian countries and cities</w:t>
      </w:r>
      <w:r>
        <w:rPr>
          <w:rFonts w:ascii="Calibri" w:eastAsia="Calibri" w:hAnsi="Calibri" w:cs="Times New Roman"/>
          <w:sz w:val="24"/>
          <w:szCs w:val="24"/>
        </w:rPr>
        <w:t xml:space="preserve"> which </w:t>
      </w:r>
      <w:r w:rsidRPr="00B06AF4">
        <w:rPr>
          <w:rFonts w:ascii="Calibri" w:eastAsia="Calibri" w:hAnsi="Calibri" w:cs="Times New Roman"/>
          <w:sz w:val="24"/>
          <w:szCs w:val="24"/>
        </w:rPr>
        <w:t>the UK should replicate (Lai, 2011).</w:t>
      </w:r>
    </w:p>
    <w:p w14:paraId="7B906C59" w14:textId="77777777" w:rsidR="00607A0D"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He argued that o</w:t>
      </w:r>
      <w:r w:rsidRPr="00B06AF4">
        <w:rPr>
          <w:rFonts w:ascii="Calibri" w:eastAsia="Calibri" w:hAnsi="Calibri" w:cs="Times New Roman"/>
          <w:sz w:val="24"/>
          <w:szCs w:val="24"/>
        </w:rPr>
        <w:t xml:space="preserve">n a global scale, infrastructure spending has increased over the past two decades. There is a growing number of structured spending plans or commitments, such as the G20 Roadmap, the UK National Infrastructure Delivery Plan, the European Union Trans European Network for Energy, and Infrastructure Asia.  The drivers behind each of these plans vary. For example, spending figures vary, the amount of private sector investment varies, as well as the level of collaboration between central government and local </w:t>
      </w:r>
      <w:r>
        <w:rPr>
          <w:rFonts w:ascii="Calibri" w:eastAsia="Calibri" w:hAnsi="Calibri" w:cs="Times New Roman"/>
          <w:sz w:val="24"/>
          <w:szCs w:val="24"/>
        </w:rPr>
        <w:t>stakeholders</w:t>
      </w:r>
      <w:r w:rsidRPr="00B06AF4">
        <w:rPr>
          <w:rFonts w:ascii="Calibri" w:eastAsia="Calibri" w:hAnsi="Calibri" w:cs="Times New Roman"/>
          <w:sz w:val="24"/>
          <w:szCs w:val="24"/>
        </w:rPr>
        <w:t>. Forecasts by Global Construction 2030 predict</w:t>
      </w:r>
      <w:r>
        <w:rPr>
          <w:rFonts w:ascii="Calibri" w:eastAsia="Calibri" w:hAnsi="Calibri" w:cs="Times New Roman"/>
          <w:sz w:val="24"/>
          <w:szCs w:val="24"/>
        </w:rPr>
        <w:t>ed</w:t>
      </w:r>
      <w:r w:rsidRPr="00B06AF4">
        <w:rPr>
          <w:rFonts w:ascii="Calibri" w:eastAsia="Calibri" w:hAnsi="Calibri" w:cs="Times New Roman"/>
          <w:sz w:val="24"/>
          <w:szCs w:val="24"/>
        </w:rPr>
        <w:t xml:space="preserve"> that the volume of construction output will grow to $15.5 trillion worldwide by 2030. China, India, and the US are predicted as the country’s leading the way. They also predict</w:t>
      </w:r>
      <w:r>
        <w:rPr>
          <w:rFonts w:ascii="Calibri" w:eastAsia="Calibri" w:hAnsi="Calibri" w:cs="Times New Roman"/>
          <w:sz w:val="24"/>
          <w:szCs w:val="24"/>
        </w:rPr>
        <w:t>ed</w:t>
      </w:r>
      <w:r w:rsidRPr="00B06AF4">
        <w:rPr>
          <w:rFonts w:ascii="Calibri" w:eastAsia="Calibri" w:hAnsi="Calibri" w:cs="Times New Roman"/>
          <w:sz w:val="24"/>
          <w:szCs w:val="24"/>
        </w:rPr>
        <w:t xml:space="preserve"> that the UK will be the largest infrastructure market in Europe, overtaking Germany, given the government </w:t>
      </w:r>
      <w:r>
        <w:rPr>
          <w:rFonts w:ascii="Calibri" w:eastAsia="Calibri" w:hAnsi="Calibri" w:cs="Times New Roman"/>
          <w:sz w:val="24"/>
          <w:szCs w:val="24"/>
        </w:rPr>
        <w:t xml:space="preserve">project </w:t>
      </w:r>
      <w:r w:rsidRPr="00B06AF4">
        <w:rPr>
          <w:rFonts w:ascii="Calibri" w:eastAsia="Calibri" w:hAnsi="Calibri" w:cs="Times New Roman"/>
          <w:sz w:val="24"/>
          <w:szCs w:val="24"/>
        </w:rPr>
        <w:t>pipelin</w:t>
      </w:r>
      <w:r>
        <w:rPr>
          <w:rFonts w:ascii="Calibri" w:eastAsia="Calibri" w:hAnsi="Calibri" w:cs="Times New Roman"/>
          <w:sz w:val="24"/>
          <w:szCs w:val="24"/>
        </w:rPr>
        <w:t xml:space="preserve">e </w:t>
      </w:r>
      <w:r w:rsidRPr="00B06AF4">
        <w:rPr>
          <w:rFonts w:ascii="Calibri" w:eastAsia="Calibri" w:hAnsi="Calibri" w:cs="Times New Roman"/>
          <w:sz w:val="24"/>
          <w:szCs w:val="24"/>
        </w:rPr>
        <w:t>(Global Construction Perspectives and Oxford Economics, 2015).</w:t>
      </w:r>
    </w:p>
    <w:p w14:paraId="6E99918F" w14:textId="77777777" w:rsidR="00607A0D" w:rsidRPr="00334007" w:rsidRDefault="00607A0D" w:rsidP="00607A0D">
      <w:pPr>
        <w:spacing w:line="360" w:lineRule="auto"/>
        <w:rPr>
          <w:rFonts w:ascii="Calibri" w:eastAsia="Calibri" w:hAnsi="Calibri" w:cs="Times New Roman"/>
          <w:b/>
          <w:bCs/>
          <w:sz w:val="24"/>
          <w:szCs w:val="24"/>
        </w:rPr>
      </w:pPr>
      <w:r w:rsidRPr="00334007">
        <w:rPr>
          <w:rFonts w:ascii="Calibri" w:eastAsia="Calibri" w:hAnsi="Calibri" w:cs="Times New Roman"/>
          <w:b/>
          <w:bCs/>
          <w:sz w:val="24"/>
          <w:szCs w:val="24"/>
        </w:rPr>
        <w:t>Emerging Issues</w:t>
      </w:r>
    </w:p>
    <w:p w14:paraId="14720547" w14:textId="77777777" w:rsidR="00607A0D" w:rsidRDefault="00607A0D" w:rsidP="00607A0D">
      <w:pPr>
        <w:spacing w:line="360" w:lineRule="auto"/>
        <w:rPr>
          <w:rFonts w:ascii="Calibri" w:eastAsia="Calibri" w:hAnsi="Calibri" w:cs="Times New Roman"/>
          <w:sz w:val="24"/>
          <w:szCs w:val="24"/>
        </w:rPr>
      </w:pPr>
      <w:r>
        <w:rPr>
          <w:rFonts w:ascii="Calibri" w:eastAsia="Calibri" w:hAnsi="Calibri" w:cs="Times New Roman"/>
          <w:sz w:val="24"/>
          <w:szCs w:val="24"/>
        </w:rPr>
        <w:t>Key findings from the interview conducted with key stakeholders are analysed under the following subheadings:</w:t>
      </w:r>
    </w:p>
    <w:p w14:paraId="75411EAD" w14:textId="77777777" w:rsidR="00607A0D" w:rsidRDefault="00607A0D" w:rsidP="00607A0D">
      <w:pPr>
        <w:spacing w:line="360" w:lineRule="auto"/>
        <w:rPr>
          <w:rFonts w:ascii="Calibri" w:eastAsia="Calibri" w:hAnsi="Calibri" w:cs="Times New Roman"/>
          <w:b/>
          <w:bCs/>
          <w:i/>
          <w:iCs/>
          <w:sz w:val="24"/>
          <w:szCs w:val="24"/>
        </w:rPr>
      </w:pPr>
    </w:p>
    <w:p w14:paraId="5E42C14A" w14:textId="77777777" w:rsidR="00607A0D" w:rsidRPr="008E38EF" w:rsidRDefault="00607A0D" w:rsidP="00607A0D">
      <w:pPr>
        <w:spacing w:line="360" w:lineRule="auto"/>
        <w:jc w:val="both"/>
        <w:rPr>
          <w:rFonts w:ascii="Calibri" w:eastAsia="Calibri" w:hAnsi="Calibri" w:cs="Times New Roman"/>
          <w:b/>
          <w:bCs/>
          <w:i/>
          <w:iCs/>
          <w:sz w:val="24"/>
          <w:szCs w:val="24"/>
          <w:u w:val="single"/>
        </w:rPr>
      </w:pPr>
      <w:r>
        <w:rPr>
          <w:rFonts w:ascii="Calibri" w:eastAsia="Calibri" w:hAnsi="Calibri" w:cs="Times New Roman"/>
          <w:b/>
          <w:bCs/>
          <w:i/>
          <w:iCs/>
          <w:sz w:val="24"/>
          <w:szCs w:val="24"/>
        </w:rPr>
        <w:t xml:space="preserve">Understanding the Key Drivers of </w:t>
      </w:r>
      <w:r w:rsidRPr="008E38EF">
        <w:rPr>
          <w:rFonts w:ascii="Calibri" w:eastAsia="Calibri" w:hAnsi="Calibri" w:cs="Times New Roman"/>
          <w:b/>
          <w:bCs/>
          <w:i/>
          <w:iCs/>
          <w:sz w:val="24"/>
          <w:szCs w:val="24"/>
        </w:rPr>
        <w:t xml:space="preserve">Infrastructure </w:t>
      </w:r>
      <w:r>
        <w:rPr>
          <w:rFonts w:ascii="Calibri" w:eastAsia="Calibri" w:hAnsi="Calibri" w:cs="Times New Roman"/>
          <w:b/>
          <w:bCs/>
          <w:i/>
          <w:iCs/>
          <w:sz w:val="24"/>
          <w:szCs w:val="24"/>
        </w:rPr>
        <w:t>Investment</w:t>
      </w:r>
    </w:p>
    <w:p w14:paraId="41FE2A32" w14:textId="77777777" w:rsidR="00607A0D" w:rsidRPr="008E38EF" w:rsidRDefault="00607A0D" w:rsidP="00607A0D">
      <w:pPr>
        <w:spacing w:line="360" w:lineRule="auto"/>
        <w:jc w:val="both"/>
        <w:rPr>
          <w:rFonts w:ascii="Calibri" w:eastAsia="Calibri" w:hAnsi="Calibri" w:cs="Times New Roman"/>
          <w:sz w:val="24"/>
          <w:szCs w:val="24"/>
        </w:rPr>
      </w:pPr>
      <w:r w:rsidRPr="008E38EF">
        <w:rPr>
          <w:rFonts w:ascii="Calibri" w:eastAsia="Calibri" w:hAnsi="Calibri" w:cs="Times New Roman"/>
          <w:sz w:val="24"/>
          <w:szCs w:val="24"/>
        </w:rPr>
        <w:t>The UK government sets out its own drivers in the National Infrastructure Plan</w:t>
      </w:r>
      <w:r>
        <w:rPr>
          <w:rFonts w:ascii="Calibri" w:eastAsia="Calibri" w:hAnsi="Calibri" w:cs="Times New Roman"/>
          <w:sz w:val="24"/>
          <w:szCs w:val="24"/>
        </w:rPr>
        <w:t xml:space="preserve"> which </w:t>
      </w:r>
      <w:r w:rsidRPr="008E38EF">
        <w:rPr>
          <w:rFonts w:ascii="Calibri" w:eastAsia="Calibri" w:hAnsi="Calibri" w:cs="Times New Roman"/>
          <w:sz w:val="24"/>
          <w:szCs w:val="24"/>
        </w:rPr>
        <w:t xml:space="preserve">are to </w:t>
      </w:r>
      <w:r w:rsidRPr="003626BF">
        <w:rPr>
          <w:rFonts w:ascii="Calibri" w:eastAsia="Calibri" w:hAnsi="Calibri" w:cs="Times New Roman"/>
          <w:sz w:val="24"/>
          <w:szCs w:val="24"/>
        </w:rPr>
        <w:t>raise productive capacity, attract private investment, and enable trade on an international level.</w:t>
      </w:r>
      <w:r w:rsidRPr="008E38EF">
        <w:rPr>
          <w:rFonts w:ascii="Calibri" w:eastAsia="Calibri" w:hAnsi="Calibri" w:cs="Times New Roman"/>
          <w:sz w:val="24"/>
          <w:szCs w:val="24"/>
        </w:rPr>
        <w:t xml:space="preserve"> The links between infrastructure and growth are visible, </w:t>
      </w:r>
      <w:r>
        <w:rPr>
          <w:rFonts w:ascii="Calibri" w:eastAsia="Calibri" w:hAnsi="Calibri" w:cs="Times New Roman"/>
          <w:sz w:val="24"/>
          <w:szCs w:val="24"/>
        </w:rPr>
        <w:t xml:space="preserve">and </w:t>
      </w:r>
      <w:r w:rsidRPr="008E38EF">
        <w:rPr>
          <w:rFonts w:ascii="Calibri" w:eastAsia="Calibri" w:hAnsi="Calibri" w:cs="Times New Roman"/>
          <w:sz w:val="24"/>
          <w:szCs w:val="24"/>
        </w:rPr>
        <w:t xml:space="preserve">there are countries showing impressive growth rates </w:t>
      </w:r>
      <w:r>
        <w:rPr>
          <w:rFonts w:ascii="Calibri" w:eastAsia="Calibri" w:hAnsi="Calibri" w:cs="Times New Roman"/>
          <w:sz w:val="24"/>
          <w:szCs w:val="24"/>
        </w:rPr>
        <w:t>with</w:t>
      </w:r>
      <w:r w:rsidRPr="008E38EF">
        <w:rPr>
          <w:rFonts w:ascii="Calibri" w:eastAsia="Calibri" w:hAnsi="Calibri" w:cs="Times New Roman"/>
          <w:sz w:val="24"/>
          <w:szCs w:val="24"/>
        </w:rPr>
        <w:t xml:space="preserve"> heavy infrastructure </w:t>
      </w:r>
      <w:r>
        <w:rPr>
          <w:rFonts w:ascii="Calibri" w:eastAsia="Calibri" w:hAnsi="Calibri" w:cs="Times New Roman"/>
          <w:sz w:val="24"/>
          <w:szCs w:val="24"/>
        </w:rPr>
        <w:t xml:space="preserve">investment.  The UK is </w:t>
      </w:r>
      <w:r w:rsidRPr="008E38EF">
        <w:rPr>
          <w:rFonts w:ascii="Calibri" w:eastAsia="Calibri" w:hAnsi="Calibri" w:cs="Times New Roman"/>
          <w:sz w:val="24"/>
          <w:szCs w:val="24"/>
        </w:rPr>
        <w:t>following global trends of increased infrastructure investment in sectors</w:t>
      </w:r>
      <w:r>
        <w:rPr>
          <w:rFonts w:ascii="Calibri" w:eastAsia="Calibri" w:hAnsi="Calibri" w:cs="Times New Roman"/>
          <w:sz w:val="24"/>
          <w:szCs w:val="24"/>
        </w:rPr>
        <w:t xml:space="preserve"> with</w:t>
      </w:r>
      <w:r w:rsidRPr="008E38EF">
        <w:rPr>
          <w:rFonts w:ascii="Calibri" w:eastAsia="Calibri" w:hAnsi="Calibri" w:cs="Times New Roman"/>
          <w:sz w:val="24"/>
          <w:szCs w:val="24"/>
        </w:rPr>
        <w:t xml:space="preserve"> the highest returns (energy and transport). However, the UK falls behind on the percentage spend relative to GDP</w:t>
      </w:r>
      <w:r>
        <w:rPr>
          <w:rFonts w:ascii="Calibri" w:eastAsia="Calibri" w:hAnsi="Calibri" w:cs="Times New Roman"/>
          <w:sz w:val="24"/>
          <w:szCs w:val="24"/>
        </w:rPr>
        <w:t xml:space="preserve"> when compared to other leading countries</w:t>
      </w:r>
      <w:r w:rsidRPr="008E38EF">
        <w:rPr>
          <w:rFonts w:ascii="Calibri" w:eastAsia="Calibri" w:hAnsi="Calibri" w:cs="Times New Roman"/>
          <w:sz w:val="24"/>
          <w:szCs w:val="24"/>
        </w:rPr>
        <w:t xml:space="preserve">. The percentage spending relative to GDP in China is more than three times that of countries in the European Union, and the spending is well over the level of estimated needs </w:t>
      </w:r>
      <w:r>
        <w:rPr>
          <w:rFonts w:ascii="Calibri" w:eastAsia="Calibri" w:hAnsi="Calibri" w:cs="Times New Roman"/>
          <w:sz w:val="24"/>
          <w:szCs w:val="24"/>
        </w:rPr>
        <w:t xml:space="preserve">to </w:t>
      </w:r>
      <w:r w:rsidRPr="008E38EF">
        <w:rPr>
          <w:rFonts w:ascii="Calibri" w:eastAsia="Calibri" w:hAnsi="Calibri" w:cs="Times New Roman"/>
          <w:sz w:val="24"/>
          <w:szCs w:val="24"/>
        </w:rPr>
        <w:t>creat</w:t>
      </w:r>
      <w:r>
        <w:rPr>
          <w:rFonts w:ascii="Calibri" w:eastAsia="Calibri" w:hAnsi="Calibri" w:cs="Times New Roman"/>
          <w:sz w:val="24"/>
          <w:szCs w:val="24"/>
        </w:rPr>
        <w:t>e</w:t>
      </w:r>
      <w:r w:rsidRPr="008E38EF">
        <w:rPr>
          <w:rFonts w:ascii="Calibri" w:eastAsia="Calibri" w:hAnsi="Calibri" w:cs="Times New Roman"/>
          <w:sz w:val="24"/>
          <w:szCs w:val="24"/>
        </w:rPr>
        <w:t xml:space="preserve"> “spare capacity” thus maximising the multiplier effect.</w:t>
      </w:r>
    </w:p>
    <w:p w14:paraId="4EA592BC" w14:textId="77777777" w:rsidR="00607A0D" w:rsidRDefault="00607A0D" w:rsidP="00607A0D">
      <w:pPr>
        <w:spacing w:line="360" w:lineRule="auto"/>
        <w:jc w:val="both"/>
        <w:rPr>
          <w:rFonts w:ascii="Calibri" w:eastAsia="Calibri" w:hAnsi="Calibri" w:cs="Times New Roman"/>
          <w:sz w:val="24"/>
          <w:szCs w:val="24"/>
        </w:rPr>
      </w:pPr>
      <w:r w:rsidRPr="008E38EF">
        <w:rPr>
          <w:rFonts w:ascii="Calibri" w:eastAsia="Calibri" w:hAnsi="Calibri" w:cs="Times New Roman"/>
          <w:sz w:val="24"/>
          <w:szCs w:val="24"/>
        </w:rPr>
        <w:t xml:space="preserve">There are several key projects </w:t>
      </w:r>
      <w:r>
        <w:rPr>
          <w:rFonts w:ascii="Calibri" w:eastAsia="Calibri" w:hAnsi="Calibri" w:cs="Times New Roman"/>
          <w:sz w:val="24"/>
          <w:szCs w:val="24"/>
        </w:rPr>
        <w:t xml:space="preserve">that are designed to raise UK’s productive capacity, attract investment and create a competitive advantage </w:t>
      </w:r>
      <w:r w:rsidRPr="008E38EF">
        <w:rPr>
          <w:rFonts w:ascii="Calibri" w:eastAsia="Calibri" w:hAnsi="Calibri" w:cs="Times New Roman"/>
          <w:sz w:val="24"/>
          <w:szCs w:val="24"/>
        </w:rPr>
        <w:t xml:space="preserve">such as Crossrail, which is the largest infrastructure project in Europe, and HS2, with plans for further large-scale projects such as HS3 and Crossrail 2. </w:t>
      </w:r>
      <w:r>
        <w:rPr>
          <w:rFonts w:ascii="Calibri" w:eastAsia="Calibri" w:hAnsi="Calibri" w:cs="Times New Roman"/>
          <w:sz w:val="24"/>
          <w:szCs w:val="24"/>
        </w:rPr>
        <w:t xml:space="preserve">However, the </w:t>
      </w:r>
      <w:r w:rsidRPr="008E38EF">
        <w:rPr>
          <w:rFonts w:ascii="Calibri" w:eastAsia="Calibri" w:hAnsi="Calibri" w:cs="Times New Roman"/>
          <w:sz w:val="24"/>
          <w:szCs w:val="24"/>
        </w:rPr>
        <w:t xml:space="preserve">National Grid highlighted decreasing levels of investment in energy despite sustained increases up to several years ago. This may </w:t>
      </w:r>
      <w:r>
        <w:rPr>
          <w:rFonts w:ascii="Calibri" w:eastAsia="Calibri" w:hAnsi="Calibri" w:cs="Times New Roman"/>
          <w:sz w:val="24"/>
          <w:szCs w:val="24"/>
        </w:rPr>
        <w:t xml:space="preserve">be due </w:t>
      </w:r>
      <w:r w:rsidRPr="008E38EF">
        <w:rPr>
          <w:rFonts w:ascii="Calibri" w:eastAsia="Calibri" w:hAnsi="Calibri" w:cs="Times New Roman"/>
          <w:sz w:val="24"/>
          <w:szCs w:val="24"/>
        </w:rPr>
        <w:t>to Brexit uncertainty putting some projects on hold, as well as reducing access to funding from the EIB.</w:t>
      </w:r>
      <w:r w:rsidRPr="00EB04C8">
        <w:rPr>
          <w:rFonts w:ascii="Calibri" w:eastAsia="Calibri" w:hAnsi="Calibri" w:cs="Times New Roman"/>
          <w:sz w:val="24"/>
          <w:szCs w:val="24"/>
        </w:rPr>
        <w:t xml:space="preserve"> </w:t>
      </w:r>
      <w:r w:rsidRPr="00512DB5">
        <w:rPr>
          <w:rFonts w:ascii="Calibri" w:eastAsia="Calibri" w:hAnsi="Calibri" w:cs="Times New Roman"/>
          <w:sz w:val="24"/>
          <w:szCs w:val="24"/>
        </w:rPr>
        <w:t>Investment in transport and energy is not at a level to create “spare capacity” and therefore there will be limited increase in productive capacity.</w:t>
      </w:r>
    </w:p>
    <w:p w14:paraId="40FB1694" w14:textId="77777777" w:rsidR="00607A0D" w:rsidRPr="009265DE" w:rsidRDefault="00607A0D" w:rsidP="00607A0D">
      <w:pPr>
        <w:spacing w:line="360" w:lineRule="auto"/>
        <w:jc w:val="both"/>
        <w:rPr>
          <w:rFonts w:ascii="Calibri" w:eastAsia="Calibri" w:hAnsi="Calibri" w:cs="Times New Roman"/>
          <w:b/>
          <w:bCs/>
          <w:i/>
          <w:iCs/>
          <w:sz w:val="24"/>
          <w:szCs w:val="24"/>
        </w:rPr>
      </w:pPr>
      <w:r>
        <w:rPr>
          <w:rFonts w:ascii="Calibri" w:eastAsia="Calibri" w:hAnsi="Calibri" w:cs="Times New Roman"/>
          <w:b/>
          <w:bCs/>
          <w:i/>
          <w:iCs/>
          <w:sz w:val="24"/>
          <w:szCs w:val="24"/>
        </w:rPr>
        <w:t xml:space="preserve">Reducing the </w:t>
      </w:r>
      <w:r w:rsidRPr="009265DE">
        <w:rPr>
          <w:rFonts w:ascii="Calibri" w:eastAsia="Calibri" w:hAnsi="Calibri" w:cs="Times New Roman"/>
          <w:b/>
          <w:bCs/>
          <w:i/>
          <w:iCs/>
          <w:sz w:val="24"/>
          <w:szCs w:val="24"/>
        </w:rPr>
        <w:t>Heavy Relian</w:t>
      </w:r>
      <w:r>
        <w:rPr>
          <w:rFonts w:ascii="Calibri" w:eastAsia="Calibri" w:hAnsi="Calibri" w:cs="Times New Roman"/>
          <w:b/>
          <w:bCs/>
          <w:i/>
          <w:iCs/>
          <w:sz w:val="24"/>
          <w:szCs w:val="24"/>
        </w:rPr>
        <w:t>ce</w:t>
      </w:r>
      <w:r w:rsidRPr="009265DE">
        <w:rPr>
          <w:rFonts w:ascii="Calibri" w:eastAsia="Calibri" w:hAnsi="Calibri" w:cs="Times New Roman"/>
          <w:b/>
          <w:bCs/>
          <w:i/>
          <w:iCs/>
          <w:sz w:val="24"/>
          <w:szCs w:val="24"/>
        </w:rPr>
        <w:t xml:space="preserve"> </w:t>
      </w:r>
      <w:r>
        <w:rPr>
          <w:rFonts w:ascii="Calibri" w:eastAsia="Calibri" w:hAnsi="Calibri" w:cs="Times New Roman"/>
          <w:b/>
          <w:bCs/>
          <w:i/>
          <w:iCs/>
          <w:sz w:val="24"/>
          <w:szCs w:val="24"/>
        </w:rPr>
        <w:t>o</w:t>
      </w:r>
      <w:r w:rsidRPr="009265DE">
        <w:rPr>
          <w:rFonts w:ascii="Calibri" w:eastAsia="Calibri" w:hAnsi="Calibri" w:cs="Times New Roman"/>
          <w:b/>
          <w:bCs/>
          <w:i/>
          <w:iCs/>
          <w:sz w:val="24"/>
          <w:szCs w:val="24"/>
        </w:rPr>
        <w:t xml:space="preserve">n Central Government Funding </w:t>
      </w:r>
    </w:p>
    <w:p w14:paraId="7B9E1543" w14:textId="77777777" w:rsidR="00607A0D" w:rsidRPr="00512DB5"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There is </w:t>
      </w:r>
      <w:r w:rsidRPr="00512DB5">
        <w:rPr>
          <w:rFonts w:ascii="Calibri" w:eastAsia="Calibri" w:hAnsi="Calibri" w:cs="Times New Roman"/>
          <w:sz w:val="24"/>
          <w:szCs w:val="24"/>
        </w:rPr>
        <w:t xml:space="preserve">still </w:t>
      </w:r>
      <w:r>
        <w:rPr>
          <w:rFonts w:ascii="Calibri" w:eastAsia="Calibri" w:hAnsi="Calibri" w:cs="Times New Roman"/>
          <w:sz w:val="24"/>
          <w:szCs w:val="24"/>
        </w:rPr>
        <w:t xml:space="preserve">a </w:t>
      </w:r>
      <w:r w:rsidRPr="00512DB5">
        <w:rPr>
          <w:rFonts w:ascii="Calibri" w:eastAsia="Calibri" w:hAnsi="Calibri" w:cs="Times New Roman"/>
          <w:sz w:val="24"/>
          <w:szCs w:val="24"/>
        </w:rPr>
        <w:t>heavily reliant on central government funding with limited levels of private investment.</w:t>
      </w:r>
      <w:r>
        <w:rPr>
          <w:rFonts w:ascii="Calibri" w:eastAsia="Calibri" w:hAnsi="Calibri" w:cs="Times New Roman"/>
          <w:sz w:val="24"/>
          <w:szCs w:val="24"/>
        </w:rPr>
        <w:t xml:space="preserve"> </w:t>
      </w:r>
      <w:r w:rsidRPr="0061598B">
        <w:rPr>
          <w:rFonts w:ascii="Calibri" w:eastAsia="Calibri" w:hAnsi="Calibri" w:cs="Times New Roman"/>
          <w:sz w:val="24"/>
          <w:szCs w:val="24"/>
        </w:rPr>
        <w:t>Th</w:t>
      </w:r>
      <w:r>
        <w:rPr>
          <w:rFonts w:ascii="Calibri" w:eastAsia="Calibri" w:hAnsi="Calibri" w:cs="Times New Roman"/>
          <w:sz w:val="24"/>
          <w:szCs w:val="24"/>
        </w:rPr>
        <w:t>e</w:t>
      </w:r>
      <w:r w:rsidRPr="0061598B">
        <w:rPr>
          <w:rFonts w:ascii="Calibri" w:eastAsia="Calibri" w:hAnsi="Calibri" w:cs="Times New Roman"/>
          <w:sz w:val="24"/>
          <w:szCs w:val="24"/>
        </w:rPr>
        <w:t xml:space="preserve"> decline in funding can be explained by the government policy of austerity, although this goes against government claims that infrastructure is a priority. </w:t>
      </w:r>
      <w:r w:rsidRPr="00512DB5">
        <w:rPr>
          <w:rFonts w:ascii="Calibri" w:eastAsia="Calibri" w:hAnsi="Calibri" w:cs="Times New Roman"/>
          <w:sz w:val="24"/>
          <w:szCs w:val="24"/>
        </w:rPr>
        <w:t>By leaving the EU, and cutting off access to the EIB, private investment will be even less accessible</w:t>
      </w:r>
      <w:r>
        <w:rPr>
          <w:rFonts w:ascii="Calibri" w:eastAsia="Calibri" w:hAnsi="Calibri" w:cs="Times New Roman"/>
          <w:sz w:val="24"/>
          <w:szCs w:val="24"/>
        </w:rPr>
        <w:t xml:space="preserve"> unless other policy measures are put in place</w:t>
      </w:r>
      <w:r w:rsidRPr="00512DB5">
        <w:rPr>
          <w:rFonts w:ascii="Calibri" w:eastAsia="Calibri" w:hAnsi="Calibri" w:cs="Times New Roman"/>
          <w:sz w:val="24"/>
          <w:szCs w:val="24"/>
        </w:rPr>
        <w:t>.</w:t>
      </w:r>
      <w:r w:rsidRPr="00EB04C8">
        <w:rPr>
          <w:rFonts w:ascii="Calibri" w:eastAsia="Calibri" w:hAnsi="Calibri" w:cs="Times New Roman"/>
          <w:sz w:val="24"/>
          <w:szCs w:val="24"/>
        </w:rPr>
        <w:t xml:space="preserve"> </w:t>
      </w:r>
      <w:r w:rsidRPr="00512DB5">
        <w:rPr>
          <w:rFonts w:ascii="Calibri" w:eastAsia="Calibri" w:hAnsi="Calibri" w:cs="Times New Roman"/>
          <w:sz w:val="24"/>
          <w:szCs w:val="24"/>
        </w:rPr>
        <w:t>The challenges posed by covid-19 with predicted employment and debt will affect the level of infrastructure investment in UK, the temporary new trade relationship with EU mak</w:t>
      </w:r>
      <w:r>
        <w:rPr>
          <w:rFonts w:ascii="Calibri" w:eastAsia="Calibri" w:hAnsi="Calibri" w:cs="Times New Roman"/>
          <w:sz w:val="24"/>
          <w:szCs w:val="24"/>
        </w:rPr>
        <w:t>ing</w:t>
      </w:r>
      <w:r w:rsidRPr="00512DB5">
        <w:rPr>
          <w:rFonts w:ascii="Calibri" w:eastAsia="Calibri" w:hAnsi="Calibri" w:cs="Times New Roman"/>
          <w:sz w:val="24"/>
          <w:szCs w:val="24"/>
        </w:rPr>
        <w:t xml:space="preserve"> the future of investment in infrastructure uncertain. </w:t>
      </w:r>
    </w:p>
    <w:p w14:paraId="7AA2A1F3" w14:textId="77777777" w:rsidR="00607A0D" w:rsidRDefault="00607A0D" w:rsidP="00607A0D">
      <w:pPr>
        <w:spacing w:line="360" w:lineRule="auto"/>
        <w:jc w:val="both"/>
        <w:rPr>
          <w:rFonts w:ascii="Calibri" w:eastAsia="Calibri" w:hAnsi="Calibri" w:cs="Times New Roman"/>
          <w:sz w:val="24"/>
          <w:szCs w:val="24"/>
        </w:rPr>
      </w:pPr>
    </w:p>
    <w:p w14:paraId="4C2BD5CC" w14:textId="77777777" w:rsidR="00607A0D" w:rsidRPr="008E38EF" w:rsidRDefault="00607A0D" w:rsidP="00607A0D">
      <w:pPr>
        <w:spacing w:line="360" w:lineRule="auto"/>
        <w:jc w:val="both"/>
        <w:rPr>
          <w:rFonts w:ascii="Calibri" w:eastAsia="Calibri" w:hAnsi="Calibri" w:cs="Times New Roman"/>
          <w:b/>
          <w:bCs/>
          <w:i/>
          <w:iCs/>
          <w:sz w:val="24"/>
          <w:szCs w:val="24"/>
          <w:u w:val="single"/>
        </w:rPr>
      </w:pPr>
      <w:r>
        <w:rPr>
          <w:rFonts w:ascii="Calibri" w:eastAsia="Calibri" w:hAnsi="Calibri" w:cs="Times New Roman"/>
          <w:b/>
          <w:bCs/>
          <w:i/>
          <w:iCs/>
          <w:sz w:val="24"/>
          <w:szCs w:val="24"/>
        </w:rPr>
        <w:lastRenderedPageBreak/>
        <w:t xml:space="preserve">Learning from the Collaboration </w:t>
      </w:r>
      <w:r w:rsidRPr="008E38EF">
        <w:rPr>
          <w:rFonts w:ascii="Calibri" w:eastAsia="Calibri" w:hAnsi="Calibri" w:cs="Times New Roman"/>
          <w:b/>
          <w:bCs/>
          <w:i/>
          <w:iCs/>
          <w:sz w:val="24"/>
          <w:szCs w:val="24"/>
        </w:rPr>
        <w:t xml:space="preserve">Experience </w:t>
      </w:r>
      <w:r>
        <w:rPr>
          <w:rFonts w:ascii="Calibri" w:eastAsia="Calibri" w:hAnsi="Calibri" w:cs="Times New Roman"/>
          <w:b/>
          <w:bCs/>
          <w:i/>
          <w:iCs/>
          <w:sz w:val="24"/>
          <w:szCs w:val="24"/>
        </w:rPr>
        <w:t>of</w:t>
      </w:r>
      <w:r w:rsidRPr="008E38EF">
        <w:rPr>
          <w:rFonts w:ascii="Calibri" w:eastAsia="Calibri" w:hAnsi="Calibri" w:cs="Times New Roman"/>
          <w:b/>
          <w:bCs/>
          <w:i/>
          <w:iCs/>
          <w:sz w:val="24"/>
          <w:szCs w:val="24"/>
        </w:rPr>
        <w:t xml:space="preserve"> other Countries</w:t>
      </w:r>
    </w:p>
    <w:p w14:paraId="48B5C9F3" w14:textId="77777777" w:rsidR="00607A0D" w:rsidRPr="009A7870" w:rsidRDefault="00607A0D" w:rsidP="00607A0D">
      <w:pPr>
        <w:spacing w:line="360" w:lineRule="auto"/>
        <w:jc w:val="both"/>
        <w:rPr>
          <w:rFonts w:ascii="Calibri" w:eastAsia="Calibri" w:hAnsi="Calibri" w:cs="Times New Roman"/>
          <w:sz w:val="24"/>
          <w:szCs w:val="24"/>
        </w:rPr>
      </w:pPr>
      <w:r>
        <w:rPr>
          <w:rFonts w:ascii="Calibri" w:eastAsia="Calibri" w:hAnsi="Calibri" w:cs="Times New Roman"/>
          <w:sz w:val="24"/>
          <w:szCs w:val="24"/>
        </w:rPr>
        <w:t>O</w:t>
      </w:r>
      <w:r w:rsidRPr="008E38EF">
        <w:rPr>
          <w:rFonts w:ascii="Calibri" w:eastAsia="Calibri" w:hAnsi="Calibri" w:cs="Times New Roman"/>
          <w:sz w:val="24"/>
          <w:szCs w:val="24"/>
        </w:rPr>
        <w:t>n a global scale, Singapore consistently scores high on infrastructure rankings</w:t>
      </w:r>
      <w:r>
        <w:rPr>
          <w:rFonts w:ascii="Calibri" w:eastAsia="Calibri" w:hAnsi="Calibri" w:cs="Times New Roman"/>
          <w:sz w:val="24"/>
          <w:szCs w:val="24"/>
        </w:rPr>
        <w:t xml:space="preserve"> a</w:t>
      </w:r>
      <w:r w:rsidRPr="008E38EF">
        <w:rPr>
          <w:rFonts w:ascii="Calibri" w:eastAsia="Calibri" w:hAnsi="Calibri" w:cs="Times New Roman"/>
          <w:sz w:val="24"/>
          <w:szCs w:val="24"/>
        </w:rPr>
        <w:t xml:space="preserve">s do several </w:t>
      </w:r>
      <w:r>
        <w:rPr>
          <w:rFonts w:ascii="Calibri" w:eastAsia="Calibri" w:hAnsi="Calibri" w:cs="Times New Roman"/>
          <w:sz w:val="24"/>
          <w:szCs w:val="24"/>
        </w:rPr>
        <w:t xml:space="preserve">other </w:t>
      </w:r>
      <w:r w:rsidRPr="008E38EF">
        <w:rPr>
          <w:rFonts w:ascii="Calibri" w:eastAsia="Calibri" w:hAnsi="Calibri" w:cs="Times New Roman"/>
          <w:sz w:val="24"/>
          <w:szCs w:val="24"/>
        </w:rPr>
        <w:t xml:space="preserve">countries across Asia, with China investing the largest amount globally for several years. The main characteristic of the Singapore model is collaboration, with Infrastructure Asia acting to bridge the gap between banks and developers. This is similar to the role of the European Investment Bank (EIB) within the European Union which acts as a source of funding for projects which may fall outside the scope of Government backed initiatives. </w:t>
      </w:r>
      <w:r>
        <w:rPr>
          <w:rFonts w:ascii="Calibri" w:eastAsia="Calibri" w:hAnsi="Calibri" w:cs="Times New Roman"/>
          <w:sz w:val="24"/>
          <w:szCs w:val="24"/>
        </w:rPr>
        <w:t>S</w:t>
      </w:r>
      <w:r w:rsidRPr="008E38EF">
        <w:rPr>
          <w:rFonts w:ascii="Calibri" w:eastAsia="Calibri" w:hAnsi="Calibri" w:cs="Times New Roman"/>
          <w:sz w:val="24"/>
          <w:szCs w:val="24"/>
        </w:rPr>
        <w:t xml:space="preserve">ince the government has left the EU, access to such </w:t>
      </w:r>
      <w:r>
        <w:rPr>
          <w:rFonts w:ascii="Calibri" w:eastAsia="Calibri" w:hAnsi="Calibri" w:cs="Times New Roman"/>
          <w:sz w:val="24"/>
          <w:szCs w:val="24"/>
        </w:rPr>
        <w:t xml:space="preserve">EIB </w:t>
      </w:r>
      <w:r w:rsidRPr="008E38EF">
        <w:rPr>
          <w:rFonts w:ascii="Calibri" w:eastAsia="Calibri" w:hAnsi="Calibri" w:cs="Times New Roman"/>
          <w:sz w:val="24"/>
          <w:szCs w:val="24"/>
        </w:rPr>
        <w:t>facility will definitely come to an end. There is a healthy pipeline of work and a commitment to infrastructure investment</w:t>
      </w:r>
      <w:r>
        <w:rPr>
          <w:rFonts w:ascii="Calibri" w:eastAsia="Calibri" w:hAnsi="Calibri" w:cs="Times New Roman"/>
          <w:sz w:val="24"/>
          <w:szCs w:val="24"/>
        </w:rPr>
        <w:t xml:space="preserve"> in</w:t>
      </w:r>
      <w:r w:rsidRPr="008E38EF">
        <w:rPr>
          <w:rFonts w:ascii="Calibri" w:eastAsia="Calibri" w:hAnsi="Calibri" w:cs="Times New Roman"/>
          <w:sz w:val="24"/>
          <w:szCs w:val="24"/>
        </w:rPr>
        <w:t xml:space="preserve"> several areas where there </w:t>
      </w:r>
      <w:r>
        <w:rPr>
          <w:rFonts w:ascii="Calibri" w:eastAsia="Calibri" w:hAnsi="Calibri" w:cs="Times New Roman"/>
          <w:sz w:val="24"/>
          <w:szCs w:val="24"/>
        </w:rPr>
        <w:t xml:space="preserve">are needs for </w:t>
      </w:r>
      <w:r w:rsidRPr="008E38EF">
        <w:rPr>
          <w:rFonts w:ascii="Calibri" w:eastAsia="Calibri" w:hAnsi="Calibri" w:cs="Times New Roman"/>
          <w:sz w:val="24"/>
          <w:szCs w:val="24"/>
        </w:rPr>
        <w:t>improvements</w:t>
      </w:r>
      <w:bookmarkStart w:id="11" w:name="_Hlk60094919"/>
      <w:r w:rsidRPr="008E38EF">
        <w:rPr>
          <w:rFonts w:ascii="Calibri" w:eastAsia="Calibri" w:hAnsi="Calibri" w:cs="Times New Roman"/>
          <w:sz w:val="24"/>
          <w:szCs w:val="24"/>
        </w:rPr>
        <w:t xml:space="preserve"> if UK is to become world leaders of infrastructure</w:t>
      </w:r>
      <w:r>
        <w:rPr>
          <w:rFonts w:ascii="Calibri" w:eastAsia="Calibri" w:hAnsi="Calibri" w:cs="Times New Roman"/>
          <w:sz w:val="24"/>
          <w:szCs w:val="24"/>
        </w:rPr>
        <w:t>.</w:t>
      </w:r>
      <w:r w:rsidRPr="008E38EF">
        <w:rPr>
          <w:rFonts w:ascii="Calibri" w:eastAsia="Calibri" w:hAnsi="Calibri" w:cs="Times New Roman"/>
          <w:sz w:val="24"/>
          <w:szCs w:val="24"/>
        </w:rPr>
        <w:t xml:space="preserve"> </w:t>
      </w:r>
      <w:r>
        <w:rPr>
          <w:rFonts w:ascii="Calibri" w:eastAsia="Calibri" w:hAnsi="Calibri" w:cs="Times New Roman"/>
          <w:sz w:val="24"/>
          <w:szCs w:val="24"/>
        </w:rPr>
        <w:t>I</w:t>
      </w:r>
      <w:r w:rsidRPr="008E38EF">
        <w:rPr>
          <w:rFonts w:ascii="Calibri" w:eastAsia="Calibri" w:hAnsi="Calibri" w:cs="Times New Roman"/>
          <w:sz w:val="24"/>
          <w:szCs w:val="24"/>
        </w:rPr>
        <w:t>ncreased collaboration will improve project implementation</w:t>
      </w:r>
      <w:r>
        <w:rPr>
          <w:rFonts w:ascii="Calibri" w:eastAsia="Calibri" w:hAnsi="Calibri" w:cs="Times New Roman"/>
          <w:sz w:val="24"/>
          <w:szCs w:val="24"/>
        </w:rPr>
        <w:t xml:space="preserve"> and t</w:t>
      </w:r>
      <w:r w:rsidRPr="008E38EF">
        <w:rPr>
          <w:rFonts w:ascii="Calibri" w:eastAsia="Calibri" w:hAnsi="Calibri" w:cs="Times New Roman"/>
          <w:sz w:val="24"/>
          <w:szCs w:val="24"/>
        </w:rPr>
        <w:t>his could be in the form of an ‘infrastructure bank’ similar to Singapore or Germany, or simply increased devolution to regions and cities in order to allow collaboration between local stakeholders</w:t>
      </w:r>
      <w:bookmarkEnd w:id="11"/>
      <w:r w:rsidRPr="008E38EF">
        <w:rPr>
          <w:rFonts w:ascii="Calibri" w:eastAsia="Calibri" w:hAnsi="Calibri" w:cs="Times New Roman"/>
          <w:sz w:val="24"/>
          <w:szCs w:val="24"/>
        </w:rPr>
        <w:t>.</w:t>
      </w:r>
    </w:p>
    <w:p w14:paraId="01115D20" w14:textId="77777777" w:rsidR="00607A0D" w:rsidRPr="004647F1" w:rsidRDefault="00607A0D" w:rsidP="00607A0D">
      <w:pPr>
        <w:spacing w:line="360" w:lineRule="auto"/>
        <w:jc w:val="both"/>
        <w:rPr>
          <w:rFonts w:ascii="Calibri" w:eastAsia="Calibri" w:hAnsi="Calibri" w:cs="Times New Roman"/>
          <w:b/>
          <w:bCs/>
          <w:i/>
          <w:iCs/>
          <w:sz w:val="24"/>
          <w:szCs w:val="24"/>
        </w:rPr>
      </w:pPr>
      <w:r w:rsidRPr="004647F1">
        <w:rPr>
          <w:rFonts w:ascii="Calibri" w:eastAsia="Calibri" w:hAnsi="Calibri" w:cs="Times New Roman"/>
          <w:b/>
          <w:bCs/>
          <w:i/>
          <w:iCs/>
          <w:sz w:val="24"/>
          <w:szCs w:val="24"/>
        </w:rPr>
        <w:t>Overcoming Implementation Challenges and Level of Bureaucracy</w:t>
      </w:r>
    </w:p>
    <w:p w14:paraId="122E530B" w14:textId="77777777" w:rsidR="00607A0D" w:rsidRDefault="00607A0D" w:rsidP="00607A0D">
      <w:pPr>
        <w:spacing w:line="360" w:lineRule="auto"/>
        <w:jc w:val="both"/>
        <w:rPr>
          <w:rFonts w:ascii="Calibri" w:eastAsia="Calibri" w:hAnsi="Calibri" w:cs="Times New Roman"/>
          <w:sz w:val="24"/>
          <w:szCs w:val="24"/>
        </w:rPr>
      </w:pPr>
      <w:r w:rsidRPr="008E38EF">
        <w:rPr>
          <w:rFonts w:ascii="Calibri" w:eastAsia="Calibri" w:hAnsi="Calibri" w:cs="Times New Roman"/>
          <w:sz w:val="24"/>
          <w:szCs w:val="24"/>
        </w:rPr>
        <w:t>Project 13 shows that there is sentiment in the industry that the current strategy does not produce the best results, highlighting the number of projects go</w:t>
      </w:r>
      <w:r>
        <w:rPr>
          <w:rFonts w:ascii="Calibri" w:eastAsia="Calibri" w:hAnsi="Calibri" w:cs="Times New Roman"/>
          <w:sz w:val="24"/>
          <w:szCs w:val="24"/>
        </w:rPr>
        <w:t>ing</w:t>
      </w:r>
      <w:r w:rsidRPr="008E38EF">
        <w:rPr>
          <w:rFonts w:ascii="Calibri" w:eastAsia="Calibri" w:hAnsi="Calibri" w:cs="Times New Roman"/>
          <w:sz w:val="24"/>
          <w:szCs w:val="24"/>
        </w:rPr>
        <w:t xml:space="preserve"> over the budget with programme delay</w:t>
      </w:r>
      <w:r>
        <w:rPr>
          <w:rFonts w:ascii="Calibri" w:eastAsia="Calibri" w:hAnsi="Calibri" w:cs="Times New Roman"/>
          <w:sz w:val="24"/>
          <w:szCs w:val="24"/>
        </w:rPr>
        <w:t>s</w:t>
      </w:r>
      <w:r w:rsidRPr="008E38EF">
        <w:rPr>
          <w:rFonts w:ascii="Calibri" w:eastAsia="Calibri" w:hAnsi="Calibri" w:cs="Times New Roman"/>
          <w:sz w:val="24"/>
          <w:szCs w:val="24"/>
        </w:rPr>
        <w:t>. Rationalizing the process is one way to minimise initial output costs, by reducing extensive planning requirements</w:t>
      </w:r>
      <w:r>
        <w:rPr>
          <w:rFonts w:ascii="Calibri" w:eastAsia="Calibri" w:hAnsi="Calibri" w:cs="Times New Roman"/>
          <w:sz w:val="24"/>
          <w:szCs w:val="24"/>
        </w:rPr>
        <w:t xml:space="preserve"> which </w:t>
      </w:r>
      <w:r w:rsidRPr="008E38EF">
        <w:rPr>
          <w:rFonts w:ascii="Calibri" w:eastAsia="Calibri" w:hAnsi="Calibri" w:cs="Times New Roman"/>
          <w:sz w:val="24"/>
          <w:szCs w:val="24"/>
        </w:rPr>
        <w:t xml:space="preserve">would </w:t>
      </w:r>
      <w:r>
        <w:rPr>
          <w:rFonts w:ascii="Calibri" w:eastAsia="Calibri" w:hAnsi="Calibri" w:cs="Times New Roman"/>
          <w:sz w:val="24"/>
          <w:szCs w:val="24"/>
        </w:rPr>
        <w:t xml:space="preserve">also </w:t>
      </w:r>
      <w:r w:rsidRPr="008E38EF">
        <w:rPr>
          <w:rFonts w:ascii="Calibri" w:eastAsia="Calibri" w:hAnsi="Calibri" w:cs="Times New Roman"/>
          <w:sz w:val="24"/>
          <w:szCs w:val="24"/>
        </w:rPr>
        <w:t>reduce overall cost</w:t>
      </w:r>
      <w:r>
        <w:rPr>
          <w:rFonts w:ascii="Calibri" w:eastAsia="Calibri" w:hAnsi="Calibri" w:cs="Times New Roman"/>
          <w:sz w:val="24"/>
          <w:szCs w:val="24"/>
        </w:rPr>
        <w:t>s</w:t>
      </w:r>
      <w:r w:rsidRPr="008E38EF">
        <w:rPr>
          <w:rFonts w:ascii="Calibri" w:eastAsia="Calibri" w:hAnsi="Calibri" w:cs="Times New Roman"/>
          <w:sz w:val="24"/>
          <w:szCs w:val="24"/>
        </w:rPr>
        <w:t xml:space="preserve"> and make the return on investment much easier to accomplish.</w:t>
      </w:r>
      <w:r>
        <w:rPr>
          <w:rFonts w:ascii="Calibri" w:eastAsia="Calibri" w:hAnsi="Calibri" w:cs="Times New Roman"/>
          <w:sz w:val="24"/>
          <w:szCs w:val="24"/>
        </w:rPr>
        <w:t xml:space="preserve"> </w:t>
      </w:r>
      <w:r w:rsidRPr="008E38EF">
        <w:rPr>
          <w:rFonts w:ascii="Calibri" w:eastAsia="Calibri" w:hAnsi="Calibri" w:cs="Times New Roman"/>
          <w:sz w:val="24"/>
          <w:szCs w:val="24"/>
        </w:rPr>
        <w:t>Further criticisms from the stakeholder’s interview echoed the level of bureaucracy and slow pace of project implementation</w:t>
      </w:r>
      <w:r>
        <w:rPr>
          <w:rFonts w:ascii="Calibri" w:eastAsia="Calibri" w:hAnsi="Calibri" w:cs="Times New Roman"/>
          <w:sz w:val="24"/>
          <w:szCs w:val="24"/>
        </w:rPr>
        <w:t xml:space="preserve"> </w:t>
      </w:r>
      <w:r w:rsidRPr="008E38EF">
        <w:rPr>
          <w:rFonts w:ascii="Calibri" w:eastAsia="Calibri" w:hAnsi="Calibri" w:cs="Times New Roman"/>
          <w:sz w:val="24"/>
          <w:szCs w:val="24"/>
        </w:rPr>
        <w:t>clear</w:t>
      </w:r>
      <w:r>
        <w:rPr>
          <w:rFonts w:ascii="Calibri" w:eastAsia="Calibri" w:hAnsi="Calibri" w:cs="Times New Roman"/>
          <w:sz w:val="24"/>
          <w:szCs w:val="24"/>
        </w:rPr>
        <w:t>ly reflected</w:t>
      </w:r>
      <w:r w:rsidRPr="008E38EF">
        <w:rPr>
          <w:rFonts w:ascii="Calibri" w:eastAsia="Calibri" w:hAnsi="Calibri" w:cs="Times New Roman"/>
          <w:sz w:val="24"/>
          <w:szCs w:val="24"/>
        </w:rPr>
        <w:t xml:space="preserve"> in the amount of time it has taken to reach the construction phase of HS2</w:t>
      </w:r>
      <w:r>
        <w:rPr>
          <w:rFonts w:ascii="Calibri" w:eastAsia="Calibri" w:hAnsi="Calibri" w:cs="Times New Roman"/>
          <w:sz w:val="24"/>
          <w:szCs w:val="24"/>
        </w:rPr>
        <w:t xml:space="preserve">. </w:t>
      </w:r>
      <w:r w:rsidRPr="00FC71F2">
        <w:rPr>
          <w:rFonts w:ascii="Calibri" w:eastAsia="Calibri" w:hAnsi="Calibri" w:cs="Times New Roman"/>
          <w:sz w:val="24"/>
          <w:szCs w:val="24"/>
        </w:rPr>
        <w:t xml:space="preserve">The project has been given a formal notice to proceed in April 2020 with detail design and construction of phase 1 linking London, Birmingham and Lichfield despite being awarded since 2017. </w:t>
      </w:r>
      <w:r w:rsidRPr="008E38EF">
        <w:rPr>
          <w:rFonts w:ascii="Calibri" w:eastAsia="Calibri" w:hAnsi="Calibri" w:cs="Times New Roman"/>
          <w:sz w:val="24"/>
          <w:szCs w:val="24"/>
        </w:rPr>
        <w:t xml:space="preserve">This slow progress, paired with </w:t>
      </w:r>
      <w:r>
        <w:rPr>
          <w:rFonts w:ascii="Calibri" w:eastAsia="Calibri" w:hAnsi="Calibri" w:cs="Times New Roman"/>
          <w:sz w:val="24"/>
          <w:szCs w:val="24"/>
        </w:rPr>
        <w:t>the</w:t>
      </w:r>
      <w:r w:rsidRPr="008E38EF">
        <w:rPr>
          <w:rFonts w:ascii="Calibri" w:eastAsia="Calibri" w:hAnsi="Calibri" w:cs="Times New Roman"/>
          <w:sz w:val="24"/>
          <w:szCs w:val="24"/>
        </w:rPr>
        <w:t xml:space="preserve"> vulnerability to changes in government</w:t>
      </w:r>
      <w:r>
        <w:rPr>
          <w:rFonts w:ascii="Calibri" w:eastAsia="Calibri" w:hAnsi="Calibri" w:cs="Times New Roman"/>
          <w:sz w:val="24"/>
          <w:szCs w:val="24"/>
        </w:rPr>
        <w:t xml:space="preserve"> policy</w:t>
      </w:r>
      <w:r w:rsidRPr="008E38EF">
        <w:rPr>
          <w:rFonts w:ascii="Calibri" w:eastAsia="Calibri" w:hAnsi="Calibri" w:cs="Times New Roman"/>
          <w:sz w:val="24"/>
          <w:szCs w:val="24"/>
        </w:rPr>
        <w:t>, mean</w:t>
      </w:r>
      <w:r>
        <w:rPr>
          <w:rFonts w:ascii="Calibri" w:eastAsia="Calibri" w:hAnsi="Calibri" w:cs="Times New Roman"/>
          <w:sz w:val="24"/>
          <w:szCs w:val="24"/>
        </w:rPr>
        <w:t>s</w:t>
      </w:r>
      <w:r w:rsidRPr="008E38EF">
        <w:rPr>
          <w:rFonts w:ascii="Calibri" w:eastAsia="Calibri" w:hAnsi="Calibri" w:cs="Times New Roman"/>
          <w:sz w:val="24"/>
          <w:szCs w:val="24"/>
        </w:rPr>
        <w:t xml:space="preserve"> that the UK </w:t>
      </w:r>
      <w:r>
        <w:rPr>
          <w:rFonts w:ascii="Calibri" w:eastAsia="Calibri" w:hAnsi="Calibri" w:cs="Times New Roman"/>
          <w:sz w:val="24"/>
          <w:szCs w:val="24"/>
        </w:rPr>
        <w:t xml:space="preserve">may </w:t>
      </w:r>
      <w:r w:rsidRPr="008E38EF">
        <w:rPr>
          <w:rFonts w:ascii="Calibri" w:eastAsia="Calibri" w:hAnsi="Calibri" w:cs="Times New Roman"/>
          <w:sz w:val="24"/>
          <w:szCs w:val="24"/>
        </w:rPr>
        <w:t xml:space="preserve">never </w:t>
      </w:r>
      <w:r>
        <w:rPr>
          <w:rFonts w:ascii="Calibri" w:eastAsia="Calibri" w:hAnsi="Calibri" w:cs="Times New Roman"/>
          <w:sz w:val="24"/>
          <w:szCs w:val="24"/>
        </w:rPr>
        <w:t>be in a position to</w:t>
      </w:r>
      <w:r w:rsidRPr="008E38EF">
        <w:rPr>
          <w:rFonts w:ascii="Calibri" w:eastAsia="Calibri" w:hAnsi="Calibri" w:cs="Times New Roman"/>
          <w:sz w:val="24"/>
          <w:szCs w:val="24"/>
        </w:rPr>
        <w:t xml:space="preserve"> drive forward proactively with infrastructure</w:t>
      </w:r>
      <w:r>
        <w:rPr>
          <w:rFonts w:ascii="Calibri" w:eastAsia="Calibri" w:hAnsi="Calibri" w:cs="Times New Roman"/>
          <w:sz w:val="24"/>
          <w:szCs w:val="24"/>
        </w:rPr>
        <w:t xml:space="preserve"> investment</w:t>
      </w:r>
      <w:r w:rsidRPr="008E38EF">
        <w:rPr>
          <w:rFonts w:ascii="Calibri" w:eastAsia="Calibri" w:hAnsi="Calibri" w:cs="Times New Roman"/>
          <w:sz w:val="24"/>
          <w:szCs w:val="24"/>
        </w:rPr>
        <w:t>.</w:t>
      </w:r>
      <w:r>
        <w:rPr>
          <w:rFonts w:ascii="Calibri" w:eastAsia="Calibri" w:hAnsi="Calibri" w:cs="Times New Roman"/>
          <w:sz w:val="24"/>
          <w:szCs w:val="24"/>
        </w:rPr>
        <w:t xml:space="preserve"> </w:t>
      </w:r>
    </w:p>
    <w:p w14:paraId="16348C3D" w14:textId="77777777" w:rsidR="00607A0D" w:rsidRDefault="00607A0D" w:rsidP="00607A0D">
      <w:pPr>
        <w:spacing w:line="360" w:lineRule="auto"/>
        <w:jc w:val="both"/>
        <w:rPr>
          <w:rFonts w:ascii="Calibri" w:eastAsia="Calibri" w:hAnsi="Calibri" w:cs="Times New Roman"/>
          <w:b/>
          <w:bCs/>
          <w:i/>
          <w:iCs/>
          <w:sz w:val="24"/>
          <w:szCs w:val="24"/>
        </w:rPr>
      </w:pPr>
    </w:p>
    <w:p w14:paraId="78F4CAD3" w14:textId="77777777" w:rsidR="00607A0D" w:rsidRDefault="00607A0D" w:rsidP="00607A0D">
      <w:pPr>
        <w:spacing w:line="360" w:lineRule="auto"/>
        <w:jc w:val="both"/>
        <w:rPr>
          <w:rFonts w:ascii="Calibri" w:eastAsia="Calibri" w:hAnsi="Calibri" w:cs="Times New Roman"/>
          <w:b/>
          <w:bCs/>
          <w:i/>
          <w:iCs/>
          <w:sz w:val="24"/>
          <w:szCs w:val="24"/>
        </w:rPr>
      </w:pPr>
    </w:p>
    <w:p w14:paraId="6215EDDC" w14:textId="77777777" w:rsidR="00607A0D" w:rsidRDefault="00607A0D" w:rsidP="00607A0D">
      <w:pPr>
        <w:spacing w:line="360" w:lineRule="auto"/>
        <w:jc w:val="both"/>
        <w:rPr>
          <w:rFonts w:ascii="Calibri" w:eastAsia="Calibri" w:hAnsi="Calibri" w:cs="Times New Roman"/>
          <w:b/>
          <w:bCs/>
          <w:i/>
          <w:iCs/>
          <w:sz w:val="24"/>
          <w:szCs w:val="24"/>
        </w:rPr>
      </w:pPr>
    </w:p>
    <w:p w14:paraId="7E52F40C" w14:textId="77777777" w:rsidR="00607A0D" w:rsidRPr="00657F58" w:rsidRDefault="00607A0D" w:rsidP="00607A0D">
      <w:pPr>
        <w:spacing w:line="360" w:lineRule="auto"/>
        <w:jc w:val="both"/>
        <w:rPr>
          <w:rFonts w:ascii="Calibri" w:eastAsia="Calibri" w:hAnsi="Calibri" w:cs="Times New Roman"/>
          <w:b/>
          <w:bCs/>
          <w:i/>
          <w:iCs/>
          <w:sz w:val="24"/>
          <w:szCs w:val="24"/>
        </w:rPr>
      </w:pPr>
      <w:r>
        <w:rPr>
          <w:rFonts w:ascii="Calibri" w:eastAsia="Calibri" w:hAnsi="Calibri" w:cs="Times New Roman"/>
          <w:b/>
          <w:bCs/>
          <w:i/>
          <w:iCs/>
          <w:sz w:val="24"/>
          <w:szCs w:val="24"/>
        </w:rPr>
        <w:lastRenderedPageBreak/>
        <w:t xml:space="preserve">Addressing </w:t>
      </w:r>
      <w:r w:rsidRPr="00657F58">
        <w:rPr>
          <w:rFonts w:ascii="Calibri" w:eastAsia="Calibri" w:hAnsi="Calibri" w:cs="Times New Roman"/>
          <w:b/>
          <w:bCs/>
          <w:i/>
          <w:iCs/>
          <w:sz w:val="24"/>
          <w:szCs w:val="24"/>
        </w:rPr>
        <w:t xml:space="preserve">Regional Bias </w:t>
      </w:r>
      <w:r>
        <w:rPr>
          <w:rFonts w:ascii="Calibri" w:eastAsia="Calibri" w:hAnsi="Calibri" w:cs="Times New Roman"/>
          <w:b/>
          <w:bCs/>
          <w:i/>
          <w:iCs/>
          <w:sz w:val="24"/>
          <w:szCs w:val="24"/>
        </w:rPr>
        <w:t>to Unlock Infrastructure Investment</w:t>
      </w:r>
    </w:p>
    <w:p w14:paraId="4F697C7A" w14:textId="77777777" w:rsidR="00607A0D" w:rsidRPr="00233A00" w:rsidRDefault="00607A0D" w:rsidP="00607A0D">
      <w:pPr>
        <w:spacing w:line="360" w:lineRule="auto"/>
        <w:jc w:val="both"/>
        <w:rPr>
          <w:rFonts w:ascii="Calibri" w:eastAsia="Calibri" w:hAnsi="Calibri" w:cs="Times New Roman"/>
          <w:sz w:val="24"/>
          <w:szCs w:val="24"/>
        </w:rPr>
      </w:pPr>
      <w:r w:rsidRPr="008E38EF">
        <w:rPr>
          <w:rFonts w:ascii="Calibri" w:eastAsia="Calibri" w:hAnsi="Calibri" w:cs="Times New Roman"/>
          <w:sz w:val="24"/>
          <w:szCs w:val="24"/>
        </w:rPr>
        <w:t>London and the South East receive a disproportionate and unfair level of funding.</w:t>
      </w:r>
      <w:r w:rsidRPr="00512DB5">
        <w:rPr>
          <w:rFonts w:ascii="Calibri" w:eastAsia="Calibri" w:hAnsi="Calibri" w:cs="Times New Roman"/>
          <w:sz w:val="24"/>
          <w:szCs w:val="24"/>
        </w:rPr>
        <w:t xml:space="preserve"> By limiting the level of devolution in regional cities, th</w:t>
      </w:r>
      <w:r>
        <w:rPr>
          <w:rFonts w:ascii="Calibri" w:eastAsia="Calibri" w:hAnsi="Calibri" w:cs="Times New Roman"/>
          <w:sz w:val="24"/>
          <w:szCs w:val="24"/>
        </w:rPr>
        <w:t>ere will be</w:t>
      </w:r>
      <w:r w:rsidRPr="00512DB5">
        <w:rPr>
          <w:rFonts w:ascii="Calibri" w:eastAsia="Calibri" w:hAnsi="Calibri" w:cs="Times New Roman"/>
          <w:sz w:val="24"/>
          <w:szCs w:val="24"/>
        </w:rPr>
        <w:t xml:space="preserve"> limit</w:t>
      </w:r>
      <w:r>
        <w:rPr>
          <w:rFonts w:ascii="Calibri" w:eastAsia="Calibri" w:hAnsi="Calibri" w:cs="Times New Roman"/>
          <w:sz w:val="24"/>
          <w:szCs w:val="24"/>
        </w:rPr>
        <w:t xml:space="preserve">ations in </w:t>
      </w:r>
      <w:r w:rsidRPr="00512DB5">
        <w:rPr>
          <w:rFonts w:ascii="Calibri" w:eastAsia="Calibri" w:hAnsi="Calibri" w:cs="Times New Roman"/>
          <w:sz w:val="24"/>
          <w:szCs w:val="24"/>
        </w:rPr>
        <w:t>forming international relationships</w:t>
      </w:r>
      <w:r>
        <w:rPr>
          <w:rFonts w:ascii="Calibri" w:eastAsia="Calibri" w:hAnsi="Calibri" w:cs="Times New Roman"/>
          <w:sz w:val="24"/>
          <w:szCs w:val="24"/>
        </w:rPr>
        <w:t xml:space="preserve"> in other areas to promote infrastructure investment</w:t>
      </w:r>
      <w:r w:rsidRPr="00512DB5">
        <w:rPr>
          <w:rFonts w:ascii="Calibri" w:eastAsia="Calibri" w:hAnsi="Calibri" w:cs="Times New Roman"/>
          <w:sz w:val="24"/>
          <w:szCs w:val="24"/>
        </w:rPr>
        <w:t>.</w:t>
      </w:r>
      <w:r w:rsidRPr="004647F1">
        <w:rPr>
          <w:rFonts w:ascii="Calibri" w:eastAsia="Calibri" w:hAnsi="Calibri" w:cs="Times New Roman"/>
          <w:sz w:val="24"/>
          <w:szCs w:val="24"/>
        </w:rPr>
        <w:t xml:space="preserve"> </w:t>
      </w:r>
      <w:r>
        <w:rPr>
          <w:rFonts w:ascii="Calibri" w:eastAsia="Calibri" w:hAnsi="Calibri" w:cs="Times New Roman"/>
          <w:sz w:val="24"/>
          <w:szCs w:val="24"/>
        </w:rPr>
        <w:t>F</w:t>
      </w:r>
      <w:r w:rsidRPr="0061598B">
        <w:rPr>
          <w:rFonts w:ascii="Calibri" w:eastAsia="Calibri" w:hAnsi="Calibri" w:cs="Times New Roman"/>
          <w:sz w:val="24"/>
          <w:szCs w:val="24"/>
        </w:rPr>
        <w:t xml:space="preserve">urther devolution </w:t>
      </w:r>
      <w:r>
        <w:rPr>
          <w:rFonts w:ascii="Calibri" w:eastAsia="Calibri" w:hAnsi="Calibri" w:cs="Times New Roman"/>
          <w:sz w:val="24"/>
          <w:szCs w:val="24"/>
        </w:rPr>
        <w:t>using other hybrid models such as Japan and Germany will be useful to unlock the potential of disadvantaged regions.</w:t>
      </w:r>
    </w:p>
    <w:p w14:paraId="1CD92193" w14:textId="77777777" w:rsidR="00607A0D" w:rsidRPr="008E38EF" w:rsidRDefault="00607A0D" w:rsidP="00607A0D">
      <w:pPr>
        <w:jc w:val="both"/>
        <w:rPr>
          <w:rFonts w:ascii="Calibri" w:eastAsia="Calibri" w:hAnsi="Calibri" w:cs="Times New Roman"/>
          <w:b/>
          <w:bCs/>
          <w:sz w:val="24"/>
          <w:szCs w:val="24"/>
        </w:rPr>
      </w:pPr>
      <w:r>
        <w:rPr>
          <w:rFonts w:ascii="Calibri" w:eastAsia="Calibri" w:hAnsi="Calibri" w:cs="Times New Roman"/>
          <w:b/>
          <w:bCs/>
          <w:sz w:val="24"/>
          <w:szCs w:val="24"/>
        </w:rPr>
        <w:t>5.</w:t>
      </w:r>
      <w:r>
        <w:rPr>
          <w:rFonts w:ascii="Calibri" w:eastAsia="Calibri" w:hAnsi="Calibri" w:cs="Times New Roman"/>
          <w:b/>
          <w:bCs/>
          <w:sz w:val="24"/>
          <w:szCs w:val="24"/>
        </w:rPr>
        <w:tab/>
      </w:r>
      <w:r w:rsidRPr="008E38EF">
        <w:rPr>
          <w:rFonts w:ascii="Calibri" w:eastAsia="Calibri" w:hAnsi="Calibri" w:cs="Times New Roman"/>
          <w:b/>
          <w:bCs/>
          <w:sz w:val="24"/>
          <w:szCs w:val="24"/>
        </w:rPr>
        <w:t>CONCLUSION</w:t>
      </w:r>
    </w:p>
    <w:p w14:paraId="50E9C24B" w14:textId="77777777" w:rsidR="00607A0D" w:rsidRPr="00D076FA" w:rsidRDefault="00607A0D" w:rsidP="00607A0D">
      <w:pPr>
        <w:spacing w:line="360" w:lineRule="auto"/>
        <w:jc w:val="both"/>
        <w:rPr>
          <w:rFonts w:ascii="Calibri" w:eastAsia="Calibri" w:hAnsi="Calibri" w:cs="Times New Roman"/>
          <w:sz w:val="24"/>
          <w:szCs w:val="24"/>
        </w:rPr>
      </w:pPr>
      <w:r w:rsidRPr="00F21453">
        <w:rPr>
          <w:rFonts w:ascii="Calibri" w:eastAsia="Calibri" w:hAnsi="Calibri" w:cs="Times New Roman"/>
          <w:sz w:val="24"/>
          <w:szCs w:val="24"/>
        </w:rPr>
        <w:t xml:space="preserve">Findings from the research suggests that policy changes are required to stimulate significant investment if the UK is to become a world leader in infrastructure. Key criticisms of UK infrastructure policy focussed on </w:t>
      </w:r>
      <w:r>
        <w:rPr>
          <w:rFonts w:ascii="Calibri" w:eastAsia="Calibri" w:hAnsi="Calibri" w:cs="Times New Roman"/>
          <w:sz w:val="24"/>
          <w:szCs w:val="24"/>
        </w:rPr>
        <w:t xml:space="preserve">(i) </w:t>
      </w:r>
      <w:r w:rsidRPr="00F21453">
        <w:rPr>
          <w:rFonts w:ascii="Calibri" w:eastAsia="Calibri" w:hAnsi="Calibri" w:cs="Times New Roman"/>
          <w:sz w:val="24"/>
          <w:szCs w:val="24"/>
        </w:rPr>
        <w:t xml:space="preserve">comparatively low level of investment, </w:t>
      </w:r>
      <w:r>
        <w:rPr>
          <w:rFonts w:ascii="Calibri" w:eastAsia="Calibri" w:hAnsi="Calibri" w:cs="Times New Roman"/>
          <w:sz w:val="24"/>
          <w:szCs w:val="24"/>
        </w:rPr>
        <w:t xml:space="preserve">(ii) </w:t>
      </w:r>
      <w:r w:rsidRPr="00F21453">
        <w:rPr>
          <w:rFonts w:ascii="Calibri" w:eastAsia="Calibri" w:hAnsi="Calibri" w:cs="Times New Roman"/>
          <w:sz w:val="24"/>
          <w:szCs w:val="24"/>
        </w:rPr>
        <w:t xml:space="preserve">inadequate collaboration between key stakeholders, and </w:t>
      </w:r>
      <w:r>
        <w:rPr>
          <w:rFonts w:ascii="Calibri" w:eastAsia="Calibri" w:hAnsi="Calibri" w:cs="Times New Roman"/>
          <w:sz w:val="24"/>
          <w:szCs w:val="24"/>
        </w:rPr>
        <w:t xml:space="preserve">(iii) </w:t>
      </w:r>
      <w:r w:rsidRPr="00F21453">
        <w:rPr>
          <w:rFonts w:ascii="Calibri" w:eastAsia="Calibri" w:hAnsi="Calibri" w:cs="Times New Roman"/>
          <w:sz w:val="24"/>
          <w:szCs w:val="24"/>
        </w:rPr>
        <w:t>the regional bias of investment in favour of London which disproportionately affects the Northern regions.</w:t>
      </w:r>
    </w:p>
    <w:p w14:paraId="32CF926F" w14:textId="77777777" w:rsidR="00607A0D" w:rsidRPr="00D076FA" w:rsidRDefault="00607A0D" w:rsidP="00607A0D">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T</w:t>
      </w:r>
      <w:r w:rsidRPr="00D076FA">
        <w:rPr>
          <w:rFonts w:ascii="Calibri" w:eastAsia="Calibri" w:hAnsi="Calibri" w:cs="Times New Roman"/>
          <w:sz w:val="24"/>
          <w:szCs w:val="24"/>
        </w:rPr>
        <w:t xml:space="preserve">he UK falls behind in terms of percentage spend relative to GDP but with a strong pipeline of major projects, the UK will experience growth as the main power in Europe for infrastructure over the next decade. In contrast, the levels of investment in some Asian countries such as (Singapore and China) are much higher than the global average. Considerations should also be given to the need to set up infrastructure banks similar to what is in operation in other developed nations to stimulate private investment and to complement public sector budget allocations.  </w:t>
      </w:r>
    </w:p>
    <w:p w14:paraId="60318856" w14:textId="77777777" w:rsidR="00607A0D" w:rsidRDefault="00607A0D" w:rsidP="00607A0D">
      <w:pPr>
        <w:autoSpaceDE w:val="0"/>
        <w:autoSpaceDN w:val="0"/>
        <w:adjustRightInd w:val="0"/>
        <w:spacing w:after="0" w:line="360" w:lineRule="auto"/>
        <w:jc w:val="both"/>
        <w:rPr>
          <w:rFonts w:ascii="Calibri" w:eastAsia="Calibri" w:hAnsi="Calibri" w:cs="Times New Roman"/>
          <w:sz w:val="24"/>
          <w:szCs w:val="24"/>
        </w:rPr>
      </w:pPr>
    </w:p>
    <w:p w14:paraId="6748272D" w14:textId="77777777" w:rsidR="00607A0D" w:rsidRDefault="00607A0D" w:rsidP="00607A0D">
      <w:pPr>
        <w:autoSpaceDE w:val="0"/>
        <w:autoSpaceDN w:val="0"/>
        <w:adjustRightInd w:val="0"/>
        <w:spacing w:after="0" w:line="360" w:lineRule="auto"/>
        <w:jc w:val="both"/>
        <w:rPr>
          <w:rFonts w:ascii="Calibri" w:eastAsia="Calibri" w:hAnsi="Calibri" w:cs="Times New Roman"/>
          <w:i/>
          <w:iCs/>
          <w:sz w:val="24"/>
          <w:szCs w:val="24"/>
        </w:rPr>
      </w:pPr>
      <w:r>
        <w:rPr>
          <w:rFonts w:ascii="Calibri" w:eastAsia="Calibri" w:hAnsi="Calibri" w:cs="Times New Roman"/>
          <w:sz w:val="24"/>
          <w:szCs w:val="24"/>
        </w:rPr>
        <w:t>There is significant scope for improved</w:t>
      </w:r>
      <w:r w:rsidRPr="008E38EF">
        <w:rPr>
          <w:rFonts w:ascii="Calibri" w:eastAsia="Calibri" w:hAnsi="Calibri" w:cs="Times New Roman"/>
          <w:sz w:val="24"/>
          <w:szCs w:val="24"/>
        </w:rPr>
        <w:t xml:space="preserve"> collaboration with local stakeholders</w:t>
      </w:r>
      <w:r>
        <w:rPr>
          <w:rFonts w:ascii="Calibri" w:eastAsia="Calibri" w:hAnsi="Calibri" w:cs="Times New Roman"/>
          <w:sz w:val="24"/>
          <w:szCs w:val="24"/>
        </w:rPr>
        <w:t xml:space="preserve"> to address the </w:t>
      </w:r>
      <w:r w:rsidRPr="008E38EF">
        <w:rPr>
          <w:rFonts w:ascii="Calibri" w:eastAsia="Calibri" w:hAnsi="Calibri" w:cs="Times New Roman"/>
          <w:sz w:val="24"/>
          <w:szCs w:val="24"/>
        </w:rPr>
        <w:t>high levels of bureaucracy</w:t>
      </w:r>
      <w:r>
        <w:rPr>
          <w:rFonts w:ascii="Calibri" w:eastAsia="Calibri" w:hAnsi="Calibri" w:cs="Times New Roman"/>
          <w:sz w:val="24"/>
          <w:szCs w:val="24"/>
        </w:rPr>
        <w:t xml:space="preserve"> associated with the UK policy framework. </w:t>
      </w:r>
      <w:r w:rsidRPr="008E38EF">
        <w:rPr>
          <w:rFonts w:ascii="Calibri" w:eastAsia="Calibri" w:hAnsi="Calibri" w:cs="Times New Roman"/>
          <w:sz w:val="24"/>
          <w:szCs w:val="24"/>
        </w:rPr>
        <w:t xml:space="preserve"> Collaboration is a key feature </w:t>
      </w:r>
      <w:r>
        <w:rPr>
          <w:rFonts w:ascii="Calibri" w:eastAsia="Calibri" w:hAnsi="Calibri" w:cs="Times New Roman"/>
          <w:sz w:val="24"/>
          <w:szCs w:val="24"/>
        </w:rPr>
        <w:t xml:space="preserve">of the success stories </w:t>
      </w:r>
      <w:r w:rsidRPr="008E38EF">
        <w:rPr>
          <w:rFonts w:ascii="Calibri" w:eastAsia="Calibri" w:hAnsi="Calibri" w:cs="Times New Roman"/>
          <w:sz w:val="24"/>
          <w:szCs w:val="24"/>
        </w:rPr>
        <w:t xml:space="preserve">in Singapore and </w:t>
      </w:r>
      <w:r>
        <w:rPr>
          <w:rFonts w:ascii="Calibri" w:eastAsia="Calibri" w:hAnsi="Calibri" w:cs="Times New Roman"/>
          <w:sz w:val="24"/>
          <w:szCs w:val="24"/>
        </w:rPr>
        <w:t>other</w:t>
      </w:r>
      <w:r w:rsidRPr="008E38EF">
        <w:rPr>
          <w:rFonts w:ascii="Calibri" w:eastAsia="Calibri" w:hAnsi="Calibri" w:cs="Times New Roman"/>
          <w:sz w:val="24"/>
          <w:szCs w:val="24"/>
        </w:rPr>
        <w:t xml:space="preserve"> countries </w:t>
      </w:r>
      <w:r>
        <w:rPr>
          <w:rFonts w:ascii="Calibri" w:eastAsia="Calibri" w:hAnsi="Calibri" w:cs="Times New Roman"/>
          <w:sz w:val="24"/>
          <w:szCs w:val="24"/>
        </w:rPr>
        <w:t xml:space="preserve">where infrastructure investments are higher </w:t>
      </w:r>
      <w:r w:rsidRPr="00D076FA">
        <w:rPr>
          <w:rFonts w:ascii="Calibri" w:eastAsia="Calibri" w:hAnsi="Calibri" w:cs="Times New Roman"/>
          <w:sz w:val="24"/>
          <w:szCs w:val="24"/>
        </w:rPr>
        <w:t xml:space="preserve">which is achieved through a policy framework where all infrastructure stakeholders are engaged. </w:t>
      </w:r>
      <w:bookmarkStart w:id="12" w:name="_Hlk60372745"/>
      <w:r w:rsidRPr="00D076FA">
        <w:rPr>
          <w:rFonts w:ascii="Calibri" w:eastAsia="Calibri" w:hAnsi="Calibri" w:cs="Times New Roman"/>
          <w:sz w:val="24"/>
          <w:szCs w:val="24"/>
        </w:rPr>
        <w:t xml:space="preserve">Improving infrastructure project implementation through </w:t>
      </w:r>
      <w:r w:rsidRPr="00ED43FF">
        <w:rPr>
          <w:rFonts w:ascii="Calibri" w:eastAsia="Calibri" w:hAnsi="Calibri" w:cs="Times New Roman"/>
          <w:sz w:val="24"/>
          <w:szCs w:val="24"/>
        </w:rPr>
        <w:t>institutional coordination</w:t>
      </w:r>
      <w:r w:rsidRPr="00D076FA">
        <w:rPr>
          <w:rFonts w:ascii="Calibri" w:eastAsia="Calibri" w:hAnsi="Calibri" w:cs="Times New Roman"/>
          <w:sz w:val="24"/>
          <w:szCs w:val="24"/>
        </w:rPr>
        <w:t xml:space="preserve"> will boost economic growth post Brexit and support the development of new trading agreements. </w:t>
      </w:r>
      <w:bookmarkEnd w:id="12"/>
      <w:r w:rsidRPr="00D076FA">
        <w:rPr>
          <w:rFonts w:ascii="Calibri" w:eastAsia="Calibri" w:hAnsi="Calibri" w:cs="Times New Roman"/>
          <w:sz w:val="24"/>
          <w:szCs w:val="24"/>
        </w:rPr>
        <w:t>To optimise infrastructure investment, increasing collaboration with other regions and local stakeholders will be critical to ensure synergy, ownership and future-proofing of UK future infrastructure development plans, and the identification of future investible pipeline of infrastructure projects.</w:t>
      </w:r>
    </w:p>
    <w:p w14:paraId="5613E4AE" w14:textId="77777777" w:rsidR="00607A0D" w:rsidRPr="00233A00" w:rsidRDefault="00607A0D" w:rsidP="00607A0D">
      <w:pPr>
        <w:autoSpaceDE w:val="0"/>
        <w:autoSpaceDN w:val="0"/>
        <w:adjustRightInd w:val="0"/>
        <w:spacing w:after="0" w:line="360" w:lineRule="auto"/>
        <w:jc w:val="both"/>
        <w:rPr>
          <w:rFonts w:ascii="Calibri" w:eastAsia="Calibri" w:hAnsi="Calibri" w:cs="Times New Roman"/>
          <w:i/>
          <w:iCs/>
          <w:sz w:val="24"/>
          <w:szCs w:val="24"/>
        </w:rPr>
      </w:pPr>
    </w:p>
    <w:p w14:paraId="5438C04D" w14:textId="77777777" w:rsidR="00607A0D" w:rsidRPr="008E38EF" w:rsidRDefault="00607A0D" w:rsidP="00607A0D">
      <w:pPr>
        <w:spacing w:line="360" w:lineRule="auto"/>
        <w:jc w:val="both"/>
        <w:rPr>
          <w:rFonts w:ascii="Calibri" w:eastAsia="Calibri" w:hAnsi="Calibri" w:cs="Times New Roman"/>
          <w:sz w:val="24"/>
          <w:szCs w:val="24"/>
        </w:rPr>
      </w:pPr>
      <w:r w:rsidRPr="008E38EF">
        <w:rPr>
          <w:rFonts w:ascii="Calibri" w:eastAsia="Calibri" w:hAnsi="Calibri" w:cs="Times New Roman"/>
          <w:sz w:val="24"/>
          <w:szCs w:val="24"/>
        </w:rPr>
        <w:t xml:space="preserve">There are </w:t>
      </w:r>
      <w:r>
        <w:rPr>
          <w:rFonts w:ascii="Calibri" w:eastAsia="Calibri" w:hAnsi="Calibri" w:cs="Times New Roman"/>
          <w:sz w:val="24"/>
          <w:szCs w:val="24"/>
        </w:rPr>
        <w:t>regional biases in</w:t>
      </w:r>
      <w:r w:rsidRPr="008E38EF">
        <w:rPr>
          <w:rFonts w:ascii="Calibri" w:eastAsia="Calibri" w:hAnsi="Calibri" w:cs="Times New Roman"/>
          <w:sz w:val="24"/>
          <w:szCs w:val="24"/>
        </w:rPr>
        <w:t xml:space="preserve"> the UK </w:t>
      </w:r>
      <w:r>
        <w:rPr>
          <w:rFonts w:ascii="Calibri" w:eastAsia="Calibri" w:hAnsi="Calibri" w:cs="Times New Roman"/>
          <w:sz w:val="24"/>
          <w:szCs w:val="24"/>
        </w:rPr>
        <w:t>infrastructure policy</w:t>
      </w:r>
      <w:r w:rsidRPr="008E38EF">
        <w:rPr>
          <w:rFonts w:ascii="Calibri" w:eastAsia="Calibri" w:hAnsi="Calibri" w:cs="Times New Roman"/>
          <w:sz w:val="24"/>
          <w:szCs w:val="24"/>
        </w:rPr>
        <w:t xml:space="preserve"> that prevent</w:t>
      </w:r>
      <w:r>
        <w:rPr>
          <w:rFonts w:ascii="Calibri" w:eastAsia="Calibri" w:hAnsi="Calibri" w:cs="Times New Roman"/>
          <w:sz w:val="24"/>
          <w:szCs w:val="24"/>
        </w:rPr>
        <w:t>s</w:t>
      </w:r>
      <w:r w:rsidRPr="008E38EF">
        <w:rPr>
          <w:rFonts w:ascii="Calibri" w:eastAsia="Calibri" w:hAnsi="Calibri" w:cs="Times New Roman"/>
          <w:sz w:val="24"/>
          <w:szCs w:val="24"/>
        </w:rPr>
        <w:t xml:space="preserve"> maximising the potential growth</w:t>
      </w:r>
      <w:r>
        <w:rPr>
          <w:rFonts w:ascii="Calibri" w:eastAsia="Calibri" w:hAnsi="Calibri" w:cs="Times New Roman"/>
          <w:sz w:val="24"/>
          <w:szCs w:val="24"/>
        </w:rPr>
        <w:t xml:space="preserve"> from infrastructure investment</w:t>
      </w:r>
      <w:r w:rsidRPr="008E38EF">
        <w:rPr>
          <w:rFonts w:ascii="Calibri" w:eastAsia="Calibri" w:hAnsi="Calibri" w:cs="Times New Roman"/>
          <w:sz w:val="24"/>
          <w:szCs w:val="24"/>
        </w:rPr>
        <w:t xml:space="preserve">. Regional disparity still exists, </w:t>
      </w:r>
      <w:r>
        <w:rPr>
          <w:rFonts w:ascii="Calibri" w:eastAsia="Calibri" w:hAnsi="Calibri" w:cs="Times New Roman"/>
          <w:sz w:val="24"/>
          <w:szCs w:val="24"/>
        </w:rPr>
        <w:t xml:space="preserve">with a disproportionate </w:t>
      </w:r>
      <w:r w:rsidRPr="008E38EF">
        <w:rPr>
          <w:rFonts w:ascii="Calibri" w:eastAsia="Calibri" w:hAnsi="Calibri" w:cs="Times New Roman"/>
          <w:sz w:val="24"/>
          <w:szCs w:val="24"/>
        </w:rPr>
        <w:t xml:space="preserve">focus on London despite </w:t>
      </w:r>
      <w:r>
        <w:rPr>
          <w:rFonts w:ascii="Calibri" w:eastAsia="Calibri" w:hAnsi="Calibri" w:cs="Times New Roman"/>
          <w:sz w:val="24"/>
          <w:szCs w:val="24"/>
        </w:rPr>
        <w:t>the</w:t>
      </w:r>
      <w:r w:rsidRPr="008E38EF">
        <w:rPr>
          <w:rFonts w:ascii="Calibri" w:eastAsia="Calibri" w:hAnsi="Calibri" w:cs="Times New Roman"/>
          <w:sz w:val="24"/>
          <w:szCs w:val="24"/>
        </w:rPr>
        <w:t xml:space="preserve"> ‘subsidy’ argument</w:t>
      </w:r>
      <w:r>
        <w:rPr>
          <w:rFonts w:ascii="Calibri" w:eastAsia="Calibri" w:hAnsi="Calibri" w:cs="Times New Roman"/>
          <w:sz w:val="24"/>
          <w:szCs w:val="24"/>
        </w:rPr>
        <w:t xml:space="preserve"> benefitting other regions</w:t>
      </w:r>
      <w:r w:rsidRPr="008E38EF">
        <w:rPr>
          <w:rFonts w:ascii="Calibri" w:eastAsia="Calibri" w:hAnsi="Calibri" w:cs="Times New Roman"/>
          <w:sz w:val="24"/>
          <w:szCs w:val="24"/>
        </w:rPr>
        <w:t>.</w:t>
      </w:r>
      <w:r>
        <w:rPr>
          <w:rFonts w:ascii="Calibri" w:eastAsia="Calibri" w:hAnsi="Calibri" w:cs="Times New Roman"/>
          <w:sz w:val="24"/>
          <w:szCs w:val="24"/>
        </w:rPr>
        <w:t xml:space="preserve"> Although the r</w:t>
      </w:r>
      <w:r w:rsidRPr="008E38EF">
        <w:rPr>
          <w:rFonts w:ascii="Calibri" w:eastAsia="Calibri" w:hAnsi="Calibri" w:cs="Times New Roman"/>
          <w:sz w:val="24"/>
          <w:szCs w:val="24"/>
        </w:rPr>
        <w:t>eturn on infrastructure investment is larger in London</w:t>
      </w:r>
      <w:r>
        <w:rPr>
          <w:rFonts w:ascii="Calibri" w:eastAsia="Calibri" w:hAnsi="Calibri" w:cs="Times New Roman"/>
          <w:sz w:val="24"/>
          <w:szCs w:val="24"/>
        </w:rPr>
        <w:t>, s</w:t>
      </w:r>
      <w:r w:rsidRPr="008E38EF">
        <w:rPr>
          <w:rFonts w:ascii="Calibri" w:eastAsia="Calibri" w:hAnsi="Calibri" w:cs="Times New Roman"/>
          <w:sz w:val="24"/>
          <w:szCs w:val="24"/>
        </w:rPr>
        <w:t>ome investment opportunit</w:t>
      </w:r>
      <w:r>
        <w:rPr>
          <w:rFonts w:ascii="Calibri" w:eastAsia="Calibri" w:hAnsi="Calibri" w:cs="Times New Roman"/>
          <w:sz w:val="24"/>
          <w:szCs w:val="24"/>
        </w:rPr>
        <w:t>ies</w:t>
      </w:r>
      <w:r w:rsidRPr="008E38EF">
        <w:rPr>
          <w:rFonts w:ascii="Calibri" w:eastAsia="Calibri" w:hAnsi="Calibri" w:cs="Times New Roman"/>
          <w:sz w:val="24"/>
          <w:szCs w:val="24"/>
        </w:rPr>
        <w:t xml:space="preserve"> in the North </w:t>
      </w:r>
      <w:r>
        <w:rPr>
          <w:rFonts w:ascii="Calibri" w:eastAsia="Calibri" w:hAnsi="Calibri" w:cs="Times New Roman"/>
          <w:sz w:val="24"/>
          <w:szCs w:val="24"/>
        </w:rPr>
        <w:t>are</w:t>
      </w:r>
      <w:r w:rsidRPr="008E38EF">
        <w:rPr>
          <w:rFonts w:ascii="Calibri" w:eastAsia="Calibri" w:hAnsi="Calibri" w:cs="Times New Roman"/>
          <w:sz w:val="24"/>
          <w:szCs w:val="24"/>
        </w:rPr>
        <w:t xml:space="preserve"> being overlooked, </w:t>
      </w:r>
      <w:r>
        <w:rPr>
          <w:rFonts w:ascii="Calibri" w:eastAsia="Calibri" w:hAnsi="Calibri" w:cs="Times New Roman"/>
          <w:sz w:val="24"/>
          <w:szCs w:val="24"/>
        </w:rPr>
        <w:t xml:space="preserve">which </w:t>
      </w:r>
      <w:r w:rsidRPr="008E38EF">
        <w:rPr>
          <w:rFonts w:ascii="Calibri" w:eastAsia="Calibri" w:hAnsi="Calibri" w:cs="Times New Roman"/>
          <w:sz w:val="24"/>
          <w:szCs w:val="24"/>
        </w:rPr>
        <w:t xml:space="preserve">is a key area of development which can aid growth across the UK as a whole. </w:t>
      </w:r>
    </w:p>
    <w:p w14:paraId="203622B1" w14:textId="77777777" w:rsidR="00607A0D" w:rsidRPr="00ED43FF" w:rsidRDefault="00607A0D" w:rsidP="00607A0D">
      <w:pPr>
        <w:spacing w:line="360" w:lineRule="auto"/>
        <w:jc w:val="both"/>
        <w:rPr>
          <w:rFonts w:ascii="Calibri" w:eastAsia="Calibri" w:hAnsi="Calibri" w:cs="Times New Roman"/>
          <w:sz w:val="24"/>
          <w:szCs w:val="24"/>
        </w:rPr>
      </w:pPr>
      <w:r w:rsidRPr="008E38EF">
        <w:rPr>
          <w:rFonts w:ascii="Calibri" w:eastAsia="Calibri" w:hAnsi="Calibri" w:cs="Times New Roman"/>
          <w:sz w:val="24"/>
          <w:szCs w:val="24"/>
        </w:rPr>
        <w:t xml:space="preserve">A review of </w:t>
      </w:r>
      <w:r>
        <w:rPr>
          <w:rFonts w:ascii="Calibri" w:eastAsia="Calibri" w:hAnsi="Calibri" w:cs="Times New Roman"/>
          <w:sz w:val="24"/>
          <w:szCs w:val="24"/>
        </w:rPr>
        <w:t>policy</w:t>
      </w:r>
      <w:r w:rsidRPr="008E38EF">
        <w:rPr>
          <w:rFonts w:ascii="Calibri" w:eastAsia="Calibri" w:hAnsi="Calibri" w:cs="Times New Roman"/>
          <w:sz w:val="24"/>
          <w:szCs w:val="24"/>
        </w:rPr>
        <w:t xml:space="preserve"> </w:t>
      </w:r>
      <w:r>
        <w:rPr>
          <w:rFonts w:ascii="Calibri" w:eastAsia="Calibri" w:hAnsi="Calibri" w:cs="Times New Roman"/>
          <w:sz w:val="24"/>
          <w:szCs w:val="24"/>
        </w:rPr>
        <w:t xml:space="preserve">is necessary focusing on </w:t>
      </w:r>
      <w:r w:rsidRPr="008E38EF">
        <w:rPr>
          <w:rFonts w:ascii="Calibri" w:eastAsia="Calibri" w:hAnsi="Calibri" w:cs="Times New Roman"/>
          <w:sz w:val="24"/>
          <w:szCs w:val="24"/>
        </w:rPr>
        <w:t>a variety of alternative suggestions such</w:t>
      </w:r>
      <w:r>
        <w:rPr>
          <w:rFonts w:ascii="Calibri" w:eastAsia="Calibri" w:hAnsi="Calibri" w:cs="Times New Roman"/>
          <w:sz w:val="24"/>
          <w:szCs w:val="24"/>
        </w:rPr>
        <w:t xml:space="preserve"> as</w:t>
      </w:r>
      <w:r w:rsidRPr="00784850">
        <w:t xml:space="preserve"> </w:t>
      </w:r>
      <w:r w:rsidRPr="00784850">
        <w:rPr>
          <w:rFonts w:ascii="Calibri" w:eastAsia="Calibri" w:hAnsi="Calibri" w:cs="Times New Roman"/>
          <w:sz w:val="24"/>
          <w:szCs w:val="24"/>
        </w:rPr>
        <w:t>Institute for Public Policy Research</w:t>
      </w:r>
      <w:r w:rsidRPr="008E38EF">
        <w:rPr>
          <w:rFonts w:ascii="Calibri" w:eastAsia="Calibri" w:hAnsi="Calibri" w:cs="Times New Roman"/>
          <w:sz w:val="24"/>
          <w:szCs w:val="24"/>
        </w:rPr>
        <w:t xml:space="preserve"> </w:t>
      </w:r>
      <w:r>
        <w:rPr>
          <w:rFonts w:ascii="Calibri" w:eastAsia="Calibri" w:hAnsi="Calibri" w:cs="Times New Roman"/>
          <w:sz w:val="24"/>
          <w:szCs w:val="24"/>
        </w:rPr>
        <w:t>(</w:t>
      </w:r>
      <w:r w:rsidRPr="008E38EF">
        <w:rPr>
          <w:rFonts w:ascii="Calibri" w:eastAsia="Calibri" w:hAnsi="Calibri" w:cs="Times New Roman"/>
          <w:sz w:val="24"/>
          <w:szCs w:val="24"/>
        </w:rPr>
        <w:t>IPPR</w:t>
      </w:r>
      <w:r>
        <w:rPr>
          <w:rFonts w:ascii="Calibri" w:eastAsia="Calibri" w:hAnsi="Calibri" w:cs="Times New Roman"/>
          <w:sz w:val="24"/>
          <w:szCs w:val="24"/>
        </w:rPr>
        <w:t>)</w:t>
      </w:r>
      <w:r w:rsidRPr="008E38EF">
        <w:rPr>
          <w:rFonts w:ascii="Calibri" w:eastAsia="Calibri" w:hAnsi="Calibri" w:cs="Times New Roman"/>
          <w:sz w:val="24"/>
          <w:szCs w:val="24"/>
        </w:rPr>
        <w:t xml:space="preserve"> spending reviews</w:t>
      </w:r>
      <w:r>
        <w:rPr>
          <w:rFonts w:ascii="Calibri" w:eastAsia="Calibri" w:hAnsi="Calibri" w:cs="Times New Roman"/>
          <w:sz w:val="24"/>
          <w:szCs w:val="24"/>
        </w:rPr>
        <w:t xml:space="preserve"> for i</w:t>
      </w:r>
      <w:r w:rsidRPr="008E38EF">
        <w:rPr>
          <w:rFonts w:ascii="Calibri" w:eastAsia="Calibri" w:hAnsi="Calibri" w:cs="Times New Roman"/>
          <w:sz w:val="24"/>
          <w:szCs w:val="24"/>
        </w:rPr>
        <w:t>ncreased investment, further devolution</w:t>
      </w:r>
      <w:r>
        <w:rPr>
          <w:rFonts w:ascii="Calibri" w:eastAsia="Calibri" w:hAnsi="Calibri" w:cs="Times New Roman"/>
          <w:sz w:val="24"/>
          <w:szCs w:val="24"/>
        </w:rPr>
        <w:t xml:space="preserve"> to allow for investment in disadvantaged regions</w:t>
      </w:r>
      <w:r w:rsidRPr="008E38EF">
        <w:rPr>
          <w:rFonts w:ascii="Calibri" w:eastAsia="Calibri" w:hAnsi="Calibri" w:cs="Times New Roman"/>
          <w:sz w:val="24"/>
          <w:szCs w:val="24"/>
        </w:rPr>
        <w:t xml:space="preserve">, a replacement for the EIB </w:t>
      </w:r>
      <w:r>
        <w:rPr>
          <w:rFonts w:ascii="Calibri" w:eastAsia="Calibri" w:hAnsi="Calibri" w:cs="Times New Roman"/>
          <w:sz w:val="24"/>
          <w:szCs w:val="24"/>
        </w:rPr>
        <w:t xml:space="preserve">will dedicated infrastructure Banks to stimulate private investment </w:t>
      </w:r>
      <w:r w:rsidRPr="008E38EF">
        <w:rPr>
          <w:rFonts w:ascii="Calibri" w:eastAsia="Calibri" w:hAnsi="Calibri" w:cs="Times New Roman"/>
          <w:sz w:val="24"/>
          <w:szCs w:val="24"/>
        </w:rPr>
        <w:t xml:space="preserve">as the UK </w:t>
      </w:r>
      <w:r>
        <w:rPr>
          <w:rFonts w:ascii="Calibri" w:eastAsia="Calibri" w:hAnsi="Calibri" w:cs="Times New Roman"/>
          <w:sz w:val="24"/>
          <w:szCs w:val="24"/>
        </w:rPr>
        <w:t>h</w:t>
      </w:r>
      <w:r w:rsidRPr="008E38EF">
        <w:rPr>
          <w:rFonts w:ascii="Calibri" w:eastAsia="Calibri" w:hAnsi="Calibri" w:cs="Times New Roman"/>
          <w:sz w:val="24"/>
          <w:szCs w:val="24"/>
        </w:rPr>
        <w:t xml:space="preserve">as exited the EU and more collaboration between all stakeholders </w:t>
      </w:r>
      <w:r>
        <w:rPr>
          <w:rFonts w:ascii="Calibri" w:eastAsia="Calibri" w:hAnsi="Calibri" w:cs="Times New Roman"/>
          <w:sz w:val="24"/>
          <w:szCs w:val="24"/>
        </w:rPr>
        <w:t>to</w:t>
      </w:r>
      <w:r w:rsidRPr="008E38EF">
        <w:rPr>
          <w:rFonts w:ascii="Calibri" w:eastAsia="Calibri" w:hAnsi="Calibri" w:cs="Times New Roman"/>
          <w:sz w:val="24"/>
          <w:szCs w:val="24"/>
        </w:rPr>
        <w:t xml:space="preserve"> maximise the potential of infrastructure within the UK.</w:t>
      </w:r>
    </w:p>
    <w:p w14:paraId="57DD962C" w14:textId="77777777" w:rsidR="00607A0D" w:rsidRPr="000E08FE" w:rsidRDefault="00607A0D" w:rsidP="00607A0D">
      <w:pPr>
        <w:rPr>
          <w:rFonts w:cstheme="minorHAnsi"/>
          <w:b/>
          <w:bCs/>
          <w:sz w:val="24"/>
          <w:szCs w:val="24"/>
        </w:rPr>
      </w:pPr>
      <w:r w:rsidRPr="000E08FE">
        <w:rPr>
          <w:rFonts w:cstheme="minorHAnsi"/>
          <w:b/>
          <w:bCs/>
          <w:sz w:val="24"/>
          <w:szCs w:val="24"/>
        </w:rPr>
        <w:t>REFERENCES</w:t>
      </w:r>
    </w:p>
    <w:p w14:paraId="6AD706D3" w14:textId="77777777" w:rsidR="00607A0D" w:rsidRDefault="00607A0D" w:rsidP="00607A0D">
      <w:pPr>
        <w:rPr>
          <w:rFonts w:cstheme="minorHAnsi"/>
          <w:sz w:val="24"/>
          <w:szCs w:val="24"/>
        </w:rPr>
      </w:pPr>
      <w:r w:rsidRPr="000E08FE">
        <w:rPr>
          <w:rFonts w:cstheme="minorHAnsi"/>
          <w:sz w:val="24"/>
          <w:szCs w:val="24"/>
        </w:rPr>
        <w:t xml:space="preserve">Aizlewood,  K.  &amp;  Wellings,  R.  (2011).  High Speed 2:  the next government project disaster?  Institute for Economic Affairs Discussion Paper 36.  Retrieved from </w:t>
      </w:r>
      <w:hyperlink r:id="rId13" w:history="1">
        <w:r w:rsidRPr="00F45288">
          <w:rPr>
            <w:rStyle w:val="Hyperlink"/>
            <w:rFonts w:cstheme="minorHAnsi"/>
            <w:sz w:val="24"/>
            <w:szCs w:val="24"/>
          </w:rPr>
          <w:t>www.iea.org.uk</w:t>
        </w:r>
      </w:hyperlink>
      <w:r w:rsidRPr="000E08FE">
        <w:rPr>
          <w:rFonts w:cstheme="minorHAnsi"/>
          <w:sz w:val="24"/>
          <w:szCs w:val="24"/>
        </w:rPr>
        <w:t>.</w:t>
      </w:r>
    </w:p>
    <w:p w14:paraId="562DBB9F" w14:textId="77777777" w:rsidR="00607A0D" w:rsidRPr="000E08FE" w:rsidRDefault="00607A0D" w:rsidP="00607A0D">
      <w:pPr>
        <w:rPr>
          <w:rFonts w:cstheme="minorHAnsi"/>
          <w:sz w:val="24"/>
          <w:szCs w:val="24"/>
        </w:rPr>
      </w:pPr>
      <w:r>
        <w:rPr>
          <w:rFonts w:cstheme="minorHAnsi"/>
          <w:sz w:val="24"/>
          <w:szCs w:val="24"/>
        </w:rPr>
        <w:t>Airports Commission (2014)</w:t>
      </w:r>
      <w:r w:rsidRPr="0093506C">
        <w:t xml:space="preserve"> </w:t>
      </w:r>
      <w:r w:rsidRPr="0093506C">
        <w:rPr>
          <w:rFonts w:cstheme="minorHAnsi"/>
          <w:sz w:val="24"/>
          <w:szCs w:val="24"/>
        </w:rPr>
        <w:t>Local Economy Impacts: Assessment</w:t>
      </w:r>
      <w:r>
        <w:rPr>
          <w:rFonts w:cstheme="minorHAnsi"/>
          <w:sz w:val="24"/>
          <w:szCs w:val="24"/>
        </w:rPr>
        <w:t xml:space="preserve">. </w:t>
      </w:r>
      <w:r w:rsidRPr="0093506C">
        <w:rPr>
          <w:rFonts w:cstheme="minorHAnsi"/>
          <w:sz w:val="24"/>
          <w:szCs w:val="24"/>
        </w:rPr>
        <w:t>An independent commission appointed by Government</w:t>
      </w:r>
      <w:r>
        <w:rPr>
          <w:rFonts w:cstheme="minorHAnsi"/>
          <w:sz w:val="24"/>
          <w:szCs w:val="24"/>
        </w:rPr>
        <w:t xml:space="preserve">. Retrieved from </w:t>
      </w:r>
      <w:r w:rsidRPr="0093506C">
        <w:rPr>
          <w:rFonts w:cstheme="minorHAnsi"/>
          <w:sz w:val="24"/>
          <w:szCs w:val="24"/>
        </w:rPr>
        <w:t>https://assets.publishing.service.gov.uk/government/local-economy-assessment</w:t>
      </w:r>
      <w:r>
        <w:rPr>
          <w:rFonts w:cstheme="minorHAnsi"/>
          <w:sz w:val="24"/>
          <w:szCs w:val="24"/>
        </w:rPr>
        <w:t>.</w:t>
      </w:r>
    </w:p>
    <w:p w14:paraId="33839D0D" w14:textId="77777777" w:rsidR="00607A0D" w:rsidRDefault="00607A0D" w:rsidP="00607A0D">
      <w:pPr>
        <w:rPr>
          <w:rFonts w:eastAsia="Calibri" w:cstheme="minorHAnsi"/>
          <w:sz w:val="24"/>
          <w:szCs w:val="24"/>
        </w:rPr>
      </w:pPr>
      <w:r w:rsidRPr="000E08FE">
        <w:rPr>
          <w:rFonts w:eastAsia="Calibri" w:cstheme="minorHAnsi"/>
          <w:sz w:val="24"/>
          <w:szCs w:val="24"/>
        </w:rPr>
        <w:t>BBC, (2020)</w:t>
      </w:r>
      <w:r w:rsidRPr="000E08FE">
        <w:rPr>
          <w:rFonts w:eastAsia="Times New Roman" w:cstheme="minorHAnsi"/>
          <w:kern w:val="36"/>
          <w:sz w:val="24"/>
          <w:szCs w:val="24"/>
          <w:lang w:eastAsia="en-GB"/>
        </w:rPr>
        <w:t xml:space="preserve"> </w:t>
      </w:r>
      <w:r w:rsidRPr="000E08FE">
        <w:rPr>
          <w:rFonts w:eastAsia="Calibri" w:cstheme="minorHAnsi"/>
          <w:sz w:val="24"/>
          <w:szCs w:val="24"/>
        </w:rPr>
        <w:t xml:space="preserve">Spending Review: Unemployed predicted to rise to 2.6 million </w:t>
      </w:r>
      <w:hyperlink r:id="rId14" w:history="1">
        <w:r w:rsidRPr="008F721E">
          <w:rPr>
            <w:rStyle w:val="Hyperlink"/>
            <w:rFonts w:eastAsia="Calibri" w:cstheme="minorHAnsi"/>
            <w:sz w:val="24"/>
            <w:szCs w:val="24"/>
          </w:rPr>
          <w:t>https://www.bbc.com/news/uk-politics-55072987</w:t>
        </w:r>
      </w:hyperlink>
    </w:p>
    <w:p w14:paraId="5B2CD0D7" w14:textId="77777777" w:rsidR="00607A0D" w:rsidRPr="00FD48C9" w:rsidRDefault="00607A0D" w:rsidP="00607A0D">
      <w:pPr>
        <w:rPr>
          <w:rFonts w:cstheme="minorHAnsi"/>
          <w:sz w:val="24"/>
          <w:szCs w:val="24"/>
        </w:rPr>
      </w:pPr>
      <w:r w:rsidRPr="00FD48C9">
        <w:rPr>
          <w:rFonts w:ascii="Calibri" w:eastAsia="Calibri" w:hAnsi="Calibri" w:cs="Times New Roman"/>
          <w:sz w:val="24"/>
          <w:szCs w:val="24"/>
        </w:rPr>
        <w:t>Burroughs. D, (2020).</w:t>
      </w:r>
      <w:r w:rsidRPr="00FD48C9">
        <w:t xml:space="preserve"> </w:t>
      </w:r>
      <w:r w:rsidRPr="00FD48C9">
        <w:rPr>
          <w:rFonts w:ascii="Calibri" w:eastAsia="Calibri" w:hAnsi="Calibri" w:cs="Times New Roman"/>
          <w:sz w:val="24"/>
          <w:szCs w:val="24"/>
        </w:rPr>
        <w:t>Construction begins on Britain’s HS2 project. International Railway Journal. Available from: https://www.railjournal.com/construction-begins-on-britains-hs2-project</w:t>
      </w:r>
    </w:p>
    <w:p w14:paraId="6154AF21" w14:textId="77777777" w:rsidR="00607A0D" w:rsidRPr="000E08FE" w:rsidRDefault="00607A0D" w:rsidP="00607A0D">
      <w:pPr>
        <w:rPr>
          <w:rFonts w:cstheme="minorHAnsi"/>
          <w:sz w:val="24"/>
          <w:szCs w:val="24"/>
        </w:rPr>
      </w:pPr>
      <w:r w:rsidRPr="000E08FE">
        <w:rPr>
          <w:rFonts w:cstheme="minorHAnsi"/>
          <w:sz w:val="24"/>
          <w:szCs w:val="24"/>
        </w:rPr>
        <w:t>Cerra V, Cuevas A, Góes C, Karpowicz, I, Matheson, T., Samake, I and Vtyurina S (2017). Highways to heaven: Infrastructure determinants and trends in Latin America and the Caribbean. Journal of Infrastructure, Policy and Development, 1(2): 168-189</w:t>
      </w:r>
    </w:p>
    <w:p w14:paraId="08CF7BD4"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Chen Y, Matzinger S and Woetzel J (2013, 1 June). “Chinese infrastructure: The big picture”. McKinsey Quarterly, 2013(2). </w:t>
      </w:r>
    </w:p>
    <w:p w14:paraId="1ACE2AA4"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Collis J and Hussey R (2014). Business Research: A Practical Guide for Undergraduate and Postgraduate Students. 4th Ed. London, UK: Palgrave Macmillan. </w:t>
      </w:r>
    </w:p>
    <w:p w14:paraId="72469903"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Department for Business, Energy and Industrial Strategy, (2018) Energy Trends. Available at https://www.gov.uk/government/statistics/energy-trends</w:t>
      </w:r>
    </w:p>
    <w:p w14:paraId="1968F437"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lastRenderedPageBreak/>
        <w:t>Department for Transport (2010b) High Speed Two Cost and Risk Model, London: DfT (March 2010).</w:t>
      </w:r>
    </w:p>
    <w:p w14:paraId="6A6D99A6" w14:textId="77777777" w:rsidR="00607A0D" w:rsidRDefault="00607A0D" w:rsidP="00607A0D">
      <w:pPr>
        <w:jc w:val="both"/>
        <w:rPr>
          <w:rFonts w:eastAsia="Times New Roman" w:cstheme="minorHAnsi"/>
          <w:sz w:val="24"/>
          <w:szCs w:val="24"/>
        </w:rPr>
      </w:pPr>
      <w:r w:rsidRPr="000E08FE">
        <w:rPr>
          <w:rFonts w:eastAsia="Times New Roman" w:cstheme="minorHAnsi"/>
          <w:sz w:val="24"/>
          <w:szCs w:val="24"/>
        </w:rPr>
        <w:t>Global Construction Perspectives and Oxford Economics, (2015), A global forecast for the construction industry to 2030</w:t>
      </w:r>
    </w:p>
    <w:p w14:paraId="09AC73F0" w14:textId="77777777" w:rsidR="00607A0D" w:rsidRPr="000E08FE" w:rsidRDefault="00607A0D" w:rsidP="00607A0D">
      <w:pPr>
        <w:jc w:val="both"/>
        <w:rPr>
          <w:rFonts w:eastAsia="Times New Roman" w:cstheme="minorHAnsi"/>
          <w:sz w:val="24"/>
          <w:szCs w:val="24"/>
        </w:rPr>
      </w:pPr>
      <w:r>
        <w:rPr>
          <w:rFonts w:eastAsia="Times New Roman" w:cstheme="minorHAnsi"/>
          <w:sz w:val="24"/>
          <w:szCs w:val="24"/>
        </w:rPr>
        <w:t xml:space="preserve">HM Government (2011) </w:t>
      </w:r>
      <w:r>
        <w:t xml:space="preserve">Unlocking growth in cities. Available at </w:t>
      </w:r>
      <w:r w:rsidRPr="00EE679E">
        <w:t>https://assets.publishing.service.gov.uk/government/UnlockingGrowthCities</w:t>
      </w:r>
    </w:p>
    <w:p w14:paraId="37E8709D" w14:textId="77777777" w:rsidR="00607A0D" w:rsidRPr="00F91504" w:rsidRDefault="00607A0D" w:rsidP="00607A0D">
      <w:pPr>
        <w:jc w:val="both"/>
        <w:rPr>
          <w:rFonts w:eastAsia="Times New Roman" w:cstheme="minorHAnsi"/>
          <w:sz w:val="24"/>
          <w:szCs w:val="24"/>
        </w:rPr>
      </w:pPr>
      <w:r w:rsidRPr="00F91504">
        <w:rPr>
          <w:rFonts w:cstheme="minorHAnsi"/>
          <w:sz w:val="24"/>
          <w:szCs w:val="24"/>
        </w:rPr>
        <w:t xml:space="preserve">Howes, R and Robinson, H (2005) </w:t>
      </w:r>
      <w:r w:rsidRPr="00F91504">
        <w:rPr>
          <w:rFonts w:cstheme="minorHAnsi"/>
          <w:i/>
          <w:sz w:val="24"/>
          <w:szCs w:val="24"/>
        </w:rPr>
        <w:t xml:space="preserve">Infrastructure for the Built Environment: Global Procurement Strategies, </w:t>
      </w:r>
      <w:r w:rsidRPr="00F91504">
        <w:rPr>
          <w:rFonts w:cstheme="minorHAnsi"/>
          <w:sz w:val="24"/>
          <w:szCs w:val="24"/>
        </w:rPr>
        <w:t>Elsevier Butterworth-Heinemann, Oxford</w:t>
      </w:r>
      <w:r w:rsidRPr="00F91504">
        <w:rPr>
          <w:rFonts w:eastAsia="Times New Roman" w:cstheme="minorHAnsi"/>
          <w:sz w:val="24"/>
          <w:szCs w:val="24"/>
        </w:rPr>
        <w:t xml:space="preserve"> </w:t>
      </w:r>
    </w:p>
    <w:p w14:paraId="6B351A3D"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Infrastructure and Projects Authority (2019). Analysis of the National Infrastructure and Construction Pipeline. London, UK: Infrastructure and Projects Authority, HM Treasury.</w:t>
      </w:r>
    </w:p>
    <w:p w14:paraId="6F3C82E1" w14:textId="77777777" w:rsidR="00607A0D" w:rsidRPr="000E08FE" w:rsidRDefault="00607A0D" w:rsidP="00607A0D">
      <w:pPr>
        <w:rPr>
          <w:rFonts w:cstheme="minorHAnsi"/>
          <w:sz w:val="24"/>
          <w:szCs w:val="24"/>
        </w:rPr>
      </w:pPr>
      <w:r w:rsidRPr="000E08FE">
        <w:rPr>
          <w:rFonts w:eastAsia="Times New Roman" w:cstheme="minorHAnsi"/>
          <w:sz w:val="24"/>
          <w:szCs w:val="24"/>
        </w:rPr>
        <w:t>International Monetary Fund</w:t>
      </w:r>
      <w:r w:rsidRPr="000E08FE">
        <w:rPr>
          <w:rFonts w:cstheme="minorHAnsi"/>
          <w:sz w:val="24"/>
          <w:szCs w:val="24"/>
        </w:rPr>
        <w:t xml:space="preserve"> (2015). Making Public Investment More Efficient. Washington DC: International Monetary Fund.</w:t>
      </w:r>
    </w:p>
    <w:p w14:paraId="7F75E127" w14:textId="77777777" w:rsidR="00607A0D" w:rsidRPr="000E08FE" w:rsidRDefault="00607A0D" w:rsidP="00607A0D">
      <w:pPr>
        <w:rPr>
          <w:rFonts w:cstheme="minorHAnsi"/>
          <w:sz w:val="24"/>
          <w:szCs w:val="24"/>
        </w:rPr>
      </w:pPr>
      <w:r w:rsidRPr="000E08FE">
        <w:rPr>
          <w:rFonts w:cstheme="minorHAnsi"/>
          <w:sz w:val="24"/>
          <w:szCs w:val="24"/>
        </w:rPr>
        <w:t xml:space="preserve">Institution of Civil Engineers, (2018), Project 13, [ONLINE] Available at </w:t>
      </w:r>
      <w:hyperlink r:id="rId15" w:history="1">
        <w:r w:rsidRPr="000E08FE">
          <w:rPr>
            <w:rStyle w:val="Hyperlink"/>
            <w:rFonts w:cstheme="minorHAnsi"/>
            <w:color w:val="auto"/>
            <w:sz w:val="24"/>
            <w:szCs w:val="24"/>
          </w:rPr>
          <w:t>http://www.p13.org.uk</w:t>
        </w:r>
      </w:hyperlink>
    </w:p>
    <w:p w14:paraId="684B9944" w14:textId="77777777" w:rsidR="00607A0D" w:rsidRPr="000E08FE" w:rsidRDefault="00607A0D" w:rsidP="00607A0D">
      <w:pPr>
        <w:rPr>
          <w:rFonts w:cstheme="minorHAnsi"/>
          <w:sz w:val="24"/>
          <w:szCs w:val="24"/>
        </w:rPr>
      </w:pPr>
      <w:r w:rsidRPr="000E08FE">
        <w:rPr>
          <w:rFonts w:cstheme="minorHAnsi"/>
          <w:sz w:val="24"/>
          <w:szCs w:val="24"/>
        </w:rPr>
        <w:t>International Energy Agency (2018), World Energy Investment 2018</w:t>
      </w:r>
    </w:p>
    <w:p w14:paraId="3743A889" w14:textId="77777777" w:rsidR="00607A0D" w:rsidRPr="000E08FE" w:rsidRDefault="00607A0D" w:rsidP="00607A0D">
      <w:pPr>
        <w:rPr>
          <w:rFonts w:cstheme="minorHAnsi"/>
          <w:sz w:val="24"/>
          <w:szCs w:val="24"/>
        </w:rPr>
      </w:pPr>
      <w:r w:rsidRPr="000E08FE">
        <w:rPr>
          <w:rFonts w:cstheme="minorHAnsi"/>
          <w:sz w:val="24"/>
          <w:szCs w:val="24"/>
        </w:rPr>
        <w:t xml:space="preserve">Lai, Kathy, (2011), How Singapore and the GIF are bridging the infrastructure gap in Asia and beyond, [ONLINE] Available at: </w:t>
      </w:r>
      <w:hyperlink r:id="rId16" w:history="1">
        <w:r w:rsidRPr="000E08FE">
          <w:rPr>
            <w:rStyle w:val="Hyperlink"/>
            <w:rFonts w:cstheme="minorHAnsi"/>
            <w:color w:val="auto"/>
            <w:sz w:val="24"/>
            <w:szCs w:val="24"/>
          </w:rPr>
          <w:t>http://blogs.worldbank.org/ppps/how-singapore-and-gif-are-bridging-infrastructure-gap-asia-and-beyond</w:t>
        </w:r>
      </w:hyperlink>
    </w:p>
    <w:p w14:paraId="39A559A6" w14:textId="77777777" w:rsidR="00607A0D" w:rsidRPr="000E08FE" w:rsidRDefault="00607A0D" w:rsidP="00607A0D">
      <w:pPr>
        <w:rPr>
          <w:rFonts w:cstheme="minorHAnsi"/>
          <w:sz w:val="24"/>
          <w:szCs w:val="24"/>
        </w:rPr>
      </w:pPr>
      <w:r w:rsidRPr="000E08FE">
        <w:rPr>
          <w:rFonts w:cstheme="minorHAnsi"/>
          <w:sz w:val="24"/>
          <w:szCs w:val="24"/>
        </w:rPr>
        <w:t>Marianne Fay and Stéphane Straub (2019) Rising incomes and inequality of access to infrastructure among Latin American Households. Journal of Infrastructure, Policy and Development (2019) Volume 3 Issue 1. DOI: 10.24294/jipd.v3i1.1116</w:t>
      </w:r>
    </w:p>
    <w:p w14:paraId="176D12E5"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O’Brien P and Pike A (2015). “City deals, decentralisation and the governance of local infrastructure funding and financing in the UK”. National Institute Economic Review, 233(1): R14–R26. https://doi. org/10.1177/002795011523300103. </w:t>
      </w:r>
    </w:p>
    <w:p w14:paraId="4E7A89A5"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Office of the Chief Economic Adviser in the Scottish Government (2018). Exploring the Economic Rationale for Infrastructure Investment. Edinburgh, Scotland: Office of the Chief Economic Adviser, Scottish Government. </w:t>
      </w:r>
    </w:p>
    <w:p w14:paraId="4DFF7075" w14:textId="77777777" w:rsidR="00607A0D" w:rsidRDefault="00607A0D" w:rsidP="00607A0D">
      <w:pPr>
        <w:rPr>
          <w:rFonts w:eastAsia="Times New Roman" w:cstheme="minorHAnsi"/>
          <w:sz w:val="24"/>
          <w:szCs w:val="24"/>
        </w:rPr>
      </w:pPr>
      <w:bookmarkStart w:id="13" w:name="_Hlk72425134"/>
      <w:r w:rsidRPr="000E08FE">
        <w:rPr>
          <w:rFonts w:eastAsia="Times New Roman" w:cstheme="minorHAnsi"/>
          <w:sz w:val="24"/>
          <w:szCs w:val="24"/>
        </w:rPr>
        <w:t xml:space="preserve">Office for National Statistics, (2018), </w:t>
      </w:r>
      <w:bookmarkEnd w:id="13"/>
      <w:r w:rsidRPr="000E08FE">
        <w:rPr>
          <w:rFonts w:eastAsia="Times New Roman" w:cstheme="minorHAnsi"/>
          <w:sz w:val="24"/>
          <w:szCs w:val="24"/>
        </w:rPr>
        <w:t>Developing new statistics of infrastructure</w:t>
      </w:r>
    </w:p>
    <w:p w14:paraId="5B8A1976" w14:textId="77777777" w:rsidR="00607A0D" w:rsidRPr="000E08FE" w:rsidRDefault="00607A0D" w:rsidP="00607A0D">
      <w:pPr>
        <w:rPr>
          <w:rFonts w:eastAsia="Times New Roman" w:cstheme="minorHAnsi"/>
          <w:sz w:val="24"/>
          <w:szCs w:val="24"/>
        </w:rPr>
      </w:pPr>
      <w:r w:rsidRPr="000E08FE">
        <w:rPr>
          <w:rFonts w:eastAsia="Times New Roman" w:cstheme="minorHAnsi"/>
          <w:sz w:val="24"/>
          <w:szCs w:val="24"/>
        </w:rPr>
        <w:t>Office for National Statistics, (2018),</w:t>
      </w:r>
      <w:r>
        <w:rPr>
          <w:rFonts w:eastAsia="Times New Roman" w:cstheme="minorHAnsi"/>
          <w:sz w:val="24"/>
          <w:szCs w:val="24"/>
        </w:rPr>
        <w:t xml:space="preserve"> </w:t>
      </w:r>
      <w:r w:rsidRPr="00FD7F7B">
        <w:rPr>
          <w:rFonts w:eastAsia="Times New Roman" w:cstheme="minorHAnsi"/>
          <w:sz w:val="24"/>
          <w:szCs w:val="24"/>
        </w:rPr>
        <w:t>An analysis of investment expenditure in the UK and other Organisation for Economic Co-operation and Development nations</w:t>
      </w:r>
      <w:r>
        <w:rPr>
          <w:rFonts w:eastAsia="Times New Roman" w:cstheme="minorHAnsi"/>
          <w:sz w:val="24"/>
          <w:szCs w:val="24"/>
        </w:rPr>
        <w:t>. Available from:</w:t>
      </w:r>
      <w:r w:rsidRPr="006E4C29">
        <w:t xml:space="preserve"> </w:t>
      </w:r>
      <w:r w:rsidRPr="006E4C29">
        <w:rPr>
          <w:rFonts w:eastAsia="Times New Roman" w:cstheme="minorHAnsi"/>
          <w:sz w:val="24"/>
          <w:szCs w:val="24"/>
        </w:rPr>
        <w:t>https://www.ons.gov.uk/economy/grossdomesticproductgdp/articles /2018-05-03</w:t>
      </w:r>
    </w:p>
    <w:p w14:paraId="5BFF9F5A"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Raikes L (2018). Future Transport Investment in the North: A Briefing on the Government’s New Regional Analysis of the National Infrastructure and Construction Pipeline. London, UK: Institute for Public Policy Research. </w:t>
      </w:r>
    </w:p>
    <w:p w14:paraId="78913794" w14:textId="77777777" w:rsidR="00607A0D" w:rsidRPr="000E08FE" w:rsidRDefault="00607A0D" w:rsidP="00607A0D">
      <w:pPr>
        <w:rPr>
          <w:rFonts w:eastAsia="Calibri" w:cstheme="minorHAnsi"/>
          <w:sz w:val="24"/>
          <w:szCs w:val="24"/>
        </w:rPr>
      </w:pPr>
      <w:r w:rsidRPr="000E08FE">
        <w:rPr>
          <w:rFonts w:eastAsia="Calibri" w:cstheme="minorHAnsi"/>
          <w:sz w:val="24"/>
          <w:szCs w:val="24"/>
        </w:rPr>
        <w:t>Rhodes Chris (2020) Infrastructure policies and investment, House of Common Library,</w:t>
      </w:r>
      <w:r w:rsidRPr="000E08FE">
        <w:rPr>
          <w:rFonts w:cstheme="minorHAnsi"/>
          <w:sz w:val="24"/>
          <w:szCs w:val="24"/>
        </w:rPr>
        <w:t xml:space="preserve"> </w:t>
      </w:r>
      <w:r w:rsidRPr="000E08FE">
        <w:rPr>
          <w:rFonts w:eastAsia="Calibri" w:cstheme="minorHAnsi"/>
          <w:sz w:val="24"/>
          <w:szCs w:val="24"/>
        </w:rPr>
        <w:t xml:space="preserve">Research Briefing.  </w:t>
      </w:r>
    </w:p>
    <w:p w14:paraId="760E1A94" w14:textId="77777777" w:rsidR="00607A0D" w:rsidRPr="000E08FE" w:rsidRDefault="00607A0D" w:rsidP="00607A0D">
      <w:pPr>
        <w:rPr>
          <w:rFonts w:eastAsia="Calibri" w:cstheme="minorHAnsi"/>
          <w:sz w:val="24"/>
          <w:szCs w:val="24"/>
        </w:rPr>
      </w:pPr>
      <w:r w:rsidRPr="000E08FE">
        <w:rPr>
          <w:rFonts w:eastAsia="Calibri" w:cstheme="minorHAnsi"/>
          <w:sz w:val="24"/>
          <w:szCs w:val="24"/>
        </w:rPr>
        <w:lastRenderedPageBreak/>
        <w:t>RIBA, (2018), Joining the dots: a new approach to tackling the UK’s infrastructure challenges</w:t>
      </w:r>
    </w:p>
    <w:p w14:paraId="161E9CAD" w14:textId="77777777" w:rsidR="00607A0D" w:rsidRPr="00F91504" w:rsidRDefault="00607A0D" w:rsidP="00607A0D">
      <w:pPr>
        <w:jc w:val="both"/>
        <w:rPr>
          <w:rFonts w:eastAsia="Times New Roman" w:cstheme="minorHAnsi"/>
          <w:sz w:val="24"/>
          <w:szCs w:val="24"/>
        </w:rPr>
      </w:pPr>
      <w:r w:rsidRPr="00F91504">
        <w:rPr>
          <w:rFonts w:cstheme="minorHAnsi"/>
          <w:sz w:val="24"/>
          <w:szCs w:val="24"/>
          <w:lang w:val="en-US"/>
        </w:rPr>
        <w:t>Robinson, H</w:t>
      </w:r>
      <w:r w:rsidRPr="00F91504">
        <w:rPr>
          <w:rFonts w:cstheme="minorHAnsi"/>
          <w:bCs/>
          <w:sz w:val="24"/>
          <w:szCs w:val="24"/>
          <w:lang w:val="en-US"/>
        </w:rPr>
        <w:t xml:space="preserve">, Symonds, B., </w:t>
      </w:r>
      <w:r w:rsidRPr="00F91504">
        <w:rPr>
          <w:rFonts w:cstheme="minorHAnsi"/>
          <w:sz w:val="24"/>
          <w:szCs w:val="24"/>
        </w:rPr>
        <w:t xml:space="preserve">Gilbertson, B and Ilozor, B (2015) </w:t>
      </w:r>
      <w:r w:rsidRPr="00F91504">
        <w:rPr>
          <w:rFonts w:cstheme="minorHAnsi"/>
          <w:i/>
          <w:sz w:val="24"/>
          <w:szCs w:val="24"/>
        </w:rPr>
        <w:t>Design Economics for the Built Environment: Impact of Sustainability in Project Evaluation”</w:t>
      </w:r>
      <w:r w:rsidRPr="00F91504">
        <w:rPr>
          <w:rFonts w:cstheme="minorHAnsi"/>
          <w:sz w:val="24"/>
          <w:szCs w:val="24"/>
        </w:rPr>
        <w:t>, Wiley-Blackwell, Oxford</w:t>
      </w:r>
      <w:r w:rsidRPr="00F91504">
        <w:rPr>
          <w:rFonts w:eastAsia="Times New Roman" w:cstheme="minorHAnsi"/>
          <w:sz w:val="24"/>
          <w:szCs w:val="24"/>
          <w:highlight w:val="yellow"/>
        </w:rPr>
        <w:t xml:space="preserve"> </w:t>
      </w:r>
    </w:p>
    <w:p w14:paraId="2F6D4488"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Rosewell B (2012). “What are the likely economic and societal impacts of HS2?”. Science in Parliament, 69 (3): 24–29. </w:t>
      </w:r>
    </w:p>
    <w:p w14:paraId="0DEAEB47"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Rumfitt A (2017). “Analysing ‘Brexit’: Opportunities and challenges for economic growth”. Journal of Urban Regeneration &amp; Renewal, 10(3): 216–226. </w:t>
      </w:r>
    </w:p>
    <w:p w14:paraId="0850BC6B"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Seidu R, Young B, Robinson H and Ryan M (2020) The impact of infrastructure investment on economic growth in the United Kingdom. Journal of Infrastructure, Policy and Development (2020) Volume 4 Issue 2.</w:t>
      </w:r>
      <w:r w:rsidRPr="000E08FE">
        <w:rPr>
          <w:rFonts w:cstheme="minorHAnsi"/>
          <w:sz w:val="24"/>
          <w:szCs w:val="24"/>
        </w:rPr>
        <w:t xml:space="preserve"> </w:t>
      </w:r>
      <w:r w:rsidRPr="000E08FE">
        <w:rPr>
          <w:rFonts w:eastAsia="Times New Roman" w:cstheme="minorHAnsi"/>
          <w:sz w:val="24"/>
          <w:szCs w:val="24"/>
        </w:rPr>
        <w:t>DOI: 10.24294/jipd.v4i2.1206</w:t>
      </w:r>
    </w:p>
    <w:p w14:paraId="1C58FC23" w14:textId="77777777" w:rsidR="00607A0D" w:rsidRDefault="00607A0D" w:rsidP="00607A0D">
      <w:pPr>
        <w:jc w:val="both"/>
        <w:rPr>
          <w:rFonts w:eastAsia="Times New Roman" w:cstheme="minorHAnsi"/>
          <w:sz w:val="24"/>
          <w:szCs w:val="24"/>
        </w:rPr>
      </w:pPr>
      <w:r w:rsidRPr="000E08FE">
        <w:rPr>
          <w:rFonts w:eastAsia="Times New Roman" w:cstheme="minorHAnsi"/>
          <w:sz w:val="24"/>
          <w:szCs w:val="24"/>
        </w:rPr>
        <w:t>Seidu R D, Young B E, Clack J, Adamu Z, Robinson H (2020).</w:t>
      </w:r>
      <w:r w:rsidRPr="000E08FE">
        <w:rPr>
          <w:rFonts w:cstheme="minorHAnsi"/>
          <w:sz w:val="24"/>
          <w:szCs w:val="24"/>
        </w:rPr>
        <w:t xml:space="preserve"> </w:t>
      </w:r>
      <w:r w:rsidRPr="000E08FE">
        <w:rPr>
          <w:rFonts w:eastAsia="Times New Roman" w:cstheme="minorHAnsi"/>
          <w:sz w:val="24"/>
          <w:szCs w:val="24"/>
        </w:rPr>
        <w:t>Innovative Changes in Quantity Surveying Practice through BIM, Big Data, Artificial Intelligence and Machine Learning, An International Journal of Applied Science University Journal PP: 37 – 47, vol 4 No 1.</w:t>
      </w:r>
    </w:p>
    <w:p w14:paraId="1CCD8516" w14:textId="77777777" w:rsidR="00607A0D" w:rsidRPr="000E08FE" w:rsidRDefault="00607A0D" w:rsidP="00607A0D">
      <w:pPr>
        <w:jc w:val="both"/>
        <w:rPr>
          <w:rFonts w:eastAsia="Times New Roman" w:cstheme="minorHAnsi"/>
          <w:sz w:val="24"/>
          <w:szCs w:val="24"/>
        </w:rPr>
      </w:pPr>
      <w:r>
        <w:rPr>
          <w:rFonts w:eastAsia="Times New Roman" w:cstheme="minorHAnsi"/>
          <w:sz w:val="24"/>
          <w:szCs w:val="24"/>
        </w:rPr>
        <w:t xml:space="preserve">Smith, K. (2020) </w:t>
      </w:r>
      <w:r w:rsidRPr="002D7EB8">
        <w:rPr>
          <w:rFonts w:eastAsia="Times New Roman" w:cstheme="minorHAnsi"/>
          <w:sz w:val="24"/>
          <w:szCs w:val="24"/>
        </w:rPr>
        <w:t>HS2 contractors set to proceed with phase one detailed design and construction</w:t>
      </w:r>
      <w:r>
        <w:rPr>
          <w:rFonts w:eastAsia="Times New Roman" w:cstheme="minorHAnsi"/>
          <w:sz w:val="24"/>
          <w:szCs w:val="24"/>
        </w:rPr>
        <w:t>. International Railway Journal. Available from:</w:t>
      </w:r>
      <w:r w:rsidRPr="007912C8">
        <w:t xml:space="preserve"> </w:t>
      </w:r>
      <w:r w:rsidRPr="007912C8">
        <w:rPr>
          <w:rFonts w:eastAsia="Times New Roman" w:cstheme="minorHAnsi"/>
          <w:sz w:val="24"/>
          <w:szCs w:val="24"/>
        </w:rPr>
        <w:t>https://www.railjournal.com/passenger/high-speed/hs2-contractors-proceed-phase-one-design-construction</w:t>
      </w:r>
      <w:r>
        <w:rPr>
          <w:rFonts w:eastAsia="Times New Roman" w:cstheme="minorHAnsi"/>
          <w:sz w:val="24"/>
          <w:szCs w:val="24"/>
        </w:rPr>
        <w:t>.</w:t>
      </w:r>
    </w:p>
    <w:p w14:paraId="13776394"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The Economist (2017, 29 July). “Does London get a better deal than the regions?” The Economist. Available at: </w:t>
      </w:r>
      <w:hyperlink r:id="rId17" w:history="1">
        <w:r w:rsidRPr="000E08FE">
          <w:rPr>
            <w:rStyle w:val="Hyperlink"/>
            <w:rFonts w:eastAsia="Times New Roman" w:cstheme="minorHAnsi"/>
            <w:color w:val="auto"/>
            <w:sz w:val="24"/>
            <w:szCs w:val="24"/>
          </w:rPr>
          <w:t>https://www.economist.com/britain/2017/07/29/does-london-get-a-better-deal-than-the-regions</w:t>
        </w:r>
      </w:hyperlink>
      <w:r w:rsidRPr="000E08FE">
        <w:rPr>
          <w:rFonts w:eastAsia="Times New Roman" w:cstheme="minorHAnsi"/>
          <w:sz w:val="24"/>
          <w:szCs w:val="24"/>
        </w:rPr>
        <w:t xml:space="preserve">. </w:t>
      </w:r>
    </w:p>
    <w:p w14:paraId="6633DC49" w14:textId="77777777" w:rsidR="00607A0D" w:rsidRDefault="00607A0D" w:rsidP="00607A0D">
      <w:pPr>
        <w:rPr>
          <w:rFonts w:cstheme="minorHAnsi"/>
          <w:sz w:val="24"/>
          <w:szCs w:val="24"/>
        </w:rPr>
      </w:pPr>
      <w:bookmarkStart w:id="14" w:name="_Hlk72442500"/>
      <w:r w:rsidRPr="000E08FE">
        <w:rPr>
          <w:rFonts w:cstheme="minorHAnsi"/>
          <w:sz w:val="24"/>
          <w:szCs w:val="24"/>
        </w:rPr>
        <w:t xml:space="preserve">The Organisation for Economic Co-operation and Development, (2018), </w:t>
      </w:r>
      <w:bookmarkEnd w:id="14"/>
      <w:r w:rsidRPr="000E08FE">
        <w:rPr>
          <w:rFonts w:cstheme="minorHAnsi"/>
          <w:sz w:val="24"/>
          <w:szCs w:val="24"/>
        </w:rPr>
        <w:t xml:space="preserve">Roadmap to infrastructure as an asset class, 2018, [ONLINE] Available at: </w:t>
      </w:r>
      <w:hyperlink r:id="rId18" w:history="1">
        <w:r w:rsidRPr="008F721E">
          <w:rPr>
            <w:rStyle w:val="Hyperlink"/>
            <w:rFonts w:cstheme="minorHAnsi"/>
            <w:sz w:val="24"/>
            <w:szCs w:val="24"/>
          </w:rPr>
          <w:t>http://www.oecd.org/g20/roadmap_to_infrastructure_as_an_asset_class_argentina_presidency_1_0.pdf</w:t>
        </w:r>
      </w:hyperlink>
      <w:r w:rsidRPr="000E08FE">
        <w:rPr>
          <w:rFonts w:cstheme="minorHAnsi"/>
          <w:sz w:val="24"/>
          <w:szCs w:val="24"/>
        </w:rPr>
        <w:t>,</w:t>
      </w:r>
    </w:p>
    <w:p w14:paraId="6E96CD36" w14:textId="77777777" w:rsidR="00607A0D" w:rsidRPr="000E08FE" w:rsidRDefault="00607A0D" w:rsidP="00607A0D">
      <w:pPr>
        <w:rPr>
          <w:rFonts w:cstheme="minorHAnsi"/>
          <w:sz w:val="24"/>
          <w:szCs w:val="24"/>
        </w:rPr>
      </w:pPr>
      <w:r w:rsidRPr="000E08FE">
        <w:rPr>
          <w:rFonts w:cstheme="minorHAnsi"/>
          <w:sz w:val="24"/>
          <w:szCs w:val="24"/>
        </w:rPr>
        <w:t>The Organisation for Economic Co-operation and Development, (201</w:t>
      </w:r>
      <w:r>
        <w:rPr>
          <w:rFonts w:cstheme="minorHAnsi"/>
          <w:sz w:val="24"/>
          <w:szCs w:val="24"/>
        </w:rPr>
        <w:t>5</w:t>
      </w:r>
      <w:r w:rsidRPr="000E08FE">
        <w:rPr>
          <w:rFonts w:cstheme="minorHAnsi"/>
          <w:sz w:val="24"/>
          <w:szCs w:val="24"/>
        </w:rPr>
        <w:t>)</w:t>
      </w:r>
      <w:r>
        <w:rPr>
          <w:rFonts w:cstheme="minorHAnsi"/>
          <w:sz w:val="24"/>
          <w:szCs w:val="24"/>
        </w:rPr>
        <w:t xml:space="preserve"> </w:t>
      </w:r>
      <w:r w:rsidRPr="002B7271">
        <w:rPr>
          <w:rFonts w:cstheme="minorHAnsi"/>
          <w:sz w:val="24"/>
          <w:szCs w:val="24"/>
        </w:rPr>
        <w:t>T</w:t>
      </w:r>
      <w:r>
        <w:rPr>
          <w:rFonts w:cstheme="minorHAnsi"/>
          <w:sz w:val="24"/>
          <w:szCs w:val="24"/>
        </w:rPr>
        <w:t>owards a</w:t>
      </w:r>
      <w:r w:rsidRPr="002B7271">
        <w:rPr>
          <w:rFonts w:cstheme="minorHAnsi"/>
          <w:sz w:val="24"/>
          <w:szCs w:val="24"/>
        </w:rPr>
        <w:t xml:space="preserve"> F</w:t>
      </w:r>
      <w:r>
        <w:rPr>
          <w:rFonts w:cstheme="minorHAnsi"/>
          <w:sz w:val="24"/>
          <w:szCs w:val="24"/>
        </w:rPr>
        <w:t>ramework</w:t>
      </w:r>
      <w:r w:rsidRPr="002B7271">
        <w:rPr>
          <w:rFonts w:cstheme="minorHAnsi"/>
          <w:sz w:val="24"/>
          <w:szCs w:val="24"/>
        </w:rPr>
        <w:t xml:space="preserve"> </w:t>
      </w:r>
      <w:r>
        <w:rPr>
          <w:rFonts w:cstheme="minorHAnsi"/>
          <w:sz w:val="24"/>
          <w:szCs w:val="24"/>
        </w:rPr>
        <w:t xml:space="preserve">for the </w:t>
      </w:r>
      <w:r w:rsidRPr="002B7271">
        <w:rPr>
          <w:rFonts w:cstheme="minorHAnsi"/>
          <w:sz w:val="24"/>
          <w:szCs w:val="24"/>
        </w:rPr>
        <w:t>G</w:t>
      </w:r>
      <w:r>
        <w:rPr>
          <w:rFonts w:cstheme="minorHAnsi"/>
          <w:sz w:val="24"/>
          <w:szCs w:val="24"/>
        </w:rPr>
        <w:t>overnance</w:t>
      </w:r>
      <w:r w:rsidRPr="002B7271">
        <w:rPr>
          <w:rFonts w:cstheme="minorHAnsi"/>
          <w:sz w:val="24"/>
          <w:szCs w:val="24"/>
        </w:rPr>
        <w:t xml:space="preserve"> </w:t>
      </w:r>
      <w:r>
        <w:rPr>
          <w:rFonts w:cstheme="minorHAnsi"/>
          <w:sz w:val="24"/>
          <w:szCs w:val="24"/>
        </w:rPr>
        <w:t>of</w:t>
      </w:r>
      <w:r w:rsidRPr="002B7271">
        <w:rPr>
          <w:rFonts w:cstheme="minorHAnsi"/>
          <w:sz w:val="24"/>
          <w:szCs w:val="24"/>
        </w:rPr>
        <w:t xml:space="preserve"> I</w:t>
      </w:r>
      <w:r>
        <w:rPr>
          <w:rFonts w:cstheme="minorHAnsi"/>
          <w:sz w:val="24"/>
          <w:szCs w:val="24"/>
        </w:rPr>
        <w:t>nfrastructure. Available from:</w:t>
      </w:r>
      <w:r w:rsidRPr="004D35EE">
        <w:t xml:space="preserve"> </w:t>
      </w:r>
      <w:r w:rsidRPr="004D35EE">
        <w:rPr>
          <w:rFonts w:cstheme="minorHAnsi"/>
          <w:sz w:val="24"/>
          <w:szCs w:val="24"/>
        </w:rPr>
        <w:t>https://www.oecd.org/gov/budgeting/Towards-a-Framework-for-the-Governance-of-Infrastructure.pdf</w:t>
      </w:r>
    </w:p>
    <w:p w14:paraId="2A4B71A7" w14:textId="77777777" w:rsidR="00607A0D" w:rsidRPr="000E08FE" w:rsidRDefault="00607A0D" w:rsidP="00607A0D">
      <w:pPr>
        <w:rPr>
          <w:rFonts w:cstheme="minorHAnsi"/>
          <w:sz w:val="24"/>
          <w:szCs w:val="24"/>
        </w:rPr>
      </w:pPr>
      <w:r w:rsidRPr="000E08FE">
        <w:rPr>
          <w:rFonts w:cstheme="minorHAnsi"/>
          <w:sz w:val="24"/>
          <w:szCs w:val="24"/>
        </w:rPr>
        <w:t xml:space="preserve">Tomoo Kikuchi and Sayaka Unzaki (2019) Japanese infrastructure investment in Southeast Asia, </w:t>
      </w:r>
      <w:bookmarkStart w:id="15" w:name="_Hlk60158238"/>
      <w:r w:rsidRPr="000E08FE">
        <w:rPr>
          <w:rFonts w:cstheme="minorHAnsi"/>
          <w:sz w:val="24"/>
          <w:szCs w:val="24"/>
        </w:rPr>
        <w:t xml:space="preserve">Journal of Infrastructure, Policy and Development (2019) Volume 3 Issue 1. DOI: 10.24294/jipd.v3i1.1116 </w:t>
      </w:r>
      <w:bookmarkEnd w:id="15"/>
    </w:p>
    <w:p w14:paraId="2B53CFD6"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The Guardian (2017). Traffic jams on major UK roads cost economy around £9bn. Available at https://www.theguardian.com</w:t>
      </w:r>
    </w:p>
    <w:p w14:paraId="4959191C" w14:textId="77777777" w:rsidR="00607A0D" w:rsidRDefault="00607A0D" w:rsidP="00607A0D">
      <w:pPr>
        <w:jc w:val="both"/>
        <w:rPr>
          <w:rStyle w:val="Hyperlink"/>
          <w:rFonts w:eastAsia="Times New Roman" w:cstheme="minorHAnsi"/>
          <w:color w:val="auto"/>
          <w:sz w:val="24"/>
          <w:szCs w:val="24"/>
        </w:rPr>
      </w:pPr>
      <w:r w:rsidRPr="000E08FE">
        <w:rPr>
          <w:rFonts w:eastAsia="Times New Roman" w:cstheme="minorHAnsi"/>
          <w:sz w:val="24"/>
          <w:szCs w:val="24"/>
        </w:rPr>
        <w:t xml:space="preserve">Trading Economics (2019) UK Economics Indicator, Trading Economics, available at </w:t>
      </w:r>
      <w:hyperlink r:id="rId19" w:history="1">
        <w:r w:rsidRPr="000E08FE">
          <w:rPr>
            <w:rStyle w:val="Hyperlink"/>
            <w:rFonts w:eastAsia="Times New Roman" w:cstheme="minorHAnsi"/>
            <w:color w:val="auto"/>
            <w:sz w:val="24"/>
            <w:szCs w:val="24"/>
          </w:rPr>
          <w:t>https://tradingeconomics.com</w:t>
        </w:r>
      </w:hyperlink>
    </w:p>
    <w:p w14:paraId="7A25353D" w14:textId="77777777" w:rsidR="00607A0D" w:rsidRPr="009D5E62" w:rsidRDefault="00607A0D" w:rsidP="00607A0D">
      <w:pPr>
        <w:jc w:val="both"/>
        <w:rPr>
          <w:rFonts w:eastAsia="Times New Roman" w:cstheme="minorHAnsi"/>
          <w:sz w:val="24"/>
          <w:szCs w:val="24"/>
        </w:rPr>
      </w:pPr>
      <w:r w:rsidRPr="009D5E62">
        <w:rPr>
          <w:rStyle w:val="Hyperlink"/>
          <w:rFonts w:eastAsia="Times New Roman" w:cstheme="minorHAnsi"/>
          <w:color w:val="auto"/>
          <w:sz w:val="24"/>
          <w:szCs w:val="24"/>
          <w:u w:val="none"/>
        </w:rPr>
        <w:t>TUC</w:t>
      </w:r>
      <w:r>
        <w:rPr>
          <w:rStyle w:val="Hyperlink"/>
          <w:rFonts w:eastAsia="Times New Roman" w:cstheme="minorHAnsi"/>
          <w:color w:val="auto"/>
          <w:sz w:val="24"/>
          <w:szCs w:val="24"/>
          <w:u w:val="none"/>
        </w:rPr>
        <w:t xml:space="preserve"> News</w:t>
      </w:r>
      <w:r w:rsidRPr="009D5E62">
        <w:rPr>
          <w:rStyle w:val="Hyperlink"/>
          <w:rFonts w:eastAsia="Times New Roman" w:cstheme="minorHAnsi"/>
          <w:color w:val="auto"/>
          <w:sz w:val="24"/>
          <w:szCs w:val="24"/>
          <w:u w:val="none"/>
        </w:rPr>
        <w:t xml:space="preserve"> (2018)</w:t>
      </w:r>
      <w:r w:rsidRPr="009D5E62">
        <w:rPr>
          <w:rFonts w:ascii="Constantia" w:eastAsia="Times New Roman" w:hAnsi="Constantia" w:cs="Times New Roman"/>
          <w:color w:val="FFFFFF"/>
          <w:kern w:val="36"/>
          <w:sz w:val="48"/>
          <w:szCs w:val="48"/>
          <w:lang w:eastAsia="en-GB"/>
        </w:rPr>
        <w:t xml:space="preserve"> </w:t>
      </w:r>
      <w:r w:rsidRPr="009D5E62">
        <w:rPr>
          <w:rFonts w:eastAsia="Times New Roman" w:cstheme="minorHAnsi"/>
          <w:sz w:val="24"/>
          <w:szCs w:val="24"/>
        </w:rPr>
        <w:t>UK near bottom of OECD rankings for national investment</w:t>
      </w:r>
      <w:r>
        <w:rPr>
          <w:rFonts w:eastAsia="Times New Roman" w:cstheme="minorHAnsi"/>
          <w:sz w:val="24"/>
          <w:szCs w:val="24"/>
        </w:rPr>
        <w:t xml:space="preserve">. Available from: </w:t>
      </w:r>
      <w:r w:rsidRPr="00645E7B">
        <w:rPr>
          <w:rFonts w:eastAsia="Times New Roman" w:cstheme="minorHAnsi"/>
          <w:sz w:val="24"/>
          <w:szCs w:val="24"/>
        </w:rPr>
        <w:t>https://www.tuc.org.uk/news/uk-near-bottom-oecd-rankings-national-investment</w:t>
      </w:r>
    </w:p>
    <w:p w14:paraId="00785ED9" w14:textId="77777777" w:rsidR="00607A0D" w:rsidRPr="000E08FE" w:rsidRDefault="00607A0D" w:rsidP="00607A0D">
      <w:pPr>
        <w:jc w:val="both"/>
        <w:rPr>
          <w:rFonts w:eastAsia="Times New Roman" w:cstheme="minorHAnsi"/>
          <w:sz w:val="24"/>
          <w:szCs w:val="24"/>
        </w:rPr>
      </w:pPr>
    </w:p>
    <w:p w14:paraId="24DB5DB6"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UK Trade &amp; Investment (2013). Investing in UK Infrastructure. London, UK: UK Trade &amp; Investment, HM Treasury. </w:t>
      </w:r>
    </w:p>
    <w:p w14:paraId="0EA6CF69" w14:textId="77777777" w:rsidR="00607A0D" w:rsidRPr="00DA0FCC" w:rsidRDefault="00607A0D" w:rsidP="00607A0D">
      <w:pPr>
        <w:jc w:val="both"/>
        <w:rPr>
          <w:rFonts w:eastAsia="Times New Roman" w:cstheme="minorHAnsi"/>
          <w:sz w:val="24"/>
          <w:szCs w:val="24"/>
          <w:lang w:val="en-US"/>
        </w:rPr>
      </w:pPr>
      <w:r w:rsidRPr="00DA0FCC">
        <w:rPr>
          <w:rFonts w:eastAsia="Times New Roman" w:cstheme="minorHAnsi"/>
          <w:sz w:val="24"/>
          <w:szCs w:val="24"/>
          <w:lang w:val="en-US"/>
        </w:rPr>
        <w:t>Wilson JM (2006). “Quantitative methods for business, management and finance, 2nd ed”.</w:t>
      </w:r>
      <w:r w:rsidRPr="00DA0FCC">
        <w:rPr>
          <w:rFonts w:eastAsia="Times New Roman" w:cstheme="minorHAnsi"/>
          <w:i/>
          <w:iCs/>
          <w:sz w:val="24"/>
          <w:szCs w:val="24"/>
          <w:lang w:val="en-US"/>
        </w:rPr>
        <w:t>Journal of Modelling in Management</w:t>
      </w:r>
      <w:r w:rsidRPr="00DA0FCC">
        <w:rPr>
          <w:rFonts w:eastAsia="Times New Roman" w:cstheme="minorHAnsi"/>
          <w:sz w:val="24"/>
          <w:szCs w:val="24"/>
          <w:lang w:val="en-US"/>
        </w:rPr>
        <w:t>, 1(1): 85–86. https://doi.org/10.1108/17465660610667829.</w:t>
      </w:r>
    </w:p>
    <w:p w14:paraId="306FA847"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 xml:space="preserve">World Economic Forum (2012). The Global Competitiveness Report 2019. Geneva, Switzerland: World Economic Forum. </w:t>
      </w:r>
    </w:p>
    <w:p w14:paraId="469785AB" w14:textId="77777777" w:rsidR="00607A0D" w:rsidRPr="000E08FE" w:rsidRDefault="00607A0D" w:rsidP="00607A0D">
      <w:pPr>
        <w:jc w:val="both"/>
        <w:rPr>
          <w:rFonts w:eastAsia="Times New Roman" w:cstheme="minorHAnsi"/>
          <w:sz w:val="24"/>
          <w:szCs w:val="24"/>
        </w:rPr>
      </w:pPr>
      <w:r w:rsidRPr="000E08FE">
        <w:rPr>
          <w:rFonts w:eastAsia="Times New Roman" w:cstheme="minorHAnsi"/>
          <w:sz w:val="24"/>
          <w:szCs w:val="24"/>
        </w:rPr>
        <w:t>World Bank Group (2014). Results and Performance of the World Bank Group 2014 available at ieg.worldbankgroup.org</w:t>
      </w:r>
    </w:p>
    <w:p w14:paraId="3DEFD976" w14:textId="77777777" w:rsidR="00607A0D" w:rsidRDefault="00607A0D" w:rsidP="00607A0D">
      <w:pPr>
        <w:jc w:val="both"/>
        <w:rPr>
          <w:rFonts w:eastAsia="Times New Roman" w:cstheme="minorHAnsi"/>
          <w:sz w:val="24"/>
          <w:szCs w:val="24"/>
        </w:rPr>
      </w:pPr>
      <w:r w:rsidRPr="000E08FE">
        <w:rPr>
          <w:rFonts w:eastAsia="Times New Roman" w:cstheme="minorHAnsi"/>
          <w:sz w:val="24"/>
          <w:szCs w:val="24"/>
        </w:rPr>
        <w:t xml:space="preserve">Yu H (2017). “Infrastructure connectivity and regional economic integration in East Asia: Progress and challenges”. Journal of Infrastructure, Policy and Development, 1(1): 44–63. </w:t>
      </w:r>
      <w:hyperlink r:id="rId20" w:history="1">
        <w:r w:rsidRPr="008F721E">
          <w:rPr>
            <w:rStyle w:val="Hyperlink"/>
            <w:rFonts w:eastAsia="Times New Roman" w:cstheme="minorHAnsi"/>
            <w:sz w:val="24"/>
            <w:szCs w:val="24"/>
          </w:rPr>
          <w:t>https://doi.org/10.24294/jipd. v1i1.21</w:t>
        </w:r>
      </w:hyperlink>
      <w:r w:rsidRPr="000E08FE">
        <w:rPr>
          <w:rFonts w:eastAsia="Times New Roman" w:cstheme="minorHAnsi"/>
          <w:sz w:val="24"/>
          <w:szCs w:val="24"/>
        </w:rPr>
        <w:t>.</w:t>
      </w:r>
    </w:p>
    <w:p w14:paraId="3576480E" w14:textId="77777777" w:rsidR="00607A0D" w:rsidRPr="00DA0FCC" w:rsidRDefault="00607A0D" w:rsidP="00607A0D">
      <w:pPr>
        <w:jc w:val="both"/>
        <w:rPr>
          <w:rFonts w:eastAsia="Times New Roman" w:cstheme="minorHAnsi"/>
          <w:sz w:val="24"/>
          <w:szCs w:val="24"/>
          <w:lang w:val="en-US"/>
        </w:rPr>
      </w:pPr>
    </w:p>
    <w:p w14:paraId="15B6FFCE" w14:textId="77777777" w:rsidR="00607A0D" w:rsidRPr="00B5080F" w:rsidRDefault="00607A0D" w:rsidP="00607A0D">
      <w:pPr>
        <w:rPr>
          <w:rFonts w:eastAsia="Calibri" w:cstheme="minorHAnsi"/>
          <w:b/>
          <w:sz w:val="24"/>
          <w:szCs w:val="24"/>
        </w:rPr>
      </w:pPr>
      <w:r w:rsidRPr="00B5080F">
        <w:rPr>
          <w:rFonts w:eastAsia="Calibri" w:cstheme="minorHAnsi"/>
          <w:b/>
          <w:sz w:val="24"/>
          <w:szCs w:val="24"/>
        </w:rPr>
        <w:t>APPENDIX A – INTERVIEW QUESTIONS</w:t>
      </w:r>
    </w:p>
    <w:p w14:paraId="28803696" w14:textId="77777777" w:rsidR="00607A0D" w:rsidRPr="00B5080F" w:rsidRDefault="00607A0D" w:rsidP="00607A0D">
      <w:pPr>
        <w:rPr>
          <w:rFonts w:eastAsia="Calibri" w:cstheme="minorHAnsi"/>
          <w:b/>
          <w:sz w:val="24"/>
          <w:szCs w:val="24"/>
          <w:u w:val="single"/>
        </w:rPr>
      </w:pPr>
    </w:p>
    <w:p w14:paraId="59BAED89" w14:textId="77777777" w:rsidR="00607A0D" w:rsidRPr="00B5080F" w:rsidRDefault="00607A0D" w:rsidP="00607A0D">
      <w:pPr>
        <w:numPr>
          <w:ilvl w:val="0"/>
          <w:numId w:val="8"/>
        </w:numPr>
        <w:rPr>
          <w:rFonts w:eastAsia="Calibri" w:cstheme="minorHAnsi"/>
          <w:b/>
          <w:sz w:val="24"/>
          <w:szCs w:val="24"/>
          <w:u w:val="single"/>
        </w:rPr>
      </w:pPr>
      <w:r w:rsidRPr="00B5080F">
        <w:rPr>
          <w:rFonts w:eastAsia="Calibri" w:cstheme="minorHAnsi"/>
          <w:b/>
          <w:sz w:val="24"/>
          <w:szCs w:val="24"/>
          <w:u w:val="single"/>
        </w:rPr>
        <w:t>Introduction and Background</w:t>
      </w:r>
    </w:p>
    <w:p w14:paraId="733780D3" w14:textId="77777777" w:rsidR="00607A0D" w:rsidRPr="00A85C83" w:rsidRDefault="00607A0D" w:rsidP="00607A0D">
      <w:pPr>
        <w:pStyle w:val="ListParagraph"/>
        <w:numPr>
          <w:ilvl w:val="0"/>
          <w:numId w:val="12"/>
        </w:numPr>
        <w:rPr>
          <w:rFonts w:eastAsia="Calibri" w:cstheme="minorHAnsi"/>
          <w:iCs/>
          <w:sz w:val="24"/>
          <w:szCs w:val="24"/>
        </w:rPr>
      </w:pPr>
      <w:r w:rsidRPr="00A85C83">
        <w:rPr>
          <w:rFonts w:eastAsia="Calibri" w:cstheme="minorHAnsi"/>
          <w:iCs/>
          <w:sz w:val="24"/>
          <w:szCs w:val="24"/>
        </w:rPr>
        <w:t xml:space="preserve">What is </w:t>
      </w:r>
      <w:r>
        <w:rPr>
          <w:rFonts w:eastAsia="Calibri" w:cstheme="minorHAnsi"/>
          <w:iCs/>
          <w:sz w:val="24"/>
          <w:szCs w:val="24"/>
        </w:rPr>
        <w:t xml:space="preserve">the name of </w:t>
      </w:r>
      <w:r w:rsidRPr="00A85C83">
        <w:rPr>
          <w:rFonts w:eastAsia="Calibri" w:cstheme="minorHAnsi"/>
          <w:iCs/>
          <w:sz w:val="24"/>
          <w:szCs w:val="24"/>
        </w:rPr>
        <w:t>your organisation, and what is your role?</w:t>
      </w:r>
    </w:p>
    <w:p w14:paraId="3356199C" w14:textId="77777777" w:rsidR="00607A0D" w:rsidRDefault="00607A0D" w:rsidP="00607A0D">
      <w:pPr>
        <w:pStyle w:val="ListParagraph"/>
        <w:numPr>
          <w:ilvl w:val="0"/>
          <w:numId w:val="12"/>
        </w:numPr>
        <w:rPr>
          <w:rFonts w:eastAsia="Calibri" w:cstheme="minorHAnsi"/>
          <w:iCs/>
          <w:sz w:val="24"/>
          <w:szCs w:val="24"/>
        </w:rPr>
      </w:pPr>
      <w:r w:rsidRPr="00A85C83">
        <w:rPr>
          <w:rFonts w:eastAsia="Calibri" w:cstheme="minorHAnsi"/>
          <w:iCs/>
          <w:sz w:val="24"/>
          <w:szCs w:val="24"/>
        </w:rPr>
        <w:t>Can you provide a summary of your organisation</w:t>
      </w:r>
      <w:r>
        <w:rPr>
          <w:rFonts w:eastAsia="Calibri" w:cstheme="minorHAnsi"/>
          <w:iCs/>
          <w:sz w:val="24"/>
          <w:szCs w:val="24"/>
        </w:rPr>
        <w:t>’</w:t>
      </w:r>
      <w:r w:rsidRPr="00A85C83">
        <w:rPr>
          <w:rFonts w:eastAsia="Calibri" w:cstheme="minorHAnsi"/>
          <w:iCs/>
          <w:sz w:val="24"/>
          <w:szCs w:val="24"/>
        </w:rPr>
        <w:t>s involvement in terms of UK infrastructure?</w:t>
      </w:r>
    </w:p>
    <w:p w14:paraId="0921525D" w14:textId="77777777" w:rsidR="00607A0D" w:rsidRPr="00DA0FCC" w:rsidRDefault="00607A0D" w:rsidP="00607A0D">
      <w:pPr>
        <w:pStyle w:val="ListParagraph"/>
        <w:rPr>
          <w:rFonts w:eastAsia="Calibri" w:cstheme="minorHAnsi"/>
          <w:iCs/>
          <w:sz w:val="24"/>
          <w:szCs w:val="24"/>
        </w:rPr>
      </w:pPr>
    </w:p>
    <w:p w14:paraId="5E616159" w14:textId="77777777" w:rsidR="00607A0D" w:rsidRPr="00B5080F" w:rsidRDefault="00607A0D" w:rsidP="00607A0D">
      <w:pPr>
        <w:numPr>
          <w:ilvl w:val="0"/>
          <w:numId w:val="8"/>
        </w:numPr>
        <w:rPr>
          <w:rFonts w:eastAsia="Calibri" w:cstheme="minorHAnsi"/>
          <w:b/>
          <w:sz w:val="24"/>
          <w:szCs w:val="24"/>
          <w:u w:val="single"/>
        </w:rPr>
      </w:pPr>
      <w:r w:rsidRPr="00B5080F">
        <w:rPr>
          <w:rFonts w:eastAsia="Calibri" w:cstheme="minorHAnsi"/>
          <w:b/>
          <w:sz w:val="24"/>
          <w:szCs w:val="24"/>
          <w:u w:val="single"/>
        </w:rPr>
        <w:t xml:space="preserve">Infrastructure Policy </w:t>
      </w:r>
    </w:p>
    <w:p w14:paraId="58E06993"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What is the philosophy that currently underpins infrastructure investment – what are the current drivers? (For example, the National Infrastructure Delivery Plan, there is the need to raise the productive capacity of the economy, attract private investment, and enable trade on an international level).</w:t>
      </w:r>
    </w:p>
    <w:p w14:paraId="343F08DD"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 xml:space="preserve">There has been a slight increase in terms of infrastructure spending as a percentage of GDP over the past few years. Do you see an increased focus on infrastructure compared to previous years or </w:t>
      </w:r>
      <w:r>
        <w:rPr>
          <w:rFonts w:eastAsia="Calibri" w:cstheme="minorHAnsi"/>
          <w:iCs/>
          <w:sz w:val="24"/>
          <w:szCs w:val="24"/>
        </w:rPr>
        <w:t xml:space="preserve">previous </w:t>
      </w:r>
      <w:r w:rsidRPr="00216F93">
        <w:rPr>
          <w:rFonts w:eastAsia="Calibri" w:cstheme="minorHAnsi"/>
          <w:iCs/>
          <w:sz w:val="24"/>
          <w:szCs w:val="24"/>
        </w:rPr>
        <w:t>governments?</w:t>
      </w:r>
    </w:p>
    <w:p w14:paraId="7143E5AB"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What do you see as the main changes in terms of UK infrastructure policy and investment strategy over the past decade?</w:t>
      </w:r>
    </w:p>
    <w:p w14:paraId="54CEB3BA"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 xml:space="preserve">Do you see a growth in </w:t>
      </w:r>
      <w:r>
        <w:rPr>
          <w:rFonts w:eastAsia="Calibri" w:cstheme="minorHAnsi"/>
          <w:iCs/>
          <w:sz w:val="24"/>
          <w:szCs w:val="24"/>
        </w:rPr>
        <w:t xml:space="preserve">investment in </w:t>
      </w:r>
      <w:r w:rsidRPr="00216F93">
        <w:rPr>
          <w:rFonts w:eastAsia="Calibri" w:cstheme="minorHAnsi"/>
          <w:iCs/>
          <w:sz w:val="24"/>
          <w:szCs w:val="24"/>
        </w:rPr>
        <w:t>any particular sector, i.e., energy, transport (transport sub-sectors)?</w:t>
      </w:r>
    </w:p>
    <w:p w14:paraId="18D1C1E9"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Do you view any particular sector to have a larger impact on regions than others?</w:t>
      </w:r>
    </w:p>
    <w:p w14:paraId="4208CB3B"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 xml:space="preserve">Do you see infrastructure investment as reactionary or proactive in nature? </w:t>
      </w:r>
    </w:p>
    <w:p w14:paraId="66696A20"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 xml:space="preserve">Where do you see the majority of infrastructure investment being directed geographically, and if you see a disparity (i.e., a North/South divide) do you see this </w:t>
      </w:r>
      <w:r w:rsidRPr="00216F93">
        <w:rPr>
          <w:rFonts w:eastAsia="Calibri" w:cstheme="minorHAnsi"/>
          <w:iCs/>
          <w:sz w:val="24"/>
          <w:szCs w:val="24"/>
        </w:rPr>
        <w:lastRenderedPageBreak/>
        <w:t>as positive or negative, i.e., is the argument that London acts as a subsidy for the rest of the country a valid argument?</w:t>
      </w:r>
    </w:p>
    <w:p w14:paraId="751949B4"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Do you know, and can you provide an overview of the government’s commitment to the Northern Powerhouse initiative?</w:t>
      </w:r>
    </w:p>
    <w:p w14:paraId="662D76CC" w14:textId="77777777" w:rsidR="00607A0D" w:rsidRPr="00216F93" w:rsidRDefault="00607A0D" w:rsidP="00607A0D">
      <w:pPr>
        <w:pStyle w:val="ListParagraph"/>
        <w:numPr>
          <w:ilvl w:val="0"/>
          <w:numId w:val="11"/>
        </w:numPr>
        <w:rPr>
          <w:rFonts w:eastAsia="Calibri" w:cstheme="minorHAnsi"/>
          <w:iCs/>
          <w:sz w:val="24"/>
          <w:szCs w:val="24"/>
        </w:rPr>
      </w:pPr>
      <w:r w:rsidRPr="00216F93">
        <w:rPr>
          <w:rFonts w:eastAsia="Calibri" w:cstheme="minorHAnsi"/>
          <w:iCs/>
          <w:sz w:val="24"/>
          <w:szCs w:val="24"/>
        </w:rPr>
        <w:t>What recommendations would you give the government in terms of infrastructure policy which you feel could improve the current impact of infrastructure?</w:t>
      </w:r>
    </w:p>
    <w:p w14:paraId="79336C6A" w14:textId="77777777" w:rsidR="00607A0D" w:rsidRPr="00B5080F" w:rsidRDefault="00607A0D" w:rsidP="00607A0D">
      <w:pPr>
        <w:rPr>
          <w:rFonts w:eastAsia="Calibri" w:cstheme="minorHAnsi"/>
          <w:i/>
          <w:sz w:val="24"/>
          <w:szCs w:val="24"/>
        </w:rPr>
      </w:pPr>
    </w:p>
    <w:p w14:paraId="44D30576" w14:textId="77777777" w:rsidR="00607A0D" w:rsidRPr="00B5080F" w:rsidRDefault="00607A0D" w:rsidP="00607A0D">
      <w:pPr>
        <w:numPr>
          <w:ilvl w:val="0"/>
          <w:numId w:val="8"/>
        </w:numPr>
        <w:rPr>
          <w:rFonts w:eastAsia="Calibri" w:cstheme="minorHAnsi"/>
          <w:b/>
          <w:sz w:val="24"/>
          <w:szCs w:val="24"/>
          <w:u w:val="single"/>
        </w:rPr>
      </w:pPr>
      <w:r w:rsidRPr="00B5080F">
        <w:rPr>
          <w:rFonts w:eastAsia="Calibri" w:cstheme="minorHAnsi"/>
          <w:b/>
          <w:sz w:val="24"/>
          <w:szCs w:val="24"/>
          <w:u w:val="single"/>
        </w:rPr>
        <w:t>Best Practice – Examples of previous projects/policies which should be replicated</w:t>
      </w:r>
    </w:p>
    <w:p w14:paraId="6E854985" w14:textId="77777777" w:rsidR="00607A0D" w:rsidRPr="00A67F1D" w:rsidRDefault="00607A0D" w:rsidP="00607A0D">
      <w:pPr>
        <w:pStyle w:val="ListParagraph"/>
        <w:numPr>
          <w:ilvl w:val="0"/>
          <w:numId w:val="10"/>
        </w:numPr>
        <w:rPr>
          <w:rFonts w:eastAsia="Calibri" w:cstheme="minorHAnsi"/>
          <w:b/>
          <w:sz w:val="24"/>
          <w:szCs w:val="24"/>
        </w:rPr>
      </w:pPr>
      <w:r w:rsidRPr="00A67F1D">
        <w:rPr>
          <w:rFonts w:eastAsia="Calibri" w:cstheme="minorHAnsi"/>
          <w:i/>
          <w:sz w:val="24"/>
          <w:szCs w:val="24"/>
        </w:rPr>
        <w:t xml:space="preserve">In your experience, what are the major problems in project implementation? </w:t>
      </w:r>
    </w:p>
    <w:p w14:paraId="0A62625D" w14:textId="77777777" w:rsidR="00607A0D" w:rsidRPr="00A67F1D" w:rsidRDefault="00607A0D" w:rsidP="00607A0D">
      <w:pPr>
        <w:pStyle w:val="ListParagraph"/>
        <w:numPr>
          <w:ilvl w:val="0"/>
          <w:numId w:val="10"/>
        </w:numPr>
        <w:rPr>
          <w:rFonts w:eastAsia="Calibri" w:cstheme="minorHAnsi"/>
          <w:i/>
          <w:sz w:val="24"/>
          <w:szCs w:val="24"/>
        </w:rPr>
      </w:pPr>
      <w:r w:rsidRPr="00A67F1D">
        <w:rPr>
          <w:rFonts w:eastAsia="Calibri" w:cstheme="minorHAnsi"/>
          <w:i/>
          <w:sz w:val="24"/>
          <w:szCs w:val="24"/>
        </w:rPr>
        <w:t>In your opinion, what comments or advice would you give with regards to current policy?</w:t>
      </w:r>
    </w:p>
    <w:p w14:paraId="7B6444C0" w14:textId="77777777" w:rsidR="00607A0D" w:rsidRPr="00A67F1D" w:rsidRDefault="00607A0D" w:rsidP="00607A0D">
      <w:pPr>
        <w:pStyle w:val="ListParagraph"/>
        <w:numPr>
          <w:ilvl w:val="0"/>
          <w:numId w:val="10"/>
        </w:numPr>
        <w:rPr>
          <w:rFonts w:eastAsia="Calibri" w:cstheme="minorHAnsi"/>
          <w:i/>
          <w:sz w:val="24"/>
          <w:szCs w:val="24"/>
        </w:rPr>
      </w:pPr>
      <w:r w:rsidRPr="00A67F1D">
        <w:rPr>
          <w:rFonts w:eastAsia="Calibri" w:cstheme="minorHAnsi"/>
          <w:i/>
          <w:sz w:val="24"/>
          <w:szCs w:val="24"/>
        </w:rPr>
        <w:t>What is your view about maintenance of current infrastructure over large scale new projects? Do you believe that lack of investment in maintenance is having a detrimental effect on the economy in terms of output productivity, or is the return on investment linked to larger projects preferable? If so, how?</w:t>
      </w:r>
    </w:p>
    <w:p w14:paraId="50AE7814" w14:textId="77777777" w:rsidR="00607A0D" w:rsidRPr="00A67F1D" w:rsidRDefault="00607A0D" w:rsidP="00607A0D">
      <w:pPr>
        <w:pStyle w:val="ListParagraph"/>
        <w:numPr>
          <w:ilvl w:val="0"/>
          <w:numId w:val="10"/>
        </w:numPr>
        <w:rPr>
          <w:rFonts w:eastAsia="Calibri" w:cstheme="minorHAnsi"/>
          <w:i/>
          <w:sz w:val="24"/>
          <w:szCs w:val="24"/>
        </w:rPr>
      </w:pPr>
      <w:r w:rsidRPr="00A67F1D">
        <w:rPr>
          <w:rFonts w:eastAsia="Calibri" w:cstheme="minorHAnsi"/>
          <w:i/>
          <w:sz w:val="24"/>
          <w:szCs w:val="24"/>
        </w:rPr>
        <w:t>Do you see any lessons which can be learned from other countries?</w:t>
      </w:r>
    </w:p>
    <w:p w14:paraId="29F6ABC2" w14:textId="77777777" w:rsidR="00F652FE" w:rsidRPr="00607A0D" w:rsidRDefault="00F652FE" w:rsidP="00607A0D"/>
    <w:sectPr w:rsidR="00F652FE" w:rsidRPr="00607A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BBEE" w14:textId="77777777" w:rsidR="00EF519E" w:rsidRDefault="00EF519E" w:rsidP="00EF519E">
      <w:pPr>
        <w:spacing w:after="0" w:line="240" w:lineRule="auto"/>
      </w:pPr>
      <w:r>
        <w:separator/>
      </w:r>
    </w:p>
  </w:endnote>
  <w:endnote w:type="continuationSeparator" w:id="0">
    <w:p w14:paraId="277E8D66" w14:textId="77777777" w:rsidR="00EF519E" w:rsidRDefault="00EF519E" w:rsidP="00EF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88BF" w14:textId="77777777" w:rsidR="00EF519E" w:rsidRDefault="00EF519E" w:rsidP="00EF519E">
      <w:pPr>
        <w:spacing w:after="0" w:line="240" w:lineRule="auto"/>
      </w:pPr>
      <w:r>
        <w:separator/>
      </w:r>
    </w:p>
  </w:footnote>
  <w:footnote w:type="continuationSeparator" w:id="0">
    <w:p w14:paraId="16128043" w14:textId="77777777" w:rsidR="00EF519E" w:rsidRDefault="00EF519E" w:rsidP="00EF5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A22"/>
    <w:multiLevelType w:val="hybridMultilevel"/>
    <w:tmpl w:val="ED6CD7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36366"/>
    <w:multiLevelType w:val="hybridMultilevel"/>
    <w:tmpl w:val="06A8D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811B4"/>
    <w:multiLevelType w:val="hybridMultilevel"/>
    <w:tmpl w:val="14320810"/>
    <w:lvl w:ilvl="0" w:tplc="B7CCA1CE">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9B647B4"/>
    <w:multiLevelType w:val="hybridMultilevel"/>
    <w:tmpl w:val="FDC4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95BA5"/>
    <w:multiLevelType w:val="hybridMultilevel"/>
    <w:tmpl w:val="2F4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B3868"/>
    <w:multiLevelType w:val="hybridMultilevel"/>
    <w:tmpl w:val="58C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0207"/>
    <w:multiLevelType w:val="hybridMultilevel"/>
    <w:tmpl w:val="097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6782E"/>
    <w:multiLevelType w:val="hybridMultilevel"/>
    <w:tmpl w:val="8A64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73109"/>
    <w:multiLevelType w:val="hybridMultilevel"/>
    <w:tmpl w:val="E370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453F7"/>
    <w:multiLevelType w:val="hybridMultilevel"/>
    <w:tmpl w:val="4628C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EA5744"/>
    <w:multiLevelType w:val="hybridMultilevel"/>
    <w:tmpl w:val="192A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885786">
    <w:abstractNumId w:val="10"/>
  </w:num>
  <w:num w:numId="2" w16cid:durableId="1148932839">
    <w:abstractNumId w:val="3"/>
  </w:num>
  <w:num w:numId="3" w16cid:durableId="1143232056">
    <w:abstractNumId w:val="5"/>
  </w:num>
  <w:num w:numId="4" w16cid:durableId="385645859">
    <w:abstractNumId w:val="8"/>
  </w:num>
  <w:num w:numId="5" w16cid:durableId="196115930">
    <w:abstractNumId w:val="6"/>
  </w:num>
  <w:num w:numId="6" w16cid:durableId="930549894">
    <w:abstractNumId w:val="4"/>
  </w:num>
  <w:num w:numId="7" w16cid:durableId="601036641">
    <w:abstractNumId w:val="7"/>
  </w:num>
  <w:num w:numId="8" w16cid:durableId="214464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173332">
    <w:abstractNumId w:val="9"/>
  </w:num>
  <w:num w:numId="10" w16cid:durableId="1242981969">
    <w:abstractNumId w:val="2"/>
  </w:num>
  <w:num w:numId="11" w16cid:durableId="1420374239">
    <w:abstractNumId w:val="0"/>
  </w:num>
  <w:num w:numId="12" w16cid:durableId="1469275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D0"/>
    <w:rsid w:val="000024A0"/>
    <w:rsid w:val="000036DF"/>
    <w:rsid w:val="0000526E"/>
    <w:rsid w:val="000100B9"/>
    <w:rsid w:val="0001124A"/>
    <w:rsid w:val="000141E8"/>
    <w:rsid w:val="00015E79"/>
    <w:rsid w:val="000239E0"/>
    <w:rsid w:val="00024467"/>
    <w:rsid w:val="000279F4"/>
    <w:rsid w:val="00031537"/>
    <w:rsid w:val="00032FEB"/>
    <w:rsid w:val="0003326C"/>
    <w:rsid w:val="000353E0"/>
    <w:rsid w:val="000371DB"/>
    <w:rsid w:val="000405FF"/>
    <w:rsid w:val="00040EC5"/>
    <w:rsid w:val="000466E6"/>
    <w:rsid w:val="000540AA"/>
    <w:rsid w:val="00054135"/>
    <w:rsid w:val="00055BBF"/>
    <w:rsid w:val="00061D82"/>
    <w:rsid w:val="000717BF"/>
    <w:rsid w:val="00083ECB"/>
    <w:rsid w:val="000878E3"/>
    <w:rsid w:val="00094B88"/>
    <w:rsid w:val="0009598E"/>
    <w:rsid w:val="000B2896"/>
    <w:rsid w:val="000B3C31"/>
    <w:rsid w:val="000B52E8"/>
    <w:rsid w:val="000C1718"/>
    <w:rsid w:val="000C284C"/>
    <w:rsid w:val="000C3A38"/>
    <w:rsid w:val="000D099F"/>
    <w:rsid w:val="000E08FE"/>
    <w:rsid w:val="000E393B"/>
    <w:rsid w:val="000E664B"/>
    <w:rsid w:val="000E706D"/>
    <w:rsid w:val="000F080B"/>
    <w:rsid w:val="000F0B4A"/>
    <w:rsid w:val="00105017"/>
    <w:rsid w:val="0010743C"/>
    <w:rsid w:val="00111427"/>
    <w:rsid w:val="00113531"/>
    <w:rsid w:val="00124C10"/>
    <w:rsid w:val="001325F5"/>
    <w:rsid w:val="001356C7"/>
    <w:rsid w:val="00136B1A"/>
    <w:rsid w:val="0014024E"/>
    <w:rsid w:val="00143762"/>
    <w:rsid w:val="00143C43"/>
    <w:rsid w:val="00143E4C"/>
    <w:rsid w:val="001454CD"/>
    <w:rsid w:val="00150631"/>
    <w:rsid w:val="00153ECE"/>
    <w:rsid w:val="001607F7"/>
    <w:rsid w:val="00164670"/>
    <w:rsid w:val="00176335"/>
    <w:rsid w:val="001903D5"/>
    <w:rsid w:val="00191477"/>
    <w:rsid w:val="00192E79"/>
    <w:rsid w:val="00192F1F"/>
    <w:rsid w:val="001937B9"/>
    <w:rsid w:val="001A501D"/>
    <w:rsid w:val="001B0DD3"/>
    <w:rsid w:val="001B2008"/>
    <w:rsid w:val="001B2791"/>
    <w:rsid w:val="001B742C"/>
    <w:rsid w:val="001C05B0"/>
    <w:rsid w:val="001C5730"/>
    <w:rsid w:val="001D2B12"/>
    <w:rsid w:val="001F560C"/>
    <w:rsid w:val="0020133F"/>
    <w:rsid w:val="00203426"/>
    <w:rsid w:val="00204B36"/>
    <w:rsid w:val="0021030C"/>
    <w:rsid w:val="00216F93"/>
    <w:rsid w:val="002233A9"/>
    <w:rsid w:val="00223852"/>
    <w:rsid w:val="00230BFB"/>
    <w:rsid w:val="00233A00"/>
    <w:rsid w:val="00242110"/>
    <w:rsid w:val="00250672"/>
    <w:rsid w:val="00250DF4"/>
    <w:rsid w:val="0025758D"/>
    <w:rsid w:val="0026536A"/>
    <w:rsid w:val="002661EE"/>
    <w:rsid w:val="00270332"/>
    <w:rsid w:val="00273E55"/>
    <w:rsid w:val="00276052"/>
    <w:rsid w:val="00276CF6"/>
    <w:rsid w:val="0027744B"/>
    <w:rsid w:val="002861EB"/>
    <w:rsid w:val="00290A57"/>
    <w:rsid w:val="002A5A33"/>
    <w:rsid w:val="002B099C"/>
    <w:rsid w:val="002B2035"/>
    <w:rsid w:val="002B27D0"/>
    <w:rsid w:val="002B67E2"/>
    <w:rsid w:val="002B7271"/>
    <w:rsid w:val="002C28E0"/>
    <w:rsid w:val="002D3FAD"/>
    <w:rsid w:val="002D7EB8"/>
    <w:rsid w:val="002E315A"/>
    <w:rsid w:val="0030430D"/>
    <w:rsid w:val="0030459A"/>
    <w:rsid w:val="00306976"/>
    <w:rsid w:val="00312106"/>
    <w:rsid w:val="003231F9"/>
    <w:rsid w:val="00330E84"/>
    <w:rsid w:val="00334007"/>
    <w:rsid w:val="003340D7"/>
    <w:rsid w:val="00336B4A"/>
    <w:rsid w:val="0033727B"/>
    <w:rsid w:val="00340A19"/>
    <w:rsid w:val="00341523"/>
    <w:rsid w:val="003429B3"/>
    <w:rsid w:val="00343F89"/>
    <w:rsid w:val="00344FAF"/>
    <w:rsid w:val="0035477A"/>
    <w:rsid w:val="0035660A"/>
    <w:rsid w:val="00356CC7"/>
    <w:rsid w:val="00360937"/>
    <w:rsid w:val="0036266E"/>
    <w:rsid w:val="003626BF"/>
    <w:rsid w:val="003630CF"/>
    <w:rsid w:val="00364273"/>
    <w:rsid w:val="003714BA"/>
    <w:rsid w:val="00380339"/>
    <w:rsid w:val="0038682C"/>
    <w:rsid w:val="003904DD"/>
    <w:rsid w:val="003A1D23"/>
    <w:rsid w:val="003A571D"/>
    <w:rsid w:val="003A6C8E"/>
    <w:rsid w:val="003B33F9"/>
    <w:rsid w:val="003B359C"/>
    <w:rsid w:val="003B545F"/>
    <w:rsid w:val="003B5736"/>
    <w:rsid w:val="003B5766"/>
    <w:rsid w:val="003B5917"/>
    <w:rsid w:val="003B5B57"/>
    <w:rsid w:val="003B73C3"/>
    <w:rsid w:val="003D1F78"/>
    <w:rsid w:val="003D26AF"/>
    <w:rsid w:val="003E0C7B"/>
    <w:rsid w:val="003E4A73"/>
    <w:rsid w:val="003F02ED"/>
    <w:rsid w:val="003F557B"/>
    <w:rsid w:val="003F5F0D"/>
    <w:rsid w:val="0040063E"/>
    <w:rsid w:val="004009B0"/>
    <w:rsid w:val="00405029"/>
    <w:rsid w:val="00411AFC"/>
    <w:rsid w:val="0041222C"/>
    <w:rsid w:val="00417D4D"/>
    <w:rsid w:val="00425919"/>
    <w:rsid w:val="00425BDA"/>
    <w:rsid w:val="0043094B"/>
    <w:rsid w:val="00435D4E"/>
    <w:rsid w:val="004420A0"/>
    <w:rsid w:val="004429B1"/>
    <w:rsid w:val="00447CEF"/>
    <w:rsid w:val="00450691"/>
    <w:rsid w:val="00451220"/>
    <w:rsid w:val="00456432"/>
    <w:rsid w:val="004577EE"/>
    <w:rsid w:val="00461824"/>
    <w:rsid w:val="00463F4C"/>
    <w:rsid w:val="0046446C"/>
    <w:rsid w:val="004647F1"/>
    <w:rsid w:val="00467797"/>
    <w:rsid w:val="00470445"/>
    <w:rsid w:val="0047217F"/>
    <w:rsid w:val="004737B4"/>
    <w:rsid w:val="004747D8"/>
    <w:rsid w:val="0049240C"/>
    <w:rsid w:val="004A543A"/>
    <w:rsid w:val="004A7BEF"/>
    <w:rsid w:val="004B20C8"/>
    <w:rsid w:val="004B4097"/>
    <w:rsid w:val="004B612A"/>
    <w:rsid w:val="004B6F51"/>
    <w:rsid w:val="004B70AD"/>
    <w:rsid w:val="004C11F5"/>
    <w:rsid w:val="004C3F63"/>
    <w:rsid w:val="004D04FA"/>
    <w:rsid w:val="004D35EE"/>
    <w:rsid w:val="004D5D58"/>
    <w:rsid w:val="004F5DC5"/>
    <w:rsid w:val="004F5F2C"/>
    <w:rsid w:val="0050275F"/>
    <w:rsid w:val="00502E4F"/>
    <w:rsid w:val="00507768"/>
    <w:rsid w:val="005100C2"/>
    <w:rsid w:val="0051085D"/>
    <w:rsid w:val="00512025"/>
    <w:rsid w:val="00512DB5"/>
    <w:rsid w:val="00525338"/>
    <w:rsid w:val="005356EA"/>
    <w:rsid w:val="0053634B"/>
    <w:rsid w:val="005456C9"/>
    <w:rsid w:val="005538E5"/>
    <w:rsid w:val="00556E70"/>
    <w:rsid w:val="0055725C"/>
    <w:rsid w:val="00562657"/>
    <w:rsid w:val="00564638"/>
    <w:rsid w:val="00565342"/>
    <w:rsid w:val="00567953"/>
    <w:rsid w:val="00580C95"/>
    <w:rsid w:val="00582D5E"/>
    <w:rsid w:val="0058781F"/>
    <w:rsid w:val="005910BF"/>
    <w:rsid w:val="00594690"/>
    <w:rsid w:val="005958AC"/>
    <w:rsid w:val="00596291"/>
    <w:rsid w:val="005A4625"/>
    <w:rsid w:val="005B24D7"/>
    <w:rsid w:val="005B44F5"/>
    <w:rsid w:val="005B7FE5"/>
    <w:rsid w:val="005C2980"/>
    <w:rsid w:val="005C356B"/>
    <w:rsid w:val="005C40F0"/>
    <w:rsid w:val="005C42FF"/>
    <w:rsid w:val="005C4556"/>
    <w:rsid w:val="005C792B"/>
    <w:rsid w:val="005D0929"/>
    <w:rsid w:val="005D1CCF"/>
    <w:rsid w:val="005D2C89"/>
    <w:rsid w:val="005D46CB"/>
    <w:rsid w:val="005D5559"/>
    <w:rsid w:val="005D6038"/>
    <w:rsid w:val="005D712D"/>
    <w:rsid w:val="005D7D98"/>
    <w:rsid w:val="005E6736"/>
    <w:rsid w:val="005F3732"/>
    <w:rsid w:val="005F3B4E"/>
    <w:rsid w:val="005F3C25"/>
    <w:rsid w:val="005F5F63"/>
    <w:rsid w:val="006011C4"/>
    <w:rsid w:val="00605E48"/>
    <w:rsid w:val="00606A03"/>
    <w:rsid w:val="00607A0D"/>
    <w:rsid w:val="00610E78"/>
    <w:rsid w:val="00611181"/>
    <w:rsid w:val="006156D8"/>
    <w:rsid w:val="0061598B"/>
    <w:rsid w:val="0062072A"/>
    <w:rsid w:val="00621A7D"/>
    <w:rsid w:val="00625110"/>
    <w:rsid w:val="00637751"/>
    <w:rsid w:val="00640A1A"/>
    <w:rsid w:val="00645E7B"/>
    <w:rsid w:val="00646BB4"/>
    <w:rsid w:val="00651C24"/>
    <w:rsid w:val="00657F58"/>
    <w:rsid w:val="00663CDA"/>
    <w:rsid w:val="0067789B"/>
    <w:rsid w:val="006834DE"/>
    <w:rsid w:val="006913DD"/>
    <w:rsid w:val="00692219"/>
    <w:rsid w:val="006A4348"/>
    <w:rsid w:val="006C0133"/>
    <w:rsid w:val="006C0B3C"/>
    <w:rsid w:val="006D106C"/>
    <w:rsid w:val="006D5382"/>
    <w:rsid w:val="006E12CB"/>
    <w:rsid w:val="006E1AEE"/>
    <w:rsid w:val="006E4C29"/>
    <w:rsid w:val="006E4D26"/>
    <w:rsid w:val="006E7DF8"/>
    <w:rsid w:val="006F06EB"/>
    <w:rsid w:val="007046EC"/>
    <w:rsid w:val="00707199"/>
    <w:rsid w:val="00707CD8"/>
    <w:rsid w:val="00710F39"/>
    <w:rsid w:val="0071443A"/>
    <w:rsid w:val="00715BA0"/>
    <w:rsid w:val="00716167"/>
    <w:rsid w:val="007228A4"/>
    <w:rsid w:val="00722AE1"/>
    <w:rsid w:val="0073774B"/>
    <w:rsid w:val="0074278B"/>
    <w:rsid w:val="00745387"/>
    <w:rsid w:val="00746436"/>
    <w:rsid w:val="00753580"/>
    <w:rsid w:val="007558FE"/>
    <w:rsid w:val="007617A4"/>
    <w:rsid w:val="00762644"/>
    <w:rsid w:val="00763B2A"/>
    <w:rsid w:val="00771074"/>
    <w:rsid w:val="0077249E"/>
    <w:rsid w:val="007772B1"/>
    <w:rsid w:val="007776C4"/>
    <w:rsid w:val="00784850"/>
    <w:rsid w:val="007912C8"/>
    <w:rsid w:val="007942B7"/>
    <w:rsid w:val="00797D60"/>
    <w:rsid w:val="007A2F47"/>
    <w:rsid w:val="007A2FDB"/>
    <w:rsid w:val="007A685D"/>
    <w:rsid w:val="007C0B6D"/>
    <w:rsid w:val="007C2EBB"/>
    <w:rsid w:val="007C2FBD"/>
    <w:rsid w:val="007C4AF0"/>
    <w:rsid w:val="007D36E7"/>
    <w:rsid w:val="007D3EB6"/>
    <w:rsid w:val="007E00A6"/>
    <w:rsid w:val="007E10C3"/>
    <w:rsid w:val="007E42B9"/>
    <w:rsid w:val="007E68EA"/>
    <w:rsid w:val="007E7105"/>
    <w:rsid w:val="007F01DB"/>
    <w:rsid w:val="007F0225"/>
    <w:rsid w:val="007F2767"/>
    <w:rsid w:val="00804E52"/>
    <w:rsid w:val="00807755"/>
    <w:rsid w:val="00810492"/>
    <w:rsid w:val="00814C6D"/>
    <w:rsid w:val="00824C05"/>
    <w:rsid w:val="00827B3D"/>
    <w:rsid w:val="00827DF0"/>
    <w:rsid w:val="0085080C"/>
    <w:rsid w:val="00856188"/>
    <w:rsid w:val="0085731A"/>
    <w:rsid w:val="0087260F"/>
    <w:rsid w:val="008871C6"/>
    <w:rsid w:val="0089433E"/>
    <w:rsid w:val="008946D3"/>
    <w:rsid w:val="00895F15"/>
    <w:rsid w:val="00896472"/>
    <w:rsid w:val="008978D3"/>
    <w:rsid w:val="008C19C4"/>
    <w:rsid w:val="008C51A9"/>
    <w:rsid w:val="008C5ABF"/>
    <w:rsid w:val="008D4926"/>
    <w:rsid w:val="008E013C"/>
    <w:rsid w:val="008E07ED"/>
    <w:rsid w:val="008E38D2"/>
    <w:rsid w:val="008E38EF"/>
    <w:rsid w:val="008E478C"/>
    <w:rsid w:val="008E48A8"/>
    <w:rsid w:val="008E5BAC"/>
    <w:rsid w:val="008E6844"/>
    <w:rsid w:val="008F0EC7"/>
    <w:rsid w:val="008F5F17"/>
    <w:rsid w:val="008F7054"/>
    <w:rsid w:val="00900F63"/>
    <w:rsid w:val="009035B0"/>
    <w:rsid w:val="00905B14"/>
    <w:rsid w:val="0090668D"/>
    <w:rsid w:val="00907611"/>
    <w:rsid w:val="00911B48"/>
    <w:rsid w:val="0091249C"/>
    <w:rsid w:val="00917F8D"/>
    <w:rsid w:val="00924F6D"/>
    <w:rsid w:val="009265DE"/>
    <w:rsid w:val="00927FE5"/>
    <w:rsid w:val="009310ED"/>
    <w:rsid w:val="009314A3"/>
    <w:rsid w:val="00934D76"/>
    <w:rsid w:val="00934DE3"/>
    <w:rsid w:val="0093506C"/>
    <w:rsid w:val="00936F16"/>
    <w:rsid w:val="00965A12"/>
    <w:rsid w:val="00966841"/>
    <w:rsid w:val="0096794C"/>
    <w:rsid w:val="00977BF2"/>
    <w:rsid w:val="00980788"/>
    <w:rsid w:val="00986300"/>
    <w:rsid w:val="009905A2"/>
    <w:rsid w:val="0099523D"/>
    <w:rsid w:val="00997F87"/>
    <w:rsid w:val="009A0528"/>
    <w:rsid w:val="009A3D6E"/>
    <w:rsid w:val="009A47F0"/>
    <w:rsid w:val="009A641C"/>
    <w:rsid w:val="009A738A"/>
    <w:rsid w:val="009A7870"/>
    <w:rsid w:val="009B3980"/>
    <w:rsid w:val="009C277A"/>
    <w:rsid w:val="009C5901"/>
    <w:rsid w:val="009C7647"/>
    <w:rsid w:val="009D074F"/>
    <w:rsid w:val="009D1190"/>
    <w:rsid w:val="009D3D56"/>
    <w:rsid w:val="009D5E62"/>
    <w:rsid w:val="009D728F"/>
    <w:rsid w:val="009D7637"/>
    <w:rsid w:val="009E26EC"/>
    <w:rsid w:val="009E29E6"/>
    <w:rsid w:val="009E76E4"/>
    <w:rsid w:val="009F486D"/>
    <w:rsid w:val="009F71B6"/>
    <w:rsid w:val="00A01D9E"/>
    <w:rsid w:val="00A12588"/>
    <w:rsid w:val="00A16DB5"/>
    <w:rsid w:val="00A233FE"/>
    <w:rsid w:val="00A248F3"/>
    <w:rsid w:val="00A30310"/>
    <w:rsid w:val="00A34735"/>
    <w:rsid w:val="00A44919"/>
    <w:rsid w:val="00A53268"/>
    <w:rsid w:val="00A54398"/>
    <w:rsid w:val="00A61B21"/>
    <w:rsid w:val="00A6616B"/>
    <w:rsid w:val="00A67F1D"/>
    <w:rsid w:val="00A71154"/>
    <w:rsid w:val="00A770E5"/>
    <w:rsid w:val="00A77D12"/>
    <w:rsid w:val="00A80CB4"/>
    <w:rsid w:val="00A82279"/>
    <w:rsid w:val="00A82C30"/>
    <w:rsid w:val="00A85C83"/>
    <w:rsid w:val="00A917EE"/>
    <w:rsid w:val="00A97A20"/>
    <w:rsid w:val="00A97A44"/>
    <w:rsid w:val="00AA7ED0"/>
    <w:rsid w:val="00AB22D6"/>
    <w:rsid w:val="00AB3B80"/>
    <w:rsid w:val="00AB3FE3"/>
    <w:rsid w:val="00AB44E9"/>
    <w:rsid w:val="00AC0114"/>
    <w:rsid w:val="00AC1622"/>
    <w:rsid w:val="00AC3A00"/>
    <w:rsid w:val="00AC6A20"/>
    <w:rsid w:val="00AD5653"/>
    <w:rsid w:val="00AD5C6E"/>
    <w:rsid w:val="00AF5E96"/>
    <w:rsid w:val="00AF6001"/>
    <w:rsid w:val="00B00149"/>
    <w:rsid w:val="00B01701"/>
    <w:rsid w:val="00B040F6"/>
    <w:rsid w:val="00B05A14"/>
    <w:rsid w:val="00B06AF4"/>
    <w:rsid w:val="00B108AE"/>
    <w:rsid w:val="00B154A8"/>
    <w:rsid w:val="00B20131"/>
    <w:rsid w:val="00B201F1"/>
    <w:rsid w:val="00B27DBD"/>
    <w:rsid w:val="00B27FBF"/>
    <w:rsid w:val="00B32010"/>
    <w:rsid w:val="00B43416"/>
    <w:rsid w:val="00B4548F"/>
    <w:rsid w:val="00B46885"/>
    <w:rsid w:val="00B4726D"/>
    <w:rsid w:val="00B5080F"/>
    <w:rsid w:val="00B520CC"/>
    <w:rsid w:val="00B5255F"/>
    <w:rsid w:val="00B55392"/>
    <w:rsid w:val="00B70C87"/>
    <w:rsid w:val="00B70D33"/>
    <w:rsid w:val="00B72EF2"/>
    <w:rsid w:val="00B72FAD"/>
    <w:rsid w:val="00B832F1"/>
    <w:rsid w:val="00B9157E"/>
    <w:rsid w:val="00B9655D"/>
    <w:rsid w:val="00BA5A90"/>
    <w:rsid w:val="00BA651C"/>
    <w:rsid w:val="00BA6A92"/>
    <w:rsid w:val="00BA7396"/>
    <w:rsid w:val="00BB21D3"/>
    <w:rsid w:val="00BB30DA"/>
    <w:rsid w:val="00BC0C99"/>
    <w:rsid w:val="00BC2DD7"/>
    <w:rsid w:val="00BD16AD"/>
    <w:rsid w:val="00BD3C67"/>
    <w:rsid w:val="00BD5E92"/>
    <w:rsid w:val="00BE4A40"/>
    <w:rsid w:val="00BE4E30"/>
    <w:rsid w:val="00BE5E6A"/>
    <w:rsid w:val="00BF0C0F"/>
    <w:rsid w:val="00BF5A96"/>
    <w:rsid w:val="00BF5F94"/>
    <w:rsid w:val="00BF6907"/>
    <w:rsid w:val="00C11A20"/>
    <w:rsid w:val="00C1552B"/>
    <w:rsid w:val="00C17EE3"/>
    <w:rsid w:val="00C21194"/>
    <w:rsid w:val="00C25CB3"/>
    <w:rsid w:val="00C32C07"/>
    <w:rsid w:val="00C35FB3"/>
    <w:rsid w:val="00C37E65"/>
    <w:rsid w:val="00C415AB"/>
    <w:rsid w:val="00C435DA"/>
    <w:rsid w:val="00C4398A"/>
    <w:rsid w:val="00C43D4C"/>
    <w:rsid w:val="00C4526F"/>
    <w:rsid w:val="00C510B3"/>
    <w:rsid w:val="00C51840"/>
    <w:rsid w:val="00C52E02"/>
    <w:rsid w:val="00C53587"/>
    <w:rsid w:val="00C53718"/>
    <w:rsid w:val="00C611C7"/>
    <w:rsid w:val="00C6200D"/>
    <w:rsid w:val="00C65C49"/>
    <w:rsid w:val="00C66222"/>
    <w:rsid w:val="00C66DA3"/>
    <w:rsid w:val="00C70B17"/>
    <w:rsid w:val="00C7237A"/>
    <w:rsid w:val="00C76A3A"/>
    <w:rsid w:val="00C809AE"/>
    <w:rsid w:val="00C819B6"/>
    <w:rsid w:val="00C87E34"/>
    <w:rsid w:val="00C90629"/>
    <w:rsid w:val="00C906B9"/>
    <w:rsid w:val="00C90A3B"/>
    <w:rsid w:val="00C97EC7"/>
    <w:rsid w:val="00CA6BA3"/>
    <w:rsid w:val="00CB031D"/>
    <w:rsid w:val="00CB1A2C"/>
    <w:rsid w:val="00CB439D"/>
    <w:rsid w:val="00CB591B"/>
    <w:rsid w:val="00CD390B"/>
    <w:rsid w:val="00CE11CD"/>
    <w:rsid w:val="00CE5453"/>
    <w:rsid w:val="00D05A59"/>
    <w:rsid w:val="00D076FA"/>
    <w:rsid w:val="00D07FA4"/>
    <w:rsid w:val="00D13DCA"/>
    <w:rsid w:val="00D21587"/>
    <w:rsid w:val="00D26D2E"/>
    <w:rsid w:val="00D41737"/>
    <w:rsid w:val="00D4246A"/>
    <w:rsid w:val="00D50119"/>
    <w:rsid w:val="00D51A40"/>
    <w:rsid w:val="00D53906"/>
    <w:rsid w:val="00D55281"/>
    <w:rsid w:val="00D61379"/>
    <w:rsid w:val="00D6140B"/>
    <w:rsid w:val="00D616CE"/>
    <w:rsid w:val="00D70B0E"/>
    <w:rsid w:val="00D71D05"/>
    <w:rsid w:val="00D75848"/>
    <w:rsid w:val="00D76195"/>
    <w:rsid w:val="00D84456"/>
    <w:rsid w:val="00D9447F"/>
    <w:rsid w:val="00D946A6"/>
    <w:rsid w:val="00DA06D7"/>
    <w:rsid w:val="00DA0FCC"/>
    <w:rsid w:val="00DA1AEE"/>
    <w:rsid w:val="00DB070D"/>
    <w:rsid w:val="00DB2552"/>
    <w:rsid w:val="00DB471E"/>
    <w:rsid w:val="00DC2EAA"/>
    <w:rsid w:val="00DC3DE3"/>
    <w:rsid w:val="00DC43D8"/>
    <w:rsid w:val="00DD15E8"/>
    <w:rsid w:val="00DD2F41"/>
    <w:rsid w:val="00DD59DD"/>
    <w:rsid w:val="00DE384D"/>
    <w:rsid w:val="00DE5E39"/>
    <w:rsid w:val="00DE6BA5"/>
    <w:rsid w:val="00DF18D1"/>
    <w:rsid w:val="00DF2470"/>
    <w:rsid w:val="00DF2D10"/>
    <w:rsid w:val="00DF462F"/>
    <w:rsid w:val="00DF4A3A"/>
    <w:rsid w:val="00E00344"/>
    <w:rsid w:val="00E00E34"/>
    <w:rsid w:val="00E0292C"/>
    <w:rsid w:val="00E0324F"/>
    <w:rsid w:val="00E044CC"/>
    <w:rsid w:val="00E058E3"/>
    <w:rsid w:val="00E061EA"/>
    <w:rsid w:val="00E1101D"/>
    <w:rsid w:val="00E14C34"/>
    <w:rsid w:val="00E16750"/>
    <w:rsid w:val="00E167A2"/>
    <w:rsid w:val="00E168C4"/>
    <w:rsid w:val="00E17DD6"/>
    <w:rsid w:val="00E20DD9"/>
    <w:rsid w:val="00E22166"/>
    <w:rsid w:val="00E251C7"/>
    <w:rsid w:val="00E42628"/>
    <w:rsid w:val="00E43A56"/>
    <w:rsid w:val="00E45D85"/>
    <w:rsid w:val="00E552FE"/>
    <w:rsid w:val="00E60128"/>
    <w:rsid w:val="00E72CE9"/>
    <w:rsid w:val="00E74FD2"/>
    <w:rsid w:val="00E81A53"/>
    <w:rsid w:val="00E83FA6"/>
    <w:rsid w:val="00E8515F"/>
    <w:rsid w:val="00E85FCA"/>
    <w:rsid w:val="00E8710F"/>
    <w:rsid w:val="00E87B76"/>
    <w:rsid w:val="00E952F5"/>
    <w:rsid w:val="00E95F61"/>
    <w:rsid w:val="00EB04C8"/>
    <w:rsid w:val="00EB4BF7"/>
    <w:rsid w:val="00EB4FF2"/>
    <w:rsid w:val="00EB5309"/>
    <w:rsid w:val="00EB574B"/>
    <w:rsid w:val="00EB5CF8"/>
    <w:rsid w:val="00EB73C0"/>
    <w:rsid w:val="00EC4264"/>
    <w:rsid w:val="00EC4A6A"/>
    <w:rsid w:val="00EC763D"/>
    <w:rsid w:val="00ED351B"/>
    <w:rsid w:val="00ED43FF"/>
    <w:rsid w:val="00ED71E7"/>
    <w:rsid w:val="00ED73FA"/>
    <w:rsid w:val="00EE162C"/>
    <w:rsid w:val="00EE1AF5"/>
    <w:rsid w:val="00EE50A8"/>
    <w:rsid w:val="00EE679E"/>
    <w:rsid w:val="00EE7C0A"/>
    <w:rsid w:val="00EF116C"/>
    <w:rsid w:val="00EF519E"/>
    <w:rsid w:val="00F019E9"/>
    <w:rsid w:val="00F03C91"/>
    <w:rsid w:val="00F04EE7"/>
    <w:rsid w:val="00F05016"/>
    <w:rsid w:val="00F06C60"/>
    <w:rsid w:val="00F155AA"/>
    <w:rsid w:val="00F1575A"/>
    <w:rsid w:val="00F16429"/>
    <w:rsid w:val="00F2113A"/>
    <w:rsid w:val="00F21453"/>
    <w:rsid w:val="00F21D78"/>
    <w:rsid w:val="00F26C87"/>
    <w:rsid w:val="00F51AF8"/>
    <w:rsid w:val="00F5316F"/>
    <w:rsid w:val="00F531E7"/>
    <w:rsid w:val="00F55BD7"/>
    <w:rsid w:val="00F62881"/>
    <w:rsid w:val="00F652FE"/>
    <w:rsid w:val="00F66B48"/>
    <w:rsid w:val="00F71764"/>
    <w:rsid w:val="00F71D36"/>
    <w:rsid w:val="00F72A35"/>
    <w:rsid w:val="00F811B7"/>
    <w:rsid w:val="00F81AC7"/>
    <w:rsid w:val="00F82F63"/>
    <w:rsid w:val="00F83AF8"/>
    <w:rsid w:val="00F86778"/>
    <w:rsid w:val="00F91504"/>
    <w:rsid w:val="00F91CDE"/>
    <w:rsid w:val="00F926E3"/>
    <w:rsid w:val="00F9497E"/>
    <w:rsid w:val="00FA0DB2"/>
    <w:rsid w:val="00FA1C7D"/>
    <w:rsid w:val="00FA2D75"/>
    <w:rsid w:val="00FB2C5F"/>
    <w:rsid w:val="00FB38E4"/>
    <w:rsid w:val="00FB52FF"/>
    <w:rsid w:val="00FC0E62"/>
    <w:rsid w:val="00FC22CE"/>
    <w:rsid w:val="00FC6D5E"/>
    <w:rsid w:val="00FC7E3C"/>
    <w:rsid w:val="00FD1AD4"/>
    <w:rsid w:val="00FD421F"/>
    <w:rsid w:val="00FD48C9"/>
    <w:rsid w:val="00FD7F7B"/>
    <w:rsid w:val="00FE23B5"/>
    <w:rsid w:val="00FE6AC9"/>
    <w:rsid w:val="00FF106D"/>
    <w:rsid w:val="00FF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CDA"/>
  <w15:chartTrackingRefBased/>
  <w15:docId w15:val="{6FE02166-EE2A-48D6-85C4-EC5A9057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0D"/>
  </w:style>
  <w:style w:type="paragraph" w:styleId="Heading1">
    <w:name w:val="heading 1"/>
    <w:basedOn w:val="Normal"/>
    <w:next w:val="Normal"/>
    <w:link w:val="Heading1Char"/>
    <w:uiPriority w:val="9"/>
    <w:qFormat/>
    <w:rsid w:val="00F65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unhideWhenUsed/>
    <w:qFormat/>
    <w:rsid w:val="0061598B"/>
    <w:pPr>
      <w:spacing w:after="200" w:line="240" w:lineRule="auto"/>
    </w:pPr>
    <w:rPr>
      <w:i/>
      <w:iCs/>
      <w:color w:val="44546A"/>
      <w:sz w:val="18"/>
      <w:szCs w:val="18"/>
    </w:rPr>
  </w:style>
  <w:style w:type="paragraph" w:styleId="BalloonText">
    <w:name w:val="Balloon Text"/>
    <w:basedOn w:val="Normal"/>
    <w:link w:val="BalloonTextChar"/>
    <w:uiPriority w:val="99"/>
    <w:semiHidden/>
    <w:unhideWhenUsed/>
    <w:rsid w:val="00E16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C4"/>
    <w:rPr>
      <w:rFonts w:ascii="Segoe UI" w:hAnsi="Segoe UI" w:cs="Segoe UI"/>
      <w:sz w:val="18"/>
      <w:szCs w:val="18"/>
    </w:rPr>
  </w:style>
  <w:style w:type="character" w:customStyle="1" w:styleId="Heading1Char">
    <w:name w:val="Heading 1 Char"/>
    <w:basedOn w:val="DefaultParagraphFont"/>
    <w:link w:val="Heading1"/>
    <w:uiPriority w:val="9"/>
    <w:rsid w:val="00F652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4625"/>
    <w:pPr>
      <w:ind w:left="720"/>
      <w:contextualSpacing/>
    </w:pPr>
  </w:style>
  <w:style w:type="character" w:styleId="Hyperlink">
    <w:name w:val="Hyperlink"/>
    <w:basedOn w:val="DefaultParagraphFont"/>
    <w:uiPriority w:val="99"/>
    <w:unhideWhenUsed/>
    <w:rsid w:val="005C792B"/>
    <w:rPr>
      <w:color w:val="0563C1" w:themeColor="hyperlink"/>
      <w:u w:val="single"/>
    </w:rPr>
  </w:style>
  <w:style w:type="character" w:styleId="UnresolvedMention">
    <w:name w:val="Unresolved Mention"/>
    <w:basedOn w:val="DefaultParagraphFont"/>
    <w:uiPriority w:val="99"/>
    <w:semiHidden/>
    <w:unhideWhenUsed/>
    <w:rsid w:val="0026536A"/>
    <w:rPr>
      <w:color w:val="605E5C"/>
      <w:shd w:val="clear" w:color="auto" w:fill="E1DFDD"/>
    </w:rPr>
  </w:style>
  <w:style w:type="table" w:styleId="TableGrid">
    <w:name w:val="Table Grid"/>
    <w:basedOn w:val="TableNormal"/>
    <w:uiPriority w:val="39"/>
    <w:rsid w:val="0085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492"/>
    <w:rPr>
      <w:sz w:val="16"/>
      <w:szCs w:val="16"/>
    </w:rPr>
  </w:style>
  <w:style w:type="paragraph" w:styleId="CommentText">
    <w:name w:val="annotation text"/>
    <w:basedOn w:val="Normal"/>
    <w:link w:val="CommentTextChar"/>
    <w:uiPriority w:val="99"/>
    <w:semiHidden/>
    <w:unhideWhenUsed/>
    <w:rsid w:val="00810492"/>
    <w:pPr>
      <w:spacing w:line="240" w:lineRule="auto"/>
    </w:pPr>
    <w:rPr>
      <w:sz w:val="20"/>
      <w:szCs w:val="20"/>
    </w:rPr>
  </w:style>
  <w:style w:type="character" w:customStyle="1" w:styleId="CommentTextChar">
    <w:name w:val="Comment Text Char"/>
    <w:basedOn w:val="DefaultParagraphFont"/>
    <w:link w:val="CommentText"/>
    <w:uiPriority w:val="99"/>
    <w:semiHidden/>
    <w:rsid w:val="00810492"/>
    <w:rPr>
      <w:sz w:val="20"/>
      <w:szCs w:val="20"/>
    </w:rPr>
  </w:style>
  <w:style w:type="paragraph" w:styleId="CommentSubject">
    <w:name w:val="annotation subject"/>
    <w:basedOn w:val="CommentText"/>
    <w:next w:val="CommentText"/>
    <w:link w:val="CommentSubjectChar"/>
    <w:uiPriority w:val="99"/>
    <w:semiHidden/>
    <w:unhideWhenUsed/>
    <w:rsid w:val="00810492"/>
    <w:rPr>
      <w:b/>
      <w:bCs/>
    </w:rPr>
  </w:style>
  <w:style w:type="character" w:customStyle="1" w:styleId="CommentSubjectChar">
    <w:name w:val="Comment Subject Char"/>
    <w:basedOn w:val="CommentTextChar"/>
    <w:link w:val="CommentSubject"/>
    <w:uiPriority w:val="99"/>
    <w:semiHidden/>
    <w:rsid w:val="00810492"/>
    <w:rPr>
      <w:b/>
      <w:bCs/>
      <w:sz w:val="20"/>
      <w:szCs w:val="20"/>
    </w:rPr>
  </w:style>
  <w:style w:type="paragraph" w:customStyle="1" w:styleId="DecimalAligned">
    <w:name w:val="Decimal Aligned"/>
    <w:basedOn w:val="Normal"/>
    <w:uiPriority w:val="40"/>
    <w:qFormat/>
    <w:rsid w:val="002A5A33"/>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2A5A33"/>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2A5A33"/>
    <w:rPr>
      <w:rFonts w:eastAsiaTheme="minorEastAsia" w:cs="Times New Roman"/>
      <w:sz w:val="20"/>
      <w:szCs w:val="20"/>
      <w:lang w:val="en-US"/>
    </w:rPr>
  </w:style>
  <w:style w:type="character" w:styleId="SubtleEmphasis">
    <w:name w:val="Subtle Emphasis"/>
    <w:basedOn w:val="DefaultParagraphFont"/>
    <w:uiPriority w:val="19"/>
    <w:qFormat/>
    <w:rsid w:val="002A5A33"/>
    <w:rPr>
      <w:i/>
      <w:iCs/>
    </w:rPr>
  </w:style>
  <w:style w:type="table" w:styleId="LightShading-Accent1">
    <w:name w:val="Light Shading Accent 1"/>
    <w:basedOn w:val="TableNormal"/>
    <w:uiPriority w:val="60"/>
    <w:rsid w:val="002A5A33"/>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1">
    <w:name w:val="Table Grid1"/>
    <w:basedOn w:val="TableNormal"/>
    <w:next w:val="TableGrid"/>
    <w:uiPriority w:val="39"/>
    <w:rsid w:val="00DD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F5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0671">
      <w:bodyDiv w:val="1"/>
      <w:marLeft w:val="0"/>
      <w:marRight w:val="0"/>
      <w:marTop w:val="0"/>
      <w:marBottom w:val="0"/>
      <w:divBdr>
        <w:top w:val="none" w:sz="0" w:space="0" w:color="auto"/>
        <w:left w:val="none" w:sz="0" w:space="0" w:color="auto"/>
        <w:bottom w:val="none" w:sz="0" w:space="0" w:color="auto"/>
        <w:right w:val="none" w:sz="0" w:space="0" w:color="auto"/>
      </w:divBdr>
    </w:div>
    <w:div w:id="742987003">
      <w:bodyDiv w:val="1"/>
      <w:marLeft w:val="0"/>
      <w:marRight w:val="0"/>
      <w:marTop w:val="0"/>
      <w:marBottom w:val="0"/>
      <w:divBdr>
        <w:top w:val="none" w:sz="0" w:space="0" w:color="auto"/>
        <w:left w:val="none" w:sz="0" w:space="0" w:color="auto"/>
        <w:bottom w:val="none" w:sz="0" w:space="0" w:color="auto"/>
        <w:right w:val="none" w:sz="0" w:space="0" w:color="auto"/>
      </w:divBdr>
    </w:div>
    <w:div w:id="1212031967">
      <w:bodyDiv w:val="1"/>
      <w:marLeft w:val="0"/>
      <w:marRight w:val="0"/>
      <w:marTop w:val="0"/>
      <w:marBottom w:val="0"/>
      <w:divBdr>
        <w:top w:val="none" w:sz="0" w:space="0" w:color="auto"/>
        <w:left w:val="none" w:sz="0" w:space="0" w:color="auto"/>
        <w:bottom w:val="none" w:sz="0" w:space="0" w:color="auto"/>
        <w:right w:val="none" w:sz="0" w:space="0" w:color="auto"/>
      </w:divBdr>
    </w:div>
    <w:div w:id="1236862524">
      <w:bodyDiv w:val="1"/>
      <w:marLeft w:val="0"/>
      <w:marRight w:val="0"/>
      <w:marTop w:val="0"/>
      <w:marBottom w:val="0"/>
      <w:divBdr>
        <w:top w:val="none" w:sz="0" w:space="0" w:color="auto"/>
        <w:left w:val="none" w:sz="0" w:space="0" w:color="auto"/>
        <w:bottom w:val="none" w:sz="0" w:space="0" w:color="auto"/>
        <w:right w:val="none" w:sz="0" w:space="0" w:color="auto"/>
      </w:divBdr>
    </w:div>
    <w:div w:id="1359115141">
      <w:bodyDiv w:val="1"/>
      <w:marLeft w:val="0"/>
      <w:marRight w:val="0"/>
      <w:marTop w:val="0"/>
      <w:marBottom w:val="0"/>
      <w:divBdr>
        <w:top w:val="none" w:sz="0" w:space="0" w:color="auto"/>
        <w:left w:val="none" w:sz="0" w:space="0" w:color="auto"/>
        <w:bottom w:val="none" w:sz="0" w:space="0" w:color="auto"/>
        <w:right w:val="none" w:sz="0" w:space="0" w:color="auto"/>
      </w:divBdr>
      <w:divsChild>
        <w:div w:id="1784183725">
          <w:marLeft w:val="0"/>
          <w:marRight w:val="0"/>
          <w:marTop w:val="0"/>
          <w:marBottom w:val="0"/>
          <w:divBdr>
            <w:top w:val="none" w:sz="0" w:space="0" w:color="auto"/>
            <w:left w:val="none" w:sz="0" w:space="0" w:color="auto"/>
            <w:bottom w:val="none" w:sz="0" w:space="0" w:color="auto"/>
            <w:right w:val="none" w:sz="0" w:space="0" w:color="auto"/>
          </w:divBdr>
        </w:div>
        <w:div w:id="1499344251">
          <w:marLeft w:val="0"/>
          <w:marRight w:val="0"/>
          <w:marTop w:val="0"/>
          <w:marBottom w:val="0"/>
          <w:divBdr>
            <w:top w:val="none" w:sz="0" w:space="0" w:color="auto"/>
            <w:left w:val="none" w:sz="0" w:space="0" w:color="auto"/>
            <w:bottom w:val="none" w:sz="0" w:space="0" w:color="auto"/>
            <w:right w:val="none" w:sz="0" w:space="0" w:color="auto"/>
          </w:divBdr>
        </w:div>
      </w:divsChild>
    </w:div>
    <w:div w:id="20240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dur@lsbu.ac.uk" TargetMode="External"/><Relationship Id="rId13" Type="http://schemas.openxmlformats.org/officeDocument/2006/relationships/hyperlink" Target="http://www.iea.org.uk" TargetMode="External"/><Relationship Id="rId18" Type="http://schemas.openxmlformats.org/officeDocument/2006/relationships/hyperlink" Target="http://www.oecd.org/g20/roadmap_to_infrastructure_as_an_asset_class_argentina_presidency_1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conomist.com/britain/2017/07/29/does-london-get-a-better-deal-than-the-regions" TargetMode="External"/><Relationship Id="rId2" Type="http://schemas.openxmlformats.org/officeDocument/2006/relationships/numbering" Target="numbering.xml"/><Relationship Id="rId16" Type="http://schemas.openxmlformats.org/officeDocument/2006/relationships/hyperlink" Target="http://blogs.worldbank.org/ppps/how-singapore-and-gif-are-bridging-infrastructure-gap-asia-and-beyond" TargetMode="External"/><Relationship Id="rId20" Type="http://schemas.openxmlformats.org/officeDocument/2006/relationships/hyperlink" Target="https://doi.org/10.24294/jipd.%20v1i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13.org.uk" TargetMode="External"/><Relationship Id="rId10" Type="http://schemas.openxmlformats.org/officeDocument/2006/relationships/image" Target="media/image2.png"/><Relationship Id="rId19" Type="http://schemas.openxmlformats.org/officeDocument/2006/relationships/hyperlink" Target="https://tradingeconomic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bc.com/news/uk-politics-550729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9F02-0C1D-48E2-B422-CE4EBC64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Seidu, Rafiu</dc:creator>
  <cp:keywords/>
  <dc:description/>
  <cp:lastModifiedBy>Rafiu Seidu</cp:lastModifiedBy>
  <cp:revision>4</cp:revision>
  <dcterms:created xsi:type="dcterms:W3CDTF">2023-10-04T14:41:00Z</dcterms:created>
  <dcterms:modified xsi:type="dcterms:W3CDTF">2023-10-31T15:37:00Z</dcterms:modified>
</cp:coreProperties>
</file>