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D2CA1" w14:textId="77777777" w:rsidR="00DC5844" w:rsidRDefault="00DC5844" w:rsidP="00717F6D">
      <w:pPr>
        <w:jc w:val="center"/>
        <w:rPr>
          <w:b/>
          <w:caps/>
          <w:sz w:val="28"/>
          <w:szCs w:val="28"/>
        </w:rPr>
      </w:pPr>
    </w:p>
    <w:p w14:paraId="1DF9172D" w14:textId="77777777" w:rsidR="00A12AD8" w:rsidRPr="00F14D21" w:rsidRDefault="00A12AD8" w:rsidP="00A12AD8">
      <w:pPr>
        <w:pStyle w:val="NoSpacing"/>
        <w:jc w:val="center"/>
        <w:rPr>
          <w:rFonts w:ascii="Times New Roman" w:hAnsi="Times New Roman" w:cs="Times New Roman"/>
          <w:b/>
          <w:bCs/>
          <w:sz w:val="28"/>
          <w:szCs w:val="28"/>
        </w:rPr>
      </w:pPr>
      <w:r w:rsidRPr="00F14D21">
        <w:rPr>
          <w:rFonts w:ascii="Times New Roman" w:hAnsi="Times New Roman" w:cs="Times New Roman"/>
          <w:b/>
          <w:bCs/>
          <w:sz w:val="28"/>
          <w:szCs w:val="28"/>
        </w:rPr>
        <w:t>ENGINEERING EDUCATION: RESEARCH AND PROFESSIONAL SKILLS DEVELOPMENT</w:t>
      </w:r>
    </w:p>
    <w:p w14:paraId="2C95DAD3" w14:textId="77777777" w:rsidR="00E61F56" w:rsidRPr="00A12AD8" w:rsidRDefault="00E61F56" w:rsidP="00222E7D">
      <w:pPr>
        <w:rPr>
          <w:lang w:val="en-GB"/>
        </w:rPr>
      </w:pPr>
    </w:p>
    <w:p w14:paraId="42818A69" w14:textId="77777777" w:rsidR="006B480D" w:rsidRDefault="006B480D" w:rsidP="006B480D">
      <w:pPr>
        <w:jc w:val="center"/>
        <w:rPr>
          <w:b/>
        </w:rPr>
      </w:pPr>
      <w:r>
        <w:rPr>
          <w:b/>
        </w:rPr>
        <w:t>Simon P. Philbin</w:t>
      </w:r>
    </w:p>
    <w:p w14:paraId="7EA7C23F" w14:textId="16E6B4AC" w:rsidR="006B480D" w:rsidRDefault="006B480D" w:rsidP="006B480D">
      <w:pPr>
        <w:jc w:val="center"/>
        <w:rPr>
          <w:b/>
        </w:rPr>
      </w:pPr>
      <w:r>
        <w:rPr>
          <w:b/>
        </w:rPr>
        <w:t>School of Engineering, London South Bank University</w:t>
      </w:r>
    </w:p>
    <w:p w14:paraId="04D3DE81" w14:textId="77777777" w:rsidR="006B480D" w:rsidRPr="00122A91" w:rsidRDefault="006B480D" w:rsidP="006B480D">
      <w:pPr>
        <w:jc w:val="center"/>
        <w:rPr>
          <w:b/>
        </w:rPr>
      </w:pPr>
      <w:r>
        <w:rPr>
          <w:b/>
        </w:rPr>
        <w:t>philbins@lsbu.ac.uk</w:t>
      </w:r>
    </w:p>
    <w:p w14:paraId="5C0528B7" w14:textId="77777777" w:rsidR="007C45C4" w:rsidRDefault="007C45C4" w:rsidP="00717F6D">
      <w:pPr>
        <w:ind w:right="-360"/>
        <w:jc w:val="both"/>
        <w:rPr>
          <w:sz w:val="20"/>
        </w:rPr>
      </w:pPr>
      <w:r>
        <w:rPr>
          <w:sz w:val="20"/>
        </w:rPr>
        <w:t>____________________________________________________________________________________________</w:t>
      </w:r>
    </w:p>
    <w:p w14:paraId="4CF7CE18" w14:textId="77777777" w:rsidR="0007465F" w:rsidRDefault="0007465F" w:rsidP="00817DF2"/>
    <w:p w14:paraId="59AA51D9" w14:textId="77777777" w:rsidR="007C45C4" w:rsidRPr="00817DF2" w:rsidRDefault="007C45C4" w:rsidP="00817DF2">
      <w:pPr>
        <w:rPr>
          <w:b/>
        </w:rPr>
      </w:pPr>
      <w:r w:rsidRPr="00817DF2">
        <w:rPr>
          <w:b/>
        </w:rPr>
        <w:t xml:space="preserve">Abstract </w:t>
      </w:r>
    </w:p>
    <w:p w14:paraId="2A6123BA" w14:textId="77777777" w:rsidR="00A12AD8" w:rsidRPr="00AB4C8C" w:rsidRDefault="00A12AD8" w:rsidP="00A12AD8">
      <w:pPr>
        <w:pStyle w:val="NoSpacing"/>
        <w:jc w:val="both"/>
        <w:rPr>
          <w:rFonts w:ascii="Times New Roman" w:hAnsi="Times New Roman" w:cs="Times New Roman"/>
          <w:sz w:val="20"/>
          <w:szCs w:val="20"/>
        </w:rPr>
      </w:pPr>
      <w:r w:rsidRPr="00AB4C8C">
        <w:rPr>
          <w:rFonts w:ascii="Times New Roman" w:hAnsi="Times New Roman" w:cs="Times New Roman"/>
          <w:sz w:val="20"/>
          <w:szCs w:val="20"/>
        </w:rPr>
        <w:t>Engineering education is anchored in developing skills and knowledge related to a core foundation across the areas of science and mathematics as well as engineering analysis, design and practice. However, engineering students also need to acquire research skills for successful completion of the research project in the near-term combined with enhanced professional skills for more long-term development. Therefore, this research study provides the insights gained from the delivery of a dedicated module designed to enable both research and professional skills development for masters level engineering students. The module is based on a unique combination of teaching content related to developing research skills (including the literature review process, research methods, data analysis and modelling, research ethics, research impact and relevance to sustainability) and content related to professional skills (including project management, systems engineering, engineering design, lean engineering and communication). The study includes a supporting literature review that identifies existing engineering education practices. Lessons learn</w:t>
      </w:r>
      <w:r>
        <w:rPr>
          <w:rFonts w:ascii="Times New Roman" w:hAnsi="Times New Roman" w:cs="Times New Roman"/>
          <w:sz w:val="20"/>
          <w:szCs w:val="20"/>
        </w:rPr>
        <w:t>ed</w:t>
      </w:r>
      <w:r w:rsidRPr="00AB4C8C">
        <w:rPr>
          <w:rFonts w:ascii="Times New Roman" w:hAnsi="Times New Roman" w:cs="Times New Roman"/>
          <w:sz w:val="20"/>
          <w:szCs w:val="20"/>
        </w:rPr>
        <w:t xml:space="preserve"> and pedagogical insights are identified in regard to the design and delivery of the module, which should be of interest to those involved in the development of engineering education programs.</w:t>
      </w:r>
    </w:p>
    <w:p w14:paraId="4BE56298" w14:textId="77777777" w:rsidR="007C45C4" w:rsidRPr="00A12AD8" w:rsidRDefault="007C45C4" w:rsidP="00717F6D">
      <w:pPr>
        <w:pStyle w:val="BodyText2"/>
        <w:rPr>
          <w:sz w:val="20"/>
          <w:lang w:val="en-GB"/>
        </w:rPr>
      </w:pPr>
    </w:p>
    <w:p w14:paraId="3A04379D" w14:textId="77777777" w:rsidR="00642F77" w:rsidRPr="00642F77" w:rsidRDefault="003141B8" w:rsidP="00717F6D">
      <w:pPr>
        <w:pStyle w:val="BodyText2"/>
        <w:rPr>
          <w:szCs w:val="24"/>
        </w:rPr>
      </w:pPr>
      <w:r w:rsidRPr="00642F77">
        <w:rPr>
          <w:b/>
          <w:szCs w:val="24"/>
        </w:rPr>
        <w:t>Keywords</w:t>
      </w:r>
    </w:p>
    <w:p w14:paraId="52CFAFA3" w14:textId="77777777" w:rsidR="00A12AD8" w:rsidRDefault="00A12AD8" w:rsidP="00A12AD8">
      <w:pPr>
        <w:pStyle w:val="NoSpacing"/>
        <w:jc w:val="both"/>
        <w:rPr>
          <w:rFonts w:ascii="Times New Roman" w:hAnsi="Times New Roman" w:cs="Times New Roman"/>
          <w:sz w:val="20"/>
          <w:szCs w:val="20"/>
        </w:rPr>
      </w:pPr>
      <w:r>
        <w:rPr>
          <w:rFonts w:ascii="Times New Roman" w:hAnsi="Times New Roman" w:cs="Times New Roman"/>
          <w:sz w:val="20"/>
          <w:szCs w:val="20"/>
        </w:rPr>
        <w:t>Engineering education, research skills, professional skills, pedagogy, case study research.</w:t>
      </w:r>
    </w:p>
    <w:p w14:paraId="0D4AF7AF" w14:textId="77777777" w:rsidR="003141B8" w:rsidRPr="00A12AD8" w:rsidRDefault="003141B8" w:rsidP="00717F6D">
      <w:pPr>
        <w:pStyle w:val="BodyText2"/>
        <w:rPr>
          <w:sz w:val="20"/>
          <w:lang w:val="en-GB"/>
        </w:rPr>
      </w:pPr>
    </w:p>
    <w:p w14:paraId="100CB192" w14:textId="77777777" w:rsidR="007C45C4" w:rsidRPr="00642F77" w:rsidRDefault="00642F77" w:rsidP="002E52AE">
      <w:pPr>
        <w:pStyle w:val="Heading1"/>
        <w:rPr>
          <w:szCs w:val="24"/>
        </w:rPr>
      </w:pPr>
      <w:r w:rsidRPr="00642F77">
        <w:rPr>
          <w:szCs w:val="24"/>
        </w:rPr>
        <w:t>Introduction</w:t>
      </w:r>
    </w:p>
    <w:p w14:paraId="0D4E1310" w14:textId="091FDFA9" w:rsidR="00A12AD8" w:rsidRDefault="00A12AD8" w:rsidP="00A12AD8">
      <w:pPr>
        <w:pStyle w:val="NoSpacing"/>
        <w:jc w:val="both"/>
        <w:rPr>
          <w:rFonts w:ascii="Times New Roman" w:eastAsia="Times New Roman" w:hAnsi="Times New Roman" w:cs="Times New Roman"/>
          <w:sz w:val="20"/>
          <w:szCs w:val="20"/>
          <w:lang w:eastAsia="en-GB"/>
        </w:rPr>
      </w:pPr>
      <w:r w:rsidRPr="007666CC">
        <w:rPr>
          <w:rFonts w:ascii="Times New Roman" w:hAnsi="Times New Roman" w:cs="Times New Roman"/>
          <w:sz w:val="20"/>
          <w:szCs w:val="20"/>
        </w:rPr>
        <w:t xml:space="preserve">The primary focus of engineering education is to develop </w:t>
      </w:r>
      <w:r>
        <w:rPr>
          <w:rFonts w:ascii="Times New Roman" w:hAnsi="Times New Roman" w:cs="Times New Roman"/>
          <w:sz w:val="20"/>
          <w:szCs w:val="20"/>
        </w:rPr>
        <w:t xml:space="preserve">the </w:t>
      </w:r>
      <w:r w:rsidRPr="007666CC">
        <w:rPr>
          <w:rFonts w:ascii="Times New Roman" w:hAnsi="Times New Roman" w:cs="Times New Roman"/>
          <w:sz w:val="20"/>
          <w:szCs w:val="20"/>
        </w:rPr>
        <w:t>skills and knowledge related to a core foundation across the areas of science and mathematics as well as engineering analysis, design and practice</w:t>
      </w:r>
      <w:r w:rsidR="00E5104F">
        <w:rPr>
          <w:rFonts w:ascii="Times New Roman" w:hAnsi="Times New Roman" w:cs="Times New Roman"/>
          <w:sz w:val="20"/>
          <w:szCs w:val="20"/>
        </w:rPr>
        <w:t xml:space="preserve"> (Philbin, 2020)</w:t>
      </w:r>
      <w:r w:rsidRPr="007666CC">
        <w:rPr>
          <w:rFonts w:ascii="Times New Roman" w:hAnsi="Times New Roman" w:cs="Times New Roman"/>
          <w:sz w:val="20"/>
          <w:szCs w:val="20"/>
        </w:rPr>
        <w:t xml:space="preserve">. </w:t>
      </w:r>
      <w:r>
        <w:rPr>
          <w:rFonts w:ascii="Times New Roman" w:eastAsia="Times New Roman" w:hAnsi="Times New Roman" w:cs="Times New Roman"/>
          <w:sz w:val="20"/>
          <w:szCs w:val="20"/>
          <w:lang w:eastAsia="en-GB"/>
        </w:rPr>
        <w:t xml:space="preserve">Therefore, it is the responsibility of engineering faculty to educate students in order to become “ready to engineer”, which means they possess a deep knowledge of technical fundamentals and engineering theory as well as pre-professional engineering </w:t>
      </w:r>
      <w:r w:rsidRPr="009A6117">
        <w:rPr>
          <w:rFonts w:ascii="Times New Roman" w:eastAsia="Times New Roman" w:hAnsi="Times New Roman" w:cs="Times New Roman"/>
          <w:sz w:val="20"/>
          <w:szCs w:val="20"/>
          <w:lang w:eastAsia="en-GB"/>
        </w:rPr>
        <w:t>skills (</w:t>
      </w:r>
      <w:r w:rsidRPr="00596A73">
        <w:rPr>
          <w:rFonts w:ascii="Times New Roman" w:eastAsia="Times New Roman" w:hAnsi="Times New Roman" w:cs="Times New Roman"/>
          <w:sz w:val="20"/>
          <w:szCs w:val="20"/>
          <w:lang w:eastAsia="en-GB"/>
        </w:rPr>
        <w:t>Crawley</w:t>
      </w:r>
      <w:r w:rsidRPr="009A6117">
        <w:rPr>
          <w:rFonts w:ascii="Times New Roman" w:eastAsia="Times New Roman" w:hAnsi="Times New Roman" w:cs="Times New Roman"/>
          <w:sz w:val="20"/>
          <w:szCs w:val="20"/>
          <w:lang w:eastAsia="en-GB"/>
        </w:rPr>
        <w:t xml:space="preserve"> et al., </w:t>
      </w:r>
      <w:r w:rsidRPr="00596A73">
        <w:rPr>
          <w:rFonts w:ascii="Times New Roman" w:eastAsia="Times New Roman" w:hAnsi="Times New Roman" w:cs="Times New Roman"/>
          <w:sz w:val="20"/>
          <w:szCs w:val="20"/>
          <w:lang w:eastAsia="en-GB"/>
        </w:rPr>
        <w:t>2014).</w:t>
      </w:r>
      <w:r w:rsidRPr="009A6117">
        <w:rPr>
          <w:rFonts w:ascii="Times New Roman" w:eastAsia="Times New Roman" w:hAnsi="Times New Roman" w:cs="Times New Roman"/>
          <w:sz w:val="20"/>
          <w:szCs w:val="20"/>
          <w:lang w:eastAsia="en-GB"/>
        </w:rPr>
        <w:t xml:space="preserve"> </w:t>
      </w:r>
      <w:r w:rsidRPr="009A6117">
        <w:rPr>
          <w:rFonts w:ascii="Times New Roman" w:hAnsi="Times New Roman" w:cs="Times New Roman"/>
          <w:sz w:val="20"/>
          <w:szCs w:val="20"/>
        </w:rPr>
        <w:t xml:space="preserve">While this focus needs to be maintained, there are </w:t>
      </w:r>
      <w:r>
        <w:rPr>
          <w:rFonts w:ascii="Times New Roman" w:hAnsi="Times New Roman" w:cs="Times New Roman"/>
          <w:sz w:val="20"/>
          <w:szCs w:val="20"/>
        </w:rPr>
        <w:t xml:space="preserve">other </w:t>
      </w:r>
      <w:r w:rsidRPr="009A6117">
        <w:rPr>
          <w:rFonts w:ascii="Times New Roman" w:hAnsi="Times New Roman" w:cs="Times New Roman"/>
          <w:sz w:val="20"/>
          <w:szCs w:val="20"/>
        </w:rPr>
        <w:t xml:space="preserve">emerging learning requirements, such as the need to include relevant material on sustainability; the fourth industrial revolution; relevance to employability; as well as adequate content related to the contextual application </w:t>
      </w:r>
      <w:r>
        <w:rPr>
          <w:rFonts w:ascii="Times New Roman" w:hAnsi="Times New Roman" w:cs="Times New Roman"/>
          <w:sz w:val="20"/>
          <w:szCs w:val="20"/>
        </w:rPr>
        <w:t xml:space="preserve">of engineering </w:t>
      </w:r>
      <w:r w:rsidRPr="009A6117">
        <w:rPr>
          <w:rFonts w:ascii="Times New Roman" w:hAnsi="Times New Roman" w:cs="Times New Roman"/>
          <w:sz w:val="20"/>
          <w:szCs w:val="20"/>
        </w:rPr>
        <w:t>and corresponding understanding (</w:t>
      </w:r>
      <w:proofErr w:type="spellStart"/>
      <w:r w:rsidRPr="00BF2B5B">
        <w:rPr>
          <w:rFonts w:ascii="Times New Roman" w:eastAsia="Times New Roman" w:hAnsi="Times New Roman" w:cs="Times New Roman"/>
          <w:sz w:val="20"/>
          <w:szCs w:val="20"/>
          <w:lang w:eastAsia="en-GB"/>
        </w:rPr>
        <w:t>Hadgraft</w:t>
      </w:r>
      <w:proofErr w:type="spellEnd"/>
      <w:r w:rsidRPr="009A6117">
        <w:rPr>
          <w:rFonts w:ascii="Times New Roman" w:eastAsia="Times New Roman" w:hAnsi="Times New Roman" w:cs="Times New Roman"/>
          <w:sz w:val="20"/>
          <w:szCs w:val="20"/>
          <w:lang w:eastAsia="en-GB"/>
        </w:rPr>
        <w:t xml:space="preserve"> </w:t>
      </w:r>
      <w:r w:rsidRPr="00BF2B5B">
        <w:rPr>
          <w:rFonts w:ascii="Times New Roman" w:eastAsia="Times New Roman" w:hAnsi="Times New Roman" w:cs="Times New Roman"/>
          <w:sz w:val="20"/>
          <w:szCs w:val="20"/>
          <w:lang w:eastAsia="en-GB"/>
        </w:rPr>
        <w:t xml:space="preserve">&amp; </w:t>
      </w:r>
      <w:proofErr w:type="spellStart"/>
      <w:r w:rsidRPr="00BF2B5B">
        <w:rPr>
          <w:rFonts w:ascii="Times New Roman" w:eastAsia="Times New Roman" w:hAnsi="Times New Roman" w:cs="Times New Roman"/>
          <w:sz w:val="20"/>
          <w:szCs w:val="20"/>
          <w:lang w:eastAsia="en-GB"/>
        </w:rPr>
        <w:t>Kolmos</w:t>
      </w:r>
      <w:proofErr w:type="spellEnd"/>
      <w:r w:rsidRPr="00BF2B5B">
        <w:rPr>
          <w:rFonts w:ascii="Times New Roman" w:eastAsia="Times New Roman" w:hAnsi="Times New Roman" w:cs="Times New Roman"/>
          <w:sz w:val="20"/>
          <w:szCs w:val="20"/>
          <w:lang w:eastAsia="en-GB"/>
        </w:rPr>
        <w:t>, 2020).</w:t>
      </w:r>
      <w:r w:rsidRPr="009A6117">
        <w:rPr>
          <w:rFonts w:ascii="Times New Roman" w:eastAsia="Times New Roman" w:hAnsi="Times New Roman" w:cs="Times New Roman"/>
          <w:sz w:val="20"/>
          <w:szCs w:val="20"/>
          <w:lang w:eastAsia="en-GB"/>
        </w:rPr>
        <w:t xml:space="preserve"> Furthermore, there are challenges to be addressed across engineering education in terms of improving the problem-solving and learning skills of students, developing soft skills (such as team-working, leadership and communication skills) as well as providing an understanding of enterprise related areas</w:t>
      </w:r>
      <w:r w:rsidR="00735BF1">
        <w:rPr>
          <w:rFonts w:ascii="Times New Roman" w:eastAsia="Times New Roman" w:hAnsi="Times New Roman" w:cs="Times New Roman"/>
          <w:sz w:val="20"/>
          <w:szCs w:val="20"/>
          <w:lang w:eastAsia="en-GB"/>
        </w:rPr>
        <w:t xml:space="preserve"> (Philbin, 2021)</w:t>
      </w:r>
      <w:r w:rsidRPr="009A6117">
        <w:rPr>
          <w:rFonts w:ascii="Times New Roman" w:eastAsia="Times New Roman" w:hAnsi="Times New Roman" w:cs="Times New Roman"/>
          <w:sz w:val="20"/>
          <w:szCs w:val="20"/>
          <w:lang w:eastAsia="en-GB"/>
        </w:rPr>
        <w:t>, such as innovation, entrepreneurship and business management (</w:t>
      </w:r>
      <w:r w:rsidRPr="00596A73">
        <w:rPr>
          <w:rFonts w:ascii="Times New Roman" w:eastAsia="Times New Roman" w:hAnsi="Times New Roman" w:cs="Times New Roman"/>
          <w:sz w:val="20"/>
          <w:szCs w:val="20"/>
          <w:lang w:eastAsia="en-GB"/>
        </w:rPr>
        <w:t>Qamar</w:t>
      </w:r>
      <w:r w:rsidRPr="009A6117">
        <w:rPr>
          <w:rFonts w:ascii="Times New Roman" w:eastAsia="Times New Roman" w:hAnsi="Times New Roman" w:cs="Times New Roman"/>
          <w:sz w:val="20"/>
          <w:szCs w:val="20"/>
          <w:lang w:eastAsia="en-GB"/>
        </w:rPr>
        <w:t xml:space="preserve"> et al.,</w:t>
      </w:r>
      <w:r w:rsidRPr="00596A73">
        <w:rPr>
          <w:rFonts w:ascii="Times New Roman" w:eastAsia="Times New Roman" w:hAnsi="Times New Roman" w:cs="Times New Roman"/>
          <w:sz w:val="20"/>
          <w:szCs w:val="20"/>
          <w:lang w:eastAsia="en-GB"/>
        </w:rPr>
        <w:t xml:space="preserve"> 2019</w:t>
      </w:r>
      <w:r w:rsidRPr="009A6117">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These requirements can be viewed in the context of preparing engineering students for eventual employment so they are equipped with the necessary employability skills, termed ‘transversal competencies’ (</w:t>
      </w:r>
      <w:r w:rsidRPr="00FD543F">
        <w:rPr>
          <w:rFonts w:ascii="Times New Roman" w:eastAsia="Times New Roman" w:hAnsi="Times New Roman" w:cs="Times New Roman"/>
          <w:sz w:val="20"/>
          <w:szCs w:val="20"/>
          <w:lang w:eastAsia="en-GB"/>
        </w:rPr>
        <w:t>Cruz</w:t>
      </w:r>
      <w:r>
        <w:rPr>
          <w:rFonts w:ascii="Times New Roman" w:eastAsia="Times New Roman" w:hAnsi="Times New Roman" w:cs="Times New Roman"/>
          <w:sz w:val="20"/>
          <w:szCs w:val="20"/>
          <w:lang w:eastAsia="en-GB"/>
        </w:rPr>
        <w:t xml:space="preserve"> et al., </w:t>
      </w:r>
      <w:r w:rsidRPr="00FD543F">
        <w:rPr>
          <w:rFonts w:ascii="Times New Roman" w:eastAsia="Times New Roman" w:hAnsi="Times New Roman" w:cs="Times New Roman"/>
          <w:sz w:val="20"/>
          <w:szCs w:val="20"/>
          <w:lang w:eastAsia="en-GB"/>
        </w:rPr>
        <w:t>2020).</w:t>
      </w:r>
    </w:p>
    <w:p w14:paraId="7D877315" w14:textId="25AAC18B" w:rsidR="00A12AD8" w:rsidRDefault="00A12AD8" w:rsidP="00A12AD8">
      <w:pPr>
        <w:pStyle w:val="BodyText2"/>
        <w:ind w:firstLine="360"/>
        <w:rPr>
          <w:sz w:val="20"/>
        </w:rPr>
      </w:pPr>
      <w:r>
        <w:rPr>
          <w:sz w:val="20"/>
          <w:lang w:eastAsia="en-GB"/>
        </w:rPr>
        <w:t>According to</w:t>
      </w:r>
      <w:r w:rsidRPr="009A6117">
        <w:rPr>
          <w:sz w:val="20"/>
          <w:lang w:eastAsia="en-GB"/>
        </w:rPr>
        <w:t xml:space="preserve"> a more holistic perspective o</w:t>
      </w:r>
      <w:r>
        <w:rPr>
          <w:sz w:val="20"/>
          <w:lang w:eastAsia="en-GB"/>
        </w:rPr>
        <w:t>f</w:t>
      </w:r>
      <w:r w:rsidRPr="009A6117">
        <w:rPr>
          <w:sz w:val="20"/>
          <w:lang w:eastAsia="en-GB"/>
        </w:rPr>
        <w:t xml:space="preserve"> engineering education</w:t>
      </w:r>
      <w:r>
        <w:rPr>
          <w:sz w:val="20"/>
          <w:lang w:eastAsia="en-GB"/>
        </w:rPr>
        <w:t>,</w:t>
      </w:r>
      <w:r w:rsidRPr="009A6117">
        <w:rPr>
          <w:sz w:val="20"/>
          <w:lang w:eastAsia="en-GB"/>
        </w:rPr>
        <w:t xml:space="preserve"> it can be observed that engineering curricul</w:t>
      </w:r>
      <w:r>
        <w:rPr>
          <w:sz w:val="20"/>
          <w:lang w:eastAsia="en-GB"/>
        </w:rPr>
        <w:t>a</w:t>
      </w:r>
      <w:r w:rsidRPr="009A6117">
        <w:rPr>
          <w:sz w:val="20"/>
          <w:lang w:eastAsia="en-GB"/>
        </w:rPr>
        <w:t xml:space="preserve"> </w:t>
      </w:r>
      <w:r>
        <w:rPr>
          <w:sz w:val="20"/>
          <w:lang w:eastAsia="en-GB"/>
        </w:rPr>
        <w:t xml:space="preserve">benefit from including teaching content </w:t>
      </w:r>
      <w:r w:rsidRPr="009A6117">
        <w:rPr>
          <w:sz w:val="20"/>
          <w:lang w:eastAsia="en-GB"/>
        </w:rPr>
        <w:t>related to conducting engineering research projects (</w:t>
      </w:r>
      <w:proofErr w:type="spellStart"/>
      <w:r w:rsidRPr="004E3E2F">
        <w:rPr>
          <w:sz w:val="20"/>
          <w:lang w:eastAsia="en-GB"/>
        </w:rPr>
        <w:t>Baekgaard</w:t>
      </w:r>
      <w:proofErr w:type="spellEnd"/>
      <w:r>
        <w:rPr>
          <w:sz w:val="20"/>
          <w:lang w:eastAsia="en-GB"/>
        </w:rPr>
        <w:t xml:space="preserve"> </w:t>
      </w:r>
      <w:r w:rsidRPr="004E3E2F">
        <w:rPr>
          <w:sz w:val="20"/>
          <w:lang w:eastAsia="en-GB"/>
        </w:rPr>
        <w:t xml:space="preserve">&amp; </w:t>
      </w:r>
      <w:proofErr w:type="spellStart"/>
      <w:r w:rsidRPr="004E3E2F">
        <w:rPr>
          <w:sz w:val="20"/>
          <w:lang w:eastAsia="en-GB"/>
        </w:rPr>
        <w:t>Lystbaek</w:t>
      </w:r>
      <w:proofErr w:type="spellEnd"/>
      <w:r w:rsidRPr="004E3E2F">
        <w:rPr>
          <w:sz w:val="20"/>
          <w:lang w:eastAsia="en-GB"/>
        </w:rPr>
        <w:t>, 2019</w:t>
      </w:r>
      <w:r w:rsidRPr="009A6117">
        <w:rPr>
          <w:sz w:val="20"/>
          <w:lang w:eastAsia="en-GB"/>
        </w:rPr>
        <w:t>)</w:t>
      </w:r>
      <w:r>
        <w:rPr>
          <w:sz w:val="20"/>
          <w:lang w:eastAsia="en-GB"/>
        </w:rPr>
        <w:t xml:space="preserve"> and improved information literacy (</w:t>
      </w:r>
      <w:r w:rsidRPr="00C66951">
        <w:rPr>
          <w:sz w:val="20"/>
          <w:lang w:eastAsia="en-GB"/>
        </w:rPr>
        <w:t>Feldmann</w:t>
      </w:r>
      <w:r>
        <w:rPr>
          <w:sz w:val="20"/>
          <w:lang w:eastAsia="en-GB"/>
        </w:rPr>
        <w:t xml:space="preserve"> </w:t>
      </w:r>
      <w:r w:rsidRPr="00C66951">
        <w:rPr>
          <w:sz w:val="20"/>
          <w:lang w:eastAsia="en-GB"/>
        </w:rPr>
        <w:t>&amp; Feldmann, 2000)</w:t>
      </w:r>
      <w:r w:rsidRPr="009A6117">
        <w:rPr>
          <w:sz w:val="20"/>
          <w:lang w:eastAsia="en-GB"/>
        </w:rPr>
        <w:t xml:space="preserve">. </w:t>
      </w:r>
      <w:r>
        <w:rPr>
          <w:sz w:val="20"/>
          <w:lang w:eastAsia="en-GB"/>
        </w:rPr>
        <w:t>This includes understanding how to conduct a literature review; design of the research methodology; and an appreciation of data analysis and other related research skills and knowledge. This understanding is required for successful completion of masters level research projects and the subsequent preparation of the thesis, or dissertation (</w:t>
      </w:r>
      <w:r w:rsidRPr="00F165A2">
        <w:rPr>
          <w:sz w:val="20"/>
          <w:lang w:eastAsia="en-GB"/>
        </w:rPr>
        <w:t>Host</w:t>
      </w:r>
      <w:r>
        <w:rPr>
          <w:sz w:val="20"/>
          <w:lang w:eastAsia="en-GB"/>
        </w:rPr>
        <w:t xml:space="preserve"> et al., </w:t>
      </w:r>
      <w:r w:rsidRPr="00F165A2">
        <w:rPr>
          <w:sz w:val="20"/>
          <w:lang w:eastAsia="en-GB"/>
        </w:rPr>
        <w:t xml:space="preserve">2009) </w:t>
      </w:r>
      <w:r>
        <w:rPr>
          <w:sz w:val="20"/>
          <w:lang w:eastAsia="en-GB"/>
        </w:rPr>
        <w:t>as well as undergraduate capstone research projects (</w:t>
      </w:r>
      <w:r w:rsidRPr="00814B29">
        <w:rPr>
          <w:sz w:val="20"/>
          <w:lang w:eastAsia="en-GB"/>
        </w:rPr>
        <w:t xml:space="preserve">Van </w:t>
      </w:r>
      <w:proofErr w:type="spellStart"/>
      <w:r w:rsidRPr="00814B29">
        <w:rPr>
          <w:sz w:val="20"/>
          <w:lang w:eastAsia="en-GB"/>
        </w:rPr>
        <w:t>Bossuyt</w:t>
      </w:r>
      <w:proofErr w:type="spellEnd"/>
      <w:r>
        <w:rPr>
          <w:sz w:val="20"/>
          <w:lang w:eastAsia="en-GB"/>
        </w:rPr>
        <w:t xml:space="preserve"> et al., 2019). </w:t>
      </w:r>
      <w:r w:rsidRPr="009A6117">
        <w:rPr>
          <w:sz w:val="20"/>
          <w:lang w:eastAsia="en-GB"/>
        </w:rPr>
        <w:t xml:space="preserve">Therefore, </w:t>
      </w:r>
      <w:r w:rsidRPr="009A6117">
        <w:rPr>
          <w:sz w:val="20"/>
        </w:rPr>
        <w:t xml:space="preserve">engineering students </w:t>
      </w:r>
      <w:r w:rsidRPr="00535395">
        <w:rPr>
          <w:sz w:val="20"/>
        </w:rPr>
        <w:t>need to acquire research skills for successful completion of the research project in the near-term combined with enhanced professional skills for more long-term development</w:t>
      </w:r>
      <w:r>
        <w:rPr>
          <w:sz w:val="20"/>
        </w:rPr>
        <w:t xml:space="preserve"> and employability prospects</w:t>
      </w:r>
      <w:r w:rsidRPr="00535395">
        <w:rPr>
          <w:sz w:val="20"/>
        </w:rPr>
        <w:t xml:space="preserve">. This can potentially be achieved through the delivery of a dedicated engineering module (or class) that includes </w:t>
      </w:r>
      <w:r>
        <w:rPr>
          <w:sz w:val="20"/>
        </w:rPr>
        <w:t xml:space="preserve">intra-curricular </w:t>
      </w:r>
      <w:r w:rsidRPr="00535395">
        <w:rPr>
          <w:sz w:val="20"/>
        </w:rPr>
        <w:t xml:space="preserve">teaching material specifically designed to </w:t>
      </w:r>
      <w:r>
        <w:rPr>
          <w:sz w:val="20"/>
        </w:rPr>
        <w:t>integrate</w:t>
      </w:r>
      <w:r w:rsidRPr="00535395">
        <w:rPr>
          <w:sz w:val="20"/>
        </w:rPr>
        <w:t xml:space="preserve"> both research and professional skills </w:t>
      </w:r>
      <w:r>
        <w:rPr>
          <w:sz w:val="20"/>
        </w:rPr>
        <w:t xml:space="preserve">and knowledge </w:t>
      </w:r>
      <w:r w:rsidRPr="00535395">
        <w:rPr>
          <w:sz w:val="20"/>
        </w:rPr>
        <w:t>into engineering education programs.</w:t>
      </w:r>
    </w:p>
    <w:p w14:paraId="6F141A45" w14:textId="275D3737" w:rsidR="00A12AD8" w:rsidRPr="00A12AD8" w:rsidRDefault="00A12AD8" w:rsidP="00A12AD8">
      <w:pPr>
        <w:pStyle w:val="BodyText2"/>
        <w:ind w:firstLine="360"/>
        <w:rPr>
          <w:sz w:val="20"/>
        </w:rPr>
      </w:pPr>
      <w:r w:rsidRPr="00535395">
        <w:rPr>
          <w:color w:val="111111"/>
          <w:spacing w:val="-3"/>
          <w:sz w:val="20"/>
        </w:rPr>
        <w:t xml:space="preserve">The structure of this article is as follows. After the introduction is the literature review relating to research and professional skills development in engineering education. This is followed by the case study investigation, which examines </w:t>
      </w:r>
      <w:r w:rsidRPr="00535395">
        <w:rPr>
          <w:color w:val="111111"/>
          <w:spacing w:val="-3"/>
          <w:sz w:val="20"/>
        </w:rPr>
        <w:lastRenderedPageBreak/>
        <w:t xml:space="preserve">key aspects of the technical, research and professional skills module that is currently delivered for masters level engineering students at the university. </w:t>
      </w:r>
      <w:r w:rsidRPr="00535395">
        <w:rPr>
          <w:sz w:val="20"/>
        </w:rPr>
        <w:t xml:space="preserve">The case study includes details on the background of the case, module structure and delivery, module assessment, and lessons learned. </w:t>
      </w:r>
      <w:r w:rsidRPr="00535395">
        <w:rPr>
          <w:color w:val="111111"/>
          <w:spacing w:val="-3"/>
          <w:sz w:val="20"/>
        </w:rPr>
        <w:t>This is followed by conclusions and future work.</w:t>
      </w:r>
    </w:p>
    <w:p w14:paraId="1F77A033" w14:textId="77777777" w:rsidR="004378D2" w:rsidRDefault="004378D2" w:rsidP="00717F6D">
      <w:pPr>
        <w:pStyle w:val="BodyText2"/>
        <w:rPr>
          <w:b/>
          <w:sz w:val="20"/>
        </w:rPr>
      </w:pPr>
    </w:p>
    <w:p w14:paraId="4B49759B" w14:textId="5D91FEAE" w:rsidR="004378D2" w:rsidRDefault="00B05B20" w:rsidP="00717F6D">
      <w:pPr>
        <w:pStyle w:val="BodyText2"/>
        <w:rPr>
          <w:b/>
        </w:rPr>
      </w:pPr>
      <w:r>
        <w:rPr>
          <w:b/>
        </w:rPr>
        <w:t>Literature Review</w:t>
      </w:r>
    </w:p>
    <w:p w14:paraId="1687B534" w14:textId="0C28834C" w:rsidR="00D12FD3" w:rsidRDefault="00606326" w:rsidP="00717F6D">
      <w:pPr>
        <w:pStyle w:val="BodyText2"/>
        <w:rPr>
          <w:sz w:val="20"/>
        </w:rPr>
      </w:pPr>
      <w:r>
        <w:rPr>
          <w:bCs/>
          <w:sz w:val="20"/>
        </w:rPr>
        <w:t xml:space="preserve">An important goal of engineering education is to prepare students for the workplace, which </w:t>
      </w:r>
      <w:r w:rsidR="00D12FD3">
        <w:rPr>
          <w:bCs/>
          <w:sz w:val="20"/>
        </w:rPr>
        <w:t xml:space="preserve">is </w:t>
      </w:r>
      <w:r w:rsidR="00B925FA">
        <w:rPr>
          <w:bCs/>
          <w:sz w:val="20"/>
        </w:rPr>
        <w:t>influenced</w:t>
      </w:r>
      <w:r w:rsidR="00D12FD3">
        <w:rPr>
          <w:bCs/>
          <w:sz w:val="20"/>
        </w:rPr>
        <w:t xml:space="preserve"> by </w:t>
      </w:r>
      <w:r w:rsidR="00D12FD3" w:rsidRPr="00D13595">
        <w:rPr>
          <w:bCs/>
          <w:sz w:val="20"/>
        </w:rPr>
        <w:t>the broader context</w:t>
      </w:r>
      <w:r w:rsidR="00C818ED">
        <w:rPr>
          <w:bCs/>
          <w:sz w:val="20"/>
        </w:rPr>
        <w:t>, including socio-economic as well as technological drivers</w:t>
      </w:r>
      <w:r w:rsidR="00D13595" w:rsidRPr="00D13595">
        <w:rPr>
          <w:bCs/>
          <w:sz w:val="20"/>
        </w:rPr>
        <w:t xml:space="preserve">. </w:t>
      </w:r>
      <w:r w:rsidR="00C818ED">
        <w:rPr>
          <w:bCs/>
          <w:sz w:val="20"/>
        </w:rPr>
        <w:t>Therefore, we</w:t>
      </w:r>
      <w:r w:rsidR="00D13595" w:rsidRPr="00D13595">
        <w:rPr>
          <w:bCs/>
          <w:sz w:val="20"/>
        </w:rPr>
        <w:t xml:space="preserve"> can consider the current employment situation and planned business adaptation in response to the COVID-19 pandemic (see Exhibit 1) </w:t>
      </w:r>
      <w:r w:rsidR="000B4DDE">
        <w:rPr>
          <w:bCs/>
          <w:sz w:val="20"/>
        </w:rPr>
        <w:t>(</w:t>
      </w:r>
      <w:r w:rsidR="00D13595" w:rsidRPr="00D13595">
        <w:rPr>
          <w:bCs/>
          <w:sz w:val="20"/>
        </w:rPr>
        <w:t>World Economic Forum</w:t>
      </w:r>
      <w:r w:rsidR="000B4DDE">
        <w:rPr>
          <w:bCs/>
          <w:sz w:val="20"/>
        </w:rPr>
        <w:t>, 2020</w:t>
      </w:r>
      <w:r w:rsidR="00D13595" w:rsidRPr="00D13595">
        <w:rPr>
          <w:bCs/>
          <w:sz w:val="20"/>
        </w:rPr>
        <w:t xml:space="preserve">). As </w:t>
      </w:r>
      <w:r w:rsidR="00D13595" w:rsidRPr="00D13595">
        <w:rPr>
          <w:sz w:val="20"/>
        </w:rPr>
        <w:t>can be observed</w:t>
      </w:r>
      <w:r w:rsidR="000B4DDE">
        <w:rPr>
          <w:sz w:val="20"/>
        </w:rPr>
        <w:t>,</w:t>
      </w:r>
      <w:r w:rsidR="00D13595" w:rsidRPr="00D13595">
        <w:rPr>
          <w:sz w:val="20"/>
        </w:rPr>
        <w:t xml:space="preserve"> </w:t>
      </w:r>
      <w:r w:rsidR="00D13595" w:rsidRPr="00C818ED">
        <w:rPr>
          <w:sz w:val="20"/>
        </w:rPr>
        <w:t>there are a range of factors impacting e</w:t>
      </w:r>
      <w:r w:rsidR="00C818ED" w:rsidRPr="00C818ED">
        <w:rPr>
          <w:sz w:val="20"/>
        </w:rPr>
        <w:t>m</w:t>
      </w:r>
      <w:r w:rsidR="00D13595" w:rsidRPr="00C818ED">
        <w:rPr>
          <w:sz w:val="20"/>
        </w:rPr>
        <w:t xml:space="preserve">ployment prospects, such as the increasing digitalization of work processes. Moreover, the top skills and skill groups </w:t>
      </w:r>
      <w:r w:rsidR="000B4DDE">
        <w:rPr>
          <w:sz w:val="20"/>
        </w:rPr>
        <w:t>that</w:t>
      </w:r>
      <w:r w:rsidR="00D13595" w:rsidRPr="00C818ED">
        <w:rPr>
          <w:sz w:val="20"/>
        </w:rPr>
        <w:t xml:space="preserve"> employers see as rising in prominence to 2025</w:t>
      </w:r>
      <w:r w:rsidR="00C818ED" w:rsidRPr="00C818ED">
        <w:rPr>
          <w:sz w:val="20"/>
        </w:rPr>
        <w:t xml:space="preserve"> includ</w:t>
      </w:r>
      <w:r w:rsidR="00B925FA">
        <w:rPr>
          <w:sz w:val="20"/>
        </w:rPr>
        <w:t>e</w:t>
      </w:r>
      <w:r w:rsidR="00C818ED" w:rsidRPr="00C818ED">
        <w:rPr>
          <w:sz w:val="20"/>
        </w:rPr>
        <w:t xml:space="preserve"> the following: critical thinking and analysis; problem-solving; self-management; working with people; management and communication of activities; technology use and development; core literacies; </w:t>
      </w:r>
      <w:r w:rsidR="00B925FA">
        <w:rPr>
          <w:sz w:val="20"/>
        </w:rPr>
        <w:t xml:space="preserve">and </w:t>
      </w:r>
      <w:r w:rsidR="00C818ED" w:rsidRPr="00C818ED">
        <w:rPr>
          <w:sz w:val="20"/>
        </w:rPr>
        <w:t>physical abilities</w:t>
      </w:r>
      <w:r w:rsidR="00C818ED">
        <w:rPr>
          <w:sz w:val="20"/>
        </w:rPr>
        <w:t>.</w:t>
      </w:r>
      <w:r w:rsidR="000B4DDE">
        <w:rPr>
          <w:sz w:val="20"/>
        </w:rPr>
        <w:t xml:space="preserve"> Consequently, it is </w:t>
      </w:r>
      <w:r w:rsidR="00B925FA">
        <w:rPr>
          <w:sz w:val="20"/>
        </w:rPr>
        <w:t>crucial</w:t>
      </w:r>
      <w:r w:rsidR="000B4DDE">
        <w:rPr>
          <w:sz w:val="20"/>
        </w:rPr>
        <w:t xml:space="preserve"> that strategies for engineering education take account of such a broader context </w:t>
      </w:r>
      <w:r w:rsidR="00B925FA">
        <w:rPr>
          <w:sz w:val="20"/>
        </w:rPr>
        <w:t>as well as</w:t>
      </w:r>
      <w:r w:rsidR="000B4DDE">
        <w:rPr>
          <w:sz w:val="20"/>
        </w:rPr>
        <w:t xml:space="preserve"> the associated factors and trends.</w:t>
      </w:r>
    </w:p>
    <w:p w14:paraId="18736698" w14:textId="1E33907D" w:rsidR="00C818ED" w:rsidRDefault="00C818ED" w:rsidP="00717F6D">
      <w:pPr>
        <w:pStyle w:val="BodyText2"/>
        <w:rPr>
          <w:sz w:val="20"/>
        </w:rPr>
      </w:pPr>
    </w:p>
    <w:p w14:paraId="5B9F4F42" w14:textId="627A3CBF" w:rsidR="00C818ED" w:rsidRPr="000B4DDE" w:rsidRDefault="00C818ED" w:rsidP="00C818ED">
      <w:pPr>
        <w:pStyle w:val="NoSpacing"/>
        <w:jc w:val="center"/>
        <w:rPr>
          <w:rFonts w:ascii="Times New Roman" w:hAnsi="Times New Roman" w:cs="Times New Roman"/>
          <w:b/>
          <w:color w:val="111111"/>
          <w:spacing w:val="-3"/>
          <w:sz w:val="20"/>
          <w:szCs w:val="20"/>
        </w:rPr>
      </w:pPr>
      <w:r w:rsidRPr="000B4DDE">
        <w:rPr>
          <w:rFonts w:ascii="Times New Roman" w:hAnsi="Times New Roman" w:cs="Times New Roman"/>
          <w:b/>
          <w:color w:val="111111"/>
          <w:spacing w:val="-3"/>
          <w:sz w:val="20"/>
          <w:szCs w:val="20"/>
        </w:rPr>
        <w:t>Exhibit 1.</w:t>
      </w:r>
      <w:r w:rsidRPr="000B4DDE">
        <w:rPr>
          <w:rFonts w:ascii="Times New Roman" w:eastAsiaTheme="minorEastAsia" w:hAnsi="Times New Roman" w:cs="Times New Roman"/>
          <w:b/>
          <w:color w:val="002060"/>
          <w:kern w:val="24"/>
          <w:sz w:val="20"/>
          <w:szCs w:val="20"/>
          <w:lang w:val="en-US" w:eastAsia="en-GB"/>
        </w:rPr>
        <w:t xml:space="preserve"> </w:t>
      </w:r>
      <w:r w:rsidRPr="000B4DDE">
        <w:rPr>
          <w:rFonts w:ascii="Times New Roman" w:hAnsi="Times New Roman" w:cs="Times New Roman"/>
          <w:b/>
          <w:sz w:val="20"/>
          <w:szCs w:val="20"/>
          <w:lang w:val="en-US"/>
        </w:rPr>
        <w:t xml:space="preserve">Business adaptation in response to COVID-19 (source of data: </w:t>
      </w:r>
      <w:r w:rsidRPr="000B4DDE">
        <w:rPr>
          <w:rFonts w:ascii="Times New Roman" w:eastAsia="Times New Roman" w:hAnsi="Times New Roman" w:cs="Times New Roman"/>
          <w:b/>
          <w:sz w:val="20"/>
          <w:szCs w:val="20"/>
        </w:rPr>
        <w:t>World Economic Forum</w:t>
      </w:r>
      <w:r w:rsidR="00555124">
        <w:rPr>
          <w:rFonts w:ascii="Times New Roman" w:eastAsia="Times New Roman" w:hAnsi="Times New Roman" w:cs="Times New Roman"/>
          <w:b/>
          <w:sz w:val="20"/>
          <w:szCs w:val="20"/>
        </w:rPr>
        <w:t>, 2020</w:t>
      </w:r>
      <w:r w:rsidRPr="000B4DDE">
        <w:rPr>
          <w:rFonts w:ascii="Times New Roman" w:eastAsia="Times New Roman" w:hAnsi="Times New Roman" w:cs="Times New Roman"/>
          <w:b/>
          <w:sz w:val="20"/>
          <w:szCs w:val="20"/>
        </w:rPr>
        <w:t>)</w:t>
      </w:r>
      <w:r w:rsidRPr="000B4DDE">
        <w:rPr>
          <w:rFonts w:ascii="Times New Roman" w:hAnsi="Times New Roman" w:cs="Times New Roman"/>
          <w:b/>
          <w:sz w:val="20"/>
          <w:szCs w:val="20"/>
        </w:rPr>
        <w:t>.</w:t>
      </w:r>
    </w:p>
    <w:p w14:paraId="49186111" w14:textId="77777777" w:rsidR="00C818ED" w:rsidRPr="00C818ED" w:rsidRDefault="00C818ED" w:rsidP="00717F6D">
      <w:pPr>
        <w:pStyle w:val="BodyText2"/>
        <w:rPr>
          <w:bCs/>
          <w:sz w:val="20"/>
        </w:rPr>
      </w:pPr>
    </w:p>
    <w:p w14:paraId="6982BE67" w14:textId="65145271" w:rsidR="00D12FD3" w:rsidRDefault="00606326" w:rsidP="00717F6D">
      <w:pPr>
        <w:pStyle w:val="BodyText2"/>
        <w:rPr>
          <w:b/>
        </w:rPr>
      </w:pPr>
      <w:r w:rsidRPr="00606326">
        <w:rPr>
          <w:noProof/>
        </w:rPr>
        <w:drawing>
          <wp:inline distT="0" distB="0" distL="0" distR="0" wp14:anchorId="13F5D714" wp14:editId="56F52EDD">
            <wp:extent cx="5943600" cy="3286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286760"/>
                    </a:xfrm>
                    <a:prstGeom prst="rect">
                      <a:avLst/>
                    </a:prstGeom>
                    <a:noFill/>
                    <a:ln>
                      <a:noFill/>
                    </a:ln>
                  </pic:spPr>
                </pic:pic>
              </a:graphicData>
            </a:graphic>
          </wp:inline>
        </w:drawing>
      </w:r>
    </w:p>
    <w:p w14:paraId="725BC08B" w14:textId="77777777" w:rsidR="00D12FD3" w:rsidRPr="00667AE3" w:rsidRDefault="00D12FD3" w:rsidP="00717F6D">
      <w:pPr>
        <w:pStyle w:val="BodyText2"/>
        <w:rPr>
          <w:b/>
        </w:rPr>
      </w:pPr>
    </w:p>
    <w:p w14:paraId="11D0886F" w14:textId="176DC380" w:rsidR="00B05B20" w:rsidRDefault="00B05B20" w:rsidP="00D12FD3">
      <w:pPr>
        <w:pStyle w:val="NoSpacing"/>
        <w:ind w:firstLine="360"/>
        <w:jc w:val="both"/>
        <w:rPr>
          <w:rFonts w:ascii="Times New Roman" w:eastAsia="Times New Roman" w:hAnsi="Times New Roman" w:cs="Times New Roman"/>
          <w:sz w:val="20"/>
          <w:szCs w:val="20"/>
          <w:lang w:eastAsia="en-GB"/>
        </w:rPr>
      </w:pPr>
      <w:r>
        <w:rPr>
          <w:rFonts w:ascii="Times New Roman" w:hAnsi="Times New Roman" w:cs="Times New Roman"/>
          <w:sz w:val="20"/>
          <w:szCs w:val="20"/>
        </w:rPr>
        <w:t xml:space="preserve">The development of employability prospects for engineering students is an important requirement for </w:t>
      </w:r>
      <w:r w:rsidRPr="00922EEE">
        <w:rPr>
          <w:rFonts w:ascii="Times New Roman" w:hAnsi="Times New Roman" w:cs="Times New Roman"/>
          <w:sz w:val="20"/>
          <w:szCs w:val="20"/>
        </w:rPr>
        <w:t xml:space="preserve">undergraduate and graduate engineering programs. Such an objective </w:t>
      </w:r>
      <w:r w:rsidRPr="00735BF1">
        <w:rPr>
          <w:rFonts w:ascii="Times New Roman" w:hAnsi="Times New Roman" w:cs="Times New Roman"/>
          <w:sz w:val="20"/>
          <w:szCs w:val="20"/>
        </w:rPr>
        <w:t>requires engineering education to have an adequate focus on both engineering knowledge as well as professional skills</w:t>
      </w:r>
      <w:r w:rsidR="00735BF1" w:rsidRPr="00735BF1">
        <w:rPr>
          <w:rFonts w:ascii="Times New Roman" w:hAnsi="Times New Roman" w:cs="Times New Roman"/>
          <w:sz w:val="20"/>
          <w:szCs w:val="20"/>
        </w:rPr>
        <w:t xml:space="preserve"> (</w:t>
      </w:r>
      <w:r w:rsidR="00735BF1" w:rsidRPr="00735BF1">
        <w:rPr>
          <w:rFonts w:ascii="Times New Roman" w:hAnsi="Times New Roman" w:cs="Times New Roman"/>
          <w:sz w:val="20"/>
          <w:lang w:eastAsia="en-GB"/>
        </w:rPr>
        <w:t>Philbin</w:t>
      </w:r>
      <w:r w:rsidR="00B925FA">
        <w:rPr>
          <w:rFonts w:ascii="Times New Roman" w:hAnsi="Times New Roman" w:cs="Times New Roman"/>
          <w:sz w:val="20"/>
          <w:lang w:eastAsia="en-GB"/>
        </w:rPr>
        <w:t xml:space="preserve"> et al., </w:t>
      </w:r>
      <w:r w:rsidR="00735BF1" w:rsidRPr="00735BF1">
        <w:rPr>
          <w:rFonts w:ascii="Times New Roman" w:hAnsi="Times New Roman" w:cs="Times New Roman"/>
          <w:sz w:val="20"/>
          <w:lang w:eastAsia="en-GB"/>
        </w:rPr>
        <w:t>2019</w:t>
      </w:r>
      <w:r w:rsidR="00735BF1">
        <w:rPr>
          <w:rFonts w:ascii="Times New Roman" w:hAnsi="Times New Roman" w:cs="Times New Roman"/>
          <w:sz w:val="20"/>
          <w:lang w:eastAsia="en-GB"/>
        </w:rPr>
        <w:t>)</w:t>
      </w:r>
      <w:r w:rsidRPr="00735BF1">
        <w:rPr>
          <w:rFonts w:ascii="Times New Roman" w:hAnsi="Times New Roman" w:cs="Times New Roman"/>
          <w:sz w:val="20"/>
          <w:szCs w:val="20"/>
        </w:rPr>
        <w:t>, which have been found to be interdependent and necessary to enable a deep understanding of engineering principles acquired in the context of real world engineering practice (</w:t>
      </w:r>
      <w:proofErr w:type="spellStart"/>
      <w:r w:rsidRPr="00735BF1">
        <w:rPr>
          <w:rFonts w:ascii="Times New Roman" w:eastAsia="Times New Roman" w:hAnsi="Times New Roman" w:cs="Times New Roman"/>
          <w:sz w:val="20"/>
          <w:szCs w:val="20"/>
          <w:lang w:eastAsia="en-GB"/>
        </w:rPr>
        <w:t>Winberg</w:t>
      </w:r>
      <w:proofErr w:type="spellEnd"/>
      <w:r w:rsidRPr="00735BF1">
        <w:rPr>
          <w:rFonts w:ascii="Times New Roman" w:eastAsia="Times New Roman" w:hAnsi="Times New Roman" w:cs="Times New Roman"/>
          <w:sz w:val="20"/>
          <w:szCs w:val="20"/>
          <w:lang w:eastAsia="en-GB"/>
        </w:rPr>
        <w:t xml:space="preserve"> et al., 2020). Employability is a traditional outcome sought by engineering students, which remains pivotal when</w:t>
      </w:r>
      <w:r>
        <w:rPr>
          <w:rFonts w:ascii="Times New Roman" w:eastAsia="Times New Roman" w:hAnsi="Times New Roman" w:cs="Times New Roman"/>
          <w:sz w:val="20"/>
          <w:szCs w:val="20"/>
          <w:lang w:eastAsia="en-GB"/>
        </w:rPr>
        <w:t xml:space="preserve"> engineering education programs are designed and delivered. More recently, this requirement has been augmented with a need to provide engineering students with the skills and knowledge to respond to </w:t>
      </w:r>
      <w:r w:rsidRPr="00262BCF">
        <w:rPr>
          <w:rFonts w:ascii="Times New Roman" w:eastAsia="Times New Roman" w:hAnsi="Times New Roman" w:cs="Times New Roman"/>
          <w:sz w:val="20"/>
          <w:szCs w:val="20"/>
          <w:lang w:eastAsia="en-GB"/>
        </w:rPr>
        <w:t xml:space="preserve">emerging global challenges and opportunities that we </w:t>
      </w:r>
      <w:r w:rsidRPr="0074358D">
        <w:rPr>
          <w:rFonts w:ascii="Times New Roman" w:eastAsia="Times New Roman" w:hAnsi="Times New Roman" w:cs="Times New Roman"/>
          <w:sz w:val="20"/>
          <w:szCs w:val="20"/>
          <w:lang w:eastAsia="en-GB"/>
        </w:rPr>
        <w:t xml:space="preserve">currently face and this includes those associated with sustainability and the Industry 4.0 technological paradigm </w:t>
      </w:r>
      <w:r w:rsidRPr="0074358D">
        <w:rPr>
          <w:rFonts w:ascii="Times New Roman" w:hAnsi="Times New Roman" w:cs="Times New Roman"/>
          <w:sz w:val="20"/>
          <w:szCs w:val="20"/>
        </w:rPr>
        <w:t>(</w:t>
      </w:r>
      <w:proofErr w:type="spellStart"/>
      <w:r w:rsidRPr="0074358D">
        <w:rPr>
          <w:rFonts w:ascii="Times New Roman" w:eastAsia="Times New Roman" w:hAnsi="Times New Roman" w:cs="Times New Roman"/>
          <w:sz w:val="20"/>
          <w:szCs w:val="20"/>
          <w:lang w:eastAsia="en-GB"/>
        </w:rPr>
        <w:t>Hadgraft</w:t>
      </w:r>
      <w:proofErr w:type="spellEnd"/>
      <w:r w:rsidRPr="0074358D">
        <w:rPr>
          <w:rFonts w:ascii="Times New Roman" w:eastAsia="Times New Roman" w:hAnsi="Times New Roman" w:cs="Times New Roman"/>
          <w:sz w:val="20"/>
          <w:szCs w:val="20"/>
          <w:lang w:eastAsia="en-GB"/>
        </w:rPr>
        <w:t xml:space="preserve"> &amp; </w:t>
      </w:r>
      <w:proofErr w:type="spellStart"/>
      <w:r w:rsidRPr="0074358D">
        <w:rPr>
          <w:rFonts w:ascii="Times New Roman" w:eastAsia="Times New Roman" w:hAnsi="Times New Roman" w:cs="Times New Roman"/>
          <w:sz w:val="20"/>
          <w:szCs w:val="20"/>
          <w:lang w:eastAsia="en-GB"/>
        </w:rPr>
        <w:t>Kolmos</w:t>
      </w:r>
      <w:proofErr w:type="spellEnd"/>
      <w:r w:rsidRPr="0074358D">
        <w:rPr>
          <w:rFonts w:ascii="Times New Roman" w:eastAsia="Times New Roman" w:hAnsi="Times New Roman" w:cs="Times New Roman"/>
          <w:sz w:val="20"/>
          <w:szCs w:val="20"/>
          <w:lang w:eastAsia="en-GB"/>
        </w:rPr>
        <w:t xml:space="preserve">, 2020). Both of these </w:t>
      </w:r>
      <w:r>
        <w:rPr>
          <w:rFonts w:ascii="Times New Roman" w:eastAsia="Times New Roman" w:hAnsi="Times New Roman" w:cs="Times New Roman"/>
          <w:sz w:val="20"/>
          <w:szCs w:val="20"/>
          <w:lang w:eastAsia="en-GB"/>
        </w:rPr>
        <w:t xml:space="preserve">areas </w:t>
      </w:r>
      <w:r w:rsidRPr="0074358D">
        <w:rPr>
          <w:rFonts w:ascii="Times New Roman" w:eastAsia="Times New Roman" w:hAnsi="Times New Roman" w:cs="Times New Roman"/>
          <w:sz w:val="20"/>
          <w:szCs w:val="20"/>
          <w:lang w:eastAsia="en-GB"/>
        </w:rPr>
        <w:t xml:space="preserve">represent multifaceted and complex </w:t>
      </w:r>
      <w:r>
        <w:rPr>
          <w:rFonts w:ascii="Times New Roman" w:eastAsia="Times New Roman" w:hAnsi="Times New Roman" w:cs="Times New Roman"/>
          <w:sz w:val="20"/>
          <w:szCs w:val="20"/>
          <w:lang w:eastAsia="en-GB"/>
        </w:rPr>
        <w:t>requirements</w:t>
      </w:r>
      <w:r w:rsidRPr="0074358D">
        <w:rPr>
          <w:rFonts w:ascii="Times New Roman" w:eastAsia="Times New Roman" w:hAnsi="Times New Roman" w:cs="Times New Roman"/>
          <w:sz w:val="20"/>
          <w:szCs w:val="20"/>
          <w:lang w:eastAsia="en-GB"/>
        </w:rPr>
        <w:t xml:space="preserve">, where engineering programs need to engender skills in multidisciplinary, complexity and contextual understanding. For instance, it has been recognized that there is merit in integrating the concepts and material related to sustainable development into </w:t>
      </w:r>
      <w:r w:rsidRPr="0074358D">
        <w:rPr>
          <w:rFonts w:ascii="Times New Roman" w:hAnsi="Times New Roman" w:cs="Times New Roman"/>
          <w:sz w:val="20"/>
          <w:szCs w:val="20"/>
        </w:rPr>
        <w:t xml:space="preserve">a traditional software engineering course, including capstone projects on ‘pervasive computing and </w:t>
      </w:r>
      <w:r w:rsidRPr="00BF353B">
        <w:rPr>
          <w:rFonts w:ascii="Times New Roman" w:hAnsi="Times New Roman" w:cs="Times New Roman"/>
          <w:sz w:val="20"/>
          <w:szCs w:val="20"/>
        </w:rPr>
        <w:t>communications for sustainable development’ (</w:t>
      </w:r>
      <w:proofErr w:type="spellStart"/>
      <w:r w:rsidRPr="000E4E43">
        <w:rPr>
          <w:rFonts w:ascii="Times New Roman" w:eastAsia="Times New Roman" w:hAnsi="Times New Roman" w:cs="Times New Roman"/>
          <w:sz w:val="20"/>
          <w:szCs w:val="20"/>
          <w:lang w:eastAsia="en-GB"/>
        </w:rPr>
        <w:t>Palacin</w:t>
      </w:r>
      <w:proofErr w:type="spellEnd"/>
      <w:r w:rsidRPr="000E4E43">
        <w:rPr>
          <w:rFonts w:ascii="Times New Roman" w:eastAsia="Times New Roman" w:hAnsi="Times New Roman" w:cs="Times New Roman"/>
          <w:sz w:val="20"/>
          <w:szCs w:val="20"/>
          <w:lang w:eastAsia="en-GB"/>
        </w:rPr>
        <w:t>-Silva</w:t>
      </w:r>
      <w:r w:rsidRPr="00BF353B">
        <w:rPr>
          <w:rFonts w:ascii="Times New Roman" w:eastAsia="Times New Roman" w:hAnsi="Times New Roman" w:cs="Times New Roman"/>
          <w:sz w:val="20"/>
          <w:szCs w:val="20"/>
          <w:lang w:eastAsia="en-GB"/>
        </w:rPr>
        <w:t xml:space="preserve"> et al., </w:t>
      </w:r>
      <w:r w:rsidRPr="000E4E43">
        <w:rPr>
          <w:rFonts w:ascii="Times New Roman" w:eastAsia="Times New Roman" w:hAnsi="Times New Roman" w:cs="Times New Roman"/>
          <w:sz w:val="20"/>
          <w:szCs w:val="20"/>
          <w:lang w:eastAsia="en-GB"/>
        </w:rPr>
        <w:t>2018).</w:t>
      </w:r>
      <w:r w:rsidRPr="00BF353B">
        <w:rPr>
          <w:rFonts w:ascii="Times New Roman" w:eastAsia="Times New Roman" w:hAnsi="Times New Roman" w:cs="Times New Roman"/>
          <w:sz w:val="20"/>
          <w:szCs w:val="20"/>
          <w:lang w:eastAsia="en-GB"/>
        </w:rPr>
        <w:t xml:space="preserve"> In other studies, problem-based learning where students work together in multidisciplinary teams to tackle a specific problem has been </w:t>
      </w:r>
      <w:r>
        <w:rPr>
          <w:rFonts w:ascii="Times New Roman" w:eastAsia="Times New Roman" w:hAnsi="Times New Roman" w:cs="Times New Roman"/>
          <w:sz w:val="20"/>
          <w:szCs w:val="20"/>
          <w:lang w:eastAsia="en-GB"/>
        </w:rPr>
        <w:t>revealed</w:t>
      </w:r>
      <w:r w:rsidRPr="00BF353B">
        <w:rPr>
          <w:rFonts w:ascii="Times New Roman" w:eastAsia="Times New Roman" w:hAnsi="Times New Roman" w:cs="Times New Roman"/>
          <w:sz w:val="20"/>
          <w:szCs w:val="20"/>
          <w:lang w:eastAsia="en-GB"/>
        </w:rPr>
        <w:t xml:space="preserve"> as being effective in promoting the development of professional skills by </w:t>
      </w:r>
      <w:r w:rsidRPr="00BF353B">
        <w:rPr>
          <w:rFonts w:ascii="Times New Roman" w:eastAsia="Times New Roman" w:hAnsi="Times New Roman" w:cs="Times New Roman"/>
          <w:sz w:val="20"/>
          <w:szCs w:val="20"/>
          <w:lang w:eastAsia="en-GB"/>
        </w:rPr>
        <w:lastRenderedPageBreak/>
        <w:t>engineering students (</w:t>
      </w:r>
      <w:proofErr w:type="spellStart"/>
      <w:r w:rsidRPr="00B568FE">
        <w:rPr>
          <w:rFonts w:ascii="Times New Roman" w:eastAsia="Times New Roman" w:hAnsi="Times New Roman" w:cs="Times New Roman"/>
          <w:sz w:val="20"/>
          <w:szCs w:val="20"/>
          <w:lang w:eastAsia="en-GB"/>
        </w:rPr>
        <w:t>Ccama</w:t>
      </w:r>
      <w:proofErr w:type="spellEnd"/>
      <w:r w:rsidRPr="00B568FE">
        <w:rPr>
          <w:rFonts w:ascii="Times New Roman" w:eastAsia="Times New Roman" w:hAnsi="Times New Roman" w:cs="Times New Roman"/>
          <w:sz w:val="20"/>
          <w:szCs w:val="20"/>
          <w:lang w:eastAsia="en-GB"/>
        </w:rPr>
        <w:t>-Mamani</w:t>
      </w:r>
      <w:r w:rsidRPr="00BF353B">
        <w:rPr>
          <w:rFonts w:ascii="Times New Roman" w:eastAsia="Times New Roman" w:hAnsi="Times New Roman" w:cs="Times New Roman"/>
          <w:sz w:val="20"/>
          <w:szCs w:val="20"/>
          <w:lang w:eastAsia="en-GB"/>
        </w:rPr>
        <w:t xml:space="preserve"> et al., </w:t>
      </w:r>
      <w:r w:rsidRPr="00B568FE">
        <w:rPr>
          <w:rFonts w:ascii="Times New Roman" w:eastAsia="Times New Roman" w:hAnsi="Times New Roman" w:cs="Times New Roman"/>
          <w:sz w:val="20"/>
          <w:szCs w:val="20"/>
          <w:lang w:eastAsia="en-GB"/>
        </w:rPr>
        <w:t>2021).</w:t>
      </w:r>
      <w:r w:rsidRPr="00BF353B">
        <w:rPr>
          <w:rFonts w:ascii="Times New Roman" w:eastAsia="Times New Roman" w:hAnsi="Times New Roman" w:cs="Times New Roman"/>
          <w:sz w:val="20"/>
          <w:szCs w:val="20"/>
          <w:lang w:eastAsia="en-GB"/>
        </w:rPr>
        <w:t xml:space="preserve"> Moreover, project-based learning is an established approach as part of engineering education</w:t>
      </w:r>
      <w:r>
        <w:rPr>
          <w:rFonts w:ascii="Times New Roman" w:eastAsia="Times New Roman" w:hAnsi="Times New Roman" w:cs="Times New Roman"/>
          <w:sz w:val="20"/>
          <w:szCs w:val="20"/>
          <w:lang w:eastAsia="en-GB"/>
        </w:rPr>
        <w:t xml:space="preserve"> (</w:t>
      </w:r>
      <w:r w:rsidRPr="00DD7C0E">
        <w:rPr>
          <w:rFonts w:ascii="Times New Roman" w:eastAsia="Times New Roman" w:hAnsi="Times New Roman" w:cs="Times New Roman"/>
          <w:sz w:val="20"/>
          <w:szCs w:val="20"/>
          <w:lang w:eastAsia="en-GB"/>
        </w:rPr>
        <w:t>Chen</w:t>
      </w:r>
      <w:r>
        <w:rPr>
          <w:rFonts w:ascii="Times New Roman" w:eastAsia="Times New Roman" w:hAnsi="Times New Roman" w:cs="Times New Roman"/>
          <w:sz w:val="20"/>
          <w:szCs w:val="20"/>
          <w:lang w:eastAsia="en-GB"/>
        </w:rPr>
        <w:t xml:space="preserve"> et al., </w:t>
      </w:r>
      <w:r w:rsidRPr="00DD7C0E">
        <w:rPr>
          <w:rFonts w:ascii="Times New Roman" w:eastAsia="Times New Roman" w:hAnsi="Times New Roman" w:cs="Times New Roman"/>
          <w:sz w:val="20"/>
          <w:szCs w:val="20"/>
          <w:lang w:eastAsia="en-GB"/>
        </w:rPr>
        <w:t>2021)</w:t>
      </w:r>
      <w:r w:rsidRPr="00BF353B">
        <w:rPr>
          <w:rFonts w:ascii="Times New Roman" w:eastAsia="Times New Roman" w:hAnsi="Times New Roman" w:cs="Times New Roman"/>
          <w:sz w:val="20"/>
          <w:szCs w:val="20"/>
          <w:lang w:eastAsia="en-GB"/>
        </w:rPr>
        <w:t xml:space="preserve">, where the skills required for employment can be developed through </w:t>
      </w:r>
      <w:r w:rsidRPr="00BF353B">
        <w:rPr>
          <w:rFonts w:ascii="Times New Roman" w:hAnsi="Times New Roman" w:cs="Times New Roman"/>
          <w:sz w:val="20"/>
          <w:szCs w:val="20"/>
        </w:rPr>
        <w:t>interdisciplinary experiences combined with creative thinking (</w:t>
      </w:r>
      <w:r w:rsidRPr="0074358D">
        <w:rPr>
          <w:rFonts w:ascii="Times New Roman" w:eastAsia="Times New Roman" w:hAnsi="Times New Roman" w:cs="Times New Roman"/>
          <w:sz w:val="20"/>
          <w:szCs w:val="20"/>
          <w:lang w:eastAsia="en-GB"/>
        </w:rPr>
        <w:t>Wu</w:t>
      </w:r>
      <w:r w:rsidRPr="00BF353B">
        <w:rPr>
          <w:rFonts w:ascii="Times New Roman" w:eastAsia="Times New Roman" w:hAnsi="Times New Roman" w:cs="Times New Roman"/>
          <w:sz w:val="20"/>
          <w:szCs w:val="20"/>
          <w:lang w:eastAsia="en-GB"/>
        </w:rPr>
        <w:t xml:space="preserve"> </w:t>
      </w:r>
      <w:r w:rsidRPr="0074358D">
        <w:rPr>
          <w:rFonts w:ascii="Times New Roman" w:eastAsia="Times New Roman" w:hAnsi="Times New Roman" w:cs="Times New Roman"/>
          <w:sz w:val="20"/>
          <w:szCs w:val="20"/>
          <w:lang w:eastAsia="en-GB"/>
        </w:rPr>
        <w:t>&amp; Wu, 2020).</w:t>
      </w:r>
    </w:p>
    <w:p w14:paraId="4EF57B44" w14:textId="51487C91" w:rsidR="00B05B20" w:rsidRDefault="00B05B20" w:rsidP="00B05B20">
      <w:pPr>
        <w:pStyle w:val="BodyText2"/>
        <w:ind w:firstLine="360"/>
        <w:rPr>
          <w:sz w:val="20"/>
        </w:rPr>
      </w:pPr>
      <w:r w:rsidRPr="00BF353B">
        <w:rPr>
          <w:sz w:val="20"/>
          <w:lang w:eastAsia="en-GB"/>
        </w:rPr>
        <w:t>In regard to adopting a pedagogical perspective on engineering education, it has been highlighted how active</w:t>
      </w:r>
      <w:r w:rsidRPr="00BF353B">
        <w:rPr>
          <w:sz w:val="20"/>
        </w:rPr>
        <w:t xml:space="preserve">, project and problem-based learning can be utilized to support the development of professional skills combined with technical expertise; </w:t>
      </w:r>
      <w:r>
        <w:rPr>
          <w:sz w:val="20"/>
        </w:rPr>
        <w:t xml:space="preserve">indeed, </w:t>
      </w:r>
      <w:r w:rsidRPr="00BF353B">
        <w:rPr>
          <w:sz w:val="20"/>
        </w:rPr>
        <w:t xml:space="preserve">the CDIO (conceive-design-implement-operate) framework has been implemented to enable such an approach, where education is focused on engineering fundamentals but are </w:t>
      </w:r>
      <w:r>
        <w:rPr>
          <w:sz w:val="20"/>
        </w:rPr>
        <w:t xml:space="preserve">also </w:t>
      </w:r>
      <w:r w:rsidRPr="00BF353B">
        <w:rPr>
          <w:sz w:val="20"/>
        </w:rPr>
        <w:t>set in the context of real-world systems and products (</w:t>
      </w:r>
      <w:r w:rsidRPr="00855772">
        <w:rPr>
          <w:sz w:val="20"/>
          <w:lang w:eastAsia="en-GB"/>
        </w:rPr>
        <w:t>Campbell</w:t>
      </w:r>
      <w:r>
        <w:rPr>
          <w:sz w:val="20"/>
          <w:lang w:eastAsia="en-GB"/>
        </w:rPr>
        <w:t xml:space="preserve"> et al., </w:t>
      </w:r>
      <w:r w:rsidRPr="00855772">
        <w:rPr>
          <w:sz w:val="20"/>
          <w:lang w:eastAsia="en-GB"/>
        </w:rPr>
        <w:t>2009</w:t>
      </w:r>
      <w:r>
        <w:rPr>
          <w:sz w:val="20"/>
          <w:lang w:eastAsia="en-GB"/>
        </w:rPr>
        <w:t xml:space="preserve">; </w:t>
      </w:r>
      <w:r w:rsidRPr="00470726">
        <w:rPr>
          <w:sz w:val="20"/>
          <w:lang w:eastAsia="en-GB"/>
        </w:rPr>
        <w:t>Leslie</w:t>
      </w:r>
      <w:r w:rsidRPr="00BF353B">
        <w:rPr>
          <w:sz w:val="20"/>
          <w:lang w:eastAsia="en-GB"/>
        </w:rPr>
        <w:t xml:space="preserve"> et al., </w:t>
      </w:r>
      <w:r w:rsidRPr="00470726">
        <w:rPr>
          <w:sz w:val="20"/>
          <w:lang w:eastAsia="en-GB"/>
        </w:rPr>
        <w:t>2021).</w:t>
      </w:r>
      <w:r w:rsidRPr="00BF353B">
        <w:rPr>
          <w:sz w:val="20"/>
          <w:lang w:eastAsia="en-GB"/>
        </w:rPr>
        <w:t xml:space="preserve"> Furthermore, the CDIO approach has been shown to result in engineering students being exposed to the work environment from industry involved in product and process development combined with providing a useful tool for skills assessment (</w:t>
      </w:r>
      <w:r w:rsidRPr="00461A25">
        <w:rPr>
          <w:sz w:val="20"/>
          <w:lang w:eastAsia="en-GB"/>
        </w:rPr>
        <w:t>Kulkarni</w:t>
      </w:r>
      <w:r w:rsidRPr="00BF353B">
        <w:rPr>
          <w:sz w:val="20"/>
          <w:lang w:eastAsia="en-GB"/>
        </w:rPr>
        <w:t xml:space="preserve"> et al., </w:t>
      </w:r>
      <w:r w:rsidRPr="00461A25">
        <w:rPr>
          <w:sz w:val="20"/>
          <w:lang w:eastAsia="en-GB"/>
        </w:rPr>
        <w:t>2020).</w:t>
      </w:r>
      <w:r w:rsidRPr="00BF353B">
        <w:rPr>
          <w:sz w:val="20"/>
          <w:lang w:eastAsia="en-GB"/>
        </w:rPr>
        <w:t xml:space="preserve"> While many researchers have investigated professional skills development for engineering students and such approaches have been adopted across many engineering programs, there can also be certain challenges with this current education trend. In the case of soft skills development (such as communication and team-working), it has been </w:t>
      </w:r>
      <w:r>
        <w:rPr>
          <w:sz w:val="20"/>
          <w:lang w:eastAsia="en-GB"/>
        </w:rPr>
        <w:t>determined</w:t>
      </w:r>
      <w:r w:rsidRPr="00BF353B">
        <w:rPr>
          <w:sz w:val="20"/>
          <w:lang w:eastAsia="en-GB"/>
        </w:rPr>
        <w:t xml:space="preserve"> that </w:t>
      </w:r>
      <w:r>
        <w:rPr>
          <w:sz w:val="20"/>
          <w:lang w:eastAsia="en-GB"/>
        </w:rPr>
        <w:t>for</w:t>
      </w:r>
      <w:r w:rsidRPr="00BF353B">
        <w:rPr>
          <w:sz w:val="20"/>
          <w:lang w:eastAsia="en-GB"/>
        </w:rPr>
        <w:t xml:space="preserve"> engineering education, this approach is not straightforward and such course</w:t>
      </w:r>
      <w:r>
        <w:rPr>
          <w:sz w:val="20"/>
          <w:lang w:eastAsia="en-GB"/>
        </w:rPr>
        <w:t>s</w:t>
      </w:r>
      <w:r w:rsidRPr="00BF353B">
        <w:rPr>
          <w:sz w:val="20"/>
          <w:lang w:eastAsia="en-GB"/>
        </w:rPr>
        <w:t xml:space="preserve"> often receive low scores in </w:t>
      </w:r>
      <w:r w:rsidRPr="00BF353B">
        <w:rPr>
          <w:sz w:val="20"/>
        </w:rPr>
        <w:t>student satisfaction surveys (</w:t>
      </w:r>
      <w:r w:rsidRPr="003B7C44">
        <w:rPr>
          <w:sz w:val="20"/>
          <w:lang w:eastAsia="en-GB"/>
        </w:rPr>
        <w:t>Schipper</w:t>
      </w:r>
      <w:r w:rsidRPr="00BF353B">
        <w:rPr>
          <w:sz w:val="20"/>
          <w:lang w:eastAsia="en-GB"/>
        </w:rPr>
        <w:t xml:space="preserve"> </w:t>
      </w:r>
      <w:r w:rsidRPr="003B7C44">
        <w:rPr>
          <w:sz w:val="20"/>
          <w:lang w:eastAsia="en-GB"/>
        </w:rPr>
        <w:t xml:space="preserve">&amp; van der </w:t>
      </w:r>
      <w:proofErr w:type="spellStart"/>
      <w:r w:rsidRPr="003B7C44">
        <w:rPr>
          <w:sz w:val="20"/>
          <w:lang w:eastAsia="en-GB"/>
        </w:rPr>
        <w:t>Stappen</w:t>
      </w:r>
      <w:proofErr w:type="spellEnd"/>
      <w:r w:rsidRPr="003B7C44">
        <w:rPr>
          <w:sz w:val="20"/>
          <w:lang w:eastAsia="en-GB"/>
        </w:rPr>
        <w:t>, 2018)</w:t>
      </w:r>
      <w:r w:rsidRPr="00BF353B">
        <w:rPr>
          <w:sz w:val="20"/>
        </w:rPr>
        <w:t>. While it was also found that engineering students have a positive attitude towards soft skills development, it was observed that no clear insights could be generated on what is actually causing low satisfaction scores for soft skill courses. Consequently, this represents an active area of research requir</w:t>
      </w:r>
      <w:r w:rsidR="009C1DDB">
        <w:rPr>
          <w:sz w:val="20"/>
        </w:rPr>
        <w:t>ing</w:t>
      </w:r>
      <w:r w:rsidRPr="00BF353B">
        <w:rPr>
          <w:sz w:val="20"/>
        </w:rPr>
        <w:t xml:space="preserve"> a deeper understanding of the implications of </w:t>
      </w:r>
      <w:r w:rsidRPr="00776A5E">
        <w:rPr>
          <w:sz w:val="20"/>
        </w:rPr>
        <w:t xml:space="preserve">teaching soft skills on engineering programs and the factors that contribute to a positive appreciation </w:t>
      </w:r>
      <w:r>
        <w:rPr>
          <w:sz w:val="20"/>
        </w:rPr>
        <w:t>being exhibited</w:t>
      </w:r>
      <w:r w:rsidRPr="00776A5E">
        <w:rPr>
          <w:sz w:val="20"/>
        </w:rPr>
        <w:t xml:space="preserve"> by engineering students</w:t>
      </w:r>
      <w:r>
        <w:rPr>
          <w:sz w:val="20"/>
        </w:rPr>
        <w:t xml:space="preserve"> on such programs</w:t>
      </w:r>
      <w:r w:rsidRPr="00776A5E">
        <w:rPr>
          <w:sz w:val="20"/>
        </w:rPr>
        <w:t>.</w:t>
      </w:r>
    </w:p>
    <w:p w14:paraId="489F612C" w14:textId="5A04CADB" w:rsidR="00B05B20" w:rsidRDefault="00B05B20" w:rsidP="00B05B20">
      <w:pPr>
        <w:pStyle w:val="BodyText2"/>
        <w:ind w:firstLine="360"/>
        <w:rPr>
          <w:sz w:val="20"/>
          <w:lang w:eastAsia="en-GB"/>
        </w:rPr>
      </w:pPr>
      <w:r w:rsidRPr="00776A5E">
        <w:rPr>
          <w:sz w:val="20"/>
        </w:rPr>
        <w:t>Research projects are an important and integral component within engineering programs and this includes both undergraduate (</w:t>
      </w:r>
      <w:r w:rsidRPr="00C85C79">
        <w:rPr>
          <w:sz w:val="20"/>
          <w:lang w:eastAsia="en-GB"/>
        </w:rPr>
        <w:t>Almanza-</w:t>
      </w:r>
      <w:proofErr w:type="spellStart"/>
      <w:r w:rsidRPr="00C85C79">
        <w:rPr>
          <w:sz w:val="20"/>
          <w:lang w:eastAsia="en-GB"/>
        </w:rPr>
        <w:t>Arjona</w:t>
      </w:r>
      <w:proofErr w:type="spellEnd"/>
      <w:r w:rsidRPr="00776A5E">
        <w:rPr>
          <w:sz w:val="20"/>
          <w:lang w:eastAsia="en-GB"/>
        </w:rPr>
        <w:t xml:space="preserve"> et al., </w:t>
      </w:r>
      <w:r w:rsidRPr="00C85C79">
        <w:rPr>
          <w:sz w:val="20"/>
          <w:lang w:eastAsia="en-GB"/>
        </w:rPr>
        <w:t>2019)</w:t>
      </w:r>
      <w:r w:rsidRPr="00776A5E">
        <w:rPr>
          <w:sz w:val="20"/>
        </w:rPr>
        <w:t xml:space="preserve"> and graduate levels </w:t>
      </w:r>
      <w:r w:rsidRPr="00776A5E">
        <w:rPr>
          <w:sz w:val="20"/>
          <w:lang w:eastAsia="en-GB"/>
        </w:rPr>
        <w:t>(Lino &amp; Duarte, 2011)</w:t>
      </w:r>
      <w:r w:rsidRPr="00776A5E">
        <w:rPr>
          <w:sz w:val="20"/>
        </w:rPr>
        <w:t xml:space="preserve">.  Preparing engineering students for research activities is therefore recommended and in this case, competence-oriented engineering education that integrates educational quality management systems with the provisions of occupational standards and employer requirements can be adopted to facilitate </w:t>
      </w:r>
      <w:r>
        <w:rPr>
          <w:sz w:val="20"/>
        </w:rPr>
        <w:t>such a</w:t>
      </w:r>
      <w:r w:rsidRPr="00776A5E">
        <w:rPr>
          <w:sz w:val="20"/>
        </w:rPr>
        <w:t xml:space="preserve"> need (</w:t>
      </w:r>
      <w:proofErr w:type="spellStart"/>
      <w:r w:rsidRPr="00776A5E">
        <w:rPr>
          <w:sz w:val="20"/>
          <w:lang w:eastAsia="en-GB"/>
        </w:rPr>
        <w:t>Gorshkova</w:t>
      </w:r>
      <w:proofErr w:type="spellEnd"/>
      <w:r w:rsidRPr="00776A5E">
        <w:rPr>
          <w:sz w:val="20"/>
          <w:lang w:eastAsia="en-GB"/>
        </w:rPr>
        <w:t>, 2017).</w:t>
      </w:r>
      <w:r w:rsidRPr="00776A5E">
        <w:rPr>
          <w:sz w:val="20"/>
        </w:rPr>
        <w:t xml:space="preserve"> Research projects allow technical information literacy and communication skills to be fostered and this can be achieved through engineering students conducting research assignments that require </w:t>
      </w:r>
      <w:r>
        <w:rPr>
          <w:sz w:val="20"/>
        </w:rPr>
        <w:t xml:space="preserve">the </w:t>
      </w:r>
      <w:r w:rsidRPr="00776A5E">
        <w:rPr>
          <w:sz w:val="20"/>
        </w:rPr>
        <w:t>preparation of a research report according to defined guidelines and the subsequent oral presentation of the research topic (</w:t>
      </w:r>
      <w:r w:rsidRPr="00A804D2">
        <w:rPr>
          <w:sz w:val="20"/>
          <w:lang w:eastAsia="en-GB"/>
        </w:rPr>
        <w:t>Popescu</w:t>
      </w:r>
      <w:r w:rsidRPr="00776A5E">
        <w:rPr>
          <w:sz w:val="20"/>
          <w:lang w:eastAsia="en-GB"/>
        </w:rPr>
        <w:t xml:space="preserve"> </w:t>
      </w:r>
      <w:r w:rsidRPr="00A804D2">
        <w:rPr>
          <w:sz w:val="20"/>
          <w:lang w:eastAsia="en-GB"/>
        </w:rPr>
        <w:t>&amp; Popescu, 2003).</w:t>
      </w:r>
      <w:r w:rsidRPr="00776A5E">
        <w:rPr>
          <w:sz w:val="20"/>
          <w:lang w:eastAsia="en-GB"/>
        </w:rPr>
        <w:t xml:space="preserve"> </w:t>
      </w:r>
      <w:r>
        <w:rPr>
          <w:sz w:val="20"/>
          <w:lang w:eastAsia="en-GB"/>
        </w:rPr>
        <w:t>F</w:t>
      </w:r>
      <w:r w:rsidRPr="00776A5E">
        <w:rPr>
          <w:sz w:val="20"/>
          <w:lang w:eastAsia="en-GB"/>
        </w:rPr>
        <w:t xml:space="preserve">urthermore, engineering education requires the development of </w:t>
      </w:r>
      <w:r w:rsidRPr="00776A5E">
        <w:rPr>
          <w:sz w:val="20"/>
        </w:rPr>
        <w:t>research and academic writing skills; this includes skills related to the dissemination of research, such as preparation of the thesis, research report and academic article (</w:t>
      </w:r>
      <w:r w:rsidRPr="00776A5E">
        <w:rPr>
          <w:sz w:val="20"/>
          <w:lang w:eastAsia="en-GB"/>
        </w:rPr>
        <w:t>Pozzo, 2021).</w:t>
      </w:r>
      <w:r>
        <w:rPr>
          <w:sz w:val="20"/>
          <w:lang w:eastAsia="en-GB"/>
        </w:rPr>
        <w:t xml:space="preserve"> </w:t>
      </w:r>
      <w:r w:rsidRPr="00776A5E">
        <w:rPr>
          <w:sz w:val="20"/>
          <w:lang w:eastAsia="en-GB"/>
        </w:rPr>
        <w:t xml:space="preserve">Engineering education should ideally be up-to-date and inclusion of the latest technological systems and knowledge in teaching content helps to ensure the relevancy of engineering programs. For instance, the </w:t>
      </w:r>
      <w:r w:rsidRPr="00776A5E">
        <w:rPr>
          <w:sz w:val="20"/>
        </w:rPr>
        <w:t>smart-grid approach has been incorporated into engineering education in order to provide electrical and computer engineers with the necessary critical thinking, objectivity and ingenuity combined with research skills associated with this emerging area within electrical engineering (</w:t>
      </w:r>
      <w:r w:rsidRPr="00627C3C">
        <w:rPr>
          <w:sz w:val="20"/>
          <w:lang w:eastAsia="en-GB"/>
        </w:rPr>
        <w:t>Ponce</w:t>
      </w:r>
      <w:r w:rsidRPr="00776A5E">
        <w:rPr>
          <w:sz w:val="20"/>
          <w:lang w:eastAsia="en-GB"/>
        </w:rPr>
        <w:t xml:space="preserve"> et al., </w:t>
      </w:r>
      <w:r w:rsidRPr="00627C3C">
        <w:rPr>
          <w:sz w:val="20"/>
          <w:lang w:eastAsia="en-GB"/>
        </w:rPr>
        <w:t>2021).</w:t>
      </w:r>
      <w:r w:rsidRPr="00776A5E">
        <w:rPr>
          <w:sz w:val="20"/>
          <w:lang w:eastAsia="en-GB"/>
        </w:rPr>
        <w:t xml:space="preserve"> </w:t>
      </w:r>
      <w:r>
        <w:rPr>
          <w:sz w:val="20"/>
          <w:lang w:eastAsia="en-GB"/>
        </w:rPr>
        <w:t>In other studies, it has been found that emerging technologies (such as virtual reality and augmented reality for building information modelling) can be incorporated into the actual delivery of engineering education in order to improve learning for construction engineering (</w:t>
      </w:r>
      <w:r w:rsidRPr="00AF16BF">
        <w:rPr>
          <w:sz w:val="20"/>
          <w:lang w:eastAsia="en-GB"/>
        </w:rPr>
        <w:t>Wang</w:t>
      </w:r>
      <w:r>
        <w:rPr>
          <w:sz w:val="20"/>
          <w:lang w:eastAsia="en-GB"/>
        </w:rPr>
        <w:t xml:space="preserve"> et al., </w:t>
      </w:r>
      <w:r w:rsidRPr="00AF16BF">
        <w:rPr>
          <w:sz w:val="20"/>
          <w:lang w:eastAsia="en-GB"/>
        </w:rPr>
        <w:t>2018).</w:t>
      </w:r>
      <w:r>
        <w:rPr>
          <w:sz w:val="20"/>
          <w:lang w:eastAsia="en-GB"/>
        </w:rPr>
        <w:t xml:space="preserve"> Finally, researchers have considered </w:t>
      </w:r>
      <w:r w:rsidR="00E44BFD">
        <w:rPr>
          <w:sz w:val="20"/>
          <w:lang w:eastAsia="en-GB"/>
        </w:rPr>
        <w:t xml:space="preserve">the </w:t>
      </w:r>
      <w:r>
        <w:rPr>
          <w:sz w:val="20"/>
          <w:lang w:eastAsia="en-GB"/>
        </w:rPr>
        <w:t>digitalization of engineering education so the engineering education system can provide engineers with new digital competencies in the context of Industry 4.0 (</w:t>
      </w:r>
      <w:r w:rsidRPr="009E1A5E">
        <w:rPr>
          <w:sz w:val="20"/>
          <w:lang w:eastAsia="en-GB"/>
        </w:rPr>
        <w:t>Makarova</w:t>
      </w:r>
      <w:r>
        <w:rPr>
          <w:sz w:val="20"/>
          <w:lang w:eastAsia="en-GB"/>
        </w:rPr>
        <w:t xml:space="preserve"> et al., </w:t>
      </w:r>
      <w:r w:rsidRPr="009E1A5E">
        <w:rPr>
          <w:sz w:val="20"/>
          <w:lang w:eastAsia="en-GB"/>
        </w:rPr>
        <w:t>2021)</w:t>
      </w:r>
      <w:r>
        <w:rPr>
          <w:sz w:val="20"/>
          <w:lang w:eastAsia="en-GB"/>
        </w:rPr>
        <w:t>.</w:t>
      </w:r>
    </w:p>
    <w:p w14:paraId="31BF25F0" w14:textId="6353E421" w:rsidR="00B05B20" w:rsidRDefault="00B05B20" w:rsidP="00B05B20">
      <w:pPr>
        <w:pStyle w:val="BodyText2"/>
        <w:ind w:firstLine="360"/>
        <w:rPr>
          <w:sz w:val="20"/>
          <w:lang w:eastAsia="en-GB"/>
        </w:rPr>
      </w:pPr>
      <w:r>
        <w:rPr>
          <w:sz w:val="20"/>
          <w:lang w:eastAsia="en-GB"/>
        </w:rPr>
        <w:t xml:space="preserve">The literature review has described some of the underlying trends in engineering education and this includes the extension of engineering programs to include both research and professional skills development. Although this trend is not without challenges and there are issues to be addressed for the benefits of such an approach to be realized. Therefore, it is useful to consider the case study of the design and delivery of a dedicated </w:t>
      </w:r>
      <w:r w:rsidRPr="00AD3A86">
        <w:rPr>
          <w:sz w:val="20"/>
          <w:lang w:eastAsia="en-GB"/>
        </w:rPr>
        <w:t>engineering module for this purpose in the next section.</w:t>
      </w:r>
    </w:p>
    <w:p w14:paraId="24658A5E" w14:textId="6679F417" w:rsidR="00B05B20" w:rsidRDefault="00B05B20" w:rsidP="00B05B20">
      <w:pPr>
        <w:pStyle w:val="BodyText2"/>
        <w:rPr>
          <w:sz w:val="20"/>
          <w:lang w:eastAsia="en-GB"/>
        </w:rPr>
      </w:pPr>
    </w:p>
    <w:p w14:paraId="67F86B24" w14:textId="77777777" w:rsidR="00B05B20" w:rsidRPr="00473E7F" w:rsidRDefault="00B05B20" w:rsidP="00B05B20">
      <w:pPr>
        <w:pStyle w:val="NoSpacing"/>
        <w:jc w:val="both"/>
        <w:rPr>
          <w:rFonts w:ascii="Times New Roman" w:hAnsi="Times New Roman" w:cs="Times New Roman"/>
          <w:b/>
          <w:bCs/>
          <w:sz w:val="24"/>
          <w:szCs w:val="24"/>
        </w:rPr>
      </w:pPr>
      <w:r w:rsidRPr="00473E7F">
        <w:rPr>
          <w:rFonts w:ascii="Times New Roman" w:hAnsi="Times New Roman" w:cs="Times New Roman"/>
          <w:b/>
          <w:bCs/>
          <w:sz w:val="24"/>
          <w:szCs w:val="24"/>
        </w:rPr>
        <w:t>Case Study Investigation</w:t>
      </w:r>
    </w:p>
    <w:p w14:paraId="40333CCA" w14:textId="77777777" w:rsidR="00B05B20" w:rsidRPr="00473E7F" w:rsidRDefault="00B05B20" w:rsidP="00B05B20">
      <w:pPr>
        <w:pStyle w:val="NoSpacing"/>
        <w:jc w:val="both"/>
        <w:rPr>
          <w:rFonts w:ascii="Times New Roman" w:hAnsi="Times New Roman" w:cs="Times New Roman"/>
          <w:sz w:val="20"/>
          <w:szCs w:val="20"/>
        </w:rPr>
      </w:pPr>
      <w:r w:rsidRPr="00473E7F">
        <w:rPr>
          <w:rFonts w:ascii="Times New Roman" w:hAnsi="Times New Roman" w:cs="Times New Roman"/>
          <w:sz w:val="20"/>
        </w:rPr>
        <w:t xml:space="preserve">The research utilized the case </w:t>
      </w:r>
      <w:r w:rsidRPr="00473E7F">
        <w:rPr>
          <w:rFonts w:ascii="Times New Roman" w:hAnsi="Times New Roman" w:cs="Times New Roman"/>
          <w:sz w:val="20"/>
          <w:szCs w:val="20"/>
        </w:rPr>
        <w:t>study method (</w:t>
      </w:r>
      <w:proofErr w:type="spellStart"/>
      <w:r w:rsidRPr="00473E7F">
        <w:rPr>
          <w:rFonts w:ascii="Times New Roman" w:hAnsi="Times New Roman" w:cs="Times New Roman"/>
          <w:sz w:val="20"/>
          <w:szCs w:val="20"/>
        </w:rPr>
        <w:t>Flyvbjerg</w:t>
      </w:r>
      <w:proofErr w:type="spellEnd"/>
      <w:r w:rsidRPr="00473E7F">
        <w:rPr>
          <w:rFonts w:ascii="Times New Roman" w:hAnsi="Times New Roman" w:cs="Times New Roman"/>
          <w:sz w:val="20"/>
          <w:szCs w:val="20"/>
        </w:rPr>
        <w:t>, 2011), which was selected to reveal the required detail and information to advance the level of understanding of the case</w:t>
      </w:r>
      <w:r w:rsidRPr="00473E7F">
        <w:rPr>
          <w:rFonts w:ascii="Times New Roman" w:hAnsi="Times New Roman" w:cs="Times New Roman"/>
          <w:sz w:val="20"/>
        </w:rPr>
        <w:t xml:space="preserve"> (</w:t>
      </w:r>
      <w:r w:rsidRPr="00473E7F">
        <w:rPr>
          <w:rFonts w:ascii="Times New Roman" w:hAnsi="Times New Roman" w:cs="Times New Roman"/>
          <w:sz w:val="20"/>
          <w:lang w:eastAsia="en-GB"/>
        </w:rPr>
        <w:t>Cousin, 2005)</w:t>
      </w:r>
      <w:r w:rsidRPr="00473E7F">
        <w:rPr>
          <w:rFonts w:ascii="Times New Roman" w:hAnsi="Times New Roman" w:cs="Times New Roman"/>
          <w:sz w:val="20"/>
        </w:rPr>
        <w:t>. Furthermore, the within-case analysis approach allowed the insights to be developed as part of a structured framework that included the background as well as design, processes and lessons learned from the case (</w:t>
      </w:r>
      <w:r w:rsidRPr="00473E7F">
        <w:rPr>
          <w:rFonts w:ascii="Times New Roman" w:hAnsi="Times New Roman" w:cs="Times New Roman"/>
          <w:sz w:val="20"/>
          <w:lang w:eastAsia="en-GB"/>
        </w:rPr>
        <w:t>Eisenhardt, 1989)</w:t>
      </w:r>
      <w:r w:rsidRPr="00473E7F">
        <w:rPr>
          <w:rFonts w:ascii="Times New Roman" w:hAnsi="Times New Roman" w:cs="Times New Roman"/>
          <w:sz w:val="20"/>
        </w:rPr>
        <w:t>.</w:t>
      </w:r>
    </w:p>
    <w:p w14:paraId="6F95FC2E" w14:textId="1EC2C9AB" w:rsidR="00B05B20" w:rsidRDefault="00B05B20" w:rsidP="00B05B20">
      <w:pPr>
        <w:pStyle w:val="BodyText2"/>
        <w:ind w:firstLine="360"/>
        <w:rPr>
          <w:sz w:val="20"/>
          <w:lang w:val="en-GB"/>
        </w:rPr>
      </w:pPr>
    </w:p>
    <w:p w14:paraId="7385C8C5" w14:textId="77777777" w:rsidR="00B05B20" w:rsidRPr="00473E7F" w:rsidRDefault="00B05B20" w:rsidP="00B05B20">
      <w:pPr>
        <w:pStyle w:val="NoSpacing"/>
        <w:jc w:val="both"/>
        <w:rPr>
          <w:rFonts w:ascii="Times New Roman" w:hAnsi="Times New Roman" w:cs="Times New Roman"/>
          <w:b/>
          <w:bCs/>
          <w:sz w:val="20"/>
          <w:szCs w:val="20"/>
        </w:rPr>
      </w:pPr>
      <w:r w:rsidRPr="00473E7F">
        <w:rPr>
          <w:rFonts w:ascii="Times New Roman" w:hAnsi="Times New Roman" w:cs="Times New Roman"/>
          <w:b/>
          <w:bCs/>
          <w:sz w:val="20"/>
          <w:szCs w:val="20"/>
        </w:rPr>
        <w:t>Background on the Case</w:t>
      </w:r>
    </w:p>
    <w:p w14:paraId="2B3EAE9C" w14:textId="21346CFE" w:rsidR="00B05B20" w:rsidRPr="00B05B20" w:rsidRDefault="00B05B20" w:rsidP="00B05B20">
      <w:pPr>
        <w:pStyle w:val="NoSpacing"/>
        <w:jc w:val="both"/>
        <w:rPr>
          <w:rFonts w:ascii="Times New Roman" w:hAnsi="Times New Roman" w:cs="Times New Roman"/>
          <w:sz w:val="20"/>
          <w:szCs w:val="20"/>
        </w:rPr>
      </w:pPr>
      <w:r w:rsidRPr="00473E7F">
        <w:rPr>
          <w:rFonts w:ascii="Times New Roman" w:hAnsi="Times New Roman" w:cs="Times New Roman"/>
          <w:sz w:val="20"/>
          <w:szCs w:val="20"/>
        </w:rPr>
        <w:t xml:space="preserve">The case is based on the delivery of a dedicated module (or class) designed to provide research and professional skills for MSc and MEng courses in the School of Engineering at </w:t>
      </w:r>
      <w:r w:rsidR="00003111">
        <w:rPr>
          <w:rFonts w:ascii="Times New Roman" w:hAnsi="Times New Roman" w:cs="Times New Roman"/>
          <w:sz w:val="20"/>
          <w:szCs w:val="20"/>
        </w:rPr>
        <w:t>London South Bank University in the UK</w:t>
      </w:r>
      <w:r w:rsidRPr="00473E7F">
        <w:rPr>
          <w:rFonts w:ascii="Times New Roman" w:hAnsi="Times New Roman" w:cs="Times New Roman"/>
          <w:sz w:val="20"/>
          <w:szCs w:val="20"/>
        </w:rPr>
        <w:t xml:space="preserve">, and the module is called Technical, Research and Professional Skills (TRAPS). The module provides training for the skills that are necessary for successful completion of the research dissertation </w:t>
      </w:r>
      <w:r w:rsidRPr="00064D9E">
        <w:rPr>
          <w:rFonts w:ascii="Times New Roman" w:hAnsi="Times New Roman" w:cs="Times New Roman"/>
          <w:sz w:val="20"/>
          <w:szCs w:val="20"/>
        </w:rPr>
        <w:t xml:space="preserve">in engineering studies in the near future </w:t>
      </w:r>
      <w:r>
        <w:rPr>
          <w:rFonts w:ascii="Times New Roman" w:hAnsi="Times New Roman" w:cs="Times New Roman"/>
          <w:sz w:val="20"/>
          <w:szCs w:val="20"/>
        </w:rPr>
        <w:t>combined</w:t>
      </w:r>
      <w:r w:rsidRPr="00064D9E">
        <w:rPr>
          <w:rFonts w:ascii="Times New Roman" w:hAnsi="Times New Roman" w:cs="Times New Roman"/>
          <w:sz w:val="20"/>
          <w:szCs w:val="20"/>
        </w:rPr>
        <w:t xml:space="preserve"> </w:t>
      </w:r>
      <w:r>
        <w:rPr>
          <w:rFonts w:ascii="Times New Roman" w:hAnsi="Times New Roman" w:cs="Times New Roman"/>
          <w:sz w:val="20"/>
          <w:szCs w:val="20"/>
        </w:rPr>
        <w:t xml:space="preserve">with </w:t>
      </w:r>
      <w:r w:rsidRPr="00064D9E">
        <w:rPr>
          <w:rFonts w:ascii="Times New Roman" w:hAnsi="Times New Roman" w:cs="Times New Roman"/>
          <w:sz w:val="20"/>
          <w:szCs w:val="20"/>
        </w:rPr>
        <w:t xml:space="preserve">professional development in the long-term future.  More specifically, the module teaches how to search and </w:t>
      </w:r>
      <w:r w:rsidRPr="00064D9E">
        <w:rPr>
          <w:rFonts w:ascii="Times New Roman" w:hAnsi="Times New Roman" w:cs="Times New Roman"/>
          <w:sz w:val="20"/>
          <w:szCs w:val="20"/>
        </w:rPr>
        <w:lastRenderedPageBreak/>
        <w:t xml:space="preserve">gather relevant technical information; how to extract the essence from a piece of technical literature and carry out </w:t>
      </w:r>
      <w:r w:rsidRPr="00473E7F">
        <w:rPr>
          <w:rFonts w:ascii="Times New Roman" w:hAnsi="Times New Roman" w:cs="Times New Roman"/>
          <w:sz w:val="20"/>
          <w:szCs w:val="20"/>
        </w:rPr>
        <w:t xml:space="preserve">a critical review of a research paper; how to carry out engineering design and appreciate systems engineering and lean engineering; how to identify ethical considerations of research; how to identify sustainability outcomes and the wider impact of research; how to manage a project in terms of time and progress in a project environment; how to write a feasibility report; and how to give presentations and communicate research projects effectively. </w:t>
      </w:r>
    </w:p>
    <w:p w14:paraId="78F5DCEE" w14:textId="44877CB5" w:rsidR="00B05B20" w:rsidRPr="00B05B20" w:rsidRDefault="00B05B20" w:rsidP="00B05B20">
      <w:pPr>
        <w:pStyle w:val="BodyText2"/>
        <w:ind w:firstLine="360"/>
        <w:rPr>
          <w:sz w:val="20"/>
        </w:rPr>
      </w:pPr>
      <w:r w:rsidRPr="00473E7F">
        <w:rPr>
          <w:sz w:val="20"/>
        </w:rPr>
        <w:t>The module was designed in order to be compliant with the accreditation requirements for MSc engineering degree programs administered by the Institution of Engineering and Technology (IET, 2015; IET, 2020). Consequently, the specific learning outcomes were formulated to address the following IET accreditation criteria: science and mathematics; engineering analysis; economic, legal, social, ethical and environmental context</w:t>
      </w:r>
      <w:r w:rsidRPr="00473E7F">
        <w:rPr>
          <w:spacing w:val="-8"/>
          <w:sz w:val="20"/>
        </w:rPr>
        <w:t xml:space="preserve">.  Such </w:t>
      </w:r>
      <w:r w:rsidRPr="00473E7F">
        <w:rPr>
          <w:sz w:val="20"/>
        </w:rPr>
        <w:t>accreditation and assessment of academic programs is important in engineering education so as to maintain the quality of the program and the attributes of engineering graduates (</w:t>
      </w:r>
      <w:r w:rsidRPr="00473E7F">
        <w:rPr>
          <w:sz w:val="20"/>
          <w:lang w:eastAsia="en-GB"/>
        </w:rPr>
        <w:t>Patil</w:t>
      </w:r>
      <w:r>
        <w:rPr>
          <w:sz w:val="20"/>
          <w:lang w:eastAsia="en-GB"/>
        </w:rPr>
        <w:t xml:space="preserve"> </w:t>
      </w:r>
      <w:r w:rsidRPr="00473E7F">
        <w:rPr>
          <w:sz w:val="20"/>
          <w:lang w:eastAsia="en-GB"/>
        </w:rPr>
        <w:t xml:space="preserve">&amp; </w:t>
      </w:r>
      <w:proofErr w:type="spellStart"/>
      <w:r w:rsidRPr="00473E7F">
        <w:rPr>
          <w:sz w:val="20"/>
          <w:lang w:eastAsia="en-GB"/>
        </w:rPr>
        <w:t>Codner</w:t>
      </w:r>
      <w:proofErr w:type="spellEnd"/>
      <w:r w:rsidRPr="00473E7F">
        <w:rPr>
          <w:sz w:val="20"/>
          <w:lang w:eastAsia="en-GB"/>
        </w:rPr>
        <w:t>, 2007).</w:t>
      </w:r>
      <w:r w:rsidRPr="00473E7F">
        <w:rPr>
          <w:spacing w:val="-8"/>
          <w:sz w:val="20"/>
        </w:rPr>
        <w:t xml:space="preserve"> Moreover, the module was designed to provide appropriate teaching content and learning associated with </w:t>
      </w:r>
      <w:r w:rsidRPr="00473E7F">
        <w:rPr>
          <w:sz w:val="20"/>
        </w:rPr>
        <w:t>higher-order skills, which require a deeper learning and corresponding greater degree of cognitive processing.  The higher-order skills have been depicted in ‘</w:t>
      </w:r>
      <w:r w:rsidRPr="00903BF6">
        <w:rPr>
          <w:i/>
          <w:iCs/>
          <w:sz w:val="20"/>
        </w:rPr>
        <w:t xml:space="preserve">Bloom’s Taxonomy’ </w:t>
      </w:r>
      <w:r w:rsidRPr="00473E7F">
        <w:rPr>
          <w:sz w:val="20"/>
        </w:rPr>
        <w:t>of cognitive learning objectives and includes skills in synthesis and evaluation. These skills build on others in the taxonomy, which are knowledge, comprehension, application and analysis skills (</w:t>
      </w:r>
      <w:r w:rsidRPr="00473E7F">
        <w:rPr>
          <w:rStyle w:val="element-citation"/>
          <w:sz w:val="20"/>
        </w:rPr>
        <w:t>Bloom, 1956;</w:t>
      </w:r>
      <w:r w:rsidRPr="00473E7F">
        <w:rPr>
          <w:sz w:val="20"/>
          <w:lang w:eastAsia="en-GB"/>
        </w:rPr>
        <w:t xml:space="preserve"> Adams, 2015</w:t>
      </w:r>
      <w:r w:rsidRPr="00473E7F">
        <w:rPr>
          <w:rStyle w:val="element-citation"/>
          <w:sz w:val="20"/>
        </w:rPr>
        <w:t>).</w:t>
      </w:r>
    </w:p>
    <w:p w14:paraId="0B298DFA" w14:textId="77777777" w:rsidR="00B05B20" w:rsidRPr="00473E7F" w:rsidRDefault="00B05B20" w:rsidP="00B05B20">
      <w:pPr>
        <w:pStyle w:val="NoSpacing"/>
        <w:jc w:val="both"/>
        <w:rPr>
          <w:rFonts w:ascii="Times New Roman" w:hAnsi="Times New Roman" w:cs="Times New Roman"/>
          <w:sz w:val="20"/>
          <w:szCs w:val="20"/>
        </w:rPr>
      </w:pPr>
    </w:p>
    <w:p w14:paraId="54385881" w14:textId="77777777" w:rsidR="00B05B20" w:rsidRPr="00473E7F" w:rsidRDefault="00B05B20" w:rsidP="00B05B20">
      <w:pPr>
        <w:pStyle w:val="NoSpacing"/>
        <w:jc w:val="both"/>
        <w:rPr>
          <w:rFonts w:ascii="Times New Roman" w:hAnsi="Times New Roman" w:cs="Times New Roman"/>
          <w:b/>
          <w:bCs/>
          <w:sz w:val="20"/>
          <w:szCs w:val="20"/>
        </w:rPr>
      </w:pPr>
      <w:r w:rsidRPr="00473E7F">
        <w:rPr>
          <w:rFonts w:ascii="Times New Roman" w:hAnsi="Times New Roman" w:cs="Times New Roman"/>
          <w:b/>
          <w:bCs/>
          <w:sz w:val="20"/>
          <w:szCs w:val="20"/>
        </w:rPr>
        <w:t>Module Structure and Delivery</w:t>
      </w:r>
    </w:p>
    <w:p w14:paraId="10A83EE8" w14:textId="2E664EE0" w:rsidR="00B05B20" w:rsidRDefault="00B05B20" w:rsidP="00B05B20">
      <w:pPr>
        <w:pStyle w:val="NoSpacing"/>
        <w:jc w:val="both"/>
        <w:rPr>
          <w:rFonts w:ascii="Times New Roman" w:hAnsi="Times New Roman" w:cs="Times New Roman"/>
          <w:sz w:val="20"/>
          <w:szCs w:val="20"/>
        </w:rPr>
      </w:pPr>
      <w:r w:rsidRPr="00910E6C">
        <w:rPr>
          <w:rFonts w:ascii="Times New Roman" w:hAnsi="Times New Roman" w:cs="Times New Roman"/>
          <w:sz w:val="20"/>
          <w:szCs w:val="20"/>
        </w:rPr>
        <w:t>The module is delivered over 13 weeks as part of a full semester in the</w:t>
      </w:r>
      <w:r w:rsidRPr="00A6682F">
        <w:rPr>
          <w:rFonts w:ascii="Times New Roman" w:hAnsi="Times New Roman" w:cs="Times New Roman"/>
          <w:sz w:val="20"/>
          <w:szCs w:val="20"/>
        </w:rPr>
        <w:t xml:space="preserve"> academic year. This includes lectures and combined tutorial sessions for weeks 1-10, followed by student presentations in weeks 11-12 and feedback is provided to students in week 13.</w:t>
      </w:r>
      <w:r>
        <w:rPr>
          <w:rFonts w:ascii="Times New Roman" w:hAnsi="Times New Roman" w:cs="Times New Roman"/>
          <w:sz w:val="20"/>
          <w:szCs w:val="20"/>
        </w:rPr>
        <w:t xml:space="preserve"> </w:t>
      </w:r>
      <w:r w:rsidRPr="00A6682F">
        <w:rPr>
          <w:rFonts w:ascii="Times New Roman" w:hAnsi="Times New Roman" w:cs="Times New Roman"/>
          <w:sz w:val="20"/>
          <w:szCs w:val="20"/>
        </w:rPr>
        <w:t>The module</w:t>
      </w:r>
      <w:r>
        <w:rPr>
          <w:rFonts w:ascii="Times New Roman" w:hAnsi="Times New Roman" w:cs="Times New Roman"/>
          <w:sz w:val="20"/>
          <w:szCs w:val="20"/>
        </w:rPr>
        <w:t>’s overall</w:t>
      </w:r>
      <w:r w:rsidRPr="00A6682F">
        <w:rPr>
          <w:rFonts w:ascii="Times New Roman" w:hAnsi="Times New Roman" w:cs="Times New Roman"/>
          <w:sz w:val="20"/>
          <w:szCs w:val="20"/>
        </w:rPr>
        <w:t xml:space="preserve"> aim is to ensure that engineering students from MSc and </w:t>
      </w:r>
      <w:r w:rsidR="00B44FA4">
        <w:rPr>
          <w:rFonts w:ascii="Times New Roman" w:hAnsi="Times New Roman" w:cs="Times New Roman"/>
          <w:sz w:val="20"/>
          <w:szCs w:val="20"/>
        </w:rPr>
        <w:t xml:space="preserve">final year </w:t>
      </w:r>
      <w:r w:rsidRPr="00A6682F">
        <w:rPr>
          <w:rFonts w:ascii="Times New Roman" w:hAnsi="Times New Roman" w:cs="Times New Roman"/>
          <w:sz w:val="20"/>
          <w:szCs w:val="20"/>
        </w:rPr>
        <w:t xml:space="preserve">MEng courses undertake research and project work in </w:t>
      </w:r>
      <w:r>
        <w:rPr>
          <w:rFonts w:ascii="Times New Roman" w:hAnsi="Times New Roman" w:cs="Times New Roman"/>
          <w:sz w:val="20"/>
          <w:szCs w:val="20"/>
        </w:rPr>
        <w:t xml:space="preserve">both </w:t>
      </w:r>
      <w:r w:rsidRPr="00A6682F">
        <w:rPr>
          <w:rFonts w:ascii="Times New Roman" w:hAnsi="Times New Roman" w:cs="Times New Roman"/>
          <w:sz w:val="20"/>
          <w:szCs w:val="20"/>
        </w:rPr>
        <w:t>a professional and ethical manner</w:t>
      </w:r>
      <w:r>
        <w:rPr>
          <w:rFonts w:ascii="Times New Roman" w:hAnsi="Times New Roman" w:cs="Times New Roman"/>
          <w:sz w:val="20"/>
          <w:szCs w:val="20"/>
        </w:rPr>
        <w:t>,</w:t>
      </w:r>
      <w:r w:rsidRPr="00A6682F">
        <w:rPr>
          <w:rFonts w:ascii="Times New Roman" w:hAnsi="Times New Roman" w:cs="Times New Roman"/>
          <w:sz w:val="20"/>
          <w:szCs w:val="20"/>
        </w:rPr>
        <w:t xml:space="preserve"> and are able to effectively communicate research proposals. Additionally, students are provided with support to enhance their technical and analytical background across a range of areas related to the professional engineering discipline, including project management, risk management, sustainability, engineering design, systems engineering and lean engineering.</w:t>
      </w:r>
      <w:r>
        <w:rPr>
          <w:rFonts w:ascii="Times New Roman" w:hAnsi="Times New Roman" w:cs="Times New Roman"/>
          <w:sz w:val="20"/>
          <w:szCs w:val="20"/>
        </w:rPr>
        <w:t xml:space="preserve"> Consequently, the lectures include engineering content and theory across these areas, which provides students with the necessary </w:t>
      </w:r>
      <w:r w:rsidRPr="00F31E65">
        <w:rPr>
          <w:rFonts w:ascii="Times New Roman" w:hAnsi="Times New Roman" w:cs="Times New Roman"/>
          <w:sz w:val="20"/>
          <w:szCs w:val="20"/>
        </w:rPr>
        <w:t xml:space="preserve">background to enable the planning for their masters level research project. Exhibit </w:t>
      </w:r>
      <w:r w:rsidR="00D61A10">
        <w:rPr>
          <w:rFonts w:ascii="Times New Roman" w:hAnsi="Times New Roman" w:cs="Times New Roman"/>
          <w:sz w:val="20"/>
          <w:szCs w:val="20"/>
        </w:rPr>
        <w:t>2</w:t>
      </w:r>
      <w:r w:rsidRPr="00F31E65">
        <w:rPr>
          <w:rFonts w:ascii="Times New Roman" w:hAnsi="Times New Roman" w:cs="Times New Roman"/>
          <w:sz w:val="20"/>
          <w:szCs w:val="20"/>
        </w:rPr>
        <w:t xml:space="preserve"> provides details on the main components of the module and the content covered in the lectures.</w:t>
      </w:r>
    </w:p>
    <w:p w14:paraId="21820F4B" w14:textId="77777777" w:rsidR="00B05B20" w:rsidRPr="00F31E65" w:rsidRDefault="00B05B20" w:rsidP="00B05B20">
      <w:pPr>
        <w:pStyle w:val="NoSpacing"/>
        <w:jc w:val="both"/>
        <w:rPr>
          <w:rFonts w:ascii="Times New Roman" w:hAnsi="Times New Roman" w:cs="Times New Roman"/>
          <w:sz w:val="20"/>
          <w:szCs w:val="20"/>
        </w:rPr>
      </w:pPr>
    </w:p>
    <w:p w14:paraId="15916EE4" w14:textId="066CB047" w:rsidR="00B05B20" w:rsidRPr="00F31E65" w:rsidRDefault="00B05B20" w:rsidP="00B05B20">
      <w:pPr>
        <w:pStyle w:val="NoSpacing"/>
        <w:jc w:val="center"/>
        <w:rPr>
          <w:rFonts w:ascii="Times New Roman" w:hAnsi="Times New Roman" w:cs="Times New Roman"/>
          <w:b/>
          <w:color w:val="111111"/>
          <w:spacing w:val="-3"/>
          <w:sz w:val="20"/>
          <w:szCs w:val="20"/>
        </w:rPr>
      </w:pPr>
      <w:r w:rsidRPr="00F31E65">
        <w:rPr>
          <w:rFonts w:ascii="Times New Roman" w:hAnsi="Times New Roman" w:cs="Times New Roman"/>
          <w:b/>
          <w:color w:val="111111"/>
          <w:spacing w:val="-3"/>
          <w:sz w:val="20"/>
          <w:szCs w:val="20"/>
        </w:rPr>
        <w:t xml:space="preserve">Exhibit </w:t>
      </w:r>
      <w:r w:rsidR="00D61A10">
        <w:rPr>
          <w:rFonts w:ascii="Times New Roman" w:hAnsi="Times New Roman" w:cs="Times New Roman"/>
          <w:b/>
          <w:color w:val="111111"/>
          <w:spacing w:val="-3"/>
          <w:sz w:val="20"/>
          <w:szCs w:val="20"/>
        </w:rPr>
        <w:t>2</w:t>
      </w:r>
      <w:r w:rsidRPr="00F31E65">
        <w:rPr>
          <w:rFonts w:ascii="Times New Roman" w:hAnsi="Times New Roman" w:cs="Times New Roman"/>
          <w:b/>
          <w:color w:val="111111"/>
          <w:spacing w:val="-3"/>
          <w:sz w:val="20"/>
          <w:szCs w:val="20"/>
        </w:rPr>
        <w:t>. Main components covered in the module focused on research and professional skills development.</w:t>
      </w:r>
    </w:p>
    <w:p w14:paraId="0757CE9D" w14:textId="77777777" w:rsidR="00B05B20" w:rsidRPr="00F31E65" w:rsidRDefault="00B05B20" w:rsidP="00B05B20">
      <w:pPr>
        <w:pStyle w:val="NoSpacing"/>
        <w:jc w:val="both"/>
        <w:rPr>
          <w:rFonts w:ascii="Times New Roman" w:hAnsi="Times New Roman" w:cs="Times New Roman"/>
          <w:bCs/>
          <w:color w:val="111111"/>
          <w:spacing w:val="-3"/>
          <w:sz w:val="20"/>
          <w:szCs w:val="20"/>
        </w:rPr>
      </w:pPr>
    </w:p>
    <w:p w14:paraId="4E9E0FD6" w14:textId="77777777" w:rsidR="00B05B20" w:rsidRDefault="00B05B20" w:rsidP="000642C3">
      <w:pPr>
        <w:pStyle w:val="NoSpacing"/>
        <w:jc w:val="center"/>
        <w:rPr>
          <w:bCs/>
          <w:color w:val="111111"/>
          <w:spacing w:val="-3"/>
          <w:sz w:val="20"/>
          <w:szCs w:val="20"/>
        </w:rPr>
      </w:pPr>
      <w:r w:rsidRPr="007954C1">
        <w:rPr>
          <w:noProof/>
        </w:rPr>
        <w:drawing>
          <wp:inline distT="0" distB="0" distL="0" distR="0" wp14:anchorId="1F8FCFA9" wp14:editId="6B1E5405">
            <wp:extent cx="5731510" cy="238188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381885"/>
                    </a:xfrm>
                    <a:prstGeom prst="rect">
                      <a:avLst/>
                    </a:prstGeom>
                    <a:noFill/>
                    <a:ln>
                      <a:noFill/>
                    </a:ln>
                  </pic:spPr>
                </pic:pic>
              </a:graphicData>
            </a:graphic>
          </wp:inline>
        </w:drawing>
      </w:r>
    </w:p>
    <w:p w14:paraId="0058E7B4" w14:textId="77777777" w:rsidR="00B05B20" w:rsidRDefault="00B05B20" w:rsidP="00B05B20">
      <w:pPr>
        <w:pStyle w:val="BodyText2"/>
        <w:rPr>
          <w:sz w:val="20"/>
        </w:rPr>
      </w:pPr>
    </w:p>
    <w:p w14:paraId="37829E8D" w14:textId="3ECB71DA" w:rsidR="00C818ED" w:rsidRPr="00C818ED" w:rsidRDefault="00C818ED" w:rsidP="00C818ED">
      <w:pPr>
        <w:pStyle w:val="BodyText2"/>
        <w:ind w:firstLine="360"/>
        <w:rPr>
          <w:sz w:val="20"/>
        </w:rPr>
      </w:pPr>
      <w:r>
        <w:rPr>
          <w:sz w:val="20"/>
        </w:rPr>
        <w:t xml:space="preserve">In the case of the most recent offering of the module, a new session was provided on professional skills development that was delivered by a team of external representatives from an industrial company. This approach was particularly successful in providing real-world experience as well as industrial context to the class, and the students were keen to understand the intricacies of being an engineer working in an industrial company. Furthermore, support on the development of information literacy is provided through the provision of materials from the university library services (such as videos and documentation on literature searching through relevant databases as well as procedures for referencing and citations) to ensure </w:t>
      </w:r>
      <w:r w:rsidRPr="00F13185">
        <w:rPr>
          <w:sz w:val="20"/>
        </w:rPr>
        <w:t xml:space="preserve">students have access to the required information technology </w:t>
      </w:r>
      <w:r>
        <w:rPr>
          <w:sz w:val="20"/>
        </w:rPr>
        <w:t xml:space="preserve">(IT) </w:t>
      </w:r>
      <w:r w:rsidRPr="00F13185">
        <w:rPr>
          <w:sz w:val="20"/>
        </w:rPr>
        <w:t xml:space="preserve">skills </w:t>
      </w:r>
      <w:r>
        <w:rPr>
          <w:sz w:val="20"/>
        </w:rPr>
        <w:t>for</w:t>
      </w:r>
      <w:r w:rsidRPr="00F13185">
        <w:rPr>
          <w:sz w:val="20"/>
        </w:rPr>
        <w:t xml:space="preserve"> the module. For useful background on the role of academic library services in providing capabilities to build information </w:t>
      </w:r>
      <w:r w:rsidRPr="00F13185">
        <w:rPr>
          <w:sz w:val="20"/>
        </w:rPr>
        <w:lastRenderedPageBreak/>
        <w:t xml:space="preserve">literacy </w:t>
      </w:r>
      <w:r>
        <w:rPr>
          <w:sz w:val="20"/>
        </w:rPr>
        <w:t>as well as</w:t>
      </w:r>
      <w:r w:rsidRPr="00F13185">
        <w:rPr>
          <w:sz w:val="20"/>
        </w:rPr>
        <w:t xml:space="preserve"> supporting concepts</w:t>
      </w:r>
      <w:r>
        <w:rPr>
          <w:sz w:val="20"/>
        </w:rPr>
        <w:t>,</w:t>
      </w:r>
      <w:r w:rsidRPr="00F13185">
        <w:rPr>
          <w:sz w:val="20"/>
        </w:rPr>
        <w:t xml:space="preserve"> such as the information processing paradigm and the cognitive sciences approach</w:t>
      </w:r>
      <w:r>
        <w:rPr>
          <w:sz w:val="20"/>
        </w:rPr>
        <w:t>,</w:t>
      </w:r>
      <w:r w:rsidRPr="00F13185">
        <w:rPr>
          <w:sz w:val="20"/>
        </w:rPr>
        <w:t xml:space="preserve"> see the work of </w:t>
      </w:r>
      <w:r w:rsidRPr="00F13185">
        <w:rPr>
          <w:sz w:val="20"/>
          <w:lang w:eastAsia="en-GB"/>
        </w:rPr>
        <w:t>Marcum (2002).</w:t>
      </w:r>
    </w:p>
    <w:p w14:paraId="7E741455" w14:textId="02BC3400" w:rsidR="00B05B20" w:rsidRPr="00F205AF" w:rsidRDefault="00B05B20" w:rsidP="00B05B20">
      <w:pPr>
        <w:pStyle w:val="BodyText2"/>
        <w:ind w:firstLine="360"/>
        <w:rPr>
          <w:sz w:val="20"/>
        </w:rPr>
      </w:pPr>
      <w:r w:rsidRPr="00F13185">
        <w:rPr>
          <w:bCs/>
          <w:color w:val="111111"/>
          <w:spacing w:val="-3"/>
          <w:sz w:val="20"/>
        </w:rPr>
        <w:t>The module includes a unique selection of teaching areas that have been included to address the requirement of building research and professional skills while also broadening the understanding and appreciation of engineering applications. For instance, the lecture session on research impact and sustainability includes underpinning</w:t>
      </w:r>
      <w:r>
        <w:rPr>
          <w:bCs/>
          <w:color w:val="111111"/>
          <w:spacing w:val="-3"/>
          <w:sz w:val="20"/>
        </w:rPr>
        <w:t xml:space="preserve"> material across the two areas so that students can understand the relevance of research as well as the potential linkage to the important area of sustainability (see Exhibit </w:t>
      </w:r>
      <w:r w:rsidR="00D61A10">
        <w:rPr>
          <w:bCs/>
          <w:color w:val="111111"/>
          <w:spacing w:val="-3"/>
          <w:sz w:val="20"/>
        </w:rPr>
        <w:t>3</w:t>
      </w:r>
      <w:r>
        <w:rPr>
          <w:bCs/>
          <w:color w:val="111111"/>
          <w:spacing w:val="-3"/>
          <w:sz w:val="20"/>
        </w:rPr>
        <w:t>). In this case, learning is reinformed through an accompanying tutorial session relating to the impact of micro-plastics on pollution levels in the context of the UN Sustainable Development Goals (</w:t>
      </w:r>
      <w:r w:rsidRPr="00DA0CB6">
        <w:rPr>
          <w:sz w:val="20"/>
          <w:lang w:eastAsia="en-GB"/>
        </w:rPr>
        <w:t>Walker, 2021).</w:t>
      </w:r>
    </w:p>
    <w:p w14:paraId="463CEC53" w14:textId="77777777" w:rsidR="00B05B20" w:rsidRPr="009C1DDB" w:rsidRDefault="00B05B20" w:rsidP="00B05B20">
      <w:pPr>
        <w:pStyle w:val="NoSpacing"/>
        <w:jc w:val="both"/>
        <w:rPr>
          <w:rFonts w:ascii="Times New Roman" w:eastAsia="Times New Roman" w:hAnsi="Times New Roman" w:cs="Times New Roman"/>
          <w:sz w:val="20"/>
          <w:szCs w:val="20"/>
          <w:lang w:val="en-US" w:eastAsia="en-GB"/>
        </w:rPr>
      </w:pPr>
    </w:p>
    <w:p w14:paraId="2A431847" w14:textId="36A1E78C" w:rsidR="00B05B20" w:rsidRPr="00C82F27" w:rsidRDefault="00B05B20" w:rsidP="00B05B20">
      <w:pPr>
        <w:pStyle w:val="NoSpacing"/>
        <w:jc w:val="center"/>
        <w:rPr>
          <w:rFonts w:ascii="Times New Roman" w:hAnsi="Times New Roman" w:cs="Times New Roman"/>
          <w:b/>
          <w:color w:val="111111"/>
          <w:spacing w:val="-3"/>
          <w:sz w:val="20"/>
          <w:szCs w:val="20"/>
        </w:rPr>
      </w:pPr>
      <w:r w:rsidRPr="00F31E65">
        <w:rPr>
          <w:rFonts w:ascii="Times New Roman" w:hAnsi="Times New Roman" w:cs="Times New Roman"/>
          <w:b/>
          <w:color w:val="111111"/>
          <w:spacing w:val="-3"/>
          <w:sz w:val="20"/>
          <w:szCs w:val="20"/>
        </w:rPr>
        <w:t xml:space="preserve">Exhibit </w:t>
      </w:r>
      <w:r w:rsidR="00D61A10">
        <w:rPr>
          <w:rFonts w:ascii="Times New Roman" w:hAnsi="Times New Roman" w:cs="Times New Roman"/>
          <w:b/>
          <w:color w:val="111111"/>
          <w:spacing w:val="-3"/>
          <w:sz w:val="20"/>
          <w:szCs w:val="20"/>
        </w:rPr>
        <w:t>3</w:t>
      </w:r>
      <w:r w:rsidRPr="00F31E65">
        <w:rPr>
          <w:rFonts w:ascii="Times New Roman" w:hAnsi="Times New Roman" w:cs="Times New Roman"/>
          <w:b/>
          <w:color w:val="111111"/>
          <w:spacing w:val="-3"/>
          <w:sz w:val="20"/>
          <w:szCs w:val="20"/>
        </w:rPr>
        <w:t xml:space="preserve">. </w:t>
      </w:r>
      <w:r>
        <w:rPr>
          <w:rFonts w:ascii="Times New Roman" w:hAnsi="Times New Roman" w:cs="Times New Roman"/>
          <w:b/>
          <w:color w:val="111111"/>
          <w:spacing w:val="-3"/>
          <w:sz w:val="20"/>
          <w:szCs w:val="20"/>
        </w:rPr>
        <w:t>Contents of the lecture and tutorial session focused on research impact and sustainability.</w:t>
      </w:r>
    </w:p>
    <w:p w14:paraId="6B071363" w14:textId="77777777" w:rsidR="00B05B20" w:rsidRDefault="00B05B20" w:rsidP="00B05B20">
      <w:pPr>
        <w:pStyle w:val="NoSpacing"/>
        <w:jc w:val="both"/>
        <w:rPr>
          <w:rFonts w:ascii="Times New Roman" w:hAnsi="Times New Roman" w:cs="Times New Roman"/>
          <w:bCs/>
          <w:color w:val="111111"/>
          <w:spacing w:val="-3"/>
          <w:sz w:val="20"/>
          <w:szCs w:val="20"/>
        </w:rPr>
      </w:pPr>
    </w:p>
    <w:tbl>
      <w:tblPr>
        <w:tblStyle w:val="TableGrid"/>
        <w:tblW w:w="9351" w:type="dxa"/>
        <w:tblLook w:val="04A0" w:firstRow="1" w:lastRow="0" w:firstColumn="1" w:lastColumn="0" w:noHBand="0" w:noVBand="1"/>
      </w:tblPr>
      <w:tblGrid>
        <w:gridCol w:w="2263"/>
        <w:gridCol w:w="7088"/>
      </w:tblGrid>
      <w:tr w:rsidR="00B05B20" w14:paraId="03413B1D" w14:textId="77777777" w:rsidTr="000642C3">
        <w:tc>
          <w:tcPr>
            <w:tcW w:w="9351" w:type="dxa"/>
            <w:gridSpan w:val="2"/>
            <w:shd w:val="pct5" w:color="auto" w:fill="auto"/>
          </w:tcPr>
          <w:p w14:paraId="097FB4A1" w14:textId="77777777" w:rsidR="00B05B20" w:rsidRPr="00DA0CB6" w:rsidRDefault="00B05B20" w:rsidP="00865D8A">
            <w:pPr>
              <w:pStyle w:val="NoSpacing"/>
              <w:jc w:val="center"/>
              <w:rPr>
                <w:rFonts w:ascii="Times New Roman" w:hAnsi="Times New Roman" w:cs="Times New Roman"/>
                <w:b/>
                <w:color w:val="111111"/>
                <w:spacing w:val="-3"/>
                <w:sz w:val="20"/>
                <w:szCs w:val="20"/>
              </w:rPr>
            </w:pPr>
            <w:r>
              <w:rPr>
                <w:rFonts w:ascii="Times New Roman" w:hAnsi="Times New Roman" w:cs="Times New Roman"/>
                <w:b/>
                <w:bCs/>
                <w:sz w:val="20"/>
                <w:szCs w:val="20"/>
              </w:rPr>
              <w:t>Lecture and tutorial session on research impact and sustainability</w:t>
            </w:r>
          </w:p>
        </w:tc>
      </w:tr>
      <w:tr w:rsidR="00B05B20" w14:paraId="07E8E41B" w14:textId="77777777" w:rsidTr="000642C3">
        <w:tc>
          <w:tcPr>
            <w:tcW w:w="2263" w:type="dxa"/>
          </w:tcPr>
          <w:p w14:paraId="78858AF8" w14:textId="77777777" w:rsidR="00B05B20" w:rsidRDefault="00B05B20" w:rsidP="00865D8A">
            <w:pPr>
              <w:pStyle w:val="NoSpacing"/>
              <w:rPr>
                <w:rFonts w:ascii="Times New Roman" w:hAnsi="Times New Roman" w:cs="Times New Roman"/>
                <w:bCs/>
                <w:color w:val="111111"/>
                <w:spacing w:val="-3"/>
                <w:sz w:val="20"/>
                <w:szCs w:val="20"/>
              </w:rPr>
            </w:pPr>
            <w:r>
              <w:rPr>
                <w:rFonts w:ascii="Times New Roman" w:hAnsi="Times New Roman" w:cs="Times New Roman"/>
                <w:bCs/>
                <w:color w:val="111111"/>
                <w:spacing w:val="-3"/>
                <w:sz w:val="20"/>
                <w:szCs w:val="20"/>
              </w:rPr>
              <w:t xml:space="preserve">(1). </w:t>
            </w:r>
            <w:r w:rsidRPr="00496A51">
              <w:rPr>
                <w:rFonts w:ascii="Times New Roman" w:hAnsi="Times New Roman" w:cs="Times New Roman"/>
                <w:bCs/>
                <w:color w:val="111111"/>
                <w:spacing w:val="-3"/>
                <w:sz w:val="20"/>
                <w:szCs w:val="20"/>
              </w:rPr>
              <w:t>Understanding research impact</w:t>
            </w:r>
          </w:p>
        </w:tc>
        <w:tc>
          <w:tcPr>
            <w:tcW w:w="7088" w:type="dxa"/>
          </w:tcPr>
          <w:p w14:paraId="36313838" w14:textId="77777777" w:rsidR="00B05B20" w:rsidRPr="00496A51" w:rsidRDefault="00B05B20" w:rsidP="00B05B20">
            <w:pPr>
              <w:pStyle w:val="NoSpacing"/>
              <w:numPr>
                <w:ilvl w:val="0"/>
                <w:numId w:val="7"/>
              </w:numPr>
              <w:ind w:left="459" w:hanging="425"/>
              <w:rPr>
                <w:rFonts w:ascii="Times New Roman" w:hAnsi="Times New Roman" w:cs="Times New Roman"/>
                <w:bCs/>
                <w:color w:val="111111"/>
                <w:spacing w:val="-3"/>
                <w:sz w:val="20"/>
                <w:szCs w:val="20"/>
              </w:rPr>
            </w:pPr>
            <w:r w:rsidRPr="00496A51">
              <w:rPr>
                <w:rFonts w:ascii="Times New Roman" w:hAnsi="Times New Roman" w:cs="Times New Roman"/>
                <w:bCs/>
                <w:color w:val="111111"/>
                <w:spacing w:val="-3"/>
                <w:sz w:val="20"/>
                <w:szCs w:val="20"/>
              </w:rPr>
              <w:t>Importance of academic research</w:t>
            </w:r>
          </w:p>
          <w:p w14:paraId="19468AF2" w14:textId="77777777" w:rsidR="00B05B20" w:rsidRPr="00496A51" w:rsidRDefault="00B05B20" w:rsidP="00B05B20">
            <w:pPr>
              <w:pStyle w:val="NoSpacing"/>
              <w:numPr>
                <w:ilvl w:val="0"/>
                <w:numId w:val="7"/>
              </w:numPr>
              <w:ind w:left="459" w:hanging="425"/>
              <w:rPr>
                <w:rFonts w:ascii="Times New Roman" w:hAnsi="Times New Roman" w:cs="Times New Roman"/>
                <w:bCs/>
                <w:color w:val="111111"/>
                <w:spacing w:val="-3"/>
                <w:sz w:val="20"/>
                <w:szCs w:val="20"/>
              </w:rPr>
            </w:pPr>
            <w:r w:rsidRPr="00496A51">
              <w:rPr>
                <w:rFonts w:ascii="Times New Roman" w:hAnsi="Times New Roman" w:cs="Times New Roman"/>
                <w:bCs/>
                <w:color w:val="111111"/>
                <w:spacing w:val="-3"/>
                <w:sz w:val="20"/>
                <w:szCs w:val="20"/>
              </w:rPr>
              <w:t>Types of research impact</w:t>
            </w:r>
          </w:p>
          <w:p w14:paraId="424D2E25" w14:textId="77777777" w:rsidR="00B05B20" w:rsidRPr="00496A51" w:rsidRDefault="00B05B20" w:rsidP="00B05B20">
            <w:pPr>
              <w:pStyle w:val="NoSpacing"/>
              <w:numPr>
                <w:ilvl w:val="0"/>
                <w:numId w:val="7"/>
              </w:numPr>
              <w:ind w:left="459" w:hanging="425"/>
              <w:rPr>
                <w:rFonts w:ascii="Times New Roman" w:hAnsi="Times New Roman" w:cs="Times New Roman"/>
                <w:bCs/>
                <w:color w:val="111111"/>
                <w:spacing w:val="-3"/>
                <w:sz w:val="20"/>
                <w:szCs w:val="20"/>
              </w:rPr>
            </w:pPr>
            <w:r w:rsidRPr="00496A51">
              <w:rPr>
                <w:rFonts w:ascii="Times New Roman" w:hAnsi="Times New Roman" w:cs="Times New Roman"/>
                <w:bCs/>
                <w:color w:val="111111"/>
                <w:spacing w:val="-3"/>
                <w:sz w:val="20"/>
                <w:szCs w:val="20"/>
              </w:rPr>
              <w:t>Measuring research impact</w:t>
            </w:r>
          </w:p>
          <w:p w14:paraId="25F01F2E" w14:textId="77777777" w:rsidR="00B05B20" w:rsidRDefault="00B05B20" w:rsidP="00B05B20">
            <w:pPr>
              <w:pStyle w:val="NoSpacing"/>
              <w:numPr>
                <w:ilvl w:val="0"/>
                <w:numId w:val="7"/>
              </w:numPr>
              <w:ind w:left="459" w:hanging="425"/>
              <w:rPr>
                <w:rFonts w:ascii="Times New Roman" w:hAnsi="Times New Roman" w:cs="Times New Roman"/>
                <w:bCs/>
                <w:color w:val="111111"/>
                <w:spacing w:val="-3"/>
                <w:sz w:val="20"/>
                <w:szCs w:val="20"/>
              </w:rPr>
            </w:pPr>
            <w:r w:rsidRPr="00496A51">
              <w:rPr>
                <w:rFonts w:ascii="Times New Roman" w:hAnsi="Times New Roman" w:cs="Times New Roman"/>
                <w:bCs/>
                <w:color w:val="111111"/>
                <w:spacing w:val="-3"/>
                <w:sz w:val="20"/>
                <w:szCs w:val="20"/>
              </w:rPr>
              <w:t xml:space="preserve">Research outputs, bibliometrics and </w:t>
            </w:r>
            <w:proofErr w:type="spellStart"/>
            <w:r w:rsidRPr="00496A51">
              <w:rPr>
                <w:rFonts w:ascii="Times New Roman" w:hAnsi="Times New Roman" w:cs="Times New Roman"/>
                <w:bCs/>
                <w:color w:val="111111"/>
                <w:spacing w:val="-3"/>
                <w:sz w:val="20"/>
                <w:szCs w:val="20"/>
              </w:rPr>
              <w:t>altmetrics</w:t>
            </w:r>
            <w:proofErr w:type="spellEnd"/>
          </w:p>
        </w:tc>
      </w:tr>
      <w:tr w:rsidR="00B05B20" w14:paraId="07F75A33" w14:textId="77777777" w:rsidTr="000642C3">
        <w:tc>
          <w:tcPr>
            <w:tcW w:w="2263" w:type="dxa"/>
          </w:tcPr>
          <w:p w14:paraId="0C83A2B9" w14:textId="77777777" w:rsidR="00B05B20" w:rsidRPr="00496A51" w:rsidRDefault="00B05B20" w:rsidP="00865D8A">
            <w:pPr>
              <w:pStyle w:val="NoSpacing"/>
              <w:rPr>
                <w:rFonts w:ascii="Times New Roman" w:hAnsi="Times New Roman" w:cs="Times New Roman"/>
                <w:bCs/>
                <w:color w:val="111111"/>
                <w:spacing w:val="-3"/>
                <w:sz w:val="20"/>
                <w:szCs w:val="20"/>
              </w:rPr>
            </w:pPr>
            <w:r>
              <w:rPr>
                <w:rFonts w:ascii="Times New Roman" w:hAnsi="Times New Roman" w:cs="Times New Roman"/>
                <w:bCs/>
                <w:color w:val="111111"/>
                <w:spacing w:val="-3"/>
                <w:sz w:val="20"/>
                <w:szCs w:val="20"/>
              </w:rPr>
              <w:t xml:space="preserve">(2). </w:t>
            </w:r>
            <w:r w:rsidRPr="00496A51">
              <w:rPr>
                <w:rFonts w:ascii="Times New Roman" w:hAnsi="Times New Roman" w:cs="Times New Roman"/>
                <w:bCs/>
                <w:color w:val="111111"/>
                <w:spacing w:val="-3"/>
                <w:sz w:val="20"/>
                <w:szCs w:val="20"/>
              </w:rPr>
              <w:t>Introduction to sustainability</w:t>
            </w:r>
          </w:p>
          <w:p w14:paraId="31064E8D" w14:textId="77777777" w:rsidR="00B05B20" w:rsidRDefault="00B05B20" w:rsidP="00865D8A">
            <w:pPr>
              <w:pStyle w:val="NoSpacing"/>
              <w:rPr>
                <w:rFonts w:ascii="Times New Roman" w:hAnsi="Times New Roman" w:cs="Times New Roman"/>
                <w:bCs/>
                <w:color w:val="111111"/>
                <w:spacing w:val="-3"/>
                <w:sz w:val="20"/>
                <w:szCs w:val="20"/>
              </w:rPr>
            </w:pPr>
          </w:p>
        </w:tc>
        <w:tc>
          <w:tcPr>
            <w:tcW w:w="7088" w:type="dxa"/>
          </w:tcPr>
          <w:p w14:paraId="5A004BAA" w14:textId="77777777" w:rsidR="00B05B20" w:rsidRPr="00496A51" w:rsidRDefault="00B05B20" w:rsidP="00B05B20">
            <w:pPr>
              <w:pStyle w:val="NoSpacing"/>
              <w:numPr>
                <w:ilvl w:val="0"/>
                <w:numId w:val="8"/>
              </w:numPr>
              <w:ind w:left="459" w:hanging="425"/>
              <w:rPr>
                <w:rFonts w:ascii="Times New Roman" w:hAnsi="Times New Roman" w:cs="Times New Roman"/>
                <w:bCs/>
                <w:color w:val="111111"/>
                <w:spacing w:val="-3"/>
                <w:sz w:val="20"/>
                <w:szCs w:val="20"/>
              </w:rPr>
            </w:pPr>
            <w:r w:rsidRPr="00496A51">
              <w:rPr>
                <w:rFonts w:ascii="Times New Roman" w:hAnsi="Times New Roman" w:cs="Times New Roman"/>
                <w:bCs/>
                <w:color w:val="111111"/>
                <w:spacing w:val="-3"/>
                <w:sz w:val="20"/>
                <w:szCs w:val="20"/>
              </w:rPr>
              <w:t>Sustainability and sustainable development</w:t>
            </w:r>
          </w:p>
          <w:p w14:paraId="5863ADCB" w14:textId="7026D133" w:rsidR="00B05B20" w:rsidRPr="00496A51" w:rsidRDefault="00B05B20" w:rsidP="00B05B20">
            <w:pPr>
              <w:pStyle w:val="NoSpacing"/>
              <w:numPr>
                <w:ilvl w:val="0"/>
                <w:numId w:val="8"/>
              </w:numPr>
              <w:ind w:left="459" w:hanging="425"/>
              <w:rPr>
                <w:rFonts w:ascii="Times New Roman" w:hAnsi="Times New Roman" w:cs="Times New Roman"/>
                <w:bCs/>
                <w:color w:val="111111"/>
                <w:spacing w:val="-3"/>
                <w:sz w:val="20"/>
                <w:szCs w:val="20"/>
              </w:rPr>
            </w:pPr>
            <w:r w:rsidRPr="00496A51">
              <w:rPr>
                <w:rFonts w:ascii="Times New Roman" w:hAnsi="Times New Roman" w:cs="Times New Roman"/>
                <w:bCs/>
                <w:color w:val="111111"/>
                <w:spacing w:val="-3"/>
                <w:sz w:val="20"/>
                <w:szCs w:val="20"/>
              </w:rPr>
              <w:t>The triple bottom line</w:t>
            </w:r>
            <w:r w:rsidR="002410FD">
              <w:rPr>
                <w:rFonts w:ascii="Times New Roman" w:hAnsi="Times New Roman" w:cs="Times New Roman"/>
                <w:bCs/>
                <w:color w:val="111111"/>
                <w:spacing w:val="-3"/>
                <w:sz w:val="20"/>
                <w:szCs w:val="20"/>
              </w:rPr>
              <w:t>, i.e. social, environmental and economic dimensions</w:t>
            </w:r>
          </w:p>
          <w:p w14:paraId="030F3A50" w14:textId="77777777" w:rsidR="00B05B20" w:rsidRDefault="00B05B20" w:rsidP="00B05B20">
            <w:pPr>
              <w:pStyle w:val="NoSpacing"/>
              <w:numPr>
                <w:ilvl w:val="0"/>
                <w:numId w:val="8"/>
              </w:numPr>
              <w:ind w:left="459" w:hanging="425"/>
              <w:rPr>
                <w:rFonts w:ascii="Times New Roman" w:hAnsi="Times New Roman" w:cs="Times New Roman"/>
                <w:bCs/>
                <w:color w:val="111111"/>
                <w:spacing w:val="-3"/>
                <w:sz w:val="20"/>
                <w:szCs w:val="20"/>
              </w:rPr>
            </w:pPr>
            <w:r w:rsidRPr="00496A51">
              <w:rPr>
                <w:rFonts w:ascii="Times New Roman" w:hAnsi="Times New Roman" w:cs="Times New Roman"/>
                <w:bCs/>
                <w:color w:val="111111"/>
                <w:spacing w:val="-3"/>
                <w:sz w:val="20"/>
                <w:szCs w:val="20"/>
              </w:rPr>
              <w:t>The Sustainable Development Goals (SDGs)</w:t>
            </w:r>
          </w:p>
          <w:p w14:paraId="7A3CC24F" w14:textId="77777777" w:rsidR="00B05B20" w:rsidRDefault="00B05B20" w:rsidP="00B05B20">
            <w:pPr>
              <w:pStyle w:val="NoSpacing"/>
              <w:numPr>
                <w:ilvl w:val="0"/>
                <w:numId w:val="8"/>
              </w:numPr>
              <w:ind w:left="459" w:hanging="425"/>
              <w:rPr>
                <w:rFonts w:ascii="Times New Roman" w:hAnsi="Times New Roman" w:cs="Times New Roman"/>
                <w:bCs/>
                <w:color w:val="111111"/>
                <w:spacing w:val="-3"/>
                <w:sz w:val="20"/>
                <w:szCs w:val="20"/>
              </w:rPr>
            </w:pPr>
            <w:r w:rsidRPr="00496A51">
              <w:rPr>
                <w:rFonts w:ascii="Times New Roman" w:hAnsi="Times New Roman" w:cs="Times New Roman"/>
                <w:bCs/>
                <w:color w:val="111111"/>
                <w:spacing w:val="-3"/>
                <w:sz w:val="20"/>
                <w:szCs w:val="20"/>
              </w:rPr>
              <w:t>Circular economy</w:t>
            </w:r>
            <w:r>
              <w:rPr>
                <w:rFonts w:ascii="Times New Roman" w:hAnsi="Times New Roman" w:cs="Times New Roman"/>
                <w:bCs/>
                <w:color w:val="111111"/>
                <w:spacing w:val="-3"/>
                <w:sz w:val="20"/>
                <w:szCs w:val="20"/>
              </w:rPr>
              <w:t xml:space="preserve"> and industrial cases</w:t>
            </w:r>
          </w:p>
        </w:tc>
      </w:tr>
      <w:tr w:rsidR="00B05B20" w14:paraId="5FAE5820" w14:textId="77777777" w:rsidTr="000642C3">
        <w:tc>
          <w:tcPr>
            <w:tcW w:w="2263" w:type="dxa"/>
          </w:tcPr>
          <w:p w14:paraId="374C068F" w14:textId="77777777" w:rsidR="00B05B20" w:rsidRPr="00496A51" w:rsidRDefault="00B05B20" w:rsidP="00865D8A">
            <w:pPr>
              <w:pStyle w:val="NoSpacing"/>
              <w:rPr>
                <w:rFonts w:ascii="Times New Roman" w:hAnsi="Times New Roman" w:cs="Times New Roman"/>
                <w:bCs/>
                <w:color w:val="111111"/>
                <w:spacing w:val="-3"/>
                <w:sz w:val="20"/>
                <w:szCs w:val="20"/>
              </w:rPr>
            </w:pPr>
            <w:r>
              <w:rPr>
                <w:rFonts w:ascii="Times New Roman" w:hAnsi="Times New Roman" w:cs="Times New Roman"/>
                <w:bCs/>
                <w:color w:val="111111"/>
                <w:spacing w:val="-3"/>
                <w:sz w:val="20"/>
                <w:szCs w:val="20"/>
              </w:rPr>
              <w:t xml:space="preserve">(3). </w:t>
            </w:r>
            <w:r w:rsidRPr="00496A51">
              <w:rPr>
                <w:rFonts w:ascii="Times New Roman" w:hAnsi="Times New Roman" w:cs="Times New Roman"/>
                <w:bCs/>
                <w:color w:val="111111"/>
                <w:spacing w:val="-3"/>
                <w:sz w:val="20"/>
                <w:szCs w:val="20"/>
              </w:rPr>
              <w:t>Tutorial session</w:t>
            </w:r>
          </w:p>
          <w:p w14:paraId="7AA45FFB" w14:textId="77777777" w:rsidR="00B05B20" w:rsidRDefault="00B05B20" w:rsidP="00865D8A">
            <w:pPr>
              <w:pStyle w:val="NoSpacing"/>
              <w:rPr>
                <w:rFonts w:ascii="Times New Roman" w:hAnsi="Times New Roman" w:cs="Times New Roman"/>
                <w:bCs/>
                <w:color w:val="111111"/>
                <w:spacing w:val="-3"/>
                <w:sz w:val="20"/>
                <w:szCs w:val="20"/>
              </w:rPr>
            </w:pPr>
          </w:p>
        </w:tc>
        <w:tc>
          <w:tcPr>
            <w:tcW w:w="7088" w:type="dxa"/>
          </w:tcPr>
          <w:p w14:paraId="0F031DB1" w14:textId="77777777" w:rsidR="00B05B20" w:rsidRDefault="00B05B20" w:rsidP="00865D8A">
            <w:pPr>
              <w:pStyle w:val="NoSpacing"/>
              <w:ind w:left="34"/>
              <w:rPr>
                <w:rFonts w:ascii="Times New Roman" w:hAnsi="Times New Roman" w:cs="Times New Roman"/>
                <w:bCs/>
                <w:color w:val="111111"/>
                <w:spacing w:val="-3"/>
                <w:sz w:val="20"/>
                <w:szCs w:val="20"/>
                <w:lang w:val="en-US"/>
              </w:rPr>
            </w:pPr>
            <w:r w:rsidRPr="00C82F27">
              <w:rPr>
                <w:rFonts w:ascii="Times New Roman" w:hAnsi="Times New Roman" w:cs="Times New Roman"/>
                <w:bCs/>
                <w:color w:val="111111"/>
                <w:spacing w:val="-3"/>
                <w:sz w:val="20"/>
                <w:szCs w:val="20"/>
              </w:rPr>
              <w:t xml:space="preserve">The tutorial is focused on sustainability and specifically the case of </w:t>
            </w:r>
            <w:r w:rsidRPr="00C82F27">
              <w:rPr>
                <w:rFonts w:ascii="Times New Roman" w:hAnsi="Times New Roman" w:cs="Times New Roman"/>
                <w:bCs/>
                <w:color w:val="111111"/>
                <w:spacing w:val="-3"/>
                <w:sz w:val="20"/>
                <w:szCs w:val="20"/>
                <w:lang w:val="en-US"/>
              </w:rPr>
              <w:t xml:space="preserve">plastic pollution in </w:t>
            </w:r>
            <w:r w:rsidRPr="00C82F27">
              <w:rPr>
                <w:rFonts w:ascii="Times New Roman" w:hAnsi="Times New Roman" w:cs="Times New Roman"/>
                <w:sz w:val="20"/>
                <w:szCs w:val="20"/>
              </w:rPr>
              <w:t>marine, freshwater, and terrestrial ecosystems globally</w:t>
            </w:r>
            <w:r w:rsidRPr="00C82F27">
              <w:rPr>
                <w:rFonts w:ascii="Times New Roman" w:hAnsi="Times New Roman" w:cs="Times New Roman"/>
                <w:bCs/>
                <w:color w:val="111111"/>
                <w:spacing w:val="-3"/>
                <w:sz w:val="20"/>
                <w:szCs w:val="20"/>
                <w:lang w:val="en-US"/>
              </w:rPr>
              <w:t>, which has become one of the most pressing environmental issues to be addressed. Students are required to work in teams to formulate responses</w:t>
            </w:r>
            <w:r>
              <w:rPr>
                <w:rFonts w:ascii="Times New Roman" w:hAnsi="Times New Roman" w:cs="Times New Roman"/>
                <w:bCs/>
                <w:color w:val="111111"/>
                <w:spacing w:val="-3"/>
                <w:sz w:val="20"/>
                <w:szCs w:val="20"/>
                <w:lang w:val="en-US"/>
              </w:rPr>
              <w:t xml:space="preserve"> to the following questions:</w:t>
            </w:r>
          </w:p>
          <w:p w14:paraId="0596CC5F" w14:textId="77777777" w:rsidR="00B05B20" w:rsidRPr="00A62999" w:rsidRDefault="00B05B20" w:rsidP="00B05B20">
            <w:pPr>
              <w:pStyle w:val="NoSpacing"/>
              <w:numPr>
                <w:ilvl w:val="0"/>
                <w:numId w:val="9"/>
              </w:numPr>
              <w:ind w:left="459" w:hanging="425"/>
              <w:rPr>
                <w:rFonts w:ascii="Times New Roman" w:hAnsi="Times New Roman" w:cs="Times New Roman"/>
                <w:bCs/>
                <w:color w:val="111111"/>
                <w:spacing w:val="-3"/>
                <w:sz w:val="20"/>
                <w:szCs w:val="20"/>
              </w:rPr>
            </w:pPr>
            <w:r w:rsidRPr="00A62999">
              <w:rPr>
                <w:rFonts w:ascii="Times New Roman" w:hAnsi="Times New Roman" w:cs="Times New Roman"/>
                <w:bCs/>
                <w:color w:val="111111"/>
                <w:spacing w:val="-3"/>
                <w:sz w:val="20"/>
                <w:szCs w:val="20"/>
                <w:lang w:val="en-US"/>
              </w:rPr>
              <w:t>How do plastics currently impact achievement of the SDGs?  For at least six of the SDGs, try to identify a possible area of impact.</w:t>
            </w:r>
          </w:p>
          <w:p w14:paraId="052B0D6A" w14:textId="77777777" w:rsidR="00B05B20" w:rsidRDefault="00B05B20" w:rsidP="00B05B20">
            <w:pPr>
              <w:pStyle w:val="NoSpacing"/>
              <w:numPr>
                <w:ilvl w:val="0"/>
                <w:numId w:val="9"/>
              </w:numPr>
              <w:ind w:left="459" w:hanging="425"/>
              <w:rPr>
                <w:rFonts w:ascii="Times New Roman" w:hAnsi="Times New Roman" w:cs="Times New Roman"/>
                <w:bCs/>
                <w:color w:val="111111"/>
                <w:spacing w:val="-3"/>
                <w:sz w:val="20"/>
                <w:szCs w:val="20"/>
              </w:rPr>
            </w:pPr>
            <w:r w:rsidRPr="00A62999">
              <w:rPr>
                <w:rFonts w:ascii="Times New Roman" w:hAnsi="Times New Roman" w:cs="Times New Roman"/>
                <w:bCs/>
                <w:color w:val="111111"/>
                <w:spacing w:val="-3"/>
                <w:sz w:val="20"/>
                <w:szCs w:val="20"/>
                <w:lang w:val="en-US"/>
              </w:rPr>
              <w:t xml:space="preserve">Identify a research project designed to address one of the areas, including three research objectives for the research project. </w:t>
            </w:r>
          </w:p>
        </w:tc>
      </w:tr>
    </w:tbl>
    <w:p w14:paraId="2F603427" w14:textId="77777777" w:rsidR="00B05B20" w:rsidRDefault="00B05B20" w:rsidP="00B05B20">
      <w:pPr>
        <w:pStyle w:val="BodyText2"/>
        <w:rPr>
          <w:sz w:val="20"/>
        </w:rPr>
      </w:pPr>
    </w:p>
    <w:p w14:paraId="0AD74D3D" w14:textId="3EC2E3C5" w:rsidR="00B05B20" w:rsidRDefault="00B05B20" w:rsidP="00B05B20">
      <w:pPr>
        <w:pStyle w:val="BodyText2"/>
        <w:ind w:firstLine="360"/>
        <w:rPr>
          <w:bCs/>
          <w:color w:val="111111"/>
          <w:spacing w:val="-3"/>
          <w:sz w:val="20"/>
        </w:rPr>
      </w:pPr>
      <w:r>
        <w:rPr>
          <w:bCs/>
          <w:color w:val="111111"/>
          <w:spacing w:val="-3"/>
          <w:sz w:val="20"/>
        </w:rPr>
        <w:t xml:space="preserve">This approach allows students to gain an </w:t>
      </w:r>
      <w:r w:rsidRPr="007806A4">
        <w:rPr>
          <w:bCs/>
          <w:color w:val="111111"/>
          <w:spacing w:val="-3"/>
          <w:sz w:val="20"/>
        </w:rPr>
        <w:t xml:space="preserve">understanding of the potential impact of research, which is the measurable contribution that research has </w:t>
      </w:r>
      <w:r w:rsidR="002410FD">
        <w:rPr>
          <w:bCs/>
          <w:color w:val="111111"/>
          <w:spacing w:val="-3"/>
          <w:sz w:val="20"/>
        </w:rPr>
        <w:t>on</w:t>
      </w:r>
      <w:r w:rsidRPr="007806A4">
        <w:rPr>
          <w:bCs/>
          <w:color w:val="111111"/>
          <w:spacing w:val="-3"/>
          <w:sz w:val="20"/>
        </w:rPr>
        <w:t xml:space="preserve"> society and the economy, including industrial </w:t>
      </w:r>
      <w:r>
        <w:rPr>
          <w:bCs/>
          <w:color w:val="111111"/>
          <w:spacing w:val="-3"/>
          <w:sz w:val="20"/>
        </w:rPr>
        <w:t>applications</w:t>
      </w:r>
      <w:r w:rsidRPr="007806A4">
        <w:rPr>
          <w:bCs/>
          <w:color w:val="111111"/>
          <w:spacing w:val="-3"/>
          <w:sz w:val="20"/>
        </w:rPr>
        <w:t xml:space="preserve"> (</w:t>
      </w:r>
      <w:r w:rsidRPr="00001797">
        <w:rPr>
          <w:sz w:val="20"/>
          <w:lang w:eastAsia="en-GB"/>
        </w:rPr>
        <w:t>Greenhalgh</w:t>
      </w:r>
      <w:r w:rsidRPr="007806A4">
        <w:rPr>
          <w:sz w:val="20"/>
          <w:lang w:eastAsia="en-GB"/>
        </w:rPr>
        <w:t xml:space="preserve"> et al., </w:t>
      </w:r>
      <w:r w:rsidRPr="00001797">
        <w:rPr>
          <w:sz w:val="20"/>
          <w:lang w:eastAsia="en-GB"/>
        </w:rPr>
        <w:t>2016)</w:t>
      </w:r>
      <w:r w:rsidRPr="007806A4">
        <w:rPr>
          <w:bCs/>
          <w:color w:val="111111"/>
          <w:spacing w:val="-3"/>
          <w:sz w:val="20"/>
        </w:rPr>
        <w:t>. Further examples of research impact include cases where research has resulted in a new system or procedure adopted in a government agency or healthcare setting; research that has led to the transfer of technology from a university to a spin-out company or third party company via a licen</w:t>
      </w:r>
      <w:r>
        <w:rPr>
          <w:bCs/>
          <w:color w:val="111111"/>
          <w:spacing w:val="-3"/>
          <w:sz w:val="20"/>
        </w:rPr>
        <w:t>s</w:t>
      </w:r>
      <w:r w:rsidRPr="007806A4">
        <w:rPr>
          <w:bCs/>
          <w:color w:val="111111"/>
          <w:spacing w:val="-3"/>
          <w:sz w:val="20"/>
        </w:rPr>
        <w:t>ing agreement; or the case where research has resulted in implementation of new policies to mitigate the impact of climate change and reduce greenhouse gas emissions.  In addition to research impact</w:t>
      </w:r>
      <w:r>
        <w:rPr>
          <w:bCs/>
          <w:color w:val="111111"/>
          <w:spacing w:val="-3"/>
          <w:sz w:val="20"/>
        </w:rPr>
        <w:t>,</w:t>
      </w:r>
      <w:r w:rsidRPr="007806A4">
        <w:rPr>
          <w:bCs/>
          <w:color w:val="111111"/>
          <w:spacing w:val="-3"/>
          <w:sz w:val="20"/>
        </w:rPr>
        <w:t xml:space="preserve"> the lecture </w:t>
      </w:r>
      <w:r>
        <w:rPr>
          <w:bCs/>
          <w:color w:val="111111"/>
          <w:spacing w:val="-3"/>
          <w:sz w:val="20"/>
        </w:rPr>
        <w:t xml:space="preserve">session </w:t>
      </w:r>
      <w:r w:rsidRPr="007806A4">
        <w:rPr>
          <w:bCs/>
          <w:color w:val="111111"/>
          <w:spacing w:val="-3"/>
          <w:sz w:val="20"/>
        </w:rPr>
        <w:t xml:space="preserve">has </w:t>
      </w:r>
      <w:r>
        <w:rPr>
          <w:bCs/>
          <w:color w:val="111111"/>
          <w:spacing w:val="-3"/>
          <w:sz w:val="20"/>
        </w:rPr>
        <w:t>a</w:t>
      </w:r>
      <w:r w:rsidRPr="007806A4">
        <w:rPr>
          <w:bCs/>
          <w:color w:val="111111"/>
          <w:spacing w:val="-3"/>
          <w:sz w:val="20"/>
        </w:rPr>
        <w:t xml:space="preserve"> specific focus on sustainable development, which has been defined as </w:t>
      </w:r>
      <w:r w:rsidRPr="002A2E66">
        <w:rPr>
          <w:bCs/>
          <w:i/>
          <w:iCs/>
          <w:color w:val="111111"/>
          <w:spacing w:val="-3"/>
          <w:sz w:val="20"/>
        </w:rPr>
        <w:t>“</w:t>
      </w:r>
      <w:r w:rsidRPr="002A2E66">
        <w:rPr>
          <w:rStyle w:val="markedcontent"/>
          <w:i/>
          <w:iCs/>
          <w:sz w:val="20"/>
        </w:rPr>
        <w:t>development that meets the needs of the present without</w:t>
      </w:r>
      <w:r w:rsidRPr="002A2E66">
        <w:rPr>
          <w:i/>
          <w:iCs/>
          <w:sz w:val="20"/>
        </w:rPr>
        <w:t xml:space="preserve"> </w:t>
      </w:r>
      <w:r w:rsidRPr="002A2E66">
        <w:rPr>
          <w:rStyle w:val="markedcontent"/>
          <w:i/>
          <w:iCs/>
          <w:sz w:val="20"/>
        </w:rPr>
        <w:t>compromising the ability of future generations to meet their own needs”</w:t>
      </w:r>
      <w:r w:rsidRPr="007806A4">
        <w:rPr>
          <w:rStyle w:val="markedcontent"/>
          <w:sz w:val="20"/>
        </w:rPr>
        <w:t xml:space="preserve"> (</w:t>
      </w:r>
      <w:r w:rsidRPr="007806A4">
        <w:rPr>
          <w:sz w:val="20"/>
        </w:rPr>
        <w:t xml:space="preserve">Brundtland, 1987). </w:t>
      </w:r>
      <w:r>
        <w:rPr>
          <w:sz w:val="20"/>
        </w:rPr>
        <w:t>Furthermore</w:t>
      </w:r>
      <w:r w:rsidRPr="007806A4">
        <w:rPr>
          <w:sz w:val="20"/>
        </w:rPr>
        <w:t xml:space="preserve">, related concepts such as the triple bottom line </w:t>
      </w:r>
      <w:r>
        <w:rPr>
          <w:sz w:val="20"/>
        </w:rPr>
        <w:t xml:space="preserve">(TBL) </w:t>
      </w:r>
      <w:r w:rsidRPr="007806A4">
        <w:rPr>
          <w:sz w:val="20"/>
        </w:rPr>
        <w:t xml:space="preserve">of sustainable development </w:t>
      </w:r>
      <w:r w:rsidR="00D63DDE" w:rsidRPr="007806A4">
        <w:rPr>
          <w:sz w:val="20"/>
        </w:rPr>
        <w:t>(</w:t>
      </w:r>
      <w:r w:rsidR="00D63DDE" w:rsidRPr="007806A4">
        <w:rPr>
          <w:sz w:val="20"/>
          <w:lang w:eastAsia="en-GB"/>
        </w:rPr>
        <w:t>Elkington, 1998)</w:t>
      </w:r>
      <w:r w:rsidR="00D63DDE">
        <w:rPr>
          <w:sz w:val="20"/>
          <w:lang w:eastAsia="en-GB"/>
        </w:rPr>
        <w:t xml:space="preserve"> </w:t>
      </w:r>
      <w:r w:rsidRPr="007806A4">
        <w:rPr>
          <w:sz w:val="20"/>
        </w:rPr>
        <w:t xml:space="preserve">according to </w:t>
      </w:r>
      <w:r w:rsidR="002410FD" w:rsidRPr="007806A4">
        <w:rPr>
          <w:bCs/>
          <w:color w:val="111111"/>
          <w:spacing w:val="-3"/>
          <w:sz w:val="20"/>
        </w:rPr>
        <w:t>social</w:t>
      </w:r>
      <w:r w:rsidR="002410FD">
        <w:rPr>
          <w:bCs/>
          <w:color w:val="111111"/>
          <w:spacing w:val="-3"/>
          <w:sz w:val="20"/>
        </w:rPr>
        <w:t>,</w:t>
      </w:r>
      <w:r w:rsidR="002410FD" w:rsidRPr="007806A4">
        <w:rPr>
          <w:bCs/>
          <w:color w:val="111111"/>
          <w:spacing w:val="-3"/>
          <w:sz w:val="20"/>
        </w:rPr>
        <w:t xml:space="preserve"> environmental and economic </w:t>
      </w:r>
      <w:r w:rsidRPr="007806A4">
        <w:rPr>
          <w:sz w:val="20"/>
        </w:rPr>
        <w:t xml:space="preserve">performance </w:t>
      </w:r>
      <w:r>
        <w:rPr>
          <w:sz w:val="20"/>
          <w:lang w:eastAsia="en-GB"/>
        </w:rPr>
        <w:t>are introduced</w:t>
      </w:r>
      <w:r w:rsidRPr="007806A4">
        <w:rPr>
          <w:sz w:val="20"/>
          <w:lang w:eastAsia="en-GB"/>
        </w:rPr>
        <w:t>.</w:t>
      </w:r>
      <w:r>
        <w:rPr>
          <w:sz w:val="20"/>
          <w:lang w:eastAsia="en-GB"/>
        </w:rPr>
        <w:t xml:space="preserve"> This understanding of the TBL is then formatively assessed through a short exercise</w:t>
      </w:r>
      <w:r w:rsidR="008F740E">
        <w:rPr>
          <w:sz w:val="20"/>
          <w:lang w:eastAsia="en-GB"/>
        </w:rPr>
        <w:t>, which is</w:t>
      </w:r>
      <w:r>
        <w:rPr>
          <w:sz w:val="20"/>
          <w:lang w:eastAsia="en-GB"/>
        </w:rPr>
        <w:t xml:space="preserve"> based on considering </w:t>
      </w:r>
      <w:r w:rsidRPr="007806A4">
        <w:rPr>
          <w:bCs/>
          <w:color w:val="111111"/>
          <w:spacing w:val="-3"/>
          <w:sz w:val="20"/>
        </w:rPr>
        <w:t>the impact on the local area in terms of social</w:t>
      </w:r>
      <w:r w:rsidR="002410FD">
        <w:rPr>
          <w:bCs/>
          <w:color w:val="111111"/>
          <w:spacing w:val="-3"/>
          <w:sz w:val="20"/>
        </w:rPr>
        <w:t>,</w:t>
      </w:r>
      <w:r w:rsidRPr="007806A4">
        <w:rPr>
          <w:bCs/>
          <w:color w:val="111111"/>
          <w:spacing w:val="-3"/>
          <w:sz w:val="20"/>
        </w:rPr>
        <w:t xml:space="preserve"> </w:t>
      </w:r>
      <w:r w:rsidR="002410FD" w:rsidRPr="007806A4">
        <w:rPr>
          <w:bCs/>
          <w:color w:val="111111"/>
          <w:spacing w:val="-3"/>
          <w:sz w:val="20"/>
        </w:rPr>
        <w:t xml:space="preserve">environmental and economic </w:t>
      </w:r>
      <w:r w:rsidRPr="007806A4">
        <w:rPr>
          <w:bCs/>
          <w:color w:val="111111"/>
          <w:spacing w:val="-3"/>
          <w:sz w:val="20"/>
        </w:rPr>
        <w:t>outcomes</w:t>
      </w:r>
      <w:r>
        <w:rPr>
          <w:bCs/>
          <w:color w:val="111111"/>
          <w:spacing w:val="-3"/>
          <w:sz w:val="20"/>
        </w:rPr>
        <w:t xml:space="preserve"> </w:t>
      </w:r>
      <w:r w:rsidRPr="007806A4">
        <w:rPr>
          <w:bCs/>
          <w:color w:val="111111"/>
          <w:spacing w:val="-3"/>
          <w:sz w:val="20"/>
        </w:rPr>
        <w:t>for a new factory that will be producing automotive machine parts, such as gear trains, chain drives, cam systems, brakes and clutches</w:t>
      </w:r>
      <w:r>
        <w:rPr>
          <w:bCs/>
          <w:color w:val="111111"/>
          <w:spacing w:val="-3"/>
          <w:sz w:val="20"/>
        </w:rPr>
        <w:t>.</w:t>
      </w:r>
    </w:p>
    <w:p w14:paraId="5E5BDF42" w14:textId="49C7139B" w:rsidR="00B05B20" w:rsidRPr="008C1FA0" w:rsidRDefault="00B05B20" w:rsidP="00B05B20">
      <w:pPr>
        <w:pStyle w:val="BodyText2"/>
        <w:ind w:firstLine="360"/>
        <w:rPr>
          <w:sz w:val="20"/>
        </w:rPr>
      </w:pPr>
      <w:r>
        <w:rPr>
          <w:sz w:val="20"/>
        </w:rPr>
        <w:t xml:space="preserve">A key feature of the module </w:t>
      </w:r>
      <w:r w:rsidR="00B44FA4">
        <w:rPr>
          <w:sz w:val="20"/>
        </w:rPr>
        <w:t>relates to</w:t>
      </w:r>
      <w:r>
        <w:rPr>
          <w:sz w:val="20"/>
        </w:rPr>
        <w:t xml:space="preserve"> how the research and professional skills development is anchored in technology areas and engineering applications so as to maximize the utility of the </w:t>
      </w:r>
      <w:r w:rsidR="00B44FA4">
        <w:rPr>
          <w:sz w:val="20"/>
        </w:rPr>
        <w:t xml:space="preserve">teaching </w:t>
      </w:r>
      <w:r>
        <w:rPr>
          <w:sz w:val="20"/>
        </w:rPr>
        <w:t xml:space="preserve">material for engineering programs. This is achieved through in-class exercises and tutorial sessions (formative assessment) that are integrated with the lectures and follow-on as apart of the same overall session. An example of such an approach is a tutorial on research design and methods (see Exhibit </w:t>
      </w:r>
      <w:r w:rsidR="00D61A10">
        <w:rPr>
          <w:sz w:val="20"/>
        </w:rPr>
        <w:t>4</w:t>
      </w:r>
      <w:r>
        <w:rPr>
          <w:sz w:val="20"/>
        </w:rPr>
        <w:t xml:space="preserve">). In this task, students are provided with an engineering application related to the aerospace sector. They are then required to apply the knowledge gained in the corresponding lecture on research methods in order to formulate a research method to meet the two differing requirements; where one is related to a quantitative (i.e. deductive) approach based on a traditional laboratory experiment and the other relates to a more qualitative (i.e. inductive) approach to capture the expert opinions </w:t>
      </w:r>
      <w:r w:rsidRPr="008C1FA0">
        <w:rPr>
          <w:sz w:val="20"/>
        </w:rPr>
        <w:t xml:space="preserve">of the subjects. Furthermore, the </w:t>
      </w:r>
      <w:r>
        <w:rPr>
          <w:sz w:val="20"/>
        </w:rPr>
        <w:t>tutorial</w:t>
      </w:r>
      <w:r w:rsidRPr="008C1FA0">
        <w:rPr>
          <w:sz w:val="20"/>
        </w:rPr>
        <w:t xml:space="preserve"> allows </w:t>
      </w:r>
      <w:r>
        <w:rPr>
          <w:sz w:val="20"/>
        </w:rPr>
        <w:t xml:space="preserve">the </w:t>
      </w:r>
      <w:r w:rsidRPr="008C1FA0">
        <w:rPr>
          <w:sz w:val="20"/>
        </w:rPr>
        <w:t xml:space="preserve">students to demonstrate their knowledge of the dependent and independent variables involved in each research method and </w:t>
      </w:r>
      <w:r>
        <w:rPr>
          <w:sz w:val="20"/>
        </w:rPr>
        <w:t>they</w:t>
      </w:r>
      <w:r w:rsidRPr="008C1FA0">
        <w:rPr>
          <w:sz w:val="20"/>
        </w:rPr>
        <w:t xml:space="preserve"> also consider the internal validity of each method, i.e. the extent to which the evidence from a research study explains the cause-and-effect relationship that is </w:t>
      </w:r>
      <w:r>
        <w:rPr>
          <w:sz w:val="20"/>
        </w:rPr>
        <w:t>under investigation (</w:t>
      </w:r>
      <w:r w:rsidRPr="00F90443">
        <w:rPr>
          <w:sz w:val="20"/>
          <w:lang w:eastAsia="en-GB"/>
        </w:rPr>
        <w:t>Slack</w:t>
      </w:r>
      <w:r>
        <w:rPr>
          <w:sz w:val="20"/>
          <w:lang w:eastAsia="en-GB"/>
        </w:rPr>
        <w:t xml:space="preserve"> </w:t>
      </w:r>
      <w:r w:rsidRPr="00F90443">
        <w:rPr>
          <w:sz w:val="20"/>
          <w:lang w:eastAsia="en-GB"/>
        </w:rPr>
        <w:t xml:space="preserve">&amp; </w:t>
      </w:r>
      <w:proofErr w:type="spellStart"/>
      <w:r w:rsidRPr="00F90443">
        <w:rPr>
          <w:sz w:val="20"/>
          <w:lang w:eastAsia="en-GB"/>
        </w:rPr>
        <w:t>Draugalis</w:t>
      </w:r>
      <w:proofErr w:type="spellEnd"/>
      <w:r w:rsidRPr="00F90443">
        <w:rPr>
          <w:sz w:val="20"/>
          <w:lang w:eastAsia="en-GB"/>
        </w:rPr>
        <w:t xml:space="preserve"> Jr, 2001).</w:t>
      </w:r>
    </w:p>
    <w:p w14:paraId="0590D174" w14:textId="77777777" w:rsidR="00B05B20" w:rsidRDefault="00B05B20" w:rsidP="00B05B20">
      <w:pPr>
        <w:pStyle w:val="NoSpacing"/>
        <w:jc w:val="both"/>
        <w:rPr>
          <w:rFonts w:ascii="Times New Roman" w:hAnsi="Times New Roman" w:cs="Times New Roman"/>
          <w:sz w:val="20"/>
          <w:szCs w:val="20"/>
        </w:rPr>
      </w:pPr>
    </w:p>
    <w:p w14:paraId="1FC006E4" w14:textId="3E37325B" w:rsidR="00B05B20" w:rsidRPr="00897D86" w:rsidRDefault="00B05B20" w:rsidP="00B05B20">
      <w:pPr>
        <w:pStyle w:val="NoSpacing"/>
        <w:jc w:val="center"/>
        <w:rPr>
          <w:rFonts w:ascii="Times New Roman" w:hAnsi="Times New Roman" w:cs="Times New Roman"/>
          <w:b/>
          <w:color w:val="111111"/>
          <w:spacing w:val="-3"/>
          <w:sz w:val="20"/>
          <w:szCs w:val="20"/>
        </w:rPr>
      </w:pPr>
      <w:r w:rsidRPr="00F31E65">
        <w:rPr>
          <w:rFonts w:ascii="Times New Roman" w:hAnsi="Times New Roman" w:cs="Times New Roman"/>
          <w:b/>
          <w:color w:val="111111"/>
          <w:spacing w:val="-3"/>
          <w:sz w:val="20"/>
          <w:szCs w:val="20"/>
        </w:rPr>
        <w:lastRenderedPageBreak/>
        <w:t xml:space="preserve">Exhibit </w:t>
      </w:r>
      <w:r w:rsidR="00D61A10">
        <w:rPr>
          <w:rFonts w:ascii="Times New Roman" w:hAnsi="Times New Roman" w:cs="Times New Roman"/>
          <w:b/>
          <w:color w:val="111111"/>
          <w:spacing w:val="-3"/>
          <w:sz w:val="20"/>
          <w:szCs w:val="20"/>
        </w:rPr>
        <w:t>4</w:t>
      </w:r>
      <w:r w:rsidRPr="00F31E65">
        <w:rPr>
          <w:rFonts w:ascii="Times New Roman" w:hAnsi="Times New Roman" w:cs="Times New Roman"/>
          <w:b/>
          <w:color w:val="111111"/>
          <w:spacing w:val="-3"/>
          <w:sz w:val="20"/>
          <w:szCs w:val="20"/>
        </w:rPr>
        <w:t xml:space="preserve">. </w:t>
      </w:r>
      <w:r>
        <w:rPr>
          <w:rFonts w:ascii="Times New Roman" w:hAnsi="Times New Roman" w:cs="Times New Roman"/>
          <w:b/>
          <w:color w:val="111111"/>
          <w:spacing w:val="-3"/>
          <w:sz w:val="20"/>
          <w:szCs w:val="20"/>
        </w:rPr>
        <w:t>Example of a class tutorial focused on research design, variables and internal validity.</w:t>
      </w:r>
    </w:p>
    <w:p w14:paraId="24D511B3" w14:textId="77777777" w:rsidR="00B05B20" w:rsidRDefault="00B05B20" w:rsidP="00B05B20">
      <w:pPr>
        <w:pStyle w:val="NoSpacing"/>
        <w:jc w:val="both"/>
        <w:rPr>
          <w:rFonts w:ascii="Times New Roman" w:hAnsi="Times New Roman" w:cs="Times New Roman"/>
          <w:sz w:val="20"/>
          <w:szCs w:val="20"/>
        </w:rPr>
      </w:pPr>
    </w:p>
    <w:tbl>
      <w:tblPr>
        <w:tblStyle w:val="TableGrid"/>
        <w:tblW w:w="9351" w:type="dxa"/>
        <w:tblLook w:val="04A0" w:firstRow="1" w:lastRow="0" w:firstColumn="1" w:lastColumn="0" w:noHBand="0" w:noVBand="1"/>
      </w:tblPr>
      <w:tblGrid>
        <w:gridCol w:w="1413"/>
        <w:gridCol w:w="7938"/>
      </w:tblGrid>
      <w:tr w:rsidR="00B05B20" w14:paraId="4330943E" w14:textId="77777777" w:rsidTr="000642C3">
        <w:tc>
          <w:tcPr>
            <w:tcW w:w="9351" w:type="dxa"/>
            <w:gridSpan w:val="2"/>
            <w:shd w:val="pct5" w:color="auto" w:fill="auto"/>
          </w:tcPr>
          <w:p w14:paraId="1D14D4B3" w14:textId="77777777" w:rsidR="00B05B20" w:rsidRPr="00897D86" w:rsidRDefault="00B05B20" w:rsidP="000642C3">
            <w:pPr>
              <w:pStyle w:val="NoSpacing"/>
              <w:jc w:val="center"/>
              <w:rPr>
                <w:rFonts w:ascii="Times New Roman" w:hAnsi="Times New Roman" w:cs="Times New Roman"/>
                <w:b/>
                <w:bCs/>
                <w:sz w:val="20"/>
                <w:szCs w:val="20"/>
              </w:rPr>
            </w:pPr>
            <w:r w:rsidRPr="00897D86">
              <w:rPr>
                <w:rFonts w:ascii="Times New Roman" w:hAnsi="Times New Roman" w:cs="Times New Roman"/>
                <w:b/>
                <w:bCs/>
                <w:sz w:val="20"/>
                <w:szCs w:val="20"/>
              </w:rPr>
              <w:t xml:space="preserve">Class </w:t>
            </w:r>
            <w:r>
              <w:rPr>
                <w:rFonts w:ascii="Times New Roman" w:hAnsi="Times New Roman" w:cs="Times New Roman"/>
                <w:b/>
                <w:bCs/>
                <w:sz w:val="20"/>
                <w:szCs w:val="20"/>
              </w:rPr>
              <w:t>tutorial</w:t>
            </w:r>
            <w:r w:rsidRPr="00897D86">
              <w:rPr>
                <w:rFonts w:ascii="Times New Roman" w:hAnsi="Times New Roman" w:cs="Times New Roman"/>
                <w:b/>
                <w:bCs/>
                <w:sz w:val="20"/>
                <w:szCs w:val="20"/>
              </w:rPr>
              <w:t xml:space="preserve"> on research design and methods</w:t>
            </w:r>
          </w:p>
        </w:tc>
      </w:tr>
      <w:tr w:rsidR="00B05B20" w14:paraId="08FCA6FD" w14:textId="77777777" w:rsidTr="000642C3">
        <w:tc>
          <w:tcPr>
            <w:tcW w:w="1413" w:type="dxa"/>
          </w:tcPr>
          <w:p w14:paraId="39B3F7B9" w14:textId="77777777" w:rsidR="00B05B20" w:rsidRPr="00897D86" w:rsidRDefault="00B05B20" w:rsidP="00865D8A">
            <w:pPr>
              <w:pStyle w:val="NoSpacing"/>
              <w:rPr>
                <w:rFonts w:ascii="Times New Roman" w:hAnsi="Times New Roman" w:cs="Times New Roman"/>
                <w:sz w:val="20"/>
                <w:szCs w:val="20"/>
              </w:rPr>
            </w:pPr>
            <w:r w:rsidRPr="00897D86">
              <w:rPr>
                <w:rFonts w:ascii="Times New Roman" w:hAnsi="Times New Roman" w:cs="Times New Roman"/>
                <w:sz w:val="20"/>
                <w:szCs w:val="20"/>
              </w:rPr>
              <w:t>Background</w:t>
            </w:r>
            <w:r>
              <w:rPr>
                <w:rFonts w:ascii="Times New Roman" w:hAnsi="Times New Roman" w:cs="Times New Roman"/>
                <w:sz w:val="20"/>
                <w:szCs w:val="20"/>
              </w:rPr>
              <w:t xml:space="preserve"> on the case in the tutorial</w:t>
            </w:r>
          </w:p>
        </w:tc>
        <w:tc>
          <w:tcPr>
            <w:tcW w:w="7938" w:type="dxa"/>
          </w:tcPr>
          <w:p w14:paraId="48334EF2" w14:textId="77777777" w:rsidR="00B05B20" w:rsidRPr="003A4D44" w:rsidRDefault="00B05B20" w:rsidP="00FD4C0B">
            <w:pPr>
              <w:pStyle w:val="NoSpacing"/>
              <w:numPr>
                <w:ilvl w:val="0"/>
                <w:numId w:val="12"/>
              </w:numPr>
              <w:ind w:left="320" w:hanging="283"/>
              <w:rPr>
                <w:rFonts w:ascii="Times New Roman" w:hAnsi="Times New Roman" w:cs="Times New Roman"/>
                <w:sz w:val="20"/>
                <w:szCs w:val="20"/>
              </w:rPr>
            </w:pPr>
            <w:r w:rsidRPr="009213E0">
              <w:rPr>
                <w:rFonts w:ascii="Times New Roman" w:hAnsi="Times New Roman" w:cs="Times New Roman"/>
                <w:sz w:val="20"/>
                <w:szCs w:val="20"/>
              </w:rPr>
              <w:t xml:space="preserve">An aerospace manufacturing company would like to understand how it can implement 3D-printing technology for the assembly of landing gear components. </w:t>
            </w:r>
          </w:p>
          <w:p w14:paraId="7368727A" w14:textId="77777777" w:rsidR="00B05B20" w:rsidRDefault="00B05B20" w:rsidP="00FD4C0B">
            <w:pPr>
              <w:pStyle w:val="NoSpacing"/>
              <w:numPr>
                <w:ilvl w:val="0"/>
                <w:numId w:val="12"/>
              </w:numPr>
              <w:ind w:left="320" w:hanging="283"/>
              <w:rPr>
                <w:rFonts w:ascii="Times New Roman" w:hAnsi="Times New Roman" w:cs="Times New Roman"/>
                <w:sz w:val="20"/>
                <w:szCs w:val="20"/>
              </w:rPr>
            </w:pPr>
            <w:r w:rsidRPr="009213E0">
              <w:rPr>
                <w:rFonts w:ascii="Times New Roman" w:hAnsi="Times New Roman" w:cs="Times New Roman"/>
                <w:sz w:val="20"/>
                <w:szCs w:val="20"/>
              </w:rPr>
              <w:t xml:space="preserve">There is a need to consider whether this technology could produce parts with the required tensile strength (a) and also understand the views of airlines on the use of the </w:t>
            </w:r>
            <w:r>
              <w:rPr>
                <w:rFonts w:ascii="Times New Roman" w:hAnsi="Times New Roman" w:cs="Times New Roman"/>
                <w:sz w:val="20"/>
                <w:szCs w:val="20"/>
              </w:rPr>
              <w:t xml:space="preserve">new </w:t>
            </w:r>
            <w:r w:rsidRPr="009213E0">
              <w:rPr>
                <w:rFonts w:ascii="Times New Roman" w:hAnsi="Times New Roman" w:cs="Times New Roman"/>
                <w:sz w:val="20"/>
                <w:szCs w:val="20"/>
              </w:rPr>
              <w:t xml:space="preserve">manufacturing process (b). </w:t>
            </w:r>
          </w:p>
        </w:tc>
      </w:tr>
      <w:tr w:rsidR="00B05B20" w14:paraId="4CC0B98C" w14:textId="77777777" w:rsidTr="000642C3">
        <w:tc>
          <w:tcPr>
            <w:tcW w:w="1413" w:type="dxa"/>
          </w:tcPr>
          <w:p w14:paraId="5F9EE457" w14:textId="77777777" w:rsidR="00B05B20" w:rsidRPr="00897D86" w:rsidRDefault="00B05B20" w:rsidP="00865D8A">
            <w:pPr>
              <w:pStyle w:val="NoSpacing"/>
              <w:rPr>
                <w:rFonts w:ascii="Times New Roman" w:hAnsi="Times New Roman" w:cs="Times New Roman"/>
                <w:sz w:val="20"/>
                <w:szCs w:val="20"/>
              </w:rPr>
            </w:pPr>
            <w:r>
              <w:rPr>
                <w:rFonts w:ascii="Times New Roman" w:hAnsi="Times New Roman" w:cs="Times New Roman"/>
                <w:sz w:val="20"/>
                <w:szCs w:val="20"/>
              </w:rPr>
              <w:t>Tutorial q</w:t>
            </w:r>
            <w:r w:rsidRPr="00897D86">
              <w:rPr>
                <w:rFonts w:ascii="Times New Roman" w:hAnsi="Times New Roman" w:cs="Times New Roman"/>
                <w:sz w:val="20"/>
                <w:szCs w:val="20"/>
              </w:rPr>
              <w:t>uestions</w:t>
            </w:r>
            <w:r>
              <w:rPr>
                <w:rFonts w:ascii="Times New Roman" w:hAnsi="Times New Roman" w:cs="Times New Roman"/>
                <w:sz w:val="20"/>
                <w:szCs w:val="20"/>
              </w:rPr>
              <w:t xml:space="preserve"> for students</w:t>
            </w:r>
          </w:p>
        </w:tc>
        <w:tc>
          <w:tcPr>
            <w:tcW w:w="7938" w:type="dxa"/>
          </w:tcPr>
          <w:p w14:paraId="2BC8F07E" w14:textId="4838594F" w:rsidR="00FD4C0B" w:rsidRDefault="00FD4C0B" w:rsidP="00FD4C0B">
            <w:pPr>
              <w:pStyle w:val="NoSpacing"/>
              <w:rPr>
                <w:rFonts w:ascii="Times New Roman" w:hAnsi="Times New Roman" w:cs="Times New Roman"/>
                <w:sz w:val="20"/>
                <w:szCs w:val="20"/>
              </w:rPr>
            </w:pPr>
            <w:r>
              <w:rPr>
                <w:rFonts w:ascii="Times New Roman" w:hAnsi="Times New Roman" w:cs="Times New Roman"/>
                <w:sz w:val="20"/>
                <w:szCs w:val="20"/>
              </w:rPr>
              <w:t xml:space="preserve">(1). </w:t>
            </w:r>
            <w:r w:rsidR="00B05B20" w:rsidRPr="009213E0">
              <w:rPr>
                <w:rFonts w:ascii="Times New Roman" w:hAnsi="Times New Roman" w:cs="Times New Roman"/>
                <w:sz w:val="20"/>
                <w:szCs w:val="20"/>
              </w:rPr>
              <w:t>Identify the research question and design a research project to investigate requirement (a). Comment on the variables and the internal validity.</w:t>
            </w:r>
          </w:p>
          <w:p w14:paraId="4D6592E2" w14:textId="62220E17" w:rsidR="00B05B20" w:rsidRDefault="00FD4C0B" w:rsidP="00FD4C0B">
            <w:pPr>
              <w:pStyle w:val="NoSpacing"/>
              <w:rPr>
                <w:rFonts w:ascii="Times New Roman" w:hAnsi="Times New Roman" w:cs="Times New Roman"/>
                <w:sz w:val="20"/>
                <w:szCs w:val="20"/>
              </w:rPr>
            </w:pPr>
            <w:r>
              <w:rPr>
                <w:rFonts w:ascii="Times New Roman" w:hAnsi="Times New Roman" w:cs="Times New Roman"/>
                <w:sz w:val="20"/>
                <w:szCs w:val="20"/>
              </w:rPr>
              <w:t xml:space="preserve">(2). </w:t>
            </w:r>
            <w:r w:rsidR="00B05B20" w:rsidRPr="009213E0">
              <w:rPr>
                <w:rFonts w:ascii="Times New Roman" w:hAnsi="Times New Roman" w:cs="Times New Roman"/>
                <w:sz w:val="20"/>
                <w:szCs w:val="20"/>
              </w:rPr>
              <w:t>Identify the research question and design a research project to investigate requirement (b). Comment on the variables and the internal validity.</w:t>
            </w:r>
          </w:p>
        </w:tc>
      </w:tr>
    </w:tbl>
    <w:p w14:paraId="721ADFE0" w14:textId="77777777" w:rsidR="00B05B20" w:rsidRDefault="00B05B20" w:rsidP="00B05B20">
      <w:pPr>
        <w:pStyle w:val="BodyText2"/>
        <w:rPr>
          <w:sz w:val="20"/>
        </w:rPr>
      </w:pPr>
    </w:p>
    <w:p w14:paraId="115C6C58" w14:textId="655DF3C5" w:rsidR="00B05B20" w:rsidRDefault="00B05B20" w:rsidP="00B05B20">
      <w:pPr>
        <w:pStyle w:val="BodyText2"/>
        <w:ind w:firstLine="360"/>
        <w:rPr>
          <w:sz w:val="20"/>
        </w:rPr>
      </w:pPr>
      <w:r w:rsidRPr="005A2B56">
        <w:rPr>
          <w:sz w:val="20"/>
        </w:rPr>
        <w:t xml:space="preserve">Learning </w:t>
      </w:r>
      <w:r>
        <w:rPr>
          <w:sz w:val="20"/>
        </w:rPr>
        <w:t xml:space="preserve">in the module is principally driven through the lectures that are integrated with the tutorial sessions (allowing formative assessment) and are assessed through the coursework (allowing summative assessment). Furthermore, the module includes a weekly </w:t>
      </w:r>
      <w:r w:rsidRPr="005A2B56">
        <w:rPr>
          <w:sz w:val="20"/>
        </w:rPr>
        <w:t>reading exercise.</w:t>
      </w:r>
      <w:r>
        <w:rPr>
          <w:sz w:val="20"/>
        </w:rPr>
        <w:t xml:space="preserve"> </w:t>
      </w:r>
      <w:r w:rsidRPr="006C1825">
        <w:rPr>
          <w:sz w:val="20"/>
        </w:rPr>
        <w:t xml:space="preserve">Each week there </w:t>
      </w:r>
      <w:r>
        <w:rPr>
          <w:sz w:val="20"/>
        </w:rPr>
        <w:t>is</w:t>
      </w:r>
      <w:r w:rsidRPr="006C1825">
        <w:rPr>
          <w:sz w:val="20"/>
        </w:rPr>
        <w:t xml:space="preserve"> a reading exercise provided at the end of the lecture session</w:t>
      </w:r>
      <w:r>
        <w:rPr>
          <w:sz w:val="20"/>
        </w:rPr>
        <w:t xml:space="preserve">, which is </w:t>
      </w:r>
      <w:r w:rsidRPr="006C1825">
        <w:rPr>
          <w:sz w:val="20"/>
        </w:rPr>
        <w:t>based on a technical article from a journal or conference proceeding and it relate</w:t>
      </w:r>
      <w:r>
        <w:rPr>
          <w:sz w:val="20"/>
        </w:rPr>
        <w:t>s</w:t>
      </w:r>
      <w:r w:rsidRPr="006C1825">
        <w:rPr>
          <w:sz w:val="20"/>
        </w:rPr>
        <w:t xml:space="preserve"> to the material covered in that session</w:t>
      </w:r>
      <w:r>
        <w:rPr>
          <w:sz w:val="20"/>
        </w:rPr>
        <w:t xml:space="preserve">.  Students are provided with details of the article as well as questions or points of reflection to consider as they read the article (see Exhibit </w:t>
      </w:r>
      <w:r w:rsidR="00D61A10">
        <w:rPr>
          <w:sz w:val="20"/>
        </w:rPr>
        <w:t>5</w:t>
      </w:r>
      <w:r>
        <w:rPr>
          <w:sz w:val="20"/>
        </w:rPr>
        <w:t xml:space="preserve">). </w:t>
      </w:r>
      <w:r w:rsidRPr="006C1825">
        <w:rPr>
          <w:sz w:val="20"/>
        </w:rPr>
        <w:t xml:space="preserve">This </w:t>
      </w:r>
      <w:r>
        <w:rPr>
          <w:sz w:val="20"/>
        </w:rPr>
        <w:t>approach</w:t>
      </w:r>
      <w:r w:rsidRPr="006C1825">
        <w:rPr>
          <w:sz w:val="20"/>
        </w:rPr>
        <w:t xml:space="preserve"> allow</w:t>
      </w:r>
      <w:r>
        <w:rPr>
          <w:sz w:val="20"/>
        </w:rPr>
        <w:t>s</w:t>
      </w:r>
      <w:r w:rsidRPr="006C1825">
        <w:rPr>
          <w:sz w:val="20"/>
        </w:rPr>
        <w:t xml:space="preserve"> deeper reflection on the subject material over the coming week</w:t>
      </w:r>
      <w:r>
        <w:rPr>
          <w:sz w:val="20"/>
        </w:rPr>
        <w:t xml:space="preserve">. As students engage in this task, it also provides opportunity to gain more </w:t>
      </w:r>
      <w:r w:rsidRPr="006C1825">
        <w:rPr>
          <w:sz w:val="20"/>
        </w:rPr>
        <w:t>experience of reading and evaluating research articles</w:t>
      </w:r>
      <w:r>
        <w:rPr>
          <w:sz w:val="20"/>
        </w:rPr>
        <w:t>, which is a useful skill for the research dissertation.</w:t>
      </w:r>
    </w:p>
    <w:p w14:paraId="21B53699" w14:textId="77777777" w:rsidR="00B05B20" w:rsidRDefault="00B05B20" w:rsidP="00B05B20">
      <w:pPr>
        <w:pStyle w:val="NoSpacing"/>
        <w:jc w:val="both"/>
        <w:rPr>
          <w:rFonts w:ascii="Times New Roman" w:hAnsi="Times New Roman" w:cs="Times New Roman"/>
          <w:sz w:val="20"/>
          <w:szCs w:val="20"/>
        </w:rPr>
      </w:pPr>
    </w:p>
    <w:p w14:paraId="3FFC6220" w14:textId="0421B152" w:rsidR="00B05B20" w:rsidRPr="00897D86" w:rsidRDefault="00B05B20" w:rsidP="00B05B20">
      <w:pPr>
        <w:pStyle w:val="NoSpacing"/>
        <w:jc w:val="center"/>
        <w:rPr>
          <w:rFonts w:ascii="Times New Roman" w:hAnsi="Times New Roman" w:cs="Times New Roman"/>
          <w:b/>
          <w:color w:val="111111"/>
          <w:spacing w:val="-3"/>
          <w:sz w:val="20"/>
          <w:szCs w:val="20"/>
        </w:rPr>
      </w:pPr>
      <w:r w:rsidRPr="00F31E65">
        <w:rPr>
          <w:rFonts w:ascii="Times New Roman" w:hAnsi="Times New Roman" w:cs="Times New Roman"/>
          <w:b/>
          <w:color w:val="111111"/>
          <w:spacing w:val="-3"/>
          <w:sz w:val="20"/>
          <w:szCs w:val="20"/>
        </w:rPr>
        <w:t xml:space="preserve">Exhibit </w:t>
      </w:r>
      <w:r w:rsidR="00D61A10">
        <w:rPr>
          <w:rFonts w:ascii="Times New Roman" w:hAnsi="Times New Roman" w:cs="Times New Roman"/>
          <w:b/>
          <w:color w:val="111111"/>
          <w:spacing w:val="-3"/>
          <w:sz w:val="20"/>
          <w:szCs w:val="20"/>
        </w:rPr>
        <w:t>5</w:t>
      </w:r>
      <w:r w:rsidRPr="00F31E65">
        <w:rPr>
          <w:rFonts w:ascii="Times New Roman" w:hAnsi="Times New Roman" w:cs="Times New Roman"/>
          <w:b/>
          <w:color w:val="111111"/>
          <w:spacing w:val="-3"/>
          <w:sz w:val="20"/>
          <w:szCs w:val="20"/>
        </w:rPr>
        <w:t xml:space="preserve">. </w:t>
      </w:r>
      <w:r>
        <w:rPr>
          <w:rFonts w:ascii="Times New Roman" w:hAnsi="Times New Roman" w:cs="Times New Roman"/>
          <w:b/>
          <w:color w:val="111111"/>
          <w:spacing w:val="-3"/>
          <w:sz w:val="20"/>
          <w:szCs w:val="20"/>
        </w:rPr>
        <w:t>Examples of weekly reading tasks and corresponding questions/points of reflection.</w:t>
      </w:r>
    </w:p>
    <w:p w14:paraId="504D3799" w14:textId="77777777" w:rsidR="00B05B20" w:rsidRDefault="00B05B20" w:rsidP="00B05B20">
      <w:pPr>
        <w:pStyle w:val="NoSpacing"/>
        <w:jc w:val="both"/>
        <w:rPr>
          <w:rFonts w:ascii="Times New Roman" w:hAnsi="Times New Roman" w:cs="Times New Roman"/>
          <w:sz w:val="20"/>
          <w:szCs w:val="20"/>
        </w:rPr>
      </w:pPr>
    </w:p>
    <w:tbl>
      <w:tblPr>
        <w:tblStyle w:val="TableGrid"/>
        <w:tblW w:w="9351" w:type="dxa"/>
        <w:tblLook w:val="04A0" w:firstRow="1" w:lastRow="0" w:firstColumn="1" w:lastColumn="0" w:noHBand="0" w:noVBand="1"/>
      </w:tblPr>
      <w:tblGrid>
        <w:gridCol w:w="3539"/>
        <w:gridCol w:w="5812"/>
      </w:tblGrid>
      <w:tr w:rsidR="00B05B20" w14:paraId="4A0C8BA2" w14:textId="77777777" w:rsidTr="000642C3">
        <w:tc>
          <w:tcPr>
            <w:tcW w:w="3539" w:type="dxa"/>
            <w:shd w:val="pct5" w:color="auto" w:fill="auto"/>
          </w:tcPr>
          <w:p w14:paraId="3D5AB77B" w14:textId="77777777" w:rsidR="00B05B20" w:rsidRPr="00BD593F" w:rsidRDefault="00B05B20" w:rsidP="00865D8A">
            <w:pPr>
              <w:pStyle w:val="NoSpacing"/>
              <w:jc w:val="center"/>
              <w:rPr>
                <w:rFonts w:ascii="Times New Roman" w:hAnsi="Times New Roman" w:cs="Times New Roman"/>
                <w:b/>
                <w:bCs/>
                <w:sz w:val="20"/>
                <w:szCs w:val="20"/>
              </w:rPr>
            </w:pPr>
            <w:r w:rsidRPr="00BD593F">
              <w:rPr>
                <w:rFonts w:ascii="Times New Roman" w:hAnsi="Times New Roman" w:cs="Times New Roman"/>
                <w:b/>
                <w:bCs/>
                <w:sz w:val="20"/>
                <w:szCs w:val="20"/>
              </w:rPr>
              <w:t>Article</w:t>
            </w:r>
          </w:p>
        </w:tc>
        <w:tc>
          <w:tcPr>
            <w:tcW w:w="5812" w:type="dxa"/>
            <w:shd w:val="pct5" w:color="auto" w:fill="auto"/>
          </w:tcPr>
          <w:p w14:paraId="5C3DCDC9" w14:textId="77777777" w:rsidR="00B05B20" w:rsidRPr="00BD593F" w:rsidRDefault="00B05B20" w:rsidP="00865D8A">
            <w:pPr>
              <w:pStyle w:val="NoSpacing"/>
              <w:jc w:val="center"/>
              <w:rPr>
                <w:rFonts w:ascii="Times New Roman" w:hAnsi="Times New Roman" w:cs="Times New Roman"/>
                <w:b/>
                <w:bCs/>
                <w:sz w:val="20"/>
                <w:szCs w:val="20"/>
              </w:rPr>
            </w:pPr>
            <w:r w:rsidRPr="00BD593F">
              <w:rPr>
                <w:rFonts w:ascii="Times New Roman" w:hAnsi="Times New Roman" w:cs="Times New Roman"/>
                <w:b/>
                <w:bCs/>
                <w:sz w:val="20"/>
                <w:szCs w:val="20"/>
              </w:rPr>
              <w:t>Questions/points of reflection</w:t>
            </w:r>
          </w:p>
        </w:tc>
      </w:tr>
      <w:tr w:rsidR="00B05B20" w14:paraId="1770D57F" w14:textId="77777777" w:rsidTr="000642C3">
        <w:tc>
          <w:tcPr>
            <w:tcW w:w="3539" w:type="dxa"/>
          </w:tcPr>
          <w:p w14:paraId="5E55AA1B" w14:textId="77777777" w:rsidR="00B05B20" w:rsidRPr="00BD593F" w:rsidRDefault="00B05B20" w:rsidP="00865D8A">
            <w:pPr>
              <w:pStyle w:val="NoSpacing"/>
              <w:rPr>
                <w:rFonts w:ascii="Times New Roman" w:hAnsi="Times New Roman" w:cs="Times New Roman"/>
                <w:b/>
                <w:bCs/>
                <w:sz w:val="20"/>
                <w:szCs w:val="20"/>
              </w:rPr>
            </w:pPr>
            <w:r w:rsidRPr="00BD593F">
              <w:rPr>
                <w:rFonts w:ascii="Times New Roman" w:hAnsi="Times New Roman" w:cs="Times New Roman"/>
                <w:sz w:val="20"/>
                <w:szCs w:val="20"/>
              </w:rPr>
              <w:t xml:space="preserve">From week # 5: ‘Data </w:t>
            </w:r>
            <w:proofErr w:type="spellStart"/>
            <w:r w:rsidRPr="00BD593F">
              <w:rPr>
                <w:rFonts w:ascii="Times New Roman" w:hAnsi="Times New Roman" w:cs="Times New Roman"/>
                <w:sz w:val="20"/>
                <w:szCs w:val="20"/>
              </w:rPr>
              <w:t>modeling</w:t>
            </w:r>
            <w:proofErr w:type="spellEnd"/>
            <w:r w:rsidRPr="00BD593F">
              <w:rPr>
                <w:rFonts w:ascii="Times New Roman" w:hAnsi="Times New Roman" w:cs="Times New Roman"/>
                <w:sz w:val="20"/>
                <w:szCs w:val="20"/>
              </w:rPr>
              <w:t xml:space="preserve"> versus simulation </w:t>
            </w:r>
            <w:proofErr w:type="spellStart"/>
            <w:r w:rsidRPr="00BD593F">
              <w:rPr>
                <w:rFonts w:ascii="Times New Roman" w:hAnsi="Times New Roman" w:cs="Times New Roman"/>
                <w:sz w:val="20"/>
                <w:szCs w:val="20"/>
              </w:rPr>
              <w:t>modeling</w:t>
            </w:r>
            <w:proofErr w:type="spellEnd"/>
            <w:r w:rsidRPr="00BD593F">
              <w:rPr>
                <w:rFonts w:ascii="Times New Roman" w:hAnsi="Times New Roman" w:cs="Times New Roman"/>
                <w:sz w:val="20"/>
                <w:szCs w:val="20"/>
              </w:rPr>
              <w:t xml:space="preserve"> in the big data era: Case study of a greenhouse control system’ by Kim et al. (2017)</w:t>
            </w:r>
          </w:p>
        </w:tc>
        <w:tc>
          <w:tcPr>
            <w:tcW w:w="5812" w:type="dxa"/>
          </w:tcPr>
          <w:p w14:paraId="176BA900" w14:textId="77777777" w:rsidR="00B05B20" w:rsidRPr="00BD593F" w:rsidRDefault="00B05B20" w:rsidP="00B05B20">
            <w:pPr>
              <w:pStyle w:val="NoSpacing"/>
              <w:numPr>
                <w:ilvl w:val="0"/>
                <w:numId w:val="3"/>
              </w:numPr>
              <w:ind w:left="314" w:hanging="314"/>
              <w:rPr>
                <w:rFonts w:ascii="Times New Roman" w:hAnsi="Times New Roman" w:cs="Times New Roman"/>
                <w:sz w:val="20"/>
                <w:szCs w:val="20"/>
              </w:rPr>
            </w:pPr>
            <w:r w:rsidRPr="00BD593F">
              <w:rPr>
                <w:rFonts w:ascii="Times New Roman" w:hAnsi="Times New Roman" w:cs="Times New Roman"/>
                <w:sz w:val="20"/>
                <w:szCs w:val="20"/>
              </w:rPr>
              <w:t>How does data modelling differ to simulation modelling?</w:t>
            </w:r>
          </w:p>
          <w:p w14:paraId="183F1AA7" w14:textId="77777777" w:rsidR="00B05B20" w:rsidRPr="00BD593F" w:rsidRDefault="00B05B20" w:rsidP="00B05B20">
            <w:pPr>
              <w:pStyle w:val="NoSpacing"/>
              <w:numPr>
                <w:ilvl w:val="0"/>
                <w:numId w:val="3"/>
              </w:numPr>
              <w:ind w:left="314" w:hanging="314"/>
              <w:rPr>
                <w:rFonts w:ascii="Times New Roman" w:hAnsi="Times New Roman" w:cs="Times New Roman"/>
                <w:sz w:val="20"/>
                <w:szCs w:val="20"/>
              </w:rPr>
            </w:pPr>
            <w:r w:rsidRPr="00BD593F">
              <w:rPr>
                <w:rFonts w:ascii="Times New Roman" w:hAnsi="Times New Roman" w:cs="Times New Roman"/>
                <w:sz w:val="20"/>
                <w:szCs w:val="20"/>
              </w:rPr>
              <w:t>How is the proposed modelling framework used in the two applications?</w:t>
            </w:r>
          </w:p>
          <w:p w14:paraId="47EE2E3E" w14:textId="77777777" w:rsidR="00B05B20" w:rsidRPr="00BD593F" w:rsidRDefault="00B05B20" w:rsidP="00B05B20">
            <w:pPr>
              <w:pStyle w:val="NoSpacing"/>
              <w:numPr>
                <w:ilvl w:val="0"/>
                <w:numId w:val="3"/>
              </w:numPr>
              <w:ind w:left="314" w:hanging="314"/>
              <w:rPr>
                <w:rFonts w:ascii="Times New Roman" w:hAnsi="Times New Roman" w:cs="Times New Roman"/>
                <w:sz w:val="20"/>
                <w:szCs w:val="20"/>
              </w:rPr>
            </w:pPr>
            <w:r w:rsidRPr="00BD593F">
              <w:rPr>
                <w:rFonts w:ascii="Times New Roman" w:hAnsi="Times New Roman" w:cs="Times New Roman"/>
                <w:sz w:val="20"/>
                <w:szCs w:val="20"/>
              </w:rPr>
              <w:t>What are the key features of the data modelling approach that is used in the paper?</w:t>
            </w:r>
          </w:p>
        </w:tc>
      </w:tr>
      <w:tr w:rsidR="00B05B20" w14:paraId="17716C56" w14:textId="77777777" w:rsidTr="000642C3">
        <w:tc>
          <w:tcPr>
            <w:tcW w:w="3539" w:type="dxa"/>
          </w:tcPr>
          <w:p w14:paraId="5EBB1BDD" w14:textId="77777777" w:rsidR="00B05B20" w:rsidRPr="00BD593F" w:rsidRDefault="00B05B20" w:rsidP="00865D8A">
            <w:pPr>
              <w:pStyle w:val="NoSpacing"/>
              <w:rPr>
                <w:rFonts w:ascii="Times New Roman" w:hAnsi="Times New Roman" w:cs="Times New Roman"/>
                <w:sz w:val="20"/>
                <w:szCs w:val="20"/>
              </w:rPr>
            </w:pPr>
            <w:r w:rsidRPr="00BD593F">
              <w:rPr>
                <w:rFonts w:ascii="Times New Roman" w:hAnsi="Times New Roman" w:cs="Times New Roman"/>
                <w:sz w:val="20"/>
                <w:szCs w:val="20"/>
              </w:rPr>
              <w:t>From week # 7: ‘Six transformations to achieve the sustainable development goals’ by Sachs et al. (2019)</w:t>
            </w:r>
          </w:p>
        </w:tc>
        <w:tc>
          <w:tcPr>
            <w:tcW w:w="5812" w:type="dxa"/>
          </w:tcPr>
          <w:p w14:paraId="4B28C600" w14:textId="77777777" w:rsidR="00B05B20" w:rsidRPr="00BD593F" w:rsidRDefault="00B05B20" w:rsidP="00B05B20">
            <w:pPr>
              <w:pStyle w:val="NoSpacing"/>
              <w:numPr>
                <w:ilvl w:val="0"/>
                <w:numId w:val="4"/>
              </w:numPr>
              <w:ind w:left="314" w:hanging="314"/>
              <w:rPr>
                <w:rFonts w:ascii="Times New Roman" w:hAnsi="Times New Roman" w:cs="Times New Roman"/>
                <w:sz w:val="20"/>
                <w:szCs w:val="20"/>
              </w:rPr>
            </w:pPr>
            <w:r w:rsidRPr="00BD593F">
              <w:rPr>
                <w:rFonts w:ascii="Times New Roman" w:hAnsi="Times New Roman" w:cs="Times New Roman"/>
                <w:sz w:val="20"/>
                <w:szCs w:val="20"/>
              </w:rPr>
              <w:t>What are the six transformations proposed by the authors?</w:t>
            </w:r>
          </w:p>
          <w:p w14:paraId="7640CA3C" w14:textId="77777777" w:rsidR="00B05B20" w:rsidRPr="00BD593F" w:rsidRDefault="00B05B20" w:rsidP="00B05B20">
            <w:pPr>
              <w:pStyle w:val="NoSpacing"/>
              <w:numPr>
                <w:ilvl w:val="0"/>
                <w:numId w:val="4"/>
              </w:numPr>
              <w:ind w:left="314" w:hanging="314"/>
              <w:rPr>
                <w:rFonts w:ascii="Times New Roman" w:hAnsi="Times New Roman" w:cs="Times New Roman"/>
                <w:sz w:val="20"/>
                <w:szCs w:val="20"/>
              </w:rPr>
            </w:pPr>
            <w:r w:rsidRPr="00BD593F">
              <w:rPr>
                <w:rFonts w:ascii="Times New Roman" w:hAnsi="Times New Roman" w:cs="Times New Roman"/>
                <w:sz w:val="20"/>
                <w:szCs w:val="20"/>
              </w:rPr>
              <w:t>How can the transformations be implemented?</w:t>
            </w:r>
          </w:p>
          <w:p w14:paraId="2E9B50A4" w14:textId="77777777" w:rsidR="00B05B20" w:rsidRPr="00BD593F" w:rsidRDefault="00B05B20" w:rsidP="00B05B20">
            <w:pPr>
              <w:pStyle w:val="NoSpacing"/>
              <w:numPr>
                <w:ilvl w:val="0"/>
                <w:numId w:val="4"/>
              </w:numPr>
              <w:ind w:left="314" w:hanging="314"/>
              <w:rPr>
                <w:rFonts w:ascii="Times New Roman" w:hAnsi="Times New Roman" w:cs="Times New Roman"/>
                <w:sz w:val="20"/>
                <w:szCs w:val="20"/>
              </w:rPr>
            </w:pPr>
            <w:r w:rsidRPr="00BD593F">
              <w:rPr>
                <w:rFonts w:ascii="Times New Roman" w:hAnsi="Times New Roman" w:cs="Times New Roman"/>
                <w:sz w:val="20"/>
                <w:szCs w:val="20"/>
              </w:rPr>
              <w:t xml:space="preserve">Why can’t the transformation </w:t>
            </w:r>
            <w:r w:rsidRPr="00BD593F">
              <w:rPr>
                <w:rFonts w:ascii="Times New Roman" w:hAnsi="Times New Roman" w:cs="Times New Roman"/>
                <w:sz w:val="20"/>
                <w:szCs w:val="20"/>
                <w:lang w:val="en-US"/>
              </w:rPr>
              <w:t>be designed and imposed from the top down?</w:t>
            </w:r>
          </w:p>
        </w:tc>
      </w:tr>
    </w:tbl>
    <w:p w14:paraId="5A031AE1" w14:textId="77777777" w:rsidR="00003111" w:rsidRDefault="00003111" w:rsidP="00B05B20">
      <w:pPr>
        <w:pStyle w:val="NoSpacing"/>
        <w:jc w:val="both"/>
        <w:rPr>
          <w:rFonts w:ascii="Times New Roman" w:hAnsi="Times New Roman" w:cs="Times New Roman"/>
          <w:b/>
          <w:bCs/>
          <w:sz w:val="20"/>
          <w:szCs w:val="20"/>
        </w:rPr>
      </w:pPr>
    </w:p>
    <w:p w14:paraId="7AA6B5D0" w14:textId="1AFF94FB" w:rsidR="00B05B20" w:rsidRPr="00DA1528" w:rsidRDefault="00B05B20" w:rsidP="00B05B20">
      <w:pPr>
        <w:pStyle w:val="NoSpacing"/>
        <w:jc w:val="both"/>
        <w:rPr>
          <w:rFonts w:ascii="Times New Roman" w:hAnsi="Times New Roman" w:cs="Times New Roman"/>
          <w:b/>
          <w:bCs/>
          <w:sz w:val="20"/>
          <w:szCs w:val="20"/>
        </w:rPr>
      </w:pPr>
      <w:r w:rsidRPr="00DA1528">
        <w:rPr>
          <w:rFonts w:ascii="Times New Roman" w:hAnsi="Times New Roman" w:cs="Times New Roman"/>
          <w:b/>
          <w:bCs/>
          <w:sz w:val="20"/>
          <w:szCs w:val="20"/>
        </w:rPr>
        <w:t>Module Assessment</w:t>
      </w:r>
    </w:p>
    <w:p w14:paraId="6899D888" w14:textId="01947A49" w:rsidR="00B05B20" w:rsidRPr="00DA1528" w:rsidRDefault="00B05B20" w:rsidP="00B05B20">
      <w:pPr>
        <w:pStyle w:val="NoSpacing"/>
        <w:jc w:val="both"/>
        <w:rPr>
          <w:rFonts w:ascii="Times New Roman" w:hAnsi="Times New Roman" w:cs="Times New Roman"/>
          <w:sz w:val="20"/>
          <w:szCs w:val="20"/>
        </w:rPr>
      </w:pPr>
      <w:r w:rsidRPr="00DA1528">
        <w:rPr>
          <w:rFonts w:ascii="Times New Roman" w:hAnsi="Times New Roman" w:cs="Times New Roman"/>
          <w:sz w:val="20"/>
          <w:szCs w:val="20"/>
        </w:rPr>
        <w:t xml:space="preserve">The module is </w:t>
      </w:r>
      <w:r w:rsidR="001A108D">
        <w:rPr>
          <w:rFonts w:ascii="Times New Roman" w:hAnsi="Times New Roman" w:cs="Times New Roman"/>
          <w:sz w:val="20"/>
          <w:szCs w:val="20"/>
        </w:rPr>
        <w:t xml:space="preserve">primarily </w:t>
      </w:r>
      <w:r w:rsidRPr="00DA1528">
        <w:rPr>
          <w:rFonts w:ascii="Times New Roman" w:hAnsi="Times New Roman" w:cs="Times New Roman"/>
          <w:sz w:val="20"/>
          <w:szCs w:val="20"/>
        </w:rPr>
        <w:t xml:space="preserve">assessed through coursework </w:t>
      </w:r>
      <w:r>
        <w:rPr>
          <w:rFonts w:ascii="Times New Roman" w:hAnsi="Times New Roman" w:cs="Times New Roman"/>
          <w:sz w:val="20"/>
          <w:szCs w:val="20"/>
        </w:rPr>
        <w:t xml:space="preserve">and </w:t>
      </w:r>
      <w:r w:rsidRPr="00DA1528">
        <w:rPr>
          <w:rFonts w:ascii="Times New Roman" w:hAnsi="Times New Roman" w:cs="Times New Roman"/>
          <w:sz w:val="20"/>
          <w:szCs w:val="20"/>
        </w:rPr>
        <w:t>is based on summative assessment to evaluate students learning and understanding of the nature of research and technical processes as well as professional skills in the area of engineering. This is based on carrying out a feasibility study of the proposed masters level research project</w:t>
      </w:r>
      <w:r>
        <w:rPr>
          <w:rFonts w:ascii="Times New Roman" w:hAnsi="Times New Roman" w:cs="Times New Roman"/>
          <w:sz w:val="20"/>
          <w:szCs w:val="20"/>
        </w:rPr>
        <w:t>, which is to be undertaken in the following semester</w:t>
      </w:r>
      <w:r w:rsidRPr="00DA1528">
        <w:rPr>
          <w:rFonts w:ascii="Times New Roman" w:hAnsi="Times New Roman" w:cs="Times New Roman"/>
          <w:sz w:val="20"/>
          <w:szCs w:val="20"/>
        </w:rPr>
        <w:t>.  The coursework is composed of two main components, which are summarized as follows:</w:t>
      </w:r>
    </w:p>
    <w:p w14:paraId="7114CFDD" w14:textId="77777777" w:rsidR="00B05B20" w:rsidRPr="00DA1528" w:rsidRDefault="00B05B20" w:rsidP="00B05B20">
      <w:pPr>
        <w:pStyle w:val="NoSpacing"/>
        <w:numPr>
          <w:ilvl w:val="0"/>
          <w:numId w:val="10"/>
        </w:numPr>
        <w:jc w:val="both"/>
        <w:rPr>
          <w:rFonts w:ascii="Times New Roman" w:hAnsi="Times New Roman" w:cs="Times New Roman"/>
          <w:sz w:val="20"/>
          <w:szCs w:val="20"/>
        </w:rPr>
      </w:pPr>
      <w:r w:rsidRPr="00EB0DCD">
        <w:rPr>
          <w:rFonts w:ascii="Times New Roman" w:hAnsi="Times New Roman" w:cs="Times New Roman"/>
          <w:i/>
          <w:iCs/>
          <w:sz w:val="20"/>
          <w:szCs w:val="20"/>
        </w:rPr>
        <w:t>Assignment report</w:t>
      </w:r>
      <w:r w:rsidRPr="00DA1528">
        <w:rPr>
          <w:rFonts w:ascii="Times New Roman" w:hAnsi="Times New Roman" w:cs="Times New Roman"/>
          <w:sz w:val="20"/>
          <w:szCs w:val="20"/>
        </w:rPr>
        <w:t xml:space="preserve"> (assessing research and professional skills): This component is assessed through a formal report covering the feasibility study of the proposed research project. The component constitutes 70% of the final mark for the module.</w:t>
      </w:r>
    </w:p>
    <w:p w14:paraId="010591A7" w14:textId="057EB0BD" w:rsidR="00B05B20" w:rsidRPr="00B05B20" w:rsidRDefault="00B05B20" w:rsidP="00B05B20">
      <w:pPr>
        <w:pStyle w:val="NoSpacing"/>
        <w:numPr>
          <w:ilvl w:val="0"/>
          <w:numId w:val="10"/>
        </w:numPr>
        <w:jc w:val="both"/>
        <w:rPr>
          <w:rFonts w:ascii="Times New Roman" w:hAnsi="Times New Roman" w:cs="Times New Roman"/>
          <w:sz w:val="20"/>
          <w:szCs w:val="20"/>
        </w:rPr>
      </w:pPr>
      <w:r w:rsidRPr="00EB0DCD">
        <w:rPr>
          <w:rFonts w:ascii="Times New Roman" w:hAnsi="Times New Roman" w:cs="Times New Roman"/>
          <w:i/>
          <w:iCs/>
          <w:sz w:val="20"/>
          <w:szCs w:val="20"/>
        </w:rPr>
        <w:t>Presentation</w:t>
      </w:r>
      <w:r w:rsidRPr="00DA1528">
        <w:rPr>
          <w:rFonts w:ascii="Times New Roman" w:hAnsi="Times New Roman" w:cs="Times New Roman"/>
          <w:sz w:val="20"/>
          <w:szCs w:val="20"/>
        </w:rPr>
        <w:t xml:space="preserve"> (assessing technical and presentation skills): This component is assessed through a presentation covering the topic of the feasibility study of the proposed research project. The component constitutes 30% of the final mark for the module.</w:t>
      </w:r>
    </w:p>
    <w:p w14:paraId="297423E3" w14:textId="22BE2788" w:rsidR="00B05B20" w:rsidRDefault="00B05B20" w:rsidP="00B05B20">
      <w:pPr>
        <w:pStyle w:val="BodyText2"/>
        <w:ind w:firstLine="360"/>
        <w:rPr>
          <w:sz w:val="20"/>
        </w:rPr>
      </w:pPr>
      <w:r w:rsidRPr="00DA1528">
        <w:rPr>
          <w:sz w:val="20"/>
        </w:rPr>
        <w:t>The requirement for the feasibility study is to assess the viability of the proposed research project. This provides transferrable skills since engineers are typically required to provide feasibility study reports to support the development of engineering projects. The feasibility study should provide analysis of the objectives, requirements and system concepts for the engineering research project.  It is envisaged that the report should assess a number of aspects of the research project, including technology and engineering theory considerations; research methodology considerations; project and risk</w:t>
      </w:r>
      <w:r w:rsidRPr="00DA1528">
        <w:rPr>
          <w:spacing w:val="-1"/>
          <w:sz w:val="20"/>
        </w:rPr>
        <w:t xml:space="preserve"> </w:t>
      </w:r>
      <w:r w:rsidRPr="00DA1528">
        <w:rPr>
          <w:sz w:val="20"/>
        </w:rPr>
        <w:t>considerations; ethical</w:t>
      </w:r>
      <w:r w:rsidRPr="00DA1528">
        <w:rPr>
          <w:spacing w:val="-3"/>
          <w:sz w:val="20"/>
        </w:rPr>
        <w:t xml:space="preserve"> </w:t>
      </w:r>
      <w:r w:rsidRPr="00DA1528">
        <w:rPr>
          <w:sz w:val="20"/>
        </w:rPr>
        <w:t>considerations; wider research impact and potential sustainability considerations; and any other relevant considerations.</w:t>
      </w:r>
      <w:r>
        <w:rPr>
          <w:sz w:val="20"/>
        </w:rPr>
        <w:t xml:space="preserve"> The presentation is based on a short summary of the assignment report and allows demonstration of verbal communication skills. Overall the coursework</w:t>
      </w:r>
      <w:r w:rsidRPr="00D5090C">
        <w:rPr>
          <w:sz w:val="20"/>
        </w:rPr>
        <w:t xml:space="preserve"> (including </w:t>
      </w:r>
      <w:r w:rsidRPr="00D5090C">
        <w:rPr>
          <w:sz w:val="20"/>
        </w:rPr>
        <w:lastRenderedPageBreak/>
        <w:t>report and presentation) is required to assess achievement of learning outcomes across the areas of science and mathematics; engineering analysis; and the economic, legal, social, ethical and environmental context</w:t>
      </w:r>
      <w:r>
        <w:rPr>
          <w:sz w:val="20"/>
        </w:rPr>
        <w:t xml:space="preserve"> of the research</w:t>
      </w:r>
      <w:r w:rsidRPr="00D5090C">
        <w:rPr>
          <w:sz w:val="20"/>
        </w:rPr>
        <w:t>.</w:t>
      </w:r>
    </w:p>
    <w:p w14:paraId="546AA149" w14:textId="3823E237" w:rsidR="00B05B20" w:rsidRPr="00D5090C" w:rsidRDefault="00B05B20" w:rsidP="00B05B20">
      <w:pPr>
        <w:pStyle w:val="BodyText2"/>
        <w:ind w:firstLine="360"/>
        <w:rPr>
          <w:sz w:val="20"/>
        </w:rPr>
      </w:pPr>
      <w:r>
        <w:rPr>
          <w:sz w:val="20"/>
        </w:rPr>
        <w:t xml:space="preserve">The summative assessment described above complements the formative assessment provided throughout the module via the in-class exercises and more detailed tutorial sessions.  Both the exercises and tutorials are required to reinforce learning from the respective lecture session, while having an additional focus on highlighting technology and engineering applications for the research and professional skills and knowledge. For a concise treatment and accompanying theoretical reflections on formative and summative assessment see the work of </w:t>
      </w:r>
      <w:proofErr w:type="spellStart"/>
      <w:r>
        <w:rPr>
          <w:sz w:val="20"/>
        </w:rPr>
        <w:t>Taras</w:t>
      </w:r>
      <w:proofErr w:type="spellEnd"/>
      <w:r>
        <w:rPr>
          <w:sz w:val="20"/>
        </w:rPr>
        <w:t xml:space="preserve"> (</w:t>
      </w:r>
      <w:r w:rsidRPr="00DF29B7">
        <w:rPr>
          <w:sz w:val="20"/>
          <w:lang w:eastAsia="en-GB"/>
        </w:rPr>
        <w:t>2005).</w:t>
      </w:r>
    </w:p>
    <w:p w14:paraId="19BA5D3E" w14:textId="77777777" w:rsidR="00B05B20" w:rsidRPr="00DA1528" w:rsidRDefault="00B05B20" w:rsidP="00B05B20">
      <w:pPr>
        <w:pStyle w:val="NoSpacing"/>
        <w:jc w:val="both"/>
        <w:rPr>
          <w:rFonts w:ascii="Times New Roman" w:hAnsi="Times New Roman" w:cs="Times New Roman"/>
          <w:sz w:val="20"/>
          <w:szCs w:val="20"/>
        </w:rPr>
      </w:pPr>
    </w:p>
    <w:p w14:paraId="1D97C055" w14:textId="77777777" w:rsidR="00B05B20" w:rsidRPr="00855772" w:rsidRDefault="00B05B20" w:rsidP="00B05B20">
      <w:pPr>
        <w:pStyle w:val="NoSpacing"/>
        <w:jc w:val="both"/>
        <w:rPr>
          <w:rFonts w:ascii="Times New Roman" w:hAnsi="Times New Roman" w:cs="Times New Roman"/>
          <w:b/>
          <w:bCs/>
          <w:sz w:val="20"/>
          <w:szCs w:val="20"/>
        </w:rPr>
      </w:pPr>
      <w:r w:rsidRPr="00855772">
        <w:rPr>
          <w:rFonts w:ascii="Times New Roman" w:hAnsi="Times New Roman" w:cs="Times New Roman"/>
          <w:b/>
          <w:bCs/>
          <w:sz w:val="20"/>
          <w:szCs w:val="20"/>
        </w:rPr>
        <w:t xml:space="preserve">Lessons Learned from the </w:t>
      </w:r>
      <w:r>
        <w:rPr>
          <w:rFonts w:ascii="Times New Roman" w:hAnsi="Times New Roman" w:cs="Times New Roman"/>
          <w:b/>
          <w:bCs/>
          <w:sz w:val="20"/>
          <w:szCs w:val="20"/>
        </w:rPr>
        <w:t>C</w:t>
      </w:r>
      <w:r w:rsidRPr="00855772">
        <w:rPr>
          <w:rFonts w:ascii="Times New Roman" w:hAnsi="Times New Roman" w:cs="Times New Roman"/>
          <w:b/>
          <w:bCs/>
          <w:sz w:val="20"/>
          <w:szCs w:val="20"/>
        </w:rPr>
        <w:t>ase</w:t>
      </w:r>
    </w:p>
    <w:p w14:paraId="61BA482E" w14:textId="658528D3" w:rsidR="00B05B20" w:rsidRPr="00855772" w:rsidRDefault="00B05B20" w:rsidP="002D24E2">
      <w:pPr>
        <w:pStyle w:val="NoSpacing"/>
        <w:jc w:val="both"/>
        <w:rPr>
          <w:rFonts w:ascii="Times New Roman" w:hAnsi="Times New Roman" w:cs="Times New Roman"/>
          <w:color w:val="111111"/>
          <w:spacing w:val="-3"/>
          <w:sz w:val="20"/>
          <w:szCs w:val="20"/>
        </w:rPr>
      </w:pPr>
      <w:r w:rsidRPr="00855772">
        <w:rPr>
          <w:rFonts w:ascii="Times New Roman" w:hAnsi="Times New Roman" w:cs="Times New Roman"/>
          <w:color w:val="111111"/>
          <w:spacing w:val="-3"/>
          <w:sz w:val="20"/>
          <w:szCs w:val="20"/>
        </w:rPr>
        <w:t xml:space="preserve">A number of lessons </w:t>
      </w:r>
      <w:r w:rsidRPr="00855772">
        <w:rPr>
          <w:rFonts w:ascii="Times New Roman" w:hAnsi="Times New Roman" w:cs="Times New Roman"/>
          <w:sz w:val="20"/>
          <w:szCs w:val="20"/>
        </w:rPr>
        <w:t xml:space="preserve">learned </w:t>
      </w:r>
      <w:r w:rsidRPr="00855772">
        <w:rPr>
          <w:rFonts w:ascii="Times New Roman" w:hAnsi="Times New Roman" w:cs="Times New Roman"/>
          <w:color w:val="111111"/>
          <w:spacing w:val="-3"/>
          <w:sz w:val="20"/>
          <w:szCs w:val="20"/>
        </w:rPr>
        <w:t xml:space="preserve">and insights </w:t>
      </w:r>
      <w:r w:rsidR="009C3E0E">
        <w:rPr>
          <w:rFonts w:ascii="Times New Roman" w:hAnsi="Times New Roman" w:cs="Times New Roman"/>
          <w:color w:val="111111"/>
          <w:spacing w:val="-3"/>
          <w:sz w:val="20"/>
          <w:szCs w:val="20"/>
        </w:rPr>
        <w:t xml:space="preserve">from the study </w:t>
      </w:r>
      <w:r w:rsidRPr="00855772">
        <w:rPr>
          <w:rFonts w:ascii="Times New Roman" w:hAnsi="Times New Roman" w:cs="Times New Roman"/>
          <w:color w:val="111111"/>
          <w:spacing w:val="-3"/>
          <w:sz w:val="20"/>
          <w:szCs w:val="20"/>
        </w:rPr>
        <w:t>have been identified, which are as follows:</w:t>
      </w:r>
    </w:p>
    <w:p w14:paraId="426FFB9B" w14:textId="2B780DD0" w:rsidR="00B05B20" w:rsidRDefault="00B05B20" w:rsidP="00B05B20">
      <w:pPr>
        <w:pStyle w:val="NoSpacing"/>
        <w:numPr>
          <w:ilvl w:val="0"/>
          <w:numId w:val="11"/>
        </w:numPr>
        <w:jc w:val="both"/>
        <w:rPr>
          <w:rFonts w:ascii="Times New Roman" w:hAnsi="Times New Roman" w:cs="Times New Roman"/>
          <w:sz w:val="20"/>
          <w:szCs w:val="20"/>
        </w:rPr>
      </w:pPr>
      <w:r>
        <w:rPr>
          <w:rFonts w:ascii="Times New Roman" w:hAnsi="Times New Roman" w:cs="Times New Roman"/>
          <w:sz w:val="20"/>
          <w:szCs w:val="20"/>
        </w:rPr>
        <w:t>Employability skills and knowledge of engineering students can be enhanced through the provision of intra-curricular teaching content specifically designed to develop professional skills in areas such as communication (written and oral), team working, project management and ethical standards for engineers.</w:t>
      </w:r>
    </w:p>
    <w:p w14:paraId="5D143C8D" w14:textId="77777777" w:rsidR="00B05B20" w:rsidRDefault="00B05B20" w:rsidP="00B05B20">
      <w:pPr>
        <w:pStyle w:val="NoSpacing"/>
        <w:numPr>
          <w:ilvl w:val="0"/>
          <w:numId w:val="11"/>
        </w:numPr>
        <w:jc w:val="both"/>
        <w:rPr>
          <w:rFonts w:ascii="Times New Roman" w:hAnsi="Times New Roman" w:cs="Times New Roman"/>
          <w:sz w:val="20"/>
          <w:szCs w:val="20"/>
        </w:rPr>
      </w:pPr>
      <w:r>
        <w:rPr>
          <w:rFonts w:ascii="Times New Roman" w:hAnsi="Times New Roman" w:cs="Times New Roman"/>
          <w:sz w:val="20"/>
          <w:szCs w:val="20"/>
        </w:rPr>
        <w:t>Research skills and knowledge of engineering students can be developed through project-based learning, where students undertake a feasibility study of the proposed research project. This approach allows detailed planning in areas such as ideation and definition of research scope, literature review, research methods, data collection and analysis.</w:t>
      </w:r>
    </w:p>
    <w:p w14:paraId="6C63E5DB" w14:textId="4984C2C0" w:rsidR="00B05B20" w:rsidRDefault="00B05B20" w:rsidP="00B05B20">
      <w:pPr>
        <w:pStyle w:val="NoSpacing"/>
        <w:numPr>
          <w:ilvl w:val="0"/>
          <w:numId w:val="11"/>
        </w:numPr>
        <w:jc w:val="both"/>
        <w:rPr>
          <w:rFonts w:ascii="Times New Roman" w:hAnsi="Times New Roman" w:cs="Times New Roman"/>
          <w:sz w:val="20"/>
          <w:szCs w:val="20"/>
        </w:rPr>
      </w:pPr>
      <w:r>
        <w:rPr>
          <w:rFonts w:ascii="Times New Roman" w:hAnsi="Times New Roman" w:cs="Times New Roman"/>
          <w:sz w:val="20"/>
          <w:szCs w:val="20"/>
        </w:rPr>
        <w:t>When delivering teaching content related to research and professional skills for engineering students, it is important to ensure the material is relevant and interesting</w:t>
      </w:r>
      <w:r w:rsidR="002D24E2">
        <w:rPr>
          <w:rFonts w:ascii="Times New Roman" w:hAnsi="Times New Roman" w:cs="Times New Roman"/>
          <w:sz w:val="20"/>
          <w:szCs w:val="20"/>
        </w:rPr>
        <w:t>. Th</w:t>
      </w:r>
      <w:r>
        <w:rPr>
          <w:rFonts w:ascii="Times New Roman" w:hAnsi="Times New Roman" w:cs="Times New Roman"/>
          <w:sz w:val="20"/>
          <w:szCs w:val="20"/>
        </w:rPr>
        <w:t>is can be achieved through inclusion of examples, exercises and tutorial sessions based on technology-based applications, engineering theory and industrial applications.</w:t>
      </w:r>
    </w:p>
    <w:p w14:paraId="4F75ED55" w14:textId="0A311C04" w:rsidR="00B05B20" w:rsidRDefault="00B05B20" w:rsidP="00B05B20">
      <w:pPr>
        <w:pStyle w:val="NoSpacing"/>
        <w:numPr>
          <w:ilvl w:val="0"/>
          <w:numId w:val="11"/>
        </w:numPr>
        <w:jc w:val="both"/>
        <w:rPr>
          <w:rFonts w:ascii="Times New Roman" w:hAnsi="Times New Roman" w:cs="Times New Roman"/>
          <w:sz w:val="20"/>
          <w:szCs w:val="20"/>
        </w:rPr>
      </w:pPr>
      <w:r>
        <w:rPr>
          <w:rFonts w:ascii="Times New Roman" w:hAnsi="Times New Roman" w:cs="Times New Roman"/>
          <w:sz w:val="20"/>
          <w:szCs w:val="20"/>
        </w:rPr>
        <w:t>In order to ensure engineering education is up-to-date, contemporary areas of subject matter can be included, such as sustainability as well as digital technologies associated with Industry 4.0 and digital transformation (such as the internet-of-things</w:t>
      </w:r>
      <w:r w:rsidR="001A108D">
        <w:rPr>
          <w:rFonts w:ascii="Times New Roman" w:hAnsi="Times New Roman" w:cs="Times New Roman"/>
          <w:sz w:val="20"/>
          <w:szCs w:val="20"/>
        </w:rPr>
        <w:t>, augmented reality</w:t>
      </w:r>
      <w:r>
        <w:rPr>
          <w:rFonts w:ascii="Times New Roman" w:hAnsi="Times New Roman" w:cs="Times New Roman"/>
          <w:sz w:val="20"/>
          <w:szCs w:val="20"/>
        </w:rPr>
        <w:t xml:space="preserve"> and artificial intelligence). The inclusion of such </w:t>
      </w:r>
      <w:r w:rsidR="00354079">
        <w:rPr>
          <w:rFonts w:ascii="Times New Roman" w:hAnsi="Times New Roman" w:cs="Times New Roman"/>
          <w:sz w:val="20"/>
          <w:szCs w:val="20"/>
        </w:rPr>
        <w:t>content</w:t>
      </w:r>
      <w:r>
        <w:rPr>
          <w:rFonts w:ascii="Times New Roman" w:hAnsi="Times New Roman" w:cs="Times New Roman"/>
          <w:sz w:val="20"/>
          <w:szCs w:val="20"/>
        </w:rPr>
        <w:t xml:space="preserve"> also increases the level of interest from students in the teaching material since it is topical in nature and relevant to the challenges and opportunities for engineers in modern society.</w:t>
      </w:r>
    </w:p>
    <w:p w14:paraId="7A1EA992" w14:textId="51EB5D0B" w:rsidR="00B05B20" w:rsidRPr="00855772" w:rsidRDefault="00B05B20" w:rsidP="00B05B20">
      <w:pPr>
        <w:pStyle w:val="NoSpacing"/>
        <w:numPr>
          <w:ilvl w:val="0"/>
          <w:numId w:val="11"/>
        </w:numPr>
        <w:jc w:val="both"/>
        <w:rPr>
          <w:rFonts w:ascii="Times New Roman" w:hAnsi="Times New Roman" w:cs="Times New Roman"/>
          <w:sz w:val="20"/>
          <w:szCs w:val="20"/>
        </w:rPr>
      </w:pPr>
      <w:r>
        <w:rPr>
          <w:rFonts w:ascii="Times New Roman" w:hAnsi="Times New Roman" w:cs="Times New Roman"/>
          <w:sz w:val="20"/>
          <w:szCs w:val="20"/>
        </w:rPr>
        <w:t>Achievement of learning outcomes can be supported through integrating tutorial sessions that follow-on directly from the lecture, where the knowledge and understanding developed in the lecture can be demonstrated through the tutorial task. Moreover, didactic delivery of the lecture can be augmented through the team-based work in the tutorials where the lecturer is in more of a facilitating and guiding role.</w:t>
      </w:r>
    </w:p>
    <w:p w14:paraId="055C4220" w14:textId="528414A1" w:rsidR="00B05B20" w:rsidRDefault="00B05B20" w:rsidP="00B05B20">
      <w:pPr>
        <w:pStyle w:val="NoSpacing"/>
        <w:numPr>
          <w:ilvl w:val="0"/>
          <w:numId w:val="11"/>
        </w:numPr>
        <w:jc w:val="both"/>
        <w:rPr>
          <w:rFonts w:ascii="Times New Roman" w:hAnsi="Times New Roman" w:cs="Times New Roman"/>
          <w:sz w:val="20"/>
          <w:szCs w:val="20"/>
        </w:rPr>
      </w:pPr>
      <w:r>
        <w:rPr>
          <w:rFonts w:ascii="Times New Roman" w:hAnsi="Times New Roman" w:cs="Times New Roman"/>
          <w:sz w:val="20"/>
          <w:szCs w:val="20"/>
        </w:rPr>
        <w:t>It is important when developing research skills as well as professional skills that students are able to acquire a suitable level of information literacy in regard to using information technology (IT) tools to plan the proposed research project. Where possible, information literacy can be developed through suitable exercises as well as the provision of guidance and support from academic library services at the university.</w:t>
      </w:r>
    </w:p>
    <w:p w14:paraId="3F61714F" w14:textId="7B7D1BD7" w:rsidR="00B05B20" w:rsidRDefault="00B05B20" w:rsidP="00B05B20">
      <w:pPr>
        <w:pStyle w:val="NoSpacing"/>
        <w:numPr>
          <w:ilvl w:val="0"/>
          <w:numId w:val="11"/>
        </w:numPr>
        <w:jc w:val="both"/>
        <w:rPr>
          <w:rFonts w:ascii="Times New Roman" w:hAnsi="Times New Roman" w:cs="Times New Roman"/>
          <w:sz w:val="20"/>
          <w:szCs w:val="20"/>
        </w:rPr>
      </w:pPr>
      <w:r>
        <w:rPr>
          <w:rFonts w:ascii="Times New Roman" w:hAnsi="Times New Roman" w:cs="Times New Roman"/>
          <w:sz w:val="20"/>
          <w:szCs w:val="20"/>
        </w:rPr>
        <w:t>The inclusion of a weekly reading task provide</w:t>
      </w:r>
      <w:r w:rsidR="008A7ACD">
        <w:rPr>
          <w:rFonts w:ascii="Times New Roman" w:hAnsi="Times New Roman" w:cs="Times New Roman"/>
          <w:sz w:val="20"/>
          <w:szCs w:val="20"/>
        </w:rPr>
        <w:t>s</w:t>
      </w:r>
      <w:r>
        <w:rPr>
          <w:rFonts w:ascii="Times New Roman" w:hAnsi="Times New Roman" w:cs="Times New Roman"/>
          <w:sz w:val="20"/>
          <w:szCs w:val="20"/>
        </w:rPr>
        <w:t xml:space="preserve"> a broader coverage of the engineering subject area and allow</w:t>
      </w:r>
      <w:r w:rsidR="008A7ACD">
        <w:rPr>
          <w:rFonts w:ascii="Times New Roman" w:hAnsi="Times New Roman" w:cs="Times New Roman"/>
          <w:sz w:val="20"/>
          <w:szCs w:val="20"/>
        </w:rPr>
        <w:t>s</w:t>
      </w:r>
      <w:r>
        <w:rPr>
          <w:rFonts w:ascii="Times New Roman" w:hAnsi="Times New Roman" w:cs="Times New Roman"/>
          <w:sz w:val="20"/>
          <w:szCs w:val="20"/>
        </w:rPr>
        <w:t xml:space="preserve"> students to develop experience of engaging with academic literature. This approach reinforces learning of the overall </w:t>
      </w:r>
      <w:r w:rsidR="008A7ACD">
        <w:rPr>
          <w:rFonts w:ascii="Times New Roman" w:hAnsi="Times New Roman" w:cs="Times New Roman"/>
          <w:sz w:val="20"/>
          <w:szCs w:val="20"/>
        </w:rPr>
        <w:t>approach</w:t>
      </w:r>
      <w:r>
        <w:rPr>
          <w:rFonts w:ascii="Times New Roman" w:hAnsi="Times New Roman" w:cs="Times New Roman"/>
          <w:sz w:val="20"/>
          <w:szCs w:val="20"/>
        </w:rPr>
        <w:t xml:space="preserve"> for engineering research through </w:t>
      </w:r>
      <w:r w:rsidR="00B925FA">
        <w:rPr>
          <w:rFonts w:ascii="Times New Roman" w:hAnsi="Times New Roman" w:cs="Times New Roman"/>
          <w:sz w:val="20"/>
          <w:szCs w:val="20"/>
        </w:rPr>
        <w:t xml:space="preserve">in-class </w:t>
      </w:r>
      <w:r>
        <w:rPr>
          <w:rFonts w:ascii="Times New Roman" w:hAnsi="Times New Roman" w:cs="Times New Roman"/>
          <w:sz w:val="20"/>
          <w:szCs w:val="20"/>
        </w:rPr>
        <w:t xml:space="preserve">discussions held on the </w:t>
      </w:r>
      <w:r w:rsidR="00B925FA">
        <w:rPr>
          <w:rFonts w:ascii="Times New Roman" w:hAnsi="Times New Roman" w:cs="Times New Roman"/>
          <w:sz w:val="20"/>
          <w:szCs w:val="20"/>
        </w:rPr>
        <w:t>article</w:t>
      </w:r>
      <w:r>
        <w:rPr>
          <w:rFonts w:ascii="Times New Roman" w:hAnsi="Times New Roman" w:cs="Times New Roman"/>
          <w:sz w:val="20"/>
          <w:szCs w:val="20"/>
        </w:rPr>
        <w:t xml:space="preserve">. </w:t>
      </w:r>
    </w:p>
    <w:p w14:paraId="1844B992" w14:textId="3B068977" w:rsidR="00B05B20" w:rsidRDefault="00B05B20" w:rsidP="00B05B20">
      <w:pPr>
        <w:pStyle w:val="NoSpacing"/>
        <w:numPr>
          <w:ilvl w:val="0"/>
          <w:numId w:val="11"/>
        </w:numPr>
        <w:jc w:val="both"/>
        <w:rPr>
          <w:rFonts w:ascii="Times New Roman" w:hAnsi="Times New Roman" w:cs="Times New Roman"/>
          <w:sz w:val="20"/>
          <w:szCs w:val="20"/>
        </w:rPr>
      </w:pPr>
      <w:r>
        <w:rPr>
          <w:rFonts w:ascii="Times New Roman" w:hAnsi="Times New Roman" w:cs="Times New Roman"/>
          <w:sz w:val="20"/>
          <w:szCs w:val="20"/>
        </w:rPr>
        <w:t>It is important to monitor and evaluate the learning of students according to pre-defined learning outcomes and this can be supported through an integrated assessment framework that includes both formative assessment (in-class exercises and tutorials) combined with summative assessment (coursework based on preparation of the assignment report accompanied by presentation of the report highlights).</w:t>
      </w:r>
    </w:p>
    <w:p w14:paraId="31BF68EF" w14:textId="1242FE33" w:rsidR="00B05B20" w:rsidRDefault="00B05B20" w:rsidP="00B05B20">
      <w:pPr>
        <w:pStyle w:val="BodyText2"/>
        <w:ind w:firstLine="360"/>
        <w:rPr>
          <w:sz w:val="20"/>
          <w:lang w:val="en-GB"/>
        </w:rPr>
      </w:pPr>
    </w:p>
    <w:p w14:paraId="23C96852" w14:textId="2450D29E" w:rsidR="00B05B20" w:rsidRPr="000642C3" w:rsidRDefault="00B05B20" w:rsidP="000642C3">
      <w:pPr>
        <w:pStyle w:val="Heading1"/>
        <w:jc w:val="both"/>
      </w:pPr>
      <w:r w:rsidRPr="00AB4C8C">
        <w:rPr>
          <w:bCs/>
          <w:szCs w:val="24"/>
        </w:rPr>
        <w:t>Conclusions and Future Work</w:t>
      </w:r>
    </w:p>
    <w:p w14:paraId="73311000" w14:textId="3F28E881" w:rsidR="000642C3" w:rsidRPr="000642C3" w:rsidRDefault="00D42650" w:rsidP="000642C3">
      <w:pPr>
        <w:pStyle w:val="NoSpacing"/>
        <w:jc w:val="both"/>
        <w:rPr>
          <w:rFonts w:ascii="Times New Roman" w:hAnsi="Times New Roman" w:cs="Times New Roman"/>
          <w:sz w:val="20"/>
          <w:szCs w:val="20"/>
        </w:rPr>
      </w:pPr>
      <w:r w:rsidRPr="00A25BE7">
        <w:rPr>
          <w:rFonts w:ascii="Times New Roman" w:hAnsi="Times New Roman" w:cs="Times New Roman"/>
          <w:sz w:val="20"/>
          <w:szCs w:val="20"/>
        </w:rPr>
        <w:t xml:space="preserve">Engineers </w:t>
      </w:r>
      <w:r w:rsidR="00A25BE7" w:rsidRPr="00A25BE7">
        <w:rPr>
          <w:rFonts w:ascii="Times New Roman" w:hAnsi="Times New Roman" w:cs="Times New Roman"/>
          <w:sz w:val="20"/>
          <w:szCs w:val="20"/>
        </w:rPr>
        <w:t>are faced with greater levels of technology uncertainty and complexity as part of the current dynamic and competitive industrial environment. In this context, e</w:t>
      </w:r>
      <w:r w:rsidR="00B05B20" w:rsidRPr="00A25BE7">
        <w:rPr>
          <w:rFonts w:ascii="Times New Roman" w:hAnsi="Times New Roman" w:cs="Times New Roman"/>
          <w:sz w:val="20"/>
          <w:szCs w:val="20"/>
        </w:rPr>
        <w:t>ngineering education continues to evolve and respond to both the challenges and opportunities facing academic programs. Such changes should be guided by research on expertise and the learning processes involved in engineering education</w:t>
      </w:r>
      <w:r w:rsidR="00B05B20" w:rsidRPr="00A25BE7">
        <w:rPr>
          <w:rFonts w:ascii="Times New Roman" w:eastAsia="Times New Roman" w:hAnsi="Times New Roman" w:cs="Times New Roman"/>
          <w:sz w:val="20"/>
          <w:szCs w:val="20"/>
          <w:lang w:eastAsia="en-GB"/>
        </w:rPr>
        <w:t>.</w:t>
      </w:r>
      <w:r w:rsidR="00B05B20" w:rsidRPr="00A25BE7">
        <w:rPr>
          <w:rFonts w:ascii="Times New Roman" w:hAnsi="Times New Roman" w:cs="Times New Roman"/>
          <w:sz w:val="20"/>
          <w:szCs w:val="20"/>
        </w:rPr>
        <w:t xml:space="preserve"> While continued development of numerical and science-based knowledge associated with engineering theory as well as the practical application of engineering remains pivotal, engineering education should also seek to develop</w:t>
      </w:r>
      <w:r w:rsidR="00B05B20">
        <w:rPr>
          <w:rFonts w:ascii="Times New Roman" w:hAnsi="Times New Roman" w:cs="Times New Roman"/>
          <w:sz w:val="20"/>
          <w:szCs w:val="20"/>
        </w:rPr>
        <w:t xml:space="preserve"> employability prospects for graduating students. Such employability can be enhanced through gaining professional skills, such as those associated with communication and project management. Additionally, engineering students often need to complete a substantial research project or contribute to a team-based capstone project and therefore the development of research skills is an important requirement for engineering programs. Consequently, delivery of a dedicated module (or class) that focuses on the development of both research and professional skills addresses these requirements and also helps to improve student outcomes on engineering education programs</w:t>
      </w:r>
      <w:r w:rsidR="00334584">
        <w:rPr>
          <w:rFonts w:ascii="Times New Roman" w:hAnsi="Times New Roman" w:cs="Times New Roman"/>
          <w:sz w:val="20"/>
          <w:szCs w:val="20"/>
        </w:rPr>
        <w:t xml:space="preserve"> as well as enhancing long-term career prospects</w:t>
      </w:r>
      <w:r w:rsidR="00B05B20">
        <w:rPr>
          <w:rFonts w:ascii="Times New Roman" w:hAnsi="Times New Roman" w:cs="Times New Roman"/>
          <w:sz w:val="20"/>
          <w:szCs w:val="20"/>
        </w:rPr>
        <w:t>.</w:t>
      </w:r>
    </w:p>
    <w:p w14:paraId="7C767162" w14:textId="148262D8" w:rsidR="000642C3" w:rsidRDefault="00B05B20" w:rsidP="000642C3">
      <w:pPr>
        <w:pStyle w:val="BodyText2"/>
        <w:ind w:firstLine="360"/>
        <w:rPr>
          <w:sz w:val="20"/>
        </w:rPr>
      </w:pPr>
      <w:r>
        <w:rPr>
          <w:sz w:val="20"/>
        </w:rPr>
        <w:lastRenderedPageBreak/>
        <w:t>This research study investigated the need for research and professional skills development in engineering education through a supporting literature review and case study of the technical, research and professional skills module delivered for masters</w:t>
      </w:r>
      <w:r w:rsidR="008A318B">
        <w:rPr>
          <w:sz w:val="20"/>
        </w:rPr>
        <w:t>’</w:t>
      </w:r>
      <w:r>
        <w:rPr>
          <w:sz w:val="20"/>
        </w:rPr>
        <w:t xml:space="preserve"> level </w:t>
      </w:r>
      <w:r w:rsidR="008A318B">
        <w:rPr>
          <w:sz w:val="20"/>
        </w:rPr>
        <w:t xml:space="preserve">engineering </w:t>
      </w:r>
      <w:r>
        <w:rPr>
          <w:sz w:val="20"/>
        </w:rPr>
        <w:t xml:space="preserve">students. The case study involved gathering background on the module and reflection on the design and structuring of the module as well as module assessment and formulation of a set of lessons learned from the delivery of the module over the last several years. </w:t>
      </w:r>
      <w:r w:rsidRPr="006B7544">
        <w:rPr>
          <w:bCs/>
          <w:color w:val="111111"/>
          <w:spacing w:val="-3"/>
          <w:sz w:val="20"/>
        </w:rPr>
        <w:t xml:space="preserve">In regard to employability, the module </w:t>
      </w:r>
      <w:r w:rsidRPr="006B7544">
        <w:rPr>
          <w:sz w:val="20"/>
        </w:rPr>
        <w:t>provides students with skills in planning</w:t>
      </w:r>
      <w:r>
        <w:rPr>
          <w:sz w:val="20"/>
        </w:rPr>
        <w:t xml:space="preserve">, </w:t>
      </w:r>
      <w:r w:rsidRPr="006B7544">
        <w:rPr>
          <w:sz w:val="20"/>
        </w:rPr>
        <w:t xml:space="preserve">execution </w:t>
      </w:r>
      <w:r>
        <w:rPr>
          <w:sz w:val="20"/>
        </w:rPr>
        <w:t xml:space="preserve">and communication </w:t>
      </w:r>
      <w:r w:rsidRPr="006B7544">
        <w:rPr>
          <w:sz w:val="20"/>
        </w:rPr>
        <w:t xml:space="preserve">of </w:t>
      </w:r>
      <w:r>
        <w:rPr>
          <w:sz w:val="20"/>
        </w:rPr>
        <w:t xml:space="preserve">an </w:t>
      </w:r>
      <w:r w:rsidRPr="006B7544">
        <w:rPr>
          <w:sz w:val="20"/>
        </w:rPr>
        <w:t xml:space="preserve">engineering </w:t>
      </w:r>
      <w:r>
        <w:rPr>
          <w:sz w:val="20"/>
        </w:rPr>
        <w:t xml:space="preserve">project </w:t>
      </w:r>
      <w:r w:rsidRPr="006B7544">
        <w:rPr>
          <w:sz w:val="20"/>
        </w:rPr>
        <w:t xml:space="preserve">and utilization of methods for analyzing results and preparing reports as well as the dissemination of the results through report writing and presenting. Additional skills and knowledge related to professional engineering practice </w:t>
      </w:r>
      <w:r>
        <w:rPr>
          <w:sz w:val="20"/>
        </w:rPr>
        <w:t>are</w:t>
      </w:r>
      <w:r w:rsidRPr="006B7544">
        <w:rPr>
          <w:sz w:val="20"/>
        </w:rPr>
        <w:t xml:space="preserve"> provided and these skills are desirable for graduate level </w:t>
      </w:r>
      <w:r w:rsidRPr="006B7544">
        <w:rPr>
          <w:spacing w:val="-42"/>
          <w:sz w:val="20"/>
        </w:rPr>
        <w:t xml:space="preserve"> </w:t>
      </w:r>
      <w:r w:rsidRPr="006B7544">
        <w:rPr>
          <w:sz w:val="20"/>
        </w:rPr>
        <w:t>employment opportunities.</w:t>
      </w:r>
      <w:r>
        <w:rPr>
          <w:bCs/>
          <w:sz w:val="20"/>
        </w:rPr>
        <w:t xml:space="preserve"> </w:t>
      </w:r>
      <w:r>
        <w:rPr>
          <w:sz w:val="20"/>
        </w:rPr>
        <w:t xml:space="preserve">In addition to professional skills development, the module includes a clear focus on the development of research skills and this is underpinned by the formative and summative assessment, where the latter is based on the preparation of a feasibility study report (and presentation) for the proposed research project. The module includes fundamental aspects associated with designing a research project (such as carrying out the literature review, understanding research ethics, developing the research method and data analysis) combined with other broader considerations (such as understanding the potential for research impact and link to sustainability). This approach is augmented with the teaching content being highly focused towards engineering applications based on different areas of science and technology; consequently, the research and professional skills development is tailored and relevant to engineering education. </w:t>
      </w:r>
    </w:p>
    <w:p w14:paraId="2F3A85A7" w14:textId="6916A499" w:rsidR="000642C3" w:rsidRDefault="00B05B20" w:rsidP="000642C3">
      <w:pPr>
        <w:pStyle w:val="BodyText2"/>
        <w:ind w:firstLine="360"/>
        <w:rPr>
          <w:sz w:val="20"/>
        </w:rPr>
      </w:pPr>
      <w:r>
        <w:rPr>
          <w:sz w:val="20"/>
        </w:rPr>
        <w:t xml:space="preserve">Lessons learned have been identified from the case study and this includes aspects associated with developing both research and professional skills, including various insights related to the </w:t>
      </w:r>
      <w:r w:rsidR="00D42650">
        <w:rPr>
          <w:sz w:val="20"/>
        </w:rPr>
        <w:t xml:space="preserve">academic structure and </w:t>
      </w:r>
      <w:r>
        <w:rPr>
          <w:sz w:val="20"/>
        </w:rPr>
        <w:t>pedagogy of the module. The material provided in the case study should be of benefit to practitioners engaged in the development of engineering education and specifically initiatives incorporating an intra-curricular focus on research and professional skills development. The study also seeks to inform future research activities in this area.</w:t>
      </w:r>
    </w:p>
    <w:p w14:paraId="3514D346" w14:textId="1F6C755B" w:rsidR="00B05B20" w:rsidRDefault="00B05B20" w:rsidP="000642C3">
      <w:pPr>
        <w:pStyle w:val="BodyText2"/>
        <w:ind w:firstLine="360"/>
        <w:rPr>
          <w:sz w:val="20"/>
        </w:rPr>
      </w:pPr>
      <w:r>
        <w:rPr>
          <w:sz w:val="20"/>
        </w:rPr>
        <w:t xml:space="preserve">In regard to future research work, it is recommended that further research is carried out </w:t>
      </w:r>
      <w:r w:rsidR="00D42650">
        <w:rPr>
          <w:sz w:val="20"/>
        </w:rPr>
        <w:t xml:space="preserve">on </w:t>
      </w:r>
      <w:r>
        <w:rPr>
          <w:sz w:val="20"/>
        </w:rPr>
        <w:t xml:space="preserve">improving </w:t>
      </w:r>
      <w:r w:rsidR="008A7ACD">
        <w:rPr>
          <w:sz w:val="20"/>
        </w:rPr>
        <w:t>the</w:t>
      </w:r>
      <w:r>
        <w:rPr>
          <w:sz w:val="20"/>
        </w:rPr>
        <w:t xml:space="preserve"> understanding of the different approaches to developing research and professional skills and knowledge in engineering education. This can be achieved through survey-based quantitative studies of multiple academic institutions in order to derive best practice and details on different approaches. Furthermore, research is suggested on clustering the sub-skills and corresponding characteristics that constitute both research and professional skills so that an improved understanding can be developed of the optimal pathway for incorporating this provision into engineering education.</w:t>
      </w:r>
    </w:p>
    <w:p w14:paraId="31DE23CC" w14:textId="32101649" w:rsidR="006B480D" w:rsidRDefault="006B480D" w:rsidP="000642C3">
      <w:pPr>
        <w:pStyle w:val="BodyText2"/>
        <w:ind w:firstLine="360"/>
        <w:rPr>
          <w:sz w:val="20"/>
        </w:rPr>
      </w:pPr>
    </w:p>
    <w:p w14:paraId="141E7D26" w14:textId="77777777" w:rsidR="006B480D" w:rsidRPr="00AA643C" w:rsidRDefault="006B480D" w:rsidP="006B480D">
      <w:pPr>
        <w:pStyle w:val="NoSpacing"/>
        <w:jc w:val="both"/>
        <w:rPr>
          <w:rFonts w:ascii="Times New Roman" w:hAnsi="Times New Roman" w:cs="Times New Roman"/>
          <w:b/>
          <w:bCs/>
          <w:sz w:val="24"/>
          <w:szCs w:val="24"/>
        </w:rPr>
      </w:pPr>
      <w:r w:rsidRPr="00AA643C">
        <w:rPr>
          <w:rFonts w:ascii="Times New Roman" w:hAnsi="Times New Roman" w:cs="Times New Roman"/>
          <w:b/>
          <w:bCs/>
          <w:sz w:val="24"/>
          <w:szCs w:val="24"/>
        </w:rPr>
        <w:t>Acknowledgements</w:t>
      </w:r>
    </w:p>
    <w:p w14:paraId="3F5F9407" w14:textId="77777777" w:rsidR="006B480D" w:rsidRPr="001D761F" w:rsidRDefault="006B480D" w:rsidP="006B480D">
      <w:pPr>
        <w:pStyle w:val="NoSpacing"/>
        <w:jc w:val="both"/>
        <w:rPr>
          <w:rFonts w:ascii="Times New Roman" w:hAnsi="Times New Roman" w:cs="Times New Roman"/>
          <w:sz w:val="20"/>
          <w:szCs w:val="20"/>
        </w:rPr>
      </w:pPr>
      <w:r w:rsidRPr="001D761F">
        <w:rPr>
          <w:rFonts w:ascii="Times New Roman" w:hAnsi="Times New Roman" w:cs="Times New Roman"/>
          <w:sz w:val="20"/>
          <w:szCs w:val="20"/>
        </w:rPr>
        <w:t xml:space="preserve">The author would like to thank Dr. </w:t>
      </w:r>
      <w:proofErr w:type="spellStart"/>
      <w:r w:rsidRPr="001D761F">
        <w:rPr>
          <w:rFonts w:ascii="Times New Roman" w:hAnsi="Times New Roman" w:cs="Times New Roman"/>
          <w:sz w:val="20"/>
          <w:szCs w:val="20"/>
        </w:rPr>
        <w:t>Maziar</w:t>
      </w:r>
      <w:proofErr w:type="spellEnd"/>
      <w:r w:rsidRPr="001D761F">
        <w:rPr>
          <w:rFonts w:ascii="Times New Roman" w:hAnsi="Times New Roman" w:cs="Times New Roman"/>
          <w:sz w:val="20"/>
          <w:szCs w:val="20"/>
        </w:rPr>
        <w:t xml:space="preserve"> </w:t>
      </w:r>
      <w:proofErr w:type="spellStart"/>
      <w:r w:rsidRPr="001D761F">
        <w:rPr>
          <w:rFonts w:ascii="Times New Roman" w:hAnsi="Times New Roman" w:cs="Times New Roman"/>
          <w:sz w:val="20"/>
          <w:szCs w:val="20"/>
        </w:rPr>
        <w:t>Shirkoohi</w:t>
      </w:r>
      <w:proofErr w:type="spellEnd"/>
      <w:r w:rsidRPr="001D761F">
        <w:rPr>
          <w:rFonts w:ascii="Times New Roman" w:hAnsi="Times New Roman" w:cs="Times New Roman"/>
          <w:sz w:val="20"/>
          <w:szCs w:val="20"/>
        </w:rPr>
        <w:t xml:space="preserve"> and Mr. Francis Babayemi for the previous delivery of the TRAPS module in the School of Engineering at London South Bank University.</w:t>
      </w:r>
    </w:p>
    <w:p w14:paraId="06D16787" w14:textId="77777777" w:rsidR="006B480D" w:rsidRDefault="006B480D" w:rsidP="00717F6D">
      <w:pPr>
        <w:pStyle w:val="BodyText2"/>
        <w:rPr>
          <w:sz w:val="20"/>
        </w:rPr>
      </w:pPr>
    </w:p>
    <w:p w14:paraId="04BDB94E" w14:textId="77777777" w:rsidR="007C45C4" w:rsidRPr="00817DF2" w:rsidRDefault="007C45C4" w:rsidP="00817DF2">
      <w:pPr>
        <w:rPr>
          <w:b/>
        </w:rPr>
      </w:pPr>
      <w:r w:rsidRPr="00817DF2">
        <w:rPr>
          <w:b/>
        </w:rPr>
        <w:t>References</w:t>
      </w:r>
    </w:p>
    <w:p w14:paraId="00B0505B" w14:textId="77777777" w:rsidR="000642C3" w:rsidRPr="00910E6C" w:rsidRDefault="000642C3" w:rsidP="000642C3">
      <w:pPr>
        <w:pStyle w:val="Bibliography"/>
        <w:ind w:left="720" w:hanging="720"/>
        <w:rPr>
          <w:sz w:val="20"/>
          <w:lang w:eastAsia="en-GB"/>
        </w:rPr>
      </w:pPr>
      <w:r w:rsidRPr="00910E6C">
        <w:rPr>
          <w:sz w:val="20"/>
          <w:lang w:eastAsia="en-GB"/>
        </w:rPr>
        <w:t xml:space="preserve">Adams, N. E. (2015). Bloom’s taxonomy of cognitive learning objectives. </w:t>
      </w:r>
      <w:r w:rsidRPr="00910E6C">
        <w:rPr>
          <w:i/>
          <w:iCs/>
          <w:sz w:val="20"/>
          <w:lang w:eastAsia="en-GB"/>
        </w:rPr>
        <w:t>Journal of the Medical Library Association: JMLA</w:t>
      </w:r>
      <w:r w:rsidRPr="00910E6C">
        <w:rPr>
          <w:sz w:val="20"/>
          <w:lang w:eastAsia="en-GB"/>
        </w:rPr>
        <w:t xml:space="preserve">, </w:t>
      </w:r>
      <w:r w:rsidRPr="00910E6C">
        <w:rPr>
          <w:i/>
          <w:iCs/>
          <w:sz w:val="20"/>
          <w:lang w:eastAsia="en-GB"/>
        </w:rPr>
        <w:t>103</w:t>
      </w:r>
      <w:r w:rsidRPr="00910E6C">
        <w:rPr>
          <w:sz w:val="20"/>
          <w:lang w:eastAsia="en-GB"/>
        </w:rPr>
        <w:t>(3), 152-153.</w:t>
      </w:r>
    </w:p>
    <w:p w14:paraId="070765F0" w14:textId="77777777" w:rsidR="000642C3" w:rsidRPr="00910E6C" w:rsidRDefault="000642C3" w:rsidP="000642C3">
      <w:pPr>
        <w:pStyle w:val="Bibliography"/>
        <w:ind w:left="720" w:hanging="720"/>
        <w:rPr>
          <w:sz w:val="20"/>
          <w:lang w:eastAsia="en-GB"/>
        </w:rPr>
      </w:pPr>
      <w:r w:rsidRPr="00855772">
        <w:rPr>
          <w:sz w:val="20"/>
          <w:lang w:eastAsia="en-GB"/>
        </w:rPr>
        <w:t>Almanza-</w:t>
      </w:r>
      <w:proofErr w:type="spellStart"/>
      <w:r w:rsidRPr="00855772">
        <w:rPr>
          <w:sz w:val="20"/>
          <w:lang w:eastAsia="en-GB"/>
        </w:rPr>
        <w:t>Arjona</w:t>
      </w:r>
      <w:proofErr w:type="spellEnd"/>
      <w:r w:rsidRPr="00855772">
        <w:rPr>
          <w:sz w:val="20"/>
          <w:lang w:eastAsia="en-GB"/>
        </w:rPr>
        <w:t>, Y. C., Vergara-Porras, B., García-Rivera, B. E., &amp; Venegas-</w:t>
      </w:r>
      <w:proofErr w:type="spellStart"/>
      <w:r w:rsidRPr="00855772">
        <w:rPr>
          <w:sz w:val="20"/>
          <w:lang w:eastAsia="en-GB"/>
        </w:rPr>
        <w:t>Andraca</w:t>
      </w:r>
      <w:proofErr w:type="spellEnd"/>
      <w:r w:rsidRPr="00855772">
        <w:rPr>
          <w:sz w:val="20"/>
          <w:lang w:eastAsia="en-GB"/>
        </w:rPr>
        <w:t xml:space="preserve">, S. E. (2019). </w:t>
      </w:r>
      <w:r w:rsidRPr="00910E6C">
        <w:rPr>
          <w:sz w:val="20"/>
          <w:lang w:val="en-GB" w:eastAsia="en-GB"/>
        </w:rPr>
        <w:t>Research-</w:t>
      </w:r>
      <w:r w:rsidRPr="00910E6C">
        <w:rPr>
          <w:sz w:val="20"/>
          <w:lang w:eastAsia="en-GB"/>
        </w:rPr>
        <w:t xml:space="preserve">Based Approach to Undergraduate Chemical Engineering Education. In </w:t>
      </w:r>
      <w:r w:rsidRPr="00910E6C">
        <w:rPr>
          <w:i/>
          <w:iCs/>
          <w:sz w:val="20"/>
          <w:lang w:eastAsia="en-GB"/>
        </w:rPr>
        <w:t>2019 IEEE Global Engineering Education Conference (EDUCON)</w:t>
      </w:r>
      <w:r w:rsidRPr="00910E6C">
        <w:rPr>
          <w:sz w:val="20"/>
          <w:lang w:eastAsia="en-GB"/>
        </w:rPr>
        <w:t xml:space="preserve"> (pp. 526-534). IEEE.</w:t>
      </w:r>
    </w:p>
    <w:p w14:paraId="41DE687A" w14:textId="77777777" w:rsidR="000642C3" w:rsidRPr="00F767DD" w:rsidRDefault="000642C3" w:rsidP="000642C3">
      <w:pPr>
        <w:pStyle w:val="Bibliography"/>
        <w:ind w:left="720" w:hanging="720"/>
        <w:rPr>
          <w:sz w:val="20"/>
          <w:lang w:eastAsia="en-GB"/>
        </w:rPr>
      </w:pPr>
      <w:proofErr w:type="spellStart"/>
      <w:r w:rsidRPr="00F767DD">
        <w:rPr>
          <w:sz w:val="20"/>
          <w:lang w:val="en-GB" w:eastAsia="en-GB"/>
        </w:rPr>
        <w:t>Baekgaard</w:t>
      </w:r>
      <w:proofErr w:type="spellEnd"/>
      <w:r w:rsidRPr="00F767DD">
        <w:rPr>
          <w:sz w:val="20"/>
          <w:lang w:val="en-GB" w:eastAsia="en-GB"/>
        </w:rPr>
        <w:t xml:space="preserve">, L., &amp; </w:t>
      </w:r>
      <w:proofErr w:type="spellStart"/>
      <w:r w:rsidRPr="00F767DD">
        <w:rPr>
          <w:sz w:val="20"/>
          <w:lang w:val="en-GB" w:eastAsia="en-GB"/>
        </w:rPr>
        <w:t>Lystbaek</w:t>
      </w:r>
      <w:proofErr w:type="spellEnd"/>
      <w:r w:rsidRPr="00F767DD">
        <w:rPr>
          <w:sz w:val="20"/>
          <w:lang w:val="en-GB" w:eastAsia="en-GB"/>
        </w:rPr>
        <w:t xml:space="preserve">, C. T. (2019). </w:t>
      </w:r>
      <w:r w:rsidRPr="00F767DD">
        <w:rPr>
          <w:sz w:val="20"/>
          <w:lang w:eastAsia="en-GB"/>
        </w:rPr>
        <w:t xml:space="preserve">Learning to Do Knowledge Work: A Framework for Teaching Research Design in Engineering Education. </w:t>
      </w:r>
      <w:r w:rsidRPr="00F767DD">
        <w:rPr>
          <w:i/>
          <w:iCs/>
          <w:sz w:val="20"/>
          <w:lang w:eastAsia="en-GB"/>
        </w:rPr>
        <w:t>International Journal of Engineering Education</w:t>
      </w:r>
      <w:r w:rsidRPr="00F767DD">
        <w:rPr>
          <w:sz w:val="20"/>
          <w:lang w:eastAsia="en-GB"/>
        </w:rPr>
        <w:t xml:space="preserve">, </w:t>
      </w:r>
      <w:r w:rsidRPr="00F767DD">
        <w:rPr>
          <w:i/>
          <w:iCs/>
          <w:sz w:val="20"/>
          <w:lang w:eastAsia="en-GB"/>
        </w:rPr>
        <w:t>35</w:t>
      </w:r>
      <w:r w:rsidRPr="00F767DD">
        <w:rPr>
          <w:sz w:val="20"/>
          <w:lang w:eastAsia="en-GB"/>
        </w:rPr>
        <w:t>(1), 333-344.</w:t>
      </w:r>
    </w:p>
    <w:p w14:paraId="0C5AEFD2" w14:textId="77777777" w:rsidR="000642C3" w:rsidRPr="00F767DD" w:rsidRDefault="000642C3" w:rsidP="000642C3">
      <w:pPr>
        <w:pStyle w:val="Bibliography"/>
        <w:ind w:left="720" w:hanging="720"/>
        <w:rPr>
          <w:rStyle w:val="element-citation"/>
          <w:sz w:val="20"/>
        </w:rPr>
      </w:pPr>
      <w:r w:rsidRPr="00F767DD">
        <w:rPr>
          <w:rStyle w:val="element-citation"/>
          <w:sz w:val="20"/>
        </w:rPr>
        <w:t xml:space="preserve">Bloom, B. S. (1956). </w:t>
      </w:r>
      <w:r w:rsidRPr="00F767DD">
        <w:rPr>
          <w:rStyle w:val="ref-journal"/>
          <w:i/>
          <w:iCs/>
          <w:sz w:val="20"/>
        </w:rPr>
        <w:t>Taxonomy of educational objectives: the classification of educational goals</w:t>
      </w:r>
      <w:r w:rsidRPr="00F767DD">
        <w:rPr>
          <w:rStyle w:val="ref-journal"/>
          <w:sz w:val="20"/>
        </w:rPr>
        <w:t>.</w:t>
      </w:r>
      <w:r w:rsidRPr="00F767DD">
        <w:rPr>
          <w:rStyle w:val="element-citation"/>
          <w:sz w:val="20"/>
        </w:rPr>
        <w:t xml:space="preserve"> New York: Longmans, Green.</w:t>
      </w:r>
    </w:p>
    <w:p w14:paraId="17AEFED8" w14:textId="77777777" w:rsidR="000642C3" w:rsidRPr="00F767DD" w:rsidRDefault="000642C3" w:rsidP="000642C3">
      <w:pPr>
        <w:pStyle w:val="Bibliography"/>
        <w:ind w:left="720" w:hanging="720"/>
        <w:rPr>
          <w:sz w:val="20"/>
        </w:rPr>
      </w:pPr>
      <w:r w:rsidRPr="00F767DD">
        <w:rPr>
          <w:sz w:val="20"/>
        </w:rPr>
        <w:t xml:space="preserve">Brundtland, G. H. (1987). Sustainable Development. In: </w:t>
      </w:r>
      <w:r w:rsidRPr="00F767DD">
        <w:rPr>
          <w:i/>
          <w:iCs/>
          <w:sz w:val="20"/>
        </w:rPr>
        <w:t>Our Common Future</w:t>
      </w:r>
      <w:r w:rsidRPr="00F767DD">
        <w:rPr>
          <w:sz w:val="20"/>
        </w:rPr>
        <w:t>, pp. 8–9, Oxford: Oxford University Press.</w:t>
      </w:r>
    </w:p>
    <w:p w14:paraId="2F7356BF" w14:textId="77777777" w:rsidR="000642C3" w:rsidRPr="005E4734" w:rsidRDefault="000642C3" w:rsidP="000642C3">
      <w:pPr>
        <w:pStyle w:val="Bibliography"/>
        <w:ind w:left="720" w:hanging="720"/>
        <w:rPr>
          <w:sz w:val="20"/>
          <w:lang w:val="it-IT"/>
        </w:rPr>
      </w:pPr>
      <w:r w:rsidRPr="00855772">
        <w:rPr>
          <w:sz w:val="20"/>
          <w:lang w:eastAsia="en-GB"/>
        </w:rPr>
        <w:t xml:space="preserve">Campbell, D., Dawes, L., Beck, H., Wallace, S., </w:t>
      </w:r>
      <w:proofErr w:type="spellStart"/>
      <w:r w:rsidRPr="00855772">
        <w:rPr>
          <w:sz w:val="20"/>
          <w:lang w:eastAsia="en-GB"/>
        </w:rPr>
        <w:t>Reidsema</w:t>
      </w:r>
      <w:proofErr w:type="spellEnd"/>
      <w:r w:rsidRPr="00855772">
        <w:rPr>
          <w:sz w:val="20"/>
          <w:lang w:eastAsia="en-GB"/>
        </w:rPr>
        <w:t xml:space="preserve">, C., &amp; </w:t>
      </w:r>
      <w:proofErr w:type="spellStart"/>
      <w:r w:rsidRPr="00855772">
        <w:rPr>
          <w:sz w:val="20"/>
          <w:lang w:eastAsia="en-GB"/>
        </w:rPr>
        <w:t>Dansie</w:t>
      </w:r>
      <w:proofErr w:type="spellEnd"/>
      <w:r w:rsidRPr="00855772">
        <w:rPr>
          <w:sz w:val="20"/>
          <w:lang w:eastAsia="en-GB"/>
        </w:rPr>
        <w:t xml:space="preserve">, B. (2009). An extended CDIO syllabus framework with preparatory engineering proficiencies. In </w:t>
      </w:r>
      <w:r w:rsidRPr="00855772">
        <w:rPr>
          <w:i/>
          <w:iCs/>
          <w:sz w:val="20"/>
          <w:lang w:eastAsia="en-GB"/>
        </w:rPr>
        <w:t>Proceedings of the 5th International CDIO Conference 2009</w:t>
      </w:r>
      <w:r w:rsidRPr="00855772">
        <w:rPr>
          <w:sz w:val="20"/>
          <w:lang w:eastAsia="en-GB"/>
        </w:rPr>
        <w:t xml:space="preserve"> (pp. 1-13). </w:t>
      </w:r>
      <w:r w:rsidRPr="005E4734">
        <w:rPr>
          <w:sz w:val="20"/>
          <w:lang w:val="it-IT" w:eastAsia="en-GB"/>
        </w:rPr>
        <w:t>CDIO.</w:t>
      </w:r>
    </w:p>
    <w:p w14:paraId="76D3B2A7" w14:textId="77777777" w:rsidR="000642C3" w:rsidRPr="00DD7C0E" w:rsidRDefault="000642C3" w:rsidP="000642C3">
      <w:pPr>
        <w:pStyle w:val="Bibliography"/>
        <w:ind w:left="720" w:hanging="720"/>
        <w:rPr>
          <w:sz w:val="20"/>
          <w:lang w:val="en-GB" w:eastAsia="en-GB"/>
        </w:rPr>
      </w:pPr>
      <w:proofErr w:type="spellStart"/>
      <w:r w:rsidRPr="005E4734">
        <w:rPr>
          <w:sz w:val="20"/>
          <w:lang w:val="it-IT" w:eastAsia="en-GB"/>
        </w:rPr>
        <w:t>Ccama-Mamani</w:t>
      </w:r>
      <w:proofErr w:type="spellEnd"/>
      <w:r w:rsidRPr="005E4734">
        <w:rPr>
          <w:sz w:val="20"/>
          <w:lang w:val="it-IT" w:eastAsia="en-GB"/>
        </w:rPr>
        <w:t xml:space="preserve">, K. R., Haro, D. C., Gutierrez, M. R., </w:t>
      </w:r>
      <w:proofErr w:type="spellStart"/>
      <w:r w:rsidRPr="005E4734">
        <w:rPr>
          <w:sz w:val="20"/>
          <w:lang w:val="it-IT" w:eastAsia="en-GB"/>
        </w:rPr>
        <w:t>Palomino</w:t>
      </w:r>
      <w:proofErr w:type="spellEnd"/>
      <w:r w:rsidRPr="005E4734">
        <w:rPr>
          <w:sz w:val="20"/>
          <w:lang w:val="it-IT" w:eastAsia="en-GB"/>
        </w:rPr>
        <w:t xml:space="preserve">-Marcelo, L., &amp; Rodriguez-Reyes, J. C. F. </w:t>
      </w:r>
      <w:r w:rsidRPr="00DD7C0E">
        <w:rPr>
          <w:sz w:val="20"/>
          <w:lang w:val="it-IT" w:eastAsia="en-GB"/>
        </w:rPr>
        <w:t xml:space="preserve">(2021). </w:t>
      </w:r>
      <w:r w:rsidRPr="00DD7C0E">
        <w:rPr>
          <w:sz w:val="20"/>
          <w:lang w:eastAsia="en-GB"/>
        </w:rPr>
        <w:t xml:space="preserve">Improving professional skills in a multidisciplinary team of undergraduate engineering students through project-based learning. In </w:t>
      </w:r>
      <w:r w:rsidRPr="00DD7C0E">
        <w:rPr>
          <w:i/>
          <w:iCs/>
          <w:sz w:val="20"/>
          <w:lang w:eastAsia="en-GB"/>
        </w:rPr>
        <w:t>Journal of Physics: Conference Series</w:t>
      </w:r>
      <w:r w:rsidRPr="00DD7C0E">
        <w:rPr>
          <w:sz w:val="20"/>
          <w:lang w:eastAsia="en-GB"/>
        </w:rPr>
        <w:t xml:space="preserve"> (Vol. 2102, No. 1, p. 012001). </w:t>
      </w:r>
      <w:r w:rsidRPr="00DD7C0E">
        <w:rPr>
          <w:sz w:val="20"/>
          <w:lang w:val="en-GB" w:eastAsia="en-GB"/>
        </w:rPr>
        <w:t>IOP Publishing.</w:t>
      </w:r>
    </w:p>
    <w:p w14:paraId="3279A5A2" w14:textId="77777777" w:rsidR="000642C3" w:rsidRPr="00DD7C0E" w:rsidRDefault="000642C3" w:rsidP="000642C3">
      <w:pPr>
        <w:pStyle w:val="Bibliography"/>
        <w:ind w:left="720" w:hanging="720"/>
        <w:rPr>
          <w:sz w:val="20"/>
          <w:lang w:val="en-GB" w:eastAsia="en-GB"/>
        </w:rPr>
      </w:pPr>
      <w:r w:rsidRPr="00DD7C0E">
        <w:rPr>
          <w:sz w:val="20"/>
          <w:lang w:val="de-DE" w:eastAsia="en-GB"/>
        </w:rPr>
        <w:t xml:space="preserve">Chen, J., </w:t>
      </w:r>
      <w:proofErr w:type="spellStart"/>
      <w:r w:rsidRPr="00DD7C0E">
        <w:rPr>
          <w:sz w:val="20"/>
          <w:lang w:val="de-DE" w:eastAsia="en-GB"/>
        </w:rPr>
        <w:t>Kolmos</w:t>
      </w:r>
      <w:proofErr w:type="spellEnd"/>
      <w:r w:rsidRPr="00DD7C0E">
        <w:rPr>
          <w:sz w:val="20"/>
          <w:lang w:val="de-DE" w:eastAsia="en-GB"/>
        </w:rPr>
        <w:t xml:space="preserve">, A., &amp; Du, X. (2021). </w:t>
      </w:r>
      <w:r w:rsidRPr="00DD7C0E">
        <w:rPr>
          <w:sz w:val="20"/>
          <w:lang w:eastAsia="en-GB"/>
        </w:rPr>
        <w:t xml:space="preserve">Forms of implementation and challenges of PBL in engineering education: a review of literature. </w:t>
      </w:r>
      <w:r w:rsidRPr="00DD7C0E">
        <w:rPr>
          <w:i/>
          <w:iCs/>
          <w:sz w:val="20"/>
          <w:lang w:eastAsia="en-GB"/>
        </w:rPr>
        <w:t>European Journal of Engineering Education</w:t>
      </w:r>
      <w:r w:rsidRPr="00DD7C0E">
        <w:rPr>
          <w:sz w:val="20"/>
          <w:lang w:eastAsia="en-GB"/>
        </w:rPr>
        <w:t xml:space="preserve">, </w:t>
      </w:r>
      <w:r w:rsidRPr="00DD7C0E">
        <w:rPr>
          <w:i/>
          <w:iCs/>
          <w:sz w:val="20"/>
          <w:lang w:eastAsia="en-GB"/>
        </w:rPr>
        <w:t>46</w:t>
      </w:r>
      <w:r w:rsidRPr="00DD7C0E">
        <w:rPr>
          <w:sz w:val="20"/>
          <w:lang w:eastAsia="en-GB"/>
        </w:rPr>
        <w:t>(1), 90-115.</w:t>
      </w:r>
    </w:p>
    <w:p w14:paraId="7FD40027" w14:textId="77777777" w:rsidR="000642C3" w:rsidRPr="00DD7C0E" w:rsidRDefault="000642C3" w:rsidP="000642C3">
      <w:pPr>
        <w:pStyle w:val="Bibliography"/>
        <w:ind w:left="720" w:hanging="720"/>
        <w:rPr>
          <w:sz w:val="20"/>
          <w:lang w:val="en-GB" w:eastAsia="en-GB"/>
        </w:rPr>
      </w:pPr>
      <w:r w:rsidRPr="00DD7C0E">
        <w:rPr>
          <w:sz w:val="20"/>
          <w:lang w:val="en-GB" w:eastAsia="en-GB"/>
        </w:rPr>
        <w:t xml:space="preserve">Cousin, G. (2005). Case study research. </w:t>
      </w:r>
      <w:r w:rsidRPr="00DD7C0E">
        <w:rPr>
          <w:i/>
          <w:iCs/>
          <w:sz w:val="20"/>
          <w:lang w:val="en-GB" w:eastAsia="en-GB"/>
        </w:rPr>
        <w:t>Journal of Geography in Higher Education</w:t>
      </w:r>
      <w:r w:rsidRPr="00DD7C0E">
        <w:rPr>
          <w:sz w:val="20"/>
          <w:lang w:val="en-GB" w:eastAsia="en-GB"/>
        </w:rPr>
        <w:t xml:space="preserve">, </w:t>
      </w:r>
      <w:r w:rsidRPr="00DD7C0E">
        <w:rPr>
          <w:i/>
          <w:iCs/>
          <w:sz w:val="20"/>
          <w:lang w:val="en-GB" w:eastAsia="en-GB"/>
        </w:rPr>
        <w:t>29</w:t>
      </w:r>
      <w:r w:rsidRPr="00DD7C0E">
        <w:rPr>
          <w:sz w:val="20"/>
          <w:lang w:val="en-GB" w:eastAsia="en-GB"/>
        </w:rPr>
        <w:t>(3), 421-427.</w:t>
      </w:r>
    </w:p>
    <w:p w14:paraId="0316E33D" w14:textId="77777777" w:rsidR="000642C3" w:rsidRPr="007806A4" w:rsidRDefault="000642C3" w:rsidP="000642C3">
      <w:pPr>
        <w:pStyle w:val="Bibliography"/>
        <w:ind w:left="720" w:hanging="720"/>
        <w:rPr>
          <w:sz w:val="20"/>
          <w:lang w:eastAsia="en-GB"/>
        </w:rPr>
      </w:pPr>
      <w:r w:rsidRPr="00DD7C0E">
        <w:rPr>
          <w:sz w:val="20"/>
          <w:lang w:eastAsia="en-GB"/>
        </w:rPr>
        <w:lastRenderedPageBreak/>
        <w:t xml:space="preserve">Crawley, E. F., </w:t>
      </w:r>
      <w:proofErr w:type="spellStart"/>
      <w:r w:rsidRPr="00DD7C0E">
        <w:rPr>
          <w:sz w:val="20"/>
          <w:lang w:eastAsia="en-GB"/>
        </w:rPr>
        <w:t>Malmqvist</w:t>
      </w:r>
      <w:proofErr w:type="spellEnd"/>
      <w:r w:rsidRPr="00DD7C0E">
        <w:rPr>
          <w:sz w:val="20"/>
          <w:lang w:eastAsia="en-GB"/>
        </w:rPr>
        <w:t>,</w:t>
      </w:r>
      <w:r w:rsidRPr="007806A4">
        <w:rPr>
          <w:sz w:val="20"/>
          <w:lang w:eastAsia="en-GB"/>
        </w:rPr>
        <w:t xml:space="preserve"> J., </w:t>
      </w:r>
      <w:proofErr w:type="spellStart"/>
      <w:r w:rsidRPr="007806A4">
        <w:rPr>
          <w:sz w:val="20"/>
          <w:lang w:eastAsia="en-GB"/>
        </w:rPr>
        <w:t>Östlund</w:t>
      </w:r>
      <w:proofErr w:type="spellEnd"/>
      <w:r w:rsidRPr="007806A4">
        <w:rPr>
          <w:sz w:val="20"/>
          <w:lang w:eastAsia="en-GB"/>
        </w:rPr>
        <w:t xml:space="preserve">, S., Brodeur, D. R., &amp; </w:t>
      </w:r>
      <w:proofErr w:type="spellStart"/>
      <w:r w:rsidRPr="007806A4">
        <w:rPr>
          <w:sz w:val="20"/>
          <w:lang w:eastAsia="en-GB"/>
        </w:rPr>
        <w:t>Edström</w:t>
      </w:r>
      <w:proofErr w:type="spellEnd"/>
      <w:r w:rsidRPr="007806A4">
        <w:rPr>
          <w:sz w:val="20"/>
          <w:lang w:eastAsia="en-GB"/>
        </w:rPr>
        <w:t xml:space="preserve">, K. (2014). The CDIO approach. In </w:t>
      </w:r>
      <w:r w:rsidRPr="007806A4">
        <w:rPr>
          <w:i/>
          <w:iCs/>
          <w:sz w:val="20"/>
          <w:lang w:eastAsia="en-GB"/>
        </w:rPr>
        <w:t>Rethinking engineering education</w:t>
      </w:r>
      <w:r w:rsidRPr="007806A4">
        <w:rPr>
          <w:sz w:val="20"/>
          <w:lang w:eastAsia="en-GB"/>
        </w:rPr>
        <w:t xml:space="preserve"> (pp. 11-45). Springer, Cham.</w:t>
      </w:r>
    </w:p>
    <w:p w14:paraId="2018536F" w14:textId="77777777" w:rsidR="000642C3" w:rsidRPr="007806A4" w:rsidRDefault="000642C3" w:rsidP="000642C3">
      <w:pPr>
        <w:pStyle w:val="Bibliography"/>
        <w:ind w:left="720" w:hanging="720"/>
        <w:rPr>
          <w:sz w:val="20"/>
          <w:lang w:eastAsia="en-GB"/>
        </w:rPr>
      </w:pPr>
      <w:r w:rsidRPr="007806A4">
        <w:rPr>
          <w:sz w:val="20"/>
          <w:lang w:eastAsia="en-GB"/>
        </w:rPr>
        <w:t xml:space="preserve">Cruz, M. L., Saunders-Smits, G. N., &amp; Groen, P. (2020). Evaluation of competency methods in engineering education: a systematic review. </w:t>
      </w:r>
      <w:r w:rsidRPr="007806A4">
        <w:rPr>
          <w:i/>
          <w:iCs/>
          <w:sz w:val="20"/>
          <w:lang w:eastAsia="en-GB"/>
        </w:rPr>
        <w:t>European Journal of Engineering Education</w:t>
      </w:r>
      <w:r w:rsidRPr="007806A4">
        <w:rPr>
          <w:sz w:val="20"/>
          <w:lang w:eastAsia="en-GB"/>
        </w:rPr>
        <w:t xml:space="preserve">, </w:t>
      </w:r>
      <w:r w:rsidRPr="007806A4">
        <w:rPr>
          <w:i/>
          <w:iCs/>
          <w:sz w:val="20"/>
          <w:lang w:eastAsia="en-GB"/>
        </w:rPr>
        <w:t>45</w:t>
      </w:r>
      <w:r w:rsidRPr="007806A4">
        <w:rPr>
          <w:sz w:val="20"/>
          <w:lang w:eastAsia="en-GB"/>
        </w:rPr>
        <w:t>(5), 729-757.</w:t>
      </w:r>
    </w:p>
    <w:p w14:paraId="60458C9C" w14:textId="77777777" w:rsidR="000642C3" w:rsidRPr="007806A4" w:rsidRDefault="000642C3" w:rsidP="000642C3">
      <w:pPr>
        <w:pStyle w:val="Bibliography"/>
        <w:ind w:left="720" w:hanging="720"/>
        <w:rPr>
          <w:sz w:val="20"/>
          <w:lang w:val="en-GB" w:eastAsia="en-GB"/>
        </w:rPr>
      </w:pPr>
      <w:r w:rsidRPr="007806A4">
        <w:rPr>
          <w:sz w:val="20"/>
          <w:lang w:val="en-GB" w:eastAsia="en-GB"/>
        </w:rPr>
        <w:t xml:space="preserve">Eisenhardt, K. M. (1989). Building theories from case study research. </w:t>
      </w:r>
      <w:r w:rsidRPr="007806A4">
        <w:rPr>
          <w:i/>
          <w:iCs/>
          <w:sz w:val="20"/>
          <w:lang w:val="en-GB" w:eastAsia="en-GB"/>
        </w:rPr>
        <w:t>Academy of Management Review</w:t>
      </w:r>
      <w:r w:rsidRPr="007806A4">
        <w:rPr>
          <w:sz w:val="20"/>
          <w:lang w:val="en-GB" w:eastAsia="en-GB"/>
        </w:rPr>
        <w:t xml:space="preserve">, </w:t>
      </w:r>
      <w:r w:rsidRPr="007806A4">
        <w:rPr>
          <w:i/>
          <w:iCs/>
          <w:sz w:val="20"/>
          <w:lang w:val="en-GB" w:eastAsia="en-GB"/>
        </w:rPr>
        <w:t>14</w:t>
      </w:r>
      <w:r w:rsidRPr="007806A4">
        <w:rPr>
          <w:sz w:val="20"/>
          <w:lang w:val="en-GB" w:eastAsia="en-GB"/>
        </w:rPr>
        <w:t>(4), 532-550.</w:t>
      </w:r>
    </w:p>
    <w:p w14:paraId="673031DC" w14:textId="77777777" w:rsidR="000642C3" w:rsidRPr="006A61F3" w:rsidRDefault="000642C3" w:rsidP="000642C3">
      <w:pPr>
        <w:pStyle w:val="Bibliography"/>
        <w:ind w:left="720" w:hanging="720"/>
        <w:rPr>
          <w:sz w:val="20"/>
          <w:lang w:val="en-GB" w:eastAsia="en-GB"/>
        </w:rPr>
      </w:pPr>
      <w:r w:rsidRPr="007806A4">
        <w:rPr>
          <w:rFonts w:eastAsiaTheme="minorEastAsia"/>
          <w:sz w:val="20"/>
          <w:lang w:eastAsia="en-GB"/>
        </w:rPr>
        <w:t xml:space="preserve">Elkington, J. (1998). Partnerships from cannibals with forks: The triple bottom line of 21st‐century business. </w:t>
      </w:r>
      <w:r w:rsidRPr="006A61F3">
        <w:rPr>
          <w:rFonts w:eastAsiaTheme="minorEastAsia"/>
          <w:i/>
          <w:iCs/>
          <w:sz w:val="20"/>
          <w:lang w:eastAsia="en-GB"/>
        </w:rPr>
        <w:t>Environmental Quality Management</w:t>
      </w:r>
      <w:r w:rsidRPr="006A61F3">
        <w:rPr>
          <w:rFonts w:eastAsiaTheme="minorEastAsia"/>
          <w:sz w:val="20"/>
          <w:lang w:eastAsia="en-GB"/>
        </w:rPr>
        <w:t xml:space="preserve">, </w:t>
      </w:r>
      <w:r w:rsidRPr="006A61F3">
        <w:rPr>
          <w:rFonts w:eastAsiaTheme="minorEastAsia"/>
          <w:i/>
          <w:iCs/>
          <w:sz w:val="20"/>
          <w:lang w:eastAsia="en-GB"/>
        </w:rPr>
        <w:t>8</w:t>
      </w:r>
      <w:r w:rsidRPr="006A61F3">
        <w:rPr>
          <w:rFonts w:eastAsiaTheme="minorEastAsia"/>
          <w:sz w:val="20"/>
          <w:lang w:eastAsia="en-GB"/>
        </w:rPr>
        <w:t>(1), 37-51.</w:t>
      </w:r>
    </w:p>
    <w:p w14:paraId="3EF5A20F" w14:textId="77777777" w:rsidR="000642C3" w:rsidRPr="006A61F3" w:rsidRDefault="000642C3" w:rsidP="000642C3">
      <w:pPr>
        <w:pStyle w:val="Bibliography"/>
        <w:ind w:left="720" w:hanging="720"/>
        <w:rPr>
          <w:sz w:val="20"/>
          <w:lang w:eastAsia="en-GB"/>
        </w:rPr>
      </w:pPr>
      <w:r w:rsidRPr="006A61F3">
        <w:rPr>
          <w:sz w:val="20"/>
          <w:lang w:val="en-GB" w:eastAsia="en-GB"/>
        </w:rPr>
        <w:t xml:space="preserve">Feldmann, L., &amp; Feldmann, J. (2000). </w:t>
      </w:r>
      <w:r w:rsidRPr="006A61F3">
        <w:rPr>
          <w:sz w:val="20"/>
          <w:lang w:eastAsia="en-GB"/>
        </w:rPr>
        <w:t xml:space="preserve">Developing information literacy skills in freshmen engineering technology students. In </w:t>
      </w:r>
      <w:r w:rsidRPr="006A61F3">
        <w:rPr>
          <w:i/>
          <w:iCs/>
          <w:sz w:val="20"/>
          <w:lang w:eastAsia="en-GB"/>
        </w:rPr>
        <w:t>30th Annual Frontiers in Education Conference. Building on A Century of Progress in Engineering Education. Conference Proceedings (IEEE Cat. No. 00CH37135)</w:t>
      </w:r>
      <w:r w:rsidRPr="006A61F3">
        <w:rPr>
          <w:sz w:val="20"/>
          <w:lang w:eastAsia="en-GB"/>
        </w:rPr>
        <w:t xml:space="preserve"> (Vol. 2, pp. S2E-1). IEEE.</w:t>
      </w:r>
    </w:p>
    <w:p w14:paraId="7056EAD2" w14:textId="77777777" w:rsidR="000642C3" w:rsidRPr="006A61F3" w:rsidRDefault="000642C3" w:rsidP="000642C3">
      <w:pPr>
        <w:pStyle w:val="Bibliography"/>
        <w:ind w:left="720" w:hanging="720"/>
        <w:rPr>
          <w:sz w:val="20"/>
          <w:lang w:eastAsia="en-GB"/>
        </w:rPr>
      </w:pPr>
      <w:proofErr w:type="spellStart"/>
      <w:r w:rsidRPr="006A61F3">
        <w:rPr>
          <w:sz w:val="20"/>
        </w:rPr>
        <w:t>Flyvbjerg</w:t>
      </w:r>
      <w:proofErr w:type="spellEnd"/>
      <w:r w:rsidRPr="006A61F3">
        <w:rPr>
          <w:sz w:val="20"/>
        </w:rPr>
        <w:t xml:space="preserve">, B. (2011). Case study. </w:t>
      </w:r>
      <w:r w:rsidRPr="006A61F3">
        <w:rPr>
          <w:i/>
          <w:iCs/>
          <w:sz w:val="20"/>
        </w:rPr>
        <w:t xml:space="preserve">The Sage </w:t>
      </w:r>
      <w:r>
        <w:rPr>
          <w:i/>
          <w:iCs/>
          <w:sz w:val="20"/>
        </w:rPr>
        <w:t>H</w:t>
      </w:r>
      <w:r w:rsidRPr="006A61F3">
        <w:rPr>
          <w:i/>
          <w:iCs/>
          <w:sz w:val="20"/>
        </w:rPr>
        <w:t xml:space="preserve">andbook of </w:t>
      </w:r>
      <w:r>
        <w:rPr>
          <w:i/>
          <w:iCs/>
          <w:sz w:val="20"/>
        </w:rPr>
        <w:t>Q</w:t>
      </w:r>
      <w:r w:rsidRPr="006A61F3">
        <w:rPr>
          <w:i/>
          <w:iCs/>
          <w:sz w:val="20"/>
        </w:rPr>
        <w:t xml:space="preserve">ualitative </w:t>
      </w:r>
      <w:r>
        <w:rPr>
          <w:i/>
          <w:iCs/>
          <w:sz w:val="20"/>
        </w:rPr>
        <w:t>R</w:t>
      </w:r>
      <w:r w:rsidRPr="006A61F3">
        <w:rPr>
          <w:i/>
          <w:iCs/>
          <w:sz w:val="20"/>
        </w:rPr>
        <w:t>esearch</w:t>
      </w:r>
      <w:r w:rsidRPr="006A61F3">
        <w:rPr>
          <w:sz w:val="20"/>
        </w:rPr>
        <w:t xml:space="preserve">, </w:t>
      </w:r>
      <w:r w:rsidRPr="006A61F3">
        <w:rPr>
          <w:i/>
          <w:iCs/>
          <w:sz w:val="20"/>
        </w:rPr>
        <w:t>4</w:t>
      </w:r>
      <w:r w:rsidRPr="006A61F3">
        <w:rPr>
          <w:sz w:val="20"/>
        </w:rPr>
        <w:t>, 301-316.</w:t>
      </w:r>
    </w:p>
    <w:p w14:paraId="517B5E2B" w14:textId="77777777" w:rsidR="000642C3" w:rsidRPr="009903CA" w:rsidRDefault="000642C3" w:rsidP="000642C3">
      <w:pPr>
        <w:pStyle w:val="Bibliography"/>
        <w:ind w:left="720" w:hanging="720"/>
        <w:rPr>
          <w:sz w:val="20"/>
          <w:lang w:eastAsia="en-GB"/>
        </w:rPr>
      </w:pPr>
      <w:proofErr w:type="spellStart"/>
      <w:r w:rsidRPr="006A61F3">
        <w:rPr>
          <w:sz w:val="20"/>
          <w:lang w:eastAsia="en-GB"/>
        </w:rPr>
        <w:t>Gorshkova</w:t>
      </w:r>
      <w:proofErr w:type="spellEnd"/>
      <w:r w:rsidRPr="006A61F3">
        <w:rPr>
          <w:sz w:val="20"/>
          <w:lang w:eastAsia="en-GB"/>
        </w:rPr>
        <w:t xml:space="preserve">, O. O. (2017). Preparing students for research activities in the context of competence-oriented </w:t>
      </w:r>
      <w:r w:rsidRPr="009903CA">
        <w:rPr>
          <w:sz w:val="20"/>
          <w:lang w:eastAsia="en-GB"/>
        </w:rPr>
        <w:t xml:space="preserve">engineering education. </w:t>
      </w:r>
      <w:r w:rsidRPr="009903CA">
        <w:rPr>
          <w:i/>
          <w:iCs/>
          <w:sz w:val="20"/>
          <w:lang w:eastAsia="en-GB"/>
        </w:rPr>
        <w:t>Journal of Fundamental and Applied Sciences</w:t>
      </w:r>
      <w:r w:rsidRPr="009903CA">
        <w:rPr>
          <w:sz w:val="20"/>
          <w:lang w:eastAsia="en-GB"/>
        </w:rPr>
        <w:t xml:space="preserve">, </w:t>
      </w:r>
      <w:r w:rsidRPr="009903CA">
        <w:rPr>
          <w:i/>
          <w:iCs/>
          <w:sz w:val="20"/>
          <w:lang w:eastAsia="en-GB"/>
        </w:rPr>
        <w:t>9</w:t>
      </w:r>
      <w:r w:rsidRPr="009903CA">
        <w:rPr>
          <w:sz w:val="20"/>
          <w:lang w:eastAsia="en-GB"/>
        </w:rPr>
        <w:t>(2S), 1445-1467.</w:t>
      </w:r>
    </w:p>
    <w:p w14:paraId="04D87669" w14:textId="77777777" w:rsidR="000642C3" w:rsidRPr="009903CA" w:rsidRDefault="000642C3" w:rsidP="000642C3">
      <w:pPr>
        <w:pStyle w:val="Bibliography"/>
        <w:ind w:left="720" w:hanging="720"/>
        <w:rPr>
          <w:sz w:val="20"/>
          <w:lang w:eastAsia="en-GB"/>
        </w:rPr>
      </w:pPr>
      <w:r w:rsidRPr="009903CA">
        <w:rPr>
          <w:sz w:val="20"/>
          <w:lang w:eastAsia="en-GB"/>
        </w:rPr>
        <w:t xml:space="preserve">Greenhalgh, T., Raftery, J., </w:t>
      </w:r>
      <w:proofErr w:type="spellStart"/>
      <w:r w:rsidRPr="009903CA">
        <w:rPr>
          <w:sz w:val="20"/>
          <w:lang w:eastAsia="en-GB"/>
        </w:rPr>
        <w:t>Hanney</w:t>
      </w:r>
      <w:proofErr w:type="spellEnd"/>
      <w:r w:rsidRPr="009903CA">
        <w:rPr>
          <w:sz w:val="20"/>
          <w:lang w:eastAsia="en-GB"/>
        </w:rPr>
        <w:t xml:space="preserve">, S., &amp; Glover, M. (2016). Research impact: a narrative review. </w:t>
      </w:r>
      <w:r w:rsidRPr="009903CA">
        <w:rPr>
          <w:i/>
          <w:iCs/>
          <w:sz w:val="20"/>
          <w:lang w:eastAsia="en-GB"/>
        </w:rPr>
        <w:t>BMC Medicine</w:t>
      </w:r>
      <w:r w:rsidRPr="009903CA">
        <w:rPr>
          <w:sz w:val="20"/>
          <w:lang w:eastAsia="en-GB"/>
        </w:rPr>
        <w:t xml:space="preserve">, </w:t>
      </w:r>
      <w:r w:rsidRPr="009903CA">
        <w:rPr>
          <w:i/>
          <w:iCs/>
          <w:sz w:val="20"/>
          <w:lang w:eastAsia="en-GB"/>
        </w:rPr>
        <w:t>14</w:t>
      </w:r>
      <w:r w:rsidRPr="009903CA">
        <w:rPr>
          <w:sz w:val="20"/>
          <w:lang w:eastAsia="en-GB"/>
        </w:rPr>
        <w:t>(1), 1-16.</w:t>
      </w:r>
    </w:p>
    <w:p w14:paraId="7F434500" w14:textId="77777777" w:rsidR="000642C3" w:rsidRPr="009903CA" w:rsidRDefault="000642C3" w:rsidP="000642C3">
      <w:pPr>
        <w:pStyle w:val="Bibliography"/>
        <w:ind w:left="720" w:hanging="720"/>
        <w:rPr>
          <w:sz w:val="20"/>
          <w:lang w:eastAsia="en-GB"/>
        </w:rPr>
      </w:pPr>
      <w:proofErr w:type="spellStart"/>
      <w:r w:rsidRPr="009903CA">
        <w:rPr>
          <w:sz w:val="20"/>
          <w:lang w:val="en-GB" w:eastAsia="en-GB"/>
        </w:rPr>
        <w:t>Hadgraft</w:t>
      </w:r>
      <w:proofErr w:type="spellEnd"/>
      <w:r w:rsidRPr="009903CA">
        <w:rPr>
          <w:sz w:val="20"/>
          <w:lang w:val="en-GB" w:eastAsia="en-GB"/>
        </w:rPr>
        <w:t xml:space="preserve">, R. G., &amp; </w:t>
      </w:r>
      <w:proofErr w:type="spellStart"/>
      <w:r w:rsidRPr="009903CA">
        <w:rPr>
          <w:sz w:val="20"/>
          <w:lang w:val="en-GB" w:eastAsia="en-GB"/>
        </w:rPr>
        <w:t>Kolmos</w:t>
      </w:r>
      <w:proofErr w:type="spellEnd"/>
      <w:r w:rsidRPr="009903CA">
        <w:rPr>
          <w:sz w:val="20"/>
          <w:lang w:val="en-GB" w:eastAsia="en-GB"/>
        </w:rPr>
        <w:t xml:space="preserve">, A. (2020). </w:t>
      </w:r>
      <w:r w:rsidRPr="009903CA">
        <w:rPr>
          <w:sz w:val="20"/>
          <w:lang w:eastAsia="en-GB"/>
        </w:rPr>
        <w:t xml:space="preserve">Emerging learning environments in engineering education. </w:t>
      </w:r>
      <w:r w:rsidRPr="009903CA">
        <w:rPr>
          <w:i/>
          <w:iCs/>
          <w:sz w:val="20"/>
          <w:lang w:eastAsia="en-GB"/>
        </w:rPr>
        <w:t>Australasian Journal of Engineering Education</w:t>
      </w:r>
      <w:r w:rsidRPr="009903CA">
        <w:rPr>
          <w:sz w:val="20"/>
          <w:lang w:eastAsia="en-GB"/>
        </w:rPr>
        <w:t xml:space="preserve">, </w:t>
      </w:r>
      <w:r w:rsidRPr="009903CA">
        <w:rPr>
          <w:i/>
          <w:iCs/>
          <w:sz w:val="20"/>
          <w:lang w:eastAsia="en-GB"/>
        </w:rPr>
        <w:t>25</w:t>
      </w:r>
      <w:r w:rsidRPr="009903CA">
        <w:rPr>
          <w:sz w:val="20"/>
          <w:lang w:eastAsia="en-GB"/>
        </w:rPr>
        <w:t>(1), 3-16.</w:t>
      </w:r>
    </w:p>
    <w:p w14:paraId="52BB0D4E" w14:textId="77777777" w:rsidR="000642C3" w:rsidRPr="009903CA" w:rsidRDefault="000642C3" w:rsidP="000642C3">
      <w:pPr>
        <w:pStyle w:val="Bibliography"/>
        <w:ind w:left="720" w:hanging="720"/>
        <w:rPr>
          <w:sz w:val="20"/>
          <w:lang w:eastAsia="en-GB"/>
        </w:rPr>
      </w:pPr>
      <w:r w:rsidRPr="009903CA">
        <w:rPr>
          <w:sz w:val="20"/>
          <w:lang w:eastAsia="en-GB"/>
        </w:rPr>
        <w:t xml:space="preserve">Host, M., Feldt, R., &amp; </w:t>
      </w:r>
      <w:proofErr w:type="spellStart"/>
      <w:r w:rsidRPr="009903CA">
        <w:rPr>
          <w:sz w:val="20"/>
          <w:lang w:eastAsia="en-GB"/>
        </w:rPr>
        <w:t>Luders</w:t>
      </w:r>
      <w:proofErr w:type="spellEnd"/>
      <w:r w:rsidRPr="009903CA">
        <w:rPr>
          <w:sz w:val="20"/>
          <w:lang w:eastAsia="en-GB"/>
        </w:rPr>
        <w:t xml:space="preserve">, F. (2009). Support for different roles in software engineering master's thesis projects. </w:t>
      </w:r>
      <w:r w:rsidRPr="009903CA">
        <w:rPr>
          <w:i/>
          <w:iCs/>
          <w:sz w:val="20"/>
          <w:lang w:eastAsia="en-GB"/>
        </w:rPr>
        <w:t>IEEE Transactions on Education</w:t>
      </w:r>
      <w:r w:rsidRPr="009903CA">
        <w:rPr>
          <w:sz w:val="20"/>
          <w:lang w:eastAsia="en-GB"/>
        </w:rPr>
        <w:t xml:space="preserve">, </w:t>
      </w:r>
      <w:r w:rsidRPr="009903CA">
        <w:rPr>
          <w:i/>
          <w:iCs/>
          <w:sz w:val="20"/>
          <w:lang w:eastAsia="en-GB"/>
        </w:rPr>
        <w:t>53</w:t>
      </w:r>
      <w:r w:rsidRPr="009903CA">
        <w:rPr>
          <w:sz w:val="20"/>
          <w:lang w:eastAsia="en-GB"/>
        </w:rPr>
        <w:t>(2), 288-296.</w:t>
      </w:r>
    </w:p>
    <w:p w14:paraId="6CFA505C" w14:textId="77777777" w:rsidR="000642C3" w:rsidRPr="009903CA" w:rsidRDefault="000642C3" w:rsidP="000642C3">
      <w:pPr>
        <w:pStyle w:val="Bibliography"/>
        <w:ind w:left="720" w:hanging="720"/>
        <w:rPr>
          <w:rStyle w:val="markedcontent"/>
          <w:sz w:val="20"/>
        </w:rPr>
      </w:pPr>
      <w:r w:rsidRPr="009903CA">
        <w:rPr>
          <w:sz w:val="20"/>
          <w:lang w:eastAsia="en-GB"/>
        </w:rPr>
        <w:t xml:space="preserve">Institution of Engineering and Technology (2015). </w:t>
      </w:r>
      <w:r w:rsidRPr="009903CA">
        <w:rPr>
          <w:rStyle w:val="markedcontent"/>
          <w:i/>
          <w:iCs/>
          <w:sz w:val="20"/>
        </w:rPr>
        <w:t>Guidance on how to meet the learning outcome</w:t>
      </w:r>
      <w:r w:rsidRPr="009903CA">
        <w:rPr>
          <w:i/>
          <w:iCs/>
          <w:sz w:val="20"/>
        </w:rPr>
        <w:t xml:space="preserve"> </w:t>
      </w:r>
      <w:r w:rsidRPr="009903CA">
        <w:rPr>
          <w:rStyle w:val="markedcontent"/>
          <w:i/>
          <w:iCs/>
          <w:sz w:val="20"/>
        </w:rPr>
        <w:t>requirements for accreditation</w:t>
      </w:r>
      <w:r w:rsidRPr="009903CA">
        <w:rPr>
          <w:rStyle w:val="markedcontent"/>
          <w:sz w:val="20"/>
        </w:rPr>
        <w:t xml:space="preserve">, </w:t>
      </w:r>
      <w:hyperlink r:id="rId10" w:history="1">
        <w:r w:rsidRPr="009903CA">
          <w:rPr>
            <w:rStyle w:val="Hyperlink"/>
            <w:sz w:val="20"/>
          </w:rPr>
          <w:t>https://www.theiet.org/media/6274/guidance-on-meeting-ahep-learning-outcomes.pdf</w:t>
        </w:r>
      </w:hyperlink>
      <w:r w:rsidRPr="009903CA">
        <w:rPr>
          <w:rStyle w:val="markedcontent"/>
          <w:sz w:val="20"/>
        </w:rPr>
        <w:t>. IET (date accessed: 30</w:t>
      </w:r>
      <w:r w:rsidRPr="009903CA">
        <w:rPr>
          <w:rStyle w:val="markedcontent"/>
          <w:sz w:val="20"/>
          <w:vertAlign w:val="superscript"/>
        </w:rPr>
        <w:t>th</w:t>
      </w:r>
      <w:r w:rsidRPr="009903CA">
        <w:rPr>
          <w:rStyle w:val="markedcontent"/>
          <w:sz w:val="20"/>
        </w:rPr>
        <w:t xml:space="preserve"> March 2022).</w:t>
      </w:r>
    </w:p>
    <w:p w14:paraId="59E9D042" w14:textId="77777777" w:rsidR="000642C3" w:rsidRPr="009903CA" w:rsidRDefault="000642C3" w:rsidP="000642C3">
      <w:pPr>
        <w:pStyle w:val="Bibliography"/>
        <w:ind w:left="720" w:hanging="720"/>
        <w:rPr>
          <w:sz w:val="20"/>
        </w:rPr>
      </w:pPr>
      <w:r w:rsidRPr="009903CA">
        <w:rPr>
          <w:sz w:val="20"/>
          <w:lang w:eastAsia="en-GB"/>
        </w:rPr>
        <w:t xml:space="preserve">Institution of Engineering and Technology (2020). </w:t>
      </w:r>
      <w:r w:rsidRPr="009903CA">
        <w:rPr>
          <w:i/>
          <w:iCs/>
          <w:sz w:val="20"/>
        </w:rPr>
        <w:t>Academic accreditation: Information pack for higher education institutions, academic accreditors and professional engineering institution staff</w:t>
      </w:r>
      <w:r w:rsidRPr="009903CA">
        <w:rPr>
          <w:sz w:val="20"/>
        </w:rPr>
        <w:t xml:space="preserve">, </w:t>
      </w:r>
      <w:hyperlink r:id="rId11" w:history="1">
        <w:r w:rsidRPr="009903CA">
          <w:rPr>
            <w:rStyle w:val="Hyperlink"/>
            <w:sz w:val="20"/>
          </w:rPr>
          <w:t>https://www.theiet.org/media/6273/accreditation-information-pack.pdf</w:t>
        </w:r>
      </w:hyperlink>
      <w:r w:rsidRPr="009903CA">
        <w:rPr>
          <w:sz w:val="20"/>
        </w:rPr>
        <w:t xml:space="preserve">. </w:t>
      </w:r>
      <w:r w:rsidRPr="009903CA">
        <w:rPr>
          <w:rStyle w:val="markedcontent"/>
          <w:sz w:val="20"/>
        </w:rPr>
        <w:t>IET (date accessed: 30</w:t>
      </w:r>
      <w:r w:rsidRPr="009903CA">
        <w:rPr>
          <w:rStyle w:val="markedcontent"/>
          <w:sz w:val="20"/>
          <w:vertAlign w:val="superscript"/>
        </w:rPr>
        <w:t>th</w:t>
      </w:r>
      <w:r w:rsidRPr="009903CA">
        <w:rPr>
          <w:rStyle w:val="markedcontent"/>
          <w:sz w:val="20"/>
        </w:rPr>
        <w:t xml:space="preserve"> March 2022).</w:t>
      </w:r>
    </w:p>
    <w:p w14:paraId="79E7511C" w14:textId="77777777" w:rsidR="000642C3" w:rsidRPr="009903CA" w:rsidRDefault="000642C3" w:rsidP="000642C3">
      <w:pPr>
        <w:pStyle w:val="Bibliography"/>
        <w:ind w:left="720" w:hanging="720"/>
        <w:rPr>
          <w:sz w:val="20"/>
        </w:rPr>
      </w:pPr>
      <w:r w:rsidRPr="003F2E57">
        <w:rPr>
          <w:sz w:val="20"/>
          <w:lang w:val="en-GB" w:eastAsia="en-GB"/>
        </w:rPr>
        <w:t xml:space="preserve">Kim, B. S., Kang, B. G., Choi, S. H., &amp; Kim, T. G. (2017). </w:t>
      </w:r>
      <w:r w:rsidRPr="009903CA">
        <w:rPr>
          <w:sz w:val="20"/>
          <w:lang w:eastAsia="en-GB"/>
        </w:rPr>
        <w:t xml:space="preserve">Data modeling versus simulation modeling in the big data era: case study of a greenhouse control system. </w:t>
      </w:r>
      <w:r w:rsidRPr="009903CA">
        <w:rPr>
          <w:i/>
          <w:iCs/>
          <w:sz w:val="20"/>
          <w:lang w:eastAsia="en-GB"/>
        </w:rPr>
        <w:t>Simulation</w:t>
      </w:r>
      <w:r w:rsidRPr="009903CA">
        <w:rPr>
          <w:sz w:val="20"/>
          <w:lang w:eastAsia="en-GB"/>
        </w:rPr>
        <w:t xml:space="preserve">, </w:t>
      </w:r>
      <w:r w:rsidRPr="009903CA">
        <w:rPr>
          <w:i/>
          <w:iCs/>
          <w:sz w:val="20"/>
          <w:lang w:eastAsia="en-GB"/>
        </w:rPr>
        <w:t>93</w:t>
      </w:r>
      <w:r w:rsidRPr="009903CA">
        <w:rPr>
          <w:sz w:val="20"/>
          <w:lang w:eastAsia="en-GB"/>
        </w:rPr>
        <w:t>(7), 579-594.</w:t>
      </w:r>
    </w:p>
    <w:p w14:paraId="3A1F96E8" w14:textId="77777777" w:rsidR="000642C3" w:rsidRPr="009E1A5E" w:rsidRDefault="000642C3" w:rsidP="000642C3">
      <w:pPr>
        <w:pStyle w:val="Bibliography"/>
        <w:ind w:left="720" w:hanging="720"/>
        <w:rPr>
          <w:sz w:val="20"/>
          <w:lang w:eastAsia="en-GB"/>
        </w:rPr>
      </w:pPr>
      <w:r w:rsidRPr="009903CA">
        <w:rPr>
          <w:sz w:val="20"/>
          <w:lang w:val="en-GB" w:eastAsia="en-GB"/>
        </w:rPr>
        <w:t xml:space="preserve">Kulkarni, S., Patil, S., &amp; Pawar, R. (2020). </w:t>
      </w:r>
      <w:r w:rsidRPr="009903CA">
        <w:rPr>
          <w:sz w:val="20"/>
          <w:lang w:eastAsia="en-GB"/>
        </w:rPr>
        <w:t>Adoption of the Conceive-Design-Implement-Operate approach to the Third Year Project in</w:t>
      </w:r>
      <w:r w:rsidRPr="009E1A5E">
        <w:rPr>
          <w:sz w:val="20"/>
          <w:lang w:eastAsia="en-GB"/>
        </w:rPr>
        <w:t xml:space="preserve"> a team-based design-build environment. </w:t>
      </w:r>
      <w:r w:rsidRPr="009E1A5E">
        <w:rPr>
          <w:i/>
          <w:iCs/>
          <w:sz w:val="20"/>
          <w:lang w:eastAsia="en-GB"/>
        </w:rPr>
        <w:t>Procedia Computer Science</w:t>
      </w:r>
      <w:r w:rsidRPr="009E1A5E">
        <w:rPr>
          <w:sz w:val="20"/>
          <w:lang w:eastAsia="en-GB"/>
        </w:rPr>
        <w:t xml:space="preserve">, </w:t>
      </w:r>
      <w:r w:rsidRPr="009E1A5E">
        <w:rPr>
          <w:i/>
          <w:iCs/>
          <w:sz w:val="20"/>
          <w:lang w:eastAsia="en-GB"/>
        </w:rPr>
        <w:t>172</w:t>
      </w:r>
      <w:r w:rsidRPr="009E1A5E">
        <w:rPr>
          <w:sz w:val="20"/>
          <w:lang w:eastAsia="en-GB"/>
        </w:rPr>
        <w:t>, 559-567.</w:t>
      </w:r>
    </w:p>
    <w:p w14:paraId="68ED264F" w14:textId="77777777" w:rsidR="000642C3" w:rsidRPr="00165877" w:rsidRDefault="000642C3" w:rsidP="000642C3">
      <w:pPr>
        <w:pStyle w:val="Bibliography"/>
        <w:ind w:left="720" w:hanging="720"/>
        <w:rPr>
          <w:sz w:val="20"/>
          <w:lang w:eastAsia="en-GB"/>
        </w:rPr>
      </w:pPr>
      <w:r w:rsidRPr="009E1A5E">
        <w:rPr>
          <w:sz w:val="20"/>
          <w:lang w:eastAsia="en-GB"/>
        </w:rPr>
        <w:t>Leslie, L. J., Gorman, P. C., &amp; Junaid, S. (2021). Conceive-design-implement-operate (</w:t>
      </w:r>
      <w:proofErr w:type="spellStart"/>
      <w:r w:rsidRPr="009E1A5E">
        <w:rPr>
          <w:sz w:val="20"/>
          <w:lang w:eastAsia="en-GB"/>
        </w:rPr>
        <w:t>cdio</w:t>
      </w:r>
      <w:proofErr w:type="spellEnd"/>
      <w:r w:rsidRPr="009E1A5E">
        <w:rPr>
          <w:sz w:val="20"/>
          <w:lang w:eastAsia="en-GB"/>
        </w:rPr>
        <w:t xml:space="preserve">) as an effective </w:t>
      </w:r>
      <w:r w:rsidRPr="00165877">
        <w:rPr>
          <w:sz w:val="20"/>
          <w:lang w:eastAsia="en-GB"/>
        </w:rPr>
        <w:t xml:space="preserve">learning framework for embedding professional skills. </w:t>
      </w:r>
      <w:r w:rsidRPr="00165877">
        <w:rPr>
          <w:i/>
          <w:iCs/>
          <w:sz w:val="20"/>
          <w:lang w:eastAsia="en-GB"/>
        </w:rPr>
        <w:t>International Journal of Engineering Education</w:t>
      </w:r>
      <w:r w:rsidRPr="00165877">
        <w:rPr>
          <w:sz w:val="20"/>
          <w:lang w:eastAsia="en-GB"/>
        </w:rPr>
        <w:t xml:space="preserve">, </w:t>
      </w:r>
      <w:r w:rsidRPr="00165877">
        <w:rPr>
          <w:i/>
          <w:iCs/>
          <w:sz w:val="20"/>
          <w:lang w:eastAsia="en-GB"/>
        </w:rPr>
        <w:t>37</w:t>
      </w:r>
      <w:r w:rsidRPr="00165877">
        <w:rPr>
          <w:sz w:val="20"/>
          <w:lang w:eastAsia="en-GB"/>
        </w:rPr>
        <w:t>(5), 1289-1299.</w:t>
      </w:r>
    </w:p>
    <w:p w14:paraId="6CE39158" w14:textId="77777777" w:rsidR="000642C3" w:rsidRPr="00165877" w:rsidRDefault="000642C3" w:rsidP="000642C3">
      <w:pPr>
        <w:pStyle w:val="Bibliography"/>
        <w:ind w:left="720" w:hanging="720"/>
        <w:rPr>
          <w:sz w:val="20"/>
          <w:lang w:eastAsia="en-GB"/>
        </w:rPr>
      </w:pPr>
      <w:r w:rsidRPr="00165877">
        <w:rPr>
          <w:sz w:val="20"/>
          <w:lang w:val="en-GB" w:eastAsia="en-GB"/>
        </w:rPr>
        <w:t xml:space="preserve">Lino, F. J., &amp; Duarte, T. P. (2011). </w:t>
      </w:r>
      <w:r w:rsidRPr="00165877">
        <w:rPr>
          <w:sz w:val="20"/>
          <w:lang w:eastAsia="en-GB"/>
        </w:rPr>
        <w:t xml:space="preserve">Research skills enhancement in future mechanical engineers. In </w:t>
      </w:r>
      <w:r w:rsidRPr="00165877">
        <w:rPr>
          <w:i/>
          <w:iCs/>
          <w:sz w:val="20"/>
          <w:lang w:eastAsia="en-GB"/>
        </w:rPr>
        <w:t>2011 IEEE Global Engineering Education Conference (EDUCON)</w:t>
      </w:r>
      <w:r w:rsidRPr="00165877">
        <w:rPr>
          <w:sz w:val="20"/>
          <w:lang w:eastAsia="en-GB"/>
        </w:rPr>
        <w:t xml:space="preserve"> (pp. 1088-1095). IEEE.</w:t>
      </w:r>
    </w:p>
    <w:p w14:paraId="02DE9BDC" w14:textId="77777777" w:rsidR="000642C3" w:rsidRPr="009E1A5E" w:rsidRDefault="000642C3" w:rsidP="000642C3">
      <w:pPr>
        <w:pStyle w:val="Bibliography"/>
        <w:ind w:left="720" w:hanging="720"/>
        <w:rPr>
          <w:sz w:val="20"/>
          <w:lang w:eastAsia="en-GB"/>
        </w:rPr>
      </w:pPr>
      <w:r w:rsidRPr="009E1A5E">
        <w:rPr>
          <w:sz w:val="20"/>
          <w:lang w:eastAsia="en-GB"/>
        </w:rPr>
        <w:t xml:space="preserve">Makarova, I., Mustafina, J., </w:t>
      </w:r>
      <w:proofErr w:type="spellStart"/>
      <w:r w:rsidRPr="009E1A5E">
        <w:rPr>
          <w:sz w:val="20"/>
          <w:lang w:eastAsia="en-GB"/>
        </w:rPr>
        <w:t>Buyvol</w:t>
      </w:r>
      <w:proofErr w:type="spellEnd"/>
      <w:r w:rsidRPr="009E1A5E">
        <w:rPr>
          <w:sz w:val="20"/>
          <w:lang w:eastAsia="en-GB"/>
        </w:rPr>
        <w:t xml:space="preserve">, P., </w:t>
      </w:r>
      <w:proofErr w:type="spellStart"/>
      <w:r w:rsidRPr="009E1A5E">
        <w:rPr>
          <w:sz w:val="20"/>
          <w:lang w:eastAsia="en-GB"/>
        </w:rPr>
        <w:t>Mukhametdinov</w:t>
      </w:r>
      <w:proofErr w:type="spellEnd"/>
      <w:r w:rsidRPr="009E1A5E">
        <w:rPr>
          <w:sz w:val="20"/>
          <w:lang w:eastAsia="en-GB"/>
        </w:rPr>
        <w:t xml:space="preserve">, E., &amp; </w:t>
      </w:r>
      <w:proofErr w:type="spellStart"/>
      <w:r w:rsidRPr="009E1A5E">
        <w:rPr>
          <w:sz w:val="20"/>
          <w:lang w:eastAsia="en-GB"/>
        </w:rPr>
        <w:t>Mavrin</w:t>
      </w:r>
      <w:proofErr w:type="spellEnd"/>
      <w:r w:rsidRPr="009E1A5E">
        <w:rPr>
          <w:sz w:val="20"/>
          <w:lang w:eastAsia="en-GB"/>
        </w:rPr>
        <w:t xml:space="preserve">, V. (2021). Digitalization of Engineering Education in Training for Industry 4.0. In </w:t>
      </w:r>
      <w:r w:rsidRPr="009E1A5E">
        <w:rPr>
          <w:i/>
          <w:iCs/>
          <w:sz w:val="20"/>
          <w:lang w:eastAsia="en-GB"/>
        </w:rPr>
        <w:t>International Conference on Interactive Collaborative Learning</w:t>
      </w:r>
      <w:r w:rsidRPr="009E1A5E">
        <w:rPr>
          <w:sz w:val="20"/>
          <w:lang w:eastAsia="en-GB"/>
        </w:rPr>
        <w:t xml:space="preserve"> (pp. 797-809). Springer, Cham.</w:t>
      </w:r>
    </w:p>
    <w:p w14:paraId="310E0723" w14:textId="77777777" w:rsidR="000642C3" w:rsidRPr="009E1A5E" w:rsidRDefault="000642C3" w:rsidP="000642C3">
      <w:pPr>
        <w:pStyle w:val="Bibliography"/>
        <w:ind w:left="720" w:hanging="720"/>
        <w:rPr>
          <w:sz w:val="20"/>
          <w:lang w:eastAsia="en-GB"/>
        </w:rPr>
      </w:pPr>
      <w:r w:rsidRPr="00F13185">
        <w:rPr>
          <w:sz w:val="20"/>
          <w:lang w:eastAsia="en-GB"/>
        </w:rPr>
        <w:t xml:space="preserve">Marcum, J. W. (2002). Rethinking information literacy. </w:t>
      </w:r>
      <w:r w:rsidRPr="00F13185">
        <w:rPr>
          <w:i/>
          <w:iCs/>
          <w:sz w:val="20"/>
          <w:lang w:eastAsia="en-GB"/>
        </w:rPr>
        <w:t xml:space="preserve">The </w:t>
      </w:r>
      <w:r w:rsidRPr="009E1A5E">
        <w:rPr>
          <w:i/>
          <w:iCs/>
          <w:sz w:val="20"/>
          <w:lang w:eastAsia="en-GB"/>
        </w:rPr>
        <w:t>L</w:t>
      </w:r>
      <w:r w:rsidRPr="00F13185">
        <w:rPr>
          <w:i/>
          <w:iCs/>
          <w:sz w:val="20"/>
          <w:lang w:eastAsia="en-GB"/>
        </w:rPr>
        <w:t xml:space="preserve">ibrary </w:t>
      </w:r>
      <w:r w:rsidRPr="009E1A5E">
        <w:rPr>
          <w:i/>
          <w:iCs/>
          <w:sz w:val="20"/>
          <w:lang w:eastAsia="en-GB"/>
        </w:rPr>
        <w:t>Q</w:t>
      </w:r>
      <w:r w:rsidRPr="00F13185">
        <w:rPr>
          <w:i/>
          <w:iCs/>
          <w:sz w:val="20"/>
          <w:lang w:eastAsia="en-GB"/>
        </w:rPr>
        <w:t>uarterly</w:t>
      </w:r>
      <w:r w:rsidRPr="00F13185">
        <w:rPr>
          <w:sz w:val="20"/>
          <w:lang w:eastAsia="en-GB"/>
        </w:rPr>
        <w:t xml:space="preserve">, </w:t>
      </w:r>
      <w:r w:rsidRPr="00F13185">
        <w:rPr>
          <w:i/>
          <w:iCs/>
          <w:sz w:val="20"/>
          <w:lang w:eastAsia="en-GB"/>
        </w:rPr>
        <w:t>72</w:t>
      </w:r>
      <w:r w:rsidRPr="00F13185">
        <w:rPr>
          <w:sz w:val="20"/>
          <w:lang w:eastAsia="en-GB"/>
        </w:rPr>
        <w:t>(1), 1-26.</w:t>
      </w:r>
    </w:p>
    <w:p w14:paraId="023496BF" w14:textId="77777777" w:rsidR="000642C3" w:rsidRPr="00473E7F" w:rsidRDefault="000642C3" w:rsidP="000642C3">
      <w:pPr>
        <w:pStyle w:val="Bibliography"/>
        <w:ind w:left="720" w:hanging="720"/>
        <w:rPr>
          <w:sz w:val="20"/>
          <w:lang w:eastAsia="en-GB"/>
        </w:rPr>
      </w:pPr>
      <w:proofErr w:type="spellStart"/>
      <w:r w:rsidRPr="009E1A5E">
        <w:rPr>
          <w:sz w:val="20"/>
          <w:lang w:val="it-IT" w:eastAsia="en-GB"/>
        </w:rPr>
        <w:t>Palacin</w:t>
      </w:r>
      <w:proofErr w:type="spellEnd"/>
      <w:r w:rsidRPr="009E1A5E">
        <w:rPr>
          <w:sz w:val="20"/>
          <w:lang w:val="it-IT" w:eastAsia="en-GB"/>
        </w:rPr>
        <w:t>-Silva, M. V.,</w:t>
      </w:r>
      <w:r w:rsidRPr="00F13185">
        <w:rPr>
          <w:sz w:val="20"/>
          <w:lang w:val="it-IT" w:eastAsia="en-GB"/>
        </w:rPr>
        <w:t xml:space="preserve"> </w:t>
      </w:r>
      <w:proofErr w:type="spellStart"/>
      <w:r w:rsidRPr="00F13185">
        <w:rPr>
          <w:sz w:val="20"/>
          <w:lang w:val="it-IT" w:eastAsia="en-GB"/>
        </w:rPr>
        <w:t>Seffah</w:t>
      </w:r>
      <w:proofErr w:type="spellEnd"/>
      <w:r w:rsidRPr="00F13185">
        <w:rPr>
          <w:sz w:val="20"/>
          <w:lang w:val="it-IT" w:eastAsia="en-GB"/>
        </w:rPr>
        <w:t xml:space="preserve">, A., &amp; </w:t>
      </w:r>
      <w:proofErr w:type="spellStart"/>
      <w:r w:rsidRPr="00F13185">
        <w:rPr>
          <w:sz w:val="20"/>
          <w:lang w:val="it-IT" w:eastAsia="en-GB"/>
        </w:rPr>
        <w:t>Porras</w:t>
      </w:r>
      <w:proofErr w:type="spellEnd"/>
      <w:r w:rsidRPr="00F13185">
        <w:rPr>
          <w:sz w:val="20"/>
          <w:lang w:val="it-IT" w:eastAsia="en-GB"/>
        </w:rPr>
        <w:t xml:space="preserve">, J. (2018). </w:t>
      </w:r>
      <w:r w:rsidRPr="00F13185">
        <w:rPr>
          <w:sz w:val="20"/>
          <w:lang w:eastAsia="en-GB"/>
        </w:rPr>
        <w:t xml:space="preserve">Infusing sustainability into software engineering </w:t>
      </w:r>
      <w:r w:rsidRPr="00473E7F">
        <w:rPr>
          <w:sz w:val="20"/>
          <w:lang w:eastAsia="en-GB"/>
        </w:rPr>
        <w:t xml:space="preserve">education: Lessons learned from capstone projects. </w:t>
      </w:r>
      <w:r w:rsidRPr="00473E7F">
        <w:rPr>
          <w:i/>
          <w:iCs/>
          <w:sz w:val="20"/>
          <w:lang w:eastAsia="en-GB"/>
        </w:rPr>
        <w:t>Journal of Cleaner Production</w:t>
      </w:r>
      <w:r w:rsidRPr="00473E7F">
        <w:rPr>
          <w:sz w:val="20"/>
          <w:lang w:eastAsia="en-GB"/>
        </w:rPr>
        <w:t xml:space="preserve">, </w:t>
      </w:r>
      <w:r w:rsidRPr="00473E7F">
        <w:rPr>
          <w:i/>
          <w:iCs/>
          <w:sz w:val="20"/>
          <w:lang w:eastAsia="en-GB"/>
        </w:rPr>
        <w:t>172</w:t>
      </w:r>
      <w:r w:rsidRPr="00473E7F">
        <w:rPr>
          <w:sz w:val="20"/>
          <w:lang w:eastAsia="en-GB"/>
        </w:rPr>
        <w:t>, 4338-4347.</w:t>
      </w:r>
    </w:p>
    <w:p w14:paraId="02332559" w14:textId="77777777" w:rsidR="00735BF1" w:rsidRDefault="000642C3" w:rsidP="00735BF1">
      <w:pPr>
        <w:pStyle w:val="Bibliography"/>
        <w:ind w:left="720" w:hanging="720"/>
        <w:rPr>
          <w:sz w:val="20"/>
          <w:lang w:eastAsia="en-GB"/>
        </w:rPr>
      </w:pPr>
      <w:r w:rsidRPr="00473E7F">
        <w:rPr>
          <w:sz w:val="20"/>
          <w:lang w:eastAsia="en-GB"/>
        </w:rPr>
        <w:t xml:space="preserve">Patil, A., &amp; </w:t>
      </w:r>
      <w:proofErr w:type="spellStart"/>
      <w:r w:rsidRPr="00473E7F">
        <w:rPr>
          <w:sz w:val="20"/>
          <w:lang w:eastAsia="en-GB"/>
        </w:rPr>
        <w:t>Codner</w:t>
      </w:r>
      <w:proofErr w:type="spellEnd"/>
      <w:r w:rsidRPr="00473E7F">
        <w:rPr>
          <w:sz w:val="20"/>
          <w:lang w:eastAsia="en-GB"/>
        </w:rPr>
        <w:t xml:space="preserve">, G. (2007). Accreditation of engineering education: review, observations and proposal for global accreditation. </w:t>
      </w:r>
      <w:r w:rsidRPr="00473E7F">
        <w:rPr>
          <w:i/>
          <w:iCs/>
          <w:sz w:val="20"/>
          <w:lang w:eastAsia="en-GB"/>
        </w:rPr>
        <w:t xml:space="preserve">European </w:t>
      </w:r>
      <w:r>
        <w:rPr>
          <w:i/>
          <w:iCs/>
          <w:sz w:val="20"/>
          <w:lang w:eastAsia="en-GB"/>
        </w:rPr>
        <w:t>J</w:t>
      </w:r>
      <w:r w:rsidRPr="00473E7F">
        <w:rPr>
          <w:i/>
          <w:iCs/>
          <w:sz w:val="20"/>
          <w:lang w:eastAsia="en-GB"/>
        </w:rPr>
        <w:t xml:space="preserve">ournal of </w:t>
      </w:r>
      <w:r>
        <w:rPr>
          <w:i/>
          <w:iCs/>
          <w:sz w:val="20"/>
          <w:lang w:eastAsia="en-GB"/>
        </w:rPr>
        <w:t>E</w:t>
      </w:r>
      <w:r w:rsidRPr="00473E7F">
        <w:rPr>
          <w:i/>
          <w:iCs/>
          <w:sz w:val="20"/>
          <w:lang w:eastAsia="en-GB"/>
        </w:rPr>
        <w:t xml:space="preserve">ngineering </w:t>
      </w:r>
      <w:r>
        <w:rPr>
          <w:i/>
          <w:iCs/>
          <w:sz w:val="20"/>
          <w:lang w:eastAsia="en-GB"/>
        </w:rPr>
        <w:t>E</w:t>
      </w:r>
      <w:r w:rsidRPr="00473E7F">
        <w:rPr>
          <w:i/>
          <w:iCs/>
          <w:sz w:val="20"/>
          <w:lang w:eastAsia="en-GB"/>
        </w:rPr>
        <w:t>ducation</w:t>
      </w:r>
      <w:r w:rsidRPr="00473E7F">
        <w:rPr>
          <w:sz w:val="20"/>
          <w:lang w:eastAsia="en-GB"/>
        </w:rPr>
        <w:t xml:space="preserve">, </w:t>
      </w:r>
      <w:r w:rsidRPr="00473E7F">
        <w:rPr>
          <w:i/>
          <w:iCs/>
          <w:sz w:val="20"/>
          <w:lang w:eastAsia="en-GB"/>
        </w:rPr>
        <w:t>32</w:t>
      </w:r>
      <w:r w:rsidRPr="00473E7F">
        <w:rPr>
          <w:sz w:val="20"/>
          <w:lang w:eastAsia="en-GB"/>
        </w:rPr>
        <w:t>(6), 639-651.</w:t>
      </w:r>
    </w:p>
    <w:p w14:paraId="708C13E7" w14:textId="77777777" w:rsidR="00735BF1" w:rsidRDefault="00E5104F" w:rsidP="00735BF1">
      <w:pPr>
        <w:pStyle w:val="Bibliography"/>
        <w:ind w:left="720" w:hanging="720"/>
        <w:rPr>
          <w:sz w:val="20"/>
          <w:lang w:eastAsia="en-GB"/>
        </w:rPr>
      </w:pPr>
      <w:r w:rsidRPr="00851C91">
        <w:rPr>
          <w:sz w:val="20"/>
          <w:lang w:val="en-GB" w:eastAsia="en-GB"/>
        </w:rPr>
        <w:t xml:space="preserve">Philbin, S. P. (2020). </w:t>
      </w:r>
      <w:r w:rsidRPr="00894F0E">
        <w:rPr>
          <w:sz w:val="20"/>
          <w:lang w:eastAsia="en-GB"/>
        </w:rPr>
        <w:t xml:space="preserve">Entrepreneurial Skills for Engineers–Insights from the Development of an Online Course. In </w:t>
      </w:r>
      <w:r w:rsidRPr="00894F0E">
        <w:rPr>
          <w:i/>
          <w:iCs/>
          <w:sz w:val="20"/>
          <w:lang w:eastAsia="en-GB"/>
        </w:rPr>
        <w:t>Proceedings of the Virtual International Annual Conference of the American Society for Engineering Management (ASEM)</w:t>
      </w:r>
      <w:r w:rsidRPr="00894F0E">
        <w:rPr>
          <w:iCs/>
          <w:sz w:val="20"/>
          <w:lang w:eastAsia="en-GB"/>
        </w:rPr>
        <w:t xml:space="preserve"> </w:t>
      </w:r>
      <w:r w:rsidRPr="00894F0E">
        <w:rPr>
          <w:i/>
          <w:iCs/>
          <w:sz w:val="20"/>
          <w:lang w:eastAsia="en-GB"/>
        </w:rPr>
        <w:t>and 41</w:t>
      </w:r>
      <w:r w:rsidRPr="00894F0E">
        <w:rPr>
          <w:i/>
          <w:iCs/>
          <w:sz w:val="20"/>
          <w:vertAlign w:val="superscript"/>
          <w:lang w:eastAsia="en-GB"/>
        </w:rPr>
        <w:t>st</w:t>
      </w:r>
      <w:r w:rsidRPr="00894F0E">
        <w:rPr>
          <w:i/>
          <w:iCs/>
          <w:sz w:val="20"/>
          <w:lang w:eastAsia="en-GB"/>
        </w:rPr>
        <w:t xml:space="preserve"> Annual Meeting.</w:t>
      </w:r>
    </w:p>
    <w:p w14:paraId="605D46BA" w14:textId="5954F074" w:rsidR="00735BF1" w:rsidRDefault="00735BF1" w:rsidP="00735BF1">
      <w:pPr>
        <w:pStyle w:val="Bibliography"/>
        <w:ind w:left="720" w:hanging="720"/>
        <w:rPr>
          <w:i/>
          <w:iCs/>
          <w:sz w:val="20"/>
          <w:lang w:eastAsia="en-GB"/>
        </w:rPr>
      </w:pPr>
      <w:r w:rsidRPr="00894F0E">
        <w:rPr>
          <w:sz w:val="20"/>
          <w:lang w:val="en-GB" w:eastAsia="en-GB"/>
        </w:rPr>
        <w:t xml:space="preserve">Philbin, S. P. (2021). </w:t>
      </w:r>
      <w:r w:rsidRPr="00894F0E">
        <w:rPr>
          <w:rStyle w:val="HTMLCite"/>
          <w:sz w:val="20"/>
        </w:rPr>
        <w:t xml:space="preserve">Entrepreneurship Education for Engineers: Technology Evaluation and Commercialization through Project-based Learning. </w:t>
      </w:r>
      <w:r w:rsidRPr="00894F0E">
        <w:rPr>
          <w:sz w:val="20"/>
          <w:lang w:eastAsia="en-GB"/>
        </w:rPr>
        <w:t xml:space="preserve">In </w:t>
      </w:r>
      <w:r w:rsidRPr="00894F0E">
        <w:rPr>
          <w:i/>
          <w:iCs/>
          <w:sz w:val="20"/>
          <w:lang w:eastAsia="en-GB"/>
        </w:rPr>
        <w:t>Proceedings of the Virtual International Annual Conference of the American Society for Engineering Management (ASEM)</w:t>
      </w:r>
      <w:r w:rsidRPr="00894F0E">
        <w:rPr>
          <w:iCs/>
          <w:sz w:val="20"/>
          <w:lang w:eastAsia="en-GB"/>
        </w:rPr>
        <w:t xml:space="preserve"> </w:t>
      </w:r>
      <w:r w:rsidRPr="00894F0E">
        <w:rPr>
          <w:i/>
          <w:iCs/>
          <w:sz w:val="20"/>
          <w:lang w:eastAsia="en-GB"/>
        </w:rPr>
        <w:t>and 42</w:t>
      </w:r>
      <w:r w:rsidRPr="00894F0E">
        <w:rPr>
          <w:i/>
          <w:iCs/>
          <w:sz w:val="20"/>
          <w:vertAlign w:val="superscript"/>
          <w:lang w:eastAsia="en-GB"/>
        </w:rPr>
        <w:t>nd</w:t>
      </w:r>
      <w:r w:rsidRPr="00894F0E">
        <w:rPr>
          <w:i/>
          <w:iCs/>
          <w:sz w:val="20"/>
          <w:lang w:eastAsia="en-GB"/>
        </w:rPr>
        <w:t xml:space="preserve"> Annual Meeting.</w:t>
      </w:r>
    </w:p>
    <w:p w14:paraId="781B6249" w14:textId="77777777" w:rsidR="00A25BE7" w:rsidRDefault="00735BF1" w:rsidP="00A25BE7">
      <w:pPr>
        <w:pStyle w:val="Bibliography"/>
        <w:ind w:left="720" w:hanging="720"/>
        <w:rPr>
          <w:sz w:val="20"/>
          <w:lang w:eastAsia="en-GB"/>
        </w:rPr>
      </w:pPr>
      <w:r w:rsidRPr="00735BF1">
        <w:rPr>
          <w:sz w:val="20"/>
          <w:lang w:val="de-DE" w:eastAsia="en-GB"/>
        </w:rPr>
        <w:t xml:space="preserve">Philbin, S. P., Kauffmann, P., &amp; </w:t>
      </w:r>
      <w:proofErr w:type="spellStart"/>
      <w:r w:rsidRPr="00735BF1">
        <w:rPr>
          <w:sz w:val="20"/>
          <w:lang w:val="de-DE" w:eastAsia="en-GB"/>
        </w:rPr>
        <w:t>Wyrick</w:t>
      </w:r>
      <w:proofErr w:type="spellEnd"/>
      <w:r w:rsidRPr="00735BF1">
        <w:rPr>
          <w:sz w:val="20"/>
          <w:lang w:val="de-DE" w:eastAsia="en-GB"/>
        </w:rPr>
        <w:t xml:space="preserve">, D. A. (2019). </w:t>
      </w:r>
      <w:r w:rsidRPr="00894F0E">
        <w:rPr>
          <w:sz w:val="20"/>
          <w:lang w:eastAsia="en-GB"/>
        </w:rPr>
        <w:t xml:space="preserve">Engineering Education, Skills and Industry Alignment–Comparative Analysis of the UK and USA. In </w:t>
      </w:r>
      <w:r w:rsidRPr="00894F0E">
        <w:rPr>
          <w:i/>
          <w:iCs/>
          <w:sz w:val="20"/>
          <w:lang w:eastAsia="en-GB"/>
        </w:rPr>
        <w:t>Proceedings of the International Annual Conference of the American Society for Engineering Management (ASEM) and 40</w:t>
      </w:r>
      <w:r w:rsidRPr="00894F0E">
        <w:rPr>
          <w:i/>
          <w:iCs/>
          <w:sz w:val="20"/>
          <w:vertAlign w:val="superscript"/>
          <w:lang w:eastAsia="en-GB"/>
        </w:rPr>
        <w:t>th</w:t>
      </w:r>
      <w:r w:rsidRPr="00894F0E">
        <w:rPr>
          <w:i/>
          <w:iCs/>
          <w:sz w:val="20"/>
          <w:lang w:eastAsia="en-GB"/>
        </w:rPr>
        <w:t xml:space="preserve"> Annual Meeting</w:t>
      </w:r>
      <w:r w:rsidRPr="00894F0E">
        <w:rPr>
          <w:iCs/>
          <w:sz w:val="20"/>
          <w:lang w:eastAsia="en-GB"/>
        </w:rPr>
        <w:t>, Philadelphia (PA), USA.</w:t>
      </w:r>
      <w:r w:rsidRPr="00894F0E">
        <w:rPr>
          <w:sz w:val="20"/>
          <w:lang w:eastAsia="en-GB"/>
        </w:rPr>
        <w:t xml:space="preserve"> </w:t>
      </w:r>
    </w:p>
    <w:p w14:paraId="15448A5D" w14:textId="77777777" w:rsidR="000642C3" w:rsidRPr="00473E7F" w:rsidRDefault="000642C3" w:rsidP="000642C3">
      <w:pPr>
        <w:pStyle w:val="Bibliography"/>
        <w:ind w:left="720" w:hanging="720"/>
        <w:rPr>
          <w:sz w:val="20"/>
          <w:lang w:eastAsia="en-GB"/>
        </w:rPr>
      </w:pPr>
      <w:r w:rsidRPr="00606326">
        <w:rPr>
          <w:sz w:val="20"/>
          <w:lang w:val="it-IT" w:eastAsia="en-GB"/>
        </w:rPr>
        <w:t xml:space="preserve">Ponce, P., Ibarra, L., </w:t>
      </w:r>
      <w:proofErr w:type="spellStart"/>
      <w:r w:rsidRPr="00606326">
        <w:rPr>
          <w:sz w:val="20"/>
          <w:lang w:val="it-IT" w:eastAsia="en-GB"/>
        </w:rPr>
        <w:t>Mata</w:t>
      </w:r>
      <w:proofErr w:type="spellEnd"/>
      <w:r w:rsidRPr="00606326">
        <w:rPr>
          <w:sz w:val="20"/>
          <w:lang w:val="it-IT" w:eastAsia="en-GB"/>
        </w:rPr>
        <w:t xml:space="preserve">, O., &amp; Molina, A. (2021). </w:t>
      </w:r>
      <w:r w:rsidRPr="00473E7F">
        <w:rPr>
          <w:sz w:val="20"/>
          <w:lang w:eastAsia="en-GB"/>
        </w:rPr>
        <w:t xml:space="preserve">How to develop research skills among undergraduate engineering students to tackle current ongoing topics? A Smart-Grid case study. </w:t>
      </w:r>
      <w:r w:rsidRPr="00473E7F">
        <w:rPr>
          <w:i/>
          <w:iCs/>
          <w:sz w:val="20"/>
          <w:lang w:eastAsia="en-GB"/>
        </w:rPr>
        <w:t>International Journal of Electrical Engineering &amp; Education</w:t>
      </w:r>
      <w:r w:rsidRPr="00473E7F">
        <w:rPr>
          <w:sz w:val="20"/>
          <w:lang w:eastAsia="en-GB"/>
        </w:rPr>
        <w:t xml:space="preserve">, </w:t>
      </w:r>
      <w:r w:rsidRPr="00473E7F">
        <w:rPr>
          <w:i/>
          <w:iCs/>
          <w:sz w:val="20"/>
          <w:lang w:eastAsia="en-GB"/>
        </w:rPr>
        <w:t>58</w:t>
      </w:r>
      <w:r w:rsidRPr="00473E7F">
        <w:rPr>
          <w:sz w:val="20"/>
          <w:lang w:eastAsia="en-GB"/>
        </w:rPr>
        <w:t>(2), 113-141.</w:t>
      </w:r>
    </w:p>
    <w:p w14:paraId="017CDE24" w14:textId="77777777" w:rsidR="000642C3" w:rsidRPr="00473E7F" w:rsidRDefault="000642C3" w:rsidP="000642C3">
      <w:pPr>
        <w:pStyle w:val="Bibliography"/>
        <w:ind w:left="720" w:hanging="720"/>
        <w:rPr>
          <w:sz w:val="20"/>
          <w:lang w:eastAsia="en-GB"/>
        </w:rPr>
      </w:pPr>
      <w:r w:rsidRPr="00473E7F">
        <w:rPr>
          <w:sz w:val="20"/>
          <w:lang w:eastAsia="en-GB"/>
        </w:rPr>
        <w:lastRenderedPageBreak/>
        <w:t xml:space="preserve">Popescu, A., &amp; Popescu, R. (2003). Building research skills: Course-integrated training methods. </w:t>
      </w:r>
      <w:r w:rsidRPr="00473E7F">
        <w:rPr>
          <w:i/>
          <w:iCs/>
          <w:sz w:val="20"/>
          <w:lang w:eastAsia="en-GB"/>
        </w:rPr>
        <w:t>Journal of Professional Issues in Engineering Education and Practice</w:t>
      </w:r>
      <w:r w:rsidRPr="00473E7F">
        <w:rPr>
          <w:sz w:val="20"/>
          <w:lang w:eastAsia="en-GB"/>
        </w:rPr>
        <w:t xml:space="preserve">, </w:t>
      </w:r>
      <w:r w:rsidRPr="00473E7F">
        <w:rPr>
          <w:i/>
          <w:iCs/>
          <w:sz w:val="20"/>
          <w:lang w:eastAsia="en-GB"/>
        </w:rPr>
        <w:t>129</w:t>
      </w:r>
      <w:r w:rsidRPr="00473E7F">
        <w:rPr>
          <w:sz w:val="20"/>
          <w:lang w:eastAsia="en-GB"/>
        </w:rPr>
        <w:t>(1), 40-43.</w:t>
      </w:r>
    </w:p>
    <w:p w14:paraId="2E62C214" w14:textId="77777777" w:rsidR="000642C3" w:rsidRPr="00776A5E" w:rsidRDefault="000642C3" w:rsidP="000642C3">
      <w:pPr>
        <w:pStyle w:val="Bibliography"/>
        <w:ind w:left="720" w:hanging="720"/>
        <w:rPr>
          <w:sz w:val="20"/>
          <w:lang w:eastAsia="en-GB"/>
        </w:rPr>
      </w:pPr>
      <w:r w:rsidRPr="00473E7F">
        <w:rPr>
          <w:sz w:val="20"/>
          <w:lang w:eastAsia="en-GB"/>
        </w:rPr>
        <w:t>Pozzo, M. I. (2021).</w:t>
      </w:r>
      <w:r w:rsidRPr="00776A5E">
        <w:rPr>
          <w:sz w:val="20"/>
          <w:lang w:eastAsia="en-GB"/>
        </w:rPr>
        <w:t xml:space="preserve"> Workshop: Improving research and writing skills in Engineering Education. In </w:t>
      </w:r>
      <w:r w:rsidRPr="00776A5E">
        <w:rPr>
          <w:i/>
          <w:iCs/>
          <w:sz w:val="20"/>
          <w:lang w:eastAsia="en-GB"/>
        </w:rPr>
        <w:t>2021 IEEE World Conference on Engineering Education (EDUNINE)</w:t>
      </w:r>
      <w:r w:rsidRPr="00776A5E">
        <w:rPr>
          <w:sz w:val="20"/>
          <w:lang w:eastAsia="en-GB"/>
        </w:rPr>
        <w:t xml:space="preserve"> (pp. 1-3). IEEE.</w:t>
      </w:r>
    </w:p>
    <w:p w14:paraId="1DBC392F" w14:textId="77777777" w:rsidR="000642C3" w:rsidRPr="00F90443" w:rsidRDefault="000642C3" w:rsidP="000642C3">
      <w:pPr>
        <w:pStyle w:val="Bibliography"/>
        <w:ind w:left="720" w:hanging="720"/>
        <w:rPr>
          <w:sz w:val="20"/>
          <w:lang w:eastAsia="en-GB"/>
        </w:rPr>
      </w:pPr>
      <w:proofErr w:type="spellStart"/>
      <w:r w:rsidRPr="00776A5E">
        <w:rPr>
          <w:sz w:val="20"/>
          <w:lang w:val="it-IT" w:eastAsia="en-GB"/>
        </w:rPr>
        <w:t>Qamar</w:t>
      </w:r>
      <w:proofErr w:type="spellEnd"/>
      <w:r w:rsidRPr="00776A5E">
        <w:rPr>
          <w:sz w:val="20"/>
          <w:lang w:val="it-IT" w:eastAsia="en-GB"/>
        </w:rPr>
        <w:t>, S. Z., Pervez, T., &amp; Al-</w:t>
      </w:r>
      <w:proofErr w:type="spellStart"/>
      <w:r w:rsidRPr="00776A5E">
        <w:rPr>
          <w:sz w:val="20"/>
          <w:lang w:val="it-IT" w:eastAsia="en-GB"/>
        </w:rPr>
        <w:t>Kindi</w:t>
      </w:r>
      <w:proofErr w:type="spellEnd"/>
      <w:r w:rsidRPr="00776A5E">
        <w:rPr>
          <w:sz w:val="20"/>
          <w:lang w:val="it-IT" w:eastAsia="en-GB"/>
        </w:rPr>
        <w:t xml:space="preserve">, M. (2019). </w:t>
      </w:r>
      <w:r w:rsidRPr="00776A5E">
        <w:rPr>
          <w:sz w:val="20"/>
          <w:lang w:eastAsia="en-GB"/>
        </w:rPr>
        <w:t xml:space="preserve">Engineering education: Challenges, opportunities, and future trends. In </w:t>
      </w:r>
      <w:r w:rsidRPr="00776A5E">
        <w:rPr>
          <w:i/>
          <w:iCs/>
          <w:sz w:val="20"/>
          <w:lang w:eastAsia="en-GB"/>
        </w:rPr>
        <w:t xml:space="preserve">Proceedings of the 16th IEOM Global Engineering Education: First GCC International </w:t>
      </w:r>
      <w:r w:rsidRPr="00F90443">
        <w:rPr>
          <w:i/>
          <w:iCs/>
          <w:sz w:val="20"/>
          <w:lang w:eastAsia="en-GB"/>
        </w:rPr>
        <w:t>Conference on Industrial Engineering and Operations Management (IEOM-2019), Riyadh, Saudi Arabia</w:t>
      </w:r>
      <w:r w:rsidRPr="00F90443">
        <w:rPr>
          <w:sz w:val="20"/>
          <w:lang w:eastAsia="en-GB"/>
        </w:rPr>
        <w:t xml:space="preserve"> (pp. 26-28).</w:t>
      </w:r>
    </w:p>
    <w:p w14:paraId="58EA7CBA" w14:textId="77777777" w:rsidR="000642C3" w:rsidRPr="00F90443" w:rsidRDefault="000642C3" w:rsidP="000642C3">
      <w:pPr>
        <w:pStyle w:val="Bibliography"/>
        <w:ind w:left="720" w:hanging="720"/>
        <w:rPr>
          <w:sz w:val="20"/>
          <w:lang w:eastAsia="en-GB"/>
        </w:rPr>
      </w:pPr>
      <w:r w:rsidRPr="00F90443">
        <w:rPr>
          <w:sz w:val="20"/>
          <w:lang w:eastAsia="en-GB"/>
        </w:rPr>
        <w:t xml:space="preserve">Sachs, J. D., Schmidt-Traub, G., </w:t>
      </w:r>
      <w:proofErr w:type="spellStart"/>
      <w:r w:rsidRPr="00F90443">
        <w:rPr>
          <w:sz w:val="20"/>
          <w:lang w:eastAsia="en-GB"/>
        </w:rPr>
        <w:t>Mazzucato</w:t>
      </w:r>
      <w:proofErr w:type="spellEnd"/>
      <w:r w:rsidRPr="00F90443">
        <w:rPr>
          <w:sz w:val="20"/>
          <w:lang w:eastAsia="en-GB"/>
        </w:rPr>
        <w:t xml:space="preserve">, M., Messner, D., </w:t>
      </w:r>
      <w:proofErr w:type="spellStart"/>
      <w:r w:rsidRPr="00F90443">
        <w:rPr>
          <w:sz w:val="20"/>
          <w:lang w:eastAsia="en-GB"/>
        </w:rPr>
        <w:t>Nakicenovic</w:t>
      </w:r>
      <w:proofErr w:type="spellEnd"/>
      <w:r w:rsidRPr="00F90443">
        <w:rPr>
          <w:sz w:val="20"/>
          <w:lang w:eastAsia="en-GB"/>
        </w:rPr>
        <w:t xml:space="preserve">, N., &amp; </w:t>
      </w:r>
      <w:proofErr w:type="spellStart"/>
      <w:r w:rsidRPr="00F90443">
        <w:rPr>
          <w:sz w:val="20"/>
          <w:lang w:eastAsia="en-GB"/>
        </w:rPr>
        <w:t>Rockström</w:t>
      </w:r>
      <w:proofErr w:type="spellEnd"/>
      <w:r w:rsidRPr="00F90443">
        <w:rPr>
          <w:sz w:val="20"/>
          <w:lang w:eastAsia="en-GB"/>
        </w:rPr>
        <w:t xml:space="preserve">, J. (2019). Six transformations to achieve the sustainable development goals. </w:t>
      </w:r>
      <w:r w:rsidRPr="00F90443">
        <w:rPr>
          <w:i/>
          <w:iCs/>
          <w:sz w:val="20"/>
          <w:lang w:eastAsia="en-GB"/>
        </w:rPr>
        <w:t>Nature Sustainability</w:t>
      </w:r>
      <w:r w:rsidRPr="00F90443">
        <w:rPr>
          <w:sz w:val="20"/>
          <w:lang w:eastAsia="en-GB"/>
        </w:rPr>
        <w:t xml:space="preserve">, </w:t>
      </w:r>
      <w:r w:rsidRPr="00F90443">
        <w:rPr>
          <w:i/>
          <w:iCs/>
          <w:sz w:val="20"/>
          <w:lang w:eastAsia="en-GB"/>
        </w:rPr>
        <w:t>2</w:t>
      </w:r>
      <w:r w:rsidRPr="00F90443">
        <w:rPr>
          <w:sz w:val="20"/>
          <w:lang w:eastAsia="en-GB"/>
        </w:rPr>
        <w:t>(9), 805-814.</w:t>
      </w:r>
    </w:p>
    <w:p w14:paraId="36BFDA0E" w14:textId="77777777" w:rsidR="000642C3" w:rsidRPr="00F90443" w:rsidRDefault="000642C3" w:rsidP="000642C3">
      <w:pPr>
        <w:pStyle w:val="Bibliography"/>
        <w:ind w:left="720" w:hanging="720"/>
        <w:rPr>
          <w:sz w:val="20"/>
          <w:lang w:eastAsia="en-GB"/>
        </w:rPr>
      </w:pPr>
      <w:r w:rsidRPr="00F90443">
        <w:rPr>
          <w:sz w:val="20"/>
          <w:lang w:val="nl-NL" w:eastAsia="en-GB"/>
        </w:rPr>
        <w:t xml:space="preserve">Schipper, M., &amp; van der Stappen, E. (2018). </w:t>
      </w:r>
      <w:r w:rsidRPr="00F90443">
        <w:rPr>
          <w:sz w:val="20"/>
          <w:lang w:eastAsia="en-GB"/>
        </w:rPr>
        <w:t xml:space="preserve">Motivation and attitude of computer engineering students toward soft skills. In </w:t>
      </w:r>
      <w:r w:rsidRPr="00F90443">
        <w:rPr>
          <w:i/>
          <w:iCs/>
          <w:sz w:val="20"/>
          <w:lang w:eastAsia="en-GB"/>
        </w:rPr>
        <w:t>2018 IEEE Global Engineering Education Conference (EDUCON)</w:t>
      </w:r>
      <w:r w:rsidRPr="00F90443">
        <w:rPr>
          <w:sz w:val="20"/>
          <w:lang w:eastAsia="en-GB"/>
        </w:rPr>
        <w:t xml:space="preserve"> (pp. 217-222). IEEE.</w:t>
      </w:r>
    </w:p>
    <w:p w14:paraId="791D0B39" w14:textId="77777777" w:rsidR="000642C3" w:rsidRPr="00F90443" w:rsidRDefault="000642C3" w:rsidP="000642C3">
      <w:pPr>
        <w:pStyle w:val="Bibliography"/>
        <w:ind w:left="720" w:hanging="720"/>
        <w:rPr>
          <w:sz w:val="20"/>
          <w:lang w:eastAsia="en-GB"/>
        </w:rPr>
      </w:pPr>
      <w:r w:rsidRPr="00F90443">
        <w:rPr>
          <w:sz w:val="20"/>
          <w:lang w:eastAsia="en-GB"/>
        </w:rPr>
        <w:t xml:space="preserve">Slack, M. K., &amp; </w:t>
      </w:r>
      <w:proofErr w:type="spellStart"/>
      <w:r w:rsidRPr="00F90443">
        <w:rPr>
          <w:sz w:val="20"/>
          <w:lang w:eastAsia="en-GB"/>
        </w:rPr>
        <w:t>Draugalis</w:t>
      </w:r>
      <w:proofErr w:type="spellEnd"/>
      <w:r w:rsidRPr="00F90443">
        <w:rPr>
          <w:sz w:val="20"/>
          <w:lang w:eastAsia="en-GB"/>
        </w:rPr>
        <w:t xml:space="preserve"> Jr, J. R. (2001). Establishing the internal and external validity of experimental studies. </w:t>
      </w:r>
      <w:r w:rsidRPr="00F90443">
        <w:rPr>
          <w:i/>
          <w:iCs/>
          <w:sz w:val="20"/>
          <w:lang w:eastAsia="en-GB"/>
        </w:rPr>
        <w:t xml:space="preserve">American </w:t>
      </w:r>
      <w:r>
        <w:rPr>
          <w:i/>
          <w:iCs/>
          <w:sz w:val="20"/>
          <w:lang w:eastAsia="en-GB"/>
        </w:rPr>
        <w:t>J</w:t>
      </w:r>
      <w:r w:rsidRPr="00F90443">
        <w:rPr>
          <w:i/>
          <w:iCs/>
          <w:sz w:val="20"/>
          <w:lang w:eastAsia="en-GB"/>
        </w:rPr>
        <w:t xml:space="preserve">ournal of </w:t>
      </w:r>
      <w:r>
        <w:rPr>
          <w:i/>
          <w:iCs/>
          <w:sz w:val="20"/>
          <w:lang w:eastAsia="en-GB"/>
        </w:rPr>
        <w:t>H</w:t>
      </w:r>
      <w:r w:rsidRPr="00F90443">
        <w:rPr>
          <w:i/>
          <w:iCs/>
          <w:sz w:val="20"/>
          <w:lang w:eastAsia="en-GB"/>
        </w:rPr>
        <w:t>ealth-</w:t>
      </w:r>
      <w:r>
        <w:rPr>
          <w:i/>
          <w:iCs/>
          <w:sz w:val="20"/>
          <w:lang w:eastAsia="en-GB"/>
        </w:rPr>
        <w:t>S</w:t>
      </w:r>
      <w:r w:rsidRPr="00F90443">
        <w:rPr>
          <w:i/>
          <w:iCs/>
          <w:sz w:val="20"/>
          <w:lang w:eastAsia="en-GB"/>
        </w:rPr>
        <w:t xml:space="preserve">ystem </w:t>
      </w:r>
      <w:r>
        <w:rPr>
          <w:i/>
          <w:iCs/>
          <w:sz w:val="20"/>
          <w:lang w:eastAsia="en-GB"/>
        </w:rPr>
        <w:t>P</w:t>
      </w:r>
      <w:r w:rsidRPr="00F90443">
        <w:rPr>
          <w:i/>
          <w:iCs/>
          <w:sz w:val="20"/>
          <w:lang w:eastAsia="en-GB"/>
        </w:rPr>
        <w:t>harmacy</w:t>
      </w:r>
      <w:r w:rsidRPr="00F90443">
        <w:rPr>
          <w:sz w:val="20"/>
          <w:lang w:eastAsia="en-GB"/>
        </w:rPr>
        <w:t xml:space="preserve">, </w:t>
      </w:r>
      <w:r w:rsidRPr="00F90443">
        <w:rPr>
          <w:i/>
          <w:iCs/>
          <w:sz w:val="20"/>
          <w:lang w:eastAsia="en-GB"/>
        </w:rPr>
        <w:t>58</w:t>
      </w:r>
      <w:r w:rsidRPr="00F90443">
        <w:rPr>
          <w:sz w:val="20"/>
          <w:lang w:eastAsia="en-GB"/>
        </w:rPr>
        <w:t>(22), 2173-2181.</w:t>
      </w:r>
    </w:p>
    <w:p w14:paraId="6A447620" w14:textId="77777777" w:rsidR="000642C3" w:rsidRPr="00F90443" w:rsidRDefault="000642C3" w:rsidP="000642C3">
      <w:pPr>
        <w:pStyle w:val="Bibliography"/>
        <w:ind w:left="720" w:hanging="720"/>
        <w:rPr>
          <w:sz w:val="20"/>
          <w:lang w:eastAsia="en-GB"/>
        </w:rPr>
      </w:pPr>
      <w:proofErr w:type="spellStart"/>
      <w:r w:rsidRPr="00F90443">
        <w:rPr>
          <w:sz w:val="20"/>
          <w:lang w:eastAsia="en-GB"/>
        </w:rPr>
        <w:t>Taras</w:t>
      </w:r>
      <w:proofErr w:type="spellEnd"/>
      <w:r w:rsidRPr="00F90443">
        <w:rPr>
          <w:sz w:val="20"/>
          <w:lang w:eastAsia="en-GB"/>
        </w:rPr>
        <w:t xml:space="preserve">, M. (2005). Assessment–summative and formative–some theoretical reflections. </w:t>
      </w:r>
      <w:r w:rsidRPr="00F90443">
        <w:rPr>
          <w:i/>
          <w:iCs/>
          <w:sz w:val="20"/>
          <w:lang w:eastAsia="en-GB"/>
        </w:rPr>
        <w:t>British Journal of Educational Studies</w:t>
      </w:r>
      <w:r w:rsidRPr="00F90443">
        <w:rPr>
          <w:sz w:val="20"/>
          <w:lang w:eastAsia="en-GB"/>
        </w:rPr>
        <w:t xml:space="preserve">, </w:t>
      </w:r>
      <w:r w:rsidRPr="00F90443">
        <w:rPr>
          <w:i/>
          <w:iCs/>
          <w:sz w:val="20"/>
          <w:lang w:eastAsia="en-GB"/>
        </w:rPr>
        <w:t>53</w:t>
      </w:r>
      <w:r w:rsidRPr="00F90443">
        <w:rPr>
          <w:sz w:val="20"/>
          <w:lang w:eastAsia="en-GB"/>
        </w:rPr>
        <w:t>(4), 466-478.</w:t>
      </w:r>
    </w:p>
    <w:p w14:paraId="5F74A388" w14:textId="77777777" w:rsidR="000642C3" w:rsidRPr="00DA0CB6" w:rsidRDefault="000642C3" w:rsidP="000642C3">
      <w:pPr>
        <w:pStyle w:val="Bibliography"/>
        <w:ind w:left="720" w:hanging="720"/>
        <w:rPr>
          <w:sz w:val="20"/>
          <w:lang w:eastAsia="en-GB"/>
        </w:rPr>
      </w:pPr>
      <w:r w:rsidRPr="00F90443">
        <w:rPr>
          <w:sz w:val="20"/>
          <w:lang w:eastAsia="en-GB"/>
        </w:rPr>
        <w:t xml:space="preserve">Van </w:t>
      </w:r>
      <w:proofErr w:type="spellStart"/>
      <w:r w:rsidRPr="00F90443">
        <w:rPr>
          <w:sz w:val="20"/>
          <w:lang w:eastAsia="en-GB"/>
        </w:rPr>
        <w:t>Bossuyt</w:t>
      </w:r>
      <w:proofErr w:type="spellEnd"/>
      <w:r w:rsidRPr="00F90443">
        <w:rPr>
          <w:sz w:val="20"/>
          <w:lang w:eastAsia="en-GB"/>
        </w:rPr>
        <w:t>, D. L., Beery, P., O’Halloran, B. M., Hernandez, A., &amp; Paulo, E. (2019). The Naval Postgraduate School’s Department</w:t>
      </w:r>
      <w:r w:rsidRPr="00DA0CB6">
        <w:rPr>
          <w:sz w:val="20"/>
          <w:lang w:eastAsia="en-GB"/>
        </w:rPr>
        <w:t xml:space="preserve"> of Systems Engineering Approach to Mission Engineering Education through Capstone Projects. </w:t>
      </w:r>
      <w:r w:rsidRPr="00DA0CB6">
        <w:rPr>
          <w:i/>
          <w:iCs/>
          <w:sz w:val="20"/>
          <w:lang w:eastAsia="en-GB"/>
        </w:rPr>
        <w:t>Systems</w:t>
      </w:r>
      <w:r w:rsidRPr="00DA0CB6">
        <w:rPr>
          <w:sz w:val="20"/>
          <w:lang w:eastAsia="en-GB"/>
        </w:rPr>
        <w:t xml:space="preserve">, </w:t>
      </w:r>
      <w:r w:rsidRPr="00DA0CB6">
        <w:rPr>
          <w:i/>
          <w:iCs/>
          <w:sz w:val="20"/>
          <w:lang w:eastAsia="en-GB"/>
        </w:rPr>
        <w:t>7</w:t>
      </w:r>
      <w:r w:rsidRPr="00DA0CB6">
        <w:rPr>
          <w:sz w:val="20"/>
          <w:lang w:eastAsia="en-GB"/>
        </w:rPr>
        <w:t>(3), 38.</w:t>
      </w:r>
    </w:p>
    <w:p w14:paraId="18B2868E" w14:textId="77777777" w:rsidR="000642C3" w:rsidRPr="00AF16BF" w:rsidRDefault="000642C3" w:rsidP="000642C3">
      <w:pPr>
        <w:pStyle w:val="Bibliography"/>
        <w:ind w:left="720" w:hanging="720"/>
        <w:rPr>
          <w:sz w:val="20"/>
          <w:lang w:eastAsia="en-GB"/>
        </w:rPr>
      </w:pPr>
      <w:r w:rsidRPr="00DA0CB6">
        <w:rPr>
          <w:sz w:val="20"/>
          <w:lang w:eastAsia="en-GB"/>
        </w:rPr>
        <w:t xml:space="preserve">Walker, T. R. (2021). (Micro) </w:t>
      </w:r>
      <w:r w:rsidRPr="00AF16BF">
        <w:rPr>
          <w:sz w:val="20"/>
          <w:lang w:eastAsia="en-GB"/>
        </w:rPr>
        <w:t xml:space="preserve">plastics and the UN sustainable development goals. </w:t>
      </w:r>
      <w:r w:rsidRPr="00AF16BF">
        <w:rPr>
          <w:i/>
          <w:iCs/>
          <w:sz w:val="20"/>
          <w:lang w:eastAsia="en-GB"/>
        </w:rPr>
        <w:t>Current Opinion in Green and Sustainable Chemistry</w:t>
      </w:r>
      <w:r w:rsidRPr="00AF16BF">
        <w:rPr>
          <w:sz w:val="20"/>
          <w:lang w:eastAsia="en-GB"/>
        </w:rPr>
        <w:t xml:space="preserve">, </w:t>
      </w:r>
      <w:r w:rsidRPr="00AF16BF">
        <w:rPr>
          <w:i/>
          <w:iCs/>
          <w:sz w:val="20"/>
          <w:lang w:eastAsia="en-GB"/>
        </w:rPr>
        <w:t>30</w:t>
      </w:r>
      <w:r w:rsidRPr="00AF16BF">
        <w:rPr>
          <w:sz w:val="20"/>
          <w:lang w:eastAsia="en-GB"/>
        </w:rPr>
        <w:t>, 100497.</w:t>
      </w:r>
    </w:p>
    <w:p w14:paraId="13E0A984" w14:textId="77777777" w:rsidR="000642C3" w:rsidRPr="00AF16BF" w:rsidRDefault="000642C3" w:rsidP="000642C3">
      <w:pPr>
        <w:pStyle w:val="Bibliography"/>
        <w:ind w:left="720" w:hanging="720"/>
        <w:rPr>
          <w:sz w:val="20"/>
          <w:lang w:eastAsia="en-GB"/>
        </w:rPr>
      </w:pPr>
      <w:r w:rsidRPr="00AF16BF">
        <w:rPr>
          <w:sz w:val="20"/>
          <w:lang w:val="en-GB" w:eastAsia="en-GB"/>
        </w:rPr>
        <w:t xml:space="preserve">Wang, P., Wu, P., Wang, J., Chi, H. L., &amp; Wang, X. (2018). </w:t>
      </w:r>
      <w:r w:rsidRPr="00AF16BF">
        <w:rPr>
          <w:sz w:val="20"/>
          <w:lang w:eastAsia="en-GB"/>
        </w:rPr>
        <w:t xml:space="preserve">A critical review of the use of virtual reality in construction engineering education and training. </w:t>
      </w:r>
      <w:r w:rsidRPr="00AF16BF">
        <w:rPr>
          <w:i/>
          <w:iCs/>
          <w:sz w:val="20"/>
          <w:lang w:eastAsia="en-GB"/>
        </w:rPr>
        <w:t>International Journal of Environmental Research and Public Health</w:t>
      </w:r>
      <w:r w:rsidRPr="00AF16BF">
        <w:rPr>
          <w:sz w:val="20"/>
          <w:lang w:eastAsia="en-GB"/>
        </w:rPr>
        <w:t xml:space="preserve">, </w:t>
      </w:r>
      <w:r w:rsidRPr="00AF16BF">
        <w:rPr>
          <w:i/>
          <w:iCs/>
          <w:sz w:val="20"/>
          <w:lang w:eastAsia="en-GB"/>
        </w:rPr>
        <w:t>15</w:t>
      </w:r>
      <w:r w:rsidRPr="00AF16BF">
        <w:rPr>
          <w:sz w:val="20"/>
          <w:lang w:eastAsia="en-GB"/>
        </w:rPr>
        <w:t>(6), 1204.</w:t>
      </w:r>
    </w:p>
    <w:p w14:paraId="223019AC" w14:textId="77777777" w:rsidR="000B4DDE" w:rsidRPr="000B4DDE" w:rsidRDefault="000642C3" w:rsidP="000B4DDE">
      <w:pPr>
        <w:pStyle w:val="Bibliography"/>
        <w:ind w:left="720" w:hanging="720"/>
        <w:rPr>
          <w:sz w:val="20"/>
          <w:lang w:eastAsia="en-GB"/>
        </w:rPr>
      </w:pPr>
      <w:proofErr w:type="spellStart"/>
      <w:r w:rsidRPr="00AF16BF">
        <w:rPr>
          <w:sz w:val="20"/>
          <w:lang w:eastAsia="en-GB"/>
        </w:rPr>
        <w:t>Winberg</w:t>
      </w:r>
      <w:proofErr w:type="spellEnd"/>
      <w:r w:rsidRPr="00AF16BF">
        <w:rPr>
          <w:sz w:val="20"/>
          <w:lang w:eastAsia="en-GB"/>
        </w:rPr>
        <w:t xml:space="preserve">, C., Bramhall, M., Greenfield, D., Johnson, P., Rowlett, P., Lewis, O., ... &amp; Wolff, K. (2020). Developing employability </w:t>
      </w:r>
      <w:r w:rsidRPr="000B4DDE">
        <w:rPr>
          <w:sz w:val="20"/>
          <w:lang w:eastAsia="en-GB"/>
        </w:rPr>
        <w:t xml:space="preserve">in engineering education: a systematic review of the literature. </w:t>
      </w:r>
      <w:r w:rsidRPr="000B4DDE">
        <w:rPr>
          <w:i/>
          <w:iCs/>
          <w:sz w:val="20"/>
          <w:lang w:eastAsia="en-GB"/>
        </w:rPr>
        <w:t>European Journal of Engineering Education</w:t>
      </w:r>
      <w:r w:rsidRPr="000B4DDE">
        <w:rPr>
          <w:sz w:val="20"/>
          <w:lang w:eastAsia="en-GB"/>
        </w:rPr>
        <w:t xml:space="preserve">, </w:t>
      </w:r>
      <w:r w:rsidRPr="000B4DDE">
        <w:rPr>
          <w:i/>
          <w:iCs/>
          <w:sz w:val="20"/>
          <w:lang w:eastAsia="en-GB"/>
        </w:rPr>
        <w:t>45</w:t>
      </w:r>
      <w:r w:rsidRPr="000B4DDE">
        <w:rPr>
          <w:sz w:val="20"/>
          <w:lang w:eastAsia="en-GB"/>
        </w:rPr>
        <w:t>(2), 165-180.</w:t>
      </w:r>
    </w:p>
    <w:p w14:paraId="3C2C891C" w14:textId="00BFB122" w:rsidR="000B4DDE" w:rsidRPr="000B4DDE" w:rsidRDefault="000B4DDE" w:rsidP="000B4DDE">
      <w:pPr>
        <w:pStyle w:val="Bibliography"/>
        <w:ind w:left="720" w:hanging="720"/>
        <w:rPr>
          <w:sz w:val="20"/>
        </w:rPr>
      </w:pPr>
      <w:r w:rsidRPr="000B4DDE">
        <w:rPr>
          <w:sz w:val="20"/>
          <w:lang w:eastAsia="en-GB"/>
        </w:rPr>
        <w:t xml:space="preserve">World Economic Forum (WEF) (2020). </w:t>
      </w:r>
      <w:r w:rsidRPr="000B4DDE">
        <w:rPr>
          <w:i/>
          <w:iCs/>
          <w:sz w:val="20"/>
          <w:lang w:eastAsia="en-GB"/>
        </w:rPr>
        <w:t>Future of Jobs Survey 2020</w:t>
      </w:r>
      <w:r w:rsidRPr="000B4DDE">
        <w:rPr>
          <w:sz w:val="20"/>
          <w:lang w:eastAsia="en-GB"/>
        </w:rPr>
        <w:t xml:space="preserve">, </w:t>
      </w:r>
      <w:hyperlink r:id="rId12" w:history="1">
        <w:r w:rsidRPr="000B4DDE">
          <w:rPr>
            <w:rStyle w:val="Hyperlink"/>
            <w:sz w:val="20"/>
            <w:lang w:eastAsia="en-GB"/>
          </w:rPr>
          <w:t>https</w:t>
        </w:r>
      </w:hyperlink>
      <w:hyperlink r:id="rId13" w:history="1">
        <w:r w:rsidRPr="000B4DDE">
          <w:rPr>
            <w:rStyle w:val="Hyperlink"/>
            <w:sz w:val="20"/>
            <w:lang w:eastAsia="en-GB"/>
          </w:rPr>
          <w:t>://www3.weforum.org/docs/WEF_Future_of_Jobs_2020.</w:t>
        </w:r>
      </w:hyperlink>
      <w:hyperlink r:id="rId14" w:history="1">
        <w:r w:rsidRPr="000B4DDE">
          <w:rPr>
            <w:rStyle w:val="Hyperlink"/>
            <w:sz w:val="20"/>
            <w:lang w:eastAsia="en-GB"/>
          </w:rPr>
          <w:t>pdf</w:t>
        </w:r>
      </w:hyperlink>
      <w:r w:rsidRPr="000B4DDE">
        <w:rPr>
          <w:sz w:val="20"/>
          <w:lang w:eastAsia="en-GB"/>
        </w:rPr>
        <w:t xml:space="preserve"> </w:t>
      </w:r>
      <w:r w:rsidRPr="000B4DDE">
        <w:rPr>
          <w:rStyle w:val="markedcontent"/>
          <w:sz w:val="20"/>
        </w:rPr>
        <w:t>(date accessed: 1</w:t>
      </w:r>
      <w:r>
        <w:rPr>
          <w:rStyle w:val="markedcontent"/>
          <w:sz w:val="20"/>
        </w:rPr>
        <w:t xml:space="preserve">1th </w:t>
      </w:r>
      <w:r w:rsidRPr="000B4DDE">
        <w:rPr>
          <w:rStyle w:val="markedcontent"/>
          <w:sz w:val="20"/>
        </w:rPr>
        <w:t>July 2022).</w:t>
      </w:r>
    </w:p>
    <w:p w14:paraId="4D1528E6" w14:textId="4EFA2635" w:rsidR="00353B55" w:rsidRPr="000B4DDE" w:rsidRDefault="000642C3" w:rsidP="000642C3">
      <w:pPr>
        <w:pStyle w:val="Bibliography"/>
        <w:ind w:left="720" w:hanging="720"/>
        <w:rPr>
          <w:sz w:val="20"/>
          <w:lang w:eastAsia="en-GB"/>
        </w:rPr>
      </w:pPr>
      <w:r w:rsidRPr="000B4DDE">
        <w:rPr>
          <w:sz w:val="20"/>
          <w:lang w:eastAsia="en-GB"/>
        </w:rPr>
        <w:t xml:space="preserve">Wu, T. T., &amp; Wu, Y. T. (2020). Applying project-based learning and SCAMPER teaching strategies in engineering education to explore the influence of creativity on cognition, personal motivation, and personality traits. </w:t>
      </w:r>
      <w:r w:rsidRPr="000B4DDE">
        <w:rPr>
          <w:i/>
          <w:iCs/>
          <w:sz w:val="20"/>
          <w:lang w:eastAsia="en-GB"/>
        </w:rPr>
        <w:t>Thinking Skills and Creativity</w:t>
      </w:r>
      <w:r w:rsidRPr="000B4DDE">
        <w:rPr>
          <w:sz w:val="20"/>
          <w:lang w:eastAsia="en-GB"/>
        </w:rPr>
        <w:t xml:space="preserve">, </w:t>
      </w:r>
      <w:r w:rsidRPr="000B4DDE">
        <w:rPr>
          <w:i/>
          <w:iCs/>
          <w:sz w:val="20"/>
          <w:lang w:eastAsia="en-GB"/>
        </w:rPr>
        <w:t>35</w:t>
      </w:r>
      <w:r w:rsidRPr="000B4DDE">
        <w:rPr>
          <w:sz w:val="20"/>
          <w:lang w:eastAsia="en-GB"/>
        </w:rPr>
        <w:t>, 100631.</w:t>
      </w:r>
    </w:p>
    <w:p w14:paraId="6D98ACCC" w14:textId="1529FD61" w:rsidR="006B480D" w:rsidRDefault="006B480D" w:rsidP="006B480D">
      <w:pPr>
        <w:rPr>
          <w:lang w:eastAsia="en-GB"/>
        </w:rPr>
      </w:pPr>
    </w:p>
    <w:p w14:paraId="63F43E44" w14:textId="77777777" w:rsidR="006B480D" w:rsidRPr="00AA643C" w:rsidRDefault="006B480D" w:rsidP="006B480D">
      <w:pPr>
        <w:pStyle w:val="NoSpacing"/>
        <w:jc w:val="both"/>
        <w:rPr>
          <w:rFonts w:ascii="Times New Roman" w:hAnsi="Times New Roman" w:cs="Times New Roman"/>
          <w:b/>
          <w:bCs/>
          <w:sz w:val="24"/>
          <w:szCs w:val="24"/>
        </w:rPr>
      </w:pPr>
      <w:r w:rsidRPr="00AA643C">
        <w:rPr>
          <w:rFonts w:ascii="Times New Roman" w:hAnsi="Times New Roman" w:cs="Times New Roman"/>
          <w:b/>
          <w:bCs/>
          <w:sz w:val="24"/>
          <w:szCs w:val="24"/>
        </w:rPr>
        <w:t>About the Author</w:t>
      </w:r>
    </w:p>
    <w:p w14:paraId="06EA420A" w14:textId="537346EF" w:rsidR="006B480D" w:rsidRPr="006B480D" w:rsidRDefault="006B480D" w:rsidP="006B480D">
      <w:pPr>
        <w:pStyle w:val="NoSpacing"/>
        <w:jc w:val="both"/>
        <w:rPr>
          <w:rFonts w:ascii="Times New Roman" w:hAnsi="Times New Roman" w:cs="Times New Roman"/>
          <w:sz w:val="20"/>
          <w:szCs w:val="20"/>
        </w:rPr>
      </w:pPr>
      <w:r w:rsidRPr="00FA7A43">
        <w:rPr>
          <w:rFonts w:ascii="Times New Roman" w:hAnsi="Times New Roman" w:cs="Times New Roman"/>
          <w:b/>
          <w:bCs/>
          <w:sz w:val="20"/>
          <w:szCs w:val="20"/>
        </w:rPr>
        <w:t>Simon P. Philbin</w:t>
      </w:r>
      <w:r w:rsidRPr="00FA7A43">
        <w:rPr>
          <w:rFonts w:ascii="Times New Roman" w:hAnsi="Times New Roman" w:cs="Times New Roman"/>
          <w:sz w:val="20"/>
          <w:szCs w:val="20"/>
        </w:rPr>
        <w:t xml:space="preserve"> is Interim Head of Electrical and Electronic Engineering, Director of the Nathu Puri Institute for Engineering and Enterprise, and Professor of Engineering Management in the School of Engineering at London South Bank University in the </w:t>
      </w:r>
      <w:r w:rsidR="002F4AE7">
        <w:rPr>
          <w:rFonts w:ascii="Times New Roman" w:hAnsi="Times New Roman" w:cs="Times New Roman"/>
          <w:sz w:val="20"/>
          <w:szCs w:val="20"/>
        </w:rPr>
        <w:t>UK</w:t>
      </w:r>
      <w:r w:rsidRPr="00FA7A43">
        <w:rPr>
          <w:rFonts w:ascii="Times New Roman" w:hAnsi="Times New Roman" w:cs="Times New Roman"/>
          <w:sz w:val="20"/>
          <w:szCs w:val="20"/>
        </w:rPr>
        <w:t>. He is published across several areas including project management, innovation and entrepreneurship as well as sustainable engineering</w:t>
      </w:r>
      <w:r>
        <w:rPr>
          <w:rFonts w:ascii="Times New Roman" w:hAnsi="Times New Roman" w:cs="Times New Roman"/>
          <w:sz w:val="20"/>
          <w:szCs w:val="20"/>
        </w:rPr>
        <w:t xml:space="preserve"> and renewable energy technologies</w:t>
      </w:r>
      <w:r w:rsidRPr="00FA7A43">
        <w:rPr>
          <w:rFonts w:ascii="Times New Roman" w:hAnsi="Times New Roman" w:cs="Times New Roman"/>
          <w:sz w:val="20"/>
          <w:szCs w:val="20"/>
        </w:rPr>
        <w:t>. He holds a BSc (University of Birmingham) and PhD (Brunel University) both in chemistry as well as an MBA (Open University Business School). Previous research positions include</w:t>
      </w:r>
      <w:r>
        <w:rPr>
          <w:rFonts w:ascii="Times New Roman" w:hAnsi="Times New Roman" w:cs="Times New Roman"/>
          <w:sz w:val="20"/>
          <w:szCs w:val="20"/>
        </w:rPr>
        <w:t xml:space="preserve"> </w:t>
      </w:r>
      <w:r w:rsidRPr="00FA7A43">
        <w:rPr>
          <w:rFonts w:ascii="Times New Roman" w:hAnsi="Times New Roman" w:cs="Times New Roman"/>
          <w:sz w:val="20"/>
          <w:szCs w:val="20"/>
        </w:rPr>
        <w:t>Visiting Fellow at Imperial College Business School and</w:t>
      </w:r>
      <w:r>
        <w:rPr>
          <w:rFonts w:ascii="Times New Roman" w:hAnsi="Times New Roman" w:cs="Times New Roman"/>
          <w:sz w:val="20"/>
          <w:szCs w:val="20"/>
        </w:rPr>
        <w:t xml:space="preserve"> </w:t>
      </w:r>
      <w:r w:rsidRPr="00FA7A43">
        <w:rPr>
          <w:rFonts w:ascii="Times New Roman" w:hAnsi="Times New Roman" w:cs="Times New Roman"/>
          <w:sz w:val="20"/>
          <w:szCs w:val="20"/>
        </w:rPr>
        <w:t xml:space="preserve">Visiting Fellow in the School of Business, Economics and Informatics at </w:t>
      </w:r>
      <w:r w:rsidRPr="00FA7A43">
        <w:rPr>
          <w:rFonts w:ascii="Times New Roman" w:hAnsi="Times New Roman" w:cs="Times New Roman"/>
          <w:kern w:val="28"/>
          <w:sz w:val="20"/>
          <w:szCs w:val="20"/>
        </w:rPr>
        <w:t>Birkbeck University of London.</w:t>
      </w:r>
      <w:r w:rsidRPr="00FA7A43">
        <w:rPr>
          <w:rFonts w:ascii="Times New Roman" w:hAnsi="Times New Roman" w:cs="Times New Roman"/>
          <w:sz w:val="20"/>
          <w:szCs w:val="20"/>
        </w:rPr>
        <w:t xml:space="preserve"> He is a Fellow of the Royal Society of Chemistry, Fellow of the American Society for Engineering Management</w:t>
      </w:r>
      <w:r w:rsidR="00606326">
        <w:rPr>
          <w:rFonts w:ascii="Times New Roman" w:hAnsi="Times New Roman" w:cs="Times New Roman"/>
          <w:sz w:val="20"/>
          <w:szCs w:val="20"/>
        </w:rPr>
        <w:t xml:space="preserve"> (ASEM)</w:t>
      </w:r>
      <w:r w:rsidRPr="00FA7A43">
        <w:rPr>
          <w:rFonts w:ascii="Times New Roman" w:hAnsi="Times New Roman" w:cs="Times New Roman"/>
          <w:sz w:val="20"/>
          <w:szCs w:val="20"/>
        </w:rPr>
        <w:t xml:space="preserve">, Fellow of the Higher Education Academy, and Distinguished Faculty of the Society of Research Administrators International.  He was the 2019/20 President </w:t>
      </w:r>
      <w:r w:rsidR="00606326">
        <w:rPr>
          <w:rFonts w:ascii="Times New Roman" w:hAnsi="Times New Roman" w:cs="Times New Roman"/>
          <w:sz w:val="20"/>
          <w:szCs w:val="20"/>
        </w:rPr>
        <w:t>of ASEM</w:t>
      </w:r>
      <w:r w:rsidR="00A25BE7">
        <w:rPr>
          <w:rFonts w:ascii="Times New Roman" w:hAnsi="Times New Roman" w:cs="Times New Roman"/>
          <w:sz w:val="20"/>
          <w:szCs w:val="20"/>
        </w:rPr>
        <w:t>,</w:t>
      </w:r>
      <w:r w:rsidRPr="00FA7A43">
        <w:rPr>
          <w:rFonts w:ascii="Times New Roman" w:hAnsi="Times New Roman" w:cs="Times New Roman"/>
          <w:sz w:val="20"/>
          <w:szCs w:val="20"/>
        </w:rPr>
        <w:t xml:space="preserve"> and </w:t>
      </w:r>
      <w:r w:rsidR="00A25BE7">
        <w:rPr>
          <w:rFonts w:ascii="Times New Roman" w:hAnsi="Times New Roman" w:cs="Times New Roman"/>
          <w:sz w:val="20"/>
          <w:szCs w:val="20"/>
        </w:rPr>
        <w:t xml:space="preserve">he </w:t>
      </w:r>
      <w:r w:rsidRPr="00FA7A43">
        <w:rPr>
          <w:rFonts w:ascii="Times New Roman" w:hAnsi="Times New Roman" w:cs="Times New Roman"/>
          <w:sz w:val="20"/>
          <w:szCs w:val="20"/>
        </w:rPr>
        <w:t>is currently Co-Editor-in-Chief of the Engineering Management Journal.</w:t>
      </w:r>
    </w:p>
    <w:sectPr w:rsidR="006B480D" w:rsidRPr="006B480D" w:rsidSect="00FF0B90">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440" w:bottom="1440" w:left="1440" w:header="720" w:footer="576" w:gutter="0"/>
      <w:pgNumType w:start="1"/>
      <w:cols w:space="432"/>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81B37" w14:textId="77777777" w:rsidR="00791BCB" w:rsidRDefault="00791BCB">
      <w:r>
        <w:separator/>
      </w:r>
    </w:p>
  </w:endnote>
  <w:endnote w:type="continuationSeparator" w:id="0">
    <w:p w14:paraId="1656B5B5" w14:textId="77777777" w:rsidR="00791BCB" w:rsidRDefault="0079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F836" w14:textId="77777777" w:rsidR="006237B7" w:rsidRPr="006237B7" w:rsidRDefault="006237B7" w:rsidP="006237B7">
    <w:pPr>
      <w:pStyle w:val="Footer"/>
      <w:jc w:val="center"/>
      <w:rPr>
        <w:sz w:val="16"/>
      </w:rPr>
    </w:pPr>
    <w:r>
      <w:rPr>
        <w:sz w:val="16"/>
      </w:rPr>
      <w:t>Copyright, American Society for Engineering Management, 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352413"/>
      <w:docPartObj>
        <w:docPartGallery w:val="Page Numbers (Bottom of Page)"/>
        <w:docPartUnique/>
      </w:docPartObj>
    </w:sdtPr>
    <w:sdtEndPr>
      <w:rPr>
        <w:noProof/>
        <w:sz w:val="20"/>
      </w:rPr>
    </w:sdtEndPr>
    <w:sdtContent>
      <w:p w14:paraId="7993BB1B" w14:textId="77777777" w:rsidR="00FF0B90" w:rsidRPr="00817DF2" w:rsidRDefault="00FF0B90">
        <w:pPr>
          <w:pStyle w:val="Footer"/>
          <w:jc w:val="right"/>
          <w:rPr>
            <w:sz w:val="20"/>
          </w:rPr>
        </w:pPr>
        <w:r w:rsidRPr="00817DF2">
          <w:rPr>
            <w:sz w:val="20"/>
          </w:rPr>
          <w:fldChar w:fldCharType="begin"/>
        </w:r>
        <w:r w:rsidRPr="00817DF2">
          <w:rPr>
            <w:sz w:val="20"/>
          </w:rPr>
          <w:instrText xml:space="preserve"> PAGE   \* MERGEFORMAT </w:instrText>
        </w:r>
        <w:r w:rsidRPr="00817DF2">
          <w:rPr>
            <w:sz w:val="20"/>
          </w:rPr>
          <w:fldChar w:fldCharType="separate"/>
        </w:r>
        <w:r w:rsidR="000E1A41">
          <w:rPr>
            <w:noProof/>
            <w:sz w:val="20"/>
          </w:rPr>
          <w:t>4</w:t>
        </w:r>
        <w:r w:rsidRPr="00817DF2">
          <w:rPr>
            <w:noProof/>
            <w:sz w:val="20"/>
          </w:rPr>
          <w:fldChar w:fldCharType="end"/>
        </w:r>
      </w:p>
    </w:sdtContent>
  </w:sdt>
  <w:p w14:paraId="337E025B" w14:textId="77777777" w:rsidR="00FF0B90" w:rsidRPr="00EA23A2" w:rsidRDefault="00FF0B90" w:rsidP="00FF0B90">
    <w:pPr>
      <w:pStyle w:val="Footer"/>
      <w:jc w:val="center"/>
      <w:rPr>
        <w:sz w:val="16"/>
        <w:lang w:val="en-US"/>
      </w:rPr>
    </w:pPr>
    <w:r>
      <w:rPr>
        <w:sz w:val="16"/>
      </w:rPr>
      <w:t>Copyright, American Society</w:t>
    </w:r>
    <w:r w:rsidR="00B127D7">
      <w:rPr>
        <w:sz w:val="16"/>
      </w:rPr>
      <w:t xml:space="preserve"> </w:t>
    </w:r>
    <w:r w:rsidR="006E5ECB">
      <w:rPr>
        <w:sz w:val="16"/>
      </w:rPr>
      <w:t>for Engineering Management,</w:t>
    </w:r>
    <w:r w:rsidR="000E1A41">
      <w:rPr>
        <w:sz w:val="16"/>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3FF22" w14:textId="77777777" w:rsidR="00B1732A" w:rsidRPr="002E52AE" w:rsidRDefault="007C45C4" w:rsidP="00B1732A">
    <w:pPr>
      <w:pStyle w:val="Footer"/>
      <w:jc w:val="center"/>
      <w:rPr>
        <w:sz w:val="16"/>
        <w:lang w:val="en-US"/>
      </w:rPr>
    </w:pPr>
    <w:r w:rsidRPr="00B25097">
      <w:rPr>
        <w:sz w:val="16"/>
      </w:rPr>
      <w:t xml:space="preserve">Copyright, American Society </w:t>
    </w:r>
    <w:r w:rsidR="009A0CD2">
      <w:rPr>
        <w:sz w:val="16"/>
      </w:rPr>
      <w:t>for Engineering Management, 20</w:t>
    </w:r>
    <w:r w:rsidR="000E1A41">
      <w:rPr>
        <w:sz w:val="16"/>
        <w:lang w:val="en-US"/>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49CF9" w14:textId="77777777" w:rsidR="00791BCB" w:rsidRDefault="00791BCB">
      <w:r>
        <w:separator/>
      </w:r>
    </w:p>
  </w:footnote>
  <w:footnote w:type="continuationSeparator" w:id="0">
    <w:p w14:paraId="423E7C05" w14:textId="77777777" w:rsidR="00791BCB" w:rsidRDefault="00791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BF10" w14:textId="77777777" w:rsidR="007C45C4" w:rsidRPr="00DC5844" w:rsidRDefault="00DC5844" w:rsidP="00DC5844">
    <w:pPr>
      <w:pStyle w:val="Header"/>
      <w:jc w:val="center"/>
      <w:rPr>
        <w:i/>
        <w:sz w:val="20"/>
      </w:rPr>
    </w:pPr>
    <w:r w:rsidRPr="00DC5844">
      <w:rPr>
        <w:i/>
        <w:color w:val="FF0000"/>
        <w:sz w:val="20"/>
      </w:rPr>
      <w:t xml:space="preserve">[FINAL PAPER ONLY] </w:t>
    </w:r>
    <w:r>
      <w:rPr>
        <w:i/>
        <w:sz w:val="20"/>
      </w:rPr>
      <w:t>Author 1, 2, or 3 Last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C103" w14:textId="74BA59CD" w:rsidR="003226B6" w:rsidRPr="003226B6" w:rsidRDefault="00632D68" w:rsidP="003226B6">
    <w:pPr>
      <w:pStyle w:val="Header"/>
      <w:jc w:val="center"/>
      <w:rPr>
        <w:i/>
        <w:sz w:val="20"/>
        <w:lang w:val="en-US"/>
      </w:rPr>
    </w:pPr>
    <w:r>
      <w:rPr>
        <w:i/>
        <w:sz w:val="20"/>
        <w:lang w:val="en-US"/>
      </w:rPr>
      <w:t>Philbin, S.P.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4262" w14:textId="77777777" w:rsidR="00DC5844" w:rsidRDefault="00DC5844" w:rsidP="00DC5844">
    <w:pPr>
      <w:pStyle w:val="Header"/>
      <w:rPr>
        <w:i/>
        <w:sz w:val="20"/>
      </w:rPr>
    </w:pPr>
    <w:r>
      <w:rPr>
        <w:i/>
        <w:sz w:val="20"/>
      </w:rPr>
      <w:t>Proceedings of the American Society</w:t>
    </w:r>
    <w:r w:rsidR="002E52AE">
      <w:rPr>
        <w:i/>
        <w:sz w:val="20"/>
      </w:rPr>
      <w:t xml:space="preserve"> for Engineering Management 2</w:t>
    </w:r>
    <w:r w:rsidR="002E52AE">
      <w:rPr>
        <w:i/>
        <w:sz w:val="20"/>
        <w:lang w:val="en-US"/>
      </w:rPr>
      <w:t>02</w:t>
    </w:r>
    <w:r w:rsidR="000E1A41">
      <w:rPr>
        <w:i/>
        <w:sz w:val="20"/>
        <w:lang w:val="en-US"/>
      </w:rPr>
      <w:t>2</w:t>
    </w:r>
    <w:r>
      <w:rPr>
        <w:i/>
        <w:sz w:val="20"/>
      </w:rPr>
      <w:t xml:space="preserve"> International Annual Conference</w:t>
    </w:r>
  </w:p>
  <w:p w14:paraId="7CB3986B" w14:textId="77777777" w:rsidR="00DC5844" w:rsidRPr="00DC5844" w:rsidRDefault="00E46461">
    <w:pPr>
      <w:pStyle w:val="Header"/>
      <w:rPr>
        <w:i/>
        <w:sz w:val="20"/>
      </w:rPr>
    </w:pPr>
    <w:r>
      <w:rPr>
        <w:i/>
        <w:sz w:val="20"/>
        <w:lang w:val="en-US"/>
      </w:rPr>
      <w:t>G. Natarajan, E.H. Ng, P.F. Katina</w:t>
    </w:r>
    <w:r w:rsidR="000E1A41">
      <w:rPr>
        <w:i/>
        <w:sz w:val="20"/>
        <w:lang w:val="en-US"/>
      </w:rPr>
      <w:t>, and H. Zhang</w:t>
    </w:r>
    <w:r w:rsidR="005D4B68">
      <w:rPr>
        <w:i/>
        <w:sz w:val="20"/>
      </w:rPr>
      <w:t xml:space="preserve"> eds.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7F83"/>
    <w:multiLevelType w:val="hybridMultilevel"/>
    <w:tmpl w:val="57A24F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45D08"/>
    <w:multiLevelType w:val="hybridMultilevel"/>
    <w:tmpl w:val="988CC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80F4E"/>
    <w:multiLevelType w:val="hybridMultilevel"/>
    <w:tmpl w:val="D25240F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097FE7"/>
    <w:multiLevelType w:val="hybridMultilevel"/>
    <w:tmpl w:val="09729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4D7B12"/>
    <w:multiLevelType w:val="hybridMultilevel"/>
    <w:tmpl w:val="8DF68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06604C"/>
    <w:multiLevelType w:val="hybridMultilevel"/>
    <w:tmpl w:val="143E123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014FFA"/>
    <w:multiLevelType w:val="hybridMultilevel"/>
    <w:tmpl w:val="04824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F01E73"/>
    <w:multiLevelType w:val="hybridMultilevel"/>
    <w:tmpl w:val="C0DE8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6B4FE1"/>
    <w:multiLevelType w:val="hybridMultilevel"/>
    <w:tmpl w:val="6CBE372A"/>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7A2040A"/>
    <w:multiLevelType w:val="hybridMultilevel"/>
    <w:tmpl w:val="41DA9A8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4740CF"/>
    <w:multiLevelType w:val="hybridMultilevel"/>
    <w:tmpl w:val="31701C2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E3274B"/>
    <w:multiLevelType w:val="hybridMultilevel"/>
    <w:tmpl w:val="42BC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4545571">
    <w:abstractNumId w:val="9"/>
  </w:num>
  <w:num w:numId="2" w16cid:durableId="317269044">
    <w:abstractNumId w:val="7"/>
  </w:num>
  <w:num w:numId="3" w16cid:durableId="744256117">
    <w:abstractNumId w:val="2"/>
  </w:num>
  <w:num w:numId="4" w16cid:durableId="740248452">
    <w:abstractNumId w:val="10"/>
  </w:num>
  <w:num w:numId="5" w16cid:durableId="426118480">
    <w:abstractNumId w:val="11"/>
  </w:num>
  <w:num w:numId="6" w16cid:durableId="1396270812">
    <w:abstractNumId w:val="0"/>
  </w:num>
  <w:num w:numId="7" w16cid:durableId="455024730">
    <w:abstractNumId w:val="6"/>
  </w:num>
  <w:num w:numId="8" w16cid:durableId="373502904">
    <w:abstractNumId w:val="4"/>
  </w:num>
  <w:num w:numId="9" w16cid:durableId="779566960">
    <w:abstractNumId w:val="8"/>
  </w:num>
  <w:num w:numId="10" w16cid:durableId="563882216">
    <w:abstractNumId w:val="3"/>
  </w:num>
  <w:num w:numId="11" w16cid:durableId="1690446737">
    <w:abstractNumId w:val="5"/>
  </w:num>
  <w:num w:numId="12" w16cid:durableId="698973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3FF"/>
    <w:rsid w:val="00003111"/>
    <w:rsid w:val="00023A83"/>
    <w:rsid w:val="00046BB4"/>
    <w:rsid w:val="000642C3"/>
    <w:rsid w:val="0007465F"/>
    <w:rsid w:val="00080577"/>
    <w:rsid w:val="000A18B5"/>
    <w:rsid w:val="000B4AAC"/>
    <w:rsid w:val="000B4DDE"/>
    <w:rsid w:val="000C000D"/>
    <w:rsid w:val="000D4704"/>
    <w:rsid w:val="000E1A41"/>
    <w:rsid w:val="00102E13"/>
    <w:rsid w:val="001157C9"/>
    <w:rsid w:val="00122A91"/>
    <w:rsid w:val="0012404C"/>
    <w:rsid w:val="00134A9D"/>
    <w:rsid w:val="00163F7C"/>
    <w:rsid w:val="0018076B"/>
    <w:rsid w:val="001927F6"/>
    <w:rsid w:val="001A1031"/>
    <w:rsid w:val="001A108D"/>
    <w:rsid w:val="001B6EA9"/>
    <w:rsid w:val="001C5466"/>
    <w:rsid w:val="001D21BC"/>
    <w:rsid w:val="00222E7D"/>
    <w:rsid w:val="00232025"/>
    <w:rsid w:val="002410FD"/>
    <w:rsid w:val="00243F01"/>
    <w:rsid w:val="002924B3"/>
    <w:rsid w:val="002A2E55"/>
    <w:rsid w:val="002B6492"/>
    <w:rsid w:val="002B678F"/>
    <w:rsid w:val="002D24E2"/>
    <w:rsid w:val="002E52AE"/>
    <w:rsid w:val="002F1BF3"/>
    <w:rsid w:val="002F4AE7"/>
    <w:rsid w:val="002F6EEC"/>
    <w:rsid w:val="00300ACB"/>
    <w:rsid w:val="00306622"/>
    <w:rsid w:val="003141B8"/>
    <w:rsid w:val="003214F3"/>
    <w:rsid w:val="003226B6"/>
    <w:rsid w:val="00327FBC"/>
    <w:rsid w:val="00334584"/>
    <w:rsid w:val="00340730"/>
    <w:rsid w:val="00353B55"/>
    <w:rsid w:val="00354079"/>
    <w:rsid w:val="003612B3"/>
    <w:rsid w:val="003A06B8"/>
    <w:rsid w:val="004063AA"/>
    <w:rsid w:val="00431D3A"/>
    <w:rsid w:val="004378D2"/>
    <w:rsid w:val="00437D31"/>
    <w:rsid w:val="004463A9"/>
    <w:rsid w:val="00477D32"/>
    <w:rsid w:val="00481909"/>
    <w:rsid w:val="00485972"/>
    <w:rsid w:val="00495068"/>
    <w:rsid w:val="004B0947"/>
    <w:rsid w:val="004B54E4"/>
    <w:rsid w:val="004C3432"/>
    <w:rsid w:val="004E4F03"/>
    <w:rsid w:val="00532ECD"/>
    <w:rsid w:val="005363FF"/>
    <w:rsid w:val="005456DC"/>
    <w:rsid w:val="00550DB1"/>
    <w:rsid w:val="00555124"/>
    <w:rsid w:val="00557C66"/>
    <w:rsid w:val="00561F47"/>
    <w:rsid w:val="00572B91"/>
    <w:rsid w:val="00576FA6"/>
    <w:rsid w:val="005C2043"/>
    <w:rsid w:val="005D4B68"/>
    <w:rsid w:val="005F2388"/>
    <w:rsid w:val="005F549F"/>
    <w:rsid w:val="00606326"/>
    <w:rsid w:val="006237B7"/>
    <w:rsid w:val="00624A0D"/>
    <w:rsid w:val="00626576"/>
    <w:rsid w:val="00632D68"/>
    <w:rsid w:val="00636907"/>
    <w:rsid w:val="00642F77"/>
    <w:rsid w:val="00651A32"/>
    <w:rsid w:val="0065425A"/>
    <w:rsid w:val="00667AE3"/>
    <w:rsid w:val="006919FF"/>
    <w:rsid w:val="006B480D"/>
    <w:rsid w:val="006B4F43"/>
    <w:rsid w:val="006B5DEC"/>
    <w:rsid w:val="006C7A8D"/>
    <w:rsid w:val="006E5ECB"/>
    <w:rsid w:val="007025DA"/>
    <w:rsid w:val="00717F6D"/>
    <w:rsid w:val="00735BF1"/>
    <w:rsid w:val="007429E6"/>
    <w:rsid w:val="00742AFE"/>
    <w:rsid w:val="00742FC7"/>
    <w:rsid w:val="00747105"/>
    <w:rsid w:val="00752ED6"/>
    <w:rsid w:val="00776773"/>
    <w:rsid w:val="0078109B"/>
    <w:rsid w:val="00791BCB"/>
    <w:rsid w:val="007968FE"/>
    <w:rsid w:val="007A149D"/>
    <w:rsid w:val="007B4E0C"/>
    <w:rsid w:val="007C45C4"/>
    <w:rsid w:val="008115EF"/>
    <w:rsid w:val="00817DF2"/>
    <w:rsid w:val="00837221"/>
    <w:rsid w:val="00864ABE"/>
    <w:rsid w:val="00890EC8"/>
    <w:rsid w:val="008A318B"/>
    <w:rsid w:val="008A4C7F"/>
    <w:rsid w:val="008A7ACD"/>
    <w:rsid w:val="008B5A5F"/>
    <w:rsid w:val="008E6438"/>
    <w:rsid w:val="008F5B44"/>
    <w:rsid w:val="008F740E"/>
    <w:rsid w:val="00903BF6"/>
    <w:rsid w:val="00904079"/>
    <w:rsid w:val="00917691"/>
    <w:rsid w:val="009263D5"/>
    <w:rsid w:val="0092701D"/>
    <w:rsid w:val="0092714B"/>
    <w:rsid w:val="009318C8"/>
    <w:rsid w:val="00934C3C"/>
    <w:rsid w:val="00937687"/>
    <w:rsid w:val="00942A49"/>
    <w:rsid w:val="00944374"/>
    <w:rsid w:val="00964C6B"/>
    <w:rsid w:val="009A0CD2"/>
    <w:rsid w:val="009B0756"/>
    <w:rsid w:val="009B1118"/>
    <w:rsid w:val="009B3F2A"/>
    <w:rsid w:val="009B5AE4"/>
    <w:rsid w:val="009C1DDB"/>
    <w:rsid w:val="009C3E0E"/>
    <w:rsid w:val="009D7C7F"/>
    <w:rsid w:val="00A12AD8"/>
    <w:rsid w:val="00A25BE7"/>
    <w:rsid w:val="00A414C6"/>
    <w:rsid w:val="00A55FDF"/>
    <w:rsid w:val="00A6329F"/>
    <w:rsid w:val="00A757E4"/>
    <w:rsid w:val="00A8675D"/>
    <w:rsid w:val="00A96DA6"/>
    <w:rsid w:val="00AA358A"/>
    <w:rsid w:val="00AD6CA2"/>
    <w:rsid w:val="00AE3EA0"/>
    <w:rsid w:val="00AE52DB"/>
    <w:rsid w:val="00AE61DD"/>
    <w:rsid w:val="00B039D7"/>
    <w:rsid w:val="00B05B20"/>
    <w:rsid w:val="00B127D7"/>
    <w:rsid w:val="00B1732A"/>
    <w:rsid w:val="00B27EE9"/>
    <w:rsid w:val="00B44FA4"/>
    <w:rsid w:val="00B62A03"/>
    <w:rsid w:val="00B67E73"/>
    <w:rsid w:val="00B925FA"/>
    <w:rsid w:val="00BA0886"/>
    <w:rsid w:val="00BB7464"/>
    <w:rsid w:val="00BC1AF7"/>
    <w:rsid w:val="00BD2013"/>
    <w:rsid w:val="00BD2203"/>
    <w:rsid w:val="00C043A3"/>
    <w:rsid w:val="00C04D4F"/>
    <w:rsid w:val="00C36530"/>
    <w:rsid w:val="00C36666"/>
    <w:rsid w:val="00C5679F"/>
    <w:rsid w:val="00C70F18"/>
    <w:rsid w:val="00C77D88"/>
    <w:rsid w:val="00C818ED"/>
    <w:rsid w:val="00C86498"/>
    <w:rsid w:val="00CA394A"/>
    <w:rsid w:val="00CB79E3"/>
    <w:rsid w:val="00CD10F8"/>
    <w:rsid w:val="00CD1820"/>
    <w:rsid w:val="00CE48DF"/>
    <w:rsid w:val="00D12FD3"/>
    <w:rsid w:val="00D13595"/>
    <w:rsid w:val="00D148C4"/>
    <w:rsid w:val="00D2333E"/>
    <w:rsid w:val="00D254F4"/>
    <w:rsid w:val="00D42650"/>
    <w:rsid w:val="00D426A1"/>
    <w:rsid w:val="00D56484"/>
    <w:rsid w:val="00D56DE3"/>
    <w:rsid w:val="00D61A10"/>
    <w:rsid w:val="00D63DDE"/>
    <w:rsid w:val="00DB59F3"/>
    <w:rsid w:val="00DC5844"/>
    <w:rsid w:val="00E225F9"/>
    <w:rsid w:val="00E44BFD"/>
    <w:rsid w:val="00E46461"/>
    <w:rsid w:val="00E5104F"/>
    <w:rsid w:val="00E55BB9"/>
    <w:rsid w:val="00E61F56"/>
    <w:rsid w:val="00E70826"/>
    <w:rsid w:val="00E84ACD"/>
    <w:rsid w:val="00E95357"/>
    <w:rsid w:val="00E96F9B"/>
    <w:rsid w:val="00EA23A2"/>
    <w:rsid w:val="00EA6CEC"/>
    <w:rsid w:val="00EB4A47"/>
    <w:rsid w:val="00EC6A89"/>
    <w:rsid w:val="00ED427E"/>
    <w:rsid w:val="00EE7B0A"/>
    <w:rsid w:val="00F06CCC"/>
    <w:rsid w:val="00F410D7"/>
    <w:rsid w:val="00F901F4"/>
    <w:rsid w:val="00FB5248"/>
    <w:rsid w:val="00FD3436"/>
    <w:rsid w:val="00FD4C0B"/>
    <w:rsid w:val="00FF0B9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5CF8845"/>
  <w15:chartTrackingRefBased/>
  <w15:docId w15:val="{F5D1795A-8E32-44DE-9B21-CCF308C4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outlineLvl w:val="2"/>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noteText">
    <w:name w:val="footnote text"/>
    <w:basedOn w:val="Normal"/>
    <w:rPr>
      <w:sz w:val="20"/>
    </w:rPr>
  </w:style>
  <w:style w:type="paragraph" w:styleId="BalloonText">
    <w:name w:val="Balloon Text"/>
    <w:basedOn w:val="Normal"/>
    <w:rPr>
      <w:rFonts w:ascii="Tahoma" w:hAnsi="Tahoma" w:cs="Tahoma"/>
      <w:sz w:val="16"/>
    </w:rPr>
  </w:style>
  <w:style w:type="paragraph" w:styleId="BodyText2">
    <w:name w:val="Body Text 2"/>
    <w:basedOn w:val="Normal"/>
    <w:link w:val="BodyText2Char"/>
    <w:pPr>
      <w:jc w:val="both"/>
    </w:pPr>
  </w:style>
  <w:style w:type="paragraph" w:styleId="BodyText">
    <w:name w:val="Body Text"/>
    <w:basedOn w:val="Normal"/>
    <w:pPr>
      <w:jc w:val="center"/>
    </w:pPr>
    <w:rPr>
      <w:b/>
      <w:caps/>
    </w:rPr>
  </w:style>
  <w:style w:type="paragraph" w:styleId="BodyTextIndent2">
    <w:name w:val="Body Text Indent 2"/>
    <w:basedOn w:val="Normal"/>
    <w:pPr>
      <w:ind w:firstLine="720"/>
      <w:jc w:val="both"/>
    </w:pPr>
  </w:style>
  <w:style w:type="paragraph" w:styleId="BodyText3">
    <w:name w:val="Body Text 3"/>
    <w:basedOn w:val="PlainText"/>
    <w:next w:val="BodyText2"/>
    <w:rPr>
      <w:rFonts w:ascii="Arial" w:hAnsi="Arial" w:cs="Arial"/>
    </w:rPr>
  </w:style>
  <w:style w:type="paragraph" w:styleId="PlainText">
    <w:name w:val="Plain Text"/>
    <w:basedOn w:val="Normal"/>
    <w:rPr>
      <w:rFonts w:ascii="Courier New" w:hAnsi="Courier New" w:cs="Courier New"/>
      <w:sz w:val="20"/>
    </w:rPr>
  </w:style>
  <w:style w:type="paragraph" w:styleId="BodyTextIndent3">
    <w:name w:val="Body Text Indent 3"/>
    <w:basedOn w:val="Normal"/>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pPr>
    <w:rPr>
      <w:sz w:val="20"/>
    </w:rPr>
  </w:style>
  <w:style w:type="character" w:styleId="Hyperlink">
    <w:name w:val="Hyperlink"/>
    <w:uiPriority w:val="99"/>
    <w:unhideWhenUsed/>
    <w:rsid w:val="00A3267E"/>
    <w:rPr>
      <w:color w:val="0000FF"/>
      <w:u w:val="single"/>
    </w:rPr>
  </w:style>
  <w:style w:type="character" w:styleId="PageNumber">
    <w:name w:val="page number"/>
    <w:basedOn w:val="DefaultParagraphFont"/>
    <w:uiPriority w:val="99"/>
    <w:semiHidden/>
    <w:unhideWhenUsed/>
    <w:rsid w:val="00CB0B96"/>
  </w:style>
  <w:style w:type="character" w:styleId="CommentReference">
    <w:name w:val="annotation reference"/>
    <w:uiPriority w:val="99"/>
    <w:semiHidden/>
    <w:unhideWhenUsed/>
    <w:rsid w:val="008115EF"/>
    <w:rPr>
      <w:sz w:val="16"/>
      <w:szCs w:val="16"/>
    </w:rPr>
  </w:style>
  <w:style w:type="paragraph" w:styleId="CommentText">
    <w:name w:val="annotation text"/>
    <w:basedOn w:val="Normal"/>
    <w:link w:val="CommentTextChar"/>
    <w:uiPriority w:val="99"/>
    <w:semiHidden/>
    <w:unhideWhenUsed/>
    <w:rsid w:val="008115EF"/>
    <w:rPr>
      <w:sz w:val="20"/>
      <w:lang w:val="x-none" w:eastAsia="x-none"/>
    </w:rPr>
  </w:style>
  <w:style w:type="character" w:customStyle="1" w:styleId="CommentTextChar">
    <w:name w:val="Comment Text Char"/>
    <w:link w:val="CommentText"/>
    <w:uiPriority w:val="99"/>
    <w:semiHidden/>
    <w:rsid w:val="008115E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115EF"/>
    <w:rPr>
      <w:b/>
      <w:bCs/>
    </w:rPr>
  </w:style>
  <w:style w:type="character" w:customStyle="1" w:styleId="CommentSubjectChar">
    <w:name w:val="Comment Subject Char"/>
    <w:link w:val="CommentSubject"/>
    <w:uiPriority w:val="99"/>
    <w:semiHidden/>
    <w:rsid w:val="008115EF"/>
    <w:rPr>
      <w:rFonts w:ascii="Times New Roman" w:hAnsi="Times New Roman"/>
      <w:b/>
      <w:bCs/>
    </w:rPr>
  </w:style>
  <w:style w:type="paragraph" w:styleId="Bibliography">
    <w:name w:val="Bibliography"/>
    <w:basedOn w:val="Normal"/>
    <w:next w:val="Normal"/>
    <w:uiPriority w:val="70"/>
    <w:rsid w:val="009B1118"/>
  </w:style>
  <w:style w:type="character" w:customStyle="1" w:styleId="FooterChar">
    <w:name w:val="Footer Char"/>
    <w:link w:val="Footer"/>
    <w:uiPriority w:val="99"/>
    <w:rsid w:val="00752ED6"/>
    <w:rPr>
      <w:rFonts w:ascii="Times New Roman" w:hAnsi="Times New Roman"/>
      <w:sz w:val="24"/>
    </w:rPr>
  </w:style>
  <w:style w:type="character" w:customStyle="1" w:styleId="HeaderChar">
    <w:name w:val="Header Char"/>
    <w:link w:val="Header"/>
    <w:uiPriority w:val="99"/>
    <w:rsid w:val="00DC5844"/>
    <w:rPr>
      <w:rFonts w:ascii="Times New Roman" w:hAnsi="Times New Roman"/>
      <w:sz w:val="24"/>
    </w:rPr>
  </w:style>
  <w:style w:type="character" w:styleId="FollowedHyperlink">
    <w:name w:val="FollowedHyperlink"/>
    <w:basedOn w:val="DefaultParagraphFont"/>
    <w:uiPriority w:val="99"/>
    <w:semiHidden/>
    <w:unhideWhenUsed/>
    <w:rsid w:val="009A0CD2"/>
    <w:rPr>
      <w:color w:val="954F72" w:themeColor="followedHyperlink"/>
      <w:u w:val="single"/>
    </w:rPr>
  </w:style>
  <w:style w:type="paragraph" w:styleId="NoSpacing">
    <w:name w:val="No Spacing"/>
    <w:uiPriority w:val="1"/>
    <w:qFormat/>
    <w:rsid w:val="00A12AD8"/>
    <w:rPr>
      <w:rFonts w:asciiTheme="minorHAnsi" w:eastAsiaTheme="minorHAnsi" w:hAnsiTheme="minorHAnsi" w:cstheme="minorBidi"/>
      <w:sz w:val="22"/>
      <w:szCs w:val="22"/>
      <w:lang w:val="en-GB"/>
    </w:rPr>
  </w:style>
  <w:style w:type="character" w:customStyle="1" w:styleId="markedcontent">
    <w:name w:val="markedcontent"/>
    <w:basedOn w:val="DefaultParagraphFont"/>
    <w:rsid w:val="00B05B20"/>
  </w:style>
  <w:style w:type="table" w:styleId="TableGrid">
    <w:name w:val="Table Grid"/>
    <w:basedOn w:val="TableNormal"/>
    <w:uiPriority w:val="39"/>
    <w:rsid w:val="00B05B20"/>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itation">
    <w:name w:val="element-citation"/>
    <w:basedOn w:val="DefaultParagraphFont"/>
    <w:rsid w:val="00B05B20"/>
  </w:style>
  <w:style w:type="character" w:customStyle="1" w:styleId="BodyText2Char">
    <w:name w:val="Body Text 2 Char"/>
    <w:basedOn w:val="DefaultParagraphFont"/>
    <w:link w:val="BodyText2"/>
    <w:rsid w:val="00B05B20"/>
    <w:rPr>
      <w:rFonts w:ascii="Times New Roman" w:hAnsi="Times New Roman"/>
      <w:sz w:val="24"/>
    </w:rPr>
  </w:style>
  <w:style w:type="character" w:customStyle="1" w:styleId="ref-journal">
    <w:name w:val="ref-journal"/>
    <w:basedOn w:val="DefaultParagraphFont"/>
    <w:rsid w:val="000642C3"/>
  </w:style>
  <w:style w:type="character" w:styleId="HTMLCite">
    <w:name w:val="HTML Cite"/>
    <w:basedOn w:val="DefaultParagraphFont"/>
    <w:uiPriority w:val="99"/>
    <w:semiHidden/>
    <w:unhideWhenUsed/>
    <w:rsid w:val="00735BF1"/>
    <w:rPr>
      <w:i/>
      <w:iCs/>
    </w:rPr>
  </w:style>
  <w:style w:type="paragraph" w:styleId="NormalWeb">
    <w:name w:val="Normal (Web)"/>
    <w:basedOn w:val="Normal"/>
    <w:uiPriority w:val="99"/>
    <w:semiHidden/>
    <w:unhideWhenUsed/>
    <w:rsid w:val="00D13595"/>
    <w:pPr>
      <w:spacing w:before="100" w:beforeAutospacing="1" w:after="100" w:afterAutospacing="1"/>
    </w:pPr>
    <w:rPr>
      <w:szCs w:val="24"/>
      <w:lang w:val="en-GB" w:eastAsia="en-GB"/>
    </w:rPr>
  </w:style>
  <w:style w:type="character" w:styleId="UnresolvedMention">
    <w:name w:val="Unresolved Mention"/>
    <w:basedOn w:val="DefaultParagraphFont"/>
    <w:uiPriority w:val="99"/>
    <w:semiHidden/>
    <w:unhideWhenUsed/>
    <w:rsid w:val="000B4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483916">
      <w:bodyDiv w:val="1"/>
      <w:marLeft w:val="0"/>
      <w:marRight w:val="0"/>
      <w:marTop w:val="0"/>
      <w:marBottom w:val="0"/>
      <w:divBdr>
        <w:top w:val="none" w:sz="0" w:space="0" w:color="auto"/>
        <w:left w:val="none" w:sz="0" w:space="0" w:color="auto"/>
        <w:bottom w:val="none" w:sz="0" w:space="0" w:color="auto"/>
        <w:right w:val="none" w:sz="0" w:space="0" w:color="auto"/>
      </w:divBdr>
    </w:div>
    <w:div w:id="133595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3.weforum.org/docs/WEF_Future_of_Jobs_2020.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iet.org/media/6273/accreditation-information-pack.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heiet.org/media/6274/guidance-on-meeting-ahep-learning-outcomes.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3.weforum.org/docs/WEF_Future_of_Jobs_2020.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Ame12</b:Tag>
    <b:SourceType>InternetSite</b:SourceType>
    <b:Guid>{2D646120-F59F-4177-8194-0176F9CBC04E}</b:Guid>
    <b:Title>The Basics of APA Style</b:Title>
    <b:Year>2013</b:Year>
    <b:Author>
      <b:Author>
        <b:Corporate>American Psychological Association</b:Corporate>
      </b:Author>
    </b:Author>
    <b:InternetSiteTitle>American Psychological Association</b:InternetSiteTitle>
    <b:URL>http://www.apastyle.org/learn/tutorials/basics-tutorial.aspx</b:URL>
    <b:RefOrder>1</b:RefOrder>
  </b:Source>
  <b:Source>
    <b:Tag>Pur13</b:Tag>
    <b:SourceType>InternetSite</b:SourceType>
    <b:Guid>{511EB9BA-2BFB-4876-9A7A-974CFB59A17F}</b:Guid>
    <b:Title>APA Style</b:Title>
    <b:InternetSiteTitle>Purdue OWL</b:InternetSiteTitle>
    <b:Year>2013</b:Year>
    <b:URL>http://owl.english.purdue.edu/owl/section/2/10/</b:URL>
    <b:Author>
      <b:Author>
        <b:Corporate>Purdue Online Writing Lab (OWL)</b:Corporate>
      </b:Author>
    </b:Author>
    <b:RefOrder>2</b:RefOrder>
  </b:Source>
  <b:Source>
    <b:Tag>Amo80</b:Tag>
    <b:SourceType>Book</b:SourceType>
    <b:Guid>{A82DA5C9-18CC-497F-BCFD-2DDFF54FA5FD}</b:Guid>
    <b:Title>Management for Engineering</b:Title>
    <b:Year>1980</b:Year>
    <b:City>Englewood Cliffs</b:City>
    <b:Publisher>Prentice Hall</b:Publisher>
    <b:Author>
      <b:Author>
        <b:NameList>
          <b:Person>
            <b:Last>Amos</b:Last>
            <b:Middle>M.</b:Middle>
            <b:First>John</b:First>
          </b:Person>
          <b:Person>
            <b:Last>Sarchet</b:Last>
            <b:Middle>R.</b:Middle>
            <b:First>Bernard</b:First>
          </b:Person>
        </b:NameList>
      </b:Author>
    </b:Author>
    <b:RefOrder>3</b:RefOrder>
  </b:Source>
  <b:Source>
    <b:Tag>Den96</b:Tag>
    <b:SourceType>JournalArticle</b:SourceType>
    <b:Guid>{9ECB4794-0689-4B40-9A24-38937625972A}</b:Guid>
    <b:Title>Imprinting change on your organization</b:Title>
    <b:Year>1996</b:Year>
    <b:JournalName>Industrial Management</b:JournalName>
    <b:Pages>4-7</b:Pages>
    <b:Author>
      <b:Author>
        <b:NameList>
          <b:Person>
            <b:Last>Denton</b:Last>
            <b:Middle>D.</b:Middle>
            <b:First>Keith</b:First>
          </b:Person>
        </b:NameList>
      </b:Author>
    </b:Author>
    <b:Volume>38</b:Volume>
    <b:Issue>6</b:Issue>
    <b:RefOrder>4</b:RefOrder>
  </b:Source>
  <b:Source>
    <b:Tag>Kea00</b:Tag>
    <b:SourceType>ConferenceProceedings</b:SourceType>
    <b:Guid>{296FAF3C-0E7C-477E-A874-F3588D74514F}</b:Guid>
    <b:Title>Design of collaborative engineering work systems</b:Title>
    <b:Year>2000</b:Year>
    <b:Pages>435-442</b:Pages>
    <b:ConferenceName>Proceedings from the 2000 ASEM National Conference</b:ConferenceName>
    <b:City>Virginia Beach</b:City>
    <b:Author>
      <b:Author>
        <b:NameList>
          <b:Person>
            <b:Last>Keating</b:Last>
            <b:Middle>B</b:Middle>
            <b:First>Charles</b:First>
          </b:Person>
          <b:Person>
            <b:Last>Jacobs</b:Last>
            <b:Middle>A</b:Middle>
            <b:First>Derya</b:First>
          </b:Person>
          <b:Person>
            <b:Last>Dryer</b:Last>
            <b:First>David</b:First>
          </b:Person>
          <b:Person>
            <b:Last>Unal</b:Last>
            <b:First>Resit</b:First>
          </b:Person>
          <b:Person>
            <b:Last>Sousa-Poza</b:Last>
            <b:First>Andres</b:First>
          </b:Person>
        </b:NameList>
      </b:Author>
    </b:Author>
    <b:RefOrder>5</b:RefOrder>
  </b:Source>
  <b:Source>
    <b:Tag>Pri02</b:Tag>
    <b:SourceType>ConferenceProceedings</b:SourceType>
    <b:Guid>{7A8C480B-C78D-4B1C-ABE4-8B4F61575C70}</b:Guid>
    <b:Title>Using the world-wide web to deliver complex electronic documents: Implications for libraries</b:Title>
    <b:Pages>CD-ROM</b:Pages>
    <b:Year>2002</b:Year>
    <b:ConferenceName>Proceedings of the 2002 ASEE Annual Conference</b:ConferenceName>
    <b:Author>
      <b:Author>
        <b:NameList>
          <b:Person>
            <b:Last>Price-Wilkin</b:Last>
            <b:First>John</b:First>
          </b:Person>
        </b:NameList>
      </b:Author>
    </b:Author>
    <b:RefOrder>6</b:RefOrder>
  </b:Source>
</b:Sources>
</file>

<file path=customXml/itemProps1.xml><?xml version="1.0" encoding="utf-8"?>
<ds:datastoreItem xmlns:ds="http://schemas.openxmlformats.org/officeDocument/2006/customXml" ds:itemID="{F1BF92C0-769C-4B20-8DDD-4350C6DAE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6519</Words>
  <Characters>39949</Characters>
  <Application>Microsoft Office Word</Application>
  <DocSecurity>0</DocSecurity>
  <Lines>332</Lines>
  <Paragraphs>92</Paragraphs>
  <ScaleCrop>false</ScaleCrop>
  <HeadingPairs>
    <vt:vector size="2" baseType="variant">
      <vt:variant>
        <vt:lpstr>Title</vt:lpstr>
      </vt:variant>
      <vt:variant>
        <vt:i4>1</vt:i4>
      </vt:variant>
    </vt:vector>
  </HeadingPairs>
  <TitlesOfParts>
    <vt:vector size="1" baseType="lpstr">
      <vt:lpstr>Author Instruction Template</vt:lpstr>
    </vt:vector>
  </TitlesOfParts>
  <Company>Oregon State University</Company>
  <LinksUpToDate>false</LinksUpToDate>
  <CharactersWithSpaces>46376</CharactersWithSpaces>
  <SharedDoc>false</SharedDoc>
  <HLinks>
    <vt:vector size="12" baseType="variant">
      <vt:variant>
        <vt:i4>3080316</vt:i4>
      </vt:variant>
      <vt:variant>
        <vt:i4>6</vt:i4>
      </vt:variant>
      <vt:variant>
        <vt:i4>0</vt:i4>
      </vt:variant>
      <vt:variant>
        <vt:i4>5</vt:i4>
      </vt:variant>
      <vt:variant>
        <vt:lpwstr>http://owl.english.purdue.edu/owl/section/2/10/</vt:lpwstr>
      </vt:variant>
      <vt:variant>
        <vt:lpwstr/>
      </vt:variant>
      <vt:variant>
        <vt:i4>327701</vt:i4>
      </vt:variant>
      <vt:variant>
        <vt:i4>3</vt:i4>
      </vt:variant>
      <vt:variant>
        <vt:i4>0</vt:i4>
      </vt:variant>
      <vt:variant>
        <vt:i4>5</vt:i4>
      </vt:variant>
      <vt:variant>
        <vt:lpwstr>http://www.apastyle.org/learn/tutorials/basics-tutorial.aspx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Instruction Template</dc:title>
  <dc:subject/>
  <dc:creator>Ng, Ean</dc:creator>
  <cp:keywords/>
  <cp:lastModifiedBy>Simon Philbin</cp:lastModifiedBy>
  <cp:revision>18</cp:revision>
  <cp:lastPrinted>2004-05-05T19:08:00Z</cp:lastPrinted>
  <dcterms:created xsi:type="dcterms:W3CDTF">2022-07-05T13:44:00Z</dcterms:created>
  <dcterms:modified xsi:type="dcterms:W3CDTF">2022-07-11T13:16:00Z</dcterms:modified>
</cp:coreProperties>
</file>